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F7F73" w14:textId="1A7DE795" w:rsidR="0043290E" w:rsidRPr="00376E45" w:rsidRDefault="00DB6FF8" w:rsidP="0043290E">
      <w:pPr>
        <w:rPr>
          <w:b/>
          <w:kern w:val="28"/>
          <w:sz w:val="28"/>
          <w:lang w:val="en-GB"/>
        </w:rPr>
      </w:pPr>
      <w:bookmarkStart w:id="0" w:name="_Toc233184646"/>
      <w:bookmarkStart w:id="1" w:name="_Toc233428744"/>
      <w:r w:rsidRPr="00376E45">
        <w:rPr>
          <w:b/>
          <w:kern w:val="28"/>
          <w:sz w:val="28"/>
          <w:lang w:val="en-GB"/>
        </w:rPr>
        <w:t xml:space="preserve">ORAL Strategy: a </w:t>
      </w:r>
      <w:r w:rsidR="00804012" w:rsidRPr="00376E45">
        <w:rPr>
          <w:b/>
          <w:kern w:val="28"/>
          <w:sz w:val="28"/>
          <w:lang w:val="en-GB"/>
        </w:rPr>
        <w:t>Phase 3b/4</w:t>
      </w:r>
      <w:r w:rsidR="00E40779" w:rsidRPr="00376E45">
        <w:rPr>
          <w:b/>
          <w:kern w:val="28"/>
          <w:sz w:val="28"/>
          <w:lang w:val="en-GB"/>
        </w:rPr>
        <w:t xml:space="preserve"> </w:t>
      </w:r>
      <w:r w:rsidR="006D2977" w:rsidRPr="00376E45">
        <w:rPr>
          <w:b/>
          <w:kern w:val="28"/>
          <w:sz w:val="28"/>
          <w:lang w:val="en-GB"/>
        </w:rPr>
        <w:t>head-to-head</w:t>
      </w:r>
      <w:r w:rsidR="006C2D29" w:rsidRPr="00376E45">
        <w:rPr>
          <w:b/>
          <w:kern w:val="28"/>
          <w:sz w:val="28"/>
          <w:lang w:val="en-GB"/>
        </w:rPr>
        <w:t xml:space="preserve"> randomis</w:t>
      </w:r>
      <w:r w:rsidR="00804012" w:rsidRPr="00376E45">
        <w:rPr>
          <w:b/>
          <w:kern w:val="28"/>
          <w:sz w:val="28"/>
          <w:lang w:val="en-GB"/>
        </w:rPr>
        <w:t xml:space="preserve">ed trial </w:t>
      </w:r>
      <w:r w:rsidR="0043290E" w:rsidRPr="00376E45">
        <w:rPr>
          <w:b/>
          <w:kern w:val="28"/>
          <w:sz w:val="28"/>
          <w:lang w:val="en-GB"/>
        </w:rPr>
        <w:t xml:space="preserve">comparing </w:t>
      </w:r>
      <w:r w:rsidR="006D2977" w:rsidRPr="00376E45">
        <w:rPr>
          <w:b/>
          <w:kern w:val="28"/>
          <w:sz w:val="28"/>
          <w:lang w:val="en-GB"/>
        </w:rPr>
        <w:t xml:space="preserve">the </w:t>
      </w:r>
      <w:r w:rsidR="0043290E" w:rsidRPr="00376E45">
        <w:rPr>
          <w:b/>
          <w:kern w:val="28"/>
          <w:sz w:val="28"/>
          <w:lang w:val="en-GB"/>
        </w:rPr>
        <w:t>efficacy and safety of</w:t>
      </w:r>
      <w:r w:rsidR="00804012" w:rsidRPr="00376E45">
        <w:rPr>
          <w:b/>
          <w:kern w:val="28"/>
          <w:sz w:val="28"/>
          <w:lang w:val="en-GB"/>
        </w:rPr>
        <w:t xml:space="preserve"> t</w:t>
      </w:r>
      <w:r w:rsidR="00D44BE7" w:rsidRPr="00376E45">
        <w:rPr>
          <w:b/>
          <w:kern w:val="28"/>
          <w:sz w:val="28"/>
          <w:lang w:val="en-GB"/>
        </w:rPr>
        <w:t xml:space="preserve">ofacitinib </w:t>
      </w:r>
      <w:r w:rsidR="00753925" w:rsidRPr="00376E45">
        <w:rPr>
          <w:b/>
          <w:kern w:val="28"/>
          <w:sz w:val="28"/>
          <w:lang w:val="en-GB"/>
        </w:rPr>
        <w:t>monotherapy, tofacitinib with</w:t>
      </w:r>
      <w:r w:rsidR="00D44BE7" w:rsidRPr="00376E45">
        <w:rPr>
          <w:b/>
          <w:kern w:val="28"/>
          <w:sz w:val="28"/>
          <w:lang w:val="en-GB"/>
        </w:rPr>
        <w:t xml:space="preserve"> methotrexate</w:t>
      </w:r>
      <w:r w:rsidR="0043290E" w:rsidRPr="00376E45">
        <w:rPr>
          <w:b/>
          <w:kern w:val="28"/>
          <w:sz w:val="28"/>
          <w:lang w:val="en-GB"/>
        </w:rPr>
        <w:t>,</w:t>
      </w:r>
      <w:r w:rsidR="00D44BE7" w:rsidRPr="00376E45">
        <w:rPr>
          <w:b/>
          <w:kern w:val="28"/>
          <w:sz w:val="28"/>
          <w:lang w:val="en-GB"/>
        </w:rPr>
        <w:t xml:space="preserve"> </w:t>
      </w:r>
      <w:r w:rsidR="00753925" w:rsidRPr="00376E45">
        <w:rPr>
          <w:b/>
          <w:kern w:val="28"/>
          <w:sz w:val="28"/>
          <w:lang w:val="en-GB"/>
        </w:rPr>
        <w:t>and</w:t>
      </w:r>
      <w:r w:rsidR="00D44BE7" w:rsidRPr="00376E45">
        <w:rPr>
          <w:b/>
          <w:kern w:val="28"/>
          <w:sz w:val="28"/>
          <w:lang w:val="en-GB"/>
        </w:rPr>
        <w:t xml:space="preserve"> adalimumab </w:t>
      </w:r>
      <w:r w:rsidR="00753925" w:rsidRPr="00376E45">
        <w:rPr>
          <w:b/>
          <w:kern w:val="28"/>
          <w:sz w:val="28"/>
          <w:lang w:val="en-GB"/>
        </w:rPr>
        <w:t>with</w:t>
      </w:r>
      <w:r w:rsidR="00D44BE7" w:rsidRPr="00376E45">
        <w:rPr>
          <w:b/>
          <w:kern w:val="28"/>
          <w:sz w:val="28"/>
          <w:lang w:val="en-GB"/>
        </w:rPr>
        <w:t xml:space="preserve"> methotrexate </w:t>
      </w:r>
      <w:r w:rsidR="006D2977" w:rsidRPr="00376E45">
        <w:rPr>
          <w:b/>
          <w:kern w:val="28"/>
          <w:sz w:val="28"/>
          <w:lang w:val="en-GB"/>
        </w:rPr>
        <w:t xml:space="preserve">in patients with </w:t>
      </w:r>
      <w:r w:rsidR="00D44BE7" w:rsidRPr="00376E45">
        <w:rPr>
          <w:b/>
          <w:kern w:val="28"/>
          <w:sz w:val="28"/>
          <w:lang w:val="en-GB"/>
        </w:rPr>
        <w:t>rheuma</w:t>
      </w:r>
      <w:r w:rsidR="0043290E" w:rsidRPr="00376E45">
        <w:rPr>
          <w:b/>
          <w:kern w:val="28"/>
          <w:sz w:val="28"/>
          <w:lang w:val="en-GB"/>
        </w:rPr>
        <w:t>toid arthritis</w:t>
      </w:r>
    </w:p>
    <w:p w14:paraId="1A432503" w14:textId="38DBE4A7" w:rsidR="00C16738" w:rsidRPr="00376E45" w:rsidRDefault="00793E27" w:rsidP="00205ABD">
      <w:pPr>
        <w:rPr>
          <w:lang w:val="en-GB"/>
        </w:rPr>
      </w:pPr>
      <w:r w:rsidRPr="00376E45">
        <w:rPr>
          <w:lang w:val="en-GB"/>
        </w:rPr>
        <w:t>Roy Fleischmann</w:t>
      </w:r>
      <w:r w:rsidR="00C36DB4" w:rsidRPr="00376E45">
        <w:rPr>
          <w:lang w:val="en-GB"/>
        </w:rPr>
        <w:t xml:space="preserve"> </w:t>
      </w:r>
      <w:r w:rsidR="00DF0CB6" w:rsidRPr="00376E45">
        <w:rPr>
          <w:lang w:val="en-GB"/>
        </w:rPr>
        <w:t>MD</w:t>
      </w:r>
      <w:r w:rsidRPr="00376E45">
        <w:rPr>
          <w:lang w:val="en-GB"/>
        </w:rPr>
        <w:t>,</w:t>
      </w:r>
      <w:r w:rsidRPr="00376E45">
        <w:rPr>
          <w:vertAlign w:val="superscript"/>
          <w:lang w:val="en-GB"/>
        </w:rPr>
        <w:t>1</w:t>
      </w:r>
      <w:r w:rsidRPr="00376E45">
        <w:rPr>
          <w:lang w:val="en-GB"/>
        </w:rPr>
        <w:t xml:space="preserve"> </w:t>
      </w:r>
      <w:r w:rsidR="00101C81" w:rsidRPr="00376E45">
        <w:rPr>
          <w:lang w:val="en-GB"/>
        </w:rPr>
        <w:t>Eduardo Mysler</w:t>
      </w:r>
      <w:r w:rsidR="00C36DB4" w:rsidRPr="00376E45">
        <w:rPr>
          <w:lang w:val="en-GB"/>
        </w:rPr>
        <w:t xml:space="preserve"> MD</w:t>
      </w:r>
      <w:r w:rsidR="00101C81" w:rsidRPr="00376E45">
        <w:rPr>
          <w:lang w:val="en-GB"/>
        </w:rPr>
        <w:t>,</w:t>
      </w:r>
      <w:r w:rsidR="00101C81" w:rsidRPr="00376E45">
        <w:rPr>
          <w:vertAlign w:val="superscript"/>
          <w:lang w:val="en-GB"/>
        </w:rPr>
        <w:t>2</w:t>
      </w:r>
      <w:r w:rsidR="00101C81" w:rsidRPr="00376E45">
        <w:rPr>
          <w:lang w:val="en-GB"/>
        </w:rPr>
        <w:t xml:space="preserve"> </w:t>
      </w:r>
      <w:r w:rsidRPr="00376E45">
        <w:rPr>
          <w:lang w:val="en-GB"/>
        </w:rPr>
        <w:t>Stephen Hall</w:t>
      </w:r>
      <w:r w:rsidR="00BA711D" w:rsidRPr="00376E45">
        <w:rPr>
          <w:lang w:val="en-GB"/>
        </w:rPr>
        <w:t xml:space="preserve"> </w:t>
      </w:r>
      <w:r w:rsidR="00DF0CB6" w:rsidRPr="00376E45">
        <w:rPr>
          <w:lang w:val="en-GB"/>
        </w:rPr>
        <w:t>MD</w:t>
      </w:r>
      <w:r w:rsidRPr="00376E45">
        <w:rPr>
          <w:lang w:val="en-GB"/>
        </w:rPr>
        <w:t>,</w:t>
      </w:r>
      <w:r w:rsidR="00101C81" w:rsidRPr="00376E45">
        <w:rPr>
          <w:vertAlign w:val="superscript"/>
          <w:lang w:val="en-GB"/>
        </w:rPr>
        <w:t>3</w:t>
      </w:r>
      <w:r w:rsidRPr="00376E45">
        <w:rPr>
          <w:lang w:val="en-GB"/>
        </w:rPr>
        <w:t xml:space="preserve"> </w:t>
      </w:r>
      <w:r w:rsidR="00126EA6" w:rsidRPr="00376E45">
        <w:rPr>
          <w:lang w:val="en-GB"/>
        </w:rPr>
        <w:t>Alan Kivitz</w:t>
      </w:r>
      <w:r w:rsidR="00653011" w:rsidRPr="00376E45">
        <w:rPr>
          <w:lang w:val="en-GB"/>
        </w:rPr>
        <w:t xml:space="preserve"> MD</w:t>
      </w:r>
      <w:r w:rsidR="00126EA6" w:rsidRPr="00376E45">
        <w:rPr>
          <w:lang w:val="en-GB"/>
        </w:rPr>
        <w:t>,</w:t>
      </w:r>
      <w:r w:rsidR="00101C81" w:rsidRPr="00376E45">
        <w:rPr>
          <w:vertAlign w:val="superscript"/>
          <w:lang w:val="en-GB"/>
        </w:rPr>
        <w:t>4</w:t>
      </w:r>
      <w:r w:rsidR="00126EA6" w:rsidRPr="00376E45">
        <w:rPr>
          <w:lang w:val="en-GB"/>
        </w:rPr>
        <w:t xml:space="preserve"> </w:t>
      </w:r>
      <w:r w:rsidRPr="00376E45">
        <w:rPr>
          <w:lang w:val="en-GB"/>
        </w:rPr>
        <w:t xml:space="preserve">Robert </w:t>
      </w:r>
      <w:r w:rsidR="00BB7208" w:rsidRPr="00376E45">
        <w:rPr>
          <w:lang w:val="en-GB"/>
        </w:rPr>
        <w:t xml:space="preserve">J. </w:t>
      </w:r>
      <w:r w:rsidRPr="00376E45">
        <w:rPr>
          <w:lang w:val="en-GB"/>
        </w:rPr>
        <w:t>Moots</w:t>
      </w:r>
      <w:r w:rsidR="00653011" w:rsidRPr="00376E45">
        <w:rPr>
          <w:lang w:val="en-GB"/>
        </w:rPr>
        <w:t xml:space="preserve"> MD</w:t>
      </w:r>
      <w:r w:rsidRPr="00376E45">
        <w:rPr>
          <w:lang w:val="en-GB"/>
        </w:rPr>
        <w:t>,</w:t>
      </w:r>
      <w:r w:rsidR="00101C81" w:rsidRPr="00376E45">
        <w:rPr>
          <w:vertAlign w:val="superscript"/>
          <w:lang w:val="en-GB"/>
        </w:rPr>
        <w:t>5</w:t>
      </w:r>
      <w:r w:rsidRPr="00376E45">
        <w:rPr>
          <w:lang w:val="en-GB"/>
        </w:rPr>
        <w:t xml:space="preserve"> </w:t>
      </w:r>
      <w:r w:rsidR="00C943AC" w:rsidRPr="00376E45">
        <w:rPr>
          <w:lang w:val="en-GB"/>
        </w:rPr>
        <w:t>Zhen</w:t>
      </w:r>
      <w:r w:rsidR="004411E4" w:rsidRPr="00376E45">
        <w:rPr>
          <w:lang w:val="en-GB"/>
        </w:rPr>
        <w:t> </w:t>
      </w:r>
      <w:r w:rsidR="00C943AC" w:rsidRPr="00376E45">
        <w:rPr>
          <w:lang w:val="en-GB"/>
        </w:rPr>
        <w:t>Luo</w:t>
      </w:r>
      <w:r w:rsidR="00DF0CB6" w:rsidRPr="00376E45">
        <w:rPr>
          <w:lang w:val="en-GB"/>
        </w:rPr>
        <w:t xml:space="preserve"> PhD</w:t>
      </w:r>
      <w:r w:rsidR="00C943AC" w:rsidRPr="00376E45">
        <w:rPr>
          <w:lang w:val="en-GB"/>
        </w:rPr>
        <w:t>,</w:t>
      </w:r>
      <w:r w:rsidR="00C943AC" w:rsidRPr="00376E45">
        <w:rPr>
          <w:vertAlign w:val="superscript"/>
          <w:lang w:val="en-GB"/>
        </w:rPr>
        <w:t xml:space="preserve">6 </w:t>
      </w:r>
      <w:r w:rsidRPr="00376E45">
        <w:rPr>
          <w:lang w:val="en-GB"/>
        </w:rPr>
        <w:t>Ryan DeMasi</w:t>
      </w:r>
      <w:r w:rsidR="00BA711D" w:rsidRPr="00376E45">
        <w:rPr>
          <w:lang w:val="en-GB"/>
        </w:rPr>
        <w:t xml:space="preserve"> </w:t>
      </w:r>
      <w:r w:rsidR="00555795" w:rsidRPr="00376E45">
        <w:rPr>
          <w:lang w:val="en-GB"/>
        </w:rPr>
        <w:t>MD</w:t>
      </w:r>
      <w:r w:rsidRPr="00376E45">
        <w:rPr>
          <w:lang w:val="en-GB"/>
        </w:rPr>
        <w:t>,</w:t>
      </w:r>
      <w:r w:rsidR="00392E2E" w:rsidRPr="00376E45">
        <w:rPr>
          <w:vertAlign w:val="superscript"/>
          <w:lang w:val="en-GB"/>
        </w:rPr>
        <w:t>7</w:t>
      </w:r>
      <w:r w:rsidRPr="00376E45">
        <w:rPr>
          <w:lang w:val="en-GB"/>
        </w:rPr>
        <w:t xml:space="preserve"> Koshika Soma</w:t>
      </w:r>
      <w:r w:rsidR="00BA711D" w:rsidRPr="00376E45">
        <w:rPr>
          <w:lang w:val="en-GB"/>
        </w:rPr>
        <w:t xml:space="preserve"> </w:t>
      </w:r>
      <w:r w:rsidR="00555795" w:rsidRPr="00376E45">
        <w:rPr>
          <w:lang w:val="en-GB"/>
        </w:rPr>
        <w:t>MD</w:t>
      </w:r>
      <w:r w:rsidRPr="00376E45">
        <w:rPr>
          <w:lang w:val="en-GB"/>
        </w:rPr>
        <w:t>,</w:t>
      </w:r>
      <w:r w:rsidR="00B60202" w:rsidRPr="00376E45">
        <w:rPr>
          <w:vertAlign w:val="superscript"/>
          <w:lang w:val="en-GB"/>
        </w:rPr>
        <w:t>8</w:t>
      </w:r>
      <w:r w:rsidRPr="00376E45">
        <w:rPr>
          <w:lang w:val="en-GB"/>
        </w:rPr>
        <w:t xml:space="preserve"> </w:t>
      </w:r>
      <w:r w:rsidR="002767CB" w:rsidRPr="00376E45">
        <w:rPr>
          <w:lang w:val="en-GB"/>
        </w:rPr>
        <w:t>Richard Zhang</w:t>
      </w:r>
      <w:r w:rsidR="00FA31DD" w:rsidRPr="00376E45">
        <w:rPr>
          <w:lang w:val="en-GB"/>
        </w:rPr>
        <w:t xml:space="preserve"> PhD</w:t>
      </w:r>
      <w:r w:rsidR="002767CB" w:rsidRPr="00376E45">
        <w:rPr>
          <w:lang w:val="en-GB"/>
        </w:rPr>
        <w:t>,</w:t>
      </w:r>
      <w:r w:rsidR="002767CB" w:rsidRPr="00376E45">
        <w:rPr>
          <w:vertAlign w:val="superscript"/>
          <w:lang w:val="en-GB"/>
        </w:rPr>
        <w:t>9</w:t>
      </w:r>
      <w:r w:rsidR="002767CB" w:rsidRPr="00376E45">
        <w:rPr>
          <w:lang w:val="en-GB"/>
        </w:rPr>
        <w:t xml:space="preserve"> </w:t>
      </w:r>
      <w:r w:rsidRPr="00376E45">
        <w:rPr>
          <w:lang w:val="en-GB"/>
        </w:rPr>
        <w:t>Liza Takiya</w:t>
      </w:r>
      <w:r w:rsidR="00BA711D" w:rsidRPr="00376E45">
        <w:rPr>
          <w:lang w:val="en-GB"/>
        </w:rPr>
        <w:t xml:space="preserve"> </w:t>
      </w:r>
      <w:r w:rsidR="00555795" w:rsidRPr="00376E45">
        <w:rPr>
          <w:lang w:val="en-GB"/>
        </w:rPr>
        <w:t>PharmD</w:t>
      </w:r>
      <w:r w:rsidR="00BB1148" w:rsidRPr="00376E45">
        <w:rPr>
          <w:lang w:val="en-GB"/>
        </w:rPr>
        <w:t>,</w:t>
      </w:r>
      <w:r w:rsidR="00392E2E" w:rsidRPr="00376E45">
        <w:rPr>
          <w:vertAlign w:val="superscript"/>
          <w:lang w:val="en-GB"/>
        </w:rPr>
        <w:t>7</w:t>
      </w:r>
      <w:r w:rsidR="00BB1148" w:rsidRPr="00376E45">
        <w:rPr>
          <w:vertAlign w:val="superscript"/>
          <w:lang w:val="en-GB"/>
        </w:rPr>
        <w:t xml:space="preserve"> </w:t>
      </w:r>
      <w:r w:rsidRPr="00376E45">
        <w:rPr>
          <w:lang w:val="en-GB"/>
        </w:rPr>
        <w:t>Svitlana Tatulych</w:t>
      </w:r>
      <w:r w:rsidR="00BA711D" w:rsidRPr="00376E45">
        <w:rPr>
          <w:lang w:val="en-GB"/>
        </w:rPr>
        <w:t xml:space="preserve"> </w:t>
      </w:r>
      <w:r w:rsidR="00C36DB4" w:rsidRPr="00376E45">
        <w:rPr>
          <w:lang w:val="en-GB"/>
        </w:rPr>
        <w:t>MD</w:t>
      </w:r>
      <w:r w:rsidRPr="00376E45">
        <w:rPr>
          <w:lang w:val="en-GB"/>
        </w:rPr>
        <w:t>,</w:t>
      </w:r>
      <w:r w:rsidR="00F50416" w:rsidRPr="00376E45">
        <w:rPr>
          <w:vertAlign w:val="superscript"/>
          <w:lang w:val="en-GB"/>
        </w:rPr>
        <w:t>8</w:t>
      </w:r>
      <w:r w:rsidR="00BB1148" w:rsidRPr="00376E45">
        <w:rPr>
          <w:lang w:val="en-GB"/>
        </w:rPr>
        <w:t xml:space="preserve"> </w:t>
      </w:r>
      <w:r w:rsidR="00DA21C6" w:rsidRPr="00376E45">
        <w:rPr>
          <w:lang w:val="en-GB"/>
        </w:rPr>
        <w:t>Chris</w:t>
      </w:r>
      <w:r w:rsidR="00C764C4" w:rsidRPr="00376E45">
        <w:rPr>
          <w:lang w:val="en-GB"/>
        </w:rPr>
        <w:t>topher</w:t>
      </w:r>
      <w:r w:rsidR="00DA21C6" w:rsidRPr="00376E45">
        <w:rPr>
          <w:lang w:val="en-GB"/>
        </w:rPr>
        <w:t> Mojcik</w:t>
      </w:r>
      <w:r w:rsidR="00BA711D" w:rsidRPr="00376E45">
        <w:rPr>
          <w:lang w:val="en-GB"/>
        </w:rPr>
        <w:t xml:space="preserve"> </w:t>
      </w:r>
      <w:r w:rsidR="00653011" w:rsidRPr="00376E45">
        <w:rPr>
          <w:lang w:val="en-GB"/>
        </w:rPr>
        <w:t>MD</w:t>
      </w:r>
      <w:r w:rsidR="00BA711D" w:rsidRPr="00376E45">
        <w:rPr>
          <w:lang w:val="en-GB"/>
        </w:rPr>
        <w:t>,</w:t>
      </w:r>
      <w:r w:rsidR="00392E2E" w:rsidRPr="00376E45">
        <w:rPr>
          <w:vertAlign w:val="superscript"/>
          <w:lang w:val="en-GB"/>
        </w:rPr>
        <w:t>9</w:t>
      </w:r>
      <w:r w:rsidR="00DA21C6" w:rsidRPr="00376E45">
        <w:rPr>
          <w:lang w:val="en-GB"/>
        </w:rPr>
        <w:t xml:space="preserve"> </w:t>
      </w:r>
      <w:r w:rsidR="00BB1148" w:rsidRPr="00376E45">
        <w:rPr>
          <w:lang w:val="en-GB"/>
        </w:rPr>
        <w:t>Sriram Krishnaswami</w:t>
      </w:r>
      <w:r w:rsidR="00BA711D" w:rsidRPr="00376E45">
        <w:rPr>
          <w:lang w:val="en-GB"/>
        </w:rPr>
        <w:t xml:space="preserve"> </w:t>
      </w:r>
      <w:r w:rsidR="00555795" w:rsidRPr="00376E45">
        <w:rPr>
          <w:lang w:val="en-GB"/>
        </w:rPr>
        <w:t>PhD</w:t>
      </w:r>
      <w:r w:rsidR="00BB1148" w:rsidRPr="00376E45">
        <w:rPr>
          <w:lang w:val="en-GB"/>
        </w:rPr>
        <w:t>,</w:t>
      </w:r>
      <w:r w:rsidR="00DA21C6" w:rsidRPr="00376E45">
        <w:rPr>
          <w:vertAlign w:val="superscript"/>
          <w:lang w:val="en-GB"/>
        </w:rPr>
        <w:t>8</w:t>
      </w:r>
      <w:r w:rsidR="00BB1148" w:rsidRPr="00376E45">
        <w:rPr>
          <w:lang w:val="en-GB"/>
        </w:rPr>
        <w:t xml:space="preserve"> Sujatha Menon</w:t>
      </w:r>
      <w:r w:rsidR="00BA711D" w:rsidRPr="00376E45">
        <w:rPr>
          <w:lang w:val="en-GB"/>
        </w:rPr>
        <w:t xml:space="preserve"> PhD</w:t>
      </w:r>
      <w:r w:rsidR="00BB1148" w:rsidRPr="00376E45">
        <w:rPr>
          <w:lang w:val="en-GB"/>
        </w:rPr>
        <w:t>,</w:t>
      </w:r>
      <w:r w:rsidR="00DA21C6" w:rsidRPr="00376E45">
        <w:rPr>
          <w:vertAlign w:val="superscript"/>
          <w:lang w:val="en-GB"/>
        </w:rPr>
        <w:t>8</w:t>
      </w:r>
      <w:r w:rsidR="003C6D8F" w:rsidRPr="00376E45">
        <w:rPr>
          <w:lang w:val="en-GB"/>
        </w:rPr>
        <w:t xml:space="preserve"> </w:t>
      </w:r>
      <w:r w:rsidR="00C943AC" w:rsidRPr="00376E45">
        <w:rPr>
          <w:lang w:val="en-GB"/>
        </w:rPr>
        <w:t xml:space="preserve">Josef </w:t>
      </w:r>
      <w:r w:rsidR="00A33FAF" w:rsidRPr="00376E45">
        <w:rPr>
          <w:lang w:val="en-GB"/>
        </w:rPr>
        <w:t xml:space="preserve">S. </w:t>
      </w:r>
      <w:r w:rsidR="00C943AC" w:rsidRPr="00376E45">
        <w:rPr>
          <w:lang w:val="en-GB"/>
        </w:rPr>
        <w:t>Smolen</w:t>
      </w:r>
      <w:r w:rsidR="00BA711D" w:rsidRPr="00376E45">
        <w:rPr>
          <w:lang w:val="en-GB"/>
        </w:rPr>
        <w:t xml:space="preserve"> </w:t>
      </w:r>
      <w:r w:rsidR="00C36DB4" w:rsidRPr="00376E45">
        <w:rPr>
          <w:lang w:val="en-GB"/>
        </w:rPr>
        <w:t>MD</w:t>
      </w:r>
      <w:r w:rsidR="00C943AC" w:rsidRPr="00376E45">
        <w:rPr>
          <w:vertAlign w:val="superscript"/>
          <w:lang w:val="en-GB"/>
        </w:rPr>
        <w:t>10</w:t>
      </w:r>
      <w:r w:rsidR="00FF549A" w:rsidRPr="00376E45">
        <w:rPr>
          <w:vertAlign w:val="superscript"/>
          <w:lang w:val="en-GB"/>
        </w:rPr>
        <w:t xml:space="preserve"> </w:t>
      </w:r>
      <w:r w:rsidR="00C46165" w:rsidRPr="00376E45">
        <w:rPr>
          <w:lang w:val="en-GB"/>
        </w:rPr>
        <w:t>on behalf of the ORAL Strategy investigators</w:t>
      </w:r>
    </w:p>
    <w:p w14:paraId="3125C9DD" w14:textId="289B0D5A" w:rsidR="00793E27" w:rsidRPr="00376E45" w:rsidRDefault="00793E27" w:rsidP="00793E27">
      <w:pPr>
        <w:rPr>
          <w:lang w:val="en-GB"/>
        </w:rPr>
      </w:pPr>
      <w:r w:rsidRPr="00376E45">
        <w:rPr>
          <w:vertAlign w:val="superscript"/>
          <w:lang w:val="en-GB"/>
        </w:rPr>
        <w:t>1</w:t>
      </w:r>
      <w:r w:rsidRPr="00376E45">
        <w:rPr>
          <w:lang w:val="en-GB"/>
        </w:rPr>
        <w:t xml:space="preserve"> </w:t>
      </w:r>
      <w:r w:rsidR="003F5FE4" w:rsidRPr="00376E45">
        <w:rPr>
          <w:lang w:val="en-GB"/>
        </w:rPr>
        <w:t xml:space="preserve">University of Texas </w:t>
      </w:r>
      <w:proofErr w:type="spellStart"/>
      <w:r w:rsidR="003F5FE4" w:rsidRPr="00376E45">
        <w:rPr>
          <w:lang w:val="en-GB"/>
        </w:rPr>
        <w:t>Southwestern</w:t>
      </w:r>
      <w:proofErr w:type="spellEnd"/>
      <w:r w:rsidR="003F5FE4" w:rsidRPr="00376E45">
        <w:rPr>
          <w:lang w:val="en-GB"/>
        </w:rPr>
        <w:t xml:space="preserve"> Medical </w:t>
      </w:r>
      <w:proofErr w:type="spellStart"/>
      <w:r w:rsidR="003F5FE4" w:rsidRPr="00376E45">
        <w:rPr>
          <w:lang w:val="en-GB"/>
        </w:rPr>
        <w:t>Center</w:t>
      </w:r>
      <w:proofErr w:type="spellEnd"/>
      <w:r w:rsidR="003F5FE4" w:rsidRPr="00376E45">
        <w:rPr>
          <w:lang w:val="en-GB"/>
        </w:rPr>
        <w:t xml:space="preserve"> and </w:t>
      </w:r>
      <w:proofErr w:type="spellStart"/>
      <w:r w:rsidR="003F5FE4" w:rsidRPr="00376E45">
        <w:rPr>
          <w:lang w:val="en-GB"/>
        </w:rPr>
        <w:t>Metroplex</w:t>
      </w:r>
      <w:proofErr w:type="spellEnd"/>
      <w:r w:rsidR="003F5FE4" w:rsidRPr="00376E45">
        <w:rPr>
          <w:lang w:val="en-GB"/>
        </w:rPr>
        <w:t xml:space="preserve"> </w:t>
      </w:r>
      <w:r w:rsidRPr="00376E45">
        <w:rPr>
          <w:lang w:val="en-GB"/>
        </w:rPr>
        <w:t>Clinical R</w:t>
      </w:r>
      <w:r w:rsidR="002E3950" w:rsidRPr="00376E45">
        <w:rPr>
          <w:lang w:val="en-GB"/>
        </w:rPr>
        <w:t xml:space="preserve">esearch </w:t>
      </w:r>
      <w:proofErr w:type="spellStart"/>
      <w:r w:rsidR="003F5FE4" w:rsidRPr="00376E45">
        <w:rPr>
          <w:lang w:val="en-GB"/>
        </w:rPr>
        <w:t>Center</w:t>
      </w:r>
      <w:proofErr w:type="spellEnd"/>
      <w:r w:rsidR="003F5FE4" w:rsidRPr="00376E45">
        <w:rPr>
          <w:lang w:val="en-GB"/>
        </w:rPr>
        <w:t xml:space="preserve">, </w:t>
      </w:r>
      <w:r w:rsidR="002E3950" w:rsidRPr="00376E45">
        <w:rPr>
          <w:lang w:val="en-GB"/>
        </w:rPr>
        <w:t>Dallas, TX, USA</w:t>
      </w:r>
    </w:p>
    <w:p w14:paraId="11BDE9CC" w14:textId="77777777" w:rsidR="00101C81" w:rsidRPr="00276124" w:rsidRDefault="00101C81" w:rsidP="00101C81">
      <w:pPr>
        <w:rPr>
          <w:lang w:val="es-ES"/>
        </w:rPr>
      </w:pPr>
      <w:r w:rsidRPr="00276124">
        <w:rPr>
          <w:vertAlign w:val="superscript"/>
          <w:lang w:val="es-ES"/>
        </w:rPr>
        <w:t>2</w:t>
      </w:r>
      <w:r w:rsidRPr="00276124">
        <w:rPr>
          <w:lang w:val="es-ES"/>
        </w:rPr>
        <w:t>Organización Médica de Investigación, Buenos Aires, Argentina</w:t>
      </w:r>
    </w:p>
    <w:p w14:paraId="3DBEE7AA" w14:textId="77777777" w:rsidR="00553B62" w:rsidRPr="00376E45" w:rsidRDefault="00101C81" w:rsidP="00793E27">
      <w:pPr>
        <w:rPr>
          <w:lang w:val="en-GB"/>
        </w:rPr>
      </w:pPr>
      <w:r w:rsidRPr="00376E45">
        <w:rPr>
          <w:vertAlign w:val="superscript"/>
          <w:lang w:val="en-GB"/>
        </w:rPr>
        <w:t>3</w:t>
      </w:r>
      <w:r w:rsidR="00553B62" w:rsidRPr="00376E45">
        <w:rPr>
          <w:lang w:val="en-GB"/>
        </w:rPr>
        <w:t xml:space="preserve">Department of Medicine, </w:t>
      </w:r>
      <w:proofErr w:type="spellStart"/>
      <w:r w:rsidR="00553B62" w:rsidRPr="00376E45">
        <w:rPr>
          <w:lang w:val="en-GB"/>
        </w:rPr>
        <w:t>Monash</w:t>
      </w:r>
      <w:proofErr w:type="spellEnd"/>
      <w:r w:rsidR="00553B62" w:rsidRPr="00376E45">
        <w:rPr>
          <w:lang w:val="en-GB"/>
        </w:rPr>
        <w:t xml:space="preserve"> University, Cabrini Health, Malvern, Australia</w:t>
      </w:r>
    </w:p>
    <w:p w14:paraId="5FCA3335" w14:textId="77777777" w:rsidR="00126EA6" w:rsidRPr="00376E45" w:rsidRDefault="00101C81" w:rsidP="00126EA6">
      <w:pPr>
        <w:rPr>
          <w:i/>
          <w:lang w:val="en-GB"/>
        </w:rPr>
      </w:pPr>
      <w:r w:rsidRPr="00376E45">
        <w:rPr>
          <w:rStyle w:val="highlight2"/>
          <w:vertAlign w:val="superscript"/>
          <w:lang w:val="en-GB"/>
        </w:rPr>
        <w:t>4</w:t>
      </w:r>
      <w:r w:rsidR="00126EA6" w:rsidRPr="00376E45">
        <w:rPr>
          <w:rStyle w:val="highlight2"/>
          <w:lang w:val="en-GB"/>
        </w:rPr>
        <w:t>Altoona</w:t>
      </w:r>
      <w:r w:rsidR="00126EA6" w:rsidRPr="00376E45">
        <w:rPr>
          <w:lang w:val="en-GB"/>
        </w:rPr>
        <w:t xml:space="preserve"> </w:t>
      </w:r>
      <w:proofErr w:type="spellStart"/>
      <w:r w:rsidR="00126EA6" w:rsidRPr="00376E45">
        <w:rPr>
          <w:lang w:val="en-GB"/>
        </w:rPr>
        <w:t>Center</w:t>
      </w:r>
      <w:proofErr w:type="spellEnd"/>
      <w:r w:rsidR="00126EA6" w:rsidRPr="00376E45">
        <w:rPr>
          <w:lang w:val="en-GB"/>
        </w:rPr>
        <w:t xml:space="preserve"> for Clinical Research, Duncansville, PA, USA</w:t>
      </w:r>
    </w:p>
    <w:p w14:paraId="6B1B58E9" w14:textId="77777777" w:rsidR="00553B62" w:rsidRPr="00376E45" w:rsidRDefault="00101C81" w:rsidP="00793E27">
      <w:pPr>
        <w:rPr>
          <w:lang w:val="en-GB"/>
        </w:rPr>
      </w:pPr>
      <w:r w:rsidRPr="00376E45">
        <w:rPr>
          <w:vertAlign w:val="superscript"/>
          <w:lang w:val="en-GB"/>
        </w:rPr>
        <w:t>5</w:t>
      </w:r>
      <w:r w:rsidR="00553B62" w:rsidRPr="00376E45">
        <w:rPr>
          <w:lang w:val="en-GB"/>
        </w:rPr>
        <w:t>Institute of Ageing and Chronic Disease, University of Liverpool, Liverpool, UK</w:t>
      </w:r>
    </w:p>
    <w:p w14:paraId="132EC8A0" w14:textId="77777777" w:rsidR="00C943AC" w:rsidRPr="00376E45" w:rsidRDefault="00C943AC" w:rsidP="00C943AC">
      <w:pPr>
        <w:rPr>
          <w:rFonts w:eastAsia="Calibri"/>
          <w:lang w:val="en-GB"/>
        </w:rPr>
      </w:pPr>
      <w:r w:rsidRPr="00376E45">
        <w:rPr>
          <w:rFonts w:eastAsia="Calibri"/>
          <w:vertAlign w:val="superscript"/>
          <w:lang w:val="en-GB"/>
        </w:rPr>
        <w:t>6</w:t>
      </w:r>
      <w:r w:rsidRPr="00376E45">
        <w:rPr>
          <w:rFonts w:eastAsia="Calibri"/>
          <w:lang w:val="en-GB"/>
        </w:rPr>
        <w:t xml:space="preserve">Pfizer </w:t>
      </w:r>
      <w:proofErr w:type="spellStart"/>
      <w:r w:rsidRPr="00376E45">
        <w:rPr>
          <w:rFonts w:eastAsia="Calibri"/>
          <w:lang w:val="en-GB"/>
        </w:rPr>
        <w:t>Inc</w:t>
      </w:r>
      <w:proofErr w:type="spellEnd"/>
      <w:r w:rsidRPr="00376E45">
        <w:rPr>
          <w:rFonts w:eastAsia="Calibri"/>
          <w:lang w:val="en-GB"/>
        </w:rPr>
        <w:t>, Shanghai, China</w:t>
      </w:r>
    </w:p>
    <w:p w14:paraId="04D35DD9" w14:textId="77777777" w:rsidR="00392E2E" w:rsidRPr="00376E45" w:rsidRDefault="00392E2E" w:rsidP="00392E2E">
      <w:pPr>
        <w:rPr>
          <w:vertAlign w:val="superscript"/>
          <w:lang w:val="en-GB"/>
        </w:rPr>
      </w:pPr>
      <w:r w:rsidRPr="00376E45">
        <w:rPr>
          <w:vertAlign w:val="superscript"/>
          <w:lang w:val="en-GB"/>
        </w:rPr>
        <w:t>7</w:t>
      </w:r>
      <w:r w:rsidRPr="00376E45">
        <w:rPr>
          <w:rFonts w:eastAsia="Calibri"/>
          <w:lang w:val="en-GB"/>
        </w:rPr>
        <w:t xml:space="preserve">Pfizer </w:t>
      </w:r>
      <w:proofErr w:type="spellStart"/>
      <w:r w:rsidRPr="00376E45">
        <w:rPr>
          <w:rFonts w:eastAsia="Calibri"/>
          <w:lang w:val="en-GB"/>
        </w:rPr>
        <w:t>Inc</w:t>
      </w:r>
      <w:proofErr w:type="spellEnd"/>
      <w:r w:rsidRPr="00376E45">
        <w:rPr>
          <w:rFonts w:eastAsia="Calibri"/>
          <w:lang w:val="en-GB"/>
        </w:rPr>
        <w:t>, Collegeville, PA, USA</w:t>
      </w:r>
    </w:p>
    <w:p w14:paraId="3BC3F864" w14:textId="77777777" w:rsidR="00392E2E" w:rsidRPr="00376E45" w:rsidRDefault="00392E2E" w:rsidP="00392E2E">
      <w:pPr>
        <w:rPr>
          <w:rFonts w:eastAsia="Calibri"/>
          <w:lang w:val="en-GB"/>
        </w:rPr>
      </w:pPr>
      <w:r w:rsidRPr="00376E45">
        <w:rPr>
          <w:vertAlign w:val="superscript"/>
          <w:lang w:val="en-GB"/>
        </w:rPr>
        <w:t>8</w:t>
      </w:r>
      <w:r w:rsidRPr="00376E45">
        <w:rPr>
          <w:lang w:val="en-GB"/>
        </w:rPr>
        <w:t xml:space="preserve">Pfizer </w:t>
      </w:r>
      <w:proofErr w:type="spellStart"/>
      <w:r w:rsidRPr="00376E45">
        <w:rPr>
          <w:lang w:val="en-GB"/>
        </w:rPr>
        <w:t>Inc</w:t>
      </w:r>
      <w:proofErr w:type="spellEnd"/>
      <w:r w:rsidRPr="00376E45">
        <w:rPr>
          <w:lang w:val="en-GB"/>
        </w:rPr>
        <w:t>, Groton, CT, USA</w:t>
      </w:r>
      <w:r w:rsidRPr="00376E45">
        <w:rPr>
          <w:rFonts w:eastAsia="Calibri"/>
          <w:lang w:val="en-GB"/>
        </w:rPr>
        <w:t xml:space="preserve"> </w:t>
      </w:r>
    </w:p>
    <w:p w14:paraId="681CF4C2" w14:textId="77777777" w:rsidR="00B60202" w:rsidRPr="00376E45" w:rsidRDefault="00392E2E" w:rsidP="00B60202">
      <w:pPr>
        <w:rPr>
          <w:vertAlign w:val="superscript"/>
          <w:lang w:val="en-GB"/>
        </w:rPr>
      </w:pPr>
      <w:r w:rsidRPr="00376E45">
        <w:rPr>
          <w:vertAlign w:val="superscript"/>
          <w:lang w:val="en-GB"/>
        </w:rPr>
        <w:t>9</w:t>
      </w:r>
      <w:r w:rsidR="00B60202" w:rsidRPr="00376E45">
        <w:rPr>
          <w:lang w:val="en-GB"/>
        </w:rPr>
        <w:t xml:space="preserve">Pfizer </w:t>
      </w:r>
      <w:proofErr w:type="spellStart"/>
      <w:r w:rsidR="00B60202" w:rsidRPr="00376E45">
        <w:rPr>
          <w:lang w:val="en-GB"/>
        </w:rPr>
        <w:t>Inc</w:t>
      </w:r>
      <w:proofErr w:type="spellEnd"/>
      <w:r w:rsidR="00B60202" w:rsidRPr="00376E45">
        <w:rPr>
          <w:lang w:val="en-GB"/>
        </w:rPr>
        <w:t>, New York, NY, USA</w:t>
      </w:r>
    </w:p>
    <w:p w14:paraId="39E6ADEA" w14:textId="5F5C0F15" w:rsidR="00C943AC" w:rsidRPr="00376E45" w:rsidRDefault="00C943AC" w:rsidP="00C943AC">
      <w:pPr>
        <w:rPr>
          <w:lang w:val="en-GB"/>
        </w:rPr>
      </w:pPr>
      <w:r w:rsidRPr="00376E45">
        <w:rPr>
          <w:vertAlign w:val="superscript"/>
          <w:lang w:val="en-GB"/>
        </w:rPr>
        <w:lastRenderedPageBreak/>
        <w:t>10</w:t>
      </w:r>
      <w:r w:rsidR="00BA2FCC" w:rsidRPr="00376E45">
        <w:rPr>
          <w:vertAlign w:val="superscript"/>
          <w:lang w:val="en-GB"/>
        </w:rPr>
        <w:t xml:space="preserve"> </w:t>
      </w:r>
      <w:r w:rsidR="00BA2FCC" w:rsidRPr="00376E45">
        <w:rPr>
          <w:lang w:val="en-GB"/>
        </w:rPr>
        <w:t>Division of Rheumatology, Department of Medicine 3, M</w:t>
      </w:r>
      <w:r w:rsidRPr="00376E45">
        <w:rPr>
          <w:lang w:val="en-GB"/>
        </w:rPr>
        <w:t>edical University of Vienna, Vienna, Austria</w:t>
      </w:r>
    </w:p>
    <w:p w14:paraId="61AAB203" w14:textId="77777777" w:rsidR="00793E27" w:rsidRPr="00376E45" w:rsidRDefault="00793E27" w:rsidP="00065273">
      <w:pPr>
        <w:rPr>
          <w:rFonts w:eastAsia="Calibri"/>
          <w:lang w:val="en-GB"/>
        </w:rPr>
      </w:pPr>
    </w:p>
    <w:p w14:paraId="6C7C0C48" w14:textId="6F44CD47" w:rsidR="00205ABD" w:rsidRPr="00376E45" w:rsidRDefault="009B3076" w:rsidP="00065273">
      <w:pPr>
        <w:rPr>
          <w:lang w:val="en-GB"/>
        </w:rPr>
      </w:pPr>
      <w:r w:rsidRPr="00376E45">
        <w:rPr>
          <w:b/>
          <w:lang w:val="en-GB"/>
        </w:rPr>
        <w:t>Corresponding author</w:t>
      </w:r>
      <w:r w:rsidRPr="00376E45">
        <w:rPr>
          <w:lang w:val="en-GB"/>
        </w:rPr>
        <w:t>:</w:t>
      </w:r>
      <w:r w:rsidR="00FF549A" w:rsidRPr="00376E45">
        <w:rPr>
          <w:lang w:val="en-GB"/>
        </w:rPr>
        <w:t xml:space="preserve"> </w:t>
      </w:r>
      <w:r w:rsidR="00786387" w:rsidRPr="00376E45">
        <w:rPr>
          <w:lang w:val="en-GB"/>
        </w:rPr>
        <w:t xml:space="preserve">Professor </w:t>
      </w:r>
      <w:r w:rsidR="009F5B9A" w:rsidRPr="00376E45">
        <w:rPr>
          <w:lang w:val="en-GB"/>
        </w:rPr>
        <w:t>Roy Fleischmann, MD</w:t>
      </w:r>
      <w:r w:rsidR="00326701" w:rsidRPr="00376E45">
        <w:rPr>
          <w:lang w:val="en-GB"/>
        </w:rPr>
        <w:t xml:space="preserve"> </w:t>
      </w:r>
    </w:p>
    <w:p w14:paraId="6DF01546" w14:textId="77777777" w:rsidR="00753925" w:rsidRPr="00376E45" w:rsidRDefault="00E94959" w:rsidP="00065273">
      <w:pPr>
        <w:rPr>
          <w:lang w:val="en-GB"/>
        </w:rPr>
      </w:pPr>
      <w:r w:rsidRPr="00376E45">
        <w:rPr>
          <w:b/>
          <w:lang w:val="en-GB"/>
        </w:rPr>
        <w:t>Address</w:t>
      </w:r>
      <w:r w:rsidRPr="00376E45">
        <w:rPr>
          <w:lang w:val="en-GB"/>
        </w:rPr>
        <w:t xml:space="preserve">: </w:t>
      </w:r>
      <w:r w:rsidR="009F5B9A" w:rsidRPr="00376E45">
        <w:rPr>
          <w:lang w:val="en-GB"/>
        </w:rPr>
        <w:t>8144 Walnut Hill Lane, Suit</w:t>
      </w:r>
      <w:r w:rsidR="00753925" w:rsidRPr="00376E45">
        <w:rPr>
          <w:lang w:val="en-GB"/>
        </w:rPr>
        <w:t>e 810, Dallas, Texas 75231 USA</w:t>
      </w:r>
    </w:p>
    <w:p w14:paraId="2E6D06A8" w14:textId="22B5E4BF" w:rsidR="002E3950" w:rsidRPr="00376E45" w:rsidRDefault="002E3950" w:rsidP="00065273">
      <w:pPr>
        <w:rPr>
          <w:b/>
          <w:lang w:val="en-GB"/>
        </w:rPr>
      </w:pPr>
      <w:r w:rsidRPr="00376E45">
        <w:rPr>
          <w:b/>
          <w:lang w:val="en-GB"/>
        </w:rPr>
        <w:t xml:space="preserve">Telephone: </w:t>
      </w:r>
      <w:r w:rsidR="0042366B" w:rsidRPr="00376E45">
        <w:rPr>
          <w:i/>
          <w:lang w:val="en-GB"/>
        </w:rPr>
        <w:t>+1</w:t>
      </w:r>
      <w:r w:rsidR="00326701" w:rsidRPr="00376E45">
        <w:rPr>
          <w:i/>
          <w:lang w:val="en-GB"/>
        </w:rPr>
        <w:t xml:space="preserve"> </w:t>
      </w:r>
      <w:r w:rsidR="009F5B9A" w:rsidRPr="00376E45">
        <w:rPr>
          <w:i/>
          <w:lang w:val="en-GB"/>
        </w:rPr>
        <w:t>214-540-0645</w:t>
      </w:r>
    </w:p>
    <w:p w14:paraId="27A527FC" w14:textId="77777777" w:rsidR="00E32885" w:rsidRPr="00376E45" w:rsidRDefault="00E94959" w:rsidP="00065273">
      <w:pPr>
        <w:rPr>
          <w:lang w:val="en-GB"/>
        </w:rPr>
      </w:pPr>
      <w:r w:rsidRPr="00376E45">
        <w:rPr>
          <w:b/>
          <w:lang w:val="en-GB"/>
        </w:rPr>
        <w:t>E-mail</w:t>
      </w:r>
      <w:r w:rsidRPr="00376E45">
        <w:rPr>
          <w:lang w:val="en-GB"/>
        </w:rPr>
        <w:t xml:space="preserve">: </w:t>
      </w:r>
      <w:r w:rsidR="009F5B9A" w:rsidRPr="00376E45">
        <w:rPr>
          <w:lang w:val="en-GB"/>
        </w:rPr>
        <w:t>rfleischmann@arthdocs.com</w:t>
      </w:r>
    </w:p>
    <w:p w14:paraId="05FBB6EE" w14:textId="77777777" w:rsidR="001F1CBA" w:rsidRPr="00376E45" w:rsidRDefault="0015091B" w:rsidP="00072F03">
      <w:pPr>
        <w:rPr>
          <w:lang w:val="en-GB"/>
        </w:rPr>
      </w:pPr>
      <w:r w:rsidRPr="00376E45">
        <w:rPr>
          <w:b/>
          <w:lang w:val="en-GB"/>
        </w:rPr>
        <w:t xml:space="preserve">Target </w:t>
      </w:r>
      <w:r w:rsidR="002535B4" w:rsidRPr="00376E45">
        <w:rPr>
          <w:b/>
          <w:lang w:val="en-GB"/>
        </w:rPr>
        <w:t>j</w:t>
      </w:r>
      <w:r w:rsidRPr="00376E45">
        <w:rPr>
          <w:b/>
          <w:lang w:val="en-GB"/>
        </w:rPr>
        <w:t>ournal</w:t>
      </w:r>
      <w:r w:rsidRPr="00376E45">
        <w:rPr>
          <w:lang w:val="en-GB"/>
        </w:rPr>
        <w:t xml:space="preserve">: </w:t>
      </w:r>
      <w:r w:rsidR="00532397" w:rsidRPr="00376E45">
        <w:rPr>
          <w:i/>
          <w:lang w:val="en-GB"/>
        </w:rPr>
        <w:t>T</w:t>
      </w:r>
      <w:r w:rsidR="000361E4" w:rsidRPr="00376E45">
        <w:rPr>
          <w:i/>
          <w:lang w:val="en-GB"/>
        </w:rPr>
        <w:t>he Lancet</w:t>
      </w:r>
      <w:r w:rsidR="00DA21C6" w:rsidRPr="00376E45">
        <w:rPr>
          <w:lang w:val="en-GB"/>
        </w:rPr>
        <w:t xml:space="preserve"> </w:t>
      </w:r>
    </w:p>
    <w:p w14:paraId="61BB1A5C" w14:textId="68B27197" w:rsidR="00F61D26" w:rsidRPr="00376E45" w:rsidRDefault="00F253EB" w:rsidP="001F1CBA">
      <w:pPr>
        <w:rPr>
          <w:b/>
          <w:lang w:val="en-GB"/>
        </w:rPr>
      </w:pPr>
      <w:r>
        <w:rPr>
          <w:b/>
          <w:lang w:val="en-GB"/>
        </w:rPr>
        <w:t xml:space="preserve"> </w:t>
      </w:r>
    </w:p>
    <w:p w14:paraId="24A58DC6" w14:textId="17763134" w:rsidR="0042366B" w:rsidRPr="00376E45" w:rsidRDefault="002535B4" w:rsidP="001F1CBA">
      <w:pPr>
        <w:rPr>
          <w:b/>
          <w:i/>
          <w:lang w:val="en-GB"/>
        </w:rPr>
      </w:pPr>
      <w:r w:rsidRPr="00376E45">
        <w:rPr>
          <w:b/>
          <w:lang w:val="en-GB"/>
        </w:rPr>
        <w:t xml:space="preserve">Research in context </w:t>
      </w:r>
    </w:p>
    <w:p w14:paraId="341D809B" w14:textId="77777777" w:rsidR="006C2D29" w:rsidRPr="00376E45" w:rsidRDefault="00621A23" w:rsidP="00621A23">
      <w:pPr>
        <w:rPr>
          <w:lang w:val="en-GB"/>
        </w:rPr>
      </w:pPr>
      <w:r w:rsidRPr="00376E45">
        <w:rPr>
          <w:b/>
          <w:lang w:val="en-GB"/>
        </w:rPr>
        <w:t>Evidence before this study</w:t>
      </w:r>
    </w:p>
    <w:p w14:paraId="6E18F182" w14:textId="580B0BB5" w:rsidR="00621A23" w:rsidRPr="00376E45" w:rsidRDefault="006C2D29" w:rsidP="00621A23">
      <w:pPr>
        <w:rPr>
          <w:lang w:val="en-GB"/>
        </w:rPr>
      </w:pPr>
      <w:r w:rsidRPr="00376E45">
        <w:rPr>
          <w:lang w:val="en-GB"/>
        </w:rPr>
        <w:t>P</w:t>
      </w:r>
      <w:r w:rsidR="00621A23" w:rsidRPr="00376E45">
        <w:rPr>
          <w:lang w:val="en-GB"/>
        </w:rPr>
        <w:t>ubMed MEDLINE was searched up to Feb</w:t>
      </w:r>
      <w:r w:rsidRPr="00376E45">
        <w:rPr>
          <w:lang w:val="en-GB"/>
        </w:rPr>
        <w:t>ruary 2017, to identify randomis</w:t>
      </w:r>
      <w:r w:rsidR="00621A23" w:rsidRPr="00376E45">
        <w:rPr>
          <w:lang w:val="en-GB"/>
        </w:rPr>
        <w:t xml:space="preserve">ed controlled trials </w:t>
      </w:r>
      <w:r w:rsidR="00197F21" w:rsidRPr="00376E45">
        <w:rPr>
          <w:lang w:val="en-GB"/>
        </w:rPr>
        <w:t xml:space="preserve">(RCTs) </w:t>
      </w:r>
      <w:r w:rsidR="00621A23" w:rsidRPr="00376E45">
        <w:rPr>
          <w:lang w:val="en-GB"/>
        </w:rPr>
        <w:t xml:space="preserve">published in the English language assessing </w:t>
      </w:r>
      <w:r w:rsidR="006D2977" w:rsidRPr="00376E45">
        <w:rPr>
          <w:lang w:val="en-GB"/>
        </w:rPr>
        <w:t xml:space="preserve">the efficacy and safety of </w:t>
      </w:r>
      <w:r w:rsidR="00621A23" w:rsidRPr="00376E45">
        <w:rPr>
          <w:lang w:val="en-GB"/>
        </w:rPr>
        <w:t xml:space="preserve">tofacitinib and adalimumab </w:t>
      </w:r>
      <w:r w:rsidR="00E40779" w:rsidRPr="00376E45">
        <w:rPr>
          <w:lang w:val="en-GB"/>
        </w:rPr>
        <w:t xml:space="preserve">specifically </w:t>
      </w:r>
      <w:r w:rsidR="00621A23" w:rsidRPr="00376E45">
        <w:rPr>
          <w:lang w:val="en-GB"/>
        </w:rPr>
        <w:t>in patients with rheumatoid arthritis</w:t>
      </w:r>
      <w:r w:rsidR="006D2977" w:rsidRPr="00376E45">
        <w:rPr>
          <w:lang w:val="en-GB"/>
        </w:rPr>
        <w:t xml:space="preserve"> </w:t>
      </w:r>
      <w:r w:rsidR="00197F21" w:rsidRPr="00376E45">
        <w:rPr>
          <w:lang w:val="en-GB"/>
        </w:rPr>
        <w:t xml:space="preserve">(RA) </w:t>
      </w:r>
      <w:r w:rsidR="006D2977" w:rsidRPr="00376E45">
        <w:rPr>
          <w:lang w:val="en-GB"/>
        </w:rPr>
        <w:t xml:space="preserve">in the same </w:t>
      </w:r>
      <w:r w:rsidR="00E40779" w:rsidRPr="00376E45">
        <w:rPr>
          <w:lang w:val="en-GB"/>
        </w:rPr>
        <w:t>clinical t</w:t>
      </w:r>
      <w:r w:rsidR="006D2977" w:rsidRPr="00376E45">
        <w:rPr>
          <w:lang w:val="en-GB"/>
        </w:rPr>
        <w:t>rial</w:t>
      </w:r>
      <w:r w:rsidR="00785909" w:rsidRPr="00376E45">
        <w:rPr>
          <w:lang w:val="en-GB"/>
        </w:rPr>
        <w:t xml:space="preserve"> who had an incomplete response to conventional synthetic disease modifying antirheumatic drugs (csDMARDs), either as monotherapy or in combination</w:t>
      </w:r>
      <w:r w:rsidR="00621A23" w:rsidRPr="00376E45">
        <w:rPr>
          <w:lang w:val="en-GB"/>
        </w:rPr>
        <w:t>. Two comparat</w:t>
      </w:r>
      <w:r w:rsidR="00E40779" w:rsidRPr="00376E45">
        <w:rPr>
          <w:lang w:val="en-GB"/>
        </w:rPr>
        <w:t>or</w:t>
      </w:r>
      <w:r w:rsidR="0098004A" w:rsidRPr="00376E45">
        <w:rPr>
          <w:lang w:val="en-GB"/>
        </w:rPr>
        <w:t>,</w:t>
      </w:r>
      <w:r w:rsidR="00197F21" w:rsidRPr="00376E45">
        <w:rPr>
          <w:lang w:val="en-GB"/>
        </w:rPr>
        <w:t xml:space="preserve"> but not</w:t>
      </w:r>
      <w:r w:rsidR="00E40779" w:rsidRPr="00376E45">
        <w:rPr>
          <w:lang w:val="en-GB"/>
        </w:rPr>
        <w:t xml:space="preserve"> head-to-head</w:t>
      </w:r>
      <w:r w:rsidR="00197F21" w:rsidRPr="00376E45">
        <w:rPr>
          <w:lang w:val="en-GB"/>
        </w:rPr>
        <w:t>,</w:t>
      </w:r>
      <w:r w:rsidR="00DA4481" w:rsidRPr="00376E45">
        <w:rPr>
          <w:lang w:val="en-GB"/>
        </w:rPr>
        <w:t xml:space="preserve"> </w:t>
      </w:r>
      <w:r w:rsidR="00621A23" w:rsidRPr="00376E45">
        <w:rPr>
          <w:lang w:val="en-GB"/>
        </w:rPr>
        <w:t xml:space="preserve">trials were found </w:t>
      </w:r>
      <w:r w:rsidR="00E40779" w:rsidRPr="00376E45">
        <w:rPr>
          <w:lang w:val="en-GB"/>
        </w:rPr>
        <w:t>which are discussed</w:t>
      </w:r>
      <w:r w:rsidR="00621A23" w:rsidRPr="00376E45">
        <w:rPr>
          <w:lang w:val="en-GB"/>
        </w:rPr>
        <w:t xml:space="preserve"> in the Introduction. We also searched for </w:t>
      </w:r>
      <w:r w:rsidR="00E40779" w:rsidRPr="00376E45">
        <w:rPr>
          <w:lang w:val="en-GB"/>
        </w:rPr>
        <w:t xml:space="preserve">head-to-head comparator clinical </w:t>
      </w:r>
      <w:r w:rsidR="00621A23" w:rsidRPr="00376E45">
        <w:rPr>
          <w:lang w:val="en-GB"/>
        </w:rPr>
        <w:t xml:space="preserve">trials assessing </w:t>
      </w:r>
      <w:r w:rsidR="006D2977" w:rsidRPr="00376E45">
        <w:rPr>
          <w:lang w:val="en-GB"/>
        </w:rPr>
        <w:t xml:space="preserve">the efficacy and safety of </w:t>
      </w:r>
      <w:r w:rsidR="00E40779" w:rsidRPr="00376E45">
        <w:rPr>
          <w:lang w:val="en-GB"/>
        </w:rPr>
        <w:t xml:space="preserve">a </w:t>
      </w:r>
      <w:r w:rsidR="00197F21" w:rsidRPr="00376E45">
        <w:rPr>
          <w:lang w:val="en-GB"/>
        </w:rPr>
        <w:t xml:space="preserve">Janus kinase (JAK) </w:t>
      </w:r>
      <w:r w:rsidR="00621A23" w:rsidRPr="00376E45">
        <w:rPr>
          <w:lang w:val="en-GB"/>
        </w:rPr>
        <w:t xml:space="preserve">inhibitor and </w:t>
      </w:r>
      <w:r w:rsidR="00E40779" w:rsidRPr="00376E45">
        <w:rPr>
          <w:lang w:val="en-GB"/>
        </w:rPr>
        <w:t xml:space="preserve">a </w:t>
      </w:r>
      <w:r w:rsidR="00197F21" w:rsidRPr="00376E45">
        <w:rPr>
          <w:lang w:val="en-GB"/>
        </w:rPr>
        <w:t>tumour necrosis factor inhibitor (</w:t>
      </w:r>
      <w:r w:rsidR="00621A23" w:rsidRPr="00376E45">
        <w:rPr>
          <w:lang w:val="en-GB"/>
        </w:rPr>
        <w:t>TNFi</w:t>
      </w:r>
      <w:r w:rsidR="00197F21" w:rsidRPr="00376E45">
        <w:rPr>
          <w:lang w:val="en-GB"/>
        </w:rPr>
        <w:t>)</w:t>
      </w:r>
      <w:r w:rsidR="00621A23" w:rsidRPr="00376E45">
        <w:rPr>
          <w:lang w:val="en-GB"/>
        </w:rPr>
        <w:t xml:space="preserve"> therap</w:t>
      </w:r>
      <w:r w:rsidR="00E40779" w:rsidRPr="00376E45">
        <w:rPr>
          <w:lang w:val="en-GB"/>
        </w:rPr>
        <w:t>y</w:t>
      </w:r>
      <w:r w:rsidR="00621A23" w:rsidRPr="00376E45">
        <w:rPr>
          <w:lang w:val="en-GB"/>
        </w:rPr>
        <w:t>; the RA-BEAM trial suggested a</w:t>
      </w:r>
      <w:r w:rsidR="006D2977" w:rsidRPr="00376E45">
        <w:rPr>
          <w:lang w:val="en-GB"/>
        </w:rPr>
        <w:t xml:space="preserve"> statistical </w:t>
      </w:r>
      <w:r w:rsidR="00621A23" w:rsidRPr="00376E45">
        <w:rPr>
          <w:lang w:val="en-GB"/>
        </w:rPr>
        <w:t>advanta</w:t>
      </w:r>
      <w:r w:rsidR="00497C5B" w:rsidRPr="00376E45">
        <w:rPr>
          <w:lang w:val="en-GB"/>
        </w:rPr>
        <w:t xml:space="preserve">ge of JAK </w:t>
      </w:r>
      <w:r w:rsidR="00621A23" w:rsidRPr="00376E45">
        <w:rPr>
          <w:lang w:val="en-GB"/>
        </w:rPr>
        <w:t>inhibition</w:t>
      </w:r>
      <w:r w:rsidR="00AA56BD" w:rsidRPr="00376E45">
        <w:rPr>
          <w:lang w:val="en-GB"/>
        </w:rPr>
        <w:t xml:space="preserve"> </w:t>
      </w:r>
      <w:r w:rsidR="002D1BC4" w:rsidRPr="00376E45">
        <w:rPr>
          <w:lang w:val="en-GB"/>
        </w:rPr>
        <w:t>in combination with methotrexate (MTX)</w:t>
      </w:r>
      <w:r w:rsidR="00621A23" w:rsidRPr="00376E45">
        <w:rPr>
          <w:lang w:val="en-GB"/>
        </w:rPr>
        <w:t xml:space="preserve"> over TNF inhibition </w:t>
      </w:r>
      <w:r w:rsidR="002D1BC4" w:rsidRPr="00376E45">
        <w:rPr>
          <w:lang w:val="en-GB"/>
        </w:rPr>
        <w:t>in combination with MTX</w:t>
      </w:r>
      <w:r w:rsidR="00AA56BD" w:rsidRPr="00376E45">
        <w:rPr>
          <w:lang w:val="en-GB"/>
        </w:rPr>
        <w:t xml:space="preserve"> </w:t>
      </w:r>
      <w:r w:rsidR="006D2977" w:rsidRPr="00376E45">
        <w:rPr>
          <w:lang w:val="en-GB"/>
        </w:rPr>
        <w:t xml:space="preserve">in </w:t>
      </w:r>
      <w:r w:rsidR="00621A23" w:rsidRPr="00376E45">
        <w:rPr>
          <w:lang w:val="en-GB"/>
        </w:rPr>
        <w:t xml:space="preserve">the treatment of </w:t>
      </w:r>
      <w:r w:rsidR="00185751" w:rsidRPr="00376E45">
        <w:rPr>
          <w:lang w:val="en-GB"/>
        </w:rPr>
        <w:t>RA</w:t>
      </w:r>
      <w:r w:rsidR="00621A23" w:rsidRPr="00376E45">
        <w:rPr>
          <w:lang w:val="en-GB"/>
        </w:rPr>
        <w:t xml:space="preserve"> and is </w:t>
      </w:r>
      <w:r w:rsidR="00E40779" w:rsidRPr="00376E45">
        <w:rPr>
          <w:lang w:val="en-GB"/>
        </w:rPr>
        <w:t xml:space="preserve">also described </w:t>
      </w:r>
      <w:r w:rsidR="00621A23" w:rsidRPr="00376E45">
        <w:rPr>
          <w:lang w:val="en-GB"/>
        </w:rPr>
        <w:t>in the Introduction</w:t>
      </w:r>
      <w:r w:rsidR="00E40779" w:rsidRPr="00376E45">
        <w:rPr>
          <w:lang w:val="en-GB"/>
        </w:rPr>
        <w:t xml:space="preserve"> and </w:t>
      </w:r>
      <w:r w:rsidR="0085118F" w:rsidRPr="00376E45">
        <w:rPr>
          <w:lang w:val="en-GB"/>
        </w:rPr>
        <w:t>D</w:t>
      </w:r>
      <w:r w:rsidR="00E40779" w:rsidRPr="00376E45">
        <w:rPr>
          <w:lang w:val="en-GB"/>
        </w:rPr>
        <w:t>iscussion</w:t>
      </w:r>
      <w:r w:rsidR="00621A23" w:rsidRPr="00376E45">
        <w:rPr>
          <w:lang w:val="en-GB"/>
        </w:rPr>
        <w:t xml:space="preserve">. </w:t>
      </w:r>
      <w:r w:rsidR="00AA56BD" w:rsidRPr="00376E45">
        <w:rPr>
          <w:lang w:val="en-GB"/>
        </w:rPr>
        <w:t>However, we did not find any comparative RCTs comparing JAK</w:t>
      </w:r>
      <w:r w:rsidR="00DC2A60" w:rsidRPr="00376E45">
        <w:rPr>
          <w:lang w:val="en-GB"/>
        </w:rPr>
        <w:t xml:space="preserve"> inhibitor</w:t>
      </w:r>
      <w:r w:rsidR="00AA56BD" w:rsidRPr="00376E45">
        <w:rPr>
          <w:lang w:val="en-GB"/>
        </w:rPr>
        <w:t xml:space="preserve"> monotherapy versus TNFi in combination with MTX. </w:t>
      </w:r>
      <w:r w:rsidR="006D2977" w:rsidRPr="00376E45">
        <w:rPr>
          <w:lang w:val="en-GB"/>
        </w:rPr>
        <w:t>We</w:t>
      </w:r>
      <w:r w:rsidR="00621A23" w:rsidRPr="00376E45">
        <w:rPr>
          <w:lang w:val="en-GB"/>
        </w:rPr>
        <w:t xml:space="preserve"> </w:t>
      </w:r>
      <w:r w:rsidR="00DC2A60" w:rsidRPr="00376E45">
        <w:rPr>
          <w:lang w:val="en-GB"/>
        </w:rPr>
        <w:t xml:space="preserve">also </w:t>
      </w:r>
      <w:r w:rsidR="00136CB9" w:rsidRPr="00376E45">
        <w:rPr>
          <w:lang w:val="en-GB"/>
        </w:rPr>
        <w:t>found no</w:t>
      </w:r>
      <w:r w:rsidR="00621A23" w:rsidRPr="00376E45">
        <w:rPr>
          <w:lang w:val="en-GB"/>
        </w:rPr>
        <w:t xml:space="preserve"> comparative </w:t>
      </w:r>
      <w:r w:rsidR="00197F21" w:rsidRPr="00376E45">
        <w:rPr>
          <w:lang w:val="en-GB"/>
        </w:rPr>
        <w:t>RCTs</w:t>
      </w:r>
      <w:r w:rsidR="00621A23" w:rsidRPr="00376E45">
        <w:rPr>
          <w:lang w:val="en-GB"/>
        </w:rPr>
        <w:t xml:space="preserve"> assessing </w:t>
      </w:r>
      <w:r w:rsidR="006D2977" w:rsidRPr="00376E45">
        <w:rPr>
          <w:lang w:val="en-GB"/>
        </w:rPr>
        <w:t xml:space="preserve">the efficacy or safety of </w:t>
      </w:r>
      <w:r w:rsidR="00621A23" w:rsidRPr="00376E45">
        <w:rPr>
          <w:lang w:val="en-GB"/>
        </w:rPr>
        <w:t xml:space="preserve">tofacitinib monotherapy versus tofacitinib in combination with </w:t>
      </w:r>
      <w:r w:rsidR="00331E9C">
        <w:rPr>
          <w:lang w:val="en-GB"/>
        </w:rPr>
        <w:t>MTX</w:t>
      </w:r>
      <w:r w:rsidR="00621A23" w:rsidRPr="00376E45">
        <w:rPr>
          <w:lang w:val="en-GB"/>
        </w:rPr>
        <w:t>.</w:t>
      </w:r>
    </w:p>
    <w:p w14:paraId="00E8D12D" w14:textId="61EF1569" w:rsidR="006C2D29" w:rsidRPr="00376E45" w:rsidRDefault="00621A23" w:rsidP="00621A23">
      <w:pPr>
        <w:rPr>
          <w:lang w:val="en-GB"/>
        </w:rPr>
      </w:pPr>
      <w:r w:rsidRPr="00376E45">
        <w:rPr>
          <w:b/>
          <w:lang w:val="en-GB"/>
        </w:rPr>
        <w:t>Added value of this study</w:t>
      </w:r>
    </w:p>
    <w:p w14:paraId="4DF5EB6E" w14:textId="5B7B4CD9" w:rsidR="00621A23" w:rsidRPr="00376E45" w:rsidRDefault="00621A23" w:rsidP="00621A23">
      <w:pPr>
        <w:rPr>
          <w:lang w:val="en-GB"/>
        </w:rPr>
      </w:pPr>
      <w:r w:rsidRPr="00376E45">
        <w:rPr>
          <w:lang w:val="en-GB"/>
        </w:rPr>
        <w:t>This is the first head-to-head</w:t>
      </w:r>
      <w:r w:rsidR="0085118F" w:rsidRPr="00376E45">
        <w:rPr>
          <w:lang w:val="en-GB"/>
        </w:rPr>
        <w:t xml:space="preserve"> non</w:t>
      </w:r>
      <w:r w:rsidR="006D2227" w:rsidRPr="00376E45">
        <w:rPr>
          <w:lang w:val="en-GB"/>
        </w:rPr>
        <w:t>-</w:t>
      </w:r>
      <w:r w:rsidR="0085118F" w:rsidRPr="00376E45">
        <w:rPr>
          <w:lang w:val="en-GB"/>
        </w:rPr>
        <w:t>inferiority</w:t>
      </w:r>
      <w:r w:rsidRPr="00376E45">
        <w:rPr>
          <w:lang w:val="en-GB"/>
        </w:rPr>
        <w:t xml:space="preserve"> trial </w:t>
      </w:r>
      <w:r w:rsidR="00FA31DD" w:rsidRPr="00376E45">
        <w:rPr>
          <w:lang w:val="en-GB"/>
        </w:rPr>
        <w:t>assessing</w:t>
      </w:r>
      <w:r w:rsidRPr="00376E45">
        <w:rPr>
          <w:lang w:val="en-GB"/>
        </w:rPr>
        <w:t xml:space="preserve"> </w:t>
      </w:r>
      <w:r w:rsidR="00AA56BD" w:rsidRPr="00376E45">
        <w:rPr>
          <w:lang w:val="en-GB"/>
        </w:rPr>
        <w:t>a JAK</w:t>
      </w:r>
      <w:r w:rsidR="00DC2A60" w:rsidRPr="00376E45">
        <w:rPr>
          <w:lang w:val="en-GB"/>
        </w:rPr>
        <w:t xml:space="preserve"> inhibitor</w:t>
      </w:r>
      <w:r w:rsidR="00AA56BD" w:rsidRPr="00376E45">
        <w:rPr>
          <w:lang w:val="en-GB"/>
        </w:rPr>
        <w:t xml:space="preserve"> </w:t>
      </w:r>
      <w:r w:rsidR="0085118F" w:rsidRPr="00376E45">
        <w:rPr>
          <w:lang w:val="en-GB"/>
        </w:rPr>
        <w:t xml:space="preserve">with or without </w:t>
      </w:r>
      <w:r w:rsidR="00331E9C">
        <w:rPr>
          <w:lang w:val="en-GB"/>
        </w:rPr>
        <w:t>MTX</w:t>
      </w:r>
      <w:r w:rsidR="00331E9C" w:rsidRPr="00376E45">
        <w:rPr>
          <w:lang w:val="en-GB"/>
        </w:rPr>
        <w:t xml:space="preserve"> </w:t>
      </w:r>
      <w:r w:rsidR="0085118F" w:rsidRPr="00376E45">
        <w:rPr>
          <w:lang w:val="en-GB"/>
        </w:rPr>
        <w:t xml:space="preserve">directly </w:t>
      </w:r>
      <w:r w:rsidRPr="00376E45">
        <w:rPr>
          <w:lang w:val="en-GB"/>
        </w:rPr>
        <w:t>compar</w:t>
      </w:r>
      <w:r w:rsidR="0085118F" w:rsidRPr="00376E45">
        <w:rPr>
          <w:lang w:val="en-GB"/>
        </w:rPr>
        <w:t>ed with</w:t>
      </w:r>
      <w:r w:rsidR="0098004A" w:rsidRPr="00376E45">
        <w:rPr>
          <w:lang w:val="en-GB"/>
        </w:rPr>
        <w:t xml:space="preserve"> </w:t>
      </w:r>
      <w:r w:rsidRPr="00376E45">
        <w:rPr>
          <w:lang w:val="en-GB"/>
        </w:rPr>
        <w:t>a TNFi therapy</w:t>
      </w:r>
      <w:r w:rsidR="0098004A" w:rsidRPr="00376E45">
        <w:rPr>
          <w:lang w:val="en-GB"/>
        </w:rPr>
        <w:t xml:space="preserve"> </w:t>
      </w:r>
      <w:r w:rsidR="00450F6B" w:rsidRPr="00376E45">
        <w:rPr>
          <w:lang w:val="en-GB"/>
        </w:rPr>
        <w:t xml:space="preserve">plus </w:t>
      </w:r>
      <w:r w:rsidR="00331E9C">
        <w:rPr>
          <w:lang w:val="en-GB"/>
        </w:rPr>
        <w:t>MTX</w:t>
      </w:r>
      <w:r w:rsidR="00331E9C" w:rsidRPr="00376E45">
        <w:rPr>
          <w:lang w:val="en-GB"/>
        </w:rPr>
        <w:t xml:space="preserve"> </w:t>
      </w:r>
      <w:r w:rsidR="00197F21" w:rsidRPr="00376E45">
        <w:rPr>
          <w:lang w:val="en-GB"/>
        </w:rPr>
        <w:t>in RA</w:t>
      </w:r>
      <w:r w:rsidRPr="00376E45">
        <w:rPr>
          <w:lang w:val="en-GB"/>
        </w:rPr>
        <w:t xml:space="preserve">, and the first </w:t>
      </w:r>
      <w:r w:rsidR="00FA31DD" w:rsidRPr="00376E45">
        <w:rPr>
          <w:lang w:val="en-GB"/>
        </w:rPr>
        <w:t>head-to-head non</w:t>
      </w:r>
      <w:r w:rsidR="006D2227" w:rsidRPr="00376E45">
        <w:rPr>
          <w:lang w:val="en-GB"/>
        </w:rPr>
        <w:t>-</w:t>
      </w:r>
      <w:r w:rsidR="00FA31DD" w:rsidRPr="00376E45">
        <w:rPr>
          <w:lang w:val="en-GB"/>
        </w:rPr>
        <w:t xml:space="preserve">inferiority comparison </w:t>
      </w:r>
      <w:r w:rsidRPr="00376E45">
        <w:rPr>
          <w:lang w:val="en-GB"/>
        </w:rPr>
        <w:t xml:space="preserve">of tofacitinib monotherapy versus tofacitinib in combination with </w:t>
      </w:r>
      <w:r w:rsidR="00331E9C">
        <w:rPr>
          <w:lang w:val="en-GB"/>
        </w:rPr>
        <w:t>MTX</w:t>
      </w:r>
      <w:r w:rsidRPr="00376E45">
        <w:rPr>
          <w:lang w:val="en-GB"/>
        </w:rPr>
        <w:t xml:space="preserve">. </w:t>
      </w:r>
      <w:r w:rsidR="00450F6B" w:rsidRPr="00376E45">
        <w:rPr>
          <w:lang w:val="en-GB"/>
        </w:rPr>
        <w:t>The</w:t>
      </w:r>
      <w:r w:rsidR="00DA4481" w:rsidRPr="00376E45">
        <w:rPr>
          <w:lang w:val="en-GB"/>
        </w:rPr>
        <w:t xml:space="preserve"> </w:t>
      </w:r>
      <w:r w:rsidRPr="00376E45">
        <w:rPr>
          <w:lang w:val="en-GB"/>
        </w:rPr>
        <w:t>primary endpoint</w:t>
      </w:r>
      <w:r w:rsidR="00450F6B" w:rsidRPr="00376E45">
        <w:rPr>
          <w:lang w:val="en-GB"/>
        </w:rPr>
        <w:t xml:space="preserve"> selected was</w:t>
      </w:r>
      <w:r w:rsidRPr="00376E45">
        <w:rPr>
          <w:lang w:val="en-GB"/>
        </w:rPr>
        <w:t xml:space="preserve"> </w:t>
      </w:r>
      <w:r w:rsidR="00450F6B" w:rsidRPr="00376E45">
        <w:rPr>
          <w:lang w:val="en-GB"/>
        </w:rPr>
        <w:t xml:space="preserve">the </w:t>
      </w:r>
      <w:r w:rsidR="00197F21" w:rsidRPr="00376E45">
        <w:rPr>
          <w:lang w:val="en-GB"/>
        </w:rPr>
        <w:t xml:space="preserve">American College of Rheumatology </w:t>
      </w:r>
      <w:r w:rsidR="00D14BF6" w:rsidRPr="00376E45">
        <w:rPr>
          <w:lang w:val="en-GB"/>
        </w:rPr>
        <w:t xml:space="preserve">50% </w:t>
      </w:r>
      <w:r w:rsidR="00197F21" w:rsidRPr="00376E45">
        <w:rPr>
          <w:lang w:val="en-GB"/>
        </w:rPr>
        <w:t>(</w:t>
      </w:r>
      <w:r w:rsidRPr="00376E45">
        <w:rPr>
          <w:lang w:val="en-GB"/>
        </w:rPr>
        <w:t>ACR50</w:t>
      </w:r>
      <w:r w:rsidR="00D14BF6" w:rsidRPr="00376E45">
        <w:rPr>
          <w:lang w:val="en-GB"/>
        </w:rPr>
        <w:t>)</w:t>
      </w:r>
      <w:r w:rsidRPr="00376E45">
        <w:rPr>
          <w:lang w:val="en-GB"/>
        </w:rPr>
        <w:t xml:space="preserve"> response rate at 6 months</w:t>
      </w:r>
      <w:r w:rsidR="00450F6B" w:rsidRPr="00376E45">
        <w:rPr>
          <w:lang w:val="en-GB"/>
        </w:rPr>
        <w:t xml:space="preserve"> based on </w:t>
      </w:r>
      <w:r w:rsidRPr="00376E45">
        <w:rPr>
          <w:lang w:val="en-GB"/>
        </w:rPr>
        <w:t xml:space="preserve">prior evidence of the suitability of </w:t>
      </w:r>
      <w:r w:rsidR="00450F6B" w:rsidRPr="00376E45">
        <w:rPr>
          <w:lang w:val="en-GB"/>
        </w:rPr>
        <w:t xml:space="preserve">this </w:t>
      </w:r>
      <w:r w:rsidRPr="00376E45">
        <w:rPr>
          <w:lang w:val="en-GB"/>
        </w:rPr>
        <w:t xml:space="preserve">composite endpoint in head-to-head trials comparing active treatment arms. A non-inferiority margin was selected based on a systematic review reporting </w:t>
      </w:r>
      <w:r w:rsidR="00450F6B" w:rsidRPr="00376E45">
        <w:rPr>
          <w:lang w:val="en-GB"/>
        </w:rPr>
        <w:t xml:space="preserve">ACR50 response of </w:t>
      </w:r>
      <w:r w:rsidRPr="00376E45">
        <w:rPr>
          <w:lang w:val="en-GB"/>
        </w:rPr>
        <w:t xml:space="preserve">adalimumab compared with placebo, supplemented with data from one subsequent relevant trial. The treatment arms </w:t>
      </w:r>
      <w:r w:rsidR="004E1205" w:rsidRPr="00376E45">
        <w:rPr>
          <w:lang w:val="en-GB"/>
        </w:rPr>
        <w:t xml:space="preserve">in this trial </w:t>
      </w:r>
      <w:r w:rsidRPr="00376E45">
        <w:rPr>
          <w:lang w:val="en-GB"/>
        </w:rPr>
        <w:t xml:space="preserve">reflect the treatment </w:t>
      </w:r>
      <w:r w:rsidR="00AF668A" w:rsidRPr="00376E45">
        <w:rPr>
          <w:lang w:val="en-GB"/>
        </w:rPr>
        <w:t>choices</w:t>
      </w:r>
      <w:r w:rsidR="004E1205" w:rsidRPr="00376E45">
        <w:rPr>
          <w:lang w:val="en-GB"/>
        </w:rPr>
        <w:t xml:space="preserve"> </w:t>
      </w:r>
      <w:r w:rsidRPr="00376E45">
        <w:rPr>
          <w:lang w:val="en-GB"/>
        </w:rPr>
        <w:t>facing rheumatologists when</w:t>
      </w:r>
      <w:r w:rsidR="0098004A" w:rsidRPr="00376E45">
        <w:rPr>
          <w:lang w:val="en-GB"/>
        </w:rPr>
        <w:t xml:space="preserve"> </w:t>
      </w:r>
      <w:r w:rsidR="0085118F" w:rsidRPr="00376E45">
        <w:rPr>
          <w:lang w:val="en-GB"/>
        </w:rPr>
        <w:t>confronted with</w:t>
      </w:r>
      <w:r w:rsidRPr="00376E45">
        <w:rPr>
          <w:lang w:val="en-GB"/>
        </w:rPr>
        <w:t xml:space="preserve"> a patient who has </w:t>
      </w:r>
      <w:r w:rsidR="0085118F" w:rsidRPr="00376E45">
        <w:rPr>
          <w:lang w:val="en-GB"/>
        </w:rPr>
        <w:t>had an inadequate response</w:t>
      </w:r>
      <w:r w:rsidRPr="00376E45">
        <w:rPr>
          <w:lang w:val="en-GB"/>
        </w:rPr>
        <w:t xml:space="preserve"> to </w:t>
      </w:r>
      <w:r w:rsidR="002A2916" w:rsidRPr="00376E45">
        <w:rPr>
          <w:lang w:val="en-GB"/>
        </w:rPr>
        <w:t>a</w:t>
      </w:r>
      <w:r w:rsidR="00850BAF" w:rsidRPr="00376E45">
        <w:rPr>
          <w:lang w:val="en-GB"/>
        </w:rPr>
        <w:t xml:space="preserve"> csDMARD</w:t>
      </w:r>
      <w:r w:rsidR="002A2916" w:rsidRPr="00376E45">
        <w:rPr>
          <w:lang w:val="en-GB"/>
        </w:rPr>
        <w:t xml:space="preserve"> such as </w:t>
      </w:r>
      <w:r w:rsidR="00331E9C">
        <w:rPr>
          <w:lang w:val="en-GB"/>
        </w:rPr>
        <w:t>MTX</w:t>
      </w:r>
      <w:r w:rsidR="002A2916" w:rsidRPr="00376E45">
        <w:rPr>
          <w:lang w:val="en-GB"/>
        </w:rPr>
        <w:t>, either alone or in</w:t>
      </w:r>
      <w:r w:rsidR="00FB398A">
        <w:rPr>
          <w:lang w:val="en-GB"/>
        </w:rPr>
        <w:t xml:space="preserve"> </w:t>
      </w:r>
      <w:r w:rsidR="002A2916" w:rsidRPr="00376E45">
        <w:rPr>
          <w:lang w:val="en-GB"/>
        </w:rPr>
        <w:t>combination</w:t>
      </w:r>
      <w:r w:rsidR="00331E9C">
        <w:rPr>
          <w:lang w:val="en-GB"/>
        </w:rPr>
        <w:t xml:space="preserve"> with other csDMARDs</w:t>
      </w:r>
      <w:r w:rsidR="007A45C9">
        <w:rPr>
          <w:lang w:val="en-GB"/>
        </w:rPr>
        <w:t>,</w:t>
      </w:r>
      <w:r w:rsidR="007A45C9" w:rsidRPr="007A45C9">
        <w:t xml:space="preserve"> </w:t>
      </w:r>
      <w:r w:rsidR="007A45C9" w:rsidRPr="007A45C9">
        <w:rPr>
          <w:lang w:val="en-GB"/>
        </w:rPr>
        <w:t>and has markers of poor prognosis</w:t>
      </w:r>
      <w:r w:rsidR="00743BF5">
        <w:rPr>
          <w:lang w:val="en-GB"/>
        </w:rPr>
        <w:t xml:space="preserve">. </w:t>
      </w:r>
      <w:r w:rsidR="00CA731F">
        <w:rPr>
          <w:lang w:val="en-GB"/>
        </w:rPr>
        <w:t xml:space="preserve">Current practice is to </w:t>
      </w:r>
      <w:r w:rsidR="00C86C18" w:rsidRPr="00376E45">
        <w:rPr>
          <w:lang w:val="en-GB"/>
        </w:rPr>
        <w:t xml:space="preserve">add a </w:t>
      </w:r>
      <w:r w:rsidR="00C86C18">
        <w:rPr>
          <w:lang w:val="en-GB"/>
        </w:rPr>
        <w:t>biologic DMARD (bDMARD)</w:t>
      </w:r>
      <w:r w:rsidR="00C86C18" w:rsidRPr="00376E45">
        <w:rPr>
          <w:lang w:val="en-GB"/>
        </w:rPr>
        <w:t xml:space="preserve"> such as adalimumab</w:t>
      </w:r>
      <w:r w:rsidR="00CA731F">
        <w:rPr>
          <w:lang w:val="en-GB"/>
        </w:rPr>
        <w:t xml:space="preserve"> to MTX, but the most recent EULAR recommendations propose that the addition of</w:t>
      </w:r>
      <w:r w:rsidR="00214EDD">
        <w:rPr>
          <w:lang w:val="en-GB"/>
        </w:rPr>
        <w:t xml:space="preserve"> </w:t>
      </w:r>
      <w:r w:rsidR="00C86C18" w:rsidRPr="00376E45">
        <w:rPr>
          <w:lang w:val="en-GB"/>
        </w:rPr>
        <w:t xml:space="preserve">a </w:t>
      </w:r>
      <w:r w:rsidR="00C86C18">
        <w:rPr>
          <w:lang w:val="en-GB"/>
        </w:rPr>
        <w:t>targeted synthetic DMARD (</w:t>
      </w:r>
      <w:proofErr w:type="spellStart"/>
      <w:r w:rsidR="00C86C18">
        <w:rPr>
          <w:lang w:val="en-GB"/>
        </w:rPr>
        <w:t>tsDMARD</w:t>
      </w:r>
      <w:proofErr w:type="spellEnd"/>
      <w:r w:rsidR="00C86C18">
        <w:rPr>
          <w:lang w:val="en-GB"/>
        </w:rPr>
        <w:t xml:space="preserve">) </w:t>
      </w:r>
      <w:r w:rsidR="00C86C18" w:rsidRPr="00376E45">
        <w:rPr>
          <w:lang w:val="en-GB"/>
        </w:rPr>
        <w:t xml:space="preserve">such as tofacitinib to </w:t>
      </w:r>
      <w:r w:rsidR="00C86C18">
        <w:rPr>
          <w:lang w:val="en-GB"/>
        </w:rPr>
        <w:t>MTX</w:t>
      </w:r>
      <w:r w:rsidR="002A3D34">
        <w:rPr>
          <w:lang w:val="en-GB"/>
        </w:rPr>
        <w:t xml:space="preserve"> may be an alternative. If csDMARDs are contraindicated, then EULAR recommends JAK inhibitor or IL6 inhibitor monotherapy as options</w:t>
      </w:r>
      <w:r w:rsidR="00C86C18">
        <w:rPr>
          <w:lang w:val="en-GB"/>
        </w:rPr>
        <w:t xml:space="preserve">. </w:t>
      </w:r>
      <w:r w:rsidR="00C86C18">
        <w:t>ORAL S</w:t>
      </w:r>
      <w:r w:rsidR="000861C2">
        <w:t>trategy</w:t>
      </w:r>
      <w:r w:rsidR="00C86C18">
        <w:t xml:space="preserve"> provide</w:t>
      </w:r>
      <w:r w:rsidR="00E3783C">
        <w:t>s</w:t>
      </w:r>
      <w:r w:rsidR="00C86C18">
        <w:t xml:space="preserve"> evidence that the addition of either a bDMARD or </w:t>
      </w:r>
      <w:r w:rsidR="00743BF5">
        <w:t xml:space="preserve">a </w:t>
      </w:r>
      <w:proofErr w:type="spellStart"/>
      <w:r w:rsidR="00C86C18">
        <w:t>tsDMARD</w:t>
      </w:r>
      <w:proofErr w:type="spellEnd"/>
      <w:r w:rsidR="00C86C18">
        <w:t xml:space="preserve"> can be considered and both are more likely to be effective than switching to tofacitinib monotherapy.</w:t>
      </w:r>
      <w:r w:rsidR="00FD18FC">
        <w:rPr>
          <w:lang w:val="en-GB"/>
        </w:rPr>
        <w:t xml:space="preserve">   </w:t>
      </w:r>
    </w:p>
    <w:p w14:paraId="53071FEB" w14:textId="77777777" w:rsidR="006C2D29" w:rsidRPr="00376E45" w:rsidRDefault="00621A23" w:rsidP="00621A23">
      <w:pPr>
        <w:rPr>
          <w:lang w:val="en-GB"/>
        </w:rPr>
      </w:pPr>
      <w:r w:rsidRPr="00376E45">
        <w:rPr>
          <w:b/>
          <w:lang w:val="en-GB"/>
        </w:rPr>
        <w:t>Implications of all the available evidence</w:t>
      </w:r>
    </w:p>
    <w:p w14:paraId="027D4E7A" w14:textId="519E459B" w:rsidR="00621A23" w:rsidRPr="00376E45" w:rsidRDefault="00621A23" w:rsidP="00621A23">
      <w:pPr>
        <w:rPr>
          <w:lang w:val="en-GB"/>
        </w:rPr>
      </w:pPr>
      <w:r w:rsidRPr="00376E45">
        <w:rPr>
          <w:lang w:val="en-GB"/>
        </w:rPr>
        <w:t xml:space="preserve">This trial </w:t>
      </w:r>
      <w:r w:rsidR="004E1205" w:rsidRPr="00376E45">
        <w:rPr>
          <w:lang w:val="en-GB"/>
        </w:rPr>
        <w:t xml:space="preserve">reports </w:t>
      </w:r>
      <w:r w:rsidR="00C46165" w:rsidRPr="00376E45">
        <w:rPr>
          <w:lang w:val="en-GB"/>
        </w:rPr>
        <w:t xml:space="preserve">that </w:t>
      </w:r>
      <w:r w:rsidR="004E1205" w:rsidRPr="00376E45">
        <w:rPr>
          <w:lang w:val="en-GB"/>
        </w:rPr>
        <w:t xml:space="preserve">tofacitinib </w:t>
      </w:r>
      <w:r w:rsidR="00136CB9" w:rsidRPr="00376E45">
        <w:rPr>
          <w:lang w:val="en-GB"/>
        </w:rPr>
        <w:t>plus</w:t>
      </w:r>
      <w:r w:rsidR="004E1205" w:rsidRPr="00376E45">
        <w:rPr>
          <w:lang w:val="en-GB"/>
        </w:rPr>
        <w:t xml:space="preserve"> </w:t>
      </w:r>
      <w:r w:rsidR="004E1221">
        <w:rPr>
          <w:lang w:val="en-GB"/>
        </w:rPr>
        <w:t xml:space="preserve">MTX </w:t>
      </w:r>
      <w:r w:rsidR="00C46165" w:rsidRPr="00376E45">
        <w:rPr>
          <w:lang w:val="en-GB"/>
        </w:rPr>
        <w:t>was non-inferior</w:t>
      </w:r>
      <w:r w:rsidR="004E1205" w:rsidRPr="00376E45">
        <w:rPr>
          <w:lang w:val="en-GB"/>
        </w:rPr>
        <w:t xml:space="preserve"> </w:t>
      </w:r>
      <w:r w:rsidR="00C46165" w:rsidRPr="00376E45">
        <w:rPr>
          <w:lang w:val="en-GB"/>
        </w:rPr>
        <w:t>to</w:t>
      </w:r>
      <w:r w:rsidR="004E1205" w:rsidRPr="00376E45">
        <w:rPr>
          <w:lang w:val="en-GB"/>
        </w:rPr>
        <w:t xml:space="preserve"> adalimumab </w:t>
      </w:r>
      <w:r w:rsidR="00136CB9" w:rsidRPr="00376E45">
        <w:rPr>
          <w:lang w:val="en-GB"/>
        </w:rPr>
        <w:t>plus</w:t>
      </w:r>
      <w:r w:rsidR="004E1205" w:rsidRPr="00376E45">
        <w:rPr>
          <w:lang w:val="en-GB"/>
        </w:rPr>
        <w:t xml:space="preserve"> </w:t>
      </w:r>
      <w:r w:rsidR="004E1221">
        <w:rPr>
          <w:lang w:val="en-GB"/>
        </w:rPr>
        <w:t>MTX</w:t>
      </w:r>
      <w:r w:rsidR="004E1221" w:rsidRPr="00376E45">
        <w:rPr>
          <w:lang w:val="en-GB"/>
        </w:rPr>
        <w:t xml:space="preserve"> </w:t>
      </w:r>
      <w:r w:rsidR="004E1205" w:rsidRPr="00376E45">
        <w:rPr>
          <w:lang w:val="en-GB"/>
        </w:rPr>
        <w:t xml:space="preserve">when assessing the ACR50 response </w:t>
      </w:r>
      <w:r w:rsidR="001E1315" w:rsidRPr="00376E45">
        <w:rPr>
          <w:lang w:val="en-GB"/>
        </w:rPr>
        <w:t>at 6 months</w:t>
      </w:r>
      <w:r w:rsidRPr="00376E45">
        <w:rPr>
          <w:lang w:val="en-GB"/>
        </w:rPr>
        <w:t xml:space="preserve">. </w:t>
      </w:r>
      <w:r w:rsidR="00245A61" w:rsidRPr="00376E45">
        <w:rPr>
          <w:lang w:val="en-GB"/>
        </w:rPr>
        <w:t>Although the monotherapy tofacitinib arm also achieved meaningful benefit in clinical and functional responses, non</w:t>
      </w:r>
      <w:r w:rsidRPr="00376E45">
        <w:rPr>
          <w:lang w:val="en-GB"/>
        </w:rPr>
        <w:t>-inferiority relative to the two combination arms could not be demonstrated</w:t>
      </w:r>
      <w:r w:rsidR="00FA31DD" w:rsidRPr="00376E45">
        <w:rPr>
          <w:lang w:val="en-GB"/>
        </w:rPr>
        <w:t xml:space="preserve"> for the primary endpoint</w:t>
      </w:r>
      <w:r w:rsidR="0010797C" w:rsidRPr="00376E45">
        <w:rPr>
          <w:lang w:val="en-GB"/>
        </w:rPr>
        <w:t xml:space="preserve">. </w:t>
      </w:r>
    </w:p>
    <w:p w14:paraId="3FD72767" w14:textId="0B7E2769" w:rsidR="002E3950" w:rsidRPr="00376E45" w:rsidRDefault="002E3950" w:rsidP="001F1CBA">
      <w:pPr>
        <w:rPr>
          <w:lang w:val="en-GB"/>
        </w:rPr>
      </w:pPr>
      <w:r w:rsidRPr="00376E45">
        <w:rPr>
          <w:b/>
          <w:lang w:val="en-GB"/>
        </w:rPr>
        <w:t>Word count/limit:</w:t>
      </w:r>
      <w:r w:rsidRPr="00376E45">
        <w:rPr>
          <w:lang w:val="en-GB"/>
        </w:rPr>
        <w:t xml:space="preserve"> </w:t>
      </w:r>
      <w:r w:rsidR="00214EDD">
        <w:rPr>
          <w:lang w:val="en-GB"/>
        </w:rPr>
        <w:t>4886</w:t>
      </w:r>
      <w:r w:rsidRPr="00376E45">
        <w:rPr>
          <w:lang w:val="en-GB"/>
        </w:rPr>
        <w:t>/4500</w:t>
      </w:r>
      <w:r w:rsidR="00AD1B45" w:rsidRPr="00376E45">
        <w:rPr>
          <w:lang w:val="en-GB"/>
        </w:rPr>
        <w:t xml:space="preserve"> </w:t>
      </w:r>
    </w:p>
    <w:p w14:paraId="3C0F6FB0" w14:textId="6D0C8563" w:rsidR="002E3950" w:rsidRPr="00376E45" w:rsidRDefault="002E3950" w:rsidP="001F1CBA">
      <w:pPr>
        <w:rPr>
          <w:lang w:val="en-GB"/>
        </w:rPr>
      </w:pPr>
      <w:r w:rsidRPr="00376E45">
        <w:rPr>
          <w:b/>
          <w:lang w:val="en-GB"/>
        </w:rPr>
        <w:t>References/limit:</w:t>
      </w:r>
      <w:r w:rsidRPr="00376E45">
        <w:rPr>
          <w:lang w:val="en-GB"/>
        </w:rPr>
        <w:t xml:space="preserve"> </w:t>
      </w:r>
      <w:r w:rsidR="00B33031">
        <w:rPr>
          <w:lang w:val="en-GB"/>
        </w:rPr>
        <w:t>30</w:t>
      </w:r>
      <w:r w:rsidRPr="00376E45">
        <w:rPr>
          <w:lang w:val="en-GB"/>
        </w:rPr>
        <w:t>/30</w:t>
      </w:r>
      <w:r w:rsidR="00CB2E06" w:rsidRPr="00376E45">
        <w:rPr>
          <w:lang w:val="en-GB"/>
        </w:rPr>
        <w:t xml:space="preserve"> </w:t>
      </w:r>
    </w:p>
    <w:p w14:paraId="15DF2854" w14:textId="3F2899C9" w:rsidR="0043290E" w:rsidRPr="00376E45" w:rsidRDefault="001F1CBA" w:rsidP="0043290E">
      <w:pPr>
        <w:pStyle w:val="Heading1"/>
        <w:rPr>
          <w:i/>
          <w:lang w:val="en-GB"/>
        </w:rPr>
      </w:pPr>
      <w:r w:rsidRPr="00376E45">
        <w:rPr>
          <w:lang w:val="en-GB"/>
        </w:rPr>
        <w:br w:type="page"/>
      </w:r>
      <w:r w:rsidR="00F61D26" w:rsidRPr="00376E45">
        <w:rPr>
          <w:lang w:val="en-GB"/>
        </w:rPr>
        <w:t>Summary</w:t>
      </w:r>
      <w:r w:rsidR="00471570" w:rsidRPr="00376E45">
        <w:rPr>
          <w:lang w:val="en-GB"/>
        </w:rPr>
        <w:t xml:space="preserve"> </w:t>
      </w:r>
      <w:r w:rsidR="0043290E" w:rsidRPr="00376E45">
        <w:rPr>
          <w:lang w:val="en-GB"/>
        </w:rPr>
        <w:t>(word count/limit:</w:t>
      </w:r>
      <w:r w:rsidR="003270D2" w:rsidRPr="00376E45">
        <w:rPr>
          <w:lang w:val="en-GB"/>
        </w:rPr>
        <w:t xml:space="preserve"> </w:t>
      </w:r>
      <w:r w:rsidR="00AE7430" w:rsidRPr="00376E45">
        <w:rPr>
          <w:lang w:val="en-GB"/>
        </w:rPr>
        <w:t>300</w:t>
      </w:r>
      <w:r w:rsidR="0043290E" w:rsidRPr="00376E45">
        <w:rPr>
          <w:lang w:val="en-GB"/>
        </w:rPr>
        <w:t>/300)</w:t>
      </w:r>
    </w:p>
    <w:p w14:paraId="66BFD3E8" w14:textId="5AD70877" w:rsidR="0043290E" w:rsidRPr="00376E45" w:rsidRDefault="0043290E" w:rsidP="0043290E">
      <w:pPr>
        <w:rPr>
          <w:lang w:val="en-GB"/>
        </w:rPr>
      </w:pPr>
      <w:r w:rsidRPr="00376E45">
        <w:rPr>
          <w:b/>
          <w:lang w:val="en-GB"/>
        </w:rPr>
        <w:t>Background</w:t>
      </w:r>
      <w:r w:rsidRPr="00376E45">
        <w:rPr>
          <w:lang w:val="en-GB"/>
        </w:rPr>
        <w:t xml:space="preserve">: Tofacitinib is an oral Janus kinase inhibitor for the treatment of rheumatoid arthritis (RA). </w:t>
      </w:r>
    </w:p>
    <w:p w14:paraId="683161E4" w14:textId="5F966516" w:rsidR="0043290E" w:rsidRPr="00376E45" w:rsidRDefault="0043290E" w:rsidP="0043290E">
      <w:pPr>
        <w:rPr>
          <w:lang w:val="en-GB"/>
        </w:rPr>
      </w:pPr>
      <w:r w:rsidRPr="00376E45">
        <w:rPr>
          <w:b/>
          <w:lang w:val="en-GB"/>
        </w:rPr>
        <w:t>Methods</w:t>
      </w:r>
      <w:r w:rsidR="00910AD5" w:rsidRPr="00376E45">
        <w:rPr>
          <w:lang w:val="en-GB"/>
        </w:rPr>
        <w:t>: ORAL Strategy</w:t>
      </w:r>
      <w:r w:rsidRPr="00376E45">
        <w:rPr>
          <w:lang w:val="en-GB"/>
        </w:rPr>
        <w:t xml:space="preserve"> was a 1-year, double-blind, Phase 3b/4, </w:t>
      </w:r>
      <w:r w:rsidR="00245A61" w:rsidRPr="00376E45">
        <w:rPr>
          <w:lang w:val="en-GB"/>
        </w:rPr>
        <w:t xml:space="preserve">controlled head-to-head </w:t>
      </w:r>
      <w:r w:rsidRPr="00376E45">
        <w:rPr>
          <w:lang w:val="en-GB"/>
        </w:rPr>
        <w:t>trial</w:t>
      </w:r>
      <w:r w:rsidR="00245A61" w:rsidRPr="00376E45">
        <w:rPr>
          <w:lang w:val="en-GB"/>
        </w:rPr>
        <w:t xml:space="preserve"> in patients</w:t>
      </w:r>
      <w:r w:rsidRPr="00376E45">
        <w:rPr>
          <w:lang w:val="en-GB"/>
        </w:rPr>
        <w:t xml:space="preserve"> aged ≥18 years with </w:t>
      </w:r>
      <w:r w:rsidR="00F779DF" w:rsidRPr="00376E45">
        <w:rPr>
          <w:lang w:val="en-GB"/>
        </w:rPr>
        <w:t>active</w:t>
      </w:r>
      <w:r w:rsidR="003270D2" w:rsidRPr="00376E45">
        <w:rPr>
          <w:lang w:val="en-GB"/>
        </w:rPr>
        <w:t xml:space="preserve"> </w:t>
      </w:r>
      <w:r w:rsidRPr="00376E45">
        <w:rPr>
          <w:lang w:val="en-GB"/>
        </w:rPr>
        <w:t xml:space="preserve">RA </w:t>
      </w:r>
      <w:r w:rsidR="000D1AFE" w:rsidRPr="00376E45">
        <w:rPr>
          <w:lang w:val="en-GB"/>
        </w:rPr>
        <w:t xml:space="preserve">despite </w:t>
      </w:r>
      <w:r w:rsidRPr="00376E45">
        <w:rPr>
          <w:lang w:val="en-GB"/>
        </w:rPr>
        <w:t>methotrexate</w:t>
      </w:r>
      <w:r w:rsidR="000D1AFE" w:rsidRPr="00376E45">
        <w:rPr>
          <w:lang w:val="en-GB"/>
        </w:rPr>
        <w:t xml:space="preserve"> therapy</w:t>
      </w:r>
      <w:r w:rsidRPr="00376E45">
        <w:rPr>
          <w:lang w:val="en-GB"/>
        </w:rPr>
        <w:t xml:space="preserve"> </w:t>
      </w:r>
      <w:r w:rsidR="00245A61" w:rsidRPr="00376E45">
        <w:rPr>
          <w:lang w:val="en-GB"/>
        </w:rPr>
        <w:t xml:space="preserve">who </w:t>
      </w:r>
      <w:r w:rsidRPr="00376E45">
        <w:rPr>
          <w:lang w:val="en-GB"/>
        </w:rPr>
        <w:t>receive</w:t>
      </w:r>
      <w:r w:rsidR="000D1AFE" w:rsidRPr="00376E45">
        <w:rPr>
          <w:lang w:val="en-GB"/>
        </w:rPr>
        <w:t>d</w:t>
      </w:r>
      <w:r w:rsidRPr="00376E45">
        <w:rPr>
          <w:lang w:val="en-GB"/>
        </w:rPr>
        <w:t xml:space="preserve"> tofacitinib 5 mg twice daily (BID) monotherapy, tofacitinib 5 mg BID </w:t>
      </w:r>
      <w:r w:rsidR="00245A61" w:rsidRPr="00376E45">
        <w:rPr>
          <w:lang w:val="en-GB"/>
        </w:rPr>
        <w:t xml:space="preserve">plus </w:t>
      </w:r>
      <w:r w:rsidRPr="00376E45">
        <w:rPr>
          <w:lang w:val="en-GB"/>
        </w:rPr>
        <w:t xml:space="preserve">methotrexate (‘tofacitinib + MTX’) or adalimumab 40 mg every other week </w:t>
      </w:r>
      <w:r w:rsidR="00245A61" w:rsidRPr="00376E45">
        <w:rPr>
          <w:lang w:val="en-GB"/>
        </w:rPr>
        <w:t xml:space="preserve">plus </w:t>
      </w:r>
      <w:r w:rsidRPr="00376E45">
        <w:rPr>
          <w:lang w:val="en-GB"/>
        </w:rPr>
        <w:t xml:space="preserve">methotrexate (‘adalimumab + MTX’). </w:t>
      </w:r>
      <w:r w:rsidR="00AA56BD" w:rsidRPr="00376E45">
        <w:rPr>
          <w:lang w:val="en-GB"/>
        </w:rPr>
        <w:t>Eligible patients receive</w:t>
      </w:r>
      <w:r w:rsidR="00910AD5" w:rsidRPr="00376E45">
        <w:rPr>
          <w:lang w:val="en-GB"/>
        </w:rPr>
        <w:t>d</w:t>
      </w:r>
      <w:r w:rsidR="00AA56BD" w:rsidRPr="00376E45">
        <w:rPr>
          <w:lang w:val="en-GB"/>
        </w:rPr>
        <w:t xml:space="preserve"> live zoster vaccine at investigator</w:t>
      </w:r>
      <w:r w:rsidR="00DC2A60" w:rsidRPr="00376E45">
        <w:rPr>
          <w:lang w:val="en-GB"/>
        </w:rPr>
        <w:t>s’</w:t>
      </w:r>
      <w:r w:rsidR="00AA56BD" w:rsidRPr="00376E45">
        <w:rPr>
          <w:lang w:val="en-GB"/>
        </w:rPr>
        <w:t xml:space="preserve"> discretion. </w:t>
      </w:r>
      <w:r w:rsidRPr="00376E45">
        <w:rPr>
          <w:lang w:val="en-GB"/>
        </w:rPr>
        <w:t xml:space="preserve">The primary endpoint was the proportion of patients achieving American College of Rheumatology </w:t>
      </w:r>
      <w:r w:rsidR="008B2203" w:rsidRPr="00376E45">
        <w:rPr>
          <w:lang w:val="en-GB"/>
        </w:rPr>
        <w:t>50% (ACR50)</w:t>
      </w:r>
      <w:r w:rsidRPr="00376E45">
        <w:rPr>
          <w:lang w:val="en-GB"/>
        </w:rPr>
        <w:t xml:space="preserve"> response at Month 6; non-inferiority </w:t>
      </w:r>
      <w:r w:rsidR="00172E2F" w:rsidRPr="00376E45">
        <w:rPr>
          <w:lang w:val="en-GB"/>
        </w:rPr>
        <w:t xml:space="preserve">between groups </w:t>
      </w:r>
      <w:r w:rsidRPr="00376E45">
        <w:rPr>
          <w:lang w:val="en-GB"/>
        </w:rPr>
        <w:t xml:space="preserve">was </w:t>
      </w:r>
      <w:r w:rsidR="00172E2F" w:rsidRPr="00376E45">
        <w:rPr>
          <w:lang w:val="en-GB"/>
        </w:rPr>
        <w:t xml:space="preserve">declared </w:t>
      </w:r>
      <w:r w:rsidRPr="00376E45">
        <w:rPr>
          <w:lang w:val="en-GB"/>
        </w:rPr>
        <w:t>if the lower bound of the 98</w:t>
      </w:r>
      <w:r w:rsidR="007436B3" w:rsidRPr="00376E45">
        <w:rPr>
          <w:lang w:val="en-GB"/>
        </w:rPr>
        <w:t>·</w:t>
      </w:r>
      <w:r w:rsidRPr="00376E45">
        <w:rPr>
          <w:lang w:val="en-GB"/>
        </w:rPr>
        <w:t xml:space="preserve">34% confidence interval </w:t>
      </w:r>
      <w:r w:rsidR="00E67BC0" w:rsidRPr="00376E45">
        <w:rPr>
          <w:lang w:val="en-GB"/>
        </w:rPr>
        <w:t xml:space="preserve">(CI) </w:t>
      </w:r>
      <w:r w:rsidRPr="00376E45">
        <w:rPr>
          <w:lang w:val="en-GB"/>
        </w:rPr>
        <w:t>of the difference betwe</w:t>
      </w:r>
      <w:r w:rsidR="00E67BC0" w:rsidRPr="00376E45">
        <w:rPr>
          <w:lang w:val="en-GB"/>
        </w:rPr>
        <w:t>en comparators was larger than -</w:t>
      </w:r>
      <w:r w:rsidRPr="00376E45">
        <w:rPr>
          <w:lang w:val="en-GB"/>
        </w:rPr>
        <w:t>13</w:t>
      </w:r>
      <w:r w:rsidR="007436B3" w:rsidRPr="00376E45">
        <w:rPr>
          <w:lang w:val="en-GB"/>
        </w:rPr>
        <w:t>·</w:t>
      </w:r>
      <w:r w:rsidRPr="00376E45">
        <w:rPr>
          <w:lang w:val="en-GB"/>
        </w:rPr>
        <w:t xml:space="preserve">0%. </w:t>
      </w:r>
      <w:r w:rsidR="00D05A1A" w:rsidRPr="00376E45">
        <w:rPr>
          <w:lang w:val="en-GB"/>
        </w:rPr>
        <w:t>S</w:t>
      </w:r>
      <w:r w:rsidR="00172E2F" w:rsidRPr="00376E45">
        <w:rPr>
          <w:lang w:val="en-GB"/>
        </w:rPr>
        <w:t xml:space="preserve">econdary </w:t>
      </w:r>
      <w:r w:rsidRPr="00376E45">
        <w:rPr>
          <w:lang w:val="en-GB"/>
        </w:rPr>
        <w:t>efficacy endpoints</w:t>
      </w:r>
      <w:r w:rsidR="000D1AFE" w:rsidRPr="00376E45">
        <w:rPr>
          <w:lang w:val="en-GB"/>
        </w:rPr>
        <w:t xml:space="preserve"> assessed </w:t>
      </w:r>
      <w:r w:rsidR="00172E2F" w:rsidRPr="00376E45">
        <w:rPr>
          <w:lang w:val="en-GB"/>
        </w:rPr>
        <w:t>includ</w:t>
      </w:r>
      <w:r w:rsidR="00D05A1A" w:rsidRPr="00376E45">
        <w:rPr>
          <w:lang w:val="en-GB"/>
        </w:rPr>
        <w:t>ed</w:t>
      </w:r>
      <w:r w:rsidR="00172E2F" w:rsidRPr="00376E45">
        <w:rPr>
          <w:lang w:val="en-GB"/>
        </w:rPr>
        <w:t xml:space="preserve"> ACR20/50/70 responses</w:t>
      </w:r>
      <w:r w:rsidRPr="00376E45">
        <w:rPr>
          <w:lang w:val="en-GB"/>
        </w:rPr>
        <w:t>, Simplified Disease Activity Index (SDAI), Clinical Disease Activity Index (CDAI)</w:t>
      </w:r>
      <w:r w:rsidR="00DD0D31" w:rsidRPr="00376E45">
        <w:rPr>
          <w:lang w:val="en-GB"/>
        </w:rPr>
        <w:t>,</w:t>
      </w:r>
      <w:r w:rsidR="000D1AFE" w:rsidRPr="00376E45">
        <w:rPr>
          <w:lang w:val="en-GB"/>
        </w:rPr>
        <w:t xml:space="preserve"> and</w:t>
      </w:r>
      <w:r w:rsidRPr="00376E45">
        <w:rPr>
          <w:lang w:val="en-GB"/>
        </w:rPr>
        <w:t xml:space="preserve"> </w:t>
      </w:r>
      <w:r w:rsidRPr="00376E45">
        <w:rPr>
          <w:color w:val="000000"/>
          <w:shd w:val="clear" w:color="auto" w:fill="FFFFFF"/>
          <w:lang w:val="en-GB"/>
        </w:rPr>
        <w:t>Disease Activity Score</w:t>
      </w:r>
      <w:r w:rsidR="00DA4481" w:rsidRPr="00376E45">
        <w:rPr>
          <w:color w:val="000000"/>
          <w:shd w:val="clear" w:color="auto" w:fill="FFFFFF"/>
          <w:lang w:val="en-GB"/>
        </w:rPr>
        <w:t xml:space="preserve"> </w:t>
      </w:r>
      <w:r w:rsidR="00D05A1A" w:rsidRPr="00376E45">
        <w:rPr>
          <w:color w:val="000000"/>
          <w:shd w:val="clear" w:color="auto" w:fill="FFFFFF"/>
          <w:lang w:val="en-GB"/>
        </w:rPr>
        <w:t xml:space="preserve">- </w:t>
      </w:r>
      <w:r w:rsidRPr="00376E45">
        <w:rPr>
          <w:color w:val="000000"/>
          <w:shd w:val="clear" w:color="auto" w:fill="FFFFFF"/>
          <w:lang w:val="en-GB"/>
        </w:rPr>
        <w:t>28</w:t>
      </w:r>
      <w:r w:rsidR="00E67BC0" w:rsidRPr="00376E45">
        <w:rPr>
          <w:color w:val="000000"/>
          <w:shd w:val="clear" w:color="auto" w:fill="FFFFFF"/>
          <w:lang w:val="en-GB"/>
        </w:rPr>
        <w:t>,</w:t>
      </w:r>
      <w:r w:rsidRPr="00376E45">
        <w:rPr>
          <w:color w:val="000000"/>
          <w:shd w:val="clear" w:color="auto" w:fill="FFFFFF"/>
          <w:lang w:val="en-GB"/>
        </w:rPr>
        <w:t xml:space="preserve"> erythrocyte sedimentation rate</w:t>
      </w:r>
      <w:r w:rsidR="000D1AFE" w:rsidRPr="00376E45">
        <w:rPr>
          <w:lang w:val="en-GB"/>
        </w:rPr>
        <w:t xml:space="preserve"> (DAS28-4[ESR])</w:t>
      </w:r>
      <w:r w:rsidRPr="00376E45">
        <w:rPr>
          <w:lang w:val="en-GB"/>
        </w:rPr>
        <w:t xml:space="preserve"> </w:t>
      </w:r>
      <w:r w:rsidR="00910AD5" w:rsidRPr="00376E45">
        <w:rPr>
          <w:lang w:val="en-GB"/>
        </w:rPr>
        <w:t xml:space="preserve">at several </w:t>
      </w:r>
      <w:proofErr w:type="spellStart"/>
      <w:r w:rsidR="00910AD5" w:rsidRPr="00376E45">
        <w:rPr>
          <w:lang w:val="en-GB"/>
        </w:rPr>
        <w:t>time</w:t>
      </w:r>
      <w:r w:rsidR="00172E2F" w:rsidRPr="00376E45">
        <w:rPr>
          <w:lang w:val="en-GB"/>
        </w:rPr>
        <w:t>points</w:t>
      </w:r>
      <w:proofErr w:type="spellEnd"/>
      <w:r w:rsidR="00172E2F" w:rsidRPr="00376E45">
        <w:rPr>
          <w:lang w:val="en-GB"/>
        </w:rPr>
        <w:t xml:space="preserve">, </w:t>
      </w:r>
      <w:r w:rsidR="0010797C" w:rsidRPr="00376E45">
        <w:rPr>
          <w:lang w:val="en-GB"/>
        </w:rPr>
        <w:t>and a</w:t>
      </w:r>
      <w:r w:rsidR="00F77853" w:rsidRPr="00376E45">
        <w:rPr>
          <w:lang w:val="en-GB"/>
        </w:rPr>
        <w:t>dverse events and laboratory parameters</w:t>
      </w:r>
      <w:r w:rsidR="0010797C" w:rsidRPr="00376E45">
        <w:rPr>
          <w:lang w:val="en-GB"/>
        </w:rPr>
        <w:t xml:space="preserve"> throughout</w:t>
      </w:r>
      <w:r w:rsidR="005C1CBE" w:rsidRPr="00376E45">
        <w:rPr>
          <w:lang w:val="en-GB"/>
        </w:rPr>
        <w:t xml:space="preserve">. </w:t>
      </w:r>
      <w:r w:rsidR="00910AD5" w:rsidRPr="00376E45">
        <w:rPr>
          <w:lang w:val="en-GB"/>
        </w:rPr>
        <w:t>(</w:t>
      </w:r>
      <w:r w:rsidR="005C1CBE" w:rsidRPr="00376E45">
        <w:rPr>
          <w:lang w:val="en-GB"/>
        </w:rPr>
        <w:t>ClinicalTrials.gov</w:t>
      </w:r>
      <w:r w:rsidR="00910AD5" w:rsidRPr="00376E45">
        <w:rPr>
          <w:lang w:val="en-GB"/>
        </w:rPr>
        <w:t>:</w:t>
      </w:r>
      <w:r w:rsidR="005C1CBE" w:rsidRPr="00376E45">
        <w:rPr>
          <w:lang w:val="en-GB"/>
        </w:rPr>
        <w:t xml:space="preserve"> </w:t>
      </w:r>
      <w:r w:rsidR="009658F8" w:rsidRPr="00376E45">
        <w:rPr>
          <w:lang w:val="en-GB"/>
        </w:rPr>
        <w:t>NCT02187055</w:t>
      </w:r>
      <w:r w:rsidR="005C1CBE" w:rsidRPr="00376E45">
        <w:rPr>
          <w:lang w:val="en-GB"/>
        </w:rPr>
        <w:t>.</w:t>
      </w:r>
      <w:r w:rsidR="00910AD5" w:rsidRPr="00376E45">
        <w:rPr>
          <w:lang w:val="en-GB"/>
        </w:rPr>
        <w:t>)</w:t>
      </w:r>
    </w:p>
    <w:p w14:paraId="49855646" w14:textId="0968E06A" w:rsidR="0043290E" w:rsidRPr="00376E45" w:rsidRDefault="0043290E" w:rsidP="0043290E">
      <w:pPr>
        <w:rPr>
          <w:lang w:val="en-GB"/>
        </w:rPr>
      </w:pPr>
      <w:r w:rsidRPr="00376E45">
        <w:rPr>
          <w:b/>
          <w:lang w:val="en-GB"/>
        </w:rPr>
        <w:t>Findings</w:t>
      </w:r>
      <w:r w:rsidRPr="00376E45">
        <w:rPr>
          <w:lang w:val="en-GB"/>
        </w:rPr>
        <w:t xml:space="preserve">: A total </w:t>
      </w:r>
      <w:r w:rsidR="00F77853" w:rsidRPr="00376E45">
        <w:rPr>
          <w:lang w:val="en-GB"/>
        </w:rPr>
        <w:t xml:space="preserve">of 1146 patients </w:t>
      </w:r>
      <w:r w:rsidR="005B5D05" w:rsidRPr="00376E45">
        <w:rPr>
          <w:lang w:val="en-GB"/>
        </w:rPr>
        <w:t>received treatment</w:t>
      </w:r>
      <w:r w:rsidR="00321BA5" w:rsidRPr="00376E45">
        <w:rPr>
          <w:lang w:val="en-GB"/>
        </w:rPr>
        <w:t xml:space="preserve"> </w:t>
      </w:r>
      <w:r w:rsidRPr="00376E45">
        <w:rPr>
          <w:lang w:val="en-GB"/>
        </w:rPr>
        <w:t xml:space="preserve">(tofacitinib monotherapy: n=384; tofacitinib + MTX: n=376; adalimumab + MTX: n=386). </w:t>
      </w:r>
      <w:r w:rsidR="000D1AFE" w:rsidRPr="00376E45">
        <w:rPr>
          <w:lang w:val="en-GB"/>
        </w:rPr>
        <w:t>At 6 months, ACR50 response rates were</w:t>
      </w:r>
      <w:r w:rsidR="00321BA5" w:rsidRPr="00376E45">
        <w:rPr>
          <w:lang w:val="en-GB"/>
        </w:rPr>
        <w:t xml:space="preserve"> achieved in </w:t>
      </w:r>
      <w:r w:rsidR="006607E4" w:rsidRPr="00376E45">
        <w:rPr>
          <w:lang w:val="en-GB"/>
        </w:rPr>
        <w:t>38</w:t>
      </w:r>
      <w:r w:rsidR="007436B3" w:rsidRPr="00376E45">
        <w:rPr>
          <w:lang w:val="en-GB"/>
        </w:rPr>
        <w:t>·</w:t>
      </w:r>
      <w:r w:rsidR="00321BA5" w:rsidRPr="00376E45">
        <w:rPr>
          <w:lang w:val="en-GB"/>
        </w:rPr>
        <w:t>3% with</w:t>
      </w:r>
      <w:r w:rsidR="0010797C" w:rsidRPr="00376E45">
        <w:rPr>
          <w:lang w:val="en-GB"/>
        </w:rPr>
        <w:t xml:space="preserve"> </w:t>
      </w:r>
      <w:r w:rsidR="000D1AFE" w:rsidRPr="00376E45">
        <w:rPr>
          <w:lang w:val="en-GB"/>
        </w:rPr>
        <w:t>tofacitinib monotherapy</w:t>
      </w:r>
      <w:r w:rsidR="0010797C" w:rsidRPr="00376E45">
        <w:rPr>
          <w:lang w:val="en-GB"/>
        </w:rPr>
        <w:t>,</w:t>
      </w:r>
      <w:r w:rsidR="000D1AFE" w:rsidRPr="00376E45">
        <w:rPr>
          <w:lang w:val="en-GB"/>
        </w:rPr>
        <w:t xml:space="preserve"> </w:t>
      </w:r>
      <w:r w:rsidR="00321BA5" w:rsidRPr="00376E45">
        <w:rPr>
          <w:lang w:val="en-GB"/>
        </w:rPr>
        <w:t>46</w:t>
      </w:r>
      <w:r w:rsidR="007436B3" w:rsidRPr="00376E45">
        <w:rPr>
          <w:lang w:val="en-GB"/>
        </w:rPr>
        <w:t>·</w:t>
      </w:r>
      <w:r w:rsidR="00321BA5" w:rsidRPr="00376E45">
        <w:rPr>
          <w:lang w:val="en-GB"/>
        </w:rPr>
        <w:t xml:space="preserve">0% with </w:t>
      </w:r>
      <w:r w:rsidR="000D1AFE" w:rsidRPr="00376E45">
        <w:rPr>
          <w:lang w:val="en-GB"/>
        </w:rPr>
        <w:t>tofacitinib + MTX</w:t>
      </w:r>
      <w:r w:rsidR="00DD0D31" w:rsidRPr="00376E45">
        <w:rPr>
          <w:lang w:val="en-GB"/>
        </w:rPr>
        <w:t>,</w:t>
      </w:r>
      <w:r w:rsidR="00321BA5" w:rsidRPr="00376E45">
        <w:rPr>
          <w:lang w:val="en-GB"/>
        </w:rPr>
        <w:t xml:space="preserve"> and 43</w:t>
      </w:r>
      <w:r w:rsidR="007436B3" w:rsidRPr="00376E45">
        <w:rPr>
          <w:lang w:val="en-GB"/>
        </w:rPr>
        <w:t>·</w:t>
      </w:r>
      <w:r w:rsidR="00321BA5" w:rsidRPr="00376E45">
        <w:rPr>
          <w:lang w:val="en-GB"/>
        </w:rPr>
        <w:t xml:space="preserve">8% with </w:t>
      </w:r>
      <w:r w:rsidR="000D1AFE" w:rsidRPr="00376E45">
        <w:rPr>
          <w:lang w:val="en-GB"/>
        </w:rPr>
        <w:t>adalimumab + MTX</w:t>
      </w:r>
      <w:r w:rsidR="0010797C" w:rsidRPr="00376E45">
        <w:rPr>
          <w:lang w:val="en-GB"/>
        </w:rPr>
        <w:t>.</w:t>
      </w:r>
      <w:r w:rsidR="000D1AFE" w:rsidRPr="00376E45">
        <w:rPr>
          <w:lang w:val="en-GB"/>
        </w:rPr>
        <w:t xml:space="preserve"> </w:t>
      </w:r>
      <w:r w:rsidRPr="00376E45">
        <w:rPr>
          <w:lang w:val="en-GB"/>
        </w:rPr>
        <w:t xml:space="preserve">Non-inferiority </w:t>
      </w:r>
      <w:r w:rsidR="0010797C" w:rsidRPr="00376E45">
        <w:rPr>
          <w:lang w:val="en-GB"/>
        </w:rPr>
        <w:t>was</w:t>
      </w:r>
      <w:r w:rsidR="00321BA5" w:rsidRPr="00376E45">
        <w:rPr>
          <w:lang w:val="en-GB"/>
        </w:rPr>
        <w:t xml:space="preserve"> declared</w:t>
      </w:r>
      <w:r w:rsidR="00DA4481" w:rsidRPr="00376E45">
        <w:rPr>
          <w:lang w:val="en-GB"/>
        </w:rPr>
        <w:t xml:space="preserve"> </w:t>
      </w:r>
      <w:r w:rsidRPr="00376E45">
        <w:rPr>
          <w:lang w:val="en-GB"/>
        </w:rPr>
        <w:t>for tofacitinib + MTX versus adalimumab + MTX (difference [98</w:t>
      </w:r>
      <w:r w:rsidR="007436B3" w:rsidRPr="00376E45">
        <w:rPr>
          <w:lang w:val="en-GB"/>
        </w:rPr>
        <w:t>·</w:t>
      </w:r>
      <w:r w:rsidRPr="00376E45">
        <w:rPr>
          <w:lang w:val="en-GB"/>
        </w:rPr>
        <w:t>34% CI]: 2</w:t>
      </w:r>
      <w:r w:rsidR="007436B3" w:rsidRPr="00376E45">
        <w:rPr>
          <w:lang w:val="en-GB"/>
        </w:rPr>
        <w:t>·</w:t>
      </w:r>
      <w:r w:rsidRPr="00376E45">
        <w:rPr>
          <w:lang w:val="en-GB"/>
        </w:rPr>
        <w:t>2% [−6</w:t>
      </w:r>
      <w:r w:rsidR="007436B3" w:rsidRPr="00376E45">
        <w:rPr>
          <w:lang w:val="en-GB"/>
        </w:rPr>
        <w:t>·</w:t>
      </w:r>
      <w:r w:rsidRPr="00376E45">
        <w:rPr>
          <w:lang w:val="en-GB"/>
        </w:rPr>
        <w:t>4</w:t>
      </w:r>
      <w:r w:rsidR="007A7876" w:rsidRPr="00376E45">
        <w:rPr>
          <w:lang w:val="en-GB"/>
        </w:rPr>
        <w:t xml:space="preserve"> to </w:t>
      </w:r>
      <w:r w:rsidRPr="00376E45">
        <w:rPr>
          <w:lang w:val="en-GB"/>
        </w:rPr>
        <w:t>10</w:t>
      </w:r>
      <w:r w:rsidR="007436B3" w:rsidRPr="00376E45">
        <w:rPr>
          <w:lang w:val="en-GB"/>
        </w:rPr>
        <w:t>·</w:t>
      </w:r>
      <w:r w:rsidRPr="00376E45">
        <w:rPr>
          <w:lang w:val="en-GB"/>
        </w:rPr>
        <w:t xml:space="preserve">9]) but not for tofacitinib monotherapy versus </w:t>
      </w:r>
      <w:r w:rsidR="00737EFD" w:rsidRPr="00376E45">
        <w:rPr>
          <w:lang w:val="en-GB"/>
        </w:rPr>
        <w:t xml:space="preserve">either </w:t>
      </w:r>
      <w:r w:rsidR="00766ED4" w:rsidRPr="00376E45">
        <w:rPr>
          <w:lang w:val="en-GB"/>
        </w:rPr>
        <w:t xml:space="preserve">adalimumab </w:t>
      </w:r>
      <w:r w:rsidRPr="00376E45">
        <w:rPr>
          <w:lang w:val="en-GB"/>
        </w:rPr>
        <w:t>+ MTX (</w:t>
      </w:r>
      <w:r w:rsidR="00D5246A" w:rsidRPr="00376E45">
        <w:rPr>
          <w:lang w:val="en-GB"/>
        </w:rPr>
        <w:t>−</w:t>
      </w:r>
      <w:r w:rsidRPr="00376E45">
        <w:rPr>
          <w:lang w:val="en-GB"/>
        </w:rPr>
        <w:t>5</w:t>
      </w:r>
      <w:r w:rsidR="007436B3" w:rsidRPr="00376E45">
        <w:rPr>
          <w:lang w:val="en-GB"/>
        </w:rPr>
        <w:t>·</w:t>
      </w:r>
      <w:r w:rsidRPr="00376E45">
        <w:rPr>
          <w:lang w:val="en-GB"/>
        </w:rPr>
        <w:t>5 [−14</w:t>
      </w:r>
      <w:r w:rsidR="007436B3" w:rsidRPr="00376E45">
        <w:rPr>
          <w:lang w:val="en-GB"/>
        </w:rPr>
        <w:t>·</w:t>
      </w:r>
      <w:r w:rsidRPr="00376E45">
        <w:rPr>
          <w:lang w:val="en-GB"/>
        </w:rPr>
        <w:t>0</w:t>
      </w:r>
      <w:r w:rsidR="007A7876" w:rsidRPr="00376E45">
        <w:rPr>
          <w:lang w:val="en-GB"/>
        </w:rPr>
        <w:t xml:space="preserve"> to </w:t>
      </w:r>
      <w:r w:rsidRPr="00376E45">
        <w:rPr>
          <w:lang w:val="en-GB"/>
        </w:rPr>
        <w:t>3</w:t>
      </w:r>
      <w:r w:rsidR="007436B3" w:rsidRPr="00376E45">
        <w:rPr>
          <w:lang w:val="en-GB"/>
        </w:rPr>
        <w:t>·</w:t>
      </w:r>
      <w:r w:rsidRPr="00376E45">
        <w:rPr>
          <w:lang w:val="en-GB"/>
        </w:rPr>
        <w:t xml:space="preserve">0]) or </w:t>
      </w:r>
      <w:r w:rsidR="00766ED4" w:rsidRPr="00376E45">
        <w:rPr>
          <w:lang w:val="en-GB"/>
        </w:rPr>
        <w:t>tofacitinib</w:t>
      </w:r>
      <w:r w:rsidR="00766ED4" w:rsidRPr="00376E45" w:rsidDel="00766ED4">
        <w:rPr>
          <w:lang w:val="en-GB"/>
        </w:rPr>
        <w:t xml:space="preserve"> </w:t>
      </w:r>
      <w:r w:rsidRPr="00376E45">
        <w:rPr>
          <w:lang w:val="en-GB"/>
        </w:rPr>
        <w:t>+ MTX (</w:t>
      </w:r>
      <w:r w:rsidR="00D5246A" w:rsidRPr="00376E45">
        <w:rPr>
          <w:lang w:val="en-GB"/>
        </w:rPr>
        <w:t>−</w:t>
      </w:r>
      <w:r w:rsidRPr="00376E45">
        <w:rPr>
          <w:lang w:val="en-GB"/>
        </w:rPr>
        <w:t>7</w:t>
      </w:r>
      <w:r w:rsidR="007436B3" w:rsidRPr="00376E45">
        <w:rPr>
          <w:lang w:val="en-GB"/>
        </w:rPr>
        <w:t>·</w:t>
      </w:r>
      <w:r w:rsidRPr="00376E45">
        <w:rPr>
          <w:lang w:val="en-GB"/>
        </w:rPr>
        <w:t>7 [−16</w:t>
      </w:r>
      <w:r w:rsidR="007436B3" w:rsidRPr="00376E45">
        <w:rPr>
          <w:lang w:val="en-GB"/>
        </w:rPr>
        <w:t>·</w:t>
      </w:r>
      <w:r w:rsidRPr="00376E45">
        <w:rPr>
          <w:lang w:val="en-GB"/>
        </w:rPr>
        <w:t>3</w:t>
      </w:r>
      <w:r w:rsidR="007A7876" w:rsidRPr="00376E45">
        <w:rPr>
          <w:lang w:val="en-GB"/>
        </w:rPr>
        <w:t xml:space="preserve"> to </w:t>
      </w:r>
      <w:r w:rsidRPr="00376E45">
        <w:rPr>
          <w:lang w:val="en-GB"/>
        </w:rPr>
        <w:t>0</w:t>
      </w:r>
      <w:r w:rsidR="007436B3" w:rsidRPr="00376E45">
        <w:rPr>
          <w:lang w:val="en-GB"/>
        </w:rPr>
        <w:t>·</w:t>
      </w:r>
      <w:r w:rsidRPr="00376E45">
        <w:rPr>
          <w:lang w:val="en-GB"/>
        </w:rPr>
        <w:t xml:space="preserve">8]). Secondary endpoints supported primary observations. No </w:t>
      </w:r>
      <w:r w:rsidR="00F77853" w:rsidRPr="00376E45">
        <w:rPr>
          <w:lang w:val="en-GB"/>
        </w:rPr>
        <w:t xml:space="preserve">new or </w:t>
      </w:r>
      <w:r w:rsidRPr="00376E45">
        <w:rPr>
          <w:lang w:val="en-GB"/>
        </w:rPr>
        <w:t>unexpected safety issues were observed</w:t>
      </w:r>
      <w:r w:rsidR="00321BA5" w:rsidRPr="00376E45">
        <w:rPr>
          <w:lang w:val="en-GB"/>
        </w:rPr>
        <w:t xml:space="preserve"> for either treatment</w:t>
      </w:r>
      <w:r w:rsidR="00F779DF" w:rsidRPr="00376E45">
        <w:rPr>
          <w:lang w:val="en-GB"/>
        </w:rPr>
        <w:t xml:space="preserve"> in this study</w:t>
      </w:r>
      <w:r w:rsidR="00D6305D" w:rsidRPr="00376E45">
        <w:rPr>
          <w:lang w:val="en-GB"/>
        </w:rPr>
        <w:t xml:space="preserve"> of limited duration</w:t>
      </w:r>
      <w:r w:rsidR="00321BA5" w:rsidRPr="00376E45">
        <w:rPr>
          <w:lang w:val="en-GB"/>
        </w:rPr>
        <w:t>.</w:t>
      </w:r>
      <w:r w:rsidR="006B24FC" w:rsidRPr="00376E45">
        <w:rPr>
          <w:lang w:val="en-GB"/>
        </w:rPr>
        <w:t xml:space="preserve"> </w:t>
      </w:r>
    </w:p>
    <w:p w14:paraId="1B4B8B3B" w14:textId="798AA03A" w:rsidR="0043290E" w:rsidRPr="00376E45" w:rsidRDefault="0043290E" w:rsidP="0043290E">
      <w:pPr>
        <w:rPr>
          <w:lang w:val="en-GB"/>
        </w:rPr>
      </w:pPr>
      <w:r w:rsidRPr="00376E45">
        <w:rPr>
          <w:b/>
          <w:lang w:val="en-GB"/>
        </w:rPr>
        <w:t>Interpretation</w:t>
      </w:r>
      <w:r w:rsidRPr="00376E45">
        <w:rPr>
          <w:lang w:val="en-GB"/>
        </w:rPr>
        <w:t xml:space="preserve">: Tofacitinib + MTX was non-inferior to adalimumab + MTX </w:t>
      </w:r>
      <w:r w:rsidR="00AE2473" w:rsidRPr="00376E45">
        <w:rPr>
          <w:lang w:val="en-GB"/>
        </w:rPr>
        <w:t xml:space="preserve">in </w:t>
      </w:r>
      <w:r w:rsidRPr="00376E45">
        <w:rPr>
          <w:lang w:val="en-GB"/>
        </w:rPr>
        <w:t>the treatment of RA in patients with an inadequate response to MTX</w:t>
      </w:r>
      <w:r w:rsidR="00321BA5" w:rsidRPr="00376E45">
        <w:rPr>
          <w:lang w:val="en-GB"/>
        </w:rPr>
        <w:t xml:space="preserve"> in this trial. </w:t>
      </w:r>
      <w:r w:rsidR="003F5FE4" w:rsidRPr="00376E45">
        <w:rPr>
          <w:lang w:val="en-GB"/>
        </w:rPr>
        <w:t>Tofacitinib</w:t>
      </w:r>
      <w:r w:rsidR="003270D2" w:rsidRPr="00376E45">
        <w:rPr>
          <w:lang w:val="en-GB"/>
        </w:rPr>
        <w:t xml:space="preserve"> </w:t>
      </w:r>
      <w:r w:rsidR="00424DBC" w:rsidRPr="00376E45">
        <w:rPr>
          <w:lang w:val="en-GB"/>
        </w:rPr>
        <w:t>monotherapy</w:t>
      </w:r>
      <w:r w:rsidR="003F5FE4" w:rsidRPr="00376E45">
        <w:rPr>
          <w:lang w:val="en-GB"/>
        </w:rPr>
        <w:t xml:space="preserve"> </w:t>
      </w:r>
      <w:r w:rsidR="00394B89" w:rsidRPr="00376E45">
        <w:rPr>
          <w:lang w:val="en-GB"/>
        </w:rPr>
        <w:t>could</w:t>
      </w:r>
      <w:r w:rsidR="003F5FE4" w:rsidRPr="00376E45">
        <w:rPr>
          <w:lang w:val="en-GB"/>
        </w:rPr>
        <w:t xml:space="preserve"> not be</w:t>
      </w:r>
      <w:r w:rsidR="003270D2" w:rsidRPr="00376E45">
        <w:rPr>
          <w:lang w:val="en-GB"/>
        </w:rPr>
        <w:t xml:space="preserve"> declared</w:t>
      </w:r>
      <w:r w:rsidR="003F5FE4" w:rsidRPr="00376E45">
        <w:rPr>
          <w:lang w:val="en-GB"/>
        </w:rPr>
        <w:t xml:space="preserve"> non-inferior to either combination.</w:t>
      </w:r>
      <w:r w:rsidR="003270D2" w:rsidRPr="00376E45">
        <w:rPr>
          <w:lang w:val="en-GB"/>
        </w:rPr>
        <w:t xml:space="preserve"> </w:t>
      </w:r>
    </w:p>
    <w:p w14:paraId="5C58E082" w14:textId="57C47A8A" w:rsidR="001211ED" w:rsidRPr="00376E45" w:rsidRDefault="00471570" w:rsidP="005C1CBE">
      <w:pPr>
        <w:pStyle w:val="Heading1"/>
        <w:rPr>
          <w:lang w:val="en-GB"/>
        </w:rPr>
        <w:sectPr w:rsidR="001211ED" w:rsidRPr="00376E45" w:rsidSect="009A79A6">
          <w:footerReference w:type="default" r:id="rId11"/>
          <w:pgSz w:w="11907" w:h="16839" w:code="9"/>
          <w:pgMar w:top="1440" w:right="1440" w:bottom="1440" w:left="1797" w:header="720" w:footer="720" w:gutter="0"/>
          <w:lnNumType w:countBy="1" w:restart="continuous"/>
          <w:cols w:space="720"/>
          <w:docGrid w:linePitch="360"/>
        </w:sectPr>
      </w:pPr>
      <w:r w:rsidRPr="00376E45">
        <w:rPr>
          <w:lang w:val="en-GB"/>
        </w:rPr>
        <w:t>Funded by:</w:t>
      </w:r>
      <w:r w:rsidRPr="00376E45">
        <w:rPr>
          <w:i/>
          <w:lang w:val="en-GB"/>
        </w:rPr>
        <w:t xml:space="preserve"> </w:t>
      </w:r>
      <w:r w:rsidRPr="00376E45">
        <w:rPr>
          <w:b w:val="0"/>
          <w:lang w:val="en-GB"/>
        </w:rPr>
        <w:t>Pfizer Inc.</w:t>
      </w:r>
      <w:r w:rsidR="00DA21C6" w:rsidRPr="00376E45">
        <w:rPr>
          <w:lang w:val="en-GB"/>
        </w:rPr>
        <w:t xml:space="preserve"> </w:t>
      </w:r>
    </w:p>
    <w:p w14:paraId="58A9D043" w14:textId="77777777" w:rsidR="00140709" w:rsidRPr="00376E45" w:rsidRDefault="00140709" w:rsidP="00140709">
      <w:pPr>
        <w:pStyle w:val="Heading1"/>
        <w:rPr>
          <w:lang w:val="en-GB"/>
        </w:rPr>
      </w:pPr>
      <w:r w:rsidRPr="00376E45">
        <w:rPr>
          <w:lang w:val="en-GB"/>
        </w:rPr>
        <w:t>Introduction</w:t>
      </w:r>
    </w:p>
    <w:p w14:paraId="08486A89" w14:textId="24FB2EE0" w:rsidR="004319EC" w:rsidRPr="00376E45" w:rsidRDefault="00140709" w:rsidP="004319EC">
      <w:pPr>
        <w:rPr>
          <w:lang w:val="en-GB"/>
        </w:rPr>
      </w:pPr>
      <w:r w:rsidRPr="00376E45">
        <w:rPr>
          <w:lang w:val="en-GB"/>
        </w:rPr>
        <w:t>Rheumatoid arthritis (RA) is a chronic</w:t>
      </w:r>
      <w:r w:rsidR="00F7208F" w:rsidRPr="00376E45">
        <w:rPr>
          <w:lang w:val="en-GB"/>
        </w:rPr>
        <w:t>, systemic autoimmune disease characteris</w:t>
      </w:r>
      <w:r w:rsidRPr="00376E45">
        <w:rPr>
          <w:lang w:val="en-GB"/>
        </w:rPr>
        <w:t>ed by</w:t>
      </w:r>
      <w:r w:rsidR="00321BA5" w:rsidRPr="00376E45">
        <w:rPr>
          <w:lang w:val="en-GB"/>
        </w:rPr>
        <w:t xml:space="preserve"> </w:t>
      </w:r>
      <w:r w:rsidRPr="00376E45">
        <w:rPr>
          <w:lang w:val="en-GB"/>
        </w:rPr>
        <w:t>inflammation, persistent synovitis</w:t>
      </w:r>
      <w:r w:rsidR="00F7208F" w:rsidRPr="00376E45">
        <w:rPr>
          <w:lang w:val="en-GB"/>
        </w:rPr>
        <w:t>,</w:t>
      </w:r>
      <w:r w:rsidRPr="00376E45">
        <w:rPr>
          <w:lang w:val="en-GB"/>
        </w:rPr>
        <w:t xml:space="preserve"> and </w:t>
      </w:r>
      <w:r w:rsidR="00321BA5" w:rsidRPr="00376E45">
        <w:rPr>
          <w:lang w:val="en-GB"/>
        </w:rPr>
        <w:t xml:space="preserve">eventual </w:t>
      </w:r>
      <w:r w:rsidRPr="00376E45">
        <w:rPr>
          <w:lang w:val="en-GB"/>
        </w:rPr>
        <w:t>joint destruction</w:t>
      </w:r>
      <w:r w:rsidR="00D5246A" w:rsidRPr="00376E45">
        <w:rPr>
          <w:lang w:val="en-GB"/>
        </w:rPr>
        <w:t>.</w:t>
      </w:r>
      <w:r w:rsidR="00FD652D" w:rsidRPr="00376E45">
        <w:rPr>
          <w:vertAlign w:val="superscript"/>
          <w:lang w:val="en-GB"/>
        </w:rPr>
        <w:t>1</w:t>
      </w:r>
      <w:r w:rsidR="00D77D2C" w:rsidRPr="00376E45">
        <w:rPr>
          <w:lang w:val="en-GB"/>
        </w:rPr>
        <w:t xml:space="preserve"> </w:t>
      </w:r>
      <w:r w:rsidR="004319EC" w:rsidRPr="00376E45">
        <w:rPr>
          <w:lang w:val="en-GB"/>
        </w:rPr>
        <w:t xml:space="preserve">In patients who have an inadequate response </w:t>
      </w:r>
      <w:r w:rsidR="00321BA5" w:rsidRPr="00376E45">
        <w:rPr>
          <w:lang w:val="en-GB"/>
        </w:rPr>
        <w:t xml:space="preserve">(IR) </w:t>
      </w:r>
      <w:r w:rsidR="004319EC" w:rsidRPr="00376E45">
        <w:rPr>
          <w:lang w:val="en-GB"/>
        </w:rPr>
        <w:t>to therapy with conventional synthetic disease-modifying antirheumatic drugs (csDMARDs</w:t>
      </w:r>
      <w:r w:rsidR="00321BA5" w:rsidRPr="00376E45">
        <w:rPr>
          <w:lang w:val="en-GB"/>
        </w:rPr>
        <w:t>), such as</w:t>
      </w:r>
      <w:r w:rsidR="00DA4481" w:rsidRPr="00376E45">
        <w:rPr>
          <w:lang w:val="en-GB"/>
        </w:rPr>
        <w:t xml:space="preserve"> </w:t>
      </w:r>
      <w:r w:rsidR="004319EC" w:rsidRPr="00376E45">
        <w:rPr>
          <w:lang w:val="en-GB"/>
        </w:rPr>
        <w:t>methotrexate</w:t>
      </w:r>
      <w:r w:rsidR="0053420C" w:rsidRPr="00376E45">
        <w:rPr>
          <w:lang w:val="en-GB"/>
        </w:rPr>
        <w:t xml:space="preserve"> (MTX)</w:t>
      </w:r>
      <w:r w:rsidR="00AE2473" w:rsidRPr="00376E45">
        <w:rPr>
          <w:lang w:val="en-GB"/>
        </w:rPr>
        <w:t>,</w:t>
      </w:r>
      <w:r w:rsidR="00373EB0" w:rsidRPr="00376E45">
        <w:rPr>
          <w:lang w:val="en-GB"/>
        </w:rPr>
        <w:t xml:space="preserve"> either as monotherapy or in combination with other csDMARDs</w:t>
      </w:r>
      <w:r w:rsidR="004319EC" w:rsidRPr="00376E45">
        <w:rPr>
          <w:lang w:val="en-GB"/>
        </w:rPr>
        <w:t xml:space="preserve">, the addition of </w:t>
      </w:r>
      <w:r w:rsidR="006B7654" w:rsidRPr="00376E45">
        <w:rPr>
          <w:lang w:val="en-GB"/>
        </w:rPr>
        <w:t xml:space="preserve">either </w:t>
      </w:r>
      <w:r w:rsidR="004319EC" w:rsidRPr="00376E45">
        <w:rPr>
          <w:lang w:val="en-GB"/>
        </w:rPr>
        <w:t xml:space="preserve">a biologic DMARD </w:t>
      </w:r>
      <w:r w:rsidR="006B7654" w:rsidRPr="00376E45">
        <w:rPr>
          <w:lang w:val="en-GB"/>
        </w:rPr>
        <w:t>(</w:t>
      </w:r>
      <w:r w:rsidR="00AE2473" w:rsidRPr="00376E45">
        <w:rPr>
          <w:lang w:val="en-GB"/>
        </w:rPr>
        <w:t>bDMARD),</w:t>
      </w:r>
      <w:r w:rsidR="00D77D2C" w:rsidRPr="00376E45">
        <w:rPr>
          <w:lang w:val="en-GB"/>
        </w:rPr>
        <w:t xml:space="preserve"> </w:t>
      </w:r>
      <w:r w:rsidR="004319EC" w:rsidRPr="00376E45">
        <w:rPr>
          <w:lang w:val="en-GB"/>
        </w:rPr>
        <w:t>such as a tumo</w:t>
      </w:r>
      <w:r w:rsidR="00F7208F" w:rsidRPr="00376E45">
        <w:rPr>
          <w:lang w:val="en-GB"/>
        </w:rPr>
        <w:t>u</w:t>
      </w:r>
      <w:r w:rsidR="004319EC" w:rsidRPr="00376E45">
        <w:rPr>
          <w:lang w:val="en-GB"/>
        </w:rPr>
        <w:t>r necrosis factor inhibitor</w:t>
      </w:r>
      <w:r w:rsidR="00AE2473" w:rsidRPr="00376E45">
        <w:rPr>
          <w:lang w:val="en-GB"/>
        </w:rPr>
        <w:t xml:space="preserve"> (</w:t>
      </w:r>
      <w:r w:rsidR="004319EC" w:rsidRPr="00376E45">
        <w:rPr>
          <w:lang w:val="en-GB"/>
        </w:rPr>
        <w:t>TNFi</w:t>
      </w:r>
      <w:r w:rsidR="006B7654" w:rsidRPr="00376E45">
        <w:rPr>
          <w:lang w:val="en-GB"/>
        </w:rPr>
        <w:t>)</w:t>
      </w:r>
      <w:r w:rsidR="004319EC" w:rsidRPr="00376E45">
        <w:rPr>
          <w:lang w:val="en-GB"/>
        </w:rPr>
        <w:t xml:space="preserve"> or </w:t>
      </w:r>
      <w:r w:rsidR="006B7654" w:rsidRPr="00376E45">
        <w:rPr>
          <w:lang w:val="en-GB"/>
        </w:rPr>
        <w:t>a targeted synthetic DMARD (</w:t>
      </w:r>
      <w:proofErr w:type="spellStart"/>
      <w:r w:rsidR="006B7654" w:rsidRPr="00376E45">
        <w:rPr>
          <w:lang w:val="en-GB"/>
        </w:rPr>
        <w:t>tsDMARD</w:t>
      </w:r>
      <w:proofErr w:type="spellEnd"/>
      <w:r w:rsidR="00AE2473" w:rsidRPr="00376E45">
        <w:rPr>
          <w:lang w:val="en-GB"/>
        </w:rPr>
        <w:t>),</w:t>
      </w:r>
      <w:r w:rsidR="006B7654" w:rsidRPr="00376E45">
        <w:rPr>
          <w:lang w:val="en-GB"/>
        </w:rPr>
        <w:t xml:space="preserve"> such as a Janus kinase </w:t>
      </w:r>
      <w:r w:rsidR="00AE2473" w:rsidRPr="00376E45">
        <w:rPr>
          <w:lang w:val="en-GB"/>
        </w:rPr>
        <w:t>(</w:t>
      </w:r>
      <w:r w:rsidR="006B7654" w:rsidRPr="00376E45">
        <w:rPr>
          <w:lang w:val="en-GB"/>
        </w:rPr>
        <w:t>JAK</w:t>
      </w:r>
      <w:r w:rsidR="00AE2473" w:rsidRPr="00376E45">
        <w:rPr>
          <w:lang w:val="en-GB"/>
        </w:rPr>
        <w:t>)</w:t>
      </w:r>
      <w:r w:rsidR="00F7208F" w:rsidRPr="00376E45">
        <w:rPr>
          <w:lang w:val="en-GB"/>
        </w:rPr>
        <w:t xml:space="preserve"> </w:t>
      </w:r>
      <w:r w:rsidR="00574483" w:rsidRPr="00376E45">
        <w:rPr>
          <w:lang w:val="en-GB"/>
        </w:rPr>
        <w:t>inhibitor</w:t>
      </w:r>
      <w:r w:rsidR="00AE2473" w:rsidRPr="00376E45">
        <w:rPr>
          <w:lang w:val="en-GB"/>
        </w:rPr>
        <w:t>,</w:t>
      </w:r>
      <w:r w:rsidR="00574483" w:rsidRPr="00376E45">
        <w:rPr>
          <w:lang w:val="en-GB"/>
        </w:rPr>
        <w:t xml:space="preserve"> </w:t>
      </w:r>
      <w:r w:rsidR="004319EC" w:rsidRPr="00376E45">
        <w:rPr>
          <w:lang w:val="en-GB"/>
        </w:rPr>
        <w:t xml:space="preserve">is recommended by </w:t>
      </w:r>
      <w:r w:rsidR="00321BA5" w:rsidRPr="00376E45">
        <w:rPr>
          <w:lang w:val="en-GB"/>
        </w:rPr>
        <w:t xml:space="preserve">both </w:t>
      </w:r>
      <w:r w:rsidR="00D77D2C" w:rsidRPr="00376E45">
        <w:rPr>
          <w:lang w:val="en-GB"/>
        </w:rPr>
        <w:t xml:space="preserve">the </w:t>
      </w:r>
      <w:r w:rsidR="004319EC" w:rsidRPr="00376E45">
        <w:rPr>
          <w:lang w:val="en-GB"/>
        </w:rPr>
        <w:t>ACR and EULAR</w:t>
      </w:r>
      <w:r w:rsidR="00D5246A" w:rsidRPr="00376E45">
        <w:rPr>
          <w:lang w:val="en-GB"/>
        </w:rPr>
        <w:t>.</w:t>
      </w:r>
      <w:r w:rsidR="00FD652D" w:rsidRPr="00376E45">
        <w:rPr>
          <w:vertAlign w:val="superscript"/>
          <w:lang w:val="en-GB"/>
        </w:rPr>
        <w:t>2,3</w:t>
      </w:r>
      <w:r w:rsidR="00357488" w:rsidRPr="00376E45">
        <w:rPr>
          <w:lang w:val="en-GB"/>
        </w:rPr>
        <w:t xml:space="preserve"> </w:t>
      </w:r>
    </w:p>
    <w:p w14:paraId="5D2BC689" w14:textId="0EA9E03F" w:rsidR="00753925" w:rsidRPr="00376E45" w:rsidRDefault="006B7654" w:rsidP="00140709">
      <w:pPr>
        <w:rPr>
          <w:lang w:val="en-GB"/>
        </w:rPr>
      </w:pPr>
      <w:r w:rsidRPr="00376E45">
        <w:rPr>
          <w:lang w:val="en-GB"/>
        </w:rPr>
        <w:t xml:space="preserve">Tofacitinib is an oral </w:t>
      </w:r>
      <w:r w:rsidR="00F7208F" w:rsidRPr="00376E45">
        <w:rPr>
          <w:lang w:val="en-GB"/>
        </w:rPr>
        <w:t xml:space="preserve">JAK </w:t>
      </w:r>
      <w:r w:rsidRPr="00376E45">
        <w:rPr>
          <w:lang w:val="en-GB"/>
        </w:rPr>
        <w:t xml:space="preserve">inhibitor </w:t>
      </w:r>
      <w:r w:rsidR="00405F3B" w:rsidRPr="00376E45">
        <w:rPr>
          <w:lang w:val="en-GB"/>
        </w:rPr>
        <w:t xml:space="preserve">approved </w:t>
      </w:r>
      <w:r w:rsidRPr="00376E45">
        <w:rPr>
          <w:lang w:val="en-GB"/>
        </w:rPr>
        <w:t xml:space="preserve">for the treatment of RA. The efficacy and safety of tofacitinib 5 and 10 mg twice daily (BID) administered as monotherapy or in combination with csDMARDs (mainly MTX) in patients with active RA, have been demonstrated in </w:t>
      </w:r>
      <w:r w:rsidRPr="00376E45">
        <w:rPr>
          <w:bCs/>
          <w:lang w:val="en-GB"/>
        </w:rPr>
        <w:t>Phase 3</w:t>
      </w:r>
      <w:r w:rsidR="00FD652D" w:rsidRPr="00376E45">
        <w:rPr>
          <w:bCs/>
          <w:vertAlign w:val="superscript"/>
          <w:lang w:val="en-GB"/>
        </w:rPr>
        <w:t>4–9</w:t>
      </w:r>
      <w:r w:rsidRPr="00376E45">
        <w:rPr>
          <w:bCs/>
          <w:lang w:val="en-GB"/>
        </w:rPr>
        <w:t xml:space="preserve"> </w:t>
      </w:r>
      <w:r w:rsidRPr="00376E45">
        <w:rPr>
          <w:lang w:val="en-GB"/>
        </w:rPr>
        <w:t>studies of up to 24 months</w:t>
      </w:r>
      <w:r w:rsidR="00F7208F" w:rsidRPr="00376E45">
        <w:rPr>
          <w:lang w:val="en-GB"/>
        </w:rPr>
        <w:t>’</w:t>
      </w:r>
      <w:r w:rsidRPr="00376E45">
        <w:rPr>
          <w:lang w:val="en-GB"/>
        </w:rPr>
        <w:t xml:space="preserve"> duration and in long-term extension (LTE) studies with up to 105 months of observation</w:t>
      </w:r>
      <w:r w:rsidR="00786387" w:rsidRPr="00376E45">
        <w:rPr>
          <w:vertAlign w:val="superscript"/>
          <w:lang w:val="en-GB"/>
        </w:rPr>
        <w:t>10,11</w:t>
      </w:r>
      <w:r w:rsidRPr="00376E45">
        <w:rPr>
          <w:lang w:val="en-GB"/>
        </w:rPr>
        <w:t xml:space="preserve"> </w:t>
      </w:r>
      <w:r w:rsidR="00E93430" w:rsidRPr="00376E45">
        <w:rPr>
          <w:lang w:val="en-GB"/>
        </w:rPr>
        <w:t>The TNFi a</w:t>
      </w:r>
      <w:r w:rsidR="00753925" w:rsidRPr="00376E45">
        <w:rPr>
          <w:lang w:val="en-GB"/>
        </w:rPr>
        <w:t>dalimumab</w:t>
      </w:r>
      <w:r w:rsidR="00E93430" w:rsidRPr="00376E45">
        <w:rPr>
          <w:lang w:val="en-GB"/>
        </w:rPr>
        <w:t xml:space="preserve"> </w:t>
      </w:r>
      <w:r w:rsidR="008D3123" w:rsidRPr="00376E45">
        <w:rPr>
          <w:lang w:val="en-GB"/>
        </w:rPr>
        <w:t>is a recombinant human monoclonal antibody</w:t>
      </w:r>
      <w:r w:rsidR="008B762B" w:rsidRPr="00376E45">
        <w:rPr>
          <w:lang w:val="en-GB"/>
        </w:rPr>
        <w:t xml:space="preserve"> </w:t>
      </w:r>
      <w:r w:rsidR="00054783" w:rsidRPr="00376E45">
        <w:rPr>
          <w:lang w:val="en-GB"/>
        </w:rPr>
        <w:t>approved as a 40 mg dose every other week (</w:t>
      </w:r>
      <w:r w:rsidR="0018489B" w:rsidRPr="00376E45">
        <w:rPr>
          <w:lang w:val="en-GB"/>
        </w:rPr>
        <w:t>Q2W</w:t>
      </w:r>
      <w:r w:rsidR="00054783" w:rsidRPr="00376E45">
        <w:rPr>
          <w:lang w:val="en-GB"/>
        </w:rPr>
        <w:t>) that</w:t>
      </w:r>
      <w:r w:rsidR="008B762B" w:rsidRPr="00376E45">
        <w:rPr>
          <w:lang w:val="en-GB"/>
        </w:rPr>
        <w:t xml:space="preserve"> </w:t>
      </w:r>
      <w:r w:rsidR="00753925" w:rsidRPr="00376E45">
        <w:rPr>
          <w:lang w:val="en-GB"/>
        </w:rPr>
        <w:t>has demonstrated</w:t>
      </w:r>
      <w:r w:rsidR="008D3123" w:rsidRPr="00376E45">
        <w:rPr>
          <w:lang w:val="en-GB"/>
        </w:rPr>
        <w:t xml:space="preserve"> efficacy</w:t>
      </w:r>
      <w:r w:rsidR="0000321B" w:rsidRPr="00376E45">
        <w:rPr>
          <w:lang w:val="en-GB"/>
        </w:rPr>
        <w:t xml:space="preserve"> in patients with active RA</w:t>
      </w:r>
      <w:r w:rsidR="00AE2473" w:rsidRPr="00376E45">
        <w:rPr>
          <w:lang w:val="en-GB"/>
        </w:rPr>
        <w:t xml:space="preserve"> who had an </w:t>
      </w:r>
      <w:r w:rsidR="00F7208F" w:rsidRPr="00376E45">
        <w:rPr>
          <w:lang w:val="en-GB"/>
        </w:rPr>
        <w:t>IR</w:t>
      </w:r>
      <w:r w:rsidR="00AE2473" w:rsidRPr="00376E45">
        <w:rPr>
          <w:lang w:val="en-GB"/>
        </w:rPr>
        <w:t xml:space="preserve"> to MTX</w:t>
      </w:r>
      <w:r w:rsidR="00953662" w:rsidRPr="00376E45">
        <w:rPr>
          <w:vertAlign w:val="superscript"/>
          <w:lang w:val="en-GB"/>
        </w:rPr>
        <w:t>12–16</w:t>
      </w:r>
      <w:r w:rsidR="003376EB" w:rsidRPr="00376E45">
        <w:rPr>
          <w:lang w:val="en-GB"/>
        </w:rPr>
        <w:t xml:space="preserve"> </w:t>
      </w:r>
      <w:r w:rsidR="000F16A3" w:rsidRPr="00376E45">
        <w:rPr>
          <w:lang w:val="en-GB"/>
        </w:rPr>
        <w:t xml:space="preserve">and </w:t>
      </w:r>
      <w:r w:rsidR="0010797C" w:rsidRPr="00376E45">
        <w:rPr>
          <w:lang w:val="en-GB"/>
        </w:rPr>
        <w:t>an acceptable</w:t>
      </w:r>
      <w:r w:rsidR="000F16A3" w:rsidRPr="00376E45">
        <w:rPr>
          <w:lang w:val="en-GB"/>
        </w:rPr>
        <w:t xml:space="preserve"> safety profile</w:t>
      </w:r>
      <w:r w:rsidR="00405F3B" w:rsidRPr="00376E45">
        <w:rPr>
          <w:lang w:val="en-GB"/>
        </w:rPr>
        <w:t xml:space="preserve"> demonstrated</w:t>
      </w:r>
      <w:r w:rsidR="000F16A3" w:rsidRPr="00376E45">
        <w:rPr>
          <w:lang w:val="en-GB"/>
        </w:rPr>
        <w:t xml:space="preserve"> in LTE studies of over </w:t>
      </w:r>
      <w:r w:rsidR="00AE2473" w:rsidRPr="00376E45">
        <w:rPr>
          <w:lang w:val="en-GB"/>
        </w:rPr>
        <w:t xml:space="preserve">10 </w:t>
      </w:r>
      <w:r w:rsidR="000F16A3" w:rsidRPr="00376E45">
        <w:rPr>
          <w:lang w:val="en-GB"/>
        </w:rPr>
        <w:t>years’ duration</w:t>
      </w:r>
      <w:r w:rsidR="00D5246A" w:rsidRPr="00376E45">
        <w:rPr>
          <w:lang w:val="en-GB"/>
        </w:rPr>
        <w:t>.</w:t>
      </w:r>
      <w:r w:rsidR="00953662" w:rsidRPr="00376E45">
        <w:rPr>
          <w:vertAlign w:val="superscript"/>
          <w:lang w:val="en-GB"/>
        </w:rPr>
        <w:t>17</w:t>
      </w:r>
    </w:p>
    <w:p w14:paraId="736C5B85" w14:textId="65C3AB69" w:rsidR="00C23901" w:rsidRPr="00376E45" w:rsidRDefault="00404C58" w:rsidP="00140709">
      <w:pPr>
        <w:rPr>
          <w:b/>
          <w:i/>
          <w:lang w:val="en-GB"/>
        </w:rPr>
      </w:pPr>
      <w:r w:rsidRPr="00376E45">
        <w:rPr>
          <w:lang w:val="en-GB" w:eastAsia="ja-JP"/>
        </w:rPr>
        <w:t xml:space="preserve">Tofacitinib is approved </w:t>
      </w:r>
      <w:r w:rsidR="00F7208F" w:rsidRPr="00376E45">
        <w:rPr>
          <w:lang w:val="en-GB" w:eastAsia="ja-JP"/>
        </w:rPr>
        <w:t>world</w:t>
      </w:r>
      <w:r w:rsidR="0010797C" w:rsidRPr="00376E45">
        <w:rPr>
          <w:lang w:val="en-GB" w:eastAsia="ja-JP"/>
        </w:rPr>
        <w:t>wide</w:t>
      </w:r>
      <w:r w:rsidRPr="00376E45">
        <w:rPr>
          <w:lang w:val="en-GB" w:eastAsia="ja-JP"/>
        </w:rPr>
        <w:t xml:space="preserve"> either as monotherapy or in combination with csDMARDs</w:t>
      </w:r>
      <w:r w:rsidR="00405F3B" w:rsidRPr="00376E45">
        <w:rPr>
          <w:lang w:val="en-GB" w:eastAsia="ja-JP"/>
        </w:rPr>
        <w:t xml:space="preserve">. No </w:t>
      </w:r>
      <w:r w:rsidR="0093459C" w:rsidRPr="00376E45">
        <w:rPr>
          <w:lang w:val="en-GB" w:eastAsia="ja-JP"/>
        </w:rPr>
        <w:t xml:space="preserve">prospective, randomized </w:t>
      </w:r>
      <w:r w:rsidR="00405F3B" w:rsidRPr="00376E45">
        <w:rPr>
          <w:lang w:val="en-GB" w:eastAsia="ja-JP"/>
        </w:rPr>
        <w:t xml:space="preserve">clinical trial has </w:t>
      </w:r>
      <w:r w:rsidR="0010797C" w:rsidRPr="00376E45">
        <w:rPr>
          <w:lang w:val="en-GB" w:eastAsia="ja-JP"/>
        </w:rPr>
        <w:t>compared</w:t>
      </w:r>
      <w:r w:rsidR="004C44F0" w:rsidRPr="00376E45">
        <w:rPr>
          <w:lang w:val="en-GB" w:eastAsia="ja-JP"/>
        </w:rPr>
        <w:t xml:space="preserve"> the</w:t>
      </w:r>
      <w:r w:rsidR="00405F3B" w:rsidRPr="00376E45">
        <w:rPr>
          <w:lang w:val="en-GB" w:eastAsia="ja-JP"/>
        </w:rPr>
        <w:t xml:space="preserve"> clinical efficacy of tofacitinib monotherapy </w:t>
      </w:r>
      <w:r w:rsidR="0010797C" w:rsidRPr="00376E45">
        <w:rPr>
          <w:lang w:val="en-GB" w:eastAsia="ja-JP"/>
        </w:rPr>
        <w:t>with</w:t>
      </w:r>
      <w:r w:rsidR="00405F3B" w:rsidRPr="00376E45">
        <w:rPr>
          <w:lang w:val="en-GB" w:eastAsia="ja-JP"/>
        </w:rPr>
        <w:t xml:space="preserve"> </w:t>
      </w:r>
      <w:r w:rsidR="00424DBC" w:rsidRPr="00376E45">
        <w:rPr>
          <w:lang w:val="en-GB" w:eastAsia="ja-JP"/>
        </w:rPr>
        <w:t xml:space="preserve">tofacitinib </w:t>
      </w:r>
      <w:r w:rsidR="0010797C" w:rsidRPr="00376E45">
        <w:rPr>
          <w:lang w:val="en-GB" w:eastAsia="ja-JP"/>
        </w:rPr>
        <w:t>in comb</w:t>
      </w:r>
      <w:r w:rsidR="00F7208F" w:rsidRPr="00376E45">
        <w:rPr>
          <w:lang w:val="en-GB" w:eastAsia="ja-JP"/>
        </w:rPr>
        <w:t>i</w:t>
      </w:r>
      <w:r w:rsidR="0010797C" w:rsidRPr="00376E45">
        <w:rPr>
          <w:lang w:val="en-GB" w:eastAsia="ja-JP"/>
        </w:rPr>
        <w:t xml:space="preserve">nation with </w:t>
      </w:r>
      <w:r w:rsidR="00405F3B" w:rsidRPr="00376E45">
        <w:rPr>
          <w:lang w:val="en-GB" w:eastAsia="ja-JP"/>
        </w:rPr>
        <w:t>a csDMARD</w:t>
      </w:r>
      <w:r w:rsidR="00753925" w:rsidRPr="00376E45">
        <w:rPr>
          <w:lang w:val="en-GB" w:eastAsia="ja-JP"/>
        </w:rPr>
        <w:t xml:space="preserve">; </w:t>
      </w:r>
      <w:r w:rsidR="0010797C" w:rsidRPr="00376E45">
        <w:rPr>
          <w:lang w:val="en-GB" w:eastAsia="ja-JP"/>
        </w:rPr>
        <w:t>post-hoc</w:t>
      </w:r>
      <w:r w:rsidR="00DA4481" w:rsidRPr="00376E45">
        <w:rPr>
          <w:lang w:val="en-GB" w:eastAsia="ja-JP"/>
        </w:rPr>
        <w:t xml:space="preserve"> </w:t>
      </w:r>
      <w:r w:rsidR="0000321B" w:rsidRPr="00376E45">
        <w:rPr>
          <w:lang w:val="en-GB" w:eastAsia="ja-JP"/>
        </w:rPr>
        <w:t xml:space="preserve">analyses suggest </w:t>
      </w:r>
      <w:r w:rsidR="000C1AA5" w:rsidRPr="00376E45">
        <w:rPr>
          <w:lang w:val="en-GB" w:eastAsia="ja-JP"/>
        </w:rPr>
        <w:t xml:space="preserve">similar </w:t>
      </w:r>
      <w:r w:rsidR="0000321B" w:rsidRPr="00376E45">
        <w:rPr>
          <w:lang w:val="en-GB" w:eastAsia="ja-JP"/>
        </w:rPr>
        <w:t>efficacy between the two approaches</w:t>
      </w:r>
      <w:r w:rsidR="00D5246A" w:rsidRPr="00376E45">
        <w:rPr>
          <w:lang w:val="en-GB" w:eastAsia="ja-JP"/>
        </w:rPr>
        <w:t>.</w:t>
      </w:r>
      <w:r w:rsidR="00953662" w:rsidRPr="00376E45">
        <w:rPr>
          <w:vertAlign w:val="superscript"/>
          <w:lang w:val="en-GB" w:eastAsia="ja-JP"/>
        </w:rPr>
        <w:t>18</w:t>
      </w:r>
      <w:r w:rsidR="0000321B" w:rsidRPr="00376E45">
        <w:rPr>
          <w:lang w:val="en-GB" w:eastAsia="ja-JP"/>
        </w:rPr>
        <w:t xml:space="preserve"> </w:t>
      </w:r>
      <w:proofErr w:type="gramStart"/>
      <w:r w:rsidR="00C23901" w:rsidRPr="00376E45">
        <w:rPr>
          <w:lang w:val="en-GB"/>
        </w:rPr>
        <w:t>Conversely</w:t>
      </w:r>
      <w:proofErr w:type="gramEnd"/>
      <w:r w:rsidR="00C23901" w:rsidRPr="00376E45">
        <w:rPr>
          <w:lang w:val="en-GB"/>
        </w:rPr>
        <w:t xml:space="preserve">, </w:t>
      </w:r>
      <w:r w:rsidR="00D87173" w:rsidRPr="00376E45">
        <w:rPr>
          <w:lang w:val="en-GB"/>
        </w:rPr>
        <w:t xml:space="preserve">as with all </w:t>
      </w:r>
      <w:proofErr w:type="spellStart"/>
      <w:r w:rsidR="00D87173" w:rsidRPr="00376E45">
        <w:rPr>
          <w:lang w:val="en-GB"/>
        </w:rPr>
        <w:t>bDMARDs</w:t>
      </w:r>
      <w:proofErr w:type="spellEnd"/>
      <w:r w:rsidR="00D87173" w:rsidRPr="00376E45">
        <w:rPr>
          <w:lang w:val="en-GB"/>
        </w:rPr>
        <w:t xml:space="preserve">, </w:t>
      </w:r>
      <w:r w:rsidR="00C23901" w:rsidRPr="00376E45">
        <w:rPr>
          <w:lang w:val="en-GB"/>
        </w:rPr>
        <w:t>e</w:t>
      </w:r>
      <w:r w:rsidR="00140709" w:rsidRPr="00376E45">
        <w:rPr>
          <w:lang w:val="en-GB"/>
        </w:rPr>
        <w:t xml:space="preserve">nhanced clinical efficacy has been </w:t>
      </w:r>
      <w:r w:rsidR="00D87173" w:rsidRPr="00376E45">
        <w:rPr>
          <w:lang w:val="en-GB"/>
        </w:rPr>
        <w:t xml:space="preserve">demonstrated </w:t>
      </w:r>
      <w:r w:rsidR="00140709" w:rsidRPr="00376E45">
        <w:rPr>
          <w:lang w:val="en-GB"/>
        </w:rPr>
        <w:t xml:space="preserve">for adalimumab with concomitant </w:t>
      </w:r>
      <w:r w:rsidR="003249A5" w:rsidRPr="00376E45">
        <w:rPr>
          <w:lang w:val="en-GB"/>
        </w:rPr>
        <w:t>MTX</w:t>
      </w:r>
      <w:r w:rsidR="00F7208F" w:rsidRPr="00376E45">
        <w:rPr>
          <w:lang w:val="en-GB"/>
        </w:rPr>
        <w:t xml:space="preserve"> compared with</w:t>
      </w:r>
      <w:r w:rsidR="00D87173" w:rsidRPr="00376E45">
        <w:rPr>
          <w:lang w:val="en-GB"/>
        </w:rPr>
        <w:t xml:space="preserve"> adalimumab monotherapy</w:t>
      </w:r>
      <w:r w:rsidR="00D5246A" w:rsidRPr="00376E45">
        <w:rPr>
          <w:lang w:val="en-GB"/>
        </w:rPr>
        <w:t>.</w:t>
      </w:r>
      <w:r w:rsidR="00953662" w:rsidRPr="00376E45">
        <w:rPr>
          <w:vertAlign w:val="superscript"/>
          <w:lang w:val="en-GB"/>
        </w:rPr>
        <w:t>19</w:t>
      </w:r>
    </w:p>
    <w:p w14:paraId="1EFFF0C9" w14:textId="7FB9E5E7" w:rsidR="00A54336" w:rsidRPr="00376E45" w:rsidRDefault="00F14477" w:rsidP="00140709">
      <w:pPr>
        <w:rPr>
          <w:lang w:val="en-GB"/>
        </w:rPr>
      </w:pPr>
      <w:r w:rsidRPr="00376E45">
        <w:rPr>
          <w:lang w:val="en-GB"/>
        </w:rPr>
        <w:t>Only</w:t>
      </w:r>
      <w:r w:rsidR="003249A5" w:rsidRPr="00376E45">
        <w:rPr>
          <w:lang w:val="en-GB"/>
        </w:rPr>
        <w:t xml:space="preserve"> two</w:t>
      </w:r>
      <w:r w:rsidRPr="00376E45">
        <w:rPr>
          <w:lang w:val="en-GB"/>
        </w:rPr>
        <w:t xml:space="preserve"> </w:t>
      </w:r>
      <w:r w:rsidR="000C0A6C" w:rsidRPr="00376E45">
        <w:rPr>
          <w:lang w:val="en-GB"/>
        </w:rPr>
        <w:t xml:space="preserve">studies have </w:t>
      </w:r>
      <w:r w:rsidR="009F3780" w:rsidRPr="00376E45">
        <w:rPr>
          <w:lang w:val="en-GB"/>
        </w:rPr>
        <w:t>compared</w:t>
      </w:r>
      <w:r w:rsidR="00140709" w:rsidRPr="00376E45">
        <w:rPr>
          <w:lang w:val="en-GB"/>
        </w:rPr>
        <w:t xml:space="preserve"> tofacitinib </w:t>
      </w:r>
      <w:r w:rsidR="00424DBC" w:rsidRPr="00376E45">
        <w:rPr>
          <w:lang w:val="en-GB"/>
        </w:rPr>
        <w:t xml:space="preserve">and adalimumab </w:t>
      </w:r>
      <w:r w:rsidR="00140709" w:rsidRPr="00376E45">
        <w:rPr>
          <w:lang w:val="en-GB"/>
        </w:rPr>
        <w:t>(</w:t>
      </w:r>
      <w:r w:rsidR="00D87173" w:rsidRPr="00376E45">
        <w:rPr>
          <w:lang w:val="en-GB"/>
        </w:rPr>
        <w:t>one</w:t>
      </w:r>
      <w:r w:rsidR="00140709" w:rsidRPr="00376E45">
        <w:rPr>
          <w:lang w:val="en-GB"/>
        </w:rPr>
        <w:t xml:space="preserve"> with </w:t>
      </w:r>
      <w:r w:rsidR="00D87173" w:rsidRPr="00376E45">
        <w:rPr>
          <w:lang w:val="en-GB"/>
        </w:rPr>
        <w:t xml:space="preserve">and </w:t>
      </w:r>
      <w:r w:rsidR="00F7208F" w:rsidRPr="00376E45">
        <w:rPr>
          <w:lang w:val="en-GB"/>
        </w:rPr>
        <w:t xml:space="preserve">one </w:t>
      </w:r>
      <w:r w:rsidR="00140709" w:rsidRPr="00376E45">
        <w:rPr>
          <w:lang w:val="en-GB"/>
        </w:rPr>
        <w:t xml:space="preserve">without </w:t>
      </w:r>
      <w:r w:rsidR="00CD648D" w:rsidRPr="00376E45">
        <w:rPr>
          <w:lang w:val="en-GB"/>
        </w:rPr>
        <w:t xml:space="preserve">background </w:t>
      </w:r>
      <w:r w:rsidR="003249A5" w:rsidRPr="00376E45">
        <w:rPr>
          <w:lang w:val="en-GB"/>
        </w:rPr>
        <w:t>MTX</w:t>
      </w:r>
      <w:r w:rsidR="00140709" w:rsidRPr="00376E45">
        <w:rPr>
          <w:lang w:val="en-GB"/>
        </w:rPr>
        <w:t xml:space="preserve">) in patients with </w:t>
      </w:r>
      <w:r w:rsidR="0086087F" w:rsidRPr="00376E45">
        <w:rPr>
          <w:lang w:val="en-GB"/>
        </w:rPr>
        <w:t xml:space="preserve">active </w:t>
      </w:r>
      <w:r w:rsidR="00140709" w:rsidRPr="00376E45">
        <w:rPr>
          <w:lang w:val="en-GB"/>
        </w:rPr>
        <w:t>RA</w:t>
      </w:r>
      <w:r w:rsidR="003249A5" w:rsidRPr="00376E45">
        <w:rPr>
          <w:lang w:val="en-GB"/>
        </w:rPr>
        <w:t xml:space="preserve">; neither was </w:t>
      </w:r>
      <w:r w:rsidR="00AA66CF" w:rsidRPr="00376E45">
        <w:rPr>
          <w:lang w:val="en-GB"/>
        </w:rPr>
        <w:t>appropriately designed</w:t>
      </w:r>
      <w:r w:rsidR="00D87173" w:rsidRPr="00376E45">
        <w:rPr>
          <w:lang w:val="en-GB"/>
        </w:rPr>
        <w:t xml:space="preserve"> as a head-to-head study</w:t>
      </w:r>
      <w:r w:rsidR="00AA66CF" w:rsidRPr="00376E45">
        <w:rPr>
          <w:lang w:val="en-GB"/>
        </w:rPr>
        <w:t xml:space="preserve"> to compare</w:t>
      </w:r>
      <w:r w:rsidR="000C0A6C" w:rsidRPr="00376E45">
        <w:rPr>
          <w:lang w:val="en-GB"/>
        </w:rPr>
        <w:t xml:space="preserve"> treatment arms</w:t>
      </w:r>
      <w:r w:rsidR="00D5246A" w:rsidRPr="00376E45">
        <w:rPr>
          <w:lang w:val="en-GB"/>
        </w:rPr>
        <w:t>.</w:t>
      </w:r>
      <w:r w:rsidR="00953662" w:rsidRPr="00376E45">
        <w:rPr>
          <w:vertAlign w:val="superscript"/>
          <w:lang w:val="en-GB"/>
        </w:rPr>
        <w:t>9,16</w:t>
      </w:r>
      <w:r w:rsidR="00140709" w:rsidRPr="00376E45">
        <w:rPr>
          <w:lang w:val="en-GB"/>
        </w:rPr>
        <w:t xml:space="preserve"> This Phase 3b/4 trial (ORAL Strategy) directly compared the efficacy and safety of tofacitinib</w:t>
      </w:r>
      <w:r w:rsidR="00343247" w:rsidRPr="00376E45">
        <w:rPr>
          <w:lang w:val="en-GB"/>
        </w:rPr>
        <w:t xml:space="preserve"> </w:t>
      </w:r>
      <w:r w:rsidR="00140709" w:rsidRPr="00376E45">
        <w:rPr>
          <w:lang w:val="en-GB"/>
        </w:rPr>
        <w:t>monotherapy</w:t>
      </w:r>
      <w:r w:rsidR="003249A5" w:rsidRPr="00376E45">
        <w:rPr>
          <w:lang w:val="en-GB"/>
        </w:rPr>
        <w:t>, tofacitinib</w:t>
      </w:r>
      <w:r w:rsidR="00140709" w:rsidRPr="00376E45">
        <w:rPr>
          <w:lang w:val="en-GB"/>
        </w:rPr>
        <w:t xml:space="preserve"> </w:t>
      </w:r>
      <w:r w:rsidR="00343247" w:rsidRPr="00376E45">
        <w:rPr>
          <w:lang w:val="en-GB"/>
        </w:rPr>
        <w:t xml:space="preserve">in </w:t>
      </w:r>
      <w:r w:rsidR="00140709" w:rsidRPr="00376E45">
        <w:rPr>
          <w:lang w:val="en-GB"/>
        </w:rPr>
        <w:t xml:space="preserve">combination </w:t>
      </w:r>
      <w:r w:rsidR="00343247" w:rsidRPr="00376E45">
        <w:rPr>
          <w:lang w:val="en-GB"/>
        </w:rPr>
        <w:t xml:space="preserve">with </w:t>
      </w:r>
      <w:r w:rsidR="003249A5" w:rsidRPr="00376E45">
        <w:rPr>
          <w:lang w:val="en-GB"/>
        </w:rPr>
        <w:t>MTX, and</w:t>
      </w:r>
      <w:r w:rsidR="00140709" w:rsidRPr="00376E45">
        <w:rPr>
          <w:lang w:val="en-GB"/>
        </w:rPr>
        <w:t xml:space="preserve"> adalimumab in combination with </w:t>
      </w:r>
      <w:r w:rsidR="003249A5" w:rsidRPr="00376E45">
        <w:rPr>
          <w:lang w:val="en-GB"/>
        </w:rPr>
        <w:t xml:space="preserve">MTX </w:t>
      </w:r>
      <w:r w:rsidR="00140709" w:rsidRPr="00376E45">
        <w:rPr>
          <w:lang w:val="en-GB"/>
        </w:rPr>
        <w:t>in a</w:t>
      </w:r>
      <w:r w:rsidR="003249A5" w:rsidRPr="00376E45">
        <w:rPr>
          <w:lang w:val="en-GB"/>
        </w:rPr>
        <w:t>n adequately</w:t>
      </w:r>
      <w:r w:rsidR="00140709" w:rsidRPr="00376E45">
        <w:rPr>
          <w:lang w:val="en-GB"/>
        </w:rPr>
        <w:t xml:space="preserve"> powered head-to-head trial in patients with </w:t>
      </w:r>
      <w:r w:rsidR="001926CF" w:rsidRPr="00376E45">
        <w:rPr>
          <w:lang w:val="en-GB"/>
        </w:rPr>
        <w:t xml:space="preserve">active </w:t>
      </w:r>
      <w:r w:rsidR="00140709" w:rsidRPr="00376E45">
        <w:rPr>
          <w:lang w:val="en-GB"/>
        </w:rPr>
        <w:t xml:space="preserve">RA and an </w:t>
      </w:r>
      <w:r w:rsidR="00CC5EEC" w:rsidRPr="00376E45">
        <w:rPr>
          <w:lang w:val="en-GB"/>
        </w:rPr>
        <w:t>IR</w:t>
      </w:r>
      <w:r w:rsidR="00140709" w:rsidRPr="00376E45">
        <w:rPr>
          <w:lang w:val="en-GB"/>
        </w:rPr>
        <w:t xml:space="preserve"> to </w:t>
      </w:r>
      <w:r w:rsidR="003249A5" w:rsidRPr="00376E45">
        <w:rPr>
          <w:lang w:val="en-GB"/>
        </w:rPr>
        <w:t>prior MTX treatment</w:t>
      </w:r>
      <w:r w:rsidR="00140709" w:rsidRPr="00376E45">
        <w:rPr>
          <w:lang w:val="en-GB"/>
        </w:rPr>
        <w:t xml:space="preserve">. </w:t>
      </w:r>
    </w:p>
    <w:p w14:paraId="1E3BFF4A" w14:textId="73CA5B52" w:rsidR="00A86F87" w:rsidRPr="00376E45" w:rsidRDefault="00A63978" w:rsidP="00CD648D">
      <w:pPr>
        <w:pStyle w:val="Heading1"/>
        <w:rPr>
          <w:lang w:val="en-GB"/>
        </w:rPr>
      </w:pPr>
      <w:r w:rsidRPr="00376E45">
        <w:rPr>
          <w:lang w:val="en-GB"/>
        </w:rPr>
        <w:t>Methods</w:t>
      </w:r>
      <w:r w:rsidR="00FF6FC2" w:rsidRPr="00376E45">
        <w:rPr>
          <w:lang w:val="en-GB"/>
        </w:rPr>
        <w:t xml:space="preserve"> </w:t>
      </w:r>
    </w:p>
    <w:p w14:paraId="2F7959C2" w14:textId="7E18F355" w:rsidR="005265E7" w:rsidRPr="00376E45" w:rsidRDefault="00E85E48" w:rsidP="00CD648D">
      <w:pPr>
        <w:pStyle w:val="Heading1"/>
        <w:rPr>
          <w:lang w:val="en-GB"/>
        </w:rPr>
      </w:pPr>
      <w:r w:rsidRPr="00376E45">
        <w:rPr>
          <w:lang w:val="en-GB"/>
        </w:rPr>
        <w:t>Study design</w:t>
      </w:r>
      <w:r w:rsidR="002A5C2B" w:rsidRPr="00376E45">
        <w:rPr>
          <w:lang w:val="en-GB"/>
        </w:rPr>
        <w:t xml:space="preserve"> </w:t>
      </w:r>
    </w:p>
    <w:p w14:paraId="5D753E9E" w14:textId="2971AAAC" w:rsidR="00A54336" w:rsidRPr="00376E45" w:rsidRDefault="000830D5" w:rsidP="00A163C8">
      <w:pPr>
        <w:rPr>
          <w:lang w:val="en-GB"/>
        </w:rPr>
      </w:pPr>
      <w:r w:rsidRPr="00376E45">
        <w:rPr>
          <w:lang w:val="en-GB"/>
        </w:rPr>
        <w:t>ORAL Strategy (</w:t>
      </w:r>
      <w:r w:rsidR="004B4C02" w:rsidRPr="00376E45">
        <w:rPr>
          <w:lang w:val="en-GB"/>
        </w:rPr>
        <w:t>NCT02187055</w:t>
      </w:r>
      <w:r w:rsidRPr="00376E45">
        <w:rPr>
          <w:lang w:val="en-GB"/>
        </w:rPr>
        <w:t>)</w:t>
      </w:r>
      <w:r w:rsidR="00E54B13" w:rsidRPr="00376E45">
        <w:rPr>
          <w:lang w:val="en-GB"/>
        </w:rPr>
        <w:t xml:space="preserve"> was a 1-year, double-blind, triple-dummy, </w:t>
      </w:r>
      <w:r w:rsidR="00532397" w:rsidRPr="00376E45">
        <w:rPr>
          <w:lang w:val="en-GB"/>
        </w:rPr>
        <w:t xml:space="preserve">Phase 3b/4, </w:t>
      </w:r>
      <w:r w:rsidR="00E54B13" w:rsidRPr="00376E45">
        <w:rPr>
          <w:lang w:val="en-GB"/>
        </w:rPr>
        <w:t>active comparator</w:t>
      </w:r>
      <w:r w:rsidR="00FB723B" w:rsidRPr="00376E45">
        <w:rPr>
          <w:lang w:val="en-GB"/>
        </w:rPr>
        <w:t xml:space="preserve">, head-to-head </w:t>
      </w:r>
      <w:r w:rsidR="00E54B13" w:rsidRPr="00376E45">
        <w:rPr>
          <w:lang w:val="en-GB"/>
        </w:rPr>
        <w:t xml:space="preserve">controlled </w:t>
      </w:r>
      <w:r w:rsidR="009E7A4B" w:rsidRPr="00376E45">
        <w:rPr>
          <w:lang w:val="en-GB"/>
        </w:rPr>
        <w:t>trial</w:t>
      </w:r>
      <w:r w:rsidR="00602F25" w:rsidRPr="00376E45">
        <w:rPr>
          <w:lang w:val="en-GB"/>
        </w:rPr>
        <w:t xml:space="preserve"> </w:t>
      </w:r>
      <w:r w:rsidR="00E34D05" w:rsidRPr="00376E45">
        <w:rPr>
          <w:lang w:val="en-GB"/>
        </w:rPr>
        <w:t>assessing</w:t>
      </w:r>
      <w:r w:rsidR="00602F25" w:rsidRPr="00376E45">
        <w:rPr>
          <w:lang w:val="en-GB"/>
        </w:rPr>
        <w:t xml:space="preserve"> non-inferiority</w:t>
      </w:r>
      <w:r w:rsidR="001746B6" w:rsidRPr="00376E45">
        <w:rPr>
          <w:lang w:val="en-GB"/>
        </w:rPr>
        <w:t xml:space="preserve"> between treatment arms</w:t>
      </w:r>
      <w:r w:rsidR="00000544" w:rsidRPr="00376E45">
        <w:rPr>
          <w:lang w:val="en-GB"/>
        </w:rPr>
        <w:t xml:space="preserve"> of tofacitinib 5 mg BID monotherapy, tofacitinib 5 mg BID in combination with MTX</w:t>
      </w:r>
      <w:r w:rsidR="00CC5EEC" w:rsidRPr="00376E45">
        <w:rPr>
          <w:lang w:val="en-GB"/>
        </w:rPr>
        <w:t>,</w:t>
      </w:r>
      <w:r w:rsidR="00000544" w:rsidRPr="00376E45">
        <w:rPr>
          <w:lang w:val="en-GB"/>
        </w:rPr>
        <w:t xml:space="preserve"> and adalimumab 40 mg </w:t>
      </w:r>
      <w:r w:rsidR="0018489B" w:rsidRPr="00376E45">
        <w:rPr>
          <w:lang w:val="en-GB"/>
        </w:rPr>
        <w:t>Q2W</w:t>
      </w:r>
      <w:r w:rsidR="00000544" w:rsidRPr="00376E45">
        <w:rPr>
          <w:lang w:val="en-GB"/>
        </w:rPr>
        <w:t xml:space="preserve"> with MTX</w:t>
      </w:r>
      <w:r w:rsidR="00CC5EEC" w:rsidRPr="00376E45">
        <w:rPr>
          <w:lang w:val="en-GB"/>
        </w:rPr>
        <w:t>,</w:t>
      </w:r>
      <w:r w:rsidR="00000544" w:rsidRPr="00376E45">
        <w:rPr>
          <w:lang w:val="en-GB"/>
        </w:rPr>
        <w:t xml:space="preserve"> in patients with active RA despite MTX treatment</w:t>
      </w:r>
      <w:r w:rsidR="001746B6" w:rsidRPr="00376E45">
        <w:rPr>
          <w:lang w:val="en-GB"/>
        </w:rPr>
        <w:t>.</w:t>
      </w:r>
      <w:r w:rsidR="00A54336" w:rsidRPr="00376E45">
        <w:rPr>
          <w:lang w:val="en-GB"/>
        </w:rPr>
        <w:t xml:space="preserve"> </w:t>
      </w:r>
      <w:r w:rsidR="00000544" w:rsidRPr="00376E45">
        <w:rPr>
          <w:lang w:val="en-GB"/>
        </w:rPr>
        <w:t xml:space="preserve">The study </w:t>
      </w:r>
      <w:r w:rsidR="006D5286" w:rsidRPr="00376E45">
        <w:rPr>
          <w:lang w:val="en-GB"/>
        </w:rPr>
        <w:t xml:space="preserve">was conducted at </w:t>
      </w:r>
      <w:r w:rsidR="00607FD6" w:rsidRPr="00376E45">
        <w:rPr>
          <w:lang w:val="en-GB"/>
        </w:rPr>
        <w:t>194</w:t>
      </w:r>
      <w:r w:rsidR="00CC5EEC" w:rsidRPr="00376E45">
        <w:rPr>
          <w:lang w:val="en-GB"/>
        </w:rPr>
        <w:t xml:space="preserve"> centre</w:t>
      </w:r>
      <w:r w:rsidR="006D5286" w:rsidRPr="00376E45">
        <w:rPr>
          <w:lang w:val="en-GB"/>
        </w:rPr>
        <w:t xml:space="preserve">s in </w:t>
      </w:r>
      <w:r w:rsidR="00607FD6" w:rsidRPr="00376E45">
        <w:rPr>
          <w:lang w:val="en-GB"/>
        </w:rPr>
        <w:t>25</w:t>
      </w:r>
      <w:r w:rsidR="006D5286" w:rsidRPr="00376E45">
        <w:rPr>
          <w:lang w:val="en-GB"/>
        </w:rPr>
        <w:t xml:space="preserve"> </w:t>
      </w:r>
      <w:r w:rsidR="00000544" w:rsidRPr="00376E45">
        <w:rPr>
          <w:lang w:val="en-GB"/>
        </w:rPr>
        <w:t>countries</w:t>
      </w:r>
      <w:r w:rsidR="00A163C8" w:rsidRPr="00376E45">
        <w:rPr>
          <w:lang w:val="en-GB"/>
        </w:rPr>
        <w:t>. All</w:t>
      </w:r>
      <w:r w:rsidR="00DA4481" w:rsidRPr="00376E45">
        <w:rPr>
          <w:lang w:val="en-GB"/>
        </w:rPr>
        <w:t xml:space="preserve"> </w:t>
      </w:r>
      <w:r w:rsidR="006D5286" w:rsidRPr="00376E45">
        <w:rPr>
          <w:lang w:val="en-GB"/>
        </w:rPr>
        <w:t>procedures were performed in accordance with the Declaration of Helsinki</w:t>
      </w:r>
      <w:r w:rsidR="00A163C8" w:rsidRPr="00376E45">
        <w:rPr>
          <w:lang w:val="en-GB"/>
        </w:rPr>
        <w:t xml:space="preserve"> and all patients provided written informed consent</w:t>
      </w:r>
      <w:r w:rsidR="00E602C9" w:rsidRPr="00376E45">
        <w:rPr>
          <w:lang w:val="en-GB"/>
        </w:rPr>
        <w:t>; a full list of contributing investigators is provided as supplementary material.</w:t>
      </w:r>
    </w:p>
    <w:p w14:paraId="75F016C0" w14:textId="79FBD15D" w:rsidR="00C516ED" w:rsidRPr="00376E45" w:rsidRDefault="00CC5EEC" w:rsidP="00C516ED">
      <w:pPr>
        <w:pStyle w:val="Heading2"/>
        <w:rPr>
          <w:lang w:val="en-GB"/>
        </w:rPr>
      </w:pPr>
      <w:r w:rsidRPr="00376E45">
        <w:rPr>
          <w:lang w:val="en-GB"/>
        </w:rPr>
        <w:t>Randomis</w:t>
      </w:r>
      <w:r w:rsidR="00C516ED" w:rsidRPr="00376E45">
        <w:rPr>
          <w:lang w:val="en-GB"/>
        </w:rPr>
        <w:t>ation and masking</w:t>
      </w:r>
    </w:p>
    <w:p w14:paraId="16A5BE69" w14:textId="6D018BFE" w:rsidR="0039050F" w:rsidRPr="00376E45" w:rsidRDefault="006D5286" w:rsidP="001F4E3A">
      <w:pPr>
        <w:rPr>
          <w:lang w:val="en-GB"/>
        </w:rPr>
      </w:pPr>
      <w:r w:rsidRPr="00376E45">
        <w:rPr>
          <w:lang w:val="en-GB"/>
        </w:rPr>
        <w:t xml:space="preserve">Between </w:t>
      </w:r>
      <w:r w:rsidR="00607FD6" w:rsidRPr="00376E45">
        <w:rPr>
          <w:lang w:val="en-GB"/>
        </w:rPr>
        <w:t>11 September 2014</w:t>
      </w:r>
      <w:r w:rsidRPr="00376E45">
        <w:rPr>
          <w:lang w:val="en-GB"/>
        </w:rPr>
        <w:t xml:space="preserve"> and </w:t>
      </w:r>
      <w:r w:rsidR="00607FD6" w:rsidRPr="00376E45">
        <w:rPr>
          <w:lang w:val="en-GB"/>
        </w:rPr>
        <w:t>28 December 2015</w:t>
      </w:r>
      <w:r w:rsidRPr="00376E45">
        <w:rPr>
          <w:lang w:val="en-GB"/>
        </w:rPr>
        <w:t xml:space="preserve">, patients were </w:t>
      </w:r>
      <w:r w:rsidR="001926CF" w:rsidRPr="00376E45">
        <w:rPr>
          <w:lang w:val="en-GB"/>
        </w:rPr>
        <w:t xml:space="preserve">blindly </w:t>
      </w:r>
      <w:r w:rsidR="00CC5EEC" w:rsidRPr="00376E45">
        <w:rPr>
          <w:lang w:val="en-GB"/>
        </w:rPr>
        <w:t>randomis</w:t>
      </w:r>
      <w:r w:rsidRPr="00376E45">
        <w:rPr>
          <w:lang w:val="en-GB"/>
        </w:rPr>
        <w:t xml:space="preserve">ed 1:1:1 to receive </w:t>
      </w:r>
      <w:r w:rsidR="003D40B5" w:rsidRPr="00376E45">
        <w:rPr>
          <w:lang w:val="en-GB"/>
        </w:rPr>
        <w:t xml:space="preserve">oral </w:t>
      </w:r>
      <w:r w:rsidRPr="00376E45">
        <w:rPr>
          <w:lang w:val="en-GB"/>
        </w:rPr>
        <w:t xml:space="preserve">tofacitinib 5 mg BID monotherapy (‘tofacitinib monotherapy’), </w:t>
      </w:r>
      <w:r w:rsidR="003D40B5" w:rsidRPr="00376E45">
        <w:rPr>
          <w:lang w:val="en-GB"/>
        </w:rPr>
        <w:t xml:space="preserve">oral </w:t>
      </w:r>
      <w:r w:rsidRPr="00376E45">
        <w:rPr>
          <w:lang w:val="en-GB"/>
        </w:rPr>
        <w:t>tofacitinib 5 mg BID in combination with</w:t>
      </w:r>
      <w:r w:rsidR="00326701" w:rsidRPr="00376E45">
        <w:rPr>
          <w:lang w:val="en-GB"/>
        </w:rPr>
        <w:t xml:space="preserve"> </w:t>
      </w:r>
      <w:r w:rsidR="003249A5" w:rsidRPr="00376E45">
        <w:rPr>
          <w:lang w:val="en-GB"/>
        </w:rPr>
        <w:t xml:space="preserve">MTX </w:t>
      </w:r>
      <w:r w:rsidRPr="00376E45">
        <w:rPr>
          <w:lang w:val="en-GB"/>
        </w:rPr>
        <w:t>(‘tofacitinib</w:t>
      </w:r>
      <w:r w:rsidR="00C03728" w:rsidRPr="00376E45">
        <w:rPr>
          <w:lang w:val="en-GB"/>
        </w:rPr>
        <w:t xml:space="preserve"> + MTX</w:t>
      </w:r>
      <w:r w:rsidRPr="00376E45">
        <w:rPr>
          <w:lang w:val="en-GB"/>
        </w:rPr>
        <w:t>’)</w:t>
      </w:r>
      <w:r w:rsidR="00CC5EEC" w:rsidRPr="00376E45">
        <w:rPr>
          <w:lang w:val="en-GB"/>
        </w:rPr>
        <w:t>,</w:t>
      </w:r>
      <w:r w:rsidRPr="00376E45">
        <w:rPr>
          <w:lang w:val="en-GB"/>
        </w:rPr>
        <w:t xml:space="preserve"> or subcutaneous adalimumab 40 mg </w:t>
      </w:r>
      <w:r w:rsidR="00CC5EEC" w:rsidRPr="00376E45">
        <w:rPr>
          <w:lang w:val="en-GB"/>
        </w:rPr>
        <w:t>Q2W</w:t>
      </w:r>
      <w:r w:rsidRPr="00376E45">
        <w:rPr>
          <w:lang w:val="en-GB"/>
        </w:rPr>
        <w:t xml:space="preserve"> in combination with </w:t>
      </w:r>
      <w:r w:rsidR="003249A5" w:rsidRPr="00376E45">
        <w:rPr>
          <w:lang w:val="en-GB"/>
        </w:rPr>
        <w:t>MTX</w:t>
      </w:r>
      <w:r w:rsidR="00326701" w:rsidRPr="00376E45">
        <w:rPr>
          <w:lang w:val="en-GB"/>
        </w:rPr>
        <w:t xml:space="preserve"> </w:t>
      </w:r>
      <w:r w:rsidRPr="00376E45">
        <w:rPr>
          <w:lang w:val="en-GB"/>
        </w:rPr>
        <w:t>(‘adalimumab</w:t>
      </w:r>
      <w:r w:rsidR="00C03728" w:rsidRPr="00376E45">
        <w:rPr>
          <w:lang w:val="en-GB"/>
        </w:rPr>
        <w:t xml:space="preserve"> + MTX</w:t>
      </w:r>
      <w:r w:rsidRPr="00376E45">
        <w:rPr>
          <w:lang w:val="en-GB"/>
        </w:rPr>
        <w:t>’)</w:t>
      </w:r>
      <w:r w:rsidR="003249A5" w:rsidRPr="00376E45">
        <w:rPr>
          <w:lang w:val="en-GB"/>
        </w:rPr>
        <w:t xml:space="preserve">; </w:t>
      </w:r>
      <w:r w:rsidR="00C55FCE" w:rsidRPr="00376E45">
        <w:rPr>
          <w:lang w:val="en-GB"/>
        </w:rPr>
        <w:t xml:space="preserve">all </w:t>
      </w:r>
      <w:r w:rsidR="003249A5" w:rsidRPr="00376E45">
        <w:rPr>
          <w:lang w:val="en-GB"/>
        </w:rPr>
        <w:t xml:space="preserve">patients </w:t>
      </w:r>
      <w:r w:rsidR="00276124">
        <w:rPr>
          <w:lang w:val="en-GB"/>
        </w:rPr>
        <w:t xml:space="preserve">enrolled in the study </w:t>
      </w:r>
      <w:r w:rsidR="003249A5" w:rsidRPr="00376E45">
        <w:rPr>
          <w:lang w:val="en-GB"/>
        </w:rPr>
        <w:t xml:space="preserve"> were required to have been</w:t>
      </w:r>
      <w:r w:rsidR="006B6DC3" w:rsidRPr="00376E45">
        <w:rPr>
          <w:lang w:val="en-GB"/>
        </w:rPr>
        <w:t xml:space="preserve"> treated for a minimum of 4 months with a stable </w:t>
      </w:r>
      <w:r w:rsidR="003249A5" w:rsidRPr="00376E45">
        <w:rPr>
          <w:lang w:val="en-GB"/>
        </w:rPr>
        <w:t xml:space="preserve">MTX </w:t>
      </w:r>
      <w:r w:rsidR="006B6DC3" w:rsidRPr="00376E45">
        <w:rPr>
          <w:lang w:val="en-GB"/>
        </w:rPr>
        <w:t>dose</w:t>
      </w:r>
      <w:r w:rsidR="00DB6FF8" w:rsidRPr="00376E45">
        <w:rPr>
          <w:lang w:val="en-GB"/>
        </w:rPr>
        <w:t xml:space="preserve"> of 15–25 mg/week</w:t>
      </w:r>
      <w:r w:rsidR="003249A5" w:rsidRPr="00376E45">
        <w:rPr>
          <w:lang w:val="en-GB"/>
        </w:rPr>
        <w:t xml:space="preserve"> for</w:t>
      </w:r>
      <w:r w:rsidR="006B6DC3" w:rsidRPr="00376E45">
        <w:rPr>
          <w:lang w:val="en-GB"/>
        </w:rPr>
        <w:t xml:space="preserve"> at least 6 weeks prior to baseline</w:t>
      </w:r>
      <w:r w:rsidR="00C03728" w:rsidRPr="00376E45">
        <w:rPr>
          <w:lang w:val="en-GB"/>
        </w:rPr>
        <w:t xml:space="preserve">. </w:t>
      </w:r>
      <w:r w:rsidR="00CC5EEC" w:rsidRPr="00376E45">
        <w:rPr>
          <w:lang w:val="en-GB"/>
        </w:rPr>
        <w:t>At the time of randomis</w:t>
      </w:r>
      <w:r w:rsidR="001F4E3A" w:rsidRPr="00376E45">
        <w:rPr>
          <w:lang w:val="en-GB"/>
        </w:rPr>
        <w:t xml:space="preserve">ation (Baseline/Visit 2), </w:t>
      </w:r>
      <w:r w:rsidR="009E57BE" w:rsidRPr="00376E45">
        <w:rPr>
          <w:lang w:val="en-GB"/>
        </w:rPr>
        <w:t>patients</w:t>
      </w:r>
      <w:r w:rsidR="001F4E3A" w:rsidRPr="00376E45">
        <w:rPr>
          <w:lang w:val="en-GB"/>
        </w:rPr>
        <w:t xml:space="preserve"> discontinued </w:t>
      </w:r>
      <w:r w:rsidR="003501C7" w:rsidRPr="00376E45">
        <w:rPr>
          <w:lang w:val="en-GB"/>
        </w:rPr>
        <w:t xml:space="preserve">their own </w:t>
      </w:r>
      <w:r w:rsidR="001F4E3A" w:rsidRPr="00376E45">
        <w:rPr>
          <w:lang w:val="en-GB"/>
        </w:rPr>
        <w:t>MTX</w:t>
      </w:r>
      <w:r w:rsidR="003501C7" w:rsidRPr="00376E45">
        <w:rPr>
          <w:lang w:val="en-GB"/>
        </w:rPr>
        <w:t xml:space="preserve"> and </w:t>
      </w:r>
      <w:r w:rsidR="001F4E3A" w:rsidRPr="00376E45">
        <w:rPr>
          <w:lang w:val="en-GB"/>
        </w:rPr>
        <w:t xml:space="preserve">were </w:t>
      </w:r>
      <w:r w:rsidR="00C46165" w:rsidRPr="00376E45">
        <w:rPr>
          <w:lang w:val="en-GB"/>
        </w:rPr>
        <w:t xml:space="preserve">switched to </w:t>
      </w:r>
      <w:r w:rsidR="003136C9" w:rsidRPr="00376E45">
        <w:rPr>
          <w:lang w:val="en-GB"/>
        </w:rPr>
        <w:t xml:space="preserve">one of 3 groups: (1) </w:t>
      </w:r>
      <w:r w:rsidR="00C46165" w:rsidRPr="00376E45">
        <w:rPr>
          <w:lang w:val="en-GB"/>
        </w:rPr>
        <w:t>tofacitinib monotherapy with concomitant placebo MTX</w:t>
      </w:r>
      <w:r w:rsidR="00D05A1A" w:rsidRPr="00376E45">
        <w:rPr>
          <w:lang w:val="en-GB"/>
        </w:rPr>
        <w:t xml:space="preserve"> and placebo adalimumab</w:t>
      </w:r>
      <w:r w:rsidR="003136C9" w:rsidRPr="00376E45">
        <w:rPr>
          <w:lang w:val="en-GB"/>
        </w:rPr>
        <w:t>; (2)</w:t>
      </w:r>
      <w:r w:rsidR="00C46165" w:rsidRPr="00376E45">
        <w:rPr>
          <w:lang w:val="en-GB"/>
        </w:rPr>
        <w:t xml:space="preserve"> tofacitinib </w:t>
      </w:r>
      <w:r w:rsidR="00D05A1A" w:rsidRPr="00376E45">
        <w:rPr>
          <w:lang w:val="en-GB"/>
        </w:rPr>
        <w:t xml:space="preserve">plus MTX </w:t>
      </w:r>
      <w:r w:rsidR="004F5BAD">
        <w:rPr>
          <w:lang w:val="en-GB"/>
        </w:rPr>
        <w:t xml:space="preserve">with concomitant </w:t>
      </w:r>
      <w:r w:rsidR="00D05A1A" w:rsidRPr="00376E45">
        <w:rPr>
          <w:lang w:val="en-GB"/>
        </w:rPr>
        <w:t xml:space="preserve">placebo adalimumab </w:t>
      </w:r>
      <w:r w:rsidR="00C46165" w:rsidRPr="00376E45">
        <w:rPr>
          <w:lang w:val="en-GB"/>
        </w:rPr>
        <w:t>or</w:t>
      </w:r>
      <w:r w:rsidR="00771DFF">
        <w:rPr>
          <w:lang w:val="en-GB"/>
        </w:rPr>
        <w:t>;</w:t>
      </w:r>
      <w:r w:rsidR="00C46165" w:rsidRPr="00376E45">
        <w:rPr>
          <w:lang w:val="en-GB"/>
        </w:rPr>
        <w:t xml:space="preserve"> </w:t>
      </w:r>
      <w:r w:rsidR="003136C9" w:rsidRPr="00376E45">
        <w:rPr>
          <w:lang w:val="en-GB"/>
        </w:rPr>
        <w:t xml:space="preserve">(3) </w:t>
      </w:r>
      <w:r w:rsidR="00C46165" w:rsidRPr="00376E45">
        <w:rPr>
          <w:lang w:val="en-GB"/>
        </w:rPr>
        <w:t>adalimumab</w:t>
      </w:r>
      <w:r w:rsidR="00D05A1A" w:rsidRPr="00376E45">
        <w:rPr>
          <w:lang w:val="en-GB"/>
        </w:rPr>
        <w:t xml:space="preserve"> plus MTX with </w:t>
      </w:r>
      <w:r w:rsidR="004F5BAD">
        <w:rPr>
          <w:lang w:val="en-GB"/>
        </w:rPr>
        <w:t xml:space="preserve">concomitant </w:t>
      </w:r>
      <w:r w:rsidR="00D05A1A" w:rsidRPr="00376E45">
        <w:rPr>
          <w:lang w:val="en-GB"/>
        </w:rPr>
        <w:t>placebo tofacitinib</w:t>
      </w:r>
      <w:r w:rsidR="001F4E3A" w:rsidRPr="00376E45">
        <w:rPr>
          <w:lang w:val="en-GB"/>
        </w:rPr>
        <w:t xml:space="preserve">. The pre-study stable dose of MTX was continued in </w:t>
      </w:r>
      <w:r w:rsidR="00D05A1A" w:rsidRPr="00376E45">
        <w:rPr>
          <w:lang w:val="en-GB"/>
        </w:rPr>
        <w:t xml:space="preserve">all </w:t>
      </w:r>
      <w:r w:rsidR="009E57BE" w:rsidRPr="00376E45">
        <w:rPr>
          <w:lang w:val="en-GB"/>
        </w:rPr>
        <w:t xml:space="preserve">patients </w:t>
      </w:r>
      <w:r w:rsidR="001F4E3A" w:rsidRPr="00376E45">
        <w:rPr>
          <w:lang w:val="en-GB"/>
        </w:rPr>
        <w:t xml:space="preserve">taking combination therapy. </w:t>
      </w:r>
    </w:p>
    <w:p w14:paraId="6F8682F4" w14:textId="541133C1" w:rsidR="006D5286" w:rsidRPr="00376E45" w:rsidRDefault="001B3C48" w:rsidP="00161E29">
      <w:pPr>
        <w:rPr>
          <w:lang w:val="en-GB"/>
        </w:rPr>
      </w:pPr>
      <w:r w:rsidRPr="00376E45">
        <w:rPr>
          <w:lang w:val="en-GB"/>
        </w:rPr>
        <w:t>Randomis</w:t>
      </w:r>
      <w:r w:rsidR="006D5286" w:rsidRPr="00376E45">
        <w:rPr>
          <w:lang w:val="en-GB"/>
        </w:rPr>
        <w:t>ation was achieved by an interactive voice response system</w:t>
      </w:r>
      <w:r w:rsidR="001557E3" w:rsidRPr="00376E45">
        <w:rPr>
          <w:lang w:val="en-GB"/>
        </w:rPr>
        <w:t xml:space="preserve"> (IVRS)</w:t>
      </w:r>
      <w:r w:rsidR="006D5286" w:rsidRPr="00376E45">
        <w:rPr>
          <w:lang w:val="en-GB"/>
        </w:rPr>
        <w:t>: an automated internet</w:t>
      </w:r>
      <w:r w:rsidRPr="00376E45">
        <w:rPr>
          <w:lang w:val="en-GB"/>
        </w:rPr>
        <w:t>-/telephone-</w:t>
      </w:r>
      <w:r w:rsidR="006D5286" w:rsidRPr="00376E45">
        <w:rPr>
          <w:lang w:val="en-GB"/>
        </w:rPr>
        <w:t xml:space="preserve">based </w:t>
      </w:r>
      <w:r w:rsidR="00CD648D" w:rsidRPr="00376E45">
        <w:rPr>
          <w:lang w:val="en-GB"/>
        </w:rPr>
        <w:t>system with which</w:t>
      </w:r>
      <w:r w:rsidR="006D5286" w:rsidRPr="00376E45">
        <w:rPr>
          <w:lang w:val="en-GB"/>
        </w:rPr>
        <w:t xml:space="preserve"> </w:t>
      </w:r>
      <w:r w:rsidR="001557E3" w:rsidRPr="00376E45">
        <w:rPr>
          <w:lang w:val="en-GB"/>
        </w:rPr>
        <w:t>investigator</w:t>
      </w:r>
      <w:r w:rsidR="00CD648D" w:rsidRPr="00376E45">
        <w:rPr>
          <w:lang w:val="en-GB"/>
        </w:rPr>
        <w:t xml:space="preserve">s </w:t>
      </w:r>
      <w:r w:rsidR="001557E3" w:rsidRPr="00376E45">
        <w:rPr>
          <w:lang w:val="en-GB"/>
        </w:rPr>
        <w:t>enroll</w:t>
      </w:r>
      <w:r w:rsidR="00CD648D" w:rsidRPr="00376E45">
        <w:rPr>
          <w:lang w:val="en-GB"/>
        </w:rPr>
        <w:t>ed</w:t>
      </w:r>
      <w:r w:rsidR="001557E3" w:rsidRPr="00376E45">
        <w:rPr>
          <w:lang w:val="en-GB"/>
        </w:rPr>
        <w:t xml:space="preserve"> patient</w:t>
      </w:r>
      <w:r w:rsidR="00CD648D" w:rsidRPr="00376E45">
        <w:rPr>
          <w:lang w:val="en-GB"/>
        </w:rPr>
        <w:t>s</w:t>
      </w:r>
      <w:r w:rsidR="001557E3" w:rsidRPr="00376E45">
        <w:rPr>
          <w:lang w:val="en-GB"/>
        </w:rPr>
        <w:t xml:space="preserve"> using minimal identification criteria (such as date of birth and initials)</w:t>
      </w:r>
      <w:r w:rsidR="00CD648D" w:rsidRPr="00376E45">
        <w:rPr>
          <w:lang w:val="en-GB"/>
        </w:rPr>
        <w:t>,</w:t>
      </w:r>
      <w:r w:rsidR="001557E3" w:rsidRPr="00376E45">
        <w:rPr>
          <w:lang w:val="en-GB"/>
        </w:rPr>
        <w:t xml:space="preserve"> and receive</w:t>
      </w:r>
      <w:r w:rsidR="00CD648D" w:rsidRPr="00376E45">
        <w:rPr>
          <w:lang w:val="en-GB"/>
        </w:rPr>
        <w:t>d</w:t>
      </w:r>
      <w:r w:rsidR="001557E3" w:rsidRPr="00376E45">
        <w:rPr>
          <w:lang w:val="en-GB"/>
        </w:rPr>
        <w:t xml:space="preserve"> a patient identification number which was then used to determine the patient treatment accor</w:t>
      </w:r>
      <w:r w:rsidRPr="00376E45">
        <w:rPr>
          <w:lang w:val="en-GB"/>
        </w:rPr>
        <w:t>ding to a predetermined randomis</w:t>
      </w:r>
      <w:r w:rsidR="001557E3" w:rsidRPr="00376E45">
        <w:rPr>
          <w:lang w:val="en-GB"/>
        </w:rPr>
        <w:t>ation schedule.</w:t>
      </w:r>
    </w:p>
    <w:p w14:paraId="165ACF6B" w14:textId="77777777" w:rsidR="006D5286" w:rsidRPr="00376E45" w:rsidRDefault="006D5286" w:rsidP="006D5286">
      <w:pPr>
        <w:pStyle w:val="Heading2"/>
        <w:rPr>
          <w:lang w:val="en-GB"/>
        </w:rPr>
      </w:pPr>
      <w:r w:rsidRPr="00376E45">
        <w:rPr>
          <w:lang w:val="en-GB"/>
        </w:rPr>
        <w:t>Patients</w:t>
      </w:r>
    </w:p>
    <w:p w14:paraId="34D3EA41" w14:textId="7572910E" w:rsidR="009E7A4B" w:rsidRPr="00376E45" w:rsidRDefault="009E7A4B" w:rsidP="001557E3">
      <w:pPr>
        <w:rPr>
          <w:lang w:val="en-GB"/>
        </w:rPr>
      </w:pPr>
      <w:r w:rsidRPr="00376E45">
        <w:rPr>
          <w:lang w:val="en-GB"/>
        </w:rPr>
        <w:t xml:space="preserve">The study </w:t>
      </w:r>
      <w:r w:rsidR="006B6DC3" w:rsidRPr="00376E45">
        <w:rPr>
          <w:lang w:val="en-GB"/>
        </w:rPr>
        <w:t xml:space="preserve">population </w:t>
      </w:r>
      <w:r w:rsidR="00CD648D" w:rsidRPr="00376E45">
        <w:rPr>
          <w:lang w:val="en-GB"/>
        </w:rPr>
        <w:t>consisted of individuals</w:t>
      </w:r>
      <w:r w:rsidR="006B6DC3" w:rsidRPr="00376E45">
        <w:rPr>
          <w:lang w:val="en-GB"/>
        </w:rPr>
        <w:t xml:space="preserve"> </w:t>
      </w:r>
      <w:r w:rsidR="001B3C48" w:rsidRPr="00376E45">
        <w:rPr>
          <w:lang w:val="en-GB"/>
        </w:rPr>
        <w:t>≥</w:t>
      </w:r>
      <w:r w:rsidRPr="00376E45">
        <w:rPr>
          <w:lang w:val="en-GB"/>
        </w:rPr>
        <w:t>18 years</w:t>
      </w:r>
      <w:r w:rsidR="006B6DC3" w:rsidRPr="00376E45">
        <w:rPr>
          <w:lang w:val="en-GB"/>
        </w:rPr>
        <w:t xml:space="preserve"> of age</w:t>
      </w:r>
      <w:r w:rsidRPr="00376E45">
        <w:rPr>
          <w:lang w:val="en-GB"/>
        </w:rPr>
        <w:t xml:space="preserve"> </w:t>
      </w:r>
      <w:r w:rsidR="001B451D" w:rsidRPr="00376E45">
        <w:rPr>
          <w:lang w:val="en-GB"/>
        </w:rPr>
        <w:t>who met the 2010 ACR/EULAR classification criteria for RA</w:t>
      </w:r>
      <w:r w:rsidR="00FD652D" w:rsidRPr="00376E45">
        <w:rPr>
          <w:vertAlign w:val="superscript"/>
          <w:lang w:val="en-GB"/>
        </w:rPr>
        <w:t>20</w:t>
      </w:r>
      <w:r w:rsidR="00A55FA1" w:rsidRPr="00376E45">
        <w:rPr>
          <w:lang w:val="en-GB"/>
        </w:rPr>
        <w:t xml:space="preserve"> with</w:t>
      </w:r>
      <w:r w:rsidRPr="00376E45">
        <w:rPr>
          <w:lang w:val="en-GB"/>
        </w:rPr>
        <w:t xml:space="preserve"> </w:t>
      </w:r>
      <w:r w:rsidR="005B2070" w:rsidRPr="00376E45">
        <w:rPr>
          <w:lang w:val="en-GB"/>
        </w:rPr>
        <w:t>active</w:t>
      </w:r>
      <w:r w:rsidRPr="00376E45">
        <w:rPr>
          <w:lang w:val="en-GB"/>
        </w:rPr>
        <w:t xml:space="preserve"> </w:t>
      </w:r>
      <w:r w:rsidR="009054AE" w:rsidRPr="00376E45">
        <w:rPr>
          <w:lang w:val="en-GB"/>
        </w:rPr>
        <w:t>RA</w:t>
      </w:r>
      <w:r w:rsidR="006B6DC3" w:rsidRPr="00376E45">
        <w:rPr>
          <w:lang w:val="en-GB"/>
        </w:rPr>
        <w:t xml:space="preserve"> </w:t>
      </w:r>
      <w:r w:rsidR="001B451D" w:rsidRPr="00376E45">
        <w:rPr>
          <w:lang w:val="en-GB"/>
        </w:rPr>
        <w:t xml:space="preserve">defined </w:t>
      </w:r>
      <w:r w:rsidR="001B3C48" w:rsidRPr="00376E45">
        <w:rPr>
          <w:lang w:val="en-GB"/>
        </w:rPr>
        <w:t>as</w:t>
      </w:r>
      <w:r w:rsidR="001B451D" w:rsidRPr="00376E45">
        <w:rPr>
          <w:lang w:val="en-GB"/>
        </w:rPr>
        <w:t xml:space="preserve"> having </w:t>
      </w:r>
      <w:r w:rsidR="001B3C48" w:rsidRPr="00376E45">
        <w:rPr>
          <w:lang w:val="en-GB"/>
        </w:rPr>
        <w:t>≥</w:t>
      </w:r>
      <w:r w:rsidR="00140709" w:rsidRPr="00376E45">
        <w:rPr>
          <w:lang w:val="en-GB"/>
        </w:rPr>
        <w:t xml:space="preserve">4 tender/painful joints on motion and </w:t>
      </w:r>
      <w:r w:rsidR="001B3C48" w:rsidRPr="00376E45">
        <w:rPr>
          <w:lang w:val="en-GB"/>
        </w:rPr>
        <w:t>≥</w:t>
      </w:r>
      <w:r w:rsidR="00140709" w:rsidRPr="00376E45">
        <w:rPr>
          <w:lang w:val="en-GB"/>
        </w:rPr>
        <w:t xml:space="preserve">4 swollen joints </w:t>
      </w:r>
      <w:r w:rsidR="00027A20" w:rsidRPr="00376E45">
        <w:rPr>
          <w:lang w:val="en-GB"/>
        </w:rPr>
        <w:t>(</w:t>
      </w:r>
      <w:r w:rsidR="00140709" w:rsidRPr="00376E45">
        <w:rPr>
          <w:lang w:val="en-GB"/>
        </w:rPr>
        <w:t>based on 28 joint count) at baseline</w:t>
      </w:r>
      <w:r w:rsidR="00326701" w:rsidRPr="00376E45">
        <w:rPr>
          <w:lang w:val="en-GB"/>
        </w:rPr>
        <w:t xml:space="preserve"> </w:t>
      </w:r>
      <w:r w:rsidR="006B6DC3" w:rsidRPr="00376E45">
        <w:rPr>
          <w:lang w:val="en-GB"/>
        </w:rPr>
        <w:t xml:space="preserve">in spite of treatment </w:t>
      </w:r>
      <w:r w:rsidRPr="00376E45">
        <w:rPr>
          <w:lang w:val="en-GB"/>
        </w:rPr>
        <w:t xml:space="preserve">with </w:t>
      </w:r>
      <w:r w:rsidR="003249A5" w:rsidRPr="00376E45">
        <w:rPr>
          <w:lang w:val="en-GB"/>
        </w:rPr>
        <w:t>MTX</w:t>
      </w:r>
      <w:r w:rsidR="001B3C48" w:rsidRPr="00376E45">
        <w:rPr>
          <w:lang w:val="en-GB"/>
        </w:rPr>
        <w:t xml:space="preserve"> 15–</w:t>
      </w:r>
      <w:r w:rsidR="001B451D" w:rsidRPr="00376E45">
        <w:rPr>
          <w:lang w:val="en-GB"/>
        </w:rPr>
        <w:t>25 mg per wee</w:t>
      </w:r>
      <w:r w:rsidR="001B3C48" w:rsidRPr="00376E45">
        <w:rPr>
          <w:lang w:val="en-GB"/>
        </w:rPr>
        <w:t>k,</w:t>
      </w:r>
      <w:r w:rsidR="009F3780" w:rsidRPr="00376E45">
        <w:rPr>
          <w:lang w:val="en-GB"/>
        </w:rPr>
        <w:t xml:space="preserve"> high-sensitivity</w:t>
      </w:r>
      <w:r w:rsidR="00DA4481" w:rsidRPr="00376E45">
        <w:rPr>
          <w:lang w:val="en-GB"/>
        </w:rPr>
        <w:t xml:space="preserve"> </w:t>
      </w:r>
      <w:r w:rsidR="001B451D" w:rsidRPr="00376E45">
        <w:rPr>
          <w:lang w:val="en-GB"/>
        </w:rPr>
        <w:t>C-reactive protein (</w:t>
      </w:r>
      <w:proofErr w:type="spellStart"/>
      <w:r w:rsidR="009F3780" w:rsidRPr="00376E45">
        <w:rPr>
          <w:lang w:val="en-GB"/>
        </w:rPr>
        <w:t>hs</w:t>
      </w:r>
      <w:r w:rsidR="001B451D" w:rsidRPr="00376E45">
        <w:rPr>
          <w:lang w:val="en-GB"/>
        </w:rPr>
        <w:t>CRP</w:t>
      </w:r>
      <w:proofErr w:type="spellEnd"/>
      <w:r w:rsidR="001B451D" w:rsidRPr="00376E45">
        <w:rPr>
          <w:lang w:val="en-GB"/>
        </w:rPr>
        <w:t xml:space="preserve">) </w:t>
      </w:r>
      <w:r w:rsidR="00BB1DEE" w:rsidRPr="00376E45">
        <w:rPr>
          <w:lang w:val="en-GB"/>
        </w:rPr>
        <w:t>≥</w:t>
      </w:r>
      <w:r w:rsidR="000F6490" w:rsidRPr="00376E45">
        <w:rPr>
          <w:lang w:val="en-GB"/>
        </w:rPr>
        <w:t>3</w:t>
      </w:r>
      <w:r w:rsidR="001B451D" w:rsidRPr="00376E45">
        <w:rPr>
          <w:lang w:val="en-GB"/>
        </w:rPr>
        <w:t xml:space="preserve"> mg/L in a central laboratory,</w:t>
      </w:r>
      <w:r w:rsidR="001B3C48" w:rsidRPr="00376E45">
        <w:rPr>
          <w:lang w:val="en-GB"/>
        </w:rPr>
        <w:t xml:space="preserve"> and</w:t>
      </w:r>
      <w:r w:rsidR="006B6DC3" w:rsidRPr="00376E45">
        <w:rPr>
          <w:lang w:val="en-GB"/>
        </w:rPr>
        <w:t xml:space="preserve"> </w:t>
      </w:r>
      <w:r w:rsidRPr="00376E45">
        <w:rPr>
          <w:lang w:val="en-GB"/>
        </w:rPr>
        <w:t>class I</w:t>
      </w:r>
      <w:r w:rsidR="00E93430" w:rsidRPr="00376E45">
        <w:rPr>
          <w:lang w:val="en-GB"/>
        </w:rPr>
        <w:t xml:space="preserve">–III functional capacity as classified by </w:t>
      </w:r>
      <w:r w:rsidR="00CF0D8A" w:rsidRPr="00376E45">
        <w:rPr>
          <w:lang w:val="en-GB"/>
        </w:rPr>
        <w:t>the</w:t>
      </w:r>
      <w:r w:rsidRPr="00376E45">
        <w:rPr>
          <w:lang w:val="en-GB"/>
        </w:rPr>
        <w:t xml:space="preserve"> ACR 1991 revised criteria for global functioning status in RA</w:t>
      </w:r>
      <w:r w:rsidR="00D5246A" w:rsidRPr="00376E45">
        <w:rPr>
          <w:lang w:val="en-GB"/>
        </w:rPr>
        <w:t>.</w:t>
      </w:r>
      <w:r w:rsidR="00FD652D" w:rsidRPr="00376E45">
        <w:rPr>
          <w:vertAlign w:val="superscript"/>
          <w:lang w:val="en-GB"/>
        </w:rPr>
        <w:t>21</w:t>
      </w:r>
      <w:r w:rsidRPr="00376E45">
        <w:rPr>
          <w:lang w:val="en-GB"/>
        </w:rPr>
        <w:t xml:space="preserve"> </w:t>
      </w:r>
      <w:r w:rsidR="006D5286" w:rsidRPr="00376E45">
        <w:rPr>
          <w:lang w:val="en-GB"/>
        </w:rPr>
        <w:t xml:space="preserve">Patients were required to discontinue </w:t>
      </w:r>
      <w:r w:rsidR="003249A5" w:rsidRPr="00376E45">
        <w:rPr>
          <w:lang w:val="en-GB"/>
        </w:rPr>
        <w:t>all</w:t>
      </w:r>
      <w:r w:rsidR="00CD648D" w:rsidRPr="00376E45">
        <w:rPr>
          <w:lang w:val="en-GB"/>
        </w:rPr>
        <w:t xml:space="preserve"> </w:t>
      </w:r>
      <w:r w:rsidR="003501C7" w:rsidRPr="00376E45">
        <w:rPr>
          <w:lang w:val="en-GB"/>
        </w:rPr>
        <w:t>cs</w:t>
      </w:r>
      <w:r w:rsidR="006D5286" w:rsidRPr="00376E45">
        <w:rPr>
          <w:lang w:val="en-GB"/>
        </w:rPr>
        <w:t xml:space="preserve">DMARDs other than </w:t>
      </w:r>
      <w:r w:rsidR="003249A5" w:rsidRPr="00376E45">
        <w:rPr>
          <w:lang w:val="en-GB"/>
        </w:rPr>
        <w:t>MTX</w:t>
      </w:r>
      <w:r w:rsidR="0086087F" w:rsidRPr="00376E45">
        <w:rPr>
          <w:lang w:val="en-GB"/>
        </w:rPr>
        <w:t>,</w:t>
      </w:r>
      <w:r w:rsidR="00326701" w:rsidRPr="00376E45">
        <w:rPr>
          <w:lang w:val="en-GB"/>
        </w:rPr>
        <w:t xml:space="preserve"> </w:t>
      </w:r>
      <w:r w:rsidR="003249A5" w:rsidRPr="00376E45">
        <w:rPr>
          <w:lang w:val="en-GB"/>
        </w:rPr>
        <w:t xml:space="preserve">for </w:t>
      </w:r>
      <w:r w:rsidR="00216A09" w:rsidRPr="00376E45">
        <w:rPr>
          <w:lang w:val="en-GB"/>
        </w:rPr>
        <w:t xml:space="preserve">at least </w:t>
      </w:r>
      <w:r w:rsidR="00644CC7" w:rsidRPr="00376E45">
        <w:rPr>
          <w:lang w:val="en-GB"/>
        </w:rPr>
        <w:t>4</w:t>
      </w:r>
      <w:r w:rsidR="00216A09" w:rsidRPr="00376E45">
        <w:rPr>
          <w:lang w:val="en-GB"/>
        </w:rPr>
        <w:t xml:space="preserve"> weeks</w:t>
      </w:r>
      <w:r w:rsidR="00644CC7" w:rsidRPr="00376E45">
        <w:rPr>
          <w:lang w:val="en-GB"/>
        </w:rPr>
        <w:t xml:space="preserve"> or five half-live</w:t>
      </w:r>
      <w:r w:rsidR="0086087F" w:rsidRPr="00376E45">
        <w:rPr>
          <w:lang w:val="en-GB"/>
        </w:rPr>
        <w:t xml:space="preserve">s, </w:t>
      </w:r>
      <w:r w:rsidR="00644CC7" w:rsidRPr="00376E45">
        <w:rPr>
          <w:lang w:val="en-GB"/>
        </w:rPr>
        <w:t xml:space="preserve">whichever </w:t>
      </w:r>
      <w:r w:rsidR="00027A20" w:rsidRPr="00376E45">
        <w:rPr>
          <w:lang w:val="en-GB"/>
        </w:rPr>
        <w:t>was</w:t>
      </w:r>
      <w:r w:rsidR="00644CC7" w:rsidRPr="00376E45">
        <w:rPr>
          <w:lang w:val="en-GB"/>
        </w:rPr>
        <w:t xml:space="preserve"> longer</w:t>
      </w:r>
      <w:r w:rsidR="0086087F" w:rsidRPr="00376E45">
        <w:rPr>
          <w:lang w:val="en-GB"/>
        </w:rPr>
        <w:t>,</w:t>
      </w:r>
      <w:r w:rsidR="00216A09" w:rsidRPr="00376E45">
        <w:rPr>
          <w:lang w:val="en-GB"/>
        </w:rPr>
        <w:t xml:space="preserve"> prior to baseline</w:t>
      </w:r>
      <w:r w:rsidR="00E93430" w:rsidRPr="00376E45">
        <w:rPr>
          <w:lang w:val="en-GB"/>
        </w:rPr>
        <w:t>,</w:t>
      </w:r>
      <w:r w:rsidR="006D5286" w:rsidRPr="00376E45">
        <w:rPr>
          <w:lang w:val="en-GB"/>
        </w:rPr>
        <w:t xml:space="preserve"> but could continue to receive </w:t>
      </w:r>
      <w:r w:rsidR="00216A09" w:rsidRPr="00376E45">
        <w:rPr>
          <w:lang w:val="en-GB"/>
        </w:rPr>
        <w:t xml:space="preserve">stable </w:t>
      </w:r>
      <w:r w:rsidR="001557E3" w:rsidRPr="00376E45">
        <w:rPr>
          <w:lang w:val="en-GB"/>
        </w:rPr>
        <w:t>non</w:t>
      </w:r>
      <w:r w:rsidR="001B3C48" w:rsidRPr="00376E45">
        <w:rPr>
          <w:lang w:val="en-GB"/>
        </w:rPr>
        <w:t>-</w:t>
      </w:r>
      <w:r w:rsidR="001557E3" w:rsidRPr="00376E45">
        <w:rPr>
          <w:lang w:val="en-GB"/>
        </w:rPr>
        <w:t>steroidal anti-inflammatory drugs,</w:t>
      </w:r>
      <w:r w:rsidR="00326701" w:rsidRPr="00376E45">
        <w:rPr>
          <w:lang w:val="en-GB"/>
        </w:rPr>
        <w:t xml:space="preserve"> </w:t>
      </w:r>
      <w:r w:rsidR="00216A09" w:rsidRPr="00376E45">
        <w:rPr>
          <w:lang w:val="en-GB"/>
        </w:rPr>
        <w:t>analgesics</w:t>
      </w:r>
      <w:r w:rsidR="001557E3" w:rsidRPr="00376E45">
        <w:rPr>
          <w:lang w:val="en-GB"/>
        </w:rPr>
        <w:t xml:space="preserve">, and/or oral corticosteroids </w:t>
      </w:r>
      <w:r w:rsidR="00E93430" w:rsidRPr="00376E45">
        <w:rPr>
          <w:lang w:val="en-GB"/>
        </w:rPr>
        <w:t>(</w:t>
      </w:r>
      <w:r w:rsidR="002E761F" w:rsidRPr="00376E45">
        <w:rPr>
          <w:lang w:val="en-GB"/>
        </w:rPr>
        <w:t>≤</w:t>
      </w:r>
      <w:r w:rsidR="001557E3" w:rsidRPr="00376E45">
        <w:rPr>
          <w:lang w:val="en-GB"/>
        </w:rPr>
        <w:t>10 mg p</w:t>
      </w:r>
      <w:r w:rsidR="00E93430" w:rsidRPr="00376E45">
        <w:rPr>
          <w:lang w:val="en-GB"/>
        </w:rPr>
        <w:t>rednisone or equivalent per day</w:t>
      </w:r>
      <w:r w:rsidR="001557E3" w:rsidRPr="00376E45">
        <w:rPr>
          <w:lang w:val="en-GB"/>
        </w:rPr>
        <w:t>) throughout the trial.</w:t>
      </w:r>
      <w:r w:rsidR="00105954" w:rsidRPr="00376E45">
        <w:rPr>
          <w:lang w:val="en-GB"/>
        </w:rPr>
        <w:t xml:space="preserve"> Patients who had not failed or had an adverse event </w:t>
      </w:r>
      <w:r w:rsidR="00821924">
        <w:rPr>
          <w:lang w:val="en-GB"/>
        </w:rPr>
        <w:t xml:space="preserve">(AE) </w:t>
      </w:r>
      <w:r w:rsidR="00105954" w:rsidRPr="00376E45">
        <w:rPr>
          <w:lang w:val="en-GB"/>
        </w:rPr>
        <w:t xml:space="preserve">secondary to a bDMARD could be included but had to have discontinued the bDMARD </w:t>
      </w:r>
      <w:r w:rsidR="00D05A1A" w:rsidRPr="00376E45">
        <w:rPr>
          <w:lang w:val="en-GB"/>
        </w:rPr>
        <w:t>for a</w:t>
      </w:r>
      <w:r w:rsidR="00105954" w:rsidRPr="00376E45">
        <w:rPr>
          <w:lang w:val="en-GB"/>
        </w:rPr>
        <w:t xml:space="preserve"> minimum </w:t>
      </w:r>
      <w:r w:rsidR="00D05A1A" w:rsidRPr="00376E45">
        <w:rPr>
          <w:lang w:val="en-GB"/>
        </w:rPr>
        <w:t xml:space="preserve">period of time </w:t>
      </w:r>
      <w:r w:rsidR="00105954" w:rsidRPr="00376E45">
        <w:rPr>
          <w:lang w:val="en-GB"/>
        </w:rPr>
        <w:t>prior to randomi</w:t>
      </w:r>
      <w:r w:rsidR="00151D9E">
        <w:rPr>
          <w:lang w:val="en-GB"/>
        </w:rPr>
        <w:t>s</w:t>
      </w:r>
      <w:r w:rsidR="00105954" w:rsidRPr="00376E45">
        <w:rPr>
          <w:lang w:val="en-GB"/>
        </w:rPr>
        <w:t>ation</w:t>
      </w:r>
      <w:r w:rsidR="00915B9F" w:rsidRPr="00376E45">
        <w:rPr>
          <w:lang w:val="en-GB"/>
        </w:rPr>
        <w:t xml:space="preserve"> (rituximab or other selective B lymphocyte depleting agents: 52 weeks; </w:t>
      </w:r>
      <w:proofErr w:type="spellStart"/>
      <w:r w:rsidR="00915B9F" w:rsidRPr="00376E45">
        <w:rPr>
          <w:lang w:val="en-GB"/>
        </w:rPr>
        <w:t>abatacept</w:t>
      </w:r>
      <w:proofErr w:type="spellEnd"/>
      <w:r w:rsidR="00915B9F" w:rsidRPr="00376E45">
        <w:rPr>
          <w:lang w:val="en-GB"/>
        </w:rPr>
        <w:t xml:space="preserve">, </w:t>
      </w:r>
      <w:proofErr w:type="spellStart"/>
      <w:r w:rsidR="00915B9F" w:rsidRPr="00376E45">
        <w:rPr>
          <w:lang w:val="en-GB"/>
        </w:rPr>
        <w:t>certolizumab</w:t>
      </w:r>
      <w:proofErr w:type="spellEnd"/>
      <w:r w:rsidR="00915B9F" w:rsidRPr="00376E45">
        <w:rPr>
          <w:lang w:val="en-GB"/>
        </w:rPr>
        <w:t xml:space="preserve"> </w:t>
      </w:r>
      <w:proofErr w:type="spellStart"/>
      <w:r w:rsidR="00915B9F" w:rsidRPr="00376E45">
        <w:rPr>
          <w:lang w:val="en-GB"/>
        </w:rPr>
        <w:t>pegol</w:t>
      </w:r>
      <w:proofErr w:type="spellEnd"/>
      <w:r w:rsidR="00915B9F" w:rsidRPr="00376E45">
        <w:rPr>
          <w:lang w:val="en-GB"/>
        </w:rPr>
        <w:t xml:space="preserve">, tocilizumab: 4 weeks; </w:t>
      </w:r>
      <w:proofErr w:type="spellStart"/>
      <w:r w:rsidR="00915B9F" w:rsidRPr="00376E45">
        <w:rPr>
          <w:lang w:val="en-GB"/>
        </w:rPr>
        <w:t>golimumab</w:t>
      </w:r>
      <w:proofErr w:type="spellEnd"/>
      <w:r w:rsidR="00915B9F" w:rsidRPr="00376E45">
        <w:rPr>
          <w:lang w:val="en-GB"/>
        </w:rPr>
        <w:t xml:space="preserve">: 10 weeks; infliximab: 8 weeks; </w:t>
      </w:r>
      <w:proofErr w:type="spellStart"/>
      <w:r w:rsidR="00915B9F" w:rsidRPr="00376E45">
        <w:rPr>
          <w:lang w:val="en-GB"/>
        </w:rPr>
        <w:t>anakinra</w:t>
      </w:r>
      <w:proofErr w:type="spellEnd"/>
      <w:r w:rsidR="00915B9F" w:rsidRPr="00376E45">
        <w:rPr>
          <w:lang w:val="en-GB"/>
        </w:rPr>
        <w:t xml:space="preserve">, </w:t>
      </w:r>
      <w:proofErr w:type="spellStart"/>
      <w:r w:rsidR="00915B9F" w:rsidRPr="00376E45">
        <w:rPr>
          <w:lang w:val="en-GB"/>
        </w:rPr>
        <w:t>etanercept</w:t>
      </w:r>
      <w:proofErr w:type="spellEnd"/>
      <w:r w:rsidR="00915B9F" w:rsidRPr="00376E45">
        <w:rPr>
          <w:lang w:val="en-GB"/>
        </w:rPr>
        <w:t>: 4 weeks)</w:t>
      </w:r>
      <w:r w:rsidR="00105954" w:rsidRPr="00376E45">
        <w:rPr>
          <w:lang w:val="en-GB"/>
        </w:rPr>
        <w:t>.</w:t>
      </w:r>
    </w:p>
    <w:p w14:paraId="40CE83CC" w14:textId="27F2637D" w:rsidR="007548FB" w:rsidRPr="00376E45" w:rsidRDefault="001148BC" w:rsidP="001148BC">
      <w:pPr>
        <w:rPr>
          <w:lang w:val="en-GB"/>
        </w:rPr>
      </w:pPr>
      <w:r w:rsidRPr="00376E45">
        <w:rPr>
          <w:lang w:val="en-GB"/>
        </w:rPr>
        <w:t>Patients were excluded if they</w:t>
      </w:r>
      <w:r w:rsidR="00054783" w:rsidRPr="00376E45">
        <w:rPr>
          <w:lang w:val="en-GB"/>
        </w:rPr>
        <w:t xml:space="preserve"> had</w:t>
      </w:r>
      <w:r w:rsidR="00E84CB9" w:rsidRPr="00376E45">
        <w:rPr>
          <w:lang w:val="en-GB"/>
        </w:rPr>
        <w:t>:</w:t>
      </w:r>
      <w:r w:rsidRPr="00376E45">
        <w:rPr>
          <w:lang w:val="en-GB"/>
        </w:rPr>
        <w:t xml:space="preserve"> contraindications for any study treatment</w:t>
      </w:r>
      <w:r w:rsidR="00E84CB9" w:rsidRPr="00376E45">
        <w:rPr>
          <w:lang w:val="en-GB"/>
        </w:rPr>
        <w:t>;</w:t>
      </w:r>
      <w:r w:rsidRPr="00376E45">
        <w:rPr>
          <w:lang w:val="en-GB"/>
        </w:rPr>
        <w:t xml:space="preserve"> a history of infections requiring treatm</w:t>
      </w:r>
      <w:r w:rsidR="001B3C48" w:rsidRPr="00376E45">
        <w:rPr>
          <w:lang w:val="en-GB"/>
        </w:rPr>
        <w:t>ent within 2 weeks</w:t>
      </w:r>
      <w:r w:rsidR="008B2203" w:rsidRPr="00376E45">
        <w:rPr>
          <w:lang w:val="en-GB"/>
        </w:rPr>
        <w:t>,</w:t>
      </w:r>
      <w:r w:rsidR="001B3C48" w:rsidRPr="00376E45">
        <w:rPr>
          <w:lang w:val="en-GB"/>
        </w:rPr>
        <w:t xml:space="preserve"> or hospitalis</w:t>
      </w:r>
      <w:r w:rsidRPr="00376E45">
        <w:rPr>
          <w:lang w:val="en-GB"/>
        </w:rPr>
        <w:t xml:space="preserve">ation within </w:t>
      </w:r>
      <w:r w:rsidR="005B2070" w:rsidRPr="00376E45">
        <w:rPr>
          <w:lang w:val="en-GB"/>
        </w:rPr>
        <w:t xml:space="preserve">the </w:t>
      </w:r>
      <w:r w:rsidRPr="00376E45">
        <w:rPr>
          <w:lang w:val="en-GB"/>
        </w:rPr>
        <w:t>6 months</w:t>
      </w:r>
      <w:r w:rsidR="001B3C48" w:rsidRPr="00376E45">
        <w:rPr>
          <w:lang w:val="en-GB"/>
        </w:rPr>
        <w:t xml:space="preserve"> prior to randomis</w:t>
      </w:r>
      <w:r w:rsidR="00216A09" w:rsidRPr="00376E45">
        <w:rPr>
          <w:lang w:val="en-GB"/>
        </w:rPr>
        <w:t>ation</w:t>
      </w:r>
      <w:r w:rsidR="00E84CB9" w:rsidRPr="00376E45">
        <w:rPr>
          <w:lang w:val="en-GB"/>
        </w:rPr>
        <w:t>;</w:t>
      </w:r>
      <w:r w:rsidRPr="00376E45">
        <w:rPr>
          <w:lang w:val="en-GB"/>
        </w:rPr>
        <w:t xml:space="preserve"> </w:t>
      </w:r>
      <w:r w:rsidR="00E93430" w:rsidRPr="00376E45">
        <w:rPr>
          <w:lang w:val="en-GB"/>
        </w:rPr>
        <w:t xml:space="preserve">had </w:t>
      </w:r>
      <w:r w:rsidR="00E84CB9" w:rsidRPr="00376E45">
        <w:rPr>
          <w:lang w:val="en-GB"/>
        </w:rPr>
        <w:t>exclusionary</w:t>
      </w:r>
      <w:r w:rsidR="00216A09" w:rsidRPr="00376E45">
        <w:rPr>
          <w:lang w:val="en-GB"/>
        </w:rPr>
        <w:t xml:space="preserve"> morbidities</w:t>
      </w:r>
      <w:r w:rsidR="00E84CB9" w:rsidRPr="00376E45">
        <w:rPr>
          <w:lang w:val="en-GB"/>
        </w:rPr>
        <w:t>,</w:t>
      </w:r>
      <w:r w:rsidRPr="00376E45">
        <w:rPr>
          <w:lang w:val="en-GB"/>
        </w:rPr>
        <w:t xml:space="preserve"> HIV, hepatitis B or C, </w:t>
      </w:r>
      <w:r w:rsidR="00216A09" w:rsidRPr="00376E45">
        <w:rPr>
          <w:lang w:val="en-GB"/>
        </w:rPr>
        <w:t xml:space="preserve">inadequately treated or undocumented treatment of </w:t>
      </w:r>
      <w:r w:rsidRPr="00376E45">
        <w:rPr>
          <w:lang w:val="en-GB"/>
        </w:rPr>
        <w:t>tuberculosis</w:t>
      </w:r>
      <w:r w:rsidR="00E84CB9" w:rsidRPr="00376E45">
        <w:rPr>
          <w:lang w:val="en-GB"/>
        </w:rPr>
        <w:t>;</w:t>
      </w:r>
      <w:r w:rsidRPr="00376E45">
        <w:rPr>
          <w:lang w:val="en-GB"/>
        </w:rPr>
        <w:t xml:space="preserve"> </w:t>
      </w:r>
      <w:r w:rsidR="00E93430" w:rsidRPr="00376E45">
        <w:rPr>
          <w:lang w:val="en-GB"/>
        </w:rPr>
        <w:t xml:space="preserve">experienced </w:t>
      </w:r>
      <w:r w:rsidR="00E84CB9" w:rsidRPr="00376E45">
        <w:rPr>
          <w:lang w:val="en-GB"/>
        </w:rPr>
        <w:t>more than one episode</w:t>
      </w:r>
      <w:r w:rsidR="00216A09" w:rsidRPr="00376E45">
        <w:rPr>
          <w:lang w:val="en-GB"/>
        </w:rPr>
        <w:t xml:space="preserve"> of</w:t>
      </w:r>
      <w:r w:rsidRPr="00376E45">
        <w:rPr>
          <w:lang w:val="en-GB"/>
        </w:rPr>
        <w:t xml:space="preserve"> herpes zoster</w:t>
      </w:r>
      <w:r w:rsidR="00E84CB9" w:rsidRPr="00376E45">
        <w:rPr>
          <w:lang w:val="en-GB"/>
        </w:rPr>
        <w:t>,</w:t>
      </w:r>
      <w:r w:rsidRPr="00376E45">
        <w:rPr>
          <w:lang w:val="en-GB"/>
        </w:rPr>
        <w:t xml:space="preserve"> </w:t>
      </w:r>
      <w:r w:rsidR="00216A09" w:rsidRPr="00376E45">
        <w:rPr>
          <w:lang w:val="en-GB"/>
        </w:rPr>
        <w:t xml:space="preserve">one episode of </w:t>
      </w:r>
      <w:r w:rsidRPr="00376E45">
        <w:rPr>
          <w:lang w:val="en-GB"/>
        </w:rPr>
        <w:t>disseminated herpes zoster or herpes simplex</w:t>
      </w:r>
      <w:r w:rsidR="00E84CB9" w:rsidRPr="00376E45">
        <w:rPr>
          <w:lang w:val="en-GB"/>
        </w:rPr>
        <w:t>;</w:t>
      </w:r>
      <w:r w:rsidRPr="00376E45">
        <w:rPr>
          <w:lang w:val="en-GB"/>
        </w:rPr>
        <w:t xml:space="preserve"> any clinically significant laboratory abnormalities</w:t>
      </w:r>
      <w:r w:rsidR="00054783" w:rsidRPr="00376E45">
        <w:rPr>
          <w:lang w:val="en-GB"/>
        </w:rPr>
        <w:t>; or were pregnant</w:t>
      </w:r>
      <w:r w:rsidRPr="00376E45">
        <w:rPr>
          <w:lang w:val="en-GB"/>
        </w:rPr>
        <w:t xml:space="preserve">. Patients who had previously failed treatment with </w:t>
      </w:r>
      <w:r w:rsidR="00105954" w:rsidRPr="00376E45">
        <w:rPr>
          <w:lang w:val="en-GB"/>
        </w:rPr>
        <w:t xml:space="preserve">a bDMARD </w:t>
      </w:r>
      <w:r w:rsidR="00C55FCE" w:rsidRPr="00376E45">
        <w:rPr>
          <w:lang w:val="en-GB"/>
        </w:rPr>
        <w:t xml:space="preserve">(due to lack of efficacy or </w:t>
      </w:r>
      <w:r w:rsidR="00105954" w:rsidRPr="00376E45">
        <w:rPr>
          <w:lang w:val="en-GB"/>
        </w:rPr>
        <w:t>bDMARD</w:t>
      </w:r>
      <w:r w:rsidR="00C55FCE" w:rsidRPr="00376E45">
        <w:rPr>
          <w:lang w:val="en-GB"/>
        </w:rPr>
        <w:t>-</w:t>
      </w:r>
      <w:r w:rsidR="00771DFF">
        <w:rPr>
          <w:lang w:val="en-GB"/>
        </w:rPr>
        <w:t>-</w:t>
      </w:r>
      <w:r w:rsidR="00C55FCE" w:rsidRPr="00376E45">
        <w:rPr>
          <w:lang w:val="en-GB"/>
        </w:rPr>
        <w:t xml:space="preserve">related AEs) </w:t>
      </w:r>
      <w:r w:rsidRPr="00376E45">
        <w:rPr>
          <w:lang w:val="en-GB"/>
        </w:rPr>
        <w:t xml:space="preserve">or </w:t>
      </w:r>
      <w:r w:rsidR="001B3C48" w:rsidRPr="00376E45">
        <w:rPr>
          <w:lang w:val="en-GB"/>
        </w:rPr>
        <w:t xml:space="preserve">who had </w:t>
      </w:r>
      <w:r w:rsidRPr="00376E45">
        <w:rPr>
          <w:lang w:val="en-GB"/>
        </w:rPr>
        <w:t xml:space="preserve">previously received tofacitinib, adalimumab, </w:t>
      </w:r>
      <w:r w:rsidR="003376EB" w:rsidRPr="00376E45">
        <w:rPr>
          <w:lang w:val="en-GB"/>
        </w:rPr>
        <w:t xml:space="preserve">glucocorticoids </w:t>
      </w:r>
      <w:r w:rsidR="00E84CB9" w:rsidRPr="00376E45">
        <w:rPr>
          <w:lang w:val="en-GB"/>
        </w:rPr>
        <w:t>(&gt;</w:t>
      </w:r>
      <w:r w:rsidR="00216A09" w:rsidRPr="00376E45">
        <w:rPr>
          <w:lang w:val="en-GB"/>
        </w:rPr>
        <w:t>10 mg</w:t>
      </w:r>
      <w:r w:rsidR="00027A20" w:rsidRPr="00376E45">
        <w:rPr>
          <w:lang w:val="en-GB"/>
        </w:rPr>
        <w:t>/day</w:t>
      </w:r>
      <w:r w:rsidR="00216A09" w:rsidRPr="00376E45">
        <w:rPr>
          <w:lang w:val="en-GB"/>
        </w:rPr>
        <w:t xml:space="preserve"> </w:t>
      </w:r>
      <w:r w:rsidRPr="00376E45">
        <w:rPr>
          <w:lang w:val="en-GB"/>
        </w:rPr>
        <w:t xml:space="preserve">within </w:t>
      </w:r>
      <w:r w:rsidR="00216A09" w:rsidRPr="00376E45">
        <w:rPr>
          <w:lang w:val="en-GB"/>
        </w:rPr>
        <w:t xml:space="preserve">the </w:t>
      </w:r>
      <w:r w:rsidRPr="00376E45">
        <w:rPr>
          <w:lang w:val="en-GB"/>
        </w:rPr>
        <w:t>previous 4 weeks</w:t>
      </w:r>
      <w:r w:rsidR="00E84CB9" w:rsidRPr="00376E45">
        <w:rPr>
          <w:lang w:val="en-GB"/>
        </w:rPr>
        <w:t>)</w:t>
      </w:r>
      <w:r w:rsidRPr="00376E45">
        <w:rPr>
          <w:lang w:val="en-GB"/>
        </w:rPr>
        <w:t xml:space="preserve">, </w:t>
      </w:r>
      <w:r w:rsidR="003D2EF4" w:rsidRPr="00376E45">
        <w:rPr>
          <w:lang w:val="en-GB"/>
        </w:rPr>
        <w:t xml:space="preserve">or </w:t>
      </w:r>
      <w:r w:rsidRPr="00376E45">
        <w:rPr>
          <w:lang w:val="en-GB"/>
        </w:rPr>
        <w:t xml:space="preserve">live attenuated vaccines other than the </w:t>
      </w:r>
      <w:r w:rsidR="006D5286" w:rsidRPr="00376E45">
        <w:rPr>
          <w:lang w:val="en-GB"/>
        </w:rPr>
        <w:t xml:space="preserve">herpes zoster </w:t>
      </w:r>
      <w:r w:rsidRPr="00376E45">
        <w:rPr>
          <w:lang w:val="en-GB"/>
        </w:rPr>
        <w:t xml:space="preserve">vaccine (within 6 weeks </w:t>
      </w:r>
      <w:r w:rsidR="00CD13B8" w:rsidRPr="00376E45">
        <w:rPr>
          <w:lang w:val="en-GB"/>
        </w:rPr>
        <w:t>prior to study initiation</w:t>
      </w:r>
      <w:r w:rsidRPr="00376E45">
        <w:rPr>
          <w:lang w:val="en-GB"/>
        </w:rPr>
        <w:t xml:space="preserve">, or </w:t>
      </w:r>
      <w:r w:rsidR="00DA4F13" w:rsidRPr="00376E45">
        <w:rPr>
          <w:lang w:val="en-GB"/>
        </w:rPr>
        <w:t xml:space="preserve">planned </w:t>
      </w:r>
      <w:r w:rsidR="00CD13B8" w:rsidRPr="00376E45">
        <w:rPr>
          <w:lang w:val="en-GB"/>
        </w:rPr>
        <w:t>within</w:t>
      </w:r>
      <w:r w:rsidRPr="00376E45">
        <w:rPr>
          <w:lang w:val="en-GB"/>
        </w:rPr>
        <w:t xml:space="preserve"> 6 weeks after discontinuation of study treatment) were also excluded.</w:t>
      </w:r>
      <w:r w:rsidR="007548FB" w:rsidRPr="00376E45">
        <w:rPr>
          <w:lang w:val="en-GB"/>
        </w:rPr>
        <w:t xml:space="preserve"> </w:t>
      </w:r>
      <w:r w:rsidR="00054783" w:rsidRPr="00376E45">
        <w:rPr>
          <w:lang w:val="en-GB"/>
        </w:rPr>
        <w:t>A complete list of</w:t>
      </w:r>
      <w:r w:rsidR="00343247" w:rsidRPr="00376E45">
        <w:rPr>
          <w:lang w:val="en-GB"/>
        </w:rPr>
        <w:t xml:space="preserve"> inclusion and exclusion criteria are prov</w:t>
      </w:r>
      <w:r w:rsidR="00905EA7" w:rsidRPr="00376E45">
        <w:rPr>
          <w:lang w:val="en-GB"/>
        </w:rPr>
        <w:t>ided as supplementary material.</w:t>
      </w:r>
    </w:p>
    <w:p w14:paraId="4DA30E30" w14:textId="77777777" w:rsidR="00AD630C" w:rsidRPr="00376E45" w:rsidRDefault="00AD630C" w:rsidP="00AD630C">
      <w:pPr>
        <w:pStyle w:val="Heading2"/>
        <w:rPr>
          <w:lang w:val="en-GB"/>
        </w:rPr>
      </w:pPr>
      <w:r w:rsidRPr="00376E45">
        <w:rPr>
          <w:lang w:val="en-GB"/>
        </w:rPr>
        <w:t>Procedures</w:t>
      </w:r>
    </w:p>
    <w:p w14:paraId="0364228E" w14:textId="1F2BBF04" w:rsidR="00203768" w:rsidRPr="00376E45" w:rsidRDefault="00AD630C" w:rsidP="005C438D">
      <w:pPr>
        <w:rPr>
          <w:lang w:val="en-GB"/>
        </w:rPr>
      </w:pPr>
      <w:r w:rsidRPr="00376E45">
        <w:rPr>
          <w:lang w:val="en-GB"/>
        </w:rPr>
        <w:t>All treatments</w:t>
      </w:r>
      <w:r w:rsidR="00D5246A" w:rsidRPr="00376E45">
        <w:rPr>
          <w:lang w:val="en-GB"/>
        </w:rPr>
        <w:t xml:space="preserve"> (except herpes vaccination)</w:t>
      </w:r>
      <w:r w:rsidRPr="00376E45">
        <w:rPr>
          <w:lang w:val="en-GB"/>
        </w:rPr>
        <w:t xml:space="preserve"> were self-administered. </w:t>
      </w:r>
      <w:r w:rsidR="006D5286" w:rsidRPr="00376E45">
        <w:rPr>
          <w:lang w:val="en-GB"/>
        </w:rPr>
        <w:t>T</w:t>
      </w:r>
      <w:r w:rsidR="00191A78" w:rsidRPr="00376E45">
        <w:rPr>
          <w:lang w:val="en-GB"/>
        </w:rPr>
        <w:t>o maintain the blinding of treatment</w:t>
      </w:r>
      <w:r w:rsidR="00CD648D" w:rsidRPr="00376E45">
        <w:rPr>
          <w:lang w:val="en-GB"/>
        </w:rPr>
        <w:t xml:space="preserve"> in this triple-dummy trial</w:t>
      </w:r>
      <w:r w:rsidR="00191A78" w:rsidRPr="00376E45">
        <w:rPr>
          <w:lang w:val="en-GB"/>
        </w:rPr>
        <w:t xml:space="preserve">, </w:t>
      </w:r>
      <w:r w:rsidR="00054783" w:rsidRPr="00376E45">
        <w:rPr>
          <w:lang w:val="en-GB"/>
        </w:rPr>
        <w:t xml:space="preserve">patients in </w:t>
      </w:r>
      <w:r w:rsidR="00191A78" w:rsidRPr="00376E45">
        <w:rPr>
          <w:lang w:val="en-GB"/>
        </w:rPr>
        <w:t>e</w:t>
      </w:r>
      <w:r w:rsidR="00A50003" w:rsidRPr="00376E45">
        <w:rPr>
          <w:lang w:val="en-GB"/>
        </w:rPr>
        <w:t xml:space="preserve">ach treatment group received </w:t>
      </w:r>
      <w:r w:rsidR="001746B6" w:rsidRPr="00376E45">
        <w:rPr>
          <w:lang w:val="en-GB"/>
        </w:rPr>
        <w:t xml:space="preserve">the appropriate </w:t>
      </w:r>
      <w:r w:rsidR="00A50003" w:rsidRPr="00376E45">
        <w:rPr>
          <w:lang w:val="en-GB"/>
        </w:rPr>
        <w:t>placebo</w:t>
      </w:r>
      <w:r w:rsidR="00105954" w:rsidRPr="00376E45">
        <w:rPr>
          <w:lang w:val="en-GB"/>
        </w:rPr>
        <w:t>, whether MTX, tofacitinib or adalimumab,</w:t>
      </w:r>
      <w:r w:rsidR="00A50003" w:rsidRPr="00376E45">
        <w:rPr>
          <w:lang w:val="en-GB"/>
        </w:rPr>
        <w:t xml:space="preserve"> to </w:t>
      </w:r>
      <w:r w:rsidR="00191A78" w:rsidRPr="00376E45">
        <w:rPr>
          <w:lang w:val="en-GB"/>
        </w:rPr>
        <w:t xml:space="preserve">ensure </w:t>
      </w:r>
      <w:r w:rsidR="00A50003" w:rsidRPr="00376E45">
        <w:rPr>
          <w:lang w:val="en-GB"/>
        </w:rPr>
        <w:t>identical dose burden between groups</w:t>
      </w:r>
      <w:r w:rsidR="003A439A" w:rsidRPr="00376E45">
        <w:rPr>
          <w:lang w:val="en-GB"/>
        </w:rPr>
        <w:t>.</w:t>
      </w:r>
      <w:r w:rsidR="008C3A59" w:rsidRPr="00376E45">
        <w:rPr>
          <w:lang w:val="en-GB"/>
        </w:rPr>
        <w:t xml:space="preserve"> </w:t>
      </w:r>
      <w:r w:rsidR="0060392B" w:rsidRPr="00376E45">
        <w:rPr>
          <w:lang w:val="en-GB"/>
        </w:rPr>
        <w:t xml:space="preserve">In patients who were eligible (based on vaccine availability at site and </w:t>
      </w:r>
      <w:r w:rsidR="00DA4F13" w:rsidRPr="00376E45">
        <w:rPr>
          <w:lang w:val="en-GB"/>
        </w:rPr>
        <w:t>age</w:t>
      </w:r>
      <w:r w:rsidR="0060392B" w:rsidRPr="00376E45">
        <w:rPr>
          <w:lang w:val="en-GB"/>
        </w:rPr>
        <w:t xml:space="preserve"> ≥50 years), live zoster vaccine was administered approximately 4 weeks in advance of study treatment at the investigator’s discretion</w:t>
      </w:r>
      <w:r w:rsidR="00D006F0" w:rsidRPr="00376E45">
        <w:rPr>
          <w:lang w:val="en-GB"/>
        </w:rPr>
        <w:t xml:space="preserve">. </w:t>
      </w:r>
      <w:r w:rsidR="007933DC" w:rsidRPr="00376E45">
        <w:rPr>
          <w:lang w:val="en-GB"/>
        </w:rPr>
        <w:t>Physical examinations</w:t>
      </w:r>
      <w:r w:rsidR="002E761F" w:rsidRPr="00376E45">
        <w:rPr>
          <w:lang w:val="en-GB"/>
        </w:rPr>
        <w:t xml:space="preserve"> were performed at screening, baseline and Month 12</w:t>
      </w:r>
      <w:r w:rsidR="00D006F0" w:rsidRPr="00376E45">
        <w:rPr>
          <w:lang w:val="en-GB"/>
        </w:rPr>
        <w:t>,</w:t>
      </w:r>
      <w:r w:rsidR="002E761F" w:rsidRPr="00376E45">
        <w:rPr>
          <w:lang w:val="en-GB"/>
        </w:rPr>
        <w:t xml:space="preserve"> and</w:t>
      </w:r>
      <w:r w:rsidR="00D006F0" w:rsidRPr="00376E45">
        <w:rPr>
          <w:lang w:val="en-GB"/>
        </w:rPr>
        <w:t xml:space="preserve"> </w:t>
      </w:r>
      <w:r w:rsidR="00216A09" w:rsidRPr="00376E45">
        <w:rPr>
          <w:lang w:val="en-GB"/>
        </w:rPr>
        <w:t>laboratory</w:t>
      </w:r>
      <w:r w:rsidR="00D73887" w:rsidRPr="00376E45">
        <w:rPr>
          <w:lang w:val="en-GB"/>
        </w:rPr>
        <w:t xml:space="preserve"> observations</w:t>
      </w:r>
      <w:r w:rsidR="001B3C48" w:rsidRPr="00376E45">
        <w:rPr>
          <w:lang w:val="en-GB"/>
        </w:rPr>
        <w:t>,</w:t>
      </w:r>
      <w:r w:rsidR="00216A09" w:rsidRPr="00376E45">
        <w:rPr>
          <w:lang w:val="en-GB"/>
        </w:rPr>
        <w:t xml:space="preserve"> </w:t>
      </w:r>
      <w:r w:rsidR="00D006F0" w:rsidRPr="00376E45">
        <w:rPr>
          <w:lang w:val="en-GB"/>
        </w:rPr>
        <w:t xml:space="preserve">and </w:t>
      </w:r>
      <w:r w:rsidR="00D73887" w:rsidRPr="00376E45">
        <w:rPr>
          <w:lang w:val="en-GB"/>
        </w:rPr>
        <w:t xml:space="preserve">AE </w:t>
      </w:r>
      <w:r w:rsidR="00D006F0" w:rsidRPr="00376E45">
        <w:rPr>
          <w:lang w:val="en-GB"/>
        </w:rPr>
        <w:t xml:space="preserve">assessments </w:t>
      </w:r>
      <w:r w:rsidR="007933DC" w:rsidRPr="00376E45">
        <w:rPr>
          <w:lang w:val="en-GB"/>
        </w:rPr>
        <w:t xml:space="preserve">were performed at </w:t>
      </w:r>
      <w:r w:rsidR="00216A09" w:rsidRPr="00376E45">
        <w:rPr>
          <w:lang w:val="en-GB"/>
        </w:rPr>
        <w:t>each visit</w:t>
      </w:r>
      <w:r w:rsidR="00CD7A56" w:rsidRPr="00376E45">
        <w:rPr>
          <w:lang w:val="en-GB"/>
        </w:rPr>
        <w:t xml:space="preserve"> and at a</w:t>
      </w:r>
      <w:r w:rsidR="00216A09" w:rsidRPr="00376E45">
        <w:rPr>
          <w:lang w:val="en-GB"/>
        </w:rPr>
        <w:t xml:space="preserve"> </w:t>
      </w:r>
      <w:r w:rsidR="00D006F0" w:rsidRPr="00376E45">
        <w:rPr>
          <w:lang w:val="en-GB"/>
        </w:rPr>
        <w:t>follow-up visit 28 (±14) days after the end of the study treatment period</w:t>
      </w:r>
      <w:r w:rsidR="00CD7A56" w:rsidRPr="00376E45">
        <w:rPr>
          <w:lang w:val="en-GB"/>
        </w:rPr>
        <w:t>.</w:t>
      </w:r>
    </w:p>
    <w:p w14:paraId="338E5044" w14:textId="77777777" w:rsidR="005265E7" w:rsidRPr="00376E45" w:rsidRDefault="006D57FE" w:rsidP="006119DE">
      <w:pPr>
        <w:pStyle w:val="Heading2"/>
        <w:rPr>
          <w:lang w:val="en-GB"/>
        </w:rPr>
      </w:pPr>
      <w:r w:rsidRPr="00376E45">
        <w:rPr>
          <w:lang w:val="en-GB"/>
        </w:rPr>
        <w:t>O</w:t>
      </w:r>
      <w:r w:rsidR="005265E7" w:rsidRPr="00376E45">
        <w:rPr>
          <w:lang w:val="en-GB"/>
        </w:rPr>
        <w:t>utcome</w:t>
      </w:r>
      <w:r w:rsidR="007D4961" w:rsidRPr="00376E45">
        <w:rPr>
          <w:lang w:val="en-GB"/>
        </w:rPr>
        <w:t>s</w:t>
      </w:r>
    </w:p>
    <w:p w14:paraId="75AA20C2" w14:textId="717BEFEC" w:rsidR="00241645" w:rsidRPr="00376E45" w:rsidRDefault="004F558D" w:rsidP="00C50610">
      <w:pPr>
        <w:rPr>
          <w:lang w:val="en-GB"/>
        </w:rPr>
      </w:pPr>
      <w:r w:rsidRPr="00376E45">
        <w:rPr>
          <w:lang w:val="en-GB"/>
        </w:rPr>
        <w:t xml:space="preserve">The primary endpoint was </w:t>
      </w:r>
      <w:r w:rsidR="00644396" w:rsidRPr="00376E45">
        <w:rPr>
          <w:lang w:val="en-GB"/>
        </w:rPr>
        <w:t xml:space="preserve">the proportion of patients achieving </w:t>
      </w:r>
      <w:r w:rsidR="00D006F0" w:rsidRPr="00376E45">
        <w:rPr>
          <w:lang w:val="en-GB"/>
        </w:rPr>
        <w:t xml:space="preserve">an </w:t>
      </w:r>
      <w:r w:rsidR="008B2203" w:rsidRPr="00376E45">
        <w:rPr>
          <w:lang w:val="en-GB"/>
        </w:rPr>
        <w:t>American College of Rheumatology 50% (ACR50)</w:t>
      </w:r>
      <w:r w:rsidR="00644396" w:rsidRPr="00376E45">
        <w:rPr>
          <w:lang w:val="en-GB"/>
        </w:rPr>
        <w:t xml:space="preserve"> </w:t>
      </w:r>
      <w:r w:rsidR="00D006F0" w:rsidRPr="00376E45">
        <w:rPr>
          <w:lang w:val="en-GB"/>
        </w:rPr>
        <w:t xml:space="preserve">response </w:t>
      </w:r>
      <w:r w:rsidR="009A131C" w:rsidRPr="00376E45">
        <w:rPr>
          <w:lang w:val="en-GB"/>
        </w:rPr>
        <w:t>at</w:t>
      </w:r>
      <w:r w:rsidR="008B2203" w:rsidRPr="00376E45">
        <w:rPr>
          <w:lang w:val="en-GB"/>
        </w:rPr>
        <w:t xml:space="preserve"> </w:t>
      </w:r>
      <w:r w:rsidR="009A131C" w:rsidRPr="00376E45">
        <w:rPr>
          <w:lang w:val="en-GB"/>
        </w:rPr>
        <w:t>6 months</w:t>
      </w:r>
      <w:r w:rsidR="00D006F0" w:rsidRPr="00376E45">
        <w:rPr>
          <w:lang w:val="en-GB"/>
        </w:rPr>
        <w:t>.</w:t>
      </w:r>
      <w:r w:rsidR="00644396" w:rsidRPr="00376E45">
        <w:rPr>
          <w:lang w:val="en-GB"/>
        </w:rPr>
        <w:t xml:space="preserve"> </w:t>
      </w:r>
      <w:r w:rsidR="000B16DD" w:rsidRPr="00376E45">
        <w:rPr>
          <w:lang w:val="en-GB"/>
        </w:rPr>
        <w:t>S</w:t>
      </w:r>
      <w:r w:rsidR="0086323D" w:rsidRPr="00376E45">
        <w:rPr>
          <w:lang w:val="en-GB"/>
        </w:rPr>
        <w:t xml:space="preserve">econdary </w:t>
      </w:r>
      <w:r w:rsidR="00CC4E1D" w:rsidRPr="00376E45">
        <w:rPr>
          <w:lang w:val="en-GB"/>
        </w:rPr>
        <w:t>e</w:t>
      </w:r>
      <w:r w:rsidR="0086323D" w:rsidRPr="00376E45">
        <w:rPr>
          <w:lang w:val="en-GB"/>
        </w:rPr>
        <w:t xml:space="preserve">fficacy </w:t>
      </w:r>
      <w:r w:rsidR="00CC4E1D" w:rsidRPr="00376E45">
        <w:rPr>
          <w:lang w:val="en-GB"/>
        </w:rPr>
        <w:t>e</w:t>
      </w:r>
      <w:r w:rsidR="0086323D" w:rsidRPr="00376E45">
        <w:rPr>
          <w:lang w:val="en-GB"/>
        </w:rPr>
        <w:t>ndpoints</w:t>
      </w:r>
      <w:r w:rsidR="00644396" w:rsidRPr="00376E45">
        <w:rPr>
          <w:lang w:val="en-GB"/>
        </w:rPr>
        <w:t xml:space="preserve"> included </w:t>
      </w:r>
      <w:r w:rsidR="003A439A" w:rsidRPr="00376E45">
        <w:rPr>
          <w:lang w:val="en-GB"/>
        </w:rPr>
        <w:t xml:space="preserve">achievement of </w:t>
      </w:r>
      <w:r w:rsidR="00906A06" w:rsidRPr="00376E45">
        <w:rPr>
          <w:lang w:val="en-GB"/>
        </w:rPr>
        <w:t>ACR20/</w:t>
      </w:r>
      <w:r w:rsidR="003A439A" w:rsidRPr="00376E45">
        <w:rPr>
          <w:lang w:val="en-GB"/>
        </w:rPr>
        <w:t>50/</w:t>
      </w:r>
      <w:r w:rsidR="00906A06" w:rsidRPr="00376E45">
        <w:rPr>
          <w:lang w:val="en-GB"/>
        </w:rPr>
        <w:t>70</w:t>
      </w:r>
      <w:r w:rsidR="00644396" w:rsidRPr="00376E45">
        <w:rPr>
          <w:lang w:val="en-GB"/>
        </w:rPr>
        <w:t xml:space="preserve"> </w:t>
      </w:r>
      <w:r w:rsidR="00DD4F9C" w:rsidRPr="00376E45">
        <w:rPr>
          <w:lang w:val="en-GB"/>
        </w:rPr>
        <w:t>response rates</w:t>
      </w:r>
      <w:r w:rsidR="005A3FC9" w:rsidRPr="00376E45">
        <w:rPr>
          <w:lang w:val="en-GB"/>
        </w:rPr>
        <w:t xml:space="preserve"> </w:t>
      </w:r>
      <w:r w:rsidR="00CD648D" w:rsidRPr="00376E45">
        <w:rPr>
          <w:lang w:val="en-GB"/>
        </w:rPr>
        <w:t xml:space="preserve">at </w:t>
      </w:r>
      <w:r w:rsidR="003376EB" w:rsidRPr="00376E45">
        <w:rPr>
          <w:lang w:val="en-GB"/>
        </w:rPr>
        <w:t>various</w:t>
      </w:r>
      <w:r w:rsidR="000B16DD" w:rsidRPr="00376E45">
        <w:rPr>
          <w:lang w:val="en-GB"/>
        </w:rPr>
        <w:t xml:space="preserve"> time points</w:t>
      </w:r>
      <w:r w:rsidR="00140709" w:rsidRPr="00376E45">
        <w:rPr>
          <w:lang w:val="en-GB"/>
        </w:rPr>
        <w:t>;</w:t>
      </w:r>
      <w:r w:rsidR="00906A06" w:rsidRPr="00376E45">
        <w:rPr>
          <w:lang w:val="en-GB"/>
        </w:rPr>
        <w:t xml:space="preserve"> the p</w:t>
      </w:r>
      <w:r w:rsidR="00DD4F9C" w:rsidRPr="00376E45">
        <w:rPr>
          <w:lang w:val="en-GB"/>
        </w:rPr>
        <w:t>roportion of patients achieving l</w:t>
      </w:r>
      <w:r w:rsidR="005B0769" w:rsidRPr="00376E45">
        <w:rPr>
          <w:lang w:val="en-GB"/>
        </w:rPr>
        <w:t>ow disease activity (LDA</w:t>
      </w:r>
      <w:r w:rsidR="003A439A" w:rsidRPr="00376E45">
        <w:rPr>
          <w:lang w:val="en-GB"/>
        </w:rPr>
        <w:t>)</w:t>
      </w:r>
      <w:r w:rsidR="00CD648D" w:rsidRPr="00376E45">
        <w:rPr>
          <w:lang w:val="en-GB"/>
        </w:rPr>
        <w:t xml:space="preserve"> (</w:t>
      </w:r>
      <w:r w:rsidR="005B0769" w:rsidRPr="00376E45">
        <w:rPr>
          <w:lang w:val="en-GB"/>
        </w:rPr>
        <w:t xml:space="preserve">as </w:t>
      </w:r>
      <w:r w:rsidR="00CD648D" w:rsidRPr="00376E45">
        <w:rPr>
          <w:lang w:val="en-GB"/>
        </w:rPr>
        <w:t>defined</w:t>
      </w:r>
      <w:r w:rsidR="00D006F0" w:rsidRPr="00376E45">
        <w:rPr>
          <w:lang w:val="en-GB"/>
        </w:rPr>
        <w:t xml:space="preserve"> </w:t>
      </w:r>
      <w:r w:rsidR="005B0769" w:rsidRPr="00376E45">
        <w:rPr>
          <w:lang w:val="en-GB"/>
        </w:rPr>
        <w:t xml:space="preserve">by </w:t>
      </w:r>
      <w:r w:rsidR="003A439A" w:rsidRPr="00376E45">
        <w:rPr>
          <w:lang w:val="en-GB"/>
        </w:rPr>
        <w:t xml:space="preserve">the </w:t>
      </w:r>
      <w:r w:rsidR="00407F8E" w:rsidRPr="00376E45">
        <w:rPr>
          <w:lang w:val="en-GB"/>
        </w:rPr>
        <w:t xml:space="preserve">Simplified Disease Activity Index [SDAI] </w:t>
      </w:r>
      <w:r w:rsidR="005B0769" w:rsidRPr="00376E45">
        <w:rPr>
          <w:lang w:val="en-GB"/>
        </w:rPr>
        <w:t>≤11</w:t>
      </w:r>
      <w:r w:rsidR="00CD648D" w:rsidRPr="00376E45">
        <w:rPr>
          <w:lang w:val="en-GB"/>
        </w:rPr>
        <w:t>,</w:t>
      </w:r>
      <w:r w:rsidR="005B0769" w:rsidRPr="00376E45">
        <w:rPr>
          <w:lang w:val="en-GB"/>
        </w:rPr>
        <w:t xml:space="preserve"> </w:t>
      </w:r>
      <w:r w:rsidR="00407F8E" w:rsidRPr="00376E45">
        <w:rPr>
          <w:lang w:val="en-GB"/>
        </w:rPr>
        <w:t>Clinical Disease Activity Index [CDAI]</w:t>
      </w:r>
      <w:r w:rsidR="005B0769" w:rsidRPr="00376E45">
        <w:rPr>
          <w:lang w:val="en-GB"/>
        </w:rPr>
        <w:t xml:space="preserve"> ≤10</w:t>
      </w:r>
      <w:r w:rsidR="001B3C48" w:rsidRPr="00376E45">
        <w:rPr>
          <w:lang w:val="en-GB"/>
        </w:rPr>
        <w:t>,</w:t>
      </w:r>
      <w:r w:rsidR="00CD648D" w:rsidRPr="00376E45">
        <w:rPr>
          <w:lang w:val="en-GB"/>
        </w:rPr>
        <w:t xml:space="preserve"> </w:t>
      </w:r>
      <w:r w:rsidR="008A0510" w:rsidRPr="00376E45">
        <w:rPr>
          <w:lang w:val="en-GB"/>
        </w:rPr>
        <w:t>Disease Activity Score in 28 joints, erythrocyte sedimentation rate [DAS28-4(</w:t>
      </w:r>
      <w:r w:rsidR="005B0769" w:rsidRPr="00376E45">
        <w:rPr>
          <w:lang w:val="en-GB"/>
        </w:rPr>
        <w:t>ESR</w:t>
      </w:r>
      <w:r w:rsidR="008A0510" w:rsidRPr="00376E45">
        <w:rPr>
          <w:lang w:val="en-GB"/>
        </w:rPr>
        <w:t>)</w:t>
      </w:r>
      <w:r w:rsidR="005B0769" w:rsidRPr="00376E45">
        <w:rPr>
          <w:lang w:val="en-GB"/>
        </w:rPr>
        <w:t>]</w:t>
      </w:r>
      <w:r w:rsidR="0031354E" w:rsidRPr="0031354E">
        <w:t xml:space="preserve"> </w:t>
      </w:r>
      <w:r w:rsidR="002B5482">
        <w:rPr>
          <w:lang w:val="en-GB"/>
        </w:rPr>
        <w:t>&lt;</w:t>
      </w:r>
      <w:r w:rsidR="0031354E" w:rsidRPr="0031354E">
        <w:rPr>
          <w:lang w:val="en-GB"/>
        </w:rPr>
        <w:t>3·2</w:t>
      </w:r>
      <w:r w:rsidR="0031354E">
        <w:rPr>
          <w:lang w:val="en-GB"/>
        </w:rPr>
        <w:t xml:space="preserve"> and </w:t>
      </w:r>
      <w:r w:rsidR="0031354E" w:rsidRPr="0031354E">
        <w:rPr>
          <w:lang w:val="en-GB"/>
        </w:rPr>
        <w:t xml:space="preserve">Disease Activity Score in 28 joints, </w:t>
      </w:r>
      <w:r w:rsidR="0031354E">
        <w:rPr>
          <w:lang w:val="en-GB"/>
        </w:rPr>
        <w:t>C-reactive protein [DAS28-4(CRP)]</w:t>
      </w:r>
      <w:r w:rsidR="00766ED4" w:rsidRPr="00376E45">
        <w:rPr>
          <w:lang w:val="en-GB"/>
        </w:rPr>
        <w:t xml:space="preserve"> </w:t>
      </w:r>
      <w:r w:rsidR="002B5482">
        <w:rPr>
          <w:lang w:val="en-GB"/>
        </w:rPr>
        <w:t>&lt;</w:t>
      </w:r>
      <w:r w:rsidR="005B0769" w:rsidRPr="00376E45">
        <w:rPr>
          <w:lang w:val="en-GB"/>
        </w:rPr>
        <w:t>3</w:t>
      </w:r>
      <w:r w:rsidR="007436B3" w:rsidRPr="00376E45">
        <w:rPr>
          <w:lang w:val="en-GB"/>
        </w:rPr>
        <w:t>·</w:t>
      </w:r>
      <w:r w:rsidR="005B0769" w:rsidRPr="00376E45">
        <w:rPr>
          <w:lang w:val="en-GB"/>
        </w:rPr>
        <w:t>2</w:t>
      </w:r>
      <w:r w:rsidR="00CD648D" w:rsidRPr="00376E45">
        <w:rPr>
          <w:lang w:val="en-GB"/>
        </w:rPr>
        <w:t>),</w:t>
      </w:r>
      <w:r w:rsidR="005B0769" w:rsidRPr="00376E45">
        <w:rPr>
          <w:lang w:val="en-GB"/>
        </w:rPr>
        <w:t xml:space="preserve"> </w:t>
      </w:r>
      <w:r w:rsidR="00407F8E" w:rsidRPr="00376E45">
        <w:rPr>
          <w:lang w:val="en-GB"/>
        </w:rPr>
        <w:t xml:space="preserve">remission </w:t>
      </w:r>
      <w:r w:rsidR="00CD648D" w:rsidRPr="00376E45">
        <w:rPr>
          <w:lang w:val="en-GB"/>
        </w:rPr>
        <w:t xml:space="preserve">(as </w:t>
      </w:r>
      <w:r w:rsidR="003A439A" w:rsidRPr="00376E45">
        <w:rPr>
          <w:lang w:val="en-GB"/>
        </w:rPr>
        <w:t xml:space="preserve">defined by </w:t>
      </w:r>
      <w:r w:rsidR="00407F8E" w:rsidRPr="00376E45">
        <w:rPr>
          <w:lang w:val="en-GB"/>
        </w:rPr>
        <w:t xml:space="preserve">SDAI </w:t>
      </w:r>
      <w:r w:rsidR="003E7234" w:rsidRPr="00376E45">
        <w:rPr>
          <w:lang w:val="en-GB"/>
        </w:rPr>
        <w:t>≤3</w:t>
      </w:r>
      <w:r w:rsidR="007436B3" w:rsidRPr="00376E45">
        <w:rPr>
          <w:lang w:val="en-GB"/>
        </w:rPr>
        <w:t>·</w:t>
      </w:r>
      <w:r w:rsidR="005B39C3" w:rsidRPr="00376E45">
        <w:rPr>
          <w:lang w:val="en-GB"/>
        </w:rPr>
        <w:t>3</w:t>
      </w:r>
      <w:r w:rsidR="003A439A" w:rsidRPr="00376E45">
        <w:rPr>
          <w:lang w:val="en-GB"/>
        </w:rPr>
        <w:t>,</w:t>
      </w:r>
      <w:r w:rsidR="005B39C3" w:rsidRPr="00376E45">
        <w:rPr>
          <w:lang w:val="en-GB"/>
        </w:rPr>
        <w:t xml:space="preserve"> </w:t>
      </w:r>
      <w:r w:rsidR="00407F8E" w:rsidRPr="00376E45">
        <w:rPr>
          <w:lang w:val="en-GB"/>
        </w:rPr>
        <w:t xml:space="preserve">CDAI </w:t>
      </w:r>
      <w:r w:rsidR="005B39C3" w:rsidRPr="00376E45">
        <w:rPr>
          <w:lang w:val="en-GB"/>
        </w:rPr>
        <w:t>≤2</w:t>
      </w:r>
      <w:r w:rsidR="007436B3" w:rsidRPr="00376E45">
        <w:rPr>
          <w:lang w:val="en-GB"/>
        </w:rPr>
        <w:t>·</w:t>
      </w:r>
      <w:r w:rsidR="005B39C3" w:rsidRPr="00376E45">
        <w:rPr>
          <w:lang w:val="en-GB"/>
        </w:rPr>
        <w:t>8</w:t>
      </w:r>
      <w:r w:rsidR="001B3C48" w:rsidRPr="00376E45">
        <w:rPr>
          <w:lang w:val="en-GB"/>
        </w:rPr>
        <w:t>,</w:t>
      </w:r>
      <w:r w:rsidR="003A439A" w:rsidRPr="00376E45">
        <w:rPr>
          <w:lang w:val="en-GB"/>
        </w:rPr>
        <w:t xml:space="preserve"> </w:t>
      </w:r>
      <w:r w:rsidR="005B39C3" w:rsidRPr="00376E45">
        <w:rPr>
          <w:lang w:val="en-GB"/>
        </w:rPr>
        <w:t>DAS28-4[ESR]</w:t>
      </w:r>
      <w:r w:rsidR="00743BF5">
        <w:rPr>
          <w:lang w:val="en-GB"/>
        </w:rPr>
        <w:t>,</w:t>
      </w:r>
      <w:r w:rsidR="0031354E">
        <w:rPr>
          <w:lang w:val="en-GB"/>
        </w:rPr>
        <w:t xml:space="preserve"> </w:t>
      </w:r>
      <w:r w:rsidR="0031354E" w:rsidRPr="0031354E">
        <w:rPr>
          <w:lang w:val="en-GB"/>
        </w:rPr>
        <w:t>DAS28-4[</w:t>
      </w:r>
      <w:r w:rsidR="0031354E">
        <w:rPr>
          <w:lang w:val="en-GB"/>
        </w:rPr>
        <w:t>CRP</w:t>
      </w:r>
      <w:r w:rsidR="0031354E" w:rsidRPr="0031354E">
        <w:rPr>
          <w:lang w:val="en-GB"/>
        </w:rPr>
        <w:t>]</w:t>
      </w:r>
      <w:r w:rsidR="005B39C3" w:rsidRPr="00376E45">
        <w:rPr>
          <w:lang w:val="en-GB"/>
        </w:rPr>
        <w:t xml:space="preserve"> &lt;2</w:t>
      </w:r>
      <w:r w:rsidR="007436B3" w:rsidRPr="00376E45">
        <w:rPr>
          <w:lang w:val="en-GB"/>
        </w:rPr>
        <w:t>·</w:t>
      </w:r>
      <w:r w:rsidR="005B39C3" w:rsidRPr="00376E45">
        <w:rPr>
          <w:lang w:val="en-GB"/>
        </w:rPr>
        <w:t>6</w:t>
      </w:r>
      <w:r w:rsidR="0031354E">
        <w:rPr>
          <w:lang w:val="en-GB"/>
        </w:rPr>
        <w:t>, and ACR-EULAR Boolean remission criteria</w:t>
      </w:r>
      <w:r w:rsidR="00CD648D" w:rsidRPr="00376E45">
        <w:rPr>
          <w:lang w:val="en-GB"/>
        </w:rPr>
        <w:t>)</w:t>
      </w:r>
      <w:r w:rsidR="00140709" w:rsidRPr="00376E45">
        <w:rPr>
          <w:lang w:val="en-GB"/>
        </w:rPr>
        <w:t>;</w:t>
      </w:r>
      <w:r w:rsidR="0031354E">
        <w:rPr>
          <w:lang w:val="en-GB"/>
        </w:rPr>
        <w:t xml:space="preserve"> the proportion of patients achieving a HAQ-DI response (</w:t>
      </w:r>
      <w:r w:rsidR="004C40CD">
        <w:rPr>
          <w:lang w:val="en-GB"/>
        </w:rPr>
        <w:t>improvement</w:t>
      </w:r>
      <w:r w:rsidR="0031354E">
        <w:rPr>
          <w:lang w:val="en-GB"/>
        </w:rPr>
        <w:t xml:space="preserve"> of</w:t>
      </w:r>
      <w:r w:rsidR="004C40CD">
        <w:rPr>
          <w:lang w:val="en-GB"/>
        </w:rPr>
        <w:t xml:space="preserve"> ≥0</w:t>
      </w:r>
      <w:r w:rsidR="004C40CD" w:rsidRPr="004C40CD">
        <w:rPr>
          <w:lang w:val="en-GB"/>
        </w:rPr>
        <w:t>·</w:t>
      </w:r>
      <w:r w:rsidR="004C40CD">
        <w:rPr>
          <w:lang w:val="en-GB"/>
        </w:rPr>
        <w:t>22</w:t>
      </w:r>
      <w:r w:rsidR="002B5482">
        <w:rPr>
          <w:lang w:val="en-GB"/>
        </w:rPr>
        <w:t xml:space="preserve"> compared with baseline</w:t>
      </w:r>
      <w:r w:rsidR="004C40CD">
        <w:rPr>
          <w:lang w:val="en-GB"/>
        </w:rPr>
        <w:t>);</w:t>
      </w:r>
      <w:r w:rsidR="00C50610" w:rsidRPr="00376E45">
        <w:rPr>
          <w:lang w:val="en-GB"/>
        </w:rPr>
        <w:t xml:space="preserve"> </w:t>
      </w:r>
      <w:r w:rsidR="00140709" w:rsidRPr="00376E45">
        <w:rPr>
          <w:lang w:val="en-GB"/>
        </w:rPr>
        <w:t>and</w:t>
      </w:r>
      <w:r w:rsidR="00C50610" w:rsidRPr="00376E45">
        <w:rPr>
          <w:lang w:val="en-GB"/>
        </w:rPr>
        <w:t xml:space="preserve"> l</w:t>
      </w:r>
      <w:r w:rsidR="000D0645" w:rsidRPr="00376E45">
        <w:rPr>
          <w:lang w:val="en-GB"/>
        </w:rPr>
        <w:t>east square</w:t>
      </w:r>
      <w:r w:rsidR="00027A20" w:rsidRPr="00376E45">
        <w:rPr>
          <w:lang w:val="en-GB"/>
        </w:rPr>
        <w:t>s</w:t>
      </w:r>
      <w:r w:rsidR="000D0645" w:rsidRPr="00376E45">
        <w:rPr>
          <w:lang w:val="en-GB"/>
        </w:rPr>
        <w:t xml:space="preserve"> mean (LSM) c</w:t>
      </w:r>
      <w:r w:rsidR="0086323D" w:rsidRPr="00376E45">
        <w:rPr>
          <w:lang w:val="en-GB"/>
        </w:rPr>
        <w:t>hange fr</w:t>
      </w:r>
      <w:r w:rsidR="009D46E0" w:rsidRPr="00376E45">
        <w:rPr>
          <w:lang w:val="en-GB"/>
        </w:rPr>
        <w:t xml:space="preserve">om </w:t>
      </w:r>
      <w:r w:rsidR="00532397" w:rsidRPr="00376E45">
        <w:rPr>
          <w:lang w:val="en-GB"/>
        </w:rPr>
        <w:t>b</w:t>
      </w:r>
      <w:r w:rsidR="009D46E0" w:rsidRPr="00376E45">
        <w:rPr>
          <w:lang w:val="en-GB"/>
        </w:rPr>
        <w:t xml:space="preserve">aseline </w:t>
      </w:r>
      <w:r w:rsidR="00C50610" w:rsidRPr="00376E45">
        <w:rPr>
          <w:lang w:val="en-GB"/>
        </w:rPr>
        <w:t xml:space="preserve">for </w:t>
      </w:r>
      <w:r w:rsidR="00487F3E" w:rsidRPr="00376E45">
        <w:rPr>
          <w:lang w:val="en-GB"/>
        </w:rPr>
        <w:t>SDAI</w:t>
      </w:r>
      <w:r w:rsidR="00C50610" w:rsidRPr="00376E45">
        <w:rPr>
          <w:lang w:val="en-GB"/>
        </w:rPr>
        <w:t xml:space="preserve">, CDAI, </w:t>
      </w:r>
      <w:r w:rsidR="004334E1" w:rsidRPr="00376E45">
        <w:rPr>
          <w:lang w:val="en-GB"/>
        </w:rPr>
        <w:t>DAS28-4</w:t>
      </w:r>
      <w:r w:rsidR="0086323D" w:rsidRPr="00376E45">
        <w:rPr>
          <w:lang w:val="en-GB"/>
        </w:rPr>
        <w:t>(ESR)</w:t>
      </w:r>
      <w:r w:rsidR="001B3C48" w:rsidRPr="00376E45">
        <w:rPr>
          <w:lang w:val="en-GB"/>
        </w:rPr>
        <w:t>,</w:t>
      </w:r>
      <w:r w:rsidR="00C50610" w:rsidRPr="00376E45">
        <w:rPr>
          <w:lang w:val="en-GB"/>
        </w:rPr>
        <w:t xml:space="preserve"> and </w:t>
      </w:r>
      <w:r w:rsidR="009D46E0" w:rsidRPr="00376E45">
        <w:rPr>
          <w:lang w:val="en-GB"/>
        </w:rPr>
        <w:t>HAQ-DI</w:t>
      </w:r>
      <w:r w:rsidR="00C50610" w:rsidRPr="00376E45">
        <w:rPr>
          <w:lang w:val="en-GB"/>
        </w:rPr>
        <w:t>.</w:t>
      </w:r>
    </w:p>
    <w:p w14:paraId="1AB7AD70" w14:textId="3FBCE62B" w:rsidR="00F73E33" w:rsidRPr="00376E45" w:rsidRDefault="00DF605F" w:rsidP="003D149E">
      <w:pPr>
        <w:rPr>
          <w:b/>
          <w:i/>
          <w:lang w:val="en-GB"/>
        </w:rPr>
      </w:pPr>
      <w:r w:rsidRPr="00376E45">
        <w:rPr>
          <w:lang w:val="en-GB"/>
        </w:rPr>
        <w:t xml:space="preserve">Safety was </w:t>
      </w:r>
      <w:r w:rsidR="00CC4E1D" w:rsidRPr="00376E45">
        <w:rPr>
          <w:lang w:val="en-GB"/>
        </w:rPr>
        <w:t>assessed by</w:t>
      </w:r>
      <w:r w:rsidR="0086323D" w:rsidRPr="00376E45">
        <w:rPr>
          <w:lang w:val="en-GB"/>
        </w:rPr>
        <w:t xml:space="preserve"> </w:t>
      </w:r>
      <w:r w:rsidR="00D006F0" w:rsidRPr="00376E45">
        <w:rPr>
          <w:lang w:val="en-GB"/>
        </w:rPr>
        <w:t xml:space="preserve">evaluating </w:t>
      </w:r>
      <w:r w:rsidR="007933DC" w:rsidRPr="00376E45">
        <w:rPr>
          <w:lang w:val="en-GB"/>
        </w:rPr>
        <w:t>AEs</w:t>
      </w:r>
      <w:r w:rsidR="00CC4E1D" w:rsidRPr="00376E45">
        <w:rPr>
          <w:lang w:val="en-GB"/>
        </w:rPr>
        <w:t>, serious AEs (SAEs</w:t>
      </w:r>
      <w:r w:rsidR="00DA21C6" w:rsidRPr="00376E45">
        <w:rPr>
          <w:lang w:val="en-GB"/>
        </w:rPr>
        <w:t>), discontinuations due to AEs</w:t>
      </w:r>
      <w:r w:rsidR="001B3C48" w:rsidRPr="00376E45">
        <w:rPr>
          <w:lang w:val="en-GB"/>
        </w:rPr>
        <w:t>,</w:t>
      </w:r>
      <w:r w:rsidR="000B16DD" w:rsidRPr="00376E45">
        <w:rPr>
          <w:lang w:val="en-GB"/>
        </w:rPr>
        <w:t xml:space="preserve"> and </w:t>
      </w:r>
      <w:r w:rsidR="00735FAC" w:rsidRPr="00376E45">
        <w:rPr>
          <w:lang w:val="en-GB"/>
        </w:rPr>
        <w:t xml:space="preserve">laboratory observations. External </w:t>
      </w:r>
      <w:r w:rsidR="005C2095" w:rsidRPr="00376E45">
        <w:rPr>
          <w:lang w:val="en-GB"/>
        </w:rPr>
        <w:t>adjudication committee</w:t>
      </w:r>
      <w:r w:rsidR="001B3C48" w:rsidRPr="00376E45">
        <w:rPr>
          <w:lang w:val="en-GB"/>
        </w:rPr>
        <w:t>s were established to standardis</w:t>
      </w:r>
      <w:r w:rsidR="005C2095" w:rsidRPr="00376E45">
        <w:rPr>
          <w:lang w:val="en-GB"/>
        </w:rPr>
        <w:t xml:space="preserve">e the assessment of selected safety events </w:t>
      </w:r>
      <w:r w:rsidR="008C3A59" w:rsidRPr="00376E45">
        <w:rPr>
          <w:lang w:val="en-GB"/>
        </w:rPr>
        <w:t>of special interest</w:t>
      </w:r>
      <w:r w:rsidR="000B16DD" w:rsidRPr="00376E45">
        <w:rPr>
          <w:lang w:val="en-GB"/>
        </w:rPr>
        <w:t xml:space="preserve"> (</w:t>
      </w:r>
      <w:r w:rsidR="003D149E" w:rsidRPr="00376E45">
        <w:rPr>
          <w:lang w:val="en-GB"/>
        </w:rPr>
        <w:t>cardiovascular events, hepatic events, opportunistic infection</w:t>
      </w:r>
      <w:r w:rsidR="001B3C48" w:rsidRPr="00376E45">
        <w:rPr>
          <w:lang w:val="en-GB"/>
        </w:rPr>
        <w:t>s</w:t>
      </w:r>
      <w:r w:rsidR="003D149E" w:rsidRPr="00376E45">
        <w:rPr>
          <w:lang w:val="en-GB"/>
        </w:rPr>
        <w:t>, malignancy</w:t>
      </w:r>
      <w:r w:rsidR="001B3C48" w:rsidRPr="00376E45">
        <w:rPr>
          <w:lang w:val="en-GB"/>
        </w:rPr>
        <w:t>,</w:t>
      </w:r>
      <w:r w:rsidR="009A288C" w:rsidRPr="00376E45">
        <w:rPr>
          <w:lang w:val="en-GB"/>
        </w:rPr>
        <w:t xml:space="preserve"> and</w:t>
      </w:r>
      <w:r w:rsidR="003D149E" w:rsidRPr="00376E45">
        <w:rPr>
          <w:lang w:val="en-GB"/>
        </w:rPr>
        <w:t xml:space="preserve"> gastrointestinal perforation</w:t>
      </w:r>
      <w:r w:rsidR="009E57BE" w:rsidRPr="00376E45">
        <w:rPr>
          <w:lang w:val="en-GB"/>
        </w:rPr>
        <w:t>). Occurrences of i</w:t>
      </w:r>
      <w:r w:rsidR="003D149E" w:rsidRPr="00376E45">
        <w:rPr>
          <w:lang w:val="en-GB"/>
        </w:rPr>
        <w:t>nterstitial lung disease</w:t>
      </w:r>
      <w:r w:rsidR="009E57BE" w:rsidRPr="00376E45">
        <w:rPr>
          <w:lang w:val="en-GB"/>
        </w:rPr>
        <w:t xml:space="preserve"> were determined by </w:t>
      </w:r>
      <w:r w:rsidR="001B3C48" w:rsidRPr="00376E45">
        <w:rPr>
          <w:lang w:val="en-GB"/>
        </w:rPr>
        <w:t xml:space="preserve">an </w:t>
      </w:r>
      <w:r w:rsidR="009E57BE" w:rsidRPr="00376E45">
        <w:rPr>
          <w:lang w:val="en-GB"/>
        </w:rPr>
        <w:t>internal adjudication committee</w:t>
      </w:r>
      <w:r w:rsidR="00905EA7" w:rsidRPr="00376E45">
        <w:rPr>
          <w:lang w:val="en-GB"/>
        </w:rPr>
        <w:t>.</w:t>
      </w:r>
    </w:p>
    <w:p w14:paraId="13855803" w14:textId="77777777" w:rsidR="00792B7F" w:rsidRPr="00376E45" w:rsidRDefault="00792B7F" w:rsidP="006119DE">
      <w:pPr>
        <w:pStyle w:val="Heading2"/>
        <w:rPr>
          <w:lang w:val="en-GB"/>
        </w:rPr>
      </w:pPr>
      <w:r w:rsidRPr="00376E45">
        <w:rPr>
          <w:lang w:val="en-GB"/>
        </w:rPr>
        <w:t>Statistical analysis</w:t>
      </w:r>
    </w:p>
    <w:p w14:paraId="1FC9193C" w14:textId="40193750" w:rsidR="00B66B77" w:rsidRPr="00376E45" w:rsidRDefault="00996D77" w:rsidP="00B66B77">
      <w:pPr>
        <w:pStyle w:val="MediumGrid1-Accent21"/>
        <w:numPr>
          <w:ilvl w:val="0"/>
          <w:numId w:val="0"/>
        </w:numPr>
        <w:rPr>
          <w:lang w:val="en-GB"/>
        </w:rPr>
      </w:pPr>
      <w:r w:rsidRPr="00376E45">
        <w:rPr>
          <w:lang w:val="en-GB"/>
        </w:rPr>
        <w:t>For the primary outcome</w:t>
      </w:r>
      <w:r w:rsidR="00CD648D" w:rsidRPr="00376E45">
        <w:rPr>
          <w:lang w:val="en-GB"/>
        </w:rPr>
        <w:t xml:space="preserve"> (non</w:t>
      </w:r>
      <w:r w:rsidR="006D2227" w:rsidRPr="00376E45">
        <w:rPr>
          <w:lang w:val="en-GB"/>
        </w:rPr>
        <w:t>-</w:t>
      </w:r>
      <w:r w:rsidR="00CD648D" w:rsidRPr="00376E45">
        <w:rPr>
          <w:lang w:val="en-GB"/>
        </w:rPr>
        <w:t xml:space="preserve">inferiority in ACR50 </w:t>
      </w:r>
      <w:r w:rsidR="00A90BFF" w:rsidRPr="00376E45">
        <w:rPr>
          <w:lang w:val="en-GB"/>
        </w:rPr>
        <w:t>at M</w:t>
      </w:r>
      <w:r w:rsidR="00CD648D" w:rsidRPr="00376E45">
        <w:rPr>
          <w:lang w:val="en-GB"/>
        </w:rPr>
        <w:t xml:space="preserve">onth 6) </w:t>
      </w:r>
      <w:r w:rsidRPr="00376E45">
        <w:rPr>
          <w:lang w:val="en-GB"/>
        </w:rPr>
        <w:t xml:space="preserve">there were three independent comparisons: tofacitinib </w:t>
      </w:r>
      <w:r w:rsidR="003A439A" w:rsidRPr="00376E45">
        <w:rPr>
          <w:lang w:val="en-GB"/>
        </w:rPr>
        <w:t xml:space="preserve">5 mg BID </w:t>
      </w:r>
      <w:r w:rsidRPr="00376E45">
        <w:rPr>
          <w:lang w:val="en-GB"/>
        </w:rPr>
        <w:t xml:space="preserve">+ MTX was compared with adalimumab </w:t>
      </w:r>
      <w:r w:rsidR="003A439A" w:rsidRPr="00376E45">
        <w:rPr>
          <w:lang w:val="en-GB"/>
        </w:rPr>
        <w:t xml:space="preserve">40 mg </w:t>
      </w:r>
      <w:r w:rsidR="0018489B" w:rsidRPr="00376E45">
        <w:rPr>
          <w:lang w:val="en-GB"/>
        </w:rPr>
        <w:t>Q2W</w:t>
      </w:r>
      <w:r w:rsidR="003A439A" w:rsidRPr="00376E45">
        <w:rPr>
          <w:lang w:val="en-GB"/>
        </w:rPr>
        <w:t xml:space="preserve"> </w:t>
      </w:r>
      <w:r w:rsidR="006A2ECF" w:rsidRPr="00376E45">
        <w:rPr>
          <w:lang w:val="en-GB"/>
        </w:rPr>
        <w:t>+ MTX;</w:t>
      </w:r>
      <w:r w:rsidRPr="00376E45">
        <w:rPr>
          <w:lang w:val="en-GB"/>
        </w:rPr>
        <w:t xml:space="preserve"> and tofacitinib </w:t>
      </w:r>
      <w:r w:rsidR="003A439A" w:rsidRPr="00376E45">
        <w:rPr>
          <w:lang w:val="en-GB"/>
        </w:rPr>
        <w:t xml:space="preserve">5 mg BID </w:t>
      </w:r>
      <w:r w:rsidR="006A2ECF" w:rsidRPr="00376E45">
        <w:rPr>
          <w:lang w:val="en-GB"/>
        </w:rPr>
        <w:t xml:space="preserve">monotherapy </w:t>
      </w:r>
      <w:r w:rsidRPr="00376E45">
        <w:rPr>
          <w:lang w:val="en-GB"/>
        </w:rPr>
        <w:t>was compared with both adalimumab + MTX and with tofacitinib + MTX. A sample size calculation</w:t>
      </w:r>
      <w:r w:rsidR="0086087F" w:rsidRPr="00376E45">
        <w:rPr>
          <w:lang w:val="en-GB"/>
        </w:rPr>
        <w:t xml:space="preserve">, </w:t>
      </w:r>
      <w:r w:rsidRPr="00376E45">
        <w:rPr>
          <w:lang w:val="en-GB"/>
        </w:rPr>
        <w:t>assuming an ACR50 response rate of 35%</w:t>
      </w:r>
      <w:r w:rsidR="00766ED4" w:rsidRPr="00376E45">
        <w:rPr>
          <w:lang w:val="en-GB"/>
        </w:rPr>
        <w:t xml:space="preserve"> in all groups</w:t>
      </w:r>
      <w:r w:rsidR="0086087F" w:rsidRPr="00376E45">
        <w:rPr>
          <w:lang w:val="en-GB"/>
        </w:rPr>
        <w:t xml:space="preserve">, </w:t>
      </w:r>
      <w:r w:rsidRPr="00376E45">
        <w:rPr>
          <w:lang w:val="en-GB"/>
        </w:rPr>
        <w:t xml:space="preserve">determined that 360 patients in each treatment arm </w:t>
      </w:r>
      <w:r w:rsidR="000621B9" w:rsidRPr="00376E45">
        <w:rPr>
          <w:lang w:val="en-GB"/>
        </w:rPr>
        <w:t>were</w:t>
      </w:r>
      <w:r w:rsidRPr="00376E45">
        <w:rPr>
          <w:lang w:val="en-GB"/>
        </w:rPr>
        <w:t xml:space="preserve"> required to demonstrate non-inferiority with a power of 90% in each comparison. A non-inferiority margin of 13% was chosen </w:t>
      </w:r>
      <w:r w:rsidR="000621B9" w:rsidRPr="00376E45">
        <w:rPr>
          <w:lang w:val="en-GB"/>
        </w:rPr>
        <w:t>as it represents</w:t>
      </w:r>
      <w:r w:rsidRPr="00376E45">
        <w:rPr>
          <w:lang w:val="en-GB"/>
        </w:rPr>
        <w:t xml:space="preserve"> approximately half of the observed treatment difference between </w:t>
      </w:r>
      <w:r w:rsidR="00D8630D" w:rsidRPr="00376E45">
        <w:rPr>
          <w:lang w:val="en-GB"/>
        </w:rPr>
        <w:t>adalimumab</w:t>
      </w:r>
      <w:r w:rsidR="008D5906" w:rsidRPr="00376E45">
        <w:rPr>
          <w:lang w:val="en-GB"/>
        </w:rPr>
        <w:t xml:space="preserve"> + background MTX</w:t>
      </w:r>
      <w:r w:rsidRPr="00376E45">
        <w:rPr>
          <w:lang w:val="en-GB"/>
        </w:rPr>
        <w:t xml:space="preserve"> and placebo (based on a meta-analysis of </w:t>
      </w:r>
      <w:r w:rsidR="00D8630D" w:rsidRPr="00376E45">
        <w:rPr>
          <w:lang w:val="en-GB"/>
        </w:rPr>
        <w:t>adalimumab</w:t>
      </w:r>
      <w:r w:rsidRPr="00376E45">
        <w:rPr>
          <w:lang w:val="en-GB"/>
        </w:rPr>
        <w:t xml:space="preserve"> trials</w:t>
      </w:r>
      <w:r w:rsidR="00FD652D" w:rsidRPr="00376E45">
        <w:rPr>
          <w:vertAlign w:val="superscript"/>
          <w:lang w:val="en-GB"/>
        </w:rPr>
        <w:t>22</w:t>
      </w:r>
      <w:r w:rsidRPr="00376E45">
        <w:rPr>
          <w:lang w:val="en-GB"/>
        </w:rPr>
        <w:t xml:space="preserve"> </w:t>
      </w:r>
      <w:r w:rsidR="00BD6D02" w:rsidRPr="00376E45">
        <w:rPr>
          <w:lang w:val="en-GB"/>
        </w:rPr>
        <w:t xml:space="preserve">supplemented with </w:t>
      </w:r>
      <w:r w:rsidRPr="00376E45">
        <w:rPr>
          <w:lang w:val="en-GB"/>
        </w:rPr>
        <w:t>data from an additional</w:t>
      </w:r>
      <w:r w:rsidR="00DA4F13" w:rsidRPr="00376E45">
        <w:rPr>
          <w:lang w:val="en-GB"/>
        </w:rPr>
        <w:t xml:space="preserve"> recent</w:t>
      </w:r>
      <w:r w:rsidRPr="00376E45">
        <w:rPr>
          <w:lang w:val="en-GB"/>
        </w:rPr>
        <w:t xml:space="preserve"> trial</w:t>
      </w:r>
      <w:r w:rsidR="00FD652D" w:rsidRPr="00376E45">
        <w:rPr>
          <w:vertAlign w:val="superscript"/>
          <w:lang w:val="en-GB"/>
        </w:rPr>
        <w:t>9</w:t>
      </w:r>
      <w:r w:rsidR="00394B89" w:rsidRPr="00376E45">
        <w:rPr>
          <w:lang w:val="en-GB"/>
        </w:rPr>
        <w:t>).</w:t>
      </w:r>
      <w:r w:rsidR="00B66B77" w:rsidRPr="00376E45">
        <w:rPr>
          <w:lang w:val="en-GB"/>
        </w:rPr>
        <w:t xml:space="preserve"> For the primary endpoint</w:t>
      </w:r>
      <w:r w:rsidR="00D8630D" w:rsidRPr="00376E45">
        <w:rPr>
          <w:lang w:val="en-GB"/>
        </w:rPr>
        <w:t>,</w:t>
      </w:r>
      <w:r w:rsidR="00B66B77" w:rsidRPr="00376E45">
        <w:rPr>
          <w:lang w:val="en-GB"/>
        </w:rPr>
        <w:t xml:space="preserve"> an alpha value of 0</w:t>
      </w:r>
      <w:r w:rsidR="007436B3" w:rsidRPr="00376E45">
        <w:rPr>
          <w:lang w:val="en-GB"/>
        </w:rPr>
        <w:t>·</w:t>
      </w:r>
      <w:r w:rsidR="00B66B77" w:rsidRPr="00376E45">
        <w:rPr>
          <w:lang w:val="en-GB"/>
        </w:rPr>
        <w:t xml:space="preserve">0166 was calculated using a </w:t>
      </w:r>
      <w:proofErr w:type="spellStart"/>
      <w:r w:rsidR="00B66B77" w:rsidRPr="00376E45">
        <w:rPr>
          <w:lang w:val="en-GB"/>
        </w:rPr>
        <w:t>Bonferroni</w:t>
      </w:r>
      <w:proofErr w:type="spellEnd"/>
      <w:r w:rsidR="00B66B77" w:rsidRPr="00376E45">
        <w:rPr>
          <w:lang w:val="en-GB"/>
        </w:rPr>
        <w:t xml:space="preserve"> procedure to preserve the overall type I error rate of 5% for multiple comparisons; non-inferiority was declared if the lower bound of the 98</w:t>
      </w:r>
      <w:r w:rsidR="007436B3" w:rsidRPr="00376E45">
        <w:rPr>
          <w:lang w:val="en-GB"/>
        </w:rPr>
        <w:t>·</w:t>
      </w:r>
      <w:r w:rsidR="00B66B77" w:rsidRPr="00376E45">
        <w:rPr>
          <w:lang w:val="en-GB"/>
        </w:rPr>
        <w:t xml:space="preserve">34% confidence interval (CI) for the difference was larger than </w:t>
      </w:r>
      <w:r w:rsidR="003376EB" w:rsidRPr="00376E45">
        <w:rPr>
          <w:lang w:val="en-GB"/>
        </w:rPr>
        <w:t>˗</w:t>
      </w:r>
      <w:r w:rsidR="00B66B77" w:rsidRPr="00376E45">
        <w:rPr>
          <w:lang w:val="en-GB"/>
        </w:rPr>
        <w:t>13%</w:t>
      </w:r>
      <w:r w:rsidR="0086087F" w:rsidRPr="00376E45">
        <w:rPr>
          <w:lang w:val="en-GB"/>
        </w:rPr>
        <w:t xml:space="preserve">. </w:t>
      </w:r>
      <w:r w:rsidR="00B66B77" w:rsidRPr="00376E45">
        <w:rPr>
          <w:lang w:val="en-GB"/>
        </w:rPr>
        <w:t>For any comparison</w:t>
      </w:r>
      <w:r w:rsidR="00A035C5" w:rsidRPr="00376E45">
        <w:rPr>
          <w:lang w:val="en-GB"/>
        </w:rPr>
        <w:t xml:space="preserve"> between primary endpoints</w:t>
      </w:r>
      <w:r w:rsidR="00735FAC" w:rsidRPr="00376E45">
        <w:rPr>
          <w:lang w:val="en-GB"/>
        </w:rPr>
        <w:t>,</w:t>
      </w:r>
      <w:r w:rsidR="000621B9" w:rsidRPr="00376E45">
        <w:rPr>
          <w:lang w:val="en-GB"/>
        </w:rPr>
        <w:t xml:space="preserve"> </w:t>
      </w:r>
      <w:r w:rsidR="006A2A52" w:rsidRPr="00376E45">
        <w:rPr>
          <w:lang w:val="en-GB"/>
        </w:rPr>
        <w:t xml:space="preserve">if non-inferiority was demonstrated, </w:t>
      </w:r>
      <w:r w:rsidR="00B66B77" w:rsidRPr="00376E45">
        <w:rPr>
          <w:lang w:val="en-GB"/>
        </w:rPr>
        <w:t>superiority could be declared if the lower bound of the 98</w:t>
      </w:r>
      <w:r w:rsidR="007436B3" w:rsidRPr="00376E45">
        <w:rPr>
          <w:lang w:val="en-GB"/>
        </w:rPr>
        <w:t>·</w:t>
      </w:r>
      <w:r w:rsidR="00B66B77" w:rsidRPr="00376E45">
        <w:rPr>
          <w:lang w:val="en-GB"/>
        </w:rPr>
        <w:t xml:space="preserve">34% CI of the difference was greater than zero. </w:t>
      </w:r>
      <w:r w:rsidR="00D8630D" w:rsidRPr="00376E45">
        <w:rPr>
          <w:lang w:val="en-GB"/>
        </w:rPr>
        <w:t xml:space="preserve">Nominal p </w:t>
      </w:r>
      <w:r w:rsidR="00B66B77" w:rsidRPr="00376E45">
        <w:rPr>
          <w:lang w:val="en-GB"/>
        </w:rPr>
        <w:t>values and nominal 95% CIs for secondary analyses were calculated. These addi</w:t>
      </w:r>
      <w:r w:rsidR="00B139C0" w:rsidRPr="00376E45">
        <w:rPr>
          <w:lang w:val="en-GB"/>
        </w:rPr>
        <w:t xml:space="preserve">tional analyses were not type I </w:t>
      </w:r>
      <w:r w:rsidR="00B66B77" w:rsidRPr="00376E45">
        <w:rPr>
          <w:lang w:val="en-GB"/>
        </w:rPr>
        <w:t xml:space="preserve">error controlled. </w:t>
      </w:r>
    </w:p>
    <w:p w14:paraId="542E24B2" w14:textId="43D9534F" w:rsidR="00CB47C9" w:rsidRPr="00376E45" w:rsidRDefault="00994925" w:rsidP="006823FC">
      <w:pPr>
        <w:pStyle w:val="MediumGrid1-Accent21"/>
        <w:numPr>
          <w:ilvl w:val="0"/>
          <w:numId w:val="0"/>
        </w:numPr>
        <w:rPr>
          <w:lang w:val="en-GB"/>
        </w:rPr>
      </w:pPr>
      <w:r w:rsidRPr="00376E45">
        <w:rPr>
          <w:lang w:val="en-GB"/>
        </w:rPr>
        <w:t>P</w:t>
      </w:r>
      <w:r w:rsidR="009A131C" w:rsidRPr="00376E45">
        <w:rPr>
          <w:lang w:val="en-GB"/>
        </w:rPr>
        <w:t xml:space="preserve">rimary and secondary efficacy </w:t>
      </w:r>
      <w:r w:rsidR="008C3A59" w:rsidRPr="00376E45">
        <w:rPr>
          <w:lang w:val="en-GB"/>
        </w:rPr>
        <w:t xml:space="preserve">endpoints </w:t>
      </w:r>
      <w:r w:rsidR="009A131C" w:rsidRPr="00376E45">
        <w:rPr>
          <w:lang w:val="en-GB"/>
        </w:rPr>
        <w:t xml:space="preserve">were assessed using </w:t>
      </w:r>
      <w:r w:rsidR="00A83423" w:rsidRPr="00376E45">
        <w:rPr>
          <w:lang w:val="en-GB"/>
        </w:rPr>
        <w:t xml:space="preserve">the full analysis set (FAS), which included </w:t>
      </w:r>
      <w:r w:rsidR="009A131C" w:rsidRPr="00376E45">
        <w:rPr>
          <w:lang w:val="en-GB"/>
        </w:rPr>
        <w:t>all patie</w:t>
      </w:r>
      <w:r w:rsidR="00B139C0" w:rsidRPr="00376E45">
        <w:rPr>
          <w:lang w:val="en-GB"/>
        </w:rPr>
        <w:t>nts who were randomis</w:t>
      </w:r>
      <w:r w:rsidR="009A131C" w:rsidRPr="00376E45">
        <w:rPr>
          <w:lang w:val="en-GB"/>
        </w:rPr>
        <w:t>ed and received</w:t>
      </w:r>
      <w:r w:rsidR="00DA4F13" w:rsidRPr="00376E45">
        <w:rPr>
          <w:lang w:val="en-GB"/>
        </w:rPr>
        <w:t xml:space="preserve"> at least </w:t>
      </w:r>
      <w:r w:rsidR="009A131C" w:rsidRPr="00376E45">
        <w:rPr>
          <w:lang w:val="en-GB"/>
        </w:rPr>
        <w:t>one dose of the study treatment</w:t>
      </w:r>
      <w:r w:rsidR="00B66B77" w:rsidRPr="00376E45">
        <w:rPr>
          <w:lang w:val="en-GB"/>
        </w:rPr>
        <w:t xml:space="preserve">; this was also the definition for the </w:t>
      </w:r>
      <w:r w:rsidR="00876596" w:rsidRPr="00376E45">
        <w:rPr>
          <w:lang w:val="en-GB"/>
        </w:rPr>
        <w:t>s</w:t>
      </w:r>
      <w:r w:rsidR="00B66B77" w:rsidRPr="00376E45">
        <w:rPr>
          <w:lang w:val="en-GB"/>
        </w:rPr>
        <w:t xml:space="preserve">afety </w:t>
      </w:r>
      <w:r w:rsidR="00876596" w:rsidRPr="00376E45">
        <w:rPr>
          <w:lang w:val="en-GB"/>
        </w:rPr>
        <w:t>a</w:t>
      </w:r>
      <w:r w:rsidR="00B66B77" w:rsidRPr="00376E45">
        <w:rPr>
          <w:lang w:val="en-GB"/>
        </w:rPr>
        <w:t xml:space="preserve">nalysis </w:t>
      </w:r>
      <w:r w:rsidR="00876596" w:rsidRPr="00376E45">
        <w:rPr>
          <w:lang w:val="en-GB"/>
        </w:rPr>
        <w:t>s</w:t>
      </w:r>
      <w:r w:rsidR="00B66B77" w:rsidRPr="00376E45">
        <w:rPr>
          <w:lang w:val="en-GB"/>
        </w:rPr>
        <w:t>et (SAS)</w:t>
      </w:r>
      <w:r w:rsidR="009A131C" w:rsidRPr="00376E45">
        <w:rPr>
          <w:lang w:val="en-GB"/>
        </w:rPr>
        <w:t>.</w:t>
      </w:r>
      <w:r w:rsidR="00DF605F" w:rsidRPr="00376E45">
        <w:rPr>
          <w:lang w:val="en-GB"/>
        </w:rPr>
        <w:t xml:space="preserve"> </w:t>
      </w:r>
      <w:r w:rsidR="00876596" w:rsidRPr="00376E45">
        <w:rPr>
          <w:lang w:val="en-GB"/>
        </w:rPr>
        <w:t xml:space="preserve">A sensitivity analysis was performed assessing </w:t>
      </w:r>
      <w:r w:rsidR="00BA375D" w:rsidRPr="00376E45">
        <w:rPr>
          <w:lang w:val="en-GB"/>
        </w:rPr>
        <w:t xml:space="preserve">the primary endpoint </w:t>
      </w:r>
      <w:r w:rsidR="000E700C">
        <w:rPr>
          <w:lang w:val="en-GB"/>
        </w:rPr>
        <w:t xml:space="preserve">in </w:t>
      </w:r>
      <w:r w:rsidR="00876596" w:rsidRPr="00376E45">
        <w:rPr>
          <w:lang w:val="en-GB"/>
        </w:rPr>
        <w:t>all patients who completed 6</w:t>
      </w:r>
      <w:r w:rsidR="00016188">
        <w:rPr>
          <w:lang w:val="en-GB"/>
        </w:rPr>
        <w:t xml:space="preserve"> </w:t>
      </w:r>
      <w:r w:rsidR="00876596" w:rsidRPr="00376E45">
        <w:rPr>
          <w:lang w:val="en-GB"/>
        </w:rPr>
        <w:t>month</w:t>
      </w:r>
      <w:r w:rsidR="00016188">
        <w:rPr>
          <w:lang w:val="en-GB"/>
        </w:rPr>
        <w:t>s</w:t>
      </w:r>
      <w:r w:rsidR="00876596" w:rsidRPr="00376E45">
        <w:rPr>
          <w:lang w:val="en-GB"/>
        </w:rPr>
        <w:t xml:space="preserve"> with no substantial protocol deviations (the per protocol set)</w:t>
      </w:r>
      <w:r w:rsidR="00BA375D" w:rsidRPr="00376E45">
        <w:rPr>
          <w:lang w:val="en-GB"/>
        </w:rPr>
        <w:t>.</w:t>
      </w:r>
      <w:r w:rsidR="00876596" w:rsidRPr="00376E45">
        <w:rPr>
          <w:lang w:val="en-GB"/>
        </w:rPr>
        <w:t xml:space="preserve"> </w:t>
      </w:r>
      <w:r w:rsidR="00DF605F" w:rsidRPr="00376E45">
        <w:rPr>
          <w:lang w:val="en-GB"/>
        </w:rPr>
        <w:t xml:space="preserve">Non-responder imputation for </w:t>
      </w:r>
      <w:r w:rsidR="004012BB" w:rsidRPr="00376E45">
        <w:rPr>
          <w:lang w:val="en-GB"/>
        </w:rPr>
        <w:t xml:space="preserve">patient withdrawal and last observation carried forward for patients </w:t>
      </w:r>
      <w:r w:rsidR="0050152A" w:rsidRPr="00376E45">
        <w:rPr>
          <w:lang w:val="en-GB"/>
        </w:rPr>
        <w:t>with missing data before</w:t>
      </w:r>
      <w:r w:rsidR="004012BB" w:rsidRPr="00376E45">
        <w:rPr>
          <w:lang w:val="en-GB"/>
        </w:rPr>
        <w:t xml:space="preserve"> withdrawal were used </w:t>
      </w:r>
      <w:r w:rsidR="00B92FEB" w:rsidRPr="00376E45">
        <w:rPr>
          <w:lang w:val="en-GB"/>
        </w:rPr>
        <w:t>to handle missing data for binary e</w:t>
      </w:r>
      <w:r w:rsidR="00B139C0" w:rsidRPr="00376E45">
        <w:rPr>
          <w:lang w:val="en-GB"/>
        </w:rPr>
        <w:t>ndpoints, which were then analys</w:t>
      </w:r>
      <w:r w:rsidR="00B92FEB" w:rsidRPr="00376E45">
        <w:rPr>
          <w:lang w:val="en-GB"/>
        </w:rPr>
        <w:t>ed using normal approximation to proportions</w:t>
      </w:r>
      <w:r w:rsidR="004012BB" w:rsidRPr="00376E45">
        <w:rPr>
          <w:lang w:val="en-GB"/>
        </w:rPr>
        <w:t>.</w:t>
      </w:r>
      <w:r w:rsidR="00CB47C9" w:rsidRPr="00376E45">
        <w:rPr>
          <w:lang w:val="en-GB"/>
        </w:rPr>
        <w:t xml:space="preserve"> </w:t>
      </w:r>
      <w:r w:rsidR="0050152A" w:rsidRPr="00376E45">
        <w:rPr>
          <w:lang w:val="en-GB"/>
        </w:rPr>
        <w:t xml:space="preserve">Continuous </w:t>
      </w:r>
      <w:r w:rsidR="00B92FEB" w:rsidRPr="00376E45">
        <w:rPr>
          <w:lang w:val="en-GB"/>
        </w:rPr>
        <w:t>endpoints</w:t>
      </w:r>
      <w:r w:rsidR="00B139C0" w:rsidRPr="00376E45">
        <w:rPr>
          <w:lang w:val="en-GB"/>
        </w:rPr>
        <w:t xml:space="preserve"> were analys</w:t>
      </w:r>
      <w:r w:rsidR="0050152A" w:rsidRPr="00376E45">
        <w:rPr>
          <w:lang w:val="en-GB"/>
        </w:rPr>
        <w:t>ed using a</w:t>
      </w:r>
      <w:r w:rsidR="00B92FEB" w:rsidRPr="00376E45">
        <w:rPr>
          <w:lang w:val="en-GB"/>
        </w:rPr>
        <w:t xml:space="preserve"> linear</w:t>
      </w:r>
      <w:r w:rsidR="0050152A" w:rsidRPr="00376E45">
        <w:rPr>
          <w:lang w:val="en-GB"/>
        </w:rPr>
        <w:t xml:space="preserve"> mixed-effect</w:t>
      </w:r>
      <w:r w:rsidR="00B139C0" w:rsidRPr="00376E45">
        <w:rPr>
          <w:lang w:val="en-GB"/>
        </w:rPr>
        <w:t>s</w:t>
      </w:r>
      <w:r w:rsidR="0050152A" w:rsidRPr="00376E45">
        <w:rPr>
          <w:lang w:val="en-GB"/>
        </w:rPr>
        <w:t xml:space="preserve"> model of repeated measurements</w:t>
      </w:r>
      <w:r w:rsidR="00B92FEB" w:rsidRPr="00376E45">
        <w:rPr>
          <w:lang w:val="en-GB"/>
        </w:rPr>
        <w:t xml:space="preserve"> </w:t>
      </w:r>
      <w:r w:rsidR="00FB682B" w:rsidRPr="00376E45">
        <w:rPr>
          <w:lang w:val="en-GB"/>
        </w:rPr>
        <w:t xml:space="preserve">including </w:t>
      </w:r>
      <w:r w:rsidR="00F76FF7" w:rsidRPr="00376E45">
        <w:rPr>
          <w:lang w:val="en-GB"/>
        </w:rPr>
        <w:t>fixed</w:t>
      </w:r>
      <w:r w:rsidR="00B139C0" w:rsidRPr="00376E45">
        <w:rPr>
          <w:lang w:val="en-GB"/>
        </w:rPr>
        <w:t>-</w:t>
      </w:r>
      <w:r w:rsidR="00F76FF7" w:rsidRPr="00376E45">
        <w:rPr>
          <w:lang w:val="en-GB"/>
        </w:rPr>
        <w:t>effect terms</w:t>
      </w:r>
      <w:r w:rsidR="00FB682B" w:rsidRPr="00376E45">
        <w:rPr>
          <w:lang w:val="en-GB"/>
        </w:rPr>
        <w:t xml:space="preserve"> (</w:t>
      </w:r>
      <w:r w:rsidR="00B92FEB" w:rsidRPr="00376E45">
        <w:rPr>
          <w:lang w:val="en-GB"/>
        </w:rPr>
        <w:t>treatment group, visit, treatment group by visit inter</w:t>
      </w:r>
      <w:r w:rsidR="00F76FF7" w:rsidRPr="00376E45">
        <w:rPr>
          <w:lang w:val="en-GB"/>
        </w:rPr>
        <w:t>action, and geographical region</w:t>
      </w:r>
      <w:r w:rsidR="00FB682B" w:rsidRPr="00376E45">
        <w:rPr>
          <w:lang w:val="en-GB"/>
        </w:rPr>
        <w:t>),</w:t>
      </w:r>
      <w:r w:rsidR="00F76FF7" w:rsidRPr="00376E45">
        <w:rPr>
          <w:lang w:val="en-GB"/>
        </w:rPr>
        <w:t xml:space="preserve"> covariate</w:t>
      </w:r>
      <w:r w:rsidR="00FB682B" w:rsidRPr="00376E45">
        <w:rPr>
          <w:lang w:val="en-GB"/>
        </w:rPr>
        <w:t xml:space="preserve"> (</w:t>
      </w:r>
      <w:r w:rsidR="00B92FEB" w:rsidRPr="00376E45">
        <w:rPr>
          <w:lang w:val="en-GB"/>
        </w:rPr>
        <w:t>baseline value</w:t>
      </w:r>
      <w:r w:rsidR="00FB682B" w:rsidRPr="00376E45">
        <w:rPr>
          <w:lang w:val="en-GB"/>
        </w:rPr>
        <w:t>)</w:t>
      </w:r>
      <w:r w:rsidR="00B139C0" w:rsidRPr="00376E45">
        <w:rPr>
          <w:lang w:val="en-GB"/>
        </w:rPr>
        <w:t>,</w:t>
      </w:r>
      <w:r w:rsidR="00FB682B" w:rsidRPr="00376E45">
        <w:rPr>
          <w:lang w:val="en-GB"/>
        </w:rPr>
        <w:t xml:space="preserve"> and patient as a</w:t>
      </w:r>
      <w:r w:rsidR="00B92FEB" w:rsidRPr="00376E45">
        <w:rPr>
          <w:lang w:val="en-GB"/>
        </w:rPr>
        <w:t xml:space="preserve"> random effect</w:t>
      </w:r>
      <w:r w:rsidR="00FB682B" w:rsidRPr="00376E45">
        <w:rPr>
          <w:lang w:val="en-GB"/>
        </w:rPr>
        <w:t xml:space="preserve"> </w:t>
      </w:r>
      <w:r w:rsidR="00B92FEB" w:rsidRPr="00376E45">
        <w:rPr>
          <w:lang w:val="en-GB"/>
        </w:rPr>
        <w:t>with autoregressive covariance</w:t>
      </w:r>
      <w:r w:rsidR="00CC4E1D" w:rsidRPr="00376E45">
        <w:rPr>
          <w:lang w:val="en-GB"/>
        </w:rPr>
        <w:t>.</w:t>
      </w:r>
    </w:p>
    <w:p w14:paraId="09429D34" w14:textId="77777777" w:rsidR="0099562D" w:rsidRPr="00376E45" w:rsidRDefault="0099562D" w:rsidP="00CB47C9">
      <w:pPr>
        <w:rPr>
          <w:b/>
          <w:i/>
          <w:lang w:val="en-GB"/>
        </w:rPr>
      </w:pPr>
      <w:r w:rsidRPr="00376E45">
        <w:rPr>
          <w:b/>
          <w:i/>
          <w:lang w:val="en-GB"/>
        </w:rPr>
        <w:t>Role of the funding source</w:t>
      </w:r>
    </w:p>
    <w:p w14:paraId="5B9593E1" w14:textId="0A54A6A0" w:rsidR="00635D33" w:rsidRPr="00376E45" w:rsidRDefault="00CB47C9" w:rsidP="00CB47C9">
      <w:pPr>
        <w:rPr>
          <w:lang w:val="en-GB"/>
        </w:rPr>
      </w:pPr>
      <w:r w:rsidRPr="00376E45">
        <w:rPr>
          <w:lang w:val="en-GB"/>
        </w:rPr>
        <w:t>This study was sponsored by Pfizer</w:t>
      </w:r>
      <w:r w:rsidR="00B139C0" w:rsidRPr="00376E45">
        <w:rPr>
          <w:lang w:val="en-GB"/>
        </w:rPr>
        <w:t xml:space="preserve"> Inc</w:t>
      </w:r>
      <w:r w:rsidRPr="00376E45">
        <w:rPr>
          <w:lang w:val="en-GB"/>
        </w:rPr>
        <w:t>.</w:t>
      </w:r>
      <w:r w:rsidR="00946FEE" w:rsidRPr="00376E45">
        <w:rPr>
          <w:lang w:val="en-GB"/>
        </w:rPr>
        <w:t xml:space="preserve"> The study was designed by Pfizer</w:t>
      </w:r>
      <w:r w:rsidR="00B139C0" w:rsidRPr="00376E45">
        <w:rPr>
          <w:lang w:val="en-GB"/>
        </w:rPr>
        <w:t xml:space="preserve"> </w:t>
      </w:r>
      <w:proofErr w:type="spellStart"/>
      <w:r w:rsidR="00B139C0" w:rsidRPr="00376E45">
        <w:rPr>
          <w:lang w:val="en-GB"/>
        </w:rPr>
        <w:t>Inc</w:t>
      </w:r>
      <w:proofErr w:type="spellEnd"/>
      <w:r w:rsidR="00946FEE" w:rsidRPr="00376E45">
        <w:rPr>
          <w:lang w:val="en-GB"/>
        </w:rPr>
        <w:t xml:space="preserve"> </w:t>
      </w:r>
      <w:r w:rsidR="00C334FB" w:rsidRPr="00376E45">
        <w:rPr>
          <w:lang w:val="en-GB"/>
        </w:rPr>
        <w:t>in</w:t>
      </w:r>
      <w:r w:rsidR="00946FEE" w:rsidRPr="00376E45">
        <w:rPr>
          <w:lang w:val="en-GB"/>
        </w:rPr>
        <w:t xml:space="preserve"> collaboration </w:t>
      </w:r>
      <w:r w:rsidR="00C334FB" w:rsidRPr="00376E45">
        <w:rPr>
          <w:lang w:val="en-GB"/>
        </w:rPr>
        <w:t xml:space="preserve">with </w:t>
      </w:r>
      <w:r w:rsidR="00946FEE" w:rsidRPr="00376E45">
        <w:rPr>
          <w:lang w:val="en-GB"/>
        </w:rPr>
        <w:t xml:space="preserve">the lead author. </w:t>
      </w:r>
      <w:r w:rsidR="002F1B1F" w:rsidRPr="00376E45">
        <w:rPr>
          <w:lang w:val="en-GB"/>
        </w:rPr>
        <w:t>Pfizer</w:t>
      </w:r>
      <w:r w:rsidR="00B139C0" w:rsidRPr="00376E45">
        <w:rPr>
          <w:lang w:val="en-GB"/>
        </w:rPr>
        <w:t xml:space="preserve"> </w:t>
      </w:r>
      <w:proofErr w:type="spellStart"/>
      <w:r w:rsidR="00B139C0" w:rsidRPr="00376E45">
        <w:rPr>
          <w:lang w:val="en-GB"/>
        </w:rPr>
        <w:t>Inc</w:t>
      </w:r>
      <w:proofErr w:type="spellEnd"/>
      <w:r w:rsidR="002F1B1F" w:rsidRPr="00376E45">
        <w:rPr>
          <w:lang w:val="en-GB"/>
        </w:rPr>
        <w:t xml:space="preserve"> was responsible for the collection of the data</w:t>
      </w:r>
      <w:r w:rsidR="00CD7A56" w:rsidRPr="00376E45">
        <w:rPr>
          <w:lang w:val="en-GB"/>
        </w:rPr>
        <w:t>.</w:t>
      </w:r>
      <w:r w:rsidR="002F1B1F" w:rsidRPr="00376E45">
        <w:rPr>
          <w:lang w:val="en-GB"/>
        </w:rPr>
        <w:t xml:space="preserve"> All authors had full access to all data and all were involved in the</w:t>
      </w:r>
      <w:r w:rsidR="00E36D0F" w:rsidRPr="00376E45">
        <w:rPr>
          <w:lang w:val="en-GB"/>
        </w:rPr>
        <w:t xml:space="preserve"> </w:t>
      </w:r>
      <w:r w:rsidR="002F1B1F" w:rsidRPr="00376E45">
        <w:rPr>
          <w:lang w:val="en-GB"/>
        </w:rPr>
        <w:t>analysis and interpretation of data and in the writing of the report</w:t>
      </w:r>
      <w:r w:rsidR="00CD7A56" w:rsidRPr="00376E45">
        <w:rPr>
          <w:lang w:val="en-GB"/>
        </w:rPr>
        <w:t>.</w:t>
      </w:r>
      <w:r w:rsidR="002F1B1F" w:rsidRPr="00376E45">
        <w:rPr>
          <w:lang w:val="en-GB"/>
        </w:rPr>
        <w:t xml:space="preserve"> The lead author had final responsibility for the decision to submit for publication. All authors meet ICMJE criteria for authorship</w:t>
      </w:r>
      <w:r w:rsidR="00CD7A56" w:rsidRPr="00376E45">
        <w:rPr>
          <w:lang w:val="en-GB"/>
        </w:rPr>
        <w:t>.</w:t>
      </w:r>
      <w:r w:rsidR="0000321B" w:rsidRPr="00376E45">
        <w:rPr>
          <w:lang w:val="en-GB"/>
        </w:rPr>
        <w:t xml:space="preserve"> </w:t>
      </w:r>
      <w:r w:rsidRPr="00376E45">
        <w:rPr>
          <w:lang w:val="en-GB"/>
        </w:rPr>
        <w:t>Zhen Luo,</w:t>
      </w:r>
      <w:r w:rsidR="00B92FEB" w:rsidRPr="00376E45">
        <w:rPr>
          <w:lang w:val="en-GB"/>
        </w:rPr>
        <w:t xml:space="preserve"> Richard Zhang,</w:t>
      </w:r>
      <w:r w:rsidRPr="00376E45">
        <w:rPr>
          <w:lang w:val="en-GB"/>
        </w:rPr>
        <w:t xml:space="preserve"> Ryan DeMasi, Koshika Soma, Liza Takiya, Svitlana Tatulych, Chris</w:t>
      </w:r>
      <w:r w:rsidR="0000321B" w:rsidRPr="00376E45">
        <w:rPr>
          <w:lang w:val="en-GB"/>
        </w:rPr>
        <w:t>topher</w:t>
      </w:r>
      <w:r w:rsidRPr="00376E45">
        <w:rPr>
          <w:lang w:val="en-GB"/>
        </w:rPr>
        <w:t xml:space="preserve"> Mojcik, Sriram Krishnaswami</w:t>
      </w:r>
      <w:r w:rsidR="00B139C0" w:rsidRPr="00376E45">
        <w:rPr>
          <w:lang w:val="en-GB"/>
        </w:rPr>
        <w:t>,</w:t>
      </w:r>
      <w:r w:rsidRPr="00376E45">
        <w:rPr>
          <w:lang w:val="en-GB"/>
        </w:rPr>
        <w:t xml:space="preserve"> and Sujatha Menon are employees of Pfizer</w:t>
      </w:r>
      <w:r w:rsidR="00B139C0" w:rsidRPr="00376E45">
        <w:rPr>
          <w:lang w:val="en-GB"/>
        </w:rPr>
        <w:t xml:space="preserve"> Inc</w:t>
      </w:r>
      <w:r w:rsidR="002F1B1F" w:rsidRPr="00376E45">
        <w:rPr>
          <w:lang w:val="en-GB"/>
        </w:rPr>
        <w:t xml:space="preserve">. </w:t>
      </w:r>
      <w:r w:rsidR="00946FEE" w:rsidRPr="00376E45">
        <w:rPr>
          <w:lang w:val="en-GB"/>
        </w:rPr>
        <w:t>Medical writing support</w:t>
      </w:r>
      <w:r w:rsidR="00B139C0" w:rsidRPr="00376E45">
        <w:rPr>
          <w:lang w:val="en-GB"/>
        </w:rPr>
        <w:t>, under the guidance of the authors,</w:t>
      </w:r>
      <w:r w:rsidR="00946FEE" w:rsidRPr="00376E45">
        <w:rPr>
          <w:lang w:val="en-GB"/>
        </w:rPr>
        <w:t xml:space="preserve"> was provided by Martin Bell</w:t>
      </w:r>
      <w:r w:rsidR="00B139C0" w:rsidRPr="00376E45">
        <w:rPr>
          <w:lang w:val="en-GB"/>
        </w:rPr>
        <w:t>, PhD, of</w:t>
      </w:r>
      <w:r w:rsidR="00946FEE" w:rsidRPr="00376E45">
        <w:rPr>
          <w:lang w:val="en-GB"/>
        </w:rPr>
        <w:t xml:space="preserve"> Complete Medical Communic</w:t>
      </w:r>
      <w:r w:rsidR="00CD7A56" w:rsidRPr="00376E45">
        <w:rPr>
          <w:lang w:val="en-GB"/>
        </w:rPr>
        <w:t>ations and was funded by Pfizer</w:t>
      </w:r>
      <w:r w:rsidR="00B139C0" w:rsidRPr="00376E45">
        <w:rPr>
          <w:lang w:val="en-GB"/>
        </w:rPr>
        <w:t xml:space="preserve"> Inc</w:t>
      </w:r>
      <w:r w:rsidR="00CD7A56" w:rsidRPr="00376E45">
        <w:rPr>
          <w:lang w:val="en-GB"/>
        </w:rPr>
        <w:t>.</w:t>
      </w:r>
    </w:p>
    <w:p w14:paraId="1456FD3A" w14:textId="77777777" w:rsidR="00A63978" w:rsidRPr="00376E45" w:rsidRDefault="00A63978" w:rsidP="006119DE">
      <w:pPr>
        <w:pStyle w:val="Heading1"/>
        <w:rPr>
          <w:lang w:val="en-GB"/>
        </w:rPr>
      </w:pPr>
      <w:r w:rsidRPr="00376E45">
        <w:rPr>
          <w:lang w:val="en-GB"/>
        </w:rPr>
        <w:t>Results</w:t>
      </w:r>
    </w:p>
    <w:p w14:paraId="683D4F6B" w14:textId="77777777" w:rsidR="00AB5774" w:rsidRPr="00376E45" w:rsidRDefault="00AB5774" w:rsidP="006119DE">
      <w:pPr>
        <w:pStyle w:val="Heading2"/>
        <w:rPr>
          <w:lang w:val="en-GB" w:eastAsia="zh-CN"/>
        </w:rPr>
      </w:pPr>
      <w:r w:rsidRPr="00376E45">
        <w:rPr>
          <w:lang w:val="en-GB"/>
        </w:rPr>
        <w:t>Patients</w:t>
      </w:r>
      <w:r w:rsidRPr="00376E45">
        <w:rPr>
          <w:lang w:val="en-GB" w:eastAsia="zh-CN"/>
        </w:rPr>
        <w:t xml:space="preserve"> </w:t>
      </w:r>
    </w:p>
    <w:p w14:paraId="1DAF652F" w14:textId="35D750BA" w:rsidR="00215D17" w:rsidRPr="00376E45" w:rsidRDefault="009F5CAB" w:rsidP="00A86F7E">
      <w:pPr>
        <w:rPr>
          <w:rStyle w:val="Heading4Char"/>
          <w:b w:val="0"/>
          <w:lang w:val="en-GB"/>
        </w:rPr>
      </w:pPr>
      <w:r w:rsidRPr="00376E45">
        <w:rPr>
          <w:rStyle w:val="Heading4Char"/>
          <w:b w:val="0"/>
          <w:lang w:val="en-GB"/>
        </w:rPr>
        <w:t xml:space="preserve">A total of </w:t>
      </w:r>
      <w:r w:rsidR="00A83423" w:rsidRPr="00376E45">
        <w:rPr>
          <w:rStyle w:val="Heading4Char"/>
          <w:b w:val="0"/>
          <w:lang w:val="en-GB"/>
        </w:rPr>
        <w:t>11</w:t>
      </w:r>
      <w:r w:rsidR="00D7190E" w:rsidRPr="00376E45">
        <w:rPr>
          <w:rStyle w:val="Heading4Char"/>
          <w:b w:val="0"/>
          <w:lang w:val="en-GB"/>
        </w:rPr>
        <w:t>52</w:t>
      </w:r>
      <w:r w:rsidR="00A83423" w:rsidRPr="00376E45">
        <w:rPr>
          <w:rStyle w:val="Heading4Char"/>
          <w:b w:val="0"/>
          <w:lang w:val="en-GB"/>
        </w:rPr>
        <w:t xml:space="preserve"> </w:t>
      </w:r>
      <w:r w:rsidR="00B139C0" w:rsidRPr="00376E45">
        <w:rPr>
          <w:rStyle w:val="Heading4Char"/>
          <w:b w:val="0"/>
          <w:lang w:val="en-GB"/>
        </w:rPr>
        <w:t>patients were randomis</w:t>
      </w:r>
      <w:r w:rsidRPr="00376E45">
        <w:rPr>
          <w:rStyle w:val="Heading4Char"/>
          <w:b w:val="0"/>
          <w:lang w:val="en-GB"/>
        </w:rPr>
        <w:t>ed</w:t>
      </w:r>
      <w:r w:rsidR="00A83423" w:rsidRPr="00376E45">
        <w:rPr>
          <w:rStyle w:val="Heading4Char"/>
          <w:b w:val="0"/>
          <w:lang w:val="en-GB"/>
        </w:rPr>
        <w:t xml:space="preserve"> and </w:t>
      </w:r>
      <w:r w:rsidR="00D7190E" w:rsidRPr="00376E45">
        <w:rPr>
          <w:rStyle w:val="Heading4Char"/>
          <w:b w:val="0"/>
          <w:lang w:val="en-GB"/>
        </w:rPr>
        <w:t xml:space="preserve">1146 were </w:t>
      </w:r>
      <w:r w:rsidR="00A83423" w:rsidRPr="00376E45">
        <w:rPr>
          <w:rStyle w:val="Heading4Char"/>
          <w:b w:val="0"/>
          <w:lang w:val="en-GB"/>
        </w:rPr>
        <w:t>treated (</w:t>
      </w:r>
      <w:r w:rsidR="003A44CF" w:rsidRPr="00376E45">
        <w:rPr>
          <w:rStyle w:val="Heading4Char"/>
          <w:b w:val="0"/>
          <w:lang w:val="en-GB"/>
        </w:rPr>
        <w:t>FAS: tofacitinib monotherapy: n=</w:t>
      </w:r>
      <w:r w:rsidR="00CD7A56" w:rsidRPr="00376E45">
        <w:rPr>
          <w:rStyle w:val="Heading4Char"/>
          <w:b w:val="0"/>
          <w:lang w:val="en-GB"/>
        </w:rPr>
        <w:t>3</w:t>
      </w:r>
      <w:r w:rsidR="003A44CF" w:rsidRPr="00376E45">
        <w:rPr>
          <w:rStyle w:val="Heading4Char"/>
          <w:b w:val="0"/>
          <w:lang w:val="en-GB"/>
        </w:rPr>
        <w:t>8</w:t>
      </w:r>
      <w:r w:rsidR="00D7190E" w:rsidRPr="00376E45">
        <w:rPr>
          <w:rStyle w:val="Heading4Char"/>
          <w:b w:val="0"/>
          <w:lang w:val="en-GB"/>
        </w:rPr>
        <w:t>4</w:t>
      </w:r>
      <w:r w:rsidR="003A44CF" w:rsidRPr="00376E45">
        <w:rPr>
          <w:rStyle w:val="Heading4Char"/>
          <w:b w:val="0"/>
          <w:lang w:val="en-GB"/>
        </w:rPr>
        <w:t>; tofacitinib</w:t>
      </w:r>
      <w:r w:rsidR="00C03728" w:rsidRPr="00376E45">
        <w:rPr>
          <w:rStyle w:val="Heading4Char"/>
          <w:b w:val="0"/>
          <w:lang w:val="en-GB"/>
        </w:rPr>
        <w:t xml:space="preserve"> + MTX</w:t>
      </w:r>
      <w:r w:rsidR="003A44CF" w:rsidRPr="00376E45">
        <w:rPr>
          <w:rStyle w:val="Heading4Char"/>
          <w:b w:val="0"/>
          <w:lang w:val="en-GB"/>
        </w:rPr>
        <w:t>: n=37</w:t>
      </w:r>
      <w:r w:rsidR="00D7190E" w:rsidRPr="00376E45">
        <w:rPr>
          <w:rStyle w:val="Heading4Char"/>
          <w:b w:val="0"/>
          <w:lang w:val="en-GB"/>
        </w:rPr>
        <w:t>6</w:t>
      </w:r>
      <w:r w:rsidR="003A44CF" w:rsidRPr="00376E45">
        <w:rPr>
          <w:rStyle w:val="Heading4Char"/>
          <w:b w:val="0"/>
          <w:lang w:val="en-GB"/>
        </w:rPr>
        <w:t>; adalimumab</w:t>
      </w:r>
      <w:r w:rsidR="00C03728" w:rsidRPr="00376E45">
        <w:rPr>
          <w:rStyle w:val="Heading4Char"/>
          <w:b w:val="0"/>
          <w:lang w:val="en-GB"/>
        </w:rPr>
        <w:t xml:space="preserve"> + MTX</w:t>
      </w:r>
      <w:r w:rsidR="003A44CF" w:rsidRPr="00376E45">
        <w:rPr>
          <w:rStyle w:val="Heading4Char"/>
          <w:b w:val="0"/>
          <w:lang w:val="en-GB"/>
        </w:rPr>
        <w:t>: n=38</w:t>
      </w:r>
      <w:r w:rsidR="00D7190E" w:rsidRPr="00376E45">
        <w:rPr>
          <w:rStyle w:val="Heading4Char"/>
          <w:b w:val="0"/>
          <w:lang w:val="en-GB"/>
        </w:rPr>
        <w:t>6</w:t>
      </w:r>
      <w:r w:rsidR="003A44CF" w:rsidRPr="00376E45">
        <w:rPr>
          <w:rStyle w:val="Heading4Char"/>
          <w:b w:val="0"/>
          <w:lang w:val="en-GB"/>
        </w:rPr>
        <w:t>)</w:t>
      </w:r>
      <w:r w:rsidR="00A83423" w:rsidRPr="00376E45">
        <w:rPr>
          <w:rStyle w:val="Heading4Char"/>
          <w:b w:val="0"/>
          <w:lang w:val="en-GB"/>
        </w:rPr>
        <w:t>. Patient disposition</w:t>
      </w:r>
      <w:r w:rsidR="005E06F6" w:rsidRPr="00376E45">
        <w:rPr>
          <w:rStyle w:val="Heading4Char"/>
          <w:b w:val="0"/>
          <w:lang w:val="en-GB"/>
        </w:rPr>
        <w:t xml:space="preserve"> is presented in </w:t>
      </w:r>
      <w:r w:rsidR="00B139C0" w:rsidRPr="00376E45">
        <w:rPr>
          <w:rStyle w:val="Heading4Char"/>
          <w:b w:val="0"/>
          <w:lang w:val="en-GB"/>
        </w:rPr>
        <w:t>f</w:t>
      </w:r>
      <w:r w:rsidR="00203768" w:rsidRPr="00376E45">
        <w:rPr>
          <w:rStyle w:val="Heading4Char"/>
          <w:b w:val="0"/>
          <w:lang w:val="en-GB"/>
        </w:rPr>
        <w:t>igure 1</w:t>
      </w:r>
      <w:r w:rsidR="007039DE" w:rsidRPr="00376E45">
        <w:rPr>
          <w:rStyle w:val="Heading4Char"/>
          <w:b w:val="0"/>
          <w:lang w:val="en-GB"/>
        </w:rPr>
        <w:t>; discontinuation rates were similar between all three treatment arms</w:t>
      </w:r>
      <w:r w:rsidR="00203768" w:rsidRPr="00376E45">
        <w:rPr>
          <w:rStyle w:val="Heading4Char"/>
          <w:b w:val="0"/>
          <w:lang w:val="en-GB"/>
        </w:rPr>
        <w:t>.</w:t>
      </w:r>
      <w:r w:rsidR="008F23F6" w:rsidRPr="00376E45">
        <w:rPr>
          <w:rStyle w:val="Heading4Char"/>
          <w:b w:val="0"/>
          <w:lang w:val="en-GB"/>
        </w:rPr>
        <w:t xml:space="preserve"> </w:t>
      </w:r>
      <w:r w:rsidR="005E06F6" w:rsidRPr="00376E45">
        <w:rPr>
          <w:rStyle w:val="Heading4Char"/>
          <w:b w:val="0"/>
          <w:lang w:val="en-GB"/>
        </w:rPr>
        <w:t>Baseline demographics</w:t>
      </w:r>
      <w:r w:rsidR="00503B43" w:rsidRPr="00376E45">
        <w:rPr>
          <w:rStyle w:val="Heading4Char"/>
          <w:b w:val="0"/>
          <w:lang w:val="en-GB"/>
        </w:rPr>
        <w:t xml:space="preserve">, </w:t>
      </w:r>
      <w:r w:rsidR="00B139C0" w:rsidRPr="00376E45">
        <w:rPr>
          <w:rStyle w:val="Heading4Char"/>
          <w:b w:val="0"/>
          <w:lang w:val="en-GB"/>
        </w:rPr>
        <w:t xml:space="preserve">disease </w:t>
      </w:r>
      <w:r w:rsidR="005E06F6" w:rsidRPr="00376E45">
        <w:rPr>
          <w:rStyle w:val="Heading4Char"/>
          <w:b w:val="0"/>
          <w:lang w:val="en-GB"/>
        </w:rPr>
        <w:t>characteristics</w:t>
      </w:r>
      <w:r w:rsidR="00B139C0" w:rsidRPr="00376E45">
        <w:rPr>
          <w:rStyle w:val="Heading4Char"/>
          <w:b w:val="0"/>
          <w:lang w:val="en-GB"/>
        </w:rPr>
        <w:t>,</w:t>
      </w:r>
      <w:r w:rsidR="005E06F6" w:rsidRPr="00376E45">
        <w:rPr>
          <w:rStyle w:val="Heading4Char"/>
          <w:b w:val="0"/>
          <w:lang w:val="en-GB"/>
        </w:rPr>
        <w:t xml:space="preserve"> </w:t>
      </w:r>
      <w:r w:rsidR="00503B43" w:rsidRPr="00376E45">
        <w:rPr>
          <w:rStyle w:val="Heading4Char"/>
          <w:b w:val="0"/>
          <w:lang w:val="en-GB"/>
        </w:rPr>
        <w:t xml:space="preserve">and </w:t>
      </w:r>
      <w:r w:rsidR="004C7CDE" w:rsidRPr="00376E45">
        <w:rPr>
          <w:rStyle w:val="Heading4Char"/>
          <w:b w:val="0"/>
          <w:lang w:val="en-GB"/>
        </w:rPr>
        <w:t xml:space="preserve">disease </w:t>
      </w:r>
      <w:r w:rsidR="00503B43" w:rsidRPr="00376E45">
        <w:rPr>
          <w:rStyle w:val="Heading4Char"/>
          <w:b w:val="0"/>
          <w:lang w:val="en-GB"/>
        </w:rPr>
        <w:t xml:space="preserve">severity </w:t>
      </w:r>
      <w:r w:rsidR="005E06F6" w:rsidRPr="00376E45">
        <w:rPr>
          <w:rStyle w:val="Heading4Char"/>
          <w:b w:val="0"/>
          <w:lang w:val="en-GB"/>
        </w:rPr>
        <w:t xml:space="preserve">for all patients included in the FAS </w:t>
      </w:r>
      <w:r w:rsidR="0070278E" w:rsidRPr="00376E45">
        <w:rPr>
          <w:rStyle w:val="Heading4Char"/>
          <w:b w:val="0"/>
          <w:lang w:val="en-GB"/>
        </w:rPr>
        <w:t>were comparable between groups (</w:t>
      </w:r>
      <w:r w:rsidR="00B139C0" w:rsidRPr="00376E45">
        <w:rPr>
          <w:rStyle w:val="Heading4Char"/>
          <w:b w:val="0"/>
          <w:lang w:val="en-GB"/>
        </w:rPr>
        <w:t>t</w:t>
      </w:r>
      <w:r w:rsidR="005E06F6" w:rsidRPr="00376E45">
        <w:rPr>
          <w:rStyle w:val="Heading4Char"/>
          <w:b w:val="0"/>
          <w:lang w:val="en-GB"/>
        </w:rPr>
        <w:t xml:space="preserve">able </w:t>
      </w:r>
      <w:r w:rsidR="008F23F6" w:rsidRPr="00376E45">
        <w:rPr>
          <w:rStyle w:val="Heading4Char"/>
          <w:b w:val="0"/>
          <w:lang w:val="en-GB"/>
        </w:rPr>
        <w:t>1</w:t>
      </w:r>
      <w:r w:rsidR="0070278E" w:rsidRPr="00376E45">
        <w:rPr>
          <w:rStyle w:val="Heading4Char"/>
          <w:b w:val="0"/>
          <w:lang w:val="en-GB"/>
        </w:rPr>
        <w:t>).</w:t>
      </w:r>
    </w:p>
    <w:p w14:paraId="7A6BCDD6" w14:textId="77777777" w:rsidR="00201C45" w:rsidRPr="00376E45" w:rsidRDefault="005C2640" w:rsidP="006119DE">
      <w:pPr>
        <w:pStyle w:val="Heading2"/>
        <w:rPr>
          <w:lang w:val="en-GB"/>
        </w:rPr>
      </w:pPr>
      <w:r w:rsidRPr="00376E45">
        <w:rPr>
          <w:lang w:val="en-GB"/>
        </w:rPr>
        <w:t>O</w:t>
      </w:r>
      <w:r w:rsidR="00201C45" w:rsidRPr="00376E45">
        <w:rPr>
          <w:lang w:val="en-GB"/>
        </w:rPr>
        <w:t>utcomes</w:t>
      </w:r>
    </w:p>
    <w:p w14:paraId="14C49596" w14:textId="77777777" w:rsidR="00896DEB" w:rsidRPr="00376E45" w:rsidRDefault="00896DEB" w:rsidP="00B51FA1">
      <w:pPr>
        <w:pStyle w:val="Heading3"/>
        <w:rPr>
          <w:lang w:val="en-GB"/>
        </w:rPr>
      </w:pPr>
      <w:r w:rsidRPr="00376E45">
        <w:rPr>
          <w:lang w:val="en-GB"/>
        </w:rPr>
        <w:t>Clinical efficacy</w:t>
      </w:r>
    </w:p>
    <w:p w14:paraId="54AB654C" w14:textId="28C9B1CF" w:rsidR="002217DF" w:rsidRPr="00376E45" w:rsidRDefault="00B467CA" w:rsidP="007039DE">
      <w:pPr>
        <w:rPr>
          <w:lang w:val="en-GB"/>
        </w:rPr>
      </w:pPr>
      <w:r w:rsidRPr="00376E45">
        <w:rPr>
          <w:lang w:val="en-GB"/>
        </w:rPr>
        <w:t>A</w:t>
      </w:r>
      <w:r w:rsidR="006823FC" w:rsidRPr="00376E45">
        <w:rPr>
          <w:lang w:val="en-GB"/>
        </w:rPr>
        <w:t>t 6 months, A</w:t>
      </w:r>
      <w:r w:rsidRPr="00376E45">
        <w:rPr>
          <w:lang w:val="en-GB"/>
        </w:rPr>
        <w:t xml:space="preserve">CR50 response </w:t>
      </w:r>
      <w:r w:rsidR="00503B43" w:rsidRPr="00376E45">
        <w:rPr>
          <w:lang w:val="en-GB"/>
        </w:rPr>
        <w:t>was achieved in</w:t>
      </w:r>
      <w:r w:rsidRPr="00376E45">
        <w:rPr>
          <w:lang w:val="en-GB"/>
        </w:rPr>
        <w:t xml:space="preserve"> </w:t>
      </w:r>
      <w:r w:rsidR="006823FC" w:rsidRPr="00376E45">
        <w:rPr>
          <w:lang w:val="en-GB"/>
        </w:rPr>
        <w:t>38</w:t>
      </w:r>
      <w:r w:rsidR="007436B3" w:rsidRPr="00376E45">
        <w:rPr>
          <w:lang w:val="en-GB"/>
        </w:rPr>
        <w:t>·</w:t>
      </w:r>
      <w:r w:rsidR="006823FC" w:rsidRPr="00376E45">
        <w:rPr>
          <w:lang w:val="en-GB"/>
        </w:rPr>
        <w:t xml:space="preserve">3% </w:t>
      </w:r>
      <w:r w:rsidR="00503B43" w:rsidRPr="00376E45">
        <w:rPr>
          <w:lang w:val="en-GB"/>
        </w:rPr>
        <w:t xml:space="preserve">of </w:t>
      </w:r>
      <w:r w:rsidR="006823FC" w:rsidRPr="00376E45">
        <w:rPr>
          <w:lang w:val="en-GB"/>
        </w:rPr>
        <w:t>tofacitinib monotherapy</w:t>
      </w:r>
      <w:r w:rsidR="00614620" w:rsidRPr="00376E45">
        <w:rPr>
          <w:lang w:val="en-GB"/>
        </w:rPr>
        <w:t xml:space="preserve"> patients</w:t>
      </w:r>
      <w:r w:rsidR="006823FC" w:rsidRPr="00376E45">
        <w:rPr>
          <w:lang w:val="en-GB"/>
        </w:rPr>
        <w:t>, 46</w:t>
      </w:r>
      <w:r w:rsidR="007436B3" w:rsidRPr="00376E45">
        <w:rPr>
          <w:lang w:val="en-GB"/>
        </w:rPr>
        <w:t>·</w:t>
      </w:r>
      <w:r w:rsidR="006823FC" w:rsidRPr="00376E45">
        <w:rPr>
          <w:lang w:val="en-GB"/>
        </w:rPr>
        <w:t xml:space="preserve">0% </w:t>
      </w:r>
      <w:r w:rsidR="00503B43" w:rsidRPr="00376E45">
        <w:rPr>
          <w:lang w:val="en-GB"/>
        </w:rPr>
        <w:t xml:space="preserve">of </w:t>
      </w:r>
      <w:r w:rsidRPr="00376E45">
        <w:rPr>
          <w:lang w:val="en-GB"/>
        </w:rPr>
        <w:t xml:space="preserve">tofacitinib + MTX </w:t>
      </w:r>
      <w:r w:rsidR="00614620" w:rsidRPr="00376E45">
        <w:rPr>
          <w:lang w:val="en-GB"/>
        </w:rPr>
        <w:t>patients</w:t>
      </w:r>
      <w:r w:rsidR="00B139C0" w:rsidRPr="00376E45">
        <w:rPr>
          <w:lang w:val="en-GB"/>
        </w:rPr>
        <w:t>,</w:t>
      </w:r>
      <w:r w:rsidR="00614620" w:rsidRPr="00376E45">
        <w:rPr>
          <w:lang w:val="en-GB"/>
        </w:rPr>
        <w:t xml:space="preserve"> </w:t>
      </w:r>
      <w:r w:rsidR="006823FC" w:rsidRPr="00376E45">
        <w:rPr>
          <w:lang w:val="en-GB"/>
        </w:rPr>
        <w:t>and 43</w:t>
      </w:r>
      <w:r w:rsidR="007436B3" w:rsidRPr="00376E45">
        <w:rPr>
          <w:lang w:val="en-GB"/>
        </w:rPr>
        <w:t>·</w:t>
      </w:r>
      <w:r w:rsidR="006823FC" w:rsidRPr="00376E45">
        <w:rPr>
          <w:lang w:val="en-GB"/>
        </w:rPr>
        <w:t xml:space="preserve">8% </w:t>
      </w:r>
      <w:r w:rsidR="00503B43" w:rsidRPr="00376E45">
        <w:rPr>
          <w:lang w:val="en-GB"/>
        </w:rPr>
        <w:t xml:space="preserve">of </w:t>
      </w:r>
      <w:r w:rsidRPr="00376E45">
        <w:rPr>
          <w:lang w:val="en-GB"/>
        </w:rPr>
        <w:t xml:space="preserve">adalimumab + MTX </w:t>
      </w:r>
      <w:r w:rsidR="00614620" w:rsidRPr="00376E45">
        <w:rPr>
          <w:lang w:val="en-GB"/>
        </w:rPr>
        <w:t xml:space="preserve">patients </w:t>
      </w:r>
      <w:r w:rsidR="00B139C0" w:rsidRPr="00376E45">
        <w:rPr>
          <w:lang w:val="en-GB"/>
        </w:rPr>
        <w:t>(f</w:t>
      </w:r>
      <w:r w:rsidRPr="00376E45">
        <w:rPr>
          <w:lang w:val="en-GB"/>
        </w:rPr>
        <w:t>igure 2A</w:t>
      </w:r>
      <w:r w:rsidR="00B139C0" w:rsidRPr="00376E45">
        <w:rPr>
          <w:lang w:val="en-GB"/>
        </w:rPr>
        <w:t>; t</w:t>
      </w:r>
      <w:r w:rsidRPr="00376E45">
        <w:rPr>
          <w:lang w:val="en-GB"/>
        </w:rPr>
        <w:t>able 2).</w:t>
      </w:r>
      <w:r w:rsidR="006B24FC" w:rsidRPr="00376E45">
        <w:rPr>
          <w:lang w:val="en-GB"/>
        </w:rPr>
        <w:t xml:space="preserve"> </w:t>
      </w:r>
      <w:r w:rsidR="007039DE" w:rsidRPr="00376E45">
        <w:rPr>
          <w:lang w:val="en-GB"/>
        </w:rPr>
        <w:t>Tofacitinib + MTX was deemed non-inferior to adalimumab + MTX: t</w:t>
      </w:r>
      <w:r w:rsidR="00CD13B8" w:rsidRPr="00376E45">
        <w:rPr>
          <w:lang w:val="en-GB"/>
        </w:rPr>
        <w:t xml:space="preserve">he </w:t>
      </w:r>
      <w:r w:rsidR="00FB682B" w:rsidRPr="00376E45">
        <w:rPr>
          <w:lang w:val="en-GB"/>
        </w:rPr>
        <w:t xml:space="preserve">difference </w:t>
      </w:r>
      <w:r w:rsidR="00CD13B8" w:rsidRPr="00376E45">
        <w:rPr>
          <w:lang w:val="en-GB"/>
        </w:rPr>
        <w:t>(98</w:t>
      </w:r>
      <w:r w:rsidR="007436B3" w:rsidRPr="00376E45">
        <w:rPr>
          <w:lang w:val="en-GB"/>
        </w:rPr>
        <w:t>·</w:t>
      </w:r>
      <w:r w:rsidR="00CD13B8" w:rsidRPr="00376E45">
        <w:rPr>
          <w:lang w:val="en-GB"/>
        </w:rPr>
        <w:t>34% CI) in ACR50 response rates for tofacitinib</w:t>
      </w:r>
      <w:r w:rsidR="00C03728" w:rsidRPr="00376E45">
        <w:rPr>
          <w:lang w:val="en-GB"/>
        </w:rPr>
        <w:t xml:space="preserve"> + MTX</w:t>
      </w:r>
      <w:r w:rsidR="00CD13B8" w:rsidRPr="00376E45">
        <w:rPr>
          <w:lang w:val="en-GB"/>
        </w:rPr>
        <w:t xml:space="preserve"> compared with adalimumab</w:t>
      </w:r>
      <w:r w:rsidR="00C03728" w:rsidRPr="00376E45">
        <w:rPr>
          <w:lang w:val="en-GB"/>
        </w:rPr>
        <w:t xml:space="preserve"> + MTX</w:t>
      </w:r>
      <w:r w:rsidR="00CD13B8" w:rsidRPr="00376E45">
        <w:rPr>
          <w:lang w:val="en-GB"/>
        </w:rPr>
        <w:t xml:space="preserve"> was 2</w:t>
      </w:r>
      <w:r w:rsidR="007436B3" w:rsidRPr="00376E45">
        <w:rPr>
          <w:lang w:val="en-GB"/>
        </w:rPr>
        <w:t>·</w:t>
      </w:r>
      <w:r w:rsidR="00CD13B8" w:rsidRPr="00376E45">
        <w:rPr>
          <w:lang w:val="en-GB"/>
        </w:rPr>
        <w:t>2% (−6</w:t>
      </w:r>
      <w:r w:rsidR="007436B3" w:rsidRPr="00376E45">
        <w:rPr>
          <w:lang w:val="en-GB"/>
        </w:rPr>
        <w:t>·</w:t>
      </w:r>
      <w:r w:rsidR="00CD13B8" w:rsidRPr="00376E45">
        <w:rPr>
          <w:lang w:val="en-GB"/>
        </w:rPr>
        <w:t>4</w:t>
      </w:r>
      <w:r w:rsidR="00872957" w:rsidRPr="00376E45">
        <w:rPr>
          <w:lang w:val="en-GB"/>
        </w:rPr>
        <w:t>%</w:t>
      </w:r>
      <w:r w:rsidR="00CD13B8" w:rsidRPr="00376E45">
        <w:rPr>
          <w:lang w:val="en-GB"/>
        </w:rPr>
        <w:t xml:space="preserve"> to 10</w:t>
      </w:r>
      <w:r w:rsidR="007436B3" w:rsidRPr="00376E45">
        <w:rPr>
          <w:lang w:val="en-GB"/>
        </w:rPr>
        <w:t>·</w:t>
      </w:r>
      <w:r w:rsidR="00CD13B8" w:rsidRPr="00376E45">
        <w:rPr>
          <w:lang w:val="en-GB"/>
        </w:rPr>
        <w:t>9</w:t>
      </w:r>
      <w:r w:rsidR="00872957" w:rsidRPr="00376E45">
        <w:rPr>
          <w:lang w:val="en-GB"/>
        </w:rPr>
        <w:t>%</w:t>
      </w:r>
      <w:r w:rsidR="00CD13B8" w:rsidRPr="00376E45">
        <w:rPr>
          <w:lang w:val="en-GB"/>
        </w:rPr>
        <w:t>)</w:t>
      </w:r>
      <w:r w:rsidR="007039DE" w:rsidRPr="00376E45">
        <w:rPr>
          <w:lang w:val="en-GB"/>
        </w:rPr>
        <w:t xml:space="preserve">, with </w:t>
      </w:r>
      <w:r w:rsidR="00CD13B8" w:rsidRPr="00376E45">
        <w:rPr>
          <w:lang w:val="en-GB"/>
        </w:rPr>
        <w:t>the lower bound of the 98</w:t>
      </w:r>
      <w:r w:rsidR="007436B3" w:rsidRPr="00376E45">
        <w:rPr>
          <w:lang w:val="en-GB"/>
        </w:rPr>
        <w:t>·</w:t>
      </w:r>
      <w:r w:rsidR="00CD13B8" w:rsidRPr="00376E45">
        <w:rPr>
          <w:lang w:val="en-GB"/>
        </w:rPr>
        <w:t>34% CI (−6</w:t>
      </w:r>
      <w:r w:rsidR="007436B3" w:rsidRPr="00376E45">
        <w:rPr>
          <w:lang w:val="en-GB"/>
        </w:rPr>
        <w:t>·</w:t>
      </w:r>
      <w:r w:rsidR="00CD13B8" w:rsidRPr="00376E45">
        <w:rPr>
          <w:lang w:val="en-GB"/>
        </w:rPr>
        <w:t>4</w:t>
      </w:r>
      <w:r w:rsidR="00FB682B" w:rsidRPr="00376E45">
        <w:rPr>
          <w:lang w:val="en-GB"/>
        </w:rPr>
        <w:t>%</w:t>
      </w:r>
      <w:r w:rsidR="00CD13B8" w:rsidRPr="00376E45">
        <w:rPr>
          <w:lang w:val="en-GB"/>
        </w:rPr>
        <w:t>) was above the pre-specified non-inferiority boundary (−</w:t>
      </w:r>
      <w:r w:rsidR="007039DE" w:rsidRPr="00376E45">
        <w:rPr>
          <w:lang w:val="en-GB"/>
        </w:rPr>
        <w:t xml:space="preserve">13%) </w:t>
      </w:r>
      <w:r w:rsidR="00B139C0" w:rsidRPr="00376E45">
        <w:rPr>
          <w:lang w:val="en-GB"/>
        </w:rPr>
        <w:t>(</w:t>
      </w:r>
      <w:proofErr w:type="gramStart"/>
      <w:r w:rsidR="00B139C0" w:rsidRPr="00376E45">
        <w:rPr>
          <w:lang w:val="en-GB"/>
        </w:rPr>
        <w:t>f</w:t>
      </w:r>
      <w:r w:rsidRPr="00376E45">
        <w:rPr>
          <w:lang w:val="en-GB"/>
        </w:rPr>
        <w:t>igure</w:t>
      </w:r>
      <w:proofErr w:type="gramEnd"/>
      <w:r w:rsidRPr="00376E45">
        <w:rPr>
          <w:lang w:val="en-GB"/>
        </w:rPr>
        <w:t xml:space="preserve"> 2B</w:t>
      </w:r>
      <w:r w:rsidR="00CD13B8" w:rsidRPr="00376E45">
        <w:rPr>
          <w:lang w:val="en-GB"/>
        </w:rPr>
        <w:t xml:space="preserve">). Non-inferiority </w:t>
      </w:r>
      <w:r w:rsidR="00503B43" w:rsidRPr="00376E45">
        <w:rPr>
          <w:lang w:val="en-GB"/>
        </w:rPr>
        <w:t xml:space="preserve">of the ACR50 response at 6 months </w:t>
      </w:r>
      <w:r w:rsidR="00FB682B" w:rsidRPr="00376E45">
        <w:rPr>
          <w:lang w:val="en-GB"/>
        </w:rPr>
        <w:t xml:space="preserve">could not be </w:t>
      </w:r>
      <w:r w:rsidR="00503B43" w:rsidRPr="00376E45">
        <w:rPr>
          <w:lang w:val="en-GB"/>
        </w:rPr>
        <w:t>declared for</w:t>
      </w:r>
      <w:r w:rsidR="00CD13B8" w:rsidRPr="00376E45">
        <w:rPr>
          <w:lang w:val="en-GB"/>
        </w:rPr>
        <w:t xml:space="preserve"> tofacitinib monotherapy </w:t>
      </w:r>
      <w:r w:rsidR="00FB682B" w:rsidRPr="00376E45">
        <w:rPr>
          <w:lang w:val="en-GB"/>
        </w:rPr>
        <w:t>versus</w:t>
      </w:r>
      <w:r w:rsidR="00CD13B8" w:rsidRPr="00376E45">
        <w:rPr>
          <w:lang w:val="en-GB"/>
        </w:rPr>
        <w:t xml:space="preserve"> tofacitinib</w:t>
      </w:r>
      <w:r w:rsidR="00C03728" w:rsidRPr="00376E45">
        <w:rPr>
          <w:lang w:val="en-GB"/>
        </w:rPr>
        <w:t xml:space="preserve"> + MTX</w:t>
      </w:r>
      <w:r w:rsidR="00CD13B8" w:rsidRPr="00376E45">
        <w:rPr>
          <w:lang w:val="en-GB"/>
        </w:rPr>
        <w:t xml:space="preserve"> </w:t>
      </w:r>
      <w:r w:rsidR="00872957" w:rsidRPr="00376E45">
        <w:rPr>
          <w:lang w:val="en-GB"/>
        </w:rPr>
        <w:t>(difference [98</w:t>
      </w:r>
      <w:r w:rsidR="007436B3" w:rsidRPr="00376E45">
        <w:rPr>
          <w:lang w:val="en-GB"/>
        </w:rPr>
        <w:t>·</w:t>
      </w:r>
      <w:r w:rsidR="00872957" w:rsidRPr="00376E45">
        <w:rPr>
          <w:lang w:val="en-GB"/>
        </w:rPr>
        <w:t xml:space="preserve">34% CI]: </w:t>
      </w:r>
      <w:r w:rsidR="00BB1DEE" w:rsidRPr="00376E45">
        <w:rPr>
          <w:lang w:val="en-GB"/>
        </w:rPr>
        <w:t>−</w:t>
      </w:r>
      <w:r w:rsidR="00872957" w:rsidRPr="00376E45">
        <w:rPr>
          <w:lang w:val="en-GB"/>
        </w:rPr>
        <w:t>7</w:t>
      </w:r>
      <w:r w:rsidR="007436B3" w:rsidRPr="00376E45">
        <w:rPr>
          <w:lang w:val="en-GB"/>
        </w:rPr>
        <w:t>·</w:t>
      </w:r>
      <w:r w:rsidR="00872957" w:rsidRPr="00376E45">
        <w:rPr>
          <w:lang w:val="en-GB"/>
        </w:rPr>
        <w:t>7% [−16</w:t>
      </w:r>
      <w:r w:rsidR="007436B3" w:rsidRPr="00376E45">
        <w:rPr>
          <w:lang w:val="en-GB"/>
        </w:rPr>
        <w:t>·</w:t>
      </w:r>
      <w:r w:rsidR="00872957" w:rsidRPr="00376E45">
        <w:rPr>
          <w:lang w:val="en-GB"/>
        </w:rPr>
        <w:t>3% to 0</w:t>
      </w:r>
      <w:r w:rsidR="007436B3" w:rsidRPr="00376E45">
        <w:rPr>
          <w:lang w:val="en-GB"/>
        </w:rPr>
        <w:t>·</w:t>
      </w:r>
      <w:r w:rsidR="00872957" w:rsidRPr="00376E45">
        <w:rPr>
          <w:lang w:val="en-GB"/>
        </w:rPr>
        <w:t xml:space="preserve">8%]) </w:t>
      </w:r>
      <w:r w:rsidR="00CD13B8" w:rsidRPr="00376E45">
        <w:rPr>
          <w:lang w:val="en-GB"/>
        </w:rPr>
        <w:t xml:space="preserve">or </w:t>
      </w:r>
      <w:r w:rsidR="00FB682B" w:rsidRPr="00376E45">
        <w:rPr>
          <w:lang w:val="en-GB"/>
        </w:rPr>
        <w:t>versus</w:t>
      </w:r>
      <w:r w:rsidR="00CD13B8" w:rsidRPr="00376E45">
        <w:rPr>
          <w:lang w:val="en-GB"/>
        </w:rPr>
        <w:t xml:space="preserve"> adalimumab</w:t>
      </w:r>
      <w:r w:rsidR="00C03728" w:rsidRPr="00376E45">
        <w:rPr>
          <w:lang w:val="en-GB"/>
        </w:rPr>
        <w:t xml:space="preserve"> + MTX</w:t>
      </w:r>
      <w:r w:rsidR="00CD13B8" w:rsidRPr="00376E45">
        <w:rPr>
          <w:lang w:val="en-GB"/>
        </w:rPr>
        <w:t xml:space="preserve"> </w:t>
      </w:r>
      <w:r w:rsidR="00872957" w:rsidRPr="00376E45">
        <w:rPr>
          <w:lang w:val="en-GB"/>
        </w:rPr>
        <w:t>(difference [98</w:t>
      </w:r>
      <w:r w:rsidR="007436B3" w:rsidRPr="00376E45">
        <w:rPr>
          <w:lang w:val="en-GB"/>
        </w:rPr>
        <w:t>·</w:t>
      </w:r>
      <w:r w:rsidR="00872957" w:rsidRPr="00376E45">
        <w:rPr>
          <w:lang w:val="en-GB"/>
        </w:rPr>
        <w:t xml:space="preserve">34% CI]: </w:t>
      </w:r>
      <w:r w:rsidR="00BB1DEE" w:rsidRPr="00376E45">
        <w:rPr>
          <w:lang w:val="en-GB"/>
        </w:rPr>
        <w:t>−</w:t>
      </w:r>
      <w:r w:rsidR="00872957" w:rsidRPr="00376E45">
        <w:rPr>
          <w:lang w:val="en-GB"/>
        </w:rPr>
        <w:t>5</w:t>
      </w:r>
      <w:r w:rsidR="007436B3" w:rsidRPr="00376E45">
        <w:rPr>
          <w:lang w:val="en-GB"/>
        </w:rPr>
        <w:t>·</w:t>
      </w:r>
      <w:r w:rsidR="00872957" w:rsidRPr="00376E45">
        <w:rPr>
          <w:lang w:val="en-GB"/>
        </w:rPr>
        <w:t>5% [−14</w:t>
      </w:r>
      <w:r w:rsidR="007436B3" w:rsidRPr="00376E45">
        <w:rPr>
          <w:lang w:val="en-GB"/>
        </w:rPr>
        <w:t>·</w:t>
      </w:r>
      <w:r w:rsidR="00872957" w:rsidRPr="00376E45">
        <w:rPr>
          <w:lang w:val="en-GB"/>
        </w:rPr>
        <w:t>0% to 3</w:t>
      </w:r>
      <w:r w:rsidR="007436B3" w:rsidRPr="00376E45">
        <w:rPr>
          <w:lang w:val="en-GB"/>
        </w:rPr>
        <w:t>·</w:t>
      </w:r>
      <w:r w:rsidR="00872957" w:rsidRPr="00376E45">
        <w:rPr>
          <w:lang w:val="en-GB"/>
        </w:rPr>
        <w:t>0%])</w:t>
      </w:r>
      <w:r w:rsidR="009F0E22" w:rsidRPr="00376E45">
        <w:rPr>
          <w:lang w:val="en-GB"/>
        </w:rPr>
        <w:t xml:space="preserve">; </w:t>
      </w:r>
      <w:r w:rsidR="007039DE" w:rsidRPr="00376E45">
        <w:rPr>
          <w:lang w:val="en-GB"/>
        </w:rPr>
        <w:t>superiority could not be claimed for any comparison between the treatment arms. ACR50 response was maintained in all treatment groups through Month 12 (tofacitinib monotherapy: 39·3%; tofacitinib + MTX: 47·6%; adalimumab + MTX: 45·9%) (</w:t>
      </w:r>
      <w:proofErr w:type="gramStart"/>
      <w:r w:rsidR="007039DE" w:rsidRPr="00376E45">
        <w:rPr>
          <w:lang w:val="en-GB"/>
        </w:rPr>
        <w:t>figure</w:t>
      </w:r>
      <w:proofErr w:type="gramEnd"/>
      <w:r w:rsidR="007039DE" w:rsidRPr="00376E45">
        <w:rPr>
          <w:lang w:val="en-GB"/>
        </w:rPr>
        <w:t xml:space="preserve"> 2A).</w:t>
      </w:r>
      <w:r w:rsidR="003270D2" w:rsidRPr="00376E45">
        <w:rPr>
          <w:lang w:val="en-GB"/>
        </w:rPr>
        <w:t xml:space="preserve"> </w:t>
      </w:r>
      <w:r w:rsidR="00326DCF" w:rsidRPr="00376E45">
        <w:rPr>
          <w:lang w:val="en-GB"/>
        </w:rPr>
        <w:t>ACR20 and ACR</w:t>
      </w:r>
      <w:r w:rsidR="008C4542" w:rsidRPr="00376E45">
        <w:rPr>
          <w:lang w:val="en-GB"/>
        </w:rPr>
        <w:t>70 response</w:t>
      </w:r>
      <w:r w:rsidR="00B43457" w:rsidRPr="00376E45">
        <w:rPr>
          <w:lang w:val="en-GB"/>
        </w:rPr>
        <w:t xml:space="preserve"> rates</w:t>
      </w:r>
      <w:r w:rsidR="008C4542" w:rsidRPr="00376E45">
        <w:rPr>
          <w:lang w:val="en-GB"/>
        </w:rPr>
        <w:t xml:space="preserve"> </w:t>
      </w:r>
      <w:r w:rsidR="00B43457" w:rsidRPr="00376E45">
        <w:rPr>
          <w:lang w:val="en-GB"/>
        </w:rPr>
        <w:t xml:space="preserve">in </w:t>
      </w:r>
      <w:r w:rsidR="00732C6B" w:rsidRPr="00376E45">
        <w:rPr>
          <w:lang w:val="en-GB"/>
        </w:rPr>
        <w:t>each</w:t>
      </w:r>
      <w:r w:rsidR="00B43457" w:rsidRPr="00376E45">
        <w:rPr>
          <w:lang w:val="en-GB"/>
        </w:rPr>
        <w:t xml:space="preserve"> treatment arm </w:t>
      </w:r>
      <w:r w:rsidR="00614620" w:rsidRPr="00376E45">
        <w:rPr>
          <w:lang w:val="en-GB"/>
        </w:rPr>
        <w:t>showed</w:t>
      </w:r>
      <w:r w:rsidR="00B43457" w:rsidRPr="00376E45">
        <w:rPr>
          <w:lang w:val="en-GB"/>
        </w:rPr>
        <w:t xml:space="preserve"> similar</w:t>
      </w:r>
      <w:r w:rsidR="00614620" w:rsidRPr="00376E45">
        <w:rPr>
          <w:lang w:val="en-GB"/>
        </w:rPr>
        <w:t xml:space="preserve"> trends</w:t>
      </w:r>
      <w:r w:rsidR="00B43457" w:rsidRPr="00376E45">
        <w:rPr>
          <w:lang w:val="en-GB"/>
        </w:rPr>
        <w:t xml:space="preserve"> to </w:t>
      </w:r>
      <w:r w:rsidR="00614620" w:rsidRPr="00376E45">
        <w:rPr>
          <w:lang w:val="en-GB"/>
        </w:rPr>
        <w:t>those</w:t>
      </w:r>
      <w:r w:rsidR="00B43457" w:rsidRPr="00376E45">
        <w:rPr>
          <w:lang w:val="en-GB"/>
        </w:rPr>
        <w:t xml:space="preserve"> observed for ACR50, and were</w:t>
      </w:r>
      <w:r w:rsidR="00732C6B" w:rsidRPr="00376E45">
        <w:rPr>
          <w:lang w:val="en-GB"/>
        </w:rPr>
        <w:t xml:space="preserve"> </w:t>
      </w:r>
      <w:r w:rsidR="00B43457" w:rsidRPr="00376E45">
        <w:rPr>
          <w:lang w:val="en-GB"/>
        </w:rPr>
        <w:t>maintained over 12 months</w:t>
      </w:r>
      <w:r w:rsidR="008C4542" w:rsidRPr="00376E45">
        <w:rPr>
          <w:lang w:val="en-GB"/>
        </w:rPr>
        <w:t xml:space="preserve"> </w:t>
      </w:r>
      <w:r w:rsidR="00B139C0" w:rsidRPr="00376E45">
        <w:rPr>
          <w:lang w:val="en-GB"/>
        </w:rPr>
        <w:t>(f</w:t>
      </w:r>
      <w:r w:rsidR="00C43DE7" w:rsidRPr="00376E45">
        <w:rPr>
          <w:lang w:val="en-GB"/>
        </w:rPr>
        <w:t>igures 2</w:t>
      </w:r>
      <w:r w:rsidR="009F0E22" w:rsidRPr="00376E45">
        <w:rPr>
          <w:lang w:val="en-GB"/>
        </w:rPr>
        <w:t>C and 2D</w:t>
      </w:r>
      <w:r w:rsidR="00C43DE7" w:rsidRPr="00376E45">
        <w:rPr>
          <w:lang w:val="en-GB"/>
        </w:rPr>
        <w:t>)</w:t>
      </w:r>
      <w:r w:rsidR="00B43457" w:rsidRPr="00376E45">
        <w:rPr>
          <w:lang w:val="en-GB"/>
        </w:rPr>
        <w:t>.</w:t>
      </w:r>
      <w:r w:rsidR="00EA39E3" w:rsidRPr="00376E45">
        <w:rPr>
          <w:lang w:val="en-GB"/>
        </w:rPr>
        <w:t xml:space="preserve"> Over 12 months, ACR20/50/70 response rates were higher in both combination treatment arms </w:t>
      </w:r>
      <w:r w:rsidR="00B139C0" w:rsidRPr="00376E45">
        <w:rPr>
          <w:lang w:val="en-GB"/>
        </w:rPr>
        <w:t>compared with</w:t>
      </w:r>
      <w:r w:rsidR="00C514A8" w:rsidRPr="00376E45">
        <w:rPr>
          <w:lang w:val="en-GB"/>
        </w:rPr>
        <w:t xml:space="preserve"> </w:t>
      </w:r>
      <w:r w:rsidR="00EA39E3" w:rsidRPr="00376E45">
        <w:rPr>
          <w:lang w:val="en-GB"/>
        </w:rPr>
        <w:t>the tofacitinib monotherapy arm, and were similar between bo</w:t>
      </w:r>
      <w:r w:rsidR="00B139C0" w:rsidRPr="00376E45">
        <w:rPr>
          <w:lang w:val="en-GB"/>
        </w:rPr>
        <w:t>th combination treatment arms (f</w:t>
      </w:r>
      <w:r w:rsidR="00EA39E3" w:rsidRPr="00376E45">
        <w:rPr>
          <w:lang w:val="en-GB"/>
        </w:rPr>
        <w:t>igure 2</w:t>
      </w:r>
      <w:r w:rsidR="009F0E22" w:rsidRPr="00376E45">
        <w:rPr>
          <w:lang w:val="en-GB"/>
        </w:rPr>
        <w:t>A, 2C and 2D</w:t>
      </w:r>
      <w:r w:rsidR="00B139C0" w:rsidRPr="00376E45">
        <w:rPr>
          <w:lang w:val="en-GB"/>
        </w:rPr>
        <w:t>; t</w:t>
      </w:r>
      <w:r w:rsidR="00EA39E3" w:rsidRPr="00376E45">
        <w:rPr>
          <w:lang w:val="en-GB"/>
        </w:rPr>
        <w:t>able 2).</w:t>
      </w:r>
      <w:r w:rsidR="006D2227" w:rsidRPr="00376E45">
        <w:rPr>
          <w:lang w:val="en-GB"/>
        </w:rPr>
        <w:t xml:space="preserve"> A sensitivity analysis, assessing non-inferiority of the primary endpoint in the per protocol set</w:t>
      </w:r>
      <w:r w:rsidR="00B139C0" w:rsidRPr="00376E45">
        <w:rPr>
          <w:lang w:val="en-GB"/>
        </w:rPr>
        <w:t>,</w:t>
      </w:r>
      <w:r w:rsidR="006D2227" w:rsidRPr="00376E45">
        <w:rPr>
          <w:lang w:val="en-GB"/>
        </w:rPr>
        <w:t xml:space="preserve"> provided </w:t>
      </w:r>
      <w:r w:rsidR="00A34393" w:rsidRPr="00376E45">
        <w:rPr>
          <w:lang w:val="en-GB"/>
        </w:rPr>
        <w:t>similar observations to the main analysis.</w:t>
      </w:r>
      <w:r w:rsidR="00BA375D" w:rsidRPr="00376E45">
        <w:rPr>
          <w:lang w:val="en-GB"/>
        </w:rPr>
        <w:t xml:space="preserve"> The per protocol ACR50 response rates for tofaci</w:t>
      </w:r>
      <w:r w:rsidR="005A6BA9" w:rsidRPr="00376E45">
        <w:rPr>
          <w:lang w:val="en-GB"/>
        </w:rPr>
        <w:t>tinib monotherapy, tofacitinib +</w:t>
      </w:r>
      <w:r w:rsidR="00BA375D" w:rsidRPr="00376E45">
        <w:rPr>
          <w:lang w:val="en-GB"/>
        </w:rPr>
        <w:t xml:space="preserve"> MTX</w:t>
      </w:r>
      <w:r w:rsidR="00821924">
        <w:rPr>
          <w:lang w:val="en-GB"/>
        </w:rPr>
        <w:t>,</w:t>
      </w:r>
      <w:r w:rsidR="00BA375D" w:rsidRPr="00376E45">
        <w:rPr>
          <w:lang w:val="en-GB"/>
        </w:rPr>
        <w:t xml:space="preserve"> and adalimumab + MTX were 41·1%, 50·9%</w:t>
      </w:r>
      <w:r w:rsidR="00821924">
        <w:rPr>
          <w:lang w:val="en-GB"/>
        </w:rPr>
        <w:t>,</w:t>
      </w:r>
      <w:r w:rsidR="00BA375D" w:rsidRPr="00376E45">
        <w:rPr>
          <w:lang w:val="en-GB"/>
        </w:rPr>
        <w:t xml:space="preserve"> and 47·3%, respectively. The difference (98·34% CI) in </w:t>
      </w:r>
      <w:r w:rsidR="005A6BA9" w:rsidRPr="00376E45">
        <w:rPr>
          <w:lang w:val="en-GB"/>
        </w:rPr>
        <w:t xml:space="preserve">per protocol </w:t>
      </w:r>
      <w:r w:rsidR="00BA375D" w:rsidRPr="00376E45">
        <w:rPr>
          <w:lang w:val="en-GB"/>
        </w:rPr>
        <w:t xml:space="preserve">ACR50 response rates for tofacitinib + MTX compared with adalimumab + MTX was </w:t>
      </w:r>
      <w:r w:rsidR="005A6BA9" w:rsidRPr="00376E45">
        <w:rPr>
          <w:lang w:val="en-GB"/>
        </w:rPr>
        <w:t>3.7</w:t>
      </w:r>
      <w:r w:rsidR="00BA375D" w:rsidRPr="00376E45">
        <w:rPr>
          <w:lang w:val="en-GB"/>
        </w:rPr>
        <w:t>% (−</w:t>
      </w:r>
      <w:r w:rsidR="005A6BA9" w:rsidRPr="00376E45">
        <w:rPr>
          <w:lang w:val="en-GB"/>
        </w:rPr>
        <w:t>5</w:t>
      </w:r>
      <w:r w:rsidR="00BA375D" w:rsidRPr="00376E45">
        <w:rPr>
          <w:lang w:val="en-GB"/>
        </w:rPr>
        <w:t>·</w:t>
      </w:r>
      <w:r w:rsidR="005A6BA9" w:rsidRPr="00376E45">
        <w:rPr>
          <w:lang w:val="en-GB"/>
        </w:rPr>
        <w:t>7</w:t>
      </w:r>
      <w:r w:rsidR="00BA375D" w:rsidRPr="00376E45">
        <w:rPr>
          <w:lang w:val="en-GB"/>
        </w:rPr>
        <w:t xml:space="preserve">% to </w:t>
      </w:r>
      <w:r w:rsidR="005A6BA9" w:rsidRPr="00376E45">
        <w:rPr>
          <w:lang w:val="en-GB"/>
        </w:rPr>
        <w:t>13</w:t>
      </w:r>
      <w:r w:rsidR="00BA375D" w:rsidRPr="00376E45">
        <w:rPr>
          <w:lang w:val="en-GB"/>
        </w:rPr>
        <w:t>·</w:t>
      </w:r>
      <w:r w:rsidR="005A6BA9" w:rsidRPr="00376E45">
        <w:rPr>
          <w:lang w:val="en-GB"/>
        </w:rPr>
        <w:t>1</w:t>
      </w:r>
      <w:r w:rsidR="00BA375D" w:rsidRPr="00376E45">
        <w:rPr>
          <w:lang w:val="en-GB"/>
        </w:rPr>
        <w:t xml:space="preserve">%), with the lower bound </w:t>
      </w:r>
      <w:r w:rsidR="005A6BA9" w:rsidRPr="00376E45">
        <w:rPr>
          <w:lang w:val="en-GB"/>
        </w:rPr>
        <w:t>a</w:t>
      </w:r>
      <w:r w:rsidR="00BA375D" w:rsidRPr="00376E45">
        <w:rPr>
          <w:lang w:val="en-GB"/>
        </w:rPr>
        <w:t>bove the non-inferiority boundary</w:t>
      </w:r>
      <w:r w:rsidR="005A6BA9" w:rsidRPr="00376E45">
        <w:rPr>
          <w:lang w:val="en-GB"/>
        </w:rPr>
        <w:t xml:space="preserve">. Per protocol comparisons for tofacitinib monotherapy versus tofacitinib + MTX (−9·8% [−19·1% to </w:t>
      </w:r>
      <w:r w:rsidR="00F95689" w:rsidRPr="00F95689">
        <w:rPr>
          <w:lang w:val="en-GB"/>
        </w:rPr>
        <w:t>−</w:t>
      </w:r>
      <w:r w:rsidR="005A6BA9" w:rsidRPr="00376E45">
        <w:rPr>
          <w:lang w:val="en-GB"/>
        </w:rPr>
        <w:t>0·5%]) or versus adalimumab + MTX (−6·2% [−15·3% to 3·0%]) could not be declared non-inferior.</w:t>
      </w:r>
    </w:p>
    <w:p w14:paraId="324E47F4" w14:textId="3AB023C0" w:rsidR="0076361C" w:rsidRPr="00376E45" w:rsidRDefault="00EA39E3" w:rsidP="00144A74">
      <w:pPr>
        <w:rPr>
          <w:lang w:val="en-GB"/>
        </w:rPr>
      </w:pPr>
      <w:r w:rsidRPr="00376E45">
        <w:rPr>
          <w:lang w:val="en-GB"/>
        </w:rPr>
        <w:t xml:space="preserve">Multiple secondary efficacy endpoints supported the </w:t>
      </w:r>
      <w:r w:rsidR="00054783" w:rsidRPr="00376E45">
        <w:rPr>
          <w:lang w:val="en-GB"/>
        </w:rPr>
        <w:t>results from the primary analyse</w:t>
      </w:r>
      <w:r w:rsidRPr="00376E45">
        <w:rPr>
          <w:lang w:val="en-GB"/>
        </w:rPr>
        <w:t>s</w:t>
      </w:r>
      <w:r w:rsidR="00DA427F" w:rsidRPr="00376E45">
        <w:rPr>
          <w:lang w:val="en-GB"/>
        </w:rPr>
        <w:t xml:space="preserve"> results; in general, responses were similar between combination arms, which were higher than in the tofacitinib monotherapy arm</w:t>
      </w:r>
      <w:r w:rsidRPr="00376E45">
        <w:rPr>
          <w:lang w:val="en-GB"/>
        </w:rPr>
        <w:t xml:space="preserve">. </w:t>
      </w:r>
      <w:r w:rsidR="00732C6B" w:rsidRPr="00376E45">
        <w:rPr>
          <w:lang w:val="en-GB"/>
        </w:rPr>
        <w:t xml:space="preserve">The proportion of patients achieving LDA at 6 months, as indicated by SDAI (≤11), was comparable between </w:t>
      </w:r>
      <w:r w:rsidR="00DA427F" w:rsidRPr="00376E45">
        <w:rPr>
          <w:lang w:val="en-GB"/>
        </w:rPr>
        <w:t xml:space="preserve">combination therapy </w:t>
      </w:r>
      <w:r w:rsidR="00732C6B" w:rsidRPr="00376E45">
        <w:rPr>
          <w:lang w:val="en-GB"/>
        </w:rPr>
        <w:t>groups (tofacitinib + MTX: 49</w:t>
      </w:r>
      <w:r w:rsidR="007436B3" w:rsidRPr="00376E45">
        <w:rPr>
          <w:lang w:val="en-GB"/>
        </w:rPr>
        <w:t>·</w:t>
      </w:r>
      <w:r w:rsidR="00732C6B" w:rsidRPr="00376E45">
        <w:rPr>
          <w:lang w:val="en-GB"/>
        </w:rPr>
        <w:t>7%; adalimumab + MTX: 47</w:t>
      </w:r>
      <w:r w:rsidR="007436B3" w:rsidRPr="00376E45">
        <w:rPr>
          <w:lang w:val="en-GB"/>
        </w:rPr>
        <w:t>·</w:t>
      </w:r>
      <w:r w:rsidR="00732C6B" w:rsidRPr="00376E45">
        <w:rPr>
          <w:lang w:val="en-GB"/>
        </w:rPr>
        <w:t>2%)</w:t>
      </w:r>
      <w:r w:rsidR="00DA427F" w:rsidRPr="00376E45">
        <w:rPr>
          <w:lang w:val="en-GB"/>
        </w:rPr>
        <w:t>, which were higher than in the tofacitinib monotherapy group (43</w:t>
      </w:r>
      <w:r w:rsidR="007436B3" w:rsidRPr="00376E45">
        <w:rPr>
          <w:lang w:val="en-GB"/>
        </w:rPr>
        <w:t>·</w:t>
      </w:r>
      <w:r w:rsidR="00DA427F" w:rsidRPr="00376E45">
        <w:rPr>
          <w:lang w:val="en-GB"/>
        </w:rPr>
        <w:t>5%)</w:t>
      </w:r>
      <w:r w:rsidR="00732C6B" w:rsidRPr="00376E45">
        <w:rPr>
          <w:lang w:val="en-GB"/>
        </w:rPr>
        <w:t>; these were maintained at 12</w:t>
      </w:r>
      <w:r w:rsidR="00B139C0" w:rsidRPr="00376E45">
        <w:rPr>
          <w:lang w:val="en-GB"/>
        </w:rPr>
        <w:t xml:space="preserve"> months in each treatment arm (t</w:t>
      </w:r>
      <w:r w:rsidR="00732C6B" w:rsidRPr="00376E45">
        <w:rPr>
          <w:lang w:val="en-GB"/>
        </w:rPr>
        <w:t xml:space="preserve">able 2). </w:t>
      </w:r>
      <w:r w:rsidR="001C5491" w:rsidRPr="00376E45">
        <w:rPr>
          <w:lang w:val="en-GB"/>
        </w:rPr>
        <w:t>T</w:t>
      </w:r>
      <w:r w:rsidR="00732C6B" w:rsidRPr="00376E45">
        <w:rPr>
          <w:lang w:val="en-GB"/>
        </w:rPr>
        <w:t>he proportion</w:t>
      </w:r>
      <w:r w:rsidR="00E77D9A" w:rsidRPr="00376E45">
        <w:rPr>
          <w:lang w:val="en-GB"/>
        </w:rPr>
        <w:t>s</w:t>
      </w:r>
      <w:r w:rsidR="00732C6B" w:rsidRPr="00376E45">
        <w:rPr>
          <w:lang w:val="en-GB"/>
        </w:rPr>
        <w:t xml:space="preserve"> of patients achieving LDA</w:t>
      </w:r>
      <w:r w:rsidR="007039DE" w:rsidRPr="00376E45">
        <w:rPr>
          <w:lang w:val="en-GB"/>
        </w:rPr>
        <w:t xml:space="preserve"> </w:t>
      </w:r>
      <w:r w:rsidR="001C5491" w:rsidRPr="00376E45">
        <w:rPr>
          <w:lang w:val="en-GB"/>
        </w:rPr>
        <w:t>at 6 and 12 months</w:t>
      </w:r>
      <w:r w:rsidR="007039DE" w:rsidRPr="00376E45">
        <w:rPr>
          <w:lang w:val="en-GB"/>
        </w:rPr>
        <w:t xml:space="preserve"> in all treatment arms</w:t>
      </w:r>
      <w:r w:rsidR="00B139C0" w:rsidRPr="00376E45">
        <w:rPr>
          <w:lang w:val="en-GB"/>
        </w:rPr>
        <w:t>,</w:t>
      </w:r>
      <w:r w:rsidR="00732C6B" w:rsidRPr="00376E45">
        <w:rPr>
          <w:lang w:val="en-GB"/>
        </w:rPr>
        <w:t xml:space="preserve"> </w:t>
      </w:r>
      <w:r w:rsidR="001C5491" w:rsidRPr="00376E45">
        <w:rPr>
          <w:lang w:val="en-GB"/>
        </w:rPr>
        <w:t>as</w:t>
      </w:r>
      <w:r w:rsidR="00732C6B" w:rsidRPr="00376E45">
        <w:rPr>
          <w:lang w:val="en-GB"/>
        </w:rPr>
        <w:t xml:space="preserve"> indicated by CDAI</w:t>
      </w:r>
      <w:r w:rsidR="004C40CD">
        <w:rPr>
          <w:lang w:val="en-GB"/>
        </w:rPr>
        <w:t>,</w:t>
      </w:r>
      <w:r w:rsidR="00732C6B" w:rsidRPr="00376E45">
        <w:rPr>
          <w:lang w:val="en-GB"/>
        </w:rPr>
        <w:t xml:space="preserve"> </w:t>
      </w:r>
      <w:r w:rsidR="00614620" w:rsidRPr="00376E45">
        <w:rPr>
          <w:lang w:val="en-GB"/>
        </w:rPr>
        <w:t>DAS28-4(ESR)</w:t>
      </w:r>
      <w:r w:rsidR="00743BF5">
        <w:rPr>
          <w:lang w:val="en-GB"/>
        </w:rPr>
        <w:t>,</w:t>
      </w:r>
      <w:r w:rsidR="004C40CD">
        <w:rPr>
          <w:lang w:val="en-GB"/>
        </w:rPr>
        <w:t xml:space="preserve"> and </w:t>
      </w:r>
      <w:r w:rsidR="004C40CD" w:rsidRPr="004C40CD">
        <w:rPr>
          <w:lang w:val="en-GB"/>
        </w:rPr>
        <w:t>DAS28-4(</w:t>
      </w:r>
      <w:r w:rsidR="004C40CD">
        <w:rPr>
          <w:lang w:val="en-GB"/>
        </w:rPr>
        <w:t>CRP</w:t>
      </w:r>
      <w:r w:rsidR="004C40CD" w:rsidRPr="004C40CD">
        <w:rPr>
          <w:lang w:val="en-GB"/>
        </w:rPr>
        <w:t>)</w:t>
      </w:r>
      <w:r w:rsidR="00B139C0" w:rsidRPr="00376E45">
        <w:rPr>
          <w:lang w:val="en-GB"/>
        </w:rPr>
        <w:t>,</w:t>
      </w:r>
      <w:r w:rsidR="00614620" w:rsidRPr="00376E45">
        <w:rPr>
          <w:lang w:val="en-GB"/>
        </w:rPr>
        <w:t xml:space="preserve"> </w:t>
      </w:r>
      <w:r w:rsidR="00732C6B" w:rsidRPr="00376E45">
        <w:rPr>
          <w:lang w:val="en-GB"/>
        </w:rPr>
        <w:t xml:space="preserve">were </w:t>
      </w:r>
      <w:r w:rsidR="001C5491" w:rsidRPr="00376E45">
        <w:rPr>
          <w:lang w:val="en-GB"/>
        </w:rPr>
        <w:t>consistent with</w:t>
      </w:r>
      <w:r w:rsidR="00614620" w:rsidRPr="00376E45">
        <w:rPr>
          <w:lang w:val="en-GB"/>
        </w:rPr>
        <w:t xml:space="preserve"> those seen when assessing LDA as indicated by SDAI</w:t>
      </w:r>
      <w:r w:rsidR="00732C6B" w:rsidRPr="00376E45">
        <w:rPr>
          <w:lang w:val="en-GB"/>
        </w:rPr>
        <w:t xml:space="preserve">. </w:t>
      </w:r>
    </w:p>
    <w:p w14:paraId="74A84BFE" w14:textId="12584FB3" w:rsidR="00D35DE2" w:rsidRPr="00376E45" w:rsidRDefault="00772601" w:rsidP="007039DE">
      <w:pPr>
        <w:rPr>
          <w:lang w:val="en-GB"/>
        </w:rPr>
      </w:pPr>
      <w:r w:rsidRPr="00376E45">
        <w:rPr>
          <w:lang w:val="en-GB"/>
        </w:rPr>
        <w:t xml:space="preserve">The proportion of patients achieving remission at 6 months, as </w:t>
      </w:r>
      <w:r w:rsidR="00FB35EA" w:rsidRPr="00376E45">
        <w:rPr>
          <w:lang w:val="en-GB"/>
        </w:rPr>
        <w:t xml:space="preserve">assessed </w:t>
      </w:r>
      <w:r w:rsidRPr="00376E45">
        <w:rPr>
          <w:lang w:val="en-GB"/>
        </w:rPr>
        <w:t xml:space="preserve">by SDAI (≤3·3), was comparable between combination therapy groups (tofacitinib + MTX: 13·3%; adalimumab + MTX: </w:t>
      </w:r>
      <w:r w:rsidR="00D35DE2" w:rsidRPr="00376E45">
        <w:rPr>
          <w:lang w:val="en-GB"/>
        </w:rPr>
        <w:t>13·0</w:t>
      </w:r>
      <w:r w:rsidRPr="00376E45">
        <w:rPr>
          <w:lang w:val="en-GB"/>
        </w:rPr>
        <w:t>%), which were higher than in the tofacitinib monotherapy group (</w:t>
      </w:r>
      <w:r w:rsidR="00D35DE2" w:rsidRPr="00376E45">
        <w:rPr>
          <w:lang w:val="en-GB"/>
        </w:rPr>
        <w:t>9</w:t>
      </w:r>
      <w:r w:rsidRPr="00376E45">
        <w:rPr>
          <w:lang w:val="en-GB"/>
        </w:rPr>
        <w:t>·</w:t>
      </w:r>
      <w:r w:rsidR="00D35DE2" w:rsidRPr="00376E45">
        <w:rPr>
          <w:lang w:val="en-GB"/>
        </w:rPr>
        <w:t>9</w:t>
      </w:r>
      <w:r w:rsidRPr="00376E45">
        <w:rPr>
          <w:lang w:val="en-GB"/>
        </w:rPr>
        <w:t xml:space="preserve">%); these were maintained at 12 months in each treatment arm (table 2). The proportions of patients achieving </w:t>
      </w:r>
      <w:r w:rsidR="00D35DE2" w:rsidRPr="00376E45">
        <w:rPr>
          <w:lang w:val="en-GB"/>
        </w:rPr>
        <w:t>remission</w:t>
      </w:r>
      <w:r w:rsidRPr="00376E45">
        <w:rPr>
          <w:lang w:val="en-GB"/>
        </w:rPr>
        <w:t xml:space="preserve"> at 6 and 12 months in all treatment arms, as indicated by CDAI</w:t>
      </w:r>
      <w:r w:rsidR="004C40CD">
        <w:rPr>
          <w:lang w:val="en-GB"/>
        </w:rPr>
        <w:t>,</w:t>
      </w:r>
      <w:r w:rsidRPr="00376E45">
        <w:rPr>
          <w:lang w:val="en-GB"/>
        </w:rPr>
        <w:t xml:space="preserve"> DAS28-4(ESR)</w:t>
      </w:r>
      <w:r w:rsidR="004C40CD">
        <w:rPr>
          <w:lang w:val="en-GB"/>
        </w:rPr>
        <w:t xml:space="preserve">, </w:t>
      </w:r>
      <w:r w:rsidR="004C40CD" w:rsidRPr="004C40CD">
        <w:rPr>
          <w:lang w:val="en-GB"/>
        </w:rPr>
        <w:t>DAS28-4(</w:t>
      </w:r>
      <w:r w:rsidR="004C40CD">
        <w:rPr>
          <w:lang w:val="en-GB"/>
        </w:rPr>
        <w:t>CRP</w:t>
      </w:r>
      <w:r w:rsidR="004C40CD" w:rsidRPr="004C40CD">
        <w:rPr>
          <w:lang w:val="en-GB"/>
        </w:rPr>
        <w:t>)</w:t>
      </w:r>
      <w:r w:rsidR="00743BF5">
        <w:rPr>
          <w:lang w:val="en-GB"/>
        </w:rPr>
        <w:t>,</w:t>
      </w:r>
      <w:r w:rsidR="004C40CD">
        <w:rPr>
          <w:lang w:val="en-GB"/>
        </w:rPr>
        <w:t xml:space="preserve"> and ACR-EULAR Boolean remission criteria,</w:t>
      </w:r>
      <w:r w:rsidRPr="00376E45">
        <w:rPr>
          <w:lang w:val="en-GB"/>
        </w:rPr>
        <w:t xml:space="preserve"> were consistent with those seen when assessing </w:t>
      </w:r>
      <w:r w:rsidR="00D35DE2" w:rsidRPr="00376E45">
        <w:rPr>
          <w:lang w:val="en-GB"/>
        </w:rPr>
        <w:t>remission</w:t>
      </w:r>
      <w:r w:rsidRPr="00376E45">
        <w:rPr>
          <w:lang w:val="en-GB"/>
        </w:rPr>
        <w:t xml:space="preserve"> as indicated by SDAI. </w:t>
      </w:r>
      <w:r w:rsidR="004C40CD">
        <w:rPr>
          <w:lang w:val="en-GB"/>
        </w:rPr>
        <w:t xml:space="preserve">The proportion of patients achieving a HAQ-DI response </w:t>
      </w:r>
      <w:r w:rsidR="002B5482">
        <w:rPr>
          <w:lang w:val="en-GB"/>
        </w:rPr>
        <w:t xml:space="preserve">(i.e., improvement from baseline </w:t>
      </w:r>
      <w:r w:rsidR="004C40CD">
        <w:rPr>
          <w:lang w:val="en-GB"/>
        </w:rPr>
        <w:t>greater than 0</w:t>
      </w:r>
      <w:r w:rsidR="004C40CD" w:rsidRPr="004C40CD">
        <w:rPr>
          <w:lang w:val="en-GB"/>
        </w:rPr>
        <w:t>·</w:t>
      </w:r>
      <w:r w:rsidR="004C40CD">
        <w:rPr>
          <w:lang w:val="en-GB"/>
        </w:rPr>
        <w:t>22</w:t>
      </w:r>
      <w:r w:rsidR="002B5482">
        <w:rPr>
          <w:lang w:val="en-GB"/>
        </w:rPr>
        <w:t>)</w:t>
      </w:r>
      <w:r w:rsidR="004C40CD">
        <w:rPr>
          <w:lang w:val="en-GB"/>
        </w:rPr>
        <w:t xml:space="preserve"> at 6 months was comparable between treatment arms (tofacitinib monotherapy: 66</w:t>
      </w:r>
      <w:r w:rsidR="004C40CD" w:rsidRPr="004C40CD">
        <w:rPr>
          <w:lang w:val="en-GB"/>
        </w:rPr>
        <w:t>·</w:t>
      </w:r>
      <w:r w:rsidR="004C40CD">
        <w:rPr>
          <w:lang w:val="en-GB"/>
        </w:rPr>
        <w:t xml:space="preserve">2%; tofacitinib + MTX: 70.2%; adalimumab + MTX: 67.4%); these response rates were </w:t>
      </w:r>
      <w:r w:rsidR="002B5482">
        <w:rPr>
          <w:lang w:val="en-GB"/>
        </w:rPr>
        <w:t xml:space="preserve">broadly </w:t>
      </w:r>
      <w:r w:rsidR="004C40CD">
        <w:rPr>
          <w:lang w:val="en-GB"/>
        </w:rPr>
        <w:t>maintained at 12 months in each treatment arm (table 2).</w:t>
      </w:r>
    </w:p>
    <w:p w14:paraId="03C6C64B" w14:textId="6178F67D" w:rsidR="00D702AC" w:rsidRPr="00376E45" w:rsidRDefault="007039DE" w:rsidP="00144A74">
      <w:pPr>
        <w:rPr>
          <w:lang w:val="en-GB"/>
        </w:rPr>
      </w:pPr>
      <w:r w:rsidRPr="00376E45">
        <w:rPr>
          <w:lang w:val="en-GB"/>
        </w:rPr>
        <w:t>The absolute LSM changes from baseline in SDAI, CDAI</w:t>
      </w:r>
      <w:r w:rsidR="004C40CD">
        <w:rPr>
          <w:lang w:val="en-GB"/>
        </w:rPr>
        <w:t>,</w:t>
      </w:r>
      <w:r w:rsidRPr="00376E45">
        <w:rPr>
          <w:lang w:val="en-GB"/>
        </w:rPr>
        <w:t xml:space="preserve"> DAS28-ESR</w:t>
      </w:r>
      <w:r w:rsidR="00C6731F">
        <w:rPr>
          <w:lang w:val="en-GB"/>
        </w:rPr>
        <w:t>,</w:t>
      </w:r>
      <w:r w:rsidRPr="00376E45">
        <w:rPr>
          <w:lang w:val="en-GB"/>
        </w:rPr>
        <w:t xml:space="preserve"> </w:t>
      </w:r>
      <w:r w:rsidR="004C40CD">
        <w:rPr>
          <w:lang w:val="en-GB"/>
        </w:rPr>
        <w:t xml:space="preserve">and </w:t>
      </w:r>
      <w:r w:rsidR="004C40CD" w:rsidRPr="004C40CD">
        <w:rPr>
          <w:lang w:val="en-GB"/>
        </w:rPr>
        <w:t xml:space="preserve">DAS28-4(CRP) </w:t>
      </w:r>
      <w:r w:rsidRPr="00376E45">
        <w:rPr>
          <w:lang w:val="en-GB"/>
        </w:rPr>
        <w:t xml:space="preserve">at Months 6 and 12, although clinically relevant in all groups, were significantly greater in patients receiving tofacitinib + MTX or adalimumab + MTX than in those receiving tofacitinib monotherapy (figure 3A, 3B, </w:t>
      </w:r>
      <w:proofErr w:type="gramStart"/>
      <w:r w:rsidRPr="00376E45">
        <w:rPr>
          <w:lang w:val="en-GB"/>
        </w:rPr>
        <w:t>3C</w:t>
      </w:r>
      <w:proofErr w:type="gramEnd"/>
      <w:r w:rsidR="004C40CD">
        <w:rPr>
          <w:lang w:val="en-GB"/>
        </w:rPr>
        <w:t>, 3D</w:t>
      </w:r>
      <w:r w:rsidRPr="00376E45">
        <w:rPr>
          <w:lang w:val="en-GB"/>
        </w:rPr>
        <w:t xml:space="preserve">). There was no </w:t>
      </w:r>
      <w:r w:rsidR="00293CD7" w:rsidRPr="00376E45">
        <w:rPr>
          <w:lang w:val="en-GB"/>
        </w:rPr>
        <w:t xml:space="preserve">appreciable </w:t>
      </w:r>
      <w:r w:rsidRPr="00376E45">
        <w:rPr>
          <w:lang w:val="en-GB"/>
        </w:rPr>
        <w:t xml:space="preserve">difference between the treatment groups in the LSM changes from baseline in HAQ-DI, either at Month 6 or 12 (figure </w:t>
      </w:r>
      <w:r w:rsidR="004C40CD" w:rsidRPr="00376E45">
        <w:rPr>
          <w:lang w:val="en-GB"/>
        </w:rPr>
        <w:t>3</w:t>
      </w:r>
      <w:r w:rsidR="004C40CD">
        <w:rPr>
          <w:lang w:val="en-GB"/>
        </w:rPr>
        <w:t>E</w:t>
      </w:r>
      <w:r w:rsidRPr="00376E45">
        <w:rPr>
          <w:lang w:val="en-GB"/>
        </w:rPr>
        <w:t>). For all outcomes and for all study treatment arms, the LSM changes from baseline observed at Month 6 were maintained through Month 12.</w:t>
      </w:r>
    </w:p>
    <w:p w14:paraId="4662A883" w14:textId="02F3721D" w:rsidR="00896DEB" w:rsidRPr="00376E45" w:rsidRDefault="00896DEB" w:rsidP="00B51FA1">
      <w:pPr>
        <w:pStyle w:val="Heading3"/>
        <w:rPr>
          <w:lang w:val="en-GB"/>
        </w:rPr>
      </w:pPr>
      <w:r w:rsidRPr="00376E45">
        <w:rPr>
          <w:lang w:val="en-GB"/>
        </w:rPr>
        <w:t>Safety</w:t>
      </w:r>
    </w:p>
    <w:p w14:paraId="7746DC8D" w14:textId="5A4C25A5" w:rsidR="00EB05B9" w:rsidRPr="00376E45" w:rsidRDefault="0096417F" w:rsidP="00A309F2">
      <w:pPr>
        <w:rPr>
          <w:lang w:val="en-GB"/>
        </w:rPr>
      </w:pPr>
      <w:r w:rsidRPr="00376E45">
        <w:rPr>
          <w:lang w:val="en-GB"/>
        </w:rPr>
        <w:t>A</w:t>
      </w:r>
      <w:r w:rsidR="00216784" w:rsidRPr="00376E45">
        <w:rPr>
          <w:lang w:val="en-GB"/>
        </w:rPr>
        <w:t xml:space="preserve"> summary of </w:t>
      </w:r>
      <w:r w:rsidR="00EB05B9" w:rsidRPr="00376E45">
        <w:rPr>
          <w:lang w:val="en-GB"/>
        </w:rPr>
        <w:t xml:space="preserve">treatment emergent </w:t>
      </w:r>
      <w:r w:rsidRPr="00376E45">
        <w:rPr>
          <w:lang w:val="en-GB"/>
        </w:rPr>
        <w:t>A</w:t>
      </w:r>
      <w:r w:rsidR="00EB05B9" w:rsidRPr="00376E45">
        <w:rPr>
          <w:lang w:val="en-GB"/>
        </w:rPr>
        <w:t>E</w:t>
      </w:r>
      <w:r w:rsidRPr="00376E45">
        <w:rPr>
          <w:lang w:val="en-GB"/>
        </w:rPr>
        <w:t xml:space="preserve">s </w:t>
      </w:r>
      <w:r w:rsidR="00216784" w:rsidRPr="00376E45">
        <w:rPr>
          <w:lang w:val="en-GB"/>
        </w:rPr>
        <w:t>is provided</w:t>
      </w:r>
      <w:r w:rsidR="00B139C0" w:rsidRPr="00376E45">
        <w:rPr>
          <w:lang w:val="en-GB"/>
        </w:rPr>
        <w:t xml:space="preserve"> in t</w:t>
      </w:r>
      <w:r w:rsidRPr="00376E45">
        <w:rPr>
          <w:lang w:val="en-GB"/>
        </w:rPr>
        <w:t xml:space="preserve">able </w:t>
      </w:r>
      <w:r w:rsidR="009F0E22" w:rsidRPr="00376E45">
        <w:rPr>
          <w:lang w:val="en-GB"/>
        </w:rPr>
        <w:t>3</w:t>
      </w:r>
      <w:r w:rsidRPr="00376E45">
        <w:rPr>
          <w:lang w:val="en-GB"/>
        </w:rPr>
        <w:t>.</w:t>
      </w:r>
      <w:r w:rsidR="00903E47" w:rsidRPr="00376E45">
        <w:rPr>
          <w:lang w:val="en-GB"/>
        </w:rPr>
        <w:t xml:space="preserve"> Overall, 7·5% of patients discontinued treatment due to AEs; rates were similar between treatment arms. Although more patients developed an SAE in either tofacitinib group, discontinuations due to AEs were higher in the adalimumab + MTX group (9·</w:t>
      </w:r>
      <w:r w:rsidR="00154747" w:rsidRPr="00376E45">
        <w:rPr>
          <w:lang w:val="en-GB"/>
        </w:rPr>
        <w:t>3</w:t>
      </w:r>
      <w:r w:rsidR="00903E47" w:rsidRPr="00376E45">
        <w:rPr>
          <w:lang w:val="en-GB"/>
        </w:rPr>
        <w:t>%) than in the tofacitinib monotherapy group (6·0%) or the tofacitinib + MTX group (6·9%) (</w:t>
      </w:r>
      <w:proofErr w:type="gramStart"/>
      <w:r w:rsidR="00903E47" w:rsidRPr="00376E45">
        <w:rPr>
          <w:lang w:val="en-GB"/>
        </w:rPr>
        <w:t>table</w:t>
      </w:r>
      <w:proofErr w:type="gramEnd"/>
      <w:r w:rsidR="00903E47" w:rsidRPr="00376E45">
        <w:rPr>
          <w:lang w:val="en-GB"/>
        </w:rPr>
        <w:t xml:space="preserve"> 3). </w:t>
      </w:r>
      <w:r w:rsidR="00102F00" w:rsidRPr="00376E45">
        <w:rPr>
          <w:lang w:val="en-GB"/>
        </w:rPr>
        <w:t xml:space="preserve">In this </w:t>
      </w:r>
      <w:r w:rsidR="005A6BA9" w:rsidRPr="00376E45">
        <w:rPr>
          <w:lang w:val="en-GB"/>
        </w:rPr>
        <w:t xml:space="preserve">limited sample </w:t>
      </w:r>
      <w:r w:rsidR="00102F00" w:rsidRPr="00376E45">
        <w:rPr>
          <w:lang w:val="en-GB"/>
        </w:rPr>
        <w:t xml:space="preserve">of patients </w:t>
      </w:r>
      <w:r w:rsidR="005A6BA9" w:rsidRPr="00376E45">
        <w:rPr>
          <w:lang w:val="en-GB"/>
        </w:rPr>
        <w:t xml:space="preserve">monitored </w:t>
      </w:r>
      <w:r w:rsidR="00102F00" w:rsidRPr="00376E45">
        <w:rPr>
          <w:lang w:val="en-GB"/>
        </w:rPr>
        <w:t>over one year, no</w:t>
      </w:r>
      <w:r w:rsidR="00903E47" w:rsidRPr="00376E45">
        <w:rPr>
          <w:lang w:val="en-GB"/>
        </w:rPr>
        <w:t xml:space="preserve"> new or unexpected safety issues were observed in any treatment arm. A full list of AEs responsible for discontinuation is provided as supplementary material. </w:t>
      </w:r>
      <w:r w:rsidR="00293CD7" w:rsidRPr="00376E45">
        <w:rPr>
          <w:lang w:val="en-GB"/>
        </w:rPr>
        <w:t xml:space="preserve">Most AEs were mild-to-moderate, </w:t>
      </w:r>
      <w:r w:rsidR="00571518" w:rsidRPr="00376E45">
        <w:rPr>
          <w:lang w:val="en-GB"/>
        </w:rPr>
        <w:t>and</w:t>
      </w:r>
      <w:r w:rsidR="00293CD7" w:rsidRPr="00376E45">
        <w:rPr>
          <w:lang w:val="en-GB"/>
        </w:rPr>
        <w:t xml:space="preserve"> t</w:t>
      </w:r>
      <w:r w:rsidR="0096382A" w:rsidRPr="00376E45">
        <w:rPr>
          <w:lang w:val="en-GB"/>
        </w:rPr>
        <w:t xml:space="preserve">he most common </w:t>
      </w:r>
      <w:r w:rsidR="00293CD7" w:rsidRPr="00376E45">
        <w:rPr>
          <w:lang w:val="en-GB"/>
        </w:rPr>
        <w:t>(occurring in &gt;</w:t>
      </w:r>
      <w:r w:rsidR="00571518" w:rsidRPr="00376E45">
        <w:rPr>
          <w:lang w:val="en-GB"/>
        </w:rPr>
        <w:t>3</w:t>
      </w:r>
      <w:r w:rsidR="003808EF" w:rsidRPr="00376E45">
        <w:rPr>
          <w:lang w:val="en-GB"/>
        </w:rPr>
        <w:t>·</w:t>
      </w:r>
      <w:r w:rsidR="00571518" w:rsidRPr="00376E45">
        <w:rPr>
          <w:lang w:val="en-GB"/>
        </w:rPr>
        <w:t>5</w:t>
      </w:r>
      <w:r w:rsidR="00293CD7" w:rsidRPr="00376E45">
        <w:rPr>
          <w:lang w:val="en-GB"/>
        </w:rPr>
        <w:t xml:space="preserve">% of patients </w:t>
      </w:r>
      <w:r w:rsidR="00571518" w:rsidRPr="00376E45">
        <w:rPr>
          <w:lang w:val="en-GB"/>
        </w:rPr>
        <w:t>overall</w:t>
      </w:r>
      <w:r w:rsidR="00293CD7" w:rsidRPr="00376E45">
        <w:rPr>
          <w:lang w:val="en-GB"/>
        </w:rPr>
        <w:t xml:space="preserve">) </w:t>
      </w:r>
      <w:r w:rsidR="00394B89" w:rsidRPr="00376E45">
        <w:rPr>
          <w:lang w:val="en-GB"/>
        </w:rPr>
        <w:t xml:space="preserve">investigator-reported </w:t>
      </w:r>
      <w:r w:rsidR="0096382A" w:rsidRPr="00376E45">
        <w:rPr>
          <w:lang w:val="en-GB"/>
        </w:rPr>
        <w:t xml:space="preserve">AEs occurring </w:t>
      </w:r>
      <w:r w:rsidR="005F4F75" w:rsidRPr="00376E45">
        <w:rPr>
          <w:lang w:val="en-GB"/>
        </w:rPr>
        <w:t>overall across all treatment arms</w:t>
      </w:r>
      <w:r w:rsidR="0096382A" w:rsidRPr="00376E45">
        <w:rPr>
          <w:lang w:val="en-GB"/>
        </w:rPr>
        <w:t xml:space="preserve"> were </w:t>
      </w:r>
      <w:r w:rsidR="003067CB" w:rsidRPr="00376E45">
        <w:rPr>
          <w:lang w:val="en-GB"/>
        </w:rPr>
        <w:t>upper respiratory tract infections (</w:t>
      </w:r>
      <w:r w:rsidR="00F5658E" w:rsidRPr="00376E45">
        <w:rPr>
          <w:lang w:val="en-GB"/>
        </w:rPr>
        <w:t>6</w:t>
      </w:r>
      <w:r w:rsidR="007436B3" w:rsidRPr="00376E45">
        <w:rPr>
          <w:lang w:val="en-GB"/>
        </w:rPr>
        <w:t>·</w:t>
      </w:r>
      <w:r w:rsidR="00F5658E" w:rsidRPr="00376E45">
        <w:rPr>
          <w:lang w:val="en-GB"/>
        </w:rPr>
        <w:t>5%, 9</w:t>
      </w:r>
      <w:r w:rsidR="007436B3" w:rsidRPr="00376E45">
        <w:rPr>
          <w:lang w:val="en-GB"/>
        </w:rPr>
        <w:t>·</w:t>
      </w:r>
      <w:r w:rsidR="00F5658E" w:rsidRPr="00376E45">
        <w:rPr>
          <w:lang w:val="en-GB"/>
        </w:rPr>
        <w:t>8%</w:t>
      </w:r>
      <w:r w:rsidR="00B139C0" w:rsidRPr="00376E45">
        <w:rPr>
          <w:lang w:val="en-GB"/>
        </w:rPr>
        <w:t>,</w:t>
      </w:r>
      <w:r w:rsidR="00F5658E" w:rsidRPr="00376E45">
        <w:rPr>
          <w:lang w:val="en-GB"/>
        </w:rPr>
        <w:t xml:space="preserve"> and 7</w:t>
      </w:r>
      <w:r w:rsidR="007436B3" w:rsidRPr="00376E45">
        <w:rPr>
          <w:lang w:val="en-GB"/>
        </w:rPr>
        <w:t>·</w:t>
      </w:r>
      <w:r w:rsidR="00F5658E" w:rsidRPr="00376E45">
        <w:rPr>
          <w:lang w:val="en-GB"/>
        </w:rPr>
        <w:t>5%</w:t>
      </w:r>
      <w:r w:rsidR="003067CB" w:rsidRPr="00376E45">
        <w:rPr>
          <w:lang w:val="en-GB"/>
        </w:rPr>
        <w:t xml:space="preserve"> of patients</w:t>
      </w:r>
      <w:r w:rsidR="005F4F75" w:rsidRPr="00376E45">
        <w:rPr>
          <w:lang w:val="en-GB"/>
        </w:rPr>
        <w:t xml:space="preserve"> in the tofacitinib monotherapy, tofacitinib + MTX, and adalimumab + MTX groups</w:t>
      </w:r>
      <w:r w:rsidR="00F5658E" w:rsidRPr="00376E45">
        <w:rPr>
          <w:lang w:val="en-GB"/>
        </w:rPr>
        <w:t>, respectively</w:t>
      </w:r>
      <w:r w:rsidR="003067CB" w:rsidRPr="00376E45">
        <w:rPr>
          <w:lang w:val="en-GB"/>
        </w:rPr>
        <w:t>),</w:t>
      </w:r>
      <w:r w:rsidR="0096382A" w:rsidRPr="00376E45">
        <w:rPr>
          <w:lang w:val="en-GB"/>
        </w:rPr>
        <w:t xml:space="preserve"> </w:t>
      </w:r>
      <w:r w:rsidR="005F4F75" w:rsidRPr="00376E45">
        <w:rPr>
          <w:lang w:val="en-GB"/>
        </w:rPr>
        <w:t xml:space="preserve">alanine aminotransferase (ALT) </w:t>
      </w:r>
      <w:r w:rsidR="004C7CDE" w:rsidRPr="00376E45">
        <w:rPr>
          <w:lang w:val="en-GB"/>
        </w:rPr>
        <w:t xml:space="preserve">elevation </w:t>
      </w:r>
      <w:r w:rsidR="005F4F75" w:rsidRPr="00376E45">
        <w:rPr>
          <w:lang w:val="en-GB"/>
        </w:rPr>
        <w:t xml:space="preserve">(2.1%, 6.1% and 6.7%, respectively), </w:t>
      </w:r>
      <w:proofErr w:type="spellStart"/>
      <w:r w:rsidR="003067CB" w:rsidRPr="00376E45">
        <w:rPr>
          <w:lang w:val="en-GB"/>
        </w:rPr>
        <w:t>nasopharyngitis</w:t>
      </w:r>
      <w:proofErr w:type="spellEnd"/>
      <w:r w:rsidR="00F5658E" w:rsidRPr="00376E45">
        <w:rPr>
          <w:lang w:val="en-GB"/>
        </w:rPr>
        <w:t xml:space="preserve"> (5</w:t>
      </w:r>
      <w:r w:rsidR="007436B3" w:rsidRPr="00376E45">
        <w:rPr>
          <w:lang w:val="en-GB"/>
        </w:rPr>
        <w:t>·</w:t>
      </w:r>
      <w:r w:rsidR="00F5658E" w:rsidRPr="00376E45">
        <w:rPr>
          <w:lang w:val="en-GB"/>
        </w:rPr>
        <w:t>7%, 4</w:t>
      </w:r>
      <w:r w:rsidR="007436B3" w:rsidRPr="00376E45">
        <w:rPr>
          <w:lang w:val="en-GB"/>
        </w:rPr>
        <w:t>·</w:t>
      </w:r>
      <w:r w:rsidR="00F5658E" w:rsidRPr="00376E45">
        <w:rPr>
          <w:lang w:val="en-GB"/>
        </w:rPr>
        <w:t>3%</w:t>
      </w:r>
      <w:r w:rsidR="00B139C0" w:rsidRPr="00376E45">
        <w:rPr>
          <w:lang w:val="en-GB"/>
        </w:rPr>
        <w:t>,</w:t>
      </w:r>
      <w:r w:rsidR="00F5658E" w:rsidRPr="00376E45">
        <w:rPr>
          <w:lang w:val="en-GB"/>
        </w:rPr>
        <w:t xml:space="preserve"> and 4</w:t>
      </w:r>
      <w:r w:rsidR="007436B3" w:rsidRPr="00376E45">
        <w:rPr>
          <w:lang w:val="en-GB"/>
        </w:rPr>
        <w:t>·</w:t>
      </w:r>
      <w:r w:rsidR="00F5658E" w:rsidRPr="00376E45">
        <w:rPr>
          <w:lang w:val="en-GB"/>
        </w:rPr>
        <w:t>7%, respectively</w:t>
      </w:r>
      <w:r w:rsidR="003067CB" w:rsidRPr="00376E45">
        <w:rPr>
          <w:lang w:val="en-GB"/>
        </w:rPr>
        <w:t>), urinary tract infections (</w:t>
      </w:r>
      <w:r w:rsidR="00F5658E" w:rsidRPr="00376E45">
        <w:rPr>
          <w:lang w:val="en-GB"/>
        </w:rPr>
        <w:t>2</w:t>
      </w:r>
      <w:r w:rsidR="007436B3" w:rsidRPr="00376E45">
        <w:rPr>
          <w:lang w:val="en-GB"/>
        </w:rPr>
        <w:t>·</w:t>
      </w:r>
      <w:r w:rsidR="00F5658E" w:rsidRPr="00376E45">
        <w:rPr>
          <w:lang w:val="en-GB"/>
        </w:rPr>
        <w:t xml:space="preserve">9%, </w:t>
      </w:r>
      <w:r w:rsidR="005419DB" w:rsidRPr="00376E45">
        <w:rPr>
          <w:lang w:val="en-GB"/>
        </w:rPr>
        <w:t>4</w:t>
      </w:r>
      <w:r w:rsidR="007436B3" w:rsidRPr="00376E45">
        <w:rPr>
          <w:lang w:val="en-GB"/>
        </w:rPr>
        <w:t>·</w:t>
      </w:r>
      <w:r w:rsidR="005419DB" w:rsidRPr="00376E45">
        <w:rPr>
          <w:lang w:val="en-GB"/>
        </w:rPr>
        <w:t>0</w:t>
      </w:r>
      <w:r w:rsidR="00F5658E" w:rsidRPr="00376E45">
        <w:rPr>
          <w:lang w:val="en-GB"/>
        </w:rPr>
        <w:t>%</w:t>
      </w:r>
      <w:r w:rsidR="00B139C0" w:rsidRPr="00376E45">
        <w:rPr>
          <w:lang w:val="en-GB"/>
        </w:rPr>
        <w:t>,</w:t>
      </w:r>
      <w:r w:rsidR="00F5658E" w:rsidRPr="00376E45">
        <w:rPr>
          <w:lang w:val="en-GB"/>
        </w:rPr>
        <w:t xml:space="preserve"> and 4</w:t>
      </w:r>
      <w:r w:rsidR="007436B3" w:rsidRPr="00376E45">
        <w:rPr>
          <w:lang w:val="en-GB"/>
        </w:rPr>
        <w:t>·</w:t>
      </w:r>
      <w:r w:rsidR="00F5658E" w:rsidRPr="00376E45">
        <w:rPr>
          <w:lang w:val="en-GB"/>
        </w:rPr>
        <w:t>1%, respectively)</w:t>
      </w:r>
      <w:r w:rsidR="00445196" w:rsidRPr="00376E45">
        <w:rPr>
          <w:lang w:val="en-GB"/>
        </w:rPr>
        <w:t>,</w:t>
      </w:r>
      <w:r w:rsidR="00F5658E" w:rsidRPr="00376E45">
        <w:rPr>
          <w:lang w:val="en-GB"/>
        </w:rPr>
        <w:t xml:space="preserve"> and nausea (2</w:t>
      </w:r>
      <w:r w:rsidR="007436B3" w:rsidRPr="00376E45">
        <w:rPr>
          <w:lang w:val="en-GB"/>
        </w:rPr>
        <w:t>·</w:t>
      </w:r>
      <w:r w:rsidR="00F5658E" w:rsidRPr="00376E45">
        <w:rPr>
          <w:lang w:val="en-GB"/>
        </w:rPr>
        <w:t>9%, 3</w:t>
      </w:r>
      <w:r w:rsidR="007436B3" w:rsidRPr="00376E45">
        <w:rPr>
          <w:lang w:val="en-GB"/>
        </w:rPr>
        <w:t>·</w:t>
      </w:r>
      <w:r w:rsidR="00F5658E" w:rsidRPr="00376E45">
        <w:rPr>
          <w:lang w:val="en-GB"/>
        </w:rPr>
        <w:t>5%</w:t>
      </w:r>
      <w:r w:rsidR="00B139C0" w:rsidRPr="00376E45">
        <w:rPr>
          <w:lang w:val="en-GB"/>
        </w:rPr>
        <w:t>,</w:t>
      </w:r>
      <w:r w:rsidR="00F5658E" w:rsidRPr="00376E45">
        <w:rPr>
          <w:lang w:val="en-GB"/>
        </w:rPr>
        <w:t xml:space="preserve"> and 4</w:t>
      </w:r>
      <w:r w:rsidR="007436B3" w:rsidRPr="00376E45">
        <w:rPr>
          <w:lang w:val="en-GB"/>
        </w:rPr>
        <w:t>·</w:t>
      </w:r>
      <w:r w:rsidR="00F5658E" w:rsidRPr="00376E45">
        <w:rPr>
          <w:lang w:val="en-GB"/>
        </w:rPr>
        <w:t>1%, respectively</w:t>
      </w:r>
      <w:r w:rsidR="003067CB" w:rsidRPr="00376E45">
        <w:rPr>
          <w:lang w:val="en-GB"/>
        </w:rPr>
        <w:t xml:space="preserve">). </w:t>
      </w:r>
      <w:r w:rsidR="00214B49" w:rsidRPr="00376E45">
        <w:rPr>
          <w:lang w:val="en-GB"/>
        </w:rPr>
        <w:t xml:space="preserve">Herpes zoster was documented in </w:t>
      </w:r>
      <w:r w:rsidR="00DE20F0" w:rsidRPr="00376E45">
        <w:rPr>
          <w:lang w:val="en-GB"/>
        </w:rPr>
        <w:t>1</w:t>
      </w:r>
      <w:r w:rsidR="005A6BA9" w:rsidRPr="00376E45">
        <w:rPr>
          <w:lang w:val="en-GB"/>
        </w:rPr>
        <w:t>8</w:t>
      </w:r>
      <w:r w:rsidR="00DE20F0" w:rsidRPr="00376E45">
        <w:rPr>
          <w:lang w:val="en-GB"/>
        </w:rPr>
        <w:t xml:space="preserve"> patients (</w:t>
      </w:r>
      <w:r w:rsidR="00214B49" w:rsidRPr="00376E45">
        <w:rPr>
          <w:lang w:val="en-GB"/>
        </w:rPr>
        <w:t>1</w:t>
      </w:r>
      <w:r w:rsidR="00394B89" w:rsidRPr="00376E45">
        <w:rPr>
          <w:lang w:val="en-GB"/>
        </w:rPr>
        <w:t>·6</w:t>
      </w:r>
      <w:r w:rsidR="00214B49" w:rsidRPr="00376E45">
        <w:rPr>
          <w:lang w:val="en-GB"/>
        </w:rPr>
        <w:t>%</w:t>
      </w:r>
      <w:r w:rsidR="00DE20F0" w:rsidRPr="00376E45">
        <w:rPr>
          <w:lang w:val="en-GB"/>
        </w:rPr>
        <w:t>)</w:t>
      </w:r>
      <w:r w:rsidR="00214B49" w:rsidRPr="00376E45">
        <w:rPr>
          <w:lang w:val="en-GB"/>
        </w:rPr>
        <w:t xml:space="preserve"> overall</w:t>
      </w:r>
      <w:r w:rsidR="00DE20F0" w:rsidRPr="00376E45">
        <w:rPr>
          <w:lang w:val="en-GB"/>
        </w:rPr>
        <w:t>; 4 (1</w:t>
      </w:r>
      <w:r w:rsidR="00CC10D8" w:rsidRPr="00CC10D8">
        <w:rPr>
          <w:lang w:val="en-GB"/>
        </w:rPr>
        <w:t>·</w:t>
      </w:r>
      <w:r w:rsidR="00CC10D8">
        <w:rPr>
          <w:lang w:val="en-GB"/>
        </w:rPr>
        <w:t>0</w:t>
      </w:r>
      <w:r w:rsidR="00DE20F0" w:rsidRPr="00376E45">
        <w:rPr>
          <w:lang w:val="en-GB"/>
        </w:rPr>
        <w:t>%), 8</w:t>
      </w:r>
      <w:r w:rsidR="005A6BA9" w:rsidRPr="00376E45">
        <w:rPr>
          <w:lang w:val="en-GB"/>
        </w:rPr>
        <w:t> </w:t>
      </w:r>
      <w:r w:rsidR="00DE20F0" w:rsidRPr="00376E45">
        <w:rPr>
          <w:lang w:val="en-GB"/>
        </w:rPr>
        <w:t>(2</w:t>
      </w:r>
      <w:r w:rsidR="00CC10D8" w:rsidRPr="00CC10D8">
        <w:rPr>
          <w:lang w:val="en-GB"/>
        </w:rPr>
        <w:t>·</w:t>
      </w:r>
      <w:r w:rsidR="00DE20F0" w:rsidRPr="00376E45">
        <w:rPr>
          <w:lang w:val="en-GB"/>
        </w:rPr>
        <w:t>1%)</w:t>
      </w:r>
      <w:r w:rsidR="00291506">
        <w:rPr>
          <w:lang w:val="en-GB"/>
        </w:rPr>
        <w:t>,</w:t>
      </w:r>
      <w:r w:rsidR="00DE20F0" w:rsidRPr="00376E45">
        <w:rPr>
          <w:lang w:val="en-GB"/>
        </w:rPr>
        <w:t xml:space="preserve"> and 6 (1</w:t>
      </w:r>
      <w:r w:rsidR="00CC10D8" w:rsidRPr="00CC10D8">
        <w:rPr>
          <w:lang w:val="en-GB"/>
        </w:rPr>
        <w:t>·</w:t>
      </w:r>
      <w:r w:rsidR="00DE20F0" w:rsidRPr="00376E45">
        <w:rPr>
          <w:lang w:val="en-GB"/>
        </w:rPr>
        <w:t>6%) in the tofacitinib monotherapy, tofacitinib + MTX</w:t>
      </w:r>
      <w:r w:rsidR="00291506">
        <w:rPr>
          <w:lang w:val="en-GB"/>
        </w:rPr>
        <w:t>,</w:t>
      </w:r>
      <w:r w:rsidR="00DE20F0" w:rsidRPr="00376E45">
        <w:rPr>
          <w:lang w:val="en-GB"/>
        </w:rPr>
        <w:t xml:space="preserve"> and adalimumab + MTX groups, respectively. </w:t>
      </w:r>
      <w:r w:rsidR="00293CD7" w:rsidRPr="00376E45">
        <w:rPr>
          <w:lang w:val="en-GB"/>
        </w:rPr>
        <w:t xml:space="preserve">Of the 216 patients who received herpes zoster vaccination, </w:t>
      </w:r>
      <w:r w:rsidR="00571518" w:rsidRPr="00376E45">
        <w:rPr>
          <w:lang w:val="en-GB"/>
        </w:rPr>
        <w:t>thre</w:t>
      </w:r>
      <w:r w:rsidR="00FB397E" w:rsidRPr="00376E45">
        <w:rPr>
          <w:lang w:val="en-GB"/>
        </w:rPr>
        <w:t>e</w:t>
      </w:r>
      <w:r w:rsidR="00571518" w:rsidRPr="00376E45">
        <w:rPr>
          <w:lang w:val="en-GB"/>
        </w:rPr>
        <w:t xml:space="preserve"> patients (</w:t>
      </w:r>
      <w:r w:rsidR="0098515B" w:rsidRPr="00376E45">
        <w:rPr>
          <w:lang w:val="en-GB"/>
        </w:rPr>
        <w:t>1·</w:t>
      </w:r>
      <w:r w:rsidR="00394B89" w:rsidRPr="00376E45">
        <w:rPr>
          <w:lang w:val="en-GB"/>
        </w:rPr>
        <w:t>4</w:t>
      </w:r>
      <w:r w:rsidR="00293CD7" w:rsidRPr="00376E45">
        <w:rPr>
          <w:lang w:val="en-GB"/>
        </w:rPr>
        <w:t>%</w:t>
      </w:r>
      <w:r w:rsidR="00571518" w:rsidRPr="00376E45">
        <w:rPr>
          <w:lang w:val="en-GB"/>
        </w:rPr>
        <w:t>)</w:t>
      </w:r>
      <w:r w:rsidR="0098515B" w:rsidRPr="00376E45">
        <w:rPr>
          <w:lang w:val="en-GB"/>
        </w:rPr>
        <w:t xml:space="preserve"> developed mild cases of herpes zoster. Of the 930 patients who did not receive vaccination, </w:t>
      </w:r>
      <w:r w:rsidR="007F67EB" w:rsidRPr="00376E45">
        <w:rPr>
          <w:lang w:val="en-GB"/>
        </w:rPr>
        <w:t>fifteen patients (</w:t>
      </w:r>
      <w:r w:rsidR="0098515B" w:rsidRPr="00376E45">
        <w:rPr>
          <w:lang w:val="en-GB"/>
        </w:rPr>
        <w:t>1</w:t>
      </w:r>
      <w:r w:rsidR="00394B89" w:rsidRPr="00376E45">
        <w:rPr>
          <w:lang w:val="en-GB"/>
        </w:rPr>
        <w:t>·</w:t>
      </w:r>
      <w:r w:rsidR="0098515B" w:rsidRPr="00376E45">
        <w:rPr>
          <w:lang w:val="en-GB"/>
        </w:rPr>
        <w:t>6%</w:t>
      </w:r>
      <w:r w:rsidR="007F67EB" w:rsidRPr="00376E45">
        <w:rPr>
          <w:lang w:val="en-GB"/>
        </w:rPr>
        <w:t>)</w:t>
      </w:r>
      <w:r w:rsidR="003270D2" w:rsidRPr="00376E45">
        <w:rPr>
          <w:lang w:val="en-GB"/>
        </w:rPr>
        <w:t xml:space="preserve"> </w:t>
      </w:r>
      <w:r w:rsidR="0098515B" w:rsidRPr="00376E45">
        <w:rPr>
          <w:lang w:val="en-GB"/>
        </w:rPr>
        <w:t>developed herpes zoster. Four</w:t>
      </w:r>
      <w:r w:rsidR="00214B49" w:rsidRPr="00376E45">
        <w:rPr>
          <w:lang w:val="en-GB"/>
        </w:rPr>
        <w:t xml:space="preserve"> </w:t>
      </w:r>
      <w:proofErr w:type="spellStart"/>
      <w:r w:rsidR="00214B49" w:rsidRPr="00376E45">
        <w:rPr>
          <w:lang w:val="en-GB"/>
        </w:rPr>
        <w:t>multidermatomal</w:t>
      </w:r>
      <w:proofErr w:type="spellEnd"/>
      <w:r w:rsidR="00214B49" w:rsidRPr="00376E45">
        <w:rPr>
          <w:lang w:val="en-GB"/>
        </w:rPr>
        <w:t xml:space="preserve"> cases were reported (two in the tofacitinib monotherapy group and one each in the tofacitinib + MTX, and adalimumab + MTX groups). </w:t>
      </w:r>
      <w:r w:rsidR="008244A1" w:rsidRPr="00376E45">
        <w:rPr>
          <w:lang w:val="en-GB"/>
        </w:rPr>
        <w:t xml:space="preserve">There was </w:t>
      </w:r>
      <w:r w:rsidR="005419DB" w:rsidRPr="00376E45">
        <w:rPr>
          <w:lang w:val="en-GB"/>
        </w:rPr>
        <w:t>one</w:t>
      </w:r>
      <w:r w:rsidR="00AC5B26" w:rsidRPr="00376E45">
        <w:rPr>
          <w:lang w:val="en-GB"/>
        </w:rPr>
        <w:t xml:space="preserve"> </w:t>
      </w:r>
      <w:r w:rsidR="005419DB" w:rsidRPr="00376E45">
        <w:rPr>
          <w:lang w:val="en-GB"/>
        </w:rPr>
        <w:t>serious</w:t>
      </w:r>
      <w:r w:rsidR="00AC5B26" w:rsidRPr="00376E45">
        <w:rPr>
          <w:lang w:val="en-GB"/>
        </w:rPr>
        <w:t xml:space="preserve"> </w:t>
      </w:r>
      <w:r w:rsidR="00CE062C" w:rsidRPr="00376E45">
        <w:rPr>
          <w:lang w:val="en-GB"/>
        </w:rPr>
        <w:t>varicella</w:t>
      </w:r>
      <w:r w:rsidR="00AC5B26" w:rsidRPr="00376E45">
        <w:rPr>
          <w:lang w:val="en-GB"/>
        </w:rPr>
        <w:t xml:space="preserve"> zoster event</w:t>
      </w:r>
      <w:r w:rsidR="005419DB" w:rsidRPr="00376E45">
        <w:rPr>
          <w:lang w:val="en-GB"/>
        </w:rPr>
        <w:t xml:space="preserve"> in the </w:t>
      </w:r>
      <w:r w:rsidR="004A1C60" w:rsidRPr="00376E45">
        <w:rPr>
          <w:lang w:val="en-GB"/>
        </w:rPr>
        <w:t xml:space="preserve">tofacitinib monotherapy group and one </w:t>
      </w:r>
      <w:r w:rsidR="00CE062C" w:rsidRPr="00376E45">
        <w:rPr>
          <w:lang w:val="en-GB"/>
        </w:rPr>
        <w:t xml:space="preserve">serious herpes zoster event </w:t>
      </w:r>
      <w:r w:rsidR="004A1C60" w:rsidRPr="00376E45">
        <w:rPr>
          <w:lang w:val="en-GB"/>
        </w:rPr>
        <w:t>in</w:t>
      </w:r>
      <w:r w:rsidR="00CE062C" w:rsidRPr="00376E45">
        <w:rPr>
          <w:lang w:val="en-GB"/>
        </w:rPr>
        <w:t xml:space="preserve"> each of</w:t>
      </w:r>
      <w:r w:rsidR="004A1C60" w:rsidRPr="00376E45">
        <w:rPr>
          <w:lang w:val="en-GB"/>
        </w:rPr>
        <w:t xml:space="preserve"> the </w:t>
      </w:r>
      <w:r w:rsidR="005419DB" w:rsidRPr="00376E45">
        <w:rPr>
          <w:lang w:val="en-GB"/>
        </w:rPr>
        <w:t>tofacitinib + MTX group</w:t>
      </w:r>
      <w:r w:rsidR="00CE062C" w:rsidRPr="00376E45">
        <w:rPr>
          <w:lang w:val="en-GB"/>
        </w:rPr>
        <w:t xml:space="preserve"> and adalimumab + MTX groups</w:t>
      </w:r>
      <w:r w:rsidR="005419DB" w:rsidRPr="00376E45">
        <w:rPr>
          <w:lang w:val="en-GB"/>
        </w:rPr>
        <w:t>.</w:t>
      </w:r>
      <w:r w:rsidR="009A288C" w:rsidRPr="00376E45">
        <w:rPr>
          <w:lang w:val="en-GB"/>
        </w:rPr>
        <w:t xml:space="preserve"> </w:t>
      </w:r>
      <w:r w:rsidR="00A538C8">
        <w:rPr>
          <w:lang w:val="en-GB"/>
        </w:rPr>
        <w:t xml:space="preserve">Two cases of tuberculosis were seen, both in the tofacitinib + MTX group. </w:t>
      </w:r>
      <w:r w:rsidR="002666CC">
        <w:rPr>
          <w:lang w:val="en-GB"/>
        </w:rPr>
        <w:t>One</w:t>
      </w:r>
      <w:r w:rsidR="007767E0">
        <w:rPr>
          <w:lang w:val="en-GB"/>
        </w:rPr>
        <w:t xml:space="preserve"> </w:t>
      </w:r>
      <w:r w:rsidR="00303084">
        <w:rPr>
          <w:lang w:val="en-GB"/>
        </w:rPr>
        <w:t>white</w:t>
      </w:r>
      <w:r w:rsidR="002666CC">
        <w:rPr>
          <w:lang w:val="en-GB"/>
        </w:rPr>
        <w:t xml:space="preserve"> </w:t>
      </w:r>
      <w:r w:rsidR="007767E0">
        <w:rPr>
          <w:lang w:val="en-GB"/>
        </w:rPr>
        <w:t xml:space="preserve">female </w:t>
      </w:r>
      <w:r w:rsidR="002666CC">
        <w:rPr>
          <w:lang w:val="en-GB"/>
        </w:rPr>
        <w:t>patient from Mexico aged 3</w:t>
      </w:r>
      <w:r w:rsidR="007767E0">
        <w:rPr>
          <w:lang w:val="en-GB"/>
        </w:rPr>
        <w:t>2</w:t>
      </w:r>
      <w:r w:rsidR="002666CC">
        <w:rPr>
          <w:lang w:val="en-GB"/>
        </w:rPr>
        <w:t xml:space="preserve"> years </w:t>
      </w:r>
      <w:r w:rsidR="007767E0">
        <w:rPr>
          <w:lang w:val="en-GB"/>
        </w:rPr>
        <w:t xml:space="preserve">(with a negative </w:t>
      </w:r>
      <w:proofErr w:type="spellStart"/>
      <w:r w:rsidR="007767E0" w:rsidRPr="007767E0">
        <w:rPr>
          <w:lang w:val="en-GB"/>
        </w:rPr>
        <w:t>QuantiFERON</w:t>
      </w:r>
      <w:proofErr w:type="spellEnd"/>
      <w:r w:rsidR="007767E0" w:rsidRPr="007767E0">
        <w:rPr>
          <w:lang w:val="en-GB"/>
        </w:rPr>
        <w:t>-TB Gold</w:t>
      </w:r>
      <w:r w:rsidR="007767E0">
        <w:rPr>
          <w:lang w:val="en-GB"/>
        </w:rPr>
        <w:t xml:space="preserve"> ® test at screening) </w:t>
      </w:r>
      <w:r w:rsidR="002666CC">
        <w:rPr>
          <w:lang w:val="en-GB"/>
        </w:rPr>
        <w:t xml:space="preserve">experienced headaches and nausea on Day </w:t>
      </w:r>
      <w:r w:rsidR="007767E0">
        <w:rPr>
          <w:lang w:val="en-GB"/>
        </w:rPr>
        <w:t>117</w:t>
      </w:r>
      <w:r w:rsidR="002666CC">
        <w:rPr>
          <w:lang w:val="en-GB"/>
        </w:rPr>
        <w:t xml:space="preserve">, after which the study drug was permanently withdrawn. A lumber puncture on Day </w:t>
      </w:r>
      <w:r w:rsidR="007767E0">
        <w:rPr>
          <w:lang w:val="en-GB"/>
        </w:rPr>
        <w:t>122</w:t>
      </w:r>
      <w:r w:rsidR="002666CC">
        <w:rPr>
          <w:lang w:val="en-GB"/>
        </w:rPr>
        <w:t xml:space="preserve"> indicated probable bacterial infection</w:t>
      </w:r>
      <w:r w:rsidR="003F60B9">
        <w:rPr>
          <w:lang w:val="en-GB"/>
        </w:rPr>
        <w:t xml:space="preserve">, and </w:t>
      </w:r>
      <w:r w:rsidR="00826EC4">
        <w:rPr>
          <w:lang w:val="en-GB"/>
        </w:rPr>
        <w:t>meningitis</w:t>
      </w:r>
      <w:r w:rsidR="002666CC">
        <w:rPr>
          <w:lang w:val="en-GB"/>
        </w:rPr>
        <w:t xml:space="preserve"> </w:t>
      </w:r>
      <w:r w:rsidR="007767E0">
        <w:rPr>
          <w:lang w:val="en-GB"/>
        </w:rPr>
        <w:t xml:space="preserve">tuberculosis </w:t>
      </w:r>
      <w:r w:rsidR="00826EC4">
        <w:rPr>
          <w:lang w:val="en-GB"/>
        </w:rPr>
        <w:t>was confirmed</w:t>
      </w:r>
      <w:r w:rsidR="003F60B9">
        <w:rPr>
          <w:lang w:val="en-GB"/>
        </w:rPr>
        <w:t xml:space="preserve"> by adenosine </w:t>
      </w:r>
      <w:proofErr w:type="spellStart"/>
      <w:r w:rsidR="003F60B9">
        <w:rPr>
          <w:lang w:val="en-GB"/>
        </w:rPr>
        <w:t>deaminase</w:t>
      </w:r>
      <w:proofErr w:type="spellEnd"/>
      <w:r w:rsidR="003F60B9">
        <w:rPr>
          <w:lang w:val="en-GB"/>
        </w:rPr>
        <w:t xml:space="preserve"> test. The</w:t>
      </w:r>
      <w:r w:rsidR="002666CC">
        <w:rPr>
          <w:lang w:val="en-GB"/>
        </w:rPr>
        <w:t xml:space="preserve"> patient was hospitalised from </w:t>
      </w:r>
      <w:r w:rsidR="007767E0">
        <w:rPr>
          <w:lang w:val="en-GB"/>
        </w:rPr>
        <w:t>Day 122</w:t>
      </w:r>
      <w:r w:rsidR="002666CC">
        <w:rPr>
          <w:lang w:val="en-GB"/>
        </w:rPr>
        <w:t xml:space="preserve"> until Day </w:t>
      </w:r>
      <w:r w:rsidR="007767E0">
        <w:rPr>
          <w:lang w:val="en-GB"/>
        </w:rPr>
        <w:t>144</w:t>
      </w:r>
      <w:r w:rsidR="003F60B9">
        <w:rPr>
          <w:lang w:val="en-GB"/>
        </w:rPr>
        <w:t>, and</w:t>
      </w:r>
      <w:r w:rsidR="002666CC">
        <w:rPr>
          <w:lang w:val="en-GB"/>
        </w:rPr>
        <w:t xml:space="preserve"> went on to recover. Another</w:t>
      </w:r>
      <w:r w:rsidR="00A538C8">
        <w:rPr>
          <w:lang w:val="en-GB"/>
        </w:rPr>
        <w:t xml:space="preserve"> </w:t>
      </w:r>
      <w:r w:rsidR="00303084">
        <w:rPr>
          <w:lang w:val="en-GB"/>
        </w:rPr>
        <w:t>white</w:t>
      </w:r>
      <w:r w:rsidR="007767E0">
        <w:rPr>
          <w:lang w:val="en-GB"/>
        </w:rPr>
        <w:t xml:space="preserve"> female from Mexico aged 4</w:t>
      </w:r>
      <w:r w:rsidR="00303084">
        <w:rPr>
          <w:lang w:val="en-GB"/>
        </w:rPr>
        <w:t>5</w:t>
      </w:r>
      <w:r w:rsidR="007767E0">
        <w:rPr>
          <w:lang w:val="en-GB"/>
        </w:rPr>
        <w:t xml:space="preserve"> years</w:t>
      </w:r>
      <w:r w:rsidR="00005F3E">
        <w:rPr>
          <w:lang w:val="en-GB"/>
        </w:rPr>
        <w:t>,</w:t>
      </w:r>
      <w:r w:rsidR="00826EC4">
        <w:rPr>
          <w:lang w:val="en-GB"/>
        </w:rPr>
        <w:t xml:space="preserve"> with a</w:t>
      </w:r>
      <w:r w:rsidR="00005F3E">
        <w:rPr>
          <w:lang w:val="en-GB"/>
        </w:rPr>
        <w:t xml:space="preserve"> </w:t>
      </w:r>
      <w:r w:rsidR="00826EC4">
        <w:rPr>
          <w:lang w:val="en-GB"/>
        </w:rPr>
        <w:t>history of diabetes mellitus</w:t>
      </w:r>
      <w:r w:rsidR="00A413B8">
        <w:rPr>
          <w:lang w:val="en-GB"/>
        </w:rPr>
        <w:t xml:space="preserve"> </w:t>
      </w:r>
      <w:r w:rsidR="00C52FC2">
        <w:rPr>
          <w:lang w:val="en-GB"/>
        </w:rPr>
        <w:t xml:space="preserve">and hypertension </w:t>
      </w:r>
      <w:r w:rsidR="00A413B8">
        <w:rPr>
          <w:lang w:val="en-GB"/>
        </w:rPr>
        <w:t xml:space="preserve">and receiving </w:t>
      </w:r>
      <w:r w:rsidR="00C52FC2">
        <w:rPr>
          <w:lang w:val="en-GB"/>
        </w:rPr>
        <w:t>i</w:t>
      </w:r>
      <w:r w:rsidR="00C52FC2" w:rsidRPr="00C52FC2">
        <w:rPr>
          <w:lang w:val="en-GB"/>
        </w:rPr>
        <w:t>soniazid</w:t>
      </w:r>
      <w:r w:rsidR="00C52FC2">
        <w:rPr>
          <w:lang w:val="en-GB"/>
        </w:rPr>
        <w:t xml:space="preserve"> therapy after a positive </w:t>
      </w:r>
      <w:proofErr w:type="spellStart"/>
      <w:r w:rsidR="007767E0">
        <w:rPr>
          <w:lang w:val="en-GB"/>
        </w:rPr>
        <w:t>QuantiFERON</w:t>
      </w:r>
      <w:proofErr w:type="spellEnd"/>
      <w:r w:rsidR="007767E0">
        <w:rPr>
          <w:lang w:val="en-GB"/>
        </w:rPr>
        <w:t>-TB Gold </w:t>
      </w:r>
      <w:r w:rsidR="007767E0" w:rsidRPr="007767E0">
        <w:rPr>
          <w:lang w:val="en-GB"/>
        </w:rPr>
        <w:t>® test at screening</w:t>
      </w:r>
      <w:r w:rsidR="00005F3E">
        <w:rPr>
          <w:lang w:val="en-GB"/>
        </w:rPr>
        <w:t>, developed probabl</w:t>
      </w:r>
      <w:r w:rsidR="00C52FC2">
        <w:rPr>
          <w:lang w:val="en-GB"/>
        </w:rPr>
        <w:t>e</w:t>
      </w:r>
      <w:r w:rsidR="00005F3E">
        <w:rPr>
          <w:lang w:val="en-GB"/>
        </w:rPr>
        <w:t xml:space="preserve"> pu</w:t>
      </w:r>
      <w:r w:rsidR="00A413B8">
        <w:rPr>
          <w:lang w:val="en-GB"/>
        </w:rPr>
        <w:t xml:space="preserve">lmonary tuberculosis on Day </w:t>
      </w:r>
      <w:r w:rsidR="00303084">
        <w:rPr>
          <w:lang w:val="en-GB"/>
        </w:rPr>
        <w:t>233</w:t>
      </w:r>
      <w:r w:rsidR="00C52FC2">
        <w:rPr>
          <w:lang w:val="en-GB"/>
        </w:rPr>
        <w:t xml:space="preserve">, </w:t>
      </w:r>
      <w:r w:rsidR="002B5482">
        <w:rPr>
          <w:lang w:val="en-GB"/>
        </w:rPr>
        <w:t>and</w:t>
      </w:r>
      <w:r w:rsidR="00C52FC2">
        <w:rPr>
          <w:lang w:val="en-GB"/>
        </w:rPr>
        <w:t xml:space="preserve"> the study drug was permanently withdrawn</w:t>
      </w:r>
      <w:r w:rsidR="002B5482">
        <w:rPr>
          <w:lang w:val="en-GB"/>
        </w:rPr>
        <w:t xml:space="preserve"> on Day 240</w:t>
      </w:r>
      <w:r w:rsidR="00A413B8">
        <w:rPr>
          <w:lang w:val="en-GB"/>
        </w:rPr>
        <w:t>. S</w:t>
      </w:r>
      <w:r w:rsidR="00005F3E">
        <w:rPr>
          <w:lang w:val="en-GB"/>
        </w:rPr>
        <w:t>putum smear microscopy and culture were negative</w:t>
      </w:r>
      <w:r w:rsidR="00A413B8">
        <w:rPr>
          <w:lang w:val="en-GB"/>
        </w:rPr>
        <w:t>;</w:t>
      </w:r>
      <w:r w:rsidR="00005F3E">
        <w:rPr>
          <w:lang w:val="en-GB"/>
        </w:rPr>
        <w:t xml:space="preserve"> anti-tuberculosis therapy was initiated based on the judg</w:t>
      </w:r>
      <w:r w:rsidR="00A413B8">
        <w:rPr>
          <w:lang w:val="en-GB"/>
        </w:rPr>
        <w:t>ement of an infectious disease specialist and on radiographic e</w:t>
      </w:r>
      <w:r w:rsidR="00C52FC2">
        <w:rPr>
          <w:lang w:val="en-GB"/>
        </w:rPr>
        <w:t xml:space="preserve">vidence of alveolar infiltrates, and the patient went on to recover. </w:t>
      </w:r>
      <w:r w:rsidR="00FF18D4" w:rsidRPr="00376E45">
        <w:rPr>
          <w:lang w:val="en-GB"/>
        </w:rPr>
        <w:t>One patient in the tofacitinib monotherapy arm (0</w:t>
      </w:r>
      <w:r w:rsidR="007436B3" w:rsidRPr="00376E45">
        <w:rPr>
          <w:lang w:val="en-GB"/>
        </w:rPr>
        <w:t>·</w:t>
      </w:r>
      <w:r w:rsidR="00FF18D4" w:rsidRPr="00376E45">
        <w:rPr>
          <w:lang w:val="en-GB"/>
        </w:rPr>
        <w:t>3%) and one patient in the adalimuma</w:t>
      </w:r>
      <w:r w:rsidR="009E57BE" w:rsidRPr="00376E45">
        <w:rPr>
          <w:lang w:val="en-GB"/>
        </w:rPr>
        <w:t>b + MTX arm (0</w:t>
      </w:r>
      <w:r w:rsidR="007436B3" w:rsidRPr="00376E45">
        <w:rPr>
          <w:lang w:val="en-GB"/>
        </w:rPr>
        <w:t>·</w:t>
      </w:r>
      <w:r w:rsidR="009E57BE" w:rsidRPr="00376E45">
        <w:rPr>
          <w:lang w:val="en-GB"/>
        </w:rPr>
        <w:t>3%) experienced probable</w:t>
      </w:r>
      <w:r w:rsidR="00FF18D4" w:rsidRPr="00376E45">
        <w:rPr>
          <w:lang w:val="en-GB"/>
        </w:rPr>
        <w:t xml:space="preserve"> drug-induced liver injury</w:t>
      </w:r>
      <w:r w:rsidR="004C7CDE" w:rsidRPr="00376E45">
        <w:rPr>
          <w:lang w:val="en-GB"/>
        </w:rPr>
        <w:t xml:space="preserve"> as determined by </w:t>
      </w:r>
      <w:r w:rsidR="00737364" w:rsidRPr="00376E45">
        <w:rPr>
          <w:lang w:val="en-GB"/>
        </w:rPr>
        <w:t>adjudication</w:t>
      </w:r>
      <w:r w:rsidR="004C7CDE" w:rsidRPr="00376E45">
        <w:rPr>
          <w:lang w:val="en-GB"/>
        </w:rPr>
        <w:t>; it was not clear whether this was due to other concomitant therapy or study medication</w:t>
      </w:r>
      <w:r w:rsidR="00FF18D4" w:rsidRPr="00376E45">
        <w:rPr>
          <w:lang w:val="en-GB"/>
        </w:rPr>
        <w:t xml:space="preserve">. </w:t>
      </w:r>
      <w:r w:rsidR="00F5658E" w:rsidRPr="00376E45">
        <w:rPr>
          <w:lang w:val="en-GB"/>
        </w:rPr>
        <w:t>No gastrointestinal perforations occurred in any treatment arm.</w:t>
      </w:r>
      <w:r w:rsidR="00872957" w:rsidRPr="00376E45">
        <w:rPr>
          <w:lang w:val="en-GB"/>
        </w:rPr>
        <w:t xml:space="preserve"> </w:t>
      </w:r>
    </w:p>
    <w:p w14:paraId="2A661F80" w14:textId="7DC5E1AC" w:rsidR="00230AA5" w:rsidRDefault="00F13B4E" w:rsidP="00F74B42">
      <w:pPr>
        <w:rPr>
          <w:lang w:val="en-GB"/>
        </w:rPr>
      </w:pPr>
      <w:r w:rsidRPr="00376E45">
        <w:rPr>
          <w:lang w:val="en-GB"/>
        </w:rPr>
        <w:t>Increases</w:t>
      </w:r>
      <w:r w:rsidR="003270D2" w:rsidRPr="00376E45">
        <w:rPr>
          <w:lang w:val="en-GB"/>
        </w:rPr>
        <w:t xml:space="preserve"> </w:t>
      </w:r>
      <w:r w:rsidR="00C052A6" w:rsidRPr="00376E45">
        <w:rPr>
          <w:lang w:val="en-GB"/>
        </w:rPr>
        <w:t>from baseline in laboratory parameters, including total cholesterol, low-and high</w:t>
      </w:r>
      <w:r w:rsidR="00B139C0" w:rsidRPr="00376E45">
        <w:rPr>
          <w:lang w:val="en-GB"/>
        </w:rPr>
        <w:t>-density lipoprotein-cholesterol</w:t>
      </w:r>
      <w:r w:rsidR="00C052A6" w:rsidRPr="00376E45">
        <w:rPr>
          <w:lang w:val="en-GB"/>
        </w:rPr>
        <w:t>, serum creatinine, h</w:t>
      </w:r>
      <w:r w:rsidR="00B139C0" w:rsidRPr="00376E45">
        <w:rPr>
          <w:lang w:val="en-GB"/>
        </w:rPr>
        <w:t>a</w:t>
      </w:r>
      <w:r w:rsidR="00C052A6" w:rsidRPr="00376E45">
        <w:rPr>
          <w:lang w:val="en-GB"/>
        </w:rPr>
        <w:t>emoglobin, ALT</w:t>
      </w:r>
      <w:r w:rsidR="00FE7450" w:rsidRPr="00376E45">
        <w:rPr>
          <w:lang w:val="en-GB"/>
        </w:rPr>
        <w:t>, aspartate aminotransferase (AST)</w:t>
      </w:r>
      <w:r w:rsidR="00B139C0" w:rsidRPr="00376E45">
        <w:rPr>
          <w:lang w:val="en-GB"/>
        </w:rPr>
        <w:t>,</w:t>
      </w:r>
      <w:r w:rsidR="00C052A6" w:rsidRPr="00376E45">
        <w:rPr>
          <w:lang w:val="en-GB"/>
        </w:rPr>
        <w:t xml:space="preserve"> and bilirubin, and decreases from baseline in absolute neutrophil counts, were observed in all treatment arms.</w:t>
      </w:r>
      <w:r w:rsidR="00207B87" w:rsidRPr="00376E45">
        <w:rPr>
          <w:lang w:val="en-GB"/>
        </w:rPr>
        <w:t xml:space="preserve"> </w:t>
      </w:r>
      <w:r w:rsidR="008606DC" w:rsidRPr="00376E45">
        <w:rPr>
          <w:lang w:val="en-GB"/>
        </w:rPr>
        <w:t>A</w:t>
      </w:r>
      <w:r w:rsidRPr="00376E45">
        <w:rPr>
          <w:lang w:val="en-GB"/>
        </w:rPr>
        <w:t>n</w:t>
      </w:r>
      <w:r w:rsidR="008606DC" w:rsidRPr="00376E45">
        <w:rPr>
          <w:lang w:val="en-GB"/>
        </w:rPr>
        <w:t xml:space="preserve"> increase in absolute lymphocyte count was seen in the adalimumab + MTX arm, with no appreciable difference in the tofacitinib arms.</w:t>
      </w:r>
      <w:r w:rsidR="00C052A6" w:rsidRPr="00376E45">
        <w:rPr>
          <w:lang w:val="en-GB"/>
        </w:rPr>
        <w:t xml:space="preserve"> </w:t>
      </w:r>
      <w:r w:rsidR="00207B87" w:rsidRPr="00376E45">
        <w:rPr>
          <w:lang w:val="en-GB"/>
        </w:rPr>
        <w:t>Liver function observations are shown in Table 4; th</w:t>
      </w:r>
      <w:r w:rsidR="00F93580" w:rsidRPr="00376E45">
        <w:rPr>
          <w:lang w:val="en-GB"/>
        </w:rPr>
        <w:t>e i</w:t>
      </w:r>
      <w:r w:rsidR="00B854FC" w:rsidRPr="00376E45">
        <w:rPr>
          <w:lang w:val="en-GB"/>
        </w:rPr>
        <w:t xml:space="preserve">ncidence </w:t>
      </w:r>
      <w:r w:rsidR="00E13D07" w:rsidRPr="00376E45">
        <w:rPr>
          <w:lang w:val="en-GB"/>
        </w:rPr>
        <w:t xml:space="preserve">of any elevation of LFT </w:t>
      </w:r>
      <w:r w:rsidR="004B2C49" w:rsidRPr="00376E45">
        <w:rPr>
          <w:lang w:val="en-GB"/>
        </w:rPr>
        <w:t>was</w:t>
      </w:r>
      <w:r w:rsidR="00FE7450" w:rsidRPr="00376E45">
        <w:rPr>
          <w:lang w:val="en-GB"/>
        </w:rPr>
        <w:t xml:space="preserve"> lower in the tofacitinib monotherapy group than in the combination arms</w:t>
      </w:r>
      <w:r w:rsidR="00E13D07" w:rsidRPr="00376E45">
        <w:rPr>
          <w:lang w:val="en-GB"/>
        </w:rPr>
        <w:t xml:space="preserve">. </w:t>
      </w:r>
    </w:p>
    <w:p w14:paraId="04E987CA" w14:textId="2B7363E4" w:rsidR="00B2649F" w:rsidRPr="00376E45" w:rsidRDefault="00B2649F" w:rsidP="00B2649F">
      <w:pPr>
        <w:rPr>
          <w:lang w:val="en-GB"/>
        </w:rPr>
      </w:pPr>
      <w:r>
        <w:rPr>
          <w:lang w:val="en-GB"/>
        </w:rPr>
        <w:t xml:space="preserve">Two patients died during the study, both in the tofacitinib monotherapy </w:t>
      </w:r>
      <w:r w:rsidR="00B36BBF">
        <w:rPr>
          <w:lang w:val="en-GB"/>
        </w:rPr>
        <w:t>group</w:t>
      </w:r>
      <w:r>
        <w:rPr>
          <w:lang w:val="en-GB"/>
        </w:rPr>
        <w:t xml:space="preserve">. </w:t>
      </w:r>
      <w:r w:rsidR="00EF5FEA">
        <w:rPr>
          <w:lang w:val="en-GB"/>
        </w:rPr>
        <w:t>In Chile, a</w:t>
      </w:r>
      <w:r>
        <w:rPr>
          <w:lang w:val="en-GB"/>
        </w:rPr>
        <w:t xml:space="preserve"> white female aged 7</w:t>
      </w:r>
      <w:r w:rsidR="00CD5C9E">
        <w:rPr>
          <w:lang w:val="en-GB"/>
        </w:rPr>
        <w:t>1</w:t>
      </w:r>
      <w:r>
        <w:rPr>
          <w:lang w:val="en-GB"/>
        </w:rPr>
        <w:t xml:space="preserve"> years </w:t>
      </w:r>
      <w:r w:rsidR="00EF5FEA">
        <w:rPr>
          <w:lang w:val="en-GB"/>
        </w:rPr>
        <w:t>completed the study on Day 337 and was admitted to an emergency unit with</w:t>
      </w:r>
      <w:r>
        <w:rPr>
          <w:lang w:val="en-GB"/>
        </w:rPr>
        <w:t xml:space="preserve"> </w:t>
      </w:r>
      <w:r w:rsidR="00EF5FEA">
        <w:rPr>
          <w:lang w:val="en-GB"/>
        </w:rPr>
        <w:t xml:space="preserve">fever and signs of </w:t>
      </w:r>
      <w:proofErr w:type="spellStart"/>
      <w:r w:rsidR="002B5482">
        <w:rPr>
          <w:lang w:val="en-GB"/>
        </w:rPr>
        <w:t>urosepsis</w:t>
      </w:r>
      <w:proofErr w:type="spellEnd"/>
      <w:r>
        <w:rPr>
          <w:lang w:val="en-GB"/>
        </w:rPr>
        <w:t xml:space="preserve"> on Day 363, culminating in her death on Day 368</w:t>
      </w:r>
      <w:r w:rsidR="007A7578">
        <w:rPr>
          <w:lang w:val="en-GB"/>
        </w:rPr>
        <w:t>,</w:t>
      </w:r>
      <w:r>
        <w:rPr>
          <w:lang w:val="en-GB"/>
        </w:rPr>
        <w:t xml:space="preserve"> despite antibiotic therapy. </w:t>
      </w:r>
      <w:r w:rsidR="00EF5FEA">
        <w:rPr>
          <w:lang w:val="en-GB"/>
        </w:rPr>
        <w:t>No urinary culture was available to confirm this diagnosis.</w:t>
      </w:r>
      <w:r w:rsidRPr="00B2649F">
        <w:rPr>
          <w:lang w:val="en-GB"/>
        </w:rPr>
        <w:t xml:space="preserve"> </w:t>
      </w:r>
      <w:r w:rsidR="00EF5FEA">
        <w:rPr>
          <w:lang w:val="en-GB"/>
        </w:rPr>
        <w:t>In Mexico, a mixed-race female aged 4</w:t>
      </w:r>
      <w:r w:rsidR="00303084">
        <w:rPr>
          <w:lang w:val="en-GB"/>
        </w:rPr>
        <w:t>8</w:t>
      </w:r>
      <w:r w:rsidR="00EF5FEA">
        <w:rPr>
          <w:lang w:val="en-GB"/>
        </w:rPr>
        <w:t xml:space="preserve"> years developed symptoms of an upper respiratory tract infection on Day 59, which subsequently deteriorated and the patient was admitted to hospital on Day 69. Viral tests confirmed H1N1 influenza and the patient died from septic shock and cardiopulmonary arrest on Day 71; an autopsy confirmed H1N1 influenza A</w:t>
      </w:r>
      <w:r>
        <w:rPr>
          <w:lang w:val="en-GB"/>
        </w:rPr>
        <w:t>.</w:t>
      </w:r>
    </w:p>
    <w:p w14:paraId="608FF462" w14:textId="77777777" w:rsidR="00E80058" w:rsidRPr="00376E45" w:rsidRDefault="00E80058" w:rsidP="006119DE">
      <w:pPr>
        <w:pStyle w:val="Heading1"/>
        <w:rPr>
          <w:lang w:val="en-GB"/>
        </w:rPr>
      </w:pPr>
      <w:r w:rsidRPr="00376E45">
        <w:rPr>
          <w:lang w:val="en-GB"/>
        </w:rPr>
        <w:t>Discussion</w:t>
      </w:r>
    </w:p>
    <w:p w14:paraId="2F1A77E7" w14:textId="513CE51D" w:rsidR="00013283" w:rsidRPr="00376E45" w:rsidRDefault="009547CA" w:rsidP="00DE7A89">
      <w:pPr>
        <w:rPr>
          <w:lang w:val="en-GB"/>
        </w:rPr>
      </w:pPr>
      <w:r w:rsidRPr="00376E45">
        <w:rPr>
          <w:lang w:val="en-GB"/>
        </w:rPr>
        <w:t>This</w:t>
      </w:r>
      <w:r w:rsidR="001B6F19" w:rsidRPr="00376E45">
        <w:rPr>
          <w:lang w:val="en-GB"/>
        </w:rPr>
        <w:t xml:space="preserve"> </w:t>
      </w:r>
      <w:r w:rsidR="00F609DF" w:rsidRPr="00376E45">
        <w:rPr>
          <w:lang w:val="en-GB"/>
        </w:rPr>
        <w:t>was</w:t>
      </w:r>
      <w:r w:rsidR="00F03793" w:rsidRPr="00376E45">
        <w:rPr>
          <w:lang w:val="en-GB"/>
        </w:rPr>
        <w:t xml:space="preserve"> the first </w:t>
      </w:r>
      <w:r w:rsidR="007B4645" w:rsidRPr="00376E45">
        <w:rPr>
          <w:lang w:val="en-GB"/>
        </w:rPr>
        <w:t xml:space="preserve">prospective, blinded </w:t>
      </w:r>
      <w:r w:rsidR="001B6F19" w:rsidRPr="00376E45">
        <w:rPr>
          <w:lang w:val="en-GB"/>
        </w:rPr>
        <w:t>head-to-head</w:t>
      </w:r>
      <w:r w:rsidRPr="00376E45">
        <w:rPr>
          <w:lang w:val="en-GB"/>
        </w:rPr>
        <w:t xml:space="preserve"> </w:t>
      </w:r>
      <w:r w:rsidR="003270D2" w:rsidRPr="00376E45">
        <w:rPr>
          <w:lang w:val="en-GB"/>
        </w:rPr>
        <w:t xml:space="preserve">controlled </w:t>
      </w:r>
      <w:r w:rsidRPr="00376E45">
        <w:rPr>
          <w:lang w:val="en-GB"/>
        </w:rPr>
        <w:t xml:space="preserve">trial </w:t>
      </w:r>
      <w:r w:rsidR="001C5491" w:rsidRPr="00376E45">
        <w:rPr>
          <w:lang w:val="en-GB"/>
        </w:rPr>
        <w:t>comparing</w:t>
      </w:r>
      <w:r w:rsidR="007D48D9" w:rsidRPr="00376E45">
        <w:rPr>
          <w:lang w:val="en-GB"/>
        </w:rPr>
        <w:t xml:space="preserve"> tofacitinib </w:t>
      </w:r>
      <w:r w:rsidR="007B4645" w:rsidRPr="00376E45">
        <w:rPr>
          <w:lang w:val="en-GB"/>
        </w:rPr>
        <w:t xml:space="preserve">monotherapy </w:t>
      </w:r>
      <w:r w:rsidR="001C5491" w:rsidRPr="00376E45">
        <w:rPr>
          <w:lang w:val="en-GB"/>
        </w:rPr>
        <w:t>versus</w:t>
      </w:r>
      <w:r w:rsidR="007B4645" w:rsidRPr="00376E45">
        <w:rPr>
          <w:lang w:val="en-GB"/>
        </w:rPr>
        <w:t xml:space="preserve"> tofacitinib </w:t>
      </w:r>
      <w:r w:rsidR="00F30F76" w:rsidRPr="00376E45">
        <w:rPr>
          <w:lang w:val="en-GB"/>
        </w:rPr>
        <w:t>plus MTX</w:t>
      </w:r>
      <w:r w:rsidR="001C5491" w:rsidRPr="00376E45">
        <w:rPr>
          <w:lang w:val="en-GB"/>
        </w:rPr>
        <w:t>,</w:t>
      </w:r>
      <w:r w:rsidR="00F30F76" w:rsidRPr="00376E45">
        <w:rPr>
          <w:lang w:val="en-GB"/>
        </w:rPr>
        <w:t xml:space="preserve"> or </w:t>
      </w:r>
      <w:r w:rsidR="001C5491" w:rsidRPr="00376E45">
        <w:rPr>
          <w:lang w:val="en-GB"/>
        </w:rPr>
        <w:t xml:space="preserve">comparing </w:t>
      </w:r>
      <w:r w:rsidR="00737364" w:rsidRPr="00376E45">
        <w:rPr>
          <w:lang w:val="en-GB"/>
        </w:rPr>
        <w:t>tofacitinib</w:t>
      </w:r>
      <w:r w:rsidR="00F30F76" w:rsidRPr="00376E45">
        <w:rPr>
          <w:lang w:val="en-GB"/>
        </w:rPr>
        <w:t xml:space="preserve"> as mono</w:t>
      </w:r>
      <w:r w:rsidR="001C5491" w:rsidRPr="00376E45">
        <w:rPr>
          <w:lang w:val="en-GB"/>
        </w:rPr>
        <w:t>therapy</w:t>
      </w:r>
      <w:r w:rsidR="00F30F76" w:rsidRPr="00376E45">
        <w:rPr>
          <w:lang w:val="en-GB"/>
        </w:rPr>
        <w:t xml:space="preserve"> or combination therapy </w:t>
      </w:r>
      <w:r w:rsidR="001C5491" w:rsidRPr="00376E45">
        <w:rPr>
          <w:lang w:val="en-GB"/>
        </w:rPr>
        <w:t>versus</w:t>
      </w:r>
      <w:r w:rsidR="007D48D9" w:rsidRPr="00376E45">
        <w:rPr>
          <w:lang w:val="en-GB"/>
        </w:rPr>
        <w:t xml:space="preserve"> any TNFi therapy in </w:t>
      </w:r>
      <w:r w:rsidR="00C514A8" w:rsidRPr="00376E45">
        <w:rPr>
          <w:lang w:val="en-GB"/>
        </w:rPr>
        <w:t xml:space="preserve">patients with active RA and an </w:t>
      </w:r>
      <w:r w:rsidR="00B139C0" w:rsidRPr="00376E45">
        <w:rPr>
          <w:lang w:val="en-GB"/>
        </w:rPr>
        <w:t>IR</w:t>
      </w:r>
      <w:r w:rsidR="00C514A8" w:rsidRPr="00376E45">
        <w:rPr>
          <w:lang w:val="en-GB"/>
        </w:rPr>
        <w:t xml:space="preserve"> to MTX</w:t>
      </w:r>
      <w:r w:rsidR="00F30F76" w:rsidRPr="00376E45">
        <w:rPr>
          <w:lang w:val="en-GB"/>
        </w:rPr>
        <w:t>. Th</w:t>
      </w:r>
      <w:r w:rsidR="00C514A8" w:rsidRPr="00376E45">
        <w:rPr>
          <w:lang w:val="en-GB"/>
        </w:rPr>
        <w:t>e</w:t>
      </w:r>
      <w:r w:rsidR="00F30F76" w:rsidRPr="00376E45">
        <w:rPr>
          <w:lang w:val="en-GB"/>
        </w:rPr>
        <w:t xml:space="preserve"> trial</w:t>
      </w:r>
      <w:r w:rsidR="00DA4481" w:rsidRPr="00376E45">
        <w:rPr>
          <w:lang w:val="en-GB"/>
        </w:rPr>
        <w:t xml:space="preserve"> </w:t>
      </w:r>
      <w:r w:rsidR="00F609DF" w:rsidRPr="00376E45">
        <w:rPr>
          <w:lang w:val="en-GB"/>
        </w:rPr>
        <w:t>evaluated</w:t>
      </w:r>
      <w:r w:rsidR="007D48D9" w:rsidRPr="00376E45">
        <w:rPr>
          <w:lang w:val="en-GB"/>
        </w:rPr>
        <w:t xml:space="preserve"> </w:t>
      </w:r>
      <w:r w:rsidR="00F30F76" w:rsidRPr="00376E45">
        <w:rPr>
          <w:lang w:val="en-GB"/>
        </w:rPr>
        <w:t xml:space="preserve">clinical and functional </w:t>
      </w:r>
      <w:r w:rsidR="003270D2" w:rsidRPr="00376E45">
        <w:rPr>
          <w:lang w:val="en-GB"/>
        </w:rPr>
        <w:t xml:space="preserve">measures of </w:t>
      </w:r>
      <w:r w:rsidR="007D48D9" w:rsidRPr="00376E45">
        <w:rPr>
          <w:lang w:val="en-GB"/>
        </w:rPr>
        <w:t>efficacy</w:t>
      </w:r>
      <w:r w:rsidR="004E6203" w:rsidRPr="00376E45">
        <w:rPr>
          <w:lang w:val="en-GB"/>
        </w:rPr>
        <w:t xml:space="preserve"> and safety</w:t>
      </w:r>
      <w:r w:rsidR="00C514A8" w:rsidRPr="00376E45">
        <w:rPr>
          <w:lang w:val="en-GB"/>
        </w:rPr>
        <w:t xml:space="preserve">. </w:t>
      </w:r>
      <w:r w:rsidRPr="00376E45">
        <w:rPr>
          <w:lang w:val="en-GB"/>
        </w:rPr>
        <w:t>The primary endpoint</w:t>
      </w:r>
      <w:r w:rsidR="00F30F76" w:rsidRPr="00376E45">
        <w:rPr>
          <w:lang w:val="en-GB"/>
        </w:rPr>
        <w:t xml:space="preserve">, </w:t>
      </w:r>
      <w:r w:rsidR="00B66534" w:rsidRPr="00376E45">
        <w:rPr>
          <w:lang w:val="en-GB"/>
        </w:rPr>
        <w:t>non-inferiority of</w:t>
      </w:r>
      <w:r w:rsidRPr="00376E45">
        <w:rPr>
          <w:lang w:val="en-GB"/>
        </w:rPr>
        <w:t xml:space="preserve"> </w:t>
      </w:r>
      <w:r w:rsidR="00F30F76" w:rsidRPr="00376E45">
        <w:rPr>
          <w:lang w:val="en-GB"/>
        </w:rPr>
        <w:t xml:space="preserve">achieving an </w:t>
      </w:r>
      <w:r w:rsidRPr="00376E45">
        <w:rPr>
          <w:lang w:val="en-GB"/>
        </w:rPr>
        <w:t>ACR50</w:t>
      </w:r>
      <w:r w:rsidR="00B66534" w:rsidRPr="00376E45">
        <w:rPr>
          <w:lang w:val="en-GB"/>
        </w:rPr>
        <w:t xml:space="preserve"> response</w:t>
      </w:r>
      <w:r w:rsidRPr="00376E45">
        <w:rPr>
          <w:lang w:val="en-GB"/>
        </w:rPr>
        <w:t xml:space="preserve"> at 6 months</w:t>
      </w:r>
      <w:r w:rsidR="00F30F76" w:rsidRPr="00376E45">
        <w:rPr>
          <w:lang w:val="en-GB"/>
        </w:rPr>
        <w:t xml:space="preserve">, </w:t>
      </w:r>
      <w:r w:rsidRPr="00376E45">
        <w:rPr>
          <w:lang w:val="en-GB"/>
        </w:rPr>
        <w:t xml:space="preserve">was </w:t>
      </w:r>
      <w:r w:rsidR="00B66534" w:rsidRPr="00376E45">
        <w:rPr>
          <w:lang w:val="en-GB"/>
        </w:rPr>
        <w:t xml:space="preserve">met </w:t>
      </w:r>
      <w:r w:rsidR="00F86217" w:rsidRPr="00376E45">
        <w:rPr>
          <w:lang w:val="en-GB"/>
        </w:rPr>
        <w:t>for</w:t>
      </w:r>
      <w:r w:rsidRPr="00376E45">
        <w:rPr>
          <w:lang w:val="en-GB"/>
        </w:rPr>
        <w:t xml:space="preserve"> tofacitinib</w:t>
      </w:r>
      <w:r w:rsidR="00B66534" w:rsidRPr="00376E45">
        <w:rPr>
          <w:lang w:val="en-GB"/>
        </w:rPr>
        <w:t xml:space="preserve"> </w:t>
      </w:r>
      <w:r w:rsidR="00F30F76" w:rsidRPr="00376E45">
        <w:rPr>
          <w:lang w:val="en-GB"/>
        </w:rPr>
        <w:t xml:space="preserve">5 mg BID </w:t>
      </w:r>
      <w:r w:rsidR="00974A7D" w:rsidRPr="00376E45">
        <w:rPr>
          <w:lang w:val="en-GB"/>
        </w:rPr>
        <w:t>+</w:t>
      </w:r>
      <w:r w:rsidR="00B66534" w:rsidRPr="00376E45">
        <w:rPr>
          <w:lang w:val="en-GB"/>
        </w:rPr>
        <w:t xml:space="preserve"> </w:t>
      </w:r>
      <w:r w:rsidR="00974A7D" w:rsidRPr="00376E45">
        <w:rPr>
          <w:lang w:val="en-GB"/>
        </w:rPr>
        <w:t>MTX</w:t>
      </w:r>
      <w:r w:rsidRPr="00376E45">
        <w:rPr>
          <w:lang w:val="en-GB"/>
        </w:rPr>
        <w:t xml:space="preserve"> </w:t>
      </w:r>
      <w:r w:rsidR="007052DF" w:rsidRPr="00376E45">
        <w:rPr>
          <w:lang w:val="en-GB"/>
        </w:rPr>
        <w:t>compared with</w:t>
      </w:r>
      <w:r w:rsidR="00F30F76" w:rsidRPr="00376E45">
        <w:rPr>
          <w:lang w:val="en-GB"/>
        </w:rPr>
        <w:t xml:space="preserve"> </w:t>
      </w:r>
      <w:r w:rsidR="00216784" w:rsidRPr="00376E45">
        <w:rPr>
          <w:lang w:val="en-GB"/>
        </w:rPr>
        <w:t>adalimumab</w:t>
      </w:r>
      <w:r w:rsidR="00B66534" w:rsidRPr="00376E45">
        <w:rPr>
          <w:lang w:val="en-GB"/>
        </w:rPr>
        <w:t xml:space="preserve"> </w:t>
      </w:r>
      <w:r w:rsidR="00974A7D" w:rsidRPr="00376E45">
        <w:rPr>
          <w:lang w:val="en-GB"/>
        </w:rPr>
        <w:t>+</w:t>
      </w:r>
      <w:r w:rsidR="00B66534" w:rsidRPr="00376E45">
        <w:rPr>
          <w:lang w:val="en-GB"/>
        </w:rPr>
        <w:t xml:space="preserve"> </w:t>
      </w:r>
      <w:r w:rsidR="00974A7D" w:rsidRPr="00376E45">
        <w:rPr>
          <w:lang w:val="en-GB"/>
        </w:rPr>
        <w:t>MTX</w:t>
      </w:r>
      <w:r w:rsidR="00F30F76" w:rsidRPr="00376E45">
        <w:rPr>
          <w:lang w:val="en-GB"/>
        </w:rPr>
        <w:t>,</w:t>
      </w:r>
      <w:r w:rsidR="00610EBE" w:rsidRPr="00376E45">
        <w:rPr>
          <w:lang w:val="en-GB"/>
        </w:rPr>
        <w:t xml:space="preserve"> with both achieving </w:t>
      </w:r>
      <w:r w:rsidR="009F3780" w:rsidRPr="00376E45">
        <w:rPr>
          <w:lang w:val="en-GB"/>
        </w:rPr>
        <w:t>clinically meaningful</w:t>
      </w:r>
      <w:r w:rsidR="00610EBE" w:rsidRPr="00376E45">
        <w:rPr>
          <w:lang w:val="en-GB"/>
        </w:rPr>
        <w:t xml:space="preserve"> responses</w:t>
      </w:r>
      <w:r w:rsidRPr="00376E45">
        <w:rPr>
          <w:lang w:val="en-GB"/>
        </w:rPr>
        <w:t xml:space="preserve">. </w:t>
      </w:r>
      <w:r w:rsidR="00F30F76" w:rsidRPr="00376E45">
        <w:rPr>
          <w:lang w:val="en-GB" w:eastAsia="ja-JP"/>
        </w:rPr>
        <w:t xml:space="preserve">This </w:t>
      </w:r>
      <w:r w:rsidR="00CB2E79" w:rsidRPr="00376E45">
        <w:rPr>
          <w:lang w:val="en-GB" w:eastAsia="ja-JP"/>
        </w:rPr>
        <w:t>observation of comparable efficacy in the tofacitinib</w:t>
      </w:r>
      <w:r w:rsidR="004C5ECD" w:rsidRPr="00376E45">
        <w:rPr>
          <w:lang w:val="en-GB" w:eastAsia="ja-JP"/>
        </w:rPr>
        <w:t> + </w:t>
      </w:r>
      <w:r w:rsidR="00C03728" w:rsidRPr="00376E45">
        <w:rPr>
          <w:lang w:val="en-GB" w:eastAsia="ja-JP"/>
        </w:rPr>
        <w:t>MTX</w:t>
      </w:r>
      <w:r w:rsidR="00CB2E79" w:rsidRPr="00376E45">
        <w:rPr>
          <w:lang w:val="en-GB" w:eastAsia="ja-JP"/>
        </w:rPr>
        <w:t xml:space="preserve"> and adalimumab</w:t>
      </w:r>
      <w:r w:rsidR="00C03728" w:rsidRPr="00376E45">
        <w:rPr>
          <w:lang w:val="en-GB" w:eastAsia="ja-JP"/>
        </w:rPr>
        <w:t xml:space="preserve"> + MTX</w:t>
      </w:r>
      <w:r w:rsidR="00CB2E79" w:rsidRPr="00376E45">
        <w:rPr>
          <w:lang w:val="en-GB" w:eastAsia="ja-JP"/>
        </w:rPr>
        <w:t xml:space="preserve"> groups </w:t>
      </w:r>
      <w:r w:rsidR="00F30F76" w:rsidRPr="00376E45">
        <w:rPr>
          <w:lang w:val="en-GB" w:eastAsia="ja-JP"/>
        </w:rPr>
        <w:t>was not surprising</w:t>
      </w:r>
      <w:r w:rsidR="00013283" w:rsidRPr="00376E45">
        <w:rPr>
          <w:lang w:val="en-GB" w:eastAsia="ja-JP"/>
        </w:rPr>
        <w:t xml:space="preserve"> considering previous studies</w:t>
      </w:r>
      <w:r w:rsidR="009F3780" w:rsidRPr="00376E45">
        <w:rPr>
          <w:lang w:val="en-GB" w:eastAsia="ja-JP"/>
        </w:rPr>
        <w:t>. In</w:t>
      </w:r>
      <w:r w:rsidR="00F13B4E" w:rsidRPr="00376E45">
        <w:rPr>
          <w:lang w:val="en-GB" w:eastAsia="ja-JP"/>
        </w:rPr>
        <w:t xml:space="preserve"> </w:t>
      </w:r>
      <w:r w:rsidR="005B7DB8" w:rsidRPr="00376E45">
        <w:rPr>
          <w:lang w:val="en-GB" w:eastAsia="ja-JP"/>
        </w:rPr>
        <w:t xml:space="preserve">ORAL Standard, </w:t>
      </w:r>
      <w:r w:rsidR="00F47164" w:rsidRPr="00376E45">
        <w:rPr>
          <w:lang w:val="en-GB" w:eastAsia="ja-JP"/>
        </w:rPr>
        <w:t>a</w:t>
      </w:r>
      <w:r w:rsidR="00F24F75" w:rsidRPr="00376E45">
        <w:rPr>
          <w:lang w:val="en-GB" w:eastAsia="ja-JP"/>
        </w:rPr>
        <w:t xml:space="preserve"> Phase 3 randomis</w:t>
      </w:r>
      <w:r w:rsidR="00CB2E79" w:rsidRPr="00376E45">
        <w:rPr>
          <w:lang w:val="en-GB" w:eastAsia="ja-JP"/>
        </w:rPr>
        <w:t xml:space="preserve">ed controlled trial, ACR20 response rates at 6 months (the primary endpoint) were similar in patients receiving </w:t>
      </w:r>
      <w:r w:rsidR="00CB2E79" w:rsidRPr="00376E45">
        <w:rPr>
          <w:lang w:val="en-GB"/>
        </w:rPr>
        <w:t>tofacitinib</w:t>
      </w:r>
      <w:r w:rsidR="00C03728" w:rsidRPr="00376E45">
        <w:rPr>
          <w:lang w:val="en-GB"/>
        </w:rPr>
        <w:t xml:space="preserve"> + MTX</w:t>
      </w:r>
      <w:r w:rsidR="00CB2E79" w:rsidRPr="00376E45">
        <w:rPr>
          <w:lang w:val="en-GB"/>
        </w:rPr>
        <w:t xml:space="preserve"> (5</w:t>
      </w:r>
      <w:r w:rsidR="00D61A27" w:rsidRPr="00376E45">
        <w:rPr>
          <w:lang w:val="en-GB"/>
        </w:rPr>
        <w:t>2</w:t>
      </w:r>
      <w:r w:rsidR="00CB2E79" w:rsidRPr="00376E45">
        <w:rPr>
          <w:lang w:val="en-GB"/>
        </w:rPr>
        <w:t>%)</w:t>
      </w:r>
      <w:r w:rsidR="00CB2E79" w:rsidRPr="00376E45">
        <w:rPr>
          <w:lang w:val="en-GB" w:eastAsia="ja-JP"/>
        </w:rPr>
        <w:t xml:space="preserve"> or </w:t>
      </w:r>
      <w:r w:rsidR="00CB2E79" w:rsidRPr="00376E45">
        <w:rPr>
          <w:lang w:val="en-GB"/>
        </w:rPr>
        <w:t>adalimumab</w:t>
      </w:r>
      <w:r w:rsidR="00C03728" w:rsidRPr="00376E45">
        <w:rPr>
          <w:lang w:val="en-GB"/>
        </w:rPr>
        <w:t xml:space="preserve"> + MTX</w:t>
      </w:r>
      <w:r w:rsidR="00CB2E79" w:rsidRPr="00376E45">
        <w:rPr>
          <w:lang w:val="en-GB"/>
        </w:rPr>
        <w:t xml:space="preserve"> (47%) for </w:t>
      </w:r>
      <w:r w:rsidR="00F24F75" w:rsidRPr="00376E45">
        <w:rPr>
          <w:lang w:val="en-GB"/>
        </w:rPr>
        <w:t xml:space="preserve">the </w:t>
      </w:r>
      <w:r w:rsidR="00CB2E79" w:rsidRPr="00376E45">
        <w:rPr>
          <w:lang w:val="en-GB"/>
        </w:rPr>
        <w:t>treatment of RA</w:t>
      </w:r>
      <w:r w:rsidR="00F35C75" w:rsidRPr="00376E45">
        <w:rPr>
          <w:lang w:val="en-GB"/>
        </w:rPr>
        <w:t xml:space="preserve">; </w:t>
      </w:r>
      <w:r w:rsidR="00F24F75" w:rsidRPr="00376E45">
        <w:rPr>
          <w:lang w:val="en-GB"/>
        </w:rPr>
        <w:t xml:space="preserve">the </w:t>
      </w:r>
      <w:r w:rsidR="00F35C75" w:rsidRPr="00376E45">
        <w:rPr>
          <w:lang w:val="en-GB"/>
        </w:rPr>
        <w:t>ACR50 response was hi</w:t>
      </w:r>
      <w:r w:rsidR="00A408EC" w:rsidRPr="00376E45">
        <w:rPr>
          <w:lang w:val="en-GB"/>
        </w:rPr>
        <w:t>gher with tofacitinib plus MTX (</w:t>
      </w:r>
      <w:r w:rsidR="00F35C75" w:rsidRPr="00376E45">
        <w:rPr>
          <w:lang w:val="en-GB"/>
        </w:rPr>
        <w:t>37%</w:t>
      </w:r>
      <w:r w:rsidR="00A408EC" w:rsidRPr="00376E45">
        <w:rPr>
          <w:lang w:val="en-GB"/>
        </w:rPr>
        <w:t>)</w:t>
      </w:r>
      <w:r w:rsidR="00F35C75" w:rsidRPr="00376E45">
        <w:rPr>
          <w:lang w:val="en-GB"/>
        </w:rPr>
        <w:t xml:space="preserve"> co</w:t>
      </w:r>
      <w:r w:rsidR="00A408EC" w:rsidRPr="00376E45">
        <w:rPr>
          <w:lang w:val="en-GB"/>
        </w:rPr>
        <w:t>mpared to adalimumab plus MTX (</w:t>
      </w:r>
      <w:r w:rsidR="00F35C75" w:rsidRPr="00376E45">
        <w:rPr>
          <w:lang w:val="en-GB"/>
        </w:rPr>
        <w:t>28%</w:t>
      </w:r>
      <w:r w:rsidR="00A408EC" w:rsidRPr="00376E45">
        <w:rPr>
          <w:lang w:val="en-GB"/>
        </w:rPr>
        <w:t>)</w:t>
      </w:r>
      <w:r w:rsidR="00F24F75" w:rsidRPr="00376E45">
        <w:rPr>
          <w:lang w:val="en-GB"/>
        </w:rPr>
        <w:t xml:space="preserve"> but with overlapping CI</w:t>
      </w:r>
      <w:r w:rsidR="000D0E26" w:rsidRPr="00376E45">
        <w:rPr>
          <w:lang w:val="en-GB"/>
        </w:rPr>
        <w:t>s</w:t>
      </w:r>
      <w:r w:rsidR="004C5ECD" w:rsidRPr="00376E45">
        <w:rPr>
          <w:lang w:val="en-GB"/>
        </w:rPr>
        <w:t>.</w:t>
      </w:r>
      <w:r w:rsidR="00FD652D" w:rsidRPr="00376E45">
        <w:rPr>
          <w:vertAlign w:val="superscript"/>
          <w:lang w:val="en-GB" w:eastAsia="ja-JP"/>
        </w:rPr>
        <w:t>9</w:t>
      </w:r>
      <w:r w:rsidR="00CB2E79" w:rsidRPr="00376E45">
        <w:rPr>
          <w:lang w:val="en-GB" w:eastAsia="ja-JP"/>
        </w:rPr>
        <w:t xml:space="preserve"> </w:t>
      </w:r>
      <w:r w:rsidR="007659F4" w:rsidRPr="00376E45">
        <w:rPr>
          <w:lang w:val="en-GB"/>
        </w:rPr>
        <w:t>The present analysis</w:t>
      </w:r>
      <w:r w:rsidR="00CB2E79" w:rsidRPr="00376E45">
        <w:rPr>
          <w:lang w:val="en-GB"/>
        </w:rPr>
        <w:t xml:space="preserve"> </w:t>
      </w:r>
      <w:r w:rsidR="00F35C75" w:rsidRPr="00376E45">
        <w:rPr>
          <w:lang w:val="en-GB"/>
        </w:rPr>
        <w:t>suggests</w:t>
      </w:r>
      <w:r w:rsidR="00DA4481" w:rsidRPr="00376E45">
        <w:rPr>
          <w:lang w:val="en-GB"/>
        </w:rPr>
        <w:t xml:space="preserve"> </w:t>
      </w:r>
      <w:r w:rsidR="00CB2E79" w:rsidRPr="00376E45">
        <w:rPr>
          <w:lang w:val="en-GB"/>
        </w:rPr>
        <w:t xml:space="preserve">that </w:t>
      </w:r>
      <w:r w:rsidR="00F609DF" w:rsidRPr="00376E45">
        <w:rPr>
          <w:lang w:val="en-GB"/>
        </w:rPr>
        <w:t xml:space="preserve">adding </w:t>
      </w:r>
      <w:r w:rsidR="00F35C75" w:rsidRPr="00376E45">
        <w:rPr>
          <w:lang w:val="en-GB"/>
        </w:rPr>
        <w:t>tofacitinib</w:t>
      </w:r>
      <w:r w:rsidR="00DA4481" w:rsidRPr="00376E45">
        <w:rPr>
          <w:lang w:val="en-GB"/>
        </w:rPr>
        <w:t xml:space="preserve"> </w:t>
      </w:r>
      <w:r w:rsidR="00F35C75" w:rsidRPr="00376E45">
        <w:rPr>
          <w:lang w:val="en-GB"/>
        </w:rPr>
        <w:t>5 mg BID</w:t>
      </w:r>
      <w:r w:rsidR="002B7BEE" w:rsidRPr="00376E45">
        <w:rPr>
          <w:lang w:val="en-GB"/>
        </w:rPr>
        <w:t xml:space="preserve"> to </w:t>
      </w:r>
      <w:r w:rsidR="00F609DF" w:rsidRPr="00376E45">
        <w:rPr>
          <w:lang w:val="en-GB"/>
        </w:rPr>
        <w:t xml:space="preserve">MTX </w:t>
      </w:r>
      <w:r w:rsidR="00F35C75" w:rsidRPr="00376E45">
        <w:rPr>
          <w:lang w:val="en-GB"/>
        </w:rPr>
        <w:t xml:space="preserve">is </w:t>
      </w:r>
      <w:r w:rsidR="00F609DF" w:rsidRPr="00376E45">
        <w:rPr>
          <w:lang w:val="en-GB"/>
        </w:rPr>
        <w:t>as</w:t>
      </w:r>
      <w:r w:rsidR="00CB2E79" w:rsidRPr="00376E45">
        <w:rPr>
          <w:lang w:val="en-GB"/>
        </w:rPr>
        <w:t xml:space="preserve"> effective a</w:t>
      </w:r>
      <w:r w:rsidR="00F609DF" w:rsidRPr="00376E45">
        <w:rPr>
          <w:lang w:val="en-GB"/>
        </w:rPr>
        <w:t xml:space="preserve">s adding </w:t>
      </w:r>
      <w:r w:rsidR="002B7BEE" w:rsidRPr="00376E45">
        <w:rPr>
          <w:lang w:val="en-GB"/>
        </w:rPr>
        <w:t>a</w:t>
      </w:r>
      <w:r w:rsidR="00F35C75" w:rsidRPr="00376E45">
        <w:rPr>
          <w:lang w:val="en-GB"/>
        </w:rPr>
        <w:t>dalimumab, a</w:t>
      </w:r>
      <w:r w:rsidR="002B7BEE" w:rsidRPr="00376E45">
        <w:rPr>
          <w:lang w:val="en-GB"/>
        </w:rPr>
        <w:t xml:space="preserve"> TNFi</w:t>
      </w:r>
      <w:r w:rsidR="00F35C75" w:rsidRPr="00376E45">
        <w:rPr>
          <w:lang w:val="en-GB"/>
        </w:rPr>
        <w:t>,</w:t>
      </w:r>
      <w:r w:rsidR="002B7BEE" w:rsidRPr="00376E45">
        <w:rPr>
          <w:lang w:val="en-GB"/>
        </w:rPr>
        <w:t xml:space="preserve"> to </w:t>
      </w:r>
      <w:r w:rsidR="00F609DF" w:rsidRPr="00376E45">
        <w:rPr>
          <w:lang w:val="en-GB"/>
        </w:rPr>
        <w:t>MTX</w:t>
      </w:r>
      <w:r w:rsidR="00F35C75" w:rsidRPr="00376E45">
        <w:rPr>
          <w:lang w:val="en-GB"/>
        </w:rPr>
        <w:t xml:space="preserve">. </w:t>
      </w:r>
    </w:p>
    <w:p w14:paraId="2E6C2F2E" w14:textId="789511E4" w:rsidR="00975790" w:rsidRPr="00376E45" w:rsidRDefault="00F35C75" w:rsidP="00DE7A89">
      <w:pPr>
        <w:rPr>
          <w:lang w:val="en-GB"/>
        </w:rPr>
      </w:pPr>
      <w:r w:rsidRPr="00376E45">
        <w:rPr>
          <w:lang w:val="en-GB"/>
        </w:rPr>
        <w:t>Recently</w:t>
      </w:r>
      <w:r w:rsidR="000D0E26" w:rsidRPr="00376E45">
        <w:rPr>
          <w:lang w:val="en-GB"/>
        </w:rPr>
        <w:t>,</w:t>
      </w:r>
      <w:r w:rsidRPr="00376E45">
        <w:rPr>
          <w:lang w:val="en-GB"/>
        </w:rPr>
        <w:t xml:space="preserve"> it has been shown that</w:t>
      </w:r>
      <w:r w:rsidR="00621CFB" w:rsidRPr="00376E45">
        <w:rPr>
          <w:lang w:val="en-GB"/>
        </w:rPr>
        <w:t xml:space="preserve"> adding</w:t>
      </w:r>
      <w:r w:rsidRPr="00376E45">
        <w:rPr>
          <w:lang w:val="en-GB"/>
        </w:rPr>
        <w:t xml:space="preserve"> another </w:t>
      </w:r>
      <w:r w:rsidR="005A5101" w:rsidRPr="00376E45">
        <w:rPr>
          <w:lang w:val="en-GB"/>
        </w:rPr>
        <w:t>JAK</w:t>
      </w:r>
      <w:r w:rsidR="00F24F75" w:rsidRPr="00376E45">
        <w:rPr>
          <w:lang w:val="en-GB"/>
        </w:rPr>
        <w:t xml:space="preserve"> </w:t>
      </w:r>
      <w:r w:rsidR="00621CFB" w:rsidRPr="00376E45">
        <w:rPr>
          <w:lang w:val="en-GB"/>
        </w:rPr>
        <w:t>inhibitor</w:t>
      </w:r>
      <w:r w:rsidRPr="00376E45">
        <w:rPr>
          <w:lang w:val="en-GB"/>
        </w:rPr>
        <w:t>, baric</w:t>
      </w:r>
      <w:r w:rsidR="00F24F75" w:rsidRPr="00376E45">
        <w:rPr>
          <w:lang w:val="en-GB"/>
        </w:rPr>
        <w:t>i</w:t>
      </w:r>
      <w:r w:rsidRPr="00376E45">
        <w:rPr>
          <w:lang w:val="en-GB"/>
        </w:rPr>
        <w:t>tinib</w:t>
      </w:r>
      <w:r w:rsidR="001A249F" w:rsidRPr="00376E45">
        <w:rPr>
          <w:lang w:val="en-GB"/>
        </w:rPr>
        <w:t xml:space="preserve">, </w:t>
      </w:r>
      <w:r w:rsidR="00621CFB" w:rsidRPr="00376E45">
        <w:rPr>
          <w:lang w:val="en-GB"/>
        </w:rPr>
        <w:t xml:space="preserve">to MTX </w:t>
      </w:r>
      <w:r w:rsidR="00965B04" w:rsidRPr="00376E45">
        <w:rPr>
          <w:lang w:val="en-GB"/>
        </w:rPr>
        <w:t xml:space="preserve">is </w:t>
      </w:r>
      <w:r w:rsidR="00F13B4E" w:rsidRPr="00376E45">
        <w:rPr>
          <w:lang w:val="en-GB"/>
        </w:rPr>
        <w:t xml:space="preserve">statistically </w:t>
      </w:r>
      <w:r w:rsidR="005B64FF" w:rsidRPr="00376E45">
        <w:rPr>
          <w:lang w:val="en-GB"/>
        </w:rPr>
        <w:t>superior to</w:t>
      </w:r>
      <w:r w:rsidRPr="00376E45">
        <w:rPr>
          <w:lang w:val="en-GB"/>
        </w:rPr>
        <w:t xml:space="preserve"> adding adalimumab in a similar patient population</w:t>
      </w:r>
      <w:r w:rsidR="00C21CD0" w:rsidRPr="00376E45">
        <w:rPr>
          <w:lang w:val="en-GB"/>
        </w:rPr>
        <w:t>. In a head</w:t>
      </w:r>
      <w:r w:rsidR="00E640B6" w:rsidRPr="00376E45">
        <w:rPr>
          <w:lang w:val="en-GB"/>
        </w:rPr>
        <w:t>-</w:t>
      </w:r>
      <w:r w:rsidR="00C21CD0" w:rsidRPr="00376E45">
        <w:rPr>
          <w:lang w:val="en-GB"/>
        </w:rPr>
        <w:t>to</w:t>
      </w:r>
      <w:r w:rsidR="00E640B6" w:rsidRPr="00376E45">
        <w:rPr>
          <w:lang w:val="en-GB"/>
        </w:rPr>
        <w:t>-</w:t>
      </w:r>
      <w:r w:rsidR="00C21CD0" w:rsidRPr="00376E45">
        <w:rPr>
          <w:lang w:val="en-GB"/>
        </w:rPr>
        <w:t xml:space="preserve">head trial comparing adalimumab in combination with MTX </w:t>
      </w:r>
      <w:r w:rsidR="00990048" w:rsidRPr="00376E45">
        <w:rPr>
          <w:lang w:val="en-GB"/>
        </w:rPr>
        <w:t xml:space="preserve">and baricitinib in combination with MTX </w:t>
      </w:r>
      <w:r w:rsidR="00C21CD0" w:rsidRPr="00376E45">
        <w:rPr>
          <w:lang w:val="en-GB"/>
        </w:rPr>
        <w:t>(RA-BEAM</w:t>
      </w:r>
      <w:r w:rsidR="00DE7A89" w:rsidRPr="00376E45">
        <w:rPr>
          <w:lang w:val="en-GB"/>
        </w:rPr>
        <w:t>)</w:t>
      </w:r>
      <w:r w:rsidR="00C21CD0" w:rsidRPr="00376E45">
        <w:rPr>
          <w:lang w:val="en-GB"/>
        </w:rPr>
        <w:t xml:space="preserve">, baricitinib plus MTX was found to be superior </w:t>
      </w:r>
      <w:r w:rsidR="00376E45" w:rsidRPr="00376E45">
        <w:rPr>
          <w:lang w:val="en-GB"/>
        </w:rPr>
        <w:t xml:space="preserve">in terms of </w:t>
      </w:r>
      <w:r w:rsidR="00C21CD0" w:rsidRPr="00376E45">
        <w:rPr>
          <w:lang w:val="en-GB"/>
        </w:rPr>
        <w:t>ACR20 response</w:t>
      </w:r>
      <w:r w:rsidR="006317E2">
        <w:rPr>
          <w:lang w:val="en-GB"/>
        </w:rPr>
        <w:t xml:space="preserve"> and change from baseline in DAS28(CRP) at week 12</w:t>
      </w:r>
      <w:r w:rsidR="00C21CD0" w:rsidRPr="00376E45">
        <w:rPr>
          <w:lang w:val="en-GB"/>
        </w:rPr>
        <w:t>.</w:t>
      </w:r>
      <w:r w:rsidR="008D190B" w:rsidRPr="008D190B">
        <w:rPr>
          <w:vertAlign w:val="superscript"/>
          <w:lang w:val="en-GB"/>
        </w:rPr>
        <w:t>23</w:t>
      </w:r>
      <w:r w:rsidR="00C21CD0" w:rsidRPr="00376E45">
        <w:rPr>
          <w:lang w:val="en-GB"/>
        </w:rPr>
        <w:t xml:space="preserve"> In this trial, however, baricitinib monotherapy was not tested</w:t>
      </w:r>
      <w:r w:rsidR="00AC495B" w:rsidRPr="00376E45">
        <w:rPr>
          <w:lang w:val="en-GB"/>
        </w:rPr>
        <w:t xml:space="preserve">. </w:t>
      </w:r>
      <w:r w:rsidR="004F5BAD">
        <w:rPr>
          <w:lang w:val="en-GB"/>
        </w:rPr>
        <w:t xml:space="preserve">Of additional note, the primary endpoint used in RA-BEAM was ACR20, compared with the more conservative use of ACR50 in </w:t>
      </w:r>
      <w:r w:rsidR="001004F2">
        <w:rPr>
          <w:lang w:val="en-GB"/>
        </w:rPr>
        <w:t xml:space="preserve">ORAL </w:t>
      </w:r>
      <w:r w:rsidR="004F5BAD">
        <w:rPr>
          <w:lang w:val="en-GB"/>
        </w:rPr>
        <w:t>Strategy.</w:t>
      </w:r>
      <w:r w:rsidR="00C21CD0" w:rsidRPr="00376E45">
        <w:rPr>
          <w:lang w:val="en-GB"/>
        </w:rPr>
        <w:t xml:space="preserve"> </w:t>
      </w:r>
    </w:p>
    <w:p w14:paraId="685A7ABC" w14:textId="51CEFEA7" w:rsidR="00DE7A89" w:rsidRPr="00376E45" w:rsidRDefault="00C21CD0" w:rsidP="00DE7A89">
      <w:pPr>
        <w:rPr>
          <w:lang w:val="en-GB"/>
        </w:rPr>
      </w:pPr>
      <w:r w:rsidRPr="00376E45">
        <w:rPr>
          <w:lang w:val="en-GB"/>
        </w:rPr>
        <w:t>I</w:t>
      </w:r>
      <w:r w:rsidR="00AC495B" w:rsidRPr="00376E45">
        <w:rPr>
          <w:lang w:val="en-GB"/>
        </w:rPr>
        <w:t>n</w:t>
      </w:r>
      <w:r w:rsidRPr="00376E45">
        <w:rPr>
          <w:lang w:val="en-GB"/>
        </w:rPr>
        <w:t xml:space="preserve"> the</w:t>
      </w:r>
      <w:r w:rsidR="00E640B6" w:rsidRPr="00376E45">
        <w:rPr>
          <w:lang w:val="en-GB"/>
        </w:rPr>
        <w:t xml:space="preserve"> RA-BEGIN</w:t>
      </w:r>
      <w:r w:rsidRPr="00376E45">
        <w:rPr>
          <w:lang w:val="en-GB"/>
        </w:rPr>
        <w:t xml:space="preserve"> </w:t>
      </w:r>
      <w:r w:rsidR="00151D9E">
        <w:rPr>
          <w:lang w:val="en-GB"/>
        </w:rPr>
        <w:t>P</w:t>
      </w:r>
      <w:r w:rsidRPr="00376E45">
        <w:rPr>
          <w:lang w:val="en-GB"/>
        </w:rPr>
        <w:t xml:space="preserve">hase 3 trial, </w:t>
      </w:r>
      <w:r w:rsidR="00B360ED" w:rsidRPr="00376E45">
        <w:rPr>
          <w:lang w:val="en-GB"/>
        </w:rPr>
        <w:t xml:space="preserve">baricitinib </w:t>
      </w:r>
      <w:r w:rsidRPr="00376E45">
        <w:rPr>
          <w:lang w:val="en-GB"/>
        </w:rPr>
        <w:t xml:space="preserve">4 mg </w:t>
      </w:r>
      <w:r w:rsidR="004356C8">
        <w:rPr>
          <w:lang w:val="en-GB"/>
        </w:rPr>
        <w:t>once daily (</w:t>
      </w:r>
      <w:r w:rsidR="00E640B6" w:rsidRPr="00376E45">
        <w:rPr>
          <w:lang w:val="en-GB"/>
        </w:rPr>
        <w:t>QD</w:t>
      </w:r>
      <w:r w:rsidR="004356C8">
        <w:rPr>
          <w:lang w:val="en-GB"/>
        </w:rPr>
        <w:t>)</w:t>
      </w:r>
      <w:r w:rsidR="00E640B6" w:rsidRPr="00376E45">
        <w:rPr>
          <w:lang w:val="en-GB"/>
        </w:rPr>
        <w:t xml:space="preserve"> </w:t>
      </w:r>
      <w:r w:rsidRPr="00376E45">
        <w:rPr>
          <w:lang w:val="en-GB"/>
        </w:rPr>
        <w:t xml:space="preserve">monotherapy was found to be similar to </w:t>
      </w:r>
      <w:r w:rsidR="00DE7A89" w:rsidRPr="00376E45">
        <w:rPr>
          <w:lang w:val="en-GB"/>
        </w:rPr>
        <w:t xml:space="preserve">baricitinib </w:t>
      </w:r>
      <w:r w:rsidR="00E640B6" w:rsidRPr="00376E45">
        <w:rPr>
          <w:lang w:val="en-GB"/>
        </w:rPr>
        <w:t xml:space="preserve">4 mg QD in combination </w:t>
      </w:r>
      <w:r w:rsidR="00DE7A89" w:rsidRPr="00376E45">
        <w:rPr>
          <w:lang w:val="en-GB"/>
        </w:rPr>
        <w:t xml:space="preserve">with MTX </w:t>
      </w:r>
      <w:r w:rsidRPr="00376E45">
        <w:rPr>
          <w:lang w:val="en-GB"/>
        </w:rPr>
        <w:t xml:space="preserve">with respect to </w:t>
      </w:r>
      <w:r w:rsidR="00E640B6" w:rsidRPr="00376E45">
        <w:rPr>
          <w:lang w:val="en-GB"/>
        </w:rPr>
        <w:t xml:space="preserve">clinical </w:t>
      </w:r>
      <w:r w:rsidRPr="00376E45">
        <w:rPr>
          <w:lang w:val="en-GB"/>
        </w:rPr>
        <w:t xml:space="preserve">and functional outcomes in </w:t>
      </w:r>
      <w:r w:rsidR="00E640B6" w:rsidRPr="00376E45">
        <w:rPr>
          <w:lang w:val="en-GB"/>
        </w:rPr>
        <w:t xml:space="preserve">an </w:t>
      </w:r>
      <w:r w:rsidRPr="00376E45">
        <w:rPr>
          <w:lang w:val="en-GB"/>
        </w:rPr>
        <w:t>MTX</w:t>
      </w:r>
      <w:r w:rsidR="00E640B6" w:rsidRPr="00376E45">
        <w:rPr>
          <w:lang w:val="en-GB"/>
        </w:rPr>
        <w:t>-</w:t>
      </w:r>
      <w:r w:rsidRPr="00376E45">
        <w:rPr>
          <w:lang w:val="en-GB"/>
        </w:rPr>
        <w:t xml:space="preserve">naïve </w:t>
      </w:r>
      <w:r w:rsidR="00DE7A89" w:rsidRPr="00376E45">
        <w:rPr>
          <w:lang w:val="en-GB"/>
        </w:rPr>
        <w:t>population</w:t>
      </w:r>
      <w:r w:rsidR="00B360ED" w:rsidRPr="00376E45">
        <w:rPr>
          <w:lang w:val="en-GB"/>
        </w:rPr>
        <w:t>.</w:t>
      </w:r>
      <w:r w:rsidR="008D190B" w:rsidRPr="008D190B">
        <w:rPr>
          <w:vertAlign w:val="superscript"/>
          <w:lang w:val="en-GB"/>
        </w:rPr>
        <w:t>24</w:t>
      </w:r>
      <w:r w:rsidR="00DE7A89" w:rsidRPr="00376E45">
        <w:rPr>
          <w:lang w:val="en-GB"/>
        </w:rPr>
        <w:t xml:space="preserve"> </w:t>
      </w:r>
      <w:proofErr w:type="gramStart"/>
      <w:r w:rsidR="00B360ED" w:rsidRPr="00376E45">
        <w:rPr>
          <w:lang w:val="en-GB"/>
        </w:rPr>
        <w:t>Of</w:t>
      </w:r>
      <w:proofErr w:type="gramEnd"/>
      <w:r w:rsidR="00B360ED" w:rsidRPr="00376E45">
        <w:rPr>
          <w:lang w:val="en-GB"/>
        </w:rPr>
        <w:t xml:space="preserve"> note, radiographic progression was significantly attenuated in the baricitinib combination group only. As the population studied in RA-BEGIN </w:t>
      </w:r>
      <w:r w:rsidR="00FB398A">
        <w:rPr>
          <w:lang w:val="en-GB"/>
        </w:rPr>
        <w:t xml:space="preserve">was </w:t>
      </w:r>
      <w:r w:rsidR="00B360ED" w:rsidRPr="00376E45">
        <w:rPr>
          <w:lang w:val="en-GB"/>
        </w:rPr>
        <w:t>MTX-naïve (in contrast to the patients included in ORAL Strategy), i</w:t>
      </w:r>
      <w:r w:rsidR="00E640B6" w:rsidRPr="00376E45">
        <w:rPr>
          <w:lang w:val="en-GB"/>
        </w:rPr>
        <w:t xml:space="preserve">t is currently unclear whether </w:t>
      </w:r>
      <w:r w:rsidR="00DE7A89" w:rsidRPr="00376E45">
        <w:rPr>
          <w:lang w:val="en-GB"/>
        </w:rPr>
        <w:t xml:space="preserve">baricitinib monotherapy is </w:t>
      </w:r>
      <w:r w:rsidR="001004F2">
        <w:rPr>
          <w:lang w:val="en-GB"/>
        </w:rPr>
        <w:t>non-inferior</w:t>
      </w:r>
      <w:r w:rsidR="001004F2" w:rsidRPr="00376E45">
        <w:rPr>
          <w:lang w:val="en-GB"/>
        </w:rPr>
        <w:t xml:space="preserve"> </w:t>
      </w:r>
      <w:r w:rsidR="00DE7A89" w:rsidRPr="00376E45">
        <w:rPr>
          <w:lang w:val="en-GB"/>
        </w:rPr>
        <w:t xml:space="preserve">to </w:t>
      </w:r>
      <w:r w:rsidR="00AC495B" w:rsidRPr="00376E45">
        <w:rPr>
          <w:lang w:val="en-GB"/>
        </w:rPr>
        <w:t xml:space="preserve">baricitinib in </w:t>
      </w:r>
      <w:r w:rsidR="00DE7A89" w:rsidRPr="00376E45">
        <w:rPr>
          <w:lang w:val="en-GB"/>
        </w:rPr>
        <w:t xml:space="preserve">combination </w:t>
      </w:r>
      <w:r w:rsidR="00AC495B" w:rsidRPr="00376E45">
        <w:rPr>
          <w:lang w:val="en-GB"/>
        </w:rPr>
        <w:t>with MTX</w:t>
      </w:r>
      <w:r w:rsidR="00DE7A89" w:rsidRPr="00376E45">
        <w:rPr>
          <w:lang w:val="en-GB"/>
        </w:rPr>
        <w:t xml:space="preserve"> in a</w:t>
      </w:r>
      <w:r w:rsidR="00B360ED" w:rsidRPr="00376E45">
        <w:rPr>
          <w:lang w:val="en-GB"/>
        </w:rPr>
        <w:t>n</w:t>
      </w:r>
      <w:r w:rsidR="00DE7A89" w:rsidRPr="00376E45">
        <w:rPr>
          <w:lang w:val="en-GB"/>
        </w:rPr>
        <w:t xml:space="preserve"> </w:t>
      </w:r>
      <w:r w:rsidR="00D1625F">
        <w:rPr>
          <w:lang w:val="en-GB"/>
        </w:rPr>
        <w:t>MTX inadequate response (</w:t>
      </w:r>
      <w:r w:rsidR="00DE7A89" w:rsidRPr="00376E45">
        <w:rPr>
          <w:lang w:val="en-GB"/>
        </w:rPr>
        <w:t>MTX-IR</w:t>
      </w:r>
      <w:r w:rsidR="00D1625F">
        <w:rPr>
          <w:lang w:val="en-GB"/>
        </w:rPr>
        <w:t>)</w:t>
      </w:r>
      <w:r w:rsidR="00DE7A89" w:rsidRPr="00376E45">
        <w:rPr>
          <w:lang w:val="en-GB"/>
        </w:rPr>
        <w:t xml:space="preserve"> population.</w:t>
      </w:r>
      <w:r w:rsidR="00B360ED" w:rsidRPr="00376E45">
        <w:rPr>
          <w:lang w:val="en-GB"/>
        </w:rPr>
        <w:t xml:space="preserve"> </w:t>
      </w:r>
      <w:r w:rsidR="00AC495B" w:rsidRPr="00376E45">
        <w:rPr>
          <w:lang w:val="en-GB"/>
        </w:rPr>
        <w:t xml:space="preserve">In addition, neither </w:t>
      </w:r>
      <w:r w:rsidR="00E640B6" w:rsidRPr="00376E45">
        <w:rPr>
          <w:lang w:val="en-GB"/>
        </w:rPr>
        <w:t xml:space="preserve">RA-BEAM nor RA-BEGIN </w:t>
      </w:r>
      <w:r w:rsidR="00AC495B" w:rsidRPr="00376E45">
        <w:rPr>
          <w:lang w:val="en-GB"/>
        </w:rPr>
        <w:t xml:space="preserve">compared </w:t>
      </w:r>
      <w:r w:rsidR="00E640B6" w:rsidRPr="00376E45">
        <w:rPr>
          <w:lang w:val="en-GB"/>
        </w:rPr>
        <w:t xml:space="preserve">baricitinib </w:t>
      </w:r>
      <w:r w:rsidR="00AC495B" w:rsidRPr="00376E45">
        <w:rPr>
          <w:lang w:val="en-GB"/>
        </w:rPr>
        <w:t xml:space="preserve">monotherapy </w:t>
      </w:r>
      <w:r w:rsidR="00D1625F">
        <w:rPr>
          <w:lang w:val="en-GB"/>
        </w:rPr>
        <w:t>with</w:t>
      </w:r>
      <w:r w:rsidR="00AC495B" w:rsidRPr="00376E45">
        <w:rPr>
          <w:lang w:val="en-GB"/>
        </w:rPr>
        <w:t xml:space="preserve"> adalimumab</w:t>
      </w:r>
      <w:r w:rsidR="00E640B6" w:rsidRPr="00376E45">
        <w:rPr>
          <w:lang w:val="en-GB"/>
        </w:rPr>
        <w:t xml:space="preserve"> in combination with </w:t>
      </w:r>
      <w:r w:rsidR="00AC495B" w:rsidRPr="00376E45">
        <w:rPr>
          <w:lang w:val="en-GB"/>
        </w:rPr>
        <w:t>MTX</w:t>
      </w:r>
      <w:r w:rsidR="00576FEE">
        <w:rPr>
          <w:lang w:val="en-GB"/>
        </w:rPr>
        <w:t>.</w:t>
      </w:r>
      <w:r w:rsidR="00AC495B" w:rsidRPr="00376E45">
        <w:rPr>
          <w:lang w:val="en-GB"/>
        </w:rPr>
        <w:t xml:space="preserve"> </w:t>
      </w:r>
      <w:r w:rsidR="00576FEE">
        <w:rPr>
          <w:lang w:val="en-GB"/>
        </w:rPr>
        <w:t>T</w:t>
      </w:r>
      <w:r w:rsidR="00B360ED" w:rsidRPr="00376E45">
        <w:rPr>
          <w:lang w:val="en-GB"/>
        </w:rPr>
        <w:t>hus</w:t>
      </w:r>
      <w:r w:rsidR="00576FEE">
        <w:rPr>
          <w:lang w:val="en-GB"/>
        </w:rPr>
        <w:t>,</w:t>
      </w:r>
      <w:r w:rsidR="00B360ED" w:rsidRPr="00376E45">
        <w:rPr>
          <w:lang w:val="en-GB"/>
        </w:rPr>
        <w:t xml:space="preserve"> </w:t>
      </w:r>
      <w:r w:rsidR="00AC495B" w:rsidRPr="00376E45">
        <w:rPr>
          <w:lang w:val="en-GB"/>
        </w:rPr>
        <w:t xml:space="preserve">it is unknown whether baricitinib monotherapy is non-inferior to adalimumab plus </w:t>
      </w:r>
      <w:r w:rsidR="00D1625F">
        <w:rPr>
          <w:lang w:val="en-GB"/>
        </w:rPr>
        <w:t>MTX</w:t>
      </w:r>
      <w:r w:rsidR="00AC495B" w:rsidRPr="00376E45">
        <w:rPr>
          <w:lang w:val="en-GB"/>
        </w:rPr>
        <w:t>.</w:t>
      </w:r>
      <w:r w:rsidR="00A25C5C" w:rsidRPr="00A25C5C">
        <w:t xml:space="preserve"> </w:t>
      </w:r>
      <w:r w:rsidR="00AC495B" w:rsidRPr="00376E45">
        <w:rPr>
          <w:lang w:val="en-GB"/>
        </w:rPr>
        <w:t>Taking these studies collectively (ORAL Standard</w:t>
      </w:r>
      <w:r w:rsidR="00015F9C" w:rsidRPr="00376E45">
        <w:rPr>
          <w:lang w:val="en-GB"/>
        </w:rPr>
        <w:t>, ORAL</w:t>
      </w:r>
      <w:r w:rsidR="00AC495B" w:rsidRPr="00376E45">
        <w:rPr>
          <w:lang w:val="en-GB"/>
        </w:rPr>
        <w:t xml:space="preserve"> Strategy</w:t>
      </w:r>
      <w:r w:rsidR="00E640B6" w:rsidRPr="00376E45">
        <w:rPr>
          <w:lang w:val="en-GB"/>
        </w:rPr>
        <w:t>, RA-BEGIN</w:t>
      </w:r>
      <w:r w:rsidR="00576FEE">
        <w:rPr>
          <w:lang w:val="en-GB"/>
        </w:rPr>
        <w:t>,</w:t>
      </w:r>
      <w:r w:rsidR="00AC495B" w:rsidRPr="00376E45">
        <w:rPr>
          <w:lang w:val="en-GB"/>
        </w:rPr>
        <w:t xml:space="preserve"> and RA-BEAM)</w:t>
      </w:r>
      <w:r w:rsidR="00FB6484" w:rsidRPr="00376E45">
        <w:rPr>
          <w:lang w:val="en-GB"/>
        </w:rPr>
        <w:t xml:space="preserve"> provides further support for the therapeutic potential of JAK</w:t>
      </w:r>
      <w:r w:rsidR="00576FEE">
        <w:rPr>
          <w:lang w:val="en-GB"/>
        </w:rPr>
        <w:t xml:space="preserve"> </w:t>
      </w:r>
      <w:r w:rsidR="00FB6484" w:rsidRPr="00376E45">
        <w:rPr>
          <w:lang w:val="en-GB"/>
        </w:rPr>
        <w:t>inhibition</w:t>
      </w:r>
      <w:r w:rsidR="00AC495B" w:rsidRPr="00376E45">
        <w:rPr>
          <w:lang w:val="en-GB"/>
        </w:rPr>
        <w:t xml:space="preserve"> for </w:t>
      </w:r>
      <w:r w:rsidR="00576FEE">
        <w:rPr>
          <w:lang w:val="en-GB"/>
        </w:rPr>
        <w:t xml:space="preserve">the </w:t>
      </w:r>
      <w:r w:rsidR="00AC495B" w:rsidRPr="00376E45">
        <w:rPr>
          <w:lang w:val="en-GB"/>
        </w:rPr>
        <w:t>treatment of RA.</w:t>
      </w:r>
      <w:r w:rsidR="00432422" w:rsidRPr="00376E45">
        <w:rPr>
          <w:lang w:val="en-GB"/>
        </w:rPr>
        <w:t xml:space="preserve"> I</w:t>
      </w:r>
      <w:r w:rsidR="00AC495B" w:rsidRPr="00376E45">
        <w:rPr>
          <w:lang w:val="en-GB"/>
        </w:rPr>
        <w:t xml:space="preserve">nferences on </w:t>
      </w:r>
      <w:r w:rsidR="00CC10D8">
        <w:rPr>
          <w:lang w:val="en-GB"/>
        </w:rPr>
        <w:t>the</w:t>
      </w:r>
      <w:r w:rsidR="00AC495B" w:rsidRPr="00376E45">
        <w:rPr>
          <w:lang w:val="en-GB"/>
        </w:rPr>
        <w:t xml:space="preserve"> differential efficacy of baricitinib and tofacitinib</w:t>
      </w:r>
      <w:r w:rsidR="00FB6484" w:rsidRPr="00376E45">
        <w:rPr>
          <w:lang w:val="en-GB"/>
        </w:rPr>
        <w:t>,</w:t>
      </w:r>
      <w:r w:rsidR="00AC495B" w:rsidRPr="00376E45">
        <w:rPr>
          <w:lang w:val="en-GB"/>
        </w:rPr>
        <w:t xml:space="preserve"> </w:t>
      </w:r>
      <w:r w:rsidR="00432422" w:rsidRPr="00376E45">
        <w:rPr>
          <w:lang w:val="en-GB"/>
        </w:rPr>
        <w:t>however</w:t>
      </w:r>
      <w:r w:rsidR="00FB6484" w:rsidRPr="00376E45">
        <w:rPr>
          <w:lang w:val="en-GB"/>
        </w:rPr>
        <w:t>,</w:t>
      </w:r>
      <w:r w:rsidR="00432422" w:rsidRPr="00376E45">
        <w:rPr>
          <w:lang w:val="en-GB"/>
        </w:rPr>
        <w:t xml:space="preserve"> </w:t>
      </w:r>
      <w:r w:rsidR="00AC495B" w:rsidRPr="00376E45">
        <w:rPr>
          <w:lang w:val="en-GB"/>
        </w:rPr>
        <w:t>cannot be made in the absence of a head-to-head comparison</w:t>
      </w:r>
      <w:r w:rsidR="00432422" w:rsidRPr="00376E45">
        <w:rPr>
          <w:lang w:val="en-GB"/>
        </w:rPr>
        <w:t xml:space="preserve"> of the two</w:t>
      </w:r>
      <w:r w:rsidR="00FB6484" w:rsidRPr="00376E45">
        <w:rPr>
          <w:lang w:val="en-GB"/>
        </w:rPr>
        <w:t xml:space="preserve"> therapies</w:t>
      </w:r>
      <w:r w:rsidR="00AC495B" w:rsidRPr="00376E45">
        <w:rPr>
          <w:lang w:val="en-GB"/>
        </w:rPr>
        <w:t>.</w:t>
      </w:r>
    </w:p>
    <w:p w14:paraId="031DB938" w14:textId="3782270B" w:rsidR="00DE7A89" w:rsidRPr="00376E45" w:rsidRDefault="00DE7A89" w:rsidP="00DE7A89">
      <w:pPr>
        <w:rPr>
          <w:lang w:val="en-GB"/>
        </w:rPr>
      </w:pPr>
      <w:r w:rsidRPr="00376E45">
        <w:rPr>
          <w:lang w:val="en-GB"/>
        </w:rPr>
        <w:t xml:space="preserve">This is the first trial </w:t>
      </w:r>
      <w:r w:rsidR="00BA600E" w:rsidRPr="00376E45">
        <w:rPr>
          <w:lang w:val="en-GB"/>
        </w:rPr>
        <w:t xml:space="preserve">directly </w:t>
      </w:r>
      <w:r w:rsidRPr="00376E45">
        <w:rPr>
          <w:lang w:val="en-GB"/>
        </w:rPr>
        <w:t xml:space="preserve">comparing </w:t>
      </w:r>
      <w:r w:rsidR="00376E45">
        <w:rPr>
          <w:lang w:val="en-GB"/>
        </w:rPr>
        <w:t xml:space="preserve">tofacitinib </w:t>
      </w:r>
      <w:r w:rsidRPr="00376E45">
        <w:rPr>
          <w:lang w:val="en-GB"/>
        </w:rPr>
        <w:t xml:space="preserve">monotherapy </w:t>
      </w:r>
      <w:r w:rsidR="00BA600E" w:rsidRPr="00376E45">
        <w:rPr>
          <w:lang w:val="en-GB"/>
        </w:rPr>
        <w:t xml:space="preserve">with tofacitinib in </w:t>
      </w:r>
      <w:r w:rsidRPr="00376E45">
        <w:rPr>
          <w:lang w:val="en-GB"/>
        </w:rPr>
        <w:t xml:space="preserve">combination with MTX. </w:t>
      </w:r>
      <w:r w:rsidR="00BA600E" w:rsidRPr="00376E45">
        <w:rPr>
          <w:lang w:val="en-GB"/>
        </w:rPr>
        <w:t>N</w:t>
      </w:r>
      <w:r w:rsidR="00432422" w:rsidRPr="00376E45">
        <w:rPr>
          <w:lang w:val="en-GB"/>
        </w:rPr>
        <w:t xml:space="preserve">on-inferiority could not be demonstrated for tofacitinib monotherapy compared with either combination arm. In this study, </w:t>
      </w:r>
      <w:r w:rsidR="00D1625F" w:rsidRPr="00D1625F">
        <w:rPr>
          <w:lang w:val="en-GB"/>
        </w:rPr>
        <w:t>however,</w:t>
      </w:r>
      <w:r w:rsidR="00D1625F">
        <w:rPr>
          <w:lang w:val="en-GB"/>
        </w:rPr>
        <w:t xml:space="preserve"> </w:t>
      </w:r>
      <w:r w:rsidR="00432422" w:rsidRPr="00376E45">
        <w:rPr>
          <w:lang w:val="en-GB"/>
        </w:rPr>
        <w:t xml:space="preserve">tofacitinib monotherapy demonstrated ACR20/50/70 responses and improvements in composite measures of disease activity and HAQ-DI similar to those previously reported in the </w:t>
      </w:r>
      <w:r w:rsidR="00151D9E">
        <w:rPr>
          <w:lang w:val="en-GB"/>
        </w:rPr>
        <w:t>P</w:t>
      </w:r>
      <w:r w:rsidR="00432422" w:rsidRPr="00376E45">
        <w:rPr>
          <w:lang w:val="en-GB"/>
        </w:rPr>
        <w:t>hase 3 tofacitinib monotherapy placebo-controlled trials.</w:t>
      </w:r>
      <w:r w:rsidR="00F95689" w:rsidRPr="00F95689">
        <w:rPr>
          <w:vertAlign w:val="superscript"/>
          <w:lang w:val="en-GB"/>
        </w:rPr>
        <w:t>5</w:t>
      </w:r>
      <w:r w:rsidR="00432422" w:rsidRPr="00376E45">
        <w:rPr>
          <w:lang w:val="en-GB"/>
        </w:rPr>
        <w:t xml:space="preserve"> </w:t>
      </w:r>
      <w:r w:rsidR="007A45C9">
        <w:rPr>
          <w:lang w:val="en-GB"/>
        </w:rPr>
        <w:t>Of interest, a</w:t>
      </w:r>
      <w:r w:rsidR="00376E45">
        <w:rPr>
          <w:lang w:val="en-GB"/>
        </w:rPr>
        <w:t xml:space="preserve">cross </w:t>
      </w:r>
      <w:r w:rsidR="00432422" w:rsidRPr="00376E45">
        <w:rPr>
          <w:lang w:val="en-GB"/>
        </w:rPr>
        <w:t xml:space="preserve">the </w:t>
      </w:r>
      <w:r w:rsidR="00376E45">
        <w:rPr>
          <w:lang w:val="en-GB"/>
        </w:rPr>
        <w:t xml:space="preserve">tofacitinib </w:t>
      </w:r>
      <w:r w:rsidR="00151D9E">
        <w:rPr>
          <w:lang w:val="en-GB"/>
        </w:rPr>
        <w:t>P</w:t>
      </w:r>
      <w:r w:rsidR="00432422" w:rsidRPr="00376E45">
        <w:rPr>
          <w:lang w:val="en-GB"/>
        </w:rPr>
        <w:t>hase 3 trial program,</w:t>
      </w:r>
      <w:r w:rsidRPr="00376E45">
        <w:rPr>
          <w:lang w:val="en-GB"/>
        </w:rPr>
        <w:t xml:space="preserve"> ACR response</w:t>
      </w:r>
      <w:r w:rsidR="00376E45">
        <w:rPr>
          <w:lang w:val="en-GB"/>
        </w:rPr>
        <w:t xml:space="preserve"> rate</w:t>
      </w:r>
      <w:r w:rsidRPr="00376E45">
        <w:rPr>
          <w:lang w:val="en-GB"/>
        </w:rPr>
        <w:t xml:space="preserve">s were higher in </w:t>
      </w:r>
      <w:r w:rsidR="00376E45">
        <w:rPr>
          <w:lang w:val="en-GB"/>
        </w:rPr>
        <w:t xml:space="preserve">trials of tofacitinib monotherapy than in </w:t>
      </w:r>
      <w:r w:rsidR="00AC495B" w:rsidRPr="00376E45">
        <w:rPr>
          <w:lang w:val="en-GB"/>
        </w:rPr>
        <w:t xml:space="preserve">trials of </w:t>
      </w:r>
      <w:r w:rsidR="00376E45">
        <w:rPr>
          <w:lang w:val="en-GB"/>
        </w:rPr>
        <w:t xml:space="preserve">tofacitinib </w:t>
      </w:r>
      <w:r w:rsidRPr="00376E45">
        <w:rPr>
          <w:lang w:val="en-GB"/>
        </w:rPr>
        <w:t>in combination with a csDMARD</w:t>
      </w:r>
      <w:r w:rsidR="007A45C9">
        <w:rPr>
          <w:lang w:val="en-GB"/>
        </w:rPr>
        <w:t>; this was found not to be true in ORAL Strategy</w:t>
      </w:r>
      <w:r w:rsidRPr="00376E45">
        <w:rPr>
          <w:lang w:val="en-GB"/>
        </w:rPr>
        <w:t xml:space="preserve">. This </w:t>
      </w:r>
      <w:r w:rsidR="00376E45">
        <w:rPr>
          <w:lang w:val="en-GB"/>
        </w:rPr>
        <w:t>highlights</w:t>
      </w:r>
      <w:r w:rsidRPr="00376E45">
        <w:rPr>
          <w:lang w:val="en-GB"/>
        </w:rPr>
        <w:t xml:space="preserve"> the importance of comparing efficacy between two treatment strategies only in a powered head</w:t>
      </w:r>
      <w:r w:rsidR="00376E45">
        <w:rPr>
          <w:lang w:val="en-GB"/>
        </w:rPr>
        <w:t>-</w:t>
      </w:r>
      <w:r w:rsidRPr="00376E45">
        <w:rPr>
          <w:lang w:val="en-GB"/>
        </w:rPr>
        <w:t>to</w:t>
      </w:r>
      <w:r w:rsidR="00376E45">
        <w:rPr>
          <w:lang w:val="en-GB"/>
        </w:rPr>
        <w:t>-</w:t>
      </w:r>
      <w:r w:rsidRPr="00376E45">
        <w:rPr>
          <w:lang w:val="en-GB"/>
        </w:rPr>
        <w:t>head trial</w:t>
      </w:r>
      <w:r w:rsidR="00082283">
        <w:rPr>
          <w:lang w:val="en-GB"/>
        </w:rPr>
        <w:t>,</w:t>
      </w:r>
      <w:r w:rsidRPr="00376E45">
        <w:rPr>
          <w:lang w:val="en-GB"/>
        </w:rPr>
        <w:t xml:space="preserve"> rather than comparing </w:t>
      </w:r>
      <w:r w:rsidR="00376E45">
        <w:rPr>
          <w:lang w:val="en-GB"/>
        </w:rPr>
        <w:t>between different source</w:t>
      </w:r>
      <w:r w:rsidRPr="00376E45">
        <w:rPr>
          <w:lang w:val="en-GB"/>
        </w:rPr>
        <w:t xml:space="preserve"> populations, even </w:t>
      </w:r>
      <w:r w:rsidR="00376E45">
        <w:rPr>
          <w:lang w:val="en-GB"/>
        </w:rPr>
        <w:t xml:space="preserve">when </w:t>
      </w:r>
      <w:r w:rsidRPr="00376E45">
        <w:rPr>
          <w:lang w:val="en-GB"/>
        </w:rPr>
        <w:t>baseline demographics appear to be similar.</w:t>
      </w:r>
    </w:p>
    <w:p w14:paraId="13D796D3" w14:textId="26115C32" w:rsidR="00E3783C" w:rsidRDefault="00AC495B" w:rsidP="002F4674">
      <w:pPr>
        <w:rPr>
          <w:lang w:val="en-GB"/>
        </w:rPr>
      </w:pPr>
      <w:r w:rsidRPr="00376E45">
        <w:rPr>
          <w:lang w:val="en-GB"/>
        </w:rPr>
        <w:t xml:space="preserve"> </w:t>
      </w:r>
      <w:r w:rsidR="00015F9C" w:rsidRPr="00376E45">
        <w:rPr>
          <w:lang w:val="en-GB" w:eastAsia="ja-JP"/>
        </w:rPr>
        <w:t>W</w:t>
      </w:r>
      <w:r w:rsidR="00AA587D" w:rsidRPr="00376E45">
        <w:rPr>
          <w:lang w:val="en-GB" w:eastAsia="ja-JP"/>
        </w:rPr>
        <w:t xml:space="preserve">hen treating a patient with active RA, it is important to </w:t>
      </w:r>
      <w:r w:rsidR="00E55DE8" w:rsidRPr="00376E45">
        <w:rPr>
          <w:lang w:val="en-GB" w:eastAsia="ja-JP"/>
        </w:rPr>
        <w:t xml:space="preserve">not only </w:t>
      </w:r>
      <w:r w:rsidR="00AA587D" w:rsidRPr="00376E45">
        <w:rPr>
          <w:lang w:val="en-GB" w:eastAsia="ja-JP"/>
        </w:rPr>
        <w:t xml:space="preserve">control clinical symptoms, </w:t>
      </w:r>
      <w:r w:rsidR="00E55DE8" w:rsidRPr="00376E45">
        <w:rPr>
          <w:lang w:val="en-GB" w:eastAsia="ja-JP"/>
        </w:rPr>
        <w:t>as</w:t>
      </w:r>
      <w:r w:rsidR="00AA587D" w:rsidRPr="00376E45">
        <w:rPr>
          <w:lang w:val="en-GB" w:eastAsia="ja-JP"/>
        </w:rPr>
        <w:t xml:space="preserve"> measured by ACR responses and change in DAS28</w:t>
      </w:r>
      <w:r w:rsidR="00E55DE8" w:rsidRPr="00376E45">
        <w:rPr>
          <w:lang w:val="en-GB" w:eastAsia="ja-JP"/>
        </w:rPr>
        <w:t>-4</w:t>
      </w:r>
      <w:r w:rsidR="00AA587D" w:rsidRPr="00376E45">
        <w:rPr>
          <w:lang w:val="en-GB" w:eastAsia="ja-JP"/>
        </w:rPr>
        <w:t>(ESR), SDAI</w:t>
      </w:r>
      <w:r w:rsidR="00F24F75" w:rsidRPr="00376E45">
        <w:rPr>
          <w:lang w:val="en-GB" w:eastAsia="ja-JP"/>
        </w:rPr>
        <w:t>,</w:t>
      </w:r>
      <w:r w:rsidR="00AA587D" w:rsidRPr="00376E45">
        <w:rPr>
          <w:lang w:val="en-GB" w:eastAsia="ja-JP"/>
        </w:rPr>
        <w:t xml:space="preserve"> and CDAI, but also to improve patient function, which is </w:t>
      </w:r>
      <w:r w:rsidR="00B9116C" w:rsidRPr="00376E45">
        <w:rPr>
          <w:lang w:val="en-GB" w:eastAsia="ja-JP"/>
        </w:rPr>
        <w:t>reflected</w:t>
      </w:r>
      <w:r w:rsidR="00AA587D" w:rsidRPr="00376E45">
        <w:rPr>
          <w:lang w:val="en-GB" w:eastAsia="ja-JP"/>
        </w:rPr>
        <w:t xml:space="preserve"> </w:t>
      </w:r>
      <w:r w:rsidR="00CC10D8">
        <w:rPr>
          <w:lang w:val="en-GB" w:eastAsia="ja-JP"/>
        </w:rPr>
        <w:t xml:space="preserve">by </w:t>
      </w:r>
      <w:r w:rsidR="00AA587D" w:rsidRPr="00376E45">
        <w:rPr>
          <w:lang w:val="en-GB" w:eastAsia="ja-JP"/>
        </w:rPr>
        <w:t xml:space="preserve">patient reported outcomes such as the HAQ-DI. </w:t>
      </w:r>
      <w:r w:rsidR="0067463A" w:rsidRPr="00376E45">
        <w:rPr>
          <w:lang w:val="en-GB"/>
        </w:rPr>
        <w:t xml:space="preserve">Of </w:t>
      </w:r>
      <w:r w:rsidR="00E55DE8" w:rsidRPr="00376E45">
        <w:rPr>
          <w:lang w:val="en-GB"/>
        </w:rPr>
        <w:t>note</w:t>
      </w:r>
      <w:r w:rsidR="00AA587D" w:rsidRPr="00376E45">
        <w:rPr>
          <w:lang w:val="en-GB"/>
        </w:rPr>
        <w:t xml:space="preserve">, </w:t>
      </w:r>
      <w:r w:rsidR="00E55DE8" w:rsidRPr="00376E45">
        <w:rPr>
          <w:lang w:val="en-GB"/>
        </w:rPr>
        <w:t>in this trial</w:t>
      </w:r>
      <w:r w:rsidR="00A747F6" w:rsidRPr="00376E45">
        <w:rPr>
          <w:lang w:val="en-GB"/>
        </w:rPr>
        <w:t>,</w:t>
      </w:r>
      <w:r w:rsidR="00E55DE8" w:rsidRPr="00376E45">
        <w:rPr>
          <w:lang w:val="en-GB"/>
        </w:rPr>
        <w:t xml:space="preserve"> </w:t>
      </w:r>
      <w:r w:rsidR="00AA587D" w:rsidRPr="00376E45">
        <w:rPr>
          <w:lang w:val="en-GB"/>
        </w:rPr>
        <w:t>improvement</w:t>
      </w:r>
      <w:r w:rsidR="005A7EC4" w:rsidRPr="00376E45">
        <w:rPr>
          <w:lang w:val="en-GB"/>
        </w:rPr>
        <w:t>s</w:t>
      </w:r>
      <w:r w:rsidR="00AA587D" w:rsidRPr="00376E45">
        <w:rPr>
          <w:lang w:val="en-GB"/>
        </w:rPr>
        <w:t xml:space="preserve"> in </w:t>
      </w:r>
      <w:r w:rsidR="0067463A" w:rsidRPr="00376E45">
        <w:rPr>
          <w:lang w:val="en-GB"/>
        </w:rPr>
        <w:t>HAQ-DI among the three groups</w:t>
      </w:r>
      <w:r w:rsidR="00B9116C" w:rsidRPr="00376E45">
        <w:rPr>
          <w:lang w:val="en-GB"/>
        </w:rPr>
        <w:t xml:space="preserve"> were</w:t>
      </w:r>
      <w:r w:rsidR="00A747F6" w:rsidRPr="00376E45">
        <w:rPr>
          <w:lang w:val="en-GB"/>
        </w:rPr>
        <w:t xml:space="preserve"> comparable</w:t>
      </w:r>
      <w:r w:rsidR="00B9116C" w:rsidRPr="00376E45">
        <w:rPr>
          <w:lang w:val="en-GB"/>
        </w:rPr>
        <w:t>.</w:t>
      </w:r>
      <w:r w:rsidR="000872DC" w:rsidRPr="00376E45">
        <w:rPr>
          <w:lang w:val="en-GB" w:eastAsia="ja-JP"/>
        </w:rPr>
        <w:t xml:space="preserve"> </w:t>
      </w:r>
      <w:r w:rsidR="00AA587D" w:rsidRPr="00376E45">
        <w:rPr>
          <w:lang w:val="en-GB" w:eastAsia="ja-JP"/>
        </w:rPr>
        <w:t xml:space="preserve">Taking the clinical and functional results of this </w:t>
      </w:r>
      <w:r w:rsidR="00E55DE8" w:rsidRPr="00376E45">
        <w:rPr>
          <w:lang w:val="en-GB" w:eastAsia="ja-JP"/>
        </w:rPr>
        <w:t>trial</w:t>
      </w:r>
      <w:r w:rsidR="00AA587D" w:rsidRPr="00376E45">
        <w:rPr>
          <w:lang w:val="en-GB" w:eastAsia="ja-JP"/>
        </w:rPr>
        <w:t xml:space="preserve"> together, it appear</w:t>
      </w:r>
      <w:r w:rsidR="00A1345B" w:rsidRPr="00376E45">
        <w:rPr>
          <w:lang w:val="en-GB" w:eastAsia="ja-JP"/>
        </w:rPr>
        <w:t>s</w:t>
      </w:r>
      <w:r w:rsidR="00AA587D" w:rsidRPr="00376E45">
        <w:rPr>
          <w:lang w:val="en-GB" w:eastAsia="ja-JP"/>
        </w:rPr>
        <w:t xml:space="preserve"> that</w:t>
      </w:r>
      <w:r w:rsidR="0009635D" w:rsidRPr="00376E45">
        <w:rPr>
          <w:lang w:val="en-GB" w:eastAsia="ja-JP"/>
        </w:rPr>
        <w:t>,</w:t>
      </w:r>
      <w:r w:rsidR="00AA587D" w:rsidRPr="00376E45">
        <w:rPr>
          <w:lang w:val="en-GB" w:eastAsia="ja-JP"/>
        </w:rPr>
        <w:t xml:space="preserve"> in </w:t>
      </w:r>
      <w:r w:rsidR="00E55DE8" w:rsidRPr="00376E45">
        <w:rPr>
          <w:lang w:val="en-GB" w:eastAsia="ja-JP"/>
        </w:rPr>
        <w:t>the</w:t>
      </w:r>
      <w:r w:rsidR="00AA587D" w:rsidRPr="00376E45">
        <w:rPr>
          <w:lang w:val="en-GB" w:eastAsia="ja-JP"/>
        </w:rPr>
        <w:t xml:space="preserve"> </w:t>
      </w:r>
      <w:r w:rsidR="0009635D" w:rsidRPr="00376E45">
        <w:rPr>
          <w:lang w:val="en-GB" w:eastAsia="ja-JP"/>
        </w:rPr>
        <w:t>population assessed</w:t>
      </w:r>
      <w:r w:rsidR="00AA587D" w:rsidRPr="00376E45">
        <w:rPr>
          <w:lang w:val="en-GB" w:eastAsia="ja-JP"/>
        </w:rPr>
        <w:t xml:space="preserve">, patients in general will respond better to the addition of tofacitinib 5 mg BID or adalimumab 40 mg </w:t>
      </w:r>
      <w:r w:rsidR="00F24F75" w:rsidRPr="00376E45">
        <w:rPr>
          <w:lang w:val="en-GB" w:eastAsia="ja-JP"/>
        </w:rPr>
        <w:t>Q2W</w:t>
      </w:r>
      <w:r w:rsidR="00AA587D" w:rsidRPr="00376E45">
        <w:rPr>
          <w:lang w:val="en-GB" w:eastAsia="ja-JP"/>
        </w:rPr>
        <w:t xml:space="preserve"> to MTX</w:t>
      </w:r>
      <w:r w:rsidR="003A6F6A" w:rsidRPr="00376E45">
        <w:rPr>
          <w:lang w:val="en-GB" w:eastAsia="ja-JP"/>
        </w:rPr>
        <w:t xml:space="preserve"> rather than switching from MTX directly to tofacitinib 5 mg BID monotherapy</w:t>
      </w:r>
      <w:r w:rsidR="00A1345B" w:rsidRPr="00376E45">
        <w:rPr>
          <w:lang w:val="en-GB" w:eastAsia="ja-JP"/>
        </w:rPr>
        <w:t>.</w:t>
      </w:r>
      <w:r w:rsidR="003A6F6A" w:rsidRPr="00376E45">
        <w:rPr>
          <w:lang w:val="en-GB" w:eastAsia="ja-JP"/>
        </w:rPr>
        <w:t xml:space="preserve"> </w:t>
      </w:r>
      <w:r w:rsidR="00F13B4E" w:rsidRPr="00376E45">
        <w:rPr>
          <w:lang w:val="en-GB" w:eastAsia="ja-JP"/>
        </w:rPr>
        <w:t xml:space="preserve">In clinical practice, </w:t>
      </w:r>
      <w:r w:rsidR="00591111" w:rsidRPr="00376E45">
        <w:rPr>
          <w:lang w:val="en-GB" w:eastAsia="ja-JP"/>
        </w:rPr>
        <w:t xml:space="preserve">a </w:t>
      </w:r>
      <w:r w:rsidR="00F13B4E" w:rsidRPr="00376E45">
        <w:rPr>
          <w:lang w:val="en-GB" w:eastAsia="ja-JP"/>
        </w:rPr>
        <w:t xml:space="preserve">csDMARD </w:t>
      </w:r>
      <w:r w:rsidR="001004F2">
        <w:rPr>
          <w:lang w:val="en-GB" w:eastAsia="ja-JP"/>
        </w:rPr>
        <w:t>(</w:t>
      </w:r>
      <w:r w:rsidR="00B9116C" w:rsidRPr="00376E45">
        <w:rPr>
          <w:lang w:val="en-GB" w:eastAsia="ja-JP"/>
        </w:rPr>
        <w:t>or combination of csDMARDs</w:t>
      </w:r>
      <w:r w:rsidR="001004F2">
        <w:rPr>
          <w:lang w:val="en-GB" w:eastAsia="ja-JP"/>
        </w:rPr>
        <w:t>)</w:t>
      </w:r>
      <w:r w:rsidR="00B9116C" w:rsidRPr="00376E45">
        <w:rPr>
          <w:lang w:val="en-GB" w:eastAsia="ja-JP"/>
        </w:rPr>
        <w:t xml:space="preserve"> </w:t>
      </w:r>
      <w:r w:rsidR="00F13B4E" w:rsidRPr="00376E45">
        <w:rPr>
          <w:lang w:val="en-GB" w:eastAsia="ja-JP"/>
        </w:rPr>
        <w:t xml:space="preserve">or </w:t>
      </w:r>
      <w:r w:rsidR="00A1345B" w:rsidRPr="00376E45">
        <w:rPr>
          <w:lang w:val="en-GB" w:eastAsia="ja-JP"/>
        </w:rPr>
        <w:t xml:space="preserve">a </w:t>
      </w:r>
      <w:r w:rsidR="00F13B4E" w:rsidRPr="00376E45">
        <w:rPr>
          <w:lang w:val="en-GB" w:eastAsia="ja-JP"/>
        </w:rPr>
        <w:t>bDMARD</w:t>
      </w:r>
      <w:r w:rsidR="00591111" w:rsidRPr="00376E45">
        <w:rPr>
          <w:lang w:val="en-GB" w:eastAsia="ja-JP"/>
        </w:rPr>
        <w:t xml:space="preserve"> </w:t>
      </w:r>
      <w:r w:rsidR="007D62A6" w:rsidRPr="00376E45">
        <w:rPr>
          <w:lang w:val="en-GB" w:eastAsia="ja-JP"/>
        </w:rPr>
        <w:t xml:space="preserve">is added </w:t>
      </w:r>
      <w:r w:rsidR="00591111" w:rsidRPr="00376E45">
        <w:rPr>
          <w:lang w:val="en-GB" w:eastAsia="ja-JP"/>
        </w:rPr>
        <w:t xml:space="preserve">to MTX in </w:t>
      </w:r>
      <w:r w:rsidR="00B9116C" w:rsidRPr="00376E45">
        <w:rPr>
          <w:lang w:val="en-GB" w:eastAsia="ja-JP"/>
        </w:rPr>
        <w:t xml:space="preserve">a </w:t>
      </w:r>
      <w:r w:rsidR="00F13B4E" w:rsidRPr="00376E45">
        <w:rPr>
          <w:lang w:val="en-GB" w:eastAsia="ja-JP"/>
        </w:rPr>
        <w:t xml:space="preserve">patient </w:t>
      </w:r>
      <w:r w:rsidR="00591111" w:rsidRPr="00376E45">
        <w:rPr>
          <w:lang w:val="en-GB" w:eastAsia="ja-JP"/>
        </w:rPr>
        <w:t xml:space="preserve">with </w:t>
      </w:r>
      <w:r w:rsidR="00F13B4E" w:rsidRPr="00376E45">
        <w:rPr>
          <w:lang w:val="en-GB" w:eastAsia="ja-JP"/>
        </w:rPr>
        <w:t xml:space="preserve">an </w:t>
      </w:r>
      <w:r w:rsidR="00591111" w:rsidRPr="00376E45">
        <w:rPr>
          <w:lang w:val="en-GB" w:eastAsia="ja-JP"/>
        </w:rPr>
        <w:t xml:space="preserve">inadequate response to MTX, </w:t>
      </w:r>
      <w:r w:rsidR="00B9116C" w:rsidRPr="00376E45">
        <w:rPr>
          <w:lang w:val="en-GB" w:eastAsia="ja-JP"/>
        </w:rPr>
        <w:t>consistent</w:t>
      </w:r>
      <w:r w:rsidR="00591111" w:rsidRPr="00376E45">
        <w:rPr>
          <w:lang w:val="en-GB" w:eastAsia="ja-JP"/>
        </w:rPr>
        <w:t xml:space="preserve"> with the</w:t>
      </w:r>
      <w:r w:rsidR="000872DC" w:rsidRPr="00376E45">
        <w:rPr>
          <w:lang w:val="en-GB" w:eastAsia="ja-JP"/>
        </w:rPr>
        <w:t xml:space="preserve"> most recently updated </w:t>
      </w:r>
      <w:r w:rsidR="003A6F6A" w:rsidRPr="00376E45">
        <w:rPr>
          <w:lang w:val="en-GB" w:eastAsia="ja-JP"/>
        </w:rPr>
        <w:t xml:space="preserve">ACR and </w:t>
      </w:r>
      <w:r w:rsidR="000872DC" w:rsidRPr="00376E45">
        <w:rPr>
          <w:lang w:val="en-GB" w:eastAsia="ja-JP"/>
        </w:rPr>
        <w:t xml:space="preserve">EULAR </w:t>
      </w:r>
      <w:r w:rsidR="00084C72" w:rsidRPr="00376E45">
        <w:rPr>
          <w:lang w:val="en-GB" w:eastAsia="ja-JP"/>
        </w:rPr>
        <w:t xml:space="preserve">recommendations </w:t>
      </w:r>
      <w:r w:rsidR="003A6F6A" w:rsidRPr="00376E45">
        <w:rPr>
          <w:lang w:val="en-GB" w:eastAsia="ja-JP"/>
        </w:rPr>
        <w:t>for the treatment of RA</w:t>
      </w:r>
      <w:r w:rsidR="004C5ECD" w:rsidRPr="00376E45">
        <w:rPr>
          <w:lang w:val="en-GB" w:eastAsia="ja-JP"/>
        </w:rPr>
        <w:t>.</w:t>
      </w:r>
      <w:r w:rsidR="007D62A6" w:rsidRPr="00376E45">
        <w:rPr>
          <w:vertAlign w:val="superscript"/>
          <w:lang w:val="en-GB" w:eastAsia="ja-JP"/>
        </w:rPr>
        <w:t>2,3</w:t>
      </w:r>
      <w:r w:rsidR="000872DC" w:rsidRPr="00376E45">
        <w:rPr>
          <w:lang w:val="en-GB" w:eastAsia="ja-JP"/>
        </w:rPr>
        <w:t xml:space="preserve"> </w:t>
      </w:r>
      <w:r w:rsidR="00E55DE8" w:rsidRPr="00376E45">
        <w:rPr>
          <w:lang w:val="en-GB" w:eastAsia="ja-JP"/>
        </w:rPr>
        <w:t xml:space="preserve">Thus, in accordance with both sets of </w:t>
      </w:r>
      <w:r w:rsidR="00772601" w:rsidRPr="00376E45">
        <w:rPr>
          <w:lang w:val="en-GB" w:eastAsia="ja-JP"/>
        </w:rPr>
        <w:t>recommendations</w:t>
      </w:r>
      <w:r w:rsidR="003A6F6A" w:rsidRPr="00376E45">
        <w:rPr>
          <w:lang w:val="en-GB" w:eastAsia="ja-JP"/>
        </w:rPr>
        <w:t>, patient</w:t>
      </w:r>
      <w:r w:rsidR="00772601" w:rsidRPr="00376E45">
        <w:rPr>
          <w:lang w:val="en-GB" w:eastAsia="ja-JP"/>
        </w:rPr>
        <w:t>s</w:t>
      </w:r>
      <w:r w:rsidR="003A6F6A" w:rsidRPr="00376E45">
        <w:rPr>
          <w:lang w:val="en-GB" w:eastAsia="ja-JP"/>
        </w:rPr>
        <w:t xml:space="preserve"> </w:t>
      </w:r>
      <w:r w:rsidR="00E55DE8" w:rsidRPr="00376E45">
        <w:rPr>
          <w:lang w:val="en-GB" w:eastAsia="ja-JP"/>
        </w:rPr>
        <w:t>should</w:t>
      </w:r>
      <w:r w:rsidR="003A6F6A" w:rsidRPr="00376E45">
        <w:rPr>
          <w:lang w:val="en-GB" w:eastAsia="ja-JP"/>
        </w:rPr>
        <w:t xml:space="preserve"> start treatment with a csDMARD such as MTX. If the patient does not reach the </w:t>
      </w:r>
      <w:r w:rsidR="00A036D6">
        <w:rPr>
          <w:lang w:val="en-GB" w:eastAsia="ja-JP"/>
        </w:rPr>
        <w:t>desired</w:t>
      </w:r>
      <w:r w:rsidR="00A036D6" w:rsidRPr="00376E45">
        <w:rPr>
          <w:lang w:val="en-GB" w:eastAsia="ja-JP"/>
        </w:rPr>
        <w:t xml:space="preserve"> </w:t>
      </w:r>
      <w:r w:rsidR="00A036D6">
        <w:rPr>
          <w:lang w:val="en-GB" w:eastAsia="ja-JP"/>
        </w:rPr>
        <w:t xml:space="preserve">treatment </w:t>
      </w:r>
      <w:r w:rsidR="003A6F6A" w:rsidRPr="00376E45">
        <w:rPr>
          <w:lang w:val="en-GB" w:eastAsia="ja-JP"/>
        </w:rPr>
        <w:t>target with the csDMARD</w:t>
      </w:r>
      <w:r w:rsidR="00B9116C" w:rsidRPr="00376E45">
        <w:rPr>
          <w:lang w:val="en-GB" w:eastAsia="ja-JP"/>
        </w:rPr>
        <w:t>, or combination of csDMARDs,</w:t>
      </w:r>
      <w:r w:rsidR="003A6F6A" w:rsidRPr="00376E45">
        <w:rPr>
          <w:lang w:val="en-GB" w:eastAsia="ja-JP"/>
        </w:rPr>
        <w:t xml:space="preserve"> </w:t>
      </w:r>
      <w:r w:rsidR="00F24F75" w:rsidRPr="00376E45">
        <w:rPr>
          <w:lang w:val="en-GB" w:eastAsia="ja-JP"/>
        </w:rPr>
        <w:t>with</w:t>
      </w:r>
      <w:r w:rsidR="003A6F6A" w:rsidRPr="00376E45">
        <w:rPr>
          <w:lang w:val="en-GB" w:eastAsia="ja-JP"/>
        </w:rPr>
        <w:t xml:space="preserve">in a reasonable time, then </w:t>
      </w:r>
      <w:r w:rsidR="00B9116C" w:rsidRPr="00376E45">
        <w:rPr>
          <w:lang w:val="en-GB" w:eastAsia="ja-JP"/>
        </w:rPr>
        <w:t xml:space="preserve">a </w:t>
      </w:r>
      <w:proofErr w:type="spellStart"/>
      <w:r w:rsidR="00B9116C" w:rsidRPr="00376E45">
        <w:rPr>
          <w:lang w:val="en-GB" w:eastAsia="ja-JP"/>
        </w:rPr>
        <w:t>tsDMARD</w:t>
      </w:r>
      <w:proofErr w:type="spellEnd"/>
      <w:r w:rsidR="00B9116C" w:rsidRPr="00376E45">
        <w:rPr>
          <w:lang w:val="en-GB" w:eastAsia="ja-JP"/>
        </w:rPr>
        <w:t xml:space="preserve"> </w:t>
      </w:r>
      <w:r w:rsidR="0022408F" w:rsidRPr="00376E45">
        <w:rPr>
          <w:lang w:val="en-GB" w:eastAsia="ja-JP"/>
        </w:rPr>
        <w:t>such as tofacitinib</w:t>
      </w:r>
      <w:r w:rsidR="0022408F">
        <w:rPr>
          <w:lang w:val="en-GB" w:eastAsia="ja-JP"/>
        </w:rPr>
        <w:t>,</w:t>
      </w:r>
      <w:r w:rsidR="0022408F" w:rsidRPr="00376E45">
        <w:rPr>
          <w:lang w:val="en-GB" w:eastAsia="ja-JP"/>
        </w:rPr>
        <w:t xml:space="preserve"> </w:t>
      </w:r>
      <w:r w:rsidR="00B9116C" w:rsidRPr="00376E45">
        <w:rPr>
          <w:lang w:val="en-GB" w:eastAsia="ja-JP"/>
        </w:rPr>
        <w:t xml:space="preserve">or </w:t>
      </w:r>
      <w:r w:rsidR="00D30FC3">
        <w:rPr>
          <w:lang w:val="en-GB" w:eastAsia="ja-JP"/>
        </w:rPr>
        <w:t xml:space="preserve">a </w:t>
      </w:r>
      <w:r w:rsidR="00B9116C" w:rsidRPr="00376E45">
        <w:rPr>
          <w:lang w:val="en-GB" w:eastAsia="ja-JP"/>
        </w:rPr>
        <w:t xml:space="preserve">bDMARD </w:t>
      </w:r>
      <w:r w:rsidR="00BD4C90">
        <w:rPr>
          <w:lang w:val="en-GB" w:eastAsia="ja-JP"/>
        </w:rPr>
        <w:t>such as</w:t>
      </w:r>
      <w:r w:rsidR="00BD4C90" w:rsidRPr="00376E45">
        <w:rPr>
          <w:lang w:val="en-GB" w:eastAsia="ja-JP"/>
        </w:rPr>
        <w:t xml:space="preserve"> </w:t>
      </w:r>
      <w:r w:rsidR="003A6F6A" w:rsidRPr="00376E45">
        <w:rPr>
          <w:lang w:val="en-GB" w:eastAsia="ja-JP"/>
        </w:rPr>
        <w:t>adalimumab</w:t>
      </w:r>
      <w:r w:rsidR="00BD4C90">
        <w:rPr>
          <w:lang w:val="en-GB" w:eastAsia="ja-JP"/>
        </w:rPr>
        <w:t>,</w:t>
      </w:r>
      <w:r w:rsidR="0022408F">
        <w:rPr>
          <w:lang w:val="en-GB" w:eastAsia="ja-JP"/>
        </w:rPr>
        <w:t xml:space="preserve"> </w:t>
      </w:r>
      <w:r w:rsidR="003A6F6A" w:rsidRPr="00376E45">
        <w:rPr>
          <w:lang w:val="en-GB" w:eastAsia="ja-JP"/>
        </w:rPr>
        <w:t xml:space="preserve">can be added with an equal </w:t>
      </w:r>
      <w:r w:rsidR="00E55DE8" w:rsidRPr="00376E45">
        <w:rPr>
          <w:lang w:val="en-GB" w:eastAsia="ja-JP"/>
        </w:rPr>
        <w:t>likelihood</w:t>
      </w:r>
      <w:r w:rsidR="003A6F6A" w:rsidRPr="00376E45">
        <w:rPr>
          <w:lang w:val="en-GB" w:eastAsia="ja-JP"/>
        </w:rPr>
        <w:t xml:space="preserve"> of achieving the treatment target. </w:t>
      </w:r>
      <w:r w:rsidR="00084C72" w:rsidRPr="00376E45">
        <w:rPr>
          <w:lang w:val="en-GB" w:eastAsia="ja-JP"/>
        </w:rPr>
        <w:t xml:space="preserve">The results of this trial would also </w:t>
      </w:r>
      <w:r w:rsidR="00737364" w:rsidRPr="00376E45">
        <w:rPr>
          <w:lang w:val="en-GB" w:eastAsia="ja-JP"/>
        </w:rPr>
        <w:t>support</w:t>
      </w:r>
      <w:r w:rsidR="00084C72" w:rsidRPr="00376E45">
        <w:rPr>
          <w:lang w:val="en-GB" w:eastAsia="ja-JP"/>
        </w:rPr>
        <w:t xml:space="preserve"> this concept; in this group of patients, higher efficacy was seen with either combination therapy </w:t>
      </w:r>
      <w:r w:rsidR="00A036D6">
        <w:rPr>
          <w:lang w:val="en-GB" w:eastAsia="ja-JP"/>
        </w:rPr>
        <w:t xml:space="preserve">arm </w:t>
      </w:r>
      <w:r w:rsidR="00084C72" w:rsidRPr="00376E45">
        <w:rPr>
          <w:lang w:val="en-GB" w:eastAsia="ja-JP"/>
        </w:rPr>
        <w:t xml:space="preserve">compared </w:t>
      </w:r>
      <w:r w:rsidR="00A036D6">
        <w:rPr>
          <w:lang w:val="en-GB" w:eastAsia="ja-JP"/>
        </w:rPr>
        <w:t>with</w:t>
      </w:r>
      <w:r w:rsidR="00A036D6" w:rsidRPr="00376E45">
        <w:rPr>
          <w:lang w:val="en-GB" w:eastAsia="ja-JP"/>
        </w:rPr>
        <w:t xml:space="preserve"> </w:t>
      </w:r>
      <w:r w:rsidR="00084C72" w:rsidRPr="00376E45">
        <w:rPr>
          <w:lang w:val="en-GB" w:eastAsia="ja-JP"/>
        </w:rPr>
        <w:t>tofacitinib monotherapy.</w:t>
      </w:r>
      <w:r w:rsidR="00A25C5C" w:rsidRPr="00A25C5C">
        <w:t xml:space="preserve"> </w:t>
      </w:r>
      <w:r w:rsidR="00A25C5C" w:rsidRPr="00A25C5C">
        <w:rPr>
          <w:lang w:val="en-GB" w:eastAsia="ja-JP"/>
        </w:rPr>
        <w:t>A missing piece of information is whether MTX can be withdrawn in patients treated with tofacitinib in combination with MTX who have achieved low disease activity; this question is being evaluated in an ongoing clinical trial</w:t>
      </w:r>
      <w:r w:rsidR="00A25C5C">
        <w:rPr>
          <w:lang w:val="en-GB" w:eastAsia="ja-JP"/>
        </w:rPr>
        <w:t xml:space="preserve"> (</w:t>
      </w:r>
      <w:r w:rsidR="00A25C5C" w:rsidRPr="00A25C5C">
        <w:rPr>
          <w:lang w:val="en-GB" w:eastAsia="ja-JP"/>
        </w:rPr>
        <w:t>clinicaltrials.gov</w:t>
      </w:r>
      <w:r w:rsidR="00A25C5C">
        <w:rPr>
          <w:lang w:val="en-GB" w:eastAsia="ja-JP"/>
        </w:rPr>
        <w:t>:</w:t>
      </w:r>
      <w:r w:rsidR="00A25C5C" w:rsidRPr="00A25C5C">
        <w:rPr>
          <w:lang w:val="en-GB" w:eastAsia="ja-JP"/>
        </w:rPr>
        <w:t xml:space="preserve"> NCT02831855</w:t>
      </w:r>
      <w:r w:rsidR="00A25C5C">
        <w:rPr>
          <w:lang w:val="en-GB" w:eastAsia="ja-JP"/>
        </w:rPr>
        <w:t>)</w:t>
      </w:r>
      <w:r w:rsidR="00A25C5C" w:rsidRPr="00A25C5C">
        <w:rPr>
          <w:lang w:val="en-GB" w:eastAsia="ja-JP"/>
        </w:rPr>
        <w:t>.</w:t>
      </w:r>
      <w:r w:rsidR="004F5BAD" w:rsidRPr="004F5BAD">
        <w:rPr>
          <w:lang w:val="en-GB"/>
        </w:rPr>
        <w:t xml:space="preserve"> </w:t>
      </w:r>
    </w:p>
    <w:p w14:paraId="5C6CFD62" w14:textId="030AA00B" w:rsidR="0018489B" w:rsidRPr="00376E45" w:rsidRDefault="004F5BAD" w:rsidP="002F4674">
      <w:pPr>
        <w:rPr>
          <w:lang w:val="en-GB" w:eastAsia="ja-JP"/>
        </w:rPr>
      </w:pPr>
      <w:r w:rsidRPr="00376E45">
        <w:rPr>
          <w:lang w:val="en-GB"/>
        </w:rPr>
        <w:t xml:space="preserve">The patients enrolled in </w:t>
      </w:r>
      <w:r w:rsidR="00E3783C">
        <w:rPr>
          <w:lang w:val="en-GB"/>
        </w:rPr>
        <w:t xml:space="preserve">ORAL </w:t>
      </w:r>
      <w:proofErr w:type="gramStart"/>
      <w:r w:rsidR="00E3783C">
        <w:rPr>
          <w:lang w:val="en-GB"/>
        </w:rPr>
        <w:t>S</w:t>
      </w:r>
      <w:r w:rsidR="00FC722A">
        <w:rPr>
          <w:lang w:val="en-GB"/>
        </w:rPr>
        <w:t>trategy</w:t>
      </w:r>
      <w:r w:rsidR="00E3783C">
        <w:rPr>
          <w:lang w:val="en-GB"/>
        </w:rPr>
        <w:t xml:space="preserve"> </w:t>
      </w:r>
      <w:bookmarkStart w:id="2" w:name="_GoBack"/>
      <w:r w:rsidRPr="00376E45">
        <w:rPr>
          <w:lang w:val="en-GB"/>
        </w:rPr>
        <w:t xml:space="preserve"> </w:t>
      </w:r>
      <w:bookmarkEnd w:id="2"/>
      <w:r w:rsidRPr="00376E45">
        <w:rPr>
          <w:lang w:val="en-GB"/>
        </w:rPr>
        <w:t>had</w:t>
      </w:r>
      <w:proofErr w:type="gramEnd"/>
      <w:r w:rsidRPr="00376E45">
        <w:rPr>
          <w:lang w:val="en-GB"/>
        </w:rPr>
        <w:t xml:space="preserve"> active disease despite MTX therapy with almost 60% also having received glucocorticoids. A majority of the patients came from countries or regions with low accessibility </w:t>
      </w:r>
      <w:r w:rsidR="00D30FC3">
        <w:rPr>
          <w:lang w:val="en-GB"/>
        </w:rPr>
        <w:t>to</w:t>
      </w:r>
      <w:r w:rsidRPr="00376E45">
        <w:rPr>
          <w:lang w:val="en-GB"/>
        </w:rPr>
        <w:t xml:space="preserve"> </w:t>
      </w:r>
      <w:proofErr w:type="spellStart"/>
      <w:r w:rsidRPr="00376E45">
        <w:rPr>
          <w:lang w:val="en-GB"/>
        </w:rPr>
        <w:t>bDMARDs</w:t>
      </w:r>
      <w:proofErr w:type="spellEnd"/>
      <w:r w:rsidRPr="00376E45">
        <w:rPr>
          <w:lang w:val="en-GB"/>
        </w:rPr>
        <w:t xml:space="preserve"> and hence may not have received optimal therapy prior to enrolment into this trial. The population is quite similar to those of many other trials of MTX-IR patients.</w:t>
      </w:r>
      <w:r w:rsidRPr="008D190B">
        <w:rPr>
          <w:vertAlign w:val="superscript"/>
          <w:lang w:val="en-GB"/>
        </w:rPr>
        <w:t>23</w:t>
      </w:r>
      <w:proofErr w:type="gramStart"/>
      <w:r w:rsidRPr="008D190B">
        <w:rPr>
          <w:vertAlign w:val="superscript"/>
          <w:lang w:val="en-GB"/>
        </w:rPr>
        <w:t>,25</w:t>
      </w:r>
      <w:proofErr w:type="gramEnd"/>
    </w:p>
    <w:p w14:paraId="4BF41A87" w14:textId="56FEFA53" w:rsidR="00B210B1" w:rsidRPr="00376E45" w:rsidRDefault="007826A0" w:rsidP="00D713E8">
      <w:pPr>
        <w:rPr>
          <w:lang w:val="en-GB" w:eastAsia="ja-JP"/>
        </w:rPr>
      </w:pPr>
      <w:r w:rsidRPr="00376E45">
        <w:rPr>
          <w:lang w:val="en-GB" w:eastAsia="ja-JP"/>
        </w:rPr>
        <w:t xml:space="preserve">Owing to the active comparator trial design and the absence of a placebo group, </w:t>
      </w:r>
      <w:r w:rsidR="00710C6D" w:rsidRPr="00376E45">
        <w:rPr>
          <w:lang w:val="en-GB" w:eastAsia="ja-JP"/>
        </w:rPr>
        <w:t xml:space="preserve">ACR50 </w:t>
      </w:r>
      <w:r w:rsidRPr="00376E45">
        <w:rPr>
          <w:lang w:val="en-GB" w:eastAsia="ja-JP"/>
        </w:rPr>
        <w:t xml:space="preserve">was selected as the </w:t>
      </w:r>
      <w:r w:rsidR="0067463A" w:rsidRPr="00376E45">
        <w:rPr>
          <w:lang w:val="en-GB" w:eastAsia="ja-JP"/>
        </w:rPr>
        <w:t xml:space="preserve">primary endpoint </w:t>
      </w:r>
      <w:r w:rsidR="004E46D8" w:rsidRPr="00376E45">
        <w:rPr>
          <w:lang w:val="en-GB" w:eastAsia="ja-JP"/>
        </w:rPr>
        <w:t xml:space="preserve">in this study. This </w:t>
      </w:r>
      <w:r w:rsidR="0067463A" w:rsidRPr="00376E45">
        <w:rPr>
          <w:lang w:val="en-GB" w:eastAsia="ja-JP"/>
        </w:rPr>
        <w:t xml:space="preserve">composite measure of disease activity </w:t>
      </w:r>
      <w:r w:rsidR="004E46D8" w:rsidRPr="00376E45">
        <w:rPr>
          <w:lang w:val="en-GB" w:eastAsia="ja-JP"/>
        </w:rPr>
        <w:t xml:space="preserve">has been shown to be </w:t>
      </w:r>
      <w:r w:rsidR="00A42B33" w:rsidRPr="00376E45">
        <w:rPr>
          <w:lang w:val="en-GB" w:eastAsia="ja-JP"/>
        </w:rPr>
        <w:t>a</w:t>
      </w:r>
      <w:r w:rsidR="003A6F6A" w:rsidRPr="00376E45">
        <w:rPr>
          <w:lang w:val="en-GB" w:eastAsia="ja-JP"/>
        </w:rPr>
        <w:t xml:space="preserve"> </w:t>
      </w:r>
      <w:r w:rsidR="00B210B1" w:rsidRPr="00376E45">
        <w:rPr>
          <w:lang w:val="en-GB" w:eastAsia="ja-JP"/>
        </w:rPr>
        <w:t xml:space="preserve">more </w:t>
      </w:r>
      <w:r w:rsidR="0067463A" w:rsidRPr="00376E45">
        <w:rPr>
          <w:lang w:val="en-GB" w:eastAsia="ja-JP"/>
        </w:rPr>
        <w:t>valid</w:t>
      </w:r>
      <w:r w:rsidR="004E46D8" w:rsidRPr="00376E45">
        <w:rPr>
          <w:lang w:val="en-GB" w:eastAsia="ja-JP"/>
        </w:rPr>
        <w:t xml:space="preserve"> endpoint </w:t>
      </w:r>
      <w:r w:rsidR="00B210B1" w:rsidRPr="00376E45">
        <w:rPr>
          <w:lang w:val="en-GB" w:eastAsia="ja-JP"/>
        </w:rPr>
        <w:t xml:space="preserve">than ACR20 </w:t>
      </w:r>
      <w:r w:rsidR="004E46D8" w:rsidRPr="00376E45">
        <w:rPr>
          <w:lang w:val="en-GB" w:eastAsia="ja-JP"/>
        </w:rPr>
        <w:t xml:space="preserve">in head-to-head trials </w:t>
      </w:r>
      <w:r w:rsidRPr="00376E45">
        <w:rPr>
          <w:lang w:val="en-GB" w:eastAsia="ja-JP"/>
        </w:rPr>
        <w:t>comparing</w:t>
      </w:r>
      <w:r w:rsidR="004E46D8" w:rsidRPr="00376E45">
        <w:rPr>
          <w:lang w:val="en-GB" w:eastAsia="ja-JP"/>
        </w:rPr>
        <w:t xml:space="preserve"> active</w:t>
      </w:r>
      <w:r w:rsidRPr="00376E45">
        <w:rPr>
          <w:lang w:val="en-GB" w:eastAsia="ja-JP"/>
        </w:rPr>
        <w:t xml:space="preserve"> treatment arms</w:t>
      </w:r>
      <w:r w:rsidR="004C5ECD" w:rsidRPr="00376E45">
        <w:rPr>
          <w:lang w:val="en-GB" w:eastAsia="ja-JP"/>
        </w:rPr>
        <w:t>.</w:t>
      </w:r>
      <w:r w:rsidR="008D190B" w:rsidRPr="008D190B">
        <w:rPr>
          <w:vertAlign w:val="superscript"/>
          <w:lang w:val="en-GB" w:eastAsia="ja-JP"/>
        </w:rPr>
        <w:t>26</w:t>
      </w:r>
      <w:r w:rsidR="004E46D8" w:rsidRPr="00376E45">
        <w:rPr>
          <w:lang w:val="en-GB" w:eastAsia="ja-JP"/>
        </w:rPr>
        <w:t xml:space="preserve"> </w:t>
      </w:r>
      <w:proofErr w:type="gramStart"/>
      <w:r w:rsidR="004E46D8" w:rsidRPr="00376E45">
        <w:rPr>
          <w:lang w:val="en-GB" w:eastAsia="ja-JP"/>
        </w:rPr>
        <w:t>The</w:t>
      </w:r>
      <w:proofErr w:type="gramEnd"/>
      <w:r w:rsidR="00710C6D" w:rsidRPr="00376E45">
        <w:rPr>
          <w:lang w:val="en-GB" w:eastAsia="ja-JP"/>
        </w:rPr>
        <w:t xml:space="preserve"> majority of previous clinical trials assessing tofacitinib have </w:t>
      </w:r>
      <w:r w:rsidRPr="00376E45">
        <w:rPr>
          <w:lang w:val="en-GB" w:eastAsia="ja-JP"/>
        </w:rPr>
        <w:t xml:space="preserve">contained a placebo group and, accordingly, </w:t>
      </w:r>
      <w:r w:rsidR="00A42B33" w:rsidRPr="00376E45">
        <w:rPr>
          <w:lang w:val="en-GB" w:eastAsia="ja-JP"/>
        </w:rPr>
        <w:t>used an</w:t>
      </w:r>
      <w:r w:rsidR="003A6F6A" w:rsidRPr="00376E45">
        <w:rPr>
          <w:lang w:val="en-GB" w:eastAsia="ja-JP"/>
        </w:rPr>
        <w:t xml:space="preserve"> appropriate primary endpoint </w:t>
      </w:r>
      <w:r w:rsidR="00A42B33" w:rsidRPr="00376E45">
        <w:rPr>
          <w:lang w:val="en-GB" w:eastAsia="ja-JP"/>
        </w:rPr>
        <w:t>of</w:t>
      </w:r>
      <w:r w:rsidR="003A6F6A" w:rsidRPr="00376E45">
        <w:rPr>
          <w:lang w:val="en-GB" w:eastAsia="ja-JP"/>
        </w:rPr>
        <w:t xml:space="preserve"> </w:t>
      </w:r>
      <w:r w:rsidR="00710C6D" w:rsidRPr="00376E45">
        <w:rPr>
          <w:lang w:val="en-GB" w:eastAsia="ja-JP"/>
        </w:rPr>
        <w:t xml:space="preserve">ACR20 </w:t>
      </w:r>
      <w:r w:rsidR="003A6F6A" w:rsidRPr="00376E45">
        <w:rPr>
          <w:lang w:val="en-GB" w:eastAsia="ja-JP"/>
        </w:rPr>
        <w:t>response.</w:t>
      </w:r>
      <w:r w:rsidR="00DA4481" w:rsidRPr="00376E45">
        <w:rPr>
          <w:lang w:val="en-GB" w:eastAsia="ja-JP"/>
        </w:rPr>
        <w:t xml:space="preserve"> </w:t>
      </w:r>
    </w:p>
    <w:p w14:paraId="6CF602EA" w14:textId="0541E075" w:rsidR="00EB0571" w:rsidRPr="00376E45" w:rsidRDefault="00B9116C" w:rsidP="00D713E8">
      <w:pPr>
        <w:rPr>
          <w:highlight w:val="green"/>
          <w:lang w:val="en-GB"/>
        </w:rPr>
      </w:pPr>
      <w:r w:rsidRPr="00376E45">
        <w:rPr>
          <w:lang w:val="en-GB"/>
        </w:rPr>
        <w:t>Although this study was of limited duration</w:t>
      </w:r>
      <w:r w:rsidR="00B26FBB" w:rsidRPr="00376E45">
        <w:rPr>
          <w:lang w:val="en-GB"/>
        </w:rPr>
        <w:t xml:space="preserve"> and sample size</w:t>
      </w:r>
      <w:r w:rsidRPr="00376E45">
        <w:rPr>
          <w:lang w:val="en-GB"/>
        </w:rPr>
        <w:t>, no</w:t>
      </w:r>
      <w:r w:rsidR="00570668" w:rsidRPr="00376E45">
        <w:rPr>
          <w:lang w:val="en-GB"/>
        </w:rPr>
        <w:t xml:space="preserve"> </w:t>
      </w:r>
      <w:r w:rsidR="006B24FC" w:rsidRPr="00376E45">
        <w:rPr>
          <w:lang w:val="en-GB"/>
        </w:rPr>
        <w:t xml:space="preserve">new or </w:t>
      </w:r>
      <w:r w:rsidR="00570668" w:rsidRPr="00376E45">
        <w:rPr>
          <w:lang w:val="en-GB"/>
        </w:rPr>
        <w:t xml:space="preserve">unexpected safety issues were noted. </w:t>
      </w:r>
      <w:r w:rsidR="00ED0206" w:rsidRPr="00376E45">
        <w:rPr>
          <w:lang w:val="en-GB"/>
        </w:rPr>
        <w:t xml:space="preserve">Data from this trial will be incorporated into </w:t>
      </w:r>
      <w:r w:rsidR="00173D72" w:rsidRPr="00173D72">
        <w:rPr>
          <w:lang w:val="en-GB"/>
        </w:rPr>
        <w:t xml:space="preserve">the combined safety data of </w:t>
      </w:r>
      <w:r w:rsidR="00ED0206" w:rsidRPr="00376E45">
        <w:rPr>
          <w:lang w:val="en-GB"/>
        </w:rPr>
        <w:t xml:space="preserve">ongoing observational studies to continue to assess the safety of tofacitinib in these patients. </w:t>
      </w:r>
      <w:r w:rsidR="000872DC" w:rsidRPr="00376E45">
        <w:rPr>
          <w:lang w:val="en-GB"/>
        </w:rPr>
        <w:t>Overall AEs rates, including rates of the most common AEs, were comparable between treatment arms</w:t>
      </w:r>
      <w:r w:rsidR="00CD4327" w:rsidRPr="00376E45">
        <w:rPr>
          <w:lang w:val="en-GB"/>
        </w:rPr>
        <w:t>;</w:t>
      </w:r>
      <w:r w:rsidR="000872DC" w:rsidRPr="00376E45">
        <w:rPr>
          <w:lang w:val="en-GB"/>
        </w:rPr>
        <w:t xml:space="preserve"> the majority of AEs were mild to moderate in severity. Rates of </w:t>
      </w:r>
      <w:r w:rsidR="00F24F75" w:rsidRPr="00376E45">
        <w:rPr>
          <w:lang w:val="en-GB"/>
        </w:rPr>
        <w:t>serious AEs (</w:t>
      </w:r>
      <w:r w:rsidR="000872DC" w:rsidRPr="00376E45">
        <w:rPr>
          <w:lang w:val="en-GB"/>
        </w:rPr>
        <w:t>SAEs</w:t>
      </w:r>
      <w:r w:rsidR="00F24F75" w:rsidRPr="00376E45">
        <w:rPr>
          <w:lang w:val="en-GB"/>
        </w:rPr>
        <w:t>)</w:t>
      </w:r>
      <w:r w:rsidR="000872DC" w:rsidRPr="00376E45">
        <w:rPr>
          <w:lang w:val="en-GB"/>
        </w:rPr>
        <w:t xml:space="preserve"> and discontinuations due to AEs were generally similar between treatment arms. P</w:t>
      </w:r>
      <w:r w:rsidR="00216784" w:rsidRPr="00376E45">
        <w:rPr>
          <w:lang w:val="en-GB"/>
        </w:rPr>
        <w:t>revious studies have</w:t>
      </w:r>
      <w:r w:rsidR="000872DC" w:rsidRPr="00376E45">
        <w:rPr>
          <w:lang w:val="en-GB"/>
        </w:rPr>
        <w:t xml:space="preserve"> demonstrated</w:t>
      </w:r>
      <w:r w:rsidR="00216784" w:rsidRPr="00376E45">
        <w:rPr>
          <w:lang w:val="en-GB"/>
        </w:rPr>
        <w:t xml:space="preserve"> that the risk of herpes zoster is increa</w:t>
      </w:r>
      <w:r w:rsidR="0022159D" w:rsidRPr="00376E45">
        <w:rPr>
          <w:lang w:val="en-GB"/>
        </w:rPr>
        <w:t xml:space="preserve">sed </w:t>
      </w:r>
      <w:r w:rsidR="00CD4327" w:rsidRPr="00376E45">
        <w:rPr>
          <w:lang w:val="en-GB"/>
        </w:rPr>
        <w:t xml:space="preserve">with </w:t>
      </w:r>
      <w:r w:rsidR="0022159D" w:rsidRPr="00376E45">
        <w:rPr>
          <w:lang w:val="en-GB"/>
        </w:rPr>
        <w:t>tofacitinib therapy</w:t>
      </w:r>
      <w:r w:rsidR="004C5ECD" w:rsidRPr="00376E45">
        <w:rPr>
          <w:lang w:val="en-GB"/>
        </w:rPr>
        <w:t>.</w:t>
      </w:r>
      <w:r w:rsidR="008D190B" w:rsidRPr="008D190B">
        <w:rPr>
          <w:vertAlign w:val="superscript"/>
          <w:lang w:val="en-GB"/>
        </w:rPr>
        <w:t>27</w:t>
      </w:r>
      <w:r w:rsidR="00216784" w:rsidRPr="00376E45">
        <w:rPr>
          <w:lang w:val="en-GB"/>
        </w:rPr>
        <w:t xml:space="preserve"> In the present analysis</w:t>
      </w:r>
      <w:r w:rsidR="00A42B33" w:rsidRPr="00376E45">
        <w:rPr>
          <w:lang w:val="en-GB"/>
        </w:rPr>
        <w:t>, incidence of</w:t>
      </w:r>
      <w:r w:rsidR="00570668" w:rsidRPr="00376E45">
        <w:rPr>
          <w:lang w:val="en-GB"/>
        </w:rPr>
        <w:t xml:space="preserve"> herpes zoster was comparable between </w:t>
      </w:r>
      <w:r w:rsidR="0022159D" w:rsidRPr="00376E45">
        <w:rPr>
          <w:lang w:val="en-GB"/>
        </w:rPr>
        <w:t xml:space="preserve">the </w:t>
      </w:r>
      <w:r w:rsidR="00570668" w:rsidRPr="00376E45">
        <w:rPr>
          <w:lang w:val="en-GB"/>
        </w:rPr>
        <w:t>tofacitinib monotherapy</w:t>
      </w:r>
      <w:r w:rsidR="0022159D" w:rsidRPr="00376E45">
        <w:rPr>
          <w:lang w:val="en-GB"/>
        </w:rPr>
        <w:t xml:space="preserve"> group</w:t>
      </w:r>
      <w:r w:rsidR="00570668" w:rsidRPr="00376E45">
        <w:rPr>
          <w:lang w:val="en-GB"/>
        </w:rPr>
        <w:t xml:space="preserve"> </w:t>
      </w:r>
      <w:r w:rsidR="0022159D" w:rsidRPr="00376E45">
        <w:rPr>
          <w:lang w:val="en-GB"/>
        </w:rPr>
        <w:t>(</w:t>
      </w:r>
      <w:r w:rsidR="00570668" w:rsidRPr="00376E45">
        <w:rPr>
          <w:lang w:val="en-GB"/>
        </w:rPr>
        <w:t>1</w:t>
      </w:r>
      <w:r w:rsidR="007436B3" w:rsidRPr="00376E45">
        <w:rPr>
          <w:lang w:val="en-GB"/>
        </w:rPr>
        <w:t>·</w:t>
      </w:r>
      <w:r w:rsidR="00570668" w:rsidRPr="00376E45">
        <w:rPr>
          <w:lang w:val="en-GB"/>
        </w:rPr>
        <w:t>0% [4/384 patients]</w:t>
      </w:r>
      <w:r w:rsidR="0022159D" w:rsidRPr="00376E45">
        <w:rPr>
          <w:lang w:val="en-GB"/>
        </w:rPr>
        <w:t>) and the adalimumab</w:t>
      </w:r>
      <w:r w:rsidR="00C03728" w:rsidRPr="00376E45">
        <w:rPr>
          <w:lang w:val="en-GB"/>
        </w:rPr>
        <w:t xml:space="preserve"> + MTX</w:t>
      </w:r>
      <w:r w:rsidR="0022159D" w:rsidRPr="00376E45">
        <w:rPr>
          <w:lang w:val="en-GB"/>
        </w:rPr>
        <w:t xml:space="preserve"> group (1</w:t>
      </w:r>
      <w:r w:rsidR="007436B3" w:rsidRPr="00376E45">
        <w:rPr>
          <w:lang w:val="en-GB"/>
        </w:rPr>
        <w:t>·</w:t>
      </w:r>
      <w:r w:rsidR="00910AD5" w:rsidRPr="00376E45">
        <w:rPr>
          <w:lang w:val="en-GB"/>
        </w:rPr>
        <w:t>6</w:t>
      </w:r>
      <w:r w:rsidR="0022159D" w:rsidRPr="00376E45">
        <w:rPr>
          <w:lang w:val="en-GB"/>
        </w:rPr>
        <w:t>% [</w:t>
      </w:r>
      <w:r w:rsidR="00910AD5" w:rsidRPr="00376E45">
        <w:rPr>
          <w:lang w:val="en-GB"/>
        </w:rPr>
        <w:t>6</w:t>
      </w:r>
      <w:r w:rsidR="0022159D" w:rsidRPr="00376E45">
        <w:rPr>
          <w:lang w:val="en-GB"/>
        </w:rPr>
        <w:t>/386</w:t>
      </w:r>
      <w:r w:rsidR="00591111" w:rsidRPr="00376E45">
        <w:rPr>
          <w:lang w:val="en-GB"/>
        </w:rPr>
        <w:t xml:space="preserve"> patients</w:t>
      </w:r>
      <w:r w:rsidR="0022159D" w:rsidRPr="00376E45">
        <w:rPr>
          <w:lang w:val="en-GB"/>
        </w:rPr>
        <w:t>])</w:t>
      </w:r>
      <w:r w:rsidR="00342783" w:rsidRPr="00376E45">
        <w:rPr>
          <w:lang w:val="en-GB"/>
        </w:rPr>
        <w:t xml:space="preserve"> </w:t>
      </w:r>
      <w:r w:rsidR="00480C11" w:rsidRPr="00376E45">
        <w:rPr>
          <w:lang w:val="en-GB"/>
        </w:rPr>
        <w:t>but</w:t>
      </w:r>
      <w:r w:rsidR="00CD4327" w:rsidRPr="00376E45">
        <w:rPr>
          <w:lang w:val="en-GB"/>
        </w:rPr>
        <w:t xml:space="preserve"> </w:t>
      </w:r>
      <w:r w:rsidR="0022159D" w:rsidRPr="00376E45">
        <w:rPr>
          <w:lang w:val="en-GB"/>
        </w:rPr>
        <w:t xml:space="preserve">was </w:t>
      </w:r>
      <w:r w:rsidRPr="00376E45">
        <w:rPr>
          <w:lang w:val="en-GB"/>
        </w:rPr>
        <w:t xml:space="preserve">somewhat </w:t>
      </w:r>
      <w:r w:rsidR="0022159D" w:rsidRPr="00376E45">
        <w:rPr>
          <w:lang w:val="en-GB"/>
        </w:rPr>
        <w:t xml:space="preserve">higher in the </w:t>
      </w:r>
      <w:r w:rsidR="00570668" w:rsidRPr="00376E45">
        <w:rPr>
          <w:lang w:val="en-GB"/>
        </w:rPr>
        <w:t>tofacitinib</w:t>
      </w:r>
      <w:r w:rsidR="00C03728" w:rsidRPr="00376E45">
        <w:rPr>
          <w:lang w:val="en-GB"/>
        </w:rPr>
        <w:t xml:space="preserve"> + MTX</w:t>
      </w:r>
      <w:r w:rsidR="0022159D" w:rsidRPr="00376E45">
        <w:rPr>
          <w:lang w:val="en-GB"/>
        </w:rPr>
        <w:t xml:space="preserve"> group (</w:t>
      </w:r>
      <w:r w:rsidR="00570668" w:rsidRPr="00376E45">
        <w:rPr>
          <w:lang w:val="en-GB"/>
        </w:rPr>
        <w:t>2</w:t>
      </w:r>
      <w:r w:rsidR="007436B3" w:rsidRPr="00376E45">
        <w:rPr>
          <w:lang w:val="en-GB"/>
        </w:rPr>
        <w:t>·</w:t>
      </w:r>
      <w:r w:rsidR="00570668" w:rsidRPr="00376E45">
        <w:rPr>
          <w:lang w:val="en-GB"/>
        </w:rPr>
        <w:t>1% [8/376 patients]</w:t>
      </w:r>
      <w:r w:rsidR="00A036D6">
        <w:rPr>
          <w:lang w:val="en-GB"/>
        </w:rPr>
        <w:t>)</w:t>
      </w:r>
      <w:r w:rsidR="00A42B33" w:rsidRPr="00376E45">
        <w:rPr>
          <w:lang w:val="en-GB"/>
        </w:rPr>
        <w:t>. T</w:t>
      </w:r>
      <w:r w:rsidR="0022159D" w:rsidRPr="00376E45">
        <w:rPr>
          <w:lang w:val="en-GB"/>
        </w:rPr>
        <w:t xml:space="preserve">his is in line with previous findings that concomitant </w:t>
      </w:r>
      <w:r w:rsidR="00471570" w:rsidRPr="00376E45">
        <w:rPr>
          <w:lang w:val="en-GB"/>
        </w:rPr>
        <w:t>cs</w:t>
      </w:r>
      <w:r w:rsidR="0022159D" w:rsidRPr="00376E45">
        <w:rPr>
          <w:lang w:val="en-GB"/>
        </w:rPr>
        <w:t>DMARDS augment the risk of herpes zoster</w:t>
      </w:r>
      <w:r w:rsidR="00A036D6">
        <w:rPr>
          <w:lang w:val="en-GB"/>
        </w:rPr>
        <w:t xml:space="preserve"> with tofacitinib</w:t>
      </w:r>
      <w:r w:rsidR="004C5ECD" w:rsidRPr="00376E45">
        <w:rPr>
          <w:lang w:val="en-GB"/>
        </w:rPr>
        <w:t>.</w:t>
      </w:r>
      <w:r w:rsidR="008D190B" w:rsidRPr="008D190B">
        <w:rPr>
          <w:vertAlign w:val="superscript"/>
          <w:lang w:val="en-GB"/>
        </w:rPr>
        <w:t>27–29</w:t>
      </w:r>
      <w:r w:rsidR="009712EE" w:rsidRPr="00376E45">
        <w:rPr>
          <w:lang w:val="en-GB"/>
        </w:rPr>
        <w:t xml:space="preserve"> </w:t>
      </w:r>
      <w:proofErr w:type="gramStart"/>
      <w:r w:rsidR="00027683" w:rsidRPr="00376E45">
        <w:rPr>
          <w:lang w:val="en-GB"/>
        </w:rPr>
        <w:t>There</w:t>
      </w:r>
      <w:proofErr w:type="gramEnd"/>
      <w:r w:rsidR="00027683" w:rsidRPr="00376E45">
        <w:rPr>
          <w:lang w:val="en-GB"/>
        </w:rPr>
        <w:t xml:space="preserve"> were 216 patients who received</w:t>
      </w:r>
      <w:r w:rsidR="00DA4481" w:rsidRPr="00376E45">
        <w:rPr>
          <w:lang w:val="en-GB"/>
        </w:rPr>
        <w:t xml:space="preserve"> </w:t>
      </w:r>
      <w:r w:rsidR="00027683" w:rsidRPr="00376E45">
        <w:rPr>
          <w:lang w:val="en-GB"/>
        </w:rPr>
        <w:t xml:space="preserve">live </w:t>
      </w:r>
      <w:r w:rsidR="00AA56BD" w:rsidRPr="00376E45">
        <w:rPr>
          <w:lang w:val="en-GB"/>
        </w:rPr>
        <w:t>zoster</w:t>
      </w:r>
      <w:r w:rsidR="00027683" w:rsidRPr="00376E45">
        <w:rPr>
          <w:lang w:val="en-GB"/>
        </w:rPr>
        <w:t xml:space="preserve"> vaccination; 3 </w:t>
      </w:r>
      <w:r w:rsidR="005A75E8">
        <w:rPr>
          <w:lang w:val="en-GB"/>
        </w:rPr>
        <w:t xml:space="preserve">of these </w:t>
      </w:r>
      <w:r w:rsidR="00027683" w:rsidRPr="00376E45">
        <w:rPr>
          <w:lang w:val="en-GB"/>
        </w:rPr>
        <w:t>patients developed mild cases of herpes zoster.</w:t>
      </w:r>
      <w:r w:rsidR="005A75E8">
        <w:rPr>
          <w:lang w:val="en-GB"/>
        </w:rPr>
        <w:t xml:space="preserve"> There was one </w:t>
      </w:r>
      <w:r w:rsidR="00057813">
        <w:rPr>
          <w:lang w:val="en-GB"/>
        </w:rPr>
        <w:t xml:space="preserve">case of </w:t>
      </w:r>
      <w:r w:rsidR="005A75E8">
        <w:rPr>
          <w:lang w:val="en-GB"/>
        </w:rPr>
        <w:t>injection site erythema in the tofacitinib monotherapy group within 42 days of the vaccination.</w:t>
      </w:r>
      <w:r w:rsidR="00027683" w:rsidRPr="00376E45">
        <w:rPr>
          <w:lang w:val="en-GB"/>
        </w:rPr>
        <w:t xml:space="preserve"> </w:t>
      </w:r>
      <w:r w:rsidR="00EB0571" w:rsidRPr="00376E45">
        <w:rPr>
          <w:lang w:val="en-GB"/>
        </w:rPr>
        <w:t>The incidence of herpes zoster was similar in the group of patients who did (1·4%) and did not (1·6%) receive prior vaccination.</w:t>
      </w:r>
      <w:r w:rsidR="006D6D92" w:rsidRPr="00376E45">
        <w:rPr>
          <w:lang w:val="en-GB"/>
        </w:rPr>
        <w:t xml:space="preserve"> It is important to note that in the Shingles Prevention Study, the overall efficacy of the live zoster vaccin</w:t>
      </w:r>
      <w:r w:rsidR="007066D0" w:rsidRPr="00376E45">
        <w:rPr>
          <w:lang w:val="en-GB"/>
        </w:rPr>
        <w:t>e was determined to be 51%.</w:t>
      </w:r>
      <w:r w:rsidR="008D190B" w:rsidRPr="008D190B">
        <w:rPr>
          <w:vertAlign w:val="superscript"/>
          <w:lang w:val="en-GB"/>
        </w:rPr>
        <w:t>30</w:t>
      </w:r>
      <w:r w:rsidR="00EB0571" w:rsidRPr="00376E45">
        <w:rPr>
          <w:lang w:val="en-GB"/>
        </w:rPr>
        <w:t xml:space="preserve"> </w:t>
      </w:r>
      <w:proofErr w:type="gramStart"/>
      <w:r w:rsidR="00EB0571" w:rsidRPr="00376E45">
        <w:rPr>
          <w:lang w:val="en-GB"/>
        </w:rPr>
        <w:t>Since</w:t>
      </w:r>
      <w:proofErr w:type="gramEnd"/>
      <w:r w:rsidR="00EB0571" w:rsidRPr="00376E45">
        <w:rPr>
          <w:lang w:val="en-GB"/>
        </w:rPr>
        <w:t xml:space="preserve"> vaccination was left to the discretion of the investigators, the present study did not formally evaluate the efficacy of herpes zoster vaccination. However, if one assumes that patients at high risk of herpes zoster infection may have received the vaccine more frequently than patients with lower risk then it is possible a </w:t>
      </w:r>
      <w:proofErr w:type="spellStart"/>
      <w:r w:rsidR="00EB0571" w:rsidRPr="00376E45">
        <w:rPr>
          <w:lang w:val="en-GB"/>
        </w:rPr>
        <w:t>channeling</w:t>
      </w:r>
      <w:proofErr w:type="spellEnd"/>
      <w:r w:rsidR="00EB0571" w:rsidRPr="00376E45">
        <w:rPr>
          <w:lang w:val="en-GB"/>
        </w:rPr>
        <w:t xml:space="preserve"> bias is present. Thus, further studies are required to assess the risk of herpes zoster infection</w:t>
      </w:r>
      <w:r w:rsidRPr="00376E45">
        <w:rPr>
          <w:lang w:val="en-GB"/>
        </w:rPr>
        <w:t xml:space="preserve">, and the </w:t>
      </w:r>
      <w:r w:rsidR="00A25C5C">
        <w:rPr>
          <w:lang w:val="en-GB"/>
        </w:rPr>
        <w:t xml:space="preserve">clinical </w:t>
      </w:r>
      <w:r w:rsidRPr="00376E45">
        <w:rPr>
          <w:lang w:val="en-GB"/>
        </w:rPr>
        <w:t>benefit of herpes vaccination,</w:t>
      </w:r>
      <w:r w:rsidR="00EB0571" w:rsidRPr="00376E45">
        <w:rPr>
          <w:lang w:val="en-GB"/>
        </w:rPr>
        <w:t xml:space="preserve"> in patients receiving tofacitinib.</w:t>
      </w:r>
    </w:p>
    <w:p w14:paraId="223C47D8" w14:textId="66211302" w:rsidR="00480C11" w:rsidRPr="00376E45" w:rsidRDefault="00A81879" w:rsidP="007B16A8">
      <w:pPr>
        <w:rPr>
          <w:lang w:val="en-GB"/>
        </w:rPr>
      </w:pPr>
      <w:r w:rsidRPr="00376E45">
        <w:rPr>
          <w:lang w:val="en-GB"/>
        </w:rPr>
        <w:t xml:space="preserve">ORAL Strategy </w:t>
      </w:r>
      <w:r w:rsidR="00742005" w:rsidRPr="00376E45">
        <w:rPr>
          <w:lang w:val="en-GB"/>
        </w:rPr>
        <w:t>was designed</w:t>
      </w:r>
      <w:r w:rsidR="00A4723F" w:rsidRPr="00376E45">
        <w:rPr>
          <w:lang w:val="en-GB"/>
        </w:rPr>
        <w:t xml:space="preserve"> to </w:t>
      </w:r>
      <w:r w:rsidR="00CD4327" w:rsidRPr="00376E45">
        <w:rPr>
          <w:lang w:val="en-GB"/>
        </w:rPr>
        <w:t xml:space="preserve">answer clinically </w:t>
      </w:r>
      <w:r w:rsidR="00A42B33" w:rsidRPr="00376E45">
        <w:rPr>
          <w:lang w:val="en-GB"/>
        </w:rPr>
        <w:t>relevant</w:t>
      </w:r>
      <w:r w:rsidR="00CD4327" w:rsidRPr="00376E45">
        <w:rPr>
          <w:lang w:val="en-GB"/>
        </w:rPr>
        <w:t xml:space="preserve"> questions </w:t>
      </w:r>
      <w:r w:rsidR="00480C11" w:rsidRPr="00376E45">
        <w:rPr>
          <w:lang w:val="en-GB"/>
        </w:rPr>
        <w:t>faced by</w:t>
      </w:r>
      <w:r w:rsidR="00CA5C48" w:rsidRPr="00376E45">
        <w:rPr>
          <w:lang w:val="en-GB"/>
        </w:rPr>
        <w:t xml:space="preserve"> clinician</w:t>
      </w:r>
      <w:r w:rsidR="00A4723F" w:rsidRPr="00376E45">
        <w:rPr>
          <w:lang w:val="en-GB"/>
        </w:rPr>
        <w:t>s</w:t>
      </w:r>
      <w:r w:rsidR="00CA5C48" w:rsidRPr="00376E45">
        <w:rPr>
          <w:lang w:val="en-GB"/>
        </w:rPr>
        <w:t xml:space="preserve"> in routine clinical </w:t>
      </w:r>
      <w:r w:rsidR="00A4723F" w:rsidRPr="00376E45">
        <w:rPr>
          <w:lang w:val="en-GB"/>
        </w:rPr>
        <w:t xml:space="preserve">practice </w:t>
      </w:r>
      <w:r w:rsidR="00CA5C48" w:rsidRPr="00376E45">
        <w:rPr>
          <w:lang w:val="en-GB"/>
        </w:rPr>
        <w:t xml:space="preserve">when </w:t>
      </w:r>
      <w:r w:rsidR="00480C11" w:rsidRPr="00376E45">
        <w:rPr>
          <w:lang w:val="en-GB"/>
        </w:rPr>
        <w:t xml:space="preserve">confronted </w:t>
      </w:r>
      <w:r w:rsidR="00A4723F" w:rsidRPr="00376E45">
        <w:rPr>
          <w:lang w:val="en-GB"/>
        </w:rPr>
        <w:t xml:space="preserve">with </w:t>
      </w:r>
      <w:r w:rsidR="00CA5C48" w:rsidRPr="00376E45">
        <w:rPr>
          <w:lang w:val="en-GB"/>
        </w:rPr>
        <w:t xml:space="preserve">a patient with RA </w:t>
      </w:r>
      <w:r w:rsidR="00742005" w:rsidRPr="00376E45">
        <w:rPr>
          <w:lang w:val="en-GB"/>
        </w:rPr>
        <w:t>and</w:t>
      </w:r>
      <w:r w:rsidR="00CA5C48" w:rsidRPr="00376E45">
        <w:rPr>
          <w:lang w:val="en-GB"/>
        </w:rPr>
        <w:t xml:space="preserve"> an </w:t>
      </w:r>
      <w:r w:rsidR="00F24F75" w:rsidRPr="00376E45">
        <w:rPr>
          <w:lang w:val="en-GB"/>
        </w:rPr>
        <w:t>IR</w:t>
      </w:r>
      <w:r w:rsidR="00CA5C48" w:rsidRPr="00376E45">
        <w:rPr>
          <w:lang w:val="en-GB"/>
        </w:rPr>
        <w:t xml:space="preserve"> to </w:t>
      </w:r>
      <w:r w:rsidR="00742005" w:rsidRPr="00376E45">
        <w:rPr>
          <w:lang w:val="en-GB"/>
        </w:rPr>
        <w:t>MTX</w:t>
      </w:r>
      <w:r w:rsidR="00B9116C" w:rsidRPr="00376E45">
        <w:rPr>
          <w:lang w:val="en-GB"/>
        </w:rPr>
        <w:t xml:space="preserve"> who may have also failed other csDMARDs</w:t>
      </w:r>
      <w:r w:rsidR="00471570" w:rsidRPr="00376E45">
        <w:rPr>
          <w:lang w:val="en-GB"/>
        </w:rPr>
        <w:t>:</w:t>
      </w:r>
      <w:r w:rsidR="00CA5C48" w:rsidRPr="00376E45">
        <w:rPr>
          <w:lang w:val="en-GB"/>
        </w:rPr>
        <w:t xml:space="preserve"> </w:t>
      </w:r>
      <w:r w:rsidR="00742005" w:rsidRPr="00376E45">
        <w:rPr>
          <w:lang w:val="en-GB"/>
        </w:rPr>
        <w:t>to either add</w:t>
      </w:r>
      <w:r w:rsidR="00CA5C48" w:rsidRPr="00376E45">
        <w:rPr>
          <w:lang w:val="en-GB"/>
        </w:rPr>
        <w:t xml:space="preserve"> tofacitinib </w:t>
      </w:r>
      <w:r w:rsidR="00742005" w:rsidRPr="00376E45">
        <w:rPr>
          <w:lang w:val="en-GB"/>
        </w:rPr>
        <w:t>or a</w:t>
      </w:r>
      <w:r w:rsidR="00CA5C48" w:rsidRPr="00376E45">
        <w:rPr>
          <w:lang w:val="en-GB"/>
        </w:rPr>
        <w:t xml:space="preserve"> TNFi</w:t>
      </w:r>
      <w:r w:rsidR="00F24F75" w:rsidRPr="00376E45">
        <w:rPr>
          <w:lang w:val="en-GB"/>
        </w:rPr>
        <w:t>,</w:t>
      </w:r>
      <w:r w:rsidR="00CA5C48" w:rsidRPr="00376E45">
        <w:rPr>
          <w:lang w:val="en-GB"/>
        </w:rPr>
        <w:t xml:space="preserve"> such as adalimumab</w:t>
      </w:r>
      <w:r w:rsidR="00F24F75" w:rsidRPr="00376E45">
        <w:rPr>
          <w:lang w:val="en-GB"/>
        </w:rPr>
        <w:t>,</w:t>
      </w:r>
      <w:r w:rsidR="00CA5C48" w:rsidRPr="00376E45">
        <w:rPr>
          <w:lang w:val="en-GB"/>
        </w:rPr>
        <w:t xml:space="preserve"> to </w:t>
      </w:r>
      <w:r w:rsidR="00742005" w:rsidRPr="00376E45">
        <w:rPr>
          <w:lang w:val="en-GB"/>
        </w:rPr>
        <w:t>the MTX regimen</w:t>
      </w:r>
      <w:r w:rsidR="00F24F75" w:rsidRPr="00376E45">
        <w:rPr>
          <w:lang w:val="en-GB"/>
        </w:rPr>
        <w:t>,</w:t>
      </w:r>
      <w:r w:rsidR="00A4723F" w:rsidRPr="00376E45">
        <w:rPr>
          <w:lang w:val="en-GB"/>
        </w:rPr>
        <w:t xml:space="preserve"> </w:t>
      </w:r>
      <w:r w:rsidR="00742005" w:rsidRPr="00376E45">
        <w:rPr>
          <w:lang w:val="en-GB"/>
        </w:rPr>
        <w:t xml:space="preserve">or to switch MTX </w:t>
      </w:r>
      <w:r w:rsidR="00CD4327" w:rsidRPr="00376E45">
        <w:rPr>
          <w:lang w:val="en-GB"/>
        </w:rPr>
        <w:t xml:space="preserve">to </w:t>
      </w:r>
      <w:r w:rsidR="00742005" w:rsidRPr="00376E45">
        <w:rPr>
          <w:lang w:val="en-GB"/>
        </w:rPr>
        <w:t>tofacitinib monotherapy</w:t>
      </w:r>
      <w:r w:rsidR="00BC5F9D" w:rsidRPr="00376E45">
        <w:rPr>
          <w:lang w:val="en-GB"/>
        </w:rPr>
        <w:t>.</w:t>
      </w:r>
      <w:r w:rsidR="007B16A8" w:rsidRPr="00376E45">
        <w:rPr>
          <w:lang w:val="en-GB"/>
        </w:rPr>
        <w:t xml:space="preserve"> The study was sufficiently powered to assess differences in the treatment arms and included clear, pre-specified endpoints. </w:t>
      </w:r>
      <w:r w:rsidR="008D190B" w:rsidRPr="00376E45">
        <w:rPr>
          <w:lang w:val="en-GB"/>
        </w:rPr>
        <w:t>The result</w:t>
      </w:r>
      <w:r w:rsidR="008D190B">
        <w:rPr>
          <w:lang w:val="en-GB"/>
        </w:rPr>
        <w:t>s of ORAL Strategy</w:t>
      </w:r>
      <w:r w:rsidR="008D190B" w:rsidRPr="00376E45">
        <w:rPr>
          <w:lang w:val="en-GB"/>
        </w:rPr>
        <w:t xml:space="preserve"> suggest that</w:t>
      </w:r>
      <w:r w:rsidR="00A036D6">
        <w:rPr>
          <w:lang w:val="en-GB"/>
        </w:rPr>
        <w:t xml:space="preserve"> it is </w:t>
      </w:r>
      <w:r w:rsidR="008D190B" w:rsidRPr="00376E45">
        <w:rPr>
          <w:lang w:val="en-GB"/>
        </w:rPr>
        <w:t xml:space="preserve">preferable to add tofacitinib to MTX rather than switching to </w:t>
      </w:r>
      <w:r w:rsidR="008D190B">
        <w:rPr>
          <w:lang w:val="en-GB"/>
        </w:rPr>
        <w:t xml:space="preserve">tofacitinib </w:t>
      </w:r>
      <w:r w:rsidR="008D190B" w:rsidRPr="00376E45">
        <w:rPr>
          <w:lang w:val="en-GB"/>
        </w:rPr>
        <w:t>monotherapy</w:t>
      </w:r>
      <w:r w:rsidR="008D190B">
        <w:rPr>
          <w:lang w:val="en-GB"/>
        </w:rPr>
        <w:t>.</w:t>
      </w:r>
    </w:p>
    <w:p w14:paraId="11923C15" w14:textId="334A8106" w:rsidR="007B16A8" w:rsidRPr="00376E45" w:rsidRDefault="007D48D9" w:rsidP="007B16A8">
      <w:pPr>
        <w:rPr>
          <w:lang w:val="en-GB" w:eastAsia="ja-JP"/>
        </w:rPr>
      </w:pPr>
      <w:r w:rsidRPr="00376E45">
        <w:rPr>
          <w:lang w:val="en-GB" w:eastAsia="ja-JP"/>
        </w:rPr>
        <w:t xml:space="preserve">Limitations </w:t>
      </w:r>
      <w:r w:rsidR="00F24F75" w:rsidRPr="00376E45">
        <w:rPr>
          <w:lang w:val="en-GB" w:eastAsia="ja-JP"/>
        </w:rPr>
        <w:t xml:space="preserve">of this study </w:t>
      </w:r>
      <w:r w:rsidRPr="00376E45">
        <w:rPr>
          <w:lang w:val="en-GB" w:eastAsia="ja-JP"/>
        </w:rPr>
        <w:t xml:space="preserve">include </w:t>
      </w:r>
      <w:r w:rsidR="00F24F75" w:rsidRPr="00376E45">
        <w:rPr>
          <w:lang w:val="en-GB" w:eastAsia="ja-JP"/>
        </w:rPr>
        <w:t xml:space="preserve">the fact </w:t>
      </w:r>
      <w:r w:rsidRPr="00376E45">
        <w:rPr>
          <w:lang w:val="en-GB" w:eastAsia="ja-JP"/>
        </w:rPr>
        <w:t>that, a</w:t>
      </w:r>
      <w:r w:rsidR="007B16A8" w:rsidRPr="00376E45">
        <w:rPr>
          <w:lang w:val="en-GB" w:eastAsia="ja-JP"/>
        </w:rPr>
        <w:t>lthough TNFi therapies share a common mechanism of action, the degree to which the observations among patients recei</w:t>
      </w:r>
      <w:r w:rsidR="00AE3A43" w:rsidRPr="00376E45">
        <w:rPr>
          <w:lang w:val="en-GB" w:eastAsia="ja-JP"/>
        </w:rPr>
        <w:t>ving adalimumab</w:t>
      </w:r>
      <w:r w:rsidR="00C03728" w:rsidRPr="00376E45">
        <w:rPr>
          <w:lang w:val="en-GB" w:eastAsia="ja-JP"/>
        </w:rPr>
        <w:t xml:space="preserve"> + MTX</w:t>
      </w:r>
      <w:r w:rsidR="00AE3A43" w:rsidRPr="00376E45">
        <w:rPr>
          <w:lang w:val="en-GB" w:eastAsia="ja-JP"/>
        </w:rPr>
        <w:t xml:space="preserve"> </w:t>
      </w:r>
      <w:r w:rsidR="007B16A8" w:rsidRPr="00376E45">
        <w:rPr>
          <w:lang w:val="en-GB" w:eastAsia="ja-JP"/>
        </w:rPr>
        <w:t xml:space="preserve">in the present study are </w:t>
      </w:r>
      <w:proofErr w:type="spellStart"/>
      <w:r w:rsidR="00F24F75" w:rsidRPr="00376E45">
        <w:rPr>
          <w:lang w:val="en-GB" w:eastAsia="ja-JP"/>
        </w:rPr>
        <w:t>generalis</w:t>
      </w:r>
      <w:r w:rsidR="000F619E" w:rsidRPr="00376E45">
        <w:rPr>
          <w:lang w:val="en-GB" w:eastAsia="ja-JP"/>
        </w:rPr>
        <w:t>able</w:t>
      </w:r>
      <w:proofErr w:type="spellEnd"/>
      <w:r w:rsidR="000F619E" w:rsidRPr="00376E45">
        <w:rPr>
          <w:lang w:val="en-GB" w:eastAsia="ja-JP"/>
        </w:rPr>
        <w:t xml:space="preserve"> </w:t>
      </w:r>
      <w:r w:rsidR="007B16A8" w:rsidRPr="00376E45">
        <w:rPr>
          <w:lang w:val="en-GB" w:eastAsia="ja-JP"/>
        </w:rPr>
        <w:t>to other TNF</w:t>
      </w:r>
      <w:r w:rsidR="0067463A" w:rsidRPr="00376E45">
        <w:rPr>
          <w:lang w:val="en-GB" w:eastAsia="ja-JP"/>
        </w:rPr>
        <w:t>i</w:t>
      </w:r>
      <w:r w:rsidR="007B16A8" w:rsidRPr="00376E45">
        <w:rPr>
          <w:lang w:val="en-GB" w:eastAsia="ja-JP"/>
        </w:rPr>
        <w:t xml:space="preserve"> therapies</w:t>
      </w:r>
      <w:r w:rsidR="00241D78" w:rsidRPr="00376E45">
        <w:rPr>
          <w:lang w:val="en-GB" w:eastAsia="ja-JP"/>
        </w:rPr>
        <w:t>, or to therapies using another mechanism of action,</w:t>
      </w:r>
      <w:r w:rsidR="007B16A8" w:rsidRPr="00376E45">
        <w:rPr>
          <w:lang w:val="en-GB" w:eastAsia="ja-JP"/>
        </w:rPr>
        <w:t xml:space="preserve"> is unclear.</w:t>
      </w:r>
      <w:r w:rsidR="00AE3A43" w:rsidRPr="00376E45">
        <w:rPr>
          <w:lang w:val="en-GB" w:eastAsia="ja-JP"/>
        </w:rPr>
        <w:t xml:space="preserve"> Additionally, radiographic follow-up</w:t>
      </w:r>
      <w:r w:rsidR="00932CB1" w:rsidRPr="00376E45">
        <w:rPr>
          <w:lang w:val="en-GB" w:eastAsia="ja-JP"/>
        </w:rPr>
        <w:t>, which</w:t>
      </w:r>
      <w:r w:rsidR="00AE3A43" w:rsidRPr="00376E45">
        <w:rPr>
          <w:lang w:val="en-GB" w:eastAsia="ja-JP"/>
        </w:rPr>
        <w:t xml:space="preserve"> </w:t>
      </w:r>
      <w:r w:rsidR="00932CB1" w:rsidRPr="00376E45">
        <w:rPr>
          <w:lang w:val="en-GB" w:eastAsia="ja-JP"/>
        </w:rPr>
        <w:t xml:space="preserve">may have assisted clinical interpretation, </w:t>
      </w:r>
      <w:r w:rsidR="00AE3A43" w:rsidRPr="00376E45">
        <w:rPr>
          <w:lang w:val="en-GB" w:eastAsia="ja-JP"/>
        </w:rPr>
        <w:t xml:space="preserve">was </w:t>
      </w:r>
      <w:r w:rsidR="00932CB1" w:rsidRPr="00376E45">
        <w:rPr>
          <w:lang w:val="en-GB" w:eastAsia="ja-JP"/>
        </w:rPr>
        <w:t xml:space="preserve">not </w:t>
      </w:r>
      <w:r w:rsidR="000B0EDE" w:rsidRPr="00376E45">
        <w:rPr>
          <w:lang w:val="en-GB" w:eastAsia="ja-JP"/>
        </w:rPr>
        <w:t>evaluated</w:t>
      </w:r>
      <w:r w:rsidR="00932CB1" w:rsidRPr="00376E45">
        <w:rPr>
          <w:lang w:val="en-GB" w:eastAsia="ja-JP"/>
        </w:rPr>
        <w:t xml:space="preserve"> in this trial</w:t>
      </w:r>
      <w:r w:rsidR="0067463A" w:rsidRPr="00376E45">
        <w:rPr>
          <w:lang w:val="en-GB" w:eastAsia="ja-JP"/>
        </w:rPr>
        <w:t>, because all patients had active therapies which inhibit progression of joint damage</w:t>
      </w:r>
      <w:r w:rsidR="00786387" w:rsidRPr="00376E45">
        <w:rPr>
          <w:vertAlign w:val="superscript"/>
          <w:lang w:val="en-GB" w:eastAsia="ja-JP"/>
        </w:rPr>
        <w:t>12</w:t>
      </w:r>
      <w:r w:rsidR="0067463A" w:rsidRPr="00376E45">
        <w:rPr>
          <w:lang w:val="en-GB" w:eastAsia="ja-JP"/>
        </w:rPr>
        <w:t xml:space="preserve"> and no major differences were to be expected during the short course of the study</w:t>
      </w:r>
      <w:r w:rsidR="00AE3A43" w:rsidRPr="00376E45">
        <w:rPr>
          <w:lang w:val="en-GB" w:eastAsia="ja-JP"/>
        </w:rPr>
        <w:t>.</w:t>
      </w:r>
      <w:r w:rsidR="000872DC" w:rsidRPr="00376E45">
        <w:rPr>
          <w:lang w:val="en-GB" w:eastAsia="ja-JP"/>
        </w:rPr>
        <w:t xml:space="preserve"> </w:t>
      </w:r>
      <w:r w:rsidR="00A86346" w:rsidRPr="00376E45">
        <w:rPr>
          <w:lang w:val="en-GB" w:eastAsia="ja-JP"/>
        </w:rPr>
        <w:t xml:space="preserve">The lack of a placebo arm precluded </w:t>
      </w:r>
      <w:r w:rsidR="00DC385F" w:rsidRPr="00376E45">
        <w:rPr>
          <w:lang w:val="en-GB" w:eastAsia="ja-JP"/>
        </w:rPr>
        <w:t xml:space="preserve">a statistical </w:t>
      </w:r>
      <w:r w:rsidR="00A86346" w:rsidRPr="00376E45">
        <w:rPr>
          <w:lang w:val="en-GB" w:eastAsia="ja-JP"/>
        </w:rPr>
        <w:t xml:space="preserve">demonstration of </w:t>
      </w:r>
      <w:r w:rsidR="00DC385F" w:rsidRPr="00376E45">
        <w:rPr>
          <w:lang w:val="en-GB" w:eastAsia="ja-JP"/>
        </w:rPr>
        <w:t xml:space="preserve">the clinically important </w:t>
      </w:r>
      <w:r w:rsidR="00A86346" w:rsidRPr="00376E45">
        <w:rPr>
          <w:lang w:val="en-GB" w:eastAsia="ja-JP"/>
        </w:rPr>
        <w:t xml:space="preserve">efficacy </w:t>
      </w:r>
      <w:r w:rsidR="00DC385F" w:rsidRPr="00376E45">
        <w:rPr>
          <w:lang w:val="en-GB" w:eastAsia="ja-JP"/>
        </w:rPr>
        <w:t>of</w:t>
      </w:r>
      <w:r w:rsidR="00A86346" w:rsidRPr="00376E45">
        <w:rPr>
          <w:lang w:val="en-GB" w:eastAsia="ja-JP"/>
        </w:rPr>
        <w:t xml:space="preserve"> tofacitinib monotherapy in the present</w:t>
      </w:r>
      <w:r w:rsidR="00DC385F" w:rsidRPr="00376E45">
        <w:rPr>
          <w:lang w:val="en-GB" w:eastAsia="ja-JP"/>
        </w:rPr>
        <w:t xml:space="preserve"> study</w:t>
      </w:r>
      <w:r w:rsidR="00C36E0F" w:rsidRPr="00376E45">
        <w:rPr>
          <w:lang w:val="en-GB" w:eastAsia="ja-JP"/>
        </w:rPr>
        <w:t>.</w:t>
      </w:r>
      <w:r w:rsidR="00B538F3" w:rsidRPr="00376E45">
        <w:rPr>
          <w:lang w:val="en-GB" w:eastAsia="ja-JP"/>
        </w:rPr>
        <w:t xml:space="preserve"> It is also possible that owing to the lack of a placebo arm, an expectation of efficacy from patients and investigators alike may have been responsible for improved clinical and functional observations in all groups. However, the responses are consistent with those seen in </w:t>
      </w:r>
      <w:r w:rsidR="00151D9E">
        <w:rPr>
          <w:lang w:val="en-GB" w:eastAsia="ja-JP"/>
        </w:rPr>
        <w:t>P</w:t>
      </w:r>
      <w:r w:rsidR="00B538F3" w:rsidRPr="00376E45">
        <w:rPr>
          <w:lang w:val="en-GB" w:eastAsia="ja-JP"/>
        </w:rPr>
        <w:t>hase 3 trials of tofacitinib as monotherapy or in combination with a csDMARD.</w:t>
      </w:r>
      <w:r w:rsidR="00C36E0F" w:rsidRPr="00376E45">
        <w:rPr>
          <w:lang w:val="en-GB" w:eastAsia="ja-JP"/>
        </w:rPr>
        <w:t xml:space="preserve"> </w:t>
      </w:r>
      <w:r w:rsidR="00455F49" w:rsidRPr="00376E45">
        <w:rPr>
          <w:lang w:val="en-GB" w:eastAsia="ja-JP"/>
        </w:rPr>
        <w:t xml:space="preserve">This study does not </w:t>
      </w:r>
      <w:r w:rsidR="008D190B">
        <w:rPr>
          <w:lang w:val="en-GB" w:eastAsia="ja-JP"/>
        </w:rPr>
        <w:t xml:space="preserve">formally </w:t>
      </w:r>
      <w:r w:rsidR="00455F49" w:rsidRPr="00376E45">
        <w:rPr>
          <w:lang w:val="en-GB" w:eastAsia="ja-JP"/>
        </w:rPr>
        <w:t>answer</w:t>
      </w:r>
      <w:r w:rsidR="008D190B">
        <w:rPr>
          <w:lang w:val="en-GB" w:eastAsia="ja-JP"/>
        </w:rPr>
        <w:t xml:space="preserve"> </w:t>
      </w:r>
      <w:r w:rsidR="00455F49" w:rsidRPr="00376E45">
        <w:rPr>
          <w:lang w:val="en-GB" w:eastAsia="ja-JP"/>
        </w:rPr>
        <w:t xml:space="preserve">whether the addition of a </w:t>
      </w:r>
      <w:proofErr w:type="spellStart"/>
      <w:r w:rsidR="00455F49" w:rsidRPr="00376E45">
        <w:rPr>
          <w:lang w:val="en-GB" w:eastAsia="ja-JP"/>
        </w:rPr>
        <w:t>tsDMARD</w:t>
      </w:r>
      <w:proofErr w:type="spellEnd"/>
      <w:r w:rsidR="00455F49" w:rsidRPr="00376E45">
        <w:rPr>
          <w:lang w:val="en-GB" w:eastAsia="ja-JP"/>
        </w:rPr>
        <w:t xml:space="preserve"> or bDMARD is superior to adding combination csDMARDs, even though approximately one-third of patients met the inclusion criteria of active disease in spite of previous treatment with combination csDMARDs. </w:t>
      </w:r>
      <w:r w:rsidR="00A06BD3" w:rsidRPr="00376E45">
        <w:rPr>
          <w:lang w:val="en-GB" w:eastAsia="ja-JP"/>
        </w:rPr>
        <w:t>Finally, although nominal p values for secondary endpoints were reported for reference, they must be interpreted with caution as they were not controlled for multiple comparisons.</w:t>
      </w:r>
    </w:p>
    <w:p w14:paraId="4F81F5DA" w14:textId="41EE4307" w:rsidR="00FC6931" w:rsidRPr="00376E45" w:rsidRDefault="00AE3A43" w:rsidP="00744C3C">
      <w:pPr>
        <w:rPr>
          <w:lang w:val="en-GB"/>
        </w:rPr>
      </w:pPr>
      <w:r w:rsidRPr="00376E45">
        <w:rPr>
          <w:lang w:val="en-GB" w:eastAsia="ja-JP"/>
        </w:rPr>
        <w:t>In conclusion</w:t>
      </w:r>
      <w:r w:rsidR="00703513" w:rsidRPr="00376E45">
        <w:rPr>
          <w:lang w:val="en-GB" w:eastAsia="ja-JP"/>
        </w:rPr>
        <w:t>,</w:t>
      </w:r>
      <w:r w:rsidR="007B5BDB" w:rsidRPr="00376E45">
        <w:rPr>
          <w:lang w:val="en-GB" w:eastAsia="ja-JP"/>
        </w:rPr>
        <w:t xml:space="preserve"> </w:t>
      </w:r>
      <w:r w:rsidRPr="00376E45">
        <w:rPr>
          <w:lang w:val="en-GB" w:eastAsia="ja-JP"/>
        </w:rPr>
        <w:t>tofacitinib</w:t>
      </w:r>
      <w:r w:rsidR="0034487A" w:rsidRPr="00376E45">
        <w:rPr>
          <w:lang w:val="en-GB" w:eastAsia="ja-JP"/>
        </w:rPr>
        <w:t xml:space="preserve"> 5 mg BID with </w:t>
      </w:r>
      <w:r w:rsidR="00326701" w:rsidRPr="00376E45">
        <w:rPr>
          <w:lang w:val="en-GB" w:eastAsia="ja-JP"/>
        </w:rPr>
        <w:t>MTX</w:t>
      </w:r>
      <w:r w:rsidR="00703513" w:rsidRPr="00376E45">
        <w:rPr>
          <w:lang w:val="en-GB" w:eastAsia="ja-JP"/>
        </w:rPr>
        <w:t xml:space="preserve"> </w:t>
      </w:r>
      <w:r w:rsidR="0023481A" w:rsidRPr="00376E45">
        <w:rPr>
          <w:lang w:val="en-GB" w:eastAsia="ja-JP"/>
        </w:rPr>
        <w:t xml:space="preserve">demonstrated </w:t>
      </w:r>
      <w:r w:rsidRPr="00376E45">
        <w:rPr>
          <w:lang w:val="en-GB" w:eastAsia="ja-JP"/>
        </w:rPr>
        <w:t xml:space="preserve">efficacy and safety </w:t>
      </w:r>
      <w:r w:rsidR="002432DD" w:rsidRPr="00376E45">
        <w:rPr>
          <w:lang w:val="en-GB" w:eastAsia="ja-JP"/>
        </w:rPr>
        <w:t xml:space="preserve">comparable </w:t>
      </w:r>
      <w:r w:rsidR="00703513" w:rsidRPr="00376E45">
        <w:rPr>
          <w:lang w:val="en-GB" w:eastAsia="ja-JP"/>
        </w:rPr>
        <w:t xml:space="preserve">to </w:t>
      </w:r>
      <w:r w:rsidR="002432DD" w:rsidRPr="00376E45">
        <w:rPr>
          <w:lang w:val="en-GB" w:eastAsia="ja-JP"/>
        </w:rPr>
        <w:t>adalimuma</w:t>
      </w:r>
      <w:r w:rsidR="00703513" w:rsidRPr="00376E45">
        <w:rPr>
          <w:lang w:val="en-GB" w:eastAsia="ja-JP"/>
        </w:rPr>
        <w:t xml:space="preserve">b with </w:t>
      </w:r>
      <w:r w:rsidR="00326701" w:rsidRPr="00376E45">
        <w:rPr>
          <w:lang w:val="en-GB" w:eastAsia="ja-JP"/>
        </w:rPr>
        <w:t>MTX</w:t>
      </w:r>
      <w:r w:rsidR="002432DD" w:rsidRPr="00376E45">
        <w:rPr>
          <w:lang w:val="en-GB" w:eastAsia="ja-JP"/>
        </w:rPr>
        <w:t xml:space="preserve"> </w:t>
      </w:r>
      <w:r w:rsidRPr="00376E45">
        <w:rPr>
          <w:lang w:val="en-GB" w:eastAsia="ja-JP"/>
        </w:rPr>
        <w:t xml:space="preserve">in patients with RA who had an </w:t>
      </w:r>
      <w:r w:rsidR="00F24F75" w:rsidRPr="00376E45">
        <w:rPr>
          <w:lang w:val="en-GB" w:eastAsia="ja-JP"/>
        </w:rPr>
        <w:t>IR</w:t>
      </w:r>
      <w:r w:rsidRPr="00376E45">
        <w:rPr>
          <w:lang w:val="en-GB" w:eastAsia="ja-JP"/>
        </w:rPr>
        <w:t xml:space="preserve"> to </w:t>
      </w:r>
      <w:r w:rsidR="00326701" w:rsidRPr="00376E45">
        <w:rPr>
          <w:lang w:val="en-GB" w:eastAsia="ja-JP"/>
        </w:rPr>
        <w:t>MTX</w:t>
      </w:r>
      <w:r w:rsidRPr="00376E45">
        <w:rPr>
          <w:lang w:val="en-GB" w:eastAsia="ja-JP"/>
        </w:rPr>
        <w:t xml:space="preserve"> therapy</w:t>
      </w:r>
      <w:r w:rsidR="007B5BDB" w:rsidRPr="00376E45">
        <w:rPr>
          <w:lang w:val="en-GB" w:eastAsia="ja-JP"/>
        </w:rPr>
        <w:t>.</w:t>
      </w:r>
      <w:r w:rsidR="00932CB1" w:rsidRPr="00376E45">
        <w:rPr>
          <w:lang w:val="en-GB" w:eastAsia="ja-JP"/>
        </w:rPr>
        <w:t xml:space="preserve"> Tofacitinib monotherapy did not achieve statistical non-inferiority</w:t>
      </w:r>
      <w:r w:rsidR="00DC385F" w:rsidRPr="00376E45">
        <w:rPr>
          <w:lang w:val="en-GB" w:eastAsia="ja-JP"/>
        </w:rPr>
        <w:t xml:space="preserve"> </w:t>
      </w:r>
      <w:r w:rsidR="00C36E0F" w:rsidRPr="00376E45">
        <w:rPr>
          <w:lang w:val="en-GB" w:eastAsia="ja-JP"/>
        </w:rPr>
        <w:t>to either combination regimen</w:t>
      </w:r>
      <w:r w:rsidR="00DC385F" w:rsidRPr="00376E45">
        <w:rPr>
          <w:lang w:val="en-GB" w:eastAsia="ja-JP"/>
        </w:rPr>
        <w:t xml:space="preserve">. </w:t>
      </w:r>
      <w:r w:rsidR="00326701" w:rsidRPr="00376E45">
        <w:rPr>
          <w:lang w:val="en-GB" w:eastAsia="ja-JP"/>
        </w:rPr>
        <w:t xml:space="preserve">These results suggest that in </w:t>
      </w:r>
      <w:r w:rsidR="00DC385F" w:rsidRPr="00376E45">
        <w:rPr>
          <w:lang w:val="en-GB" w:eastAsia="ja-JP"/>
        </w:rPr>
        <w:t>patient</w:t>
      </w:r>
      <w:r w:rsidR="00326701" w:rsidRPr="00376E45">
        <w:rPr>
          <w:lang w:val="en-GB" w:eastAsia="ja-JP"/>
        </w:rPr>
        <w:t xml:space="preserve">s with an </w:t>
      </w:r>
      <w:r w:rsidR="005364B7" w:rsidRPr="00376E45">
        <w:rPr>
          <w:lang w:val="en-GB" w:eastAsia="ja-JP"/>
        </w:rPr>
        <w:t>inadequate response</w:t>
      </w:r>
      <w:r w:rsidR="00326701" w:rsidRPr="00376E45">
        <w:rPr>
          <w:lang w:val="en-GB" w:eastAsia="ja-JP"/>
        </w:rPr>
        <w:t xml:space="preserve"> to MTX</w:t>
      </w:r>
      <w:r w:rsidR="00DC385F" w:rsidRPr="00376E45">
        <w:rPr>
          <w:lang w:val="en-GB" w:eastAsia="ja-JP"/>
        </w:rPr>
        <w:t xml:space="preserve">, the </w:t>
      </w:r>
      <w:r w:rsidR="00CC05A8" w:rsidRPr="00376E45">
        <w:rPr>
          <w:lang w:val="en-GB" w:eastAsia="ja-JP"/>
        </w:rPr>
        <w:t>addition</w:t>
      </w:r>
      <w:r w:rsidR="00DC385F" w:rsidRPr="00376E45">
        <w:rPr>
          <w:lang w:val="en-GB" w:eastAsia="ja-JP"/>
        </w:rPr>
        <w:t xml:space="preserve"> of tofacitinib or adalimu</w:t>
      </w:r>
      <w:r w:rsidR="00CC05A8" w:rsidRPr="00376E45">
        <w:rPr>
          <w:lang w:val="en-GB" w:eastAsia="ja-JP"/>
        </w:rPr>
        <w:t>mab is equally efficacious</w:t>
      </w:r>
      <w:r w:rsidR="00FB398A">
        <w:rPr>
          <w:lang w:val="en-GB" w:eastAsia="ja-JP"/>
        </w:rPr>
        <w:t xml:space="preserve"> </w:t>
      </w:r>
      <w:r w:rsidR="00455F49" w:rsidRPr="00376E45">
        <w:rPr>
          <w:lang w:val="en-GB" w:eastAsia="ja-JP"/>
        </w:rPr>
        <w:t>and more likely to be effective than switching to tofacitinib monotherapy</w:t>
      </w:r>
      <w:r w:rsidR="00C86C18">
        <w:rPr>
          <w:lang w:val="en-GB" w:eastAsia="ja-JP"/>
        </w:rPr>
        <w:t>.</w:t>
      </w:r>
      <w:r w:rsidR="00DD0F13" w:rsidRPr="00376E45">
        <w:rPr>
          <w:lang w:val="en-GB"/>
        </w:rPr>
        <w:br w:type="page"/>
      </w:r>
    </w:p>
    <w:p w14:paraId="02121FC7" w14:textId="0DD23F3E" w:rsidR="004E7E49" w:rsidRDefault="004E7E49" w:rsidP="006119DE">
      <w:pPr>
        <w:pStyle w:val="Heading1"/>
        <w:rPr>
          <w:lang w:val="en-GB"/>
        </w:rPr>
      </w:pPr>
      <w:r>
        <w:rPr>
          <w:lang w:val="en-GB"/>
        </w:rPr>
        <w:t>Author contributions</w:t>
      </w:r>
    </w:p>
    <w:p w14:paraId="51002683" w14:textId="53D34E8F" w:rsidR="004E7E49" w:rsidRPr="004E7E49" w:rsidRDefault="004E7E49" w:rsidP="004E7E49">
      <w:pPr>
        <w:rPr>
          <w:lang w:val="en-GB"/>
        </w:rPr>
      </w:pPr>
      <w:r w:rsidRPr="004E7E49">
        <w:rPr>
          <w:lang w:val="en-GB"/>
        </w:rPr>
        <w:t>All authors had full access to all data and all were involved in the analysis and interpretation of data and in the writing of the report. The lead author had final responsibility for the decision to submit for publication.</w:t>
      </w:r>
    </w:p>
    <w:p w14:paraId="47C18A4E" w14:textId="77777777" w:rsidR="00EA69A8" w:rsidRPr="00376E45" w:rsidRDefault="002535B4" w:rsidP="006119DE">
      <w:pPr>
        <w:pStyle w:val="Heading1"/>
        <w:rPr>
          <w:i/>
          <w:lang w:val="en-GB"/>
        </w:rPr>
      </w:pPr>
      <w:r w:rsidRPr="00376E45">
        <w:rPr>
          <w:lang w:val="en-GB"/>
        </w:rPr>
        <w:t>Declaration of interests</w:t>
      </w:r>
    </w:p>
    <w:p w14:paraId="66E3B191" w14:textId="7804768F" w:rsidR="00177829" w:rsidRPr="00376E45" w:rsidRDefault="001C50E6" w:rsidP="001C50E6">
      <w:pPr>
        <w:rPr>
          <w:lang w:val="en-GB"/>
        </w:rPr>
      </w:pPr>
      <w:r w:rsidRPr="00376E45">
        <w:rPr>
          <w:lang w:val="en-GB"/>
        </w:rPr>
        <w:t>R Fleischmann has received grants and/or research support from, and has acted as a consultant for,</w:t>
      </w:r>
      <w:r w:rsidR="00084C72" w:rsidRPr="00376E45">
        <w:rPr>
          <w:lang w:val="en-GB"/>
        </w:rPr>
        <w:t xml:space="preserve"> </w:t>
      </w:r>
      <w:proofErr w:type="spellStart"/>
      <w:r w:rsidR="00084C72" w:rsidRPr="00376E45">
        <w:rPr>
          <w:lang w:val="en-GB"/>
        </w:rPr>
        <w:t>AbbVie</w:t>
      </w:r>
      <w:proofErr w:type="spellEnd"/>
      <w:r w:rsidR="00084C72" w:rsidRPr="00376E45">
        <w:rPr>
          <w:lang w:val="en-GB"/>
        </w:rPr>
        <w:t xml:space="preserve">, </w:t>
      </w:r>
      <w:r w:rsidR="0076361C" w:rsidRPr="00376E45">
        <w:rPr>
          <w:lang w:val="en-GB"/>
        </w:rPr>
        <w:t xml:space="preserve">Amgen, </w:t>
      </w:r>
      <w:r w:rsidR="00084C72" w:rsidRPr="00376E45">
        <w:rPr>
          <w:lang w:val="en-GB"/>
        </w:rPr>
        <w:t>Bristol</w:t>
      </w:r>
      <w:r w:rsidR="00084C72" w:rsidRPr="00376E45">
        <w:rPr>
          <w:lang w:val="en-GB"/>
        </w:rPr>
        <w:noBreakHyphen/>
        <w:t xml:space="preserve">Myers Squibb, </w:t>
      </w:r>
      <w:proofErr w:type="spellStart"/>
      <w:r w:rsidR="0076361C" w:rsidRPr="00376E45">
        <w:rPr>
          <w:lang w:val="en-GB"/>
        </w:rPr>
        <w:t>Celgene</w:t>
      </w:r>
      <w:proofErr w:type="spellEnd"/>
      <w:r w:rsidR="0076361C" w:rsidRPr="00376E45">
        <w:rPr>
          <w:lang w:val="en-GB"/>
        </w:rPr>
        <w:t>,</w:t>
      </w:r>
      <w:r w:rsidR="003270D2" w:rsidRPr="00376E45">
        <w:rPr>
          <w:lang w:val="en-GB"/>
        </w:rPr>
        <w:t xml:space="preserve"> </w:t>
      </w:r>
      <w:r w:rsidR="0076361C" w:rsidRPr="00376E45">
        <w:rPr>
          <w:lang w:val="en-GB"/>
        </w:rPr>
        <w:t xml:space="preserve">Glaxo, </w:t>
      </w:r>
      <w:r w:rsidR="00084C72" w:rsidRPr="00376E45">
        <w:rPr>
          <w:lang w:val="en-GB"/>
        </w:rPr>
        <w:t xml:space="preserve">Eli Lilly, Janssen, </w:t>
      </w:r>
      <w:r w:rsidR="0076361C" w:rsidRPr="00376E45">
        <w:rPr>
          <w:lang w:val="en-GB"/>
        </w:rPr>
        <w:t xml:space="preserve">Novartis, </w:t>
      </w:r>
      <w:r w:rsidR="005364B7" w:rsidRPr="00376E45">
        <w:rPr>
          <w:lang w:val="en-GB"/>
        </w:rPr>
        <w:t xml:space="preserve">Pfizer </w:t>
      </w:r>
      <w:proofErr w:type="spellStart"/>
      <w:r w:rsidR="005364B7" w:rsidRPr="00376E45">
        <w:rPr>
          <w:lang w:val="en-GB"/>
        </w:rPr>
        <w:t>Inc</w:t>
      </w:r>
      <w:proofErr w:type="spellEnd"/>
      <w:r w:rsidR="005364B7" w:rsidRPr="00376E45">
        <w:rPr>
          <w:lang w:val="en-GB"/>
        </w:rPr>
        <w:t xml:space="preserve">, </w:t>
      </w:r>
      <w:proofErr w:type="spellStart"/>
      <w:r w:rsidR="0076361C" w:rsidRPr="00376E45">
        <w:rPr>
          <w:lang w:val="en-GB"/>
        </w:rPr>
        <w:t>Sanofi</w:t>
      </w:r>
      <w:proofErr w:type="spellEnd"/>
      <w:r w:rsidR="0076361C" w:rsidRPr="00376E45">
        <w:rPr>
          <w:lang w:val="en-GB"/>
        </w:rPr>
        <w:t xml:space="preserve">-Genzyme, </w:t>
      </w:r>
      <w:r w:rsidR="00084C72" w:rsidRPr="00376E45">
        <w:rPr>
          <w:lang w:val="en-GB"/>
        </w:rPr>
        <w:t>and UCB</w:t>
      </w:r>
      <w:r w:rsidR="005364B7" w:rsidRPr="00376E45">
        <w:rPr>
          <w:lang w:val="en-GB"/>
        </w:rPr>
        <w:t>.</w:t>
      </w:r>
      <w:r w:rsidRPr="00376E45">
        <w:rPr>
          <w:lang w:val="en-GB"/>
        </w:rPr>
        <w:t xml:space="preserve"> E Mysler has received research grants, consultancy</w:t>
      </w:r>
      <w:r w:rsidR="00F24F75" w:rsidRPr="00376E45">
        <w:rPr>
          <w:lang w:val="en-GB"/>
        </w:rPr>
        <w:t>,</w:t>
      </w:r>
      <w:r w:rsidRPr="00376E45">
        <w:rPr>
          <w:lang w:val="en-GB"/>
        </w:rPr>
        <w:t xml:space="preserve"> and speaker’s fees from </w:t>
      </w:r>
      <w:proofErr w:type="spellStart"/>
      <w:r w:rsidRPr="00376E45">
        <w:rPr>
          <w:lang w:val="en-GB"/>
        </w:rPr>
        <w:t>AbbVie</w:t>
      </w:r>
      <w:proofErr w:type="spellEnd"/>
      <w:r w:rsidRPr="00376E45">
        <w:rPr>
          <w:lang w:val="en-GB"/>
        </w:rPr>
        <w:t>, Bristol</w:t>
      </w:r>
      <w:r w:rsidRPr="00376E45">
        <w:rPr>
          <w:lang w:val="en-GB"/>
        </w:rPr>
        <w:noBreakHyphen/>
        <w:t>Myers Squibb, E</w:t>
      </w:r>
      <w:r w:rsidR="006038FC" w:rsidRPr="00376E45">
        <w:rPr>
          <w:lang w:val="en-GB"/>
        </w:rPr>
        <w:t>li</w:t>
      </w:r>
      <w:r w:rsidRPr="00376E45">
        <w:rPr>
          <w:lang w:val="en-GB"/>
        </w:rPr>
        <w:t xml:space="preserve"> Lilly, Janssen, Medimmune, Pfizer </w:t>
      </w:r>
      <w:proofErr w:type="spellStart"/>
      <w:r w:rsidRPr="00376E45">
        <w:rPr>
          <w:lang w:val="en-GB"/>
        </w:rPr>
        <w:t>Inc</w:t>
      </w:r>
      <w:proofErr w:type="spellEnd"/>
      <w:r w:rsidR="006038FC" w:rsidRPr="00376E45">
        <w:rPr>
          <w:lang w:val="en-GB"/>
        </w:rPr>
        <w:t>,</w:t>
      </w:r>
      <w:r w:rsidRPr="00376E45">
        <w:rPr>
          <w:lang w:val="en-GB"/>
        </w:rPr>
        <w:t xml:space="preserve"> and Roche. S Hall has acted as a consultant for </w:t>
      </w:r>
      <w:proofErr w:type="spellStart"/>
      <w:r w:rsidRPr="00376E45">
        <w:rPr>
          <w:lang w:val="en-GB"/>
        </w:rPr>
        <w:t>AbbVie</w:t>
      </w:r>
      <w:proofErr w:type="spellEnd"/>
      <w:r w:rsidRPr="00376E45">
        <w:rPr>
          <w:lang w:val="en-GB"/>
        </w:rPr>
        <w:t xml:space="preserve">, </w:t>
      </w:r>
      <w:proofErr w:type="spellStart"/>
      <w:r w:rsidRPr="00376E45">
        <w:rPr>
          <w:lang w:val="en-GB"/>
        </w:rPr>
        <w:t>Celgene</w:t>
      </w:r>
      <w:proofErr w:type="spellEnd"/>
      <w:r w:rsidRPr="00376E45">
        <w:rPr>
          <w:lang w:val="en-GB"/>
        </w:rPr>
        <w:t xml:space="preserve">, Eli Lilly, Janssen, </w:t>
      </w:r>
      <w:r w:rsidR="00B210B1" w:rsidRPr="00376E45">
        <w:rPr>
          <w:lang w:val="en-GB"/>
        </w:rPr>
        <w:t xml:space="preserve">Novartis, </w:t>
      </w:r>
      <w:r w:rsidRPr="00376E45">
        <w:rPr>
          <w:lang w:val="en-GB"/>
        </w:rPr>
        <w:t xml:space="preserve">Pfizer </w:t>
      </w:r>
      <w:proofErr w:type="spellStart"/>
      <w:r w:rsidRPr="00376E45">
        <w:rPr>
          <w:lang w:val="en-GB"/>
        </w:rPr>
        <w:t>Inc</w:t>
      </w:r>
      <w:proofErr w:type="spellEnd"/>
      <w:r w:rsidR="00B210B1" w:rsidRPr="00376E45">
        <w:rPr>
          <w:lang w:val="en-GB"/>
        </w:rPr>
        <w:t>,</w:t>
      </w:r>
      <w:r w:rsidRPr="00376E45">
        <w:rPr>
          <w:lang w:val="en-GB"/>
        </w:rPr>
        <w:t xml:space="preserve"> Roche</w:t>
      </w:r>
      <w:r w:rsidR="006038FC" w:rsidRPr="00376E45">
        <w:rPr>
          <w:lang w:val="en-GB"/>
        </w:rPr>
        <w:t>,</w:t>
      </w:r>
      <w:r w:rsidR="00B210B1" w:rsidRPr="00376E45">
        <w:rPr>
          <w:lang w:val="en-GB"/>
        </w:rPr>
        <w:t xml:space="preserve"> and UCB </w:t>
      </w:r>
      <w:proofErr w:type="spellStart"/>
      <w:r w:rsidR="00B210B1" w:rsidRPr="00376E45">
        <w:rPr>
          <w:lang w:val="en-GB"/>
        </w:rPr>
        <w:t>Pharma</w:t>
      </w:r>
      <w:proofErr w:type="spellEnd"/>
      <w:r w:rsidRPr="00376E45">
        <w:rPr>
          <w:lang w:val="en-GB"/>
        </w:rPr>
        <w:t>.</w:t>
      </w:r>
      <w:r w:rsidR="003C70E4" w:rsidRPr="00376E45">
        <w:rPr>
          <w:lang w:val="en-GB"/>
        </w:rPr>
        <w:t xml:space="preserve"> R</w:t>
      </w:r>
      <w:r w:rsidR="0009635D" w:rsidRPr="00376E45">
        <w:rPr>
          <w:lang w:val="en-GB"/>
        </w:rPr>
        <w:t>J</w:t>
      </w:r>
      <w:r w:rsidR="003C70E4" w:rsidRPr="00376E45">
        <w:rPr>
          <w:lang w:val="en-GB"/>
        </w:rPr>
        <w:t xml:space="preserve"> Moots</w:t>
      </w:r>
      <w:r w:rsidR="00FB723B" w:rsidRPr="00376E45">
        <w:rPr>
          <w:lang w:val="en-GB"/>
        </w:rPr>
        <w:t xml:space="preserve"> has </w:t>
      </w:r>
      <w:r w:rsidR="00D06CD6" w:rsidRPr="00376E45">
        <w:rPr>
          <w:lang w:val="en-GB"/>
        </w:rPr>
        <w:t xml:space="preserve">received research grant support or speaking fees from, </w:t>
      </w:r>
      <w:r w:rsidR="00FB723B" w:rsidRPr="00376E45">
        <w:rPr>
          <w:lang w:val="en-GB"/>
        </w:rPr>
        <w:t xml:space="preserve">and/or </w:t>
      </w:r>
      <w:r w:rsidR="00D06CD6" w:rsidRPr="00376E45">
        <w:rPr>
          <w:lang w:val="en-GB"/>
        </w:rPr>
        <w:t xml:space="preserve">has </w:t>
      </w:r>
      <w:r w:rsidR="00FB723B" w:rsidRPr="00376E45">
        <w:rPr>
          <w:lang w:val="en-GB"/>
        </w:rPr>
        <w:t xml:space="preserve">acted as </w:t>
      </w:r>
      <w:r w:rsidR="006038FC" w:rsidRPr="00376E45">
        <w:rPr>
          <w:lang w:val="en-GB"/>
        </w:rPr>
        <w:t xml:space="preserve">a </w:t>
      </w:r>
      <w:r w:rsidR="00FB723B" w:rsidRPr="00376E45">
        <w:rPr>
          <w:lang w:val="en-GB"/>
        </w:rPr>
        <w:t>consultant</w:t>
      </w:r>
      <w:r w:rsidR="00D06CD6" w:rsidRPr="00376E45">
        <w:rPr>
          <w:lang w:val="en-GB"/>
        </w:rPr>
        <w:t xml:space="preserve"> for</w:t>
      </w:r>
      <w:r w:rsidR="006038FC" w:rsidRPr="00376E45">
        <w:rPr>
          <w:lang w:val="en-GB"/>
        </w:rPr>
        <w:t xml:space="preserve">, </w:t>
      </w:r>
      <w:r w:rsidR="00A17362" w:rsidRPr="00376E45">
        <w:rPr>
          <w:lang w:val="en-GB"/>
        </w:rPr>
        <w:t xml:space="preserve">AKL, </w:t>
      </w:r>
      <w:proofErr w:type="spellStart"/>
      <w:r w:rsidR="00FB723B" w:rsidRPr="00376E45">
        <w:rPr>
          <w:lang w:val="en-GB"/>
        </w:rPr>
        <w:t>Biogen</w:t>
      </w:r>
      <w:proofErr w:type="spellEnd"/>
      <w:r w:rsidR="00FB723B" w:rsidRPr="00376E45">
        <w:rPr>
          <w:lang w:val="en-GB"/>
        </w:rPr>
        <w:t xml:space="preserve">, BMS, Chugai, </w:t>
      </w:r>
      <w:r w:rsidR="00A17362" w:rsidRPr="00376E45">
        <w:rPr>
          <w:lang w:val="en-GB"/>
        </w:rPr>
        <w:t xml:space="preserve">Genzyme, </w:t>
      </w:r>
      <w:r w:rsidR="00FB723B" w:rsidRPr="00376E45">
        <w:rPr>
          <w:lang w:val="en-GB"/>
        </w:rPr>
        <w:t xml:space="preserve">Novartis, Pfizer, </w:t>
      </w:r>
      <w:proofErr w:type="spellStart"/>
      <w:r w:rsidR="00A17362" w:rsidRPr="00376E45">
        <w:rPr>
          <w:lang w:val="en-GB"/>
        </w:rPr>
        <w:t>Regeneron</w:t>
      </w:r>
      <w:proofErr w:type="spellEnd"/>
      <w:r w:rsidR="00A17362" w:rsidRPr="00376E45">
        <w:rPr>
          <w:lang w:val="en-GB"/>
        </w:rPr>
        <w:t xml:space="preserve">, </w:t>
      </w:r>
      <w:r w:rsidR="00FB723B" w:rsidRPr="00376E45">
        <w:rPr>
          <w:lang w:val="en-GB"/>
        </w:rPr>
        <w:t xml:space="preserve">Roche, Sandoz, </w:t>
      </w:r>
      <w:proofErr w:type="spellStart"/>
      <w:r w:rsidR="00A17362" w:rsidRPr="00376E45">
        <w:rPr>
          <w:lang w:val="en-GB"/>
        </w:rPr>
        <w:t>Sanofi</w:t>
      </w:r>
      <w:proofErr w:type="spellEnd"/>
      <w:r w:rsidR="00A17362" w:rsidRPr="00376E45">
        <w:rPr>
          <w:lang w:val="en-GB"/>
        </w:rPr>
        <w:t xml:space="preserve">, </w:t>
      </w:r>
      <w:r w:rsidR="006038FC" w:rsidRPr="00376E45">
        <w:rPr>
          <w:lang w:val="en-GB"/>
        </w:rPr>
        <w:t xml:space="preserve">and </w:t>
      </w:r>
      <w:r w:rsidR="00FB723B" w:rsidRPr="00376E45">
        <w:rPr>
          <w:lang w:val="en-GB"/>
        </w:rPr>
        <w:t xml:space="preserve">UCB </w:t>
      </w:r>
      <w:proofErr w:type="spellStart"/>
      <w:r w:rsidR="00FB723B" w:rsidRPr="00376E45">
        <w:rPr>
          <w:lang w:val="en-GB"/>
        </w:rPr>
        <w:t>Pharma</w:t>
      </w:r>
      <w:proofErr w:type="spellEnd"/>
      <w:r w:rsidR="00FB723B" w:rsidRPr="00376E45">
        <w:rPr>
          <w:lang w:val="en-GB"/>
        </w:rPr>
        <w:t>.</w:t>
      </w:r>
      <w:r w:rsidR="00FB723B" w:rsidRPr="00376E45">
        <w:rPr>
          <w:b/>
          <w:i/>
          <w:lang w:val="en-GB"/>
        </w:rPr>
        <w:t xml:space="preserve"> </w:t>
      </w:r>
      <w:r w:rsidRPr="00376E45">
        <w:rPr>
          <w:lang w:val="en-GB"/>
        </w:rPr>
        <w:t xml:space="preserve">AJ Kivitz has received research grants, consultancy fees, or speaker fees from </w:t>
      </w:r>
      <w:proofErr w:type="spellStart"/>
      <w:r w:rsidRPr="00376E45">
        <w:rPr>
          <w:lang w:val="en-GB"/>
        </w:rPr>
        <w:t>AbbVie</w:t>
      </w:r>
      <w:proofErr w:type="spellEnd"/>
      <w:r w:rsidRPr="00376E45">
        <w:rPr>
          <w:lang w:val="en-GB"/>
        </w:rPr>
        <w:t>, Amgen, BMS, Genentech, and Pfizer Inc.</w:t>
      </w:r>
      <w:r w:rsidR="003C70E4" w:rsidRPr="00376E45">
        <w:rPr>
          <w:lang w:val="en-GB"/>
        </w:rPr>
        <w:t xml:space="preserve"> Z Luo, R DeMasi, K Soma,</w:t>
      </w:r>
      <w:r w:rsidR="003B47F8" w:rsidRPr="00376E45">
        <w:rPr>
          <w:lang w:val="en-GB"/>
        </w:rPr>
        <w:t xml:space="preserve"> R Zhang,</w:t>
      </w:r>
      <w:r w:rsidR="003C70E4" w:rsidRPr="00376E45">
        <w:rPr>
          <w:lang w:val="en-GB"/>
        </w:rPr>
        <w:t xml:space="preserve"> L Takiya, S Tatulych, C Mojcik, S Krishnaswami</w:t>
      </w:r>
      <w:r w:rsidR="006038FC" w:rsidRPr="00376E45">
        <w:rPr>
          <w:lang w:val="en-GB"/>
        </w:rPr>
        <w:t>,</w:t>
      </w:r>
      <w:r w:rsidR="003C70E4" w:rsidRPr="00376E45">
        <w:rPr>
          <w:lang w:val="en-GB"/>
        </w:rPr>
        <w:t xml:space="preserve"> and S Menon are all employees and shareholders of Pfizer Inc.</w:t>
      </w:r>
      <w:r w:rsidRPr="00376E45">
        <w:rPr>
          <w:lang w:val="en-GB"/>
        </w:rPr>
        <w:t xml:space="preserve"> JS Smolen has received consultancies, speaking fees, and honoraria from </w:t>
      </w:r>
      <w:proofErr w:type="spellStart"/>
      <w:r w:rsidRPr="00376E45">
        <w:rPr>
          <w:lang w:val="en-GB"/>
        </w:rPr>
        <w:t>AbbVie</w:t>
      </w:r>
      <w:proofErr w:type="spellEnd"/>
      <w:r w:rsidRPr="00376E45">
        <w:rPr>
          <w:lang w:val="en-GB"/>
        </w:rPr>
        <w:t xml:space="preserve">, Amgen, AstraZeneca, </w:t>
      </w:r>
      <w:proofErr w:type="spellStart"/>
      <w:r w:rsidRPr="00376E45">
        <w:rPr>
          <w:lang w:val="en-GB"/>
        </w:rPr>
        <w:t>Astro</w:t>
      </w:r>
      <w:proofErr w:type="spellEnd"/>
      <w:r w:rsidRPr="00376E45">
        <w:rPr>
          <w:lang w:val="en-GB"/>
        </w:rPr>
        <w:t xml:space="preserve">, </w:t>
      </w:r>
      <w:proofErr w:type="spellStart"/>
      <w:r w:rsidRPr="00376E45">
        <w:rPr>
          <w:lang w:val="en-GB"/>
        </w:rPr>
        <w:t>Celgene</w:t>
      </w:r>
      <w:proofErr w:type="spellEnd"/>
      <w:r w:rsidRPr="00376E45">
        <w:rPr>
          <w:lang w:val="en-GB"/>
        </w:rPr>
        <w:t xml:space="preserve">, </w:t>
      </w:r>
      <w:proofErr w:type="spellStart"/>
      <w:r w:rsidRPr="00376E45">
        <w:rPr>
          <w:lang w:val="en-GB"/>
        </w:rPr>
        <w:t>Celtrion</w:t>
      </w:r>
      <w:proofErr w:type="spellEnd"/>
      <w:r w:rsidRPr="00376E45">
        <w:rPr>
          <w:lang w:val="en-GB"/>
        </w:rPr>
        <w:t xml:space="preserve">, Glaxo, ILTOO, Janssen, Lilly, </w:t>
      </w:r>
      <w:proofErr w:type="spellStart"/>
      <w:r w:rsidRPr="00376E45">
        <w:rPr>
          <w:lang w:val="en-GB"/>
        </w:rPr>
        <w:t>MedImmune</w:t>
      </w:r>
      <w:proofErr w:type="spellEnd"/>
      <w:r w:rsidRPr="00376E45">
        <w:rPr>
          <w:lang w:val="en-GB"/>
        </w:rPr>
        <w:t xml:space="preserve">, MSD, Novartis-Sandoz, Pfizer </w:t>
      </w:r>
      <w:proofErr w:type="spellStart"/>
      <w:r w:rsidRPr="00376E45">
        <w:rPr>
          <w:lang w:val="en-GB"/>
        </w:rPr>
        <w:t>Inc</w:t>
      </w:r>
      <w:proofErr w:type="spellEnd"/>
      <w:r w:rsidRPr="00376E45">
        <w:rPr>
          <w:lang w:val="en-GB"/>
        </w:rPr>
        <w:t xml:space="preserve">, Roche, Samsung, </w:t>
      </w:r>
      <w:proofErr w:type="spellStart"/>
      <w:r w:rsidRPr="00376E45">
        <w:rPr>
          <w:lang w:val="en-GB"/>
        </w:rPr>
        <w:t>Sanofi</w:t>
      </w:r>
      <w:proofErr w:type="spellEnd"/>
      <w:r w:rsidRPr="00376E45">
        <w:rPr>
          <w:lang w:val="en-GB"/>
        </w:rPr>
        <w:t>, and UCB</w:t>
      </w:r>
      <w:r w:rsidR="006038FC" w:rsidRPr="00376E45">
        <w:rPr>
          <w:lang w:val="en-GB"/>
        </w:rPr>
        <w:t>;</w:t>
      </w:r>
      <w:r w:rsidRPr="00376E45">
        <w:rPr>
          <w:lang w:val="en-GB"/>
        </w:rPr>
        <w:t xml:space="preserve"> and has received institutional grants from </w:t>
      </w:r>
      <w:proofErr w:type="spellStart"/>
      <w:r w:rsidRPr="00376E45">
        <w:rPr>
          <w:lang w:val="en-GB"/>
        </w:rPr>
        <w:t>AbbVie</w:t>
      </w:r>
      <w:proofErr w:type="spellEnd"/>
      <w:r w:rsidRPr="00376E45">
        <w:rPr>
          <w:lang w:val="en-GB"/>
        </w:rPr>
        <w:t xml:space="preserve">, Janssen, Lilly, MSD, Pfizer </w:t>
      </w:r>
      <w:proofErr w:type="spellStart"/>
      <w:r w:rsidRPr="00376E45">
        <w:rPr>
          <w:lang w:val="en-GB"/>
        </w:rPr>
        <w:t>Inc</w:t>
      </w:r>
      <w:proofErr w:type="spellEnd"/>
      <w:r w:rsidRPr="00376E45">
        <w:rPr>
          <w:lang w:val="en-GB"/>
        </w:rPr>
        <w:t>, and Roche.</w:t>
      </w:r>
    </w:p>
    <w:p w14:paraId="249E771D" w14:textId="77777777" w:rsidR="00744C3C" w:rsidRPr="00376E45" w:rsidRDefault="00744C3C" w:rsidP="00744C3C">
      <w:pPr>
        <w:rPr>
          <w:lang w:val="en-GB"/>
        </w:rPr>
      </w:pPr>
      <w:r w:rsidRPr="00376E45">
        <w:rPr>
          <w:rStyle w:val="Heading1Char"/>
          <w:lang w:val="en-GB"/>
        </w:rPr>
        <w:t>Acknowledgements</w:t>
      </w:r>
    </w:p>
    <w:p w14:paraId="6E4C576B" w14:textId="77777777" w:rsidR="00744C3C" w:rsidRPr="00376E45" w:rsidRDefault="00744C3C" w:rsidP="00744C3C">
      <w:pPr>
        <w:rPr>
          <w:lang w:val="en-GB"/>
        </w:rPr>
      </w:pPr>
      <w:r w:rsidRPr="00376E45">
        <w:rPr>
          <w:lang w:val="en-GB"/>
        </w:rPr>
        <w:t>This study was sponsored by Pfizer Inc. Medical writing support, under direction from the authors, was provided by Martin Bell, PhD, of Complete Medical Communications, and was funded by Pfizer Inc.</w:t>
      </w:r>
    </w:p>
    <w:p w14:paraId="38D8DFAF" w14:textId="77777777" w:rsidR="00177829" w:rsidRPr="00376E45" w:rsidRDefault="00177829">
      <w:pPr>
        <w:spacing w:before="0" w:after="0" w:line="240" w:lineRule="auto"/>
        <w:rPr>
          <w:lang w:val="en-GB"/>
        </w:rPr>
      </w:pPr>
      <w:r w:rsidRPr="00376E45">
        <w:rPr>
          <w:lang w:val="en-GB"/>
        </w:rPr>
        <w:br w:type="page"/>
      </w:r>
    </w:p>
    <w:p w14:paraId="0F14BD56" w14:textId="1368BBF2" w:rsidR="00FB67D4" w:rsidRPr="00276124" w:rsidRDefault="00A63978" w:rsidP="00207B87">
      <w:pPr>
        <w:pStyle w:val="Heading1"/>
        <w:rPr>
          <w:i/>
          <w:color w:val="FF0000"/>
          <w:lang w:val="es-ES" w:eastAsia="en-GB"/>
        </w:rPr>
      </w:pPr>
      <w:proofErr w:type="spellStart"/>
      <w:r w:rsidRPr="00276124">
        <w:rPr>
          <w:lang w:val="es-ES"/>
        </w:rPr>
        <w:t>References</w:t>
      </w:r>
      <w:bookmarkEnd w:id="0"/>
      <w:bookmarkEnd w:id="1"/>
      <w:proofErr w:type="spellEnd"/>
      <w:r w:rsidR="00F83DCF" w:rsidRPr="00276124">
        <w:rPr>
          <w:i/>
          <w:color w:val="FF0000"/>
          <w:lang w:val="es-ES" w:eastAsia="en-GB"/>
        </w:rPr>
        <w:t xml:space="preserve"> </w:t>
      </w:r>
    </w:p>
    <w:p w14:paraId="762DD5BD" w14:textId="7497E1C1" w:rsidR="00F95689" w:rsidRDefault="00F95689" w:rsidP="00F95689">
      <w:pPr>
        <w:tabs>
          <w:tab w:val="left" w:pos="540"/>
        </w:tabs>
        <w:ind w:left="540" w:hanging="540"/>
        <w:rPr>
          <w:lang w:val="en-GB" w:eastAsia="en-GB"/>
        </w:rPr>
      </w:pPr>
      <w:r w:rsidRPr="00276124">
        <w:rPr>
          <w:lang w:val="es-ES" w:eastAsia="en-GB"/>
        </w:rPr>
        <w:t xml:space="preserve">1   </w:t>
      </w:r>
      <w:r w:rsidRPr="00276124">
        <w:rPr>
          <w:lang w:val="es-ES" w:eastAsia="en-GB"/>
        </w:rPr>
        <w:tab/>
        <w:t xml:space="preserve">Smolen JS, </w:t>
      </w:r>
      <w:proofErr w:type="spellStart"/>
      <w:r w:rsidRPr="00276124">
        <w:rPr>
          <w:lang w:val="es-ES" w:eastAsia="en-GB"/>
        </w:rPr>
        <w:t>Aletaha</w:t>
      </w:r>
      <w:proofErr w:type="spellEnd"/>
      <w:r w:rsidRPr="00276124">
        <w:rPr>
          <w:lang w:val="es-ES" w:eastAsia="en-GB"/>
        </w:rPr>
        <w:t xml:space="preserve"> D, </w:t>
      </w:r>
      <w:proofErr w:type="spellStart"/>
      <w:r w:rsidRPr="00276124">
        <w:rPr>
          <w:lang w:val="es-ES" w:eastAsia="en-GB"/>
        </w:rPr>
        <w:t>McInnes</w:t>
      </w:r>
      <w:proofErr w:type="spellEnd"/>
      <w:r w:rsidRPr="00276124">
        <w:rPr>
          <w:lang w:val="es-ES" w:eastAsia="en-GB"/>
        </w:rPr>
        <w:t xml:space="preserve"> IB. </w:t>
      </w:r>
      <w:r>
        <w:rPr>
          <w:lang w:val="en-GB" w:eastAsia="en-GB"/>
        </w:rPr>
        <w:t xml:space="preserve">Rheumatoid arthritis. </w:t>
      </w:r>
      <w:r w:rsidRPr="00F95689">
        <w:rPr>
          <w:i/>
          <w:lang w:val="en-GB" w:eastAsia="en-GB"/>
        </w:rPr>
        <w:t>Lancet</w:t>
      </w:r>
      <w:r>
        <w:rPr>
          <w:lang w:val="en-GB" w:eastAsia="en-GB"/>
        </w:rPr>
        <w:t xml:space="preserve"> 2016; </w:t>
      </w:r>
      <w:r w:rsidRPr="00F95689">
        <w:rPr>
          <w:b/>
          <w:lang w:val="en-GB" w:eastAsia="en-GB"/>
        </w:rPr>
        <w:t>388:</w:t>
      </w:r>
      <w:r>
        <w:rPr>
          <w:lang w:val="en-GB" w:eastAsia="en-GB"/>
        </w:rPr>
        <w:t xml:space="preserve"> 2023</w:t>
      </w:r>
      <w:r w:rsidRPr="00F95689">
        <w:rPr>
          <w:rFonts w:ascii="Arial" w:hAnsi="Arial" w:cs="Arial"/>
          <w:lang w:val="en-GB" w:eastAsia="en-GB"/>
        </w:rPr>
        <w:t>–</w:t>
      </w:r>
      <w:r>
        <w:rPr>
          <w:lang w:val="en-GB" w:eastAsia="en-GB"/>
        </w:rPr>
        <w:t>2038.</w:t>
      </w:r>
    </w:p>
    <w:p w14:paraId="03BED2F3" w14:textId="77777777" w:rsidR="00F95689" w:rsidRDefault="00F95689" w:rsidP="00F95689">
      <w:pPr>
        <w:tabs>
          <w:tab w:val="left" w:pos="540"/>
        </w:tabs>
        <w:ind w:left="540" w:hanging="540"/>
        <w:rPr>
          <w:lang w:val="en-GB" w:eastAsia="en-GB"/>
        </w:rPr>
      </w:pPr>
      <w:r>
        <w:rPr>
          <w:lang w:val="en-GB" w:eastAsia="en-GB"/>
        </w:rPr>
        <w:t xml:space="preserve">2   </w:t>
      </w:r>
      <w:r>
        <w:rPr>
          <w:lang w:val="en-GB" w:eastAsia="en-GB"/>
        </w:rPr>
        <w:tab/>
        <w:t xml:space="preserve">Singh JA, </w:t>
      </w:r>
      <w:proofErr w:type="spellStart"/>
      <w:r>
        <w:rPr>
          <w:lang w:val="en-GB" w:eastAsia="en-GB"/>
        </w:rPr>
        <w:t>Saag</w:t>
      </w:r>
      <w:proofErr w:type="spellEnd"/>
      <w:r>
        <w:rPr>
          <w:lang w:val="en-GB" w:eastAsia="en-GB"/>
        </w:rPr>
        <w:t xml:space="preserve"> KG, Bridges Jr SL, et al. 2015 American College of Rheumatology Guideline for the Treatment of Rheumatoid Arthritis. </w:t>
      </w:r>
      <w:r w:rsidRPr="00F95689">
        <w:rPr>
          <w:i/>
          <w:lang w:val="en-GB" w:eastAsia="en-GB"/>
        </w:rPr>
        <w:t>Arthritis Care Res (Hoboken)</w:t>
      </w:r>
      <w:r>
        <w:rPr>
          <w:lang w:val="en-GB" w:eastAsia="en-GB"/>
        </w:rPr>
        <w:t xml:space="preserve"> 2016; </w:t>
      </w:r>
      <w:r w:rsidRPr="00F95689">
        <w:rPr>
          <w:b/>
          <w:lang w:val="en-GB" w:eastAsia="en-GB"/>
        </w:rPr>
        <w:t>68:</w:t>
      </w:r>
      <w:r>
        <w:rPr>
          <w:lang w:val="en-GB" w:eastAsia="en-GB"/>
        </w:rPr>
        <w:t xml:space="preserve"> 1</w:t>
      </w:r>
      <w:r w:rsidRPr="00F95689">
        <w:rPr>
          <w:rFonts w:ascii="Arial" w:hAnsi="Arial" w:cs="Arial"/>
          <w:lang w:val="en-GB" w:eastAsia="en-GB"/>
        </w:rPr>
        <w:t>–</w:t>
      </w:r>
      <w:r>
        <w:rPr>
          <w:lang w:val="en-GB" w:eastAsia="en-GB"/>
        </w:rPr>
        <w:t>25.</w:t>
      </w:r>
    </w:p>
    <w:p w14:paraId="48CCCA86" w14:textId="77777777" w:rsidR="00F95689" w:rsidRPr="00276124" w:rsidRDefault="00F95689" w:rsidP="00F95689">
      <w:pPr>
        <w:tabs>
          <w:tab w:val="left" w:pos="540"/>
        </w:tabs>
        <w:ind w:left="540" w:hanging="540"/>
        <w:rPr>
          <w:lang w:val="fr-FR" w:eastAsia="en-GB"/>
        </w:rPr>
      </w:pPr>
      <w:r>
        <w:rPr>
          <w:lang w:val="en-GB" w:eastAsia="en-GB"/>
        </w:rPr>
        <w:t xml:space="preserve">3   </w:t>
      </w:r>
      <w:r>
        <w:rPr>
          <w:lang w:val="en-GB" w:eastAsia="en-GB"/>
        </w:rPr>
        <w:tab/>
        <w:t xml:space="preserve">Smolen JS, </w:t>
      </w:r>
      <w:proofErr w:type="spellStart"/>
      <w:r>
        <w:rPr>
          <w:lang w:val="en-GB" w:eastAsia="en-GB"/>
        </w:rPr>
        <w:t>Landewé</w:t>
      </w:r>
      <w:proofErr w:type="spellEnd"/>
      <w:r>
        <w:rPr>
          <w:lang w:val="en-GB" w:eastAsia="en-GB"/>
        </w:rPr>
        <w:t xml:space="preserve"> R, </w:t>
      </w:r>
      <w:proofErr w:type="spellStart"/>
      <w:proofErr w:type="gramStart"/>
      <w:r>
        <w:rPr>
          <w:lang w:val="en-GB" w:eastAsia="en-GB"/>
        </w:rPr>
        <w:t>Bijlsma</w:t>
      </w:r>
      <w:proofErr w:type="spellEnd"/>
      <w:proofErr w:type="gramEnd"/>
      <w:r>
        <w:rPr>
          <w:lang w:val="en-GB" w:eastAsia="en-GB"/>
        </w:rPr>
        <w:t xml:space="preserve"> J, et al. EULAR recommendations for the management of rheumatoid arthritis with synthetic and biological disease-modifying antirheumatic drugs: 2016 update. </w:t>
      </w:r>
      <w:r w:rsidRPr="00276124">
        <w:rPr>
          <w:i/>
          <w:lang w:val="fr-FR" w:eastAsia="en-GB"/>
        </w:rPr>
        <w:t xml:space="preserve">Ann </w:t>
      </w:r>
      <w:proofErr w:type="spellStart"/>
      <w:r w:rsidRPr="00276124">
        <w:rPr>
          <w:i/>
          <w:lang w:val="fr-FR" w:eastAsia="en-GB"/>
        </w:rPr>
        <w:t>Rheum</w:t>
      </w:r>
      <w:proofErr w:type="spellEnd"/>
      <w:r w:rsidRPr="00276124">
        <w:rPr>
          <w:i/>
          <w:lang w:val="fr-FR" w:eastAsia="en-GB"/>
        </w:rPr>
        <w:t xml:space="preserve"> Dis</w:t>
      </w:r>
      <w:r w:rsidRPr="00276124">
        <w:rPr>
          <w:lang w:val="fr-FR" w:eastAsia="en-GB"/>
        </w:rPr>
        <w:t xml:space="preserve"> 2017.</w:t>
      </w:r>
    </w:p>
    <w:p w14:paraId="2BEB86C3" w14:textId="77777777" w:rsidR="00F95689" w:rsidRDefault="00F95689" w:rsidP="00F95689">
      <w:pPr>
        <w:tabs>
          <w:tab w:val="left" w:pos="540"/>
        </w:tabs>
        <w:ind w:left="540" w:hanging="540"/>
        <w:rPr>
          <w:lang w:val="en-GB" w:eastAsia="en-GB"/>
        </w:rPr>
      </w:pPr>
      <w:r w:rsidRPr="00276124">
        <w:rPr>
          <w:lang w:val="fr-FR" w:eastAsia="en-GB"/>
        </w:rPr>
        <w:t xml:space="preserve">4   </w:t>
      </w:r>
      <w:r w:rsidRPr="00276124">
        <w:rPr>
          <w:lang w:val="fr-FR" w:eastAsia="en-GB"/>
        </w:rPr>
        <w:tab/>
      </w:r>
      <w:proofErr w:type="spellStart"/>
      <w:r w:rsidRPr="00276124">
        <w:rPr>
          <w:lang w:val="fr-FR" w:eastAsia="en-GB"/>
        </w:rPr>
        <w:t>Burmester</w:t>
      </w:r>
      <w:proofErr w:type="spellEnd"/>
      <w:r w:rsidRPr="00276124">
        <w:rPr>
          <w:lang w:val="fr-FR" w:eastAsia="en-GB"/>
        </w:rPr>
        <w:t xml:space="preserve"> GR, Blanco R, Charles-</w:t>
      </w:r>
      <w:proofErr w:type="spellStart"/>
      <w:r w:rsidRPr="00276124">
        <w:rPr>
          <w:lang w:val="fr-FR" w:eastAsia="en-GB"/>
        </w:rPr>
        <w:t>Schoeman</w:t>
      </w:r>
      <w:proofErr w:type="spellEnd"/>
      <w:r w:rsidRPr="00276124">
        <w:rPr>
          <w:lang w:val="fr-FR" w:eastAsia="en-GB"/>
        </w:rPr>
        <w:t xml:space="preserve"> C, et al. </w:t>
      </w:r>
      <w:r>
        <w:rPr>
          <w:lang w:val="en-GB" w:eastAsia="en-GB"/>
        </w:rPr>
        <w:t xml:space="preserve">Tofacitinib (CP-690,550) in combination with methotrexate in patients with active rheumatoid arthritis with an inadequate response to tumour necrosis factor inhibitors: a randomised phase 3 trial. </w:t>
      </w:r>
      <w:r w:rsidRPr="00F95689">
        <w:rPr>
          <w:i/>
          <w:lang w:val="en-GB" w:eastAsia="en-GB"/>
        </w:rPr>
        <w:t>Lancet</w:t>
      </w:r>
      <w:r>
        <w:rPr>
          <w:lang w:val="en-GB" w:eastAsia="en-GB"/>
        </w:rPr>
        <w:t xml:space="preserve"> 2013; </w:t>
      </w:r>
      <w:r w:rsidRPr="00F95689">
        <w:rPr>
          <w:b/>
          <w:lang w:val="en-GB" w:eastAsia="en-GB"/>
        </w:rPr>
        <w:t>381:</w:t>
      </w:r>
      <w:r>
        <w:rPr>
          <w:lang w:val="en-GB" w:eastAsia="en-GB"/>
        </w:rPr>
        <w:t xml:space="preserve"> 451</w:t>
      </w:r>
      <w:r w:rsidRPr="00F95689">
        <w:rPr>
          <w:rFonts w:ascii="Arial" w:hAnsi="Arial" w:cs="Arial"/>
          <w:lang w:val="en-GB" w:eastAsia="en-GB"/>
        </w:rPr>
        <w:t>–</w:t>
      </w:r>
      <w:r>
        <w:rPr>
          <w:lang w:val="en-GB" w:eastAsia="en-GB"/>
        </w:rPr>
        <w:t>460.</w:t>
      </w:r>
    </w:p>
    <w:p w14:paraId="07C4EFA7" w14:textId="77777777" w:rsidR="00F95689" w:rsidRDefault="00F95689" w:rsidP="00F95689">
      <w:pPr>
        <w:tabs>
          <w:tab w:val="left" w:pos="540"/>
        </w:tabs>
        <w:ind w:left="540" w:hanging="540"/>
        <w:rPr>
          <w:lang w:val="en-GB" w:eastAsia="en-GB"/>
        </w:rPr>
      </w:pPr>
      <w:r>
        <w:rPr>
          <w:lang w:val="en-GB" w:eastAsia="en-GB"/>
        </w:rPr>
        <w:t xml:space="preserve">5   </w:t>
      </w:r>
      <w:r>
        <w:rPr>
          <w:lang w:val="en-GB" w:eastAsia="en-GB"/>
        </w:rPr>
        <w:tab/>
        <w:t xml:space="preserve">Fleischmann R, Kremer J, Cush J, et al. Placebo-controlled trial of tofacitinib monotherapy in rheumatoid arthritis. </w:t>
      </w:r>
      <w:r w:rsidRPr="00F95689">
        <w:rPr>
          <w:i/>
          <w:lang w:val="en-GB" w:eastAsia="en-GB"/>
        </w:rPr>
        <w:t xml:space="preserve">N </w:t>
      </w:r>
      <w:proofErr w:type="spellStart"/>
      <w:r w:rsidRPr="00F95689">
        <w:rPr>
          <w:i/>
          <w:lang w:val="en-GB" w:eastAsia="en-GB"/>
        </w:rPr>
        <w:t>Engl</w:t>
      </w:r>
      <w:proofErr w:type="spellEnd"/>
      <w:r w:rsidRPr="00F95689">
        <w:rPr>
          <w:i/>
          <w:lang w:val="en-GB" w:eastAsia="en-GB"/>
        </w:rPr>
        <w:t xml:space="preserve"> J Med</w:t>
      </w:r>
      <w:r>
        <w:rPr>
          <w:lang w:val="en-GB" w:eastAsia="en-GB"/>
        </w:rPr>
        <w:t xml:space="preserve"> 2012; </w:t>
      </w:r>
      <w:r w:rsidRPr="00F95689">
        <w:rPr>
          <w:b/>
          <w:lang w:val="en-GB" w:eastAsia="en-GB"/>
        </w:rPr>
        <w:t>367:</w:t>
      </w:r>
      <w:r>
        <w:rPr>
          <w:lang w:val="en-GB" w:eastAsia="en-GB"/>
        </w:rPr>
        <w:t xml:space="preserve"> 495</w:t>
      </w:r>
      <w:r w:rsidRPr="00F95689">
        <w:rPr>
          <w:rFonts w:ascii="Arial" w:hAnsi="Arial" w:cs="Arial"/>
          <w:lang w:val="en-GB" w:eastAsia="en-GB"/>
        </w:rPr>
        <w:t>–</w:t>
      </w:r>
      <w:r>
        <w:rPr>
          <w:lang w:val="en-GB" w:eastAsia="en-GB"/>
        </w:rPr>
        <w:t>507.</w:t>
      </w:r>
    </w:p>
    <w:p w14:paraId="5AC1E7BE" w14:textId="77777777" w:rsidR="00F95689" w:rsidRDefault="00F95689" w:rsidP="00F95689">
      <w:pPr>
        <w:tabs>
          <w:tab w:val="left" w:pos="540"/>
        </w:tabs>
        <w:ind w:left="540" w:hanging="540"/>
        <w:rPr>
          <w:lang w:val="en-GB" w:eastAsia="en-GB"/>
        </w:rPr>
      </w:pPr>
      <w:r>
        <w:rPr>
          <w:lang w:val="en-GB" w:eastAsia="en-GB"/>
        </w:rPr>
        <w:t xml:space="preserve">6   </w:t>
      </w:r>
      <w:r>
        <w:rPr>
          <w:lang w:val="en-GB" w:eastAsia="en-GB"/>
        </w:rPr>
        <w:tab/>
        <w:t xml:space="preserve">Kremer J, Li ZG, Hall S, et al. Tofacitinib in combination with </w:t>
      </w:r>
      <w:proofErr w:type="spellStart"/>
      <w:r>
        <w:rPr>
          <w:lang w:val="en-GB" w:eastAsia="en-GB"/>
        </w:rPr>
        <w:t>nonbiologic</w:t>
      </w:r>
      <w:proofErr w:type="spellEnd"/>
      <w:r>
        <w:rPr>
          <w:lang w:val="en-GB" w:eastAsia="en-GB"/>
        </w:rPr>
        <w:t xml:space="preserve"> disease-modifying antirheumatic drugs in patients with active rheumatoid arthritis: a randomized trial. </w:t>
      </w:r>
      <w:r w:rsidRPr="00F95689">
        <w:rPr>
          <w:i/>
          <w:lang w:val="en-GB" w:eastAsia="en-GB"/>
        </w:rPr>
        <w:t>Ann Intern Med</w:t>
      </w:r>
      <w:r>
        <w:rPr>
          <w:lang w:val="en-GB" w:eastAsia="en-GB"/>
        </w:rPr>
        <w:t xml:space="preserve"> 2013; </w:t>
      </w:r>
      <w:r w:rsidRPr="00F95689">
        <w:rPr>
          <w:b/>
          <w:lang w:val="en-GB" w:eastAsia="en-GB"/>
        </w:rPr>
        <w:t>159:</w:t>
      </w:r>
      <w:r>
        <w:rPr>
          <w:lang w:val="en-GB" w:eastAsia="en-GB"/>
        </w:rPr>
        <w:t xml:space="preserve"> 253</w:t>
      </w:r>
      <w:r w:rsidRPr="00F95689">
        <w:rPr>
          <w:rFonts w:ascii="Arial" w:hAnsi="Arial" w:cs="Arial"/>
          <w:lang w:val="en-GB" w:eastAsia="en-GB"/>
        </w:rPr>
        <w:t>–</w:t>
      </w:r>
      <w:r>
        <w:rPr>
          <w:lang w:val="en-GB" w:eastAsia="en-GB"/>
        </w:rPr>
        <w:t>261.</w:t>
      </w:r>
    </w:p>
    <w:p w14:paraId="5EF7EF84" w14:textId="77777777" w:rsidR="00F95689" w:rsidRPr="00276124" w:rsidRDefault="00F95689" w:rsidP="00F95689">
      <w:pPr>
        <w:tabs>
          <w:tab w:val="left" w:pos="540"/>
        </w:tabs>
        <w:ind w:left="540" w:hanging="540"/>
        <w:rPr>
          <w:lang w:val="es-ES" w:eastAsia="en-GB"/>
        </w:rPr>
      </w:pPr>
      <w:r>
        <w:rPr>
          <w:lang w:val="en-GB" w:eastAsia="en-GB"/>
        </w:rPr>
        <w:t xml:space="preserve">7   </w:t>
      </w:r>
      <w:r>
        <w:rPr>
          <w:lang w:val="en-GB" w:eastAsia="en-GB"/>
        </w:rPr>
        <w:tab/>
        <w:t xml:space="preserve">Lee EB, Fleischmann R, Hall S, et al. Tofacitinib versus methotrexate in rheumatoid arthritis. </w:t>
      </w:r>
      <w:r w:rsidRPr="00276124">
        <w:rPr>
          <w:i/>
          <w:lang w:val="es-ES" w:eastAsia="en-GB"/>
        </w:rPr>
        <w:t xml:space="preserve">N </w:t>
      </w:r>
      <w:proofErr w:type="spellStart"/>
      <w:r w:rsidRPr="00276124">
        <w:rPr>
          <w:i/>
          <w:lang w:val="es-ES" w:eastAsia="en-GB"/>
        </w:rPr>
        <w:t>Engl</w:t>
      </w:r>
      <w:proofErr w:type="spellEnd"/>
      <w:r w:rsidRPr="00276124">
        <w:rPr>
          <w:i/>
          <w:lang w:val="es-ES" w:eastAsia="en-GB"/>
        </w:rPr>
        <w:t xml:space="preserve"> J </w:t>
      </w:r>
      <w:proofErr w:type="spellStart"/>
      <w:r w:rsidRPr="00276124">
        <w:rPr>
          <w:i/>
          <w:lang w:val="es-ES" w:eastAsia="en-GB"/>
        </w:rPr>
        <w:t>Med</w:t>
      </w:r>
      <w:proofErr w:type="spellEnd"/>
      <w:r w:rsidRPr="00276124">
        <w:rPr>
          <w:lang w:val="es-ES" w:eastAsia="en-GB"/>
        </w:rPr>
        <w:t xml:space="preserve"> 2014; </w:t>
      </w:r>
      <w:r w:rsidRPr="00276124">
        <w:rPr>
          <w:b/>
          <w:lang w:val="es-ES" w:eastAsia="en-GB"/>
        </w:rPr>
        <w:t>370:</w:t>
      </w:r>
      <w:r w:rsidRPr="00276124">
        <w:rPr>
          <w:lang w:val="es-ES" w:eastAsia="en-GB"/>
        </w:rPr>
        <w:t xml:space="preserve"> 2377</w:t>
      </w:r>
      <w:r w:rsidRPr="00276124">
        <w:rPr>
          <w:rFonts w:ascii="Arial" w:hAnsi="Arial" w:cs="Arial"/>
          <w:lang w:val="es-ES" w:eastAsia="en-GB"/>
        </w:rPr>
        <w:t>–</w:t>
      </w:r>
      <w:r w:rsidRPr="00276124">
        <w:rPr>
          <w:lang w:val="es-ES" w:eastAsia="en-GB"/>
        </w:rPr>
        <w:t>2386.</w:t>
      </w:r>
    </w:p>
    <w:p w14:paraId="5B769AC5" w14:textId="77777777" w:rsidR="00F95689" w:rsidRDefault="00F95689" w:rsidP="00F95689">
      <w:pPr>
        <w:tabs>
          <w:tab w:val="left" w:pos="540"/>
        </w:tabs>
        <w:ind w:left="540" w:hanging="540"/>
        <w:rPr>
          <w:lang w:val="en-GB" w:eastAsia="en-GB"/>
        </w:rPr>
      </w:pPr>
      <w:r w:rsidRPr="00276124">
        <w:rPr>
          <w:lang w:val="es-ES" w:eastAsia="en-GB"/>
        </w:rPr>
        <w:t xml:space="preserve">8   </w:t>
      </w:r>
      <w:r w:rsidRPr="00276124">
        <w:rPr>
          <w:lang w:val="es-ES" w:eastAsia="en-GB"/>
        </w:rPr>
        <w:tab/>
        <w:t xml:space="preserve">van der </w:t>
      </w:r>
      <w:proofErr w:type="spellStart"/>
      <w:r w:rsidRPr="00276124">
        <w:rPr>
          <w:lang w:val="es-ES" w:eastAsia="en-GB"/>
        </w:rPr>
        <w:t>Heijde</w:t>
      </w:r>
      <w:proofErr w:type="spellEnd"/>
      <w:r w:rsidRPr="00276124">
        <w:rPr>
          <w:lang w:val="es-ES" w:eastAsia="en-GB"/>
        </w:rPr>
        <w:t xml:space="preserve"> D, </w:t>
      </w:r>
      <w:proofErr w:type="spellStart"/>
      <w:r w:rsidRPr="00276124">
        <w:rPr>
          <w:lang w:val="es-ES" w:eastAsia="en-GB"/>
        </w:rPr>
        <w:t>Tanaka</w:t>
      </w:r>
      <w:proofErr w:type="spellEnd"/>
      <w:r w:rsidRPr="00276124">
        <w:rPr>
          <w:lang w:val="es-ES" w:eastAsia="en-GB"/>
        </w:rPr>
        <w:t xml:space="preserve"> Y, Fleischmann R, et al. </w:t>
      </w:r>
      <w:r>
        <w:rPr>
          <w:lang w:val="en-GB" w:eastAsia="en-GB"/>
        </w:rPr>
        <w:t xml:space="preserve">Tofacitinib (CP-690,550) in patients with rheumatoid arthritis receiving methotrexate: twelve-month data from a twenty-four-month phase III randomized radiographic study. </w:t>
      </w:r>
      <w:r w:rsidRPr="00F95689">
        <w:rPr>
          <w:i/>
          <w:lang w:val="en-GB" w:eastAsia="en-GB"/>
        </w:rPr>
        <w:t>Arthritis Rheum</w:t>
      </w:r>
      <w:r>
        <w:rPr>
          <w:lang w:val="en-GB" w:eastAsia="en-GB"/>
        </w:rPr>
        <w:t xml:space="preserve"> 2013; </w:t>
      </w:r>
      <w:r w:rsidRPr="00F95689">
        <w:rPr>
          <w:b/>
          <w:lang w:val="en-GB" w:eastAsia="en-GB"/>
        </w:rPr>
        <w:t>65:</w:t>
      </w:r>
      <w:r>
        <w:rPr>
          <w:lang w:val="en-GB" w:eastAsia="en-GB"/>
        </w:rPr>
        <w:t xml:space="preserve"> 559</w:t>
      </w:r>
      <w:r w:rsidRPr="00F95689">
        <w:rPr>
          <w:rFonts w:ascii="Arial" w:hAnsi="Arial" w:cs="Arial"/>
          <w:lang w:val="en-GB" w:eastAsia="en-GB"/>
        </w:rPr>
        <w:t>–</w:t>
      </w:r>
      <w:r>
        <w:rPr>
          <w:lang w:val="en-GB" w:eastAsia="en-GB"/>
        </w:rPr>
        <w:t>570.</w:t>
      </w:r>
    </w:p>
    <w:p w14:paraId="0DB8C2ED" w14:textId="77777777" w:rsidR="00F95689" w:rsidRDefault="00F95689" w:rsidP="00F95689">
      <w:pPr>
        <w:tabs>
          <w:tab w:val="left" w:pos="540"/>
        </w:tabs>
        <w:ind w:left="540" w:hanging="540"/>
        <w:rPr>
          <w:lang w:val="en-GB" w:eastAsia="en-GB"/>
        </w:rPr>
      </w:pPr>
      <w:r>
        <w:rPr>
          <w:lang w:val="en-GB" w:eastAsia="en-GB"/>
        </w:rPr>
        <w:t xml:space="preserve">9   </w:t>
      </w:r>
      <w:r>
        <w:rPr>
          <w:lang w:val="en-GB" w:eastAsia="en-GB"/>
        </w:rPr>
        <w:tab/>
        <w:t xml:space="preserve">van </w:t>
      </w:r>
      <w:proofErr w:type="spellStart"/>
      <w:r>
        <w:rPr>
          <w:lang w:val="en-GB" w:eastAsia="en-GB"/>
        </w:rPr>
        <w:t>Vollenhoven</w:t>
      </w:r>
      <w:proofErr w:type="spellEnd"/>
      <w:r>
        <w:rPr>
          <w:lang w:val="en-GB" w:eastAsia="en-GB"/>
        </w:rPr>
        <w:t xml:space="preserve"> RF, Fleischmann R, Cohen S, et al. Tofacitinib or adalimumab versus placebo in rheumatoid arthritis. </w:t>
      </w:r>
      <w:r w:rsidRPr="00F95689">
        <w:rPr>
          <w:i/>
          <w:lang w:val="en-GB" w:eastAsia="en-GB"/>
        </w:rPr>
        <w:t xml:space="preserve">N </w:t>
      </w:r>
      <w:proofErr w:type="spellStart"/>
      <w:r w:rsidRPr="00F95689">
        <w:rPr>
          <w:i/>
          <w:lang w:val="en-GB" w:eastAsia="en-GB"/>
        </w:rPr>
        <w:t>Engl</w:t>
      </w:r>
      <w:proofErr w:type="spellEnd"/>
      <w:r w:rsidRPr="00F95689">
        <w:rPr>
          <w:i/>
          <w:lang w:val="en-GB" w:eastAsia="en-GB"/>
        </w:rPr>
        <w:t xml:space="preserve"> J Med</w:t>
      </w:r>
      <w:r>
        <w:rPr>
          <w:lang w:val="en-GB" w:eastAsia="en-GB"/>
        </w:rPr>
        <w:t xml:space="preserve"> 2012; </w:t>
      </w:r>
      <w:r w:rsidRPr="00F95689">
        <w:rPr>
          <w:b/>
          <w:lang w:val="en-GB" w:eastAsia="en-GB"/>
        </w:rPr>
        <w:t>367:</w:t>
      </w:r>
      <w:r>
        <w:rPr>
          <w:lang w:val="en-GB" w:eastAsia="en-GB"/>
        </w:rPr>
        <w:t xml:space="preserve"> 508</w:t>
      </w:r>
      <w:r w:rsidRPr="00F95689">
        <w:rPr>
          <w:rFonts w:ascii="Arial" w:hAnsi="Arial" w:cs="Arial"/>
          <w:lang w:val="en-GB" w:eastAsia="en-GB"/>
        </w:rPr>
        <w:t>–</w:t>
      </w:r>
      <w:r>
        <w:rPr>
          <w:lang w:val="en-GB" w:eastAsia="en-GB"/>
        </w:rPr>
        <w:t>519.</w:t>
      </w:r>
    </w:p>
    <w:p w14:paraId="061C3CD3" w14:textId="77777777" w:rsidR="00F95689" w:rsidRDefault="00F95689" w:rsidP="00F95689">
      <w:pPr>
        <w:tabs>
          <w:tab w:val="left" w:pos="540"/>
        </w:tabs>
        <w:ind w:left="540" w:hanging="540"/>
        <w:rPr>
          <w:lang w:val="en-GB" w:eastAsia="en-GB"/>
        </w:rPr>
      </w:pPr>
      <w:r>
        <w:rPr>
          <w:lang w:val="en-GB" w:eastAsia="en-GB"/>
        </w:rPr>
        <w:t xml:space="preserve">10   </w:t>
      </w:r>
      <w:r>
        <w:rPr>
          <w:lang w:val="en-GB" w:eastAsia="en-GB"/>
        </w:rPr>
        <w:tab/>
      </w:r>
      <w:proofErr w:type="spellStart"/>
      <w:r>
        <w:rPr>
          <w:lang w:val="en-GB" w:eastAsia="en-GB"/>
        </w:rPr>
        <w:t>Wollenhaupt</w:t>
      </w:r>
      <w:proofErr w:type="spellEnd"/>
      <w:r>
        <w:rPr>
          <w:lang w:val="en-GB" w:eastAsia="en-GB"/>
        </w:rPr>
        <w:t xml:space="preserve"> J, </w:t>
      </w:r>
      <w:proofErr w:type="spellStart"/>
      <w:r>
        <w:rPr>
          <w:lang w:val="en-GB" w:eastAsia="en-GB"/>
        </w:rPr>
        <w:t>Silverfield</w:t>
      </w:r>
      <w:proofErr w:type="spellEnd"/>
      <w:r>
        <w:rPr>
          <w:lang w:val="en-GB" w:eastAsia="en-GB"/>
        </w:rPr>
        <w:t xml:space="preserve"> J, </w:t>
      </w:r>
      <w:proofErr w:type="gramStart"/>
      <w:r>
        <w:rPr>
          <w:lang w:val="en-GB" w:eastAsia="en-GB"/>
        </w:rPr>
        <w:t>Lee</w:t>
      </w:r>
      <w:proofErr w:type="gramEnd"/>
      <w:r>
        <w:rPr>
          <w:lang w:val="en-GB" w:eastAsia="en-GB"/>
        </w:rPr>
        <w:t xml:space="preserve"> EB, et al. Tofacitinib, an oral Janus kinase inhibitor, in the treatment of rheumatoid arthritis: safety and efficacy in open-label, long-term extension studies over 8 years. </w:t>
      </w:r>
      <w:r w:rsidRPr="00F95689">
        <w:rPr>
          <w:i/>
          <w:lang w:val="en-GB" w:eastAsia="en-GB"/>
        </w:rPr>
        <w:t xml:space="preserve">Arthritis </w:t>
      </w:r>
      <w:proofErr w:type="spellStart"/>
      <w:r w:rsidRPr="00F95689">
        <w:rPr>
          <w:i/>
          <w:lang w:val="en-GB" w:eastAsia="en-GB"/>
        </w:rPr>
        <w:t>Rheumatol</w:t>
      </w:r>
      <w:proofErr w:type="spellEnd"/>
      <w:r>
        <w:rPr>
          <w:lang w:val="en-GB" w:eastAsia="en-GB"/>
        </w:rPr>
        <w:t xml:space="preserve"> 2016; </w:t>
      </w:r>
      <w:r w:rsidRPr="00F95689">
        <w:rPr>
          <w:b/>
          <w:lang w:val="en-GB" w:eastAsia="en-GB"/>
        </w:rPr>
        <w:t>68</w:t>
      </w:r>
      <w:r>
        <w:rPr>
          <w:lang w:val="en-GB" w:eastAsia="en-GB"/>
        </w:rPr>
        <w:t xml:space="preserve"> (S10): 2056, abs 1647.</w:t>
      </w:r>
    </w:p>
    <w:p w14:paraId="3A3BEB65" w14:textId="77777777" w:rsidR="00F95689" w:rsidRDefault="00F95689" w:rsidP="00F95689">
      <w:pPr>
        <w:tabs>
          <w:tab w:val="left" w:pos="540"/>
        </w:tabs>
        <w:ind w:left="540" w:hanging="540"/>
        <w:rPr>
          <w:lang w:val="en-GB" w:eastAsia="en-GB"/>
        </w:rPr>
      </w:pPr>
      <w:r>
        <w:rPr>
          <w:lang w:val="en-GB" w:eastAsia="en-GB"/>
        </w:rPr>
        <w:t xml:space="preserve">11   </w:t>
      </w:r>
      <w:r>
        <w:rPr>
          <w:lang w:val="en-GB" w:eastAsia="en-GB"/>
        </w:rPr>
        <w:tab/>
        <w:t xml:space="preserve">Yamanaka H, Tanaka Y, Takeuchi T, et al. Tofacitinib, an oral Janus kinase inhibitor, as monotherapy or with background methotrexate, in Japanese patients with rheumatoid arthritis: an open-label, long-term extension study. </w:t>
      </w:r>
      <w:r w:rsidRPr="00F95689">
        <w:rPr>
          <w:i/>
          <w:lang w:val="en-GB" w:eastAsia="en-GB"/>
        </w:rPr>
        <w:t xml:space="preserve">Arthritis Res </w:t>
      </w:r>
      <w:proofErr w:type="spellStart"/>
      <w:r w:rsidRPr="00F95689">
        <w:rPr>
          <w:i/>
          <w:lang w:val="en-GB" w:eastAsia="en-GB"/>
        </w:rPr>
        <w:t>Ther</w:t>
      </w:r>
      <w:proofErr w:type="spellEnd"/>
      <w:r>
        <w:rPr>
          <w:lang w:val="en-GB" w:eastAsia="en-GB"/>
        </w:rPr>
        <w:t xml:space="preserve"> 2016; </w:t>
      </w:r>
      <w:r w:rsidRPr="00F95689">
        <w:rPr>
          <w:b/>
          <w:lang w:val="en-GB" w:eastAsia="en-GB"/>
        </w:rPr>
        <w:t>18:</w:t>
      </w:r>
      <w:r>
        <w:rPr>
          <w:lang w:val="en-GB" w:eastAsia="en-GB"/>
        </w:rPr>
        <w:t xml:space="preserve"> 34</w:t>
      </w:r>
      <w:r w:rsidRPr="00F95689">
        <w:rPr>
          <w:rFonts w:ascii="Arial" w:hAnsi="Arial" w:cs="Arial"/>
          <w:lang w:val="en-GB" w:eastAsia="en-GB"/>
        </w:rPr>
        <w:t>–</w:t>
      </w:r>
      <w:r>
        <w:rPr>
          <w:lang w:val="en-GB" w:eastAsia="en-GB"/>
        </w:rPr>
        <w:t>.</w:t>
      </w:r>
    </w:p>
    <w:p w14:paraId="262F045F" w14:textId="77777777" w:rsidR="00F95689" w:rsidRDefault="00F95689" w:rsidP="00F95689">
      <w:pPr>
        <w:tabs>
          <w:tab w:val="left" w:pos="540"/>
        </w:tabs>
        <w:ind w:left="540" w:hanging="540"/>
        <w:rPr>
          <w:lang w:val="en-GB" w:eastAsia="en-GB"/>
        </w:rPr>
      </w:pPr>
      <w:r>
        <w:rPr>
          <w:lang w:val="en-GB" w:eastAsia="en-GB"/>
        </w:rPr>
        <w:t xml:space="preserve">12   </w:t>
      </w:r>
      <w:r>
        <w:rPr>
          <w:lang w:val="en-GB" w:eastAsia="en-GB"/>
        </w:rPr>
        <w:tab/>
        <w:t xml:space="preserve">Keystone EC, </w:t>
      </w:r>
      <w:proofErr w:type="spellStart"/>
      <w:r>
        <w:rPr>
          <w:lang w:val="en-GB" w:eastAsia="en-GB"/>
        </w:rPr>
        <w:t>Kavanaugh</w:t>
      </w:r>
      <w:proofErr w:type="spellEnd"/>
      <w:r>
        <w:rPr>
          <w:lang w:val="en-GB" w:eastAsia="en-GB"/>
        </w:rPr>
        <w:t xml:space="preserve"> AF, Sharp JT, et al. Radiographic, clinical, and functional outcomes of treatment with adalimumab (a human anti-</w:t>
      </w:r>
      <w:proofErr w:type="spellStart"/>
      <w:r>
        <w:rPr>
          <w:lang w:val="en-GB" w:eastAsia="en-GB"/>
        </w:rPr>
        <w:t>tumor</w:t>
      </w:r>
      <w:proofErr w:type="spellEnd"/>
      <w:r>
        <w:rPr>
          <w:lang w:val="en-GB" w:eastAsia="en-GB"/>
        </w:rPr>
        <w:t xml:space="preserve"> necrosis factor monoclonal antibody) in patients with active rheumatoid arthritis receiving concomitant methotrexate therapy: a randomized, placebo-controlled, 52-week trial. </w:t>
      </w:r>
      <w:r w:rsidRPr="00F95689">
        <w:rPr>
          <w:i/>
          <w:lang w:val="en-GB" w:eastAsia="en-GB"/>
        </w:rPr>
        <w:t>Arthritis Rheum</w:t>
      </w:r>
      <w:r>
        <w:rPr>
          <w:lang w:val="en-GB" w:eastAsia="en-GB"/>
        </w:rPr>
        <w:t xml:space="preserve"> 2004; </w:t>
      </w:r>
      <w:r w:rsidRPr="00F95689">
        <w:rPr>
          <w:b/>
          <w:lang w:val="en-GB" w:eastAsia="en-GB"/>
        </w:rPr>
        <w:t>50:</w:t>
      </w:r>
      <w:r>
        <w:rPr>
          <w:lang w:val="en-GB" w:eastAsia="en-GB"/>
        </w:rPr>
        <w:t xml:space="preserve"> 1400</w:t>
      </w:r>
      <w:r w:rsidRPr="00F95689">
        <w:rPr>
          <w:rFonts w:ascii="Arial" w:hAnsi="Arial" w:cs="Arial"/>
          <w:lang w:val="en-GB" w:eastAsia="en-GB"/>
        </w:rPr>
        <w:t>–</w:t>
      </w:r>
      <w:r>
        <w:rPr>
          <w:lang w:val="en-GB" w:eastAsia="en-GB"/>
        </w:rPr>
        <w:t>1411.</w:t>
      </w:r>
    </w:p>
    <w:p w14:paraId="0BE44741" w14:textId="77777777" w:rsidR="00F95689" w:rsidRPr="00276124" w:rsidRDefault="00F95689" w:rsidP="00F95689">
      <w:pPr>
        <w:tabs>
          <w:tab w:val="left" w:pos="540"/>
        </w:tabs>
        <w:ind w:left="540" w:hanging="540"/>
        <w:rPr>
          <w:lang w:val="fr-FR" w:eastAsia="en-GB"/>
        </w:rPr>
      </w:pPr>
      <w:r>
        <w:rPr>
          <w:lang w:val="en-GB" w:eastAsia="en-GB"/>
        </w:rPr>
        <w:t xml:space="preserve">13   </w:t>
      </w:r>
      <w:r>
        <w:rPr>
          <w:lang w:val="en-GB" w:eastAsia="en-GB"/>
        </w:rPr>
        <w:tab/>
        <w:t xml:space="preserve">Smolen JS, Emery P, Fleischmann R, et al. Adjustment of therapy in rheumatoid arthritis on the basis of achievement of stable low disease activity with adalimumab plus methotrexate or methotrexate alone: the randomised controlled OPTIMA trial. </w:t>
      </w:r>
      <w:r w:rsidRPr="00276124">
        <w:rPr>
          <w:i/>
          <w:lang w:val="fr-FR" w:eastAsia="en-GB"/>
        </w:rPr>
        <w:t>Lancet</w:t>
      </w:r>
      <w:r w:rsidRPr="00276124">
        <w:rPr>
          <w:lang w:val="fr-FR" w:eastAsia="en-GB"/>
        </w:rPr>
        <w:t xml:space="preserve"> 2014; </w:t>
      </w:r>
      <w:r w:rsidRPr="00276124">
        <w:rPr>
          <w:b/>
          <w:lang w:val="fr-FR" w:eastAsia="en-GB"/>
        </w:rPr>
        <w:t>383:</w:t>
      </w:r>
      <w:r w:rsidRPr="00276124">
        <w:rPr>
          <w:lang w:val="fr-FR" w:eastAsia="en-GB"/>
        </w:rPr>
        <w:t xml:space="preserve"> 321</w:t>
      </w:r>
      <w:r w:rsidRPr="00276124">
        <w:rPr>
          <w:rFonts w:ascii="Arial" w:hAnsi="Arial" w:cs="Arial"/>
          <w:lang w:val="fr-FR" w:eastAsia="en-GB"/>
        </w:rPr>
        <w:t>–</w:t>
      </w:r>
      <w:r w:rsidRPr="00276124">
        <w:rPr>
          <w:lang w:val="fr-FR" w:eastAsia="en-GB"/>
        </w:rPr>
        <w:t>332.</w:t>
      </w:r>
    </w:p>
    <w:p w14:paraId="0F0ECE5C" w14:textId="77777777" w:rsidR="00F95689" w:rsidRDefault="00F95689" w:rsidP="00F95689">
      <w:pPr>
        <w:tabs>
          <w:tab w:val="left" w:pos="540"/>
        </w:tabs>
        <w:ind w:left="540" w:hanging="540"/>
        <w:rPr>
          <w:lang w:val="en-GB" w:eastAsia="en-GB"/>
        </w:rPr>
      </w:pPr>
      <w:proofErr w:type="gramStart"/>
      <w:r w:rsidRPr="00276124">
        <w:rPr>
          <w:lang w:val="fr-FR" w:eastAsia="en-GB"/>
        </w:rPr>
        <w:t xml:space="preserve">14   </w:t>
      </w:r>
      <w:r w:rsidRPr="00276124">
        <w:rPr>
          <w:lang w:val="fr-FR" w:eastAsia="en-GB"/>
        </w:rPr>
        <w:tab/>
        <w:t>van</w:t>
      </w:r>
      <w:proofErr w:type="gramEnd"/>
      <w:r w:rsidRPr="00276124">
        <w:rPr>
          <w:lang w:val="fr-FR" w:eastAsia="en-GB"/>
        </w:rPr>
        <w:t xml:space="preserve"> de Putte LB, Atkins C, Malaise M, et al. </w:t>
      </w:r>
      <w:r>
        <w:rPr>
          <w:lang w:val="en-GB" w:eastAsia="en-GB"/>
        </w:rPr>
        <w:t xml:space="preserve">Efficacy and safety of adalimumab as monotherapy in patients with rheumatoid arthritis for whom previous disease modifying antirheumatic drug treatment has failed. </w:t>
      </w:r>
      <w:r w:rsidRPr="00F95689">
        <w:rPr>
          <w:i/>
          <w:lang w:val="en-GB" w:eastAsia="en-GB"/>
        </w:rPr>
        <w:t>Ann Rheum Dis</w:t>
      </w:r>
      <w:r>
        <w:rPr>
          <w:lang w:val="en-GB" w:eastAsia="en-GB"/>
        </w:rPr>
        <w:t xml:space="preserve"> 2004; </w:t>
      </w:r>
      <w:r w:rsidRPr="00F95689">
        <w:rPr>
          <w:b/>
          <w:lang w:val="en-GB" w:eastAsia="en-GB"/>
        </w:rPr>
        <w:t>63:</w:t>
      </w:r>
      <w:r>
        <w:rPr>
          <w:lang w:val="en-GB" w:eastAsia="en-GB"/>
        </w:rPr>
        <w:t xml:space="preserve"> 508</w:t>
      </w:r>
      <w:r w:rsidRPr="00F95689">
        <w:rPr>
          <w:rFonts w:ascii="Arial" w:hAnsi="Arial" w:cs="Arial"/>
          <w:lang w:val="en-GB" w:eastAsia="en-GB"/>
        </w:rPr>
        <w:t>–</w:t>
      </w:r>
      <w:r>
        <w:rPr>
          <w:lang w:val="en-GB" w:eastAsia="en-GB"/>
        </w:rPr>
        <w:t>516.</w:t>
      </w:r>
    </w:p>
    <w:p w14:paraId="132BCE87" w14:textId="77777777" w:rsidR="00F95689" w:rsidRDefault="00F95689" w:rsidP="00F95689">
      <w:pPr>
        <w:tabs>
          <w:tab w:val="left" w:pos="540"/>
        </w:tabs>
        <w:ind w:left="540" w:hanging="540"/>
        <w:rPr>
          <w:lang w:val="en-GB" w:eastAsia="en-GB"/>
        </w:rPr>
      </w:pPr>
      <w:r>
        <w:rPr>
          <w:lang w:val="en-GB" w:eastAsia="en-GB"/>
        </w:rPr>
        <w:t xml:space="preserve">15   </w:t>
      </w:r>
      <w:r>
        <w:rPr>
          <w:lang w:val="en-GB" w:eastAsia="en-GB"/>
        </w:rPr>
        <w:tab/>
      </w:r>
      <w:proofErr w:type="spellStart"/>
      <w:r>
        <w:rPr>
          <w:lang w:val="en-GB" w:eastAsia="en-GB"/>
        </w:rPr>
        <w:t>Weinblatt</w:t>
      </w:r>
      <w:proofErr w:type="spellEnd"/>
      <w:r>
        <w:rPr>
          <w:lang w:val="en-GB" w:eastAsia="en-GB"/>
        </w:rPr>
        <w:t xml:space="preserve"> ME, Keystone EC, </w:t>
      </w:r>
      <w:proofErr w:type="spellStart"/>
      <w:r>
        <w:rPr>
          <w:lang w:val="en-GB" w:eastAsia="en-GB"/>
        </w:rPr>
        <w:t>Furst</w:t>
      </w:r>
      <w:proofErr w:type="spellEnd"/>
      <w:r>
        <w:rPr>
          <w:lang w:val="en-GB" w:eastAsia="en-GB"/>
        </w:rPr>
        <w:t xml:space="preserve"> DE, et al. Adalimumab, a fully human anti-</w:t>
      </w:r>
      <w:proofErr w:type="spellStart"/>
      <w:r>
        <w:rPr>
          <w:lang w:val="en-GB" w:eastAsia="en-GB"/>
        </w:rPr>
        <w:t>tumor</w:t>
      </w:r>
      <w:proofErr w:type="spellEnd"/>
      <w:r>
        <w:rPr>
          <w:lang w:val="en-GB" w:eastAsia="en-GB"/>
        </w:rPr>
        <w:t xml:space="preserve"> necrosis factor alpha monoclonal antibody, for the treatment of rheumatoid arthritis in patients taking concomitant methotrexate: the ARMADA trial. </w:t>
      </w:r>
      <w:r w:rsidRPr="00F95689">
        <w:rPr>
          <w:i/>
          <w:lang w:val="en-GB" w:eastAsia="en-GB"/>
        </w:rPr>
        <w:t>Arthritis Rheum</w:t>
      </w:r>
      <w:r>
        <w:rPr>
          <w:lang w:val="en-GB" w:eastAsia="en-GB"/>
        </w:rPr>
        <w:t xml:space="preserve"> 2003; </w:t>
      </w:r>
      <w:r w:rsidRPr="00F95689">
        <w:rPr>
          <w:b/>
          <w:lang w:val="en-GB" w:eastAsia="en-GB"/>
        </w:rPr>
        <w:t>48:</w:t>
      </w:r>
      <w:r>
        <w:rPr>
          <w:lang w:val="en-GB" w:eastAsia="en-GB"/>
        </w:rPr>
        <w:t xml:space="preserve"> 35</w:t>
      </w:r>
      <w:r w:rsidRPr="00F95689">
        <w:rPr>
          <w:rFonts w:ascii="Arial" w:hAnsi="Arial" w:cs="Arial"/>
          <w:lang w:val="en-GB" w:eastAsia="en-GB"/>
        </w:rPr>
        <w:t>–</w:t>
      </w:r>
      <w:r>
        <w:rPr>
          <w:lang w:val="en-GB" w:eastAsia="en-GB"/>
        </w:rPr>
        <w:t>45.</w:t>
      </w:r>
    </w:p>
    <w:p w14:paraId="00B2BE95" w14:textId="77777777" w:rsidR="00F95689" w:rsidRDefault="00F95689" w:rsidP="00F95689">
      <w:pPr>
        <w:tabs>
          <w:tab w:val="left" w:pos="540"/>
        </w:tabs>
        <w:ind w:left="540" w:hanging="540"/>
        <w:rPr>
          <w:lang w:val="en-GB" w:eastAsia="en-GB"/>
        </w:rPr>
      </w:pPr>
      <w:r>
        <w:rPr>
          <w:lang w:val="en-GB" w:eastAsia="en-GB"/>
        </w:rPr>
        <w:t xml:space="preserve">16   </w:t>
      </w:r>
      <w:r>
        <w:rPr>
          <w:lang w:val="en-GB" w:eastAsia="en-GB"/>
        </w:rPr>
        <w:tab/>
        <w:t xml:space="preserve">Fleischmann R, </w:t>
      </w:r>
      <w:proofErr w:type="spellStart"/>
      <w:r>
        <w:rPr>
          <w:lang w:val="en-GB" w:eastAsia="en-GB"/>
        </w:rPr>
        <w:t>Cutolo</w:t>
      </w:r>
      <w:proofErr w:type="spellEnd"/>
      <w:r>
        <w:rPr>
          <w:lang w:val="en-GB" w:eastAsia="en-GB"/>
        </w:rPr>
        <w:t xml:space="preserve"> M, Genovese MC, et al. Phase </w:t>
      </w:r>
      <w:proofErr w:type="spellStart"/>
      <w:r>
        <w:rPr>
          <w:lang w:val="en-GB" w:eastAsia="en-GB"/>
        </w:rPr>
        <w:t>IIb</w:t>
      </w:r>
      <w:proofErr w:type="spellEnd"/>
      <w:r>
        <w:rPr>
          <w:lang w:val="en-GB" w:eastAsia="en-GB"/>
        </w:rPr>
        <w:t xml:space="preserve"> dose-ranging study of the oral JAK inhibitor tofacitinib (CP-690,550) or adalimumab monotherapy versus placebo in patients with active rheumatoid arthritis with an inadequate response to disease-modifying antirheumatic drugs. </w:t>
      </w:r>
      <w:r w:rsidRPr="00F95689">
        <w:rPr>
          <w:i/>
          <w:lang w:val="en-GB" w:eastAsia="en-GB"/>
        </w:rPr>
        <w:t>Arthritis Rheum</w:t>
      </w:r>
      <w:r>
        <w:rPr>
          <w:lang w:val="en-GB" w:eastAsia="en-GB"/>
        </w:rPr>
        <w:t xml:space="preserve"> 2012; </w:t>
      </w:r>
      <w:r w:rsidRPr="00F95689">
        <w:rPr>
          <w:b/>
          <w:lang w:val="en-GB" w:eastAsia="en-GB"/>
        </w:rPr>
        <w:t>64:</w:t>
      </w:r>
      <w:r>
        <w:rPr>
          <w:lang w:val="en-GB" w:eastAsia="en-GB"/>
        </w:rPr>
        <w:t xml:space="preserve"> 617</w:t>
      </w:r>
      <w:r w:rsidRPr="00F95689">
        <w:rPr>
          <w:rFonts w:ascii="Arial" w:hAnsi="Arial" w:cs="Arial"/>
          <w:lang w:val="en-GB" w:eastAsia="en-GB"/>
        </w:rPr>
        <w:t>–</w:t>
      </w:r>
      <w:r>
        <w:rPr>
          <w:lang w:val="en-GB" w:eastAsia="en-GB"/>
        </w:rPr>
        <w:t>629.</w:t>
      </w:r>
    </w:p>
    <w:p w14:paraId="786C9A19" w14:textId="77777777" w:rsidR="00F95689" w:rsidRDefault="00F95689" w:rsidP="00F95689">
      <w:pPr>
        <w:tabs>
          <w:tab w:val="left" w:pos="540"/>
        </w:tabs>
        <w:ind w:left="540" w:hanging="540"/>
        <w:rPr>
          <w:lang w:val="en-GB" w:eastAsia="en-GB"/>
        </w:rPr>
      </w:pPr>
      <w:r>
        <w:rPr>
          <w:lang w:val="en-GB" w:eastAsia="en-GB"/>
        </w:rPr>
        <w:t xml:space="preserve">17   </w:t>
      </w:r>
      <w:r>
        <w:rPr>
          <w:lang w:val="en-GB" w:eastAsia="en-GB"/>
        </w:rPr>
        <w:tab/>
      </w:r>
      <w:proofErr w:type="spellStart"/>
      <w:r>
        <w:rPr>
          <w:lang w:val="en-GB" w:eastAsia="en-GB"/>
        </w:rPr>
        <w:t>Burmester</w:t>
      </w:r>
      <w:proofErr w:type="spellEnd"/>
      <w:r>
        <w:rPr>
          <w:lang w:val="en-GB" w:eastAsia="en-GB"/>
        </w:rPr>
        <w:t xml:space="preserve"> GR, </w:t>
      </w:r>
      <w:proofErr w:type="spellStart"/>
      <w:r>
        <w:rPr>
          <w:lang w:val="en-GB" w:eastAsia="en-GB"/>
        </w:rPr>
        <w:t>Landewe</w:t>
      </w:r>
      <w:proofErr w:type="spellEnd"/>
      <w:r>
        <w:rPr>
          <w:lang w:val="en-GB" w:eastAsia="en-GB"/>
        </w:rPr>
        <w:t xml:space="preserve"> R, Genovese MC, et al. Adalimumab long-term safety: infections, vaccination response and pregnancy outcomes in patients with rheumatoid arthritis. </w:t>
      </w:r>
      <w:r w:rsidRPr="00F95689">
        <w:rPr>
          <w:i/>
          <w:lang w:val="en-GB" w:eastAsia="en-GB"/>
        </w:rPr>
        <w:t>Ann Rheum Dis</w:t>
      </w:r>
      <w:r>
        <w:rPr>
          <w:lang w:val="en-GB" w:eastAsia="en-GB"/>
        </w:rPr>
        <w:t xml:space="preserve"> 2017; </w:t>
      </w:r>
      <w:r w:rsidRPr="00F95689">
        <w:rPr>
          <w:b/>
          <w:lang w:val="en-GB" w:eastAsia="en-GB"/>
        </w:rPr>
        <w:t>76:</w:t>
      </w:r>
      <w:r>
        <w:rPr>
          <w:lang w:val="en-GB" w:eastAsia="en-GB"/>
        </w:rPr>
        <w:t xml:space="preserve"> 414</w:t>
      </w:r>
      <w:r w:rsidRPr="00F95689">
        <w:rPr>
          <w:rFonts w:ascii="Arial" w:hAnsi="Arial" w:cs="Arial"/>
          <w:lang w:val="en-GB" w:eastAsia="en-GB"/>
        </w:rPr>
        <w:t>–</w:t>
      </w:r>
      <w:r>
        <w:rPr>
          <w:lang w:val="en-GB" w:eastAsia="en-GB"/>
        </w:rPr>
        <w:t>417.</w:t>
      </w:r>
    </w:p>
    <w:p w14:paraId="421B6CE2" w14:textId="77777777" w:rsidR="00F95689" w:rsidRDefault="00F95689" w:rsidP="00F95689">
      <w:pPr>
        <w:tabs>
          <w:tab w:val="left" w:pos="540"/>
        </w:tabs>
        <w:ind w:left="540" w:hanging="540"/>
        <w:rPr>
          <w:lang w:val="en-GB" w:eastAsia="en-GB"/>
        </w:rPr>
      </w:pPr>
      <w:r>
        <w:rPr>
          <w:lang w:val="en-GB" w:eastAsia="en-GB"/>
        </w:rPr>
        <w:t xml:space="preserve">18   </w:t>
      </w:r>
      <w:r>
        <w:rPr>
          <w:lang w:val="en-GB" w:eastAsia="en-GB"/>
        </w:rPr>
        <w:tab/>
      </w:r>
      <w:proofErr w:type="spellStart"/>
      <w:r>
        <w:rPr>
          <w:lang w:val="en-GB" w:eastAsia="en-GB"/>
        </w:rPr>
        <w:t>Wollenhaupt</w:t>
      </w:r>
      <w:proofErr w:type="spellEnd"/>
      <w:r>
        <w:rPr>
          <w:lang w:val="en-GB" w:eastAsia="en-GB"/>
        </w:rPr>
        <w:t xml:space="preserve"> J, </w:t>
      </w:r>
      <w:proofErr w:type="spellStart"/>
      <w:r>
        <w:rPr>
          <w:lang w:val="en-GB" w:eastAsia="en-GB"/>
        </w:rPr>
        <w:t>Silverfield</w:t>
      </w:r>
      <w:proofErr w:type="spellEnd"/>
      <w:r>
        <w:rPr>
          <w:lang w:val="en-GB" w:eastAsia="en-GB"/>
        </w:rPr>
        <w:t xml:space="preserve"> J, Lee EB, et al. Safety and efficacy of tofacitinib, an oral Janus kinase inhibitor, for the treatment of rheumatoid arthritis in open-label, </w:t>
      </w:r>
      <w:proofErr w:type="spellStart"/>
      <w:r>
        <w:rPr>
          <w:lang w:val="en-GB" w:eastAsia="en-GB"/>
        </w:rPr>
        <w:t>longterm</w:t>
      </w:r>
      <w:proofErr w:type="spellEnd"/>
      <w:r>
        <w:rPr>
          <w:lang w:val="en-GB" w:eastAsia="en-GB"/>
        </w:rPr>
        <w:t xml:space="preserve"> extension studies. </w:t>
      </w:r>
      <w:r w:rsidRPr="00F95689">
        <w:rPr>
          <w:i/>
          <w:lang w:val="en-GB" w:eastAsia="en-GB"/>
        </w:rPr>
        <w:t xml:space="preserve">J </w:t>
      </w:r>
      <w:proofErr w:type="spellStart"/>
      <w:r w:rsidRPr="00F95689">
        <w:rPr>
          <w:i/>
          <w:lang w:val="en-GB" w:eastAsia="en-GB"/>
        </w:rPr>
        <w:t>Rheumatol</w:t>
      </w:r>
      <w:proofErr w:type="spellEnd"/>
      <w:r>
        <w:rPr>
          <w:lang w:val="en-GB" w:eastAsia="en-GB"/>
        </w:rPr>
        <w:t xml:space="preserve"> 2014; </w:t>
      </w:r>
      <w:r w:rsidRPr="00F95689">
        <w:rPr>
          <w:b/>
          <w:lang w:val="en-GB" w:eastAsia="en-GB"/>
        </w:rPr>
        <w:t>41:</w:t>
      </w:r>
      <w:r>
        <w:rPr>
          <w:lang w:val="en-GB" w:eastAsia="en-GB"/>
        </w:rPr>
        <w:t xml:space="preserve"> 837</w:t>
      </w:r>
      <w:r w:rsidRPr="00F95689">
        <w:rPr>
          <w:rFonts w:ascii="Arial" w:hAnsi="Arial" w:cs="Arial"/>
          <w:lang w:val="en-GB" w:eastAsia="en-GB"/>
        </w:rPr>
        <w:t>–</w:t>
      </w:r>
      <w:r>
        <w:rPr>
          <w:lang w:val="en-GB" w:eastAsia="en-GB"/>
        </w:rPr>
        <w:t>852.</w:t>
      </w:r>
    </w:p>
    <w:p w14:paraId="30A7F0A5" w14:textId="77777777" w:rsidR="00F95689" w:rsidRDefault="00F95689" w:rsidP="00F95689">
      <w:pPr>
        <w:tabs>
          <w:tab w:val="left" w:pos="540"/>
        </w:tabs>
        <w:ind w:left="540" w:hanging="540"/>
        <w:rPr>
          <w:lang w:val="en-GB" w:eastAsia="en-GB"/>
        </w:rPr>
      </w:pPr>
      <w:r>
        <w:rPr>
          <w:lang w:val="en-GB" w:eastAsia="en-GB"/>
        </w:rPr>
        <w:t xml:space="preserve">19   </w:t>
      </w:r>
      <w:r>
        <w:rPr>
          <w:lang w:val="en-GB" w:eastAsia="en-GB"/>
        </w:rPr>
        <w:tab/>
      </w:r>
      <w:proofErr w:type="spellStart"/>
      <w:r>
        <w:rPr>
          <w:lang w:val="en-GB" w:eastAsia="en-GB"/>
        </w:rPr>
        <w:t>Breedveld</w:t>
      </w:r>
      <w:proofErr w:type="spellEnd"/>
      <w:r>
        <w:rPr>
          <w:lang w:val="en-GB" w:eastAsia="en-GB"/>
        </w:rPr>
        <w:t xml:space="preserve"> FC, Weisman MH, </w:t>
      </w:r>
      <w:proofErr w:type="spellStart"/>
      <w:r>
        <w:rPr>
          <w:lang w:val="en-GB" w:eastAsia="en-GB"/>
        </w:rPr>
        <w:t>Kavanaugh</w:t>
      </w:r>
      <w:proofErr w:type="spellEnd"/>
      <w:r>
        <w:rPr>
          <w:lang w:val="en-GB" w:eastAsia="en-GB"/>
        </w:rPr>
        <w:t xml:space="preserve"> AF, et al. The PREMIER study: a </w:t>
      </w:r>
      <w:proofErr w:type="spellStart"/>
      <w:r>
        <w:rPr>
          <w:lang w:val="en-GB" w:eastAsia="en-GB"/>
        </w:rPr>
        <w:t>multicenter</w:t>
      </w:r>
      <w:proofErr w:type="spellEnd"/>
      <w:r>
        <w:rPr>
          <w:lang w:val="en-GB" w:eastAsia="en-GB"/>
        </w:rPr>
        <w:t xml:space="preserve">, randomized, double-blind clinical trial of combination therapy with adalimumab plus methotrexate versus methotrexate alone or adalimumab alone in patients with early, aggressive rheumatoid arthritis who had not had previous methotrexate treatment. </w:t>
      </w:r>
      <w:r w:rsidRPr="00F95689">
        <w:rPr>
          <w:i/>
          <w:lang w:val="en-GB" w:eastAsia="en-GB"/>
        </w:rPr>
        <w:t>Arthritis Rheum</w:t>
      </w:r>
      <w:r>
        <w:rPr>
          <w:lang w:val="en-GB" w:eastAsia="en-GB"/>
        </w:rPr>
        <w:t xml:space="preserve"> 2006; </w:t>
      </w:r>
      <w:r w:rsidRPr="00F95689">
        <w:rPr>
          <w:b/>
          <w:lang w:val="en-GB" w:eastAsia="en-GB"/>
        </w:rPr>
        <w:t>54:</w:t>
      </w:r>
      <w:r>
        <w:rPr>
          <w:lang w:val="en-GB" w:eastAsia="en-GB"/>
        </w:rPr>
        <w:t xml:space="preserve"> 26</w:t>
      </w:r>
      <w:r w:rsidRPr="00F95689">
        <w:rPr>
          <w:rFonts w:ascii="Arial" w:hAnsi="Arial" w:cs="Arial"/>
          <w:lang w:val="en-GB" w:eastAsia="en-GB"/>
        </w:rPr>
        <w:t>–</w:t>
      </w:r>
      <w:r>
        <w:rPr>
          <w:lang w:val="en-GB" w:eastAsia="en-GB"/>
        </w:rPr>
        <w:t>37.</w:t>
      </w:r>
    </w:p>
    <w:p w14:paraId="7BED7895" w14:textId="77777777" w:rsidR="00F95689" w:rsidRDefault="00F95689" w:rsidP="00F95689">
      <w:pPr>
        <w:tabs>
          <w:tab w:val="left" w:pos="540"/>
        </w:tabs>
        <w:ind w:left="540" w:hanging="540"/>
        <w:rPr>
          <w:lang w:val="en-GB" w:eastAsia="en-GB"/>
        </w:rPr>
      </w:pPr>
      <w:r>
        <w:rPr>
          <w:lang w:val="en-GB" w:eastAsia="en-GB"/>
        </w:rPr>
        <w:t xml:space="preserve">20   </w:t>
      </w:r>
      <w:r>
        <w:rPr>
          <w:lang w:val="en-GB" w:eastAsia="en-GB"/>
        </w:rPr>
        <w:tab/>
      </w:r>
      <w:proofErr w:type="spellStart"/>
      <w:r>
        <w:rPr>
          <w:lang w:val="en-GB" w:eastAsia="en-GB"/>
        </w:rPr>
        <w:t>Aletaha</w:t>
      </w:r>
      <w:proofErr w:type="spellEnd"/>
      <w:r>
        <w:rPr>
          <w:lang w:val="en-GB" w:eastAsia="en-GB"/>
        </w:rPr>
        <w:t xml:space="preserve"> D, </w:t>
      </w:r>
      <w:proofErr w:type="spellStart"/>
      <w:r>
        <w:rPr>
          <w:lang w:val="en-GB" w:eastAsia="en-GB"/>
        </w:rPr>
        <w:t>Neogi</w:t>
      </w:r>
      <w:proofErr w:type="spellEnd"/>
      <w:r>
        <w:rPr>
          <w:lang w:val="en-GB" w:eastAsia="en-GB"/>
        </w:rPr>
        <w:t xml:space="preserve"> T, </w:t>
      </w:r>
      <w:proofErr w:type="spellStart"/>
      <w:r>
        <w:rPr>
          <w:lang w:val="en-GB" w:eastAsia="en-GB"/>
        </w:rPr>
        <w:t>Silman</w:t>
      </w:r>
      <w:proofErr w:type="spellEnd"/>
      <w:r>
        <w:rPr>
          <w:lang w:val="en-GB" w:eastAsia="en-GB"/>
        </w:rPr>
        <w:t xml:space="preserve"> AJ, et al. 2010 Rheumatoid arthritis classification criteria: an American College of Rheumatology/European League Against Rheumatism collaborative initiative. </w:t>
      </w:r>
      <w:r w:rsidRPr="00F95689">
        <w:rPr>
          <w:i/>
          <w:lang w:val="en-GB" w:eastAsia="en-GB"/>
        </w:rPr>
        <w:t>Arthritis Rheum</w:t>
      </w:r>
      <w:r>
        <w:rPr>
          <w:lang w:val="en-GB" w:eastAsia="en-GB"/>
        </w:rPr>
        <w:t xml:space="preserve"> 2010; </w:t>
      </w:r>
      <w:r w:rsidRPr="00F95689">
        <w:rPr>
          <w:b/>
          <w:lang w:val="en-GB" w:eastAsia="en-GB"/>
        </w:rPr>
        <w:t>62:</w:t>
      </w:r>
      <w:r>
        <w:rPr>
          <w:lang w:val="en-GB" w:eastAsia="en-GB"/>
        </w:rPr>
        <w:t xml:space="preserve"> 2569</w:t>
      </w:r>
      <w:r w:rsidRPr="00F95689">
        <w:rPr>
          <w:rFonts w:ascii="Arial" w:hAnsi="Arial" w:cs="Arial"/>
          <w:lang w:val="en-GB" w:eastAsia="en-GB"/>
        </w:rPr>
        <w:t>–</w:t>
      </w:r>
      <w:r>
        <w:rPr>
          <w:lang w:val="en-GB" w:eastAsia="en-GB"/>
        </w:rPr>
        <w:t>2581.</w:t>
      </w:r>
    </w:p>
    <w:p w14:paraId="4D1C0A00" w14:textId="77777777" w:rsidR="00F95689" w:rsidRDefault="00F95689" w:rsidP="00F95689">
      <w:pPr>
        <w:tabs>
          <w:tab w:val="left" w:pos="540"/>
        </w:tabs>
        <w:ind w:left="540" w:hanging="540"/>
        <w:rPr>
          <w:lang w:val="en-GB" w:eastAsia="en-GB"/>
        </w:rPr>
      </w:pPr>
      <w:r>
        <w:rPr>
          <w:lang w:val="en-GB" w:eastAsia="en-GB"/>
        </w:rPr>
        <w:t xml:space="preserve">21   </w:t>
      </w:r>
      <w:r>
        <w:rPr>
          <w:lang w:val="en-GB" w:eastAsia="en-GB"/>
        </w:rPr>
        <w:tab/>
        <w:t xml:space="preserve">Hochberg MC, Chang RW, </w:t>
      </w:r>
      <w:proofErr w:type="spellStart"/>
      <w:r>
        <w:rPr>
          <w:lang w:val="en-GB" w:eastAsia="en-GB"/>
        </w:rPr>
        <w:t>Dwosh</w:t>
      </w:r>
      <w:proofErr w:type="spellEnd"/>
      <w:r>
        <w:rPr>
          <w:lang w:val="en-GB" w:eastAsia="en-GB"/>
        </w:rPr>
        <w:t xml:space="preserve"> I, Lindsey S, </w:t>
      </w:r>
      <w:proofErr w:type="spellStart"/>
      <w:r>
        <w:rPr>
          <w:lang w:val="en-GB" w:eastAsia="en-GB"/>
        </w:rPr>
        <w:t>Pincus</w:t>
      </w:r>
      <w:proofErr w:type="spellEnd"/>
      <w:r>
        <w:rPr>
          <w:lang w:val="en-GB" w:eastAsia="en-GB"/>
        </w:rPr>
        <w:t xml:space="preserve"> T, Wolfe F. The American College of Rheumatology 1991 revised criteria for the classification of global functional status in rheumatoid arthritis. </w:t>
      </w:r>
      <w:r w:rsidRPr="00F95689">
        <w:rPr>
          <w:i/>
          <w:lang w:val="en-GB" w:eastAsia="en-GB"/>
        </w:rPr>
        <w:t>Arthritis Rheum</w:t>
      </w:r>
      <w:r>
        <w:rPr>
          <w:lang w:val="en-GB" w:eastAsia="en-GB"/>
        </w:rPr>
        <w:t xml:space="preserve"> 1992; </w:t>
      </w:r>
      <w:r w:rsidRPr="00F95689">
        <w:rPr>
          <w:b/>
          <w:lang w:val="en-GB" w:eastAsia="en-GB"/>
        </w:rPr>
        <w:t>35:</w:t>
      </w:r>
      <w:r>
        <w:rPr>
          <w:lang w:val="en-GB" w:eastAsia="en-GB"/>
        </w:rPr>
        <w:t xml:space="preserve"> 498</w:t>
      </w:r>
      <w:r w:rsidRPr="00F95689">
        <w:rPr>
          <w:rFonts w:ascii="Arial" w:hAnsi="Arial" w:cs="Arial"/>
          <w:lang w:val="en-GB" w:eastAsia="en-GB"/>
        </w:rPr>
        <w:t>–</w:t>
      </w:r>
      <w:r>
        <w:rPr>
          <w:lang w:val="en-GB" w:eastAsia="en-GB"/>
        </w:rPr>
        <w:t>502.</w:t>
      </w:r>
    </w:p>
    <w:p w14:paraId="75141198" w14:textId="77777777" w:rsidR="00F95689" w:rsidRDefault="00F95689" w:rsidP="00F95689">
      <w:pPr>
        <w:tabs>
          <w:tab w:val="left" w:pos="540"/>
        </w:tabs>
        <w:ind w:left="540" w:hanging="540"/>
        <w:rPr>
          <w:lang w:val="en-GB" w:eastAsia="en-GB"/>
        </w:rPr>
      </w:pPr>
      <w:r>
        <w:rPr>
          <w:lang w:val="en-GB" w:eastAsia="en-GB"/>
        </w:rPr>
        <w:t xml:space="preserve">22   </w:t>
      </w:r>
      <w:r>
        <w:rPr>
          <w:lang w:val="en-GB" w:eastAsia="en-GB"/>
        </w:rPr>
        <w:tab/>
        <w:t xml:space="preserve">Machado MA, </w:t>
      </w:r>
      <w:proofErr w:type="spellStart"/>
      <w:r>
        <w:rPr>
          <w:lang w:val="en-GB" w:eastAsia="en-GB"/>
        </w:rPr>
        <w:t>Maciel</w:t>
      </w:r>
      <w:proofErr w:type="spellEnd"/>
      <w:r>
        <w:rPr>
          <w:lang w:val="en-GB" w:eastAsia="en-GB"/>
        </w:rPr>
        <w:t xml:space="preserve"> AA, de </w:t>
      </w:r>
      <w:proofErr w:type="spellStart"/>
      <w:r>
        <w:rPr>
          <w:lang w:val="en-GB" w:eastAsia="en-GB"/>
        </w:rPr>
        <w:t>Lemos</w:t>
      </w:r>
      <w:proofErr w:type="spellEnd"/>
      <w:r>
        <w:rPr>
          <w:lang w:val="en-GB" w:eastAsia="en-GB"/>
        </w:rPr>
        <w:t xml:space="preserve"> LL, et al. Adalimumab in rheumatoid arthritis treatment: a systematic review and meta-analysis of randomized clinical trials. </w:t>
      </w:r>
      <w:r w:rsidRPr="00F95689">
        <w:rPr>
          <w:i/>
          <w:lang w:val="en-GB" w:eastAsia="en-GB"/>
        </w:rPr>
        <w:t xml:space="preserve">Rev Bras </w:t>
      </w:r>
      <w:proofErr w:type="spellStart"/>
      <w:r w:rsidRPr="00F95689">
        <w:rPr>
          <w:i/>
          <w:lang w:val="en-GB" w:eastAsia="en-GB"/>
        </w:rPr>
        <w:t>Reumatol</w:t>
      </w:r>
      <w:proofErr w:type="spellEnd"/>
      <w:r>
        <w:rPr>
          <w:lang w:val="en-GB" w:eastAsia="en-GB"/>
        </w:rPr>
        <w:t xml:space="preserve"> 2013; </w:t>
      </w:r>
      <w:r w:rsidRPr="00F95689">
        <w:rPr>
          <w:b/>
          <w:lang w:val="en-GB" w:eastAsia="en-GB"/>
        </w:rPr>
        <w:t>53:</w:t>
      </w:r>
      <w:r>
        <w:rPr>
          <w:lang w:val="en-GB" w:eastAsia="en-GB"/>
        </w:rPr>
        <w:t xml:space="preserve"> 419</w:t>
      </w:r>
      <w:r w:rsidRPr="00F95689">
        <w:rPr>
          <w:rFonts w:ascii="Arial" w:hAnsi="Arial" w:cs="Arial"/>
          <w:lang w:val="en-GB" w:eastAsia="en-GB"/>
        </w:rPr>
        <w:t>–</w:t>
      </w:r>
      <w:r>
        <w:rPr>
          <w:lang w:val="en-GB" w:eastAsia="en-GB"/>
        </w:rPr>
        <w:t>430.</w:t>
      </w:r>
    </w:p>
    <w:p w14:paraId="310EDAEA" w14:textId="77777777" w:rsidR="00F95689" w:rsidRDefault="00F95689" w:rsidP="00F95689">
      <w:pPr>
        <w:tabs>
          <w:tab w:val="left" w:pos="540"/>
        </w:tabs>
        <w:ind w:left="540" w:hanging="540"/>
        <w:rPr>
          <w:lang w:val="en-GB" w:eastAsia="en-GB"/>
        </w:rPr>
      </w:pPr>
      <w:r>
        <w:rPr>
          <w:lang w:val="en-GB" w:eastAsia="en-GB"/>
        </w:rPr>
        <w:t xml:space="preserve">23   </w:t>
      </w:r>
      <w:r>
        <w:rPr>
          <w:lang w:val="en-GB" w:eastAsia="en-GB"/>
        </w:rPr>
        <w:tab/>
        <w:t xml:space="preserve">Taylor PC, Keystone EC, van der </w:t>
      </w:r>
      <w:proofErr w:type="spellStart"/>
      <w:r>
        <w:rPr>
          <w:lang w:val="en-GB" w:eastAsia="en-GB"/>
        </w:rPr>
        <w:t>Heijde</w:t>
      </w:r>
      <w:proofErr w:type="spellEnd"/>
      <w:r>
        <w:rPr>
          <w:lang w:val="en-GB" w:eastAsia="en-GB"/>
        </w:rPr>
        <w:t xml:space="preserve"> D, et al. Baricitinib versus Placebo or Adalimumab in Rheumatoid Arthritis. </w:t>
      </w:r>
      <w:r w:rsidRPr="00F95689">
        <w:rPr>
          <w:i/>
          <w:lang w:val="en-GB" w:eastAsia="en-GB"/>
        </w:rPr>
        <w:t xml:space="preserve">N </w:t>
      </w:r>
      <w:proofErr w:type="spellStart"/>
      <w:r w:rsidRPr="00F95689">
        <w:rPr>
          <w:i/>
          <w:lang w:val="en-GB" w:eastAsia="en-GB"/>
        </w:rPr>
        <w:t>Engl</w:t>
      </w:r>
      <w:proofErr w:type="spellEnd"/>
      <w:r w:rsidRPr="00F95689">
        <w:rPr>
          <w:i/>
          <w:lang w:val="en-GB" w:eastAsia="en-GB"/>
        </w:rPr>
        <w:t xml:space="preserve"> J Med</w:t>
      </w:r>
      <w:r>
        <w:rPr>
          <w:lang w:val="en-GB" w:eastAsia="en-GB"/>
        </w:rPr>
        <w:t xml:space="preserve"> 2017; </w:t>
      </w:r>
      <w:r w:rsidRPr="00F95689">
        <w:rPr>
          <w:b/>
          <w:lang w:val="en-GB" w:eastAsia="en-GB"/>
        </w:rPr>
        <w:t>376:</w:t>
      </w:r>
      <w:r>
        <w:rPr>
          <w:lang w:val="en-GB" w:eastAsia="en-GB"/>
        </w:rPr>
        <w:t xml:space="preserve"> 652</w:t>
      </w:r>
      <w:r w:rsidRPr="00F95689">
        <w:rPr>
          <w:rFonts w:ascii="Arial" w:hAnsi="Arial" w:cs="Arial"/>
          <w:lang w:val="en-GB" w:eastAsia="en-GB"/>
        </w:rPr>
        <w:t>–</w:t>
      </w:r>
      <w:r>
        <w:rPr>
          <w:lang w:val="en-GB" w:eastAsia="en-GB"/>
        </w:rPr>
        <w:t>662.</w:t>
      </w:r>
    </w:p>
    <w:p w14:paraId="45C0C1EA" w14:textId="77777777" w:rsidR="00F95689" w:rsidRDefault="00F95689" w:rsidP="00F95689">
      <w:pPr>
        <w:tabs>
          <w:tab w:val="left" w:pos="540"/>
        </w:tabs>
        <w:ind w:left="540" w:hanging="540"/>
        <w:rPr>
          <w:lang w:val="en-GB" w:eastAsia="en-GB"/>
        </w:rPr>
      </w:pPr>
      <w:r>
        <w:rPr>
          <w:lang w:val="en-GB" w:eastAsia="en-GB"/>
        </w:rPr>
        <w:t xml:space="preserve">24   </w:t>
      </w:r>
      <w:r>
        <w:rPr>
          <w:lang w:val="en-GB" w:eastAsia="en-GB"/>
        </w:rPr>
        <w:tab/>
        <w:t xml:space="preserve">Fleischmann R, Schiff M, van der HD, et al. Baricitinib, Methotrexate, or Combination in Patients With Rheumatoid Arthritis and No or Limited Prior Disease-Modifying Antirheumatic Drug Treatment. </w:t>
      </w:r>
      <w:r w:rsidRPr="00F95689">
        <w:rPr>
          <w:i/>
          <w:lang w:val="en-GB" w:eastAsia="en-GB"/>
        </w:rPr>
        <w:t xml:space="preserve">Arthritis </w:t>
      </w:r>
      <w:proofErr w:type="spellStart"/>
      <w:r w:rsidRPr="00F95689">
        <w:rPr>
          <w:i/>
          <w:lang w:val="en-GB" w:eastAsia="en-GB"/>
        </w:rPr>
        <w:t>Rheumatol</w:t>
      </w:r>
      <w:proofErr w:type="spellEnd"/>
      <w:r>
        <w:rPr>
          <w:lang w:val="en-GB" w:eastAsia="en-GB"/>
        </w:rPr>
        <w:t xml:space="preserve"> 2017; </w:t>
      </w:r>
      <w:r w:rsidRPr="00F95689">
        <w:rPr>
          <w:b/>
          <w:lang w:val="en-GB" w:eastAsia="en-GB"/>
        </w:rPr>
        <w:t>69:</w:t>
      </w:r>
      <w:r>
        <w:rPr>
          <w:lang w:val="en-GB" w:eastAsia="en-GB"/>
        </w:rPr>
        <w:t xml:space="preserve"> 506</w:t>
      </w:r>
      <w:r w:rsidRPr="00F95689">
        <w:rPr>
          <w:rFonts w:ascii="Arial" w:hAnsi="Arial" w:cs="Arial"/>
          <w:lang w:val="en-GB" w:eastAsia="en-GB"/>
        </w:rPr>
        <w:t>–</w:t>
      </w:r>
      <w:r>
        <w:rPr>
          <w:lang w:val="en-GB" w:eastAsia="en-GB"/>
        </w:rPr>
        <w:t>517.</w:t>
      </w:r>
    </w:p>
    <w:p w14:paraId="0230E693" w14:textId="77777777" w:rsidR="00F95689" w:rsidRDefault="00F95689" w:rsidP="00F95689">
      <w:pPr>
        <w:tabs>
          <w:tab w:val="left" w:pos="540"/>
        </w:tabs>
        <w:ind w:left="540" w:hanging="540"/>
        <w:rPr>
          <w:lang w:val="en-GB" w:eastAsia="en-GB"/>
        </w:rPr>
      </w:pPr>
      <w:r>
        <w:rPr>
          <w:lang w:val="en-GB" w:eastAsia="en-GB"/>
        </w:rPr>
        <w:t xml:space="preserve">25   </w:t>
      </w:r>
      <w:r>
        <w:rPr>
          <w:lang w:val="en-GB" w:eastAsia="en-GB"/>
        </w:rPr>
        <w:tab/>
        <w:t xml:space="preserve">Smolen JS and </w:t>
      </w:r>
      <w:proofErr w:type="spellStart"/>
      <w:r>
        <w:rPr>
          <w:lang w:val="en-GB" w:eastAsia="en-GB"/>
        </w:rPr>
        <w:t>Aletaha</w:t>
      </w:r>
      <w:proofErr w:type="spellEnd"/>
      <w:r>
        <w:rPr>
          <w:lang w:val="en-GB" w:eastAsia="en-GB"/>
        </w:rPr>
        <w:t xml:space="preserve"> D. Forget personalised medicine and focus on abating disease activity. </w:t>
      </w:r>
      <w:r w:rsidRPr="00F95689">
        <w:rPr>
          <w:i/>
          <w:lang w:val="en-GB" w:eastAsia="en-GB"/>
        </w:rPr>
        <w:t>Ann Rheum Dis</w:t>
      </w:r>
      <w:r>
        <w:rPr>
          <w:lang w:val="en-GB" w:eastAsia="en-GB"/>
        </w:rPr>
        <w:t xml:space="preserve"> 2013; </w:t>
      </w:r>
      <w:r w:rsidRPr="00F95689">
        <w:rPr>
          <w:b/>
          <w:lang w:val="en-GB" w:eastAsia="en-GB"/>
        </w:rPr>
        <w:t>72:</w:t>
      </w:r>
      <w:r>
        <w:rPr>
          <w:lang w:val="en-GB" w:eastAsia="en-GB"/>
        </w:rPr>
        <w:t xml:space="preserve"> 3</w:t>
      </w:r>
      <w:r w:rsidRPr="00F95689">
        <w:rPr>
          <w:rFonts w:ascii="Arial" w:hAnsi="Arial" w:cs="Arial"/>
          <w:lang w:val="en-GB" w:eastAsia="en-GB"/>
        </w:rPr>
        <w:t>–</w:t>
      </w:r>
      <w:r>
        <w:rPr>
          <w:lang w:val="en-GB" w:eastAsia="en-GB"/>
        </w:rPr>
        <w:t>6.</w:t>
      </w:r>
    </w:p>
    <w:p w14:paraId="71A6FD0C" w14:textId="77777777" w:rsidR="00F95689" w:rsidRDefault="00F95689" w:rsidP="00F95689">
      <w:pPr>
        <w:tabs>
          <w:tab w:val="left" w:pos="540"/>
        </w:tabs>
        <w:ind w:left="540" w:hanging="540"/>
        <w:rPr>
          <w:lang w:val="en-GB" w:eastAsia="en-GB"/>
        </w:rPr>
      </w:pPr>
      <w:r>
        <w:rPr>
          <w:lang w:val="en-GB" w:eastAsia="en-GB"/>
        </w:rPr>
        <w:t xml:space="preserve">26   </w:t>
      </w:r>
      <w:r>
        <w:rPr>
          <w:lang w:val="en-GB" w:eastAsia="en-GB"/>
        </w:rPr>
        <w:tab/>
        <w:t xml:space="preserve">Smolen J, Fleischmann R, </w:t>
      </w:r>
      <w:proofErr w:type="spellStart"/>
      <w:r>
        <w:rPr>
          <w:lang w:val="en-GB" w:eastAsia="en-GB"/>
        </w:rPr>
        <w:t>Aletaha</w:t>
      </w:r>
      <w:proofErr w:type="spellEnd"/>
      <w:r>
        <w:rPr>
          <w:lang w:val="en-GB" w:eastAsia="en-GB"/>
        </w:rPr>
        <w:t xml:space="preserve"> D, Li Y, </w:t>
      </w:r>
      <w:proofErr w:type="spellStart"/>
      <w:r>
        <w:rPr>
          <w:lang w:val="en-GB" w:eastAsia="en-GB"/>
        </w:rPr>
        <w:t>Florentinus</w:t>
      </w:r>
      <w:proofErr w:type="spellEnd"/>
      <w:r>
        <w:rPr>
          <w:lang w:val="en-GB" w:eastAsia="en-GB"/>
        </w:rPr>
        <w:t xml:space="preserve"> S, </w:t>
      </w:r>
      <w:proofErr w:type="spellStart"/>
      <w:r>
        <w:rPr>
          <w:lang w:val="en-GB" w:eastAsia="en-GB"/>
        </w:rPr>
        <w:t>Lagunes</w:t>
      </w:r>
      <w:proofErr w:type="spellEnd"/>
      <w:r>
        <w:rPr>
          <w:lang w:val="en-GB" w:eastAsia="en-GB"/>
        </w:rPr>
        <w:t xml:space="preserve"> Galindo I. The Identification of an ACR Score with the Optimal Discriminatory Ability </w:t>
      </w:r>
      <w:proofErr w:type="gramStart"/>
      <w:r>
        <w:rPr>
          <w:lang w:val="en-GB" w:eastAsia="en-GB"/>
        </w:rPr>
        <w:t>Between</w:t>
      </w:r>
      <w:proofErr w:type="gramEnd"/>
      <w:r>
        <w:rPr>
          <w:lang w:val="en-GB" w:eastAsia="en-GB"/>
        </w:rPr>
        <w:t xml:space="preserve"> Treatments in Patients with Early and Established Rheumatoid Arthritis. </w:t>
      </w:r>
      <w:r w:rsidRPr="00F95689">
        <w:rPr>
          <w:i/>
          <w:lang w:val="en-GB" w:eastAsia="en-GB"/>
        </w:rPr>
        <w:t xml:space="preserve">Arthritis </w:t>
      </w:r>
      <w:proofErr w:type="spellStart"/>
      <w:r w:rsidRPr="00F95689">
        <w:rPr>
          <w:i/>
          <w:lang w:val="en-GB" w:eastAsia="en-GB"/>
        </w:rPr>
        <w:t>Rheumatol</w:t>
      </w:r>
      <w:proofErr w:type="spellEnd"/>
      <w:r>
        <w:rPr>
          <w:lang w:val="en-GB" w:eastAsia="en-GB"/>
        </w:rPr>
        <w:t xml:space="preserve"> 2016; </w:t>
      </w:r>
      <w:r w:rsidRPr="00F95689">
        <w:rPr>
          <w:b/>
          <w:lang w:val="en-GB" w:eastAsia="en-GB"/>
        </w:rPr>
        <w:t>68 (</w:t>
      </w:r>
      <w:proofErr w:type="spellStart"/>
      <w:r w:rsidRPr="00F95689">
        <w:rPr>
          <w:b/>
          <w:lang w:val="en-GB" w:eastAsia="en-GB"/>
        </w:rPr>
        <w:t>Suppl</w:t>
      </w:r>
      <w:proofErr w:type="spellEnd"/>
      <w:r w:rsidRPr="00F95689">
        <w:rPr>
          <w:b/>
          <w:lang w:val="en-GB" w:eastAsia="en-GB"/>
        </w:rPr>
        <w:t xml:space="preserve"> 10)</w:t>
      </w:r>
      <w:r>
        <w:rPr>
          <w:lang w:val="en-GB" w:eastAsia="en-GB"/>
        </w:rPr>
        <w:t>.</w:t>
      </w:r>
    </w:p>
    <w:p w14:paraId="6D181AB1" w14:textId="77777777" w:rsidR="00F95689" w:rsidRDefault="00F95689" w:rsidP="00F95689">
      <w:pPr>
        <w:tabs>
          <w:tab w:val="left" w:pos="540"/>
        </w:tabs>
        <w:ind w:left="540" w:hanging="540"/>
        <w:rPr>
          <w:lang w:val="en-GB" w:eastAsia="en-GB"/>
        </w:rPr>
      </w:pPr>
      <w:r>
        <w:rPr>
          <w:lang w:val="en-GB" w:eastAsia="en-GB"/>
        </w:rPr>
        <w:t xml:space="preserve">27   </w:t>
      </w:r>
      <w:r>
        <w:rPr>
          <w:lang w:val="en-GB" w:eastAsia="en-GB"/>
        </w:rPr>
        <w:tab/>
        <w:t xml:space="preserve">Curtis JR, </w:t>
      </w:r>
      <w:proofErr w:type="spellStart"/>
      <w:r>
        <w:rPr>
          <w:lang w:val="en-GB" w:eastAsia="en-GB"/>
        </w:rPr>
        <w:t>Xie</w:t>
      </w:r>
      <w:proofErr w:type="spellEnd"/>
      <w:r>
        <w:rPr>
          <w:lang w:val="en-GB" w:eastAsia="en-GB"/>
        </w:rPr>
        <w:t xml:space="preserve"> F, Yun H, </w:t>
      </w:r>
      <w:proofErr w:type="spellStart"/>
      <w:r>
        <w:rPr>
          <w:lang w:val="en-GB" w:eastAsia="en-GB"/>
        </w:rPr>
        <w:t>Bernatsky</w:t>
      </w:r>
      <w:proofErr w:type="spellEnd"/>
      <w:r>
        <w:rPr>
          <w:lang w:val="en-GB" w:eastAsia="en-GB"/>
        </w:rPr>
        <w:t xml:space="preserve"> S, Winthrop KL. Real-world comparative risks of herpes virus infections in tofacitinib and biologic-treated patients with rheumatoid arthritis. </w:t>
      </w:r>
      <w:r w:rsidRPr="00F95689">
        <w:rPr>
          <w:i/>
          <w:lang w:val="en-GB" w:eastAsia="en-GB"/>
        </w:rPr>
        <w:t>Ann Rheum Dis</w:t>
      </w:r>
      <w:r>
        <w:rPr>
          <w:lang w:val="en-GB" w:eastAsia="en-GB"/>
        </w:rPr>
        <w:t xml:space="preserve"> 2016; </w:t>
      </w:r>
      <w:r w:rsidRPr="00F95689">
        <w:rPr>
          <w:b/>
          <w:lang w:val="en-GB" w:eastAsia="en-GB"/>
        </w:rPr>
        <w:t>75:</w:t>
      </w:r>
      <w:r>
        <w:rPr>
          <w:lang w:val="en-GB" w:eastAsia="en-GB"/>
        </w:rPr>
        <w:t xml:space="preserve"> 1843</w:t>
      </w:r>
      <w:r w:rsidRPr="00F95689">
        <w:rPr>
          <w:rFonts w:ascii="Arial" w:hAnsi="Arial" w:cs="Arial"/>
          <w:lang w:val="en-GB" w:eastAsia="en-GB"/>
        </w:rPr>
        <w:t>–</w:t>
      </w:r>
      <w:r>
        <w:rPr>
          <w:lang w:val="en-GB" w:eastAsia="en-GB"/>
        </w:rPr>
        <w:t>1847.</w:t>
      </w:r>
    </w:p>
    <w:p w14:paraId="2E140EE8" w14:textId="77777777" w:rsidR="00F95689" w:rsidRDefault="00F95689" w:rsidP="00F95689">
      <w:pPr>
        <w:tabs>
          <w:tab w:val="left" w:pos="540"/>
        </w:tabs>
        <w:ind w:left="540" w:hanging="540"/>
        <w:rPr>
          <w:lang w:val="en-GB" w:eastAsia="en-GB"/>
        </w:rPr>
      </w:pPr>
      <w:r>
        <w:rPr>
          <w:lang w:val="en-GB" w:eastAsia="en-GB"/>
        </w:rPr>
        <w:t xml:space="preserve">28   </w:t>
      </w:r>
      <w:r>
        <w:rPr>
          <w:lang w:val="en-GB" w:eastAsia="en-GB"/>
        </w:rPr>
        <w:tab/>
        <w:t xml:space="preserve">Winthrop KL, Curtis JR, Lindsey S, et al. </w:t>
      </w:r>
      <w:r w:rsidRPr="00F95689">
        <w:rPr>
          <w:rFonts w:ascii="TimesNewRomanPS-BoldMT" w:hAnsi="TimesNewRomanPS-BoldMT" w:cs="TimesNewRomanPS-BoldMT"/>
          <w:lang w:val="en-GB" w:eastAsia="en-GB"/>
        </w:rPr>
        <w:t xml:space="preserve">Herpes Zoster and Tofacitinib: The Risk of Concomitant </w:t>
      </w:r>
      <w:proofErr w:type="spellStart"/>
      <w:r w:rsidRPr="00F95689">
        <w:rPr>
          <w:rFonts w:ascii="TimesNewRomanPS-BoldMT" w:hAnsi="TimesNewRomanPS-BoldMT" w:cs="TimesNewRomanPS-BoldMT"/>
          <w:lang w:val="en-GB" w:eastAsia="en-GB"/>
        </w:rPr>
        <w:t>Nonbiologic</w:t>
      </w:r>
      <w:proofErr w:type="spellEnd"/>
      <w:r w:rsidRPr="00F95689">
        <w:rPr>
          <w:rFonts w:ascii="TimesNewRomanPS-BoldMT" w:hAnsi="TimesNewRomanPS-BoldMT" w:cs="TimesNewRomanPS-BoldMT"/>
          <w:lang w:val="en-GB" w:eastAsia="en-GB"/>
        </w:rPr>
        <w:t xml:space="preserve"> Therapy</w:t>
      </w:r>
      <w:r>
        <w:rPr>
          <w:lang w:val="en-GB" w:eastAsia="en-GB"/>
        </w:rPr>
        <w:t xml:space="preserve">. </w:t>
      </w:r>
      <w:r w:rsidRPr="00F95689">
        <w:rPr>
          <w:i/>
          <w:lang w:val="en-GB" w:eastAsia="en-GB"/>
        </w:rPr>
        <w:t xml:space="preserve">Arthritis </w:t>
      </w:r>
      <w:proofErr w:type="spellStart"/>
      <w:r w:rsidRPr="00F95689">
        <w:rPr>
          <w:i/>
          <w:lang w:val="en-GB" w:eastAsia="en-GB"/>
        </w:rPr>
        <w:t>Rheumatol</w:t>
      </w:r>
      <w:proofErr w:type="spellEnd"/>
      <w:r>
        <w:rPr>
          <w:lang w:val="en-GB" w:eastAsia="en-GB"/>
        </w:rPr>
        <w:t xml:space="preserve"> 2015; </w:t>
      </w:r>
      <w:r w:rsidRPr="00F95689">
        <w:rPr>
          <w:b/>
          <w:lang w:val="en-GB" w:eastAsia="en-GB"/>
        </w:rPr>
        <w:t>67</w:t>
      </w:r>
      <w:r>
        <w:rPr>
          <w:lang w:val="en-GB" w:eastAsia="en-GB"/>
        </w:rPr>
        <w:t xml:space="preserve"> (S10): Abstract 559.</w:t>
      </w:r>
    </w:p>
    <w:p w14:paraId="79E166B8" w14:textId="77777777" w:rsidR="00F95689" w:rsidRDefault="00F95689" w:rsidP="00F95689">
      <w:pPr>
        <w:tabs>
          <w:tab w:val="left" w:pos="540"/>
        </w:tabs>
        <w:ind w:left="540" w:hanging="540"/>
        <w:rPr>
          <w:lang w:val="en-GB" w:eastAsia="en-GB"/>
        </w:rPr>
      </w:pPr>
      <w:r>
        <w:rPr>
          <w:lang w:val="en-GB" w:eastAsia="en-GB"/>
        </w:rPr>
        <w:t xml:space="preserve">29   </w:t>
      </w:r>
      <w:r>
        <w:rPr>
          <w:lang w:val="en-GB" w:eastAsia="en-GB"/>
        </w:rPr>
        <w:tab/>
        <w:t xml:space="preserve">Cohen SB, Tanaka Y, </w:t>
      </w:r>
      <w:proofErr w:type="gramStart"/>
      <w:r>
        <w:rPr>
          <w:lang w:val="en-GB" w:eastAsia="en-GB"/>
        </w:rPr>
        <w:t>Mariette</w:t>
      </w:r>
      <w:proofErr w:type="gramEnd"/>
      <w:r>
        <w:rPr>
          <w:lang w:val="en-GB" w:eastAsia="en-GB"/>
        </w:rPr>
        <w:t xml:space="preserve"> X, et al. Long-term safety of tofacitinib for the treatment of rheumatoid arthritis up to 8.5 years: integrated analysis of data from the global clinical trials. </w:t>
      </w:r>
      <w:r w:rsidRPr="00F95689">
        <w:rPr>
          <w:i/>
          <w:lang w:val="en-GB" w:eastAsia="en-GB"/>
        </w:rPr>
        <w:t>Ann Rheum Dis</w:t>
      </w:r>
      <w:r>
        <w:rPr>
          <w:lang w:val="en-GB" w:eastAsia="en-GB"/>
        </w:rPr>
        <w:t xml:space="preserve"> 2017; </w:t>
      </w:r>
      <w:proofErr w:type="spellStart"/>
      <w:r w:rsidRPr="00F95689">
        <w:rPr>
          <w:b/>
          <w:lang w:val="en-GB" w:eastAsia="en-GB"/>
        </w:rPr>
        <w:t>doi</w:t>
      </w:r>
      <w:proofErr w:type="spellEnd"/>
      <w:r w:rsidRPr="00F95689">
        <w:rPr>
          <w:b/>
          <w:lang w:val="en-GB" w:eastAsia="en-GB"/>
        </w:rPr>
        <w:t>: 10.1136/annrheumdis-2016-210457</w:t>
      </w:r>
      <w:r>
        <w:rPr>
          <w:lang w:val="en-GB" w:eastAsia="en-GB"/>
        </w:rPr>
        <w:t>.</w:t>
      </w:r>
    </w:p>
    <w:p w14:paraId="1235B67D" w14:textId="45B1DAC6" w:rsidR="00F95689" w:rsidRDefault="00F95689" w:rsidP="00F95689">
      <w:pPr>
        <w:tabs>
          <w:tab w:val="left" w:pos="540"/>
        </w:tabs>
        <w:ind w:left="540" w:hanging="540"/>
        <w:rPr>
          <w:lang w:val="en-GB" w:eastAsia="en-GB"/>
        </w:rPr>
      </w:pPr>
      <w:r>
        <w:rPr>
          <w:lang w:val="en-GB" w:eastAsia="en-GB"/>
        </w:rPr>
        <w:t xml:space="preserve">30   </w:t>
      </w:r>
      <w:r>
        <w:rPr>
          <w:lang w:val="en-GB" w:eastAsia="en-GB"/>
        </w:rPr>
        <w:tab/>
        <w:t xml:space="preserve">Merck. ZOSTAVAX prescribing information. 2017. </w:t>
      </w:r>
      <w:r w:rsidRPr="009A79A6">
        <w:rPr>
          <w:lang w:val="en-GB" w:eastAsia="en-GB"/>
        </w:rPr>
        <w:t>https://www.merck.com/product/usa/pi_circulars/z/zostavax/zostavax_pi2.pdf</w:t>
      </w:r>
      <w:r>
        <w:rPr>
          <w:lang w:val="en-GB" w:eastAsia="en-GB"/>
        </w:rPr>
        <w:t xml:space="preserve"> (accessed Apr 19, 2017).</w:t>
      </w:r>
    </w:p>
    <w:p w14:paraId="5BDF8480" w14:textId="77777777" w:rsidR="00F95689" w:rsidRDefault="00F95689" w:rsidP="00F95689">
      <w:pPr>
        <w:tabs>
          <w:tab w:val="left" w:pos="540"/>
        </w:tabs>
        <w:spacing w:after="0"/>
        <w:ind w:left="540" w:hanging="540"/>
        <w:rPr>
          <w:lang w:val="en-GB" w:eastAsia="en-GB"/>
        </w:rPr>
      </w:pPr>
    </w:p>
    <w:p w14:paraId="582515D7" w14:textId="5322AEC7" w:rsidR="00177829" w:rsidRPr="00376E45" w:rsidRDefault="00177829" w:rsidP="00F95689">
      <w:pPr>
        <w:tabs>
          <w:tab w:val="left" w:pos="540"/>
        </w:tabs>
        <w:spacing w:after="0"/>
        <w:ind w:left="540" w:hanging="540"/>
        <w:rPr>
          <w:lang w:val="en-GB" w:eastAsia="en-GB"/>
        </w:rPr>
      </w:pPr>
      <w:r w:rsidRPr="00376E45">
        <w:rPr>
          <w:lang w:val="en-GB" w:eastAsia="en-GB"/>
        </w:rPr>
        <w:br w:type="page"/>
      </w:r>
    </w:p>
    <w:p w14:paraId="5D8A01FB" w14:textId="76FAFF36" w:rsidR="00A86F87" w:rsidRPr="00376E45" w:rsidRDefault="00A86F87" w:rsidP="00177829">
      <w:pPr>
        <w:pStyle w:val="Heading1"/>
        <w:rPr>
          <w:rStyle w:val="Heading4Char"/>
          <w:b/>
          <w:lang w:val="en-GB"/>
        </w:rPr>
      </w:pPr>
      <w:r w:rsidRPr="00376E45">
        <w:rPr>
          <w:rStyle w:val="Heading4Char"/>
          <w:b/>
          <w:lang w:val="en-GB"/>
        </w:rPr>
        <w:t>Figure 1</w:t>
      </w:r>
      <w:r w:rsidR="006038FC" w:rsidRPr="00376E45">
        <w:rPr>
          <w:rStyle w:val="Heading4Char"/>
          <w:b/>
          <w:lang w:val="en-GB"/>
        </w:rPr>
        <w:t>:</w:t>
      </w:r>
      <w:r w:rsidRPr="00376E45">
        <w:rPr>
          <w:rStyle w:val="Heading4Char"/>
          <w:b/>
          <w:lang w:val="en-GB"/>
        </w:rPr>
        <w:t xml:space="preserve"> Patient disposition</w:t>
      </w:r>
    </w:p>
    <w:p w14:paraId="15C96470" w14:textId="13E739BD" w:rsidR="00A86F87" w:rsidRPr="00376E45" w:rsidRDefault="00D1584F" w:rsidP="005A09D6">
      <w:pPr>
        <w:pStyle w:val="Paragraph"/>
        <w:spacing w:line="360" w:lineRule="auto"/>
        <w:rPr>
          <w:lang w:val="en-GB"/>
        </w:rPr>
      </w:pPr>
      <w:r w:rsidRPr="00376E45">
        <w:rPr>
          <w:noProof/>
          <w:lang w:val="en-GB" w:eastAsia="en-GB"/>
        </w:rPr>
        <w:drawing>
          <wp:inline distT="0" distB="0" distL="0" distR="0" wp14:anchorId="289EB18C" wp14:editId="5F2B2167">
            <wp:extent cx="5505450" cy="3715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I82183c Manuscript Figure 1.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05450" cy="3715385"/>
                    </a:xfrm>
                    <a:prstGeom prst="rect">
                      <a:avLst/>
                    </a:prstGeom>
                  </pic:spPr>
                </pic:pic>
              </a:graphicData>
            </a:graphic>
          </wp:inline>
        </w:drawing>
      </w:r>
    </w:p>
    <w:p w14:paraId="207E1B8C" w14:textId="0D977FCD" w:rsidR="00A86F87" w:rsidRPr="00376E45" w:rsidRDefault="006038FC" w:rsidP="005A09D6">
      <w:pPr>
        <w:pStyle w:val="Caption"/>
        <w:spacing w:line="360" w:lineRule="auto"/>
        <w:rPr>
          <w:rStyle w:val="Heading4Char"/>
          <w:b w:val="0"/>
          <w:sz w:val="20"/>
          <w:szCs w:val="20"/>
          <w:lang w:val="en-GB"/>
        </w:rPr>
      </w:pPr>
      <w:r w:rsidRPr="00376E45">
        <w:rPr>
          <w:rStyle w:val="Heading4Char"/>
          <w:b w:val="0"/>
          <w:sz w:val="20"/>
          <w:szCs w:val="20"/>
          <w:lang w:val="en-GB"/>
        </w:rPr>
        <w:t xml:space="preserve">AE=adverse event. </w:t>
      </w:r>
      <w:r w:rsidR="00F9293E" w:rsidRPr="00376E45">
        <w:rPr>
          <w:rStyle w:val="Heading4Char"/>
          <w:b w:val="0"/>
          <w:sz w:val="20"/>
          <w:szCs w:val="20"/>
          <w:lang w:val="en-GB"/>
        </w:rPr>
        <w:t xml:space="preserve">BID=twice daily. </w:t>
      </w:r>
      <w:r w:rsidRPr="00376E45">
        <w:rPr>
          <w:rStyle w:val="Heading4Char"/>
          <w:b w:val="0"/>
          <w:sz w:val="20"/>
          <w:szCs w:val="20"/>
          <w:lang w:val="en-GB"/>
        </w:rPr>
        <w:t>MTX=</w:t>
      </w:r>
      <w:r w:rsidR="00A86F87" w:rsidRPr="00376E45">
        <w:rPr>
          <w:rStyle w:val="Heading4Char"/>
          <w:b w:val="0"/>
          <w:sz w:val="20"/>
          <w:szCs w:val="20"/>
          <w:lang w:val="en-GB"/>
        </w:rPr>
        <w:t>methotrexate.</w:t>
      </w:r>
      <w:r w:rsidR="00F9293E" w:rsidRPr="00376E45">
        <w:rPr>
          <w:rStyle w:val="Heading4Char"/>
          <w:b w:val="0"/>
          <w:sz w:val="20"/>
          <w:szCs w:val="20"/>
          <w:lang w:val="en-GB"/>
        </w:rPr>
        <w:t xml:space="preserve"> Q2W=every 2 weeks.</w:t>
      </w:r>
    </w:p>
    <w:p w14:paraId="20F38009" w14:textId="77777777" w:rsidR="00A86F87" w:rsidRPr="00376E45" w:rsidRDefault="00A86F87" w:rsidP="005A09D6">
      <w:pPr>
        <w:pStyle w:val="Caption"/>
        <w:spacing w:line="360" w:lineRule="auto"/>
        <w:rPr>
          <w:lang w:val="en-GB"/>
        </w:rPr>
      </w:pPr>
      <w:r w:rsidRPr="00376E45">
        <w:rPr>
          <w:lang w:val="en-GB"/>
        </w:rPr>
        <w:t>*</w:t>
      </w:r>
      <w:proofErr w:type="spellStart"/>
      <w:r w:rsidRPr="00376E45">
        <w:rPr>
          <w:lang w:val="en-GB"/>
        </w:rPr>
        <w:t>Urosepsis</w:t>
      </w:r>
      <w:proofErr w:type="spellEnd"/>
      <w:r w:rsidRPr="00376E45">
        <w:rPr>
          <w:lang w:val="en-GB"/>
        </w:rPr>
        <w:t xml:space="preserve"> (n=1); atypical pneumonia and respiratory distress syndrome associated with influenza A (n=1).</w:t>
      </w:r>
    </w:p>
    <w:p w14:paraId="0F963A0B" w14:textId="77777777" w:rsidR="00A86F87" w:rsidRPr="00376E45" w:rsidRDefault="00A86F87" w:rsidP="005A09D6">
      <w:pPr>
        <w:keepNext/>
        <w:spacing w:line="360" w:lineRule="auto"/>
        <w:rPr>
          <w:rStyle w:val="Heading4Char"/>
          <w:lang w:val="en-GB"/>
        </w:rPr>
      </w:pPr>
    </w:p>
    <w:p w14:paraId="18CE1639" w14:textId="77777777" w:rsidR="00946AA9" w:rsidRPr="00376E45" w:rsidRDefault="00946AA9">
      <w:pPr>
        <w:spacing w:before="0" w:after="0" w:line="240" w:lineRule="auto"/>
        <w:rPr>
          <w:b/>
          <w:lang w:val="en-GB"/>
        </w:rPr>
      </w:pPr>
      <w:r w:rsidRPr="00376E45">
        <w:rPr>
          <w:lang w:val="en-GB"/>
        </w:rPr>
        <w:br w:type="page"/>
      </w:r>
    </w:p>
    <w:p w14:paraId="1FCF04D6" w14:textId="0092BFA0" w:rsidR="00A86F87" w:rsidRPr="00376E45" w:rsidRDefault="006038FC" w:rsidP="007547A7">
      <w:pPr>
        <w:pStyle w:val="Heading1"/>
        <w:rPr>
          <w:lang w:val="en-GB"/>
        </w:rPr>
      </w:pPr>
      <w:r w:rsidRPr="00376E45">
        <w:rPr>
          <w:lang w:val="en-GB"/>
        </w:rPr>
        <w:t>Table 1: Patient demographics and baseline disease characteristics (FAS)</w:t>
      </w:r>
    </w:p>
    <w:tbl>
      <w:tblPr>
        <w:tblW w:w="9100" w:type="dxa"/>
        <w:tblInd w:w="-101" w:type="dxa"/>
        <w:tblCellMar>
          <w:top w:w="57" w:type="dxa"/>
          <w:left w:w="57" w:type="dxa"/>
          <w:bottom w:w="57" w:type="dxa"/>
          <w:right w:w="57" w:type="dxa"/>
        </w:tblCellMar>
        <w:tblLook w:val="04A0" w:firstRow="1" w:lastRow="0" w:firstColumn="1" w:lastColumn="0" w:noHBand="0" w:noVBand="1"/>
      </w:tblPr>
      <w:tblGrid>
        <w:gridCol w:w="4139"/>
        <w:gridCol w:w="1653"/>
        <w:gridCol w:w="1774"/>
        <w:gridCol w:w="1534"/>
      </w:tblGrid>
      <w:tr w:rsidR="00A86F87" w:rsidRPr="00376E45" w14:paraId="254C456E" w14:textId="77777777" w:rsidTr="00094AB6">
        <w:trPr>
          <w:trHeight w:val="20"/>
        </w:trPr>
        <w:tc>
          <w:tcPr>
            <w:tcW w:w="4139" w:type="dxa"/>
            <w:tcBorders>
              <w:top w:val="single" w:sz="3" w:space="0" w:color="000000"/>
              <w:left w:val="single" w:sz="4" w:space="0" w:color="000000"/>
              <w:bottom w:val="single" w:sz="4" w:space="0" w:color="000000"/>
              <w:right w:val="single" w:sz="4" w:space="0" w:color="000000"/>
            </w:tcBorders>
            <w:shd w:val="clear" w:color="auto" w:fill="auto"/>
            <w:vAlign w:val="center"/>
          </w:tcPr>
          <w:p w14:paraId="63F940C9" w14:textId="77777777" w:rsidR="00A86F87" w:rsidRPr="00376E45" w:rsidRDefault="00A86F87" w:rsidP="00742753">
            <w:pPr>
              <w:spacing w:before="0" w:after="0"/>
              <w:ind w:left="101"/>
              <w:rPr>
                <w:lang w:val="en-GB"/>
              </w:rPr>
            </w:pPr>
            <w:r w:rsidRPr="00376E45">
              <w:rPr>
                <w:lang w:val="en-GB"/>
              </w:rPr>
              <w:t xml:space="preserve"> </w:t>
            </w:r>
          </w:p>
        </w:tc>
        <w:tc>
          <w:tcPr>
            <w:tcW w:w="1653" w:type="dxa"/>
            <w:tcBorders>
              <w:top w:val="single" w:sz="3" w:space="0" w:color="000000"/>
              <w:left w:val="single" w:sz="4" w:space="0" w:color="000000"/>
              <w:bottom w:val="single" w:sz="4" w:space="0" w:color="000000"/>
              <w:right w:val="single" w:sz="3" w:space="0" w:color="000000"/>
            </w:tcBorders>
            <w:shd w:val="clear" w:color="auto" w:fill="auto"/>
            <w:vAlign w:val="center"/>
          </w:tcPr>
          <w:p w14:paraId="6C373DF4" w14:textId="77777777" w:rsidR="00A86F87" w:rsidRPr="00376E45" w:rsidRDefault="00A86F87" w:rsidP="00742753">
            <w:pPr>
              <w:spacing w:before="0" w:after="0"/>
              <w:jc w:val="center"/>
              <w:rPr>
                <w:lang w:val="en-GB"/>
              </w:rPr>
            </w:pPr>
            <w:r w:rsidRPr="00376E45">
              <w:rPr>
                <w:b/>
                <w:lang w:val="en-GB"/>
              </w:rPr>
              <w:t>Tofacitinib monotherapy (N=384)</w:t>
            </w:r>
          </w:p>
        </w:tc>
        <w:tc>
          <w:tcPr>
            <w:tcW w:w="1774" w:type="dxa"/>
            <w:tcBorders>
              <w:top w:val="single" w:sz="3" w:space="0" w:color="000000"/>
              <w:left w:val="single" w:sz="3" w:space="0" w:color="000000"/>
              <w:bottom w:val="single" w:sz="4" w:space="0" w:color="000000"/>
              <w:right w:val="single" w:sz="4" w:space="0" w:color="000000"/>
            </w:tcBorders>
            <w:shd w:val="clear" w:color="auto" w:fill="auto"/>
            <w:vAlign w:val="center"/>
          </w:tcPr>
          <w:p w14:paraId="1E5098CD" w14:textId="77777777" w:rsidR="00A86F87" w:rsidRPr="00376E45" w:rsidRDefault="00A86F87" w:rsidP="00742753">
            <w:pPr>
              <w:spacing w:before="0" w:after="0"/>
              <w:ind w:left="20"/>
              <w:jc w:val="center"/>
              <w:rPr>
                <w:lang w:val="en-GB"/>
              </w:rPr>
            </w:pPr>
            <w:r w:rsidRPr="00376E45">
              <w:rPr>
                <w:b/>
                <w:lang w:val="en-GB"/>
              </w:rPr>
              <w:t>Tofacitinib</w:t>
            </w:r>
            <w:r w:rsidRPr="00376E45">
              <w:rPr>
                <w:b/>
                <w:lang w:val="en-GB"/>
              </w:rPr>
              <w:br/>
              <w:t xml:space="preserve"> + MTX (N=376)</w:t>
            </w:r>
          </w:p>
        </w:tc>
        <w:tc>
          <w:tcPr>
            <w:tcW w:w="1534" w:type="dxa"/>
            <w:tcBorders>
              <w:top w:val="single" w:sz="3" w:space="0" w:color="000000"/>
              <w:left w:val="single" w:sz="4" w:space="0" w:color="000000"/>
              <w:bottom w:val="single" w:sz="4" w:space="0" w:color="000000"/>
              <w:right w:val="single" w:sz="4" w:space="0" w:color="000000"/>
            </w:tcBorders>
            <w:shd w:val="clear" w:color="auto" w:fill="auto"/>
            <w:vAlign w:val="center"/>
          </w:tcPr>
          <w:p w14:paraId="1502BE53" w14:textId="63220F32" w:rsidR="00A86F87" w:rsidRPr="00376E45" w:rsidRDefault="005A09D6" w:rsidP="00742753">
            <w:pPr>
              <w:spacing w:before="0" w:after="0"/>
              <w:jc w:val="center"/>
              <w:rPr>
                <w:lang w:val="en-GB"/>
              </w:rPr>
            </w:pPr>
            <w:r w:rsidRPr="00376E45">
              <w:rPr>
                <w:b/>
                <w:lang w:val="en-GB"/>
              </w:rPr>
              <w:t>Adalimumab</w:t>
            </w:r>
            <w:r w:rsidR="00A86F87" w:rsidRPr="00376E45">
              <w:rPr>
                <w:b/>
                <w:lang w:val="en-GB"/>
              </w:rPr>
              <w:t xml:space="preserve"> + MTX (N=386)</w:t>
            </w:r>
          </w:p>
        </w:tc>
      </w:tr>
      <w:tr w:rsidR="00A86F87" w:rsidRPr="00376E45" w14:paraId="6C11B158" w14:textId="77777777" w:rsidTr="00094AB6">
        <w:trPr>
          <w:trHeight w:val="20"/>
        </w:trPr>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0472D" w14:textId="2ABCC6B0" w:rsidR="00A86F87" w:rsidRPr="00376E45" w:rsidRDefault="00A86F87" w:rsidP="00DB6812">
            <w:pPr>
              <w:spacing w:before="0" w:after="0"/>
              <w:rPr>
                <w:lang w:val="en-GB"/>
              </w:rPr>
            </w:pPr>
            <w:r w:rsidRPr="00376E45">
              <w:rPr>
                <w:lang w:val="en-GB"/>
              </w:rPr>
              <w:t>Gender, female</w:t>
            </w:r>
            <w:r w:rsidR="0092236C">
              <w:rPr>
                <w:lang w:val="en-GB"/>
              </w:rPr>
              <w:t>,</w:t>
            </w:r>
            <w:r w:rsidR="00DB6812">
              <w:rPr>
                <w:lang w:val="en-GB"/>
              </w:rPr>
              <w:t xml:space="preserve"> n</w:t>
            </w:r>
            <w:r w:rsidRPr="00376E45">
              <w:rPr>
                <w:lang w:val="en-GB"/>
              </w:rPr>
              <w:t xml:space="preserve"> (%) </w:t>
            </w:r>
          </w:p>
        </w:tc>
        <w:tc>
          <w:tcPr>
            <w:tcW w:w="1653" w:type="dxa"/>
            <w:tcBorders>
              <w:top w:val="single" w:sz="4" w:space="0" w:color="000000"/>
              <w:left w:val="single" w:sz="4" w:space="0" w:color="000000"/>
              <w:bottom w:val="single" w:sz="4" w:space="0" w:color="000000"/>
              <w:right w:val="single" w:sz="3" w:space="0" w:color="000000"/>
            </w:tcBorders>
            <w:shd w:val="clear" w:color="auto" w:fill="auto"/>
            <w:vAlign w:val="center"/>
          </w:tcPr>
          <w:p w14:paraId="5D878EB8" w14:textId="29D2A124" w:rsidR="00A86F87" w:rsidRPr="00376E45" w:rsidRDefault="00A86F87" w:rsidP="00742753">
            <w:pPr>
              <w:spacing w:before="0" w:after="0"/>
              <w:jc w:val="center"/>
              <w:rPr>
                <w:lang w:val="en-GB"/>
              </w:rPr>
            </w:pPr>
            <w:r w:rsidRPr="00376E45">
              <w:rPr>
                <w:lang w:val="en-GB"/>
              </w:rPr>
              <w:t>319 (83</w:t>
            </w:r>
            <w:r w:rsidR="00334EBB" w:rsidRPr="00376E45">
              <w:rPr>
                <w:lang w:val="en-GB"/>
              </w:rPr>
              <w:t>·</w:t>
            </w:r>
            <w:r w:rsidRPr="00376E45">
              <w:rPr>
                <w:lang w:val="en-GB"/>
              </w:rPr>
              <w:t>1)</w:t>
            </w:r>
          </w:p>
        </w:tc>
        <w:tc>
          <w:tcPr>
            <w:tcW w:w="1774" w:type="dxa"/>
            <w:tcBorders>
              <w:top w:val="single" w:sz="4" w:space="0" w:color="000000"/>
              <w:left w:val="single" w:sz="3" w:space="0" w:color="000000"/>
              <w:bottom w:val="single" w:sz="4" w:space="0" w:color="000000"/>
              <w:right w:val="single" w:sz="4" w:space="0" w:color="000000"/>
            </w:tcBorders>
            <w:shd w:val="clear" w:color="auto" w:fill="auto"/>
            <w:vAlign w:val="center"/>
          </w:tcPr>
          <w:p w14:paraId="347B0EF9" w14:textId="1A9B6B0E" w:rsidR="00A86F87" w:rsidRPr="00376E45" w:rsidRDefault="00A86F87" w:rsidP="00742753">
            <w:pPr>
              <w:spacing w:before="0" w:after="0"/>
              <w:ind w:left="20"/>
              <w:jc w:val="center"/>
              <w:rPr>
                <w:lang w:val="en-GB"/>
              </w:rPr>
            </w:pPr>
            <w:r w:rsidRPr="00376E45">
              <w:rPr>
                <w:lang w:val="en-GB"/>
              </w:rPr>
              <w:t>311 (82</w:t>
            </w:r>
            <w:r w:rsidR="00334EBB" w:rsidRPr="00376E45">
              <w:rPr>
                <w:lang w:val="en-GB"/>
              </w:rPr>
              <w:t>·</w:t>
            </w:r>
            <w:r w:rsidRPr="00376E45">
              <w:rPr>
                <w:lang w:val="en-GB"/>
              </w:rPr>
              <w:t>7)</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A3009" w14:textId="1D4B7163" w:rsidR="00A86F87" w:rsidRPr="00376E45" w:rsidRDefault="00A86F87" w:rsidP="00742753">
            <w:pPr>
              <w:spacing w:before="0" w:after="0"/>
              <w:jc w:val="center"/>
              <w:rPr>
                <w:lang w:val="en-GB"/>
              </w:rPr>
            </w:pPr>
            <w:r w:rsidRPr="00376E45">
              <w:rPr>
                <w:lang w:val="en-GB"/>
              </w:rPr>
              <w:t>320 (82</w:t>
            </w:r>
            <w:r w:rsidR="00334EBB" w:rsidRPr="00376E45">
              <w:rPr>
                <w:lang w:val="en-GB"/>
              </w:rPr>
              <w:t>·</w:t>
            </w:r>
            <w:r w:rsidRPr="00376E45">
              <w:rPr>
                <w:lang w:val="en-GB"/>
              </w:rPr>
              <w:t>9)</w:t>
            </w:r>
          </w:p>
        </w:tc>
      </w:tr>
      <w:tr w:rsidR="00A86F87" w:rsidRPr="00376E45" w14:paraId="0A99BF9E" w14:textId="77777777" w:rsidTr="00094AB6">
        <w:trPr>
          <w:trHeight w:val="20"/>
        </w:trPr>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D6258" w14:textId="17A2CE8E" w:rsidR="00A86F87" w:rsidRPr="00376E45" w:rsidRDefault="00A86F87" w:rsidP="00DB6812">
            <w:pPr>
              <w:spacing w:before="0" w:after="0"/>
              <w:rPr>
                <w:lang w:val="en-GB"/>
              </w:rPr>
            </w:pPr>
            <w:r w:rsidRPr="00376E45">
              <w:rPr>
                <w:lang w:val="en-GB"/>
              </w:rPr>
              <w:t xml:space="preserve">Age (years), mean (SD) </w:t>
            </w:r>
          </w:p>
        </w:tc>
        <w:tc>
          <w:tcPr>
            <w:tcW w:w="1653" w:type="dxa"/>
            <w:tcBorders>
              <w:top w:val="single" w:sz="4" w:space="0" w:color="000000"/>
              <w:left w:val="single" w:sz="4" w:space="0" w:color="000000"/>
              <w:bottom w:val="single" w:sz="4" w:space="0" w:color="000000"/>
              <w:right w:val="single" w:sz="3" w:space="0" w:color="000000"/>
            </w:tcBorders>
            <w:shd w:val="clear" w:color="auto" w:fill="auto"/>
            <w:vAlign w:val="center"/>
          </w:tcPr>
          <w:p w14:paraId="4B42C108" w14:textId="30ABB0DC" w:rsidR="00A86F87" w:rsidRPr="00376E45" w:rsidRDefault="00A86F87" w:rsidP="00742753">
            <w:pPr>
              <w:spacing w:before="0" w:after="0"/>
              <w:jc w:val="center"/>
              <w:rPr>
                <w:lang w:val="en-GB"/>
              </w:rPr>
            </w:pPr>
            <w:r w:rsidRPr="00376E45">
              <w:rPr>
                <w:lang w:val="en-GB"/>
              </w:rPr>
              <w:t>49</w:t>
            </w:r>
            <w:r w:rsidR="00334EBB" w:rsidRPr="00376E45">
              <w:rPr>
                <w:lang w:val="en-GB"/>
              </w:rPr>
              <w:t>·</w:t>
            </w:r>
            <w:r w:rsidRPr="00376E45">
              <w:rPr>
                <w:lang w:val="en-GB"/>
              </w:rPr>
              <w:t>7 (12</w:t>
            </w:r>
            <w:r w:rsidR="00334EBB" w:rsidRPr="00376E45">
              <w:rPr>
                <w:lang w:val="en-GB"/>
              </w:rPr>
              <w:t>·</w:t>
            </w:r>
            <w:r w:rsidRPr="00376E45">
              <w:rPr>
                <w:lang w:val="en-GB"/>
              </w:rPr>
              <w:t>2)</w:t>
            </w:r>
          </w:p>
        </w:tc>
        <w:tc>
          <w:tcPr>
            <w:tcW w:w="1774" w:type="dxa"/>
            <w:tcBorders>
              <w:top w:val="single" w:sz="4" w:space="0" w:color="000000"/>
              <w:left w:val="single" w:sz="3" w:space="0" w:color="000000"/>
              <w:bottom w:val="single" w:sz="4" w:space="0" w:color="000000"/>
              <w:right w:val="single" w:sz="4" w:space="0" w:color="000000"/>
            </w:tcBorders>
            <w:shd w:val="clear" w:color="auto" w:fill="auto"/>
            <w:vAlign w:val="center"/>
          </w:tcPr>
          <w:p w14:paraId="5AF41B82" w14:textId="18478E96" w:rsidR="00A86F87" w:rsidRPr="00376E45" w:rsidRDefault="00A86F87" w:rsidP="00742753">
            <w:pPr>
              <w:spacing w:before="0" w:after="0"/>
              <w:ind w:left="20"/>
              <w:jc w:val="center"/>
              <w:rPr>
                <w:lang w:val="en-GB"/>
              </w:rPr>
            </w:pPr>
            <w:r w:rsidRPr="00376E45">
              <w:rPr>
                <w:lang w:val="en-GB"/>
              </w:rPr>
              <w:t>50</w:t>
            </w:r>
            <w:r w:rsidR="00334EBB" w:rsidRPr="00376E45">
              <w:rPr>
                <w:lang w:val="en-GB"/>
              </w:rPr>
              <w:t>·</w:t>
            </w:r>
            <w:r w:rsidRPr="00376E45">
              <w:rPr>
                <w:lang w:val="en-GB"/>
              </w:rPr>
              <w:t>0 (13</w:t>
            </w:r>
            <w:r w:rsidR="00334EBB" w:rsidRPr="00376E45">
              <w:rPr>
                <w:lang w:val="en-GB"/>
              </w:rPr>
              <w:t>·</w:t>
            </w:r>
            <w:r w:rsidRPr="00376E45">
              <w:rPr>
                <w:lang w:val="en-GB"/>
              </w:rPr>
              <w:t>4)</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02EA1" w14:textId="399096C8" w:rsidR="00A86F87" w:rsidRPr="00376E45" w:rsidRDefault="00A86F87" w:rsidP="00742753">
            <w:pPr>
              <w:spacing w:before="0" w:after="0"/>
              <w:jc w:val="center"/>
              <w:rPr>
                <w:lang w:val="en-GB"/>
              </w:rPr>
            </w:pPr>
            <w:r w:rsidRPr="00376E45">
              <w:rPr>
                <w:lang w:val="en-GB"/>
              </w:rPr>
              <w:t>50</w:t>
            </w:r>
            <w:r w:rsidR="00334EBB" w:rsidRPr="00376E45">
              <w:rPr>
                <w:lang w:val="en-GB"/>
              </w:rPr>
              <w:t>·</w:t>
            </w:r>
            <w:r w:rsidRPr="00376E45">
              <w:rPr>
                <w:lang w:val="en-GB"/>
              </w:rPr>
              <w:t>7 (13</w:t>
            </w:r>
            <w:r w:rsidR="00334EBB" w:rsidRPr="00376E45">
              <w:rPr>
                <w:lang w:val="en-GB"/>
              </w:rPr>
              <w:t>·</w:t>
            </w:r>
            <w:r w:rsidRPr="00376E45">
              <w:rPr>
                <w:lang w:val="en-GB"/>
              </w:rPr>
              <w:t>4)</w:t>
            </w:r>
          </w:p>
        </w:tc>
      </w:tr>
      <w:tr w:rsidR="00A86F87" w:rsidRPr="00376E45" w14:paraId="69B733AF" w14:textId="77777777" w:rsidTr="00094AB6">
        <w:trPr>
          <w:trHeight w:val="20"/>
        </w:trPr>
        <w:tc>
          <w:tcPr>
            <w:tcW w:w="4139" w:type="dxa"/>
            <w:tcBorders>
              <w:top w:val="single" w:sz="4" w:space="0" w:color="000000"/>
              <w:left w:val="single" w:sz="4" w:space="0" w:color="000000"/>
              <w:bottom w:val="single" w:sz="3" w:space="0" w:color="000000"/>
              <w:right w:val="single" w:sz="4" w:space="0" w:color="000000"/>
            </w:tcBorders>
            <w:shd w:val="clear" w:color="auto" w:fill="auto"/>
            <w:vAlign w:val="center"/>
          </w:tcPr>
          <w:p w14:paraId="4758BDCE" w14:textId="0428C1E9" w:rsidR="00A86F87" w:rsidRPr="00376E45" w:rsidRDefault="00A86F87" w:rsidP="00742753">
            <w:pPr>
              <w:spacing w:before="0" w:after="0"/>
              <w:rPr>
                <w:lang w:val="en-GB"/>
              </w:rPr>
            </w:pPr>
            <w:r w:rsidRPr="00376E45">
              <w:rPr>
                <w:lang w:val="en-GB"/>
              </w:rPr>
              <w:t>Race</w:t>
            </w:r>
            <w:r w:rsidR="00DB6812">
              <w:rPr>
                <w:lang w:val="en-GB"/>
              </w:rPr>
              <w:t>, n</w:t>
            </w:r>
            <w:r w:rsidRPr="00376E45">
              <w:rPr>
                <w:lang w:val="en-GB"/>
              </w:rPr>
              <w:t xml:space="preserve"> (%) </w:t>
            </w:r>
          </w:p>
        </w:tc>
        <w:tc>
          <w:tcPr>
            <w:tcW w:w="1653" w:type="dxa"/>
            <w:tcBorders>
              <w:top w:val="single" w:sz="4" w:space="0" w:color="000000"/>
              <w:left w:val="single" w:sz="4" w:space="0" w:color="000000"/>
              <w:bottom w:val="single" w:sz="3" w:space="0" w:color="000000"/>
              <w:right w:val="single" w:sz="3" w:space="0" w:color="000000"/>
            </w:tcBorders>
            <w:shd w:val="clear" w:color="auto" w:fill="auto"/>
            <w:vAlign w:val="center"/>
          </w:tcPr>
          <w:p w14:paraId="32766486" w14:textId="77777777" w:rsidR="00A86F87" w:rsidRPr="00376E45" w:rsidRDefault="00A86F87" w:rsidP="00742753">
            <w:pPr>
              <w:spacing w:before="0" w:after="0"/>
              <w:jc w:val="center"/>
              <w:rPr>
                <w:lang w:val="en-GB"/>
              </w:rPr>
            </w:pPr>
          </w:p>
        </w:tc>
        <w:tc>
          <w:tcPr>
            <w:tcW w:w="1774" w:type="dxa"/>
            <w:tcBorders>
              <w:top w:val="single" w:sz="4" w:space="0" w:color="000000"/>
              <w:left w:val="single" w:sz="3" w:space="0" w:color="000000"/>
              <w:bottom w:val="single" w:sz="3" w:space="0" w:color="000000"/>
              <w:right w:val="single" w:sz="4" w:space="0" w:color="000000"/>
            </w:tcBorders>
            <w:shd w:val="clear" w:color="auto" w:fill="auto"/>
            <w:vAlign w:val="center"/>
          </w:tcPr>
          <w:p w14:paraId="02FB369C" w14:textId="77777777" w:rsidR="00A86F87" w:rsidRPr="00376E45" w:rsidRDefault="00A86F87" w:rsidP="00742753">
            <w:pPr>
              <w:spacing w:before="0" w:after="0"/>
              <w:ind w:left="20"/>
              <w:jc w:val="center"/>
              <w:rPr>
                <w:lang w:val="en-GB"/>
              </w:rPr>
            </w:pPr>
          </w:p>
        </w:tc>
        <w:tc>
          <w:tcPr>
            <w:tcW w:w="1534" w:type="dxa"/>
            <w:tcBorders>
              <w:top w:val="single" w:sz="4" w:space="0" w:color="000000"/>
              <w:left w:val="single" w:sz="4" w:space="0" w:color="000000"/>
              <w:bottom w:val="single" w:sz="3" w:space="0" w:color="000000"/>
              <w:right w:val="single" w:sz="4" w:space="0" w:color="000000"/>
            </w:tcBorders>
            <w:shd w:val="clear" w:color="auto" w:fill="auto"/>
            <w:vAlign w:val="center"/>
          </w:tcPr>
          <w:p w14:paraId="7A6AAE8C" w14:textId="77777777" w:rsidR="00A86F87" w:rsidRPr="00376E45" w:rsidRDefault="00A86F87" w:rsidP="00742753">
            <w:pPr>
              <w:spacing w:before="0" w:after="0"/>
              <w:jc w:val="center"/>
              <w:rPr>
                <w:lang w:val="en-GB"/>
              </w:rPr>
            </w:pPr>
          </w:p>
        </w:tc>
      </w:tr>
      <w:tr w:rsidR="00A86F87" w:rsidRPr="00376E45" w14:paraId="0C5A6432" w14:textId="77777777" w:rsidTr="00094AB6">
        <w:trPr>
          <w:trHeight w:val="20"/>
        </w:trPr>
        <w:tc>
          <w:tcPr>
            <w:tcW w:w="4139" w:type="dxa"/>
            <w:tcBorders>
              <w:top w:val="single" w:sz="3" w:space="0" w:color="000000"/>
              <w:left w:val="single" w:sz="4" w:space="0" w:color="000000"/>
              <w:bottom w:val="single" w:sz="4" w:space="0" w:color="000000"/>
              <w:right w:val="single" w:sz="4" w:space="0" w:color="000000"/>
            </w:tcBorders>
            <w:shd w:val="clear" w:color="auto" w:fill="auto"/>
            <w:vAlign w:val="center"/>
          </w:tcPr>
          <w:p w14:paraId="3446B709" w14:textId="77777777" w:rsidR="00A86F87" w:rsidRPr="00376E45" w:rsidRDefault="00A86F87" w:rsidP="00742753">
            <w:pPr>
              <w:spacing w:before="0" w:after="0"/>
              <w:ind w:left="284"/>
              <w:rPr>
                <w:lang w:val="en-GB"/>
              </w:rPr>
            </w:pPr>
            <w:r w:rsidRPr="00376E45">
              <w:rPr>
                <w:lang w:val="en-GB"/>
              </w:rPr>
              <w:t xml:space="preserve">White </w:t>
            </w:r>
          </w:p>
        </w:tc>
        <w:tc>
          <w:tcPr>
            <w:tcW w:w="1653" w:type="dxa"/>
            <w:tcBorders>
              <w:top w:val="single" w:sz="3" w:space="0" w:color="000000"/>
              <w:left w:val="single" w:sz="4" w:space="0" w:color="000000"/>
              <w:bottom w:val="single" w:sz="4" w:space="0" w:color="000000"/>
              <w:right w:val="single" w:sz="3" w:space="0" w:color="000000"/>
            </w:tcBorders>
            <w:shd w:val="clear" w:color="auto" w:fill="auto"/>
            <w:vAlign w:val="center"/>
          </w:tcPr>
          <w:p w14:paraId="17E8B4C8" w14:textId="2F1B3573" w:rsidR="00A86F87" w:rsidRPr="00376E45" w:rsidRDefault="00A86F87" w:rsidP="00742753">
            <w:pPr>
              <w:spacing w:before="0" w:after="0"/>
              <w:jc w:val="center"/>
              <w:rPr>
                <w:lang w:val="en-GB"/>
              </w:rPr>
            </w:pPr>
            <w:r w:rsidRPr="00376E45">
              <w:rPr>
                <w:lang w:val="en-GB"/>
              </w:rPr>
              <w:t>296 (77</w:t>
            </w:r>
            <w:r w:rsidR="00334EBB" w:rsidRPr="00376E45">
              <w:rPr>
                <w:lang w:val="en-GB"/>
              </w:rPr>
              <w:t>·</w:t>
            </w:r>
            <w:r w:rsidRPr="00376E45">
              <w:rPr>
                <w:lang w:val="en-GB"/>
              </w:rPr>
              <w:t>1)</w:t>
            </w:r>
          </w:p>
        </w:tc>
        <w:tc>
          <w:tcPr>
            <w:tcW w:w="1774" w:type="dxa"/>
            <w:tcBorders>
              <w:top w:val="single" w:sz="3" w:space="0" w:color="000000"/>
              <w:left w:val="single" w:sz="3" w:space="0" w:color="000000"/>
              <w:bottom w:val="single" w:sz="4" w:space="0" w:color="000000"/>
              <w:right w:val="single" w:sz="4" w:space="0" w:color="000000"/>
            </w:tcBorders>
            <w:shd w:val="clear" w:color="auto" w:fill="auto"/>
            <w:vAlign w:val="center"/>
          </w:tcPr>
          <w:p w14:paraId="556C0E55" w14:textId="07B3D3D6" w:rsidR="00A86F87" w:rsidRPr="00376E45" w:rsidRDefault="00A86F87" w:rsidP="00742753">
            <w:pPr>
              <w:spacing w:before="0" w:after="0"/>
              <w:ind w:left="20"/>
              <w:jc w:val="center"/>
              <w:rPr>
                <w:lang w:val="en-GB"/>
              </w:rPr>
            </w:pPr>
            <w:r w:rsidRPr="00376E45">
              <w:rPr>
                <w:lang w:val="en-GB"/>
              </w:rPr>
              <w:t>286 (76</w:t>
            </w:r>
            <w:r w:rsidR="00334EBB" w:rsidRPr="00376E45">
              <w:rPr>
                <w:lang w:val="en-GB"/>
              </w:rPr>
              <w:t>·</w:t>
            </w:r>
            <w:r w:rsidRPr="00376E45">
              <w:rPr>
                <w:lang w:val="en-GB"/>
              </w:rPr>
              <w:t>1)</w:t>
            </w:r>
          </w:p>
        </w:tc>
        <w:tc>
          <w:tcPr>
            <w:tcW w:w="1534" w:type="dxa"/>
            <w:tcBorders>
              <w:top w:val="single" w:sz="3" w:space="0" w:color="000000"/>
              <w:left w:val="single" w:sz="4" w:space="0" w:color="000000"/>
              <w:bottom w:val="single" w:sz="4" w:space="0" w:color="000000"/>
              <w:right w:val="single" w:sz="4" w:space="0" w:color="000000"/>
            </w:tcBorders>
            <w:shd w:val="clear" w:color="auto" w:fill="auto"/>
            <w:vAlign w:val="center"/>
          </w:tcPr>
          <w:p w14:paraId="2D6EBD21" w14:textId="5AF338FF" w:rsidR="00A86F87" w:rsidRPr="00376E45" w:rsidRDefault="00A86F87" w:rsidP="00742753">
            <w:pPr>
              <w:spacing w:before="0" w:after="0"/>
              <w:jc w:val="center"/>
              <w:rPr>
                <w:lang w:val="en-GB"/>
              </w:rPr>
            </w:pPr>
            <w:r w:rsidRPr="00376E45">
              <w:rPr>
                <w:lang w:val="en-GB"/>
              </w:rPr>
              <w:t>293 (75</w:t>
            </w:r>
            <w:r w:rsidR="00334EBB" w:rsidRPr="00376E45">
              <w:rPr>
                <w:lang w:val="en-GB"/>
              </w:rPr>
              <w:t>·</w:t>
            </w:r>
            <w:r w:rsidRPr="00376E45">
              <w:rPr>
                <w:lang w:val="en-GB"/>
              </w:rPr>
              <w:t>9)</w:t>
            </w:r>
          </w:p>
        </w:tc>
      </w:tr>
      <w:tr w:rsidR="00A86F87" w:rsidRPr="00376E45" w14:paraId="31C52036" w14:textId="77777777" w:rsidTr="00094AB6">
        <w:trPr>
          <w:trHeight w:val="20"/>
        </w:trPr>
        <w:tc>
          <w:tcPr>
            <w:tcW w:w="4139" w:type="dxa"/>
            <w:tcBorders>
              <w:top w:val="single" w:sz="4" w:space="0" w:color="000000"/>
              <w:left w:val="single" w:sz="4" w:space="0" w:color="000000"/>
              <w:bottom w:val="single" w:sz="3" w:space="0" w:color="000000"/>
              <w:right w:val="single" w:sz="4" w:space="0" w:color="000000"/>
            </w:tcBorders>
            <w:shd w:val="clear" w:color="auto" w:fill="auto"/>
            <w:vAlign w:val="center"/>
          </w:tcPr>
          <w:p w14:paraId="02C29767" w14:textId="77777777" w:rsidR="00A86F87" w:rsidRPr="00376E45" w:rsidRDefault="00A86F87" w:rsidP="00742753">
            <w:pPr>
              <w:spacing w:before="0" w:after="0"/>
              <w:ind w:left="284"/>
              <w:rPr>
                <w:lang w:val="en-GB"/>
              </w:rPr>
            </w:pPr>
            <w:r w:rsidRPr="00376E45">
              <w:rPr>
                <w:lang w:val="en-GB"/>
              </w:rPr>
              <w:t xml:space="preserve">Black </w:t>
            </w:r>
          </w:p>
        </w:tc>
        <w:tc>
          <w:tcPr>
            <w:tcW w:w="1653" w:type="dxa"/>
            <w:tcBorders>
              <w:top w:val="single" w:sz="4" w:space="0" w:color="000000"/>
              <w:left w:val="single" w:sz="4" w:space="0" w:color="000000"/>
              <w:bottom w:val="single" w:sz="3" w:space="0" w:color="000000"/>
              <w:right w:val="single" w:sz="3" w:space="0" w:color="000000"/>
            </w:tcBorders>
            <w:shd w:val="clear" w:color="auto" w:fill="auto"/>
            <w:vAlign w:val="center"/>
          </w:tcPr>
          <w:p w14:paraId="7E36F799" w14:textId="56E42DBE" w:rsidR="00A86F87" w:rsidRPr="00376E45" w:rsidRDefault="00A86F87" w:rsidP="00742753">
            <w:pPr>
              <w:spacing w:before="0" w:after="0"/>
              <w:jc w:val="center"/>
              <w:rPr>
                <w:lang w:val="en-GB"/>
              </w:rPr>
            </w:pPr>
            <w:r w:rsidRPr="00376E45">
              <w:rPr>
                <w:lang w:val="en-GB"/>
              </w:rPr>
              <w:t>11 (2</w:t>
            </w:r>
            <w:r w:rsidR="00334EBB" w:rsidRPr="00376E45">
              <w:rPr>
                <w:lang w:val="en-GB"/>
              </w:rPr>
              <w:t>·</w:t>
            </w:r>
            <w:r w:rsidRPr="00376E45">
              <w:rPr>
                <w:lang w:val="en-GB"/>
              </w:rPr>
              <w:t>9)</w:t>
            </w:r>
          </w:p>
        </w:tc>
        <w:tc>
          <w:tcPr>
            <w:tcW w:w="1774" w:type="dxa"/>
            <w:tcBorders>
              <w:top w:val="single" w:sz="4" w:space="0" w:color="000000"/>
              <w:left w:val="single" w:sz="3" w:space="0" w:color="000000"/>
              <w:bottom w:val="single" w:sz="3" w:space="0" w:color="000000"/>
              <w:right w:val="single" w:sz="4" w:space="0" w:color="000000"/>
            </w:tcBorders>
            <w:shd w:val="clear" w:color="auto" w:fill="auto"/>
            <w:vAlign w:val="center"/>
          </w:tcPr>
          <w:p w14:paraId="1DC596BB" w14:textId="602127E6" w:rsidR="00A86F87" w:rsidRPr="00376E45" w:rsidRDefault="00A86F87" w:rsidP="00742753">
            <w:pPr>
              <w:spacing w:before="0" w:after="0"/>
              <w:ind w:left="20"/>
              <w:jc w:val="center"/>
              <w:rPr>
                <w:lang w:val="en-GB"/>
              </w:rPr>
            </w:pPr>
            <w:r w:rsidRPr="00376E45">
              <w:rPr>
                <w:lang w:val="en-GB"/>
              </w:rPr>
              <w:t>19 (5</w:t>
            </w:r>
            <w:r w:rsidR="00334EBB" w:rsidRPr="00376E45">
              <w:rPr>
                <w:lang w:val="en-GB"/>
              </w:rPr>
              <w:t>·</w:t>
            </w:r>
            <w:r w:rsidRPr="00376E45">
              <w:rPr>
                <w:lang w:val="en-GB"/>
              </w:rPr>
              <w:t>1)</w:t>
            </w:r>
          </w:p>
        </w:tc>
        <w:tc>
          <w:tcPr>
            <w:tcW w:w="1534" w:type="dxa"/>
            <w:tcBorders>
              <w:top w:val="single" w:sz="4" w:space="0" w:color="000000"/>
              <w:left w:val="single" w:sz="4" w:space="0" w:color="000000"/>
              <w:bottom w:val="single" w:sz="3" w:space="0" w:color="000000"/>
              <w:right w:val="single" w:sz="4" w:space="0" w:color="000000"/>
            </w:tcBorders>
            <w:shd w:val="clear" w:color="auto" w:fill="auto"/>
            <w:vAlign w:val="center"/>
          </w:tcPr>
          <w:p w14:paraId="40344EF0" w14:textId="1149DC28" w:rsidR="00A86F87" w:rsidRPr="00376E45" w:rsidRDefault="00A86F87" w:rsidP="00742753">
            <w:pPr>
              <w:spacing w:before="0" w:after="0"/>
              <w:jc w:val="center"/>
              <w:rPr>
                <w:lang w:val="en-GB"/>
              </w:rPr>
            </w:pPr>
            <w:r w:rsidRPr="00376E45">
              <w:rPr>
                <w:lang w:val="en-GB"/>
              </w:rPr>
              <w:t>18 (4</w:t>
            </w:r>
            <w:r w:rsidR="00334EBB" w:rsidRPr="00376E45">
              <w:rPr>
                <w:lang w:val="en-GB"/>
              </w:rPr>
              <w:t>·</w:t>
            </w:r>
            <w:r w:rsidRPr="00376E45">
              <w:rPr>
                <w:lang w:val="en-GB"/>
              </w:rPr>
              <w:t>7)</w:t>
            </w:r>
          </w:p>
        </w:tc>
      </w:tr>
      <w:tr w:rsidR="00A86F87" w:rsidRPr="00376E45" w14:paraId="277F45C8" w14:textId="77777777" w:rsidTr="00094AB6">
        <w:trPr>
          <w:trHeight w:val="20"/>
        </w:trPr>
        <w:tc>
          <w:tcPr>
            <w:tcW w:w="4139" w:type="dxa"/>
            <w:tcBorders>
              <w:top w:val="single" w:sz="3" w:space="0" w:color="000000"/>
              <w:left w:val="single" w:sz="4" w:space="0" w:color="000000"/>
              <w:bottom w:val="single" w:sz="4" w:space="0" w:color="000000"/>
              <w:right w:val="single" w:sz="4" w:space="0" w:color="000000"/>
            </w:tcBorders>
            <w:shd w:val="clear" w:color="auto" w:fill="auto"/>
            <w:vAlign w:val="center"/>
          </w:tcPr>
          <w:p w14:paraId="727174FB" w14:textId="77777777" w:rsidR="00A86F87" w:rsidRPr="00376E45" w:rsidRDefault="00A86F87" w:rsidP="00742753">
            <w:pPr>
              <w:spacing w:before="0" w:after="0"/>
              <w:ind w:left="284"/>
              <w:rPr>
                <w:lang w:val="en-GB"/>
              </w:rPr>
            </w:pPr>
            <w:r w:rsidRPr="00376E45">
              <w:rPr>
                <w:lang w:val="en-GB"/>
              </w:rPr>
              <w:t xml:space="preserve">Asian </w:t>
            </w:r>
          </w:p>
        </w:tc>
        <w:tc>
          <w:tcPr>
            <w:tcW w:w="1653" w:type="dxa"/>
            <w:tcBorders>
              <w:top w:val="single" w:sz="3" w:space="0" w:color="000000"/>
              <w:left w:val="single" w:sz="4" w:space="0" w:color="000000"/>
              <w:bottom w:val="single" w:sz="4" w:space="0" w:color="000000"/>
              <w:right w:val="single" w:sz="3" w:space="0" w:color="000000"/>
            </w:tcBorders>
            <w:shd w:val="clear" w:color="auto" w:fill="auto"/>
            <w:vAlign w:val="center"/>
          </w:tcPr>
          <w:p w14:paraId="05A1B853" w14:textId="752F0A16" w:rsidR="00A86F87" w:rsidRPr="00376E45" w:rsidRDefault="00A86F87" w:rsidP="00742753">
            <w:pPr>
              <w:spacing w:before="0" w:after="0"/>
              <w:jc w:val="center"/>
              <w:rPr>
                <w:lang w:val="en-GB"/>
              </w:rPr>
            </w:pPr>
            <w:r w:rsidRPr="00376E45">
              <w:rPr>
                <w:lang w:val="en-GB"/>
              </w:rPr>
              <w:t>41 (10</w:t>
            </w:r>
            <w:r w:rsidR="00334EBB" w:rsidRPr="00376E45">
              <w:rPr>
                <w:lang w:val="en-GB"/>
              </w:rPr>
              <w:t>·</w:t>
            </w:r>
            <w:r w:rsidRPr="00376E45">
              <w:rPr>
                <w:lang w:val="en-GB"/>
              </w:rPr>
              <w:t>7)</w:t>
            </w:r>
          </w:p>
        </w:tc>
        <w:tc>
          <w:tcPr>
            <w:tcW w:w="1774" w:type="dxa"/>
            <w:tcBorders>
              <w:top w:val="single" w:sz="3" w:space="0" w:color="000000"/>
              <w:left w:val="single" w:sz="3" w:space="0" w:color="000000"/>
              <w:bottom w:val="single" w:sz="4" w:space="0" w:color="000000"/>
              <w:right w:val="single" w:sz="4" w:space="0" w:color="000000"/>
            </w:tcBorders>
            <w:shd w:val="clear" w:color="auto" w:fill="auto"/>
            <w:vAlign w:val="center"/>
          </w:tcPr>
          <w:p w14:paraId="2828F470" w14:textId="0BF518CC" w:rsidR="00A86F87" w:rsidRPr="00376E45" w:rsidRDefault="00A86F87" w:rsidP="00742753">
            <w:pPr>
              <w:spacing w:before="0" w:after="0"/>
              <w:ind w:left="20"/>
              <w:jc w:val="center"/>
              <w:rPr>
                <w:lang w:val="en-GB"/>
              </w:rPr>
            </w:pPr>
            <w:r w:rsidRPr="00376E45">
              <w:rPr>
                <w:lang w:val="en-GB"/>
              </w:rPr>
              <w:t>38 (10</w:t>
            </w:r>
            <w:r w:rsidR="00334EBB" w:rsidRPr="00376E45">
              <w:rPr>
                <w:lang w:val="en-GB"/>
              </w:rPr>
              <w:t>·</w:t>
            </w:r>
            <w:r w:rsidRPr="00376E45">
              <w:rPr>
                <w:lang w:val="en-GB"/>
              </w:rPr>
              <w:t>1)</w:t>
            </w:r>
          </w:p>
        </w:tc>
        <w:tc>
          <w:tcPr>
            <w:tcW w:w="1534" w:type="dxa"/>
            <w:tcBorders>
              <w:top w:val="single" w:sz="3" w:space="0" w:color="000000"/>
              <w:left w:val="single" w:sz="4" w:space="0" w:color="000000"/>
              <w:bottom w:val="single" w:sz="4" w:space="0" w:color="000000"/>
              <w:right w:val="single" w:sz="4" w:space="0" w:color="000000"/>
            </w:tcBorders>
            <w:shd w:val="clear" w:color="auto" w:fill="auto"/>
            <w:vAlign w:val="center"/>
          </w:tcPr>
          <w:p w14:paraId="46362D93" w14:textId="23699EDE" w:rsidR="00A86F87" w:rsidRPr="00376E45" w:rsidRDefault="00A86F87" w:rsidP="00742753">
            <w:pPr>
              <w:spacing w:before="0" w:after="0"/>
              <w:jc w:val="center"/>
              <w:rPr>
                <w:lang w:val="en-GB"/>
              </w:rPr>
            </w:pPr>
            <w:r w:rsidRPr="00376E45">
              <w:rPr>
                <w:lang w:val="en-GB"/>
              </w:rPr>
              <w:t>40 (10</w:t>
            </w:r>
            <w:r w:rsidR="00334EBB" w:rsidRPr="00376E45">
              <w:rPr>
                <w:lang w:val="en-GB"/>
              </w:rPr>
              <w:t>·</w:t>
            </w:r>
            <w:r w:rsidRPr="00376E45">
              <w:rPr>
                <w:lang w:val="en-GB"/>
              </w:rPr>
              <w:t>4)</w:t>
            </w:r>
          </w:p>
        </w:tc>
      </w:tr>
      <w:tr w:rsidR="00A86F87" w:rsidRPr="00376E45" w14:paraId="3E92A7FF" w14:textId="77777777" w:rsidTr="00094AB6">
        <w:trPr>
          <w:trHeight w:val="20"/>
        </w:trPr>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4DA47" w14:textId="77777777" w:rsidR="00A86F87" w:rsidRPr="00376E45" w:rsidRDefault="00A86F87" w:rsidP="00742753">
            <w:pPr>
              <w:spacing w:before="0" w:after="0"/>
              <w:ind w:left="284"/>
              <w:rPr>
                <w:lang w:val="en-GB"/>
              </w:rPr>
            </w:pPr>
            <w:r w:rsidRPr="00376E45">
              <w:rPr>
                <w:lang w:val="en-GB"/>
              </w:rPr>
              <w:t xml:space="preserve">Other </w:t>
            </w:r>
          </w:p>
        </w:tc>
        <w:tc>
          <w:tcPr>
            <w:tcW w:w="1653" w:type="dxa"/>
            <w:tcBorders>
              <w:top w:val="single" w:sz="4" w:space="0" w:color="000000"/>
              <w:left w:val="single" w:sz="4" w:space="0" w:color="000000"/>
              <w:bottom w:val="single" w:sz="4" w:space="0" w:color="000000"/>
              <w:right w:val="single" w:sz="3" w:space="0" w:color="000000"/>
            </w:tcBorders>
            <w:shd w:val="clear" w:color="auto" w:fill="auto"/>
            <w:vAlign w:val="center"/>
          </w:tcPr>
          <w:p w14:paraId="4756C0B7" w14:textId="7769E052" w:rsidR="00A86F87" w:rsidRPr="00376E45" w:rsidRDefault="00A86F87" w:rsidP="00742753">
            <w:pPr>
              <w:spacing w:before="0" w:after="0"/>
              <w:jc w:val="center"/>
              <w:rPr>
                <w:lang w:val="en-GB"/>
              </w:rPr>
            </w:pPr>
            <w:r w:rsidRPr="00376E45">
              <w:rPr>
                <w:lang w:val="en-GB"/>
              </w:rPr>
              <w:t>36 (9</w:t>
            </w:r>
            <w:r w:rsidR="00334EBB" w:rsidRPr="00376E45">
              <w:rPr>
                <w:lang w:val="en-GB"/>
              </w:rPr>
              <w:t>·</w:t>
            </w:r>
            <w:r w:rsidRPr="00376E45">
              <w:rPr>
                <w:lang w:val="en-GB"/>
              </w:rPr>
              <w:t>4)</w:t>
            </w:r>
          </w:p>
        </w:tc>
        <w:tc>
          <w:tcPr>
            <w:tcW w:w="1774" w:type="dxa"/>
            <w:tcBorders>
              <w:top w:val="single" w:sz="4" w:space="0" w:color="000000"/>
              <w:left w:val="single" w:sz="3" w:space="0" w:color="000000"/>
              <w:bottom w:val="single" w:sz="4" w:space="0" w:color="000000"/>
              <w:right w:val="single" w:sz="4" w:space="0" w:color="000000"/>
            </w:tcBorders>
            <w:shd w:val="clear" w:color="auto" w:fill="auto"/>
            <w:vAlign w:val="center"/>
          </w:tcPr>
          <w:p w14:paraId="662C0E09" w14:textId="3DF346E4" w:rsidR="00A86F87" w:rsidRPr="00376E45" w:rsidRDefault="00A86F87" w:rsidP="00742753">
            <w:pPr>
              <w:spacing w:before="0" w:after="0"/>
              <w:ind w:left="20"/>
              <w:jc w:val="center"/>
              <w:rPr>
                <w:lang w:val="en-GB"/>
              </w:rPr>
            </w:pPr>
            <w:r w:rsidRPr="00376E45">
              <w:rPr>
                <w:lang w:val="en-GB"/>
              </w:rPr>
              <w:t>33 (8</w:t>
            </w:r>
            <w:r w:rsidR="00334EBB" w:rsidRPr="00376E45">
              <w:rPr>
                <w:lang w:val="en-GB"/>
              </w:rPr>
              <w:t>·</w:t>
            </w:r>
            <w:r w:rsidRPr="00376E45">
              <w:rPr>
                <w:lang w:val="en-GB"/>
              </w:rPr>
              <w:t>8)</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35C24" w14:textId="6BC29B7A" w:rsidR="00A86F87" w:rsidRPr="00376E45" w:rsidRDefault="00A86F87" w:rsidP="00742753">
            <w:pPr>
              <w:spacing w:before="0" w:after="0"/>
              <w:jc w:val="center"/>
              <w:rPr>
                <w:lang w:val="en-GB"/>
              </w:rPr>
            </w:pPr>
            <w:r w:rsidRPr="00376E45">
              <w:rPr>
                <w:lang w:val="en-GB"/>
              </w:rPr>
              <w:t>35 (9</w:t>
            </w:r>
            <w:r w:rsidR="00334EBB" w:rsidRPr="00376E45">
              <w:rPr>
                <w:lang w:val="en-GB"/>
              </w:rPr>
              <w:t>·</w:t>
            </w:r>
            <w:r w:rsidRPr="00376E45">
              <w:rPr>
                <w:lang w:val="en-GB"/>
              </w:rPr>
              <w:t>1)</w:t>
            </w:r>
          </w:p>
        </w:tc>
      </w:tr>
      <w:tr w:rsidR="00A86F87" w:rsidRPr="00376E45" w14:paraId="3EBDE6FC" w14:textId="77777777" w:rsidTr="00094AB6">
        <w:trPr>
          <w:trHeight w:val="20"/>
        </w:trPr>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2632C" w14:textId="77777777" w:rsidR="00A86F87" w:rsidRPr="00376E45" w:rsidRDefault="00A86F87" w:rsidP="00742753">
            <w:pPr>
              <w:spacing w:before="0" w:after="0"/>
              <w:ind w:right="84"/>
              <w:rPr>
                <w:lang w:val="en-GB"/>
              </w:rPr>
            </w:pPr>
            <w:r w:rsidRPr="00376E45">
              <w:rPr>
                <w:lang w:val="en-GB"/>
              </w:rPr>
              <w:t>Geographic region, n (%)</w:t>
            </w:r>
          </w:p>
        </w:tc>
        <w:tc>
          <w:tcPr>
            <w:tcW w:w="1653" w:type="dxa"/>
            <w:tcBorders>
              <w:top w:val="single" w:sz="4" w:space="0" w:color="000000"/>
              <w:left w:val="single" w:sz="4" w:space="0" w:color="000000"/>
              <w:bottom w:val="single" w:sz="4" w:space="0" w:color="000000"/>
              <w:right w:val="single" w:sz="3" w:space="0" w:color="000000"/>
            </w:tcBorders>
            <w:shd w:val="clear" w:color="auto" w:fill="auto"/>
            <w:vAlign w:val="center"/>
          </w:tcPr>
          <w:p w14:paraId="67D35FAE" w14:textId="77777777" w:rsidR="00A86F87" w:rsidRPr="00376E45" w:rsidRDefault="00A86F87" w:rsidP="00742753">
            <w:pPr>
              <w:spacing w:before="0" w:after="0"/>
              <w:jc w:val="center"/>
              <w:rPr>
                <w:lang w:val="en-GB"/>
              </w:rPr>
            </w:pPr>
          </w:p>
        </w:tc>
        <w:tc>
          <w:tcPr>
            <w:tcW w:w="1774" w:type="dxa"/>
            <w:tcBorders>
              <w:top w:val="single" w:sz="4" w:space="0" w:color="000000"/>
              <w:left w:val="single" w:sz="3" w:space="0" w:color="000000"/>
              <w:bottom w:val="single" w:sz="4" w:space="0" w:color="000000"/>
              <w:right w:val="single" w:sz="4" w:space="0" w:color="000000"/>
            </w:tcBorders>
            <w:shd w:val="clear" w:color="auto" w:fill="auto"/>
            <w:vAlign w:val="center"/>
          </w:tcPr>
          <w:p w14:paraId="330A881A" w14:textId="77777777" w:rsidR="00A86F87" w:rsidRPr="00376E45" w:rsidRDefault="00A86F87" w:rsidP="00742753">
            <w:pPr>
              <w:spacing w:before="0" w:after="0"/>
              <w:ind w:left="20"/>
              <w:jc w:val="center"/>
              <w:rPr>
                <w:lang w:val="en-GB"/>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42AE2" w14:textId="77777777" w:rsidR="00A86F87" w:rsidRPr="00376E45" w:rsidRDefault="00A86F87" w:rsidP="00742753">
            <w:pPr>
              <w:spacing w:before="0" w:after="0"/>
              <w:jc w:val="center"/>
              <w:rPr>
                <w:lang w:val="en-GB"/>
              </w:rPr>
            </w:pPr>
          </w:p>
        </w:tc>
      </w:tr>
      <w:tr w:rsidR="00A86F87" w:rsidRPr="00376E45" w14:paraId="7C8735C9" w14:textId="77777777" w:rsidTr="00094AB6">
        <w:trPr>
          <w:trHeight w:val="20"/>
        </w:trPr>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E6E29" w14:textId="4B83CD43" w:rsidR="00A1345B" w:rsidRPr="00DB6812" w:rsidRDefault="00A1345B" w:rsidP="00742753">
            <w:pPr>
              <w:spacing w:before="0" w:after="0"/>
              <w:ind w:left="380" w:right="84"/>
              <w:rPr>
                <w:u w:val="single"/>
              </w:rPr>
            </w:pPr>
            <w:r w:rsidRPr="00DB6812">
              <w:rPr>
                <w:u w:val="single"/>
              </w:rPr>
              <w:t>North America</w:t>
            </w:r>
          </w:p>
          <w:p w14:paraId="165324F2" w14:textId="683F1466" w:rsidR="00A86F87" w:rsidRPr="00376E45" w:rsidRDefault="00A86F87" w:rsidP="00742753">
            <w:pPr>
              <w:spacing w:before="0" w:after="0"/>
              <w:ind w:left="380" w:right="84"/>
              <w:rPr>
                <w:lang w:val="en-GB"/>
              </w:rPr>
            </w:pPr>
            <w:r w:rsidRPr="00376E45">
              <w:rPr>
                <w:lang w:val="en-GB"/>
              </w:rPr>
              <w:t>Canada, United States</w:t>
            </w:r>
          </w:p>
        </w:tc>
        <w:tc>
          <w:tcPr>
            <w:tcW w:w="1653" w:type="dxa"/>
            <w:tcBorders>
              <w:top w:val="single" w:sz="4" w:space="0" w:color="000000"/>
              <w:left w:val="single" w:sz="4" w:space="0" w:color="000000"/>
              <w:bottom w:val="single" w:sz="4" w:space="0" w:color="000000"/>
              <w:right w:val="single" w:sz="3" w:space="0" w:color="000000"/>
            </w:tcBorders>
            <w:shd w:val="clear" w:color="auto" w:fill="auto"/>
            <w:vAlign w:val="center"/>
          </w:tcPr>
          <w:p w14:paraId="0EBD11C3" w14:textId="036C4F44" w:rsidR="00A86F87" w:rsidRPr="00376E45" w:rsidRDefault="00A86F87" w:rsidP="00742753">
            <w:pPr>
              <w:spacing w:before="0" w:after="0"/>
              <w:jc w:val="center"/>
              <w:rPr>
                <w:lang w:val="en-GB"/>
              </w:rPr>
            </w:pPr>
            <w:r w:rsidRPr="00376E45">
              <w:rPr>
                <w:lang w:val="en-GB"/>
              </w:rPr>
              <w:t>62 (16</w:t>
            </w:r>
            <w:r w:rsidR="00334EBB" w:rsidRPr="00376E45">
              <w:rPr>
                <w:lang w:val="en-GB"/>
              </w:rPr>
              <w:t>·</w:t>
            </w:r>
            <w:r w:rsidRPr="00376E45">
              <w:rPr>
                <w:lang w:val="en-GB"/>
              </w:rPr>
              <w:t>1%)</w:t>
            </w:r>
          </w:p>
        </w:tc>
        <w:tc>
          <w:tcPr>
            <w:tcW w:w="1774" w:type="dxa"/>
            <w:tcBorders>
              <w:top w:val="single" w:sz="4" w:space="0" w:color="000000"/>
              <w:left w:val="single" w:sz="3" w:space="0" w:color="000000"/>
              <w:bottom w:val="single" w:sz="4" w:space="0" w:color="000000"/>
              <w:right w:val="single" w:sz="4" w:space="0" w:color="000000"/>
            </w:tcBorders>
            <w:shd w:val="clear" w:color="auto" w:fill="auto"/>
            <w:vAlign w:val="center"/>
          </w:tcPr>
          <w:p w14:paraId="065F2203" w14:textId="704EA93C" w:rsidR="00A86F87" w:rsidRPr="00376E45" w:rsidRDefault="00A86F87" w:rsidP="00742753">
            <w:pPr>
              <w:spacing w:before="0" w:after="0"/>
              <w:ind w:left="20"/>
              <w:jc w:val="center"/>
              <w:rPr>
                <w:lang w:val="en-GB"/>
              </w:rPr>
            </w:pPr>
            <w:r w:rsidRPr="00376E45">
              <w:rPr>
                <w:lang w:val="en-GB"/>
              </w:rPr>
              <w:t>71 (18</w:t>
            </w:r>
            <w:r w:rsidR="00334EBB" w:rsidRPr="00376E45">
              <w:rPr>
                <w:lang w:val="en-GB"/>
              </w:rPr>
              <w:t>·</w:t>
            </w:r>
            <w:r w:rsidRPr="00376E45">
              <w:rPr>
                <w:lang w:val="en-GB"/>
              </w:rPr>
              <w:t>9%)</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87B19" w14:textId="08CDBC39" w:rsidR="00A86F87" w:rsidRPr="00376E45" w:rsidRDefault="00A86F87" w:rsidP="00742753">
            <w:pPr>
              <w:spacing w:before="0" w:after="0"/>
              <w:jc w:val="center"/>
              <w:rPr>
                <w:lang w:val="en-GB"/>
              </w:rPr>
            </w:pPr>
            <w:r w:rsidRPr="00376E45">
              <w:rPr>
                <w:lang w:val="en-GB"/>
              </w:rPr>
              <w:t>73 (18</w:t>
            </w:r>
            <w:r w:rsidR="00334EBB" w:rsidRPr="00376E45">
              <w:rPr>
                <w:lang w:val="en-GB"/>
              </w:rPr>
              <w:t>·</w:t>
            </w:r>
            <w:r w:rsidRPr="00376E45">
              <w:rPr>
                <w:lang w:val="en-GB"/>
              </w:rPr>
              <w:t>9%)</w:t>
            </w:r>
          </w:p>
        </w:tc>
      </w:tr>
      <w:tr w:rsidR="00A86F87" w:rsidRPr="00376E45" w14:paraId="5D27B222" w14:textId="77777777" w:rsidTr="00094AB6">
        <w:trPr>
          <w:trHeight w:val="20"/>
        </w:trPr>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6B319" w14:textId="71D0066E" w:rsidR="00A1345B" w:rsidRPr="00DB6812" w:rsidRDefault="008D190B" w:rsidP="00742753">
            <w:pPr>
              <w:spacing w:before="0" w:after="0"/>
              <w:ind w:left="380" w:right="84"/>
              <w:rPr>
                <w:u w:val="single"/>
              </w:rPr>
            </w:pPr>
            <w:r w:rsidRPr="00DB6812">
              <w:rPr>
                <w:u w:val="single"/>
              </w:rPr>
              <w:t xml:space="preserve">Central </w:t>
            </w:r>
            <w:r w:rsidR="00C512DB" w:rsidRPr="00DB6812">
              <w:rPr>
                <w:u w:val="single"/>
              </w:rPr>
              <w:t xml:space="preserve">and South </w:t>
            </w:r>
            <w:r w:rsidR="00A1345B" w:rsidRPr="00DB6812">
              <w:rPr>
                <w:u w:val="single"/>
              </w:rPr>
              <w:t>America</w:t>
            </w:r>
          </w:p>
          <w:p w14:paraId="6A2759B3" w14:textId="7B1C61F3" w:rsidR="00A86F87" w:rsidRPr="008D190B" w:rsidRDefault="00A86F87" w:rsidP="00742753">
            <w:pPr>
              <w:spacing w:before="0" w:after="0"/>
              <w:ind w:left="380" w:right="84"/>
            </w:pPr>
            <w:r w:rsidRPr="008D190B">
              <w:t>Argentina, Chile, Mexico, Peru</w:t>
            </w:r>
          </w:p>
        </w:tc>
        <w:tc>
          <w:tcPr>
            <w:tcW w:w="1653" w:type="dxa"/>
            <w:tcBorders>
              <w:top w:val="single" w:sz="4" w:space="0" w:color="000000"/>
              <w:left w:val="single" w:sz="4" w:space="0" w:color="000000"/>
              <w:bottom w:val="single" w:sz="4" w:space="0" w:color="000000"/>
              <w:right w:val="single" w:sz="3" w:space="0" w:color="000000"/>
            </w:tcBorders>
            <w:shd w:val="clear" w:color="auto" w:fill="auto"/>
            <w:vAlign w:val="center"/>
          </w:tcPr>
          <w:p w14:paraId="02A927A2" w14:textId="29E3E3CB" w:rsidR="00A86F87" w:rsidRPr="00376E45" w:rsidRDefault="00A86F87" w:rsidP="00742753">
            <w:pPr>
              <w:spacing w:before="0" w:after="0"/>
              <w:jc w:val="center"/>
              <w:rPr>
                <w:lang w:val="en-GB"/>
              </w:rPr>
            </w:pPr>
            <w:r w:rsidRPr="00376E45">
              <w:rPr>
                <w:lang w:val="en-GB"/>
              </w:rPr>
              <w:t>93 (24</w:t>
            </w:r>
            <w:r w:rsidR="00334EBB" w:rsidRPr="00376E45">
              <w:rPr>
                <w:lang w:val="en-GB"/>
              </w:rPr>
              <w:t>·</w:t>
            </w:r>
            <w:r w:rsidRPr="00376E45">
              <w:rPr>
                <w:lang w:val="en-GB"/>
              </w:rPr>
              <w:t>2%)</w:t>
            </w:r>
          </w:p>
        </w:tc>
        <w:tc>
          <w:tcPr>
            <w:tcW w:w="1774" w:type="dxa"/>
            <w:tcBorders>
              <w:top w:val="single" w:sz="4" w:space="0" w:color="000000"/>
              <w:left w:val="single" w:sz="3" w:space="0" w:color="000000"/>
              <w:bottom w:val="single" w:sz="4" w:space="0" w:color="000000"/>
              <w:right w:val="single" w:sz="4" w:space="0" w:color="000000"/>
            </w:tcBorders>
            <w:shd w:val="clear" w:color="auto" w:fill="auto"/>
            <w:vAlign w:val="center"/>
          </w:tcPr>
          <w:p w14:paraId="2E623224" w14:textId="60E36E9C" w:rsidR="00A86F87" w:rsidRPr="00376E45" w:rsidRDefault="00A86F87" w:rsidP="00742753">
            <w:pPr>
              <w:spacing w:before="0" w:after="0"/>
              <w:ind w:left="20"/>
              <w:jc w:val="center"/>
              <w:rPr>
                <w:lang w:val="en-GB"/>
              </w:rPr>
            </w:pPr>
            <w:r w:rsidRPr="00376E45">
              <w:rPr>
                <w:lang w:val="en-GB"/>
              </w:rPr>
              <w:t>91 (24</w:t>
            </w:r>
            <w:r w:rsidR="00334EBB" w:rsidRPr="00376E45">
              <w:rPr>
                <w:lang w:val="en-GB"/>
              </w:rPr>
              <w:t>·</w:t>
            </w:r>
            <w:r w:rsidRPr="00376E45">
              <w:rPr>
                <w:lang w:val="en-GB"/>
              </w:rPr>
              <w:t>2%)</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A6314" w14:textId="65E6352A" w:rsidR="00A86F87" w:rsidRPr="00376E45" w:rsidRDefault="00A86F87" w:rsidP="00742753">
            <w:pPr>
              <w:spacing w:before="0" w:after="0"/>
              <w:jc w:val="center"/>
              <w:rPr>
                <w:lang w:val="en-GB"/>
              </w:rPr>
            </w:pPr>
            <w:r w:rsidRPr="00376E45">
              <w:rPr>
                <w:lang w:val="en-GB"/>
              </w:rPr>
              <w:t>92 (23</w:t>
            </w:r>
            <w:r w:rsidR="00334EBB" w:rsidRPr="00376E45">
              <w:rPr>
                <w:lang w:val="en-GB"/>
              </w:rPr>
              <w:t>·</w:t>
            </w:r>
            <w:r w:rsidRPr="00376E45">
              <w:rPr>
                <w:lang w:val="en-GB"/>
              </w:rPr>
              <w:t>8%)</w:t>
            </w:r>
          </w:p>
        </w:tc>
      </w:tr>
      <w:tr w:rsidR="00A86F87" w:rsidRPr="00376E45" w14:paraId="059CE76E" w14:textId="77777777" w:rsidTr="00094AB6">
        <w:trPr>
          <w:trHeight w:val="20"/>
        </w:trPr>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31E03" w14:textId="5D1FB454" w:rsidR="00A1345B" w:rsidRPr="00DB6812" w:rsidRDefault="00A1345B" w:rsidP="00742753">
            <w:pPr>
              <w:spacing w:before="0" w:after="0"/>
              <w:ind w:left="380" w:right="84"/>
              <w:rPr>
                <w:u w:val="single"/>
              </w:rPr>
            </w:pPr>
            <w:r w:rsidRPr="00DB6812">
              <w:rPr>
                <w:u w:val="single"/>
              </w:rPr>
              <w:t xml:space="preserve">Eastern Europe, </w:t>
            </w:r>
            <w:r w:rsidR="007A45C9" w:rsidRPr="00DB6812">
              <w:rPr>
                <w:u w:val="single"/>
              </w:rPr>
              <w:t xml:space="preserve">Middle East and </w:t>
            </w:r>
            <w:r w:rsidRPr="00DB6812">
              <w:rPr>
                <w:u w:val="single"/>
              </w:rPr>
              <w:t>Africa</w:t>
            </w:r>
          </w:p>
          <w:p w14:paraId="56E9A136" w14:textId="5A1C7F0E" w:rsidR="00A86F87" w:rsidRPr="00376E45" w:rsidRDefault="00A86F87" w:rsidP="00742753">
            <w:pPr>
              <w:spacing w:before="0" w:after="0"/>
              <w:ind w:left="380" w:right="84"/>
              <w:rPr>
                <w:lang w:val="en-GB"/>
              </w:rPr>
            </w:pPr>
            <w:r w:rsidRPr="00376E45">
              <w:rPr>
                <w:lang w:val="en-GB"/>
              </w:rPr>
              <w:t>Bosnia and Herzegovina, Bulgaria, Czech</w:t>
            </w:r>
            <w:r w:rsidR="006038FC" w:rsidRPr="00376E45">
              <w:rPr>
                <w:lang w:val="en-GB"/>
              </w:rPr>
              <w:t xml:space="preserve"> Republic</w:t>
            </w:r>
            <w:r w:rsidRPr="00376E45">
              <w:rPr>
                <w:lang w:val="en-GB"/>
              </w:rPr>
              <w:t>, Estonia, Israel, Latvia, Lithuania, Poland, Romania, Russia, South Africa</w:t>
            </w:r>
          </w:p>
        </w:tc>
        <w:tc>
          <w:tcPr>
            <w:tcW w:w="1653" w:type="dxa"/>
            <w:tcBorders>
              <w:top w:val="single" w:sz="4" w:space="0" w:color="000000"/>
              <w:left w:val="single" w:sz="4" w:space="0" w:color="000000"/>
              <w:bottom w:val="single" w:sz="4" w:space="0" w:color="000000"/>
              <w:right w:val="single" w:sz="3" w:space="0" w:color="000000"/>
            </w:tcBorders>
            <w:shd w:val="clear" w:color="auto" w:fill="auto"/>
            <w:vAlign w:val="center"/>
          </w:tcPr>
          <w:p w14:paraId="5BDA6CCE" w14:textId="4BFEAC43" w:rsidR="00A86F87" w:rsidRPr="00376E45" w:rsidRDefault="00A86F87" w:rsidP="00742753">
            <w:pPr>
              <w:spacing w:before="0" w:after="0"/>
              <w:jc w:val="center"/>
              <w:rPr>
                <w:lang w:val="en-GB"/>
              </w:rPr>
            </w:pPr>
            <w:r w:rsidRPr="00376E45">
              <w:rPr>
                <w:lang w:val="en-GB"/>
              </w:rPr>
              <w:t>170 (44</w:t>
            </w:r>
            <w:r w:rsidR="00334EBB" w:rsidRPr="00376E45">
              <w:rPr>
                <w:lang w:val="en-GB"/>
              </w:rPr>
              <w:t>·</w:t>
            </w:r>
            <w:r w:rsidRPr="00376E45">
              <w:rPr>
                <w:lang w:val="en-GB"/>
              </w:rPr>
              <w:t>3%)</w:t>
            </w:r>
          </w:p>
        </w:tc>
        <w:tc>
          <w:tcPr>
            <w:tcW w:w="1774" w:type="dxa"/>
            <w:tcBorders>
              <w:top w:val="single" w:sz="4" w:space="0" w:color="000000"/>
              <w:left w:val="single" w:sz="3" w:space="0" w:color="000000"/>
              <w:bottom w:val="single" w:sz="4" w:space="0" w:color="000000"/>
              <w:right w:val="single" w:sz="4" w:space="0" w:color="000000"/>
            </w:tcBorders>
            <w:shd w:val="clear" w:color="auto" w:fill="auto"/>
            <w:vAlign w:val="center"/>
          </w:tcPr>
          <w:p w14:paraId="658D1305" w14:textId="5A088F15" w:rsidR="00A86F87" w:rsidRPr="00376E45" w:rsidRDefault="00A86F87" w:rsidP="00742753">
            <w:pPr>
              <w:spacing w:before="0" w:after="0"/>
              <w:ind w:left="20"/>
              <w:jc w:val="center"/>
              <w:rPr>
                <w:lang w:val="en-GB"/>
              </w:rPr>
            </w:pPr>
            <w:r w:rsidRPr="00376E45">
              <w:rPr>
                <w:lang w:val="en-GB"/>
              </w:rPr>
              <w:t>159 (42</w:t>
            </w:r>
            <w:r w:rsidR="00334EBB" w:rsidRPr="00376E45">
              <w:rPr>
                <w:lang w:val="en-GB"/>
              </w:rPr>
              <w:t>·</w:t>
            </w:r>
            <w:r w:rsidRPr="00376E45">
              <w:rPr>
                <w:lang w:val="en-GB"/>
              </w:rPr>
              <w:t>3%)</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F8E24" w14:textId="05FC35C6" w:rsidR="00A86F87" w:rsidRPr="00376E45" w:rsidRDefault="00A86F87" w:rsidP="00742753">
            <w:pPr>
              <w:spacing w:before="0" w:after="0"/>
              <w:jc w:val="center"/>
              <w:rPr>
                <w:lang w:val="en-GB"/>
              </w:rPr>
            </w:pPr>
            <w:r w:rsidRPr="00376E45">
              <w:rPr>
                <w:lang w:val="en-GB"/>
              </w:rPr>
              <w:t>164 (42</w:t>
            </w:r>
            <w:r w:rsidR="00334EBB" w:rsidRPr="00376E45">
              <w:rPr>
                <w:lang w:val="en-GB"/>
              </w:rPr>
              <w:t>·</w:t>
            </w:r>
            <w:r w:rsidRPr="00376E45">
              <w:rPr>
                <w:lang w:val="en-GB"/>
              </w:rPr>
              <w:t>5%)</w:t>
            </w:r>
          </w:p>
        </w:tc>
      </w:tr>
      <w:tr w:rsidR="00A86F87" w:rsidRPr="00376E45" w14:paraId="631CB6F9" w14:textId="77777777" w:rsidTr="00094AB6">
        <w:trPr>
          <w:trHeight w:val="20"/>
        </w:trPr>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718D9" w14:textId="729E5058" w:rsidR="00A1345B" w:rsidRPr="00C512DB" w:rsidRDefault="00A1345B" w:rsidP="00742753">
            <w:pPr>
              <w:spacing w:before="0" w:after="0"/>
              <w:ind w:left="380" w:right="84"/>
              <w:rPr>
                <w:u w:val="single"/>
                <w:lang w:val="en-GB"/>
              </w:rPr>
            </w:pPr>
            <w:r w:rsidRPr="00C512DB">
              <w:rPr>
                <w:u w:val="single"/>
                <w:lang w:val="en-GB"/>
              </w:rPr>
              <w:t>Western Europe</w:t>
            </w:r>
            <w:r w:rsidR="00C512DB">
              <w:rPr>
                <w:u w:val="single"/>
                <w:lang w:val="en-GB"/>
              </w:rPr>
              <w:t xml:space="preserve"> and Turkey</w:t>
            </w:r>
          </w:p>
          <w:p w14:paraId="6F670D3F" w14:textId="366C5DCC" w:rsidR="00A86F87" w:rsidRPr="00376E45" w:rsidRDefault="00A86F87" w:rsidP="00742753">
            <w:pPr>
              <w:spacing w:before="0" w:after="0"/>
              <w:ind w:left="380" w:right="84"/>
              <w:rPr>
                <w:lang w:val="en-GB"/>
              </w:rPr>
            </w:pPr>
            <w:r w:rsidRPr="00376E45">
              <w:rPr>
                <w:lang w:val="en-GB"/>
              </w:rPr>
              <w:t>Spain, Turkey, United Kingdom</w:t>
            </w:r>
          </w:p>
        </w:tc>
        <w:tc>
          <w:tcPr>
            <w:tcW w:w="1653" w:type="dxa"/>
            <w:tcBorders>
              <w:top w:val="single" w:sz="4" w:space="0" w:color="000000"/>
              <w:left w:val="single" w:sz="4" w:space="0" w:color="000000"/>
              <w:bottom w:val="single" w:sz="4" w:space="0" w:color="000000"/>
              <w:right w:val="single" w:sz="3" w:space="0" w:color="000000"/>
            </w:tcBorders>
            <w:shd w:val="clear" w:color="auto" w:fill="auto"/>
            <w:vAlign w:val="center"/>
          </w:tcPr>
          <w:p w14:paraId="5F74231E" w14:textId="35B5DC76" w:rsidR="00A86F87" w:rsidRPr="00376E45" w:rsidRDefault="00A86F87" w:rsidP="00742753">
            <w:pPr>
              <w:spacing w:before="0" w:after="0"/>
              <w:jc w:val="center"/>
              <w:rPr>
                <w:lang w:val="en-GB"/>
              </w:rPr>
            </w:pPr>
            <w:r w:rsidRPr="00376E45">
              <w:rPr>
                <w:lang w:val="en-GB"/>
              </w:rPr>
              <w:t>13 (3</w:t>
            </w:r>
            <w:r w:rsidR="00334EBB" w:rsidRPr="00376E45">
              <w:rPr>
                <w:lang w:val="en-GB"/>
              </w:rPr>
              <w:t>·</w:t>
            </w:r>
            <w:r w:rsidRPr="00376E45">
              <w:rPr>
                <w:lang w:val="en-GB"/>
              </w:rPr>
              <w:t>4%)</w:t>
            </w:r>
          </w:p>
        </w:tc>
        <w:tc>
          <w:tcPr>
            <w:tcW w:w="1774" w:type="dxa"/>
            <w:tcBorders>
              <w:top w:val="single" w:sz="4" w:space="0" w:color="000000"/>
              <w:left w:val="single" w:sz="3" w:space="0" w:color="000000"/>
              <w:bottom w:val="single" w:sz="4" w:space="0" w:color="000000"/>
              <w:right w:val="single" w:sz="4" w:space="0" w:color="000000"/>
            </w:tcBorders>
            <w:shd w:val="clear" w:color="auto" w:fill="auto"/>
            <w:vAlign w:val="center"/>
          </w:tcPr>
          <w:p w14:paraId="05743235" w14:textId="0FD33EDF" w:rsidR="00A86F87" w:rsidRPr="00376E45" w:rsidRDefault="00A86F87" w:rsidP="00742753">
            <w:pPr>
              <w:spacing w:before="0" w:after="0"/>
              <w:ind w:left="20"/>
              <w:jc w:val="center"/>
              <w:rPr>
                <w:lang w:val="en-GB"/>
              </w:rPr>
            </w:pPr>
            <w:r w:rsidRPr="00376E45">
              <w:rPr>
                <w:lang w:val="en-GB"/>
              </w:rPr>
              <w:t>15 (4</w:t>
            </w:r>
            <w:r w:rsidR="00334EBB" w:rsidRPr="00376E45">
              <w:rPr>
                <w:lang w:val="en-GB"/>
              </w:rPr>
              <w:t>·</w:t>
            </w:r>
            <w:r w:rsidRPr="00376E45">
              <w:rPr>
                <w:lang w:val="en-GB"/>
              </w:rPr>
              <w:t>0%)</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6DBD7" w14:textId="75FC0C55" w:rsidR="00A86F87" w:rsidRPr="00376E45" w:rsidRDefault="00A86F87" w:rsidP="00742753">
            <w:pPr>
              <w:spacing w:before="0" w:after="0"/>
              <w:jc w:val="center"/>
              <w:rPr>
                <w:lang w:val="en-GB"/>
              </w:rPr>
            </w:pPr>
            <w:r w:rsidRPr="00376E45">
              <w:rPr>
                <w:lang w:val="en-GB"/>
              </w:rPr>
              <w:t>14 (3</w:t>
            </w:r>
            <w:r w:rsidR="00334EBB" w:rsidRPr="00376E45">
              <w:rPr>
                <w:lang w:val="en-GB"/>
              </w:rPr>
              <w:t>·</w:t>
            </w:r>
            <w:r w:rsidRPr="00376E45">
              <w:rPr>
                <w:lang w:val="en-GB"/>
              </w:rPr>
              <w:t>6%)</w:t>
            </w:r>
          </w:p>
        </w:tc>
      </w:tr>
      <w:tr w:rsidR="00A86F87" w:rsidRPr="00376E45" w14:paraId="20FB839D" w14:textId="77777777" w:rsidTr="00094AB6">
        <w:trPr>
          <w:trHeight w:val="20"/>
        </w:trPr>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05074" w14:textId="091D4A3E" w:rsidR="00A1345B" w:rsidRPr="00C512DB" w:rsidRDefault="00C512DB" w:rsidP="00742753">
            <w:pPr>
              <w:spacing w:before="0" w:after="0"/>
              <w:ind w:left="380" w:right="84"/>
              <w:rPr>
                <w:u w:val="single"/>
                <w:lang w:val="en-GB"/>
              </w:rPr>
            </w:pPr>
            <w:r>
              <w:rPr>
                <w:u w:val="single"/>
                <w:lang w:val="en-GB"/>
              </w:rPr>
              <w:t>Asia and Pacific region</w:t>
            </w:r>
          </w:p>
          <w:p w14:paraId="5FA44F90" w14:textId="5B0CF282" w:rsidR="00A86F87" w:rsidRPr="00376E45" w:rsidRDefault="00A86F87" w:rsidP="00742753">
            <w:pPr>
              <w:spacing w:before="0" w:after="0"/>
              <w:ind w:left="380" w:right="84"/>
              <w:rPr>
                <w:lang w:val="en-GB"/>
              </w:rPr>
            </w:pPr>
            <w:r w:rsidRPr="00376E45">
              <w:rPr>
                <w:lang w:val="en-GB"/>
              </w:rPr>
              <w:t>Australia, Korea, Philippines, Taiwan, Thailand</w:t>
            </w:r>
          </w:p>
        </w:tc>
        <w:tc>
          <w:tcPr>
            <w:tcW w:w="1653" w:type="dxa"/>
            <w:tcBorders>
              <w:top w:val="single" w:sz="4" w:space="0" w:color="000000"/>
              <w:left w:val="single" w:sz="4" w:space="0" w:color="000000"/>
              <w:bottom w:val="single" w:sz="4" w:space="0" w:color="000000"/>
              <w:right w:val="single" w:sz="3" w:space="0" w:color="000000"/>
            </w:tcBorders>
            <w:shd w:val="clear" w:color="auto" w:fill="auto"/>
            <w:vAlign w:val="center"/>
          </w:tcPr>
          <w:p w14:paraId="3D8D30BD" w14:textId="6D64D88C" w:rsidR="00A86F87" w:rsidRPr="00376E45" w:rsidRDefault="00A86F87" w:rsidP="00742753">
            <w:pPr>
              <w:spacing w:before="0" w:after="0"/>
              <w:jc w:val="center"/>
              <w:rPr>
                <w:lang w:val="en-GB"/>
              </w:rPr>
            </w:pPr>
            <w:r w:rsidRPr="00376E45">
              <w:rPr>
                <w:lang w:val="en-GB"/>
              </w:rPr>
              <w:t>46 (12</w:t>
            </w:r>
            <w:r w:rsidR="00334EBB" w:rsidRPr="00376E45">
              <w:rPr>
                <w:lang w:val="en-GB"/>
              </w:rPr>
              <w:t>·</w:t>
            </w:r>
            <w:r w:rsidRPr="00376E45">
              <w:rPr>
                <w:lang w:val="en-GB"/>
              </w:rPr>
              <w:t>0%)</w:t>
            </w:r>
          </w:p>
        </w:tc>
        <w:tc>
          <w:tcPr>
            <w:tcW w:w="1774" w:type="dxa"/>
            <w:tcBorders>
              <w:top w:val="single" w:sz="4" w:space="0" w:color="000000"/>
              <w:left w:val="single" w:sz="3" w:space="0" w:color="000000"/>
              <w:bottom w:val="single" w:sz="4" w:space="0" w:color="000000"/>
              <w:right w:val="single" w:sz="4" w:space="0" w:color="000000"/>
            </w:tcBorders>
            <w:shd w:val="clear" w:color="auto" w:fill="auto"/>
            <w:vAlign w:val="center"/>
          </w:tcPr>
          <w:p w14:paraId="6C938BF0" w14:textId="01351FCD" w:rsidR="00A86F87" w:rsidRPr="00376E45" w:rsidRDefault="00A86F87" w:rsidP="00742753">
            <w:pPr>
              <w:spacing w:before="0" w:after="0"/>
              <w:ind w:left="20"/>
              <w:jc w:val="center"/>
              <w:rPr>
                <w:lang w:val="en-GB"/>
              </w:rPr>
            </w:pPr>
            <w:r w:rsidRPr="00376E45">
              <w:rPr>
                <w:lang w:val="en-GB"/>
              </w:rPr>
              <w:t>40 (10</w:t>
            </w:r>
            <w:r w:rsidR="00334EBB" w:rsidRPr="00376E45">
              <w:rPr>
                <w:lang w:val="en-GB"/>
              </w:rPr>
              <w:t>·</w:t>
            </w:r>
            <w:r w:rsidRPr="00376E45">
              <w:rPr>
                <w:lang w:val="en-GB"/>
              </w:rPr>
              <w:t>6%)</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C68C0" w14:textId="3945FCDF" w:rsidR="00A86F87" w:rsidRPr="00376E45" w:rsidRDefault="00A86F87" w:rsidP="00742753">
            <w:pPr>
              <w:spacing w:before="0" w:after="0"/>
              <w:jc w:val="center"/>
              <w:rPr>
                <w:lang w:val="en-GB"/>
              </w:rPr>
            </w:pPr>
            <w:r w:rsidRPr="00376E45">
              <w:rPr>
                <w:lang w:val="en-GB"/>
              </w:rPr>
              <w:t>43 (11</w:t>
            </w:r>
            <w:r w:rsidR="00334EBB" w:rsidRPr="00376E45">
              <w:rPr>
                <w:lang w:val="en-GB"/>
              </w:rPr>
              <w:t>·</w:t>
            </w:r>
            <w:r w:rsidRPr="00376E45">
              <w:rPr>
                <w:lang w:val="en-GB"/>
              </w:rPr>
              <w:t>1%)</w:t>
            </w:r>
          </w:p>
        </w:tc>
      </w:tr>
      <w:tr w:rsidR="00A86F87" w:rsidRPr="00376E45" w14:paraId="11D6562E" w14:textId="77777777" w:rsidTr="00094AB6">
        <w:trPr>
          <w:trHeight w:val="20"/>
        </w:trPr>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4ED3B" w14:textId="45DF4565" w:rsidR="00A86F87" w:rsidRPr="00376E45" w:rsidRDefault="00A86F87" w:rsidP="00DB6812">
            <w:pPr>
              <w:spacing w:before="0" w:after="0"/>
              <w:ind w:right="84"/>
              <w:rPr>
                <w:lang w:val="en-GB"/>
              </w:rPr>
            </w:pPr>
            <w:r w:rsidRPr="00376E45">
              <w:rPr>
                <w:lang w:val="en-GB"/>
              </w:rPr>
              <w:t xml:space="preserve">Duration of disease (years), median (range) </w:t>
            </w:r>
          </w:p>
        </w:tc>
        <w:tc>
          <w:tcPr>
            <w:tcW w:w="1653" w:type="dxa"/>
            <w:tcBorders>
              <w:top w:val="single" w:sz="4" w:space="0" w:color="000000"/>
              <w:left w:val="single" w:sz="4" w:space="0" w:color="000000"/>
              <w:bottom w:val="single" w:sz="4" w:space="0" w:color="000000"/>
              <w:right w:val="single" w:sz="3" w:space="0" w:color="000000"/>
            </w:tcBorders>
            <w:shd w:val="clear" w:color="auto" w:fill="auto"/>
            <w:vAlign w:val="center"/>
          </w:tcPr>
          <w:p w14:paraId="2E3DF06A" w14:textId="1073178D" w:rsidR="00A86F87" w:rsidRPr="00376E45" w:rsidRDefault="00A86F87" w:rsidP="00742753">
            <w:pPr>
              <w:spacing w:before="0" w:after="0"/>
              <w:jc w:val="center"/>
              <w:rPr>
                <w:lang w:val="en-GB"/>
              </w:rPr>
            </w:pPr>
            <w:r w:rsidRPr="00376E45">
              <w:rPr>
                <w:lang w:val="en-GB"/>
              </w:rPr>
              <w:t>6</w:t>
            </w:r>
            <w:r w:rsidR="00334EBB" w:rsidRPr="00376E45">
              <w:rPr>
                <w:lang w:val="en-GB"/>
              </w:rPr>
              <w:t>·</w:t>
            </w:r>
            <w:r w:rsidRPr="00376E45">
              <w:rPr>
                <w:lang w:val="en-GB"/>
              </w:rPr>
              <w:t>1 (0</w:t>
            </w:r>
            <w:r w:rsidR="00334EBB" w:rsidRPr="00376E45">
              <w:rPr>
                <w:lang w:val="en-GB"/>
              </w:rPr>
              <w:t>·</w:t>
            </w:r>
            <w:r w:rsidRPr="00376E45">
              <w:rPr>
                <w:lang w:val="en-GB"/>
              </w:rPr>
              <w:t>2–41</w:t>
            </w:r>
            <w:r w:rsidR="00334EBB" w:rsidRPr="00376E45">
              <w:rPr>
                <w:lang w:val="en-GB"/>
              </w:rPr>
              <w:t>·</w:t>
            </w:r>
            <w:r w:rsidRPr="00376E45">
              <w:rPr>
                <w:lang w:val="en-GB"/>
              </w:rPr>
              <w:t>6)</w:t>
            </w:r>
          </w:p>
        </w:tc>
        <w:tc>
          <w:tcPr>
            <w:tcW w:w="1774" w:type="dxa"/>
            <w:tcBorders>
              <w:top w:val="single" w:sz="4" w:space="0" w:color="000000"/>
              <w:left w:val="single" w:sz="3" w:space="0" w:color="000000"/>
              <w:bottom w:val="single" w:sz="4" w:space="0" w:color="000000"/>
              <w:right w:val="single" w:sz="4" w:space="0" w:color="000000"/>
            </w:tcBorders>
            <w:shd w:val="clear" w:color="auto" w:fill="auto"/>
            <w:vAlign w:val="center"/>
          </w:tcPr>
          <w:p w14:paraId="193CCF47" w14:textId="3456E320" w:rsidR="00A86F87" w:rsidRPr="00376E45" w:rsidRDefault="00A86F87" w:rsidP="00742753">
            <w:pPr>
              <w:spacing w:before="0" w:after="0"/>
              <w:ind w:left="20"/>
              <w:jc w:val="center"/>
              <w:rPr>
                <w:lang w:val="en-GB"/>
              </w:rPr>
            </w:pPr>
            <w:r w:rsidRPr="00376E45">
              <w:rPr>
                <w:lang w:val="en-GB"/>
              </w:rPr>
              <w:t>5</w:t>
            </w:r>
            <w:r w:rsidR="00334EBB" w:rsidRPr="00376E45">
              <w:rPr>
                <w:lang w:val="en-GB"/>
              </w:rPr>
              <w:t>·</w:t>
            </w:r>
            <w:r w:rsidRPr="00376E45">
              <w:rPr>
                <w:lang w:val="en-GB"/>
              </w:rPr>
              <w:t>4 (0</w:t>
            </w:r>
            <w:r w:rsidR="00334EBB" w:rsidRPr="00376E45">
              <w:rPr>
                <w:lang w:val="en-GB"/>
              </w:rPr>
              <w:t>·</w:t>
            </w:r>
            <w:r w:rsidRPr="00376E45">
              <w:rPr>
                <w:lang w:val="en-GB"/>
              </w:rPr>
              <w:t>0–43</w:t>
            </w:r>
            <w:r w:rsidR="00334EBB" w:rsidRPr="00376E45">
              <w:rPr>
                <w:lang w:val="en-GB"/>
              </w:rPr>
              <w:t>·</w:t>
            </w:r>
            <w:r w:rsidRPr="00376E45">
              <w:rPr>
                <w:lang w:val="en-GB"/>
              </w:rPr>
              <w:t>5)</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8962F" w14:textId="2C9BDFC3" w:rsidR="00A86F87" w:rsidRPr="00376E45" w:rsidRDefault="00A86F87" w:rsidP="00742753">
            <w:pPr>
              <w:spacing w:before="0" w:after="0"/>
              <w:jc w:val="center"/>
              <w:rPr>
                <w:lang w:val="en-GB"/>
              </w:rPr>
            </w:pPr>
            <w:r w:rsidRPr="00376E45">
              <w:rPr>
                <w:lang w:val="en-GB"/>
              </w:rPr>
              <w:t>6</w:t>
            </w:r>
            <w:r w:rsidR="00334EBB" w:rsidRPr="00376E45">
              <w:rPr>
                <w:lang w:val="en-GB"/>
              </w:rPr>
              <w:t>·</w:t>
            </w:r>
            <w:r w:rsidRPr="00376E45">
              <w:rPr>
                <w:lang w:val="en-GB"/>
              </w:rPr>
              <w:t>0 (0</w:t>
            </w:r>
            <w:r w:rsidR="00334EBB" w:rsidRPr="00376E45">
              <w:rPr>
                <w:lang w:val="en-GB"/>
              </w:rPr>
              <w:t>·</w:t>
            </w:r>
            <w:r w:rsidRPr="00376E45">
              <w:rPr>
                <w:lang w:val="en-GB"/>
              </w:rPr>
              <w:t>3–42</w:t>
            </w:r>
            <w:r w:rsidR="00334EBB" w:rsidRPr="00376E45">
              <w:rPr>
                <w:lang w:val="en-GB"/>
              </w:rPr>
              <w:t>·</w:t>
            </w:r>
            <w:r w:rsidRPr="00376E45">
              <w:rPr>
                <w:lang w:val="en-GB"/>
              </w:rPr>
              <w:t>8)</w:t>
            </w:r>
          </w:p>
        </w:tc>
      </w:tr>
      <w:tr w:rsidR="00A86F87" w:rsidRPr="00376E45" w14:paraId="629CF19E" w14:textId="77777777" w:rsidTr="00094AB6">
        <w:trPr>
          <w:trHeight w:val="20"/>
        </w:trPr>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4D2AA" w14:textId="77777777" w:rsidR="00A86F87" w:rsidRPr="00376E45" w:rsidRDefault="00A86F87" w:rsidP="00742753">
            <w:pPr>
              <w:spacing w:before="0" w:after="0"/>
              <w:ind w:right="84"/>
              <w:rPr>
                <w:lang w:val="en-GB"/>
              </w:rPr>
            </w:pPr>
            <w:r w:rsidRPr="00376E45">
              <w:rPr>
                <w:lang w:val="en-GB"/>
              </w:rPr>
              <w:t>Prior medication use, n (%)</w:t>
            </w:r>
          </w:p>
        </w:tc>
        <w:tc>
          <w:tcPr>
            <w:tcW w:w="1653" w:type="dxa"/>
            <w:tcBorders>
              <w:top w:val="single" w:sz="4" w:space="0" w:color="000000"/>
              <w:left w:val="single" w:sz="4" w:space="0" w:color="000000"/>
              <w:bottom w:val="single" w:sz="4" w:space="0" w:color="000000"/>
              <w:right w:val="single" w:sz="3" w:space="0" w:color="000000"/>
            </w:tcBorders>
            <w:shd w:val="clear" w:color="auto" w:fill="auto"/>
            <w:vAlign w:val="center"/>
          </w:tcPr>
          <w:p w14:paraId="4202A730" w14:textId="77777777" w:rsidR="00A86F87" w:rsidRPr="00376E45" w:rsidRDefault="00A86F87" w:rsidP="00742753">
            <w:pPr>
              <w:spacing w:before="0" w:after="0"/>
              <w:jc w:val="center"/>
              <w:rPr>
                <w:lang w:val="en-GB"/>
              </w:rPr>
            </w:pPr>
          </w:p>
        </w:tc>
        <w:tc>
          <w:tcPr>
            <w:tcW w:w="1774" w:type="dxa"/>
            <w:tcBorders>
              <w:top w:val="single" w:sz="4" w:space="0" w:color="000000"/>
              <w:left w:val="single" w:sz="3" w:space="0" w:color="000000"/>
              <w:bottom w:val="single" w:sz="4" w:space="0" w:color="000000"/>
              <w:right w:val="single" w:sz="4" w:space="0" w:color="000000"/>
            </w:tcBorders>
            <w:shd w:val="clear" w:color="auto" w:fill="auto"/>
            <w:vAlign w:val="center"/>
          </w:tcPr>
          <w:p w14:paraId="7AD4B7B2" w14:textId="77777777" w:rsidR="00A86F87" w:rsidRPr="00376E45" w:rsidRDefault="00A86F87" w:rsidP="00742753">
            <w:pPr>
              <w:spacing w:before="0" w:after="0"/>
              <w:ind w:left="20"/>
              <w:jc w:val="center"/>
              <w:rPr>
                <w:lang w:val="en-GB"/>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83102" w14:textId="77777777" w:rsidR="00A86F87" w:rsidRPr="00376E45" w:rsidRDefault="00A86F87" w:rsidP="00742753">
            <w:pPr>
              <w:spacing w:before="0" w:after="0"/>
              <w:jc w:val="center"/>
              <w:rPr>
                <w:lang w:val="en-GB"/>
              </w:rPr>
            </w:pPr>
          </w:p>
        </w:tc>
      </w:tr>
      <w:tr w:rsidR="00A86F87" w:rsidRPr="00376E45" w14:paraId="6EB8E26A" w14:textId="77777777" w:rsidTr="00094AB6">
        <w:trPr>
          <w:trHeight w:val="20"/>
        </w:trPr>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E16B6" w14:textId="77777777" w:rsidR="00A86F87" w:rsidRPr="00376E45" w:rsidRDefault="00A86F87" w:rsidP="00742753">
            <w:pPr>
              <w:spacing w:before="0" w:after="0"/>
              <w:ind w:left="380" w:right="84"/>
              <w:rPr>
                <w:lang w:val="en-GB"/>
              </w:rPr>
            </w:pPr>
            <w:r w:rsidRPr="00376E45">
              <w:rPr>
                <w:lang w:val="en-GB"/>
              </w:rPr>
              <w:t>csDMARD (excluding MTX)</w:t>
            </w:r>
          </w:p>
        </w:tc>
        <w:tc>
          <w:tcPr>
            <w:tcW w:w="1653" w:type="dxa"/>
            <w:tcBorders>
              <w:top w:val="single" w:sz="4" w:space="0" w:color="000000"/>
              <w:left w:val="single" w:sz="4" w:space="0" w:color="000000"/>
              <w:bottom w:val="single" w:sz="4" w:space="0" w:color="000000"/>
              <w:right w:val="single" w:sz="3" w:space="0" w:color="000000"/>
            </w:tcBorders>
            <w:shd w:val="clear" w:color="auto" w:fill="auto"/>
            <w:vAlign w:val="center"/>
          </w:tcPr>
          <w:p w14:paraId="7DEA1590" w14:textId="3123BCC6" w:rsidR="00A86F87" w:rsidRPr="00376E45" w:rsidRDefault="00A86F87" w:rsidP="00742753">
            <w:pPr>
              <w:spacing w:before="0" w:after="0"/>
              <w:jc w:val="center"/>
              <w:rPr>
                <w:lang w:val="en-GB"/>
              </w:rPr>
            </w:pPr>
            <w:r w:rsidRPr="00376E45">
              <w:rPr>
                <w:lang w:val="en-GB"/>
              </w:rPr>
              <w:t>122 (31</w:t>
            </w:r>
            <w:r w:rsidR="00334EBB" w:rsidRPr="00376E45">
              <w:rPr>
                <w:lang w:val="en-GB"/>
              </w:rPr>
              <w:t>·</w:t>
            </w:r>
            <w:r w:rsidRPr="00376E45">
              <w:rPr>
                <w:lang w:val="en-GB"/>
              </w:rPr>
              <w:t>8)</w:t>
            </w:r>
          </w:p>
        </w:tc>
        <w:tc>
          <w:tcPr>
            <w:tcW w:w="1774" w:type="dxa"/>
            <w:tcBorders>
              <w:top w:val="single" w:sz="4" w:space="0" w:color="000000"/>
              <w:left w:val="single" w:sz="3" w:space="0" w:color="000000"/>
              <w:bottom w:val="single" w:sz="4" w:space="0" w:color="000000"/>
              <w:right w:val="single" w:sz="4" w:space="0" w:color="000000"/>
            </w:tcBorders>
            <w:shd w:val="clear" w:color="auto" w:fill="auto"/>
            <w:vAlign w:val="center"/>
          </w:tcPr>
          <w:p w14:paraId="184A202A" w14:textId="043B03FC" w:rsidR="00A86F87" w:rsidRPr="00376E45" w:rsidRDefault="00A86F87" w:rsidP="00742753">
            <w:pPr>
              <w:spacing w:before="0" w:after="0"/>
              <w:ind w:left="20"/>
              <w:jc w:val="center"/>
              <w:rPr>
                <w:lang w:val="en-GB"/>
              </w:rPr>
            </w:pPr>
            <w:r w:rsidRPr="00376E45">
              <w:rPr>
                <w:lang w:val="en-GB"/>
              </w:rPr>
              <w:t>115 (30</w:t>
            </w:r>
            <w:r w:rsidR="00334EBB" w:rsidRPr="00376E45">
              <w:rPr>
                <w:lang w:val="en-GB"/>
              </w:rPr>
              <w:t>·</w:t>
            </w:r>
            <w:r w:rsidRPr="00376E45">
              <w:rPr>
                <w:lang w:val="en-GB"/>
              </w:rPr>
              <w:t>6)</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09FA1" w14:textId="194BDCDB" w:rsidR="00A86F87" w:rsidRPr="00376E45" w:rsidRDefault="00A86F87" w:rsidP="00742753">
            <w:pPr>
              <w:spacing w:before="0" w:after="0"/>
              <w:jc w:val="center"/>
              <w:rPr>
                <w:lang w:val="en-GB"/>
              </w:rPr>
            </w:pPr>
            <w:r w:rsidRPr="00376E45">
              <w:rPr>
                <w:lang w:val="en-GB"/>
              </w:rPr>
              <w:t>142 (36</w:t>
            </w:r>
            <w:r w:rsidR="00334EBB" w:rsidRPr="00376E45">
              <w:rPr>
                <w:lang w:val="en-GB"/>
              </w:rPr>
              <w:t>·</w:t>
            </w:r>
            <w:r w:rsidRPr="00376E45">
              <w:rPr>
                <w:lang w:val="en-GB"/>
              </w:rPr>
              <w:t>8)</w:t>
            </w:r>
          </w:p>
        </w:tc>
      </w:tr>
      <w:tr w:rsidR="00A86F87" w:rsidRPr="00376E45" w14:paraId="1ACE4967" w14:textId="77777777" w:rsidTr="00094AB6">
        <w:trPr>
          <w:trHeight w:val="20"/>
        </w:trPr>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2F152" w14:textId="77777777" w:rsidR="00A86F87" w:rsidRPr="00376E45" w:rsidRDefault="00A86F87" w:rsidP="00742753">
            <w:pPr>
              <w:spacing w:before="0" w:after="0"/>
              <w:ind w:left="380" w:right="84"/>
              <w:rPr>
                <w:lang w:val="en-GB"/>
              </w:rPr>
            </w:pPr>
            <w:r w:rsidRPr="00376E45">
              <w:rPr>
                <w:lang w:val="en-GB"/>
              </w:rPr>
              <w:t>bDMARD (excluding TNFi)</w:t>
            </w:r>
          </w:p>
        </w:tc>
        <w:tc>
          <w:tcPr>
            <w:tcW w:w="1653" w:type="dxa"/>
            <w:tcBorders>
              <w:top w:val="single" w:sz="4" w:space="0" w:color="000000"/>
              <w:left w:val="single" w:sz="4" w:space="0" w:color="000000"/>
              <w:bottom w:val="single" w:sz="4" w:space="0" w:color="000000"/>
              <w:right w:val="single" w:sz="3" w:space="0" w:color="000000"/>
            </w:tcBorders>
            <w:shd w:val="clear" w:color="auto" w:fill="auto"/>
            <w:vAlign w:val="center"/>
          </w:tcPr>
          <w:p w14:paraId="4880B785" w14:textId="40E65A32" w:rsidR="00A86F87" w:rsidRPr="00376E45" w:rsidRDefault="00A86F87" w:rsidP="00742753">
            <w:pPr>
              <w:spacing w:before="0" w:after="0"/>
              <w:jc w:val="center"/>
              <w:rPr>
                <w:lang w:val="en-GB"/>
              </w:rPr>
            </w:pPr>
            <w:r w:rsidRPr="00376E45">
              <w:rPr>
                <w:lang w:val="en-GB"/>
              </w:rPr>
              <w:t>17 (4</w:t>
            </w:r>
            <w:r w:rsidR="00334EBB" w:rsidRPr="00376E45">
              <w:rPr>
                <w:lang w:val="en-GB"/>
              </w:rPr>
              <w:t>·</w:t>
            </w:r>
            <w:r w:rsidRPr="00376E45">
              <w:rPr>
                <w:lang w:val="en-GB"/>
              </w:rPr>
              <w:t>4)</w:t>
            </w:r>
          </w:p>
        </w:tc>
        <w:tc>
          <w:tcPr>
            <w:tcW w:w="1774" w:type="dxa"/>
            <w:tcBorders>
              <w:top w:val="single" w:sz="4" w:space="0" w:color="000000"/>
              <w:left w:val="single" w:sz="3" w:space="0" w:color="000000"/>
              <w:bottom w:val="single" w:sz="4" w:space="0" w:color="000000"/>
              <w:right w:val="single" w:sz="4" w:space="0" w:color="000000"/>
            </w:tcBorders>
            <w:shd w:val="clear" w:color="auto" w:fill="auto"/>
            <w:vAlign w:val="center"/>
          </w:tcPr>
          <w:p w14:paraId="0D0D5644" w14:textId="236D876A" w:rsidR="00A86F87" w:rsidRPr="00376E45" w:rsidRDefault="00A86F87" w:rsidP="00742753">
            <w:pPr>
              <w:spacing w:before="0" w:after="0"/>
              <w:ind w:left="20"/>
              <w:jc w:val="center"/>
              <w:rPr>
                <w:lang w:val="en-GB"/>
              </w:rPr>
            </w:pPr>
            <w:r w:rsidRPr="00376E45">
              <w:rPr>
                <w:lang w:val="en-GB"/>
              </w:rPr>
              <w:t>14 (3</w:t>
            </w:r>
            <w:r w:rsidR="00334EBB" w:rsidRPr="00376E45">
              <w:rPr>
                <w:lang w:val="en-GB"/>
              </w:rPr>
              <w:t>·</w:t>
            </w:r>
            <w:r w:rsidRPr="00376E45">
              <w:rPr>
                <w:lang w:val="en-GB"/>
              </w:rPr>
              <w:t>7)</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32639" w14:textId="1C5952D2" w:rsidR="00A86F87" w:rsidRPr="00376E45" w:rsidRDefault="00A86F87" w:rsidP="00742753">
            <w:pPr>
              <w:spacing w:before="0" w:after="0"/>
              <w:jc w:val="center"/>
              <w:rPr>
                <w:lang w:val="en-GB"/>
              </w:rPr>
            </w:pPr>
            <w:r w:rsidRPr="00376E45">
              <w:rPr>
                <w:lang w:val="en-GB"/>
              </w:rPr>
              <w:t>20 (5</w:t>
            </w:r>
            <w:r w:rsidR="00334EBB" w:rsidRPr="00376E45">
              <w:rPr>
                <w:lang w:val="en-GB"/>
              </w:rPr>
              <w:t>·</w:t>
            </w:r>
            <w:r w:rsidRPr="00376E45">
              <w:rPr>
                <w:lang w:val="en-GB"/>
              </w:rPr>
              <w:t>2)</w:t>
            </w:r>
          </w:p>
        </w:tc>
      </w:tr>
      <w:tr w:rsidR="00A86F87" w:rsidRPr="00376E45" w14:paraId="20ECFABC" w14:textId="77777777" w:rsidTr="00094AB6">
        <w:trPr>
          <w:trHeight w:val="20"/>
        </w:trPr>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2AF15" w14:textId="77777777" w:rsidR="00A86F87" w:rsidRPr="00376E45" w:rsidRDefault="00A86F87" w:rsidP="00742753">
            <w:pPr>
              <w:spacing w:before="0" w:after="0"/>
              <w:ind w:left="380" w:right="84"/>
              <w:rPr>
                <w:lang w:val="en-GB"/>
              </w:rPr>
            </w:pPr>
            <w:r w:rsidRPr="00376E45">
              <w:rPr>
                <w:lang w:val="en-GB"/>
              </w:rPr>
              <w:t xml:space="preserve">TNFi </w:t>
            </w:r>
          </w:p>
        </w:tc>
        <w:tc>
          <w:tcPr>
            <w:tcW w:w="1653" w:type="dxa"/>
            <w:tcBorders>
              <w:top w:val="single" w:sz="4" w:space="0" w:color="000000"/>
              <w:left w:val="single" w:sz="4" w:space="0" w:color="000000"/>
              <w:bottom w:val="single" w:sz="4" w:space="0" w:color="000000"/>
              <w:right w:val="single" w:sz="3" w:space="0" w:color="000000"/>
            </w:tcBorders>
            <w:shd w:val="clear" w:color="auto" w:fill="auto"/>
            <w:vAlign w:val="center"/>
          </w:tcPr>
          <w:p w14:paraId="7163C172" w14:textId="6CA49675" w:rsidR="00A86F87" w:rsidRPr="00376E45" w:rsidRDefault="00A86F87" w:rsidP="00742753">
            <w:pPr>
              <w:spacing w:before="0" w:after="0"/>
              <w:jc w:val="center"/>
              <w:rPr>
                <w:lang w:val="en-GB"/>
              </w:rPr>
            </w:pPr>
            <w:r w:rsidRPr="00376E45">
              <w:rPr>
                <w:lang w:val="en-GB"/>
              </w:rPr>
              <w:t>28 (7</w:t>
            </w:r>
            <w:r w:rsidR="00334EBB" w:rsidRPr="00376E45">
              <w:rPr>
                <w:lang w:val="en-GB"/>
              </w:rPr>
              <w:t>·</w:t>
            </w:r>
            <w:r w:rsidRPr="00376E45">
              <w:rPr>
                <w:lang w:val="en-GB"/>
              </w:rPr>
              <w:t>3)</w:t>
            </w:r>
          </w:p>
        </w:tc>
        <w:tc>
          <w:tcPr>
            <w:tcW w:w="1774" w:type="dxa"/>
            <w:tcBorders>
              <w:top w:val="single" w:sz="4" w:space="0" w:color="000000"/>
              <w:left w:val="single" w:sz="3" w:space="0" w:color="000000"/>
              <w:bottom w:val="single" w:sz="4" w:space="0" w:color="000000"/>
              <w:right w:val="single" w:sz="4" w:space="0" w:color="000000"/>
            </w:tcBorders>
            <w:shd w:val="clear" w:color="auto" w:fill="auto"/>
            <w:vAlign w:val="center"/>
          </w:tcPr>
          <w:p w14:paraId="1B012655" w14:textId="32E3937E" w:rsidR="00A86F87" w:rsidRPr="00376E45" w:rsidRDefault="00A86F87" w:rsidP="00742753">
            <w:pPr>
              <w:spacing w:before="0" w:after="0"/>
              <w:ind w:left="20"/>
              <w:jc w:val="center"/>
              <w:rPr>
                <w:lang w:val="en-GB"/>
              </w:rPr>
            </w:pPr>
            <w:r w:rsidRPr="00376E45">
              <w:rPr>
                <w:lang w:val="en-GB"/>
              </w:rPr>
              <w:t>16 (4</w:t>
            </w:r>
            <w:r w:rsidR="00334EBB" w:rsidRPr="00376E45">
              <w:rPr>
                <w:lang w:val="en-GB"/>
              </w:rPr>
              <w:t>·</w:t>
            </w:r>
            <w:r w:rsidRPr="00376E45">
              <w:rPr>
                <w:lang w:val="en-GB"/>
              </w:rPr>
              <w:t>3)</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83E5C" w14:textId="4CEB4904" w:rsidR="00A86F87" w:rsidRPr="00376E45" w:rsidRDefault="00A86F87" w:rsidP="00742753">
            <w:pPr>
              <w:spacing w:before="0" w:after="0"/>
              <w:jc w:val="center"/>
              <w:rPr>
                <w:lang w:val="en-GB"/>
              </w:rPr>
            </w:pPr>
            <w:r w:rsidRPr="00376E45">
              <w:rPr>
                <w:lang w:val="en-GB"/>
              </w:rPr>
              <w:t>19 (4</w:t>
            </w:r>
            <w:r w:rsidR="00334EBB" w:rsidRPr="00376E45">
              <w:rPr>
                <w:lang w:val="en-GB"/>
              </w:rPr>
              <w:t>·</w:t>
            </w:r>
            <w:r w:rsidRPr="00376E45">
              <w:rPr>
                <w:lang w:val="en-GB"/>
              </w:rPr>
              <w:t>9)</w:t>
            </w:r>
          </w:p>
        </w:tc>
      </w:tr>
      <w:tr w:rsidR="00A86F87" w:rsidRPr="00376E45" w14:paraId="71B20F21" w14:textId="77777777" w:rsidTr="00094AB6">
        <w:trPr>
          <w:trHeight w:val="20"/>
        </w:trPr>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BB153" w14:textId="3DF44195" w:rsidR="00A86F87" w:rsidRPr="00376E45" w:rsidRDefault="00DB6812" w:rsidP="00DB6812">
            <w:pPr>
              <w:spacing w:before="0" w:after="0"/>
              <w:ind w:right="84"/>
              <w:rPr>
                <w:lang w:val="en-GB"/>
              </w:rPr>
            </w:pPr>
            <w:r>
              <w:rPr>
                <w:lang w:val="en-GB"/>
              </w:rPr>
              <w:t>B</w:t>
            </w:r>
            <w:r w:rsidR="00A86F87" w:rsidRPr="00376E45">
              <w:rPr>
                <w:lang w:val="en-GB"/>
              </w:rPr>
              <w:t>ackground weekly MTX dose</w:t>
            </w:r>
            <w:r>
              <w:rPr>
                <w:lang w:val="en-GB"/>
              </w:rPr>
              <w:t xml:space="preserve"> (mg)</w:t>
            </w:r>
            <w:r w:rsidR="00A86F87" w:rsidRPr="00376E45">
              <w:rPr>
                <w:lang w:val="en-GB"/>
              </w:rPr>
              <w:t xml:space="preserve">, </w:t>
            </w:r>
            <w:r>
              <w:rPr>
                <w:lang w:val="en-GB"/>
              </w:rPr>
              <w:t>mean</w:t>
            </w:r>
            <w:r w:rsidRPr="00376E45">
              <w:rPr>
                <w:lang w:val="en-GB"/>
              </w:rPr>
              <w:t xml:space="preserve"> </w:t>
            </w:r>
            <w:r w:rsidR="00A86F87" w:rsidRPr="00376E45">
              <w:rPr>
                <w:lang w:val="en-GB"/>
              </w:rPr>
              <w:t>(SD)</w:t>
            </w:r>
          </w:p>
        </w:tc>
        <w:tc>
          <w:tcPr>
            <w:tcW w:w="1653" w:type="dxa"/>
            <w:tcBorders>
              <w:top w:val="single" w:sz="4" w:space="0" w:color="000000"/>
              <w:left w:val="single" w:sz="4" w:space="0" w:color="000000"/>
              <w:bottom w:val="single" w:sz="4" w:space="0" w:color="000000"/>
              <w:right w:val="single" w:sz="3" w:space="0" w:color="000000"/>
            </w:tcBorders>
            <w:shd w:val="clear" w:color="auto" w:fill="auto"/>
            <w:vAlign w:val="center"/>
          </w:tcPr>
          <w:p w14:paraId="5EAE8B60" w14:textId="77777777" w:rsidR="00A86F87" w:rsidRPr="00376E45" w:rsidRDefault="00A86F87" w:rsidP="00742753">
            <w:pPr>
              <w:spacing w:before="0" w:after="0"/>
              <w:jc w:val="center"/>
              <w:rPr>
                <w:lang w:val="en-GB"/>
              </w:rPr>
            </w:pPr>
            <w:r w:rsidRPr="00376E45">
              <w:rPr>
                <w:lang w:val="en-GB"/>
              </w:rPr>
              <w:t>0</w:t>
            </w:r>
          </w:p>
        </w:tc>
        <w:tc>
          <w:tcPr>
            <w:tcW w:w="1774" w:type="dxa"/>
            <w:tcBorders>
              <w:top w:val="single" w:sz="4" w:space="0" w:color="000000"/>
              <w:left w:val="single" w:sz="3" w:space="0" w:color="000000"/>
              <w:bottom w:val="single" w:sz="4" w:space="0" w:color="000000"/>
              <w:right w:val="single" w:sz="4" w:space="0" w:color="000000"/>
            </w:tcBorders>
            <w:shd w:val="clear" w:color="auto" w:fill="auto"/>
            <w:vAlign w:val="center"/>
          </w:tcPr>
          <w:p w14:paraId="6925D3FD" w14:textId="06C4F583" w:rsidR="00A86F87" w:rsidRPr="00376E45" w:rsidRDefault="00A86F87" w:rsidP="00742753">
            <w:pPr>
              <w:spacing w:before="0" w:after="0"/>
              <w:ind w:left="20"/>
              <w:jc w:val="center"/>
              <w:rPr>
                <w:lang w:val="en-GB"/>
              </w:rPr>
            </w:pPr>
            <w:r w:rsidRPr="00376E45">
              <w:rPr>
                <w:lang w:val="en-GB"/>
              </w:rPr>
              <w:t>16</w:t>
            </w:r>
            <w:r w:rsidR="00334EBB" w:rsidRPr="00376E45">
              <w:rPr>
                <w:lang w:val="en-GB"/>
              </w:rPr>
              <w:t>·</w:t>
            </w:r>
            <w:r w:rsidRPr="00376E45">
              <w:rPr>
                <w:lang w:val="en-GB"/>
              </w:rPr>
              <w:t>7 (3</w:t>
            </w:r>
            <w:r w:rsidR="00334EBB" w:rsidRPr="00376E45">
              <w:rPr>
                <w:lang w:val="en-GB"/>
              </w:rPr>
              <w:t>·</w:t>
            </w:r>
            <w:r w:rsidRPr="00376E45">
              <w:rPr>
                <w:lang w:val="en-GB"/>
              </w:rPr>
              <w:t>7)</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28340" w14:textId="1D72CCAE" w:rsidR="00A86F87" w:rsidRPr="00376E45" w:rsidRDefault="00A86F87" w:rsidP="00742753">
            <w:pPr>
              <w:spacing w:before="0" w:after="0"/>
              <w:jc w:val="center"/>
              <w:rPr>
                <w:lang w:val="en-GB"/>
              </w:rPr>
            </w:pPr>
            <w:r w:rsidRPr="00376E45">
              <w:rPr>
                <w:lang w:val="en-GB"/>
              </w:rPr>
              <w:t>16</w:t>
            </w:r>
            <w:r w:rsidR="00334EBB" w:rsidRPr="00376E45">
              <w:rPr>
                <w:lang w:val="en-GB"/>
              </w:rPr>
              <w:t>·</w:t>
            </w:r>
            <w:r w:rsidRPr="00376E45">
              <w:rPr>
                <w:lang w:val="en-GB"/>
              </w:rPr>
              <w:t>4 (3</w:t>
            </w:r>
            <w:r w:rsidR="00334EBB" w:rsidRPr="00376E45">
              <w:rPr>
                <w:lang w:val="en-GB"/>
              </w:rPr>
              <w:t>·</w:t>
            </w:r>
            <w:r w:rsidRPr="00376E45">
              <w:rPr>
                <w:lang w:val="en-GB"/>
              </w:rPr>
              <w:t>7)</w:t>
            </w:r>
          </w:p>
        </w:tc>
      </w:tr>
      <w:tr w:rsidR="00A86F87" w:rsidRPr="00376E45" w14:paraId="533A0F13" w14:textId="77777777" w:rsidTr="00094AB6">
        <w:trPr>
          <w:trHeight w:val="20"/>
        </w:trPr>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B5FF2" w14:textId="77777777" w:rsidR="00A86F87" w:rsidRPr="00376E45" w:rsidRDefault="00A86F87" w:rsidP="00742753">
            <w:pPr>
              <w:spacing w:before="0" w:after="0"/>
              <w:ind w:right="84"/>
              <w:rPr>
                <w:lang w:val="en-GB"/>
              </w:rPr>
            </w:pPr>
            <w:r w:rsidRPr="00376E45">
              <w:rPr>
                <w:lang w:val="en-GB"/>
              </w:rPr>
              <w:t>Corticosteroid use at baseline, n (%)</w:t>
            </w:r>
          </w:p>
        </w:tc>
        <w:tc>
          <w:tcPr>
            <w:tcW w:w="1653" w:type="dxa"/>
            <w:tcBorders>
              <w:top w:val="single" w:sz="4" w:space="0" w:color="000000"/>
              <w:left w:val="single" w:sz="4" w:space="0" w:color="000000"/>
              <w:bottom w:val="single" w:sz="4" w:space="0" w:color="000000"/>
              <w:right w:val="single" w:sz="3" w:space="0" w:color="000000"/>
            </w:tcBorders>
            <w:shd w:val="clear" w:color="auto" w:fill="auto"/>
            <w:vAlign w:val="center"/>
          </w:tcPr>
          <w:p w14:paraId="049CA39B" w14:textId="51C8F8C9" w:rsidR="00A86F87" w:rsidRPr="00376E45" w:rsidRDefault="00A86F87" w:rsidP="00742753">
            <w:pPr>
              <w:spacing w:before="0" w:after="0"/>
              <w:jc w:val="center"/>
              <w:rPr>
                <w:lang w:val="en-GB"/>
              </w:rPr>
            </w:pPr>
            <w:r w:rsidRPr="00376E45">
              <w:rPr>
                <w:lang w:val="en-GB"/>
              </w:rPr>
              <w:t>223 (58</w:t>
            </w:r>
            <w:r w:rsidR="00334EBB" w:rsidRPr="00376E45">
              <w:rPr>
                <w:lang w:val="en-GB"/>
              </w:rPr>
              <w:t>·</w:t>
            </w:r>
            <w:r w:rsidRPr="00376E45">
              <w:rPr>
                <w:lang w:val="en-GB"/>
              </w:rPr>
              <w:t>1)</w:t>
            </w:r>
          </w:p>
        </w:tc>
        <w:tc>
          <w:tcPr>
            <w:tcW w:w="1774" w:type="dxa"/>
            <w:tcBorders>
              <w:top w:val="single" w:sz="4" w:space="0" w:color="000000"/>
              <w:left w:val="single" w:sz="3" w:space="0" w:color="000000"/>
              <w:bottom w:val="single" w:sz="4" w:space="0" w:color="000000"/>
              <w:right w:val="single" w:sz="4" w:space="0" w:color="000000"/>
            </w:tcBorders>
            <w:shd w:val="clear" w:color="auto" w:fill="auto"/>
            <w:vAlign w:val="center"/>
          </w:tcPr>
          <w:p w14:paraId="083D18E0" w14:textId="772C48B9" w:rsidR="00A86F87" w:rsidRPr="00376E45" w:rsidRDefault="00A86F87" w:rsidP="00742753">
            <w:pPr>
              <w:spacing w:before="0" w:after="0"/>
              <w:ind w:left="20"/>
              <w:jc w:val="center"/>
              <w:rPr>
                <w:lang w:val="en-GB"/>
              </w:rPr>
            </w:pPr>
            <w:r w:rsidRPr="00376E45">
              <w:rPr>
                <w:lang w:val="en-GB"/>
              </w:rPr>
              <w:t>214 (56</w:t>
            </w:r>
            <w:r w:rsidR="00334EBB" w:rsidRPr="00376E45">
              <w:rPr>
                <w:lang w:val="en-GB"/>
              </w:rPr>
              <w:t>·</w:t>
            </w:r>
            <w:r w:rsidRPr="00376E45">
              <w:rPr>
                <w:lang w:val="en-GB"/>
              </w:rPr>
              <w:t>9)</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FF941" w14:textId="7CBDC82C" w:rsidR="00A86F87" w:rsidRPr="00376E45" w:rsidRDefault="00A86F87" w:rsidP="00742753">
            <w:pPr>
              <w:spacing w:before="0" w:after="0"/>
              <w:jc w:val="center"/>
              <w:rPr>
                <w:lang w:val="en-GB"/>
              </w:rPr>
            </w:pPr>
            <w:r w:rsidRPr="00376E45">
              <w:rPr>
                <w:lang w:val="en-GB"/>
              </w:rPr>
              <w:t>218 (56</w:t>
            </w:r>
            <w:r w:rsidR="00334EBB" w:rsidRPr="00376E45">
              <w:rPr>
                <w:lang w:val="en-GB"/>
              </w:rPr>
              <w:t>·</w:t>
            </w:r>
            <w:r w:rsidRPr="00376E45">
              <w:rPr>
                <w:lang w:val="en-GB"/>
              </w:rPr>
              <w:t>5)</w:t>
            </w:r>
          </w:p>
        </w:tc>
      </w:tr>
      <w:tr w:rsidR="00A86F87" w:rsidRPr="00376E45" w14:paraId="5C11D245" w14:textId="77777777" w:rsidTr="00094AB6">
        <w:trPr>
          <w:trHeight w:val="20"/>
        </w:trPr>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12B48" w14:textId="24F01A59" w:rsidR="00A86F87" w:rsidRPr="00376E45" w:rsidRDefault="00DB6812" w:rsidP="00DB6812">
            <w:pPr>
              <w:spacing w:before="0" w:after="0"/>
              <w:ind w:right="84"/>
              <w:rPr>
                <w:lang w:val="en-GB"/>
              </w:rPr>
            </w:pPr>
            <w:r>
              <w:rPr>
                <w:lang w:val="en-GB"/>
              </w:rPr>
              <w:t>D</w:t>
            </w:r>
            <w:r w:rsidR="00A86F87" w:rsidRPr="00376E45">
              <w:rPr>
                <w:lang w:val="en-GB"/>
              </w:rPr>
              <w:t>aily corticosteroid dose at baseline</w:t>
            </w:r>
            <w:r>
              <w:rPr>
                <w:lang w:val="en-GB"/>
              </w:rPr>
              <w:t xml:space="preserve"> (mg)</w:t>
            </w:r>
            <w:r w:rsidR="00A86F87" w:rsidRPr="00376E45">
              <w:rPr>
                <w:lang w:val="en-GB"/>
              </w:rPr>
              <w:t xml:space="preserve">, </w:t>
            </w:r>
            <w:r>
              <w:rPr>
                <w:lang w:val="en-GB"/>
              </w:rPr>
              <w:t>mean</w:t>
            </w:r>
            <w:r w:rsidRPr="00376E45">
              <w:rPr>
                <w:lang w:val="en-GB"/>
              </w:rPr>
              <w:t xml:space="preserve"> </w:t>
            </w:r>
            <w:r w:rsidR="00A86F87" w:rsidRPr="00376E45">
              <w:rPr>
                <w:lang w:val="en-GB"/>
              </w:rPr>
              <w:t>(SD)</w:t>
            </w:r>
          </w:p>
        </w:tc>
        <w:tc>
          <w:tcPr>
            <w:tcW w:w="1653" w:type="dxa"/>
            <w:tcBorders>
              <w:top w:val="single" w:sz="4" w:space="0" w:color="000000"/>
              <w:left w:val="single" w:sz="4" w:space="0" w:color="000000"/>
              <w:bottom w:val="single" w:sz="4" w:space="0" w:color="000000"/>
              <w:right w:val="single" w:sz="3" w:space="0" w:color="000000"/>
            </w:tcBorders>
            <w:shd w:val="clear" w:color="auto" w:fill="auto"/>
            <w:vAlign w:val="center"/>
          </w:tcPr>
          <w:p w14:paraId="2BC67220" w14:textId="5D4F258B" w:rsidR="00A86F87" w:rsidRPr="00376E45" w:rsidRDefault="00A86F87" w:rsidP="00742753">
            <w:pPr>
              <w:spacing w:before="0" w:after="0"/>
              <w:jc w:val="center"/>
              <w:rPr>
                <w:lang w:val="en-GB"/>
              </w:rPr>
            </w:pPr>
            <w:r w:rsidRPr="00376E45">
              <w:rPr>
                <w:lang w:val="en-GB"/>
              </w:rPr>
              <w:t>7</w:t>
            </w:r>
            <w:r w:rsidR="00334EBB" w:rsidRPr="00376E45">
              <w:rPr>
                <w:lang w:val="en-GB"/>
              </w:rPr>
              <w:t>·</w:t>
            </w:r>
            <w:r w:rsidRPr="00376E45">
              <w:rPr>
                <w:lang w:val="en-GB"/>
              </w:rPr>
              <w:t>3 (13</w:t>
            </w:r>
            <w:r w:rsidR="00334EBB" w:rsidRPr="00376E45">
              <w:rPr>
                <w:lang w:val="en-GB"/>
              </w:rPr>
              <w:t>·</w:t>
            </w:r>
            <w:r w:rsidRPr="00376E45">
              <w:rPr>
                <w:lang w:val="en-GB"/>
              </w:rPr>
              <w:t>3)</w:t>
            </w:r>
          </w:p>
        </w:tc>
        <w:tc>
          <w:tcPr>
            <w:tcW w:w="1774" w:type="dxa"/>
            <w:tcBorders>
              <w:top w:val="single" w:sz="4" w:space="0" w:color="000000"/>
              <w:left w:val="single" w:sz="3" w:space="0" w:color="000000"/>
              <w:bottom w:val="single" w:sz="4" w:space="0" w:color="000000"/>
              <w:right w:val="single" w:sz="4" w:space="0" w:color="000000"/>
            </w:tcBorders>
            <w:shd w:val="clear" w:color="auto" w:fill="auto"/>
            <w:vAlign w:val="center"/>
          </w:tcPr>
          <w:p w14:paraId="771510F6" w14:textId="2A19DA1B" w:rsidR="00A86F87" w:rsidRPr="00376E45" w:rsidRDefault="00A86F87" w:rsidP="00742753">
            <w:pPr>
              <w:spacing w:before="0" w:after="0"/>
              <w:ind w:left="20"/>
              <w:jc w:val="center"/>
              <w:rPr>
                <w:lang w:val="en-GB"/>
              </w:rPr>
            </w:pPr>
            <w:r w:rsidRPr="00376E45">
              <w:rPr>
                <w:lang w:val="en-GB"/>
              </w:rPr>
              <w:t>6</w:t>
            </w:r>
            <w:r w:rsidR="00334EBB" w:rsidRPr="00376E45">
              <w:rPr>
                <w:lang w:val="en-GB"/>
              </w:rPr>
              <w:t>·</w:t>
            </w:r>
            <w:r w:rsidRPr="00376E45">
              <w:rPr>
                <w:lang w:val="en-GB"/>
              </w:rPr>
              <w:t>5 (2</w:t>
            </w:r>
            <w:r w:rsidR="00334EBB" w:rsidRPr="00376E45">
              <w:rPr>
                <w:lang w:val="en-GB"/>
              </w:rPr>
              <w:t>·</w:t>
            </w:r>
            <w:r w:rsidRPr="00376E45">
              <w:rPr>
                <w:lang w:val="en-GB"/>
              </w:rPr>
              <w:t>5)</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89750" w14:textId="600B5DC4" w:rsidR="00A86F87" w:rsidRPr="00376E45" w:rsidRDefault="00A86F87" w:rsidP="00742753">
            <w:pPr>
              <w:spacing w:before="0" w:after="0"/>
              <w:jc w:val="center"/>
              <w:rPr>
                <w:lang w:val="en-GB"/>
              </w:rPr>
            </w:pPr>
            <w:r w:rsidRPr="00376E45">
              <w:rPr>
                <w:lang w:val="en-GB"/>
              </w:rPr>
              <w:t>6</w:t>
            </w:r>
            <w:r w:rsidR="00334EBB" w:rsidRPr="00376E45">
              <w:rPr>
                <w:lang w:val="en-GB"/>
              </w:rPr>
              <w:t>·</w:t>
            </w:r>
            <w:r w:rsidRPr="00376E45">
              <w:rPr>
                <w:lang w:val="en-GB"/>
              </w:rPr>
              <w:t>5 (2</w:t>
            </w:r>
            <w:r w:rsidR="00334EBB" w:rsidRPr="00376E45">
              <w:rPr>
                <w:lang w:val="en-GB"/>
              </w:rPr>
              <w:t>·</w:t>
            </w:r>
            <w:r w:rsidRPr="00376E45">
              <w:rPr>
                <w:lang w:val="en-GB"/>
              </w:rPr>
              <w:t>6)</w:t>
            </w:r>
          </w:p>
        </w:tc>
      </w:tr>
      <w:tr w:rsidR="00A86F87" w:rsidRPr="00376E45" w14:paraId="5D970ACF" w14:textId="77777777" w:rsidTr="00094AB6">
        <w:trPr>
          <w:trHeight w:val="20"/>
        </w:trPr>
        <w:tc>
          <w:tcPr>
            <w:tcW w:w="4139" w:type="dxa"/>
            <w:tcBorders>
              <w:top w:val="single" w:sz="4" w:space="0" w:color="000000"/>
              <w:left w:val="single" w:sz="4" w:space="0" w:color="000000"/>
              <w:bottom w:val="single" w:sz="3" w:space="0" w:color="000000"/>
              <w:right w:val="single" w:sz="4" w:space="0" w:color="000000"/>
            </w:tcBorders>
            <w:shd w:val="clear" w:color="auto" w:fill="auto"/>
            <w:vAlign w:val="center"/>
          </w:tcPr>
          <w:p w14:paraId="32BC84CC" w14:textId="3B08B67D" w:rsidR="00A86F87" w:rsidRPr="00376E45" w:rsidRDefault="00A86F87" w:rsidP="00183363">
            <w:pPr>
              <w:spacing w:before="0" w:after="0"/>
              <w:ind w:right="45"/>
              <w:rPr>
                <w:lang w:val="en-GB"/>
              </w:rPr>
            </w:pPr>
            <w:r w:rsidRPr="00376E45">
              <w:rPr>
                <w:lang w:val="en-GB"/>
              </w:rPr>
              <w:t xml:space="preserve">Tender joint count (28), mean (SD) </w:t>
            </w:r>
          </w:p>
        </w:tc>
        <w:tc>
          <w:tcPr>
            <w:tcW w:w="1653" w:type="dxa"/>
            <w:tcBorders>
              <w:top w:val="single" w:sz="4" w:space="0" w:color="000000"/>
              <w:left w:val="single" w:sz="4" w:space="0" w:color="000000"/>
              <w:bottom w:val="single" w:sz="3" w:space="0" w:color="000000"/>
              <w:right w:val="single" w:sz="3" w:space="0" w:color="000000"/>
            </w:tcBorders>
            <w:shd w:val="clear" w:color="auto" w:fill="auto"/>
            <w:vAlign w:val="center"/>
          </w:tcPr>
          <w:p w14:paraId="053F56E3" w14:textId="3F5378C9" w:rsidR="00A86F87" w:rsidRPr="00376E45" w:rsidRDefault="00A86F87" w:rsidP="00742753">
            <w:pPr>
              <w:spacing w:before="0" w:after="0"/>
              <w:jc w:val="center"/>
              <w:rPr>
                <w:lang w:val="en-GB"/>
              </w:rPr>
            </w:pPr>
            <w:r w:rsidRPr="00376E45">
              <w:rPr>
                <w:lang w:val="en-GB"/>
              </w:rPr>
              <w:t>15</w:t>
            </w:r>
            <w:r w:rsidR="00334EBB" w:rsidRPr="00376E45">
              <w:rPr>
                <w:lang w:val="en-GB"/>
              </w:rPr>
              <w:t>·</w:t>
            </w:r>
            <w:r w:rsidRPr="00376E45">
              <w:rPr>
                <w:lang w:val="en-GB"/>
              </w:rPr>
              <w:t>4 (6</w:t>
            </w:r>
            <w:r w:rsidR="00334EBB" w:rsidRPr="00376E45">
              <w:rPr>
                <w:lang w:val="en-GB"/>
              </w:rPr>
              <w:t>·</w:t>
            </w:r>
            <w:r w:rsidRPr="00376E45">
              <w:rPr>
                <w:lang w:val="en-GB"/>
              </w:rPr>
              <w:t>5)</w:t>
            </w:r>
          </w:p>
        </w:tc>
        <w:tc>
          <w:tcPr>
            <w:tcW w:w="1774" w:type="dxa"/>
            <w:tcBorders>
              <w:top w:val="single" w:sz="4" w:space="0" w:color="000000"/>
              <w:left w:val="single" w:sz="3" w:space="0" w:color="000000"/>
              <w:bottom w:val="single" w:sz="3" w:space="0" w:color="000000"/>
              <w:right w:val="single" w:sz="4" w:space="0" w:color="000000"/>
            </w:tcBorders>
            <w:shd w:val="clear" w:color="auto" w:fill="auto"/>
            <w:vAlign w:val="center"/>
          </w:tcPr>
          <w:p w14:paraId="69F4EE98" w14:textId="79450B42" w:rsidR="00A86F87" w:rsidRPr="00376E45" w:rsidRDefault="00A86F87" w:rsidP="00742753">
            <w:pPr>
              <w:spacing w:before="0" w:after="0"/>
              <w:ind w:left="20"/>
              <w:jc w:val="center"/>
              <w:rPr>
                <w:lang w:val="en-GB"/>
              </w:rPr>
            </w:pPr>
            <w:r w:rsidRPr="00376E45">
              <w:rPr>
                <w:lang w:val="en-GB"/>
              </w:rPr>
              <w:t>15</w:t>
            </w:r>
            <w:r w:rsidR="00334EBB" w:rsidRPr="00376E45">
              <w:rPr>
                <w:lang w:val="en-GB"/>
              </w:rPr>
              <w:t>·</w:t>
            </w:r>
            <w:r w:rsidRPr="00376E45">
              <w:rPr>
                <w:lang w:val="en-GB"/>
              </w:rPr>
              <w:t>6 (6</w:t>
            </w:r>
            <w:r w:rsidR="00334EBB" w:rsidRPr="00376E45">
              <w:rPr>
                <w:lang w:val="en-GB"/>
              </w:rPr>
              <w:t>·</w:t>
            </w:r>
            <w:r w:rsidRPr="00376E45">
              <w:rPr>
                <w:lang w:val="en-GB"/>
              </w:rPr>
              <w:t>5)</w:t>
            </w:r>
          </w:p>
        </w:tc>
        <w:tc>
          <w:tcPr>
            <w:tcW w:w="1534" w:type="dxa"/>
            <w:tcBorders>
              <w:top w:val="single" w:sz="4" w:space="0" w:color="000000"/>
              <w:left w:val="single" w:sz="4" w:space="0" w:color="000000"/>
              <w:bottom w:val="single" w:sz="3" w:space="0" w:color="000000"/>
              <w:right w:val="single" w:sz="4" w:space="0" w:color="000000"/>
            </w:tcBorders>
            <w:shd w:val="clear" w:color="auto" w:fill="auto"/>
            <w:vAlign w:val="center"/>
          </w:tcPr>
          <w:p w14:paraId="74723CE5" w14:textId="24D41F45" w:rsidR="00A86F87" w:rsidRPr="00376E45" w:rsidRDefault="00A86F87" w:rsidP="00742753">
            <w:pPr>
              <w:spacing w:before="0" w:after="0"/>
              <w:jc w:val="center"/>
              <w:rPr>
                <w:lang w:val="en-GB"/>
              </w:rPr>
            </w:pPr>
            <w:r w:rsidRPr="00376E45">
              <w:rPr>
                <w:lang w:val="en-GB"/>
              </w:rPr>
              <w:t>15</w:t>
            </w:r>
            <w:r w:rsidR="00334EBB" w:rsidRPr="00376E45">
              <w:rPr>
                <w:lang w:val="en-GB"/>
              </w:rPr>
              <w:t>·</w:t>
            </w:r>
            <w:r w:rsidRPr="00376E45">
              <w:rPr>
                <w:lang w:val="en-GB"/>
              </w:rPr>
              <w:t>2 (6</w:t>
            </w:r>
            <w:r w:rsidR="00334EBB" w:rsidRPr="00376E45">
              <w:rPr>
                <w:lang w:val="en-GB"/>
              </w:rPr>
              <w:t>·</w:t>
            </w:r>
            <w:r w:rsidRPr="00376E45">
              <w:rPr>
                <w:lang w:val="en-GB"/>
              </w:rPr>
              <w:t>7)</w:t>
            </w:r>
          </w:p>
        </w:tc>
      </w:tr>
      <w:tr w:rsidR="00A86F87" w:rsidRPr="00376E45" w14:paraId="7F113E06" w14:textId="77777777" w:rsidTr="00094AB6">
        <w:trPr>
          <w:trHeight w:val="20"/>
        </w:trPr>
        <w:tc>
          <w:tcPr>
            <w:tcW w:w="4139" w:type="dxa"/>
            <w:tcBorders>
              <w:top w:val="single" w:sz="3" w:space="0" w:color="000000"/>
              <w:left w:val="single" w:sz="4" w:space="0" w:color="000000"/>
              <w:bottom w:val="single" w:sz="4" w:space="0" w:color="000000"/>
              <w:right w:val="single" w:sz="4" w:space="0" w:color="000000"/>
            </w:tcBorders>
            <w:shd w:val="clear" w:color="auto" w:fill="auto"/>
            <w:vAlign w:val="center"/>
          </w:tcPr>
          <w:p w14:paraId="06869D84" w14:textId="36306373" w:rsidR="00A86F87" w:rsidRPr="00376E45" w:rsidRDefault="00A86F87" w:rsidP="00183363">
            <w:pPr>
              <w:spacing w:before="0" w:after="0"/>
              <w:ind w:right="53"/>
              <w:rPr>
                <w:lang w:val="en-GB"/>
              </w:rPr>
            </w:pPr>
            <w:r w:rsidRPr="00376E45">
              <w:rPr>
                <w:lang w:val="en-GB"/>
              </w:rPr>
              <w:t xml:space="preserve">Swollen joint count (28), mean (SD) </w:t>
            </w:r>
          </w:p>
        </w:tc>
        <w:tc>
          <w:tcPr>
            <w:tcW w:w="1653" w:type="dxa"/>
            <w:tcBorders>
              <w:top w:val="single" w:sz="3" w:space="0" w:color="000000"/>
              <w:left w:val="single" w:sz="4" w:space="0" w:color="000000"/>
              <w:bottom w:val="single" w:sz="4" w:space="0" w:color="000000"/>
              <w:right w:val="single" w:sz="3" w:space="0" w:color="000000"/>
            </w:tcBorders>
            <w:shd w:val="clear" w:color="auto" w:fill="auto"/>
            <w:vAlign w:val="center"/>
          </w:tcPr>
          <w:p w14:paraId="75557D28" w14:textId="4C83A4A9" w:rsidR="00A86F87" w:rsidRPr="00376E45" w:rsidRDefault="00A86F87" w:rsidP="00742753">
            <w:pPr>
              <w:spacing w:before="0" w:after="0"/>
              <w:jc w:val="center"/>
              <w:rPr>
                <w:lang w:val="en-GB"/>
              </w:rPr>
            </w:pPr>
            <w:r w:rsidRPr="00376E45">
              <w:rPr>
                <w:lang w:val="en-GB"/>
              </w:rPr>
              <w:t>11</w:t>
            </w:r>
            <w:r w:rsidR="00334EBB" w:rsidRPr="00376E45">
              <w:rPr>
                <w:lang w:val="en-GB"/>
              </w:rPr>
              <w:t>·</w:t>
            </w:r>
            <w:r w:rsidRPr="00376E45">
              <w:rPr>
                <w:lang w:val="en-GB"/>
              </w:rPr>
              <w:t>2 (5</w:t>
            </w:r>
            <w:r w:rsidR="00334EBB" w:rsidRPr="00376E45">
              <w:rPr>
                <w:lang w:val="en-GB"/>
              </w:rPr>
              <w:t>·</w:t>
            </w:r>
            <w:r w:rsidRPr="00376E45">
              <w:rPr>
                <w:lang w:val="en-GB"/>
              </w:rPr>
              <w:t>6)</w:t>
            </w:r>
          </w:p>
        </w:tc>
        <w:tc>
          <w:tcPr>
            <w:tcW w:w="1774" w:type="dxa"/>
            <w:tcBorders>
              <w:top w:val="single" w:sz="3" w:space="0" w:color="000000"/>
              <w:left w:val="single" w:sz="3" w:space="0" w:color="000000"/>
              <w:bottom w:val="single" w:sz="4" w:space="0" w:color="000000"/>
              <w:right w:val="single" w:sz="4" w:space="0" w:color="000000"/>
            </w:tcBorders>
            <w:shd w:val="clear" w:color="auto" w:fill="auto"/>
            <w:vAlign w:val="center"/>
          </w:tcPr>
          <w:p w14:paraId="6BAF6E2D" w14:textId="15C51745" w:rsidR="00A86F87" w:rsidRPr="00376E45" w:rsidRDefault="00A86F87" w:rsidP="00742753">
            <w:pPr>
              <w:spacing w:before="0" w:after="0"/>
              <w:ind w:left="20"/>
              <w:jc w:val="center"/>
              <w:rPr>
                <w:lang w:val="en-GB"/>
              </w:rPr>
            </w:pPr>
            <w:r w:rsidRPr="00376E45">
              <w:rPr>
                <w:lang w:val="en-GB"/>
              </w:rPr>
              <w:t>11</w:t>
            </w:r>
            <w:r w:rsidR="00334EBB" w:rsidRPr="00376E45">
              <w:rPr>
                <w:lang w:val="en-GB"/>
              </w:rPr>
              <w:t>·</w:t>
            </w:r>
            <w:r w:rsidRPr="00376E45">
              <w:rPr>
                <w:lang w:val="en-GB"/>
              </w:rPr>
              <w:t>8 (5</w:t>
            </w:r>
            <w:r w:rsidR="00334EBB" w:rsidRPr="00376E45">
              <w:rPr>
                <w:lang w:val="en-GB"/>
              </w:rPr>
              <w:t>·</w:t>
            </w:r>
            <w:r w:rsidRPr="00376E45">
              <w:rPr>
                <w:lang w:val="en-GB"/>
              </w:rPr>
              <w:t>7)</w:t>
            </w:r>
          </w:p>
        </w:tc>
        <w:tc>
          <w:tcPr>
            <w:tcW w:w="1534" w:type="dxa"/>
            <w:tcBorders>
              <w:top w:val="single" w:sz="3" w:space="0" w:color="000000"/>
              <w:left w:val="single" w:sz="4" w:space="0" w:color="000000"/>
              <w:bottom w:val="single" w:sz="4" w:space="0" w:color="000000"/>
              <w:right w:val="single" w:sz="4" w:space="0" w:color="000000"/>
            </w:tcBorders>
            <w:shd w:val="clear" w:color="auto" w:fill="auto"/>
            <w:vAlign w:val="center"/>
          </w:tcPr>
          <w:p w14:paraId="44229DEC" w14:textId="6647C595" w:rsidR="00A86F87" w:rsidRPr="00376E45" w:rsidRDefault="00A86F87" w:rsidP="00742753">
            <w:pPr>
              <w:spacing w:before="0" w:after="0"/>
              <w:jc w:val="center"/>
              <w:rPr>
                <w:lang w:val="en-GB"/>
              </w:rPr>
            </w:pPr>
            <w:r w:rsidRPr="00376E45">
              <w:rPr>
                <w:lang w:val="en-GB"/>
              </w:rPr>
              <w:t>11</w:t>
            </w:r>
            <w:r w:rsidR="00334EBB" w:rsidRPr="00376E45">
              <w:rPr>
                <w:lang w:val="en-GB"/>
              </w:rPr>
              <w:t>·</w:t>
            </w:r>
            <w:r w:rsidRPr="00376E45">
              <w:rPr>
                <w:lang w:val="en-GB"/>
              </w:rPr>
              <w:t>0 (5</w:t>
            </w:r>
            <w:r w:rsidR="00334EBB" w:rsidRPr="00376E45">
              <w:rPr>
                <w:lang w:val="en-GB"/>
              </w:rPr>
              <w:t>·</w:t>
            </w:r>
            <w:r w:rsidRPr="00376E45">
              <w:rPr>
                <w:lang w:val="en-GB"/>
              </w:rPr>
              <w:t>4)</w:t>
            </w:r>
          </w:p>
        </w:tc>
      </w:tr>
      <w:tr w:rsidR="00A86F87" w:rsidRPr="00376E45" w14:paraId="4515CE5A" w14:textId="77777777" w:rsidTr="00094AB6">
        <w:trPr>
          <w:trHeight w:val="20"/>
        </w:trPr>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5D78" w14:textId="796414A1" w:rsidR="00A86F87" w:rsidRPr="00376E45" w:rsidRDefault="00A86F87" w:rsidP="00DB6812">
            <w:pPr>
              <w:spacing w:before="0" w:after="0"/>
              <w:rPr>
                <w:lang w:val="en-GB"/>
              </w:rPr>
            </w:pPr>
            <w:r w:rsidRPr="00376E45">
              <w:rPr>
                <w:lang w:val="en-GB"/>
              </w:rPr>
              <w:t xml:space="preserve">Patient Global Assessment, mean (SD) </w:t>
            </w:r>
          </w:p>
        </w:tc>
        <w:tc>
          <w:tcPr>
            <w:tcW w:w="1653" w:type="dxa"/>
            <w:tcBorders>
              <w:top w:val="single" w:sz="4" w:space="0" w:color="000000"/>
              <w:left w:val="single" w:sz="4" w:space="0" w:color="000000"/>
              <w:bottom w:val="single" w:sz="4" w:space="0" w:color="000000"/>
              <w:right w:val="single" w:sz="3" w:space="0" w:color="000000"/>
            </w:tcBorders>
            <w:shd w:val="clear" w:color="auto" w:fill="auto"/>
            <w:vAlign w:val="center"/>
          </w:tcPr>
          <w:p w14:paraId="3E5FB702" w14:textId="1FFFFA94" w:rsidR="00A86F87" w:rsidRPr="00376E45" w:rsidRDefault="00A86F87" w:rsidP="00742753">
            <w:pPr>
              <w:spacing w:before="0" w:after="0"/>
              <w:jc w:val="center"/>
              <w:rPr>
                <w:lang w:val="en-GB"/>
              </w:rPr>
            </w:pPr>
            <w:r w:rsidRPr="00376E45">
              <w:rPr>
                <w:lang w:val="en-GB"/>
              </w:rPr>
              <w:t>60</w:t>
            </w:r>
            <w:r w:rsidR="00334EBB" w:rsidRPr="00376E45">
              <w:rPr>
                <w:lang w:val="en-GB"/>
              </w:rPr>
              <w:t>·</w:t>
            </w:r>
            <w:r w:rsidRPr="00376E45">
              <w:rPr>
                <w:lang w:val="en-GB"/>
              </w:rPr>
              <w:t>1 (21</w:t>
            </w:r>
            <w:r w:rsidR="00334EBB" w:rsidRPr="00376E45">
              <w:rPr>
                <w:lang w:val="en-GB"/>
              </w:rPr>
              <w:t>·</w:t>
            </w:r>
            <w:r w:rsidRPr="00376E45">
              <w:rPr>
                <w:lang w:val="en-GB"/>
              </w:rPr>
              <w:t>4)</w:t>
            </w:r>
          </w:p>
        </w:tc>
        <w:tc>
          <w:tcPr>
            <w:tcW w:w="1774" w:type="dxa"/>
            <w:tcBorders>
              <w:top w:val="single" w:sz="4" w:space="0" w:color="000000"/>
              <w:left w:val="single" w:sz="3" w:space="0" w:color="000000"/>
              <w:bottom w:val="single" w:sz="4" w:space="0" w:color="000000"/>
              <w:right w:val="single" w:sz="4" w:space="0" w:color="000000"/>
            </w:tcBorders>
            <w:shd w:val="clear" w:color="auto" w:fill="auto"/>
            <w:vAlign w:val="center"/>
          </w:tcPr>
          <w:p w14:paraId="78FCAF93" w14:textId="6537B994" w:rsidR="00A86F87" w:rsidRPr="00376E45" w:rsidRDefault="00A86F87" w:rsidP="00742753">
            <w:pPr>
              <w:spacing w:before="0" w:after="0"/>
              <w:ind w:left="20"/>
              <w:jc w:val="center"/>
              <w:rPr>
                <w:lang w:val="en-GB"/>
              </w:rPr>
            </w:pPr>
            <w:r w:rsidRPr="00376E45">
              <w:rPr>
                <w:lang w:val="en-GB"/>
              </w:rPr>
              <w:t>61</w:t>
            </w:r>
            <w:r w:rsidR="00334EBB" w:rsidRPr="00376E45">
              <w:rPr>
                <w:lang w:val="en-GB"/>
              </w:rPr>
              <w:t>·</w:t>
            </w:r>
            <w:r w:rsidRPr="00376E45">
              <w:rPr>
                <w:lang w:val="en-GB"/>
              </w:rPr>
              <w:t>7 (22</w:t>
            </w:r>
            <w:r w:rsidR="00334EBB" w:rsidRPr="00376E45">
              <w:rPr>
                <w:lang w:val="en-GB"/>
              </w:rPr>
              <w:t>·</w:t>
            </w:r>
            <w:r w:rsidRPr="00376E45">
              <w:rPr>
                <w:lang w:val="en-GB"/>
              </w:rPr>
              <w:t>0)</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8912B" w14:textId="2F8E9557" w:rsidR="00A86F87" w:rsidRPr="00376E45" w:rsidRDefault="00A86F87" w:rsidP="00742753">
            <w:pPr>
              <w:spacing w:before="0" w:after="0"/>
              <w:jc w:val="center"/>
              <w:rPr>
                <w:lang w:val="en-GB"/>
              </w:rPr>
            </w:pPr>
            <w:r w:rsidRPr="00376E45">
              <w:rPr>
                <w:lang w:val="en-GB"/>
              </w:rPr>
              <w:t>60</w:t>
            </w:r>
            <w:r w:rsidR="00334EBB" w:rsidRPr="00376E45">
              <w:rPr>
                <w:lang w:val="en-GB"/>
              </w:rPr>
              <w:t>·</w:t>
            </w:r>
            <w:r w:rsidRPr="00376E45">
              <w:rPr>
                <w:lang w:val="en-GB"/>
              </w:rPr>
              <w:t>2 (23</w:t>
            </w:r>
            <w:r w:rsidR="00334EBB" w:rsidRPr="00376E45">
              <w:rPr>
                <w:lang w:val="en-GB"/>
              </w:rPr>
              <w:t>·</w:t>
            </w:r>
            <w:r w:rsidRPr="00376E45">
              <w:rPr>
                <w:lang w:val="en-GB"/>
              </w:rPr>
              <w:t>5)</w:t>
            </w:r>
          </w:p>
        </w:tc>
      </w:tr>
      <w:tr w:rsidR="00A86F87" w:rsidRPr="00376E45" w14:paraId="49252ADE" w14:textId="77777777" w:rsidTr="00094AB6">
        <w:trPr>
          <w:trHeight w:val="20"/>
        </w:trPr>
        <w:tc>
          <w:tcPr>
            <w:tcW w:w="4139" w:type="dxa"/>
            <w:tcBorders>
              <w:top w:val="single" w:sz="4" w:space="0" w:color="000000"/>
              <w:left w:val="single" w:sz="4" w:space="0" w:color="000000"/>
              <w:bottom w:val="single" w:sz="3" w:space="0" w:color="000000"/>
              <w:right w:val="single" w:sz="4" w:space="0" w:color="000000"/>
            </w:tcBorders>
            <w:shd w:val="clear" w:color="auto" w:fill="auto"/>
            <w:vAlign w:val="center"/>
          </w:tcPr>
          <w:p w14:paraId="709A2138" w14:textId="77777777" w:rsidR="00A86F87" w:rsidRPr="00376E45" w:rsidRDefault="00A86F87" w:rsidP="00742753">
            <w:pPr>
              <w:spacing w:before="0" w:after="0"/>
              <w:rPr>
                <w:lang w:val="en-GB"/>
              </w:rPr>
            </w:pPr>
            <w:r w:rsidRPr="00376E45">
              <w:rPr>
                <w:lang w:val="en-GB"/>
              </w:rPr>
              <w:t xml:space="preserve">Physician Global Assessment, mean (SD) </w:t>
            </w:r>
          </w:p>
        </w:tc>
        <w:tc>
          <w:tcPr>
            <w:tcW w:w="1653" w:type="dxa"/>
            <w:tcBorders>
              <w:top w:val="single" w:sz="4" w:space="0" w:color="000000"/>
              <w:left w:val="single" w:sz="4" w:space="0" w:color="000000"/>
              <w:bottom w:val="single" w:sz="3" w:space="0" w:color="000000"/>
              <w:right w:val="single" w:sz="3" w:space="0" w:color="000000"/>
            </w:tcBorders>
            <w:shd w:val="clear" w:color="auto" w:fill="auto"/>
            <w:vAlign w:val="center"/>
          </w:tcPr>
          <w:p w14:paraId="63F948F8" w14:textId="77F136D2" w:rsidR="00A86F87" w:rsidRPr="00376E45" w:rsidRDefault="00A86F87" w:rsidP="00742753">
            <w:pPr>
              <w:spacing w:before="0" w:after="0"/>
              <w:jc w:val="center"/>
              <w:rPr>
                <w:lang w:val="en-GB"/>
              </w:rPr>
            </w:pPr>
            <w:r w:rsidRPr="00376E45">
              <w:rPr>
                <w:lang w:val="en-GB"/>
              </w:rPr>
              <w:t>59</w:t>
            </w:r>
            <w:r w:rsidR="00334EBB" w:rsidRPr="00376E45">
              <w:rPr>
                <w:lang w:val="en-GB"/>
              </w:rPr>
              <w:t>·</w:t>
            </w:r>
            <w:r w:rsidRPr="00376E45">
              <w:rPr>
                <w:lang w:val="en-GB"/>
              </w:rPr>
              <w:t>7 (17</w:t>
            </w:r>
            <w:r w:rsidR="00334EBB" w:rsidRPr="00376E45">
              <w:rPr>
                <w:lang w:val="en-GB"/>
              </w:rPr>
              <w:t>·</w:t>
            </w:r>
            <w:r w:rsidRPr="00376E45">
              <w:rPr>
                <w:lang w:val="en-GB"/>
              </w:rPr>
              <w:t>7)</w:t>
            </w:r>
          </w:p>
        </w:tc>
        <w:tc>
          <w:tcPr>
            <w:tcW w:w="1774" w:type="dxa"/>
            <w:tcBorders>
              <w:top w:val="single" w:sz="4" w:space="0" w:color="000000"/>
              <w:left w:val="single" w:sz="3" w:space="0" w:color="000000"/>
              <w:bottom w:val="single" w:sz="3" w:space="0" w:color="000000"/>
              <w:right w:val="single" w:sz="4" w:space="0" w:color="000000"/>
            </w:tcBorders>
            <w:shd w:val="clear" w:color="auto" w:fill="auto"/>
            <w:vAlign w:val="center"/>
          </w:tcPr>
          <w:p w14:paraId="6D713406" w14:textId="2D67C21A" w:rsidR="00A86F87" w:rsidRPr="00376E45" w:rsidRDefault="00A86F87" w:rsidP="00742753">
            <w:pPr>
              <w:spacing w:before="0" w:after="0"/>
              <w:ind w:left="20"/>
              <w:jc w:val="center"/>
              <w:rPr>
                <w:lang w:val="en-GB"/>
              </w:rPr>
            </w:pPr>
            <w:r w:rsidRPr="00376E45">
              <w:rPr>
                <w:lang w:val="en-GB"/>
              </w:rPr>
              <w:t>60</w:t>
            </w:r>
            <w:r w:rsidR="00334EBB" w:rsidRPr="00376E45">
              <w:rPr>
                <w:lang w:val="en-GB"/>
              </w:rPr>
              <w:t>·</w:t>
            </w:r>
            <w:r w:rsidRPr="00376E45">
              <w:rPr>
                <w:lang w:val="en-GB"/>
              </w:rPr>
              <w:t>7 (18</w:t>
            </w:r>
            <w:r w:rsidR="00334EBB" w:rsidRPr="00376E45">
              <w:rPr>
                <w:lang w:val="en-GB"/>
              </w:rPr>
              <w:t>·</w:t>
            </w:r>
            <w:r w:rsidRPr="00376E45">
              <w:rPr>
                <w:lang w:val="en-GB"/>
              </w:rPr>
              <w:t>0)</w:t>
            </w:r>
          </w:p>
        </w:tc>
        <w:tc>
          <w:tcPr>
            <w:tcW w:w="1534" w:type="dxa"/>
            <w:tcBorders>
              <w:top w:val="single" w:sz="4" w:space="0" w:color="000000"/>
              <w:left w:val="single" w:sz="4" w:space="0" w:color="000000"/>
              <w:bottom w:val="single" w:sz="3" w:space="0" w:color="000000"/>
              <w:right w:val="single" w:sz="4" w:space="0" w:color="000000"/>
            </w:tcBorders>
            <w:shd w:val="clear" w:color="auto" w:fill="auto"/>
            <w:vAlign w:val="center"/>
          </w:tcPr>
          <w:p w14:paraId="2AE5B388" w14:textId="4A0F59F3" w:rsidR="00A86F87" w:rsidRPr="00376E45" w:rsidRDefault="00A86F87" w:rsidP="00742753">
            <w:pPr>
              <w:spacing w:before="0" w:after="0"/>
              <w:jc w:val="center"/>
              <w:rPr>
                <w:lang w:val="en-GB"/>
              </w:rPr>
            </w:pPr>
            <w:r w:rsidRPr="00376E45">
              <w:rPr>
                <w:lang w:val="en-GB"/>
              </w:rPr>
              <w:t>60</w:t>
            </w:r>
            <w:r w:rsidR="00334EBB" w:rsidRPr="00376E45">
              <w:rPr>
                <w:lang w:val="en-GB"/>
              </w:rPr>
              <w:t>·</w:t>
            </w:r>
            <w:r w:rsidRPr="00376E45">
              <w:rPr>
                <w:lang w:val="en-GB"/>
              </w:rPr>
              <w:t>3 (19</w:t>
            </w:r>
            <w:r w:rsidR="00334EBB" w:rsidRPr="00376E45">
              <w:rPr>
                <w:lang w:val="en-GB"/>
              </w:rPr>
              <w:t>·</w:t>
            </w:r>
            <w:r w:rsidRPr="00376E45">
              <w:rPr>
                <w:lang w:val="en-GB"/>
              </w:rPr>
              <w:t>6)</w:t>
            </w:r>
          </w:p>
        </w:tc>
      </w:tr>
      <w:tr w:rsidR="00A86F87" w:rsidRPr="00376E45" w14:paraId="3AB10285" w14:textId="77777777" w:rsidTr="00094AB6">
        <w:trPr>
          <w:trHeight w:val="20"/>
        </w:trPr>
        <w:tc>
          <w:tcPr>
            <w:tcW w:w="4139" w:type="dxa"/>
            <w:tcBorders>
              <w:top w:val="single" w:sz="3" w:space="0" w:color="000000"/>
              <w:left w:val="single" w:sz="4" w:space="0" w:color="000000"/>
              <w:bottom w:val="single" w:sz="4" w:space="0" w:color="000000"/>
              <w:right w:val="single" w:sz="4" w:space="0" w:color="000000"/>
            </w:tcBorders>
            <w:shd w:val="clear" w:color="auto" w:fill="auto"/>
            <w:vAlign w:val="center"/>
          </w:tcPr>
          <w:p w14:paraId="31EA64E9" w14:textId="5DE0873D" w:rsidR="00A86F87" w:rsidRPr="00376E45" w:rsidRDefault="00A86F87" w:rsidP="00DB6812">
            <w:pPr>
              <w:spacing w:before="0" w:after="0"/>
              <w:rPr>
                <w:lang w:val="en-GB"/>
              </w:rPr>
            </w:pPr>
            <w:r w:rsidRPr="00376E45">
              <w:rPr>
                <w:lang w:val="en-GB"/>
              </w:rPr>
              <w:t xml:space="preserve">Pain, mean (SD) </w:t>
            </w:r>
          </w:p>
        </w:tc>
        <w:tc>
          <w:tcPr>
            <w:tcW w:w="1653" w:type="dxa"/>
            <w:tcBorders>
              <w:top w:val="single" w:sz="3" w:space="0" w:color="000000"/>
              <w:left w:val="single" w:sz="4" w:space="0" w:color="000000"/>
              <w:bottom w:val="single" w:sz="4" w:space="0" w:color="000000"/>
              <w:right w:val="single" w:sz="3" w:space="0" w:color="000000"/>
            </w:tcBorders>
            <w:shd w:val="clear" w:color="auto" w:fill="auto"/>
            <w:vAlign w:val="center"/>
          </w:tcPr>
          <w:p w14:paraId="082E0575" w14:textId="4AFB22BC" w:rsidR="00A86F87" w:rsidRPr="00376E45" w:rsidRDefault="00A86F87" w:rsidP="00742753">
            <w:pPr>
              <w:spacing w:before="0" w:after="0"/>
              <w:jc w:val="center"/>
              <w:rPr>
                <w:lang w:val="en-GB"/>
              </w:rPr>
            </w:pPr>
            <w:r w:rsidRPr="00376E45">
              <w:rPr>
                <w:lang w:val="en-GB"/>
              </w:rPr>
              <w:t>61</w:t>
            </w:r>
            <w:r w:rsidR="00334EBB" w:rsidRPr="00376E45">
              <w:rPr>
                <w:lang w:val="en-GB"/>
              </w:rPr>
              <w:t>·</w:t>
            </w:r>
            <w:r w:rsidRPr="00376E45">
              <w:rPr>
                <w:lang w:val="en-GB"/>
              </w:rPr>
              <w:t>2 (21</w:t>
            </w:r>
            <w:r w:rsidR="00334EBB" w:rsidRPr="00376E45">
              <w:rPr>
                <w:lang w:val="en-GB"/>
              </w:rPr>
              <w:t>·</w:t>
            </w:r>
            <w:r w:rsidRPr="00376E45">
              <w:rPr>
                <w:lang w:val="en-GB"/>
              </w:rPr>
              <w:t>7)</w:t>
            </w:r>
          </w:p>
        </w:tc>
        <w:tc>
          <w:tcPr>
            <w:tcW w:w="1774" w:type="dxa"/>
            <w:tcBorders>
              <w:top w:val="single" w:sz="3" w:space="0" w:color="000000"/>
              <w:left w:val="single" w:sz="3" w:space="0" w:color="000000"/>
              <w:bottom w:val="single" w:sz="4" w:space="0" w:color="000000"/>
              <w:right w:val="single" w:sz="4" w:space="0" w:color="000000"/>
            </w:tcBorders>
            <w:shd w:val="clear" w:color="auto" w:fill="auto"/>
            <w:vAlign w:val="center"/>
          </w:tcPr>
          <w:p w14:paraId="6893FF91" w14:textId="0F761B2E" w:rsidR="00A86F87" w:rsidRPr="00376E45" w:rsidRDefault="00A86F87" w:rsidP="00742753">
            <w:pPr>
              <w:spacing w:before="0" w:after="0"/>
              <w:ind w:left="20"/>
              <w:jc w:val="center"/>
              <w:rPr>
                <w:lang w:val="en-GB"/>
              </w:rPr>
            </w:pPr>
            <w:r w:rsidRPr="00376E45">
              <w:rPr>
                <w:lang w:val="en-GB"/>
              </w:rPr>
              <w:t>60</w:t>
            </w:r>
            <w:r w:rsidR="00334EBB" w:rsidRPr="00376E45">
              <w:rPr>
                <w:lang w:val="en-GB"/>
              </w:rPr>
              <w:t>·</w:t>
            </w:r>
            <w:r w:rsidRPr="00376E45">
              <w:rPr>
                <w:lang w:val="en-GB"/>
              </w:rPr>
              <w:t>7 (22</w:t>
            </w:r>
            <w:r w:rsidR="00334EBB" w:rsidRPr="00376E45">
              <w:rPr>
                <w:lang w:val="en-GB"/>
              </w:rPr>
              <w:t>·</w:t>
            </w:r>
            <w:r w:rsidRPr="00376E45">
              <w:rPr>
                <w:lang w:val="en-GB"/>
              </w:rPr>
              <w:t>4)</w:t>
            </w:r>
          </w:p>
        </w:tc>
        <w:tc>
          <w:tcPr>
            <w:tcW w:w="1534" w:type="dxa"/>
            <w:tcBorders>
              <w:top w:val="single" w:sz="3" w:space="0" w:color="000000"/>
              <w:left w:val="single" w:sz="4" w:space="0" w:color="000000"/>
              <w:bottom w:val="single" w:sz="4" w:space="0" w:color="000000"/>
              <w:right w:val="single" w:sz="4" w:space="0" w:color="000000"/>
            </w:tcBorders>
            <w:shd w:val="clear" w:color="auto" w:fill="auto"/>
            <w:vAlign w:val="center"/>
          </w:tcPr>
          <w:p w14:paraId="10C04202" w14:textId="4067D4AA" w:rsidR="00A86F87" w:rsidRPr="00376E45" w:rsidRDefault="00A86F87" w:rsidP="00742753">
            <w:pPr>
              <w:spacing w:before="0" w:after="0"/>
              <w:jc w:val="center"/>
              <w:rPr>
                <w:lang w:val="en-GB"/>
              </w:rPr>
            </w:pPr>
            <w:r w:rsidRPr="00376E45">
              <w:rPr>
                <w:lang w:val="en-GB"/>
              </w:rPr>
              <w:t>60</w:t>
            </w:r>
            <w:r w:rsidR="00334EBB" w:rsidRPr="00376E45">
              <w:rPr>
                <w:lang w:val="en-GB"/>
              </w:rPr>
              <w:t>·</w:t>
            </w:r>
            <w:r w:rsidRPr="00376E45">
              <w:rPr>
                <w:lang w:val="en-GB"/>
              </w:rPr>
              <w:t>6 (22</w:t>
            </w:r>
            <w:r w:rsidR="00334EBB" w:rsidRPr="00376E45">
              <w:rPr>
                <w:lang w:val="en-GB"/>
              </w:rPr>
              <w:t>·</w:t>
            </w:r>
            <w:r w:rsidRPr="00376E45">
              <w:rPr>
                <w:lang w:val="en-GB"/>
              </w:rPr>
              <w:t>6)</w:t>
            </w:r>
          </w:p>
        </w:tc>
      </w:tr>
      <w:tr w:rsidR="00A86F87" w:rsidRPr="00376E45" w14:paraId="52A0C9C2" w14:textId="77777777" w:rsidTr="00094AB6">
        <w:trPr>
          <w:trHeight w:val="20"/>
        </w:trPr>
        <w:tc>
          <w:tcPr>
            <w:tcW w:w="4139" w:type="dxa"/>
            <w:tcBorders>
              <w:top w:val="single" w:sz="4" w:space="0" w:color="000000"/>
              <w:left w:val="single" w:sz="4" w:space="0" w:color="000000"/>
              <w:bottom w:val="single" w:sz="3" w:space="0" w:color="000000"/>
              <w:right w:val="single" w:sz="4" w:space="0" w:color="000000"/>
            </w:tcBorders>
            <w:shd w:val="clear" w:color="auto" w:fill="auto"/>
            <w:vAlign w:val="center"/>
          </w:tcPr>
          <w:p w14:paraId="33BA8035" w14:textId="77777777" w:rsidR="00A86F87" w:rsidRPr="00376E45" w:rsidRDefault="00A86F87" w:rsidP="00742753">
            <w:pPr>
              <w:spacing w:before="0" w:after="0"/>
              <w:rPr>
                <w:lang w:val="en-GB"/>
              </w:rPr>
            </w:pPr>
            <w:r w:rsidRPr="00376E45">
              <w:rPr>
                <w:lang w:val="en-GB"/>
              </w:rPr>
              <w:t>DAS28-4(ESR), mean (SD)</w:t>
            </w:r>
          </w:p>
        </w:tc>
        <w:tc>
          <w:tcPr>
            <w:tcW w:w="1653" w:type="dxa"/>
            <w:tcBorders>
              <w:top w:val="single" w:sz="4" w:space="0" w:color="000000"/>
              <w:left w:val="single" w:sz="4" w:space="0" w:color="000000"/>
              <w:bottom w:val="single" w:sz="3" w:space="0" w:color="000000"/>
              <w:right w:val="single" w:sz="3" w:space="0" w:color="000000"/>
            </w:tcBorders>
            <w:shd w:val="clear" w:color="auto" w:fill="auto"/>
            <w:vAlign w:val="center"/>
          </w:tcPr>
          <w:p w14:paraId="14D54D92" w14:textId="7B9C6E31" w:rsidR="00A86F87" w:rsidRPr="00376E45" w:rsidRDefault="00A86F87" w:rsidP="00742753">
            <w:pPr>
              <w:spacing w:before="0" w:after="0"/>
              <w:jc w:val="center"/>
              <w:rPr>
                <w:lang w:val="en-GB"/>
              </w:rPr>
            </w:pPr>
            <w:r w:rsidRPr="00376E45">
              <w:rPr>
                <w:lang w:val="en-GB"/>
              </w:rPr>
              <w:t>6</w:t>
            </w:r>
            <w:r w:rsidR="00334EBB" w:rsidRPr="00376E45">
              <w:rPr>
                <w:lang w:val="en-GB"/>
              </w:rPr>
              <w:t>·</w:t>
            </w:r>
            <w:r w:rsidRPr="00376E45">
              <w:rPr>
                <w:lang w:val="en-GB"/>
              </w:rPr>
              <w:t>5 (0</w:t>
            </w:r>
            <w:r w:rsidR="00334EBB" w:rsidRPr="00376E45">
              <w:rPr>
                <w:lang w:val="en-GB"/>
              </w:rPr>
              <w:t>·</w:t>
            </w:r>
            <w:r w:rsidRPr="00376E45">
              <w:rPr>
                <w:lang w:val="en-GB"/>
              </w:rPr>
              <w:t>9)</w:t>
            </w:r>
          </w:p>
        </w:tc>
        <w:tc>
          <w:tcPr>
            <w:tcW w:w="1774" w:type="dxa"/>
            <w:tcBorders>
              <w:top w:val="single" w:sz="4" w:space="0" w:color="000000"/>
              <w:left w:val="single" w:sz="3" w:space="0" w:color="000000"/>
              <w:bottom w:val="single" w:sz="3" w:space="0" w:color="000000"/>
              <w:right w:val="single" w:sz="4" w:space="0" w:color="000000"/>
            </w:tcBorders>
            <w:shd w:val="clear" w:color="auto" w:fill="auto"/>
            <w:vAlign w:val="center"/>
          </w:tcPr>
          <w:p w14:paraId="560D851F" w14:textId="34B9704E" w:rsidR="00A86F87" w:rsidRPr="00376E45" w:rsidRDefault="00A86F87" w:rsidP="00742753">
            <w:pPr>
              <w:spacing w:before="0" w:after="0"/>
              <w:ind w:left="20"/>
              <w:jc w:val="center"/>
              <w:rPr>
                <w:lang w:val="en-GB"/>
              </w:rPr>
            </w:pPr>
            <w:r w:rsidRPr="00376E45">
              <w:rPr>
                <w:lang w:val="en-GB"/>
              </w:rPr>
              <w:t>6</w:t>
            </w:r>
            <w:r w:rsidR="00334EBB" w:rsidRPr="00376E45">
              <w:rPr>
                <w:lang w:val="en-GB"/>
              </w:rPr>
              <w:t>·</w:t>
            </w:r>
            <w:r w:rsidRPr="00376E45">
              <w:rPr>
                <w:lang w:val="en-GB"/>
              </w:rPr>
              <w:t>6 (0</w:t>
            </w:r>
            <w:r w:rsidR="00334EBB" w:rsidRPr="00376E45">
              <w:rPr>
                <w:lang w:val="en-GB"/>
              </w:rPr>
              <w:t>·</w:t>
            </w:r>
            <w:r w:rsidRPr="00376E45">
              <w:rPr>
                <w:lang w:val="en-GB"/>
              </w:rPr>
              <w:t>9)</w:t>
            </w:r>
          </w:p>
        </w:tc>
        <w:tc>
          <w:tcPr>
            <w:tcW w:w="1534" w:type="dxa"/>
            <w:tcBorders>
              <w:top w:val="single" w:sz="4" w:space="0" w:color="000000"/>
              <w:left w:val="single" w:sz="4" w:space="0" w:color="000000"/>
              <w:bottom w:val="single" w:sz="3" w:space="0" w:color="000000"/>
              <w:right w:val="single" w:sz="4" w:space="0" w:color="000000"/>
            </w:tcBorders>
            <w:shd w:val="clear" w:color="auto" w:fill="auto"/>
            <w:vAlign w:val="center"/>
          </w:tcPr>
          <w:p w14:paraId="5FB8E11C" w14:textId="193B8DBA" w:rsidR="00A86F87" w:rsidRPr="00376E45" w:rsidRDefault="00A86F87" w:rsidP="00742753">
            <w:pPr>
              <w:spacing w:before="0" w:after="0"/>
              <w:jc w:val="center"/>
              <w:rPr>
                <w:lang w:val="en-GB"/>
              </w:rPr>
            </w:pPr>
            <w:r w:rsidRPr="00376E45">
              <w:rPr>
                <w:lang w:val="en-GB"/>
              </w:rPr>
              <w:t>6</w:t>
            </w:r>
            <w:r w:rsidR="00334EBB" w:rsidRPr="00376E45">
              <w:rPr>
                <w:lang w:val="en-GB"/>
              </w:rPr>
              <w:t>·</w:t>
            </w:r>
            <w:r w:rsidRPr="00376E45">
              <w:rPr>
                <w:lang w:val="en-GB"/>
              </w:rPr>
              <w:t>5 (1</w:t>
            </w:r>
            <w:r w:rsidR="00334EBB" w:rsidRPr="00376E45">
              <w:rPr>
                <w:lang w:val="en-GB"/>
              </w:rPr>
              <w:t>·</w:t>
            </w:r>
            <w:r w:rsidRPr="00376E45">
              <w:rPr>
                <w:lang w:val="en-GB"/>
              </w:rPr>
              <w:t>0)</w:t>
            </w:r>
          </w:p>
        </w:tc>
      </w:tr>
      <w:tr w:rsidR="00A062AA" w:rsidRPr="00376E45" w14:paraId="10C8A0F2" w14:textId="77777777" w:rsidTr="00094AB6">
        <w:trPr>
          <w:trHeight w:val="20"/>
        </w:trPr>
        <w:tc>
          <w:tcPr>
            <w:tcW w:w="4139" w:type="dxa"/>
            <w:tcBorders>
              <w:top w:val="single" w:sz="4" w:space="0" w:color="000000"/>
              <w:left w:val="single" w:sz="4" w:space="0" w:color="000000"/>
              <w:bottom w:val="single" w:sz="3" w:space="0" w:color="000000"/>
              <w:right w:val="single" w:sz="4" w:space="0" w:color="000000"/>
            </w:tcBorders>
            <w:shd w:val="clear" w:color="auto" w:fill="auto"/>
            <w:vAlign w:val="center"/>
          </w:tcPr>
          <w:p w14:paraId="55E51BF9" w14:textId="2410E0DD" w:rsidR="00A062AA" w:rsidRPr="00376E45" w:rsidRDefault="00A062AA" w:rsidP="00A062AA">
            <w:pPr>
              <w:spacing w:before="0" w:after="0"/>
              <w:rPr>
                <w:lang w:val="en-GB"/>
              </w:rPr>
            </w:pPr>
            <w:r w:rsidRPr="00376E45">
              <w:rPr>
                <w:lang w:val="en-GB"/>
              </w:rPr>
              <w:t>DAS28-4(</w:t>
            </w:r>
            <w:r>
              <w:rPr>
                <w:lang w:val="en-GB"/>
              </w:rPr>
              <w:t>CRP</w:t>
            </w:r>
            <w:r w:rsidRPr="00376E45">
              <w:rPr>
                <w:lang w:val="en-GB"/>
              </w:rPr>
              <w:t>), mean (SD)</w:t>
            </w:r>
          </w:p>
        </w:tc>
        <w:tc>
          <w:tcPr>
            <w:tcW w:w="1653" w:type="dxa"/>
            <w:tcBorders>
              <w:top w:val="single" w:sz="4" w:space="0" w:color="000000"/>
              <w:left w:val="single" w:sz="4" w:space="0" w:color="000000"/>
              <w:bottom w:val="single" w:sz="3" w:space="0" w:color="000000"/>
              <w:right w:val="single" w:sz="3" w:space="0" w:color="000000"/>
            </w:tcBorders>
            <w:shd w:val="clear" w:color="auto" w:fill="auto"/>
            <w:vAlign w:val="center"/>
          </w:tcPr>
          <w:p w14:paraId="516EF001" w14:textId="4128F6A1" w:rsidR="00A062AA" w:rsidRPr="00376E45" w:rsidRDefault="00A84171" w:rsidP="00A062AA">
            <w:pPr>
              <w:spacing w:before="0" w:after="0"/>
              <w:jc w:val="center"/>
              <w:rPr>
                <w:lang w:val="en-GB"/>
              </w:rPr>
            </w:pPr>
            <w:r>
              <w:rPr>
                <w:lang w:val="en-GB"/>
              </w:rPr>
              <w:t>5</w:t>
            </w:r>
            <w:r w:rsidRPr="00A84171">
              <w:rPr>
                <w:lang w:val="en-GB"/>
              </w:rPr>
              <w:t>·</w:t>
            </w:r>
            <w:r>
              <w:rPr>
                <w:lang w:val="en-GB"/>
              </w:rPr>
              <w:t>7 (0</w:t>
            </w:r>
            <w:r w:rsidRPr="00A84171">
              <w:rPr>
                <w:lang w:val="en-GB"/>
              </w:rPr>
              <w:t>·</w:t>
            </w:r>
            <w:r>
              <w:rPr>
                <w:lang w:val="en-GB"/>
              </w:rPr>
              <w:t>9)</w:t>
            </w:r>
          </w:p>
        </w:tc>
        <w:tc>
          <w:tcPr>
            <w:tcW w:w="1774" w:type="dxa"/>
            <w:tcBorders>
              <w:top w:val="single" w:sz="4" w:space="0" w:color="000000"/>
              <w:left w:val="single" w:sz="3" w:space="0" w:color="000000"/>
              <w:bottom w:val="single" w:sz="3" w:space="0" w:color="000000"/>
              <w:right w:val="single" w:sz="4" w:space="0" w:color="000000"/>
            </w:tcBorders>
            <w:shd w:val="clear" w:color="auto" w:fill="auto"/>
            <w:vAlign w:val="center"/>
          </w:tcPr>
          <w:p w14:paraId="27FA3A52" w14:textId="20F081DC" w:rsidR="00A062AA" w:rsidRPr="00376E45" w:rsidRDefault="00A84171" w:rsidP="00A062AA">
            <w:pPr>
              <w:spacing w:before="0" w:after="0"/>
              <w:ind w:left="20"/>
              <w:jc w:val="center"/>
              <w:rPr>
                <w:lang w:val="en-GB"/>
              </w:rPr>
            </w:pPr>
            <w:r>
              <w:rPr>
                <w:lang w:val="en-GB"/>
              </w:rPr>
              <w:t>5</w:t>
            </w:r>
            <w:r w:rsidRPr="00A84171">
              <w:rPr>
                <w:lang w:val="en-GB"/>
              </w:rPr>
              <w:t>·</w:t>
            </w:r>
            <w:r>
              <w:rPr>
                <w:lang w:val="en-GB"/>
              </w:rPr>
              <w:t>8 (0</w:t>
            </w:r>
            <w:r w:rsidRPr="00A84171">
              <w:rPr>
                <w:lang w:val="en-GB"/>
              </w:rPr>
              <w:t>·</w:t>
            </w:r>
            <w:r>
              <w:rPr>
                <w:lang w:val="en-GB"/>
              </w:rPr>
              <w:t>9)</w:t>
            </w:r>
          </w:p>
        </w:tc>
        <w:tc>
          <w:tcPr>
            <w:tcW w:w="1534" w:type="dxa"/>
            <w:tcBorders>
              <w:top w:val="single" w:sz="4" w:space="0" w:color="000000"/>
              <w:left w:val="single" w:sz="4" w:space="0" w:color="000000"/>
              <w:bottom w:val="single" w:sz="3" w:space="0" w:color="000000"/>
              <w:right w:val="single" w:sz="4" w:space="0" w:color="000000"/>
            </w:tcBorders>
            <w:shd w:val="clear" w:color="auto" w:fill="auto"/>
            <w:vAlign w:val="center"/>
          </w:tcPr>
          <w:p w14:paraId="459C1B1A" w14:textId="5E33CB16" w:rsidR="00A062AA" w:rsidRPr="00376E45" w:rsidRDefault="00A84171" w:rsidP="00A062AA">
            <w:pPr>
              <w:spacing w:before="0" w:after="0"/>
              <w:jc w:val="center"/>
              <w:rPr>
                <w:lang w:val="en-GB"/>
              </w:rPr>
            </w:pPr>
            <w:r>
              <w:rPr>
                <w:lang w:val="en-GB"/>
              </w:rPr>
              <w:t>5</w:t>
            </w:r>
            <w:r w:rsidRPr="00A84171">
              <w:rPr>
                <w:lang w:val="en-GB"/>
              </w:rPr>
              <w:t>·</w:t>
            </w:r>
            <w:r>
              <w:rPr>
                <w:lang w:val="en-GB"/>
              </w:rPr>
              <w:t>7 (1</w:t>
            </w:r>
            <w:r w:rsidRPr="00A84171">
              <w:rPr>
                <w:lang w:val="en-GB"/>
              </w:rPr>
              <w:t>·</w:t>
            </w:r>
            <w:r>
              <w:rPr>
                <w:lang w:val="en-GB"/>
              </w:rPr>
              <w:t>0)</w:t>
            </w:r>
          </w:p>
        </w:tc>
      </w:tr>
      <w:tr w:rsidR="00A86F87" w:rsidRPr="00376E45" w14:paraId="152347BE" w14:textId="77777777" w:rsidTr="00094AB6">
        <w:trPr>
          <w:trHeight w:val="20"/>
        </w:trPr>
        <w:tc>
          <w:tcPr>
            <w:tcW w:w="4139" w:type="dxa"/>
            <w:tcBorders>
              <w:top w:val="single" w:sz="4" w:space="0" w:color="000000"/>
              <w:left w:val="single" w:sz="4" w:space="0" w:color="000000"/>
              <w:bottom w:val="single" w:sz="3" w:space="0" w:color="000000"/>
              <w:right w:val="single" w:sz="4" w:space="0" w:color="000000"/>
            </w:tcBorders>
            <w:shd w:val="clear" w:color="auto" w:fill="auto"/>
            <w:vAlign w:val="center"/>
          </w:tcPr>
          <w:p w14:paraId="7D690877" w14:textId="26CB9387" w:rsidR="00A86F87" w:rsidRPr="00376E45" w:rsidRDefault="00A86F87" w:rsidP="00DB6812">
            <w:pPr>
              <w:spacing w:before="0" w:after="0"/>
              <w:rPr>
                <w:lang w:val="en-GB"/>
              </w:rPr>
            </w:pPr>
            <w:r w:rsidRPr="00376E45">
              <w:rPr>
                <w:lang w:val="en-GB"/>
              </w:rPr>
              <w:t>SDAI</w:t>
            </w:r>
            <w:r w:rsidR="00DB6812" w:rsidRPr="00DB6812">
              <w:rPr>
                <w:lang w:val="en-GB"/>
              </w:rPr>
              <w:t>, mean</w:t>
            </w:r>
            <w:r w:rsidRPr="00376E45">
              <w:rPr>
                <w:lang w:val="en-GB"/>
              </w:rPr>
              <w:t xml:space="preserve"> (SD)</w:t>
            </w:r>
          </w:p>
        </w:tc>
        <w:tc>
          <w:tcPr>
            <w:tcW w:w="1653" w:type="dxa"/>
            <w:tcBorders>
              <w:top w:val="single" w:sz="4" w:space="0" w:color="000000"/>
              <w:left w:val="single" w:sz="4" w:space="0" w:color="000000"/>
              <w:bottom w:val="single" w:sz="3" w:space="0" w:color="000000"/>
              <w:right w:val="single" w:sz="3" w:space="0" w:color="000000"/>
            </w:tcBorders>
            <w:shd w:val="clear" w:color="auto" w:fill="auto"/>
            <w:vAlign w:val="center"/>
          </w:tcPr>
          <w:p w14:paraId="4176BA23" w14:textId="10E8108F" w:rsidR="00A86F87" w:rsidRPr="00376E45" w:rsidRDefault="00A86F87" w:rsidP="00742753">
            <w:pPr>
              <w:spacing w:before="0" w:after="0"/>
              <w:jc w:val="center"/>
              <w:rPr>
                <w:lang w:val="en-GB"/>
              </w:rPr>
            </w:pPr>
            <w:r w:rsidRPr="00376E45">
              <w:rPr>
                <w:lang w:val="en-GB"/>
              </w:rPr>
              <w:t>40</w:t>
            </w:r>
            <w:r w:rsidR="00334EBB" w:rsidRPr="00376E45">
              <w:rPr>
                <w:lang w:val="en-GB"/>
              </w:rPr>
              <w:t>·</w:t>
            </w:r>
            <w:r w:rsidRPr="00376E45">
              <w:rPr>
                <w:lang w:val="en-GB"/>
              </w:rPr>
              <w:t>2 (13</w:t>
            </w:r>
            <w:r w:rsidR="00334EBB" w:rsidRPr="00376E45">
              <w:rPr>
                <w:lang w:val="en-GB"/>
              </w:rPr>
              <w:t>·</w:t>
            </w:r>
            <w:r w:rsidRPr="00376E45">
              <w:rPr>
                <w:lang w:val="en-GB"/>
              </w:rPr>
              <w:t>0)</w:t>
            </w:r>
          </w:p>
        </w:tc>
        <w:tc>
          <w:tcPr>
            <w:tcW w:w="1774" w:type="dxa"/>
            <w:tcBorders>
              <w:top w:val="single" w:sz="4" w:space="0" w:color="000000"/>
              <w:left w:val="single" w:sz="3" w:space="0" w:color="000000"/>
              <w:bottom w:val="single" w:sz="3" w:space="0" w:color="000000"/>
              <w:right w:val="single" w:sz="4" w:space="0" w:color="000000"/>
            </w:tcBorders>
            <w:shd w:val="clear" w:color="auto" w:fill="auto"/>
            <w:vAlign w:val="center"/>
          </w:tcPr>
          <w:p w14:paraId="02CFA2C4" w14:textId="49B2AA15" w:rsidR="00A86F87" w:rsidRPr="00376E45" w:rsidRDefault="00A86F87" w:rsidP="00742753">
            <w:pPr>
              <w:spacing w:before="0" w:after="0"/>
              <w:ind w:left="20"/>
              <w:jc w:val="center"/>
              <w:rPr>
                <w:lang w:val="en-GB"/>
              </w:rPr>
            </w:pPr>
            <w:r w:rsidRPr="00376E45">
              <w:rPr>
                <w:lang w:val="en-GB"/>
              </w:rPr>
              <w:t>41</w:t>
            </w:r>
            <w:r w:rsidR="00334EBB" w:rsidRPr="00376E45">
              <w:rPr>
                <w:lang w:val="en-GB"/>
              </w:rPr>
              <w:t>·</w:t>
            </w:r>
            <w:r w:rsidRPr="00376E45">
              <w:rPr>
                <w:lang w:val="en-GB"/>
              </w:rPr>
              <w:t>6 (13</w:t>
            </w:r>
            <w:r w:rsidR="00334EBB" w:rsidRPr="00376E45">
              <w:rPr>
                <w:lang w:val="en-GB"/>
              </w:rPr>
              <w:t>·</w:t>
            </w:r>
            <w:r w:rsidRPr="00376E45">
              <w:rPr>
                <w:lang w:val="en-GB"/>
              </w:rPr>
              <w:t>2)</w:t>
            </w:r>
          </w:p>
        </w:tc>
        <w:tc>
          <w:tcPr>
            <w:tcW w:w="1534" w:type="dxa"/>
            <w:tcBorders>
              <w:top w:val="single" w:sz="4" w:space="0" w:color="000000"/>
              <w:left w:val="single" w:sz="4" w:space="0" w:color="000000"/>
              <w:bottom w:val="single" w:sz="3" w:space="0" w:color="000000"/>
              <w:right w:val="single" w:sz="4" w:space="0" w:color="000000"/>
            </w:tcBorders>
            <w:shd w:val="clear" w:color="auto" w:fill="auto"/>
            <w:vAlign w:val="center"/>
          </w:tcPr>
          <w:p w14:paraId="72A3E8B4" w14:textId="1223DDBB" w:rsidR="00A86F87" w:rsidRPr="00376E45" w:rsidRDefault="00A86F87" w:rsidP="00742753">
            <w:pPr>
              <w:spacing w:before="0" w:after="0"/>
              <w:jc w:val="center"/>
              <w:rPr>
                <w:lang w:val="en-GB"/>
              </w:rPr>
            </w:pPr>
            <w:r w:rsidRPr="00376E45">
              <w:rPr>
                <w:lang w:val="en-GB"/>
              </w:rPr>
              <w:t>39</w:t>
            </w:r>
            <w:r w:rsidR="00334EBB" w:rsidRPr="00376E45">
              <w:rPr>
                <w:lang w:val="en-GB"/>
              </w:rPr>
              <w:t>·</w:t>
            </w:r>
            <w:r w:rsidRPr="00376E45">
              <w:rPr>
                <w:lang w:val="en-GB"/>
              </w:rPr>
              <w:t>8 (13</w:t>
            </w:r>
            <w:r w:rsidR="00334EBB" w:rsidRPr="00376E45">
              <w:rPr>
                <w:lang w:val="en-GB"/>
              </w:rPr>
              <w:t>·</w:t>
            </w:r>
            <w:r w:rsidRPr="00376E45">
              <w:rPr>
                <w:lang w:val="en-GB"/>
              </w:rPr>
              <w:t>3)</w:t>
            </w:r>
          </w:p>
        </w:tc>
      </w:tr>
      <w:tr w:rsidR="00A86F87" w:rsidRPr="00376E45" w14:paraId="241F0356" w14:textId="77777777" w:rsidTr="00094AB6">
        <w:trPr>
          <w:trHeight w:val="20"/>
        </w:trPr>
        <w:tc>
          <w:tcPr>
            <w:tcW w:w="4139" w:type="dxa"/>
            <w:tcBorders>
              <w:top w:val="single" w:sz="4" w:space="0" w:color="000000"/>
              <w:left w:val="single" w:sz="4" w:space="0" w:color="000000"/>
              <w:bottom w:val="single" w:sz="3" w:space="0" w:color="000000"/>
              <w:right w:val="single" w:sz="4" w:space="0" w:color="000000"/>
            </w:tcBorders>
            <w:shd w:val="clear" w:color="auto" w:fill="auto"/>
            <w:vAlign w:val="center"/>
          </w:tcPr>
          <w:p w14:paraId="0584024B" w14:textId="533D6DEA" w:rsidR="00A86F87" w:rsidRPr="00376E45" w:rsidRDefault="00A86F87" w:rsidP="00DB6812">
            <w:pPr>
              <w:spacing w:before="0" w:after="0"/>
              <w:rPr>
                <w:lang w:val="en-GB"/>
              </w:rPr>
            </w:pPr>
            <w:r w:rsidRPr="00376E45">
              <w:rPr>
                <w:lang w:val="en-GB"/>
              </w:rPr>
              <w:t>CDAI, mean (SD)</w:t>
            </w:r>
          </w:p>
        </w:tc>
        <w:tc>
          <w:tcPr>
            <w:tcW w:w="1653" w:type="dxa"/>
            <w:tcBorders>
              <w:top w:val="single" w:sz="4" w:space="0" w:color="000000"/>
              <w:left w:val="single" w:sz="4" w:space="0" w:color="000000"/>
              <w:bottom w:val="single" w:sz="3" w:space="0" w:color="000000"/>
              <w:right w:val="single" w:sz="3" w:space="0" w:color="000000"/>
            </w:tcBorders>
            <w:shd w:val="clear" w:color="auto" w:fill="auto"/>
            <w:vAlign w:val="center"/>
          </w:tcPr>
          <w:p w14:paraId="3458A88D" w14:textId="06CE9B07" w:rsidR="00A86F87" w:rsidRPr="00376E45" w:rsidRDefault="00A86F87" w:rsidP="00742753">
            <w:pPr>
              <w:spacing w:before="0" w:after="0"/>
              <w:jc w:val="center"/>
              <w:rPr>
                <w:lang w:val="en-GB"/>
              </w:rPr>
            </w:pPr>
            <w:r w:rsidRPr="00376E45">
              <w:rPr>
                <w:lang w:val="en-GB"/>
              </w:rPr>
              <w:t>38</w:t>
            </w:r>
            <w:r w:rsidR="00334EBB" w:rsidRPr="00376E45">
              <w:rPr>
                <w:lang w:val="en-GB"/>
              </w:rPr>
              <w:t>·</w:t>
            </w:r>
            <w:r w:rsidRPr="00376E45">
              <w:rPr>
                <w:lang w:val="en-GB"/>
              </w:rPr>
              <w:t>6 (12</w:t>
            </w:r>
            <w:r w:rsidR="00334EBB" w:rsidRPr="00376E45">
              <w:rPr>
                <w:lang w:val="en-GB"/>
              </w:rPr>
              <w:t>·</w:t>
            </w:r>
            <w:r w:rsidRPr="00376E45">
              <w:rPr>
                <w:lang w:val="en-GB"/>
              </w:rPr>
              <w:t>6)</w:t>
            </w:r>
          </w:p>
        </w:tc>
        <w:tc>
          <w:tcPr>
            <w:tcW w:w="1774" w:type="dxa"/>
            <w:tcBorders>
              <w:top w:val="single" w:sz="4" w:space="0" w:color="000000"/>
              <w:left w:val="single" w:sz="3" w:space="0" w:color="000000"/>
              <w:bottom w:val="single" w:sz="3" w:space="0" w:color="000000"/>
              <w:right w:val="single" w:sz="4" w:space="0" w:color="000000"/>
            </w:tcBorders>
            <w:shd w:val="clear" w:color="auto" w:fill="auto"/>
            <w:vAlign w:val="center"/>
          </w:tcPr>
          <w:p w14:paraId="4846F0A1" w14:textId="4048F7A4" w:rsidR="00A86F87" w:rsidRPr="00376E45" w:rsidRDefault="00A86F87" w:rsidP="00742753">
            <w:pPr>
              <w:spacing w:before="0" w:after="0"/>
              <w:ind w:left="20"/>
              <w:jc w:val="center"/>
              <w:rPr>
                <w:lang w:val="en-GB"/>
              </w:rPr>
            </w:pPr>
            <w:r w:rsidRPr="00376E45">
              <w:rPr>
                <w:lang w:val="en-GB"/>
              </w:rPr>
              <w:t>39</w:t>
            </w:r>
            <w:r w:rsidR="00334EBB" w:rsidRPr="00376E45">
              <w:rPr>
                <w:lang w:val="en-GB"/>
              </w:rPr>
              <w:t>·</w:t>
            </w:r>
            <w:r w:rsidRPr="00376E45">
              <w:rPr>
                <w:lang w:val="en-GB"/>
              </w:rPr>
              <w:t>7 (12</w:t>
            </w:r>
            <w:r w:rsidR="00334EBB" w:rsidRPr="00376E45">
              <w:rPr>
                <w:lang w:val="en-GB"/>
              </w:rPr>
              <w:t>·</w:t>
            </w:r>
            <w:r w:rsidRPr="00376E45">
              <w:rPr>
                <w:lang w:val="en-GB"/>
              </w:rPr>
              <w:t>7)</w:t>
            </w:r>
          </w:p>
        </w:tc>
        <w:tc>
          <w:tcPr>
            <w:tcW w:w="1534" w:type="dxa"/>
            <w:tcBorders>
              <w:top w:val="single" w:sz="4" w:space="0" w:color="000000"/>
              <w:left w:val="single" w:sz="4" w:space="0" w:color="000000"/>
              <w:bottom w:val="single" w:sz="3" w:space="0" w:color="000000"/>
              <w:right w:val="single" w:sz="4" w:space="0" w:color="000000"/>
            </w:tcBorders>
            <w:shd w:val="clear" w:color="auto" w:fill="auto"/>
            <w:vAlign w:val="center"/>
          </w:tcPr>
          <w:p w14:paraId="648A2E4C" w14:textId="26ADF862" w:rsidR="00A86F87" w:rsidRPr="00376E45" w:rsidRDefault="00A86F87" w:rsidP="00742753">
            <w:pPr>
              <w:spacing w:before="0" w:after="0"/>
              <w:jc w:val="center"/>
              <w:rPr>
                <w:lang w:val="en-GB"/>
              </w:rPr>
            </w:pPr>
            <w:r w:rsidRPr="00376E45">
              <w:rPr>
                <w:lang w:val="en-GB"/>
              </w:rPr>
              <w:t>38</w:t>
            </w:r>
            <w:r w:rsidR="00334EBB" w:rsidRPr="00376E45">
              <w:rPr>
                <w:lang w:val="en-GB"/>
              </w:rPr>
              <w:t>·</w:t>
            </w:r>
            <w:r w:rsidRPr="00376E45">
              <w:rPr>
                <w:lang w:val="en-GB"/>
              </w:rPr>
              <w:t>2 (12</w:t>
            </w:r>
            <w:r w:rsidR="00334EBB" w:rsidRPr="00376E45">
              <w:rPr>
                <w:lang w:val="en-GB"/>
              </w:rPr>
              <w:t>·</w:t>
            </w:r>
            <w:r w:rsidRPr="00376E45">
              <w:rPr>
                <w:lang w:val="en-GB"/>
              </w:rPr>
              <w:t>9)</w:t>
            </w:r>
          </w:p>
        </w:tc>
      </w:tr>
      <w:tr w:rsidR="00A86F87" w:rsidRPr="00376E45" w14:paraId="28A532B6" w14:textId="77777777" w:rsidTr="00094AB6">
        <w:trPr>
          <w:trHeight w:val="20"/>
        </w:trPr>
        <w:tc>
          <w:tcPr>
            <w:tcW w:w="4139" w:type="dxa"/>
            <w:tcBorders>
              <w:top w:val="single" w:sz="4" w:space="0" w:color="000000"/>
              <w:left w:val="single" w:sz="4" w:space="0" w:color="000000"/>
              <w:bottom w:val="single" w:sz="3" w:space="0" w:color="000000"/>
              <w:right w:val="single" w:sz="4" w:space="0" w:color="000000"/>
            </w:tcBorders>
            <w:shd w:val="clear" w:color="auto" w:fill="auto"/>
            <w:vAlign w:val="center"/>
          </w:tcPr>
          <w:p w14:paraId="54CFB908" w14:textId="76AE8EA2" w:rsidR="00A86F87" w:rsidRPr="00376E45" w:rsidRDefault="00A86F87" w:rsidP="00DB6812">
            <w:pPr>
              <w:spacing w:before="0" w:after="0"/>
              <w:rPr>
                <w:lang w:val="en-GB"/>
              </w:rPr>
            </w:pPr>
            <w:r w:rsidRPr="00376E45">
              <w:rPr>
                <w:lang w:val="en-GB"/>
              </w:rPr>
              <w:t xml:space="preserve">HAQ-DI, mean (SD) </w:t>
            </w:r>
          </w:p>
        </w:tc>
        <w:tc>
          <w:tcPr>
            <w:tcW w:w="1653" w:type="dxa"/>
            <w:tcBorders>
              <w:top w:val="single" w:sz="4" w:space="0" w:color="000000"/>
              <w:left w:val="single" w:sz="4" w:space="0" w:color="000000"/>
              <w:bottom w:val="single" w:sz="3" w:space="0" w:color="000000"/>
              <w:right w:val="single" w:sz="3" w:space="0" w:color="000000"/>
            </w:tcBorders>
            <w:shd w:val="clear" w:color="auto" w:fill="auto"/>
            <w:vAlign w:val="center"/>
          </w:tcPr>
          <w:p w14:paraId="3FFA49FD" w14:textId="6352F912" w:rsidR="00A86F87" w:rsidRPr="00376E45" w:rsidRDefault="00A86F87" w:rsidP="00742753">
            <w:pPr>
              <w:spacing w:before="0" w:after="0"/>
              <w:jc w:val="center"/>
              <w:rPr>
                <w:lang w:val="en-GB"/>
              </w:rPr>
            </w:pPr>
            <w:r w:rsidRPr="00376E45">
              <w:rPr>
                <w:lang w:val="en-GB"/>
              </w:rPr>
              <w:t>1</w:t>
            </w:r>
            <w:r w:rsidR="00334EBB" w:rsidRPr="00376E45">
              <w:rPr>
                <w:lang w:val="en-GB"/>
              </w:rPr>
              <w:t>·</w:t>
            </w:r>
            <w:r w:rsidRPr="00376E45">
              <w:rPr>
                <w:lang w:val="en-GB"/>
              </w:rPr>
              <w:t>6 (0</w:t>
            </w:r>
            <w:r w:rsidR="00334EBB" w:rsidRPr="00376E45">
              <w:rPr>
                <w:lang w:val="en-GB"/>
              </w:rPr>
              <w:t>·</w:t>
            </w:r>
            <w:r w:rsidRPr="00376E45">
              <w:rPr>
                <w:lang w:val="en-GB"/>
              </w:rPr>
              <w:t>6)</w:t>
            </w:r>
          </w:p>
        </w:tc>
        <w:tc>
          <w:tcPr>
            <w:tcW w:w="1774" w:type="dxa"/>
            <w:tcBorders>
              <w:top w:val="single" w:sz="4" w:space="0" w:color="000000"/>
              <w:left w:val="single" w:sz="3" w:space="0" w:color="000000"/>
              <w:bottom w:val="single" w:sz="3" w:space="0" w:color="000000"/>
              <w:right w:val="single" w:sz="4" w:space="0" w:color="000000"/>
            </w:tcBorders>
            <w:shd w:val="clear" w:color="auto" w:fill="auto"/>
            <w:vAlign w:val="center"/>
          </w:tcPr>
          <w:p w14:paraId="7FF53FD4" w14:textId="3EA10AB7" w:rsidR="00A86F87" w:rsidRPr="00376E45" w:rsidRDefault="00A86F87" w:rsidP="00742753">
            <w:pPr>
              <w:spacing w:before="0" w:after="0"/>
              <w:ind w:left="20"/>
              <w:jc w:val="center"/>
              <w:rPr>
                <w:lang w:val="en-GB"/>
              </w:rPr>
            </w:pPr>
            <w:r w:rsidRPr="00376E45">
              <w:rPr>
                <w:lang w:val="en-GB"/>
              </w:rPr>
              <w:t>1</w:t>
            </w:r>
            <w:r w:rsidR="00334EBB" w:rsidRPr="00376E45">
              <w:rPr>
                <w:lang w:val="en-GB"/>
              </w:rPr>
              <w:t>·</w:t>
            </w:r>
            <w:r w:rsidRPr="00376E45">
              <w:rPr>
                <w:lang w:val="en-GB"/>
              </w:rPr>
              <w:t>6 (0</w:t>
            </w:r>
            <w:r w:rsidR="00334EBB" w:rsidRPr="00376E45">
              <w:rPr>
                <w:lang w:val="en-GB"/>
              </w:rPr>
              <w:t>·</w:t>
            </w:r>
            <w:r w:rsidRPr="00376E45">
              <w:rPr>
                <w:lang w:val="en-GB"/>
              </w:rPr>
              <w:t>6)</w:t>
            </w:r>
          </w:p>
        </w:tc>
        <w:tc>
          <w:tcPr>
            <w:tcW w:w="1534" w:type="dxa"/>
            <w:tcBorders>
              <w:top w:val="single" w:sz="4" w:space="0" w:color="000000"/>
              <w:left w:val="single" w:sz="4" w:space="0" w:color="000000"/>
              <w:bottom w:val="single" w:sz="3" w:space="0" w:color="000000"/>
              <w:right w:val="single" w:sz="4" w:space="0" w:color="000000"/>
            </w:tcBorders>
            <w:shd w:val="clear" w:color="auto" w:fill="auto"/>
            <w:vAlign w:val="center"/>
          </w:tcPr>
          <w:p w14:paraId="7E9EAECF" w14:textId="28084AAE" w:rsidR="00A86F87" w:rsidRPr="00376E45" w:rsidRDefault="00A86F87" w:rsidP="00742753">
            <w:pPr>
              <w:spacing w:before="0" w:after="0"/>
              <w:jc w:val="center"/>
              <w:rPr>
                <w:lang w:val="en-GB"/>
              </w:rPr>
            </w:pPr>
            <w:r w:rsidRPr="00376E45">
              <w:rPr>
                <w:lang w:val="en-GB"/>
              </w:rPr>
              <w:t>1</w:t>
            </w:r>
            <w:r w:rsidR="00334EBB" w:rsidRPr="00376E45">
              <w:rPr>
                <w:lang w:val="en-GB"/>
              </w:rPr>
              <w:t>·</w:t>
            </w:r>
            <w:r w:rsidRPr="00376E45">
              <w:rPr>
                <w:lang w:val="en-GB"/>
              </w:rPr>
              <w:t>6 (0</w:t>
            </w:r>
            <w:r w:rsidR="00334EBB" w:rsidRPr="00376E45">
              <w:rPr>
                <w:lang w:val="en-GB"/>
              </w:rPr>
              <w:t>·</w:t>
            </w:r>
            <w:r w:rsidRPr="00376E45">
              <w:rPr>
                <w:lang w:val="en-GB"/>
              </w:rPr>
              <w:t>6)</w:t>
            </w:r>
          </w:p>
        </w:tc>
      </w:tr>
      <w:tr w:rsidR="00A86F87" w:rsidRPr="00376E45" w14:paraId="15401D96" w14:textId="77777777" w:rsidTr="00094AB6">
        <w:trPr>
          <w:trHeight w:val="20"/>
        </w:trPr>
        <w:tc>
          <w:tcPr>
            <w:tcW w:w="4139" w:type="dxa"/>
            <w:tcBorders>
              <w:top w:val="single" w:sz="3" w:space="0" w:color="000000"/>
              <w:left w:val="single" w:sz="4" w:space="0" w:color="000000"/>
              <w:bottom w:val="single" w:sz="3" w:space="0" w:color="000000"/>
              <w:right w:val="single" w:sz="4" w:space="0" w:color="000000"/>
            </w:tcBorders>
            <w:shd w:val="clear" w:color="auto" w:fill="auto"/>
            <w:vAlign w:val="center"/>
          </w:tcPr>
          <w:p w14:paraId="64973F2A" w14:textId="7FB3D7A8" w:rsidR="00A86F87" w:rsidRPr="00376E45" w:rsidRDefault="00FB4267" w:rsidP="00DB6812">
            <w:pPr>
              <w:spacing w:before="0" w:after="0"/>
              <w:rPr>
                <w:lang w:val="en-GB"/>
              </w:rPr>
            </w:pPr>
            <w:proofErr w:type="spellStart"/>
            <w:r w:rsidRPr="00376E45">
              <w:rPr>
                <w:lang w:val="en-GB"/>
              </w:rPr>
              <w:t>hs</w:t>
            </w:r>
            <w:r w:rsidR="00A86F87" w:rsidRPr="00376E45">
              <w:rPr>
                <w:lang w:val="en-GB"/>
              </w:rPr>
              <w:t>CRP</w:t>
            </w:r>
            <w:proofErr w:type="spellEnd"/>
            <w:r w:rsidR="00A86F87" w:rsidRPr="00376E45">
              <w:rPr>
                <w:lang w:val="en-GB"/>
              </w:rPr>
              <w:t xml:space="preserve"> (mg/L), mean (SD) </w:t>
            </w:r>
          </w:p>
        </w:tc>
        <w:tc>
          <w:tcPr>
            <w:tcW w:w="1653" w:type="dxa"/>
            <w:tcBorders>
              <w:top w:val="single" w:sz="3" w:space="0" w:color="000000"/>
              <w:left w:val="single" w:sz="4" w:space="0" w:color="000000"/>
              <w:bottom w:val="single" w:sz="3" w:space="0" w:color="000000"/>
              <w:right w:val="single" w:sz="3" w:space="0" w:color="000000"/>
            </w:tcBorders>
            <w:shd w:val="clear" w:color="auto" w:fill="auto"/>
            <w:vAlign w:val="center"/>
          </w:tcPr>
          <w:p w14:paraId="195F204D" w14:textId="754FC70E" w:rsidR="00A86F87" w:rsidRPr="00376E45" w:rsidRDefault="00A86F87" w:rsidP="00742753">
            <w:pPr>
              <w:spacing w:before="0" w:after="0"/>
              <w:jc w:val="center"/>
              <w:rPr>
                <w:lang w:val="en-GB"/>
              </w:rPr>
            </w:pPr>
            <w:r w:rsidRPr="00376E45">
              <w:rPr>
                <w:lang w:val="en-GB"/>
              </w:rPr>
              <w:t>16</w:t>
            </w:r>
            <w:r w:rsidR="00334EBB" w:rsidRPr="00376E45">
              <w:rPr>
                <w:lang w:val="en-GB"/>
              </w:rPr>
              <w:t>·</w:t>
            </w:r>
            <w:r w:rsidRPr="00376E45">
              <w:rPr>
                <w:lang w:val="en-GB"/>
              </w:rPr>
              <w:t>6 (19</w:t>
            </w:r>
            <w:r w:rsidR="00334EBB" w:rsidRPr="00376E45">
              <w:rPr>
                <w:lang w:val="en-GB"/>
              </w:rPr>
              <w:t>·</w:t>
            </w:r>
            <w:r w:rsidRPr="00376E45">
              <w:rPr>
                <w:lang w:val="en-GB"/>
              </w:rPr>
              <w:t>3)</w:t>
            </w:r>
          </w:p>
        </w:tc>
        <w:tc>
          <w:tcPr>
            <w:tcW w:w="1774" w:type="dxa"/>
            <w:tcBorders>
              <w:top w:val="single" w:sz="3" w:space="0" w:color="000000"/>
              <w:left w:val="single" w:sz="3" w:space="0" w:color="000000"/>
              <w:bottom w:val="single" w:sz="3" w:space="0" w:color="000000"/>
              <w:right w:val="single" w:sz="4" w:space="0" w:color="000000"/>
            </w:tcBorders>
            <w:shd w:val="clear" w:color="auto" w:fill="auto"/>
            <w:vAlign w:val="center"/>
          </w:tcPr>
          <w:p w14:paraId="7166EEFB" w14:textId="7F78848C" w:rsidR="00A86F87" w:rsidRPr="00376E45" w:rsidRDefault="00A86F87" w:rsidP="00742753">
            <w:pPr>
              <w:spacing w:before="0" w:after="0"/>
              <w:ind w:left="20"/>
              <w:jc w:val="center"/>
              <w:rPr>
                <w:lang w:val="en-GB"/>
              </w:rPr>
            </w:pPr>
            <w:r w:rsidRPr="00376E45">
              <w:rPr>
                <w:lang w:val="en-GB"/>
              </w:rPr>
              <w:t>18</w:t>
            </w:r>
            <w:r w:rsidR="00334EBB" w:rsidRPr="00376E45">
              <w:rPr>
                <w:lang w:val="en-GB"/>
              </w:rPr>
              <w:t>·</w:t>
            </w:r>
            <w:r w:rsidRPr="00376E45">
              <w:rPr>
                <w:lang w:val="en-GB"/>
              </w:rPr>
              <w:t>7 (21</w:t>
            </w:r>
            <w:r w:rsidR="00334EBB" w:rsidRPr="00376E45">
              <w:rPr>
                <w:lang w:val="en-GB"/>
              </w:rPr>
              <w:t>·</w:t>
            </w:r>
            <w:r w:rsidRPr="00376E45">
              <w:rPr>
                <w:lang w:val="en-GB"/>
              </w:rPr>
              <w:t>9)</w:t>
            </w:r>
          </w:p>
        </w:tc>
        <w:tc>
          <w:tcPr>
            <w:tcW w:w="1534" w:type="dxa"/>
            <w:tcBorders>
              <w:top w:val="single" w:sz="3" w:space="0" w:color="000000"/>
              <w:left w:val="single" w:sz="4" w:space="0" w:color="000000"/>
              <w:bottom w:val="single" w:sz="3" w:space="0" w:color="000000"/>
              <w:right w:val="single" w:sz="4" w:space="0" w:color="000000"/>
            </w:tcBorders>
            <w:shd w:val="clear" w:color="auto" w:fill="auto"/>
            <w:vAlign w:val="center"/>
          </w:tcPr>
          <w:p w14:paraId="14EAF831" w14:textId="03CF9D2A" w:rsidR="00A86F87" w:rsidRPr="00376E45" w:rsidRDefault="00A86F87" w:rsidP="00742753">
            <w:pPr>
              <w:spacing w:before="0" w:after="0"/>
              <w:jc w:val="center"/>
              <w:rPr>
                <w:lang w:val="en-GB"/>
              </w:rPr>
            </w:pPr>
            <w:r w:rsidRPr="00376E45">
              <w:rPr>
                <w:lang w:val="en-GB"/>
              </w:rPr>
              <w:t>16</w:t>
            </w:r>
            <w:r w:rsidR="00334EBB" w:rsidRPr="00376E45">
              <w:rPr>
                <w:lang w:val="en-GB"/>
              </w:rPr>
              <w:t>·</w:t>
            </w:r>
            <w:r w:rsidRPr="00376E45">
              <w:rPr>
                <w:lang w:val="en-GB"/>
              </w:rPr>
              <w:t>7 (21</w:t>
            </w:r>
            <w:r w:rsidR="00334EBB" w:rsidRPr="00376E45">
              <w:rPr>
                <w:lang w:val="en-GB"/>
              </w:rPr>
              <w:t>·</w:t>
            </w:r>
            <w:r w:rsidRPr="00376E45">
              <w:rPr>
                <w:lang w:val="en-GB"/>
              </w:rPr>
              <w:t>3)</w:t>
            </w:r>
          </w:p>
        </w:tc>
      </w:tr>
      <w:tr w:rsidR="00DE5F98" w:rsidRPr="00376E45" w14:paraId="7A16A508" w14:textId="77777777" w:rsidTr="00094AB6">
        <w:trPr>
          <w:trHeight w:val="20"/>
        </w:trPr>
        <w:tc>
          <w:tcPr>
            <w:tcW w:w="4139" w:type="dxa"/>
            <w:tcBorders>
              <w:top w:val="single" w:sz="3" w:space="0" w:color="000000"/>
              <w:left w:val="single" w:sz="4" w:space="0" w:color="000000"/>
              <w:bottom w:val="single" w:sz="3" w:space="0" w:color="000000"/>
              <w:right w:val="single" w:sz="4" w:space="0" w:color="000000"/>
            </w:tcBorders>
            <w:shd w:val="clear" w:color="auto" w:fill="auto"/>
            <w:vAlign w:val="center"/>
          </w:tcPr>
          <w:p w14:paraId="2A5AD48C" w14:textId="74758458" w:rsidR="00DE5F98" w:rsidRDefault="00DE5F98" w:rsidP="002B5482">
            <w:pPr>
              <w:spacing w:before="0" w:after="0"/>
              <w:rPr>
                <w:lang w:val="en-GB"/>
              </w:rPr>
            </w:pPr>
            <w:r>
              <w:rPr>
                <w:lang w:val="en-GB"/>
              </w:rPr>
              <w:t>Patients assessed for rheumatoid factor at screening, n (%)</w:t>
            </w:r>
          </w:p>
        </w:tc>
        <w:tc>
          <w:tcPr>
            <w:tcW w:w="1653" w:type="dxa"/>
            <w:tcBorders>
              <w:top w:val="single" w:sz="3" w:space="0" w:color="000000"/>
              <w:left w:val="single" w:sz="4" w:space="0" w:color="000000"/>
              <w:bottom w:val="single" w:sz="3" w:space="0" w:color="000000"/>
              <w:right w:val="single" w:sz="3" w:space="0" w:color="000000"/>
            </w:tcBorders>
            <w:shd w:val="clear" w:color="auto" w:fill="auto"/>
            <w:vAlign w:val="center"/>
          </w:tcPr>
          <w:p w14:paraId="7998D4F3" w14:textId="6BC3F499" w:rsidR="00DE5F98" w:rsidRDefault="00DE5F98" w:rsidP="00AD6758">
            <w:pPr>
              <w:spacing w:before="0" w:after="0"/>
              <w:jc w:val="center"/>
              <w:rPr>
                <w:lang w:val="en-GB"/>
              </w:rPr>
            </w:pPr>
            <w:r>
              <w:rPr>
                <w:lang w:val="en-GB"/>
              </w:rPr>
              <w:t>275 (71</w:t>
            </w:r>
            <w:r w:rsidR="00AD6758" w:rsidRPr="00AD6758">
              <w:rPr>
                <w:lang w:val="en-GB"/>
              </w:rPr>
              <w:t>·</w:t>
            </w:r>
            <w:r>
              <w:rPr>
                <w:lang w:val="en-GB"/>
              </w:rPr>
              <w:t>6%)</w:t>
            </w:r>
          </w:p>
        </w:tc>
        <w:tc>
          <w:tcPr>
            <w:tcW w:w="1774" w:type="dxa"/>
            <w:tcBorders>
              <w:top w:val="single" w:sz="3" w:space="0" w:color="000000"/>
              <w:left w:val="single" w:sz="3" w:space="0" w:color="000000"/>
              <w:bottom w:val="single" w:sz="3" w:space="0" w:color="000000"/>
              <w:right w:val="single" w:sz="4" w:space="0" w:color="000000"/>
            </w:tcBorders>
            <w:shd w:val="clear" w:color="auto" w:fill="auto"/>
            <w:vAlign w:val="center"/>
          </w:tcPr>
          <w:p w14:paraId="772E632A" w14:textId="78C43A04" w:rsidR="00DE5F98" w:rsidDel="00E8418C" w:rsidRDefault="00DE5F98" w:rsidP="00AD6758">
            <w:pPr>
              <w:spacing w:before="0" w:after="0"/>
              <w:ind w:left="20"/>
              <w:jc w:val="center"/>
              <w:rPr>
                <w:lang w:val="en-GB"/>
              </w:rPr>
            </w:pPr>
            <w:r>
              <w:rPr>
                <w:lang w:val="en-GB"/>
              </w:rPr>
              <w:t>267 (71</w:t>
            </w:r>
            <w:r w:rsidR="00AD6758" w:rsidRPr="00AD6758">
              <w:rPr>
                <w:lang w:val="en-GB"/>
              </w:rPr>
              <w:t>·</w:t>
            </w:r>
            <w:r>
              <w:rPr>
                <w:lang w:val="en-GB"/>
              </w:rPr>
              <w:t>0%)</w:t>
            </w:r>
          </w:p>
        </w:tc>
        <w:tc>
          <w:tcPr>
            <w:tcW w:w="1534" w:type="dxa"/>
            <w:tcBorders>
              <w:top w:val="single" w:sz="3" w:space="0" w:color="000000"/>
              <w:left w:val="single" w:sz="4" w:space="0" w:color="000000"/>
              <w:bottom w:val="single" w:sz="3" w:space="0" w:color="000000"/>
              <w:right w:val="single" w:sz="4" w:space="0" w:color="000000"/>
            </w:tcBorders>
            <w:shd w:val="clear" w:color="auto" w:fill="auto"/>
            <w:vAlign w:val="center"/>
          </w:tcPr>
          <w:p w14:paraId="499F29E2" w14:textId="16845777" w:rsidR="00DE5F98" w:rsidDel="00E8418C" w:rsidRDefault="00DE5F98" w:rsidP="00AD6758">
            <w:pPr>
              <w:spacing w:before="0" w:after="0"/>
              <w:jc w:val="center"/>
              <w:rPr>
                <w:lang w:val="en-GB"/>
              </w:rPr>
            </w:pPr>
            <w:r>
              <w:rPr>
                <w:lang w:val="en-GB"/>
              </w:rPr>
              <w:t>277 (71</w:t>
            </w:r>
            <w:r w:rsidR="00AD6758" w:rsidRPr="00AD6758">
              <w:rPr>
                <w:lang w:val="en-GB"/>
              </w:rPr>
              <w:t>·</w:t>
            </w:r>
            <w:r>
              <w:rPr>
                <w:lang w:val="en-GB"/>
              </w:rPr>
              <w:t>8%)</w:t>
            </w:r>
          </w:p>
        </w:tc>
      </w:tr>
      <w:tr w:rsidR="00A062AA" w:rsidRPr="00376E45" w14:paraId="3F540E35" w14:textId="77777777" w:rsidTr="00094AB6">
        <w:trPr>
          <w:trHeight w:val="20"/>
        </w:trPr>
        <w:tc>
          <w:tcPr>
            <w:tcW w:w="4139" w:type="dxa"/>
            <w:tcBorders>
              <w:top w:val="single" w:sz="3" w:space="0" w:color="000000"/>
              <w:left w:val="single" w:sz="4" w:space="0" w:color="000000"/>
              <w:bottom w:val="single" w:sz="3" w:space="0" w:color="000000"/>
              <w:right w:val="single" w:sz="4" w:space="0" w:color="000000"/>
            </w:tcBorders>
            <w:shd w:val="clear" w:color="auto" w:fill="auto"/>
            <w:vAlign w:val="center"/>
          </w:tcPr>
          <w:p w14:paraId="2614D3D6" w14:textId="5FC2A3E2" w:rsidR="00A062AA" w:rsidRPr="00376E45" w:rsidRDefault="00DB6812" w:rsidP="002B5482">
            <w:pPr>
              <w:spacing w:before="0" w:after="0"/>
              <w:rPr>
                <w:lang w:val="en-GB"/>
              </w:rPr>
            </w:pPr>
            <w:r>
              <w:rPr>
                <w:lang w:val="en-GB"/>
              </w:rPr>
              <w:t>R</w:t>
            </w:r>
            <w:r w:rsidR="003D457A">
              <w:rPr>
                <w:lang w:val="en-GB"/>
              </w:rPr>
              <w:t>heumatoid factor</w:t>
            </w:r>
            <w:r>
              <w:rPr>
                <w:lang w:val="en-GB"/>
              </w:rPr>
              <w:t xml:space="preserve"> </w:t>
            </w:r>
            <w:r w:rsidR="00DE5F98">
              <w:rPr>
                <w:lang w:val="en-GB"/>
              </w:rPr>
              <w:t xml:space="preserve">in patients assessed </w:t>
            </w:r>
            <w:r>
              <w:rPr>
                <w:lang w:val="en-GB"/>
              </w:rPr>
              <w:t>(</w:t>
            </w:r>
            <w:r w:rsidR="00E81D1A" w:rsidRPr="00E81D1A">
              <w:rPr>
                <w:lang w:val="en-GB"/>
              </w:rPr>
              <w:t>IU/mL</w:t>
            </w:r>
            <w:r>
              <w:rPr>
                <w:lang w:val="en-GB"/>
              </w:rPr>
              <w:t>), mean</w:t>
            </w:r>
            <w:r w:rsidR="003D457A">
              <w:rPr>
                <w:lang w:val="en-GB"/>
              </w:rPr>
              <w:t xml:space="preserve"> (SD)</w:t>
            </w:r>
            <w:r w:rsidR="006F7321">
              <w:rPr>
                <w:lang w:val="en-GB"/>
              </w:rPr>
              <w:t xml:space="preserve"> </w:t>
            </w:r>
          </w:p>
        </w:tc>
        <w:tc>
          <w:tcPr>
            <w:tcW w:w="1653" w:type="dxa"/>
            <w:tcBorders>
              <w:top w:val="single" w:sz="3" w:space="0" w:color="000000"/>
              <w:left w:val="single" w:sz="4" w:space="0" w:color="000000"/>
              <w:bottom w:val="single" w:sz="3" w:space="0" w:color="000000"/>
              <w:right w:val="single" w:sz="3" w:space="0" w:color="000000"/>
            </w:tcBorders>
            <w:shd w:val="clear" w:color="auto" w:fill="auto"/>
            <w:vAlign w:val="center"/>
          </w:tcPr>
          <w:p w14:paraId="080F7A15" w14:textId="590700EA" w:rsidR="00A062AA" w:rsidRPr="00376E45" w:rsidRDefault="003D457A" w:rsidP="00742753">
            <w:pPr>
              <w:spacing w:before="0" w:after="0"/>
              <w:jc w:val="center"/>
              <w:rPr>
                <w:lang w:val="en-GB"/>
              </w:rPr>
            </w:pPr>
            <w:r>
              <w:rPr>
                <w:lang w:val="en-GB"/>
              </w:rPr>
              <w:t>412</w:t>
            </w:r>
            <w:r w:rsidR="006F7321" w:rsidRPr="006F7321">
              <w:rPr>
                <w:lang w:val="en-GB"/>
              </w:rPr>
              <w:t>·</w:t>
            </w:r>
            <w:r>
              <w:rPr>
                <w:lang w:val="en-GB"/>
              </w:rPr>
              <w:t>9 (601</w:t>
            </w:r>
            <w:r w:rsidR="006F7321" w:rsidRPr="006F7321">
              <w:rPr>
                <w:lang w:val="en-GB"/>
              </w:rPr>
              <w:t>·</w:t>
            </w:r>
            <w:r>
              <w:rPr>
                <w:lang w:val="en-GB"/>
              </w:rPr>
              <w:t>0)</w:t>
            </w:r>
          </w:p>
        </w:tc>
        <w:tc>
          <w:tcPr>
            <w:tcW w:w="1774" w:type="dxa"/>
            <w:tcBorders>
              <w:top w:val="single" w:sz="3" w:space="0" w:color="000000"/>
              <w:left w:val="single" w:sz="3" w:space="0" w:color="000000"/>
              <w:bottom w:val="single" w:sz="3" w:space="0" w:color="000000"/>
              <w:right w:val="single" w:sz="4" w:space="0" w:color="000000"/>
            </w:tcBorders>
            <w:shd w:val="clear" w:color="auto" w:fill="auto"/>
            <w:vAlign w:val="center"/>
          </w:tcPr>
          <w:p w14:paraId="54CB3A17" w14:textId="2BC9F2E5" w:rsidR="00A062AA" w:rsidRPr="00376E45" w:rsidRDefault="003D457A" w:rsidP="00742753">
            <w:pPr>
              <w:spacing w:before="0" w:after="0"/>
              <w:ind w:left="20"/>
              <w:jc w:val="center"/>
              <w:rPr>
                <w:lang w:val="en-GB"/>
              </w:rPr>
            </w:pPr>
            <w:r>
              <w:rPr>
                <w:lang w:val="en-GB"/>
              </w:rPr>
              <w:t>439</w:t>
            </w:r>
            <w:r w:rsidR="006F7321" w:rsidRPr="006F7321">
              <w:rPr>
                <w:lang w:val="en-GB"/>
              </w:rPr>
              <w:t>·</w:t>
            </w:r>
            <w:r>
              <w:rPr>
                <w:lang w:val="en-GB"/>
              </w:rPr>
              <w:t>3 (896</w:t>
            </w:r>
            <w:r w:rsidR="006F7321" w:rsidRPr="006F7321">
              <w:rPr>
                <w:lang w:val="en-GB"/>
              </w:rPr>
              <w:t>·</w:t>
            </w:r>
            <w:r>
              <w:rPr>
                <w:lang w:val="en-GB"/>
              </w:rPr>
              <w:t>5)</w:t>
            </w:r>
          </w:p>
        </w:tc>
        <w:tc>
          <w:tcPr>
            <w:tcW w:w="1534" w:type="dxa"/>
            <w:tcBorders>
              <w:top w:val="single" w:sz="3" w:space="0" w:color="000000"/>
              <w:left w:val="single" w:sz="4" w:space="0" w:color="000000"/>
              <w:bottom w:val="single" w:sz="3" w:space="0" w:color="000000"/>
              <w:right w:val="single" w:sz="4" w:space="0" w:color="000000"/>
            </w:tcBorders>
            <w:shd w:val="clear" w:color="auto" w:fill="auto"/>
            <w:vAlign w:val="center"/>
          </w:tcPr>
          <w:p w14:paraId="1380629E" w14:textId="2A515FD6" w:rsidR="00A062AA" w:rsidRPr="00376E45" w:rsidRDefault="003D457A" w:rsidP="00742753">
            <w:pPr>
              <w:spacing w:before="0" w:after="0"/>
              <w:jc w:val="center"/>
              <w:rPr>
                <w:lang w:val="en-GB"/>
              </w:rPr>
            </w:pPr>
            <w:r>
              <w:rPr>
                <w:lang w:val="en-GB"/>
              </w:rPr>
              <w:t>359</w:t>
            </w:r>
            <w:r w:rsidR="006F7321" w:rsidRPr="006F7321">
              <w:rPr>
                <w:lang w:val="en-GB"/>
              </w:rPr>
              <w:t>·</w:t>
            </w:r>
            <w:r>
              <w:rPr>
                <w:lang w:val="en-GB"/>
              </w:rPr>
              <w:t>3 (565</w:t>
            </w:r>
            <w:r w:rsidR="006F7321" w:rsidRPr="006F7321">
              <w:rPr>
                <w:lang w:val="en-GB"/>
              </w:rPr>
              <w:t>·</w:t>
            </w:r>
            <w:r>
              <w:rPr>
                <w:lang w:val="en-GB"/>
              </w:rPr>
              <w:t>9)</w:t>
            </w:r>
          </w:p>
        </w:tc>
      </w:tr>
      <w:tr w:rsidR="003D457A" w:rsidRPr="00376E45" w14:paraId="7A40C032" w14:textId="77777777" w:rsidTr="00094AB6">
        <w:trPr>
          <w:trHeight w:val="20"/>
        </w:trPr>
        <w:tc>
          <w:tcPr>
            <w:tcW w:w="4139" w:type="dxa"/>
            <w:tcBorders>
              <w:top w:val="single" w:sz="3" w:space="0" w:color="000000"/>
              <w:left w:val="single" w:sz="4" w:space="0" w:color="000000"/>
              <w:bottom w:val="single" w:sz="3" w:space="0" w:color="000000"/>
              <w:right w:val="single" w:sz="4" w:space="0" w:color="000000"/>
            </w:tcBorders>
            <w:shd w:val="clear" w:color="auto" w:fill="auto"/>
            <w:vAlign w:val="center"/>
          </w:tcPr>
          <w:p w14:paraId="5D31CF0F" w14:textId="2A331B42" w:rsidR="003D457A" w:rsidRPr="00A062AA" w:rsidRDefault="003D457A" w:rsidP="00742753">
            <w:pPr>
              <w:spacing w:before="0" w:after="0"/>
              <w:rPr>
                <w:lang w:val="en-GB"/>
              </w:rPr>
            </w:pPr>
            <w:r>
              <w:rPr>
                <w:lang w:val="en-GB"/>
              </w:rPr>
              <w:t>Anti-CCP-positive, n (%)</w:t>
            </w:r>
          </w:p>
        </w:tc>
        <w:tc>
          <w:tcPr>
            <w:tcW w:w="1653" w:type="dxa"/>
            <w:tcBorders>
              <w:top w:val="single" w:sz="3" w:space="0" w:color="000000"/>
              <w:left w:val="single" w:sz="4" w:space="0" w:color="000000"/>
              <w:bottom w:val="single" w:sz="3" w:space="0" w:color="000000"/>
              <w:right w:val="single" w:sz="3" w:space="0" w:color="000000"/>
            </w:tcBorders>
            <w:shd w:val="clear" w:color="auto" w:fill="auto"/>
            <w:vAlign w:val="center"/>
          </w:tcPr>
          <w:p w14:paraId="5AE160AB" w14:textId="04FDA4A5" w:rsidR="003D457A" w:rsidRDefault="006F7321" w:rsidP="00742753">
            <w:pPr>
              <w:spacing w:before="0" w:after="0"/>
              <w:jc w:val="center"/>
              <w:rPr>
                <w:lang w:val="en-GB"/>
              </w:rPr>
            </w:pPr>
            <w:r>
              <w:rPr>
                <w:lang w:val="en-GB"/>
              </w:rPr>
              <w:t>291 (75</w:t>
            </w:r>
            <w:r w:rsidRPr="006F7321">
              <w:rPr>
                <w:lang w:val="en-GB"/>
              </w:rPr>
              <w:t>·</w:t>
            </w:r>
            <w:r>
              <w:rPr>
                <w:lang w:val="en-GB"/>
              </w:rPr>
              <w:t>8%)</w:t>
            </w:r>
          </w:p>
        </w:tc>
        <w:tc>
          <w:tcPr>
            <w:tcW w:w="1774" w:type="dxa"/>
            <w:tcBorders>
              <w:top w:val="single" w:sz="3" w:space="0" w:color="000000"/>
              <w:left w:val="single" w:sz="3" w:space="0" w:color="000000"/>
              <w:bottom w:val="single" w:sz="3" w:space="0" w:color="000000"/>
              <w:right w:val="single" w:sz="4" w:space="0" w:color="000000"/>
            </w:tcBorders>
            <w:shd w:val="clear" w:color="auto" w:fill="auto"/>
            <w:vAlign w:val="center"/>
          </w:tcPr>
          <w:p w14:paraId="13466162" w14:textId="122E7869" w:rsidR="003D457A" w:rsidRDefault="006F7321" w:rsidP="00742753">
            <w:pPr>
              <w:spacing w:before="0" w:after="0"/>
              <w:ind w:left="20"/>
              <w:jc w:val="center"/>
              <w:rPr>
                <w:lang w:val="en-GB"/>
              </w:rPr>
            </w:pPr>
            <w:r>
              <w:rPr>
                <w:lang w:val="en-GB"/>
              </w:rPr>
              <w:t>282 (75</w:t>
            </w:r>
            <w:r w:rsidR="00DB6812" w:rsidRPr="00DB6812">
              <w:rPr>
                <w:lang w:val="en-GB"/>
              </w:rPr>
              <w:t>·</w:t>
            </w:r>
            <w:r>
              <w:rPr>
                <w:lang w:val="en-GB"/>
              </w:rPr>
              <w:t>0%)</w:t>
            </w:r>
          </w:p>
        </w:tc>
        <w:tc>
          <w:tcPr>
            <w:tcW w:w="1534" w:type="dxa"/>
            <w:tcBorders>
              <w:top w:val="single" w:sz="3" w:space="0" w:color="000000"/>
              <w:left w:val="single" w:sz="4" w:space="0" w:color="000000"/>
              <w:bottom w:val="single" w:sz="3" w:space="0" w:color="000000"/>
              <w:right w:val="single" w:sz="4" w:space="0" w:color="000000"/>
            </w:tcBorders>
            <w:shd w:val="clear" w:color="auto" w:fill="auto"/>
            <w:vAlign w:val="center"/>
          </w:tcPr>
          <w:p w14:paraId="0E12973D" w14:textId="26FFA643" w:rsidR="003D457A" w:rsidRDefault="006F7321" w:rsidP="00742753">
            <w:pPr>
              <w:spacing w:before="0" w:after="0"/>
              <w:jc w:val="center"/>
              <w:rPr>
                <w:lang w:val="en-GB"/>
              </w:rPr>
            </w:pPr>
            <w:r>
              <w:rPr>
                <w:lang w:val="en-GB"/>
              </w:rPr>
              <w:t>299 (77</w:t>
            </w:r>
            <w:r w:rsidR="00DB6812" w:rsidRPr="00DB6812">
              <w:rPr>
                <w:lang w:val="en-GB"/>
              </w:rPr>
              <w:t>·</w:t>
            </w:r>
            <w:r>
              <w:rPr>
                <w:lang w:val="en-GB"/>
              </w:rPr>
              <w:t>5%)</w:t>
            </w:r>
          </w:p>
        </w:tc>
      </w:tr>
      <w:tr w:rsidR="002F4674" w:rsidRPr="00376E45" w14:paraId="268AE4D9" w14:textId="77777777" w:rsidTr="00094AB6">
        <w:trPr>
          <w:trHeight w:val="486"/>
        </w:trPr>
        <w:tc>
          <w:tcPr>
            <w:tcW w:w="4139" w:type="dxa"/>
            <w:tcBorders>
              <w:top w:val="single" w:sz="3" w:space="0" w:color="000000"/>
              <w:left w:val="single" w:sz="4" w:space="0" w:color="000000"/>
              <w:bottom w:val="single" w:sz="3" w:space="0" w:color="000000"/>
              <w:right w:val="single" w:sz="4" w:space="0" w:color="000000"/>
            </w:tcBorders>
            <w:shd w:val="clear" w:color="auto" w:fill="auto"/>
            <w:vAlign w:val="center"/>
          </w:tcPr>
          <w:p w14:paraId="57BBB64B" w14:textId="389EC43B" w:rsidR="002F4674" w:rsidRPr="00376E45" w:rsidRDefault="002F4674" w:rsidP="002F4674">
            <w:pPr>
              <w:spacing w:before="0" w:after="0"/>
              <w:rPr>
                <w:highlight w:val="green"/>
                <w:lang w:val="en-GB"/>
              </w:rPr>
            </w:pPr>
            <w:r w:rsidRPr="00376E45">
              <w:rPr>
                <w:lang w:val="en-GB"/>
              </w:rPr>
              <w:t>Received live herpes zoster vaccination at screening/baseline, n (%)</w:t>
            </w:r>
          </w:p>
        </w:tc>
        <w:tc>
          <w:tcPr>
            <w:tcW w:w="1653" w:type="dxa"/>
            <w:tcBorders>
              <w:top w:val="single" w:sz="4" w:space="0" w:color="000000"/>
              <w:left w:val="single" w:sz="4" w:space="0" w:color="000000"/>
              <w:bottom w:val="single" w:sz="4" w:space="0" w:color="000000"/>
              <w:right w:val="single" w:sz="4" w:space="0" w:color="000000"/>
            </w:tcBorders>
            <w:vAlign w:val="center"/>
          </w:tcPr>
          <w:p w14:paraId="574D3AEE" w14:textId="6383FE84" w:rsidR="002F4674" w:rsidRPr="00376E45" w:rsidRDefault="009A5339" w:rsidP="002F4674">
            <w:pPr>
              <w:spacing w:before="0" w:after="0"/>
              <w:jc w:val="center"/>
              <w:rPr>
                <w:lang w:val="en-GB"/>
              </w:rPr>
            </w:pPr>
            <w:r w:rsidRPr="00376E45">
              <w:rPr>
                <w:lang w:val="en-GB"/>
              </w:rPr>
              <w:t>69 (18·0%</w:t>
            </w:r>
            <w:r w:rsidR="002F4674" w:rsidRPr="00376E45">
              <w:rPr>
                <w:lang w:val="en-GB"/>
              </w:rPr>
              <w:t>)</w:t>
            </w:r>
          </w:p>
        </w:tc>
        <w:tc>
          <w:tcPr>
            <w:tcW w:w="1774" w:type="dxa"/>
            <w:tcBorders>
              <w:top w:val="single" w:sz="4" w:space="0" w:color="000000"/>
              <w:left w:val="single" w:sz="4" w:space="0" w:color="000000"/>
              <w:bottom w:val="single" w:sz="4" w:space="0" w:color="000000"/>
              <w:right w:val="single" w:sz="4" w:space="0" w:color="000000"/>
            </w:tcBorders>
            <w:vAlign w:val="center"/>
          </w:tcPr>
          <w:p w14:paraId="48DA9494" w14:textId="151684C8" w:rsidR="002F4674" w:rsidRPr="00376E45" w:rsidRDefault="009A5339" w:rsidP="002F4674">
            <w:pPr>
              <w:spacing w:before="0" w:after="0"/>
              <w:ind w:left="20"/>
              <w:jc w:val="center"/>
              <w:rPr>
                <w:lang w:val="en-GB"/>
              </w:rPr>
            </w:pPr>
            <w:r w:rsidRPr="00376E45">
              <w:rPr>
                <w:lang w:val="en-GB"/>
              </w:rPr>
              <w:t>75 (19</w:t>
            </w:r>
            <w:r w:rsidR="003808EF" w:rsidRPr="00376E45">
              <w:rPr>
                <w:lang w:val="en-GB"/>
              </w:rPr>
              <w:t>·</w:t>
            </w:r>
            <w:r w:rsidRPr="00376E45">
              <w:rPr>
                <w:lang w:val="en-GB"/>
              </w:rPr>
              <w:t>9%</w:t>
            </w:r>
            <w:r w:rsidR="002F4674" w:rsidRPr="00376E45">
              <w:rPr>
                <w:lang w:val="en-GB"/>
              </w:rPr>
              <w:t>)</w:t>
            </w:r>
          </w:p>
        </w:tc>
        <w:tc>
          <w:tcPr>
            <w:tcW w:w="1534" w:type="dxa"/>
            <w:tcBorders>
              <w:top w:val="single" w:sz="4" w:space="0" w:color="000000"/>
              <w:left w:val="single" w:sz="4" w:space="0" w:color="000000"/>
              <w:bottom w:val="single" w:sz="4" w:space="0" w:color="000000"/>
              <w:right w:val="single" w:sz="4" w:space="0" w:color="000000"/>
            </w:tcBorders>
            <w:vAlign w:val="center"/>
          </w:tcPr>
          <w:p w14:paraId="0482BC9F" w14:textId="1DCB4136" w:rsidR="002F4674" w:rsidRPr="00376E45" w:rsidRDefault="003808EF" w:rsidP="002F4674">
            <w:pPr>
              <w:spacing w:before="0" w:after="0"/>
              <w:jc w:val="center"/>
              <w:rPr>
                <w:lang w:val="en-GB"/>
              </w:rPr>
            </w:pPr>
            <w:r w:rsidRPr="00376E45">
              <w:rPr>
                <w:lang w:val="en-GB"/>
              </w:rPr>
              <w:t>72 (18·</w:t>
            </w:r>
            <w:r w:rsidR="009A5339" w:rsidRPr="00376E45">
              <w:rPr>
                <w:lang w:val="en-GB"/>
              </w:rPr>
              <w:t>7%</w:t>
            </w:r>
            <w:r w:rsidR="002F4674" w:rsidRPr="00376E45">
              <w:rPr>
                <w:lang w:val="en-GB"/>
              </w:rPr>
              <w:t>)</w:t>
            </w:r>
          </w:p>
        </w:tc>
      </w:tr>
    </w:tbl>
    <w:p w14:paraId="397A1E71" w14:textId="051E992C" w:rsidR="00A86F87" w:rsidRPr="00376E45" w:rsidRDefault="006038FC" w:rsidP="005A09D6">
      <w:pPr>
        <w:pStyle w:val="Caption"/>
        <w:spacing w:line="360" w:lineRule="auto"/>
        <w:rPr>
          <w:lang w:val="en-GB"/>
        </w:rPr>
      </w:pPr>
      <w:proofErr w:type="gramStart"/>
      <w:r w:rsidRPr="00376E45">
        <w:rPr>
          <w:lang w:val="en-GB"/>
        </w:rPr>
        <w:t>bDMARD=</w:t>
      </w:r>
      <w:proofErr w:type="gramEnd"/>
      <w:r w:rsidRPr="00376E45">
        <w:rPr>
          <w:lang w:val="en-GB"/>
        </w:rPr>
        <w:t xml:space="preserve">biological disease-modifying antirheumatic drug. </w:t>
      </w:r>
      <w:r w:rsidR="006F7321">
        <w:rPr>
          <w:lang w:val="en-GB"/>
        </w:rPr>
        <w:t>CCP=</w:t>
      </w:r>
      <w:r w:rsidR="006F7321" w:rsidRPr="006F7321">
        <w:rPr>
          <w:lang w:val="en-GB"/>
        </w:rPr>
        <w:t xml:space="preserve">cyclic </w:t>
      </w:r>
      <w:proofErr w:type="spellStart"/>
      <w:r w:rsidR="006F7321" w:rsidRPr="006F7321">
        <w:rPr>
          <w:lang w:val="en-GB"/>
        </w:rPr>
        <w:t>citrullinated</w:t>
      </w:r>
      <w:proofErr w:type="spellEnd"/>
      <w:r w:rsidR="006F7321" w:rsidRPr="006F7321">
        <w:rPr>
          <w:lang w:val="en-GB"/>
        </w:rPr>
        <w:t xml:space="preserve"> peptide</w:t>
      </w:r>
      <w:r w:rsidR="006F7321">
        <w:rPr>
          <w:lang w:val="en-GB"/>
        </w:rPr>
        <w:t xml:space="preserve">. </w:t>
      </w:r>
      <w:r w:rsidRPr="00376E45">
        <w:rPr>
          <w:lang w:val="en-GB"/>
        </w:rPr>
        <w:t>CDAI=</w:t>
      </w:r>
      <w:r w:rsidR="00737364" w:rsidRPr="00376E45">
        <w:rPr>
          <w:lang w:val="en-GB"/>
        </w:rPr>
        <w:t>Clinical</w:t>
      </w:r>
      <w:r w:rsidRPr="00376E45">
        <w:rPr>
          <w:lang w:val="en-GB"/>
        </w:rPr>
        <w:t xml:space="preserve"> Disease Activity Index. </w:t>
      </w:r>
      <w:proofErr w:type="gramStart"/>
      <w:r w:rsidRPr="00376E45">
        <w:rPr>
          <w:lang w:val="en-GB"/>
        </w:rPr>
        <w:t>csDMARD=</w:t>
      </w:r>
      <w:proofErr w:type="gramEnd"/>
      <w:r w:rsidRPr="00376E45">
        <w:rPr>
          <w:lang w:val="en-GB"/>
        </w:rPr>
        <w:t>conventional synthetic disease-modifying antirheumatic drug.</w:t>
      </w:r>
      <w:r w:rsidR="00A062AA" w:rsidRPr="00A062AA">
        <w:t xml:space="preserve"> </w:t>
      </w:r>
      <w:r w:rsidR="00A062AA" w:rsidRPr="00A062AA">
        <w:rPr>
          <w:lang w:val="en-GB"/>
        </w:rPr>
        <w:t>DAS28-4(</w:t>
      </w:r>
      <w:r w:rsidR="00A062AA">
        <w:rPr>
          <w:lang w:val="en-GB"/>
        </w:rPr>
        <w:t>CRP</w:t>
      </w:r>
      <w:proofErr w:type="gramStart"/>
      <w:r w:rsidR="00A062AA" w:rsidRPr="00A062AA">
        <w:rPr>
          <w:lang w:val="en-GB"/>
        </w:rPr>
        <w:t>)=</w:t>
      </w:r>
      <w:proofErr w:type="gramEnd"/>
      <w:r w:rsidR="00A062AA" w:rsidRPr="00A062AA">
        <w:rPr>
          <w:lang w:val="en-GB"/>
        </w:rPr>
        <w:t xml:space="preserve">Disease Activity Score in 28 joints, </w:t>
      </w:r>
      <w:r w:rsidR="00A062AA">
        <w:rPr>
          <w:lang w:val="en-GB"/>
        </w:rPr>
        <w:t>C-reactive protein</w:t>
      </w:r>
      <w:r w:rsidR="001E3AC7">
        <w:rPr>
          <w:lang w:val="en-GB"/>
        </w:rPr>
        <w:t>.</w:t>
      </w:r>
      <w:r w:rsidRPr="00376E45">
        <w:rPr>
          <w:lang w:val="en-GB"/>
        </w:rPr>
        <w:t xml:space="preserve"> DAS28-4(ESR</w:t>
      </w:r>
      <w:proofErr w:type="gramStart"/>
      <w:r w:rsidRPr="00376E45">
        <w:rPr>
          <w:lang w:val="en-GB"/>
        </w:rPr>
        <w:t>)=</w:t>
      </w:r>
      <w:proofErr w:type="gramEnd"/>
      <w:r w:rsidRPr="00376E45">
        <w:rPr>
          <w:lang w:val="en-GB"/>
        </w:rPr>
        <w:t>Disease Activity Score in 28 joints, erythrocyte sedimentation rate.</w:t>
      </w:r>
      <w:r w:rsidR="00FB4267" w:rsidRPr="00376E45">
        <w:rPr>
          <w:lang w:val="en-GB"/>
        </w:rPr>
        <w:t xml:space="preserve"> FAS=full analysis set.</w:t>
      </w:r>
      <w:r w:rsidRPr="00376E45">
        <w:rPr>
          <w:lang w:val="en-GB"/>
        </w:rPr>
        <w:t xml:space="preserve"> </w:t>
      </w:r>
      <w:r w:rsidR="00FB4267" w:rsidRPr="00376E45">
        <w:rPr>
          <w:lang w:val="en-GB"/>
        </w:rPr>
        <w:t>HAQ-DI=</w:t>
      </w:r>
      <w:r w:rsidR="00A86F87" w:rsidRPr="00376E45">
        <w:rPr>
          <w:lang w:val="en-GB"/>
        </w:rPr>
        <w:t>Health Assessment Questionnaire-Disability Index</w:t>
      </w:r>
      <w:r w:rsidR="00FB4267" w:rsidRPr="00376E45">
        <w:rPr>
          <w:lang w:val="en-GB"/>
        </w:rPr>
        <w:t>.</w:t>
      </w:r>
      <w:r w:rsidR="00A86F87" w:rsidRPr="00376E45">
        <w:rPr>
          <w:lang w:val="en-GB"/>
        </w:rPr>
        <w:t xml:space="preserve"> </w:t>
      </w:r>
      <w:proofErr w:type="spellStart"/>
      <w:proofErr w:type="gramStart"/>
      <w:r w:rsidR="00FB4267" w:rsidRPr="00376E45">
        <w:rPr>
          <w:lang w:val="en-GB"/>
        </w:rPr>
        <w:t>hsCRP</w:t>
      </w:r>
      <w:proofErr w:type="spellEnd"/>
      <w:r w:rsidR="00FB4267" w:rsidRPr="00376E45">
        <w:rPr>
          <w:lang w:val="en-GB"/>
        </w:rPr>
        <w:t>=</w:t>
      </w:r>
      <w:proofErr w:type="gramEnd"/>
      <w:r w:rsidR="00FB4267" w:rsidRPr="00376E45">
        <w:rPr>
          <w:lang w:val="en-GB"/>
        </w:rPr>
        <w:t xml:space="preserve">high-sensitivity C-reactive protein. </w:t>
      </w:r>
      <w:r w:rsidR="00A86F87" w:rsidRPr="00376E45">
        <w:rPr>
          <w:lang w:val="en-GB"/>
        </w:rPr>
        <w:t>MTX</w:t>
      </w:r>
      <w:r w:rsidR="00FB4267" w:rsidRPr="00376E45">
        <w:rPr>
          <w:lang w:val="en-GB"/>
        </w:rPr>
        <w:t>=</w:t>
      </w:r>
      <w:r w:rsidR="00A86F87" w:rsidRPr="00376E45">
        <w:rPr>
          <w:lang w:val="en-GB"/>
        </w:rPr>
        <w:t>methot</w:t>
      </w:r>
      <w:r w:rsidR="00FB4267" w:rsidRPr="00376E45">
        <w:rPr>
          <w:lang w:val="en-GB"/>
        </w:rPr>
        <w:t xml:space="preserve">rexate. SD=standard deviation. </w:t>
      </w:r>
      <w:r w:rsidRPr="00376E45">
        <w:rPr>
          <w:lang w:val="en-GB"/>
        </w:rPr>
        <w:t>SDAI=Simplified Disease Activity Index. TNFi=tumour necrosis factor inhibitor.</w:t>
      </w:r>
    </w:p>
    <w:p w14:paraId="63C740DF" w14:textId="77777777" w:rsidR="00946AA9" w:rsidRPr="00376E45" w:rsidRDefault="00946AA9">
      <w:pPr>
        <w:spacing w:before="0" w:after="0" w:line="240" w:lineRule="auto"/>
        <w:rPr>
          <w:rStyle w:val="Heading4Char"/>
          <w:b w:val="0"/>
          <w:lang w:val="en-GB"/>
        </w:rPr>
      </w:pPr>
      <w:r w:rsidRPr="00376E45">
        <w:rPr>
          <w:rStyle w:val="Heading4Char"/>
          <w:lang w:val="en-GB"/>
        </w:rPr>
        <w:br w:type="page"/>
      </w:r>
    </w:p>
    <w:p w14:paraId="311C1CEF" w14:textId="264895D1" w:rsidR="00697D65" w:rsidRPr="00376E45" w:rsidRDefault="00697D65" w:rsidP="00946AA9">
      <w:pPr>
        <w:pStyle w:val="Heading1"/>
        <w:rPr>
          <w:lang w:val="en-GB"/>
        </w:rPr>
      </w:pPr>
      <w:r w:rsidRPr="00376E45">
        <w:rPr>
          <w:rStyle w:val="Heading4Char"/>
          <w:b/>
          <w:lang w:val="en-GB"/>
        </w:rPr>
        <w:t>Figure 2</w:t>
      </w:r>
      <w:r w:rsidR="0033623E" w:rsidRPr="00376E45">
        <w:rPr>
          <w:lang w:val="en-GB"/>
        </w:rPr>
        <w:t>:</w:t>
      </w:r>
      <w:r w:rsidRPr="00376E45">
        <w:rPr>
          <w:lang w:val="en-GB"/>
        </w:rPr>
        <w:t xml:space="preserve"> </w:t>
      </w:r>
      <w:r w:rsidR="00723A4C" w:rsidRPr="00376E45">
        <w:rPr>
          <w:lang w:val="en-GB"/>
        </w:rPr>
        <w:t xml:space="preserve">Results from FAS for </w:t>
      </w:r>
      <w:r w:rsidRPr="00376E45">
        <w:rPr>
          <w:lang w:val="en-GB"/>
        </w:rPr>
        <w:t xml:space="preserve">(A) ACR50 response rates over 12 months; </w:t>
      </w:r>
      <w:r w:rsidR="00AF668A" w:rsidRPr="00376E45">
        <w:rPr>
          <w:lang w:val="en-GB"/>
        </w:rPr>
        <w:t xml:space="preserve">(B) differences between treatment arms for ACR50 at 6 months; </w:t>
      </w:r>
      <w:r w:rsidRPr="00376E45">
        <w:rPr>
          <w:lang w:val="en-GB"/>
        </w:rPr>
        <w:t>(C) ACR20 response rates over 12 months; (D) ACR7</w:t>
      </w:r>
      <w:r w:rsidR="007547A7" w:rsidRPr="00376E45">
        <w:rPr>
          <w:lang w:val="en-GB"/>
        </w:rPr>
        <w:t>0 response rates over 12 months</w:t>
      </w:r>
    </w:p>
    <w:p w14:paraId="3B3A52D2" w14:textId="5EF947D0" w:rsidR="00697D65" w:rsidRPr="00376E45" w:rsidRDefault="00CE5E66" w:rsidP="005A09D6">
      <w:pPr>
        <w:keepNext/>
        <w:spacing w:line="276" w:lineRule="auto"/>
        <w:rPr>
          <w:lang w:val="en-GB"/>
        </w:rPr>
      </w:pPr>
      <w:r w:rsidRPr="00376E45">
        <w:rPr>
          <w:noProof/>
          <w:lang w:val="en-GB" w:eastAsia="en-GB"/>
        </w:rPr>
        <w:drawing>
          <wp:inline distT="0" distB="0" distL="0" distR="0" wp14:anchorId="1C44CCA8" wp14:editId="67385815">
            <wp:extent cx="6181133" cy="388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90215" cy="3891910"/>
                    </a:xfrm>
                    <a:prstGeom prst="rect">
                      <a:avLst/>
                    </a:prstGeom>
                  </pic:spPr>
                </pic:pic>
              </a:graphicData>
            </a:graphic>
          </wp:inline>
        </w:drawing>
      </w:r>
    </w:p>
    <w:p w14:paraId="0FABE9D6" w14:textId="68B129A1" w:rsidR="00697D65" w:rsidRPr="00376E45" w:rsidRDefault="00F9293E" w:rsidP="005A09D6">
      <w:pPr>
        <w:pStyle w:val="Caption"/>
        <w:spacing w:line="360" w:lineRule="auto"/>
        <w:rPr>
          <w:lang w:val="en-GB"/>
        </w:rPr>
      </w:pPr>
      <w:r w:rsidRPr="00376E45">
        <w:rPr>
          <w:lang w:val="en-GB"/>
        </w:rPr>
        <w:t xml:space="preserve">ACR=American College of Rheumatology. </w:t>
      </w:r>
      <w:r w:rsidR="00697D65" w:rsidRPr="00376E45">
        <w:rPr>
          <w:lang w:val="en-GB"/>
        </w:rPr>
        <w:t>BID</w:t>
      </w:r>
      <w:r w:rsidRPr="00376E45">
        <w:rPr>
          <w:lang w:val="en-GB"/>
        </w:rPr>
        <w:t>=</w:t>
      </w:r>
      <w:r w:rsidR="00697D65" w:rsidRPr="00376E45">
        <w:rPr>
          <w:lang w:val="en-GB"/>
        </w:rPr>
        <w:t>twice daily</w:t>
      </w:r>
      <w:r w:rsidRPr="00376E45">
        <w:rPr>
          <w:lang w:val="en-GB"/>
        </w:rPr>
        <w:t>.</w:t>
      </w:r>
      <w:r w:rsidR="00697D65" w:rsidRPr="00376E45">
        <w:rPr>
          <w:lang w:val="en-GB"/>
        </w:rPr>
        <w:t xml:space="preserve"> CI</w:t>
      </w:r>
      <w:r w:rsidRPr="00376E45">
        <w:rPr>
          <w:lang w:val="en-GB"/>
        </w:rPr>
        <w:t>=</w:t>
      </w:r>
      <w:r w:rsidR="00697D65" w:rsidRPr="00376E45">
        <w:rPr>
          <w:lang w:val="en-GB"/>
        </w:rPr>
        <w:t>confidence intervals</w:t>
      </w:r>
      <w:r w:rsidR="00723A4C" w:rsidRPr="00376E45">
        <w:rPr>
          <w:lang w:val="en-GB"/>
        </w:rPr>
        <w:t xml:space="preserve">. </w:t>
      </w:r>
      <w:r w:rsidR="00D30FC3" w:rsidRPr="00D30FC3">
        <w:rPr>
          <w:lang w:val="en-GB"/>
        </w:rPr>
        <w:t xml:space="preserve">FAS=full analysis set. </w:t>
      </w:r>
      <w:r w:rsidR="00697D65" w:rsidRPr="00376E45">
        <w:rPr>
          <w:lang w:val="en-GB"/>
        </w:rPr>
        <w:t>MTX</w:t>
      </w:r>
      <w:r w:rsidRPr="00376E45">
        <w:rPr>
          <w:lang w:val="en-GB"/>
        </w:rPr>
        <w:t>=</w:t>
      </w:r>
      <w:r w:rsidR="00697D65" w:rsidRPr="00376E45">
        <w:rPr>
          <w:lang w:val="en-GB"/>
        </w:rPr>
        <w:t>methotrexate.</w:t>
      </w:r>
    </w:p>
    <w:p w14:paraId="51367FDF" w14:textId="1736F65E" w:rsidR="00697D65" w:rsidRPr="00376E45" w:rsidRDefault="00697D65" w:rsidP="005A09D6">
      <w:pPr>
        <w:pStyle w:val="Caption"/>
        <w:spacing w:line="360" w:lineRule="auto"/>
        <w:rPr>
          <w:lang w:val="en-GB"/>
        </w:rPr>
      </w:pPr>
      <w:r w:rsidRPr="00376E45">
        <w:rPr>
          <w:lang w:val="en-GB"/>
        </w:rPr>
        <w:t>*Criteria for non-inferiority met.</w:t>
      </w:r>
    </w:p>
    <w:p w14:paraId="0B0A6DC4" w14:textId="77777777" w:rsidR="00946AA9" w:rsidRPr="00376E45" w:rsidRDefault="00946AA9">
      <w:pPr>
        <w:spacing w:before="0" w:after="0" w:line="240" w:lineRule="auto"/>
        <w:rPr>
          <w:b/>
          <w:lang w:val="en-GB"/>
        </w:rPr>
      </w:pPr>
      <w:r w:rsidRPr="00376E45">
        <w:rPr>
          <w:lang w:val="en-GB"/>
        </w:rPr>
        <w:br w:type="page"/>
      </w:r>
    </w:p>
    <w:p w14:paraId="7095BE0B" w14:textId="39DCC791" w:rsidR="00697D65" w:rsidRPr="00376E45" w:rsidRDefault="00697D65" w:rsidP="007547A7">
      <w:pPr>
        <w:pStyle w:val="Heading1"/>
        <w:rPr>
          <w:lang w:val="en-GB"/>
        </w:rPr>
      </w:pPr>
      <w:r w:rsidRPr="00376E45">
        <w:rPr>
          <w:lang w:val="en-GB"/>
        </w:rPr>
        <w:t>Table 2</w:t>
      </w:r>
      <w:r w:rsidR="0033623E" w:rsidRPr="00376E45">
        <w:rPr>
          <w:lang w:val="en-GB"/>
        </w:rPr>
        <w:t>:</w:t>
      </w:r>
      <w:r w:rsidRPr="00376E45">
        <w:rPr>
          <w:lang w:val="en-GB"/>
        </w:rPr>
        <w:t xml:space="preserve"> Pr</w:t>
      </w:r>
      <w:r w:rsidR="0033623E" w:rsidRPr="00376E45">
        <w:rPr>
          <w:lang w:val="en-GB"/>
        </w:rPr>
        <w:t xml:space="preserve">oportion of patients </w:t>
      </w:r>
      <w:r w:rsidR="00723A4C" w:rsidRPr="00376E45">
        <w:rPr>
          <w:lang w:val="en-GB"/>
        </w:rPr>
        <w:t xml:space="preserve">in FAS </w:t>
      </w:r>
      <w:r w:rsidR="0033623E" w:rsidRPr="00376E45">
        <w:rPr>
          <w:lang w:val="en-GB"/>
        </w:rPr>
        <w:t xml:space="preserve">achieving </w:t>
      </w:r>
      <w:r w:rsidRPr="00376E45">
        <w:rPr>
          <w:lang w:val="en-GB"/>
        </w:rPr>
        <w:t>ACR response, LDA</w:t>
      </w:r>
      <w:r w:rsidR="0033623E" w:rsidRPr="00376E45">
        <w:rPr>
          <w:lang w:val="en-GB"/>
        </w:rPr>
        <w:t>,</w:t>
      </w:r>
      <w:r w:rsidRPr="00376E45">
        <w:rPr>
          <w:lang w:val="en-GB"/>
        </w:rPr>
        <w:t xml:space="preserve"> and remission as assessed by SDAI, CDAI</w:t>
      </w:r>
      <w:r w:rsidR="0033623E" w:rsidRPr="00376E45">
        <w:rPr>
          <w:lang w:val="en-GB"/>
        </w:rPr>
        <w:t>,</w:t>
      </w:r>
      <w:r w:rsidRPr="00376E45">
        <w:rPr>
          <w:lang w:val="en-GB"/>
        </w:rPr>
        <w:t xml:space="preserve"> and DAS28-4(ESR)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894"/>
        <w:gridCol w:w="1916"/>
        <w:gridCol w:w="1916"/>
        <w:gridCol w:w="1916"/>
      </w:tblGrid>
      <w:tr w:rsidR="00697D65" w:rsidRPr="00376E45" w14:paraId="69B34ACC" w14:textId="77777777" w:rsidTr="005A09D6">
        <w:tc>
          <w:tcPr>
            <w:tcW w:w="2894" w:type="dxa"/>
            <w:shd w:val="clear" w:color="auto" w:fill="auto"/>
          </w:tcPr>
          <w:p w14:paraId="3BA8AD06" w14:textId="77777777" w:rsidR="00697D65" w:rsidRPr="00376E45" w:rsidRDefault="00697D65" w:rsidP="00742753">
            <w:pPr>
              <w:spacing w:before="0" w:after="0"/>
              <w:rPr>
                <w:lang w:val="en-GB"/>
              </w:rPr>
            </w:pPr>
          </w:p>
        </w:tc>
        <w:tc>
          <w:tcPr>
            <w:tcW w:w="1916" w:type="dxa"/>
            <w:shd w:val="clear" w:color="auto" w:fill="auto"/>
          </w:tcPr>
          <w:p w14:paraId="510290ED" w14:textId="77777777" w:rsidR="00697D65" w:rsidRPr="00376E45" w:rsidRDefault="00697D65" w:rsidP="00742753">
            <w:pPr>
              <w:spacing w:before="0" w:after="0"/>
              <w:ind w:left="101"/>
              <w:jc w:val="center"/>
              <w:rPr>
                <w:lang w:val="en-GB"/>
              </w:rPr>
            </w:pPr>
            <w:r w:rsidRPr="00376E45">
              <w:rPr>
                <w:b/>
                <w:lang w:val="en-GB"/>
              </w:rPr>
              <w:t>Tofacitinib monotherapy (N=384)</w:t>
            </w:r>
          </w:p>
        </w:tc>
        <w:tc>
          <w:tcPr>
            <w:tcW w:w="1916" w:type="dxa"/>
            <w:shd w:val="clear" w:color="auto" w:fill="auto"/>
          </w:tcPr>
          <w:p w14:paraId="6A7EB474" w14:textId="77777777" w:rsidR="00697D65" w:rsidRPr="00376E45" w:rsidRDefault="00697D65" w:rsidP="00742753">
            <w:pPr>
              <w:spacing w:before="0" w:after="0"/>
              <w:ind w:left="-6" w:firstLine="108"/>
              <w:jc w:val="center"/>
              <w:rPr>
                <w:lang w:val="en-GB"/>
              </w:rPr>
            </w:pPr>
            <w:r w:rsidRPr="00376E45">
              <w:rPr>
                <w:b/>
                <w:lang w:val="en-GB"/>
              </w:rPr>
              <w:t>Tofacitinib</w:t>
            </w:r>
            <w:r w:rsidRPr="00376E45">
              <w:rPr>
                <w:b/>
                <w:lang w:val="en-GB"/>
              </w:rPr>
              <w:br/>
              <w:t xml:space="preserve"> + MTX </w:t>
            </w:r>
            <w:r w:rsidRPr="00376E45">
              <w:rPr>
                <w:b/>
                <w:lang w:val="en-GB"/>
              </w:rPr>
              <w:br/>
              <w:t>(N=376)</w:t>
            </w:r>
          </w:p>
        </w:tc>
        <w:tc>
          <w:tcPr>
            <w:tcW w:w="1916" w:type="dxa"/>
            <w:shd w:val="clear" w:color="auto" w:fill="auto"/>
          </w:tcPr>
          <w:p w14:paraId="19DDB69C" w14:textId="77777777" w:rsidR="00697D65" w:rsidRPr="00376E45" w:rsidRDefault="00697D65" w:rsidP="00742753">
            <w:pPr>
              <w:spacing w:before="0" w:after="0"/>
              <w:ind w:left="101"/>
              <w:jc w:val="center"/>
              <w:rPr>
                <w:lang w:val="en-GB"/>
              </w:rPr>
            </w:pPr>
            <w:r w:rsidRPr="00376E45">
              <w:rPr>
                <w:b/>
                <w:lang w:val="en-GB"/>
              </w:rPr>
              <w:t>Adalimumab</w:t>
            </w:r>
            <w:r w:rsidRPr="00376E45">
              <w:rPr>
                <w:b/>
                <w:lang w:val="en-GB"/>
              </w:rPr>
              <w:br/>
            </w:r>
            <w:r w:rsidRPr="00376E45">
              <w:rPr>
                <w:lang w:val="en-GB"/>
              </w:rPr>
              <w:t xml:space="preserve"> </w:t>
            </w:r>
            <w:r w:rsidRPr="00376E45">
              <w:rPr>
                <w:b/>
                <w:lang w:val="en-GB"/>
              </w:rPr>
              <w:t xml:space="preserve">+ MTX </w:t>
            </w:r>
            <w:r w:rsidRPr="00376E45">
              <w:rPr>
                <w:b/>
                <w:lang w:val="en-GB"/>
              </w:rPr>
              <w:br/>
              <w:t>(N=386)</w:t>
            </w:r>
          </w:p>
        </w:tc>
      </w:tr>
      <w:tr w:rsidR="00697D65" w:rsidRPr="00376E45" w14:paraId="006510BE" w14:textId="77777777" w:rsidTr="005A09D6">
        <w:tc>
          <w:tcPr>
            <w:tcW w:w="8642" w:type="dxa"/>
            <w:gridSpan w:val="4"/>
            <w:shd w:val="clear" w:color="auto" w:fill="auto"/>
          </w:tcPr>
          <w:p w14:paraId="1E4962EE" w14:textId="77777777" w:rsidR="00697D65" w:rsidRPr="00376E45" w:rsidRDefault="00697D65" w:rsidP="00742753">
            <w:pPr>
              <w:spacing w:before="0" w:after="0"/>
              <w:ind w:left="113"/>
              <w:rPr>
                <w:b/>
                <w:lang w:val="en-GB"/>
              </w:rPr>
            </w:pPr>
            <w:r w:rsidRPr="00376E45">
              <w:rPr>
                <w:b/>
                <w:lang w:val="en-GB"/>
              </w:rPr>
              <w:t>Proportion of patients achieving ACR criteria, n (%)</w:t>
            </w:r>
          </w:p>
        </w:tc>
      </w:tr>
      <w:tr w:rsidR="00697D65" w:rsidRPr="00376E45" w14:paraId="27148B1B" w14:textId="77777777" w:rsidTr="005A09D6">
        <w:tc>
          <w:tcPr>
            <w:tcW w:w="2894" w:type="dxa"/>
            <w:shd w:val="clear" w:color="auto" w:fill="auto"/>
          </w:tcPr>
          <w:p w14:paraId="403FF90E" w14:textId="77777777" w:rsidR="00697D65" w:rsidRPr="00376E45" w:rsidRDefault="00697D65" w:rsidP="00742753">
            <w:pPr>
              <w:spacing w:before="0" w:after="0"/>
              <w:ind w:left="113"/>
              <w:rPr>
                <w:b/>
                <w:lang w:val="en-GB"/>
              </w:rPr>
            </w:pPr>
            <w:r w:rsidRPr="00376E45">
              <w:rPr>
                <w:b/>
                <w:lang w:val="en-GB"/>
              </w:rPr>
              <w:t>ACR20</w:t>
            </w:r>
          </w:p>
        </w:tc>
        <w:tc>
          <w:tcPr>
            <w:tcW w:w="1916" w:type="dxa"/>
            <w:shd w:val="clear" w:color="auto" w:fill="auto"/>
          </w:tcPr>
          <w:p w14:paraId="7142521F" w14:textId="77777777" w:rsidR="00697D65" w:rsidRPr="00376E45" w:rsidRDefault="00697D65" w:rsidP="00742753">
            <w:pPr>
              <w:spacing w:before="0" w:after="0"/>
              <w:ind w:left="113"/>
              <w:rPr>
                <w:lang w:val="en-GB"/>
              </w:rPr>
            </w:pPr>
          </w:p>
        </w:tc>
        <w:tc>
          <w:tcPr>
            <w:tcW w:w="1916" w:type="dxa"/>
            <w:shd w:val="clear" w:color="auto" w:fill="auto"/>
          </w:tcPr>
          <w:p w14:paraId="185554CB" w14:textId="77777777" w:rsidR="00697D65" w:rsidRPr="00376E45" w:rsidRDefault="00697D65" w:rsidP="00742753">
            <w:pPr>
              <w:spacing w:before="0" w:after="0"/>
              <w:ind w:left="113"/>
              <w:rPr>
                <w:lang w:val="en-GB"/>
              </w:rPr>
            </w:pPr>
          </w:p>
        </w:tc>
        <w:tc>
          <w:tcPr>
            <w:tcW w:w="1916" w:type="dxa"/>
            <w:shd w:val="clear" w:color="auto" w:fill="auto"/>
          </w:tcPr>
          <w:p w14:paraId="1CA2A805" w14:textId="77777777" w:rsidR="00697D65" w:rsidRPr="00376E45" w:rsidRDefault="00697D65" w:rsidP="00742753">
            <w:pPr>
              <w:spacing w:before="0" w:after="0"/>
              <w:ind w:left="113"/>
              <w:rPr>
                <w:lang w:val="en-GB"/>
              </w:rPr>
            </w:pPr>
          </w:p>
        </w:tc>
      </w:tr>
      <w:tr w:rsidR="00697D65" w:rsidRPr="00376E45" w14:paraId="1A2332A5" w14:textId="77777777" w:rsidTr="005A09D6">
        <w:tc>
          <w:tcPr>
            <w:tcW w:w="2894" w:type="dxa"/>
            <w:shd w:val="clear" w:color="auto" w:fill="auto"/>
          </w:tcPr>
          <w:p w14:paraId="5A2942A1" w14:textId="77777777" w:rsidR="00697D65" w:rsidRPr="00376E45" w:rsidRDefault="00697D65" w:rsidP="00742753">
            <w:pPr>
              <w:spacing w:before="0" w:after="0"/>
              <w:ind w:left="596"/>
              <w:rPr>
                <w:b/>
                <w:lang w:val="en-GB"/>
              </w:rPr>
            </w:pPr>
            <w:r w:rsidRPr="00376E45">
              <w:rPr>
                <w:lang w:val="en-GB"/>
              </w:rPr>
              <w:t>6 months</w:t>
            </w:r>
          </w:p>
        </w:tc>
        <w:tc>
          <w:tcPr>
            <w:tcW w:w="1916" w:type="dxa"/>
            <w:shd w:val="clear" w:color="auto" w:fill="auto"/>
          </w:tcPr>
          <w:p w14:paraId="7BEE00B0" w14:textId="4044795F" w:rsidR="00697D65" w:rsidRPr="00376E45" w:rsidRDefault="00697D65" w:rsidP="00742753">
            <w:pPr>
              <w:spacing w:before="0" w:after="0"/>
              <w:ind w:left="113"/>
              <w:rPr>
                <w:lang w:val="en-GB"/>
              </w:rPr>
            </w:pPr>
            <w:r w:rsidRPr="00376E45">
              <w:rPr>
                <w:lang w:val="en-GB"/>
              </w:rPr>
              <w:t>249 (64</w:t>
            </w:r>
            <w:r w:rsidR="00334EBB" w:rsidRPr="00376E45">
              <w:rPr>
                <w:lang w:val="en-GB"/>
              </w:rPr>
              <w:t>·</w:t>
            </w:r>
            <w:r w:rsidRPr="00376E45">
              <w:rPr>
                <w:lang w:val="en-GB"/>
              </w:rPr>
              <w:t>8%)</w:t>
            </w:r>
          </w:p>
        </w:tc>
        <w:tc>
          <w:tcPr>
            <w:tcW w:w="1916" w:type="dxa"/>
            <w:shd w:val="clear" w:color="auto" w:fill="auto"/>
          </w:tcPr>
          <w:p w14:paraId="749D56D9" w14:textId="41D79E2E" w:rsidR="00697D65" w:rsidRPr="00376E45" w:rsidRDefault="00697D65" w:rsidP="00742753">
            <w:pPr>
              <w:spacing w:before="0" w:after="0"/>
              <w:ind w:left="113"/>
              <w:rPr>
                <w:lang w:val="en-GB"/>
              </w:rPr>
            </w:pPr>
            <w:r w:rsidRPr="00376E45">
              <w:rPr>
                <w:lang w:val="en-GB"/>
              </w:rPr>
              <w:t>275 (73</w:t>
            </w:r>
            <w:r w:rsidR="00334EBB" w:rsidRPr="00376E45">
              <w:rPr>
                <w:lang w:val="en-GB"/>
              </w:rPr>
              <w:t>·</w:t>
            </w:r>
            <w:r w:rsidRPr="00376E45">
              <w:rPr>
                <w:lang w:val="en-GB"/>
              </w:rPr>
              <w:t>1%)</w:t>
            </w:r>
          </w:p>
        </w:tc>
        <w:tc>
          <w:tcPr>
            <w:tcW w:w="1916" w:type="dxa"/>
            <w:shd w:val="clear" w:color="auto" w:fill="auto"/>
          </w:tcPr>
          <w:p w14:paraId="5319A6DC" w14:textId="232E0A00" w:rsidR="00697D65" w:rsidRPr="00376E45" w:rsidRDefault="00697D65" w:rsidP="00742753">
            <w:pPr>
              <w:spacing w:before="0" w:after="0"/>
              <w:ind w:left="113"/>
              <w:rPr>
                <w:lang w:val="en-GB"/>
              </w:rPr>
            </w:pPr>
            <w:r w:rsidRPr="00376E45">
              <w:rPr>
                <w:lang w:val="en-GB"/>
              </w:rPr>
              <w:t>274 (71</w:t>
            </w:r>
            <w:r w:rsidR="00334EBB" w:rsidRPr="00376E45">
              <w:rPr>
                <w:lang w:val="en-GB"/>
              </w:rPr>
              <w:t>·</w:t>
            </w:r>
            <w:r w:rsidRPr="00376E45">
              <w:rPr>
                <w:lang w:val="en-GB"/>
              </w:rPr>
              <w:t>0%)</w:t>
            </w:r>
          </w:p>
        </w:tc>
      </w:tr>
      <w:tr w:rsidR="00697D65" w:rsidRPr="00376E45" w14:paraId="39676CF5" w14:textId="77777777" w:rsidTr="005A09D6">
        <w:tc>
          <w:tcPr>
            <w:tcW w:w="2894" w:type="dxa"/>
            <w:shd w:val="clear" w:color="auto" w:fill="auto"/>
          </w:tcPr>
          <w:p w14:paraId="535AACEC" w14:textId="77777777" w:rsidR="00697D65" w:rsidRPr="00376E45" w:rsidRDefault="00697D65" w:rsidP="00742753">
            <w:pPr>
              <w:spacing w:before="0" w:after="0"/>
              <w:ind w:left="596"/>
              <w:rPr>
                <w:b/>
                <w:lang w:val="en-GB"/>
              </w:rPr>
            </w:pPr>
            <w:r w:rsidRPr="00376E45">
              <w:rPr>
                <w:lang w:val="en-GB"/>
              </w:rPr>
              <w:t>12 months</w:t>
            </w:r>
          </w:p>
        </w:tc>
        <w:tc>
          <w:tcPr>
            <w:tcW w:w="1916" w:type="dxa"/>
            <w:shd w:val="clear" w:color="auto" w:fill="auto"/>
          </w:tcPr>
          <w:p w14:paraId="58A8B06D" w14:textId="6717957C" w:rsidR="00697D65" w:rsidRPr="00376E45" w:rsidRDefault="00697D65" w:rsidP="00742753">
            <w:pPr>
              <w:spacing w:before="0" w:after="0"/>
              <w:ind w:left="113"/>
              <w:rPr>
                <w:lang w:val="en-GB"/>
              </w:rPr>
            </w:pPr>
            <w:r w:rsidRPr="00376E45">
              <w:rPr>
                <w:lang w:val="en-GB"/>
              </w:rPr>
              <w:t>237 (61</w:t>
            </w:r>
            <w:r w:rsidR="00334EBB" w:rsidRPr="00376E45">
              <w:rPr>
                <w:lang w:val="en-GB"/>
              </w:rPr>
              <w:t>·</w:t>
            </w:r>
            <w:r w:rsidRPr="00376E45">
              <w:rPr>
                <w:lang w:val="en-GB"/>
              </w:rPr>
              <w:t>7%)</w:t>
            </w:r>
          </w:p>
        </w:tc>
        <w:tc>
          <w:tcPr>
            <w:tcW w:w="1916" w:type="dxa"/>
            <w:shd w:val="clear" w:color="auto" w:fill="auto"/>
          </w:tcPr>
          <w:p w14:paraId="5A852581" w14:textId="2A4111C9" w:rsidR="00697D65" w:rsidRPr="00376E45" w:rsidRDefault="00697D65" w:rsidP="00742753">
            <w:pPr>
              <w:spacing w:before="0" w:after="0"/>
              <w:ind w:left="113"/>
              <w:rPr>
                <w:lang w:val="en-GB"/>
              </w:rPr>
            </w:pPr>
            <w:r w:rsidRPr="00376E45">
              <w:rPr>
                <w:lang w:val="en-GB"/>
              </w:rPr>
              <w:t>264 (70</w:t>
            </w:r>
            <w:r w:rsidR="00334EBB" w:rsidRPr="00376E45">
              <w:rPr>
                <w:lang w:val="en-GB"/>
              </w:rPr>
              <w:t>·</w:t>
            </w:r>
            <w:r w:rsidRPr="00376E45">
              <w:rPr>
                <w:lang w:val="en-GB"/>
              </w:rPr>
              <w:t>2%)</w:t>
            </w:r>
          </w:p>
        </w:tc>
        <w:tc>
          <w:tcPr>
            <w:tcW w:w="1916" w:type="dxa"/>
            <w:shd w:val="clear" w:color="auto" w:fill="auto"/>
          </w:tcPr>
          <w:p w14:paraId="40FCB2E2" w14:textId="404E79D1" w:rsidR="00697D65" w:rsidRPr="00376E45" w:rsidRDefault="00697D65" w:rsidP="00742753">
            <w:pPr>
              <w:spacing w:before="0" w:after="0"/>
              <w:ind w:left="113"/>
              <w:rPr>
                <w:lang w:val="en-GB"/>
              </w:rPr>
            </w:pPr>
            <w:r w:rsidRPr="00376E45">
              <w:rPr>
                <w:lang w:val="en-GB"/>
              </w:rPr>
              <w:t>261 (67</w:t>
            </w:r>
            <w:r w:rsidR="00334EBB" w:rsidRPr="00376E45">
              <w:rPr>
                <w:lang w:val="en-GB"/>
              </w:rPr>
              <w:t>·</w:t>
            </w:r>
            <w:r w:rsidRPr="00376E45">
              <w:rPr>
                <w:lang w:val="en-GB"/>
              </w:rPr>
              <w:t>6%)</w:t>
            </w:r>
          </w:p>
        </w:tc>
      </w:tr>
      <w:tr w:rsidR="00697D65" w:rsidRPr="00376E45" w14:paraId="4385085D" w14:textId="77777777" w:rsidTr="005A09D6">
        <w:tc>
          <w:tcPr>
            <w:tcW w:w="2894" w:type="dxa"/>
            <w:shd w:val="clear" w:color="auto" w:fill="auto"/>
          </w:tcPr>
          <w:p w14:paraId="4FCBB936" w14:textId="77777777" w:rsidR="00697D65" w:rsidRPr="00376E45" w:rsidRDefault="00697D65" w:rsidP="00742753">
            <w:pPr>
              <w:spacing w:before="0" w:after="0"/>
              <w:ind w:left="113"/>
              <w:rPr>
                <w:b/>
                <w:lang w:val="en-GB"/>
              </w:rPr>
            </w:pPr>
            <w:r w:rsidRPr="00376E45">
              <w:rPr>
                <w:b/>
                <w:lang w:val="en-GB"/>
              </w:rPr>
              <w:t>ACR50</w:t>
            </w:r>
          </w:p>
        </w:tc>
        <w:tc>
          <w:tcPr>
            <w:tcW w:w="1916" w:type="dxa"/>
            <w:shd w:val="clear" w:color="auto" w:fill="auto"/>
          </w:tcPr>
          <w:p w14:paraId="558D2E06" w14:textId="77777777" w:rsidR="00697D65" w:rsidRPr="00376E45" w:rsidRDefault="00697D65" w:rsidP="00742753">
            <w:pPr>
              <w:spacing w:before="0" w:after="0"/>
              <w:ind w:left="113"/>
              <w:rPr>
                <w:lang w:val="en-GB"/>
              </w:rPr>
            </w:pPr>
          </w:p>
        </w:tc>
        <w:tc>
          <w:tcPr>
            <w:tcW w:w="1916" w:type="dxa"/>
            <w:shd w:val="clear" w:color="auto" w:fill="auto"/>
          </w:tcPr>
          <w:p w14:paraId="242B7B1E" w14:textId="77777777" w:rsidR="00697D65" w:rsidRPr="00376E45" w:rsidRDefault="00697D65" w:rsidP="00742753">
            <w:pPr>
              <w:spacing w:before="0" w:after="0"/>
              <w:ind w:left="113"/>
              <w:rPr>
                <w:lang w:val="en-GB"/>
              </w:rPr>
            </w:pPr>
          </w:p>
        </w:tc>
        <w:tc>
          <w:tcPr>
            <w:tcW w:w="1916" w:type="dxa"/>
            <w:shd w:val="clear" w:color="auto" w:fill="auto"/>
          </w:tcPr>
          <w:p w14:paraId="331EE6B2" w14:textId="77777777" w:rsidR="00697D65" w:rsidRPr="00376E45" w:rsidRDefault="00697D65" w:rsidP="00742753">
            <w:pPr>
              <w:spacing w:before="0" w:after="0"/>
              <w:ind w:left="113"/>
              <w:rPr>
                <w:lang w:val="en-GB"/>
              </w:rPr>
            </w:pPr>
          </w:p>
        </w:tc>
      </w:tr>
      <w:tr w:rsidR="00697D65" w:rsidRPr="00376E45" w14:paraId="7A9655A9" w14:textId="77777777" w:rsidTr="005A09D6">
        <w:tc>
          <w:tcPr>
            <w:tcW w:w="2894" w:type="dxa"/>
            <w:shd w:val="clear" w:color="auto" w:fill="auto"/>
          </w:tcPr>
          <w:p w14:paraId="619EBF7C" w14:textId="77777777" w:rsidR="00697D65" w:rsidRPr="00376E45" w:rsidRDefault="00697D65" w:rsidP="00742753">
            <w:pPr>
              <w:spacing w:before="0" w:after="0"/>
              <w:ind w:left="596"/>
              <w:rPr>
                <w:b/>
                <w:lang w:val="en-GB"/>
              </w:rPr>
            </w:pPr>
            <w:r w:rsidRPr="00376E45">
              <w:rPr>
                <w:lang w:val="en-GB"/>
              </w:rPr>
              <w:t>6 months</w:t>
            </w:r>
          </w:p>
        </w:tc>
        <w:tc>
          <w:tcPr>
            <w:tcW w:w="1916" w:type="dxa"/>
            <w:shd w:val="clear" w:color="auto" w:fill="auto"/>
          </w:tcPr>
          <w:p w14:paraId="2224E0E0" w14:textId="3E83BA1D" w:rsidR="00697D65" w:rsidRPr="00376E45" w:rsidRDefault="00697D65" w:rsidP="00742753">
            <w:pPr>
              <w:spacing w:before="0" w:after="0"/>
              <w:ind w:left="113"/>
              <w:rPr>
                <w:lang w:val="en-GB"/>
              </w:rPr>
            </w:pPr>
            <w:r w:rsidRPr="00376E45">
              <w:rPr>
                <w:lang w:val="en-GB"/>
              </w:rPr>
              <w:t>147 (38</w:t>
            </w:r>
            <w:r w:rsidR="00334EBB" w:rsidRPr="00376E45">
              <w:rPr>
                <w:lang w:val="en-GB"/>
              </w:rPr>
              <w:t>·</w:t>
            </w:r>
            <w:r w:rsidRPr="00376E45">
              <w:rPr>
                <w:lang w:val="en-GB"/>
              </w:rPr>
              <w:t>3%)</w:t>
            </w:r>
          </w:p>
        </w:tc>
        <w:tc>
          <w:tcPr>
            <w:tcW w:w="1916" w:type="dxa"/>
            <w:shd w:val="clear" w:color="auto" w:fill="auto"/>
          </w:tcPr>
          <w:p w14:paraId="7BD3A945" w14:textId="19FE231E" w:rsidR="00697D65" w:rsidRPr="00376E45" w:rsidRDefault="00697D65" w:rsidP="00742753">
            <w:pPr>
              <w:spacing w:before="0" w:after="0"/>
              <w:ind w:left="113"/>
              <w:rPr>
                <w:lang w:val="en-GB"/>
              </w:rPr>
            </w:pPr>
            <w:r w:rsidRPr="00376E45">
              <w:rPr>
                <w:lang w:val="en-GB"/>
              </w:rPr>
              <w:t>173 (46</w:t>
            </w:r>
            <w:r w:rsidR="00334EBB" w:rsidRPr="00376E45">
              <w:rPr>
                <w:lang w:val="en-GB"/>
              </w:rPr>
              <w:t>·</w:t>
            </w:r>
            <w:r w:rsidRPr="00376E45">
              <w:rPr>
                <w:lang w:val="en-GB"/>
              </w:rPr>
              <w:t>0%)</w:t>
            </w:r>
          </w:p>
        </w:tc>
        <w:tc>
          <w:tcPr>
            <w:tcW w:w="1916" w:type="dxa"/>
            <w:shd w:val="clear" w:color="auto" w:fill="auto"/>
          </w:tcPr>
          <w:p w14:paraId="0211A93E" w14:textId="25E439FE" w:rsidR="00697D65" w:rsidRPr="00376E45" w:rsidRDefault="00697D65" w:rsidP="00742753">
            <w:pPr>
              <w:spacing w:before="0" w:after="0"/>
              <w:ind w:left="113"/>
              <w:rPr>
                <w:lang w:val="en-GB"/>
              </w:rPr>
            </w:pPr>
            <w:r w:rsidRPr="00376E45">
              <w:rPr>
                <w:lang w:val="en-GB"/>
              </w:rPr>
              <w:t>169 (43</w:t>
            </w:r>
            <w:r w:rsidR="00334EBB" w:rsidRPr="00376E45">
              <w:rPr>
                <w:lang w:val="en-GB"/>
              </w:rPr>
              <w:t>·</w:t>
            </w:r>
            <w:r w:rsidRPr="00376E45">
              <w:rPr>
                <w:lang w:val="en-GB"/>
              </w:rPr>
              <w:t>8%)</w:t>
            </w:r>
          </w:p>
        </w:tc>
      </w:tr>
      <w:tr w:rsidR="00697D65" w:rsidRPr="00376E45" w14:paraId="2445FF01" w14:textId="77777777" w:rsidTr="005A09D6">
        <w:tc>
          <w:tcPr>
            <w:tcW w:w="2894" w:type="dxa"/>
            <w:shd w:val="clear" w:color="auto" w:fill="auto"/>
          </w:tcPr>
          <w:p w14:paraId="74611FB1" w14:textId="77777777" w:rsidR="00697D65" w:rsidRPr="00376E45" w:rsidRDefault="00697D65" w:rsidP="00742753">
            <w:pPr>
              <w:spacing w:before="0" w:after="0"/>
              <w:ind w:left="596"/>
              <w:rPr>
                <w:b/>
                <w:lang w:val="en-GB"/>
              </w:rPr>
            </w:pPr>
            <w:r w:rsidRPr="00376E45">
              <w:rPr>
                <w:lang w:val="en-GB"/>
              </w:rPr>
              <w:t>12 months</w:t>
            </w:r>
          </w:p>
        </w:tc>
        <w:tc>
          <w:tcPr>
            <w:tcW w:w="1916" w:type="dxa"/>
            <w:shd w:val="clear" w:color="auto" w:fill="auto"/>
          </w:tcPr>
          <w:p w14:paraId="4D09BE6A" w14:textId="4F4A3BF3" w:rsidR="00697D65" w:rsidRPr="00376E45" w:rsidRDefault="00697D65" w:rsidP="00742753">
            <w:pPr>
              <w:spacing w:before="0" w:after="0"/>
              <w:ind w:left="113"/>
              <w:rPr>
                <w:lang w:val="en-GB"/>
              </w:rPr>
            </w:pPr>
            <w:r w:rsidRPr="00376E45">
              <w:rPr>
                <w:lang w:val="en-GB"/>
              </w:rPr>
              <w:t>151 (39</w:t>
            </w:r>
            <w:r w:rsidR="00334EBB" w:rsidRPr="00376E45">
              <w:rPr>
                <w:lang w:val="en-GB"/>
              </w:rPr>
              <w:t>·</w:t>
            </w:r>
            <w:r w:rsidRPr="00376E45">
              <w:rPr>
                <w:lang w:val="en-GB"/>
              </w:rPr>
              <w:t>3%)</w:t>
            </w:r>
          </w:p>
        </w:tc>
        <w:tc>
          <w:tcPr>
            <w:tcW w:w="1916" w:type="dxa"/>
            <w:shd w:val="clear" w:color="auto" w:fill="auto"/>
          </w:tcPr>
          <w:p w14:paraId="09DABEC1" w14:textId="613F480D" w:rsidR="00697D65" w:rsidRPr="00376E45" w:rsidRDefault="00697D65" w:rsidP="00742753">
            <w:pPr>
              <w:spacing w:before="0" w:after="0"/>
              <w:ind w:left="113"/>
              <w:rPr>
                <w:lang w:val="en-GB"/>
              </w:rPr>
            </w:pPr>
            <w:r w:rsidRPr="00376E45">
              <w:rPr>
                <w:lang w:val="en-GB"/>
              </w:rPr>
              <w:t>179 (47</w:t>
            </w:r>
            <w:r w:rsidR="00334EBB" w:rsidRPr="00376E45">
              <w:rPr>
                <w:lang w:val="en-GB"/>
              </w:rPr>
              <w:t>·</w:t>
            </w:r>
            <w:r w:rsidRPr="00376E45">
              <w:rPr>
                <w:lang w:val="en-GB"/>
              </w:rPr>
              <w:t>6%)</w:t>
            </w:r>
          </w:p>
        </w:tc>
        <w:tc>
          <w:tcPr>
            <w:tcW w:w="1916" w:type="dxa"/>
            <w:shd w:val="clear" w:color="auto" w:fill="auto"/>
          </w:tcPr>
          <w:p w14:paraId="27D4A837" w14:textId="6D378342" w:rsidR="00697D65" w:rsidRPr="00376E45" w:rsidRDefault="00697D65" w:rsidP="00742753">
            <w:pPr>
              <w:spacing w:before="0" w:after="0"/>
              <w:ind w:left="113"/>
              <w:rPr>
                <w:lang w:val="en-GB"/>
              </w:rPr>
            </w:pPr>
            <w:r w:rsidRPr="00376E45">
              <w:rPr>
                <w:lang w:val="en-GB"/>
              </w:rPr>
              <w:t>177 (45</w:t>
            </w:r>
            <w:r w:rsidR="00334EBB" w:rsidRPr="00376E45">
              <w:rPr>
                <w:lang w:val="en-GB"/>
              </w:rPr>
              <w:t>·</w:t>
            </w:r>
            <w:r w:rsidRPr="00376E45">
              <w:rPr>
                <w:lang w:val="en-GB"/>
              </w:rPr>
              <w:t>9%)</w:t>
            </w:r>
          </w:p>
        </w:tc>
      </w:tr>
      <w:tr w:rsidR="00697D65" w:rsidRPr="00376E45" w14:paraId="056B2967" w14:textId="77777777" w:rsidTr="005A09D6">
        <w:tc>
          <w:tcPr>
            <w:tcW w:w="2894" w:type="dxa"/>
            <w:shd w:val="clear" w:color="auto" w:fill="auto"/>
          </w:tcPr>
          <w:p w14:paraId="2C54859B" w14:textId="77777777" w:rsidR="00697D65" w:rsidRPr="00376E45" w:rsidRDefault="00697D65" w:rsidP="00742753">
            <w:pPr>
              <w:spacing w:before="0" w:after="0"/>
              <w:ind w:left="113"/>
              <w:rPr>
                <w:b/>
                <w:lang w:val="en-GB"/>
              </w:rPr>
            </w:pPr>
            <w:r w:rsidRPr="00376E45">
              <w:rPr>
                <w:b/>
                <w:lang w:val="en-GB"/>
              </w:rPr>
              <w:t>ACR70</w:t>
            </w:r>
          </w:p>
        </w:tc>
        <w:tc>
          <w:tcPr>
            <w:tcW w:w="1916" w:type="dxa"/>
            <w:shd w:val="clear" w:color="auto" w:fill="auto"/>
          </w:tcPr>
          <w:p w14:paraId="419666A5" w14:textId="77777777" w:rsidR="00697D65" w:rsidRPr="00376E45" w:rsidRDefault="00697D65" w:rsidP="00742753">
            <w:pPr>
              <w:spacing w:before="0" w:after="0"/>
              <w:ind w:left="113"/>
              <w:rPr>
                <w:lang w:val="en-GB"/>
              </w:rPr>
            </w:pPr>
          </w:p>
        </w:tc>
        <w:tc>
          <w:tcPr>
            <w:tcW w:w="1916" w:type="dxa"/>
            <w:shd w:val="clear" w:color="auto" w:fill="auto"/>
          </w:tcPr>
          <w:p w14:paraId="41ECB1E4" w14:textId="77777777" w:rsidR="00697D65" w:rsidRPr="00376E45" w:rsidRDefault="00697D65" w:rsidP="00742753">
            <w:pPr>
              <w:spacing w:before="0" w:after="0"/>
              <w:ind w:left="113"/>
              <w:rPr>
                <w:lang w:val="en-GB"/>
              </w:rPr>
            </w:pPr>
          </w:p>
        </w:tc>
        <w:tc>
          <w:tcPr>
            <w:tcW w:w="1916" w:type="dxa"/>
            <w:shd w:val="clear" w:color="auto" w:fill="auto"/>
          </w:tcPr>
          <w:p w14:paraId="30714B86" w14:textId="77777777" w:rsidR="00697D65" w:rsidRPr="00376E45" w:rsidRDefault="00697D65" w:rsidP="00742753">
            <w:pPr>
              <w:spacing w:before="0" w:after="0"/>
              <w:ind w:left="113"/>
              <w:rPr>
                <w:lang w:val="en-GB"/>
              </w:rPr>
            </w:pPr>
          </w:p>
        </w:tc>
      </w:tr>
      <w:tr w:rsidR="00697D65" w:rsidRPr="00376E45" w14:paraId="1AFD3910" w14:textId="77777777" w:rsidTr="005A09D6">
        <w:tc>
          <w:tcPr>
            <w:tcW w:w="2894" w:type="dxa"/>
            <w:shd w:val="clear" w:color="auto" w:fill="auto"/>
          </w:tcPr>
          <w:p w14:paraId="7B200019" w14:textId="77777777" w:rsidR="00697D65" w:rsidRPr="00376E45" w:rsidRDefault="00697D65" w:rsidP="00742753">
            <w:pPr>
              <w:spacing w:before="0" w:after="0"/>
              <w:ind w:left="596"/>
              <w:rPr>
                <w:lang w:val="en-GB"/>
              </w:rPr>
            </w:pPr>
            <w:r w:rsidRPr="00376E45">
              <w:rPr>
                <w:lang w:val="en-GB"/>
              </w:rPr>
              <w:t>6 months</w:t>
            </w:r>
          </w:p>
        </w:tc>
        <w:tc>
          <w:tcPr>
            <w:tcW w:w="1916" w:type="dxa"/>
            <w:shd w:val="clear" w:color="auto" w:fill="auto"/>
          </w:tcPr>
          <w:p w14:paraId="15B0BB51" w14:textId="4E19CD08" w:rsidR="00697D65" w:rsidRPr="00376E45" w:rsidRDefault="00697D65" w:rsidP="00742753">
            <w:pPr>
              <w:spacing w:before="0" w:after="0"/>
              <w:ind w:left="113"/>
              <w:rPr>
                <w:lang w:val="en-GB"/>
              </w:rPr>
            </w:pPr>
            <w:r w:rsidRPr="00376E45">
              <w:rPr>
                <w:lang w:val="en-GB"/>
              </w:rPr>
              <w:t>70 (18</w:t>
            </w:r>
            <w:r w:rsidR="00334EBB" w:rsidRPr="00376E45">
              <w:rPr>
                <w:lang w:val="en-GB"/>
              </w:rPr>
              <w:t>·</w:t>
            </w:r>
            <w:r w:rsidRPr="00376E45">
              <w:rPr>
                <w:lang w:val="en-GB"/>
              </w:rPr>
              <w:t xml:space="preserve">2%) </w:t>
            </w:r>
          </w:p>
        </w:tc>
        <w:tc>
          <w:tcPr>
            <w:tcW w:w="1916" w:type="dxa"/>
            <w:shd w:val="clear" w:color="auto" w:fill="auto"/>
          </w:tcPr>
          <w:p w14:paraId="380ECC32" w14:textId="56E31F57" w:rsidR="00697D65" w:rsidRPr="00376E45" w:rsidRDefault="00697D65" w:rsidP="00742753">
            <w:pPr>
              <w:spacing w:before="0" w:after="0"/>
              <w:ind w:left="113"/>
              <w:rPr>
                <w:lang w:val="en-GB"/>
              </w:rPr>
            </w:pPr>
            <w:r w:rsidRPr="00376E45">
              <w:rPr>
                <w:lang w:val="en-GB"/>
              </w:rPr>
              <w:t>94 (25</w:t>
            </w:r>
            <w:r w:rsidR="00334EBB" w:rsidRPr="00376E45">
              <w:rPr>
                <w:lang w:val="en-GB"/>
              </w:rPr>
              <w:t>·</w:t>
            </w:r>
            <w:r w:rsidRPr="00376E45">
              <w:rPr>
                <w:lang w:val="en-GB"/>
              </w:rPr>
              <w:t>0%)</w:t>
            </w:r>
          </w:p>
        </w:tc>
        <w:tc>
          <w:tcPr>
            <w:tcW w:w="1916" w:type="dxa"/>
            <w:shd w:val="clear" w:color="auto" w:fill="auto"/>
          </w:tcPr>
          <w:p w14:paraId="2ABC75BA" w14:textId="56A3A496" w:rsidR="00697D65" w:rsidRPr="00376E45" w:rsidRDefault="00697D65" w:rsidP="00742753">
            <w:pPr>
              <w:spacing w:before="0" w:after="0"/>
              <w:ind w:left="113"/>
              <w:rPr>
                <w:lang w:val="en-GB"/>
              </w:rPr>
            </w:pPr>
            <w:r w:rsidRPr="00376E45">
              <w:rPr>
                <w:lang w:val="en-GB"/>
              </w:rPr>
              <w:t>80 (20</w:t>
            </w:r>
            <w:r w:rsidR="00334EBB" w:rsidRPr="00376E45">
              <w:rPr>
                <w:lang w:val="en-GB"/>
              </w:rPr>
              <w:t>·</w:t>
            </w:r>
            <w:r w:rsidRPr="00376E45">
              <w:rPr>
                <w:lang w:val="en-GB"/>
              </w:rPr>
              <w:t>7%)</w:t>
            </w:r>
          </w:p>
        </w:tc>
      </w:tr>
      <w:tr w:rsidR="00697D65" w:rsidRPr="00376E45" w14:paraId="0423D9CA" w14:textId="77777777" w:rsidTr="005A09D6">
        <w:tc>
          <w:tcPr>
            <w:tcW w:w="2894" w:type="dxa"/>
            <w:shd w:val="clear" w:color="auto" w:fill="auto"/>
          </w:tcPr>
          <w:p w14:paraId="7F82E224" w14:textId="77777777" w:rsidR="00697D65" w:rsidRPr="00376E45" w:rsidRDefault="00697D65" w:rsidP="00742753">
            <w:pPr>
              <w:spacing w:before="0" w:after="0"/>
              <w:ind w:left="596"/>
              <w:rPr>
                <w:lang w:val="en-GB"/>
              </w:rPr>
            </w:pPr>
            <w:r w:rsidRPr="00376E45">
              <w:rPr>
                <w:lang w:val="en-GB"/>
              </w:rPr>
              <w:t>12 months</w:t>
            </w:r>
          </w:p>
        </w:tc>
        <w:tc>
          <w:tcPr>
            <w:tcW w:w="1916" w:type="dxa"/>
            <w:shd w:val="clear" w:color="auto" w:fill="auto"/>
          </w:tcPr>
          <w:p w14:paraId="5B2A7C48" w14:textId="6C0487DD" w:rsidR="00697D65" w:rsidRPr="00376E45" w:rsidRDefault="00697D65" w:rsidP="00742753">
            <w:pPr>
              <w:spacing w:before="0" w:after="0"/>
              <w:ind w:left="113"/>
              <w:rPr>
                <w:lang w:val="en-GB"/>
              </w:rPr>
            </w:pPr>
            <w:r w:rsidRPr="00376E45">
              <w:rPr>
                <w:lang w:val="en-GB"/>
              </w:rPr>
              <w:t>81 (21</w:t>
            </w:r>
            <w:r w:rsidR="00334EBB" w:rsidRPr="00376E45">
              <w:rPr>
                <w:lang w:val="en-GB"/>
              </w:rPr>
              <w:t>·</w:t>
            </w:r>
            <w:r w:rsidRPr="00376E45">
              <w:rPr>
                <w:lang w:val="en-GB"/>
              </w:rPr>
              <w:t>1%)</w:t>
            </w:r>
          </w:p>
        </w:tc>
        <w:tc>
          <w:tcPr>
            <w:tcW w:w="1916" w:type="dxa"/>
            <w:shd w:val="clear" w:color="auto" w:fill="auto"/>
          </w:tcPr>
          <w:p w14:paraId="07EEC414" w14:textId="2F01469C" w:rsidR="00697D65" w:rsidRPr="00376E45" w:rsidRDefault="00697D65" w:rsidP="00742753">
            <w:pPr>
              <w:spacing w:before="0" w:after="0"/>
              <w:ind w:left="113"/>
              <w:rPr>
                <w:lang w:val="en-GB"/>
              </w:rPr>
            </w:pPr>
            <w:r w:rsidRPr="00376E45">
              <w:rPr>
                <w:lang w:val="en-GB"/>
              </w:rPr>
              <w:t>109 (29</w:t>
            </w:r>
            <w:r w:rsidR="00334EBB" w:rsidRPr="00376E45">
              <w:rPr>
                <w:lang w:val="en-GB"/>
              </w:rPr>
              <w:t>·</w:t>
            </w:r>
            <w:r w:rsidRPr="00376E45">
              <w:rPr>
                <w:lang w:val="en-GB"/>
              </w:rPr>
              <w:t>0%)</w:t>
            </w:r>
          </w:p>
        </w:tc>
        <w:tc>
          <w:tcPr>
            <w:tcW w:w="1916" w:type="dxa"/>
            <w:shd w:val="clear" w:color="auto" w:fill="auto"/>
          </w:tcPr>
          <w:p w14:paraId="6DE4F8A6" w14:textId="69C1A4B3" w:rsidR="00697D65" w:rsidRPr="00376E45" w:rsidRDefault="00697D65" w:rsidP="00742753">
            <w:pPr>
              <w:spacing w:before="0" w:after="0"/>
              <w:ind w:left="113"/>
              <w:rPr>
                <w:lang w:val="en-GB"/>
              </w:rPr>
            </w:pPr>
            <w:r w:rsidRPr="00376E45">
              <w:rPr>
                <w:lang w:val="en-GB"/>
              </w:rPr>
              <w:t>100 (25</w:t>
            </w:r>
            <w:r w:rsidR="00334EBB" w:rsidRPr="00376E45">
              <w:rPr>
                <w:lang w:val="en-GB"/>
              </w:rPr>
              <w:t>·</w:t>
            </w:r>
            <w:r w:rsidRPr="00376E45">
              <w:rPr>
                <w:lang w:val="en-GB"/>
              </w:rPr>
              <w:t>9%)</w:t>
            </w:r>
          </w:p>
        </w:tc>
      </w:tr>
      <w:tr w:rsidR="00697D65" w:rsidRPr="00376E45" w14:paraId="7AC5EDA4" w14:textId="77777777" w:rsidTr="005A09D6">
        <w:tc>
          <w:tcPr>
            <w:tcW w:w="8642" w:type="dxa"/>
            <w:gridSpan w:val="4"/>
            <w:shd w:val="clear" w:color="auto" w:fill="auto"/>
          </w:tcPr>
          <w:p w14:paraId="6E66D9FF" w14:textId="77777777" w:rsidR="00697D65" w:rsidRPr="00376E45" w:rsidRDefault="00697D65" w:rsidP="00742753">
            <w:pPr>
              <w:spacing w:before="0" w:after="0"/>
              <w:rPr>
                <w:lang w:val="en-GB"/>
              </w:rPr>
            </w:pPr>
            <w:r w:rsidRPr="00376E45">
              <w:rPr>
                <w:b/>
                <w:lang w:val="en-GB"/>
              </w:rPr>
              <w:t>Proportion of patients achieving LDA, n (%)</w:t>
            </w:r>
          </w:p>
        </w:tc>
      </w:tr>
      <w:tr w:rsidR="00697D65" w:rsidRPr="00376E45" w14:paraId="24D9CBF5" w14:textId="77777777" w:rsidTr="005A09D6">
        <w:tc>
          <w:tcPr>
            <w:tcW w:w="2894" w:type="dxa"/>
            <w:shd w:val="clear" w:color="auto" w:fill="auto"/>
          </w:tcPr>
          <w:p w14:paraId="163A9CE6" w14:textId="77777777" w:rsidR="00697D65" w:rsidRPr="00376E45" w:rsidRDefault="00697D65" w:rsidP="00742753">
            <w:pPr>
              <w:spacing w:before="0" w:after="0"/>
              <w:ind w:left="113"/>
              <w:rPr>
                <w:b/>
                <w:lang w:val="en-GB"/>
              </w:rPr>
            </w:pPr>
            <w:r w:rsidRPr="00376E45">
              <w:rPr>
                <w:b/>
                <w:lang w:val="en-GB"/>
              </w:rPr>
              <w:t>SDAI (≤11)</w:t>
            </w:r>
          </w:p>
        </w:tc>
        <w:tc>
          <w:tcPr>
            <w:tcW w:w="1916" w:type="dxa"/>
            <w:shd w:val="clear" w:color="auto" w:fill="auto"/>
          </w:tcPr>
          <w:p w14:paraId="61A1E1D2" w14:textId="77777777" w:rsidR="00697D65" w:rsidRPr="00376E45" w:rsidRDefault="00697D65" w:rsidP="00742753">
            <w:pPr>
              <w:spacing w:before="0" w:after="0"/>
              <w:jc w:val="center"/>
              <w:rPr>
                <w:lang w:val="en-GB"/>
              </w:rPr>
            </w:pPr>
          </w:p>
        </w:tc>
        <w:tc>
          <w:tcPr>
            <w:tcW w:w="1916" w:type="dxa"/>
            <w:shd w:val="clear" w:color="auto" w:fill="auto"/>
          </w:tcPr>
          <w:p w14:paraId="1A610CF5" w14:textId="77777777" w:rsidR="00697D65" w:rsidRPr="00376E45" w:rsidRDefault="00697D65" w:rsidP="00742753">
            <w:pPr>
              <w:spacing w:before="0" w:after="0"/>
              <w:jc w:val="center"/>
              <w:rPr>
                <w:lang w:val="en-GB"/>
              </w:rPr>
            </w:pPr>
          </w:p>
        </w:tc>
        <w:tc>
          <w:tcPr>
            <w:tcW w:w="1916" w:type="dxa"/>
            <w:shd w:val="clear" w:color="auto" w:fill="auto"/>
          </w:tcPr>
          <w:p w14:paraId="183ADA6A" w14:textId="77777777" w:rsidR="00697D65" w:rsidRPr="00376E45" w:rsidRDefault="00697D65" w:rsidP="00742753">
            <w:pPr>
              <w:spacing w:before="0" w:after="0"/>
              <w:jc w:val="center"/>
              <w:rPr>
                <w:lang w:val="en-GB"/>
              </w:rPr>
            </w:pPr>
          </w:p>
        </w:tc>
      </w:tr>
      <w:tr w:rsidR="00697D65" w:rsidRPr="00376E45" w14:paraId="504B1A56" w14:textId="77777777" w:rsidTr="005A09D6">
        <w:tc>
          <w:tcPr>
            <w:tcW w:w="2894" w:type="dxa"/>
            <w:shd w:val="clear" w:color="auto" w:fill="auto"/>
          </w:tcPr>
          <w:p w14:paraId="5272395D" w14:textId="77777777" w:rsidR="00697D65" w:rsidRPr="00376E45" w:rsidRDefault="00697D65" w:rsidP="00742753">
            <w:pPr>
              <w:spacing w:before="0" w:after="0"/>
              <w:ind w:left="596"/>
              <w:rPr>
                <w:lang w:val="en-GB"/>
              </w:rPr>
            </w:pPr>
            <w:r w:rsidRPr="00376E45">
              <w:rPr>
                <w:lang w:val="en-GB"/>
              </w:rPr>
              <w:t>6 months</w:t>
            </w:r>
          </w:p>
        </w:tc>
        <w:tc>
          <w:tcPr>
            <w:tcW w:w="1916" w:type="dxa"/>
            <w:shd w:val="clear" w:color="auto" w:fill="auto"/>
          </w:tcPr>
          <w:p w14:paraId="030F89F1" w14:textId="3C02FF5B" w:rsidR="00697D65" w:rsidRPr="00376E45" w:rsidRDefault="00697D65" w:rsidP="00742753">
            <w:pPr>
              <w:spacing w:before="0" w:after="0"/>
              <w:jc w:val="center"/>
              <w:rPr>
                <w:lang w:val="en-GB"/>
              </w:rPr>
            </w:pPr>
            <w:r w:rsidRPr="00376E45">
              <w:rPr>
                <w:lang w:val="en-GB"/>
              </w:rPr>
              <w:t>167 (43</w:t>
            </w:r>
            <w:r w:rsidR="00334EBB" w:rsidRPr="00376E45">
              <w:rPr>
                <w:lang w:val="en-GB"/>
              </w:rPr>
              <w:t>·</w:t>
            </w:r>
            <w:r w:rsidRPr="00376E45">
              <w:rPr>
                <w:lang w:val="en-GB"/>
              </w:rPr>
              <w:t>5%)</w:t>
            </w:r>
          </w:p>
        </w:tc>
        <w:tc>
          <w:tcPr>
            <w:tcW w:w="1916" w:type="dxa"/>
            <w:shd w:val="clear" w:color="auto" w:fill="auto"/>
          </w:tcPr>
          <w:p w14:paraId="062B9E46" w14:textId="79BF161C" w:rsidR="00697D65" w:rsidRPr="00376E45" w:rsidRDefault="00697D65" w:rsidP="00742753">
            <w:pPr>
              <w:spacing w:before="0" w:after="0"/>
              <w:jc w:val="center"/>
              <w:rPr>
                <w:lang w:val="en-GB"/>
              </w:rPr>
            </w:pPr>
            <w:r w:rsidRPr="00376E45">
              <w:rPr>
                <w:lang w:val="en-GB"/>
              </w:rPr>
              <w:t>187 (49</w:t>
            </w:r>
            <w:r w:rsidR="00334EBB" w:rsidRPr="00376E45">
              <w:rPr>
                <w:lang w:val="en-GB"/>
              </w:rPr>
              <w:t>·</w:t>
            </w:r>
            <w:r w:rsidRPr="00376E45">
              <w:rPr>
                <w:lang w:val="en-GB"/>
              </w:rPr>
              <w:t>7%)</w:t>
            </w:r>
          </w:p>
        </w:tc>
        <w:tc>
          <w:tcPr>
            <w:tcW w:w="1916" w:type="dxa"/>
            <w:shd w:val="clear" w:color="auto" w:fill="auto"/>
          </w:tcPr>
          <w:p w14:paraId="52638DFE" w14:textId="0FDC1DC5" w:rsidR="00697D65" w:rsidRPr="00376E45" w:rsidRDefault="00697D65" w:rsidP="00742753">
            <w:pPr>
              <w:spacing w:before="0" w:after="0"/>
              <w:jc w:val="center"/>
              <w:rPr>
                <w:lang w:val="en-GB"/>
              </w:rPr>
            </w:pPr>
            <w:r w:rsidRPr="00376E45">
              <w:rPr>
                <w:lang w:val="en-GB"/>
              </w:rPr>
              <w:t>182 (47</w:t>
            </w:r>
            <w:r w:rsidR="00334EBB" w:rsidRPr="00376E45">
              <w:rPr>
                <w:lang w:val="en-GB"/>
              </w:rPr>
              <w:t>·</w:t>
            </w:r>
            <w:r w:rsidRPr="00376E45">
              <w:rPr>
                <w:lang w:val="en-GB"/>
              </w:rPr>
              <w:t>2%)</w:t>
            </w:r>
          </w:p>
        </w:tc>
      </w:tr>
      <w:tr w:rsidR="00697D65" w:rsidRPr="00376E45" w14:paraId="392515D3" w14:textId="77777777" w:rsidTr="005A09D6">
        <w:tc>
          <w:tcPr>
            <w:tcW w:w="2894" w:type="dxa"/>
            <w:shd w:val="clear" w:color="auto" w:fill="auto"/>
          </w:tcPr>
          <w:p w14:paraId="6C3E3453" w14:textId="77777777" w:rsidR="00697D65" w:rsidRPr="00376E45" w:rsidRDefault="00697D65" w:rsidP="00742753">
            <w:pPr>
              <w:spacing w:before="0" w:after="0"/>
              <w:ind w:left="596"/>
              <w:rPr>
                <w:lang w:val="en-GB"/>
              </w:rPr>
            </w:pPr>
            <w:r w:rsidRPr="00376E45">
              <w:rPr>
                <w:lang w:val="en-GB"/>
              </w:rPr>
              <w:t>12 months</w:t>
            </w:r>
          </w:p>
        </w:tc>
        <w:tc>
          <w:tcPr>
            <w:tcW w:w="1916" w:type="dxa"/>
            <w:shd w:val="clear" w:color="auto" w:fill="auto"/>
          </w:tcPr>
          <w:p w14:paraId="296A4140" w14:textId="55B815EF" w:rsidR="00697D65" w:rsidRPr="00376E45" w:rsidRDefault="00697D65" w:rsidP="00742753">
            <w:pPr>
              <w:spacing w:before="0" w:after="0"/>
              <w:jc w:val="center"/>
              <w:rPr>
                <w:lang w:val="en-GB"/>
              </w:rPr>
            </w:pPr>
            <w:r w:rsidRPr="00376E45">
              <w:rPr>
                <w:lang w:val="en-GB"/>
              </w:rPr>
              <w:t>169 (44</w:t>
            </w:r>
            <w:r w:rsidR="00334EBB" w:rsidRPr="00376E45">
              <w:rPr>
                <w:lang w:val="en-GB"/>
              </w:rPr>
              <w:t>·</w:t>
            </w:r>
            <w:r w:rsidRPr="00376E45">
              <w:rPr>
                <w:lang w:val="en-GB"/>
              </w:rPr>
              <w:t>0%)</w:t>
            </w:r>
          </w:p>
        </w:tc>
        <w:tc>
          <w:tcPr>
            <w:tcW w:w="1916" w:type="dxa"/>
            <w:shd w:val="clear" w:color="auto" w:fill="auto"/>
          </w:tcPr>
          <w:p w14:paraId="6C55F9B5" w14:textId="182A4720" w:rsidR="00697D65" w:rsidRPr="00376E45" w:rsidRDefault="00697D65" w:rsidP="00742753">
            <w:pPr>
              <w:spacing w:before="0" w:after="0"/>
              <w:jc w:val="center"/>
              <w:rPr>
                <w:lang w:val="en-GB"/>
              </w:rPr>
            </w:pPr>
            <w:r w:rsidRPr="00376E45">
              <w:rPr>
                <w:lang w:val="en-GB"/>
              </w:rPr>
              <w:t>187 (49</w:t>
            </w:r>
            <w:r w:rsidR="00334EBB" w:rsidRPr="00376E45">
              <w:rPr>
                <w:lang w:val="en-GB"/>
              </w:rPr>
              <w:t>·</w:t>
            </w:r>
            <w:r w:rsidRPr="00376E45">
              <w:rPr>
                <w:lang w:val="en-GB"/>
              </w:rPr>
              <w:t>7%)</w:t>
            </w:r>
          </w:p>
        </w:tc>
        <w:tc>
          <w:tcPr>
            <w:tcW w:w="1916" w:type="dxa"/>
            <w:shd w:val="clear" w:color="auto" w:fill="auto"/>
          </w:tcPr>
          <w:p w14:paraId="39597D34" w14:textId="35B10D47" w:rsidR="00697D65" w:rsidRPr="00376E45" w:rsidRDefault="00697D65" w:rsidP="00742753">
            <w:pPr>
              <w:spacing w:before="0" w:after="0"/>
              <w:jc w:val="center"/>
              <w:rPr>
                <w:lang w:val="en-GB"/>
              </w:rPr>
            </w:pPr>
            <w:r w:rsidRPr="00376E45">
              <w:rPr>
                <w:lang w:val="en-GB"/>
              </w:rPr>
              <w:t>204 (52</w:t>
            </w:r>
            <w:r w:rsidR="00334EBB" w:rsidRPr="00376E45">
              <w:rPr>
                <w:lang w:val="en-GB"/>
              </w:rPr>
              <w:t>·</w:t>
            </w:r>
            <w:r w:rsidRPr="00376E45">
              <w:rPr>
                <w:lang w:val="en-GB"/>
              </w:rPr>
              <w:t>9%)</w:t>
            </w:r>
          </w:p>
        </w:tc>
      </w:tr>
      <w:tr w:rsidR="00697D65" w:rsidRPr="00376E45" w14:paraId="55FD3905" w14:textId="77777777" w:rsidTr="005A09D6">
        <w:tc>
          <w:tcPr>
            <w:tcW w:w="2894" w:type="dxa"/>
            <w:shd w:val="clear" w:color="auto" w:fill="auto"/>
          </w:tcPr>
          <w:p w14:paraId="5EC302A3" w14:textId="77777777" w:rsidR="00697D65" w:rsidRPr="00376E45" w:rsidRDefault="00697D65" w:rsidP="00742753">
            <w:pPr>
              <w:spacing w:before="0" w:after="0"/>
              <w:ind w:left="113"/>
              <w:rPr>
                <w:b/>
                <w:lang w:val="en-GB"/>
              </w:rPr>
            </w:pPr>
            <w:r w:rsidRPr="00376E45">
              <w:rPr>
                <w:b/>
                <w:lang w:val="en-GB"/>
              </w:rPr>
              <w:t>CDAI (≤10)</w:t>
            </w:r>
          </w:p>
        </w:tc>
        <w:tc>
          <w:tcPr>
            <w:tcW w:w="1916" w:type="dxa"/>
            <w:shd w:val="clear" w:color="auto" w:fill="auto"/>
          </w:tcPr>
          <w:p w14:paraId="7A490FE3" w14:textId="77777777" w:rsidR="00697D65" w:rsidRPr="00376E45" w:rsidRDefault="00697D65" w:rsidP="00742753">
            <w:pPr>
              <w:spacing w:before="0" w:after="0"/>
              <w:jc w:val="center"/>
              <w:rPr>
                <w:lang w:val="en-GB"/>
              </w:rPr>
            </w:pPr>
          </w:p>
        </w:tc>
        <w:tc>
          <w:tcPr>
            <w:tcW w:w="1916" w:type="dxa"/>
            <w:shd w:val="clear" w:color="auto" w:fill="auto"/>
          </w:tcPr>
          <w:p w14:paraId="5FF36E26" w14:textId="77777777" w:rsidR="00697D65" w:rsidRPr="00376E45" w:rsidRDefault="00697D65" w:rsidP="00742753">
            <w:pPr>
              <w:spacing w:before="0" w:after="0"/>
              <w:jc w:val="center"/>
              <w:rPr>
                <w:lang w:val="en-GB"/>
              </w:rPr>
            </w:pPr>
          </w:p>
        </w:tc>
        <w:tc>
          <w:tcPr>
            <w:tcW w:w="1916" w:type="dxa"/>
            <w:shd w:val="clear" w:color="auto" w:fill="auto"/>
          </w:tcPr>
          <w:p w14:paraId="18D59D38" w14:textId="77777777" w:rsidR="00697D65" w:rsidRPr="00376E45" w:rsidRDefault="00697D65" w:rsidP="00742753">
            <w:pPr>
              <w:spacing w:before="0" w:after="0"/>
              <w:jc w:val="center"/>
              <w:rPr>
                <w:lang w:val="en-GB"/>
              </w:rPr>
            </w:pPr>
          </w:p>
        </w:tc>
      </w:tr>
      <w:tr w:rsidR="00697D65" w:rsidRPr="00376E45" w14:paraId="5692DA12" w14:textId="77777777" w:rsidTr="005A09D6">
        <w:tc>
          <w:tcPr>
            <w:tcW w:w="2894" w:type="dxa"/>
            <w:shd w:val="clear" w:color="auto" w:fill="auto"/>
          </w:tcPr>
          <w:p w14:paraId="6E816030" w14:textId="77777777" w:rsidR="00697D65" w:rsidRPr="00376E45" w:rsidRDefault="00697D65" w:rsidP="00742753">
            <w:pPr>
              <w:spacing w:before="0" w:after="0"/>
              <w:ind w:left="596"/>
              <w:rPr>
                <w:lang w:val="en-GB"/>
              </w:rPr>
            </w:pPr>
            <w:r w:rsidRPr="00376E45">
              <w:rPr>
                <w:lang w:val="en-GB"/>
              </w:rPr>
              <w:t>6 months</w:t>
            </w:r>
          </w:p>
        </w:tc>
        <w:tc>
          <w:tcPr>
            <w:tcW w:w="1916" w:type="dxa"/>
            <w:shd w:val="clear" w:color="auto" w:fill="auto"/>
          </w:tcPr>
          <w:p w14:paraId="7453F670" w14:textId="4C3098E3" w:rsidR="00697D65" w:rsidRPr="00376E45" w:rsidRDefault="00697D65" w:rsidP="00742753">
            <w:pPr>
              <w:spacing w:before="0" w:after="0"/>
              <w:jc w:val="center"/>
              <w:rPr>
                <w:lang w:val="en-GB"/>
              </w:rPr>
            </w:pPr>
            <w:r w:rsidRPr="00376E45">
              <w:rPr>
                <w:lang w:val="en-GB"/>
              </w:rPr>
              <w:t>163 (42</w:t>
            </w:r>
            <w:r w:rsidR="00334EBB" w:rsidRPr="00376E45">
              <w:rPr>
                <w:lang w:val="en-GB"/>
              </w:rPr>
              <w:t>·</w:t>
            </w:r>
            <w:r w:rsidRPr="00376E45">
              <w:rPr>
                <w:lang w:val="en-GB"/>
              </w:rPr>
              <w:t>5%)</w:t>
            </w:r>
          </w:p>
        </w:tc>
        <w:tc>
          <w:tcPr>
            <w:tcW w:w="1916" w:type="dxa"/>
            <w:shd w:val="clear" w:color="auto" w:fill="auto"/>
          </w:tcPr>
          <w:p w14:paraId="54222132" w14:textId="3BCD4082" w:rsidR="00697D65" w:rsidRPr="00376E45" w:rsidRDefault="00697D65" w:rsidP="00742753">
            <w:pPr>
              <w:spacing w:before="0" w:after="0"/>
              <w:jc w:val="center"/>
              <w:rPr>
                <w:lang w:val="en-GB"/>
              </w:rPr>
            </w:pPr>
            <w:r w:rsidRPr="00376E45">
              <w:rPr>
                <w:lang w:val="en-GB"/>
              </w:rPr>
              <w:t>183 (48</w:t>
            </w:r>
            <w:r w:rsidR="00334EBB" w:rsidRPr="00376E45">
              <w:rPr>
                <w:lang w:val="en-GB"/>
              </w:rPr>
              <w:t>·</w:t>
            </w:r>
            <w:r w:rsidRPr="00376E45">
              <w:rPr>
                <w:lang w:val="en-GB"/>
              </w:rPr>
              <w:t>7%)</w:t>
            </w:r>
          </w:p>
        </w:tc>
        <w:tc>
          <w:tcPr>
            <w:tcW w:w="1916" w:type="dxa"/>
            <w:shd w:val="clear" w:color="auto" w:fill="auto"/>
          </w:tcPr>
          <w:p w14:paraId="3C605467" w14:textId="0ABD3CA6" w:rsidR="00697D65" w:rsidRPr="00376E45" w:rsidRDefault="00697D65" w:rsidP="00742753">
            <w:pPr>
              <w:spacing w:before="0" w:after="0"/>
              <w:jc w:val="center"/>
              <w:rPr>
                <w:lang w:val="en-GB"/>
              </w:rPr>
            </w:pPr>
            <w:r w:rsidRPr="00376E45">
              <w:rPr>
                <w:lang w:val="en-GB"/>
              </w:rPr>
              <w:t>179 (46</w:t>
            </w:r>
            <w:r w:rsidR="00334EBB" w:rsidRPr="00376E45">
              <w:rPr>
                <w:lang w:val="en-GB"/>
              </w:rPr>
              <w:t>·</w:t>
            </w:r>
            <w:r w:rsidRPr="00376E45">
              <w:rPr>
                <w:lang w:val="en-GB"/>
              </w:rPr>
              <w:t>4%)</w:t>
            </w:r>
          </w:p>
        </w:tc>
      </w:tr>
      <w:tr w:rsidR="00697D65" w:rsidRPr="00376E45" w14:paraId="732B241B" w14:textId="77777777" w:rsidTr="005A09D6">
        <w:tc>
          <w:tcPr>
            <w:tcW w:w="2894" w:type="dxa"/>
            <w:shd w:val="clear" w:color="auto" w:fill="auto"/>
          </w:tcPr>
          <w:p w14:paraId="5AC4B888" w14:textId="77777777" w:rsidR="00697D65" w:rsidRPr="00376E45" w:rsidRDefault="00697D65" w:rsidP="00742753">
            <w:pPr>
              <w:spacing w:before="0" w:after="0"/>
              <w:ind w:left="596"/>
              <w:rPr>
                <w:lang w:val="en-GB"/>
              </w:rPr>
            </w:pPr>
            <w:r w:rsidRPr="00376E45">
              <w:rPr>
                <w:lang w:val="en-GB"/>
              </w:rPr>
              <w:t>12 months</w:t>
            </w:r>
          </w:p>
        </w:tc>
        <w:tc>
          <w:tcPr>
            <w:tcW w:w="1916" w:type="dxa"/>
            <w:shd w:val="clear" w:color="auto" w:fill="auto"/>
          </w:tcPr>
          <w:p w14:paraId="47E82AFF" w14:textId="74A2C065" w:rsidR="00697D65" w:rsidRPr="00376E45" w:rsidRDefault="00697D65" w:rsidP="00742753">
            <w:pPr>
              <w:spacing w:before="0" w:after="0"/>
              <w:jc w:val="center"/>
              <w:rPr>
                <w:lang w:val="en-GB"/>
              </w:rPr>
            </w:pPr>
            <w:r w:rsidRPr="00376E45">
              <w:rPr>
                <w:lang w:val="en-GB"/>
              </w:rPr>
              <w:t>173 (45</w:t>
            </w:r>
            <w:r w:rsidR="00334EBB" w:rsidRPr="00376E45">
              <w:rPr>
                <w:lang w:val="en-GB"/>
              </w:rPr>
              <w:t>·</w:t>
            </w:r>
            <w:r w:rsidRPr="00376E45">
              <w:rPr>
                <w:lang w:val="en-GB"/>
              </w:rPr>
              <w:t>1%)</w:t>
            </w:r>
          </w:p>
        </w:tc>
        <w:tc>
          <w:tcPr>
            <w:tcW w:w="1916" w:type="dxa"/>
            <w:shd w:val="clear" w:color="auto" w:fill="auto"/>
          </w:tcPr>
          <w:p w14:paraId="30C66090" w14:textId="18A6AEDC" w:rsidR="00697D65" w:rsidRPr="00376E45" w:rsidRDefault="00697D65" w:rsidP="00742753">
            <w:pPr>
              <w:spacing w:before="0" w:after="0"/>
              <w:jc w:val="center"/>
              <w:rPr>
                <w:lang w:val="en-GB"/>
              </w:rPr>
            </w:pPr>
            <w:r w:rsidRPr="00376E45">
              <w:rPr>
                <w:lang w:val="en-GB"/>
              </w:rPr>
              <w:t>188 (50</w:t>
            </w:r>
            <w:r w:rsidR="00334EBB" w:rsidRPr="00376E45">
              <w:rPr>
                <w:lang w:val="en-GB"/>
              </w:rPr>
              <w:t>·</w:t>
            </w:r>
            <w:r w:rsidRPr="00376E45">
              <w:rPr>
                <w:lang w:val="en-GB"/>
              </w:rPr>
              <w:t>0%)</w:t>
            </w:r>
          </w:p>
        </w:tc>
        <w:tc>
          <w:tcPr>
            <w:tcW w:w="1916" w:type="dxa"/>
            <w:shd w:val="clear" w:color="auto" w:fill="auto"/>
          </w:tcPr>
          <w:p w14:paraId="45734BAE" w14:textId="01100DB3" w:rsidR="00697D65" w:rsidRPr="00376E45" w:rsidRDefault="00697D65" w:rsidP="00742753">
            <w:pPr>
              <w:spacing w:before="0" w:after="0"/>
              <w:jc w:val="center"/>
              <w:rPr>
                <w:lang w:val="en-GB"/>
              </w:rPr>
            </w:pPr>
            <w:r w:rsidRPr="00376E45">
              <w:rPr>
                <w:lang w:val="en-GB"/>
              </w:rPr>
              <w:t>202 (52</w:t>
            </w:r>
            <w:r w:rsidR="00334EBB" w:rsidRPr="00376E45">
              <w:rPr>
                <w:lang w:val="en-GB"/>
              </w:rPr>
              <w:t>·</w:t>
            </w:r>
            <w:r w:rsidRPr="00376E45">
              <w:rPr>
                <w:lang w:val="en-GB"/>
              </w:rPr>
              <w:t>3%)</w:t>
            </w:r>
          </w:p>
        </w:tc>
      </w:tr>
      <w:tr w:rsidR="00697D65" w:rsidRPr="00376E45" w14:paraId="742B94F4" w14:textId="77777777" w:rsidTr="005A09D6">
        <w:tc>
          <w:tcPr>
            <w:tcW w:w="2894" w:type="dxa"/>
            <w:shd w:val="clear" w:color="auto" w:fill="auto"/>
          </w:tcPr>
          <w:p w14:paraId="59150E1A" w14:textId="3903247E" w:rsidR="00697D65" w:rsidRPr="00376E45" w:rsidRDefault="00697D65" w:rsidP="00742753">
            <w:pPr>
              <w:spacing w:before="0" w:after="0"/>
              <w:ind w:left="113"/>
              <w:rPr>
                <w:b/>
                <w:lang w:val="en-GB"/>
              </w:rPr>
            </w:pPr>
            <w:r w:rsidRPr="00376E45">
              <w:rPr>
                <w:b/>
                <w:lang w:val="en-GB"/>
              </w:rPr>
              <w:t>DAS28-4(ESR) (&lt;3</w:t>
            </w:r>
            <w:r w:rsidR="00334EBB" w:rsidRPr="00376E45">
              <w:rPr>
                <w:b/>
                <w:lang w:val="en-GB"/>
              </w:rPr>
              <w:t>·</w:t>
            </w:r>
            <w:r w:rsidRPr="00376E45">
              <w:rPr>
                <w:b/>
                <w:lang w:val="en-GB"/>
              </w:rPr>
              <w:t>2)</w:t>
            </w:r>
          </w:p>
        </w:tc>
        <w:tc>
          <w:tcPr>
            <w:tcW w:w="1916" w:type="dxa"/>
            <w:shd w:val="clear" w:color="auto" w:fill="auto"/>
          </w:tcPr>
          <w:p w14:paraId="17CAE3AC" w14:textId="77777777" w:rsidR="00697D65" w:rsidRPr="00376E45" w:rsidRDefault="00697D65" w:rsidP="00742753">
            <w:pPr>
              <w:spacing w:before="0" w:after="0"/>
              <w:jc w:val="center"/>
              <w:rPr>
                <w:lang w:val="en-GB"/>
              </w:rPr>
            </w:pPr>
          </w:p>
        </w:tc>
        <w:tc>
          <w:tcPr>
            <w:tcW w:w="1916" w:type="dxa"/>
            <w:shd w:val="clear" w:color="auto" w:fill="auto"/>
          </w:tcPr>
          <w:p w14:paraId="5D8D0A5C" w14:textId="77777777" w:rsidR="00697D65" w:rsidRPr="00376E45" w:rsidRDefault="00697D65" w:rsidP="00742753">
            <w:pPr>
              <w:spacing w:before="0" w:after="0"/>
              <w:jc w:val="center"/>
              <w:rPr>
                <w:lang w:val="en-GB"/>
              </w:rPr>
            </w:pPr>
          </w:p>
        </w:tc>
        <w:tc>
          <w:tcPr>
            <w:tcW w:w="1916" w:type="dxa"/>
            <w:shd w:val="clear" w:color="auto" w:fill="auto"/>
          </w:tcPr>
          <w:p w14:paraId="06D35334" w14:textId="77777777" w:rsidR="00697D65" w:rsidRPr="00376E45" w:rsidRDefault="00697D65" w:rsidP="00742753">
            <w:pPr>
              <w:spacing w:before="0" w:after="0"/>
              <w:jc w:val="center"/>
              <w:rPr>
                <w:lang w:val="en-GB"/>
              </w:rPr>
            </w:pPr>
          </w:p>
        </w:tc>
      </w:tr>
      <w:tr w:rsidR="00697D65" w:rsidRPr="00376E45" w14:paraId="4EEA28B8" w14:textId="77777777" w:rsidTr="005A09D6">
        <w:tc>
          <w:tcPr>
            <w:tcW w:w="2894" w:type="dxa"/>
            <w:shd w:val="clear" w:color="auto" w:fill="auto"/>
          </w:tcPr>
          <w:p w14:paraId="46FE5524" w14:textId="77777777" w:rsidR="00697D65" w:rsidRPr="00376E45" w:rsidRDefault="00697D65" w:rsidP="00742753">
            <w:pPr>
              <w:spacing w:before="0" w:after="0"/>
              <w:ind w:left="596"/>
              <w:rPr>
                <w:lang w:val="en-GB"/>
              </w:rPr>
            </w:pPr>
            <w:r w:rsidRPr="00376E45">
              <w:rPr>
                <w:lang w:val="en-GB"/>
              </w:rPr>
              <w:t>6 months</w:t>
            </w:r>
          </w:p>
        </w:tc>
        <w:tc>
          <w:tcPr>
            <w:tcW w:w="1916" w:type="dxa"/>
            <w:shd w:val="clear" w:color="auto" w:fill="auto"/>
          </w:tcPr>
          <w:p w14:paraId="261533B3" w14:textId="1D08453E" w:rsidR="00697D65" w:rsidRPr="00376E45" w:rsidRDefault="00697D65" w:rsidP="00742753">
            <w:pPr>
              <w:spacing w:before="0" w:after="0"/>
              <w:jc w:val="center"/>
              <w:rPr>
                <w:lang w:val="en-GB"/>
              </w:rPr>
            </w:pPr>
            <w:r w:rsidRPr="00376E45">
              <w:rPr>
                <w:lang w:val="en-GB"/>
              </w:rPr>
              <w:t>79 (20</w:t>
            </w:r>
            <w:r w:rsidR="00334EBB" w:rsidRPr="00376E45">
              <w:rPr>
                <w:lang w:val="en-GB"/>
              </w:rPr>
              <w:t>·</w:t>
            </w:r>
            <w:r w:rsidRPr="00376E45">
              <w:rPr>
                <w:lang w:val="en-GB"/>
              </w:rPr>
              <w:t>6%)</w:t>
            </w:r>
          </w:p>
        </w:tc>
        <w:tc>
          <w:tcPr>
            <w:tcW w:w="1916" w:type="dxa"/>
            <w:shd w:val="clear" w:color="auto" w:fill="auto"/>
          </w:tcPr>
          <w:p w14:paraId="166D29E7" w14:textId="1AB99BCF" w:rsidR="00697D65" w:rsidRPr="00376E45" w:rsidRDefault="00697D65" w:rsidP="00742753">
            <w:pPr>
              <w:spacing w:before="0" w:after="0"/>
              <w:jc w:val="center"/>
              <w:rPr>
                <w:lang w:val="en-GB"/>
              </w:rPr>
            </w:pPr>
            <w:r w:rsidRPr="00376E45">
              <w:rPr>
                <w:lang w:val="en-GB"/>
              </w:rPr>
              <w:t>100 (26</w:t>
            </w:r>
            <w:r w:rsidR="00334EBB" w:rsidRPr="00376E45">
              <w:rPr>
                <w:lang w:val="en-GB"/>
              </w:rPr>
              <w:t>·</w:t>
            </w:r>
            <w:r w:rsidRPr="00376E45">
              <w:rPr>
                <w:lang w:val="en-GB"/>
              </w:rPr>
              <w:t>6%)</w:t>
            </w:r>
          </w:p>
        </w:tc>
        <w:tc>
          <w:tcPr>
            <w:tcW w:w="1916" w:type="dxa"/>
            <w:shd w:val="clear" w:color="auto" w:fill="auto"/>
          </w:tcPr>
          <w:p w14:paraId="74ED4E85" w14:textId="1FC186AD" w:rsidR="00697D65" w:rsidRPr="00376E45" w:rsidRDefault="00697D65" w:rsidP="00742753">
            <w:pPr>
              <w:spacing w:before="0" w:after="0"/>
              <w:jc w:val="center"/>
              <w:rPr>
                <w:lang w:val="en-GB"/>
              </w:rPr>
            </w:pPr>
            <w:r w:rsidRPr="00376E45">
              <w:rPr>
                <w:lang w:val="en-GB"/>
              </w:rPr>
              <w:t>106 (27</w:t>
            </w:r>
            <w:r w:rsidR="00334EBB" w:rsidRPr="00376E45">
              <w:rPr>
                <w:lang w:val="en-GB"/>
              </w:rPr>
              <w:t>·</w:t>
            </w:r>
            <w:r w:rsidRPr="00376E45">
              <w:rPr>
                <w:lang w:val="en-GB"/>
              </w:rPr>
              <w:t>5%)</w:t>
            </w:r>
          </w:p>
        </w:tc>
      </w:tr>
      <w:tr w:rsidR="00697D65" w:rsidRPr="00376E45" w14:paraId="61C219D8" w14:textId="77777777" w:rsidTr="005A09D6">
        <w:tc>
          <w:tcPr>
            <w:tcW w:w="2894" w:type="dxa"/>
            <w:shd w:val="clear" w:color="auto" w:fill="auto"/>
          </w:tcPr>
          <w:p w14:paraId="082903F9" w14:textId="77777777" w:rsidR="00697D65" w:rsidRPr="00376E45" w:rsidRDefault="00697D65" w:rsidP="00742753">
            <w:pPr>
              <w:spacing w:before="0" w:after="0"/>
              <w:ind w:left="596"/>
              <w:rPr>
                <w:lang w:val="en-GB"/>
              </w:rPr>
            </w:pPr>
            <w:r w:rsidRPr="00376E45">
              <w:rPr>
                <w:lang w:val="en-GB"/>
              </w:rPr>
              <w:t>12 months</w:t>
            </w:r>
          </w:p>
        </w:tc>
        <w:tc>
          <w:tcPr>
            <w:tcW w:w="1916" w:type="dxa"/>
            <w:shd w:val="clear" w:color="auto" w:fill="auto"/>
          </w:tcPr>
          <w:p w14:paraId="288A14DE" w14:textId="00596E72" w:rsidR="00697D65" w:rsidRPr="00376E45" w:rsidRDefault="00697D65" w:rsidP="00742753">
            <w:pPr>
              <w:spacing w:before="0" w:after="0"/>
              <w:jc w:val="center"/>
              <w:rPr>
                <w:lang w:val="en-GB"/>
              </w:rPr>
            </w:pPr>
            <w:r w:rsidRPr="00376E45">
              <w:rPr>
                <w:lang w:val="en-GB"/>
              </w:rPr>
              <w:t>87 (22</w:t>
            </w:r>
            <w:r w:rsidR="00334EBB" w:rsidRPr="00376E45">
              <w:rPr>
                <w:lang w:val="en-GB"/>
              </w:rPr>
              <w:t>·</w:t>
            </w:r>
            <w:r w:rsidRPr="00376E45">
              <w:rPr>
                <w:lang w:val="en-GB"/>
              </w:rPr>
              <w:t>7%)</w:t>
            </w:r>
          </w:p>
        </w:tc>
        <w:tc>
          <w:tcPr>
            <w:tcW w:w="1916" w:type="dxa"/>
            <w:shd w:val="clear" w:color="auto" w:fill="auto"/>
          </w:tcPr>
          <w:p w14:paraId="544F3EF8" w14:textId="3CE4DC1C" w:rsidR="00697D65" w:rsidRPr="00376E45" w:rsidRDefault="00697D65" w:rsidP="00742753">
            <w:pPr>
              <w:spacing w:before="0" w:after="0"/>
              <w:jc w:val="center"/>
              <w:rPr>
                <w:lang w:val="en-GB"/>
              </w:rPr>
            </w:pPr>
            <w:r w:rsidRPr="00376E45">
              <w:rPr>
                <w:lang w:val="en-GB"/>
              </w:rPr>
              <w:t>102 (27</w:t>
            </w:r>
            <w:r w:rsidR="00334EBB" w:rsidRPr="00376E45">
              <w:rPr>
                <w:lang w:val="en-GB"/>
              </w:rPr>
              <w:t>·</w:t>
            </w:r>
            <w:r w:rsidRPr="00376E45">
              <w:rPr>
                <w:lang w:val="en-GB"/>
              </w:rPr>
              <w:t>1%)</w:t>
            </w:r>
          </w:p>
        </w:tc>
        <w:tc>
          <w:tcPr>
            <w:tcW w:w="1916" w:type="dxa"/>
            <w:shd w:val="clear" w:color="auto" w:fill="auto"/>
          </w:tcPr>
          <w:p w14:paraId="7F2FA461" w14:textId="6006820F" w:rsidR="00697D65" w:rsidRPr="00376E45" w:rsidRDefault="00697D65" w:rsidP="00742753">
            <w:pPr>
              <w:spacing w:before="0" w:after="0"/>
              <w:jc w:val="center"/>
              <w:rPr>
                <w:lang w:val="en-GB"/>
              </w:rPr>
            </w:pPr>
            <w:r w:rsidRPr="00376E45">
              <w:rPr>
                <w:lang w:val="en-GB"/>
              </w:rPr>
              <w:t>128 (33</w:t>
            </w:r>
            <w:r w:rsidR="00334EBB" w:rsidRPr="00376E45">
              <w:rPr>
                <w:lang w:val="en-GB"/>
              </w:rPr>
              <w:t>·</w:t>
            </w:r>
            <w:r w:rsidRPr="00376E45">
              <w:rPr>
                <w:lang w:val="en-GB"/>
              </w:rPr>
              <w:t>2%)</w:t>
            </w:r>
          </w:p>
        </w:tc>
      </w:tr>
      <w:tr w:rsidR="00A84171" w:rsidRPr="00376E45" w14:paraId="2BE7B171" w14:textId="77777777" w:rsidTr="005A09D6">
        <w:tc>
          <w:tcPr>
            <w:tcW w:w="2894" w:type="dxa"/>
            <w:shd w:val="clear" w:color="auto" w:fill="auto"/>
          </w:tcPr>
          <w:p w14:paraId="1792CE6D" w14:textId="5B40B13C" w:rsidR="00A84171" w:rsidRPr="00376E45" w:rsidRDefault="00A84171" w:rsidP="00A84171">
            <w:pPr>
              <w:spacing w:before="0" w:after="0"/>
              <w:rPr>
                <w:lang w:val="en-GB"/>
              </w:rPr>
            </w:pPr>
            <w:r w:rsidRPr="00376E45">
              <w:rPr>
                <w:b/>
                <w:lang w:val="en-GB"/>
              </w:rPr>
              <w:t>DAS28-4(</w:t>
            </w:r>
            <w:r>
              <w:rPr>
                <w:b/>
                <w:lang w:val="en-GB"/>
              </w:rPr>
              <w:t>CRP</w:t>
            </w:r>
            <w:r w:rsidRPr="00376E45">
              <w:rPr>
                <w:b/>
                <w:lang w:val="en-GB"/>
              </w:rPr>
              <w:t>) (&lt;3·2)</w:t>
            </w:r>
            <w:r w:rsidR="00E256FC">
              <w:rPr>
                <w:b/>
                <w:lang w:val="en-GB"/>
              </w:rPr>
              <w:t>*</w:t>
            </w:r>
          </w:p>
        </w:tc>
        <w:tc>
          <w:tcPr>
            <w:tcW w:w="1916" w:type="dxa"/>
            <w:shd w:val="clear" w:color="auto" w:fill="auto"/>
          </w:tcPr>
          <w:p w14:paraId="7605EBCF" w14:textId="77777777" w:rsidR="00A84171" w:rsidRPr="00376E45" w:rsidRDefault="00A84171" w:rsidP="00A84171">
            <w:pPr>
              <w:spacing w:before="0" w:after="0"/>
              <w:jc w:val="center"/>
              <w:rPr>
                <w:lang w:val="en-GB"/>
              </w:rPr>
            </w:pPr>
          </w:p>
        </w:tc>
        <w:tc>
          <w:tcPr>
            <w:tcW w:w="1916" w:type="dxa"/>
            <w:shd w:val="clear" w:color="auto" w:fill="auto"/>
          </w:tcPr>
          <w:p w14:paraId="5C345796" w14:textId="77777777" w:rsidR="00A84171" w:rsidRPr="00376E45" w:rsidRDefault="00A84171" w:rsidP="00A84171">
            <w:pPr>
              <w:spacing w:before="0" w:after="0"/>
              <w:jc w:val="center"/>
              <w:rPr>
                <w:lang w:val="en-GB"/>
              </w:rPr>
            </w:pPr>
          </w:p>
        </w:tc>
        <w:tc>
          <w:tcPr>
            <w:tcW w:w="1916" w:type="dxa"/>
            <w:shd w:val="clear" w:color="auto" w:fill="auto"/>
          </w:tcPr>
          <w:p w14:paraId="5F110B34" w14:textId="77777777" w:rsidR="00A84171" w:rsidRPr="00376E45" w:rsidRDefault="00A84171" w:rsidP="00A84171">
            <w:pPr>
              <w:spacing w:before="0" w:after="0"/>
              <w:jc w:val="center"/>
              <w:rPr>
                <w:lang w:val="en-GB"/>
              </w:rPr>
            </w:pPr>
          </w:p>
        </w:tc>
      </w:tr>
      <w:tr w:rsidR="00A84171" w:rsidRPr="00376E45" w14:paraId="244290E1" w14:textId="77777777" w:rsidTr="005A09D6">
        <w:tc>
          <w:tcPr>
            <w:tcW w:w="2894" w:type="dxa"/>
            <w:shd w:val="clear" w:color="auto" w:fill="auto"/>
          </w:tcPr>
          <w:p w14:paraId="728F16F0" w14:textId="17E0A80D" w:rsidR="00A84171" w:rsidRPr="00376E45" w:rsidRDefault="00A84171" w:rsidP="00A84171">
            <w:pPr>
              <w:spacing w:before="0" w:after="0"/>
              <w:ind w:left="596"/>
              <w:rPr>
                <w:lang w:val="en-GB"/>
              </w:rPr>
            </w:pPr>
            <w:r w:rsidRPr="00376E45">
              <w:rPr>
                <w:lang w:val="en-GB"/>
              </w:rPr>
              <w:t>6 months</w:t>
            </w:r>
          </w:p>
        </w:tc>
        <w:tc>
          <w:tcPr>
            <w:tcW w:w="1916" w:type="dxa"/>
            <w:shd w:val="clear" w:color="auto" w:fill="auto"/>
          </w:tcPr>
          <w:p w14:paraId="766FDBB0" w14:textId="31D733B0" w:rsidR="00A84171" w:rsidRPr="00376E45" w:rsidRDefault="00A84171" w:rsidP="00A84171">
            <w:pPr>
              <w:spacing w:before="0" w:after="0"/>
              <w:jc w:val="center"/>
              <w:rPr>
                <w:lang w:val="en-GB"/>
              </w:rPr>
            </w:pPr>
            <w:r>
              <w:rPr>
                <w:lang w:val="en-GB"/>
              </w:rPr>
              <w:t>159 (41</w:t>
            </w:r>
            <w:r w:rsidR="004315B8" w:rsidRPr="004315B8">
              <w:rPr>
                <w:lang w:val="en-GB"/>
              </w:rPr>
              <w:t>·</w:t>
            </w:r>
            <w:r>
              <w:rPr>
                <w:lang w:val="en-GB"/>
              </w:rPr>
              <w:t>4%)</w:t>
            </w:r>
          </w:p>
        </w:tc>
        <w:tc>
          <w:tcPr>
            <w:tcW w:w="1916" w:type="dxa"/>
            <w:shd w:val="clear" w:color="auto" w:fill="auto"/>
          </w:tcPr>
          <w:p w14:paraId="3C4BDB5C" w14:textId="5332CB0F" w:rsidR="00A84171" w:rsidRPr="00376E45" w:rsidRDefault="00A84171" w:rsidP="00A84171">
            <w:pPr>
              <w:spacing w:before="0" w:after="0"/>
              <w:jc w:val="center"/>
              <w:rPr>
                <w:lang w:val="en-GB"/>
              </w:rPr>
            </w:pPr>
            <w:r>
              <w:rPr>
                <w:lang w:val="en-GB"/>
              </w:rPr>
              <w:t>174 (46</w:t>
            </w:r>
            <w:r w:rsidR="004315B8" w:rsidRPr="004315B8">
              <w:rPr>
                <w:lang w:val="en-GB"/>
              </w:rPr>
              <w:t>·</w:t>
            </w:r>
            <w:r>
              <w:rPr>
                <w:lang w:val="en-GB"/>
              </w:rPr>
              <w:t>3%)</w:t>
            </w:r>
          </w:p>
        </w:tc>
        <w:tc>
          <w:tcPr>
            <w:tcW w:w="1916" w:type="dxa"/>
            <w:shd w:val="clear" w:color="auto" w:fill="auto"/>
          </w:tcPr>
          <w:p w14:paraId="452B2BF8" w14:textId="4D37834E" w:rsidR="00A84171" w:rsidRPr="00376E45" w:rsidRDefault="00A84171" w:rsidP="00A84171">
            <w:pPr>
              <w:spacing w:before="0" w:after="0"/>
              <w:jc w:val="center"/>
              <w:rPr>
                <w:lang w:val="en-GB"/>
              </w:rPr>
            </w:pPr>
            <w:r>
              <w:rPr>
                <w:lang w:val="en-GB"/>
              </w:rPr>
              <w:t>181 (46</w:t>
            </w:r>
            <w:r w:rsidR="004315B8" w:rsidRPr="004315B8">
              <w:rPr>
                <w:lang w:val="en-GB"/>
              </w:rPr>
              <w:t>·</w:t>
            </w:r>
            <w:r>
              <w:rPr>
                <w:lang w:val="en-GB"/>
              </w:rPr>
              <w:t>9%)</w:t>
            </w:r>
          </w:p>
        </w:tc>
      </w:tr>
      <w:tr w:rsidR="00A84171" w:rsidRPr="00376E45" w14:paraId="23E433C3" w14:textId="77777777" w:rsidTr="005A09D6">
        <w:tc>
          <w:tcPr>
            <w:tcW w:w="2894" w:type="dxa"/>
            <w:shd w:val="clear" w:color="auto" w:fill="auto"/>
          </w:tcPr>
          <w:p w14:paraId="28BCBBAA" w14:textId="209BA79B" w:rsidR="00A84171" w:rsidRPr="00376E45" w:rsidRDefault="00A84171" w:rsidP="00A84171">
            <w:pPr>
              <w:spacing w:before="0" w:after="0"/>
              <w:ind w:left="596"/>
              <w:rPr>
                <w:lang w:val="en-GB"/>
              </w:rPr>
            </w:pPr>
            <w:r w:rsidRPr="00376E45">
              <w:rPr>
                <w:lang w:val="en-GB"/>
              </w:rPr>
              <w:t>12 months</w:t>
            </w:r>
          </w:p>
        </w:tc>
        <w:tc>
          <w:tcPr>
            <w:tcW w:w="1916" w:type="dxa"/>
            <w:shd w:val="clear" w:color="auto" w:fill="auto"/>
          </w:tcPr>
          <w:p w14:paraId="6B783DE0" w14:textId="22C452FC" w:rsidR="00A84171" w:rsidRPr="00376E45" w:rsidRDefault="00A84171" w:rsidP="00A84171">
            <w:pPr>
              <w:spacing w:before="0" w:after="0"/>
              <w:jc w:val="center"/>
              <w:rPr>
                <w:lang w:val="en-GB"/>
              </w:rPr>
            </w:pPr>
            <w:r>
              <w:rPr>
                <w:lang w:val="en-GB"/>
              </w:rPr>
              <w:t>157 (40</w:t>
            </w:r>
            <w:r w:rsidR="004315B8" w:rsidRPr="004315B8">
              <w:rPr>
                <w:lang w:val="en-GB"/>
              </w:rPr>
              <w:t>·</w:t>
            </w:r>
            <w:r>
              <w:rPr>
                <w:lang w:val="en-GB"/>
              </w:rPr>
              <w:t>9%)</w:t>
            </w:r>
          </w:p>
        </w:tc>
        <w:tc>
          <w:tcPr>
            <w:tcW w:w="1916" w:type="dxa"/>
            <w:shd w:val="clear" w:color="auto" w:fill="auto"/>
          </w:tcPr>
          <w:p w14:paraId="7EEAA166" w14:textId="28E00C29" w:rsidR="00A84171" w:rsidRPr="00376E45" w:rsidRDefault="00A84171" w:rsidP="00A84171">
            <w:pPr>
              <w:spacing w:before="0" w:after="0"/>
              <w:jc w:val="center"/>
              <w:rPr>
                <w:lang w:val="en-GB"/>
              </w:rPr>
            </w:pPr>
            <w:r>
              <w:rPr>
                <w:lang w:val="en-GB"/>
              </w:rPr>
              <w:t>175 (46</w:t>
            </w:r>
            <w:r w:rsidR="004315B8" w:rsidRPr="004315B8">
              <w:rPr>
                <w:lang w:val="en-GB"/>
              </w:rPr>
              <w:t>·</w:t>
            </w:r>
            <w:r>
              <w:rPr>
                <w:lang w:val="en-GB"/>
              </w:rPr>
              <w:t>5%)</w:t>
            </w:r>
          </w:p>
        </w:tc>
        <w:tc>
          <w:tcPr>
            <w:tcW w:w="1916" w:type="dxa"/>
            <w:shd w:val="clear" w:color="auto" w:fill="auto"/>
          </w:tcPr>
          <w:p w14:paraId="0A3EBCF8" w14:textId="42F85FF6" w:rsidR="00A84171" w:rsidRPr="00376E45" w:rsidRDefault="00A84171" w:rsidP="00A84171">
            <w:pPr>
              <w:spacing w:before="0" w:after="0"/>
              <w:jc w:val="center"/>
              <w:rPr>
                <w:lang w:val="en-GB"/>
              </w:rPr>
            </w:pPr>
            <w:r>
              <w:rPr>
                <w:lang w:val="en-GB"/>
              </w:rPr>
              <w:t>201 (52</w:t>
            </w:r>
            <w:r w:rsidR="004315B8" w:rsidRPr="004315B8">
              <w:rPr>
                <w:lang w:val="en-GB"/>
              </w:rPr>
              <w:t>·</w:t>
            </w:r>
            <w:r>
              <w:rPr>
                <w:lang w:val="en-GB"/>
              </w:rPr>
              <w:t>1%)</w:t>
            </w:r>
          </w:p>
        </w:tc>
      </w:tr>
      <w:tr w:rsidR="00697D65" w:rsidRPr="00376E45" w14:paraId="66181CB7" w14:textId="77777777" w:rsidTr="005A09D6">
        <w:tc>
          <w:tcPr>
            <w:tcW w:w="8642" w:type="dxa"/>
            <w:gridSpan w:val="4"/>
            <w:shd w:val="clear" w:color="auto" w:fill="auto"/>
          </w:tcPr>
          <w:p w14:paraId="6E665001" w14:textId="77777777" w:rsidR="00697D65" w:rsidRPr="00376E45" w:rsidRDefault="00697D65" w:rsidP="00742753">
            <w:pPr>
              <w:spacing w:before="0" w:after="0"/>
              <w:rPr>
                <w:lang w:val="en-GB"/>
              </w:rPr>
            </w:pPr>
            <w:r w:rsidRPr="00376E45">
              <w:rPr>
                <w:b/>
                <w:lang w:val="en-GB"/>
              </w:rPr>
              <w:t>Proportion of patients achieving remission, n (%)</w:t>
            </w:r>
            <w:r w:rsidRPr="00376E45">
              <w:rPr>
                <w:lang w:val="en-GB"/>
              </w:rPr>
              <w:t xml:space="preserve"> </w:t>
            </w:r>
          </w:p>
        </w:tc>
      </w:tr>
      <w:tr w:rsidR="00697D65" w:rsidRPr="00376E45" w14:paraId="0CD87943" w14:textId="77777777" w:rsidTr="005A09D6">
        <w:tc>
          <w:tcPr>
            <w:tcW w:w="2894" w:type="dxa"/>
            <w:shd w:val="clear" w:color="auto" w:fill="auto"/>
          </w:tcPr>
          <w:p w14:paraId="4612771D" w14:textId="6079975E" w:rsidR="00697D65" w:rsidRPr="00376E45" w:rsidRDefault="00697D65" w:rsidP="00742753">
            <w:pPr>
              <w:spacing w:before="0" w:after="0"/>
              <w:ind w:left="113"/>
              <w:rPr>
                <w:b/>
                <w:lang w:val="en-GB"/>
              </w:rPr>
            </w:pPr>
            <w:r w:rsidRPr="00376E45">
              <w:rPr>
                <w:b/>
                <w:lang w:val="en-GB"/>
              </w:rPr>
              <w:t>SDAI (≤3</w:t>
            </w:r>
            <w:r w:rsidR="00334EBB" w:rsidRPr="00376E45">
              <w:rPr>
                <w:b/>
                <w:lang w:val="en-GB"/>
              </w:rPr>
              <w:t>·</w:t>
            </w:r>
            <w:r w:rsidRPr="00376E45">
              <w:rPr>
                <w:b/>
                <w:lang w:val="en-GB"/>
              </w:rPr>
              <w:t>3)</w:t>
            </w:r>
          </w:p>
        </w:tc>
        <w:tc>
          <w:tcPr>
            <w:tcW w:w="1916" w:type="dxa"/>
            <w:shd w:val="clear" w:color="auto" w:fill="auto"/>
          </w:tcPr>
          <w:p w14:paraId="4D707D2F" w14:textId="77777777" w:rsidR="00697D65" w:rsidRPr="00376E45" w:rsidRDefault="00697D65" w:rsidP="00742753">
            <w:pPr>
              <w:spacing w:before="0" w:after="0"/>
              <w:jc w:val="center"/>
              <w:rPr>
                <w:lang w:val="en-GB"/>
              </w:rPr>
            </w:pPr>
          </w:p>
        </w:tc>
        <w:tc>
          <w:tcPr>
            <w:tcW w:w="1916" w:type="dxa"/>
            <w:shd w:val="clear" w:color="auto" w:fill="auto"/>
          </w:tcPr>
          <w:p w14:paraId="6F7F5242" w14:textId="77777777" w:rsidR="00697D65" w:rsidRPr="00376E45" w:rsidRDefault="00697D65" w:rsidP="00742753">
            <w:pPr>
              <w:spacing w:before="0" w:after="0"/>
              <w:jc w:val="center"/>
              <w:rPr>
                <w:lang w:val="en-GB"/>
              </w:rPr>
            </w:pPr>
          </w:p>
        </w:tc>
        <w:tc>
          <w:tcPr>
            <w:tcW w:w="1916" w:type="dxa"/>
            <w:shd w:val="clear" w:color="auto" w:fill="auto"/>
          </w:tcPr>
          <w:p w14:paraId="0283942F" w14:textId="77777777" w:rsidR="00697D65" w:rsidRPr="00376E45" w:rsidRDefault="00697D65" w:rsidP="00742753">
            <w:pPr>
              <w:spacing w:before="0" w:after="0"/>
              <w:jc w:val="center"/>
              <w:rPr>
                <w:lang w:val="en-GB"/>
              </w:rPr>
            </w:pPr>
          </w:p>
        </w:tc>
      </w:tr>
      <w:tr w:rsidR="00697D65" w:rsidRPr="00376E45" w14:paraId="33BA48A9" w14:textId="77777777" w:rsidTr="005A09D6">
        <w:tc>
          <w:tcPr>
            <w:tcW w:w="2894" w:type="dxa"/>
            <w:shd w:val="clear" w:color="auto" w:fill="auto"/>
          </w:tcPr>
          <w:p w14:paraId="67B0BCEE" w14:textId="77777777" w:rsidR="00697D65" w:rsidRPr="00376E45" w:rsidRDefault="00697D65" w:rsidP="00742753">
            <w:pPr>
              <w:spacing w:before="0" w:after="0"/>
              <w:ind w:left="596"/>
              <w:rPr>
                <w:lang w:val="en-GB"/>
              </w:rPr>
            </w:pPr>
            <w:r w:rsidRPr="00376E45">
              <w:rPr>
                <w:lang w:val="en-GB"/>
              </w:rPr>
              <w:t>6 months</w:t>
            </w:r>
          </w:p>
        </w:tc>
        <w:tc>
          <w:tcPr>
            <w:tcW w:w="1916" w:type="dxa"/>
            <w:shd w:val="clear" w:color="auto" w:fill="auto"/>
          </w:tcPr>
          <w:p w14:paraId="024CF323" w14:textId="259821D6" w:rsidR="00697D65" w:rsidRPr="00376E45" w:rsidRDefault="00697D65" w:rsidP="00742753">
            <w:pPr>
              <w:spacing w:before="0" w:after="0"/>
              <w:jc w:val="center"/>
              <w:rPr>
                <w:lang w:val="en-GB"/>
              </w:rPr>
            </w:pPr>
            <w:r w:rsidRPr="00376E45">
              <w:rPr>
                <w:lang w:val="en-GB"/>
              </w:rPr>
              <w:t>38 (9</w:t>
            </w:r>
            <w:r w:rsidR="00334EBB" w:rsidRPr="00376E45">
              <w:rPr>
                <w:lang w:val="en-GB"/>
              </w:rPr>
              <w:t>·</w:t>
            </w:r>
            <w:r w:rsidRPr="00376E45">
              <w:rPr>
                <w:lang w:val="en-GB"/>
              </w:rPr>
              <w:t>9%)</w:t>
            </w:r>
          </w:p>
        </w:tc>
        <w:tc>
          <w:tcPr>
            <w:tcW w:w="1916" w:type="dxa"/>
            <w:shd w:val="clear" w:color="auto" w:fill="auto"/>
          </w:tcPr>
          <w:p w14:paraId="5D18337F" w14:textId="15769839" w:rsidR="00697D65" w:rsidRPr="00376E45" w:rsidRDefault="00697D65" w:rsidP="00742753">
            <w:pPr>
              <w:spacing w:before="0" w:after="0"/>
              <w:jc w:val="center"/>
              <w:rPr>
                <w:lang w:val="en-GB"/>
              </w:rPr>
            </w:pPr>
            <w:r w:rsidRPr="00376E45">
              <w:rPr>
                <w:lang w:val="en-GB"/>
              </w:rPr>
              <w:t>50 (13</w:t>
            </w:r>
            <w:r w:rsidR="00334EBB" w:rsidRPr="00376E45">
              <w:rPr>
                <w:lang w:val="en-GB"/>
              </w:rPr>
              <w:t>·</w:t>
            </w:r>
            <w:r w:rsidRPr="00376E45">
              <w:rPr>
                <w:lang w:val="en-GB"/>
              </w:rPr>
              <w:t>3%)</w:t>
            </w:r>
          </w:p>
        </w:tc>
        <w:tc>
          <w:tcPr>
            <w:tcW w:w="1916" w:type="dxa"/>
            <w:shd w:val="clear" w:color="auto" w:fill="auto"/>
          </w:tcPr>
          <w:p w14:paraId="047C684F" w14:textId="6A9C6C00" w:rsidR="00697D65" w:rsidRPr="00376E45" w:rsidRDefault="00697D65" w:rsidP="00742753">
            <w:pPr>
              <w:spacing w:before="0" w:after="0"/>
              <w:jc w:val="center"/>
              <w:rPr>
                <w:lang w:val="en-GB"/>
              </w:rPr>
            </w:pPr>
            <w:r w:rsidRPr="00376E45">
              <w:rPr>
                <w:lang w:val="en-GB"/>
              </w:rPr>
              <w:t>50 (13</w:t>
            </w:r>
            <w:r w:rsidR="00334EBB" w:rsidRPr="00376E45">
              <w:rPr>
                <w:lang w:val="en-GB"/>
              </w:rPr>
              <w:t>·</w:t>
            </w:r>
            <w:r w:rsidRPr="00376E45">
              <w:rPr>
                <w:lang w:val="en-GB"/>
              </w:rPr>
              <w:t>0%)</w:t>
            </w:r>
          </w:p>
        </w:tc>
      </w:tr>
      <w:tr w:rsidR="00697D65" w:rsidRPr="00376E45" w14:paraId="7210C36A" w14:textId="77777777" w:rsidTr="005A09D6">
        <w:tc>
          <w:tcPr>
            <w:tcW w:w="2894" w:type="dxa"/>
            <w:shd w:val="clear" w:color="auto" w:fill="auto"/>
          </w:tcPr>
          <w:p w14:paraId="0C824A73" w14:textId="77777777" w:rsidR="00697D65" w:rsidRPr="00376E45" w:rsidRDefault="00697D65" w:rsidP="00742753">
            <w:pPr>
              <w:spacing w:before="0" w:after="0"/>
              <w:ind w:left="596"/>
              <w:rPr>
                <w:lang w:val="en-GB"/>
              </w:rPr>
            </w:pPr>
            <w:r w:rsidRPr="00376E45">
              <w:rPr>
                <w:lang w:val="en-GB"/>
              </w:rPr>
              <w:t>12 months</w:t>
            </w:r>
          </w:p>
        </w:tc>
        <w:tc>
          <w:tcPr>
            <w:tcW w:w="1916" w:type="dxa"/>
            <w:shd w:val="clear" w:color="auto" w:fill="auto"/>
          </w:tcPr>
          <w:p w14:paraId="7D6EC317" w14:textId="1FDF10A4" w:rsidR="00697D65" w:rsidRPr="00376E45" w:rsidRDefault="00697D65" w:rsidP="00742753">
            <w:pPr>
              <w:spacing w:before="0" w:after="0"/>
              <w:jc w:val="center"/>
              <w:rPr>
                <w:lang w:val="en-GB"/>
              </w:rPr>
            </w:pPr>
            <w:r w:rsidRPr="00376E45">
              <w:rPr>
                <w:lang w:val="en-GB"/>
              </w:rPr>
              <w:t>53 (13</w:t>
            </w:r>
            <w:r w:rsidR="00334EBB" w:rsidRPr="00376E45">
              <w:rPr>
                <w:lang w:val="en-GB"/>
              </w:rPr>
              <w:t>·</w:t>
            </w:r>
            <w:r w:rsidRPr="00376E45">
              <w:rPr>
                <w:lang w:val="en-GB"/>
              </w:rPr>
              <w:t>8%)</w:t>
            </w:r>
          </w:p>
        </w:tc>
        <w:tc>
          <w:tcPr>
            <w:tcW w:w="1916" w:type="dxa"/>
            <w:shd w:val="clear" w:color="auto" w:fill="auto"/>
          </w:tcPr>
          <w:p w14:paraId="1D3F34BB" w14:textId="24B2AA49" w:rsidR="00697D65" w:rsidRPr="00376E45" w:rsidRDefault="00697D65" w:rsidP="00742753">
            <w:pPr>
              <w:spacing w:before="0" w:after="0"/>
              <w:jc w:val="center"/>
              <w:rPr>
                <w:lang w:val="en-GB"/>
              </w:rPr>
            </w:pPr>
            <w:r w:rsidRPr="00376E45">
              <w:rPr>
                <w:lang w:val="en-GB"/>
              </w:rPr>
              <w:t>61 (16</w:t>
            </w:r>
            <w:r w:rsidR="00334EBB" w:rsidRPr="00376E45">
              <w:rPr>
                <w:lang w:val="en-GB"/>
              </w:rPr>
              <w:t>·</w:t>
            </w:r>
            <w:r w:rsidRPr="00376E45">
              <w:rPr>
                <w:lang w:val="en-GB"/>
              </w:rPr>
              <w:t>2%)</w:t>
            </w:r>
          </w:p>
        </w:tc>
        <w:tc>
          <w:tcPr>
            <w:tcW w:w="1916" w:type="dxa"/>
            <w:shd w:val="clear" w:color="auto" w:fill="auto"/>
          </w:tcPr>
          <w:p w14:paraId="1CD6A8A7" w14:textId="0711A7C8" w:rsidR="00697D65" w:rsidRPr="00376E45" w:rsidRDefault="00697D65" w:rsidP="00742753">
            <w:pPr>
              <w:spacing w:before="0" w:after="0"/>
              <w:jc w:val="center"/>
              <w:rPr>
                <w:lang w:val="en-GB"/>
              </w:rPr>
            </w:pPr>
            <w:r w:rsidRPr="00376E45">
              <w:rPr>
                <w:lang w:val="en-GB"/>
              </w:rPr>
              <w:t>62 (16</w:t>
            </w:r>
            <w:r w:rsidR="00334EBB" w:rsidRPr="00376E45">
              <w:rPr>
                <w:lang w:val="en-GB"/>
              </w:rPr>
              <w:t>·</w:t>
            </w:r>
            <w:r w:rsidRPr="00376E45">
              <w:rPr>
                <w:lang w:val="en-GB"/>
              </w:rPr>
              <w:t>1%)</w:t>
            </w:r>
          </w:p>
        </w:tc>
      </w:tr>
      <w:tr w:rsidR="00697D65" w:rsidRPr="00376E45" w14:paraId="71AF9EDE" w14:textId="77777777" w:rsidTr="005A09D6">
        <w:tc>
          <w:tcPr>
            <w:tcW w:w="2894" w:type="dxa"/>
            <w:shd w:val="clear" w:color="auto" w:fill="auto"/>
          </w:tcPr>
          <w:p w14:paraId="0825B4EB" w14:textId="7C614F1C" w:rsidR="00697D65" w:rsidRPr="00376E45" w:rsidRDefault="00697D65" w:rsidP="00742753">
            <w:pPr>
              <w:spacing w:before="0" w:after="0"/>
              <w:ind w:left="113"/>
              <w:rPr>
                <w:b/>
                <w:lang w:val="en-GB"/>
              </w:rPr>
            </w:pPr>
            <w:r w:rsidRPr="00376E45">
              <w:rPr>
                <w:b/>
                <w:lang w:val="en-GB"/>
              </w:rPr>
              <w:t>CDAI (≤2</w:t>
            </w:r>
            <w:r w:rsidR="00334EBB" w:rsidRPr="00376E45">
              <w:rPr>
                <w:b/>
                <w:lang w:val="en-GB"/>
              </w:rPr>
              <w:t>·</w:t>
            </w:r>
            <w:r w:rsidRPr="00376E45">
              <w:rPr>
                <w:b/>
                <w:lang w:val="en-GB"/>
              </w:rPr>
              <w:t>8)</w:t>
            </w:r>
          </w:p>
        </w:tc>
        <w:tc>
          <w:tcPr>
            <w:tcW w:w="1916" w:type="dxa"/>
            <w:shd w:val="clear" w:color="auto" w:fill="auto"/>
          </w:tcPr>
          <w:p w14:paraId="299A5524" w14:textId="77777777" w:rsidR="00697D65" w:rsidRPr="00376E45" w:rsidRDefault="00697D65" w:rsidP="00742753">
            <w:pPr>
              <w:spacing w:before="0" w:after="0"/>
              <w:jc w:val="center"/>
              <w:rPr>
                <w:lang w:val="en-GB"/>
              </w:rPr>
            </w:pPr>
          </w:p>
        </w:tc>
        <w:tc>
          <w:tcPr>
            <w:tcW w:w="1916" w:type="dxa"/>
            <w:shd w:val="clear" w:color="auto" w:fill="auto"/>
          </w:tcPr>
          <w:p w14:paraId="20C121A5" w14:textId="77777777" w:rsidR="00697D65" w:rsidRPr="00376E45" w:rsidRDefault="00697D65" w:rsidP="00742753">
            <w:pPr>
              <w:spacing w:before="0" w:after="0"/>
              <w:jc w:val="center"/>
              <w:rPr>
                <w:lang w:val="en-GB"/>
              </w:rPr>
            </w:pPr>
          </w:p>
        </w:tc>
        <w:tc>
          <w:tcPr>
            <w:tcW w:w="1916" w:type="dxa"/>
            <w:shd w:val="clear" w:color="auto" w:fill="auto"/>
          </w:tcPr>
          <w:p w14:paraId="2C346912" w14:textId="77777777" w:rsidR="00697D65" w:rsidRPr="00376E45" w:rsidRDefault="00697D65" w:rsidP="00742753">
            <w:pPr>
              <w:spacing w:before="0" w:after="0"/>
              <w:jc w:val="center"/>
              <w:rPr>
                <w:lang w:val="en-GB"/>
              </w:rPr>
            </w:pPr>
          </w:p>
        </w:tc>
      </w:tr>
      <w:tr w:rsidR="00697D65" w:rsidRPr="00376E45" w14:paraId="6B1C9401" w14:textId="77777777" w:rsidTr="005A09D6">
        <w:tc>
          <w:tcPr>
            <w:tcW w:w="2894" w:type="dxa"/>
            <w:shd w:val="clear" w:color="auto" w:fill="auto"/>
          </w:tcPr>
          <w:p w14:paraId="796EA7DA" w14:textId="77777777" w:rsidR="00697D65" w:rsidRPr="00376E45" w:rsidRDefault="00697D65" w:rsidP="00742753">
            <w:pPr>
              <w:spacing w:before="0" w:after="0"/>
              <w:ind w:left="596"/>
              <w:rPr>
                <w:lang w:val="en-GB"/>
              </w:rPr>
            </w:pPr>
            <w:r w:rsidRPr="00376E45">
              <w:rPr>
                <w:lang w:val="en-GB"/>
              </w:rPr>
              <w:t>6 months</w:t>
            </w:r>
          </w:p>
        </w:tc>
        <w:tc>
          <w:tcPr>
            <w:tcW w:w="1916" w:type="dxa"/>
            <w:shd w:val="clear" w:color="auto" w:fill="auto"/>
          </w:tcPr>
          <w:p w14:paraId="252A441E" w14:textId="6ADD0F85" w:rsidR="00697D65" w:rsidRPr="00376E45" w:rsidRDefault="00697D65" w:rsidP="00742753">
            <w:pPr>
              <w:spacing w:before="0" w:after="0"/>
              <w:jc w:val="center"/>
              <w:rPr>
                <w:lang w:val="en-GB"/>
              </w:rPr>
            </w:pPr>
            <w:r w:rsidRPr="00376E45">
              <w:rPr>
                <w:lang w:val="en-GB"/>
              </w:rPr>
              <w:t>39 (10</w:t>
            </w:r>
            <w:r w:rsidR="00334EBB" w:rsidRPr="00376E45">
              <w:rPr>
                <w:lang w:val="en-GB"/>
              </w:rPr>
              <w:t>·</w:t>
            </w:r>
            <w:r w:rsidRPr="00376E45">
              <w:rPr>
                <w:lang w:val="en-GB"/>
              </w:rPr>
              <w:t>2%)</w:t>
            </w:r>
          </w:p>
        </w:tc>
        <w:tc>
          <w:tcPr>
            <w:tcW w:w="1916" w:type="dxa"/>
            <w:shd w:val="clear" w:color="auto" w:fill="auto"/>
          </w:tcPr>
          <w:p w14:paraId="6183F85B" w14:textId="25E99ED2" w:rsidR="00697D65" w:rsidRPr="00376E45" w:rsidRDefault="00697D65" w:rsidP="00742753">
            <w:pPr>
              <w:spacing w:before="0" w:after="0"/>
              <w:jc w:val="center"/>
              <w:rPr>
                <w:lang w:val="en-GB"/>
              </w:rPr>
            </w:pPr>
            <w:r w:rsidRPr="00376E45">
              <w:rPr>
                <w:lang w:val="en-GB"/>
              </w:rPr>
              <w:t>52 (13</w:t>
            </w:r>
            <w:r w:rsidR="00334EBB" w:rsidRPr="00376E45">
              <w:rPr>
                <w:lang w:val="en-GB"/>
              </w:rPr>
              <w:t>·</w:t>
            </w:r>
            <w:r w:rsidRPr="00376E45">
              <w:rPr>
                <w:lang w:val="en-GB"/>
              </w:rPr>
              <w:t>8%)</w:t>
            </w:r>
          </w:p>
        </w:tc>
        <w:tc>
          <w:tcPr>
            <w:tcW w:w="1916" w:type="dxa"/>
            <w:shd w:val="clear" w:color="auto" w:fill="auto"/>
          </w:tcPr>
          <w:p w14:paraId="1EDBA383" w14:textId="2CF7CC58" w:rsidR="00697D65" w:rsidRPr="00376E45" w:rsidRDefault="00697D65" w:rsidP="00742753">
            <w:pPr>
              <w:spacing w:before="0" w:after="0"/>
              <w:jc w:val="center"/>
              <w:rPr>
                <w:lang w:val="en-GB"/>
              </w:rPr>
            </w:pPr>
            <w:r w:rsidRPr="00376E45">
              <w:rPr>
                <w:lang w:val="en-GB"/>
              </w:rPr>
              <w:t>51 (13</w:t>
            </w:r>
            <w:r w:rsidR="00334EBB" w:rsidRPr="00376E45">
              <w:rPr>
                <w:lang w:val="en-GB"/>
              </w:rPr>
              <w:t>·</w:t>
            </w:r>
            <w:r w:rsidRPr="00376E45">
              <w:rPr>
                <w:lang w:val="en-GB"/>
              </w:rPr>
              <w:t>2%)</w:t>
            </w:r>
          </w:p>
        </w:tc>
      </w:tr>
      <w:tr w:rsidR="00697D65" w:rsidRPr="00376E45" w14:paraId="7C8BDC49" w14:textId="77777777" w:rsidTr="005A09D6">
        <w:tc>
          <w:tcPr>
            <w:tcW w:w="2894" w:type="dxa"/>
            <w:shd w:val="clear" w:color="auto" w:fill="auto"/>
          </w:tcPr>
          <w:p w14:paraId="4266EC24" w14:textId="77777777" w:rsidR="00697D65" w:rsidRPr="00376E45" w:rsidRDefault="00697D65" w:rsidP="00742753">
            <w:pPr>
              <w:spacing w:before="0" w:after="0"/>
              <w:ind w:left="596"/>
              <w:rPr>
                <w:lang w:val="en-GB"/>
              </w:rPr>
            </w:pPr>
            <w:r w:rsidRPr="00376E45">
              <w:rPr>
                <w:lang w:val="en-GB"/>
              </w:rPr>
              <w:t>12 months</w:t>
            </w:r>
          </w:p>
        </w:tc>
        <w:tc>
          <w:tcPr>
            <w:tcW w:w="1916" w:type="dxa"/>
            <w:shd w:val="clear" w:color="auto" w:fill="auto"/>
          </w:tcPr>
          <w:p w14:paraId="017DEBA3" w14:textId="443F3216" w:rsidR="00697D65" w:rsidRPr="00376E45" w:rsidRDefault="00697D65" w:rsidP="00742753">
            <w:pPr>
              <w:spacing w:before="0" w:after="0"/>
              <w:jc w:val="center"/>
              <w:rPr>
                <w:lang w:val="en-GB"/>
              </w:rPr>
            </w:pPr>
            <w:r w:rsidRPr="00376E45">
              <w:rPr>
                <w:lang w:val="en-GB"/>
              </w:rPr>
              <w:t>54 (14</w:t>
            </w:r>
            <w:r w:rsidR="00334EBB" w:rsidRPr="00376E45">
              <w:rPr>
                <w:lang w:val="en-GB"/>
              </w:rPr>
              <w:t>·</w:t>
            </w:r>
            <w:r w:rsidRPr="00376E45">
              <w:rPr>
                <w:lang w:val="en-GB"/>
              </w:rPr>
              <w:t>1%)</w:t>
            </w:r>
          </w:p>
        </w:tc>
        <w:tc>
          <w:tcPr>
            <w:tcW w:w="1916" w:type="dxa"/>
            <w:shd w:val="clear" w:color="auto" w:fill="auto"/>
          </w:tcPr>
          <w:p w14:paraId="56C5756D" w14:textId="63CAF09F" w:rsidR="00697D65" w:rsidRPr="00376E45" w:rsidRDefault="00697D65" w:rsidP="00742753">
            <w:pPr>
              <w:spacing w:before="0" w:after="0"/>
              <w:jc w:val="center"/>
              <w:rPr>
                <w:lang w:val="en-GB"/>
              </w:rPr>
            </w:pPr>
            <w:r w:rsidRPr="00376E45">
              <w:rPr>
                <w:lang w:val="en-GB"/>
              </w:rPr>
              <w:t>70 (18</w:t>
            </w:r>
            <w:r w:rsidR="00334EBB" w:rsidRPr="00376E45">
              <w:rPr>
                <w:lang w:val="en-GB"/>
              </w:rPr>
              <w:t>·</w:t>
            </w:r>
            <w:r w:rsidRPr="00376E45">
              <w:rPr>
                <w:lang w:val="en-GB"/>
              </w:rPr>
              <w:t>6%)</w:t>
            </w:r>
          </w:p>
        </w:tc>
        <w:tc>
          <w:tcPr>
            <w:tcW w:w="1916" w:type="dxa"/>
            <w:shd w:val="clear" w:color="auto" w:fill="auto"/>
          </w:tcPr>
          <w:p w14:paraId="7036ACB0" w14:textId="2BC15409" w:rsidR="00697D65" w:rsidRPr="00376E45" w:rsidRDefault="00697D65" w:rsidP="00742753">
            <w:pPr>
              <w:spacing w:before="0" w:after="0"/>
              <w:jc w:val="center"/>
              <w:rPr>
                <w:lang w:val="en-GB"/>
              </w:rPr>
            </w:pPr>
            <w:r w:rsidRPr="00376E45">
              <w:rPr>
                <w:lang w:val="en-GB"/>
              </w:rPr>
              <w:t>65 (16</w:t>
            </w:r>
            <w:r w:rsidR="00334EBB" w:rsidRPr="00376E45">
              <w:rPr>
                <w:lang w:val="en-GB"/>
              </w:rPr>
              <w:t>·</w:t>
            </w:r>
            <w:r w:rsidRPr="00376E45">
              <w:rPr>
                <w:lang w:val="en-GB"/>
              </w:rPr>
              <w:t>8%)</w:t>
            </w:r>
          </w:p>
        </w:tc>
      </w:tr>
      <w:tr w:rsidR="00697D65" w:rsidRPr="00376E45" w14:paraId="3FB2DFB8" w14:textId="77777777" w:rsidTr="005A09D6">
        <w:tc>
          <w:tcPr>
            <w:tcW w:w="2894" w:type="dxa"/>
            <w:shd w:val="clear" w:color="auto" w:fill="auto"/>
          </w:tcPr>
          <w:p w14:paraId="1C8EE292" w14:textId="48BDAB55" w:rsidR="00697D65" w:rsidRPr="00376E45" w:rsidRDefault="00697D65" w:rsidP="00742753">
            <w:pPr>
              <w:spacing w:before="0" w:after="0"/>
              <w:ind w:left="113"/>
              <w:rPr>
                <w:b/>
                <w:lang w:val="en-GB"/>
              </w:rPr>
            </w:pPr>
            <w:r w:rsidRPr="00376E45">
              <w:rPr>
                <w:b/>
                <w:lang w:val="en-GB"/>
              </w:rPr>
              <w:t>DAS28-4(ESR) (&lt;2</w:t>
            </w:r>
            <w:r w:rsidR="00334EBB" w:rsidRPr="00376E45">
              <w:rPr>
                <w:b/>
                <w:lang w:val="en-GB"/>
              </w:rPr>
              <w:t>·</w:t>
            </w:r>
            <w:r w:rsidRPr="00376E45">
              <w:rPr>
                <w:b/>
                <w:lang w:val="en-GB"/>
              </w:rPr>
              <w:t>6)</w:t>
            </w:r>
          </w:p>
        </w:tc>
        <w:tc>
          <w:tcPr>
            <w:tcW w:w="1916" w:type="dxa"/>
            <w:shd w:val="clear" w:color="auto" w:fill="auto"/>
          </w:tcPr>
          <w:p w14:paraId="3096ACDE" w14:textId="77777777" w:rsidR="00697D65" w:rsidRPr="00376E45" w:rsidRDefault="00697D65" w:rsidP="00742753">
            <w:pPr>
              <w:spacing w:before="0" w:after="0"/>
              <w:jc w:val="center"/>
              <w:rPr>
                <w:lang w:val="en-GB"/>
              </w:rPr>
            </w:pPr>
          </w:p>
        </w:tc>
        <w:tc>
          <w:tcPr>
            <w:tcW w:w="1916" w:type="dxa"/>
            <w:shd w:val="clear" w:color="auto" w:fill="auto"/>
          </w:tcPr>
          <w:p w14:paraId="1F729279" w14:textId="77777777" w:rsidR="00697D65" w:rsidRPr="00376E45" w:rsidRDefault="00697D65" w:rsidP="00742753">
            <w:pPr>
              <w:spacing w:before="0" w:after="0"/>
              <w:jc w:val="center"/>
              <w:rPr>
                <w:lang w:val="en-GB"/>
              </w:rPr>
            </w:pPr>
          </w:p>
        </w:tc>
        <w:tc>
          <w:tcPr>
            <w:tcW w:w="1916" w:type="dxa"/>
            <w:shd w:val="clear" w:color="auto" w:fill="auto"/>
          </w:tcPr>
          <w:p w14:paraId="0969ECEC" w14:textId="77777777" w:rsidR="00697D65" w:rsidRPr="00376E45" w:rsidRDefault="00697D65" w:rsidP="00742753">
            <w:pPr>
              <w:spacing w:before="0" w:after="0"/>
              <w:jc w:val="center"/>
              <w:rPr>
                <w:lang w:val="en-GB"/>
              </w:rPr>
            </w:pPr>
          </w:p>
        </w:tc>
      </w:tr>
      <w:tr w:rsidR="00697D65" w:rsidRPr="00376E45" w14:paraId="2FF625E4" w14:textId="77777777" w:rsidTr="005A09D6">
        <w:tc>
          <w:tcPr>
            <w:tcW w:w="2894" w:type="dxa"/>
            <w:shd w:val="clear" w:color="auto" w:fill="auto"/>
          </w:tcPr>
          <w:p w14:paraId="4C3D6258" w14:textId="77777777" w:rsidR="00697D65" w:rsidRPr="00376E45" w:rsidRDefault="00697D65" w:rsidP="00742753">
            <w:pPr>
              <w:spacing w:before="0" w:after="0"/>
              <w:ind w:left="596"/>
              <w:rPr>
                <w:lang w:val="en-GB"/>
              </w:rPr>
            </w:pPr>
            <w:r w:rsidRPr="00376E45">
              <w:rPr>
                <w:lang w:val="en-GB"/>
              </w:rPr>
              <w:t>6 months</w:t>
            </w:r>
          </w:p>
        </w:tc>
        <w:tc>
          <w:tcPr>
            <w:tcW w:w="1916" w:type="dxa"/>
            <w:shd w:val="clear" w:color="auto" w:fill="auto"/>
          </w:tcPr>
          <w:p w14:paraId="69F2B544" w14:textId="788BE964" w:rsidR="00697D65" w:rsidRPr="00376E45" w:rsidRDefault="00697D65" w:rsidP="00742753">
            <w:pPr>
              <w:spacing w:before="0" w:after="0"/>
              <w:jc w:val="center"/>
              <w:rPr>
                <w:lang w:val="en-GB"/>
              </w:rPr>
            </w:pPr>
            <w:r w:rsidRPr="00376E45">
              <w:rPr>
                <w:lang w:val="en-GB"/>
              </w:rPr>
              <w:t>40 (10</w:t>
            </w:r>
            <w:r w:rsidR="00334EBB" w:rsidRPr="00376E45">
              <w:rPr>
                <w:lang w:val="en-GB"/>
              </w:rPr>
              <w:t>·</w:t>
            </w:r>
            <w:r w:rsidRPr="00376E45">
              <w:rPr>
                <w:lang w:val="en-GB"/>
              </w:rPr>
              <w:t>4%)</w:t>
            </w:r>
          </w:p>
        </w:tc>
        <w:tc>
          <w:tcPr>
            <w:tcW w:w="1916" w:type="dxa"/>
            <w:shd w:val="clear" w:color="auto" w:fill="auto"/>
          </w:tcPr>
          <w:p w14:paraId="1F20CFBE" w14:textId="64C9222F" w:rsidR="00697D65" w:rsidRPr="00376E45" w:rsidRDefault="00697D65" w:rsidP="00742753">
            <w:pPr>
              <w:spacing w:before="0" w:after="0"/>
              <w:jc w:val="center"/>
              <w:rPr>
                <w:lang w:val="en-GB"/>
              </w:rPr>
            </w:pPr>
            <w:r w:rsidRPr="00376E45">
              <w:rPr>
                <w:lang w:val="en-GB"/>
              </w:rPr>
              <w:t>45 (12</w:t>
            </w:r>
            <w:r w:rsidR="00334EBB" w:rsidRPr="00376E45">
              <w:rPr>
                <w:lang w:val="en-GB"/>
              </w:rPr>
              <w:t>·</w:t>
            </w:r>
            <w:r w:rsidRPr="00376E45">
              <w:rPr>
                <w:lang w:val="en-GB"/>
              </w:rPr>
              <w:t>0%)</w:t>
            </w:r>
          </w:p>
        </w:tc>
        <w:tc>
          <w:tcPr>
            <w:tcW w:w="1916" w:type="dxa"/>
            <w:shd w:val="clear" w:color="auto" w:fill="auto"/>
          </w:tcPr>
          <w:p w14:paraId="48CE5DED" w14:textId="668BE30B" w:rsidR="00697D65" w:rsidRPr="00376E45" w:rsidRDefault="00697D65" w:rsidP="00742753">
            <w:pPr>
              <w:spacing w:before="0" w:after="0"/>
              <w:jc w:val="center"/>
              <w:rPr>
                <w:lang w:val="en-GB"/>
              </w:rPr>
            </w:pPr>
            <w:r w:rsidRPr="00376E45">
              <w:rPr>
                <w:lang w:val="en-GB"/>
              </w:rPr>
              <w:t>48 (12</w:t>
            </w:r>
            <w:r w:rsidR="00334EBB" w:rsidRPr="00376E45">
              <w:rPr>
                <w:lang w:val="en-GB"/>
              </w:rPr>
              <w:t>·</w:t>
            </w:r>
            <w:r w:rsidRPr="00376E45">
              <w:rPr>
                <w:lang w:val="en-GB"/>
              </w:rPr>
              <w:t>4%)</w:t>
            </w:r>
          </w:p>
        </w:tc>
      </w:tr>
      <w:tr w:rsidR="00697D65" w:rsidRPr="00376E45" w14:paraId="7A64583D" w14:textId="77777777" w:rsidTr="005A09D6">
        <w:tc>
          <w:tcPr>
            <w:tcW w:w="2894" w:type="dxa"/>
            <w:shd w:val="clear" w:color="auto" w:fill="auto"/>
          </w:tcPr>
          <w:p w14:paraId="111858AC" w14:textId="77777777" w:rsidR="00697D65" w:rsidRPr="00376E45" w:rsidRDefault="00697D65" w:rsidP="00742753">
            <w:pPr>
              <w:spacing w:before="0" w:after="0"/>
              <w:ind w:left="596"/>
              <w:rPr>
                <w:lang w:val="en-GB"/>
              </w:rPr>
            </w:pPr>
            <w:r w:rsidRPr="00376E45">
              <w:rPr>
                <w:lang w:val="en-GB"/>
              </w:rPr>
              <w:t>12 months</w:t>
            </w:r>
          </w:p>
        </w:tc>
        <w:tc>
          <w:tcPr>
            <w:tcW w:w="1916" w:type="dxa"/>
            <w:shd w:val="clear" w:color="auto" w:fill="auto"/>
          </w:tcPr>
          <w:p w14:paraId="6E0E84D7" w14:textId="41E7712D" w:rsidR="00697D65" w:rsidRPr="00376E45" w:rsidRDefault="00697D65" w:rsidP="00742753">
            <w:pPr>
              <w:spacing w:before="0" w:after="0"/>
              <w:jc w:val="center"/>
              <w:rPr>
                <w:lang w:val="en-GB"/>
              </w:rPr>
            </w:pPr>
            <w:r w:rsidRPr="00376E45">
              <w:rPr>
                <w:lang w:val="en-GB"/>
              </w:rPr>
              <w:t>43 (11</w:t>
            </w:r>
            <w:r w:rsidR="00334EBB" w:rsidRPr="00376E45">
              <w:rPr>
                <w:lang w:val="en-GB"/>
              </w:rPr>
              <w:t>·</w:t>
            </w:r>
            <w:r w:rsidRPr="00376E45">
              <w:rPr>
                <w:lang w:val="en-GB"/>
              </w:rPr>
              <w:t>2%)</w:t>
            </w:r>
          </w:p>
        </w:tc>
        <w:tc>
          <w:tcPr>
            <w:tcW w:w="1916" w:type="dxa"/>
            <w:shd w:val="clear" w:color="auto" w:fill="auto"/>
          </w:tcPr>
          <w:p w14:paraId="3E0B1B73" w14:textId="45711969" w:rsidR="00697D65" w:rsidRPr="00376E45" w:rsidRDefault="00697D65" w:rsidP="00742753">
            <w:pPr>
              <w:spacing w:before="0" w:after="0"/>
              <w:jc w:val="center"/>
              <w:rPr>
                <w:lang w:val="en-GB"/>
              </w:rPr>
            </w:pPr>
            <w:r w:rsidRPr="00376E45">
              <w:rPr>
                <w:lang w:val="en-GB"/>
              </w:rPr>
              <w:t>55 (14</w:t>
            </w:r>
            <w:r w:rsidR="00334EBB" w:rsidRPr="00376E45">
              <w:rPr>
                <w:lang w:val="en-GB"/>
              </w:rPr>
              <w:t>·</w:t>
            </w:r>
            <w:r w:rsidRPr="00376E45">
              <w:rPr>
                <w:lang w:val="en-GB"/>
              </w:rPr>
              <w:t>6%)</w:t>
            </w:r>
          </w:p>
        </w:tc>
        <w:tc>
          <w:tcPr>
            <w:tcW w:w="1916" w:type="dxa"/>
            <w:shd w:val="clear" w:color="auto" w:fill="auto"/>
          </w:tcPr>
          <w:p w14:paraId="4B28E19E" w14:textId="61361D39" w:rsidR="00697D65" w:rsidRPr="00376E45" w:rsidRDefault="00697D65" w:rsidP="00742753">
            <w:pPr>
              <w:spacing w:before="0" w:after="0"/>
              <w:jc w:val="center"/>
              <w:rPr>
                <w:lang w:val="en-GB"/>
              </w:rPr>
            </w:pPr>
            <w:r w:rsidRPr="00376E45">
              <w:rPr>
                <w:lang w:val="en-GB"/>
              </w:rPr>
              <w:t>66 (17</w:t>
            </w:r>
            <w:r w:rsidR="00334EBB" w:rsidRPr="00376E45">
              <w:rPr>
                <w:lang w:val="en-GB"/>
              </w:rPr>
              <w:t>·</w:t>
            </w:r>
            <w:r w:rsidRPr="00376E45">
              <w:rPr>
                <w:lang w:val="en-GB"/>
              </w:rPr>
              <w:t>1%)</w:t>
            </w:r>
          </w:p>
        </w:tc>
      </w:tr>
      <w:tr w:rsidR="00A84171" w:rsidRPr="00376E45" w14:paraId="36EDB5AB" w14:textId="77777777" w:rsidTr="005A09D6">
        <w:tc>
          <w:tcPr>
            <w:tcW w:w="2894" w:type="dxa"/>
            <w:shd w:val="clear" w:color="auto" w:fill="auto"/>
          </w:tcPr>
          <w:p w14:paraId="6F5F367A" w14:textId="7ED00EF3" w:rsidR="00A84171" w:rsidRPr="00376E45" w:rsidRDefault="00A84171" w:rsidP="00A84171">
            <w:pPr>
              <w:spacing w:before="0" w:after="0"/>
              <w:rPr>
                <w:lang w:val="en-GB"/>
              </w:rPr>
            </w:pPr>
            <w:r w:rsidRPr="00376E45">
              <w:rPr>
                <w:b/>
                <w:lang w:val="en-GB"/>
              </w:rPr>
              <w:t>DAS28-4(</w:t>
            </w:r>
            <w:r>
              <w:rPr>
                <w:b/>
                <w:lang w:val="en-GB"/>
              </w:rPr>
              <w:t>CRP</w:t>
            </w:r>
            <w:r w:rsidRPr="00376E45">
              <w:rPr>
                <w:b/>
                <w:lang w:val="en-GB"/>
              </w:rPr>
              <w:t>) (&lt;2·6)</w:t>
            </w:r>
            <w:r w:rsidR="00E256FC">
              <w:rPr>
                <w:b/>
                <w:lang w:val="en-GB"/>
              </w:rPr>
              <w:t>*</w:t>
            </w:r>
          </w:p>
        </w:tc>
        <w:tc>
          <w:tcPr>
            <w:tcW w:w="1916" w:type="dxa"/>
            <w:shd w:val="clear" w:color="auto" w:fill="auto"/>
          </w:tcPr>
          <w:p w14:paraId="32B9DA89" w14:textId="77777777" w:rsidR="00A84171" w:rsidRPr="00376E45" w:rsidRDefault="00A84171" w:rsidP="00A84171">
            <w:pPr>
              <w:spacing w:before="0" w:after="0"/>
              <w:jc w:val="center"/>
              <w:rPr>
                <w:lang w:val="en-GB"/>
              </w:rPr>
            </w:pPr>
          </w:p>
        </w:tc>
        <w:tc>
          <w:tcPr>
            <w:tcW w:w="1916" w:type="dxa"/>
            <w:shd w:val="clear" w:color="auto" w:fill="auto"/>
          </w:tcPr>
          <w:p w14:paraId="1F01891F" w14:textId="77777777" w:rsidR="00A84171" w:rsidRPr="00376E45" w:rsidRDefault="00A84171" w:rsidP="00A84171">
            <w:pPr>
              <w:spacing w:before="0" w:after="0"/>
              <w:jc w:val="center"/>
              <w:rPr>
                <w:lang w:val="en-GB"/>
              </w:rPr>
            </w:pPr>
          </w:p>
        </w:tc>
        <w:tc>
          <w:tcPr>
            <w:tcW w:w="1916" w:type="dxa"/>
            <w:shd w:val="clear" w:color="auto" w:fill="auto"/>
          </w:tcPr>
          <w:p w14:paraId="18F62B74" w14:textId="77777777" w:rsidR="00A84171" w:rsidRPr="00376E45" w:rsidRDefault="00A84171" w:rsidP="00A84171">
            <w:pPr>
              <w:spacing w:before="0" w:after="0"/>
              <w:jc w:val="center"/>
              <w:rPr>
                <w:lang w:val="en-GB"/>
              </w:rPr>
            </w:pPr>
          </w:p>
        </w:tc>
      </w:tr>
      <w:tr w:rsidR="00A84171" w:rsidRPr="00376E45" w14:paraId="1F0BDBF8" w14:textId="77777777" w:rsidTr="005A09D6">
        <w:tc>
          <w:tcPr>
            <w:tcW w:w="2894" w:type="dxa"/>
            <w:shd w:val="clear" w:color="auto" w:fill="auto"/>
          </w:tcPr>
          <w:p w14:paraId="585F2142" w14:textId="018D97F3" w:rsidR="00A84171" w:rsidRPr="00376E45" w:rsidRDefault="00A84171" w:rsidP="00A84171">
            <w:pPr>
              <w:spacing w:before="0" w:after="0"/>
              <w:ind w:left="596"/>
              <w:rPr>
                <w:lang w:val="en-GB"/>
              </w:rPr>
            </w:pPr>
            <w:r w:rsidRPr="00376E45">
              <w:rPr>
                <w:lang w:val="en-GB"/>
              </w:rPr>
              <w:t>6 months</w:t>
            </w:r>
          </w:p>
        </w:tc>
        <w:tc>
          <w:tcPr>
            <w:tcW w:w="1916" w:type="dxa"/>
            <w:shd w:val="clear" w:color="auto" w:fill="auto"/>
          </w:tcPr>
          <w:p w14:paraId="548BCD66" w14:textId="3CC3FD41" w:rsidR="00A84171" w:rsidRPr="00376E45" w:rsidRDefault="00A84171" w:rsidP="00A84171">
            <w:pPr>
              <w:spacing w:before="0" w:after="0"/>
              <w:jc w:val="center"/>
              <w:rPr>
                <w:lang w:val="en-GB"/>
              </w:rPr>
            </w:pPr>
            <w:r>
              <w:rPr>
                <w:lang w:val="en-GB"/>
              </w:rPr>
              <w:t>81 (21</w:t>
            </w:r>
            <w:r w:rsidR="004315B8" w:rsidRPr="004315B8">
              <w:rPr>
                <w:lang w:val="en-GB"/>
              </w:rPr>
              <w:t>·</w:t>
            </w:r>
            <w:r>
              <w:rPr>
                <w:lang w:val="en-GB"/>
              </w:rPr>
              <w:t>1%)</w:t>
            </w:r>
          </w:p>
        </w:tc>
        <w:tc>
          <w:tcPr>
            <w:tcW w:w="1916" w:type="dxa"/>
            <w:shd w:val="clear" w:color="auto" w:fill="auto"/>
          </w:tcPr>
          <w:p w14:paraId="12539587" w14:textId="4F15FB48" w:rsidR="00A84171" w:rsidRPr="00376E45" w:rsidRDefault="00A84171" w:rsidP="00A84171">
            <w:pPr>
              <w:spacing w:before="0" w:after="0"/>
              <w:jc w:val="center"/>
              <w:rPr>
                <w:lang w:val="en-GB"/>
              </w:rPr>
            </w:pPr>
            <w:r>
              <w:rPr>
                <w:lang w:val="en-GB"/>
              </w:rPr>
              <w:t>115 (30</w:t>
            </w:r>
            <w:r w:rsidR="004315B8" w:rsidRPr="004315B8">
              <w:rPr>
                <w:lang w:val="en-GB"/>
              </w:rPr>
              <w:t>·</w:t>
            </w:r>
            <w:r>
              <w:rPr>
                <w:lang w:val="en-GB"/>
              </w:rPr>
              <w:t>6%)</w:t>
            </w:r>
          </w:p>
        </w:tc>
        <w:tc>
          <w:tcPr>
            <w:tcW w:w="1916" w:type="dxa"/>
            <w:shd w:val="clear" w:color="auto" w:fill="auto"/>
          </w:tcPr>
          <w:p w14:paraId="2B9C1CDC" w14:textId="063E2578" w:rsidR="00A84171" w:rsidRPr="00376E45" w:rsidRDefault="00A84171" w:rsidP="00A84171">
            <w:pPr>
              <w:spacing w:before="0" w:after="0"/>
              <w:jc w:val="center"/>
              <w:rPr>
                <w:lang w:val="en-GB"/>
              </w:rPr>
            </w:pPr>
            <w:r>
              <w:rPr>
                <w:lang w:val="en-GB"/>
              </w:rPr>
              <w:t>108 (28</w:t>
            </w:r>
            <w:r w:rsidR="004315B8" w:rsidRPr="004315B8">
              <w:rPr>
                <w:lang w:val="en-GB"/>
              </w:rPr>
              <w:t>·</w:t>
            </w:r>
            <w:r>
              <w:rPr>
                <w:lang w:val="en-GB"/>
              </w:rPr>
              <w:t>0%)</w:t>
            </w:r>
          </w:p>
        </w:tc>
      </w:tr>
      <w:tr w:rsidR="00A84171" w:rsidRPr="00376E45" w14:paraId="5B361799" w14:textId="77777777" w:rsidTr="005A09D6">
        <w:tc>
          <w:tcPr>
            <w:tcW w:w="2894" w:type="dxa"/>
            <w:shd w:val="clear" w:color="auto" w:fill="auto"/>
          </w:tcPr>
          <w:p w14:paraId="25028DD7" w14:textId="300B050B" w:rsidR="00A84171" w:rsidRPr="00376E45" w:rsidRDefault="00A84171" w:rsidP="00A84171">
            <w:pPr>
              <w:spacing w:before="0" w:after="0"/>
              <w:ind w:left="596"/>
              <w:rPr>
                <w:lang w:val="en-GB"/>
              </w:rPr>
            </w:pPr>
            <w:r w:rsidRPr="00376E45">
              <w:rPr>
                <w:lang w:val="en-GB"/>
              </w:rPr>
              <w:t>12 months</w:t>
            </w:r>
          </w:p>
        </w:tc>
        <w:tc>
          <w:tcPr>
            <w:tcW w:w="1916" w:type="dxa"/>
            <w:shd w:val="clear" w:color="auto" w:fill="auto"/>
          </w:tcPr>
          <w:p w14:paraId="6E08354A" w14:textId="637D7514" w:rsidR="00A84171" w:rsidRPr="00376E45" w:rsidRDefault="00A84171" w:rsidP="00A84171">
            <w:pPr>
              <w:spacing w:before="0" w:after="0"/>
              <w:jc w:val="center"/>
              <w:rPr>
                <w:lang w:val="en-GB"/>
              </w:rPr>
            </w:pPr>
            <w:r>
              <w:rPr>
                <w:lang w:val="en-GB"/>
              </w:rPr>
              <w:t>92 (24</w:t>
            </w:r>
            <w:r w:rsidR="004315B8" w:rsidRPr="004315B8">
              <w:rPr>
                <w:lang w:val="en-GB"/>
              </w:rPr>
              <w:t>·</w:t>
            </w:r>
            <w:r>
              <w:rPr>
                <w:lang w:val="en-GB"/>
              </w:rPr>
              <w:t>0)</w:t>
            </w:r>
          </w:p>
        </w:tc>
        <w:tc>
          <w:tcPr>
            <w:tcW w:w="1916" w:type="dxa"/>
            <w:shd w:val="clear" w:color="auto" w:fill="auto"/>
          </w:tcPr>
          <w:p w14:paraId="4BF13CF6" w14:textId="428FC8E4" w:rsidR="00A84171" w:rsidRPr="00376E45" w:rsidRDefault="00A84171" w:rsidP="00A84171">
            <w:pPr>
              <w:spacing w:before="0" w:after="0"/>
              <w:jc w:val="center"/>
              <w:rPr>
                <w:lang w:val="en-GB"/>
              </w:rPr>
            </w:pPr>
            <w:r>
              <w:rPr>
                <w:lang w:val="en-GB"/>
              </w:rPr>
              <w:t>114 (30</w:t>
            </w:r>
            <w:r w:rsidR="004315B8" w:rsidRPr="004315B8">
              <w:rPr>
                <w:lang w:val="en-GB"/>
              </w:rPr>
              <w:t>·</w:t>
            </w:r>
            <w:r>
              <w:rPr>
                <w:lang w:val="en-GB"/>
              </w:rPr>
              <w:t>3)</w:t>
            </w:r>
          </w:p>
        </w:tc>
        <w:tc>
          <w:tcPr>
            <w:tcW w:w="1916" w:type="dxa"/>
            <w:shd w:val="clear" w:color="auto" w:fill="auto"/>
          </w:tcPr>
          <w:p w14:paraId="00BC848F" w14:textId="463EDD6C" w:rsidR="00A84171" w:rsidRPr="00376E45" w:rsidRDefault="00A84171" w:rsidP="00A84171">
            <w:pPr>
              <w:spacing w:before="0" w:after="0"/>
              <w:jc w:val="center"/>
              <w:rPr>
                <w:lang w:val="en-GB"/>
              </w:rPr>
            </w:pPr>
            <w:r>
              <w:rPr>
                <w:lang w:val="en-GB"/>
              </w:rPr>
              <w:t>136 (35</w:t>
            </w:r>
            <w:r w:rsidR="004315B8" w:rsidRPr="004315B8">
              <w:rPr>
                <w:lang w:val="en-GB"/>
              </w:rPr>
              <w:t>·</w:t>
            </w:r>
            <w:r>
              <w:rPr>
                <w:lang w:val="en-GB"/>
              </w:rPr>
              <w:t>2%)</w:t>
            </w:r>
          </w:p>
        </w:tc>
      </w:tr>
      <w:tr w:rsidR="00A062AA" w:rsidRPr="00376E45" w14:paraId="181F111D" w14:textId="77777777" w:rsidTr="005A09D6">
        <w:tc>
          <w:tcPr>
            <w:tcW w:w="2894" w:type="dxa"/>
            <w:shd w:val="clear" w:color="auto" w:fill="auto"/>
          </w:tcPr>
          <w:p w14:paraId="3FB22DC1" w14:textId="123CB47C" w:rsidR="00A062AA" w:rsidRPr="00376E45" w:rsidRDefault="00A062AA" w:rsidP="00A062AA">
            <w:pPr>
              <w:spacing w:before="0" w:after="0"/>
              <w:rPr>
                <w:lang w:val="en-GB"/>
              </w:rPr>
            </w:pPr>
            <w:r>
              <w:rPr>
                <w:b/>
                <w:lang w:val="en-GB"/>
              </w:rPr>
              <w:t>ACR-EULAR Boolean criteria</w:t>
            </w:r>
          </w:p>
        </w:tc>
        <w:tc>
          <w:tcPr>
            <w:tcW w:w="1916" w:type="dxa"/>
            <w:shd w:val="clear" w:color="auto" w:fill="auto"/>
          </w:tcPr>
          <w:p w14:paraId="319222ED" w14:textId="77777777" w:rsidR="00A062AA" w:rsidRPr="00376E45" w:rsidRDefault="00A062AA" w:rsidP="00A062AA">
            <w:pPr>
              <w:spacing w:before="0" w:after="0"/>
              <w:jc w:val="center"/>
              <w:rPr>
                <w:lang w:val="en-GB"/>
              </w:rPr>
            </w:pPr>
          </w:p>
        </w:tc>
        <w:tc>
          <w:tcPr>
            <w:tcW w:w="1916" w:type="dxa"/>
            <w:shd w:val="clear" w:color="auto" w:fill="auto"/>
          </w:tcPr>
          <w:p w14:paraId="4E52A175" w14:textId="77777777" w:rsidR="00A062AA" w:rsidRPr="00376E45" w:rsidRDefault="00A062AA" w:rsidP="00A062AA">
            <w:pPr>
              <w:spacing w:before="0" w:after="0"/>
              <w:jc w:val="center"/>
              <w:rPr>
                <w:lang w:val="en-GB"/>
              </w:rPr>
            </w:pPr>
          </w:p>
        </w:tc>
        <w:tc>
          <w:tcPr>
            <w:tcW w:w="1916" w:type="dxa"/>
            <w:shd w:val="clear" w:color="auto" w:fill="auto"/>
          </w:tcPr>
          <w:p w14:paraId="5308EAA8" w14:textId="77777777" w:rsidR="00A062AA" w:rsidRPr="00376E45" w:rsidRDefault="00A062AA" w:rsidP="00A062AA">
            <w:pPr>
              <w:spacing w:before="0" w:after="0"/>
              <w:jc w:val="center"/>
              <w:rPr>
                <w:lang w:val="en-GB"/>
              </w:rPr>
            </w:pPr>
          </w:p>
        </w:tc>
      </w:tr>
      <w:tr w:rsidR="00A062AA" w:rsidRPr="00376E45" w14:paraId="2D64190E" w14:textId="77777777" w:rsidTr="005A09D6">
        <w:tc>
          <w:tcPr>
            <w:tcW w:w="2894" w:type="dxa"/>
            <w:shd w:val="clear" w:color="auto" w:fill="auto"/>
          </w:tcPr>
          <w:p w14:paraId="7AE05674" w14:textId="1329AED5" w:rsidR="00A062AA" w:rsidRPr="00376E45" w:rsidRDefault="00A062AA" w:rsidP="00A062AA">
            <w:pPr>
              <w:spacing w:before="0" w:after="0"/>
              <w:ind w:left="596"/>
              <w:rPr>
                <w:lang w:val="en-GB"/>
              </w:rPr>
            </w:pPr>
            <w:r w:rsidRPr="00376E45">
              <w:rPr>
                <w:lang w:val="en-GB"/>
              </w:rPr>
              <w:t>6 months</w:t>
            </w:r>
          </w:p>
        </w:tc>
        <w:tc>
          <w:tcPr>
            <w:tcW w:w="1916" w:type="dxa"/>
            <w:shd w:val="clear" w:color="auto" w:fill="auto"/>
          </w:tcPr>
          <w:p w14:paraId="0B61A6F1" w14:textId="146ED6C9" w:rsidR="00A062AA" w:rsidRPr="00376E45" w:rsidRDefault="00A84171" w:rsidP="00A062AA">
            <w:pPr>
              <w:spacing w:before="0" w:after="0"/>
              <w:jc w:val="center"/>
              <w:rPr>
                <w:lang w:val="en-GB"/>
              </w:rPr>
            </w:pPr>
            <w:r>
              <w:rPr>
                <w:lang w:val="en-GB"/>
              </w:rPr>
              <w:t>27 (7</w:t>
            </w:r>
            <w:r w:rsidR="004315B8" w:rsidRPr="004315B8">
              <w:rPr>
                <w:lang w:val="en-GB"/>
              </w:rPr>
              <w:t>·</w:t>
            </w:r>
            <w:r>
              <w:rPr>
                <w:lang w:val="en-GB"/>
              </w:rPr>
              <w:t>0%)</w:t>
            </w:r>
          </w:p>
        </w:tc>
        <w:tc>
          <w:tcPr>
            <w:tcW w:w="1916" w:type="dxa"/>
            <w:shd w:val="clear" w:color="auto" w:fill="auto"/>
          </w:tcPr>
          <w:p w14:paraId="3C4E1656" w14:textId="67445D79" w:rsidR="00A062AA" w:rsidRPr="00376E45" w:rsidRDefault="00A84171" w:rsidP="00A062AA">
            <w:pPr>
              <w:spacing w:before="0" w:after="0"/>
              <w:jc w:val="center"/>
              <w:rPr>
                <w:lang w:val="en-GB"/>
              </w:rPr>
            </w:pPr>
            <w:r>
              <w:rPr>
                <w:lang w:val="en-GB"/>
              </w:rPr>
              <w:t>31 (8</w:t>
            </w:r>
            <w:r w:rsidR="004315B8" w:rsidRPr="004315B8">
              <w:rPr>
                <w:lang w:val="en-GB"/>
              </w:rPr>
              <w:t>·</w:t>
            </w:r>
            <w:r>
              <w:rPr>
                <w:lang w:val="en-GB"/>
              </w:rPr>
              <w:t>2%)</w:t>
            </w:r>
          </w:p>
        </w:tc>
        <w:tc>
          <w:tcPr>
            <w:tcW w:w="1916" w:type="dxa"/>
            <w:shd w:val="clear" w:color="auto" w:fill="auto"/>
          </w:tcPr>
          <w:p w14:paraId="1ABBB038" w14:textId="29D154ED" w:rsidR="00A062AA" w:rsidRPr="00376E45" w:rsidRDefault="00A84171" w:rsidP="00A062AA">
            <w:pPr>
              <w:spacing w:before="0" w:after="0"/>
              <w:jc w:val="center"/>
              <w:rPr>
                <w:lang w:val="en-GB"/>
              </w:rPr>
            </w:pPr>
            <w:r>
              <w:rPr>
                <w:lang w:val="en-GB"/>
              </w:rPr>
              <w:t>34 (8</w:t>
            </w:r>
            <w:r w:rsidR="004315B8" w:rsidRPr="004315B8">
              <w:rPr>
                <w:lang w:val="en-GB"/>
              </w:rPr>
              <w:t>·</w:t>
            </w:r>
            <w:r>
              <w:rPr>
                <w:lang w:val="en-GB"/>
              </w:rPr>
              <w:t>8%)</w:t>
            </w:r>
          </w:p>
        </w:tc>
      </w:tr>
      <w:tr w:rsidR="00A062AA" w:rsidRPr="00376E45" w14:paraId="7597F0CA" w14:textId="77777777" w:rsidTr="005A09D6">
        <w:tc>
          <w:tcPr>
            <w:tcW w:w="2894" w:type="dxa"/>
            <w:shd w:val="clear" w:color="auto" w:fill="auto"/>
          </w:tcPr>
          <w:p w14:paraId="7421F737" w14:textId="4124E364" w:rsidR="00A062AA" w:rsidRPr="00376E45" w:rsidRDefault="00A062AA" w:rsidP="00A062AA">
            <w:pPr>
              <w:spacing w:before="0" w:after="0"/>
              <w:ind w:left="596"/>
              <w:rPr>
                <w:lang w:val="en-GB"/>
              </w:rPr>
            </w:pPr>
            <w:r w:rsidRPr="00376E45">
              <w:rPr>
                <w:lang w:val="en-GB"/>
              </w:rPr>
              <w:t>12 months</w:t>
            </w:r>
          </w:p>
        </w:tc>
        <w:tc>
          <w:tcPr>
            <w:tcW w:w="1916" w:type="dxa"/>
            <w:shd w:val="clear" w:color="auto" w:fill="auto"/>
          </w:tcPr>
          <w:p w14:paraId="5615DD9C" w14:textId="55949782" w:rsidR="00A062AA" w:rsidRPr="00376E45" w:rsidRDefault="004315B8" w:rsidP="00A062AA">
            <w:pPr>
              <w:spacing w:before="0" w:after="0"/>
              <w:jc w:val="center"/>
              <w:rPr>
                <w:lang w:val="en-GB"/>
              </w:rPr>
            </w:pPr>
            <w:r>
              <w:rPr>
                <w:lang w:val="en-GB"/>
              </w:rPr>
              <w:t>37 (9</w:t>
            </w:r>
            <w:r w:rsidRPr="004315B8">
              <w:rPr>
                <w:lang w:val="en-GB"/>
              </w:rPr>
              <w:t>·</w:t>
            </w:r>
            <w:r>
              <w:rPr>
                <w:lang w:val="en-GB"/>
              </w:rPr>
              <w:t>6%)</w:t>
            </w:r>
          </w:p>
        </w:tc>
        <w:tc>
          <w:tcPr>
            <w:tcW w:w="1916" w:type="dxa"/>
            <w:shd w:val="clear" w:color="auto" w:fill="auto"/>
          </w:tcPr>
          <w:p w14:paraId="1FE3816A" w14:textId="085073DA" w:rsidR="00A062AA" w:rsidRPr="00376E45" w:rsidRDefault="004315B8" w:rsidP="00A062AA">
            <w:pPr>
              <w:spacing w:before="0" w:after="0"/>
              <w:jc w:val="center"/>
              <w:rPr>
                <w:lang w:val="en-GB"/>
              </w:rPr>
            </w:pPr>
            <w:r>
              <w:rPr>
                <w:lang w:val="en-GB"/>
              </w:rPr>
              <w:t>49 (13</w:t>
            </w:r>
            <w:r w:rsidRPr="004315B8">
              <w:rPr>
                <w:lang w:val="en-GB"/>
              </w:rPr>
              <w:t>·</w:t>
            </w:r>
            <w:r>
              <w:rPr>
                <w:lang w:val="en-GB"/>
              </w:rPr>
              <w:t>0%)</w:t>
            </w:r>
          </w:p>
        </w:tc>
        <w:tc>
          <w:tcPr>
            <w:tcW w:w="1916" w:type="dxa"/>
            <w:shd w:val="clear" w:color="auto" w:fill="auto"/>
          </w:tcPr>
          <w:p w14:paraId="75E88DE1" w14:textId="547A7ABE" w:rsidR="00A062AA" w:rsidRPr="00376E45" w:rsidRDefault="004315B8" w:rsidP="00A062AA">
            <w:pPr>
              <w:spacing w:before="0" w:after="0"/>
              <w:jc w:val="center"/>
              <w:rPr>
                <w:lang w:val="en-GB"/>
              </w:rPr>
            </w:pPr>
            <w:r>
              <w:rPr>
                <w:lang w:val="en-GB"/>
              </w:rPr>
              <w:t>47 (12</w:t>
            </w:r>
            <w:r w:rsidRPr="004315B8">
              <w:rPr>
                <w:lang w:val="en-GB"/>
              </w:rPr>
              <w:t>·</w:t>
            </w:r>
            <w:r>
              <w:rPr>
                <w:lang w:val="en-GB"/>
              </w:rPr>
              <w:t>2%)</w:t>
            </w:r>
          </w:p>
        </w:tc>
      </w:tr>
    </w:tbl>
    <w:p w14:paraId="0C7AA07C" w14:textId="5378FBD8" w:rsidR="00E256FC" w:rsidRPr="007D1B24" w:rsidRDefault="00CE1442" w:rsidP="007D1B24">
      <w:pPr>
        <w:pStyle w:val="Caption"/>
        <w:spacing w:line="360" w:lineRule="auto"/>
        <w:rPr>
          <w:lang w:val="en-GB"/>
        </w:rPr>
      </w:pPr>
      <w:r w:rsidRPr="00376E45">
        <w:rPr>
          <w:lang w:val="en-GB"/>
        </w:rPr>
        <w:t xml:space="preserve">CDAI=Clinical Disease Activity Index. </w:t>
      </w:r>
      <w:r w:rsidR="00C615F8" w:rsidRPr="00C615F8">
        <w:rPr>
          <w:lang w:val="en-GB"/>
        </w:rPr>
        <w:t>DAS28-4(CRP</w:t>
      </w:r>
      <w:proofErr w:type="gramStart"/>
      <w:r w:rsidR="00C615F8" w:rsidRPr="00C615F8">
        <w:rPr>
          <w:lang w:val="en-GB"/>
        </w:rPr>
        <w:t>)=</w:t>
      </w:r>
      <w:proofErr w:type="gramEnd"/>
      <w:r w:rsidR="00C615F8" w:rsidRPr="00C615F8">
        <w:rPr>
          <w:lang w:val="en-GB"/>
        </w:rPr>
        <w:t xml:space="preserve">Disease Activity Score in 28 joints, C-reactive protein. </w:t>
      </w:r>
      <w:r w:rsidRPr="00376E45">
        <w:rPr>
          <w:lang w:val="en-GB"/>
        </w:rPr>
        <w:t>DAS28-4(ESR</w:t>
      </w:r>
      <w:proofErr w:type="gramStart"/>
      <w:r w:rsidRPr="00376E45">
        <w:rPr>
          <w:lang w:val="en-GB"/>
        </w:rPr>
        <w:t>)=</w:t>
      </w:r>
      <w:proofErr w:type="gramEnd"/>
      <w:r w:rsidR="00697D65" w:rsidRPr="00376E45">
        <w:rPr>
          <w:lang w:val="en-GB"/>
        </w:rPr>
        <w:t>Disease Activit</w:t>
      </w:r>
      <w:r w:rsidRPr="00376E45">
        <w:rPr>
          <w:lang w:val="en-GB"/>
        </w:rPr>
        <w:t>y Score in 28 joints, erythrocyte sedimentation rate.</w:t>
      </w:r>
      <w:r w:rsidR="00697D65" w:rsidRPr="00376E45">
        <w:rPr>
          <w:lang w:val="en-GB"/>
        </w:rPr>
        <w:t xml:space="preserve"> </w:t>
      </w:r>
      <w:r w:rsidR="00D30FC3" w:rsidRPr="00D30FC3">
        <w:rPr>
          <w:lang w:val="en-GB"/>
        </w:rPr>
        <w:t xml:space="preserve">FAS=full analysis set. </w:t>
      </w:r>
      <w:r w:rsidR="00697D65" w:rsidRPr="00376E45">
        <w:rPr>
          <w:lang w:val="en-GB"/>
        </w:rPr>
        <w:t>LDA</w:t>
      </w:r>
      <w:r w:rsidRPr="00376E45">
        <w:rPr>
          <w:lang w:val="en-GB"/>
        </w:rPr>
        <w:t>=</w:t>
      </w:r>
      <w:r w:rsidR="00697D65" w:rsidRPr="00376E45">
        <w:rPr>
          <w:lang w:val="en-GB"/>
        </w:rPr>
        <w:t>low disease activity</w:t>
      </w:r>
      <w:r w:rsidRPr="00376E45">
        <w:rPr>
          <w:lang w:val="en-GB"/>
        </w:rPr>
        <w:t>. MTX=methotrexate. SDAI=</w:t>
      </w:r>
      <w:r w:rsidR="00697D65" w:rsidRPr="00376E45">
        <w:rPr>
          <w:lang w:val="en-GB"/>
        </w:rPr>
        <w:t>Simplified Disease Activity Index.</w:t>
      </w:r>
      <w:r w:rsidR="007D1B24">
        <w:rPr>
          <w:lang w:val="en-GB"/>
        </w:rPr>
        <w:t xml:space="preserve">    *</w:t>
      </w:r>
      <w:r w:rsidR="00094AB6">
        <w:rPr>
          <w:lang w:val="en-GB"/>
        </w:rPr>
        <w:t xml:space="preserve">Remission and LDA values for </w:t>
      </w:r>
      <w:r w:rsidR="00094AB6" w:rsidRPr="00094AB6">
        <w:rPr>
          <w:lang w:val="en-GB"/>
        </w:rPr>
        <w:t xml:space="preserve">DAS28-4(CRP) </w:t>
      </w:r>
      <w:r w:rsidR="00DE5F98">
        <w:rPr>
          <w:lang w:val="en-GB"/>
        </w:rPr>
        <w:t>(</w:t>
      </w:r>
      <w:r w:rsidR="00DE5F98" w:rsidRPr="00DE5F98">
        <w:rPr>
          <w:lang w:val="en-GB"/>
        </w:rPr>
        <w:t>&lt;2.6 and &lt; 3.2</w:t>
      </w:r>
      <w:r w:rsidR="00DE5F98">
        <w:rPr>
          <w:lang w:val="en-GB"/>
        </w:rPr>
        <w:t>, respectively)</w:t>
      </w:r>
      <w:r w:rsidR="00DE5F98" w:rsidRPr="00DE5F98">
        <w:rPr>
          <w:lang w:val="en-GB"/>
        </w:rPr>
        <w:t xml:space="preserve"> </w:t>
      </w:r>
      <w:r w:rsidR="00094AB6">
        <w:rPr>
          <w:lang w:val="en-GB"/>
        </w:rPr>
        <w:t xml:space="preserve">have not been validated, but are </w:t>
      </w:r>
      <w:r w:rsidR="00DE5F98">
        <w:rPr>
          <w:lang w:val="en-GB"/>
        </w:rPr>
        <w:t>commonly</w:t>
      </w:r>
      <w:r w:rsidR="00094AB6">
        <w:rPr>
          <w:lang w:val="en-GB"/>
        </w:rPr>
        <w:t xml:space="preserve"> used</w:t>
      </w:r>
      <w:r w:rsidR="00DE5F98">
        <w:rPr>
          <w:lang w:val="en-GB"/>
        </w:rPr>
        <w:t xml:space="preserve"> in rheumatology. </w:t>
      </w:r>
      <w:r w:rsidR="00094AB6">
        <w:rPr>
          <w:lang w:val="en-GB"/>
        </w:rPr>
        <w:t xml:space="preserve"> </w:t>
      </w:r>
    </w:p>
    <w:p w14:paraId="32962EAB" w14:textId="77777777" w:rsidR="00697D65" w:rsidRPr="00376E45" w:rsidRDefault="00697D65" w:rsidP="00A42B33">
      <w:pPr>
        <w:pStyle w:val="Paragraph"/>
        <w:rPr>
          <w:lang w:val="en-GB"/>
        </w:rPr>
      </w:pPr>
    </w:p>
    <w:p w14:paraId="4F5EBD58" w14:textId="77777777" w:rsidR="00946AA9" w:rsidRPr="00376E45" w:rsidRDefault="00946AA9">
      <w:pPr>
        <w:spacing w:before="0" w:after="0" w:line="240" w:lineRule="auto"/>
        <w:rPr>
          <w:rStyle w:val="Heading4Char"/>
          <w:lang w:val="en-GB"/>
        </w:rPr>
      </w:pPr>
      <w:r w:rsidRPr="00376E45">
        <w:rPr>
          <w:rStyle w:val="Heading4Char"/>
          <w:b w:val="0"/>
          <w:lang w:val="en-GB"/>
        </w:rPr>
        <w:br w:type="page"/>
      </w:r>
    </w:p>
    <w:p w14:paraId="474E0A71" w14:textId="5E063A8C" w:rsidR="00697D65" w:rsidRPr="00376E45" w:rsidRDefault="00697D65" w:rsidP="002F4674">
      <w:pPr>
        <w:pStyle w:val="Heading1"/>
        <w:rPr>
          <w:lang w:val="en-GB"/>
        </w:rPr>
      </w:pPr>
      <w:r w:rsidRPr="00376E45">
        <w:rPr>
          <w:rStyle w:val="Heading4Char"/>
          <w:b/>
          <w:lang w:val="en-GB"/>
        </w:rPr>
        <w:t>Figure 3</w:t>
      </w:r>
      <w:r w:rsidR="00CE1442" w:rsidRPr="00376E45">
        <w:rPr>
          <w:rStyle w:val="Heading4Char"/>
          <w:b/>
          <w:lang w:val="en-GB"/>
        </w:rPr>
        <w:t>:</w:t>
      </w:r>
      <w:r w:rsidRPr="00376E45">
        <w:rPr>
          <w:lang w:val="en-GB"/>
        </w:rPr>
        <w:t xml:space="preserve"> LSM change from baseline </w:t>
      </w:r>
      <w:r w:rsidR="00723A4C" w:rsidRPr="00376E45">
        <w:rPr>
          <w:lang w:val="en-GB"/>
        </w:rPr>
        <w:t xml:space="preserve">in FAS </w:t>
      </w:r>
      <w:r w:rsidRPr="00376E45">
        <w:rPr>
          <w:lang w:val="en-GB"/>
        </w:rPr>
        <w:t xml:space="preserve">at </w:t>
      </w:r>
      <w:r w:rsidR="00837F92" w:rsidRPr="00376E45">
        <w:rPr>
          <w:lang w:val="en-GB"/>
        </w:rPr>
        <w:t xml:space="preserve">various </w:t>
      </w:r>
      <w:proofErr w:type="spellStart"/>
      <w:r w:rsidR="00837F92" w:rsidRPr="00376E45">
        <w:rPr>
          <w:lang w:val="en-GB"/>
        </w:rPr>
        <w:t>timepoints</w:t>
      </w:r>
      <w:proofErr w:type="spellEnd"/>
      <w:r w:rsidRPr="00376E45">
        <w:rPr>
          <w:lang w:val="en-GB"/>
        </w:rPr>
        <w:t xml:space="preserve"> in: (A) SDAI; (B) CDAI; (C) DAS28-4</w:t>
      </w:r>
      <w:r w:rsidR="00062168">
        <w:rPr>
          <w:lang w:val="en-GB"/>
        </w:rPr>
        <w:t>(</w:t>
      </w:r>
      <w:r w:rsidR="002F4674" w:rsidRPr="00376E45">
        <w:rPr>
          <w:lang w:val="en-GB"/>
        </w:rPr>
        <w:t xml:space="preserve">ESR); </w:t>
      </w:r>
      <w:r w:rsidRPr="00376E45">
        <w:rPr>
          <w:lang w:val="en-GB"/>
        </w:rPr>
        <w:t xml:space="preserve">(D) </w:t>
      </w:r>
      <w:r w:rsidR="00797448" w:rsidRPr="00797448">
        <w:rPr>
          <w:lang w:val="en-GB"/>
        </w:rPr>
        <w:t>DAS28-4(</w:t>
      </w:r>
      <w:r w:rsidR="00C615F8">
        <w:rPr>
          <w:lang w:val="en-GB"/>
        </w:rPr>
        <w:t>CRP</w:t>
      </w:r>
      <w:r w:rsidR="00797448" w:rsidRPr="00797448">
        <w:rPr>
          <w:lang w:val="en-GB"/>
        </w:rPr>
        <w:t xml:space="preserve">); </w:t>
      </w:r>
      <w:r w:rsidR="00797448">
        <w:rPr>
          <w:lang w:val="en-GB"/>
        </w:rPr>
        <w:t xml:space="preserve">(E) </w:t>
      </w:r>
      <w:r w:rsidRPr="00376E45">
        <w:rPr>
          <w:lang w:val="en-GB"/>
        </w:rPr>
        <w:t xml:space="preserve">HAQ-DI </w:t>
      </w:r>
    </w:p>
    <w:p w14:paraId="7BD1FC19" w14:textId="1C661F46" w:rsidR="00A86F87" w:rsidRPr="00376E45" w:rsidRDefault="00183363" w:rsidP="00946AA9">
      <w:pPr>
        <w:rPr>
          <w:lang w:val="en-GB"/>
        </w:rPr>
      </w:pPr>
      <w:r>
        <w:rPr>
          <w:noProof/>
          <w:lang w:val="en-GB" w:eastAsia="en-GB"/>
        </w:rPr>
        <w:drawing>
          <wp:inline distT="0" distB="0" distL="0" distR="0" wp14:anchorId="14CA7FBF" wp14:editId="56843368">
            <wp:extent cx="5505450" cy="48164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05450" cy="4816475"/>
                    </a:xfrm>
                    <a:prstGeom prst="rect">
                      <a:avLst/>
                    </a:prstGeom>
                  </pic:spPr>
                </pic:pic>
              </a:graphicData>
            </a:graphic>
          </wp:inline>
        </w:drawing>
      </w:r>
    </w:p>
    <w:p w14:paraId="218D2C95" w14:textId="5D193AB8" w:rsidR="00697D65" w:rsidRPr="00376E45" w:rsidRDefault="00697D65" w:rsidP="005A09D6">
      <w:pPr>
        <w:pStyle w:val="Caption"/>
        <w:spacing w:line="360" w:lineRule="auto"/>
        <w:rPr>
          <w:lang w:val="en-GB"/>
        </w:rPr>
      </w:pPr>
      <w:r w:rsidRPr="00376E45">
        <w:rPr>
          <w:lang w:val="en-GB"/>
        </w:rPr>
        <w:t>CDAI</w:t>
      </w:r>
      <w:r w:rsidR="00CE1442" w:rsidRPr="00376E45">
        <w:rPr>
          <w:lang w:val="en-GB"/>
        </w:rPr>
        <w:t>=</w:t>
      </w:r>
      <w:r w:rsidRPr="00376E45">
        <w:rPr>
          <w:lang w:val="en-GB"/>
        </w:rPr>
        <w:t>Clinical Disease Activity Index</w:t>
      </w:r>
      <w:r w:rsidR="00CE1442" w:rsidRPr="00376E45">
        <w:rPr>
          <w:lang w:val="en-GB"/>
        </w:rPr>
        <w:t>.</w:t>
      </w:r>
      <w:r w:rsidR="00183363" w:rsidRPr="00183363">
        <w:t xml:space="preserve"> </w:t>
      </w:r>
      <w:r w:rsidR="00183363" w:rsidRPr="00183363">
        <w:rPr>
          <w:lang w:val="en-GB"/>
        </w:rPr>
        <w:t>DAS28-4(</w:t>
      </w:r>
      <w:r w:rsidR="00183363">
        <w:rPr>
          <w:lang w:val="en-GB"/>
        </w:rPr>
        <w:t>CRP</w:t>
      </w:r>
      <w:proofErr w:type="gramStart"/>
      <w:r w:rsidR="00183363" w:rsidRPr="00183363">
        <w:rPr>
          <w:lang w:val="en-GB"/>
        </w:rPr>
        <w:t>)=</w:t>
      </w:r>
      <w:proofErr w:type="gramEnd"/>
      <w:r w:rsidR="00183363" w:rsidRPr="00183363">
        <w:rPr>
          <w:lang w:val="en-GB"/>
        </w:rPr>
        <w:t xml:space="preserve">Disease Activity Score in 28 joints, </w:t>
      </w:r>
      <w:r w:rsidR="00183363">
        <w:rPr>
          <w:lang w:val="en-GB"/>
        </w:rPr>
        <w:t>C-reactive protein</w:t>
      </w:r>
      <w:r w:rsidR="00183363" w:rsidRPr="00183363">
        <w:rPr>
          <w:lang w:val="en-GB"/>
        </w:rPr>
        <w:t>.</w:t>
      </w:r>
      <w:r w:rsidR="00CE1442" w:rsidRPr="00376E45">
        <w:rPr>
          <w:lang w:val="en-GB"/>
        </w:rPr>
        <w:t xml:space="preserve"> DAS28-4(ESR</w:t>
      </w:r>
      <w:proofErr w:type="gramStart"/>
      <w:r w:rsidR="00CE1442" w:rsidRPr="00376E45">
        <w:rPr>
          <w:lang w:val="en-GB"/>
        </w:rPr>
        <w:t>)=</w:t>
      </w:r>
      <w:proofErr w:type="gramEnd"/>
      <w:r w:rsidR="00CE1442" w:rsidRPr="00376E45">
        <w:rPr>
          <w:color w:val="000000"/>
          <w:shd w:val="clear" w:color="auto" w:fill="FFFFFF"/>
          <w:lang w:val="en-GB"/>
        </w:rPr>
        <w:t>Disease Activity Score in</w:t>
      </w:r>
      <w:r w:rsidRPr="00376E45">
        <w:rPr>
          <w:color w:val="000000"/>
          <w:shd w:val="clear" w:color="auto" w:fill="FFFFFF"/>
          <w:lang w:val="en-GB"/>
        </w:rPr>
        <w:t xml:space="preserve"> 28 joint</w:t>
      </w:r>
      <w:r w:rsidR="00CE1442" w:rsidRPr="00376E45">
        <w:rPr>
          <w:color w:val="000000"/>
          <w:shd w:val="clear" w:color="auto" w:fill="FFFFFF"/>
          <w:lang w:val="en-GB"/>
        </w:rPr>
        <w:t>s,</w:t>
      </w:r>
      <w:r w:rsidRPr="00376E45">
        <w:rPr>
          <w:color w:val="000000"/>
          <w:shd w:val="clear" w:color="auto" w:fill="FFFFFF"/>
          <w:lang w:val="en-GB"/>
        </w:rPr>
        <w:t xml:space="preserve"> erythrocyte sedimentation rate</w:t>
      </w:r>
      <w:r w:rsidR="00CE1442" w:rsidRPr="00376E45">
        <w:rPr>
          <w:lang w:val="en-GB"/>
        </w:rPr>
        <w:t xml:space="preserve">. </w:t>
      </w:r>
      <w:r w:rsidR="00062168" w:rsidRPr="00062168">
        <w:rPr>
          <w:lang w:val="en-GB"/>
        </w:rPr>
        <w:t>FAS=full analysis set.</w:t>
      </w:r>
      <w:r w:rsidR="00062168">
        <w:rPr>
          <w:lang w:val="en-GB"/>
        </w:rPr>
        <w:t xml:space="preserve"> </w:t>
      </w:r>
      <w:r w:rsidR="00CE1442" w:rsidRPr="00376E45">
        <w:rPr>
          <w:lang w:val="en-GB"/>
        </w:rPr>
        <w:t>HAQ-DI=</w:t>
      </w:r>
      <w:r w:rsidRPr="00376E45">
        <w:rPr>
          <w:lang w:val="en-GB"/>
        </w:rPr>
        <w:t>Health Assessment Questionnaire-Disability Index</w:t>
      </w:r>
      <w:r w:rsidR="00CE1442" w:rsidRPr="00376E45">
        <w:rPr>
          <w:lang w:val="en-GB"/>
        </w:rPr>
        <w:t>. LSM=</w:t>
      </w:r>
      <w:r w:rsidRPr="00376E45">
        <w:rPr>
          <w:lang w:val="en-GB"/>
        </w:rPr>
        <w:t>least square</w:t>
      </w:r>
      <w:r w:rsidR="00CE1442" w:rsidRPr="00376E45">
        <w:rPr>
          <w:lang w:val="en-GB"/>
        </w:rPr>
        <w:t xml:space="preserve">s mean. MTX=methotrexate. </w:t>
      </w:r>
      <w:r w:rsidR="00062168" w:rsidRPr="00062168">
        <w:rPr>
          <w:lang w:val="en-GB"/>
        </w:rPr>
        <w:t>SDAI=Simplified Disease Activity Index.</w:t>
      </w:r>
    </w:p>
    <w:p w14:paraId="2F75ECBF" w14:textId="4FF0C618" w:rsidR="0098004A" w:rsidRPr="00376E45" w:rsidRDefault="0098004A" w:rsidP="00946AA9">
      <w:pPr>
        <w:pStyle w:val="Heading1"/>
        <w:rPr>
          <w:lang w:val="en-GB"/>
        </w:rPr>
      </w:pPr>
      <w:r w:rsidRPr="00376E45">
        <w:rPr>
          <w:rStyle w:val="Heading4Char"/>
          <w:b/>
          <w:lang w:val="en-GB"/>
        </w:rPr>
        <w:t>Table 3</w:t>
      </w:r>
      <w:r w:rsidR="00CE1442" w:rsidRPr="00376E45">
        <w:rPr>
          <w:rStyle w:val="Heading4Char"/>
          <w:b/>
          <w:lang w:val="en-GB"/>
        </w:rPr>
        <w:t>:</w:t>
      </w:r>
      <w:r w:rsidRPr="00376E45">
        <w:rPr>
          <w:lang w:val="en-GB"/>
        </w:rPr>
        <w:t xml:space="preserve"> Summary of AEs, SAEs</w:t>
      </w:r>
      <w:r w:rsidR="00946AA9" w:rsidRPr="00376E45">
        <w:rPr>
          <w:lang w:val="en-GB"/>
        </w:rPr>
        <w:t xml:space="preserve"> and discontinuations</w:t>
      </w:r>
      <w:r w:rsidRPr="00376E45">
        <w:rPr>
          <w:lang w:val="en-GB"/>
        </w:rPr>
        <w:t xml:space="preserve"> </w:t>
      </w:r>
      <w:r w:rsidR="00723A4C" w:rsidRPr="00376E45">
        <w:rPr>
          <w:lang w:val="en-GB"/>
        </w:rPr>
        <w:t>(SAS)</w:t>
      </w:r>
    </w:p>
    <w:tbl>
      <w:tblPr>
        <w:tblW w:w="4986" w:type="pct"/>
        <w:tblLayout w:type="fixed"/>
        <w:tblCellMar>
          <w:top w:w="57" w:type="dxa"/>
          <w:left w:w="85" w:type="dxa"/>
          <w:bottom w:w="57" w:type="dxa"/>
          <w:right w:w="85" w:type="dxa"/>
        </w:tblCellMar>
        <w:tblLook w:val="04A0" w:firstRow="1" w:lastRow="0" w:firstColumn="1" w:lastColumn="0" w:noHBand="0" w:noVBand="1"/>
      </w:tblPr>
      <w:tblGrid>
        <w:gridCol w:w="3969"/>
        <w:gridCol w:w="1558"/>
        <w:gridCol w:w="1558"/>
        <w:gridCol w:w="1551"/>
      </w:tblGrid>
      <w:tr w:rsidR="0098004A" w:rsidRPr="00376E45" w14:paraId="228E2408" w14:textId="77777777" w:rsidTr="00851A9D">
        <w:trPr>
          <w:trHeight w:val="820"/>
        </w:trPr>
        <w:tc>
          <w:tcPr>
            <w:tcW w:w="2298" w:type="pct"/>
            <w:tcBorders>
              <w:top w:val="single" w:sz="4" w:space="0" w:color="000000"/>
              <w:left w:val="single" w:sz="4" w:space="0" w:color="000000"/>
              <w:bottom w:val="single" w:sz="4" w:space="0" w:color="000000"/>
              <w:right w:val="single" w:sz="3" w:space="0" w:color="000000"/>
            </w:tcBorders>
            <w:vAlign w:val="center"/>
          </w:tcPr>
          <w:p w14:paraId="5A081E12" w14:textId="77777777" w:rsidR="0098004A" w:rsidRPr="00376E45" w:rsidRDefault="0098004A" w:rsidP="00742753">
            <w:pPr>
              <w:spacing w:before="0" w:after="0"/>
              <w:rPr>
                <w:lang w:val="en-GB"/>
              </w:rPr>
            </w:pPr>
          </w:p>
        </w:tc>
        <w:tc>
          <w:tcPr>
            <w:tcW w:w="902" w:type="pct"/>
            <w:tcBorders>
              <w:top w:val="single" w:sz="4" w:space="0" w:color="000000"/>
              <w:left w:val="single" w:sz="3" w:space="0" w:color="000000"/>
              <w:bottom w:val="single" w:sz="3" w:space="0" w:color="000000"/>
              <w:right w:val="single" w:sz="4" w:space="0" w:color="000000"/>
            </w:tcBorders>
            <w:vAlign w:val="center"/>
          </w:tcPr>
          <w:p w14:paraId="04768BB5" w14:textId="77777777" w:rsidR="0098004A" w:rsidRPr="00376E45" w:rsidRDefault="0098004A" w:rsidP="00742753">
            <w:pPr>
              <w:spacing w:before="0" w:after="0"/>
              <w:jc w:val="center"/>
              <w:rPr>
                <w:b/>
                <w:lang w:val="en-GB"/>
              </w:rPr>
            </w:pPr>
            <w:r w:rsidRPr="00376E45">
              <w:rPr>
                <w:b/>
                <w:lang w:val="en-GB"/>
              </w:rPr>
              <w:t>Tofacitinib monotherapy (N=384)</w:t>
            </w:r>
          </w:p>
        </w:tc>
        <w:tc>
          <w:tcPr>
            <w:tcW w:w="902" w:type="pct"/>
            <w:tcBorders>
              <w:top w:val="single" w:sz="4" w:space="0" w:color="000000"/>
              <w:left w:val="single" w:sz="4" w:space="0" w:color="000000"/>
              <w:bottom w:val="single" w:sz="3" w:space="0" w:color="000000"/>
              <w:right w:val="single" w:sz="4" w:space="0" w:color="000000"/>
            </w:tcBorders>
            <w:vAlign w:val="center"/>
          </w:tcPr>
          <w:p w14:paraId="52DA5932" w14:textId="77777777" w:rsidR="0098004A" w:rsidRPr="00376E45" w:rsidRDefault="0098004A" w:rsidP="00742753">
            <w:pPr>
              <w:spacing w:before="0" w:after="0"/>
              <w:jc w:val="center"/>
              <w:rPr>
                <w:b/>
                <w:lang w:val="en-GB"/>
              </w:rPr>
            </w:pPr>
            <w:r w:rsidRPr="00376E45">
              <w:rPr>
                <w:b/>
                <w:lang w:val="en-GB"/>
              </w:rPr>
              <w:t>Tofacitinib + MTX</w:t>
            </w:r>
            <w:r w:rsidRPr="00376E45">
              <w:rPr>
                <w:b/>
                <w:lang w:val="en-GB"/>
              </w:rPr>
              <w:br/>
              <w:t>(N=376)</w:t>
            </w:r>
          </w:p>
        </w:tc>
        <w:tc>
          <w:tcPr>
            <w:tcW w:w="899" w:type="pct"/>
            <w:tcBorders>
              <w:top w:val="single" w:sz="4" w:space="0" w:color="000000"/>
              <w:left w:val="single" w:sz="4" w:space="0" w:color="000000"/>
              <w:bottom w:val="single" w:sz="3" w:space="0" w:color="000000"/>
              <w:right w:val="single" w:sz="4" w:space="0" w:color="000000"/>
            </w:tcBorders>
            <w:vAlign w:val="center"/>
          </w:tcPr>
          <w:p w14:paraId="1D9CC715" w14:textId="77777777" w:rsidR="0098004A" w:rsidRPr="00376E45" w:rsidRDefault="0098004A" w:rsidP="00742753">
            <w:pPr>
              <w:spacing w:before="0" w:after="0"/>
              <w:jc w:val="center"/>
              <w:rPr>
                <w:b/>
                <w:lang w:val="en-GB"/>
              </w:rPr>
            </w:pPr>
            <w:r w:rsidRPr="00376E45">
              <w:rPr>
                <w:b/>
                <w:lang w:val="en-GB"/>
              </w:rPr>
              <w:t>Adalimumab + MTX</w:t>
            </w:r>
            <w:r w:rsidRPr="00376E45">
              <w:rPr>
                <w:b/>
                <w:lang w:val="en-GB"/>
              </w:rPr>
              <w:br/>
              <w:t>(N=386)</w:t>
            </w:r>
          </w:p>
        </w:tc>
      </w:tr>
      <w:tr w:rsidR="0098004A" w:rsidRPr="00376E45" w14:paraId="5A6DD2F7" w14:textId="77777777" w:rsidTr="00851A9D">
        <w:trPr>
          <w:trHeight w:val="318"/>
        </w:trPr>
        <w:tc>
          <w:tcPr>
            <w:tcW w:w="2298" w:type="pct"/>
            <w:tcBorders>
              <w:top w:val="single" w:sz="4" w:space="0" w:color="000000"/>
              <w:left w:val="single" w:sz="4" w:space="0" w:color="000000"/>
              <w:bottom w:val="single" w:sz="3" w:space="0" w:color="000000"/>
              <w:right w:val="single" w:sz="3" w:space="0" w:color="000000"/>
            </w:tcBorders>
            <w:vAlign w:val="center"/>
          </w:tcPr>
          <w:p w14:paraId="4209119C" w14:textId="77777777" w:rsidR="0098004A" w:rsidRPr="00376E45" w:rsidRDefault="0098004A" w:rsidP="00742753">
            <w:pPr>
              <w:spacing w:before="0" w:after="0"/>
              <w:rPr>
                <w:lang w:val="en-GB"/>
              </w:rPr>
            </w:pPr>
            <w:r w:rsidRPr="00376E45">
              <w:rPr>
                <w:lang w:val="en-GB"/>
              </w:rPr>
              <w:t>Total number of AEs, n*</w:t>
            </w:r>
          </w:p>
        </w:tc>
        <w:tc>
          <w:tcPr>
            <w:tcW w:w="902" w:type="pct"/>
            <w:tcBorders>
              <w:top w:val="single" w:sz="4" w:space="0" w:color="000000"/>
              <w:left w:val="single" w:sz="3" w:space="0" w:color="000000"/>
              <w:bottom w:val="single" w:sz="3" w:space="0" w:color="000000"/>
              <w:right w:val="single" w:sz="4" w:space="0" w:color="000000"/>
            </w:tcBorders>
            <w:vAlign w:val="center"/>
          </w:tcPr>
          <w:p w14:paraId="70F56B2E" w14:textId="77777777" w:rsidR="0098004A" w:rsidRPr="00376E45" w:rsidRDefault="0098004A" w:rsidP="00742753">
            <w:pPr>
              <w:spacing w:before="0" w:after="0"/>
              <w:jc w:val="center"/>
              <w:rPr>
                <w:lang w:val="en-GB"/>
              </w:rPr>
            </w:pPr>
            <w:r w:rsidRPr="00376E45">
              <w:rPr>
                <w:lang w:val="en-GB"/>
              </w:rPr>
              <w:t>598</w:t>
            </w:r>
          </w:p>
        </w:tc>
        <w:tc>
          <w:tcPr>
            <w:tcW w:w="902" w:type="pct"/>
            <w:tcBorders>
              <w:top w:val="single" w:sz="4" w:space="0" w:color="000000"/>
              <w:left w:val="single" w:sz="4" w:space="0" w:color="000000"/>
              <w:bottom w:val="single" w:sz="3" w:space="0" w:color="000000"/>
              <w:right w:val="single" w:sz="4" w:space="0" w:color="000000"/>
            </w:tcBorders>
            <w:vAlign w:val="center"/>
          </w:tcPr>
          <w:p w14:paraId="121DB7EE" w14:textId="77777777" w:rsidR="0098004A" w:rsidRPr="00376E45" w:rsidRDefault="0098004A" w:rsidP="00742753">
            <w:pPr>
              <w:spacing w:before="0" w:after="0"/>
              <w:jc w:val="center"/>
              <w:rPr>
                <w:lang w:val="en-GB"/>
              </w:rPr>
            </w:pPr>
            <w:r w:rsidRPr="00376E45">
              <w:rPr>
                <w:lang w:val="en-GB"/>
              </w:rPr>
              <w:t>652</w:t>
            </w:r>
          </w:p>
        </w:tc>
        <w:tc>
          <w:tcPr>
            <w:tcW w:w="899" w:type="pct"/>
            <w:tcBorders>
              <w:top w:val="single" w:sz="4" w:space="0" w:color="000000"/>
              <w:left w:val="single" w:sz="4" w:space="0" w:color="000000"/>
              <w:bottom w:val="single" w:sz="3" w:space="0" w:color="000000"/>
              <w:right w:val="single" w:sz="4" w:space="0" w:color="000000"/>
            </w:tcBorders>
            <w:vAlign w:val="center"/>
          </w:tcPr>
          <w:p w14:paraId="1925CE73" w14:textId="77777777" w:rsidR="0098004A" w:rsidRPr="00376E45" w:rsidRDefault="0098004A" w:rsidP="00742753">
            <w:pPr>
              <w:spacing w:before="0" w:after="0"/>
              <w:jc w:val="center"/>
              <w:rPr>
                <w:lang w:val="en-GB"/>
              </w:rPr>
            </w:pPr>
            <w:r w:rsidRPr="00376E45">
              <w:rPr>
                <w:lang w:val="en-GB"/>
              </w:rPr>
              <w:t>620</w:t>
            </w:r>
          </w:p>
        </w:tc>
      </w:tr>
      <w:tr w:rsidR="0098004A" w:rsidRPr="00376E45" w14:paraId="061F2210" w14:textId="77777777" w:rsidTr="00851A9D">
        <w:trPr>
          <w:trHeight w:val="318"/>
        </w:trPr>
        <w:tc>
          <w:tcPr>
            <w:tcW w:w="2298" w:type="pct"/>
            <w:tcBorders>
              <w:top w:val="single" w:sz="4" w:space="0" w:color="000000"/>
              <w:left w:val="single" w:sz="4" w:space="0" w:color="000000"/>
              <w:bottom w:val="single" w:sz="3" w:space="0" w:color="000000"/>
              <w:right w:val="single" w:sz="3" w:space="0" w:color="000000"/>
            </w:tcBorders>
            <w:vAlign w:val="center"/>
          </w:tcPr>
          <w:p w14:paraId="4243289E" w14:textId="5A32D4EE" w:rsidR="0098004A" w:rsidRPr="00376E45" w:rsidRDefault="0098004A" w:rsidP="00742753">
            <w:pPr>
              <w:spacing w:before="0" w:after="0"/>
              <w:rPr>
                <w:lang w:val="en-GB"/>
              </w:rPr>
            </w:pPr>
            <w:r w:rsidRPr="00376E45">
              <w:rPr>
                <w:lang w:val="en-GB"/>
              </w:rPr>
              <w:t>Patients with AE</w:t>
            </w:r>
            <w:r w:rsidR="00CE1442" w:rsidRPr="00376E45">
              <w:rPr>
                <w:lang w:val="en-GB"/>
              </w:rPr>
              <w:t>s</w:t>
            </w:r>
            <w:r w:rsidRPr="00376E45">
              <w:rPr>
                <w:lang w:val="en-GB"/>
              </w:rPr>
              <w:t>, n (%)</w:t>
            </w:r>
          </w:p>
        </w:tc>
        <w:tc>
          <w:tcPr>
            <w:tcW w:w="902" w:type="pct"/>
            <w:tcBorders>
              <w:top w:val="single" w:sz="4" w:space="0" w:color="000000"/>
              <w:left w:val="single" w:sz="3" w:space="0" w:color="000000"/>
              <w:bottom w:val="single" w:sz="3" w:space="0" w:color="000000"/>
              <w:right w:val="single" w:sz="4" w:space="0" w:color="000000"/>
            </w:tcBorders>
            <w:vAlign w:val="center"/>
          </w:tcPr>
          <w:p w14:paraId="257A1BE7" w14:textId="263A4DC4" w:rsidR="0098004A" w:rsidRPr="00376E45" w:rsidRDefault="0098004A" w:rsidP="00742753">
            <w:pPr>
              <w:spacing w:before="0" w:after="0"/>
              <w:jc w:val="center"/>
              <w:rPr>
                <w:lang w:val="en-GB"/>
              </w:rPr>
            </w:pPr>
            <w:r w:rsidRPr="00376E45">
              <w:rPr>
                <w:lang w:val="en-GB"/>
              </w:rPr>
              <w:t>226 (58</w:t>
            </w:r>
            <w:r w:rsidR="00334EBB" w:rsidRPr="00376E45">
              <w:rPr>
                <w:lang w:val="en-GB"/>
              </w:rPr>
              <w:t>·</w:t>
            </w:r>
            <w:r w:rsidRPr="00376E45">
              <w:rPr>
                <w:lang w:val="en-GB"/>
              </w:rPr>
              <w:t>9%)</w:t>
            </w:r>
          </w:p>
        </w:tc>
        <w:tc>
          <w:tcPr>
            <w:tcW w:w="902" w:type="pct"/>
            <w:tcBorders>
              <w:top w:val="single" w:sz="4" w:space="0" w:color="000000"/>
              <w:left w:val="single" w:sz="4" w:space="0" w:color="000000"/>
              <w:bottom w:val="single" w:sz="3" w:space="0" w:color="000000"/>
              <w:right w:val="single" w:sz="4" w:space="0" w:color="000000"/>
            </w:tcBorders>
            <w:vAlign w:val="center"/>
          </w:tcPr>
          <w:p w14:paraId="588D32FA" w14:textId="3B5031A6" w:rsidR="0098004A" w:rsidRPr="00376E45" w:rsidRDefault="0098004A" w:rsidP="00742753">
            <w:pPr>
              <w:spacing w:before="0" w:after="0"/>
              <w:jc w:val="center"/>
              <w:rPr>
                <w:lang w:val="en-GB"/>
              </w:rPr>
            </w:pPr>
            <w:r w:rsidRPr="00376E45">
              <w:rPr>
                <w:lang w:val="en-GB"/>
              </w:rPr>
              <w:t>231 (61</w:t>
            </w:r>
            <w:r w:rsidR="00334EBB" w:rsidRPr="00376E45">
              <w:rPr>
                <w:lang w:val="en-GB"/>
              </w:rPr>
              <w:t>·</w:t>
            </w:r>
            <w:r w:rsidRPr="00376E45">
              <w:rPr>
                <w:lang w:val="en-GB"/>
              </w:rPr>
              <w:t>4%)</w:t>
            </w:r>
          </w:p>
        </w:tc>
        <w:tc>
          <w:tcPr>
            <w:tcW w:w="899" w:type="pct"/>
            <w:tcBorders>
              <w:top w:val="single" w:sz="4" w:space="0" w:color="000000"/>
              <w:left w:val="single" w:sz="4" w:space="0" w:color="000000"/>
              <w:bottom w:val="single" w:sz="3" w:space="0" w:color="000000"/>
              <w:right w:val="single" w:sz="4" w:space="0" w:color="000000"/>
            </w:tcBorders>
            <w:vAlign w:val="center"/>
          </w:tcPr>
          <w:p w14:paraId="3BE9744A" w14:textId="659D9296" w:rsidR="0098004A" w:rsidRPr="00376E45" w:rsidRDefault="0098004A" w:rsidP="00742753">
            <w:pPr>
              <w:spacing w:before="0" w:after="0"/>
              <w:jc w:val="center"/>
              <w:rPr>
                <w:lang w:val="en-GB"/>
              </w:rPr>
            </w:pPr>
            <w:r w:rsidRPr="00376E45">
              <w:rPr>
                <w:lang w:val="en-GB"/>
              </w:rPr>
              <w:t>253 (65</w:t>
            </w:r>
            <w:r w:rsidR="00334EBB" w:rsidRPr="00376E45">
              <w:rPr>
                <w:lang w:val="en-GB"/>
              </w:rPr>
              <w:t>·</w:t>
            </w:r>
            <w:r w:rsidRPr="00376E45">
              <w:rPr>
                <w:lang w:val="en-GB"/>
              </w:rPr>
              <w:t>5%)</w:t>
            </w:r>
          </w:p>
        </w:tc>
      </w:tr>
      <w:tr w:rsidR="00CF0A41" w:rsidRPr="00376E45" w14:paraId="7CD081BB" w14:textId="77777777" w:rsidTr="00851A9D">
        <w:trPr>
          <w:trHeight w:val="316"/>
        </w:trPr>
        <w:tc>
          <w:tcPr>
            <w:tcW w:w="2298" w:type="pct"/>
            <w:tcBorders>
              <w:top w:val="single" w:sz="3" w:space="0" w:color="000000"/>
              <w:left w:val="single" w:sz="4" w:space="0" w:color="000000"/>
              <w:bottom w:val="single" w:sz="4" w:space="0" w:color="000000"/>
              <w:right w:val="single" w:sz="3" w:space="0" w:color="000000"/>
            </w:tcBorders>
            <w:vAlign w:val="center"/>
          </w:tcPr>
          <w:p w14:paraId="42DC3606" w14:textId="214DCB4C" w:rsidR="00CF0A41" w:rsidRPr="00376E45" w:rsidRDefault="00CF0A41" w:rsidP="00742753">
            <w:pPr>
              <w:spacing w:before="0" w:after="0"/>
              <w:rPr>
                <w:lang w:val="en-GB"/>
              </w:rPr>
            </w:pPr>
            <w:r>
              <w:rPr>
                <w:lang w:val="en-GB"/>
              </w:rPr>
              <w:t>Patients with treatment-related AEs, n (%)</w:t>
            </w:r>
          </w:p>
        </w:tc>
        <w:tc>
          <w:tcPr>
            <w:tcW w:w="902" w:type="pct"/>
            <w:tcBorders>
              <w:top w:val="single" w:sz="3" w:space="0" w:color="000000"/>
              <w:left w:val="single" w:sz="3" w:space="0" w:color="000000"/>
              <w:bottom w:val="single" w:sz="4" w:space="0" w:color="000000"/>
              <w:right w:val="single" w:sz="4" w:space="0" w:color="000000"/>
            </w:tcBorders>
            <w:vAlign w:val="center"/>
          </w:tcPr>
          <w:p w14:paraId="15114957" w14:textId="6066B478" w:rsidR="00CF0A41" w:rsidRPr="00376E45" w:rsidRDefault="00CF0A41" w:rsidP="00742753">
            <w:pPr>
              <w:spacing w:before="0" w:after="0"/>
              <w:jc w:val="center"/>
              <w:rPr>
                <w:lang w:val="en-GB"/>
              </w:rPr>
            </w:pPr>
            <w:r w:rsidRPr="00CF0A41">
              <w:rPr>
                <w:lang w:val="en-GB"/>
              </w:rPr>
              <w:t>101 (26·3</w:t>
            </w:r>
            <w:r>
              <w:rPr>
                <w:lang w:val="en-GB"/>
              </w:rPr>
              <w:t>%</w:t>
            </w:r>
            <w:r w:rsidRPr="00CF0A41">
              <w:rPr>
                <w:lang w:val="en-GB"/>
              </w:rPr>
              <w:t>)</w:t>
            </w:r>
          </w:p>
        </w:tc>
        <w:tc>
          <w:tcPr>
            <w:tcW w:w="902" w:type="pct"/>
            <w:tcBorders>
              <w:top w:val="single" w:sz="3" w:space="0" w:color="000000"/>
              <w:left w:val="single" w:sz="4" w:space="0" w:color="000000"/>
              <w:bottom w:val="single" w:sz="4" w:space="0" w:color="000000"/>
              <w:right w:val="single" w:sz="4" w:space="0" w:color="000000"/>
            </w:tcBorders>
            <w:vAlign w:val="center"/>
          </w:tcPr>
          <w:p w14:paraId="53375B2E" w14:textId="620D250E" w:rsidR="00CF0A41" w:rsidRPr="00376E45" w:rsidRDefault="00CF0A41" w:rsidP="00742753">
            <w:pPr>
              <w:spacing w:before="0" w:after="0"/>
              <w:jc w:val="center"/>
              <w:rPr>
                <w:lang w:val="en-GB"/>
              </w:rPr>
            </w:pPr>
            <w:r w:rsidRPr="00CF0A41">
              <w:rPr>
                <w:lang w:val="en-GB"/>
              </w:rPr>
              <w:t>111 (29·5</w:t>
            </w:r>
            <w:r>
              <w:rPr>
                <w:lang w:val="en-GB"/>
              </w:rPr>
              <w:t>%</w:t>
            </w:r>
            <w:r w:rsidRPr="00CF0A41">
              <w:rPr>
                <w:lang w:val="en-GB"/>
              </w:rPr>
              <w:t>)</w:t>
            </w:r>
          </w:p>
        </w:tc>
        <w:tc>
          <w:tcPr>
            <w:tcW w:w="899" w:type="pct"/>
            <w:tcBorders>
              <w:top w:val="single" w:sz="3" w:space="0" w:color="000000"/>
              <w:left w:val="single" w:sz="4" w:space="0" w:color="000000"/>
              <w:bottom w:val="single" w:sz="4" w:space="0" w:color="000000"/>
              <w:right w:val="single" w:sz="4" w:space="0" w:color="000000"/>
            </w:tcBorders>
            <w:vAlign w:val="center"/>
          </w:tcPr>
          <w:p w14:paraId="0DB1E5FB" w14:textId="77F8B58B" w:rsidR="00CF0A41" w:rsidRPr="00376E45" w:rsidRDefault="00CF0A41" w:rsidP="00742753">
            <w:pPr>
              <w:spacing w:before="0" w:after="0"/>
              <w:jc w:val="center"/>
              <w:rPr>
                <w:lang w:val="en-GB"/>
              </w:rPr>
            </w:pPr>
            <w:r w:rsidRPr="00CF0A41">
              <w:rPr>
                <w:lang w:val="en-GB"/>
              </w:rPr>
              <w:t>133 (34·5</w:t>
            </w:r>
            <w:r>
              <w:rPr>
                <w:lang w:val="en-GB"/>
              </w:rPr>
              <w:t>%</w:t>
            </w:r>
            <w:r w:rsidRPr="00CF0A41">
              <w:rPr>
                <w:lang w:val="en-GB"/>
              </w:rPr>
              <w:t>)</w:t>
            </w:r>
          </w:p>
        </w:tc>
      </w:tr>
      <w:tr w:rsidR="0098004A" w:rsidRPr="00376E45" w14:paraId="2F78EF83" w14:textId="77777777" w:rsidTr="00851A9D">
        <w:trPr>
          <w:trHeight w:val="316"/>
        </w:trPr>
        <w:tc>
          <w:tcPr>
            <w:tcW w:w="2298" w:type="pct"/>
            <w:tcBorders>
              <w:top w:val="single" w:sz="3" w:space="0" w:color="000000"/>
              <w:left w:val="single" w:sz="4" w:space="0" w:color="000000"/>
              <w:bottom w:val="single" w:sz="4" w:space="0" w:color="000000"/>
              <w:right w:val="single" w:sz="3" w:space="0" w:color="000000"/>
            </w:tcBorders>
            <w:vAlign w:val="center"/>
          </w:tcPr>
          <w:p w14:paraId="736A77DB" w14:textId="6127117F" w:rsidR="0098004A" w:rsidRPr="00376E45" w:rsidRDefault="009232E1" w:rsidP="00742753">
            <w:pPr>
              <w:spacing w:before="0" w:after="0"/>
              <w:rPr>
                <w:lang w:val="en-GB"/>
              </w:rPr>
            </w:pPr>
            <w:r w:rsidRPr="00376E45">
              <w:rPr>
                <w:lang w:val="en-GB"/>
              </w:rPr>
              <w:t xml:space="preserve">Patients with </w:t>
            </w:r>
            <w:r w:rsidR="00A42B33" w:rsidRPr="00376E45">
              <w:rPr>
                <w:lang w:val="en-GB"/>
              </w:rPr>
              <w:t>S</w:t>
            </w:r>
            <w:r w:rsidR="0098004A" w:rsidRPr="00376E45">
              <w:rPr>
                <w:lang w:val="en-GB"/>
              </w:rPr>
              <w:t>AE</w:t>
            </w:r>
            <w:r w:rsidR="00CE1442" w:rsidRPr="00376E45">
              <w:rPr>
                <w:lang w:val="en-GB"/>
              </w:rPr>
              <w:t>s</w:t>
            </w:r>
            <w:r w:rsidR="0098004A" w:rsidRPr="00376E45">
              <w:rPr>
                <w:lang w:val="en-GB"/>
              </w:rPr>
              <w:t>, n (%)</w:t>
            </w:r>
          </w:p>
        </w:tc>
        <w:tc>
          <w:tcPr>
            <w:tcW w:w="902" w:type="pct"/>
            <w:tcBorders>
              <w:top w:val="single" w:sz="3" w:space="0" w:color="000000"/>
              <w:left w:val="single" w:sz="3" w:space="0" w:color="000000"/>
              <w:bottom w:val="single" w:sz="4" w:space="0" w:color="000000"/>
              <w:right w:val="single" w:sz="4" w:space="0" w:color="000000"/>
            </w:tcBorders>
            <w:vAlign w:val="center"/>
          </w:tcPr>
          <w:p w14:paraId="568507AA" w14:textId="44DF66E6" w:rsidR="0098004A" w:rsidRPr="00376E45" w:rsidRDefault="0098004A" w:rsidP="00742753">
            <w:pPr>
              <w:spacing w:before="0" w:after="0"/>
              <w:jc w:val="center"/>
              <w:rPr>
                <w:lang w:val="en-GB"/>
              </w:rPr>
            </w:pPr>
            <w:r w:rsidRPr="00376E45">
              <w:rPr>
                <w:lang w:val="en-GB"/>
              </w:rPr>
              <w:t>35 (9</w:t>
            </w:r>
            <w:r w:rsidR="00334EBB" w:rsidRPr="00376E45">
              <w:rPr>
                <w:lang w:val="en-GB"/>
              </w:rPr>
              <w:t>·</w:t>
            </w:r>
            <w:r w:rsidRPr="00376E45">
              <w:rPr>
                <w:lang w:val="en-GB"/>
              </w:rPr>
              <w:t>1%)</w:t>
            </w:r>
          </w:p>
        </w:tc>
        <w:tc>
          <w:tcPr>
            <w:tcW w:w="902" w:type="pct"/>
            <w:tcBorders>
              <w:top w:val="single" w:sz="3" w:space="0" w:color="000000"/>
              <w:left w:val="single" w:sz="4" w:space="0" w:color="000000"/>
              <w:bottom w:val="single" w:sz="4" w:space="0" w:color="000000"/>
              <w:right w:val="single" w:sz="4" w:space="0" w:color="000000"/>
            </w:tcBorders>
            <w:vAlign w:val="center"/>
          </w:tcPr>
          <w:p w14:paraId="4883EF61" w14:textId="1D6C12D7" w:rsidR="0098004A" w:rsidRPr="00376E45" w:rsidRDefault="0098004A" w:rsidP="00742753">
            <w:pPr>
              <w:spacing w:before="0" w:after="0"/>
              <w:jc w:val="center"/>
              <w:rPr>
                <w:lang w:val="en-GB"/>
              </w:rPr>
            </w:pPr>
            <w:r w:rsidRPr="00376E45">
              <w:rPr>
                <w:lang w:val="en-GB"/>
              </w:rPr>
              <w:t>27 (7</w:t>
            </w:r>
            <w:r w:rsidR="00334EBB" w:rsidRPr="00376E45">
              <w:rPr>
                <w:lang w:val="en-GB"/>
              </w:rPr>
              <w:t>·</w:t>
            </w:r>
            <w:r w:rsidRPr="00376E45">
              <w:rPr>
                <w:lang w:val="en-GB"/>
              </w:rPr>
              <w:t>2%)</w:t>
            </w:r>
          </w:p>
        </w:tc>
        <w:tc>
          <w:tcPr>
            <w:tcW w:w="899" w:type="pct"/>
            <w:tcBorders>
              <w:top w:val="single" w:sz="3" w:space="0" w:color="000000"/>
              <w:left w:val="single" w:sz="4" w:space="0" w:color="000000"/>
              <w:bottom w:val="single" w:sz="4" w:space="0" w:color="000000"/>
              <w:right w:val="single" w:sz="4" w:space="0" w:color="000000"/>
            </w:tcBorders>
            <w:vAlign w:val="center"/>
          </w:tcPr>
          <w:p w14:paraId="0883484A" w14:textId="77CAF7AB" w:rsidR="0098004A" w:rsidRPr="00376E45" w:rsidRDefault="0098004A" w:rsidP="00742753">
            <w:pPr>
              <w:spacing w:before="0" w:after="0"/>
              <w:jc w:val="center"/>
              <w:rPr>
                <w:lang w:val="en-GB"/>
              </w:rPr>
            </w:pPr>
            <w:r w:rsidRPr="00376E45">
              <w:rPr>
                <w:lang w:val="en-GB"/>
              </w:rPr>
              <w:t>24 (6</w:t>
            </w:r>
            <w:r w:rsidR="00334EBB" w:rsidRPr="00376E45">
              <w:rPr>
                <w:lang w:val="en-GB"/>
              </w:rPr>
              <w:t>·</w:t>
            </w:r>
            <w:r w:rsidRPr="00376E45">
              <w:rPr>
                <w:lang w:val="en-GB"/>
              </w:rPr>
              <w:t>2%)</w:t>
            </w:r>
          </w:p>
        </w:tc>
      </w:tr>
      <w:tr w:rsidR="0098004A" w:rsidRPr="00376E45" w14:paraId="79A9F5BB" w14:textId="77777777" w:rsidTr="00851A9D">
        <w:trPr>
          <w:trHeight w:val="510"/>
        </w:trPr>
        <w:tc>
          <w:tcPr>
            <w:tcW w:w="2298" w:type="pct"/>
            <w:tcBorders>
              <w:top w:val="single" w:sz="3" w:space="0" w:color="000000"/>
              <w:left w:val="single" w:sz="4" w:space="0" w:color="000000"/>
              <w:bottom w:val="single" w:sz="4" w:space="0" w:color="000000"/>
              <w:right w:val="single" w:sz="3" w:space="0" w:color="000000"/>
            </w:tcBorders>
            <w:vAlign w:val="center"/>
          </w:tcPr>
          <w:p w14:paraId="4D894A02" w14:textId="31D598DB" w:rsidR="0098004A" w:rsidRPr="00376E45" w:rsidRDefault="009232E1" w:rsidP="009232E1">
            <w:pPr>
              <w:spacing w:before="0" w:after="0"/>
              <w:rPr>
                <w:lang w:val="en-GB"/>
              </w:rPr>
            </w:pPr>
            <w:r w:rsidRPr="00376E45">
              <w:rPr>
                <w:lang w:val="en-GB"/>
              </w:rPr>
              <w:t>Patients discontinuing due to AEs</w:t>
            </w:r>
            <w:r w:rsidR="0098004A" w:rsidRPr="00376E45">
              <w:rPr>
                <w:lang w:val="en-GB"/>
              </w:rPr>
              <w:t>, n (%)</w:t>
            </w:r>
          </w:p>
        </w:tc>
        <w:tc>
          <w:tcPr>
            <w:tcW w:w="902" w:type="pct"/>
            <w:tcBorders>
              <w:top w:val="single" w:sz="3" w:space="0" w:color="000000"/>
              <w:left w:val="single" w:sz="3" w:space="0" w:color="000000"/>
              <w:bottom w:val="single" w:sz="4" w:space="0" w:color="000000"/>
              <w:right w:val="single" w:sz="4" w:space="0" w:color="000000"/>
            </w:tcBorders>
            <w:vAlign w:val="center"/>
          </w:tcPr>
          <w:p w14:paraId="26E90B44" w14:textId="60429762" w:rsidR="0098004A" w:rsidRPr="00376E45" w:rsidRDefault="0098004A" w:rsidP="00742753">
            <w:pPr>
              <w:spacing w:before="0" w:after="0"/>
              <w:jc w:val="center"/>
              <w:rPr>
                <w:lang w:val="en-GB"/>
              </w:rPr>
            </w:pPr>
            <w:r w:rsidRPr="00376E45">
              <w:rPr>
                <w:lang w:val="en-GB"/>
              </w:rPr>
              <w:t>23 (6</w:t>
            </w:r>
            <w:r w:rsidR="00334EBB" w:rsidRPr="00376E45">
              <w:rPr>
                <w:lang w:val="en-GB"/>
              </w:rPr>
              <w:t>·</w:t>
            </w:r>
            <w:r w:rsidRPr="00376E45">
              <w:rPr>
                <w:lang w:val="en-GB"/>
              </w:rPr>
              <w:t>0%)</w:t>
            </w:r>
          </w:p>
        </w:tc>
        <w:tc>
          <w:tcPr>
            <w:tcW w:w="902" w:type="pct"/>
            <w:tcBorders>
              <w:top w:val="single" w:sz="3" w:space="0" w:color="000000"/>
              <w:left w:val="single" w:sz="4" w:space="0" w:color="000000"/>
              <w:bottom w:val="single" w:sz="4" w:space="0" w:color="000000"/>
              <w:right w:val="single" w:sz="4" w:space="0" w:color="000000"/>
            </w:tcBorders>
            <w:vAlign w:val="center"/>
          </w:tcPr>
          <w:p w14:paraId="5561EFB1" w14:textId="72B0A3C7" w:rsidR="0098004A" w:rsidRPr="00376E45" w:rsidRDefault="0098004A" w:rsidP="00742753">
            <w:pPr>
              <w:spacing w:before="0" w:after="0"/>
              <w:jc w:val="center"/>
              <w:rPr>
                <w:lang w:val="en-GB"/>
              </w:rPr>
            </w:pPr>
            <w:r w:rsidRPr="00376E45">
              <w:rPr>
                <w:lang w:val="en-GB"/>
              </w:rPr>
              <w:t>26 (6</w:t>
            </w:r>
            <w:r w:rsidR="00334EBB" w:rsidRPr="00376E45">
              <w:rPr>
                <w:lang w:val="en-GB"/>
              </w:rPr>
              <w:t>·</w:t>
            </w:r>
            <w:r w:rsidRPr="00376E45">
              <w:rPr>
                <w:lang w:val="en-GB"/>
              </w:rPr>
              <w:t>9%)</w:t>
            </w:r>
          </w:p>
        </w:tc>
        <w:tc>
          <w:tcPr>
            <w:tcW w:w="899" w:type="pct"/>
            <w:tcBorders>
              <w:top w:val="single" w:sz="3" w:space="0" w:color="000000"/>
              <w:left w:val="single" w:sz="4" w:space="0" w:color="000000"/>
              <w:bottom w:val="single" w:sz="4" w:space="0" w:color="000000"/>
              <w:right w:val="single" w:sz="4" w:space="0" w:color="000000"/>
            </w:tcBorders>
            <w:vAlign w:val="center"/>
          </w:tcPr>
          <w:p w14:paraId="293537C9" w14:textId="490386EB" w:rsidR="0098004A" w:rsidRPr="00376E45" w:rsidRDefault="0098004A" w:rsidP="009232E1">
            <w:pPr>
              <w:spacing w:before="0" w:after="0"/>
              <w:jc w:val="center"/>
              <w:rPr>
                <w:lang w:val="en-GB"/>
              </w:rPr>
            </w:pPr>
            <w:r w:rsidRPr="00376E45">
              <w:rPr>
                <w:lang w:val="en-GB"/>
              </w:rPr>
              <w:t>3</w:t>
            </w:r>
            <w:r w:rsidR="009232E1" w:rsidRPr="00376E45">
              <w:rPr>
                <w:lang w:val="en-GB"/>
              </w:rPr>
              <w:t>6</w:t>
            </w:r>
            <w:r w:rsidRPr="00376E45">
              <w:rPr>
                <w:lang w:val="en-GB"/>
              </w:rPr>
              <w:t xml:space="preserve"> (9</w:t>
            </w:r>
            <w:r w:rsidR="00334EBB" w:rsidRPr="00376E45">
              <w:rPr>
                <w:lang w:val="en-GB"/>
              </w:rPr>
              <w:t>·</w:t>
            </w:r>
            <w:r w:rsidR="009232E1" w:rsidRPr="00376E45">
              <w:rPr>
                <w:lang w:val="en-GB"/>
              </w:rPr>
              <w:t>3</w:t>
            </w:r>
            <w:r w:rsidRPr="00376E45">
              <w:rPr>
                <w:lang w:val="en-GB"/>
              </w:rPr>
              <w:t>%)</w:t>
            </w:r>
          </w:p>
        </w:tc>
      </w:tr>
      <w:tr w:rsidR="0098004A" w:rsidRPr="00376E45" w14:paraId="7F992089" w14:textId="77777777" w:rsidTr="00851A9D">
        <w:trPr>
          <w:trHeight w:val="510"/>
        </w:trPr>
        <w:tc>
          <w:tcPr>
            <w:tcW w:w="2298" w:type="pct"/>
            <w:tcBorders>
              <w:top w:val="single" w:sz="3" w:space="0" w:color="000000"/>
              <w:left w:val="single" w:sz="4" w:space="0" w:color="000000"/>
              <w:bottom w:val="single" w:sz="4" w:space="0" w:color="000000"/>
              <w:right w:val="single" w:sz="3" w:space="0" w:color="000000"/>
            </w:tcBorders>
            <w:vAlign w:val="center"/>
          </w:tcPr>
          <w:p w14:paraId="0844ED5D" w14:textId="4698C371" w:rsidR="0098004A" w:rsidRPr="00376E45" w:rsidRDefault="009232E1" w:rsidP="00742753">
            <w:pPr>
              <w:spacing w:before="0" w:after="0"/>
              <w:rPr>
                <w:lang w:val="en-GB"/>
              </w:rPr>
            </w:pPr>
            <w:r w:rsidRPr="00376E45">
              <w:rPr>
                <w:lang w:val="en-GB"/>
              </w:rPr>
              <w:t>Patients with s</w:t>
            </w:r>
            <w:r w:rsidR="0098004A" w:rsidRPr="00376E45">
              <w:rPr>
                <w:lang w:val="en-GB"/>
              </w:rPr>
              <w:t>evere AE</w:t>
            </w:r>
            <w:r w:rsidR="00CE1442" w:rsidRPr="00376E45">
              <w:rPr>
                <w:lang w:val="en-GB"/>
              </w:rPr>
              <w:t>s</w:t>
            </w:r>
            <w:r w:rsidR="0098004A" w:rsidRPr="00376E45">
              <w:rPr>
                <w:lang w:val="en-GB"/>
              </w:rPr>
              <w:t>, n (%) (defined by the investigator)</w:t>
            </w:r>
          </w:p>
        </w:tc>
        <w:tc>
          <w:tcPr>
            <w:tcW w:w="902" w:type="pct"/>
            <w:tcBorders>
              <w:top w:val="single" w:sz="3" w:space="0" w:color="000000"/>
              <w:left w:val="single" w:sz="3" w:space="0" w:color="000000"/>
              <w:bottom w:val="single" w:sz="4" w:space="0" w:color="000000"/>
              <w:right w:val="single" w:sz="4" w:space="0" w:color="000000"/>
            </w:tcBorders>
            <w:vAlign w:val="center"/>
          </w:tcPr>
          <w:p w14:paraId="5752C7F3" w14:textId="3CB1C454" w:rsidR="0098004A" w:rsidRPr="00376E45" w:rsidRDefault="0098004A" w:rsidP="00742753">
            <w:pPr>
              <w:spacing w:before="0" w:after="0"/>
              <w:jc w:val="center"/>
              <w:rPr>
                <w:lang w:val="en-GB"/>
              </w:rPr>
            </w:pPr>
            <w:r w:rsidRPr="00376E45">
              <w:rPr>
                <w:lang w:val="en-GB"/>
              </w:rPr>
              <w:t>24 (6</w:t>
            </w:r>
            <w:r w:rsidR="00334EBB" w:rsidRPr="00376E45">
              <w:rPr>
                <w:lang w:val="en-GB"/>
              </w:rPr>
              <w:t>·</w:t>
            </w:r>
            <w:r w:rsidRPr="00376E45">
              <w:rPr>
                <w:lang w:val="en-GB"/>
              </w:rPr>
              <w:t>3%)</w:t>
            </w:r>
          </w:p>
        </w:tc>
        <w:tc>
          <w:tcPr>
            <w:tcW w:w="902" w:type="pct"/>
            <w:tcBorders>
              <w:top w:val="single" w:sz="3" w:space="0" w:color="000000"/>
              <w:left w:val="single" w:sz="4" w:space="0" w:color="000000"/>
              <w:bottom w:val="single" w:sz="4" w:space="0" w:color="000000"/>
              <w:right w:val="single" w:sz="4" w:space="0" w:color="000000"/>
            </w:tcBorders>
            <w:vAlign w:val="center"/>
          </w:tcPr>
          <w:p w14:paraId="1DCD93D7" w14:textId="57BE3114" w:rsidR="0098004A" w:rsidRPr="00376E45" w:rsidRDefault="0098004A" w:rsidP="00742753">
            <w:pPr>
              <w:spacing w:before="0" w:after="0"/>
              <w:jc w:val="center"/>
              <w:rPr>
                <w:lang w:val="en-GB"/>
              </w:rPr>
            </w:pPr>
            <w:r w:rsidRPr="00376E45">
              <w:rPr>
                <w:lang w:val="en-GB"/>
              </w:rPr>
              <w:t>17 (4</w:t>
            </w:r>
            <w:r w:rsidR="00334EBB" w:rsidRPr="00376E45">
              <w:rPr>
                <w:lang w:val="en-GB"/>
              </w:rPr>
              <w:t>·</w:t>
            </w:r>
            <w:r w:rsidRPr="00376E45">
              <w:rPr>
                <w:lang w:val="en-GB"/>
              </w:rPr>
              <w:t>5%)</w:t>
            </w:r>
          </w:p>
        </w:tc>
        <w:tc>
          <w:tcPr>
            <w:tcW w:w="899" w:type="pct"/>
            <w:tcBorders>
              <w:top w:val="single" w:sz="3" w:space="0" w:color="000000"/>
              <w:left w:val="single" w:sz="4" w:space="0" w:color="000000"/>
              <w:bottom w:val="single" w:sz="4" w:space="0" w:color="000000"/>
              <w:right w:val="single" w:sz="4" w:space="0" w:color="000000"/>
            </w:tcBorders>
            <w:vAlign w:val="center"/>
          </w:tcPr>
          <w:p w14:paraId="72AD5B6C" w14:textId="2A6FCA1E" w:rsidR="0098004A" w:rsidRPr="00376E45" w:rsidRDefault="0098004A" w:rsidP="00742753">
            <w:pPr>
              <w:spacing w:before="0" w:after="0"/>
              <w:jc w:val="center"/>
              <w:rPr>
                <w:lang w:val="en-GB"/>
              </w:rPr>
            </w:pPr>
            <w:r w:rsidRPr="00376E45">
              <w:rPr>
                <w:lang w:val="en-GB"/>
              </w:rPr>
              <w:t>23 (6</w:t>
            </w:r>
            <w:r w:rsidR="00334EBB" w:rsidRPr="00376E45">
              <w:rPr>
                <w:lang w:val="en-GB"/>
              </w:rPr>
              <w:t>·</w:t>
            </w:r>
            <w:r w:rsidRPr="00376E45">
              <w:rPr>
                <w:lang w:val="en-GB"/>
              </w:rPr>
              <w:t>0%)</w:t>
            </w:r>
          </w:p>
        </w:tc>
      </w:tr>
      <w:tr w:rsidR="0098004A" w:rsidRPr="00376E45" w14:paraId="141F0B3A" w14:textId="77777777" w:rsidTr="00851A9D">
        <w:trPr>
          <w:trHeight w:val="510"/>
        </w:trPr>
        <w:tc>
          <w:tcPr>
            <w:tcW w:w="2298" w:type="pct"/>
            <w:tcBorders>
              <w:top w:val="single" w:sz="3" w:space="0" w:color="000000"/>
              <w:left w:val="single" w:sz="4" w:space="0" w:color="000000"/>
              <w:bottom w:val="single" w:sz="4" w:space="0" w:color="000000"/>
              <w:right w:val="single" w:sz="3" w:space="0" w:color="000000"/>
            </w:tcBorders>
            <w:vAlign w:val="center"/>
          </w:tcPr>
          <w:p w14:paraId="308233F6" w14:textId="77777777" w:rsidR="0098004A" w:rsidRPr="00376E45" w:rsidRDefault="0098004A" w:rsidP="00742753">
            <w:pPr>
              <w:spacing w:before="0" w:after="0"/>
              <w:rPr>
                <w:lang w:val="en-GB"/>
              </w:rPr>
            </w:pPr>
            <w:r w:rsidRPr="00376E45">
              <w:rPr>
                <w:lang w:val="en-GB"/>
              </w:rPr>
              <w:t>Deaths</w:t>
            </w:r>
            <w:r w:rsidRPr="00376E45">
              <w:rPr>
                <w:vertAlign w:val="superscript"/>
                <w:lang w:val="en-GB"/>
              </w:rPr>
              <w:t>†</w:t>
            </w:r>
          </w:p>
        </w:tc>
        <w:tc>
          <w:tcPr>
            <w:tcW w:w="902" w:type="pct"/>
            <w:tcBorders>
              <w:top w:val="single" w:sz="3" w:space="0" w:color="000000"/>
              <w:left w:val="single" w:sz="3" w:space="0" w:color="000000"/>
              <w:bottom w:val="single" w:sz="4" w:space="0" w:color="000000"/>
              <w:right w:val="single" w:sz="4" w:space="0" w:color="000000"/>
            </w:tcBorders>
            <w:vAlign w:val="center"/>
          </w:tcPr>
          <w:p w14:paraId="0E103884" w14:textId="0F406672" w:rsidR="0098004A" w:rsidRPr="00376E45" w:rsidRDefault="0098004A" w:rsidP="00742753">
            <w:pPr>
              <w:spacing w:before="0" w:after="0"/>
              <w:jc w:val="center"/>
              <w:rPr>
                <w:lang w:val="en-GB"/>
              </w:rPr>
            </w:pPr>
            <w:r w:rsidRPr="00376E45">
              <w:rPr>
                <w:lang w:val="en-GB"/>
              </w:rPr>
              <w:t>2 (0</w:t>
            </w:r>
            <w:r w:rsidR="00334EBB" w:rsidRPr="00376E45">
              <w:rPr>
                <w:lang w:val="en-GB"/>
              </w:rPr>
              <w:t>·</w:t>
            </w:r>
            <w:r w:rsidRPr="00376E45">
              <w:rPr>
                <w:lang w:val="en-GB"/>
              </w:rPr>
              <w:t>5%)</w:t>
            </w:r>
          </w:p>
        </w:tc>
        <w:tc>
          <w:tcPr>
            <w:tcW w:w="902" w:type="pct"/>
            <w:tcBorders>
              <w:top w:val="single" w:sz="3" w:space="0" w:color="000000"/>
              <w:left w:val="single" w:sz="4" w:space="0" w:color="000000"/>
              <w:bottom w:val="single" w:sz="4" w:space="0" w:color="000000"/>
              <w:right w:val="single" w:sz="4" w:space="0" w:color="000000"/>
            </w:tcBorders>
            <w:vAlign w:val="center"/>
          </w:tcPr>
          <w:p w14:paraId="1F54D2C2" w14:textId="77777777" w:rsidR="0098004A" w:rsidRPr="00376E45" w:rsidRDefault="0098004A" w:rsidP="00742753">
            <w:pPr>
              <w:spacing w:before="0" w:after="0"/>
              <w:jc w:val="center"/>
              <w:rPr>
                <w:lang w:val="en-GB"/>
              </w:rPr>
            </w:pPr>
            <w:r w:rsidRPr="00376E45">
              <w:rPr>
                <w:lang w:val="en-GB"/>
              </w:rPr>
              <w:t>0</w:t>
            </w:r>
          </w:p>
        </w:tc>
        <w:tc>
          <w:tcPr>
            <w:tcW w:w="899" w:type="pct"/>
            <w:tcBorders>
              <w:top w:val="single" w:sz="3" w:space="0" w:color="000000"/>
              <w:left w:val="single" w:sz="4" w:space="0" w:color="000000"/>
              <w:bottom w:val="single" w:sz="4" w:space="0" w:color="000000"/>
              <w:right w:val="single" w:sz="4" w:space="0" w:color="000000"/>
            </w:tcBorders>
            <w:vAlign w:val="center"/>
          </w:tcPr>
          <w:p w14:paraId="142615CD" w14:textId="77777777" w:rsidR="0098004A" w:rsidRPr="00376E45" w:rsidRDefault="0098004A" w:rsidP="00742753">
            <w:pPr>
              <w:spacing w:before="0" w:after="0"/>
              <w:jc w:val="center"/>
              <w:rPr>
                <w:lang w:val="en-GB"/>
              </w:rPr>
            </w:pPr>
            <w:r w:rsidRPr="00376E45">
              <w:rPr>
                <w:lang w:val="en-GB"/>
              </w:rPr>
              <w:t>0</w:t>
            </w:r>
          </w:p>
        </w:tc>
      </w:tr>
      <w:tr w:rsidR="005B0897" w:rsidRPr="00376E45" w14:paraId="5B7971F5" w14:textId="77777777" w:rsidTr="00851A9D">
        <w:trPr>
          <w:trHeight w:val="510"/>
        </w:trPr>
        <w:tc>
          <w:tcPr>
            <w:tcW w:w="5000" w:type="pct"/>
            <w:gridSpan w:val="4"/>
            <w:tcBorders>
              <w:top w:val="single" w:sz="3" w:space="0" w:color="000000"/>
              <w:left w:val="single" w:sz="4" w:space="0" w:color="000000"/>
              <w:bottom w:val="single" w:sz="4" w:space="0" w:color="000000"/>
              <w:right w:val="single" w:sz="4" w:space="0" w:color="000000"/>
            </w:tcBorders>
            <w:vAlign w:val="center"/>
          </w:tcPr>
          <w:p w14:paraId="187F01EC" w14:textId="0AB5D6FB" w:rsidR="005B0897" w:rsidRPr="00376E45" w:rsidRDefault="005B0897" w:rsidP="005B0897">
            <w:pPr>
              <w:spacing w:before="0" w:after="0"/>
              <w:rPr>
                <w:lang w:val="en-GB"/>
              </w:rPr>
            </w:pPr>
            <w:r w:rsidRPr="00376E45">
              <w:rPr>
                <w:b/>
                <w:lang w:val="en-GB"/>
              </w:rPr>
              <w:t>AEs of special interest</w:t>
            </w:r>
          </w:p>
        </w:tc>
      </w:tr>
      <w:tr w:rsidR="0098004A" w:rsidRPr="00376E45" w14:paraId="3B92B11C" w14:textId="77777777" w:rsidTr="00851A9D">
        <w:trPr>
          <w:trHeight w:val="510"/>
        </w:trPr>
        <w:tc>
          <w:tcPr>
            <w:tcW w:w="2298" w:type="pct"/>
            <w:tcBorders>
              <w:top w:val="single" w:sz="3" w:space="0" w:color="000000"/>
              <w:left w:val="single" w:sz="4" w:space="0" w:color="000000"/>
              <w:bottom w:val="single" w:sz="4" w:space="0" w:color="000000"/>
              <w:right w:val="single" w:sz="3" w:space="0" w:color="000000"/>
            </w:tcBorders>
            <w:vAlign w:val="center"/>
          </w:tcPr>
          <w:p w14:paraId="41541FAF" w14:textId="32D30495" w:rsidR="0098004A" w:rsidRPr="00376E45" w:rsidRDefault="00A42B33" w:rsidP="00742753">
            <w:pPr>
              <w:spacing w:before="0" w:after="0"/>
              <w:rPr>
                <w:lang w:val="en-GB"/>
              </w:rPr>
            </w:pPr>
            <w:r w:rsidRPr="00376E45">
              <w:rPr>
                <w:lang w:val="en-GB"/>
              </w:rPr>
              <w:t>S</w:t>
            </w:r>
            <w:r w:rsidR="0098004A" w:rsidRPr="00376E45">
              <w:rPr>
                <w:lang w:val="en-GB"/>
              </w:rPr>
              <w:t>erious infections, n (%)</w:t>
            </w:r>
          </w:p>
        </w:tc>
        <w:tc>
          <w:tcPr>
            <w:tcW w:w="902" w:type="pct"/>
            <w:tcBorders>
              <w:top w:val="single" w:sz="3" w:space="0" w:color="000000"/>
              <w:left w:val="single" w:sz="3" w:space="0" w:color="000000"/>
              <w:bottom w:val="single" w:sz="4" w:space="0" w:color="000000"/>
              <w:right w:val="single" w:sz="4" w:space="0" w:color="000000"/>
            </w:tcBorders>
            <w:vAlign w:val="center"/>
          </w:tcPr>
          <w:p w14:paraId="53504C99" w14:textId="7F43FDDC" w:rsidR="0098004A" w:rsidRPr="00376E45" w:rsidRDefault="0098004A" w:rsidP="00742753">
            <w:pPr>
              <w:spacing w:before="0" w:after="0"/>
              <w:jc w:val="center"/>
              <w:rPr>
                <w:lang w:val="en-GB"/>
              </w:rPr>
            </w:pPr>
            <w:r w:rsidRPr="00376E45">
              <w:rPr>
                <w:lang w:val="en-GB"/>
              </w:rPr>
              <w:t>6 (1</w:t>
            </w:r>
            <w:r w:rsidR="00334EBB" w:rsidRPr="00376E45">
              <w:rPr>
                <w:lang w:val="en-GB"/>
              </w:rPr>
              <w:t>·</w:t>
            </w:r>
            <w:r w:rsidRPr="00376E45">
              <w:rPr>
                <w:lang w:val="en-GB"/>
              </w:rPr>
              <w:t>6%)</w:t>
            </w:r>
          </w:p>
        </w:tc>
        <w:tc>
          <w:tcPr>
            <w:tcW w:w="902" w:type="pct"/>
            <w:tcBorders>
              <w:top w:val="single" w:sz="3" w:space="0" w:color="000000"/>
              <w:left w:val="single" w:sz="4" w:space="0" w:color="000000"/>
              <w:bottom w:val="single" w:sz="4" w:space="0" w:color="000000"/>
              <w:right w:val="single" w:sz="4" w:space="0" w:color="000000"/>
            </w:tcBorders>
            <w:vAlign w:val="center"/>
          </w:tcPr>
          <w:p w14:paraId="4A97631F" w14:textId="2D7D68DC" w:rsidR="0098004A" w:rsidRPr="00376E45" w:rsidRDefault="0098004A" w:rsidP="00742753">
            <w:pPr>
              <w:spacing w:before="0" w:after="0"/>
              <w:jc w:val="center"/>
              <w:rPr>
                <w:lang w:val="en-GB"/>
              </w:rPr>
            </w:pPr>
            <w:r w:rsidRPr="00376E45">
              <w:rPr>
                <w:lang w:val="en-GB"/>
              </w:rPr>
              <w:t>10 (2</w:t>
            </w:r>
            <w:r w:rsidR="00334EBB" w:rsidRPr="00376E45">
              <w:rPr>
                <w:lang w:val="en-GB"/>
              </w:rPr>
              <w:t>·</w:t>
            </w:r>
            <w:r w:rsidRPr="00376E45">
              <w:rPr>
                <w:lang w:val="en-GB"/>
              </w:rPr>
              <w:t>7%)</w:t>
            </w:r>
          </w:p>
        </w:tc>
        <w:tc>
          <w:tcPr>
            <w:tcW w:w="899" w:type="pct"/>
            <w:tcBorders>
              <w:top w:val="single" w:sz="3" w:space="0" w:color="000000"/>
              <w:left w:val="single" w:sz="4" w:space="0" w:color="000000"/>
              <w:bottom w:val="single" w:sz="4" w:space="0" w:color="000000"/>
              <w:right w:val="single" w:sz="4" w:space="0" w:color="000000"/>
            </w:tcBorders>
            <w:vAlign w:val="center"/>
          </w:tcPr>
          <w:p w14:paraId="2CC2786D" w14:textId="287ED447" w:rsidR="0098004A" w:rsidRPr="00376E45" w:rsidRDefault="0098004A" w:rsidP="00742753">
            <w:pPr>
              <w:spacing w:before="0" w:after="0"/>
              <w:jc w:val="center"/>
              <w:rPr>
                <w:lang w:val="en-GB"/>
              </w:rPr>
            </w:pPr>
            <w:r w:rsidRPr="00376E45">
              <w:rPr>
                <w:lang w:val="en-GB"/>
              </w:rPr>
              <w:t>6 (1</w:t>
            </w:r>
            <w:r w:rsidR="00334EBB" w:rsidRPr="00376E45">
              <w:rPr>
                <w:lang w:val="en-GB"/>
              </w:rPr>
              <w:t>·</w:t>
            </w:r>
            <w:r w:rsidRPr="00376E45">
              <w:rPr>
                <w:lang w:val="en-GB"/>
              </w:rPr>
              <w:t>6%)</w:t>
            </w:r>
          </w:p>
        </w:tc>
      </w:tr>
      <w:tr w:rsidR="0098004A" w:rsidRPr="00376E45" w14:paraId="05CAF5A7" w14:textId="77777777" w:rsidTr="00851A9D">
        <w:trPr>
          <w:trHeight w:val="512"/>
        </w:trPr>
        <w:tc>
          <w:tcPr>
            <w:tcW w:w="2298" w:type="pct"/>
            <w:tcBorders>
              <w:top w:val="single" w:sz="4" w:space="0" w:color="000000"/>
              <w:left w:val="single" w:sz="4" w:space="0" w:color="000000"/>
              <w:bottom w:val="single" w:sz="3" w:space="0" w:color="000000"/>
              <w:right w:val="single" w:sz="3" w:space="0" w:color="000000"/>
            </w:tcBorders>
            <w:vAlign w:val="center"/>
          </w:tcPr>
          <w:p w14:paraId="05A14BE7" w14:textId="1A329EA2" w:rsidR="0098004A" w:rsidRPr="00376E45" w:rsidRDefault="00A42B33" w:rsidP="0089632A">
            <w:pPr>
              <w:spacing w:before="0" w:after="0"/>
              <w:rPr>
                <w:lang w:val="en-GB"/>
              </w:rPr>
            </w:pPr>
            <w:r w:rsidRPr="00376E45">
              <w:rPr>
                <w:lang w:val="en-GB"/>
              </w:rPr>
              <w:t>H</w:t>
            </w:r>
            <w:r w:rsidR="0098004A" w:rsidRPr="00376E45">
              <w:rPr>
                <w:lang w:val="en-GB"/>
              </w:rPr>
              <w:t>erpes zoster (serious and non-serious), n (%)</w:t>
            </w:r>
          </w:p>
        </w:tc>
        <w:tc>
          <w:tcPr>
            <w:tcW w:w="902" w:type="pct"/>
            <w:tcBorders>
              <w:top w:val="single" w:sz="4" w:space="0" w:color="000000"/>
              <w:left w:val="single" w:sz="3" w:space="0" w:color="000000"/>
              <w:bottom w:val="single" w:sz="3" w:space="0" w:color="000000"/>
              <w:right w:val="single" w:sz="4" w:space="0" w:color="000000"/>
            </w:tcBorders>
            <w:vAlign w:val="center"/>
          </w:tcPr>
          <w:p w14:paraId="17E99065" w14:textId="0845C1AF" w:rsidR="0098004A" w:rsidRPr="00376E45" w:rsidRDefault="0098004A" w:rsidP="00742753">
            <w:pPr>
              <w:spacing w:before="0" w:after="0"/>
              <w:jc w:val="center"/>
              <w:rPr>
                <w:lang w:val="en-GB"/>
              </w:rPr>
            </w:pPr>
            <w:r w:rsidRPr="00376E45">
              <w:rPr>
                <w:lang w:val="en-GB"/>
              </w:rPr>
              <w:t>4 (1</w:t>
            </w:r>
            <w:r w:rsidR="00334EBB" w:rsidRPr="00376E45">
              <w:rPr>
                <w:lang w:val="en-GB"/>
              </w:rPr>
              <w:t>·</w:t>
            </w:r>
            <w:r w:rsidRPr="00376E45">
              <w:rPr>
                <w:lang w:val="en-GB"/>
              </w:rPr>
              <w:t>0%)</w:t>
            </w:r>
          </w:p>
        </w:tc>
        <w:tc>
          <w:tcPr>
            <w:tcW w:w="902" w:type="pct"/>
            <w:tcBorders>
              <w:top w:val="single" w:sz="4" w:space="0" w:color="000000"/>
              <w:left w:val="single" w:sz="4" w:space="0" w:color="000000"/>
              <w:bottom w:val="single" w:sz="3" w:space="0" w:color="000000"/>
              <w:right w:val="single" w:sz="4" w:space="0" w:color="000000"/>
            </w:tcBorders>
            <w:vAlign w:val="center"/>
          </w:tcPr>
          <w:p w14:paraId="7655445C" w14:textId="3D20E0B4" w:rsidR="0098004A" w:rsidRPr="00376E45" w:rsidRDefault="0098004A" w:rsidP="00742753">
            <w:pPr>
              <w:spacing w:before="0" w:after="0"/>
              <w:jc w:val="center"/>
              <w:rPr>
                <w:lang w:val="en-GB"/>
              </w:rPr>
            </w:pPr>
            <w:r w:rsidRPr="00376E45">
              <w:rPr>
                <w:lang w:val="en-GB"/>
              </w:rPr>
              <w:t>8 (2</w:t>
            </w:r>
            <w:r w:rsidR="00334EBB" w:rsidRPr="00376E45">
              <w:rPr>
                <w:lang w:val="en-GB"/>
              </w:rPr>
              <w:t>·</w:t>
            </w:r>
            <w:r w:rsidRPr="00376E45">
              <w:rPr>
                <w:lang w:val="en-GB"/>
              </w:rPr>
              <w:t>1%)</w:t>
            </w:r>
          </w:p>
        </w:tc>
        <w:tc>
          <w:tcPr>
            <w:tcW w:w="899" w:type="pct"/>
            <w:tcBorders>
              <w:top w:val="single" w:sz="4" w:space="0" w:color="000000"/>
              <w:left w:val="single" w:sz="4" w:space="0" w:color="000000"/>
              <w:bottom w:val="single" w:sz="3" w:space="0" w:color="000000"/>
              <w:right w:val="single" w:sz="4" w:space="0" w:color="000000"/>
            </w:tcBorders>
            <w:vAlign w:val="center"/>
          </w:tcPr>
          <w:p w14:paraId="402C7D2D" w14:textId="39D2DD74" w:rsidR="0098004A" w:rsidRPr="00376E45" w:rsidRDefault="00F9343D" w:rsidP="00742753">
            <w:pPr>
              <w:spacing w:before="0" w:after="0"/>
              <w:jc w:val="center"/>
              <w:rPr>
                <w:lang w:val="en-GB"/>
              </w:rPr>
            </w:pPr>
            <w:r w:rsidRPr="00376E45">
              <w:rPr>
                <w:lang w:val="en-GB"/>
              </w:rPr>
              <w:t>6</w:t>
            </w:r>
            <w:r w:rsidR="00BD6D02" w:rsidRPr="00376E45">
              <w:rPr>
                <w:lang w:val="en-GB"/>
              </w:rPr>
              <w:t xml:space="preserve"> (1</w:t>
            </w:r>
            <w:r w:rsidR="00334EBB" w:rsidRPr="00376E45">
              <w:rPr>
                <w:lang w:val="en-GB"/>
              </w:rPr>
              <w:t>·</w:t>
            </w:r>
            <w:r w:rsidRPr="00376E45">
              <w:rPr>
                <w:lang w:val="en-GB"/>
              </w:rPr>
              <w:t>6</w:t>
            </w:r>
            <w:r w:rsidR="00BD6D02" w:rsidRPr="00376E45">
              <w:rPr>
                <w:lang w:val="en-GB"/>
              </w:rPr>
              <w:t>%)</w:t>
            </w:r>
          </w:p>
        </w:tc>
      </w:tr>
      <w:tr w:rsidR="002F4674" w:rsidRPr="00376E45" w14:paraId="40470EDA" w14:textId="77777777" w:rsidTr="00851A9D">
        <w:trPr>
          <w:trHeight w:val="512"/>
        </w:trPr>
        <w:tc>
          <w:tcPr>
            <w:tcW w:w="2298" w:type="pct"/>
            <w:tcBorders>
              <w:top w:val="single" w:sz="4" w:space="0" w:color="000000"/>
              <w:left w:val="single" w:sz="4" w:space="0" w:color="000000"/>
              <w:bottom w:val="single" w:sz="3" w:space="0" w:color="000000"/>
              <w:right w:val="single" w:sz="3" w:space="0" w:color="000000"/>
            </w:tcBorders>
            <w:vAlign w:val="center"/>
          </w:tcPr>
          <w:p w14:paraId="563EB406" w14:textId="1769B5B0" w:rsidR="002F4674" w:rsidRPr="00376E45" w:rsidRDefault="002F4674" w:rsidP="002F4674">
            <w:pPr>
              <w:spacing w:before="0" w:after="0"/>
              <w:rPr>
                <w:lang w:val="en-GB"/>
              </w:rPr>
            </w:pPr>
            <w:r w:rsidRPr="00376E45">
              <w:rPr>
                <w:lang w:val="en-GB"/>
              </w:rPr>
              <w:t>Herpes zoster (serious and non-serious) in patients who were vaccinated, n/N (%)</w:t>
            </w:r>
          </w:p>
        </w:tc>
        <w:tc>
          <w:tcPr>
            <w:tcW w:w="902" w:type="pct"/>
            <w:tcBorders>
              <w:top w:val="single" w:sz="4" w:space="0" w:color="000000"/>
              <w:left w:val="single" w:sz="4" w:space="0" w:color="000000"/>
              <w:bottom w:val="single" w:sz="4" w:space="0" w:color="000000"/>
              <w:right w:val="single" w:sz="4" w:space="0" w:color="000000"/>
            </w:tcBorders>
            <w:vAlign w:val="center"/>
          </w:tcPr>
          <w:p w14:paraId="3E8D3866" w14:textId="38540652" w:rsidR="002F4674" w:rsidRPr="00376E45" w:rsidRDefault="002F4674" w:rsidP="002B18D6">
            <w:pPr>
              <w:spacing w:before="0" w:after="0"/>
              <w:jc w:val="center"/>
              <w:rPr>
                <w:lang w:val="en-GB"/>
              </w:rPr>
            </w:pPr>
            <w:r w:rsidRPr="00376E45">
              <w:rPr>
                <w:lang w:val="en-GB"/>
              </w:rPr>
              <w:t>1/</w:t>
            </w:r>
            <w:r w:rsidR="002B18D6" w:rsidRPr="00376E45">
              <w:rPr>
                <w:lang w:val="en-GB"/>
              </w:rPr>
              <w:t>69</w:t>
            </w:r>
            <w:r w:rsidRPr="00376E45">
              <w:rPr>
                <w:lang w:val="en-GB"/>
              </w:rPr>
              <w:t xml:space="preserve"> (1·4%)</w:t>
            </w:r>
          </w:p>
        </w:tc>
        <w:tc>
          <w:tcPr>
            <w:tcW w:w="902" w:type="pct"/>
            <w:tcBorders>
              <w:top w:val="single" w:sz="4" w:space="0" w:color="000000"/>
              <w:left w:val="single" w:sz="4" w:space="0" w:color="000000"/>
              <w:bottom w:val="single" w:sz="4" w:space="0" w:color="000000"/>
              <w:right w:val="single" w:sz="4" w:space="0" w:color="000000"/>
            </w:tcBorders>
            <w:vAlign w:val="center"/>
          </w:tcPr>
          <w:p w14:paraId="4AB98250" w14:textId="0FB0501A" w:rsidR="002F4674" w:rsidRPr="00376E45" w:rsidRDefault="002F4674" w:rsidP="002B18D6">
            <w:pPr>
              <w:spacing w:before="0" w:after="0"/>
              <w:jc w:val="center"/>
              <w:rPr>
                <w:lang w:val="en-GB"/>
              </w:rPr>
            </w:pPr>
            <w:r w:rsidRPr="00376E45">
              <w:rPr>
                <w:lang w:val="en-GB"/>
              </w:rPr>
              <w:t>2/</w:t>
            </w:r>
            <w:r w:rsidR="002B18D6" w:rsidRPr="00376E45">
              <w:rPr>
                <w:lang w:val="en-GB"/>
              </w:rPr>
              <w:t>75</w:t>
            </w:r>
            <w:r w:rsidRPr="00376E45">
              <w:rPr>
                <w:lang w:val="en-GB"/>
              </w:rPr>
              <w:t xml:space="preserve"> (2·6</w:t>
            </w:r>
            <w:r w:rsidR="0004572F" w:rsidRPr="00376E45">
              <w:rPr>
                <w:lang w:val="en-GB"/>
              </w:rPr>
              <w:t>%</w:t>
            </w:r>
            <w:r w:rsidRPr="00376E45">
              <w:rPr>
                <w:lang w:val="en-GB"/>
              </w:rPr>
              <w:t>)</w:t>
            </w:r>
          </w:p>
        </w:tc>
        <w:tc>
          <w:tcPr>
            <w:tcW w:w="899" w:type="pct"/>
            <w:tcBorders>
              <w:top w:val="single" w:sz="4" w:space="0" w:color="000000"/>
              <w:left w:val="single" w:sz="4" w:space="0" w:color="000000"/>
              <w:bottom w:val="single" w:sz="4" w:space="0" w:color="000000"/>
              <w:right w:val="single" w:sz="4" w:space="0" w:color="000000"/>
            </w:tcBorders>
            <w:vAlign w:val="center"/>
          </w:tcPr>
          <w:p w14:paraId="49C9080F" w14:textId="79FDA266" w:rsidR="002F4674" w:rsidRPr="00376E45" w:rsidRDefault="002F4674" w:rsidP="002F4674">
            <w:pPr>
              <w:spacing w:before="0" w:after="0"/>
              <w:jc w:val="center"/>
              <w:rPr>
                <w:lang w:val="en-GB"/>
              </w:rPr>
            </w:pPr>
            <w:r w:rsidRPr="00376E45">
              <w:rPr>
                <w:lang w:val="en-GB"/>
              </w:rPr>
              <w:t>0</w:t>
            </w:r>
            <w:r w:rsidR="002B18D6" w:rsidRPr="00376E45">
              <w:rPr>
                <w:lang w:val="en-GB"/>
              </w:rPr>
              <w:t>/72</w:t>
            </w:r>
            <w:r w:rsidRPr="00376E45">
              <w:rPr>
                <w:lang w:val="en-GB"/>
              </w:rPr>
              <w:t xml:space="preserve"> (0·0</w:t>
            </w:r>
            <w:r w:rsidR="0004572F" w:rsidRPr="00376E45">
              <w:rPr>
                <w:lang w:val="en-GB"/>
              </w:rPr>
              <w:t>%</w:t>
            </w:r>
            <w:r w:rsidRPr="00376E45">
              <w:rPr>
                <w:lang w:val="en-GB"/>
              </w:rPr>
              <w:t>)</w:t>
            </w:r>
          </w:p>
        </w:tc>
      </w:tr>
      <w:tr w:rsidR="0098004A" w:rsidRPr="00376E45" w14:paraId="605D08C3" w14:textId="77777777" w:rsidTr="00851A9D">
        <w:trPr>
          <w:trHeight w:val="512"/>
        </w:trPr>
        <w:tc>
          <w:tcPr>
            <w:tcW w:w="2298" w:type="pct"/>
            <w:tcBorders>
              <w:top w:val="single" w:sz="4" w:space="0" w:color="000000"/>
              <w:left w:val="single" w:sz="4" w:space="0" w:color="000000"/>
              <w:bottom w:val="single" w:sz="4" w:space="0" w:color="000000"/>
              <w:right w:val="single" w:sz="3" w:space="0" w:color="000000"/>
            </w:tcBorders>
            <w:vAlign w:val="center"/>
          </w:tcPr>
          <w:p w14:paraId="01118E27" w14:textId="14FA41AE" w:rsidR="0098004A" w:rsidRPr="00376E45" w:rsidRDefault="00A42B33" w:rsidP="00742753">
            <w:pPr>
              <w:spacing w:before="0" w:after="0"/>
              <w:rPr>
                <w:lang w:val="en-GB"/>
              </w:rPr>
            </w:pPr>
            <w:r w:rsidRPr="00376E45">
              <w:rPr>
                <w:lang w:val="en-GB"/>
              </w:rPr>
              <w:t>O</w:t>
            </w:r>
            <w:r w:rsidR="0098004A" w:rsidRPr="00376E45">
              <w:rPr>
                <w:lang w:val="en-GB"/>
              </w:rPr>
              <w:t>pportunistic infections (excluding tuberculosis), n (%)</w:t>
            </w:r>
          </w:p>
        </w:tc>
        <w:tc>
          <w:tcPr>
            <w:tcW w:w="902" w:type="pct"/>
            <w:tcBorders>
              <w:top w:val="single" w:sz="4" w:space="0" w:color="000000"/>
              <w:left w:val="single" w:sz="3" w:space="0" w:color="000000"/>
              <w:bottom w:val="single" w:sz="4" w:space="0" w:color="000000"/>
              <w:right w:val="single" w:sz="4" w:space="0" w:color="000000"/>
            </w:tcBorders>
            <w:vAlign w:val="center"/>
          </w:tcPr>
          <w:p w14:paraId="19871030" w14:textId="3B1CEF54" w:rsidR="0098004A" w:rsidRPr="00376E45" w:rsidRDefault="0098004A" w:rsidP="00742753">
            <w:pPr>
              <w:spacing w:before="0" w:after="0"/>
              <w:jc w:val="center"/>
              <w:rPr>
                <w:lang w:val="en-GB"/>
              </w:rPr>
            </w:pPr>
            <w:r w:rsidRPr="00376E45">
              <w:rPr>
                <w:lang w:val="en-GB"/>
              </w:rPr>
              <w:t>2 (0</w:t>
            </w:r>
            <w:r w:rsidR="00334EBB" w:rsidRPr="00376E45">
              <w:rPr>
                <w:lang w:val="en-GB"/>
              </w:rPr>
              <w:t>·</w:t>
            </w:r>
            <w:r w:rsidRPr="00376E45">
              <w:rPr>
                <w:lang w:val="en-GB"/>
              </w:rPr>
              <w:t>5%)</w:t>
            </w:r>
          </w:p>
        </w:tc>
        <w:tc>
          <w:tcPr>
            <w:tcW w:w="902" w:type="pct"/>
            <w:tcBorders>
              <w:top w:val="single" w:sz="4" w:space="0" w:color="000000"/>
              <w:left w:val="single" w:sz="4" w:space="0" w:color="000000"/>
              <w:bottom w:val="single" w:sz="4" w:space="0" w:color="000000"/>
              <w:right w:val="single" w:sz="4" w:space="0" w:color="000000"/>
            </w:tcBorders>
            <w:vAlign w:val="center"/>
          </w:tcPr>
          <w:p w14:paraId="6D84C6BF" w14:textId="51FD41E7" w:rsidR="0098004A" w:rsidRPr="00376E45" w:rsidRDefault="0098004A" w:rsidP="00742753">
            <w:pPr>
              <w:spacing w:before="0" w:after="0"/>
              <w:jc w:val="center"/>
              <w:rPr>
                <w:lang w:val="en-GB"/>
              </w:rPr>
            </w:pPr>
            <w:r w:rsidRPr="00376E45">
              <w:rPr>
                <w:lang w:val="en-GB"/>
              </w:rPr>
              <w:t>1 (0</w:t>
            </w:r>
            <w:r w:rsidR="00334EBB" w:rsidRPr="00376E45">
              <w:rPr>
                <w:lang w:val="en-GB"/>
              </w:rPr>
              <w:t>·</w:t>
            </w:r>
            <w:r w:rsidRPr="00376E45">
              <w:rPr>
                <w:lang w:val="en-GB"/>
              </w:rPr>
              <w:t>3%)</w:t>
            </w:r>
          </w:p>
        </w:tc>
        <w:tc>
          <w:tcPr>
            <w:tcW w:w="899" w:type="pct"/>
            <w:tcBorders>
              <w:top w:val="single" w:sz="4" w:space="0" w:color="000000"/>
              <w:left w:val="single" w:sz="4" w:space="0" w:color="000000"/>
              <w:bottom w:val="single" w:sz="4" w:space="0" w:color="000000"/>
              <w:right w:val="single" w:sz="4" w:space="0" w:color="000000"/>
            </w:tcBorders>
            <w:vAlign w:val="center"/>
          </w:tcPr>
          <w:p w14:paraId="19C97367" w14:textId="5DE473C9" w:rsidR="0098004A" w:rsidRPr="00376E45" w:rsidRDefault="0098004A" w:rsidP="00742753">
            <w:pPr>
              <w:spacing w:before="0" w:after="0"/>
              <w:jc w:val="center"/>
              <w:rPr>
                <w:lang w:val="en-GB"/>
              </w:rPr>
            </w:pPr>
            <w:r w:rsidRPr="00376E45">
              <w:rPr>
                <w:lang w:val="en-GB"/>
              </w:rPr>
              <w:t>2 (0</w:t>
            </w:r>
            <w:r w:rsidR="00334EBB" w:rsidRPr="00376E45">
              <w:rPr>
                <w:lang w:val="en-GB"/>
              </w:rPr>
              <w:t>·</w:t>
            </w:r>
            <w:r w:rsidRPr="00376E45">
              <w:rPr>
                <w:lang w:val="en-GB"/>
              </w:rPr>
              <w:t>5%)</w:t>
            </w:r>
          </w:p>
        </w:tc>
      </w:tr>
      <w:tr w:rsidR="0098004A" w:rsidRPr="00376E45" w14:paraId="60A4C15A" w14:textId="77777777" w:rsidTr="00851A9D">
        <w:trPr>
          <w:trHeight w:val="512"/>
        </w:trPr>
        <w:tc>
          <w:tcPr>
            <w:tcW w:w="2298" w:type="pct"/>
            <w:tcBorders>
              <w:top w:val="single" w:sz="4" w:space="0" w:color="000000"/>
              <w:left w:val="single" w:sz="4" w:space="0" w:color="000000"/>
              <w:bottom w:val="single" w:sz="4" w:space="0" w:color="000000"/>
              <w:right w:val="single" w:sz="3" w:space="0" w:color="000000"/>
            </w:tcBorders>
            <w:vAlign w:val="center"/>
          </w:tcPr>
          <w:p w14:paraId="6C261294" w14:textId="2A9F01A0" w:rsidR="0098004A" w:rsidRPr="00376E45" w:rsidRDefault="00A42B33" w:rsidP="00742753">
            <w:pPr>
              <w:spacing w:before="0" w:after="0"/>
              <w:rPr>
                <w:lang w:val="en-GB"/>
              </w:rPr>
            </w:pPr>
            <w:r w:rsidRPr="00376E45">
              <w:rPr>
                <w:lang w:val="en-GB"/>
              </w:rPr>
              <w:t>T</w:t>
            </w:r>
            <w:r w:rsidR="0098004A" w:rsidRPr="00376E45">
              <w:rPr>
                <w:lang w:val="en-GB"/>
              </w:rPr>
              <w:t>uberculosis, n (%)</w:t>
            </w:r>
          </w:p>
        </w:tc>
        <w:tc>
          <w:tcPr>
            <w:tcW w:w="902" w:type="pct"/>
            <w:tcBorders>
              <w:top w:val="single" w:sz="4" w:space="0" w:color="000000"/>
              <w:left w:val="single" w:sz="3" w:space="0" w:color="000000"/>
              <w:bottom w:val="single" w:sz="4" w:space="0" w:color="000000"/>
              <w:right w:val="single" w:sz="4" w:space="0" w:color="000000"/>
            </w:tcBorders>
            <w:vAlign w:val="center"/>
          </w:tcPr>
          <w:p w14:paraId="0BA3ADA2" w14:textId="77777777" w:rsidR="0098004A" w:rsidRPr="00376E45" w:rsidRDefault="0098004A" w:rsidP="00742753">
            <w:pPr>
              <w:spacing w:before="0" w:after="0"/>
              <w:jc w:val="center"/>
              <w:rPr>
                <w:lang w:val="en-GB"/>
              </w:rPr>
            </w:pPr>
            <w:r w:rsidRPr="00376E45">
              <w:rPr>
                <w:lang w:val="en-GB"/>
              </w:rPr>
              <w:t>0</w:t>
            </w:r>
          </w:p>
        </w:tc>
        <w:tc>
          <w:tcPr>
            <w:tcW w:w="902" w:type="pct"/>
            <w:tcBorders>
              <w:top w:val="single" w:sz="4" w:space="0" w:color="000000"/>
              <w:left w:val="single" w:sz="4" w:space="0" w:color="000000"/>
              <w:bottom w:val="single" w:sz="4" w:space="0" w:color="000000"/>
              <w:right w:val="single" w:sz="4" w:space="0" w:color="000000"/>
            </w:tcBorders>
            <w:vAlign w:val="center"/>
          </w:tcPr>
          <w:p w14:paraId="2148C8B1" w14:textId="07751AC4" w:rsidR="0098004A" w:rsidRPr="00376E45" w:rsidRDefault="00650673" w:rsidP="00742753">
            <w:pPr>
              <w:spacing w:before="0" w:after="0"/>
              <w:jc w:val="center"/>
              <w:rPr>
                <w:lang w:val="en-GB"/>
              </w:rPr>
            </w:pPr>
            <w:r w:rsidRPr="00376E45">
              <w:rPr>
                <w:lang w:val="en-GB"/>
              </w:rPr>
              <w:t>2</w:t>
            </w:r>
            <w:r w:rsidR="0098004A" w:rsidRPr="00376E45">
              <w:rPr>
                <w:lang w:val="en-GB"/>
              </w:rPr>
              <w:t xml:space="preserve"> (0</w:t>
            </w:r>
            <w:r w:rsidR="00334EBB" w:rsidRPr="00376E45">
              <w:rPr>
                <w:lang w:val="en-GB"/>
              </w:rPr>
              <w:t>·</w:t>
            </w:r>
            <w:r w:rsidRPr="00376E45">
              <w:rPr>
                <w:lang w:val="en-GB"/>
              </w:rPr>
              <w:t>5</w:t>
            </w:r>
            <w:r w:rsidR="0098004A" w:rsidRPr="00376E45">
              <w:rPr>
                <w:lang w:val="en-GB"/>
              </w:rPr>
              <w:t>%)</w:t>
            </w:r>
          </w:p>
        </w:tc>
        <w:tc>
          <w:tcPr>
            <w:tcW w:w="899" w:type="pct"/>
            <w:tcBorders>
              <w:top w:val="single" w:sz="4" w:space="0" w:color="000000"/>
              <w:left w:val="single" w:sz="4" w:space="0" w:color="000000"/>
              <w:bottom w:val="single" w:sz="4" w:space="0" w:color="000000"/>
              <w:right w:val="single" w:sz="4" w:space="0" w:color="000000"/>
            </w:tcBorders>
            <w:vAlign w:val="center"/>
          </w:tcPr>
          <w:p w14:paraId="0047E18E" w14:textId="77777777" w:rsidR="0098004A" w:rsidRPr="00376E45" w:rsidRDefault="0098004A" w:rsidP="00742753">
            <w:pPr>
              <w:spacing w:before="0" w:after="0"/>
              <w:jc w:val="center"/>
              <w:rPr>
                <w:lang w:val="en-GB"/>
              </w:rPr>
            </w:pPr>
            <w:r w:rsidRPr="00376E45">
              <w:rPr>
                <w:lang w:val="en-GB"/>
              </w:rPr>
              <w:t>0</w:t>
            </w:r>
          </w:p>
        </w:tc>
      </w:tr>
      <w:tr w:rsidR="0098004A" w:rsidRPr="00376E45" w14:paraId="02AAAB3A" w14:textId="77777777" w:rsidTr="00851A9D">
        <w:trPr>
          <w:trHeight w:val="512"/>
        </w:trPr>
        <w:tc>
          <w:tcPr>
            <w:tcW w:w="2298" w:type="pct"/>
            <w:tcBorders>
              <w:top w:val="single" w:sz="4" w:space="0" w:color="000000"/>
              <w:left w:val="single" w:sz="4" w:space="0" w:color="000000"/>
              <w:bottom w:val="single" w:sz="4" w:space="0" w:color="000000"/>
              <w:right w:val="single" w:sz="3" w:space="0" w:color="000000"/>
            </w:tcBorders>
            <w:vAlign w:val="center"/>
          </w:tcPr>
          <w:p w14:paraId="2B9A7F73" w14:textId="6315F15E" w:rsidR="0098004A" w:rsidRPr="00376E45" w:rsidRDefault="00A42B33" w:rsidP="00742753">
            <w:pPr>
              <w:spacing w:before="0" w:after="0"/>
              <w:rPr>
                <w:lang w:val="en-GB"/>
              </w:rPr>
            </w:pPr>
            <w:r w:rsidRPr="00376E45">
              <w:rPr>
                <w:lang w:val="en-GB"/>
              </w:rPr>
              <w:t>M</w:t>
            </w:r>
            <w:r w:rsidR="0098004A" w:rsidRPr="00376E45">
              <w:rPr>
                <w:lang w:val="en-GB"/>
              </w:rPr>
              <w:t>ajor adverse cardiovascular event</w:t>
            </w:r>
            <w:r w:rsidR="00CE1442" w:rsidRPr="00376E45">
              <w:rPr>
                <w:lang w:val="en-GB"/>
              </w:rPr>
              <w:t>s</w:t>
            </w:r>
            <w:r w:rsidR="0098004A" w:rsidRPr="00376E45">
              <w:rPr>
                <w:lang w:val="en-GB"/>
              </w:rPr>
              <w:t xml:space="preserve"> </w:t>
            </w:r>
            <w:r w:rsidR="00CE1442" w:rsidRPr="00376E45">
              <w:rPr>
                <w:lang w:val="en-GB"/>
              </w:rPr>
              <w:br/>
            </w:r>
            <w:r w:rsidR="0098004A" w:rsidRPr="00376E45">
              <w:rPr>
                <w:lang w:val="en-GB"/>
              </w:rPr>
              <w:t>(non-fatal), n (%)</w:t>
            </w:r>
          </w:p>
        </w:tc>
        <w:tc>
          <w:tcPr>
            <w:tcW w:w="902" w:type="pct"/>
            <w:tcBorders>
              <w:top w:val="single" w:sz="4" w:space="0" w:color="000000"/>
              <w:left w:val="single" w:sz="3" w:space="0" w:color="000000"/>
              <w:bottom w:val="single" w:sz="4" w:space="0" w:color="000000"/>
              <w:right w:val="single" w:sz="4" w:space="0" w:color="000000"/>
            </w:tcBorders>
            <w:vAlign w:val="center"/>
          </w:tcPr>
          <w:p w14:paraId="61183A43" w14:textId="77777777" w:rsidR="0098004A" w:rsidRPr="00376E45" w:rsidRDefault="0098004A" w:rsidP="00742753">
            <w:pPr>
              <w:spacing w:before="0" w:after="0"/>
              <w:jc w:val="center"/>
              <w:rPr>
                <w:lang w:val="en-GB"/>
              </w:rPr>
            </w:pPr>
            <w:r w:rsidRPr="00376E45">
              <w:rPr>
                <w:lang w:val="en-GB"/>
              </w:rPr>
              <w:t>0</w:t>
            </w:r>
          </w:p>
        </w:tc>
        <w:tc>
          <w:tcPr>
            <w:tcW w:w="902" w:type="pct"/>
            <w:tcBorders>
              <w:top w:val="single" w:sz="4" w:space="0" w:color="000000"/>
              <w:left w:val="single" w:sz="4" w:space="0" w:color="000000"/>
              <w:bottom w:val="single" w:sz="4" w:space="0" w:color="000000"/>
              <w:right w:val="single" w:sz="4" w:space="0" w:color="000000"/>
            </w:tcBorders>
            <w:vAlign w:val="center"/>
          </w:tcPr>
          <w:p w14:paraId="79801439" w14:textId="77777777" w:rsidR="0098004A" w:rsidRPr="00376E45" w:rsidRDefault="0098004A" w:rsidP="00742753">
            <w:pPr>
              <w:spacing w:before="0" w:after="0"/>
              <w:jc w:val="center"/>
              <w:rPr>
                <w:lang w:val="en-GB"/>
              </w:rPr>
            </w:pPr>
            <w:r w:rsidRPr="00376E45">
              <w:rPr>
                <w:lang w:val="en-GB"/>
              </w:rPr>
              <w:t>0</w:t>
            </w:r>
          </w:p>
        </w:tc>
        <w:tc>
          <w:tcPr>
            <w:tcW w:w="899" w:type="pct"/>
            <w:tcBorders>
              <w:top w:val="single" w:sz="4" w:space="0" w:color="000000"/>
              <w:left w:val="single" w:sz="4" w:space="0" w:color="000000"/>
              <w:bottom w:val="single" w:sz="4" w:space="0" w:color="000000"/>
              <w:right w:val="single" w:sz="4" w:space="0" w:color="000000"/>
            </w:tcBorders>
            <w:vAlign w:val="center"/>
          </w:tcPr>
          <w:p w14:paraId="4194C086" w14:textId="23B41F07" w:rsidR="0098004A" w:rsidRPr="00376E45" w:rsidRDefault="0098004A" w:rsidP="00742753">
            <w:pPr>
              <w:spacing w:before="0" w:after="0"/>
              <w:jc w:val="center"/>
              <w:rPr>
                <w:lang w:val="en-GB"/>
              </w:rPr>
            </w:pPr>
            <w:r w:rsidRPr="00376E45">
              <w:rPr>
                <w:lang w:val="en-GB"/>
              </w:rPr>
              <w:t>2 (0</w:t>
            </w:r>
            <w:r w:rsidR="00334EBB" w:rsidRPr="00376E45">
              <w:rPr>
                <w:lang w:val="en-GB"/>
              </w:rPr>
              <w:t>·</w:t>
            </w:r>
            <w:r w:rsidRPr="00376E45">
              <w:rPr>
                <w:lang w:val="en-GB"/>
              </w:rPr>
              <w:t>5%)</w:t>
            </w:r>
          </w:p>
        </w:tc>
      </w:tr>
      <w:tr w:rsidR="0098004A" w:rsidRPr="00376E45" w14:paraId="5DCCAEAF" w14:textId="77777777" w:rsidTr="00851A9D">
        <w:trPr>
          <w:trHeight w:val="512"/>
        </w:trPr>
        <w:tc>
          <w:tcPr>
            <w:tcW w:w="2298" w:type="pct"/>
            <w:tcBorders>
              <w:top w:val="single" w:sz="4" w:space="0" w:color="000000"/>
              <w:left w:val="single" w:sz="4" w:space="0" w:color="000000"/>
              <w:bottom w:val="single" w:sz="4" w:space="0" w:color="000000"/>
              <w:right w:val="single" w:sz="3" w:space="0" w:color="000000"/>
            </w:tcBorders>
            <w:vAlign w:val="center"/>
          </w:tcPr>
          <w:p w14:paraId="68777BAD" w14:textId="212D1905" w:rsidR="0098004A" w:rsidRPr="00376E45" w:rsidRDefault="00A42B33" w:rsidP="00742753">
            <w:pPr>
              <w:spacing w:before="0" w:after="0"/>
              <w:rPr>
                <w:lang w:val="en-GB"/>
              </w:rPr>
            </w:pPr>
            <w:r w:rsidRPr="00376E45">
              <w:rPr>
                <w:lang w:val="en-GB"/>
              </w:rPr>
              <w:t>M</w:t>
            </w:r>
            <w:r w:rsidR="0098004A" w:rsidRPr="00376E45">
              <w:rPr>
                <w:lang w:val="en-GB"/>
              </w:rPr>
              <w:t>alignancy (excluding NMSC), n (%)</w:t>
            </w:r>
          </w:p>
        </w:tc>
        <w:tc>
          <w:tcPr>
            <w:tcW w:w="902" w:type="pct"/>
            <w:tcBorders>
              <w:top w:val="single" w:sz="4" w:space="0" w:color="000000"/>
              <w:left w:val="single" w:sz="3" w:space="0" w:color="000000"/>
              <w:bottom w:val="single" w:sz="4" w:space="0" w:color="000000"/>
              <w:right w:val="single" w:sz="4" w:space="0" w:color="000000"/>
            </w:tcBorders>
            <w:vAlign w:val="center"/>
          </w:tcPr>
          <w:p w14:paraId="4AD0911D" w14:textId="3E665CB4" w:rsidR="0098004A" w:rsidRPr="00376E45" w:rsidRDefault="00910AD5" w:rsidP="00910AD5">
            <w:pPr>
              <w:spacing w:before="0" w:after="0"/>
              <w:jc w:val="center"/>
              <w:rPr>
                <w:lang w:val="en-GB"/>
              </w:rPr>
            </w:pPr>
            <w:r w:rsidRPr="00376E45">
              <w:rPr>
                <w:lang w:val="en-GB"/>
              </w:rPr>
              <w:t>1</w:t>
            </w:r>
            <w:r w:rsidR="0098004A" w:rsidRPr="00376E45">
              <w:rPr>
                <w:lang w:val="en-GB"/>
              </w:rPr>
              <w:t xml:space="preserve"> (0</w:t>
            </w:r>
            <w:r w:rsidR="00334EBB" w:rsidRPr="00376E45">
              <w:rPr>
                <w:lang w:val="en-GB"/>
              </w:rPr>
              <w:t>·</w:t>
            </w:r>
            <w:r w:rsidRPr="00376E45">
              <w:rPr>
                <w:lang w:val="en-GB"/>
              </w:rPr>
              <w:t>3</w:t>
            </w:r>
            <w:r w:rsidR="0098004A" w:rsidRPr="00376E45">
              <w:rPr>
                <w:lang w:val="en-GB"/>
              </w:rPr>
              <w:t>%)</w:t>
            </w:r>
          </w:p>
        </w:tc>
        <w:tc>
          <w:tcPr>
            <w:tcW w:w="902" w:type="pct"/>
            <w:tcBorders>
              <w:top w:val="single" w:sz="4" w:space="0" w:color="000000"/>
              <w:left w:val="single" w:sz="4" w:space="0" w:color="000000"/>
              <w:bottom w:val="single" w:sz="4" w:space="0" w:color="000000"/>
              <w:right w:val="single" w:sz="4" w:space="0" w:color="000000"/>
            </w:tcBorders>
            <w:vAlign w:val="center"/>
          </w:tcPr>
          <w:p w14:paraId="3E5BDA48" w14:textId="17155882" w:rsidR="0098004A" w:rsidRPr="00376E45" w:rsidRDefault="00910AD5" w:rsidP="009A5339">
            <w:pPr>
              <w:spacing w:before="0" w:after="0"/>
              <w:jc w:val="center"/>
              <w:rPr>
                <w:lang w:val="en-GB"/>
              </w:rPr>
            </w:pPr>
            <w:r w:rsidRPr="00376E45">
              <w:rPr>
                <w:lang w:val="en-GB"/>
              </w:rPr>
              <w:t>0</w:t>
            </w:r>
          </w:p>
        </w:tc>
        <w:tc>
          <w:tcPr>
            <w:tcW w:w="899" w:type="pct"/>
            <w:tcBorders>
              <w:top w:val="single" w:sz="4" w:space="0" w:color="000000"/>
              <w:left w:val="single" w:sz="4" w:space="0" w:color="000000"/>
              <w:bottom w:val="single" w:sz="4" w:space="0" w:color="000000"/>
              <w:right w:val="single" w:sz="4" w:space="0" w:color="000000"/>
            </w:tcBorders>
            <w:vAlign w:val="center"/>
          </w:tcPr>
          <w:p w14:paraId="64D1C057" w14:textId="46161CAF" w:rsidR="0098004A" w:rsidRPr="00376E45" w:rsidRDefault="00910AD5" w:rsidP="00742753">
            <w:pPr>
              <w:spacing w:before="0" w:after="0"/>
              <w:jc w:val="center"/>
              <w:rPr>
                <w:lang w:val="en-GB"/>
              </w:rPr>
            </w:pPr>
            <w:r w:rsidRPr="00376E45">
              <w:rPr>
                <w:lang w:val="en-GB"/>
              </w:rPr>
              <w:t>0</w:t>
            </w:r>
          </w:p>
        </w:tc>
      </w:tr>
      <w:tr w:rsidR="0098004A" w:rsidRPr="00376E45" w14:paraId="713E3182" w14:textId="77777777" w:rsidTr="00851A9D">
        <w:trPr>
          <w:trHeight w:val="512"/>
        </w:trPr>
        <w:tc>
          <w:tcPr>
            <w:tcW w:w="2298" w:type="pct"/>
            <w:tcBorders>
              <w:top w:val="single" w:sz="4" w:space="0" w:color="000000"/>
              <w:left w:val="single" w:sz="4" w:space="0" w:color="000000"/>
              <w:bottom w:val="single" w:sz="4" w:space="0" w:color="000000"/>
              <w:right w:val="single" w:sz="3" w:space="0" w:color="000000"/>
            </w:tcBorders>
            <w:vAlign w:val="center"/>
          </w:tcPr>
          <w:p w14:paraId="10564AB1" w14:textId="77777777" w:rsidR="0098004A" w:rsidRPr="00376E45" w:rsidRDefault="0098004A" w:rsidP="00742753">
            <w:pPr>
              <w:spacing w:before="0" w:after="0"/>
              <w:rPr>
                <w:lang w:val="en-GB"/>
              </w:rPr>
            </w:pPr>
            <w:r w:rsidRPr="00376E45">
              <w:rPr>
                <w:lang w:val="en-GB"/>
              </w:rPr>
              <w:t>NMSC, n (%)</w:t>
            </w:r>
          </w:p>
        </w:tc>
        <w:tc>
          <w:tcPr>
            <w:tcW w:w="902" w:type="pct"/>
            <w:tcBorders>
              <w:top w:val="single" w:sz="4" w:space="0" w:color="000000"/>
              <w:left w:val="single" w:sz="3" w:space="0" w:color="000000"/>
              <w:bottom w:val="single" w:sz="4" w:space="0" w:color="000000"/>
              <w:right w:val="single" w:sz="4" w:space="0" w:color="000000"/>
            </w:tcBorders>
            <w:vAlign w:val="center"/>
          </w:tcPr>
          <w:p w14:paraId="597C16FB" w14:textId="6E606431" w:rsidR="0098004A" w:rsidRPr="00376E45" w:rsidRDefault="001060BF" w:rsidP="00742753">
            <w:pPr>
              <w:spacing w:before="0" w:after="0"/>
              <w:jc w:val="center"/>
              <w:rPr>
                <w:lang w:val="en-GB"/>
              </w:rPr>
            </w:pPr>
            <w:r w:rsidRPr="00376E45">
              <w:rPr>
                <w:lang w:val="en-GB"/>
              </w:rPr>
              <w:t>2 (0</w:t>
            </w:r>
            <w:r w:rsidR="0049791B" w:rsidRPr="00376E45">
              <w:rPr>
                <w:lang w:val="en-GB"/>
              </w:rPr>
              <w:t>·</w:t>
            </w:r>
            <w:r w:rsidRPr="00376E45">
              <w:rPr>
                <w:lang w:val="en-GB"/>
              </w:rPr>
              <w:t>5%)</w:t>
            </w:r>
          </w:p>
        </w:tc>
        <w:tc>
          <w:tcPr>
            <w:tcW w:w="902" w:type="pct"/>
            <w:tcBorders>
              <w:top w:val="single" w:sz="4" w:space="0" w:color="000000"/>
              <w:left w:val="single" w:sz="4" w:space="0" w:color="000000"/>
              <w:bottom w:val="single" w:sz="4" w:space="0" w:color="000000"/>
              <w:right w:val="single" w:sz="4" w:space="0" w:color="000000"/>
            </w:tcBorders>
            <w:vAlign w:val="center"/>
          </w:tcPr>
          <w:p w14:paraId="088A7B3F" w14:textId="77777777" w:rsidR="0098004A" w:rsidRPr="00376E45" w:rsidRDefault="0098004A" w:rsidP="00742753">
            <w:pPr>
              <w:spacing w:before="0" w:after="0"/>
              <w:jc w:val="center"/>
              <w:rPr>
                <w:lang w:val="en-GB"/>
              </w:rPr>
            </w:pPr>
            <w:r w:rsidRPr="00376E45">
              <w:rPr>
                <w:lang w:val="en-GB"/>
              </w:rPr>
              <w:t>0</w:t>
            </w:r>
          </w:p>
        </w:tc>
        <w:tc>
          <w:tcPr>
            <w:tcW w:w="899" w:type="pct"/>
            <w:tcBorders>
              <w:top w:val="single" w:sz="4" w:space="0" w:color="000000"/>
              <w:left w:val="single" w:sz="4" w:space="0" w:color="000000"/>
              <w:bottom w:val="single" w:sz="4" w:space="0" w:color="000000"/>
              <w:right w:val="single" w:sz="4" w:space="0" w:color="000000"/>
            </w:tcBorders>
            <w:vAlign w:val="center"/>
          </w:tcPr>
          <w:p w14:paraId="43A6CE1E" w14:textId="49FEDCD3" w:rsidR="0098004A" w:rsidRPr="00376E45" w:rsidRDefault="0098004A" w:rsidP="00742753">
            <w:pPr>
              <w:spacing w:before="0" w:after="0"/>
              <w:jc w:val="center"/>
              <w:rPr>
                <w:lang w:val="en-GB"/>
              </w:rPr>
            </w:pPr>
            <w:r w:rsidRPr="00376E45">
              <w:rPr>
                <w:lang w:val="en-GB"/>
              </w:rPr>
              <w:t>1 (0</w:t>
            </w:r>
            <w:r w:rsidR="00334EBB" w:rsidRPr="00376E45">
              <w:rPr>
                <w:lang w:val="en-GB"/>
              </w:rPr>
              <w:t>·</w:t>
            </w:r>
            <w:r w:rsidRPr="00376E45">
              <w:rPr>
                <w:lang w:val="en-GB"/>
              </w:rPr>
              <w:t>3%)</w:t>
            </w:r>
          </w:p>
        </w:tc>
      </w:tr>
    </w:tbl>
    <w:p w14:paraId="79FE358B" w14:textId="08E6882D" w:rsidR="0098004A" w:rsidRPr="00376E45" w:rsidRDefault="00CE1442" w:rsidP="005A09D6">
      <w:pPr>
        <w:pStyle w:val="Caption"/>
        <w:spacing w:line="360" w:lineRule="auto"/>
        <w:rPr>
          <w:lang w:val="en-GB"/>
        </w:rPr>
      </w:pPr>
      <w:r w:rsidRPr="00376E45">
        <w:rPr>
          <w:lang w:val="en-GB"/>
        </w:rPr>
        <w:t xml:space="preserve">AE=adverse event. MTX=methotrexate. </w:t>
      </w:r>
      <w:r w:rsidRPr="00276124">
        <w:rPr>
          <w:lang w:val="fr-FR"/>
        </w:rPr>
        <w:t>NMSC=</w:t>
      </w:r>
      <w:r w:rsidR="0098004A" w:rsidRPr="00276124">
        <w:rPr>
          <w:lang w:val="fr-FR"/>
        </w:rPr>
        <w:t>non-</w:t>
      </w:r>
      <w:proofErr w:type="spellStart"/>
      <w:r w:rsidR="0098004A" w:rsidRPr="00276124">
        <w:rPr>
          <w:lang w:val="fr-FR"/>
        </w:rPr>
        <w:t>melanoma</w:t>
      </w:r>
      <w:proofErr w:type="spellEnd"/>
      <w:r w:rsidR="0098004A" w:rsidRPr="00276124">
        <w:rPr>
          <w:lang w:val="fr-FR"/>
        </w:rPr>
        <w:t xml:space="preserve"> skin cancer.</w:t>
      </w:r>
      <w:r w:rsidRPr="00276124">
        <w:rPr>
          <w:lang w:val="fr-FR"/>
        </w:rPr>
        <w:t xml:space="preserve"> </w:t>
      </w:r>
      <w:r w:rsidRPr="00376E45">
        <w:rPr>
          <w:lang w:val="en-GB"/>
        </w:rPr>
        <w:t xml:space="preserve">SAE=serious </w:t>
      </w:r>
      <w:r w:rsidR="00C1084A" w:rsidRPr="00376E45">
        <w:rPr>
          <w:lang w:val="en-GB"/>
        </w:rPr>
        <w:t>AE</w:t>
      </w:r>
      <w:r w:rsidRPr="00376E45">
        <w:rPr>
          <w:lang w:val="en-GB"/>
        </w:rPr>
        <w:t>.</w:t>
      </w:r>
      <w:r w:rsidR="00821924" w:rsidRPr="00821924">
        <w:rPr>
          <w:lang w:val="en-GB"/>
        </w:rPr>
        <w:t xml:space="preserve"> </w:t>
      </w:r>
      <w:r w:rsidR="00821924" w:rsidRPr="00376E45">
        <w:rPr>
          <w:lang w:val="en-GB"/>
        </w:rPr>
        <w:t>SAS=safety analysis set.</w:t>
      </w:r>
    </w:p>
    <w:p w14:paraId="6D322654" w14:textId="04188851" w:rsidR="004B5542" w:rsidRPr="00376E45" w:rsidRDefault="004B5542" w:rsidP="005A09D6">
      <w:pPr>
        <w:pStyle w:val="Caption"/>
        <w:spacing w:line="360" w:lineRule="auto"/>
        <w:rPr>
          <w:lang w:val="en-GB"/>
        </w:rPr>
      </w:pPr>
      <w:r w:rsidRPr="00376E45">
        <w:rPr>
          <w:lang w:val="en-GB"/>
        </w:rPr>
        <w:t>MACE:</w:t>
      </w:r>
      <w:r w:rsidRPr="00376E45">
        <w:rPr>
          <w:sz w:val="24"/>
          <w:szCs w:val="24"/>
          <w:lang w:val="en-GB"/>
        </w:rPr>
        <w:t xml:space="preserve"> </w:t>
      </w:r>
      <w:r w:rsidRPr="00376E45">
        <w:rPr>
          <w:lang w:val="en-GB"/>
        </w:rPr>
        <w:t>non-fatal myocardial infarction, fatal cardiovascular event, non-fatal cerebrovascular accident.</w:t>
      </w:r>
    </w:p>
    <w:p w14:paraId="2859164D" w14:textId="5C038706" w:rsidR="0098004A" w:rsidRPr="00376E45" w:rsidRDefault="00CE1442" w:rsidP="005A09D6">
      <w:pPr>
        <w:pStyle w:val="Caption"/>
        <w:spacing w:line="360" w:lineRule="auto"/>
        <w:rPr>
          <w:lang w:val="en-GB"/>
        </w:rPr>
      </w:pPr>
      <w:r w:rsidRPr="00376E45">
        <w:rPr>
          <w:lang w:val="en-GB"/>
        </w:rPr>
        <w:t>S</w:t>
      </w:r>
      <w:r w:rsidR="0098004A" w:rsidRPr="00376E45">
        <w:rPr>
          <w:lang w:val="en-GB"/>
        </w:rPr>
        <w:t xml:space="preserve">AE: any medical event that results in death, is life-threatening, </w:t>
      </w:r>
      <w:r w:rsidR="00C1084A" w:rsidRPr="00376E45">
        <w:rPr>
          <w:lang w:val="en-GB"/>
        </w:rPr>
        <w:t xml:space="preserve">requires </w:t>
      </w:r>
      <w:r w:rsidR="00737364" w:rsidRPr="00376E45">
        <w:rPr>
          <w:lang w:val="en-GB"/>
        </w:rPr>
        <w:t>hospitalisation</w:t>
      </w:r>
      <w:r w:rsidR="0098004A" w:rsidRPr="00376E45">
        <w:rPr>
          <w:lang w:val="en-GB"/>
        </w:rPr>
        <w:t>, causes substantial disability/incapacity</w:t>
      </w:r>
      <w:r w:rsidRPr="00376E45">
        <w:rPr>
          <w:lang w:val="en-GB"/>
        </w:rPr>
        <w:t>,</w:t>
      </w:r>
      <w:r w:rsidR="0098004A" w:rsidRPr="00376E45">
        <w:rPr>
          <w:lang w:val="en-GB"/>
        </w:rPr>
        <w:t xml:space="preserve"> or results in a congenital anomaly/birth defect.</w:t>
      </w:r>
    </w:p>
    <w:p w14:paraId="7CB944BC" w14:textId="77777777" w:rsidR="0098004A" w:rsidRPr="00376E45" w:rsidRDefault="0098004A" w:rsidP="005A09D6">
      <w:pPr>
        <w:pStyle w:val="Caption"/>
        <w:spacing w:line="360" w:lineRule="auto"/>
        <w:rPr>
          <w:lang w:val="en-GB"/>
        </w:rPr>
      </w:pPr>
      <w:r w:rsidRPr="00376E45">
        <w:rPr>
          <w:lang w:val="en-GB"/>
        </w:rPr>
        <w:t>Severe AE: any AE that interferes with the patient’s usual function, as deemed by the investigator on the case report form.</w:t>
      </w:r>
    </w:p>
    <w:p w14:paraId="6A8EEC69" w14:textId="77777777" w:rsidR="0098004A" w:rsidRPr="00376E45" w:rsidRDefault="0098004A" w:rsidP="005A09D6">
      <w:pPr>
        <w:pStyle w:val="Caption"/>
        <w:spacing w:line="360" w:lineRule="auto"/>
        <w:rPr>
          <w:lang w:val="en-GB"/>
        </w:rPr>
      </w:pPr>
      <w:r w:rsidRPr="00376E45">
        <w:rPr>
          <w:lang w:val="en-GB"/>
        </w:rPr>
        <w:t>*Patients could have experienced more than one AE.</w:t>
      </w:r>
    </w:p>
    <w:p w14:paraId="08106BC3" w14:textId="77777777" w:rsidR="0098004A" w:rsidRPr="00376E45" w:rsidRDefault="0098004A" w:rsidP="005A09D6">
      <w:pPr>
        <w:pStyle w:val="Caption"/>
        <w:spacing w:line="360" w:lineRule="auto"/>
        <w:rPr>
          <w:lang w:val="en-GB"/>
        </w:rPr>
      </w:pPr>
      <w:r w:rsidRPr="00376E45">
        <w:rPr>
          <w:vertAlign w:val="superscript"/>
          <w:lang w:val="en-GB"/>
        </w:rPr>
        <w:t>†</w:t>
      </w:r>
      <w:proofErr w:type="spellStart"/>
      <w:r w:rsidRPr="00376E45">
        <w:rPr>
          <w:lang w:val="en-GB"/>
        </w:rPr>
        <w:t>Urosepsis</w:t>
      </w:r>
      <w:proofErr w:type="spellEnd"/>
      <w:r w:rsidRPr="00376E45">
        <w:rPr>
          <w:lang w:val="en-GB"/>
        </w:rPr>
        <w:t xml:space="preserve"> (n=1); atypical pneumonia and respiratory distress syndrome associated with influenza A (n=1).</w:t>
      </w:r>
    </w:p>
    <w:p w14:paraId="1F40877A" w14:textId="77777777" w:rsidR="0098004A" w:rsidRPr="00376E45" w:rsidRDefault="0098004A" w:rsidP="00697D65">
      <w:pPr>
        <w:spacing w:before="0" w:after="0" w:line="240" w:lineRule="auto"/>
        <w:rPr>
          <w:i/>
          <w:lang w:val="en-GB"/>
        </w:rPr>
      </w:pPr>
    </w:p>
    <w:p w14:paraId="4EEE94B7" w14:textId="63DB7D1C" w:rsidR="00742753" w:rsidRPr="00376E45" w:rsidRDefault="00742753">
      <w:pPr>
        <w:spacing w:before="0" w:after="0" w:line="240" w:lineRule="auto"/>
        <w:rPr>
          <w:b/>
          <w:lang w:val="en-GB"/>
        </w:rPr>
      </w:pPr>
      <w:r w:rsidRPr="00376E45">
        <w:rPr>
          <w:lang w:val="en-GB"/>
        </w:rPr>
        <w:br w:type="page"/>
      </w:r>
    </w:p>
    <w:p w14:paraId="765B9753" w14:textId="5FD75633" w:rsidR="00A86F87" w:rsidRPr="00376E45" w:rsidRDefault="00742753" w:rsidP="00946AA9">
      <w:pPr>
        <w:pStyle w:val="Heading1"/>
        <w:rPr>
          <w:lang w:val="en-GB"/>
        </w:rPr>
      </w:pPr>
      <w:r w:rsidRPr="00376E45">
        <w:rPr>
          <w:lang w:val="en-GB"/>
        </w:rPr>
        <w:t>Table 4. Liver function tests as multiples of upper limit of normal</w:t>
      </w:r>
    </w:p>
    <w:tbl>
      <w:tblPr>
        <w:tblW w:w="8730" w:type="dxa"/>
        <w:tblInd w:w="-101" w:type="dxa"/>
        <w:tblLayout w:type="fixed"/>
        <w:tblCellMar>
          <w:top w:w="40" w:type="dxa"/>
          <w:left w:w="101" w:type="dxa"/>
          <w:right w:w="61" w:type="dxa"/>
        </w:tblCellMar>
        <w:tblLook w:val="04A0" w:firstRow="1" w:lastRow="0" w:firstColumn="1" w:lastColumn="0" w:noHBand="0" w:noVBand="1"/>
      </w:tblPr>
      <w:tblGrid>
        <w:gridCol w:w="3969"/>
        <w:gridCol w:w="1587"/>
        <w:gridCol w:w="1587"/>
        <w:gridCol w:w="1587"/>
      </w:tblGrid>
      <w:tr w:rsidR="00742753" w:rsidRPr="00376E45" w14:paraId="434A56A2" w14:textId="77777777" w:rsidTr="007547A7">
        <w:trPr>
          <w:trHeight w:val="820"/>
        </w:trPr>
        <w:tc>
          <w:tcPr>
            <w:tcW w:w="3969" w:type="dxa"/>
            <w:tcBorders>
              <w:top w:val="single" w:sz="4" w:space="0" w:color="000000"/>
              <w:left w:val="single" w:sz="4" w:space="0" w:color="000000"/>
              <w:bottom w:val="single" w:sz="4" w:space="0" w:color="000000"/>
              <w:right w:val="single" w:sz="3" w:space="0" w:color="000000"/>
            </w:tcBorders>
          </w:tcPr>
          <w:p w14:paraId="630A83F0" w14:textId="77777777" w:rsidR="00742753" w:rsidRPr="00376E45" w:rsidRDefault="00742753" w:rsidP="007547A7">
            <w:pPr>
              <w:rPr>
                <w:lang w:val="en-GB"/>
              </w:rPr>
            </w:pPr>
          </w:p>
        </w:tc>
        <w:tc>
          <w:tcPr>
            <w:tcW w:w="1587" w:type="dxa"/>
            <w:tcBorders>
              <w:top w:val="single" w:sz="4" w:space="0" w:color="000000"/>
              <w:left w:val="single" w:sz="3" w:space="0" w:color="000000"/>
              <w:bottom w:val="single" w:sz="3" w:space="0" w:color="000000"/>
              <w:right w:val="single" w:sz="4" w:space="0" w:color="000000"/>
            </w:tcBorders>
          </w:tcPr>
          <w:p w14:paraId="25746C00" w14:textId="77777777" w:rsidR="00742753" w:rsidRPr="00376E45" w:rsidRDefault="00742753" w:rsidP="007547A7">
            <w:pPr>
              <w:jc w:val="center"/>
              <w:rPr>
                <w:b/>
                <w:lang w:val="en-GB"/>
              </w:rPr>
            </w:pPr>
            <w:r w:rsidRPr="00376E45">
              <w:rPr>
                <w:b/>
                <w:lang w:val="en-GB"/>
              </w:rPr>
              <w:t>Tofacitinib monotherapy (N=384)</w:t>
            </w:r>
          </w:p>
        </w:tc>
        <w:tc>
          <w:tcPr>
            <w:tcW w:w="1587" w:type="dxa"/>
            <w:tcBorders>
              <w:top w:val="single" w:sz="4" w:space="0" w:color="000000"/>
              <w:left w:val="single" w:sz="4" w:space="0" w:color="000000"/>
              <w:bottom w:val="single" w:sz="3" w:space="0" w:color="000000"/>
              <w:right w:val="single" w:sz="4" w:space="0" w:color="000000"/>
            </w:tcBorders>
          </w:tcPr>
          <w:p w14:paraId="7E5FFF5B" w14:textId="77777777" w:rsidR="00742753" w:rsidRPr="00376E45" w:rsidRDefault="00742753" w:rsidP="007547A7">
            <w:pPr>
              <w:jc w:val="center"/>
              <w:rPr>
                <w:b/>
                <w:lang w:val="en-GB"/>
              </w:rPr>
            </w:pPr>
            <w:r w:rsidRPr="00376E45">
              <w:rPr>
                <w:b/>
                <w:lang w:val="en-GB"/>
              </w:rPr>
              <w:t>Tofacitinib + MTX</w:t>
            </w:r>
            <w:r w:rsidRPr="00376E45">
              <w:rPr>
                <w:b/>
                <w:lang w:val="en-GB"/>
              </w:rPr>
              <w:br/>
              <w:t>(N=376)</w:t>
            </w:r>
          </w:p>
        </w:tc>
        <w:tc>
          <w:tcPr>
            <w:tcW w:w="1587" w:type="dxa"/>
            <w:tcBorders>
              <w:top w:val="single" w:sz="4" w:space="0" w:color="000000"/>
              <w:left w:val="single" w:sz="4" w:space="0" w:color="000000"/>
              <w:bottom w:val="single" w:sz="3" w:space="0" w:color="000000"/>
              <w:right w:val="single" w:sz="4" w:space="0" w:color="000000"/>
            </w:tcBorders>
          </w:tcPr>
          <w:p w14:paraId="43D45193" w14:textId="77777777" w:rsidR="00742753" w:rsidRPr="00376E45" w:rsidRDefault="00742753" w:rsidP="007547A7">
            <w:pPr>
              <w:jc w:val="center"/>
              <w:rPr>
                <w:b/>
                <w:lang w:val="en-GB"/>
              </w:rPr>
            </w:pPr>
            <w:r w:rsidRPr="00376E45">
              <w:rPr>
                <w:b/>
                <w:lang w:val="en-GB"/>
              </w:rPr>
              <w:t>Adalimumab+ MTX</w:t>
            </w:r>
            <w:r w:rsidRPr="00376E45">
              <w:rPr>
                <w:b/>
                <w:lang w:val="en-GB"/>
              </w:rPr>
              <w:br/>
              <w:t>(N=386)</w:t>
            </w:r>
          </w:p>
        </w:tc>
      </w:tr>
      <w:tr w:rsidR="00742753" w:rsidRPr="00376E45" w14:paraId="12975AA5" w14:textId="77777777" w:rsidTr="007547A7">
        <w:trPr>
          <w:trHeight w:val="512"/>
        </w:trPr>
        <w:tc>
          <w:tcPr>
            <w:tcW w:w="8730" w:type="dxa"/>
            <w:gridSpan w:val="4"/>
            <w:tcBorders>
              <w:top w:val="single" w:sz="4" w:space="0" w:color="000000"/>
              <w:left w:val="single" w:sz="4" w:space="0" w:color="000000"/>
              <w:bottom w:val="single" w:sz="4" w:space="0" w:color="000000"/>
              <w:right w:val="single" w:sz="4" w:space="0" w:color="000000"/>
            </w:tcBorders>
          </w:tcPr>
          <w:p w14:paraId="0A3E4986" w14:textId="296F6048" w:rsidR="00742753" w:rsidRPr="00376E45" w:rsidRDefault="00742753" w:rsidP="007547A7">
            <w:pPr>
              <w:rPr>
                <w:b/>
                <w:lang w:val="en-GB"/>
              </w:rPr>
            </w:pPr>
            <w:r w:rsidRPr="00376E45">
              <w:rPr>
                <w:b/>
                <w:lang w:val="en-GB"/>
              </w:rPr>
              <w:t>Alanine aminotransferase</w:t>
            </w:r>
            <w:r w:rsidR="00AE53EC" w:rsidRPr="00376E45">
              <w:rPr>
                <w:b/>
                <w:lang w:val="en-GB"/>
              </w:rPr>
              <w:t>, n (%)</w:t>
            </w:r>
          </w:p>
        </w:tc>
      </w:tr>
      <w:tr w:rsidR="00742753" w:rsidRPr="00376E45" w14:paraId="312ECE32" w14:textId="77777777" w:rsidTr="007547A7">
        <w:trPr>
          <w:trHeight w:val="512"/>
        </w:trPr>
        <w:tc>
          <w:tcPr>
            <w:tcW w:w="3969" w:type="dxa"/>
            <w:tcBorders>
              <w:top w:val="single" w:sz="4" w:space="0" w:color="000000"/>
              <w:left w:val="single" w:sz="4" w:space="0" w:color="000000"/>
              <w:bottom w:val="single" w:sz="4" w:space="0" w:color="000000"/>
              <w:right w:val="single" w:sz="3" w:space="0" w:color="000000"/>
            </w:tcBorders>
            <w:vAlign w:val="center"/>
          </w:tcPr>
          <w:p w14:paraId="537D31EC" w14:textId="760C4892" w:rsidR="00742753" w:rsidRPr="00376E45" w:rsidRDefault="00AA723D" w:rsidP="007547A7">
            <w:pPr>
              <w:ind w:left="279"/>
              <w:rPr>
                <w:lang w:val="en-GB"/>
              </w:rPr>
            </w:pPr>
            <w:r w:rsidRPr="00376E45">
              <w:rPr>
                <w:lang w:val="en-GB"/>
              </w:rPr>
              <w:t>≥</w:t>
            </w:r>
            <w:r w:rsidR="00742753" w:rsidRPr="00376E45">
              <w:rPr>
                <w:lang w:val="en-GB"/>
              </w:rPr>
              <w:t xml:space="preserve">1 x ULN </w:t>
            </w:r>
          </w:p>
        </w:tc>
        <w:tc>
          <w:tcPr>
            <w:tcW w:w="1587" w:type="dxa"/>
            <w:tcBorders>
              <w:top w:val="single" w:sz="4" w:space="0" w:color="000000"/>
              <w:left w:val="single" w:sz="3" w:space="0" w:color="000000"/>
              <w:bottom w:val="single" w:sz="4" w:space="0" w:color="000000"/>
              <w:right w:val="single" w:sz="4" w:space="0" w:color="000000"/>
            </w:tcBorders>
            <w:vAlign w:val="center"/>
          </w:tcPr>
          <w:p w14:paraId="04F11D9A" w14:textId="7A0CE115" w:rsidR="00742753" w:rsidRPr="00376E45" w:rsidRDefault="00742753" w:rsidP="007547A7">
            <w:pPr>
              <w:jc w:val="center"/>
              <w:rPr>
                <w:lang w:val="en-GB"/>
              </w:rPr>
            </w:pPr>
            <w:r w:rsidRPr="00376E45">
              <w:rPr>
                <w:lang w:val="en-GB"/>
              </w:rPr>
              <w:t>110 (28</w:t>
            </w:r>
            <w:r w:rsidR="00AE53EC" w:rsidRPr="00376E45">
              <w:rPr>
                <w:lang w:val="en-GB"/>
              </w:rPr>
              <w:t>·</w:t>
            </w:r>
            <w:r w:rsidRPr="00376E45">
              <w:rPr>
                <w:lang w:val="en-GB"/>
              </w:rPr>
              <w:t>9%)</w:t>
            </w:r>
          </w:p>
        </w:tc>
        <w:tc>
          <w:tcPr>
            <w:tcW w:w="1587" w:type="dxa"/>
            <w:tcBorders>
              <w:top w:val="single" w:sz="4" w:space="0" w:color="000000"/>
              <w:left w:val="single" w:sz="4" w:space="0" w:color="000000"/>
              <w:bottom w:val="single" w:sz="4" w:space="0" w:color="000000"/>
              <w:right w:val="single" w:sz="4" w:space="0" w:color="000000"/>
            </w:tcBorders>
            <w:vAlign w:val="center"/>
          </w:tcPr>
          <w:p w14:paraId="310961E1" w14:textId="11FF5F44" w:rsidR="00742753" w:rsidRPr="00376E45" w:rsidRDefault="00742753" w:rsidP="007547A7">
            <w:pPr>
              <w:jc w:val="center"/>
              <w:rPr>
                <w:lang w:val="en-GB"/>
              </w:rPr>
            </w:pPr>
            <w:r w:rsidRPr="00376E45">
              <w:rPr>
                <w:lang w:val="en-GB"/>
              </w:rPr>
              <w:t>164 (43</w:t>
            </w:r>
            <w:r w:rsidR="00AE53EC" w:rsidRPr="00376E45">
              <w:rPr>
                <w:lang w:val="en-GB"/>
              </w:rPr>
              <w:t>·</w:t>
            </w:r>
            <w:r w:rsidRPr="00376E45">
              <w:rPr>
                <w:lang w:val="en-GB"/>
              </w:rPr>
              <w:t>6%)</w:t>
            </w:r>
          </w:p>
        </w:tc>
        <w:tc>
          <w:tcPr>
            <w:tcW w:w="1587" w:type="dxa"/>
            <w:tcBorders>
              <w:top w:val="single" w:sz="4" w:space="0" w:color="000000"/>
              <w:left w:val="single" w:sz="4" w:space="0" w:color="000000"/>
              <w:bottom w:val="single" w:sz="4" w:space="0" w:color="000000"/>
              <w:right w:val="single" w:sz="4" w:space="0" w:color="000000"/>
            </w:tcBorders>
            <w:vAlign w:val="center"/>
          </w:tcPr>
          <w:p w14:paraId="4FFCD2C6" w14:textId="3AF21E5C" w:rsidR="00742753" w:rsidRPr="00376E45" w:rsidRDefault="00742753" w:rsidP="007547A7">
            <w:pPr>
              <w:jc w:val="center"/>
              <w:rPr>
                <w:lang w:val="en-GB"/>
              </w:rPr>
            </w:pPr>
            <w:r w:rsidRPr="00376E45">
              <w:rPr>
                <w:lang w:val="en-GB"/>
              </w:rPr>
              <w:t>182 (47</w:t>
            </w:r>
            <w:r w:rsidR="00AE53EC" w:rsidRPr="00376E45">
              <w:rPr>
                <w:lang w:val="en-GB"/>
              </w:rPr>
              <w:t>·</w:t>
            </w:r>
            <w:r w:rsidRPr="00376E45">
              <w:rPr>
                <w:lang w:val="en-GB"/>
              </w:rPr>
              <w:t>3%)</w:t>
            </w:r>
          </w:p>
        </w:tc>
      </w:tr>
      <w:tr w:rsidR="00742753" w:rsidRPr="00376E45" w14:paraId="12C97D5A" w14:textId="77777777" w:rsidTr="007547A7">
        <w:trPr>
          <w:trHeight w:val="512"/>
        </w:trPr>
        <w:tc>
          <w:tcPr>
            <w:tcW w:w="3969" w:type="dxa"/>
            <w:tcBorders>
              <w:top w:val="single" w:sz="4" w:space="0" w:color="000000"/>
              <w:left w:val="single" w:sz="4" w:space="0" w:color="000000"/>
              <w:bottom w:val="single" w:sz="4" w:space="0" w:color="000000"/>
              <w:right w:val="single" w:sz="3" w:space="0" w:color="000000"/>
            </w:tcBorders>
            <w:vAlign w:val="center"/>
          </w:tcPr>
          <w:p w14:paraId="6BA92CF4" w14:textId="77777777" w:rsidR="00742753" w:rsidRPr="00376E45" w:rsidRDefault="00742753" w:rsidP="007547A7">
            <w:pPr>
              <w:ind w:left="279"/>
              <w:rPr>
                <w:lang w:val="en-GB"/>
              </w:rPr>
            </w:pPr>
            <w:r w:rsidRPr="00376E45">
              <w:rPr>
                <w:lang w:val="en-GB"/>
              </w:rPr>
              <w:t xml:space="preserve">≥2 x ULN </w:t>
            </w:r>
          </w:p>
        </w:tc>
        <w:tc>
          <w:tcPr>
            <w:tcW w:w="1587" w:type="dxa"/>
            <w:tcBorders>
              <w:top w:val="single" w:sz="4" w:space="0" w:color="000000"/>
              <w:left w:val="single" w:sz="3" w:space="0" w:color="000000"/>
              <w:bottom w:val="single" w:sz="4" w:space="0" w:color="000000"/>
              <w:right w:val="single" w:sz="4" w:space="0" w:color="000000"/>
            </w:tcBorders>
            <w:vAlign w:val="center"/>
          </w:tcPr>
          <w:p w14:paraId="542E6FD8" w14:textId="4844D4E4" w:rsidR="00742753" w:rsidRPr="00376E45" w:rsidRDefault="00742753" w:rsidP="007547A7">
            <w:pPr>
              <w:jc w:val="center"/>
              <w:rPr>
                <w:lang w:val="en-GB"/>
              </w:rPr>
            </w:pPr>
            <w:r w:rsidRPr="00376E45">
              <w:rPr>
                <w:lang w:val="en-GB"/>
              </w:rPr>
              <w:t>17 (4</w:t>
            </w:r>
            <w:r w:rsidR="00AE53EC" w:rsidRPr="00376E45">
              <w:rPr>
                <w:lang w:val="en-GB"/>
              </w:rPr>
              <w:t>·</w:t>
            </w:r>
            <w:r w:rsidRPr="00376E45">
              <w:rPr>
                <w:lang w:val="en-GB"/>
              </w:rPr>
              <w:t>5%)</w:t>
            </w:r>
          </w:p>
        </w:tc>
        <w:tc>
          <w:tcPr>
            <w:tcW w:w="1587" w:type="dxa"/>
            <w:tcBorders>
              <w:top w:val="single" w:sz="4" w:space="0" w:color="000000"/>
              <w:left w:val="single" w:sz="4" w:space="0" w:color="000000"/>
              <w:bottom w:val="single" w:sz="4" w:space="0" w:color="000000"/>
              <w:right w:val="single" w:sz="4" w:space="0" w:color="000000"/>
            </w:tcBorders>
            <w:vAlign w:val="center"/>
          </w:tcPr>
          <w:p w14:paraId="14859E31" w14:textId="13F533A9" w:rsidR="00742753" w:rsidRPr="00376E45" w:rsidRDefault="00742753" w:rsidP="007547A7">
            <w:pPr>
              <w:jc w:val="center"/>
              <w:rPr>
                <w:lang w:val="en-GB"/>
              </w:rPr>
            </w:pPr>
            <w:r w:rsidRPr="00376E45">
              <w:rPr>
                <w:lang w:val="en-GB"/>
              </w:rPr>
              <w:t>53 (14</w:t>
            </w:r>
            <w:r w:rsidR="00AE53EC" w:rsidRPr="00376E45">
              <w:rPr>
                <w:lang w:val="en-GB"/>
              </w:rPr>
              <w:t>·</w:t>
            </w:r>
            <w:r w:rsidRPr="00376E45">
              <w:rPr>
                <w:lang w:val="en-GB"/>
              </w:rPr>
              <w:t>1%)</w:t>
            </w:r>
          </w:p>
        </w:tc>
        <w:tc>
          <w:tcPr>
            <w:tcW w:w="1587" w:type="dxa"/>
            <w:tcBorders>
              <w:top w:val="single" w:sz="4" w:space="0" w:color="000000"/>
              <w:left w:val="single" w:sz="4" w:space="0" w:color="000000"/>
              <w:bottom w:val="single" w:sz="4" w:space="0" w:color="000000"/>
              <w:right w:val="single" w:sz="4" w:space="0" w:color="000000"/>
            </w:tcBorders>
            <w:vAlign w:val="center"/>
          </w:tcPr>
          <w:p w14:paraId="651286C7" w14:textId="4B43411B" w:rsidR="00742753" w:rsidRPr="00376E45" w:rsidRDefault="00742753" w:rsidP="007547A7">
            <w:pPr>
              <w:jc w:val="center"/>
              <w:rPr>
                <w:lang w:val="en-GB"/>
              </w:rPr>
            </w:pPr>
            <w:r w:rsidRPr="00376E45">
              <w:rPr>
                <w:lang w:val="en-GB"/>
              </w:rPr>
              <w:t>62 (16</w:t>
            </w:r>
            <w:r w:rsidR="00AE53EC" w:rsidRPr="00376E45">
              <w:rPr>
                <w:lang w:val="en-GB"/>
              </w:rPr>
              <w:t>·</w:t>
            </w:r>
            <w:r w:rsidRPr="00376E45">
              <w:rPr>
                <w:lang w:val="en-GB"/>
              </w:rPr>
              <w:t>1%)</w:t>
            </w:r>
          </w:p>
        </w:tc>
      </w:tr>
      <w:tr w:rsidR="00742753" w:rsidRPr="00376E45" w14:paraId="70D03495" w14:textId="77777777" w:rsidTr="007547A7">
        <w:trPr>
          <w:trHeight w:val="512"/>
        </w:trPr>
        <w:tc>
          <w:tcPr>
            <w:tcW w:w="3969" w:type="dxa"/>
            <w:tcBorders>
              <w:top w:val="single" w:sz="4" w:space="0" w:color="000000"/>
              <w:left w:val="single" w:sz="4" w:space="0" w:color="000000"/>
              <w:bottom w:val="single" w:sz="4" w:space="0" w:color="000000"/>
              <w:right w:val="single" w:sz="3" w:space="0" w:color="000000"/>
            </w:tcBorders>
            <w:vAlign w:val="center"/>
          </w:tcPr>
          <w:p w14:paraId="56DA9F3D" w14:textId="77777777" w:rsidR="00742753" w:rsidRPr="00376E45" w:rsidRDefault="00742753" w:rsidP="007547A7">
            <w:pPr>
              <w:ind w:left="279"/>
              <w:rPr>
                <w:lang w:val="en-GB"/>
              </w:rPr>
            </w:pPr>
            <w:r w:rsidRPr="00376E45">
              <w:rPr>
                <w:lang w:val="en-GB"/>
              </w:rPr>
              <w:t xml:space="preserve">≥3 x ULN </w:t>
            </w:r>
          </w:p>
        </w:tc>
        <w:tc>
          <w:tcPr>
            <w:tcW w:w="1587" w:type="dxa"/>
            <w:tcBorders>
              <w:top w:val="single" w:sz="4" w:space="0" w:color="000000"/>
              <w:left w:val="single" w:sz="3" w:space="0" w:color="000000"/>
              <w:bottom w:val="single" w:sz="4" w:space="0" w:color="000000"/>
              <w:right w:val="single" w:sz="4" w:space="0" w:color="000000"/>
            </w:tcBorders>
            <w:vAlign w:val="center"/>
          </w:tcPr>
          <w:p w14:paraId="1C1BD42F" w14:textId="01597E3F" w:rsidR="00742753" w:rsidRPr="00376E45" w:rsidRDefault="00742753" w:rsidP="007547A7">
            <w:pPr>
              <w:jc w:val="center"/>
              <w:rPr>
                <w:lang w:val="en-GB"/>
              </w:rPr>
            </w:pPr>
            <w:r w:rsidRPr="00376E45">
              <w:rPr>
                <w:lang w:val="en-GB"/>
              </w:rPr>
              <w:t>7 (1</w:t>
            </w:r>
            <w:r w:rsidR="00AE53EC" w:rsidRPr="00376E45">
              <w:rPr>
                <w:lang w:val="en-GB"/>
              </w:rPr>
              <w:t>·</w:t>
            </w:r>
            <w:r w:rsidRPr="00376E45">
              <w:rPr>
                <w:lang w:val="en-GB"/>
              </w:rPr>
              <w:t>8%)</w:t>
            </w:r>
          </w:p>
        </w:tc>
        <w:tc>
          <w:tcPr>
            <w:tcW w:w="1587" w:type="dxa"/>
            <w:tcBorders>
              <w:top w:val="single" w:sz="4" w:space="0" w:color="000000"/>
              <w:left w:val="single" w:sz="4" w:space="0" w:color="000000"/>
              <w:bottom w:val="single" w:sz="4" w:space="0" w:color="000000"/>
              <w:right w:val="single" w:sz="4" w:space="0" w:color="000000"/>
            </w:tcBorders>
            <w:vAlign w:val="center"/>
          </w:tcPr>
          <w:p w14:paraId="72A7CD90" w14:textId="31E6EBF4" w:rsidR="00742753" w:rsidRPr="00376E45" w:rsidRDefault="00742753" w:rsidP="007547A7">
            <w:pPr>
              <w:jc w:val="center"/>
              <w:rPr>
                <w:lang w:val="en-GB"/>
              </w:rPr>
            </w:pPr>
            <w:r w:rsidRPr="00376E45">
              <w:rPr>
                <w:lang w:val="en-GB"/>
              </w:rPr>
              <w:t>29 (7</w:t>
            </w:r>
            <w:r w:rsidR="00AE53EC" w:rsidRPr="00376E45">
              <w:rPr>
                <w:lang w:val="en-GB"/>
              </w:rPr>
              <w:t>·</w:t>
            </w:r>
            <w:r w:rsidRPr="00376E45">
              <w:rPr>
                <w:lang w:val="en-GB"/>
              </w:rPr>
              <w:t>7%)</w:t>
            </w:r>
          </w:p>
        </w:tc>
        <w:tc>
          <w:tcPr>
            <w:tcW w:w="1587" w:type="dxa"/>
            <w:tcBorders>
              <w:top w:val="single" w:sz="4" w:space="0" w:color="000000"/>
              <w:left w:val="single" w:sz="4" w:space="0" w:color="000000"/>
              <w:bottom w:val="single" w:sz="4" w:space="0" w:color="000000"/>
              <w:right w:val="single" w:sz="4" w:space="0" w:color="000000"/>
            </w:tcBorders>
            <w:vAlign w:val="center"/>
          </w:tcPr>
          <w:p w14:paraId="2A85F9E3" w14:textId="17B7773A" w:rsidR="00742753" w:rsidRPr="00376E45" w:rsidRDefault="00742753" w:rsidP="007547A7">
            <w:pPr>
              <w:jc w:val="center"/>
              <w:rPr>
                <w:lang w:val="en-GB"/>
              </w:rPr>
            </w:pPr>
            <w:r w:rsidRPr="00376E45">
              <w:rPr>
                <w:lang w:val="en-GB"/>
              </w:rPr>
              <w:t>27 (7</w:t>
            </w:r>
            <w:r w:rsidR="00AE53EC" w:rsidRPr="00376E45">
              <w:rPr>
                <w:lang w:val="en-GB"/>
              </w:rPr>
              <w:t>·</w:t>
            </w:r>
            <w:r w:rsidRPr="00376E45">
              <w:rPr>
                <w:lang w:val="en-GB"/>
              </w:rPr>
              <w:t>0%)</w:t>
            </w:r>
          </w:p>
        </w:tc>
      </w:tr>
      <w:tr w:rsidR="00742753" w:rsidRPr="00376E45" w14:paraId="4752F3F2" w14:textId="77777777" w:rsidTr="007547A7">
        <w:trPr>
          <w:trHeight w:val="512"/>
        </w:trPr>
        <w:tc>
          <w:tcPr>
            <w:tcW w:w="8730" w:type="dxa"/>
            <w:gridSpan w:val="4"/>
            <w:tcBorders>
              <w:top w:val="single" w:sz="4" w:space="0" w:color="000000"/>
              <w:left w:val="single" w:sz="4" w:space="0" w:color="000000"/>
              <w:bottom w:val="single" w:sz="4" w:space="0" w:color="000000"/>
              <w:right w:val="single" w:sz="4" w:space="0" w:color="000000"/>
            </w:tcBorders>
          </w:tcPr>
          <w:p w14:paraId="7E7E1E07" w14:textId="1DC15CFC" w:rsidR="00742753" w:rsidRPr="00376E45" w:rsidRDefault="00742753" w:rsidP="007547A7">
            <w:pPr>
              <w:rPr>
                <w:b/>
                <w:lang w:val="en-GB"/>
              </w:rPr>
            </w:pPr>
            <w:r w:rsidRPr="00376E45">
              <w:rPr>
                <w:b/>
                <w:lang w:val="en-GB"/>
              </w:rPr>
              <w:t>Aspartate aminotransferase</w:t>
            </w:r>
            <w:r w:rsidR="00AE53EC" w:rsidRPr="00376E45">
              <w:rPr>
                <w:b/>
                <w:lang w:val="en-GB"/>
              </w:rPr>
              <w:t>, n (%)</w:t>
            </w:r>
          </w:p>
        </w:tc>
      </w:tr>
      <w:tr w:rsidR="00742753" w:rsidRPr="00376E45" w14:paraId="5941F9B3" w14:textId="77777777" w:rsidTr="007547A7">
        <w:trPr>
          <w:trHeight w:val="512"/>
        </w:trPr>
        <w:tc>
          <w:tcPr>
            <w:tcW w:w="3969" w:type="dxa"/>
            <w:tcBorders>
              <w:top w:val="single" w:sz="4" w:space="0" w:color="000000"/>
              <w:left w:val="single" w:sz="4" w:space="0" w:color="000000"/>
              <w:bottom w:val="single" w:sz="4" w:space="0" w:color="000000"/>
              <w:right w:val="single" w:sz="3" w:space="0" w:color="000000"/>
            </w:tcBorders>
            <w:vAlign w:val="center"/>
          </w:tcPr>
          <w:p w14:paraId="54655910" w14:textId="2328AFCC" w:rsidR="00742753" w:rsidRPr="00376E45" w:rsidRDefault="00AA723D" w:rsidP="007547A7">
            <w:pPr>
              <w:ind w:left="279"/>
              <w:rPr>
                <w:lang w:val="en-GB"/>
              </w:rPr>
            </w:pPr>
            <w:r w:rsidRPr="00376E45">
              <w:rPr>
                <w:lang w:val="en-GB"/>
              </w:rPr>
              <w:t>≥</w:t>
            </w:r>
            <w:r w:rsidR="00742753" w:rsidRPr="00376E45">
              <w:rPr>
                <w:lang w:val="en-GB"/>
              </w:rPr>
              <w:t xml:space="preserve">1 x ULN </w:t>
            </w:r>
          </w:p>
        </w:tc>
        <w:tc>
          <w:tcPr>
            <w:tcW w:w="1587" w:type="dxa"/>
            <w:tcBorders>
              <w:top w:val="single" w:sz="4" w:space="0" w:color="000000"/>
              <w:left w:val="single" w:sz="3" w:space="0" w:color="000000"/>
              <w:bottom w:val="single" w:sz="4" w:space="0" w:color="000000"/>
              <w:right w:val="single" w:sz="4" w:space="0" w:color="000000"/>
            </w:tcBorders>
            <w:vAlign w:val="center"/>
          </w:tcPr>
          <w:p w14:paraId="4F16A5F6" w14:textId="1FEDF660" w:rsidR="00742753" w:rsidRPr="00376E45" w:rsidRDefault="00742753" w:rsidP="007547A7">
            <w:pPr>
              <w:jc w:val="center"/>
              <w:rPr>
                <w:lang w:val="en-GB"/>
              </w:rPr>
            </w:pPr>
            <w:r w:rsidRPr="00376E45">
              <w:rPr>
                <w:lang w:val="en-GB"/>
              </w:rPr>
              <w:t>85 (22</w:t>
            </w:r>
            <w:r w:rsidR="00AE53EC" w:rsidRPr="00376E45">
              <w:rPr>
                <w:lang w:val="en-GB"/>
              </w:rPr>
              <w:t>·</w:t>
            </w:r>
            <w:r w:rsidRPr="00376E45">
              <w:rPr>
                <w:lang w:val="en-GB"/>
              </w:rPr>
              <w:t>4%)</w:t>
            </w:r>
          </w:p>
        </w:tc>
        <w:tc>
          <w:tcPr>
            <w:tcW w:w="1587" w:type="dxa"/>
            <w:tcBorders>
              <w:top w:val="single" w:sz="4" w:space="0" w:color="000000"/>
              <w:left w:val="single" w:sz="4" w:space="0" w:color="000000"/>
              <w:bottom w:val="single" w:sz="4" w:space="0" w:color="000000"/>
              <w:right w:val="single" w:sz="4" w:space="0" w:color="000000"/>
            </w:tcBorders>
            <w:vAlign w:val="center"/>
          </w:tcPr>
          <w:p w14:paraId="32E99E77" w14:textId="36D58396" w:rsidR="00742753" w:rsidRPr="00376E45" w:rsidRDefault="00742753" w:rsidP="007547A7">
            <w:pPr>
              <w:jc w:val="center"/>
              <w:rPr>
                <w:lang w:val="en-GB"/>
              </w:rPr>
            </w:pPr>
            <w:r w:rsidRPr="00376E45">
              <w:rPr>
                <w:lang w:val="en-GB"/>
              </w:rPr>
              <w:t>129 (34</w:t>
            </w:r>
            <w:r w:rsidR="00AE53EC" w:rsidRPr="00376E45">
              <w:rPr>
                <w:lang w:val="en-GB"/>
              </w:rPr>
              <w:t>·</w:t>
            </w:r>
            <w:r w:rsidRPr="00376E45">
              <w:rPr>
                <w:lang w:val="en-GB"/>
              </w:rPr>
              <w:t>3%)</w:t>
            </w:r>
          </w:p>
        </w:tc>
        <w:tc>
          <w:tcPr>
            <w:tcW w:w="1587" w:type="dxa"/>
            <w:tcBorders>
              <w:top w:val="single" w:sz="4" w:space="0" w:color="000000"/>
              <w:left w:val="single" w:sz="4" w:space="0" w:color="000000"/>
              <w:bottom w:val="single" w:sz="4" w:space="0" w:color="000000"/>
              <w:right w:val="single" w:sz="4" w:space="0" w:color="000000"/>
            </w:tcBorders>
            <w:vAlign w:val="center"/>
          </w:tcPr>
          <w:p w14:paraId="47711BBD" w14:textId="7120C597" w:rsidR="00742753" w:rsidRPr="00376E45" w:rsidRDefault="00742753" w:rsidP="007547A7">
            <w:pPr>
              <w:jc w:val="center"/>
              <w:rPr>
                <w:lang w:val="en-GB"/>
              </w:rPr>
            </w:pPr>
            <w:r w:rsidRPr="00376E45">
              <w:rPr>
                <w:lang w:val="en-GB"/>
              </w:rPr>
              <w:t>143 (37</w:t>
            </w:r>
            <w:r w:rsidR="00AE53EC" w:rsidRPr="00376E45">
              <w:rPr>
                <w:lang w:val="en-GB"/>
              </w:rPr>
              <w:t>·</w:t>
            </w:r>
            <w:r w:rsidRPr="00376E45">
              <w:rPr>
                <w:lang w:val="en-GB"/>
              </w:rPr>
              <w:t>1%)</w:t>
            </w:r>
          </w:p>
        </w:tc>
      </w:tr>
      <w:tr w:rsidR="00742753" w:rsidRPr="00376E45" w14:paraId="1B8D84C1" w14:textId="77777777" w:rsidTr="007547A7">
        <w:trPr>
          <w:trHeight w:val="512"/>
        </w:trPr>
        <w:tc>
          <w:tcPr>
            <w:tcW w:w="3969" w:type="dxa"/>
            <w:tcBorders>
              <w:top w:val="single" w:sz="4" w:space="0" w:color="000000"/>
              <w:left w:val="single" w:sz="4" w:space="0" w:color="000000"/>
              <w:bottom w:val="single" w:sz="4" w:space="0" w:color="000000"/>
              <w:right w:val="single" w:sz="3" w:space="0" w:color="000000"/>
            </w:tcBorders>
            <w:vAlign w:val="center"/>
          </w:tcPr>
          <w:p w14:paraId="53153246" w14:textId="77777777" w:rsidR="00742753" w:rsidRPr="00376E45" w:rsidRDefault="00742753" w:rsidP="007547A7">
            <w:pPr>
              <w:ind w:left="279"/>
              <w:rPr>
                <w:lang w:val="en-GB"/>
              </w:rPr>
            </w:pPr>
            <w:r w:rsidRPr="00376E45">
              <w:rPr>
                <w:lang w:val="en-GB"/>
              </w:rPr>
              <w:t xml:space="preserve">≥2 x ULN </w:t>
            </w:r>
          </w:p>
        </w:tc>
        <w:tc>
          <w:tcPr>
            <w:tcW w:w="1587" w:type="dxa"/>
            <w:tcBorders>
              <w:top w:val="single" w:sz="4" w:space="0" w:color="000000"/>
              <w:left w:val="single" w:sz="3" w:space="0" w:color="000000"/>
              <w:bottom w:val="single" w:sz="4" w:space="0" w:color="000000"/>
              <w:right w:val="single" w:sz="4" w:space="0" w:color="000000"/>
            </w:tcBorders>
            <w:vAlign w:val="center"/>
          </w:tcPr>
          <w:p w14:paraId="6F3696FF" w14:textId="1E64446C" w:rsidR="00742753" w:rsidRPr="00376E45" w:rsidRDefault="00742753" w:rsidP="007547A7">
            <w:pPr>
              <w:jc w:val="center"/>
              <w:rPr>
                <w:lang w:val="en-GB"/>
              </w:rPr>
            </w:pPr>
            <w:r w:rsidRPr="00376E45">
              <w:rPr>
                <w:lang w:val="en-GB"/>
              </w:rPr>
              <w:t>11 (2</w:t>
            </w:r>
            <w:r w:rsidR="00AE53EC" w:rsidRPr="00376E45">
              <w:rPr>
                <w:lang w:val="en-GB"/>
              </w:rPr>
              <w:t>·</w:t>
            </w:r>
            <w:r w:rsidRPr="00376E45">
              <w:rPr>
                <w:lang w:val="en-GB"/>
              </w:rPr>
              <w:t>9%)</w:t>
            </w:r>
          </w:p>
        </w:tc>
        <w:tc>
          <w:tcPr>
            <w:tcW w:w="1587" w:type="dxa"/>
            <w:tcBorders>
              <w:top w:val="single" w:sz="4" w:space="0" w:color="000000"/>
              <w:left w:val="single" w:sz="4" w:space="0" w:color="000000"/>
              <w:bottom w:val="single" w:sz="4" w:space="0" w:color="000000"/>
              <w:right w:val="single" w:sz="4" w:space="0" w:color="000000"/>
            </w:tcBorders>
            <w:vAlign w:val="center"/>
          </w:tcPr>
          <w:p w14:paraId="1C4BA03C" w14:textId="2D8C0CBB" w:rsidR="00742753" w:rsidRPr="00376E45" w:rsidRDefault="00742753" w:rsidP="007547A7">
            <w:pPr>
              <w:jc w:val="center"/>
              <w:rPr>
                <w:lang w:val="en-GB"/>
              </w:rPr>
            </w:pPr>
            <w:r w:rsidRPr="00376E45">
              <w:rPr>
                <w:lang w:val="en-GB"/>
              </w:rPr>
              <w:t>33 (8</w:t>
            </w:r>
            <w:r w:rsidR="00AE53EC" w:rsidRPr="00376E45">
              <w:rPr>
                <w:lang w:val="en-GB"/>
              </w:rPr>
              <w:t>·</w:t>
            </w:r>
            <w:r w:rsidRPr="00376E45">
              <w:rPr>
                <w:lang w:val="en-GB"/>
              </w:rPr>
              <w:t>8%)</w:t>
            </w:r>
          </w:p>
        </w:tc>
        <w:tc>
          <w:tcPr>
            <w:tcW w:w="1587" w:type="dxa"/>
            <w:tcBorders>
              <w:top w:val="single" w:sz="4" w:space="0" w:color="000000"/>
              <w:left w:val="single" w:sz="4" w:space="0" w:color="000000"/>
              <w:bottom w:val="single" w:sz="4" w:space="0" w:color="000000"/>
              <w:right w:val="single" w:sz="4" w:space="0" w:color="000000"/>
            </w:tcBorders>
            <w:vAlign w:val="center"/>
          </w:tcPr>
          <w:p w14:paraId="1C4EF158" w14:textId="5B549F62" w:rsidR="00742753" w:rsidRPr="00376E45" w:rsidRDefault="00742753" w:rsidP="007547A7">
            <w:pPr>
              <w:jc w:val="center"/>
              <w:rPr>
                <w:lang w:val="en-GB"/>
              </w:rPr>
            </w:pPr>
            <w:r w:rsidRPr="00376E45">
              <w:rPr>
                <w:lang w:val="en-GB"/>
              </w:rPr>
              <w:t>38 (9</w:t>
            </w:r>
            <w:r w:rsidR="00AE53EC" w:rsidRPr="00376E45">
              <w:rPr>
                <w:lang w:val="en-GB"/>
              </w:rPr>
              <w:t>·</w:t>
            </w:r>
            <w:r w:rsidRPr="00376E45">
              <w:rPr>
                <w:lang w:val="en-GB"/>
              </w:rPr>
              <w:t>9%)</w:t>
            </w:r>
          </w:p>
        </w:tc>
      </w:tr>
      <w:tr w:rsidR="00742753" w:rsidRPr="00376E45" w14:paraId="419D9A30" w14:textId="77777777" w:rsidTr="007547A7">
        <w:trPr>
          <w:trHeight w:val="512"/>
        </w:trPr>
        <w:tc>
          <w:tcPr>
            <w:tcW w:w="3969" w:type="dxa"/>
            <w:tcBorders>
              <w:top w:val="single" w:sz="4" w:space="0" w:color="000000"/>
              <w:left w:val="single" w:sz="4" w:space="0" w:color="000000"/>
              <w:bottom w:val="single" w:sz="4" w:space="0" w:color="000000"/>
              <w:right w:val="single" w:sz="3" w:space="0" w:color="000000"/>
            </w:tcBorders>
            <w:vAlign w:val="center"/>
          </w:tcPr>
          <w:p w14:paraId="1F2A940A" w14:textId="77777777" w:rsidR="00742753" w:rsidRPr="00376E45" w:rsidRDefault="00742753" w:rsidP="007547A7">
            <w:pPr>
              <w:ind w:left="279"/>
              <w:rPr>
                <w:lang w:val="en-GB"/>
              </w:rPr>
            </w:pPr>
            <w:r w:rsidRPr="00376E45">
              <w:rPr>
                <w:lang w:val="en-GB"/>
              </w:rPr>
              <w:t xml:space="preserve">≥3 x ULN </w:t>
            </w:r>
          </w:p>
        </w:tc>
        <w:tc>
          <w:tcPr>
            <w:tcW w:w="1587" w:type="dxa"/>
            <w:tcBorders>
              <w:top w:val="single" w:sz="4" w:space="0" w:color="000000"/>
              <w:left w:val="single" w:sz="3" w:space="0" w:color="000000"/>
              <w:bottom w:val="single" w:sz="4" w:space="0" w:color="000000"/>
              <w:right w:val="single" w:sz="4" w:space="0" w:color="000000"/>
            </w:tcBorders>
            <w:vAlign w:val="center"/>
          </w:tcPr>
          <w:p w14:paraId="3F7E18C0" w14:textId="62BDB766" w:rsidR="00742753" w:rsidRPr="00376E45" w:rsidRDefault="00742753" w:rsidP="007547A7">
            <w:pPr>
              <w:jc w:val="center"/>
              <w:rPr>
                <w:lang w:val="en-GB"/>
              </w:rPr>
            </w:pPr>
            <w:r w:rsidRPr="00376E45">
              <w:rPr>
                <w:lang w:val="en-GB"/>
              </w:rPr>
              <w:t xml:space="preserve">3 </w:t>
            </w:r>
            <w:r w:rsidR="00AE53EC" w:rsidRPr="00376E45">
              <w:rPr>
                <w:lang w:val="en-GB"/>
              </w:rPr>
              <w:t>(&lt;1·0%)</w:t>
            </w:r>
          </w:p>
        </w:tc>
        <w:tc>
          <w:tcPr>
            <w:tcW w:w="1587" w:type="dxa"/>
            <w:tcBorders>
              <w:top w:val="single" w:sz="4" w:space="0" w:color="000000"/>
              <w:left w:val="single" w:sz="4" w:space="0" w:color="000000"/>
              <w:bottom w:val="single" w:sz="4" w:space="0" w:color="000000"/>
              <w:right w:val="single" w:sz="4" w:space="0" w:color="000000"/>
            </w:tcBorders>
            <w:vAlign w:val="center"/>
          </w:tcPr>
          <w:p w14:paraId="638864C6" w14:textId="130E9462" w:rsidR="00742753" w:rsidRPr="00376E45" w:rsidRDefault="00742753" w:rsidP="007547A7">
            <w:pPr>
              <w:jc w:val="center"/>
              <w:rPr>
                <w:lang w:val="en-GB"/>
              </w:rPr>
            </w:pPr>
            <w:r w:rsidRPr="00376E45">
              <w:rPr>
                <w:lang w:val="en-GB"/>
              </w:rPr>
              <w:t>16 (4</w:t>
            </w:r>
            <w:r w:rsidR="00AE53EC" w:rsidRPr="00376E45">
              <w:rPr>
                <w:lang w:val="en-GB"/>
              </w:rPr>
              <w:t>·</w:t>
            </w:r>
            <w:r w:rsidRPr="00376E45">
              <w:rPr>
                <w:lang w:val="en-GB"/>
              </w:rPr>
              <w:t>3%)</w:t>
            </w:r>
          </w:p>
        </w:tc>
        <w:tc>
          <w:tcPr>
            <w:tcW w:w="1587" w:type="dxa"/>
            <w:tcBorders>
              <w:top w:val="single" w:sz="4" w:space="0" w:color="000000"/>
              <w:left w:val="single" w:sz="4" w:space="0" w:color="000000"/>
              <w:bottom w:val="single" w:sz="4" w:space="0" w:color="000000"/>
              <w:right w:val="single" w:sz="4" w:space="0" w:color="000000"/>
            </w:tcBorders>
            <w:vAlign w:val="center"/>
          </w:tcPr>
          <w:p w14:paraId="028EF6C5" w14:textId="16C2DB73" w:rsidR="00742753" w:rsidRPr="00376E45" w:rsidRDefault="00742753" w:rsidP="007547A7">
            <w:pPr>
              <w:jc w:val="center"/>
              <w:rPr>
                <w:lang w:val="en-GB"/>
              </w:rPr>
            </w:pPr>
            <w:r w:rsidRPr="00376E45">
              <w:rPr>
                <w:lang w:val="en-GB"/>
              </w:rPr>
              <w:t>15 (3</w:t>
            </w:r>
            <w:r w:rsidR="00AE53EC" w:rsidRPr="00376E45">
              <w:rPr>
                <w:lang w:val="en-GB"/>
              </w:rPr>
              <w:t>·</w:t>
            </w:r>
            <w:r w:rsidRPr="00376E45">
              <w:rPr>
                <w:lang w:val="en-GB"/>
              </w:rPr>
              <w:t>9%)</w:t>
            </w:r>
          </w:p>
        </w:tc>
      </w:tr>
      <w:tr w:rsidR="00742753" w:rsidRPr="00376E45" w14:paraId="32D5B9EC" w14:textId="77777777" w:rsidTr="007547A7">
        <w:trPr>
          <w:trHeight w:val="512"/>
        </w:trPr>
        <w:tc>
          <w:tcPr>
            <w:tcW w:w="8730" w:type="dxa"/>
            <w:gridSpan w:val="4"/>
            <w:tcBorders>
              <w:top w:val="single" w:sz="4" w:space="0" w:color="000000"/>
              <w:left w:val="single" w:sz="4" w:space="0" w:color="000000"/>
              <w:bottom w:val="single" w:sz="4" w:space="0" w:color="000000"/>
              <w:right w:val="single" w:sz="4" w:space="0" w:color="000000"/>
            </w:tcBorders>
          </w:tcPr>
          <w:p w14:paraId="56310D3D" w14:textId="18F556A2" w:rsidR="00742753" w:rsidRPr="00376E45" w:rsidRDefault="00742753" w:rsidP="007547A7">
            <w:pPr>
              <w:rPr>
                <w:b/>
                <w:lang w:val="en-GB"/>
              </w:rPr>
            </w:pPr>
            <w:r w:rsidRPr="00376E45">
              <w:rPr>
                <w:b/>
                <w:lang w:val="en-GB"/>
              </w:rPr>
              <w:t>Total bilirubin</w:t>
            </w:r>
            <w:r w:rsidR="00AE53EC" w:rsidRPr="00376E45">
              <w:rPr>
                <w:b/>
                <w:lang w:val="en-GB"/>
              </w:rPr>
              <w:t>, n (%)</w:t>
            </w:r>
          </w:p>
        </w:tc>
      </w:tr>
      <w:tr w:rsidR="00742753" w:rsidRPr="00376E45" w14:paraId="492E915B" w14:textId="77777777" w:rsidTr="007547A7">
        <w:trPr>
          <w:trHeight w:val="512"/>
        </w:trPr>
        <w:tc>
          <w:tcPr>
            <w:tcW w:w="3969" w:type="dxa"/>
            <w:tcBorders>
              <w:top w:val="single" w:sz="4" w:space="0" w:color="000000"/>
              <w:left w:val="single" w:sz="4" w:space="0" w:color="000000"/>
              <w:bottom w:val="single" w:sz="4" w:space="0" w:color="000000"/>
              <w:right w:val="single" w:sz="3" w:space="0" w:color="000000"/>
            </w:tcBorders>
            <w:vAlign w:val="center"/>
          </w:tcPr>
          <w:p w14:paraId="4C4A67A1" w14:textId="41AF0599" w:rsidR="00742753" w:rsidRPr="00376E45" w:rsidRDefault="00AA723D" w:rsidP="007547A7">
            <w:pPr>
              <w:ind w:left="279"/>
              <w:rPr>
                <w:lang w:val="en-GB"/>
              </w:rPr>
            </w:pPr>
            <w:r w:rsidRPr="00376E45">
              <w:rPr>
                <w:lang w:val="en-GB"/>
              </w:rPr>
              <w:t>≥</w:t>
            </w:r>
            <w:r w:rsidR="00742753" w:rsidRPr="00376E45">
              <w:rPr>
                <w:lang w:val="en-GB"/>
              </w:rPr>
              <w:t xml:space="preserve">1 x ULN </w:t>
            </w:r>
          </w:p>
        </w:tc>
        <w:tc>
          <w:tcPr>
            <w:tcW w:w="1587" w:type="dxa"/>
            <w:tcBorders>
              <w:top w:val="single" w:sz="4" w:space="0" w:color="000000"/>
              <w:left w:val="single" w:sz="3" w:space="0" w:color="000000"/>
              <w:bottom w:val="single" w:sz="4" w:space="0" w:color="000000"/>
              <w:right w:val="single" w:sz="4" w:space="0" w:color="000000"/>
            </w:tcBorders>
            <w:vAlign w:val="center"/>
          </w:tcPr>
          <w:p w14:paraId="5D765D9C" w14:textId="2812F9DC" w:rsidR="00742753" w:rsidRPr="00376E45" w:rsidRDefault="00742753" w:rsidP="007547A7">
            <w:pPr>
              <w:jc w:val="center"/>
              <w:rPr>
                <w:lang w:val="en-GB"/>
              </w:rPr>
            </w:pPr>
            <w:r w:rsidRPr="00376E45">
              <w:rPr>
                <w:lang w:val="en-GB"/>
              </w:rPr>
              <w:t>6 (1</w:t>
            </w:r>
            <w:r w:rsidR="00AE53EC" w:rsidRPr="00376E45">
              <w:rPr>
                <w:lang w:val="en-GB"/>
              </w:rPr>
              <w:t>·</w:t>
            </w:r>
            <w:r w:rsidRPr="00376E45">
              <w:rPr>
                <w:lang w:val="en-GB"/>
              </w:rPr>
              <w:t>6%)</w:t>
            </w:r>
          </w:p>
        </w:tc>
        <w:tc>
          <w:tcPr>
            <w:tcW w:w="1587" w:type="dxa"/>
            <w:tcBorders>
              <w:top w:val="single" w:sz="4" w:space="0" w:color="000000"/>
              <w:left w:val="single" w:sz="4" w:space="0" w:color="000000"/>
              <w:bottom w:val="single" w:sz="4" w:space="0" w:color="000000"/>
              <w:right w:val="single" w:sz="4" w:space="0" w:color="000000"/>
            </w:tcBorders>
            <w:vAlign w:val="center"/>
          </w:tcPr>
          <w:p w14:paraId="20F20683" w14:textId="5860B45D" w:rsidR="00742753" w:rsidRPr="00376E45" w:rsidRDefault="00742753" w:rsidP="007547A7">
            <w:pPr>
              <w:jc w:val="center"/>
              <w:rPr>
                <w:lang w:val="en-GB"/>
              </w:rPr>
            </w:pPr>
            <w:r w:rsidRPr="00376E45">
              <w:rPr>
                <w:lang w:val="en-GB"/>
              </w:rPr>
              <w:t>15 (4</w:t>
            </w:r>
            <w:r w:rsidR="00AE53EC" w:rsidRPr="00376E45">
              <w:rPr>
                <w:lang w:val="en-GB"/>
              </w:rPr>
              <w:t>·</w:t>
            </w:r>
            <w:r w:rsidRPr="00376E45">
              <w:rPr>
                <w:lang w:val="en-GB"/>
              </w:rPr>
              <w:t>0%)</w:t>
            </w:r>
          </w:p>
        </w:tc>
        <w:tc>
          <w:tcPr>
            <w:tcW w:w="1587" w:type="dxa"/>
            <w:tcBorders>
              <w:top w:val="single" w:sz="4" w:space="0" w:color="000000"/>
              <w:left w:val="single" w:sz="4" w:space="0" w:color="000000"/>
              <w:bottom w:val="single" w:sz="4" w:space="0" w:color="000000"/>
              <w:right w:val="single" w:sz="4" w:space="0" w:color="000000"/>
            </w:tcBorders>
            <w:vAlign w:val="center"/>
          </w:tcPr>
          <w:p w14:paraId="7FF08516" w14:textId="77DF8061" w:rsidR="00742753" w:rsidRPr="00376E45" w:rsidRDefault="00AE53EC" w:rsidP="007547A7">
            <w:pPr>
              <w:jc w:val="center"/>
              <w:rPr>
                <w:lang w:val="en-GB"/>
              </w:rPr>
            </w:pPr>
            <w:r w:rsidRPr="00376E45">
              <w:rPr>
                <w:lang w:val="en-GB"/>
              </w:rPr>
              <w:t>15 (3·</w:t>
            </w:r>
            <w:r w:rsidR="00742753" w:rsidRPr="00376E45">
              <w:rPr>
                <w:lang w:val="en-GB"/>
              </w:rPr>
              <w:t>9%)</w:t>
            </w:r>
          </w:p>
        </w:tc>
      </w:tr>
      <w:tr w:rsidR="00742753" w:rsidRPr="00376E45" w14:paraId="3A73C098" w14:textId="77777777" w:rsidTr="007547A7">
        <w:trPr>
          <w:trHeight w:val="512"/>
        </w:trPr>
        <w:tc>
          <w:tcPr>
            <w:tcW w:w="3969" w:type="dxa"/>
            <w:tcBorders>
              <w:top w:val="single" w:sz="4" w:space="0" w:color="000000"/>
              <w:left w:val="single" w:sz="4" w:space="0" w:color="000000"/>
              <w:bottom w:val="single" w:sz="4" w:space="0" w:color="000000"/>
              <w:right w:val="single" w:sz="3" w:space="0" w:color="000000"/>
            </w:tcBorders>
            <w:vAlign w:val="center"/>
          </w:tcPr>
          <w:p w14:paraId="1A8B2D59" w14:textId="77777777" w:rsidR="00742753" w:rsidRPr="00376E45" w:rsidRDefault="00742753" w:rsidP="007547A7">
            <w:pPr>
              <w:ind w:left="279"/>
              <w:rPr>
                <w:lang w:val="en-GB"/>
              </w:rPr>
            </w:pPr>
            <w:r w:rsidRPr="00376E45">
              <w:rPr>
                <w:lang w:val="en-GB"/>
              </w:rPr>
              <w:t xml:space="preserve">≥2 x ULN </w:t>
            </w:r>
          </w:p>
        </w:tc>
        <w:tc>
          <w:tcPr>
            <w:tcW w:w="1587" w:type="dxa"/>
            <w:tcBorders>
              <w:top w:val="single" w:sz="4" w:space="0" w:color="000000"/>
              <w:left w:val="single" w:sz="3" w:space="0" w:color="000000"/>
              <w:bottom w:val="single" w:sz="4" w:space="0" w:color="000000"/>
              <w:right w:val="single" w:sz="4" w:space="0" w:color="000000"/>
            </w:tcBorders>
            <w:vAlign w:val="center"/>
          </w:tcPr>
          <w:p w14:paraId="68576847" w14:textId="1EC8F7A9" w:rsidR="00742753" w:rsidRPr="00376E45" w:rsidRDefault="00742753" w:rsidP="00AE53EC">
            <w:pPr>
              <w:jc w:val="center"/>
              <w:rPr>
                <w:lang w:val="en-GB"/>
              </w:rPr>
            </w:pPr>
            <w:r w:rsidRPr="00376E45">
              <w:rPr>
                <w:lang w:val="en-GB"/>
              </w:rPr>
              <w:t>1 (&lt;</w:t>
            </w:r>
            <w:r w:rsidR="00AE53EC" w:rsidRPr="00376E45">
              <w:rPr>
                <w:lang w:val="en-GB"/>
              </w:rPr>
              <w:t>1·0</w:t>
            </w:r>
            <w:r w:rsidRPr="00376E45">
              <w:rPr>
                <w:lang w:val="en-GB"/>
              </w:rPr>
              <w:t>%)</w:t>
            </w:r>
          </w:p>
        </w:tc>
        <w:tc>
          <w:tcPr>
            <w:tcW w:w="1587" w:type="dxa"/>
            <w:tcBorders>
              <w:top w:val="single" w:sz="4" w:space="0" w:color="000000"/>
              <w:left w:val="single" w:sz="4" w:space="0" w:color="000000"/>
              <w:bottom w:val="single" w:sz="4" w:space="0" w:color="000000"/>
              <w:right w:val="single" w:sz="4" w:space="0" w:color="000000"/>
            </w:tcBorders>
            <w:vAlign w:val="center"/>
          </w:tcPr>
          <w:p w14:paraId="7C48476D" w14:textId="77777777" w:rsidR="00742753" w:rsidRPr="00376E45" w:rsidRDefault="00742753" w:rsidP="007547A7">
            <w:pPr>
              <w:jc w:val="center"/>
              <w:rPr>
                <w:lang w:val="en-GB"/>
              </w:rPr>
            </w:pPr>
            <w:r w:rsidRPr="00376E45">
              <w:rPr>
                <w:lang w:val="en-GB"/>
              </w:rPr>
              <w:t>0</w:t>
            </w:r>
          </w:p>
        </w:tc>
        <w:tc>
          <w:tcPr>
            <w:tcW w:w="1587" w:type="dxa"/>
            <w:tcBorders>
              <w:top w:val="single" w:sz="4" w:space="0" w:color="000000"/>
              <w:left w:val="single" w:sz="4" w:space="0" w:color="000000"/>
              <w:bottom w:val="single" w:sz="4" w:space="0" w:color="000000"/>
              <w:right w:val="single" w:sz="4" w:space="0" w:color="000000"/>
            </w:tcBorders>
            <w:vAlign w:val="center"/>
          </w:tcPr>
          <w:p w14:paraId="7BE9266B" w14:textId="77777777" w:rsidR="00742753" w:rsidRPr="00376E45" w:rsidRDefault="00742753" w:rsidP="007547A7">
            <w:pPr>
              <w:jc w:val="center"/>
              <w:rPr>
                <w:lang w:val="en-GB"/>
              </w:rPr>
            </w:pPr>
            <w:r w:rsidRPr="00376E45">
              <w:rPr>
                <w:lang w:val="en-GB"/>
              </w:rPr>
              <w:t>0</w:t>
            </w:r>
          </w:p>
        </w:tc>
      </w:tr>
      <w:tr w:rsidR="00742753" w:rsidRPr="00376E45" w14:paraId="3D407508" w14:textId="77777777" w:rsidTr="007547A7">
        <w:trPr>
          <w:trHeight w:val="512"/>
        </w:trPr>
        <w:tc>
          <w:tcPr>
            <w:tcW w:w="3969" w:type="dxa"/>
            <w:tcBorders>
              <w:top w:val="single" w:sz="4" w:space="0" w:color="000000"/>
              <w:left w:val="single" w:sz="4" w:space="0" w:color="000000"/>
              <w:bottom w:val="single" w:sz="4" w:space="0" w:color="000000"/>
              <w:right w:val="single" w:sz="3" w:space="0" w:color="000000"/>
            </w:tcBorders>
            <w:vAlign w:val="center"/>
          </w:tcPr>
          <w:p w14:paraId="05B06C73" w14:textId="77777777" w:rsidR="00742753" w:rsidRPr="00376E45" w:rsidRDefault="00742753" w:rsidP="007547A7">
            <w:pPr>
              <w:ind w:left="279"/>
              <w:rPr>
                <w:lang w:val="en-GB"/>
              </w:rPr>
            </w:pPr>
            <w:r w:rsidRPr="00376E45">
              <w:rPr>
                <w:lang w:val="en-GB"/>
              </w:rPr>
              <w:t xml:space="preserve">≥3 x ULN </w:t>
            </w:r>
          </w:p>
        </w:tc>
        <w:tc>
          <w:tcPr>
            <w:tcW w:w="1587" w:type="dxa"/>
            <w:tcBorders>
              <w:top w:val="single" w:sz="4" w:space="0" w:color="000000"/>
              <w:left w:val="single" w:sz="3" w:space="0" w:color="000000"/>
              <w:bottom w:val="single" w:sz="4" w:space="0" w:color="000000"/>
              <w:right w:val="single" w:sz="4" w:space="0" w:color="000000"/>
            </w:tcBorders>
            <w:vAlign w:val="center"/>
          </w:tcPr>
          <w:p w14:paraId="5C3D3A76" w14:textId="09DB7408" w:rsidR="00742753" w:rsidRPr="00376E45" w:rsidRDefault="00742753" w:rsidP="007547A7">
            <w:pPr>
              <w:jc w:val="center"/>
              <w:rPr>
                <w:lang w:val="en-GB"/>
              </w:rPr>
            </w:pPr>
            <w:r w:rsidRPr="00376E45">
              <w:rPr>
                <w:lang w:val="en-GB"/>
              </w:rPr>
              <w:t xml:space="preserve">1 </w:t>
            </w:r>
            <w:r w:rsidR="00AA723D" w:rsidRPr="00376E45">
              <w:rPr>
                <w:lang w:val="en-GB"/>
              </w:rPr>
              <w:t>(&lt;1·0%)</w:t>
            </w:r>
          </w:p>
        </w:tc>
        <w:tc>
          <w:tcPr>
            <w:tcW w:w="1587" w:type="dxa"/>
            <w:tcBorders>
              <w:top w:val="single" w:sz="4" w:space="0" w:color="000000"/>
              <w:left w:val="single" w:sz="4" w:space="0" w:color="000000"/>
              <w:bottom w:val="single" w:sz="4" w:space="0" w:color="000000"/>
              <w:right w:val="single" w:sz="4" w:space="0" w:color="000000"/>
            </w:tcBorders>
            <w:vAlign w:val="center"/>
          </w:tcPr>
          <w:p w14:paraId="33F8B408" w14:textId="77777777" w:rsidR="00742753" w:rsidRPr="00376E45" w:rsidRDefault="00742753" w:rsidP="007547A7">
            <w:pPr>
              <w:jc w:val="center"/>
              <w:rPr>
                <w:lang w:val="en-GB"/>
              </w:rPr>
            </w:pPr>
            <w:r w:rsidRPr="00376E45">
              <w:rPr>
                <w:lang w:val="en-GB"/>
              </w:rPr>
              <w:t>0</w:t>
            </w:r>
          </w:p>
        </w:tc>
        <w:tc>
          <w:tcPr>
            <w:tcW w:w="1587" w:type="dxa"/>
            <w:tcBorders>
              <w:top w:val="single" w:sz="4" w:space="0" w:color="000000"/>
              <w:left w:val="single" w:sz="4" w:space="0" w:color="000000"/>
              <w:bottom w:val="single" w:sz="4" w:space="0" w:color="000000"/>
              <w:right w:val="single" w:sz="4" w:space="0" w:color="000000"/>
            </w:tcBorders>
            <w:vAlign w:val="center"/>
          </w:tcPr>
          <w:p w14:paraId="671F77B6" w14:textId="77777777" w:rsidR="00742753" w:rsidRPr="00376E45" w:rsidRDefault="00742753" w:rsidP="007547A7">
            <w:pPr>
              <w:jc w:val="center"/>
              <w:rPr>
                <w:lang w:val="en-GB"/>
              </w:rPr>
            </w:pPr>
            <w:r w:rsidRPr="00376E45">
              <w:rPr>
                <w:lang w:val="en-GB"/>
              </w:rPr>
              <w:t>0</w:t>
            </w:r>
          </w:p>
        </w:tc>
      </w:tr>
    </w:tbl>
    <w:p w14:paraId="61DC86A7" w14:textId="78137B59" w:rsidR="00742753" w:rsidRPr="00376E45" w:rsidRDefault="00742753" w:rsidP="00742753">
      <w:pPr>
        <w:pStyle w:val="Caption"/>
        <w:rPr>
          <w:lang w:val="en-GB"/>
        </w:rPr>
      </w:pPr>
      <w:r w:rsidRPr="00376E45">
        <w:rPr>
          <w:lang w:val="en-GB"/>
        </w:rPr>
        <w:t>MTX</w:t>
      </w:r>
      <w:r w:rsidR="00946AA9" w:rsidRPr="00376E45">
        <w:rPr>
          <w:lang w:val="en-GB"/>
        </w:rPr>
        <w:t>=</w:t>
      </w:r>
      <w:r w:rsidRPr="00376E45">
        <w:rPr>
          <w:lang w:val="en-GB"/>
        </w:rPr>
        <w:t>methotrexate</w:t>
      </w:r>
      <w:r w:rsidR="00062168">
        <w:rPr>
          <w:lang w:val="en-GB"/>
        </w:rPr>
        <w:t>.</w:t>
      </w:r>
      <w:r w:rsidRPr="00376E45">
        <w:rPr>
          <w:lang w:val="en-GB"/>
        </w:rPr>
        <w:t xml:space="preserve"> ULN</w:t>
      </w:r>
      <w:r w:rsidR="00946AA9" w:rsidRPr="00376E45">
        <w:rPr>
          <w:lang w:val="en-GB"/>
        </w:rPr>
        <w:t>=</w:t>
      </w:r>
      <w:r w:rsidRPr="00376E45">
        <w:rPr>
          <w:lang w:val="en-GB"/>
        </w:rPr>
        <w:t>upper limit of normal.</w:t>
      </w:r>
    </w:p>
    <w:p w14:paraId="32C94A88" w14:textId="77777777" w:rsidR="00742753" w:rsidRPr="00376E45" w:rsidRDefault="00742753" w:rsidP="00742753">
      <w:pPr>
        <w:pStyle w:val="Paragraph"/>
        <w:rPr>
          <w:lang w:val="en-GB"/>
        </w:rPr>
      </w:pPr>
    </w:p>
    <w:p w14:paraId="5ED49AB3" w14:textId="77777777" w:rsidR="00BA0B40" w:rsidRPr="00376E45" w:rsidRDefault="00BA0B40">
      <w:pPr>
        <w:spacing w:before="0" w:after="0" w:line="240" w:lineRule="auto"/>
        <w:rPr>
          <w:b/>
          <w:lang w:val="en-GB"/>
        </w:rPr>
      </w:pPr>
      <w:r w:rsidRPr="00376E45">
        <w:rPr>
          <w:lang w:val="en-GB"/>
        </w:rPr>
        <w:br w:type="page"/>
      </w:r>
    </w:p>
    <w:p w14:paraId="03E1BE24" w14:textId="4800B961" w:rsidR="00177829" w:rsidRPr="00376E45" w:rsidRDefault="00177829" w:rsidP="00177829">
      <w:pPr>
        <w:pStyle w:val="Heading1"/>
        <w:rPr>
          <w:lang w:val="en-GB"/>
        </w:rPr>
      </w:pPr>
      <w:r w:rsidRPr="00376E45">
        <w:rPr>
          <w:lang w:val="en-GB"/>
        </w:rPr>
        <w:t>Supplementary Materials</w:t>
      </w:r>
    </w:p>
    <w:p w14:paraId="0648259A" w14:textId="77777777" w:rsidR="00177829" w:rsidRPr="00376E45" w:rsidRDefault="00177829" w:rsidP="00177829">
      <w:pPr>
        <w:pStyle w:val="ListParagraph"/>
        <w:spacing w:before="240" w:after="240" w:line="480" w:lineRule="auto"/>
        <w:ind w:left="0"/>
        <w:contextualSpacing w:val="0"/>
        <w:rPr>
          <w:rFonts w:ascii="Times New Roman" w:hAnsi="Times New Roman"/>
          <w:b/>
          <w:sz w:val="24"/>
          <w:szCs w:val="24"/>
          <w:lang w:val="en-GB" w:eastAsia="en-GB"/>
        </w:rPr>
      </w:pPr>
      <w:r w:rsidRPr="00376E45">
        <w:rPr>
          <w:rFonts w:ascii="Times New Roman" w:hAnsi="Times New Roman"/>
          <w:b/>
          <w:sz w:val="24"/>
          <w:szCs w:val="24"/>
          <w:lang w:val="en-GB" w:eastAsia="en-GB"/>
        </w:rPr>
        <w:t>Section 1. Study Investigators</w:t>
      </w:r>
    </w:p>
    <w:p w14:paraId="18D7331B" w14:textId="77777777" w:rsidR="00177829" w:rsidRPr="00376E45" w:rsidRDefault="00177829" w:rsidP="00177829">
      <w:pPr>
        <w:pStyle w:val="ListParagraph"/>
        <w:spacing w:before="240" w:after="240" w:line="480" w:lineRule="auto"/>
        <w:ind w:left="0"/>
        <w:contextualSpacing w:val="0"/>
        <w:rPr>
          <w:rFonts w:ascii="Times New Roman" w:hAnsi="Times New Roman"/>
          <w:sz w:val="24"/>
          <w:szCs w:val="24"/>
          <w:lang w:val="en-GB" w:eastAsia="en-GB"/>
        </w:rPr>
      </w:pPr>
      <w:r w:rsidRPr="00376E45">
        <w:rPr>
          <w:rFonts w:ascii="Times New Roman" w:hAnsi="Times New Roman"/>
          <w:sz w:val="24"/>
          <w:szCs w:val="24"/>
          <w:lang w:val="en-GB" w:eastAsia="en-GB"/>
        </w:rPr>
        <w:t>The Principal Investigators at each of the participating study sites in ORAL Strategy are listed below.</w:t>
      </w:r>
    </w:p>
    <w:p w14:paraId="12D04217" w14:textId="77777777" w:rsidR="00177829" w:rsidRPr="00376E45" w:rsidRDefault="00177829" w:rsidP="00177829">
      <w:pPr>
        <w:spacing w:before="240"/>
        <w:rPr>
          <w:b/>
          <w:i/>
          <w:lang w:val="en-GB"/>
        </w:rPr>
      </w:pPr>
      <w:r w:rsidRPr="00376E45">
        <w:rPr>
          <w:b/>
          <w:i/>
          <w:lang w:val="en-GB"/>
        </w:rPr>
        <w:t>Africa</w:t>
      </w:r>
    </w:p>
    <w:p w14:paraId="5A84376F" w14:textId="77777777" w:rsidR="00177829" w:rsidRPr="00376E45" w:rsidRDefault="00177829" w:rsidP="00177829">
      <w:pPr>
        <w:spacing w:before="240"/>
        <w:rPr>
          <w:b/>
          <w:i/>
          <w:lang w:val="en-GB"/>
        </w:rPr>
      </w:pPr>
      <w:r w:rsidRPr="00376E45">
        <w:rPr>
          <w:i/>
          <w:lang w:val="en-GB"/>
        </w:rPr>
        <w:t xml:space="preserve">South Africa: </w:t>
      </w:r>
      <w:proofErr w:type="spellStart"/>
      <w:r w:rsidRPr="00376E45">
        <w:rPr>
          <w:lang w:val="en-GB"/>
        </w:rPr>
        <w:t>Luthando</w:t>
      </w:r>
      <w:proofErr w:type="spellEnd"/>
      <w:r w:rsidRPr="00376E45">
        <w:rPr>
          <w:lang w:val="en-GB"/>
        </w:rPr>
        <w:t xml:space="preserve"> Adams, Mahmood M Ally, Maria C du </w:t>
      </w:r>
      <w:proofErr w:type="spellStart"/>
      <w:r w:rsidRPr="00376E45">
        <w:rPr>
          <w:lang w:val="en-GB"/>
        </w:rPr>
        <w:t>Plooy</w:t>
      </w:r>
      <w:proofErr w:type="spellEnd"/>
      <w:r w:rsidRPr="00376E45">
        <w:rPr>
          <w:lang w:val="en-GB"/>
        </w:rPr>
        <w:t xml:space="preserve">, Ingrid C </w:t>
      </w:r>
      <w:proofErr w:type="spellStart"/>
      <w:r w:rsidRPr="00376E45">
        <w:rPr>
          <w:lang w:val="en-GB"/>
        </w:rPr>
        <w:t>Louw</w:t>
      </w:r>
      <w:proofErr w:type="spellEnd"/>
      <w:r w:rsidRPr="00376E45">
        <w:rPr>
          <w:lang w:val="en-GB"/>
        </w:rPr>
        <w:t xml:space="preserve">, </w:t>
      </w:r>
      <w:proofErr w:type="spellStart"/>
      <w:r w:rsidRPr="00376E45">
        <w:rPr>
          <w:lang w:val="en-GB"/>
        </w:rPr>
        <w:t>Savithree</w:t>
      </w:r>
      <w:proofErr w:type="spellEnd"/>
      <w:r w:rsidRPr="00376E45">
        <w:rPr>
          <w:lang w:val="en-GB"/>
        </w:rPr>
        <w:t xml:space="preserve"> </w:t>
      </w:r>
      <w:proofErr w:type="spellStart"/>
      <w:r w:rsidRPr="00376E45">
        <w:rPr>
          <w:lang w:val="en-GB"/>
        </w:rPr>
        <w:t>Nayiager</w:t>
      </w:r>
      <w:proofErr w:type="spellEnd"/>
      <w:r w:rsidRPr="00376E45">
        <w:rPr>
          <w:lang w:val="en-GB"/>
        </w:rPr>
        <w:t xml:space="preserve">, </w:t>
      </w:r>
      <w:proofErr w:type="spellStart"/>
      <w:r w:rsidRPr="00376E45">
        <w:rPr>
          <w:lang w:val="en-GB"/>
        </w:rPr>
        <w:t>Christoffel</w:t>
      </w:r>
      <w:proofErr w:type="spellEnd"/>
      <w:r w:rsidRPr="00376E45">
        <w:rPr>
          <w:lang w:val="en-GB"/>
        </w:rPr>
        <w:t xml:space="preserve"> B </w:t>
      </w:r>
      <w:proofErr w:type="spellStart"/>
      <w:r w:rsidRPr="00376E45">
        <w:rPr>
          <w:lang w:val="en-GB"/>
        </w:rPr>
        <w:t>Nel</w:t>
      </w:r>
      <w:proofErr w:type="spellEnd"/>
      <w:r w:rsidRPr="00376E45">
        <w:rPr>
          <w:lang w:val="en-GB"/>
        </w:rPr>
        <w:t xml:space="preserve">, Debra </w:t>
      </w:r>
      <w:proofErr w:type="spellStart"/>
      <w:r w:rsidRPr="00376E45">
        <w:rPr>
          <w:lang w:val="en-GB"/>
        </w:rPr>
        <w:t>Nel</w:t>
      </w:r>
      <w:proofErr w:type="spellEnd"/>
      <w:r w:rsidRPr="00376E45">
        <w:rPr>
          <w:lang w:val="en-GB"/>
        </w:rPr>
        <w:t xml:space="preserve">, </w:t>
      </w:r>
      <w:proofErr w:type="spellStart"/>
      <w:r w:rsidRPr="00376E45">
        <w:rPr>
          <w:lang w:val="en-GB"/>
        </w:rPr>
        <w:t>Helmuth</w:t>
      </w:r>
      <w:proofErr w:type="spellEnd"/>
      <w:r w:rsidRPr="00376E45">
        <w:rPr>
          <w:lang w:val="en-GB"/>
        </w:rPr>
        <w:t xml:space="preserve"> Reuter, Ahmed S </w:t>
      </w:r>
      <w:proofErr w:type="spellStart"/>
      <w:r w:rsidRPr="00376E45">
        <w:rPr>
          <w:lang w:val="en-GB"/>
        </w:rPr>
        <w:t>Soloman</w:t>
      </w:r>
      <w:proofErr w:type="spellEnd"/>
      <w:r w:rsidRPr="00376E45">
        <w:rPr>
          <w:lang w:val="en-GB"/>
        </w:rPr>
        <w:t xml:space="preserve">, Catherine E </w:t>
      </w:r>
      <w:proofErr w:type="spellStart"/>
      <w:r w:rsidRPr="00376E45">
        <w:rPr>
          <w:lang w:val="en-GB"/>
        </w:rPr>
        <w:t>Spargo</w:t>
      </w:r>
      <w:proofErr w:type="spellEnd"/>
    </w:p>
    <w:p w14:paraId="1D4F7751" w14:textId="77777777" w:rsidR="00177829" w:rsidRPr="00376E45" w:rsidRDefault="00177829" w:rsidP="00177829">
      <w:pPr>
        <w:spacing w:before="240"/>
        <w:rPr>
          <w:b/>
          <w:i/>
          <w:lang w:val="en-GB"/>
        </w:rPr>
      </w:pPr>
      <w:r w:rsidRPr="00376E45">
        <w:rPr>
          <w:b/>
          <w:i/>
          <w:lang w:val="en-GB"/>
        </w:rPr>
        <w:t>Asia and the Pacific</w:t>
      </w:r>
    </w:p>
    <w:p w14:paraId="0CA117AD" w14:textId="77777777" w:rsidR="00177829" w:rsidRPr="00376E45" w:rsidRDefault="00177829" w:rsidP="00177829">
      <w:pPr>
        <w:spacing w:before="240"/>
        <w:rPr>
          <w:i/>
          <w:lang w:val="en-GB"/>
        </w:rPr>
      </w:pPr>
      <w:r w:rsidRPr="00376E45">
        <w:rPr>
          <w:i/>
          <w:lang w:val="en-GB"/>
        </w:rPr>
        <w:t xml:space="preserve">Australia: </w:t>
      </w:r>
      <w:r w:rsidRPr="00376E45">
        <w:rPr>
          <w:lang w:val="en-GB"/>
        </w:rPr>
        <w:t xml:space="preserve">Stephen Hall, Maureen </w:t>
      </w:r>
      <w:proofErr w:type="spellStart"/>
      <w:r w:rsidRPr="00376E45">
        <w:rPr>
          <w:lang w:val="en-GB"/>
        </w:rPr>
        <w:t>Rischmueller</w:t>
      </w:r>
      <w:proofErr w:type="spellEnd"/>
      <w:r w:rsidRPr="00376E45">
        <w:rPr>
          <w:lang w:val="en-GB"/>
        </w:rPr>
        <w:t xml:space="preserve">, </w:t>
      </w:r>
      <w:proofErr w:type="spellStart"/>
      <w:r w:rsidRPr="00376E45">
        <w:rPr>
          <w:lang w:val="en-GB"/>
        </w:rPr>
        <w:t>Shunil</w:t>
      </w:r>
      <w:proofErr w:type="spellEnd"/>
      <w:r w:rsidRPr="00376E45">
        <w:rPr>
          <w:lang w:val="en-GB"/>
        </w:rPr>
        <w:t xml:space="preserve"> D Sharma, Robert K Will, Peter P Youssef</w:t>
      </w:r>
    </w:p>
    <w:p w14:paraId="1B15F2A2" w14:textId="77777777" w:rsidR="00177829" w:rsidRPr="00376E45" w:rsidRDefault="00177829" w:rsidP="00177829">
      <w:pPr>
        <w:spacing w:before="240"/>
        <w:rPr>
          <w:i/>
          <w:lang w:val="en-GB"/>
        </w:rPr>
      </w:pPr>
      <w:r w:rsidRPr="00376E45">
        <w:rPr>
          <w:i/>
          <w:lang w:val="en-GB"/>
        </w:rPr>
        <w:t xml:space="preserve">Philippines: </w:t>
      </w:r>
      <w:r w:rsidRPr="00376E45">
        <w:rPr>
          <w:lang w:val="en-GB"/>
        </w:rPr>
        <w:t xml:space="preserve">Caroline Arroyo, Rosario P </w:t>
      </w:r>
      <w:proofErr w:type="spellStart"/>
      <w:r w:rsidRPr="00376E45">
        <w:rPr>
          <w:lang w:val="en-GB"/>
        </w:rPr>
        <w:t>Baes</w:t>
      </w:r>
      <w:proofErr w:type="spellEnd"/>
      <w:r w:rsidRPr="00376E45">
        <w:rPr>
          <w:lang w:val="en-GB"/>
        </w:rPr>
        <w:t xml:space="preserve">, Roger B </w:t>
      </w:r>
      <w:proofErr w:type="spellStart"/>
      <w:r w:rsidRPr="00376E45">
        <w:rPr>
          <w:lang w:val="en-GB"/>
        </w:rPr>
        <w:t>Dulos</w:t>
      </w:r>
      <w:proofErr w:type="spellEnd"/>
      <w:r w:rsidRPr="00376E45">
        <w:rPr>
          <w:lang w:val="en-GB"/>
        </w:rPr>
        <w:t xml:space="preserve">, Llewellyn T </w:t>
      </w:r>
      <w:proofErr w:type="spellStart"/>
      <w:r w:rsidRPr="00376E45">
        <w:rPr>
          <w:lang w:val="en-GB"/>
        </w:rPr>
        <w:t>Hao</w:t>
      </w:r>
      <w:proofErr w:type="spellEnd"/>
      <w:r w:rsidRPr="00376E45">
        <w:rPr>
          <w:lang w:val="en-GB"/>
        </w:rPr>
        <w:t xml:space="preserve">, Allan E </w:t>
      </w:r>
      <w:proofErr w:type="spellStart"/>
      <w:r w:rsidRPr="00376E45">
        <w:rPr>
          <w:lang w:val="en-GB"/>
        </w:rPr>
        <w:t>Lanzon</w:t>
      </w:r>
      <w:proofErr w:type="spellEnd"/>
      <w:r w:rsidRPr="00376E45">
        <w:rPr>
          <w:lang w:val="en-GB"/>
        </w:rPr>
        <w:t xml:space="preserve">, Juan Javier T </w:t>
      </w:r>
      <w:proofErr w:type="spellStart"/>
      <w:r w:rsidRPr="00376E45">
        <w:rPr>
          <w:lang w:val="en-GB"/>
        </w:rPr>
        <w:t>Lichauco</w:t>
      </w:r>
      <w:proofErr w:type="spellEnd"/>
      <w:r w:rsidRPr="00376E45">
        <w:rPr>
          <w:lang w:val="en-GB"/>
        </w:rPr>
        <w:t xml:space="preserve">, Jill H </w:t>
      </w:r>
      <w:proofErr w:type="spellStart"/>
      <w:r w:rsidRPr="00376E45">
        <w:rPr>
          <w:lang w:val="en-GB"/>
        </w:rPr>
        <w:t>Mangubat</w:t>
      </w:r>
      <w:proofErr w:type="spellEnd"/>
      <w:r w:rsidRPr="00376E45">
        <w:rPr>
          <w:lang w:val="en-GB"/>
        </w:rPr>
        <w:t xml:space="preserve">, Edgar B </w:t>
      </w:r>
      <w:proofErr w:type="spellStart"/>
      <w:r w:rsidRPr="00376E45">
        <w:rPr>
          <w:lang w:val="en-GB"/>
        </w:rPr>
        <w:t>Ramiterre</w:t>
      </w:r>
      <w:proofErr w:type="spellEnd"/>
      <w:r w:rsidRPr="00376E45">
        <w:rPr>
          <w:lang w:val="en-GB"/>
        </w:rPr>
        <w:t xml:space="preserve">, Bernadette </w:t>
      </w:r>
      <w:proofErr w:type="spellStart"/>
      <w:r w:rsidRPr="00376E45">
        <w:rPr>
          <w:lang w:val="en-GB"/>
        </w:rPr>
        <w:t>Heizel</w:t>
      </w:r>
      <w:proofErr w:type="spellEnd"/>
      <w:r w:rsidRPr="00376E45">
        <w:rPr>
          <w:lang w:val="en-GB"/>
        </w:rPr>
        <w:t xml:space="preserve"> M Reyes, Perry P Tan</w:t>
      </w:r>
    </w:p>
    <w:p w14:paraId="3409FFD4" w14:textId="77777777" w:rsidR="00177829" w:rsidRPr="00376E45" w:rsidRDefault="00177829" w:rsidP="00177829">
      <w:pPr>
        <w:spacing w:before="240"/>
        <w:rPr>
          <w:i/>
          <w:lang w:val="en-GB"/>
        </w:rPr>
      </w:pPr>
      <w:r w:rsidRPr="00376E45">
        <w:rPr>
          <w:i/>
          <w:lang w:val="en-GB"/>
        </w:rPr>
        <w:t xml:space="preserve">Republic of Korea: </w:t>
      </w:r>
      <w:r w:rsidRPr="00376E45">
        <w:rPr>
          <w:lang w:val="en-GB"/>
        </w:rPr>
        <w:t xml:space="preserve">Jung-Yoon </w:t>
      </w:r>
      <w:proofErr w:type="spellStart"/>
      <w:r w:rsidRPr="00376E45">
        <w:rPr>
          <w:lang w:val="en-GB"/>
        </w:rPr>
        <w:t>Choe</w:t>
      </w:r>
      <w:proofErr w:type="spellEnd"/>
      <w:r w:rsidRPr="00376E45">
        <w:rPr>
          <w:lang w:val="en-GB"/>
        </w:rPr>
        <w:t xml:space="preserve">, Young Mo Kang, </w:t>
      </w:r>
      <w:proofErr w:type="spellStart"/>
      <w:r w:rsidRPr="00376E45">
        <w:rPr>
          <w:lang w:val="en-GB"/>
        </w:rPr>
        <w:t>Seong</w:t>
      </w:r>
      <w:proofErr w:type="spellEnd"/>
      <w:r w:rsidRPr="00376E45">
        <w:rPr>
          <w:lang w:val="en-GB"/>
        </w:rPr>
        <w:t xml:space="preserve"> </w:t>
      </w:r>
      <w:proofErr w:type="spellStart"/>
      <w:r w:rsidRPr="00376E45">
        <w:rPr>
          <w:lang w:val="en-GB"/>
        </w:rPr>
        <w:t>Ryul</w:t>
      </w:r>
      <w:proofErr w:type="spellEnd"/>
      <w:r w:rsidRPr="00376E45">
        <w:rPr>
          <w:lang w:val="en-GB"/>
        </w:rPr>
        <w:t xml:space="preserve"> Kwon, Sang-</w:t>
      </w:r>
      <w:proofErr w:type="spellStart"/>
      <w:r w:rsidRPr="00376E45">
        <w:rPr>
          <w:lang w:val="en-GB"/>
        </w:rPr>
        <w:t>Heon</w:t>
      </w:r>
      <w:proofErr w:type="spellEnd"/>
      <w:r w:rsidRPr="00376E45">
        <w:rPr>
          <w:lang w:val="en-GB"/>
        </w:rPr>
        <w:t xml:space="preserve"> Lee, Shin-</w:t>
      </w:r>
      <w:proofErr w:type="spellStart"/>
      <w:r w:rsidRPr="00376E45">
        <w:rPr>
          <w:lang w:val="en-GB"/>
        </w:rPr>
        <w:t>Seok</w:t>
      </w:r>
      <w:proofErr w:type="spellEnd"/>
      <w:r w:rsidRPr="00376E45">
        <w:rPr>
          <w:lang w:val="en-GB"/>
        </w:rPr>
        <w:t xml:space="preserve"> Lee, </w:t>
      </w:r>
      <w:proofErr w:type="spellStart"/>
      <w:r w:rsidRPr="00376E45">
        <w:rPr>
          <w:lang w:val="en-GB"/>
        </w:rPr>
        <w:t>Dae</w:t>
      </w:r>
      <w:proofErr w:type="spellEnd"/>
      <w:r w:rsidRPr="00376E45">
        <w:rPr>
          <w:lang w:val="en-GB"/>
        </w:rPr>
        <w:t xml:space="preserve">-Hyun </w:t>
      </w:r>
      <w:proofErr w:type="spellStart"/>
      <w:r w:rsidRPr="00376E45">
        <w:rPr>
          <w:lang w:val="en-GB"/>
        </w:rPr>
        <w:t>Yoo</w:t>
      </w:r>
      <w:proofErr w:type="spellEnd"/>
    </w:p>
    <w:p w14:paraId="7EA82CB9" w14:textId="77777777" w:rsidR="00177829" w:rsidRPr="00376E45" w:rsidRDefault="00177829" w:rsidP="00177829">
      <w:pPr>
        <w:spacing w:before="240"/>
        <w:rPr>
          <w:i/>
          <w:lang w:val="en-GB"/>
        </w:rPr>
      </w:pPr>
      <w:r w:rsidRPr="00376E45">
        <w:rPr>
          <w:i/>
          <w:lang w:val="en-GB"/>
        </w:rPr>
        <w:t xml:space="preserve">Taiwan: </w:t>
      </w:r>
      <w:r w:rsidRPr="00376E45">
        <w:rPr>
          <w:lang w:val="en-GB"/>
        </w:rPr>
        <w:t xml:space="preserve">Hsiao-Yi Lin, </w:t>
      </w:r>
      <w:proofErr w:type="spellStart"/>
      <w:r w:rsidRPr="00376E45">
        <w:rPr>
          <w:lang w:val="en-GB"/>
        </w:rPr>
        <w:t>Shue</w:t>
      </w:r>
      <w:proofErr w:type="spellEnd"/>
      <w:r w:rsidRPr="00376E45">
        <w:rPr>
          <w:lang w:val="en-GB"/>
        </w:rPr>
        <w:t xml:space="preserve">-Fen Luo, Shih-Tzu Tsai, Wen-Chan Tsai, </w:t>
      </w:r>
      <w:proofErr w:type="spellStart"/>
      <w:r w:rsidRPr="00376E45">
        <w:rPr>
          <w:lang w:val="en-GB"/>
        </w:rPr>
        <w:t>Jui</w:t>
      </w:r>
      <w:proofErr w:type="spellEnd"/>
      <w:r w:rsidRPr="00376E45">
        <w:rPr>
          <w:lang w:val="en-GB"/>
        </w:rPr>
        <w:t>-Cheng Tseng, Cheng-Chung C Wei</w:t>
      </w:r>
    </w:p>
    <w:p w14:paraId="14C8A4B4" w14:textId="77777777" w:rsidR="00177829" w:rsidRPr="00376E45" w:rsidRDefault="00177829" w:rsidP="00177829">
      <w:pPr>
        <w:spacing w:before="240"/>
        <w:rPr>
          <w:i/>
          <w:lang w:val="en-GB"/>
        </w:rPr>
      </w:pPr>
      <w:r w:rsidRPr="00376E45">
        <w:rPr>
          <w:i/>
          <w:lang w:val="en-GB"/>
        </w:rPr>
        <w:t xml:space="preserve">Thailand: </w:t>
      </w:r>
      <w:proofErr w:type="spellStart"/>
      <w:r w:rsidRPr="00376E45">
        <w:rPr>
          <w:lang w:val="en-GB"/>
        </w:rPr>
        <w:t>Paijit</w:t>
      </w:r>
      <w:proofErr w:type="spellEnd"/>
      <w:r w:rsidRPr="00376E45">
        <w:rPr>
          <w:lang w:val="en-GB"/>
        </w:rPr>
        <w:t xml:space="preserve"> </w:t>
      </w:r>
      <w:proofErr w:type="spellStart"/>
      <w:r w:rsidRPr="00376E45">
        <w:rPr>
          <w:lang w:val="en-GB"/>
        </w:rPr>
        <w:t>Asavatanabodee</w:t>
      </w:r>
      <w:proofErr w:type="spellEnd"/>
      <w:r w:rsidRPr="00376E45">
        <w:rPr>
          <w:lang w:val="en-GB"/>
        </w:rPr>
        <w:t xml:space="preserve">, </w:t>
      </w:r>
      <w:proofErr w:type="spellStart"/>
      <w:r w:rsidRPr="00376E45">
        <w:rPr>
          <w:lang w:val="en-GB"/>
        </w:rPr>
        <w:t>Kanokrat</w:t>
      </w:r>
      <w:proofErr w:type="spellEnd"/>
      <w:r w:rsidRPr="00376E45">
        <w:rPr>
          <w:lang w:val="en-GB"/>
        </w:rPr>
        <w:t xml:space="preserve"> </w:t>
      </w:r>
      <w:proofErr w:type="spellStart"/>
      <w:r w:rsidRPr="00376E45">
        <w:rPr>
          <w:lang w:val="en-GB"/>
        </w:rPr>
        <w:t>Nantiruj</w:t>
      </w:r>
      <w:proofErr w:type="spellEnd"/>
      <w:r w:rsidRPr="00376E45">
        <w:rPr>
          <w:lang w:val="en-GB"/>
        </w:rPr>
        <w:t xml:space="preserve">, </w:t>
      </w:r>
      <w:proofErr w:type="spellStart"/>
      <w:r w:rsidRPr="00376E45">
        <w:rPr>
          <w:lang w:val="en-GB"/>
        </w:rPr>
        <w:t>Surasak</w:t>
      </w:r>
      <w:proofErr w:type="spellEnd"/>
      <w:r w:rsidRPr="00376E45">
        <w:rPr>
          <w:lang w:val="en-GB"/>
        </w:rPr>
        <w:t xml:space="preserve"> </w:t>
      </w:r>
      <w:proofErr w:type="spellStart"/>
      <w:r w:rsidRPr="00376E45">
        <w:rPr>
          <w:lang w:val="en-GB"/>
        </w:rPr>
        <w:t>Nilganuwong</w:t>
      </w:r>
      <w:proofErr w:type="spellEnd"/>
      <w:r w:rsidRPr="00376E45">
        <w:rPr>
          <w:lang w:val="en-GB"/>
        </w:rPr>
        <w:t xml:space="preserve">, </w:t>
      </w:r>
      <w:proofErr w:type="spellStart"/>
      <w:r w:rsidRPr="00376E45">
        <w:rPr>
          <w:lang w:val="en-GB"/>
        </w:rPr>
        <w:t>Parichat</w:t>
      </w:r>
      <w:proofErr w:type="spellEnd"/>
      <w:r w:rsidRPr="00376E45">
        <w:rPr>
          <w:lang w:val="en-GB"/>
        </w:rPr>
        <w:t xml:space="preserve"> </w:t>
      </w:r>
      <w:proofErr w:type="spellStart"/>
      <w:r w:rsidRPr="00376E45">
        <w:rPr>
          <w:lang w:val="en-GB"/>
        </w:rPr>
        <w:t>Uea-Areewongsa</w:t>
      </w:r>
      <w:proofErr w:type="spellEnd"/>
    </w:p>
    <w:p w14:paraId="70634BA7" w14:textId="77777777" w:rsidR="00177829" w:rsidRPr="00376E45" w:rsidRDefault="00177829" w:rsidP="00177829">
      <w:pPr>
        <w:keepNext/>
        <w:spacing w:before="240"/>
        <w:rPr>
          <w:b/>
          <w:i/>
          <w:lang w:val="en-GB"/>
        </w:rPr>
      </w:pPr>
      <w:r w:rsidRPr="00376E45">
        <w:rPr>
          <w:b/>
          <w:i/>
          <w:lang w:val="en-GB"/>
        </w:rPr>
        <w:t>Europe</w:t>
      </w:r>
    </w:p>
    <w:p w14:paraId="2C5A43B3" w14:textId="77777777" w:rsidR="00177829" w:rsidRPr="00376E45" w:rsidRDefault="00177829" w:rsidP="00177829">
      <w:pPr>
        <w:spacing w:before="240"/>
        <w:rPr>
          <w:i/>
          <w:lang w:val="en-GB"/>
        </w:rPr>
      </w:pPr>
      <w:r w:rsidRPr="00376E45">
        <w:rPr>
          <w:i/>
          <w:lang w:val="en-GB"/>
        </w:rPr>
        <w:t xml:space="preserve">Bosnia and Herzegovina: </w:t>
      </w:r>
      <w:proofErr w:type="spellStart"/>
      <w:r w:rsidRPr="00376E45">
        <w:rPr>
          <w:lang w:val="en-GB"/>
        </w:rPr>
        <w:t>Ljubinka</w:t>
      </w:r>
      <w:proofErr w:type="spellEnd"/>
      <w:r w:rsidRPr="00376E45">
        <w:rPr>
          <w:lang w:val="en-GB"/>
        </w:rPr>
        <w:t xml:space="preserve"> </w:t>
      </w:r>
      <w:proofErr w:type="spellStart"/>
      <w:r w:rsidRPr="00376E45">
        <w:rPr>
          <w:lang w:val="en-GB"/>
        </w:rPr>
        <w:t>Bozic</w:t>
      </w:r>
      <w:proofErr w:type="spellEnd"/>
      <w:r w:rsidRPr="00376E45">
        <w:rPr>
          <w:lang w:val="en-GB"/>
        </w:rPr>
        <w:t xml:space="preserve"> </w:t>
      </w:r>
      <w:proofErr w:type="spellStart"/>
      <w:r w:rsidRPr="00376E45">
        <w:rPr>
          <w:lang w:val="en-GB"/>
        </w:rPr>
        <w:t>Majstorovic</w:t>
      </w:r>
      <w:proofErr w:type="spellEnd"/>
      <w:r w:rsidRPr="00376E45">
        <w:rPr>
          <w:lang w:val="en-GB"/>
        </w:rPr>
        <w:t xml:space="preserve">, </w:t>
      </w:r>
      <w:proofErr w:type="spellStart"/>
      <w:r w:rsidRPr="00376E45">
        <w:rPr>
          <w:lang w:val="en-GB"/>
        </w:rPr>
        <w:t>Suada</w:t>
      </w:r>
      <w:proofErr w:type="spellEnd"/>
      <w:r w:rsidRPr="00376E45">
        <w:rPr>
          <w:lang w:val="en-GB"/>
        </w:rPr>
        <w:t xml:space="preserve"> </w:t>
      </w:r>
      <w:proofErr w:type="spellStart"/>
      <w:r w:rsidRPr="00376E45">
        <w:rPr>
          <w:lang w:val="en-GB"/>
        </w:rPr>
        <w:t>Mulic</w:t>
      </w:r>
      <w:proofErr w:type="spellEnd"/>
      <w:r w:rsidRPr="00376E45">
        <w:rPr>
          <w:lang w:val="en-GB"/>
        </w:rPr>
        <w:t xml:space="preserve"> </w:t>
      </w:r>
      <w:proofErr w:type="spellStart"/>
      <w:r w:rsidRPr="00376E45">
        <w:rPr>
          <w:lang w:val="en-GB"/>
        </w:rPr>
        <w:t>Bacic</w:t>
      </w:r>
      <w:proofErr w:type="spellEnd"/>
    </w:p>
    <w:p w14:paraId="1DE3F196" w14:textId="77777777" w:rsidR="00177829" w:rsidRPr="00376E45" w:rsidRDefault="00177829" w:rsidP="00177829">
      <w:pPr>
        <w:spacing w:before="240"/>
        <w:rPr>
          <w:i/>
          <w:lang w:val="en-GB"/>
        </w:rPr>
      </w:pPr>
      <w:r w:rsidRPr="00376E45">
        <w:rPr>
          <w:i/>
          <w:lang w:val="en-GB"/>
        </w:rPr>
        <w:t xml:space="preserve">Bulgaria: </w:t>
      </w:r>
      <w:proofErr w:type="spellStart"/>
      <w:r w:rsidRPr="00376E45">
        <w:rPr>
          <w:lang w:val="en-GB"/>
        </w:rPr>
        <w:t>Anastas</w:t>
      </w:r>
      <w:proofErr w:type="spellEnd"/>
      <w:r w:rsidRPr="00376E45">
        <w:rPr>
          <w:lang w:val="en-GB"/>
        </w:rPr>
        <w:t xml:space="preserve"> Z </w:t>
      </w:r>
      <w:proofErr w:type="spellStart"/>
      <w:r w:rsidRPr="00376E45">
        <w:rPr>
          <w:lang w:val="en-GB"/>
        </w:rPr>
        <w:t>Batalov</w:t>
      </w:r>
      <w:proofErr w:type="spellEnd"/>
      <w:r w:rsidRPr="00376E45">
        <w:rPr>
          <w:lang w:val="en-GB"/>
        </w:rPr>
        <w:t xml:space="preserve">, Gabriela </w:t>
      </w:r>
      <w:proofErr w:type="spellStart"/>
      <w:r w:rsidRPr="00376E45">
        <w:rPr>
          <w:lang w:val="en-GB"/>
        </w:rPr>
        <w:t>Georgieva-Slavcheva</w:t>
      </w:r>
      <w:proofErr w:type="spellEnd"/>
      <w:r w:rsidRPr="00376E45">
        <w:rPr>
          <w:lang w:val="en-GB"/>
        </w:rPr>
        <w:t xml:space="preserve">, </w:t>
      </w:r>
      <w:proofErr w:type="spellStart"/>
      <w:r w:rsidRPr="00376E45">
        <w:rPr>
          <w:lang w:val="en-GB"/>
        </w:rPr>
        <w:t>Mariyana</w:t>
      </w:r>
      <w:proofErr w:type="spellEnd"/>
      <w:r w:rsidRPr="00376E45">
        <w:rPr>
          <w:lang w:val="en-GB"/>
        </w:rPr>
        <w:t xml:space="preserve"> </w:t>
      </w:r>
      <w:proofErr w:type="spellStart"/>
      <w:r w:rsidRPr="00376E45">
        <w:rPr>
          <w:lang w:val="en-GB"/>
        </w:rPr>
        <w:t>Mihailova</w:t>
      </w:r>
      <w:proofErr w:type="spellEnd"/>
      <w:r w:rsidRPr="00376E45">
        <w:rPr>
          <w:lang w:val="en-GB"/>
        </w:rPr>
        <w:t xml:space="preserve">, Nikolay G </w:t>
      </w:r>
      <w:proofErr w:type="spellStart"/>
      <w:r w:rsidRPr="00376E45">
        <w:rPr>
          <w:lang w:val="en-GB"/>
        </w:rPr>
        <w:t>Nikolov</w:t>
      </w:r>
      <w:proofErr w:type="spellEnd"/>
      <w:r w:rsidRPr="00376E45">
        <w:rPr>
          <w:lang w:val="en-GB"/>
        </w:rPr>
        <w:t xml:space="preserve">, </w:t>
      </w:r>
      <w:proofErr w:type="spellStart"/>
      <w:r w:rsidRPr="00376E45">
        <w:rPr>
          <w:lang w:val="en-GB"/>
        </w:rPr>
        <w:t>Dimitar</w:t>
      </w:r>
      <w:proofErr w:type="spellEnd"/>
      <w:r w:rsidRPr="00376E45">
        <w:rPr>
          <w:lang w:val="en-GB"/>
        </w:rPr>
        <w:t xml:space="preserve"> P </w:t>
      </w:r>
      <w:proofErr w:type="spellStart"/>
      <w:r w:rsidRPr="00376E45">
        <w:rPr>
          <w:lang w:val="en-GB"/>
        </w:rPr>
        <w:t>Penev</w:t>
      </w:r>
      <w:proofErr w:type="spellEnd"/>
      <w:r w:rsidRPr="00376E45">
        <w:rPr>
          <w:lang w:val="en-GB"/>
        </w:rPr>
        <w:t xml:space="preserve">, </w:t>
      </w:r>
      <w:proofErr w:type="spellStart"/>
      <w:r w:rsidRPr="00376E45">
        <w:rPr>
          <w:lang w:val="en-GB"/>
        </w:rPr>
        <w:t>Yuliy</w:t>
      </w:r>
      <w:proofErr w:type="spellEnd"/>
      <w:r w:rsidRPr="00376E45">
        <w:rPr>
          <w:lang w:val="en-GB"/>
        </w:rPr>
        <w:t xml:space="preserve"> A </w:t>
      </w:r>
      <w:proofErr w:type="spellStart"/>
      <w:r w:rsidRPr="00376E45">
        <w:rPr>
          <w:lang w:val="en-GB"/>
        </w:rPr>
        <w:t>Spasov</w:t>
      </w:r>
      <w:proofErr w:type="spellEnd"/>
      <w:r w:rsidRPr="00376E45">
        <w:rPr>
          <w:lang w:val="en-GB"/>
        </w:rPr>
        <w:t xml:space="preserve">, </w:t>
      </w:r>
      <w:proofErr w:type="spellStart"/>
      <w:r w:rsidRPr="00376E45">
        <w:rPr>
          <w:lang w:val="en-GB"/>
        </w:rPr>
        <w:t>Krasimira</w:t>
      </w:r>
      <w:proofErr w:type="spellEnd"/>
      <w:r w:rsidRPr="00376E45">
        <w:rPr>
          <w:lang w:val="en-GB"/>
        </w:rPr>
        <w:t xml:space="preserve"> </w:t>
      </w:r>
      <w:proofErr w:type="spellStart"/>
      <w:r w:rsidRPr="00376E45">
        <w:rPr>
          <w:lang w:val="en-GB"/>
        </w:rPr>
        <w:t>Stanimirova</w:t>
      </w:r>
      <w:proofErr w:type="spellEnd"/>
      <w:r w:rsidRPr="00376E45">
        <w:rPr>
          <w:lang w:val="en-GB"/>
        </w:rPr>
        <w:t xml:space="preserve">, </w:t>
      </w:r>
      <w:proofErr w:type="spellStart"/>
      <w:r w:rsidRPr="00376E45">
        <w:rPr>
          <w:lang w:val="en-GB"/>
        </w:rPr>
        <w:t>Stoyan</w:t>
      </w:r>
      <w:proofErr w:type="spellEnd"/>
      <w:r w:rsidRPr="00376E45">
        <w:rPr>
          <w:lang w:val="en-GB"/>
        </w:rPr>
        <w:t xml:space="preserve"> </w:t>
      </w:r>
      <w:proofErr w:type="spellStart"/>
      <w:r w:rsidRPr="00376E45">
        <w:rPr>
          <w:lang w:val="en-GB"/>
        </w:rPr>
        <w:t>Todorov</w:t>
      </w:r>
      <w:proofErr w:type="spellEnd"/>
      <w:r w:rsidRPr="00376E45">
        <w:rPr>
          <w:lang w:val="en-GB"/>
        </w:rPr>
        <w:t xml:space="preserve">, </w:t>
      </w:r>
      <w:proofErr w:type="spellStart"/>
      <w:r w:rsidRPr="00376E45">
        <w:rPr>
          <w:lang w:val="en-GB"/>
        </w:rPr>
        <w:t>Antoaneta</w:t>
      </w:r>
      <w:proofErr w:type="spellEnd"/>
      <w:r w:rsidRPr="00376E45">
        <w:rPr>
          <w:lang w:val="en-GB"/>
        </w:rPr>
        <w:t xml:space="preserve"> R </w:t>
      </w:r>
      <w:proofErr w:type="spellStart"/>
      <w:r w:rsidRPr="00376E45">
        <w:rPr>
          <w:lang w:val="en-GB"/>
        </w:rPr>
        <w:t>Toncheva</w:t>
      </w:r>
      <w:proofErr w:type="spellEnd"/>
      <w:r w:rsidRPr="00376E45">
        <w:rPr>
          <w:lang w:val="en-GB"/>
        </w:rPr>
        <w:t xml:space="preserve">, </w:t>
      </w:r>
      <w:proofErr w:type="spellStart"/>
      <w:r w:rsidRPr="00376E45">
        <w:rPr>
          <w:lang w:val="en-GB"/>
        </w:rPr>
        <w:t>Nadezhda</w:t>
      </w:r>
      <w:proofErr w:type="spellEnd"/>
      <w:r w:rsidRPr="00376E45">
        <w:rPr>
          <w:lang w:val="en-GB"/>
        </w:rPr>
        <w:t xml:space="preserve"> </w:t>
      </w:r>
      <w:proofErr w:type="spellStart"/>
      <w:r w:rsidRPr="00376E45">
        <w:rPr>
          <w:lang w:val="en-GB"/>
        </w:rPr>
        <w:t>Yordanova</w:t>
      </w:r>
      <w:proofErr w:type="spellEnd"/>
    </w:p>
    <w:p w14:paraId="4CB7CCE0" w14:textId="77777777" w:rsidR="00177829" w:rsidRPr="00376E45" w:rsidRDefault="00177829" w:rsidP="00177829">
      <w:pPr>
        <w:spacing w:before="240"/>
        <w:rPr>
          <w:i/>
          <w:lang w:val="en-GB"/>
        </w:rPr>
      </w:pPr>
      <w:r w:rsidRPr="00376E45">
        <w:rPr>
          <w:i/>
          <w:lang w:val="en-GB"/>
        </w:rPr>
        <w:t xml:space="preserve">Czech Republic: </w:t>
      </w:r>
      <w:proofErr w:type="spellStart"/>
      <w:r w:rsidRPr="00376E45">
        <w:rPr>
          <w:lang w:val="en-GB"/>
        </w:rPr>
        <w:t>Zdenka</w:t>
      </w:r>
      <w:proofErr w:type="spellEnd"/>
      <w:r w:rsidRPr="00376E45">
        <w:rPr>
          <w:lang w:val="en-GB"/>
        </w:rPr>
        <w:t xml:space="preserve"> </w:t>
      </w:r>
      <w:proofErr w:type="spellStart"/>
      <w:r w:rsidRPr="00376E45">
        <w:rPr>
          <w:lang w:val="en-GB"/>
        </w:rPr>
        <w:t>Mosterova</w:t>
      </w:r>
      <w:proofErr w:type="spellEnd"/>
      <w:r w:rsidRPr="00376E45">
        <w:rPr>
          <w:lang w:val="en-GB"/>
        </w:rPr>
        <w:t xml:space="preserve">, Libor </w:t>
      </w:r>
      <w:proofErr w:type="spellStart"/>
      <w:r w:rsidRPr="00376E45">
        <w:rPr>
          <w:lang w:val="en-GB"/>
        </w:rPr>
        <w:t>Novosad</w:t>
      </w:r>
      <w:proofErr w:type="spellEnd"/>
      <w:r w:rsidRPr="00376E45">
        <w:rPr>
          <w:lang w:val="en-GB"/>
        </w:rPr>
        <w:t xml:space="preserve">, Leona </w:t>
      </w:r>
      <w:proofErr w:type="spellStart"/>
      <w:r w:rsidRPr="00376E45">
        <w:rPr>
          <w:lang w:val="en-GB"/>
        </w:rPr>
        <w:t>Prochazkova</w:t>
      </w:r>
      <w:proofErr w:type="spellEnd"/>
      <w:r w:rsidRPr="00376E45">
        <w:rPr>
          <w:lang w:val="en-GB"/>
        </w:rPr>
        <w:t xml:space="preserve">, Helena </w:t>
      </w:r>
      <w:proofErr w:type="spellStart"/>
      <w:r w:rsidRPr="00376E45">
        <w:rPr>
          <w:lang w:val="en-GB"/>
        </w:rPr>
        <w:t>Stehlikova</w:t>
      </w:r>
      <w:proofErr w:type="spellEnd"/>
      <w:r w:rsidRPr="00376E45">
        <w:rPr>
          <w:lang w:val="en-GB"/>
        </w:rPr>
        <w:t xml:space="preserve">, </w:t>
      </w:r>
      <w:proofErr w:type="spellStart"/>
      <w:r w:rsidRPr="00376E45">
        <w:rPr>
          <w:lang w:val="en-GB"/>
        </w:rPr>
        <w:t>Zuzana</w:t>
      </w:r>
      <w:proofErr w:type="spellEnd"/>
      <w:r w:rsidRPr="00376E45">
        <w:rPr>
          <w:lang w:val="en-GB"/>
        </w:rPr>
        <w:t xml:space="preserve"> </w:t>
      </w:r>
      <w:proofErr w:type="spellStart"/>
      <w:r w:rsidRPr="00376E45">
        <w:rPr>
          <w:lang w:val="en-GB"/>
        </w:rPr>
        <w:t>Stejfova</w:t>
      </w:r>
      <w:proofErr w:type="spellEnd"/>
    </w:p>
    <w:p w14:paraId="423B8EDB" w14:textId="77777777" w:rsidR="00177829" w:rsidRPr="00276124" w:rsidRDefault="00177829" w:rsidP="00177829">
      <w:pPr>
        <w:spacing w:before="240"/>
        <w:rPr>
          <w:i/>
          <w:lang w:val="es-ES"/>
        </w:rPr>
      </w:pPr>
      <w:r w:rsidRPr="00276124">
        <w:rPr>
          <w:i/>
          <w:lang w:val="es-ES"/>
        </w:rPr>
        <w:t xml:space="preserve">Estonia: </w:t>
      </w:r>
      <w:r w:rsidRPr="00276124">
        <w:rPr>
          <w:lang w:val="es-ES"/>
        </w:rPr>
        <w:t xml:space="preserve">Natalia </w:t>
      </w:r>
      <w:proofErr w:type="spellStart"/>
      <w:r w:rsidRPr="00276124">
        <w:rPr>
          <w:lang w:val="es-ES"/>
        </w:rPr>
        <w:t>Kiseleva</w:t>
      </w:r>
      <w:proofErr w:type="spellEnd"/>
      <w:r w:rsidRPr="00276124">
        <w:rPr>
          <w:lang w:val="es-ES"/>
        </w:rPr>
        <w:t xml:space="preserve">, Lea </w:t>
      </w:r>
      <w:proofErr w:type="spellStart"/>
      <w:r w:rsidRPr="00276124">
        <w:rPr>
          <w:lang w:val="es-ES"/>
        </w:rPr>
        <w:t>Pank</w:t>
      </w:r>
      <w:proofErr w:type="spellEnd"/>
      <w:r w:rsidRPr="00276124">
        <w:rPr>
          <w:lang w:val="es-ES"/>
        </w:rPr>
        <w:t xml:space="preserve">, </w:t>
      </w:r>
      <w:proofErr w:type="spellStart"/>
      <w:r w:rsidRPr="00276124">
        <w:rPr>
          <w:lang w:val="es-ES"/>
        </w:rPr>
        <w:t>Triin</w:t>
      </w:r>
      <w:proofErr w:type="spellEnd"/>
      <w:r w:rsidRPr="00276124">
        <w:rPr>
          <w:lang w:val="es-ES"/>
        </w:rPr>
        <w:t xml:space="preserve"> </w:t>
      </w:r>
      <w:proofErr w:type="spellStart"/>
      <w:r w:rsidRPr="00276124">
        <w:rPr>
          <w:lang w:val="es-ES"/>
        </w:rPr>
        <w:t>Savi</w:t>
      </w:r>
      <w:proofErr w:type="spellEnd"/>
    </w:p>
    <w:p w14:paraId="01E44D77" w14:textId="77777777" w:rsidR="00177829" w:rsidRPr="00276124" w:rsidRDefault="00177829" w:rsidP="00177829">
      <w:pPr>
        <w:spacing w:before="240"/>
        <w:rPr>
          <w:i/>
          <w:lang w:val="es-ES"/>
        </w:rPr>
      </w:pPr>
      <w:r w:rsidRPr="00276124">
        <w:rPr>
          <w:i/>
          <w:lang w:val="es-ES"/>
        </w:rPr>
        <w:t xml:space="preserve">Israel: </w:t>
      </w:r>
      <w:proofErr w:type="spellStart"/>
      <w:r w:rsidRPr="00276124">
        <w:rPr>
          <w:lang w:val="es-ES"/>
        </w:rPr>
        <w:t>Balbir-Gurman</w:t>
      </w:r>
      <w:proofErr w:type="spellEnd"/>
      <w:r w:rsidRPr="00276124">
        <w:rPr>
          <w:lang w:val="es-ES"/>
        </w:rPr>
        <w:t xml:space="preserve"> Alexandra, Howard </w:t>
      </w:r>
      <w:proofErr w:type="spellStart"/>
      <w:r w:rsidRPr="00276124">
        <w:rPr>
          <w:lang w:val="es-ES"/>
        </w:rPr>
        <w:t>Amital</w:t>
      </w:r>
      <w:proofErr w:type="spellEnd"/>
      <w:r w:rsidRPr="00276124">
        <w:rPr>
          <w:lang w:val="es-ES"/>
        </w:rPr>
        <w:t xml:space="preserve">, </w:t>
      </w:r>
      <w:proofErr w:type="spellStart"/>
      <w:r w:rsidRPr="00276124">
        <w:rPr>
          <w:lang w:val="es-ES"/>
        </w:rPr>
        <w:t>Dror</w:t>
      </w:r>
      <w:proofErr w:type="spellEnd"/>
      <w:r w:rsidRPr="00276124">
        <w:rPr>
          <w:lang w:val="es-ES"/>
        </w:rPr>
        <w:t xml:space="preserve"> </w:t>
      </w:r>
      <w:proofErr w:type="spellStart"/>
      <w:r w:rsidRPr="00276124">
        <w:rPr>
          <w:lang w:val="es-ES"/>
        </w:rPr>
        <w:t>Mevorach</w:t>
      </w:r>
      <w:proofErr w:type="spellEnd"/>
      <w:r w:rsidRPr="00276124">
        <w:rPr>
          <w:lang w:val="es-ES"/>
        </w:rPr>
        <w:t xml:space="preserve">, </w:t>
      </w:r>
      <w:proofErr w:type="spellStart"/>
      <w:r w:rsidRPr="00276124">
        <w:rPr>
          <w:lang w:val="es-ES"/>
        </w:rPr>
        <w:t>Itzhak</w:t>
      </w:r>
      <w:proofErr w:type="spellEnd"/>
      <w:r w:rsidRPr="00276124">
        <w:rPr>
          <w:lang w:val="es-ES"/>
        </w:rPr>
        <w:t xml:space="preserve"> A </w:t>
      </w:r>
      <w:proofErr w:type="spellStart"/>
      <w:r w:rsidRPr="00276124">
        <w:rPr>
          <w:lang w:val="es-ES"/>
        </w:rPr>
        <w:t>Rosner</w:t>
      </w:r>
      <w:proofErr w:type="spellEnd"/>
    </w:p>
    <w:p w14:paraId="2E7C82E8" w14:textId="77777777" w:rsidR="00177829" w:rsidRPr="00276124" w:rsidRDefault="00177829" w:rsidP="00177829">
      <w:pPr>
        <w:spacing w:before="240"/>
        <w:rPr>
          <w:i/>
          <w:lang w:val="es-ES"/>
        </w:rPr>
      </w:pPr>
      <w:proofErr w:type="spellStart"/>
      <w:r w:rsidRPr="00276124">
        <w:rPr>
          <w:i/>
          <w:lang w:val="es-ES"/>
        </w:rPr>
        <w:t>Latvia</w:t>
      </w:r>
      <w:proofErr w:type="spellEnd"/>
      <w:r w:rsidRPr="00276124">
        <w:rPr>
          <w:i/>
          <w:lang w:val="es-ES"/>
        </w:rPr>
        <w:t xml:space="preserve">: </w:t>
      </w:r>
      <w:r w:rsidRPr="00276124">
        <w:rPr>
          <w:lang w:val="es-ES"/>
        </w:rPr>
        <w:t xml:space="preserve">Anna </w:t>
      </w:r>
      <w:proofErr w:type="spellStart"/>
      <w:r w:rsidRPr="00276124">
        <w:rPr>
          <w:lang w:val="es-ES"/>
        </w:rPr>
        <w:t>Mihailova</w:t>
      </w:r>
      <w:proofErr w:type="spellEnd"/>
      <w:r w:rsidRPr="00276124">
        <w:rPr>
          <w:lang w:val="es-ES"/>
        </w:rPr>
        <w:t xml:space="preserve">, </w:t>
      </w:r>
      <w:proofErr w:type="spellStart"/>
      <w:r w:rsidRPr="00276124">
        <w:rPr>
          <w:lang w:val="es-ES"/>
        </w:rPr>
        <w:t>Evija</w:t>
      </w:r>
      <w:proofErr w:type="spellEnd"/>
      <w:r w:rsidRPr="00276124">
        <w:rPr>
          <w:lang w:val="es-ES"/>
        </w:rPr>
        <w:t xml:space="preserve"> </w:t>
      </w:r>
      <w:proofErr w:type="spellStart"/>
      <w:r w:rsidRPr="00276124">
        <w:rPr>
          <w:lang w:val="es-ES"/>
        </w:rPr>
        <w:t>Stumbra-Stumberga</w:t>
      </w:r>
      <w:proofErr w:type="spellEnd"/>
    </w:p>
    <w:p w14:paraId="79B6CC5B" w14:textId="77777777" w:rsidR="00177829" w:rsidRPr="00276124" w:rsidRDefault="00177829" w:rsidP="00177829">
      <w:pPr>
        <w:spacing w:before="240"/>
        <w:rPr>
          <w:i/>
          <w:lang w:val="es-ES"/>
        </w:rPr>
      </w:pPr>
      <w:proofErr w:type="spellStart"/>
      <w:r w:rsidRPr="00276124">
        <w:rPr>
          <w:i/>
          <w:lang w:val="es-ES"/>
        </w:rPr>
        <w:t>Lithuania</w:t>
      </w:r>
      <w:proofErr w:type="spellEnd"/>
      <w:r w:rsidRPr="00276124">
        <w:rPr>
          <w:i/>
          <w:lang w:val="es-ES"/>
        </w:rPr>
        <w:t xml:space="preserve">: </w:t>
      </w:r>
      <w:r w:rsidRPr="00276124">
        <w:rPr>
          <w:lang w:val="es-ES"/>
        </w:rPr>
        <w:t xml:space="preserve">Vida </w:t>
      </w:r>
      <w:proofErr w:type="spellStart"/>
      <w:r w:rsidRPr="00276124">
        <w:rPr>
          <w:lang w:val="es-ES"/>
        </w:rPr>
        <w:t>Basijokiene</w:t>
      </w:r>
      <w:proofErr w:type="spellEnd"/>
      <w:r w:rsidRPr="00276124">
        <w:rPr>
          <w:lang w:val="es-ES"/>
        </w:rPr>
        <w:t xml:space="preserve">, </w:t>
      </w:r>
      <w:proofErr w:type="spellStart"/>
      <w:r w:rsidRPr="00276124">
        <w:rPr>
          <w:lang w:val="es-ES"/>
        </w:rPr>
        <w:t>Virginija</w:t>
      </w:r>
      <w:proofErr w:type="spellEnd"/>
      <w:r w:rsidRPr="00276124">
        <w:rPr>
          <w:lang w:val="es-ES"/>
        </w:rPr>
        <w:t xml:space="preserve"> </w:t>
      </w:r>
      <w:proofErr w:type="spellStart"/>
      <w:r w:rsidRPr="00276124">
        <w:rPr>
          <w:lang w:val="es-ES"/>
        </w:rPr>
        <w:t>Lietuvininkiene</w:t>
      </w:r>
      <w:proofErr w:type="spellEnd"/>
      <w:r w:rsidRPr="00276124">
        <w:rPr>
          <w:lang w:val="es-ES"/>
        </w:rPr>
        <w:t xml:space="preserve">, Dalia </w:t>
      </w:r>
      <w:proofErr w:type="spellStart"/>
      <w:r w:rsidRPr="00276124">
        <w:rPr>
          <w:lang w:val="es-ES"/>
        </w:rPr>
        <w:t>Unikiene</w:t>
      </w:r>
      <w:proofErr w:type="spellEnd"/>
    </w:p>
    <w:p w14:paraId="74CABA3D" w14:textId="77777777" w:rsidR="00177829" w:rsidRPr="00276124" w:rsidRDefault="00177829" w:rsidP="00177829">
      <w:pPr>
        <w:spacing w:before="240"/>
        <w:rPr>
          <w:i/>
          <w:lang w:val="es-ES"/>
        </w:rPr>
      </w:pPr>
      <w:proofErr w:type="spellStart"/>
      <w:r w:rsidRPr="00276124">
        <w:rPr>
          <w:i/>
          <w:lang w:val="es-ES"/>
        </w:rPr>
        <w:t>Poland</w:t>
      </w:r>
      <w:proofErr w:type="spellEnd"/>
      <w:r w:rsidRPr="00276124">
        <w:rPr>
          <w:i/>
          <w:lang w:val="es-ES"/>
        </w:rPr>
        <w:t xml:space="preserve">: </w:t>
      </w:r>
      <w:r w:rsidRPr="00276124">
        <w:rPr>
          <w:lang w:val="es-ES"/>
        </w:rPr>
        <w:t xml:space="preserve">Jan </w:t>
      </w:r>
      <w:proofErr w:type="spellStart"/>
      <w:r w:rsidRPr="00276124">
        <w:rPr>
          <w:lang w:val="es-ES"/>
        </w:rPr>
        <w:t>Brzezicki</w:t>
      </w:r>
      <w:proofErr w:type="spellEnd"/>
      <w:r w:rsidRPr="00276124">
        <w:rPr>
          <w:lang w:val="es-ES"/>
        </w:rPr>
        <w:t xml:space="preserve">, Anna M </w:t>
      </w:r>
      <w:proofErr w:type="spellStart"/>
      <w:r w:rsidRPr="00276124">
        <w:rPr>
          <w:lang w:val="es-ES"/>
        </w:rPr>
        <w:t>Dudek</w:t>
      </w:r>
      <w:proofErr w:type="spellEnd"/>
      <w:r w:rsidRPr="00276124">
        <w:rPr>
          <w:lang w:val="es-ES"/>
        </w:rPr>
        <w:t xml:space="preserve">, Maria B </w:t>
      </w:r>
      <w:proofErr w:type="spellStart"/>
      <w:r w:rsidRPr="00276124">
        <w:rPr>
          <w:lang w:val="es-ES"/>
        </w:rPr>
        <w:t>Glowacka-Kulesz</w:t>
      </w:r>
      <w:proofErr w:type="spellEnd"/>
      <w:r w:rsidRPr="00276124">
        <w:rPr>
          <w:lang w:val="es-ES"/>
        </w:rPr>
        <w:t xml:space="preserve">, Barbara </w:t>
      </w:r>
      <w:proofErr w:type="spellStart"/>
      <w:r w:rsidRPr="00276124">
        <w:rPr>
          <w:lang w:val="es-ES"/>
        </w:rPr>
        <w:t>Grabowicz-Wasko</w:t>
      </w:r>
      <w:proofErr w:type="spellEnd"/>
      <w:r w:rsidRPr="00276124">
        <w:rPr>
          <w:lang w:val="es-ES"/>
        </w:rPr>
        <w:t xml:space="preserve">, Sabina </w:t>
      </w:r>
      <w:proofErr w:type="spellStart"/>
      <w:r w:rsidRPr="00276124">
        <w:rPr>
          <w:lang w:val="es-ES"/>
        </w:rPr>
        <w:t>Hajduk-Kubacka</w:t>
      </w:r>
      <w:proofErr w:type="spellEnd"/>
      <w:r w:rsidRPr="00276124">
        <w:rPr>
          <w:lang w:val="es-ES"/>
        </w:rPr>
        <w:t xml:space="preserve">, Joanna </w:t>
      </w:r>
      <w:proofErr w:type="spellStart"/>
      <w:r w:rsidRPr="00276124">
        <w:rPr>
          <w:lang w:val="es-ES"/>
        </w:rPr>
        <w:t>Hilt</w:t>
      </w:r>
      <w:proofErr w:type="spellEnd"/>
      <w:r w:rsidRPr="00276124">
        <w:rPr>
          <w:lang w:val="es-ES"/>
        </w:rPr>
        <w:t xml:space="preserve">, </w:t>
      </w:r>
      <w:proofErr w:type="spellStart"/>
      <w:r w:rsidRPr="00276124">
        <w:rPr>
          <w:lang w:val="es-ES"/>
        </w:rPr>
        <w:t>Pawel</w:t>
      </w:r>
      <w:proofErr w:type="spellEnd"/>
      <w:r w:rsidRPr="00276124">
        <w:rPr>
          <w:lang w:val="es-ES"/>
        </w:rPr>
        <w:t xml:space="preserve"> </w:t>
      </w:r>
      <w:proofErr w:type="spellStart"/>
      <w:r w:rsidRPr="00276124">
        <w:rPr>
          <w:lang w:val="es-ES"/>
        </w:rPr>
        <w:t>Hrycaj</w:t>
      </w:r>
      <w:proofErr w:type="spellEnd"/>
      <w:r w:rsidRPr="00276124">
        <w:rPr>
          <w:lang w:val="es-ES"/>
        </w:rPr>
        <w:t xml:space="preserve">, </w:t>
      </w:r>
      <w:proofErr w:type="spellStart"/>
      <w:r w:rsidRPr="00276124">
        <w:rPr>
          <w:lang w:val="es-ES"/>
        </w:rPr>
        <w:t>Slawomir</w:t>
      </w:r>
      <w:proofErr w:type="spellEnd"/>
      <w:r w:rsidRPr="00276124">
        <w:rPr>
          <w:lang w:val="es-ES"/>
        </w:rPr>
        <w:t xml:space="preserve"> </w:t>
      </w:r>
      <w:proofErr w:type="spellStart"/>
      <w:r w:rsidRPr="00276124">
        <w:rPr>
          <w:lang w:val="es-ES"/>
        </w:rPr>
        <w:t>Jeka</w:t>
      </w:r>
      <w:proofErr w:type="spellEnd"/>
      <w:r w:rsidRPr="00276124">
        <w:rPr>
          <w:lang w:val="es-ES"/>
        </w:rPr>
        <w:t xml:space="preserve">, Renata </w:t>
      </w:r>
      <w:proofErr w:type="spellStart"/>
      <w:r w:rsidRPr="00276124">
        <w:rPr>
          <w:lang w:val="es-ES"/>
        </w:rPr>
        <w:t>Kolasa</w:t>
      </w:r>
      <w:proofErr w:type="spellEnd"/>
      <w:r w:rsidRPr="00276124">
        <w:rPr>
          <w:lang w:val="es-ES"/>
        </w:rPr>
        <w:t xml:space="preserve">, </w:t>
      </w:r>
      <w:proofErr w:type="spellStart"/>
      <w:r w:rsidRPr="00276124">
        <w:rPr>
          <w:lang w:val="es-ES"/>
        </w:rPr>
        <w:t>Marek</w:t>
      </w:r>
      <w:proofErr w:type="spellEnd"/>
      <w:r w:rsidRPr="00276124">
        <w:rPr>
          <w:lang w:val="es-ES"/>
        </w:rPr>
        <w:t xml:space="preserve"> </w:t>
      </w:r>
      <w:proofErr w:type="spellStart"/>
      <w:r w:rsidRPr="00276124">
        <w:rPr>
          <w:lang w:val="es-ES"/>
        </w:rPr>
        <w:t>Krogulec</w:t>
      </w:r>
      <w:proofErr w:type="spellEnd"/>
      <w:r w:rsidRPr="00276124">
        <w:rPr>
          <w:lang w:val="es-ES"/>
        </w:rPr>
        <w:t xml:space="preserve">, </w:t>
      </w:r>
      <w:proofErr w:type="spellStart"/>
      <w:r w:rsidRPr="00276124">
        <w:rPr>
          <w:lang w:val="es-ES"/>
        </w:rPr>
        <w:t>Hanna</w:t>
      </w:r>
      <w:proofErr w:type="spellEnd"/>
      <w:r w:rsidRPr="00276124">
        <w:rPr>
          <w:lang w:val="es-ES"/>
        </w:rPr>
        <w:t xml:space="preserve"> </w:t>
      </w:r>
      <w:proofErr w:type="spellStart"/>
      <w:r w:rsidRPr="00276124">
        <w:rPr>
          <w:lang w:val="es-ES"/>
        </w:rPr>
        <w:t>Mastalerz</w:t>
      </w:r>
      <w:proofErr w:type="spellEnd"/>
      <w:r w:rsidRPr="00276124">
        <w:rPr>
          <w:lang w:val="es-ES"/>
        </w:rPr>
        <w:t xml:space="preserve">, Anna </w:t>
      </w:r>
      <w:proofErr w:type="spellStart"/>
      <w:r w:rsidRPr="00276124">
        <w:rPr>
          <w:lang w:val="es-ES"/>
        </w:rPr>
        <w:t>Olak-Popko</w:t>
      </w:r>
      <w:proofErr w:type="spellEnd"/>
      <w:r w:rsidRPr="00276124">
        <w:rPr>
          <w:lang w:val="es-ES"/>
        </w:rPr>
        <w:t xml:space="preserve">, </w:t>
      </w:r>
      <w:proofErr w:type="spellStart"/>
      <w:r w:rsidRPr="00276124">
        <w:rPr>
          <w:lang w:val="es-ES"/>
        </w:rPr>
        <w:t>Elzbieta</w:t>
      </w:r>
      <w:proofErr w:type="spellEnd"/>
      <w:r w:rsidRPr="00276124">
        <w:rPr>
          <w:lang w:val="es-ES"/>
        </w:rPr>
        <w:t xml:space="preserve"> </w:t>
      </w:r>
      <w:proofErr w:type="spellStart"/>
      <w:r w:rsidRPr="00276124">
        <w:rPr>
          <w:lang w:val="es-ES"/>
        </w:rPr>
        <w:t>Owczarek</w:t>
      </w:r>
      <w:proofErr w:type="spellEnd"/>
      <w:r w:rsidRPr="00276124">
        <w:rPr>
          <w:lang w:val="es-ES"/>
        </w:rPr>
        <w:t xml:space="preserve">, </w:t>
      </w:r>
      <w:proofErr w:type="spellStart"/>
      <w:r w:rsidRPr="00276124">
        <w:rPr>
          <w:lang w:val="es-ES"/>
        </w:rPr>
        <w:t>Zofia</w:t>
      </w:r>
      <w:proofErr w:type="spellEnd"/>
      <w:r w:rsidRPr="00276124">
        <w:rPr>
          <w:lang w:val="es-ES"/>
        </w:rPr>
        <w:t xml:space="preserve"> </w:t>
      </w:r>
      <w:proofErr w:type="spellStart"/>
      <w:r w:rsidRPr="00276124">
        <w:rPr>
          <w:lang w:val="es-ES"/>
        </w:rPr>
        <w:t>Ruzga</w:t>
      </w:r>
      <w:proofErr w:type="spellEnd"/>
      <w:r w:rsidRPr="00276124">
        <w:rPr>
          <w:lang w:val="es-ES"/>
        </w:rPr>
        <w:t xml:space="preserve">, Alina </w:t>
      </w:r>
      <w:proofErr w:type="spellStart"/>
      <w:r w:rsidRPr="00276124">
        <w:rPr>
          <w:lang w:val="es-ES"/>
        </w:rPr>
        <w:t>Walczak</w:t>
      </w:r>
      <w:proofErr w:type="spellEnd"/>
    </w:p>
    <w:p w14:paraId="2057A7AE" w14:textId="77777777" w:rsidR="00177829" w:rsidRPr="00276124" w:rsidRDefault="00177829" w:rsidP="00177829">
      <w:pPr>
        <w:spacing w:before="240"/>
        <w:rPr>
          <w:i/>
          <w:lang w:val="es-ES"/>
        </w:rPr>
      </w:pPr>
      <w:r w:rsidRPr="00276124">
        <w:rPr>
          <w:i/>
          <w:lang w:val="es-ES"/>
        </w:rPr>
        <w:t xml:space="preserve">Romania: </w:t>
      </w:r>
      <w:proofErr w:type="spellStart"/>
      <w:r w:rsidRPr="00276124">
        <w:rPr>
          <w:lang w:val="es-ES"/>
        </w:rPr>
        <w:t>Codrina</w:t>
      </w:r>
      <w:proofErr w:type="spellEnd"/>
      <w:r w:rsidRPr="00276124">
        <w:rPr>
          <w:lang w:val="es-ES"/>
        </w:rPr>
        <w:t xml:space="preserve"> I </w:t>
      </w:r>
      <w:proofErr w:type="spellStart"/>
      <w:r w:rsidRPr="00276124">
        <w:rPr>
          <w:lang w:val="es-ES"/>
        </w:rPr>
        <w:t>Ancuta</w:t>
      </w:r>
      <w:proofErr w:type="spellEnd"/>
      <w:r w:rsidRPr="00276124">
        <w:rPr>
          <w:lang w:val="es-ES"/>
        </w:rPr>
        <w:t xml:space="preserve">, </w:t>
      </w:r>
      <w:proofErr w:type="spellStart"/>
      <w:r w:rsidRPr="00276124">
        <w:rPr>
          <w:lang w:val="es-ES"/>
        </w:rPr>
        <w:t>Ioan</w:t>
      </w:r>
      <w:proofErr w:type="spellEnd"/>
      <w:r w:rsidRPr="00276124">
        <w:rPr>
          <w:lang w:val="es-ES"/>
        </w:rPr>
        <w:t xml:space="preserve"> </w:t>
      </w:r>
      <w:proofErr w:type="spellStart"/>
      <w:r w:rsidRPr="00276124">
        <w:rPr>
          <w:lang w:val="es-ES"/>
        </w:rPr>
        <w:t>Ancuta</w:t>
      </w:r>
      <w:proofErr w:type="spellEnd"/>
      <w:r w:rsidRPr="00276124">
        <w:rPr>
          <w:lang w:val="es-ES"/>
        </w:rPr>
        <w:t xml:space="preserve">, </w:t>
      </w:r>
      <w:proofErr w:type="spellStart"/>
      <w:r w:rsidRPr="00276124">
        <w:rPr>
          <w:lang w:val="es-ES"/>
        </w:rPr>
        <w:t>Andra</w:t>
      </w:r>
      <w:proofErr w:type="spellEnd"/>
      <w:r w:rsidRPr="00276124">
        <w:rPr>
          <w:lang w:val="es-ES"/>
        </w:rPr>
        <w:t xml:space="preserve"> R </w:t>
      </w:r>
      <w:proofErr w:type="spellStart"/>
      <w:r w:rsidRPr="00276124">
        <w:rPr>
          <w:lang w:val="es-ES"/>
        </w:rPr>
        <w:t>Balanescu</w:t>
      </w:r>
      <w:proofErr w:type="spellEnd"/>
      <w:r w:rsidRPr="00276124">
        <w:rPr>
          <w:lang w:val="es-ES"/>
        </w:rPr>
        <w:t xml:space="preserve">, </w:t>
      </w:r>
      <w:proofErr w:type="spellStart"/>
      <w:r w:rsidRPr="00276124">
        <w:rPr>
          <w:lang w:val="es-ES"/>
        </w:rPr>
        <w:t>Florian</w:t>
      </w:r>
      <w:proofErr w:type="spellEnd"/>
      <w:r w:rsidRPr="00276124">
        <w:rPr>
          <w:lang w:val="es-ES"/>
        </w:rPr>
        <w:t xml:space="preserve"> </w:t>
      </w:r>
      <w:proofErr w:type="spellStart"/>
      <w:r w:rsidRPr="00276124">
        <w:rPr>
          <w:lang w:val="es-ES"/>
        </w:rPr>
        <w:t>Berghea</w:t>
      </w:r>
      <w:proofErr w:type="spellEnd"/>
      <w:r w:rsidRPr="00276124">
        <w:rPr>
          <w:lang w:val="es-ES"/>
        </w:rPr>
        <w:t xml:space="preserve">, Silvia </w:t>
      </w:r>
      <w:proofErr w:type="spellStart"/>
      <w:r w:rsidRPr="00276124">
        <w:rPr>
          <w:lang w:val="es-ES"/>
        </w:rPr>
        <w:t>Bojin</w:t>
      </w:r>
      <w:proofErr w:type="spellEnd"/>
      <w:r w:rsidRPr="00276124">
        <w:rPr>
          <w:lang w:val="es-ES"/>
        </w:rPr>
        <w:t xml:space="preserve">, </w:t>
      </w:r>
      <w:proofErr w:type="spellStart"/>
      <w:r w:rsidRPr="00276124">
        <w:rPr>
          <w:lang w:val="es-ES"/>
        </w:rPr>
        <w:t>Mihaela</w:t>
      </w:r>
      <w:proofErr w:type="spellEnd"/>
      <w:r w:rsidRPr="00276124">
        <w:rPr>
          <w:lang w:val="es-ES"/>
        </w:rPr>
        <w:t xml:space="preserve"> A </w:t>
      </w:r>
      <w:proofErr w:type="spellStart"/>
      <w:r w:rsidRPr="00276124">
        <w:rPr>
          <w:lang w:val="es-ES"/>
        </w:rPr>
        <w:t>Ianuli</w:t>
      </w:r>
      <w:proofErr w:type="spellEnd"/>
      <w:r w:rsidRPr="00276124">
        <w:rPr>
          <w:lang w:val="es-ES"/>
        </w:rPr>
        <w:t xml:space="preserve"> </w:t>
      </w:r>
      <w:proofErr w:type="spellStart"/>
      <w:r w:rsidRPr="00276124">
        <w:rPr>
          <w:lang w:val="es-ES"/>
        </w:rPr>
        <w:t>Arvunescu</w:t>
      </w:r>
      <w:proofErr w:type="spellEnd"/>
      <w:r w:rsidRPr="00276124">
        <w:rPr>
          <w:lang w:val="es-ES"/>
        </w:rPr>
        <w:t xml:space="preserve">, </w:t>
      </w:r>
      <w:proofErr w:type="spellStart"/>
      <w:r w:rsidRPr="00276124">
        <w:rPr>
          <w:lang w:val="es-ES"/>
        </w:rPr>
        <w:t>Ruxandra</w:t>
      </w:r>
      <w:proofErr w:type="spellEnd"/>
      <w:r w:rsidRPr="00276124">
        <w:rPr>
          <w:lang w:val="es-ES"/>
        </w:rPr>
        <w:t xml:space="preserve"> M </w:t>
      </w:r>
      <w:proofErr w:type="spellStart"/>
      <w:r w:rsidRPr="00276124">
        <w:rPr>
          <w:lang w:val="es-ES"/>
        </w:rPr>
        <w:t>Ionescu</w:t>
      </w:r>
      <w:proofErr w:type="spellEnd"/>
      <w:r w:rsidRPr="00276124">
        <w:rPr>
          <w:lang w:val="es-ES"/>
        </w:rPr>
        <w:t xml:space="preserve">, Eugenia </w:t>
      </w:r>
      <w:proofErr w:type="spellStart"/>
      <w:r w:rsidRPr="00276124">
        <w:rPr>
          <w:lang w:val="es-ES"/>
        </w:rPr>
        <w:t>Mociran</w:t>
      </w:r>
      <w:proofErr w:type="spellEnd"/>
      <w:r w:rsidRPr="00276124">
        <w:rPr>
          <w:lang w:val="es-ES"/>
        </w:rPr>
        <w:t xml:space="preserve">, Mariana Pavel, Simona </w:t>
      </w:r>
      <w:proofErr w:type="spellStart"/>
      <w:r w:rsidRPr="00276124">
        <w:rPr>
          <w:lang w:val="es-ES"/>
        </w:rPr>
        <w:t>Rednic</w:t>
      </w:r>
      <w:proofErr w:type="spellEnd"/>
      <w:r w:rsidRPr="00276124">
        <w:rPr>
          <w:lang w:val="es-ES"/>
        </w:rPr>
        <w:t xml:space="preserve">, Adriana </w:t>
      </w:r>
      <w:proofErr w:type="spellStart"/>
      <w:r w:rsidRPr="00276124">
        <w:rPr>
          <w:lang w:val="es-ES"/>
        </w:rPr>
        <w:t>Voie</w:t>
      </w:r>
      <w:proofErr w:type="spellEnd"/>
      <w:r w:rsidRPr="00276124">
        <w:rPr>
          <w:lang w:val="es-ES"/>
        </w:rPr>
        <w:t xml:space="preserve">, Carmen M </w:t>
      </w:r>
      <w:proofErr w:type="spellStart"/>
      <w:r w:rsidRPr="00276124">
        <w:rPr>
          <w:lang w:val="es-ES"/>
        </w:rPr>
        <w:t>Zainea</w:t>
      </w:r>
      <w:proofErr w:type="spellEnd"/>
    </w:p>
    <w:p w14:paraId="5DC878E1" w14:textId="77777777" w:rsidR="00177829" w:rsidRPr="00276124" w:rsidRDefault="00177829" w:rsidP="00177829">
      <w:pPr>
        <w:spacing w:before="240"/>
        <w:rPr>
          <w:lang w:val="es-ES"/>
        </w:rPr>
      </w:pPr>
      <w:proofErr w:type="spellStart"/>
      <w:r w:rsidRPr="00276124">
        <w:rPr>
          <w:i/>
          <w:lang w:val="es-ES"/>
        </w:rPr>
        <w:t>Russia</w:t>
      </w:r>
      <w:proofErr w:type="spellEnd"/>
      <w:r w:rsidRPr="00276124">
        <w:rPr>
          <w:i/>
          <w:lang w:val="es-ES"/>
        </w:rPr>
        <w:t xml:space="preserve">: </w:t>
      </w:r>
      <w:r w:rsidRPr="00276124">
        <w:rPr>
          <w:lang w:val="es-ES"/>
        </w:rPr>
        <w:t xml:space="preserve">Olga V </w:t>
      </w:r>
      <w:proofErr w:type="spellStart"/>
      <w:r w:rsidRPr="00276124">
        <w:rPr>
          <w:lang w:val="es-ES"/>
        </w:rPr>
        <w:t>Bugrova</w:t>
      </w:r>
      <w:proofErr w:type="spellEnd"/>
      <w:r w:rsidRPr="00276124">
        <w:rPr>
          <w:lang w:val="es-ES"/>
        </w:rPr>
        <w:t xml:space="preserve">, Alexander </w:t>
      </w:r>
      <w:proofErr w:type="spellStart"/>
      <w:r w:rsidRPr="00276124">
        <w:rPr>
          <w:lang w:val="es-ES"/>
        </w:rPr>
        <w:t>Demin</w:t>
      </w:r>
      <w:proofErr w:type="spellEnd"/>
      <w:r w:rsidRPr="00276124">
        <w:rPr>
          <w:lang w:val="es-ES"/>
        </w:rPr>
        <w:t xml:space="preserve">, Olga B </w:t>
      </w:r>
      <w:proofErr w:type="spellStart"/>
      <w:r w:rsidRPr="00276124">
        <w:rPr>
          <w:lang w:val="es-ES"/>
        </w:rPr>
        <w:t>Ershova</w:t>
      </w:r>
      <w:proofErr w:type="spellEnd"/>
      <w:r w:rsidRPr="00276124">
        <w:rPr>
          <w:lang w:val="es-ES"/>
        </w:rPr>
        <w:t xml:space="preserve">, </w:t>
      </w:r>
      <w:proofErr w:type="spellStart"/>
      <w:r w:rsidRPr="00276124">
        <w:rPr>
          <w:lang w:val="es-ES"/>
        </w:rPr>
        <w:t>Inna</w:t>
      </w:r>
      <w:proofErr w:type="spellEnd"/>
      <w:r w:rsidRPr="00276124">
        <w:rPr>
          <w:lang w:val="es-ES"/>
        </w:rPr>
        <w:t xml:space="preserve"> A </w:t>
      </w:r>
      <w:proofErr w:type="spellStart"/>
      <w:r w:rsidRPr="00276124">
        <w:rPr>
          <w:lang w:val="es-ES"/>
        </w:rPr>
        <w:t>Gavrisheva</w:t>
      </w:r>
      <w:proofErr w:type="spellEnd"/>
      <w:r w:rsidRPr="00276124">
        <w:rPr>
          <w:lang w:val="es-ES"/>
        </w:rPr>
        <w:t xml:space="preserve">, Diana G </w:t>
      </w:r>
      <w:proofErr w:type="spellStart"/>
      <w:r w:rsidRPr="00276124">
        <w:rPr>
          <w:lang w:val="es-ES"/>
        </w:rPr>
        <w:t>Krechikova</w:t>
      </w:r>
      <w:proofErr w:type="spellEnd"/>
      <w:r w:rsidRPr="00276124">
        <w:rPr>
          <w:lang w:val="es-ES"/>
        </w:rPr>
        <w:t xml:space="preserve">, </w:t>
      </w:r>
      <w:proofErr w:type="spellStart"/>
      <w:r w:rsidRPr="00276124">
        <w:rPr>
          <w:lang w:val="es-ES"/>
        </w:rPr>
        <w:t>Gennady</w:t>
      </w:r>
      <w:proofErr w:type="spellEnd"/>
      <w:r w:rsidRPr="00276124">
        <w:rPr>
          <w:lang w:val="es-ES"/>
        </w:rPr>
        <w:t xml:space="preserve"> V </w:t>
      </w:r>
      <w:proofErr w:type="spellStart"/>
      <w:r w:rsidRPr="00276124">
        <w:rPr>
          <w:lang w:val="es-ES"/>
        </w:rPr>
        <w:t>Kuropatkin</w:t>
      </w:r>
      <w:proofErr w:type="spellEnd"/>
      <w:r w:rsidRPr="00276124">
        <w:rPr>
          <w:lang w:val="es-ES"/>
        </w:rPr>
        <w:t xml:space="preserve">, Irina M </w:t>
      </w:r>
      <w:proofErr w:type="spellStart"/>
      <w:r w:rsidRPr="00276124">
        <w:rPr>
          <w:lang w:val="es-ES"/>
        </w:rPr>
        <w:t>Marusenko</w:t>
      </w:r>
      <w:proofErr w:type="spellEnd"/>
      <w:r w:rsidRPr="00276124">
        <w:rPr>
          <w:lang w:val="es-ES"/>
        </w:rPr>
        <w:t xml:space="preserve">, Irina V </w:t>
      </w:r>
      <w:proofErr w:type="spellStart"/>
      <w:r w:rsidRPr="00276124">
        <w:rPr>
          <w:lang w:val="es-ES"/>
        </w:rPr>
        <w:t>Menshikova</w:t>
      </w:r>
      <w:proofErr w:type="spellEnd"/>
      <w:r w:rsidRPr="00276124">
        <w:rPr>
          <w:lang w:val="es-ES"/>
        </w:rPr>
        <w:t xml:space="preserve">, </w:t>
      </w:r>
      <w:proofErr w:type="spellStart"/>
      <w:r w:rsidRPr="00276124">
        <w:rPr>
          <w:lang w:val="es-ES"/>
        </w:rPr>
        <w:t>Sergey</w:t>
      </w:r>
      <w:proofErr w:type="spellEnd"/>
      <w:r w:rsidRPr="00276124">
        <w:rPr>
          <w:lang w:val="es-ES"/>
        </w:rPr>
        <w:t xml:space="preserve"> M </w:t>
      </w:r>
      <w:proofErr w:type="spellStart"/>
      <w:r w:rsidRPr="00276124">
        <w:rPr>
          <w:lang w:val="es-ES"/>
        </w:rPr>
        <w:t>Noskov</w:t>
      </w:r>
      <w:proofErr w:type="spellEnd"/>
      <w:r w:rsidRPr="00276124">
        <w:rPr>
          <w:lang w:val="es-ES"/>
        </w:rPr>
        <w:t xml:space="preserve">, </w:t>
      </w:r>
      <w:proofErr w:type="spellStart"/>
      <w:r w:rsidRPr="00276124">
        <w:rPr>
          <w:lang w:val="es-ES"/>
        </w:rPr>
        <w:t>Andrey</w:t>
      </w:r>
      <w:proofErr w:type="spellEnd"/>
      <w:r w:rsidRPr="00276124">
        <w:rPr>
          <w:lang w:val="es-ES"/>
        </w:rPr>
        <w:t xml:space="preserve"> P </w:t>
      </w:r>
      <w:proofErr w:type="spellStart"/>
      <w:r w:rsidRPr="00276124">
        <w:rPr>
          <w:lang w:val="es-ES"/>
        </w:rPr>
        <w:t>Rebrov</w:t>
      </w:r>
      <w:proofErr w:type="spellEnd"/>
      <w:r w:rsidRPr="00276124">
        <w:rPr>
          <w:lang w:val="es-ES"/>
        </w:rPr>
        <w:t xml:space="preserve">, Svetlana A </w:t>
      </w:r>
      <w:proofErr w:type="spellStart"/>
      <w:r w:rsidRPr="00276124">
        <w:rPr>
          <w:lang w:val="es-ES"/>
        </w:rPr>
        <w:t>Smakotina</w:t>
      </w:r>
      <w:proofErr w:type="spellEnd"/>
      <w:r w:rsidRPr="00276124">
        <w:rPr>
          <w:lang w:val="es-ES"/>
        </w:rPr>
        <w:t xml:space="preserve">, </w:t>
      </w:r>
      <w:proofErr w:type="spellStart"/>
      <w:r w:rsidRPr="00276124">
        <w:rPr>
          <w:lang w:val="es-ES"/>
        </w:rPr>
        <w:t>Sergey</w:t>
      </w:r>
      <w:proofErr w:type="spellEnd"/>
      <w:r w:rsidRPr="00276124">
        <w:rPr>
          <w:lang w:val="es-ES"/>
        </w:rPr>
        <w:t xml:space="preserve"> S </w:t>
      </w:r>
      <w:proofErr w:type="spellStart"/>
      <w:r w:rsidRPr="00276124">
        <w:rPr>
          <w:lang w:val="es-ES"/>
        </w:rPr>
        <w:t>Yakushin</w:t>
      </w:r>
      <w:proofErr w:type="spellEnd"/>
      <w:r w:rsidRPr="00276124">
        <w:rPr>
          <w:lang w:val="es-ES"/>
        </w:rPr>
        <w:t xml:space="preserve">, </w:t>
      </w:r>
      <w:proofErr w:type="spellStart"/>
      <w:r w:rsidRPr="00276124">
        <w:rPr>
          <w:lang w:val="es-ES"/>
        </w:rPr>
        <w:t>Evgeny</w:t>
      </w:r>
      <w:proofErr w:type="spellEnd"/>
      <w:r w:rsidRPr="00276124">
        <w:rPr>
          <w:lang w:val="es-ES"/>
        </w:rPr>
        <w:t xml:space="preserve"> </w:t>
      </w:r>
      <w:proofErr w:type="spellStart"/>
      <w:r w:rsidRPr="00276124">
        <w:rPr>
          <w:lang w:val="es-ES"/>
        </w:rPr>
        <w:t>Zhilyaev</w:t>
      </w:r>
      <w:proofErr w:type="spellEnd"/>
    </w:p>
    <w:p w14:paraId="6ED23231" w14:textId="77777777" w:rsidR="00177829" w:rsidRPr="00276124" w:rsidRDefault="00177829" w:rsidP="00177829">
      <w:pPr>
        <w:spacing w:before="240"/>
        <w:rPr>
          <w:lang w:val="es-ES"/>
        </w:rPr>
      </w:pPr>
      <w:proofErr w:type="spellStart"/>
      <w:r w:rsidRPr="00276124">
        <w:rPr>
          <w:i/>
          <w:lang w:val="es-ES"/>
        </w:rPr>
        <w:t>Spain</w:t>
      </w:r>
      <w:proofErr w:type="spellEnd"/>
      <w:r w:rsidRPr="00276124">
        <w:rPr>
          <w:lang w:val="es-ES"/>
        </w:rPr>
        <w:t xml:space="preserve">: Juan </w:t>
      </w:r>
      <w:proofErr w:type="spellStart"/>
      <w:r w:rsidRPr="00276124">
        <w:rPr>
          <w:lang w:val="es-ES"/>
        </w:rPr>
        <w:t>Jose</w:t>
      </w:r>
      <w:proofErr w:type="spellEnd"/>
      <w:r w:rsidRPr="00276124">
        <w:rPr>
          <w:lang w:val="es-ES"/>
        </w:rPr>
        <w:t xml:space="preserve"> </w:t>
      </w:r>
      <w:proofErr w:type="spellStart"/>
      <w:r w:rsidRPr="00276124">
        <w:rPr>
          <w:lang w:val="es-ES"/>
        </w:rPr>
        <w:t>Amarelo</w:t>
      </w:r>
      <w:proofErr w:type="spellEnd"/>
      <w:r w:rsidRPr="00276124">
        <w:rPr>
          <w:lang w:val="es-ES"/>
        </w:rPr>
        <w:t xml:space="preserve"> Ramos, Francisco Javier Blanco </w:t>
      </w:r>
      <w:proofErr w:type="spellStart"/>
      <w:r w:rsidRPr="00276124">
        <w:rPr>
          <w:lang w:val="es-ES"/>
        </w:rPr>
        <w:t>Garcia</w:t>
      </w:r>
      <w:proofErr w:type="spellEnd"/>
      <w:r w:rsidRPr="00276124">
        <w:rPr>
          <w:lang w:val="es-ES"/>
        </w:rPr>
        <w:t xml:space="preserve">, Antonio </w:t>
      </w:r>
      <w:proofErr w:type="spellStart"/>
      <w:r w:rsidRPr="00276124">
        <w:rPr>
          <w:lang w:val="es-ES"/>
        </w:rPr>
        <w:t>Fernandez</w:t>
      </w:r>
      <w:proofErr w:type="spellEnd"/>
      <w:r w:rsidRPr="00276124">
        <w:rPr>
          <w:lang w:val="es-ES"/>
        </w:rPr>
        <w:t xml:space="preserve"> </w:t>
      </w:r>
      <w:proofErr w:type="spellStart"/>
      <w:r w:rsidRPr="00276124">
        <w:rPr>
          <w:lang w:val="es-ES"/>
        </w:rPr>
        <w:t>Nebro</w:t>
      </w:r>
      <w:proofErr w:type="spellEnd"/>
      <w:r w:rsidRPr="00276124">
        <w:rPr>
          <w:lang w:val="es-ES"/>
        </w:rPr>
        <w:t xml:space="preserve">, Silvia </w:t>
      </w:r>
      <w:proofErr w:type="spellStart"/>
      <w:r w:rsidRPr="00276124">
        <w:rPr>
          <w:lang w:val="es-ES"/>
        </w:rPr>
        <w:t>Perez</w:t>
      </w:r>
      <w:proofErr w:type="spellEnd"/>
      <w:r w:rsidRPr="00276124">
        <w:rPr>
          <w:lang w:val="es-ES"/>
        </w:rPr>
        <w:t xml:space="preserve"> Esteban, Juan Miguel </w:t>
      </w:r>
      <w:proofErr w:type="spellStart"/>
      <w:r w:rsidRPr="00276124">
        <w:rPr>
          <w:lang w:val="es-ES"/>
        </w:rPr>
        <w:t>Sanchez</w:t>
      </w:r>
      <w:proofErr w:type="spellEnd"/>
      <w:r w:rsidRPr="00276124">
        <w:rPr>
          <w:lang w:val="es-ES"/>
        </w:rPr>
        <w:t xml:space="preserve"> </w:t>
      </w:r>
      <w:proofErr w:type="spellStart"/>
      <w:r w:rsidRPr="00276124">
        <w:rPr>
          <w:lang w:val="es-ES"/>
        </w:rPr>
        <w:t>Burson</w:t>
      </w:r>
      <w:proofErr w:type="spellEnd"/>
      <w:r w:rsidRPr="00276124">
        <w:rPr>
          <w:lang w:val="es-ES"/>
        </w:rPr>
        <w:t xml:space="preserve">, Raimon </w:t>
      </w:r>
      <w:proofErr w:type="spellStart"/>
      <w:r w:rsidRPr="00276124">
        <w:rPr>
          <w:lang w:val="es-ES"/>
        </w:rPr>
        <w:t>Sanmarti</w:t>
      </w:r>
      <w:proofErr w:type="spellEnd"/>
      <w:r w:rsidRPr="00276124">
        <w:rPr>
          <w:lang w:val="es-ES"/>
        </w:rPr>
        <w:t xml:space="preserve"> Sala</w:t>
      </w:r>
    </w:p>
    <w:p w14:paraId="10DC7591" w14:textId="77777777" w:rsidR="00177829" w:rsidRPr="00851A9D" w:rsidRDefault="00177829" w:rsidP="00177829">
      <w:pPr>
        <w:spacing w:before="240"/>
        <w:rPr>
          <w:i/>
          <w:lang w:val="en-GB"/>
        </w:rPr>
      </w:pPr>
      <w:r w:rsidRPr="00851A9D">
        <w:rPr>
          <w:i/>
          <w:lang w:val="en-GB"/>
        </w:rPr>
        <w:t xml:space="preserve">Turkey: </w:t>
      </w:r>
      <w:proofErr w:type="spellStart"/>
      <w:r w:rsidRPr="00851A9D">
        <w:rPr>
          <w:lang w:val="en-GB"/>
        </w:rPr>
        <w:t>Sebnem</w:t>
      </w:r>
      <w:proofErr w:type="spellEnd"/>
      <w:r w:rsidRPr="00851A9D">
        <w:rPr>
          <w:lang w:val="en-GB"/>
        </w:rPr>
        <w:t xml:space="preserve"> Ataman, Sami </w:t>
      </w:r>
      <w:proofErr w:type="spellStart"/>
      <w:r w:rsidRPr="00851A9D">
        <w:rPr>
          <w:lang w:val="en-GB"/>
        </w:rPr>
        <w:t>Hizmetli</w:t>
      </w:r>
      <w:proofErr w:type="spellEnd"/>
      <w:r w:rsidRPr="00851A9D">
        <w:rPr>
          <w:lang w:val="en-GB"/>
        </w:rPr>
        <w:t xml:space="preserve">, Omer </w:t>
      </w:r>
      <w:proofErr w:type="spellStart"/>
      <w:r w:rsidRPr="00851A9D">
        <w:rPr>
          <w:lang w:val="en-GB"/>
        </w:rPr>
        <w:t>Kuru</w:t>
      </w:r>
      <w:proofErr w:type="spellEnd"/>
    </w:p>
    <w:p w14:paraId="74970793" w14:textId="77777777" w:rsidR="00177829" w:rsidRPr="00376E45" w:rsidRDefault="00177829" w:rsidP="00177829">
      <w:pPr>
        <w:spacing w:before="240"/>
        <w:rPr>
          <w:i/>
          <w:lang w:val="en-GB"/>
        </w:rPr>
      </w:pPr>
      <w:r w:rsidRPr="00376E45">
        <w:rPr>
          <w:i/>
          <w:lang w:val="en-GB"/>
        </w:rPr>
        <w:t xml:space="preserve">United Kingdom: </w:t>
      </w:r>
      <w:r w:rsidRPr="00376E45">
        <w:rPr>
          <w:lang w:val="en-GB"/>
        </w:rPr>
        <w:t xml:space="preserve">Karen M Douglas, Paul Emery, Robert J Moots, </w:t>
      </w:r>
      <w:proofErr w:type="spellStart"/>
      <w:r w:rsidRPr="00376E45">
        <w:rPr>
          <w:lang w:val="en-GB"/>
        </w:rPr>
        <w:t>Voon</w:t>
      </w:r>
      <w:proofErr w:type="spellEnd"/>
      <w:r w:rsidRPr="00376E45">
        <w:rPr>
          <w:lang w:val="en-GB"/>
        </w:rPr>
        <w:t xml:space="preserve"> H Ong, Thomas P </w:t>
      </w:r>
      <w:proofErr w:type="spellStart"/>
      <w:r w:rsidRPr="00376E45">
        <w:rPr>
          <w:lang w:val="en-GB"/>
        </w:rPr>
        <w:t>Sheeran</w:t>
      </w:r>
      <w:proofErr w:type="spellEnd"/>
    </w:p>
    <w:p w14:paraId="610A92AE" w14:textId="77777777" w:rsidR="00177829" w:rsidRPr="00276124" w:rsidRDefault="00177829" w:rsidP="00177829">
      <w:pPr>
        <w:spacing w:before="240"/>
        <w:rPr>
          <w:b/>
          <w:i/>
          <w:lang w:val="es-ES"/>
        </w:rPr>
      </w:pPr>
      <w:r w:rsidRPr="00276124">
        <w:rPr>
          <w:b/>
          <w:i/>
          <w:lang w:val="es-ES"/>
        </w:rPr>
        <w:t xml:space="preserve">North </w:t>
      </w:r>
      <w:proofErr w:type="spellStart"/>
      <w:r w:rsidRPr="00276124">
        <w:rPr>
          <w:b/>
          <w:i/>
          <w:lang w:val="es-ES"/>
        </w:rPr>
        <w:t>America</w:t>
      </w:r>
      <w:proofErr w:type="spellEnd"/>
    </w:p>
    <w:p w14:paraId="6DA9F5D9" w14:textId="77777777" w:rsidR="00177829" w:rsidRPr="00276124" w:rsidRDefault="00177829" w:rsidP="00177829">
      <w:pPr>
        <w:spacing w:before="240"/>
        <w:rPr>
          <w:lang w:val="es-ES"/>
        </w:rPr>
      </w:pPr>
      <w:proofErr w:type="spellStart"/>
      <w:r w:rsidRPr="00276124">
        <w:rPr>
          <w:i/>
          <w:lang w:val="es-ES"/>
        </w:rPr>
        <w:t>Canada</w:t>
      </w:r>
      <w:proofErr w:type="spellEnd"/>
      <w:r w:rsidRPr="00276124">
        <w:rPr>
          <w:i/>
          <w:lang w:val="es-ES"/>
        </w:rPr>
        <w:t xml:space="preserve">: </w:t>
      </w:r>
      <w:proofErr w:type="spellStart"/>
      <w:r w:rsidRPr="00276124">
        <w:rPr>
          <w:lang w:val="es-ES"/>
        </w:rPr>
        <w:t>Rafat</w:t>
      </w:r>
      <w:proofErr w:type="spellEnd"/>
      <w:r w:rsidRPr="00276124">
        <w:rPr>
          <w:lang w:val="es-ES"/>
        </w:rPr>
        <w:t xml:space="preserve"> Y </w:t>
      </w:r>
      <w:proofErr w:type="spellStart"/>
      <w:r w:rsidRPr="00276124">
        <w:rPr>
          <w:lang w:val="es-ES"/>
        </w:rPr>
        <w:t>Faraawi</w:t>
      </w:r>
      <w:proofErr w:type="spellEnd"/>
      <w:r w:rsidRPr="00276124">
        <w:rPr>
          <w:lang w:val="es-ES"/>
        </w:rPr>
        <w:t xml:space="preserve">, </w:t>
      </w:r>
      <w:proofErr w:type="spellStart"/>
      <w:r w:rsidRPr="00276124">
        <w:rPr>
          <w:lang w:val="es-ES"/>
        </w:rPr>
        <w:t>Clode</w:t>
      </w:r>
      <w:proofErr w:type="spellEnd"/>
      <w:r w:rsidRPr="00276124">
        <w:rPr>
          <w:lang w:val="es-ES"/>
        </w:rPr>
        <w:t xml:space="preserve"> </w:t>
      </w:r>
      <w:proofErr w:type="spellStart"/>
      <w:r w:rsidRPr="00276124">
        <w:rPr>
          <w:lang w:val="es-ES"/>
        </w:rPr>
        <w:t>Lessard</w:t>
      </w:r>
      <w:proofErr w:type="spellEnd"/>
    </w:p>
    <w:p w14:paraId="2C498177" w14:textId="77777777" w:rsidR="00177829" w:rsidRPr="00276124" w:rsidRDefault="00177829" w:rsidP="00177829">
      <w:pPr>
        <w:spacing w:before="240"/>
        <w:rPr>
          <w:i/>
          <w:lang w:val="es-ES"/>
        </w:rPr>
      </w:pPr>
      <w:proofErr w:type="spellStart"/>
      <w:r w:rsidRPr="00276124">
        <w:rPr>
          <w:i/>
          <w:lang w:val="es-ES"/>
        </w:rPr>
        <w:t>Mexico</w:t>
      </w:r>
      <w:proofErr w:type="spellEnd"/>
      <w:r w:rsidRPr="00276124">
        <w:rPr>
          <w:i/>
          <w:lang w:val="es-ES"/>
        </w:rPr>
        <w:t xml:space="preserve">: </w:t>
      </w:r>
      <w:r w:rsidRPr="00276124">
        <w:rPr>
          <w:lang w:val="es-ES"/>
        </w:rPr>
        <w:t xml:space="preserve">Carlos </w:t>
      </w:r>
      <w:proofErr w:type="spellStart"/>
      <w:r w:rsidRPr="00276124">
        <w:rPr>
          <w:lang w:val="es-ES"/>
        </w:rPr>
        <w:t>Abud</w:t>
      </w:r>
      <w:proofErr w:type="spellEnd"/>
      <w:r w:rsidRPr="00276124">
        <w:rPr>
          <w:lang w:val="es-ES"/>
        </w:rPr>
        <w:t xml:space="preserve"> Mendoza, Hilario Ernesto </w:t>
      </w:r>
      <w:proofErr w:type="spellStart"/>
      <w:r w:rsidRPr="00276124">
        <w:rPr>
          <w:lang w:val="es-ES"/>
        </w:rPr>
        <w:t>Avila</w:t>
      </w:r>
      <w:proofErr w:type="spellEnd"/>
      <w:r w:rsidRPr="00276124">
        <w:rPr>
          <w:lang w:val="es-ES"/>
        </w:rPr>
        <w:t xml:space="preserve"> - Armengol, Francisco I </w:t>
      </w:r>
      <w:proofErr w:type="spellStart"/>
      <w:r w:rsidRPr="00276124">
        <w:rPr>
          <w:lang w:val="es-ES"/>
        </w:rPr>
        <w:t>Avila</w:t>
      </w:r>
      <w:proofErr w:type="spellEnd"/>
      <w:r w:rsidRPr="00276124">
        <w:rPr>
          <w:lang w:val="es-ES"/>
        </w:rPr>
        <w:t xml:space="preserve"> Zapata, Fedra Consuelo </w:t>
      </w:r>
      <w:proofErr w:type="spellStart"/>
      <w:r w:rsidRPr="00276124">
        <w:rPr>
          <w:lang w:val="es-ES"/>
        </w:rPr>
        <w:t>Irazoque-Palazuelos</w:t>
      </w:r>
      <w:proofErr w:type="spellEnd"/>
      <w:r w:rsidRPr="00276124">
        <w:rPr>
          <w:lang w:val="es-ES"/>
        </w:rPr>
        <w:t xml:space="preserve">, Marco Antonio </w:t>
      </w:r>
      <w:proofErr w:type="spellStart"/>
      <w:r w:rsidRPr="00276124">
        <w:rPr>
          <w:lang w:val="es-ES"/>
        </w:rPr>
        <w:t>Maradiaga</w:t>
      </w:r>
      <w:proofErr w:type="spellEnd"/>
      <w:r w:rsidRPr="00276124">
        <w:rPr>
          <w:lang w:val="es-ES"/>
        </w:rPr>
        <w:t xml:space="preserve"> </w:t>
      </w:r>
      <w:proofErr w:type="spellStart"/>
      <w:r w:rsidRPr="00276124">
        <w:rPr>
          <w:lang w:val="es-ES"/>
        </w:rPr>
        <w:t>Cecena</w:t>
      </w:r>
      <w:proofErr w:type="spellEnd"/>
      <w:r w:rsidRPr="00276124">
        <w:rPr>
          <w:lang w:val="es-ES"/>
        </w:rPr>
        <w:t>, Cesar F Pacheco-Tena, Juan C Rizo-</w:t>
      </w:r>
      <w:proofErr w:type="spellStart"/>
      <w:r w:rsidRPr="00276124">
        <w:rPr>
          <w:lang w:val="es-ES"/>
        </w:rPr>
        <w:t>Rodriguez</w:t>
      </w:r>
      <w:proofErr w:type="spellEnd"/>
      <w:r w:rsidRPr="00276124">
        <w:rPr>
          <w:lang w:val="es-ES"/>
        </w:rPr>
        <w:t xml:space="preserve">, Isaura M </w:t>
      </w:r>
      <w:proofErr w:type="spellStart"/>
      <w:r w:rsidRPr="00276124">
        <w:rPr>
          <w:lang w:val="es-ES"/>
        </w:rPr>
        <w:t>Rodriguez</w:t>
      </w:r>
      <w:proofErr w:type="spellEnd"/>
      <w:r w:rsidRPr="00276124">
        <w:rPr>
          <w:lang w:val="es-ES"/>
        </w:rPr>
        <w:t>-Torres</w:t>
      </w:r>
    </w:p>
    <w:p w14:paraId="1AF880FC" w14:textId="44E721DA" w:rsidR="00177829" w:rsidRPr="00276124" w:rsidRDefault="00177829" w:rsidP="00177829">
      <w:pPr>
        <w:spacing w:before="240"/>
        <w:rPr>
          <w:lang w:val="es-ES"/>
        </w:rPr>
      </w:pPr>
      <w:proofErr w:type="spellStart"/>
      <w:r w:rsidRPr="00276124">
        <w:rPr>
          <w:i/>
          <w:lang w:val="es-ES"/>
        </w:rPr>
        <w:t>United</w:t>
      </w:r>
      <w:proofErr w:type="spellEnd"/>
      <w:r w:rsidRPr="00276124">
        <w:rPr>
          <w:i/>
          <w:lang w:val="es-ES"/>
        </w:rPr>
        <w:t xml:space="preserve"> </w:t>
      </w:r>
      <w:proofErr w:type="spellStart"/>
      <w:r w:rsidRPr="00276124">
        <w:rPr>
          <w:i/>
          <w:lang w:val="es-ES"/>
        </w:rPr>
        <w:t>States</w:t>
      </w:r>
      <w:proofErr w:type="spellEnd"/>
      <w:r w:rsidRPr="00276124">
        <w:rPr>
          <w:i/>
          <w:lang w:val="es-ES"/>
        </w:rPr>
        <w:t xml:space="preserve">: </w:t>
      </w:r>
      <w:r w:rsidRPr="00276124">
        <w:rPr>
          <w:lang w:val="es-ES"/>
        </w:rPr>
        <w:t xml:space="preserve">Jacob A </w:t>
      </w:r>
      <w:proofErr w:type="spellStart"/>
      <w:r w:rsidRPr="00276124">
        <w:rPr>
          <w:lang w:val="es-ES"/>
        </w:rPr>
        <w:t>Aelion</w:t>
      </w:r>
      <w:proofErr w:type="spellEnd"/>
      <w:r w:rsidRPr="00276124">
        <w:rPr>
          <w:lang w:val="es-ES"/>
        </w:rPr>
        <w:t xml:space="preserve">, Barbara A </w:t>
      </w:r>
      <w:proofErr w:type="spellStart"/>
      <w:r w:rsidRPr="00276124">
        <w:rPr>
          <w:lang w:val="es-ES"/>
        </w:rPr>
        <w:t>Caciolo</w:t>
      </w:r>
      <w:proofErr w:type="spellEnd"/>
      <w:r w:rsidRPr="00276124">
        <w:rPr>
          <w:lang w:val="es-ES"/>
        </w:rPr>
        <w:t xml:space="preserve">, James M Calmes, </w:t>
      </w:r>
      <w:proofErr w:type="spellStart"/>
      <w:r w:rsidRPr="00276124">
        <w:rPr>
          <w:lang w:val="es-ES"/>
        </w:rPr>
        <w:t>Prem</w:t>
      </w:r>
      <w:proofErr w:type="spellEnd"/>
      <w:r w:rsidRPr="00276124">
        <w:rPr>
          <w:lang w:val="es-ES"/>
        </w:rPr>
        <w:t xml:space="preserve"> </w:t>
      </w:r>
      <w:proofErr w:type="spellStart"/>
      <w:r w:rsidRPr="00276124">
        <w:rPr>
          <w:lang w:val="es-ES"/>
        </w:rPr>
        <w:t>Chatpar</w:t>
      </w:r>
      <w:proofErr w:type="spellEnd"/>
      <w:r w:rsidRPr="00276124">
        <w:rPr>
          <w:lang w:val="es-ES"/>
        </w:rPr>
        <w:t xml:space="preserve">, </w:t>
      </w:r>
      <w:proofErr w:type="spellStart"/>
      <w:r w:rsidRPr="00276124">
        <w:rPr>
          <w:lang w:val="es-ES"/>
        </w:rPr>
        <w:t>Nimesh</w:t>
      </w:r>
      <w:proofErr w:type="spellEnd"/>
      <w:r w:rsidRPr="00276124">
        <w:rPr>
          <w:lang w:val="es-ES"/>
        </w:rPr>
        <w:t xml:space="preserve"> </w:t>
      </w:r>
      <w:proofErr w:type="spellStart"/>
      <w:r w:rsidRPr="00276124">
        <w:rPr>
          <w:lang w:val="es-ES"/>
        </w:rPr>
        <w:t>Dayal</w:t>
      </w:r>
      <w:proofErr w:type="spellEnd"/>
      <w:r w:rsidRPr="00276124">
        <w:rPr>
          <w:lang w:val="es-ES"/>
        </w:rPr>
        <w:t xml:space="preserve">, Alex De </w:t>
      </w:r>
      <w:proofErr w:type="spellStart"/>
      <w:r w:rsidRPr="00276124">
        <w:rPr>
          <w:lang w:val="es-ES"/>
        </w:rPr>
        <w:t>Jesus</w:t>
      </w:r>
      <w:proofErr w:type="spellEnd"/>
      <w:r w:rsidRPr="00276124">
        <w:rPr>
          <w:lang w:val="es-ES"/>
        </w:rPr>
        <w:t xml:space="preserve">, Ara H </w:t>
      </w:r>
      <w:proofErr w:type="spellStart"/>
      <w:r w:rsidRPr="00276124">
        <w:rPr>
          <w:lang w:val="es-ES"/>
        </w:rPr>
        <w:t>Dikranian</w:t>
      </w:r>
      <w:proofErr w:type="spellEnd"/>
      <w:r w:rsidRPr="00276124">
        <w:rPr>
          <w:lang w:val="es-ES"/>
        </w:rPr>
        <w:t xml:space="preserve">, </w:t>
      </w:r>
      <w:proofErr w:type="spellStart"/>
      <w:r w:rsidRPr="00276124">
        <w:rPr>
          <w:lang w:val="es-ES"/>
        </w:rPr>
        <w:t>Erdal</w:t>
      </w:r>
      <w:proofErr w:type="spellEnd"/>
      <w:r w:rsidRPr="00276124">
        <w:rPr>
          <w:lang w:val="es-ES"/>
        </w:rPr>
        <w:t xml:space="preserve"> </w:t>
      </w:r>
      <w:proofErr w:type="spellStart"/>
      <w:r w:rsidRPr="00276124">
        <w:rPr>
          <w:lang w:val="es-ES"/>
        </w:rPr>
        <w:t>Diri</w:t>
      </w:r>
      <w:proofErr w:type="spellEnd"/>
      <w:r w:rsidRPr="00276124">
        <w:rPr>
          <w:lang w:val="es-ES"/>
        </w:rPr>
        <w:t xml:space="preserve">, Michael J Fairfax, Ira F </w:t>
      </w:r>
      <w:proofErr w:type="spellStart"/>
      <w:r w:rsidRPr="00276124">
        <w:rPr>
          <w:lang w:val="es-ES"/>
        </w:rPr>
        <w:t>Fenton</w:t>
      </w:r>
      <w:proofErr w:type="spellEnd"/>
      <w:r w:rsidRPr="00276124">
        <w:rPr>
          <w:lang w:val="es-ES"/>
        </w:rPr>
        <w:t xml:space="preserve">, Roy M Fleischmann, Norman B </w:t>
      </w:r>
      <w:proofErr w:type="spellStart"/>
      <w:r w:rsidRPr="00276124">
        <w:rPr>
          <w:lang w:val="es-ES"/>
        </w:rPr>
        <w:t>Gaylis</w:t>
      </w:r>
      <w:proofErr w:type="spellEnd"/>
      <w:r w:rsidRPr="00276124">
        <w:rPr>
          <w:lang w:val="es-ES"/>
        </w:rPr>
        <w:t xml:space="preserve">, Ronald L George, Dale G </w:t>
      </w:r>
      <w:proofErr w:type="spellStart"/>
      <w:r w:rsidRPr="00276124">
        <w:rPr>
          <w:lang w:val="es-ES"/>
        </w:rPr>
        <w:t>Halter</w:t>
      </w:r>
      <w:proofErr w:type="spellEnd"/>
      <w:r w:rsidRPr="00276124">
        <w:rPr>
          <w:lang w:val="es-ES"/>
        </w:rPr>
        <w:t xml:space="preserve">, Paul </w:t>
      </w:r>
      <w:proofErr w:type="spellStart"/>
      <w:r w:rsidRPr="00276124">
        <w:rPr>
          <w:lang w:val="es-ES"/>
        </w:rPr>
        <w:t>Hernandez</w:t>
      </w:r>
      <w:proofErr w:type="spellEnd"/>
      <w:r w:rsidRPr="00276124">
        <w:rPr>
          <w:lang w:val="es-ES"/>
        </w:rPr>
        <w:t xml:space="preserve">, Susan A </w:t>
      </w:r>
      <w:proofErr w:type="spellStart"/>
      <w:r w:rsidRPr="00276124">
        <w:rPr>
          <w:lang w:val="es-ES"/>
        </w:rPr>
        <w:t>Hole</w:t>
      </w:r>
      <w:proofErr w:type="spellEnd"/>
      <w:r w:rsidRPr="00276124">
        <w:rPr>
          <w:lang w:val="es-ES"/>
        </w:rPr>
        <w:t xml:space="preserve">, </w:t>
      </w:r>
      <w:proofErr w:type="spellStart"/>
      <w:r w:rsidRPr="00276124">
        <w:rPr>
          <w:lang w:val="es-ES"/>
        </w:rPr>
        <w:t>Antony</w:t>
      </w:r>
      <w:proofErr w:type="spellEnd"/>
      <w:r w:rsidRPr="00276124">
        <w:rPr>
          <w:lang w:val="es-ES"/>
        </w:rPr>
        <w:t xml:space="preserve"> C </w:t>
      </w:r>
      <w:proofErr w:type="spellStart"/>
      <w:r w:rsidRPr="00276124">
        <w:rPr>
          <w:lang w:val="es-ES"/>
        </w:rPr>
        <w:t>Hou</w:t>
      </w:r>
      <w:proofErr w:type="spellEnd"/>
      <w:r w:rsidRPr="00276124">
        <w:rPr>
          <w:lang w:val="es-ES"/>
        </w:rPr>
        <w:t xml:space="preserve">, John P </w:t>
      </w:r>
      <w:proofErr w:type="spellStart"/>
      <w:r w:rsidRPr="00276124">
        <w:rPr>
          <w:lang w:val="es-ES"/>
        </w:rPr>
        <w:t>Huff</w:t>
      </w:r>
      <w:proofErr w:type="spellEnd"/>
      <w:r w:rsidRPr="00276124">
        <w:rPr>
          <w:lang w:val="es-ES"/>
        </w:rPr>
        <w:t xml:space="preserve">, Suzanne </w:t>
      </w:r>
      <w:proofErr w:type="spellStart"/>
      <w:r w:rsidRPr="00276124">
        <w:rPr>
          <w:lang w:val="es-ES"/>
        </w:rPr>
        <w:t>Kafaja</w:t>
      </w:r>
      <w:proofErr w:type="spellEnd"/>
      <w:r w:rsidRPr="00276124">
        <w:rPr>
          <w:lang w:val="es-ES"/>
        </w:rPr>
        <w:t xml:space="preserve">, </w:t>
      </w:r>
      <w:proofErr w:type="spellStart"/>
      <w:r w:rsidRPr="00276124">
        <w:rPr>
          <w:lang w:val="es-ES"/>
        </w:rPr>
        <w:t>Alastair</w:t>
      </w:r>
      <w:proofErr w:type="spellEnd"/>
      <w:r w:rsidRPr="00276124">
        <w:rPr>
          <w:lang w:val="es-ES"/>
        </w:rPr>
        <w:t xml:space="preserve"> C Kennedy, Howard </w:t>
      </w:r>
      <w:proofErr w:type="spellStart"/>
      <w:r w:rsidRPr="00276124">
        <w:rPr>
          <w:lang w:val="es-ES"/>
        </w:rPr>
        <w:t>Kenney</w:t>
      </w:r>
      <w:proofErr w:type="spellEnd"/>
      <w:r w:rsidRPr="00276124">
        <w:rPr>
          <w:lang w:val="es-ES"/>
        </w:rPr>
        <w:t xml:space="preserve">, Steven C </w:t>
      </w:r>
      <w:proofErr w:type="spellStart"/>
      <w:r w:rsidRPr="00276124">
        <w:rPr>
          <w:lang w:val="es-ES"/>
        </w:rPr>
        <w:t>Kimmel</w:t>
      </w:r>
      <w:proofErr w:type="spellEnd"/>
      <w:r w:rsidRPr="00276124">
        <w:rPr>
          <w:lang w:val="es-ES"/>
        </w:rPr>
        <w:t xml:space="preserve">, Brian S </w:t>
      </w:r>
      <w:proofErr w:type="spellStart"/>
      <w:r w:rsidRPr="00276124">
        <w:rPr>
          <w:lang w:val="es-ES"/>
        </w:rPr>
        <w:t>Kirby</w:t>
      </w:r>
      <w:proofErr w:type="spellEnd"/>
      <w:r w:rsidRPr="00276124">
        <w:rPr>
          <w:lang w:val="es-ES"/>
        </w:rPr>
        <w:t xml:space="preserve">, Alan J Kivitz, </w:t>
      </w:r>
      <w:proofErr w:type="spellStart"/>
      <w:r w:rsidRPr="00276124">
        <w:rPr>
          <w:lang w:val="es-ES"/>
        </w:rPr>
        <w:t>Clarence</w:t>
      </w:r>
      <w:proofErr w:type="spellEnd"/>
      <w:r w:rsidRPr="00276124">
        <w:rPr>
          <w:lang w:val="es-ES"/>
        </w:rPr>
        <w:t xml:space="preserve"> W </w:t>
      </w:r>
      <w:proofErr w:type="spellStart"/>
      <w:r w:rsidRPr="00276124">
        <w:rPr>
          <w:lang w:val="es-ES"/>
        </w:rPr>
        <w:t>Legerton</w:t>
      </w:r>
      <w:proofErr w:type="spellEnd"/>
      <w:r w:rsidRPr="00276124">
        <w:rPr>
          <w:lang w:val="es-ES"/>
        </w:rPr>
        <w:t xml:space="preserve">, Stephen M </w:t>
      </w:r>
      <w:proofErr w:type="spellStart"/>
      <w:r w:rsidRPr="00276124">
        <w:rPr>
          <w:lang w:val="es-ES"/>
        </w:rPr>
        <w:t>Lindsey</w:t>
      </w:r>
      <w:proofErr w:type="spellEnd"/>
      <w:r w:rsidRPr="00276124">
        <w:rPr>
          <w:lang w:val="es-ES"/>
        </w:rPr>
        <w:t xml:space="preserve">, </w:t>
      </w:r>
      <w:proofErr w:type="spellStart"/>
      <w:r w:rsidRPr="00276124">
        <w:rPr>
          <w:lang w:val="es-ES"/>
        </w:rPr>
        <w:t>Jyothi</w:t>
      </w:r>
      <w:proofErr w:type="spellEnd"/>
      <w:r w:rsidRPr="00276124">
        <w:rPr>
          <w:lang w:val="es-ES"/>
        </w:rPr>
        <w:t xml:space="preserve"> R </w:t>
      </w:r>
      <w:proofErr w:type="spellStart"/>
      <w:r w:rsidRPr="00276124">
        <w:rPr>
          <w:lang w:val="es-ES"/>
        </w:rPr>
        <w:t>Mallepalli</w:t>
      </w:r>
      <w:proofErr w:type="spellEnd"/>
      <w:r w:rsidRPr="00276124">
        <w:rPr>
          <w:lang w:val="es-ES"/>
        </w:rPr>
        <w:t xml:space="preserve">, Steven D </w:t>
      </w:r>
      <w:proofErr w:type="spellStart"/>
      <w:r w:rsidRPr="00276124">
        <w:rPr>
          <w:lang w:val="es-ES"/>
        </w:rPr>
        <w:t>Mathews</w:t>
      </w:r>
      <w:proofErr w:type="spellEnd"/>
      <w:r w:rsidRPr="00276124">
        <w:rPr>
          <w:lang w:val="es-ES"/>
        </w:rPr>
        <w:t xml:space="preserve">, </w:t>
      </w:r>
      <w:proofErr w:type="spellStart"/>
      <w:r w:rsidRPr="00276124">
        <w:rPr>
          <w:lang w:val="es-ES"/>
        </w:rPr>
        <w:t>Samy</w:t>
      </w:r>
      <w:proofErr w:type="spellEnd"/>
      <w:r w:rsidRPr="00276124">
        <w:rPr>
          <w:lang w:val="es-ES"/>
        </w:rPr>
        <w:t xml:space="preserve"> K </w:t>
      </w:r>
      <w:proofErr w:type="spellStart"/>
      <w:r w:rsidRPr="00276124">
        <w:rPr>
          <w:lang w:val="es-ES"/>
        </w:rPr>
        <w:t>Metyas</w:t>
      </w:r>
      <w:proofErr w:type="spellEnd"/>
      <w:r w:rsidRPr="00276124">
        <w:rPr>
          <w:lang w:val="es-ES"/>
        </w:rPr>
        <w:t xml:space="preserve">, Wesley T </w:t>
      </w:r>
      <w:proofErr w:type="spellStart"/>
      <w:r w:rsidRPr="00276124">
        <w:rPr>
          <w:lang w:val="es-ES"/>
        </w:rPr>
        <w:t>Mizutani</w:t>
      </w:r>
      <w:proofErr w:type="spellEnd"/>
      <w:r w:rsidRPr="00276124">
        <w:rPr>
          <w:lang w:val="es-ES"/>
        </w:rPr>
        <w:t xml:space="preserve">, </w:t>
      </w:r>
      <w:proofErr w:type="spellStart"/>
      <w:r w:rsidRPr="00276124">
        <w:rPr>
          <w:lang w:val="es-ES"/>
        </w:rPr>
        <w:t>Sabeen</w:t>
      </w:r>
      <w:proofErr w:type="spellEnd"/>
      <w:r w:rsidRPr="00276124">
        <w:rPr>
          <w:lang w:val="es-ES"/>
        </w:rPr>
        <w:t xml:space="preserve"> </w:t>
      </w:r>
      <w:proofErr w:type="spellStart"/>
      <w:r w:rsidRPr="00276124">
        <w:rPr>
          <w:lang w:val="es-ES"/>
        </w:rPr>
        <w:t>Najam</w:t>
      </w:r>
      <w:proofErr w:type="spellEnd"/>
      <w:r w:rsidRPr="00276124">
        <w:rPr>
          <w:lang w:val="es-ES"/>
        </w:rPr>
        <w:t xml:space="preserve">, Joao M </w:t>
      </w:r>
      <w:proofErr w:type="spellStart"/>
      <w:r w:rsidRPr="00276124">
        <w:rPr>
          <w:lang w:val="es-ES"/>
        </w:rPr>
        <w:t>Nascimento</w:t>
      </w:r>
      <w:proofErr w:type="spellEnd"/>
      <w:r w:rsidRPr="00276124">
        <w:rPr>
          <w:lang w:val="es-ES"/>
        </w:rPr>
        <w:t xml:space="preserve">, Shirley W </w:t>
      </w:r>
      <w:proofErr w:type="spellStart"/>
      <w:r w:rsidRPr="00276124">
        <w:rPr>
          <w:lang w:val="es-ES"/>
        </w:rPr>
        <w:t>Pang</w:t>
      </w:r>
      <w:proofErr w:type="spellEnd"/>
      <w:r w:rsidRPr="00276124">
        <w:rPr>
          <w:lang w:val="es-ES"/>
        </w:rPr>
        <w:t xml:space="preserve">, </w:t>
      </w:r>
      <w:proofErr w:type="spellStart"/>
      <w:r w:rsidRPr="00276124">
        <w:rPr>
          <w:lang w:val="es-ES"/>
        </w:rPr>
        <w:t>Rakesh</w:t>
      </w:r>
      <w:proofErr w:type="spellEnd"/>
      <w:r w:rsidRPr="00276124">
        <w:rPr>
          <w:lang w:val="es-ES"/>
        </w:rPr>
        <w:t xml:space="preserve"> C Patel, Jeffrey E </w:t>
      </w:r>
      <w:proofErr w:type="spellStart"/>
      <w:r w:rsidRPr="00276124">
        <w:rPr>
          <w:lang w:val="es-ES"/>
        </w:rPr>
        <w:t>Poiley</w:t>
      </w:r>
      <w:proofErr w:type="spellEnd"/>
      <w:r w:rsidRPr="00276124">
        <w:rPr>
          <w:lang w:val="es-ES"/>
        </w:rPr>
        <w:t xml:space="preserve">, Carlos E </w:t>
      </w:r>
      <w:proofErr w:type="spellStart"/>
      <w:r w:rsidRPr="00276124">
        <w:rPr>
          <w:lang w:val="es-ES"/>
        </w:rPr>
        <w:t>Ramirez</w:t>
      </w:r>
      <w:proofErr w:type="spellEnd"/>
      <w:r w:rsidRPr="00276124">
        <w:rPr>
          <w:lang w:val="es-ES"/>
        </w:rPr>
        <w:t xml:space="preserve">, </w:t>
      </w:r>
      <w:proofErr w:type="spellStart"/>
      <w:r w:rsidRPr="00276124">
        <w:rPr>
          <w:lang w:val="es-ES"/>
        </w:rPr>
        <w:t>Riteesha</w:t>
      </w:r>
      <w:proofErr w:type="spellEnd"/>
      <w:r w:rsidRPr="00276124">
        <w:rPr>
          <w:lang w:val="es-ES"/>
        </w:rPr>
        <w:t xml:space="preserve"> </w:t>
      </w:r>
      <w:proofErr w:type="spellStart"/>
      <w:r w:rsidRPr="00276124">
        <w:rPr>
          <w:lang w:val="es-ES"/>
        </w:rPr>
        <w:t>Reddy</w:t>
      </w:r>
      <w:proofErr w:type="spellEnd"/>
      <w:r w:rsidRPr="00276124">
        <w:rPr>
          <w:lang w:val="es-ES"/>
        </w:rPr>
        <w:t xml:space="preserve">, </w:t>
      </w:r>
      <w:proofErr w:type="spellStart"/>
      <w:r w:rsidRPr="00276124">
        <w:rPr>
          <w:lang w:val="es-ES"/>
        </w:rPr>
        <w:t>Qaiser</w:t>
      </w:r>
      <w:proofErr w:type="spellEnd"/>
      <w:r w:rsidRPr="00276124">
        <w:rPr>
          <w:lang w:val="es-ES"/>
        </w:rPr>
        <w:t xml:space="preserve"> </w:t>
      </w:r>
      <w:proofErr w:type="spellStart"/>
      <w:r w:rsidRPr="00276124">
        <w:rPr>
          <w:lang w:val="es-ES"/>
        </w:rPr>
        <w:t>Rehman</w:t>
      </w:r>
      <w:proofErr w:type="spellEnd"/>
      <w:r w:rsidRPr="00276124">
        <w:rPr>
          <w:lang w:val="es-ES"/>
        </w:rPr>
        <w:t xml:space="preserve">, William M </w:t>
      </w:r>
      <w:proofErr w:type="spellStart"/>
      <w:r w:rsidRPr="00276124">
        <w:rPr>
          <w:lang w:val="es-ES"/>
        </w:rPr>
        <w:t>Schnitz</w:t>
      </w:r>
      <w:proofErr w:type="spellEnd"/>
      <w:r w:rsidRPr="00276124">
        <w:rPr>
          <w:lang w:val="es-ES"/>
        </w:rPr>
        <w:t xml:space="preserve">, Craig D </w:t>
      </w:r>
      <w:proofErr w:type="spellStart"/>
      <w:r w:rsidRPr="00276124">
        <w:rPr>
          <w:lang w:val="es-ES"/>
        </w:rPr>
        <w:t>Scoville</w:t>
      </w:r>
      <w:proofErr w:type="spellEnd"/>
      <w:r w:rsidRPr="00276124">
        <w:rPr>
          <w:lang w:val="es-ES"/>
        </w:rPr>
        <w:t xml:space="preserve">, William J </w:t>
      </w:r>
      <w:proofErr w:type="spellStart"/>
      <w:r w:rsidRPr="00276124">
        <w:rPr>
          <w:lang w:val="es-ES"/>
        </w:rPr>
        <w:t>Shergy</w:t>
      </w:r>
      <w:proofErr w:type="spellEnd"/>
      <w:r w:rsidRPr="00276124">
        <w:rPr>
          <w:lang w:val="es-ES"/>
        </w:rPr>
        <w:t xml:space="preserve">, Joel C </w:t>
      </w:r>
      <w:proofErr w:type="spellStart"/>
      <w:r w:rsidRPr="00276124">
        <w:rPr>
          <w:lang w:val="es-ES"/>
        </w:rPr>
        <w:t>Silverfield</w:t>
      </w:r>
      <w:proofErr w:type="spellEnd"/>
      <w:r w:rsidRPr="00276124">
        <w:rPr>
          <w:lang w:val="es-ES"/>
        </w:rPr>
        <w:t xml:space="preserve">, </w:t>
      </w:r>
      <w:proofErr w:type="spellStart"/>
      <w:r w:rsidRPr="00276124">
        <w:rPr>
          <w:lang w:val="es-ES"/>
        </w:rPr>
        <w:t>Atul</w:t>
      </w:r>
      <w:proofErr w:type="spellEnd"/>
      <w:r w:rsidRPr="00276124">
        <w:rPr>
          <w:lang w:val="es-ES"/>
        </w:rPr>
        <w:t xml:space="preserve"> K </w:t>
      </w:r>
      <w:proofErr w:type="spellStart"/>
      <w:r w:rsidRPr="00276124">
        <w:rPr>
          <w:lang w:val="es-ES"/>
        </w:rPr>
        <w:t>Singhal</w:t>
      </w:r>
      <w:proofErr w:type="spellEnd"/>
      <w:r w:rsidRPr="00276124">
        <w:rPr>
          <w:lang w:val="es-ES"/>
        </w:rPr>
        <w:t xml:space="preserve">, </w:t>
      </w:r>
      <w:proofErr w:type="spellStart"/>
      <w:r w:rsidRPr="00276124">
        <w:rPr>
          <w:lang w:val="es-ES"/>
        </w:rPr>
        <w:t>Yvonne</w:t>
      </w:r>
      <w:proofErr w:type="spellEnd"/>
      <w:r w:rsidRPr="00276124">
        <w:rPr>
          <w:lang w:val="es-ES"/>
        </w:rPr>
        <w:t xml:space="preserve"> R </w:t>
      </w:r>
      <w:proofErr w:type="spellStart"/>
      <w:r w:rsidRPr="00276124">
        <w:rPr>
          <w:lang w:val="es-ES"/>
        </w:rPr>
        <w:t>Smallwood-Sherrer</w:t>
      </w:r>
      <w:proofErr w:type="spellEnd"/>
      <w:r w:rsidRPr="00276124">
        <w:rPr>
          <w:lang w:val="es-ES"/>
        </w:rPr>
        <w:t xml:space="preserve">, </w:t>
      </w:r>
      <w:proofErr w:type="spellStart"/>
      <w:r w:rsidRPr="00276124">
        <w:rPr>
          <w:lang w:val="es-ES"/>
        </w:rPr>
        <w:t>Suthin</w:t>
      </w:r>
      <w:proofErr w:type="spellEnd"/>
      <w:r w:rsidRPr="00276124">
        <w:rPr>
          <w:lang w:val="es-ES"/>
        </w:rPr>
        <w:t xml:space="preserve"> N </w:t>
      </w:r>
      <w:proofErr w:type="spellStart"/>
      <w:r w:rsidRPr="00276124">
        <w:rPr>
          <w:lang w:val="es-ES"/>
        </w:rPr>
        <w:t>Songcharoen</w:t>
      </w:r>
      <w:proofErr w:type="spellEnd"/>
      <w:r w:rsidRPr="00276124">
        <w:rPr>
          <w:lang w:val="es-ES"/>
        </w:rPr>
        <w:t xml:space="preserve">, Michael T </w:t>
      </w:r>
      <w:proofErr w:type="spellStart"/>
      <w:r w:rsidRPr="00276124">
        <w:rPr>
          <w:lang w:val="es-ES"/>
        </w:rPr>
        <w:t>Stack</w:t>
      </w:r>
      <w:proofErr w:type="spellEnd"/>
      <w:r w:rsidRPr="00276124">
        <w:rPr>
          <w:lang w:val="es-ES"/>
        </w:rPr>
        <w:t xml:space="preserve">, William </w:t>
      </w:r>
      <w:proofErr w:type="spellStart"/>
      <w:r w:rsidRPr="00276124">
        <w:rPr>
          <w:lang w:val="es-ES"/>
        </w:rPr>
        <w:t>Stohl</w:t>
      </w:r>
      <w:proofErr w:type="spellEnd"/>
      <w:r w:rsidRPr="00276124">
        <w:rPr>
          <w:lang w:val="es-ES"/>
        </w:rPr>
        <w:t xml:space="preserve">, </w:t>
      </w:r>
      <w:proofErr w:type="spellStart"/>
      <w:r w:rsidRPr="00276124">
        <w:rPr>
          <w:lang w:val="es-ES"/>
        </w:rPr>
        <w:t>Tien</w:t>
      </w:r>
      <w:proofErr w:type="spellEnd"/>
      <w:r w:rsidRPr="00276124">
        <w:rPr>
          <w:lang w:val="es-ES"/>
        </w:rPr>
        <w:t xml:space="preserve">-I K Su, James </w:t>
      </w:r>
      <w:proofErr w:type="spellStart"/>
      <w:r w:rsidRPr="00276124">
        <w:rPr>
          <w:lang w:val="es-ES"/>
        </w:rPr>
        <w:t>Udell</w:t>
      </w:r>
      <w:proofErr w:type="spellEnd"/>
      <w:r w:rsidRPr="00276124">
        <w:rPr>
          <w:lang w:val="es-ES"/>
        </w:rPr>
        <w:t xml:space="preserve">, </w:t>
      </w:r>
      <w:proofErr w:type="spellStart"/>
      <w:r w:rsidRPr="00276124">
        <w:rPr>
          <w:lang w:val="es-ES"/>
        </w:rPr>
        <w:t>Saleem</w:t>
      </w:r>
      <w:proofErr w:type="spellEnd"/>
      <w:r w:rsidRPr="00276124">
        <w:rPr>
          <w:lang w:val="es-ES"/>
        </w:rPr>
        <w:t xml:space="preserve"> </w:t>
      </w:r>
      <w:proofErr w:type="spellStart"/>
      <w:r w:rsidRPr="00276124">
        <w:rPr>
          <w:lang w:val="es-ES"/>
        </w:rPr>
        <w:t>Waraich</w:t>
      </w:r>
      <w:proofErr w:type="spellEnd"/>
      <w:r w:rsidRPr="00276124">
        <w:rPr>
          <w:lang w:val="es-ES"/>
        </w:rPr>
        <w:t xml:space="preserve">, Charles E </w:t>
      </w:r>
      <w:proofErr w:type="spellStart"/>
      <w:r w:rsidRPr="00276124">
        <w:rPr>
          <w:lang w:val="es-ES"/>
        </w:rPr>
        <w:t>Weidmann</w:t>
      </w:r>
      <w:proofErr w:type="spellEnd"/>
      <w:r w:rsidRPr="00276124">
        <w:rPr>
          <w:lang w:val="es-ES"/>
        </w:rPr>
        <w:t xml:space="preserve">, </w:t>
      </w:r>
      <w:proofErr w:type="spellStart"/>
      <w:r w:rsidRPr="00276124">
        <w:rPr>
          <w:lang w:val="es-ES"/>
        </w:rPr>
        <w:t>Nathan</w:t>
      </w:r>
      <w:proofErr w:type="spellEnd"/>
      <w:r w:rsidRPr="00276124">
        <w:rPr>
          <w:lang w:val="es-ES"/>
        </w:rPr>
        <w:t xml:space="preserve"> </w:t>
      </w:r>
      <w:proofErr w:type="spellStart"/>
      <w:r w:rsidRPr="00276124">
        <w:rPr>
          <w:lang w:val="es-ES"/>
        </w:rPr>
        <w:t>Wei</w:t>
      </w:r>
      <w:proofErr w:type="spellEnd"/>
      <w:r w:rsidRPr="00276124">
        <w:rPr>
          <w:lang w:val="es-ES"/>
        </w:rPr>
        <w:t xml:space="preserve">, Craig W </w:t>
      </w:r>
      <w:proofErr w:type="spellStart"/>
      <w:r w:rsidRPr="00276124">
        <w:rPr>
          <w:lang w:val="es-ES"/>
        </w:rPr>
        <w:t>Wiesenhutter</w:t>
      </w:r>
      <w:proofErr w:type="spellEnd"/>
      <w:r w:rsidRPr="00276124">
        <w:rPr>
          <w:lang w:val="es-ES"/>
        </w:rPr>
        <w:t xml:space="preserve">, Anne E </w:t>
      </w:r>
      <w:proofErr w:type="spellStart"/>
      <w:r w:rsidRPr="00276124">
        <w:rPr>
          <w:lang w:val="es-ES"/>
        </w:rPr>
        <w:t>Winkler</w:t>
      </w:r>
      <w:proofErr w:type="spellEnd"/>
      <w:r w:rsidRPr="00276124">
        <w:rPr>
          <w:lang w:val="es-ES"/>
        </w:rPr>
        <w:t xml:space="preserve">, Karen E </w:t>
      </w:r>
      <w:proofErr w:type="spellStart"/>
      <w:r w:rsidRPr="00276124">
        <w:rPr>
          <w:lang w:val="es-ES"/>
        </w:rPr>
        <w:t>Zagar</w:t>
      </w:r>
      <w:proofErr w:type="spellEnd"/>
    </w:p>
    <w:p w14:paraId="4A78F35A" w14:textId="77777777" w:rsidR="00177829" w:rsidRPr="00276124" w:rsidRDefault="00177829" w:rsidP="00177829">
      <w:pPr>
        <w:keepNext/>
        <w:spacing w:before="240"/>
        <w:rPr>
          <w:b/>
          <w:i/>
          <w:lang w:val="es-ES"/>
        </w:rPr>
      </w:pPr>
      <w:r w:rsidRPr="00276124">
        <w:rPr>
          <w:b/>
          <w:i/>
          <w:lang w:val="es-ES"/>
        </w:rPr>
        <w:t xml:space="preserve">South </w:t>
      </w:r>
      <w:proofErr w:type="spellStart"/>
      <w:r w:rsidRPr="00276124">
        <w:rPr>
          <w:b/>
          <w:i/>
          <w:lang w:val="es-ES"/>
        </w:rPr>
        <w:t>America</w:t>
      </w:r>
      <w:proofErr w:type="spellEnd"/>
    </w:p>
    <w:p w14:paraId="1D1C9931" w14:textId="77777777" w:rsidR="00177829" w:rsidRPr="00276124" w:rsidRDefault="00177829" w:rsidP="00177829">
      <w:pPr>
        <w:spacing w:before="240"/>
        <w:rPr>
          <w:i/>
          <w:lang w:val="es-ES"/>
        </w:rPr>
      </w:pPr>
      <w:r w:rsidRPr="00276124">
        <w:rPr>
          <w:i/>
          <w:lang w:val="es-ES"/>
        </w:rPr>
        <w:t xml:space="preserve">Argentina: </w:t>
      </w:r>
      <w:r w:rsidRPr="00276124">
        <w:rPr>
          <w:lang w:val="es-ES"/>
        </w:rPr>
        <w:t xml:space="preserve">Alberto Berman, Eduardo F Mysler, Rodolfo A Pardo Hidalgo, Horacio O </w:t>
      </w:r>
      <w:proofErr w:type="spellStart"/>
      <w:r w:rsidRPr="00276124">
        <w:rPr>
          <w:lang w:val="es-ES"/>
        </w:rPr>
        <w:t>Venarotti</w:t>
      </w:r>
      <w:proofErr w:type="spellEnd"/>
    </w:p>
    <w:p w14:paraId="6D2DA9F1" w14:textId="77777777" w:rsidR="00177829" w:rsidRPr="00276124" w:rsidRDefault="00177829" w:rsidP="00177829">
      <w:pPr>
        <w:spacing w:before="240"/>
        <w:rPr>
          <w:i/>
          <w:lang w:val="es-ES"/>
        </w:rPr>
      </w:pPr>
      <w:r w:rsidRPr="00276124">
        <w:rPr>
          <w:i/>
          <w:lang w:val="es-ES"/>
        </w:rPr>
        <w:t xml:space="preserve">Chile: </w:t>
      </w:r>
      <w:proofErr w:type="spellStart"/>
      <w:r w:rsidRPr="00276124">
        <w:rPr>
          <w:lang w:val="es-ES"/>
        </w:rPr>
        <w:t>Irmgadt</w:t>
      </w:r>
      <w:proofErr w:type="spellEnd"/>
      <w:r w:rsidRPr="00276124">
        <w:rPr>
          <w:lang w:val="es-ES"/>
        </w:rPr>
        <w:t xml:space="preserve"> </w:t>
      </w:r>
      <w:proofErr w:type="spellStart"/>
      <w:r w:rsidRPr="00276124">
        <w:rPr>
          <w:lang w:val="es-ES"/>
        </w:rPr>
        <w:t>Annelise</w:t>
      </w:r>
      <w:proofErr w:type="spellEnd"/>
      <w:r w:rsidRPr="00276124">
        <w:rPr>
          <w:lang w:val="es-ES"/>
        </w:rPr>
        <w:t xml:space="preserve"> </w:t>
      </w:r>
      <w:proofErr w:type="spellStart"/>
      <w:r w:rsidRPr="00276124">
        <w:rPr>
          <w:lang w:val="es-ES"/>
        </w:rPr>
        <w:t>Goecke</w:t>
      </w:r>
      <w:proofErr w:type="spellEnd"/>
      <w:r w:rsidRPr="00276124">
        <w:rPr>
          <w:lang w:val="es-ES"/>
        </w:rPr>
        <w:t xml:space="preserve"> </w:t>
      </w:r>
      <w:proofErr w:type="spellStart"/>
      <w:r w:rsidRPr="00276124">
        <w:rPr>
          <w:lang w:val="es-ES"/>
        </w:rPr>
        <w:t>Sariego</w:t>
      </w:r>
      <w:proofErr w:type="spellEnd"/>
      <w:r w:rsidRPr="00276124">
        <w:rPr>
          <w:lang w:val="es-ES"/>
        </w:rPr>
        <w:t xml:space="preserve">, Renato E </w:t>
      </w:r>
      <w:proofErr w:type="spellStart"/>
      <w:r w:rsidRPr="00276124">
        <w:rPr>
          <w:lang w:val="es-ES"/>
        </w:rPr>
        <w:t>Jimenez</w:t>
      </w:r>
      <w:proofErr w:type="spellEnd"/>
      <w:r w:rsidRPr="00276124">
        <w:rPr>
          <w:lang w:val="es-ES"/>
        </w:rPr>
        <w:t xml:space="preserve"> </w:t>
      </w:r>
      <w:proofErr w:type="spellStart"/>
      <w:r w:rsidRPr="00276124">
        <w:rPr>
          <w:lang w:val="es-ES"/>
        </w:rPr>
        <w:t>Calabresse</w:t>
      </w:r>
      <w:proofErr w:type="spellEnd"/>
      <w:r w:rsidRPr="00276124">
        <w:rPr>
          <w:lang w:val="es-ES"/>
        </w:rPr>
        <w:t>, Juan Ignacio Vargas Ruiz-Tagle</w:t>
      </w:r>
    </w:p>
    <w:p w14:paraId="0BDD64C9" w14:textId="77777777" w:rsidR="00177829" w:rsidRPr="00276124" w:rsidRDefault="00177829" w:rsidP="00177829">
      <w:pPr>
        <w:spacing w:before="240"/>
        <w:rPr>
          <w:lang w:val="es-ES"/>
        </w:rPr>
      </w:pPr>
      <w:proofErr w:type="spellStart"/>
      <w:r w:rsidRPr="00276124">
        <w:rPr>
          <w:i/>
          <w:lang w:val="es-ES"/>
        </w:rPr>
        <w:t>Peru</w:t>
      </w:r>
      <w:proofErr w:type="spellEnd"/>
      <w:r w:rsidRPr="00276124">
        <w:rPr>
          <w:i/>
          <w:lang w:val="es-ES"/>
        </w:rPr>
        <w:t xml:space="preserve">: </w:t>
      </w:r>
      <w:r w:rsidRPr="00276124">
        <w:rPr>
          <w:lang w:val="es-ES"/>
        </w:rPr>
        <w:t xml:space="preserve">Luis Fernando M </w:t>
      </w:r>
      <w:proofErr w:type="spellStart"/>
      <w:r w:rsidRPr="00276124">
        <w:rPr>
          <w:lang w:val="es-ES"/>
        </w:rPr>
        <w:t>Bellatin</w:t>
      </w:r>
      <w:proofErr w:type="spellEnd"/>
      <w:r w:rsidRPr="00276124">
        <w:rPr>
          <w:lang w:val="es-ES"/>
        </w:rPr>
        <w:t xml:space="preserve"> Vargas, Alfredo E Berrocal, Manuel Gustavo </w:t>
      </w:r>
      <w:proofErr w:type="spellStart"/>
      <w:r w:rsidRPr="00276124">
        <w:rPr>
          <w:lang w:val="es-ES"/>
        </w:rPr>
        <w:t>Leon</w:t>
      </w:r>
      <w:proofErr w:type="spellEnd"/>
      <w:r w:rsidRPr="00276124">
        <w:rPr>
          <w:lang w:val="es-ES"/>
        </w:rPr>
        <w:t xml:space="preserve"> Portocarrero, Felix </w:t>
      </w:r>
      <w:proofErr w:type="spellStart"/>
      <w:r w:rsidRPr="00276124">
        <w:rPr>
          <w:lang w:val="es-ES"/>
        </w:rPr>
        <w:t>Jesus</w:t>
      </w:r>
      <w:proofErr w:type="spellEnd"/>
      <w:r w:rsidRPr="00276124">
        <w:rPr>
          <w:lang w:val="es-ES"/>
        </w:rPr>
        <w:t xml:space="preserve"> Romero Pena</w:t>
      </w:r>
    </w:p>
    <w:p w14:paraId="47702B97" w14:textId="77777777" w:rsidR="00177829" w:rsidRPr="00276124" w:rsidRDefault="00177829" w:rsidP="00177829">
      <w:pPr>
        <w:spacing w:before="240"/>
        <w:rPr>
          <w:lang w:val="es-ES"/>
        </w:rPr>
      </w:pPr>
      <w:r w:rsidRPr="00276124">
        <w:rPr>
          <w:lang w:val="es-ES"/>
        </w:rPr>
        <w:br w:type="page"/>
      </w:r>
    </w:p>
    <w:p w14:paraId="35451F04" w14:textId="77777777" w:rsidR="00177829" w:rsidRPr="00376E45" w:rsidRDefault="00177829" w:rsidP="00177829">
      <w:pPr>
        <w:spacing w:before="240"/>
        <w:rPr>
          <w:b/>
          <w:lang w:val="en-GB"/>
        </w:rPr>
      </w:pPr>
      <w:r w:rsidRPr="00376E45">
        <w:rPr>
          <w:b/>
          <w:lang w:val="en-GB"/>
        </w:rPr>
        <w:t>Section 2. Complete patient selection criteria</w:t>
      </w:r>
    </w:p>
    <w:p w14:paraId="37C3AA28" w14:textId="77777777" w:rsidR="00177829" w:rsidRPr="00376E45" w:rsidRDefault="00177829" w:rsidP="00177829">
      <w:pPr>
        <w:spacing w:before="240"/>
        <w:rPr>
          <w:lang w:val="en-GB"/>
        </w:rPr>
      </w:pPr>
      <w:r w:rsidRPr="00376E45">
        <w:rPr>
          <w:lang w:val="en-GB"/>
        </w:rPr>
        <w:t>Patients who were enrolled into ORAL Strategy had to meet the following inclusion criteria:</w:t>
      </w:r>
    </w:p>
    <w:p w14:paraId="686381DE" w14:textId="77346A4F" w:rsidR="00177829" w:rsidRPr="00376E45" w:rsidRDefault="00177829" w:rsidP="00177829">
      <w:pPr>
        <w:pStyle w:val="ListParagraph"/>
        <w:numPr>
          <w:ilvl w:val="0"/>
          <w:numId w:val="26"/>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Evidence of personally signe</w:t>
      </w:r>
      <w:r w:rsidR="00675D68" w:rsidRPr="00376E45">
        <w:rPr>
          <w:rFonts w:ascii="Times New Roman" w:hAnsi="Times New Roman"/>
          <w:sz w:val="24"/>
          <w:szCs w:val="24"/>
          <w:lang w:val="en-GB"/>
        </w:rPr>
        <w:t xml:space="preserve">d and dated informed consent </w:t>
      </w:r>
      <w:r w:rsidR="00570B42" w:rsidRPr="00376E45">
        <w:rPr>
          <w:rFonts w:ascii="Times New Roman" w:hAnsi="Times New Roman"/>
          <w:sz w:val="24"/>
          <w:szCs w:val="24"/>
          <w:lang w:val="en-GB"/>
        </w:rPr>
        <w:t xml:space="preserve">form </w:t>
      </w:r>
      <w:r w:rsidR="00675D68" w:rsidRPr="00376E45">
        <w:rPr>
          <w:rFonts w:ascii="Times New Roman" w:hAnsi="Times New Roman"/>
          <w:sz w:val="24"/>
          <w:szCs w:val="24"/>
          <w:lang w:val="en-GB"/>
        </w:rPr>
        <w:t>fro</w:t>
      </w:r>
      <w:r w:rsidRPr="00376E45">
        <w:rPr>
          <w:rFonts w:ascii="Times New Roman" w:hAnsi="Times New Roman"/>
          <w:sz w:val="24"/>
          <w:szCs w:val="24"/>
          <w:lang w:val="en-GB"/>
        </w:rPr>
        <w:t>m the patient or legally acceptable representative</w:t>
      </w:r>
    </w:p>
    <w:p w14:paraId="4C7A0A79" w14:textId="77777777" w:rsidR="00177829" w:rsidRPr="00376E45" w:rsidRDefault="00177829" w:rsidP="00177829">
      <w:pPr>
        <w:pStyle w:val="ListParagraph"/>
        <w:numPr>
          <w:ilvl w:val="0"/>
          <w:numId w:val="26"/>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Aged ≥18 years old</w:t>
      </w:r>
    </w:p>
    <w:p w14:paraId="00F0A239" w14:textId="37A8C142" w:rsidR="00177829" w:rsidRPr="00376E45" w:rsidRDefault="00177829" w:rsidP="00177829">
      <w:pPr>
        <w:pStyle w:val="ListParagraph"/>
        <w:numPr>
          <w:ilvl w:val="0"/>
          <w:numId w:val="26"/>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For administration of the zoster vaccine</w:t>
      </w:r>
      <w:r w:rsidR="00FC683D" w:rsidRPr="00376E45">
        <w:rPr>
          <w:rFonts w:ascii="Times New Roman" w:hAnsi="Times New Roman"/>
          <w:sz w:val="24"/>
          <w:szCs w:val="24"/>
          <w:lang w:val="en-GB"/>
        </w:rPr>
        <w:t>:</w:t>
      </w:r>
    </w:p>
    <w:p w14:paraId="2A8C0527" w14:textId="77777777" w:rsidR="00177829" w:rsidRPr="00376E45" w:rsidRDefault="00177829" w:rsidP="00177829">
      <w:pPr>
        <w:pStyle w:val="ListParagraph"/>
        <w:numPr>
          <w:ilvl w:val="1"/>
          <w:numId w:val="26"/>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The zoster vaccine should be administered in eligible patients, in eligible sites/countries if deemed appropriate by the investigator</w:t>
      </w:r>
    </w:p>
    <w:p w14:paraId="58AE7598" w14:textId="6DC31DD5" w:rsidR="00177829" w:rsidRPr="00376E45" w:rsidRDefault="00177829" w:rsidP="00177829">
      <w:pPr>
        <w:pStyle w:val="ListParagraph"/>
        <w:numPr>
          <w:ilvl w:val="1"/>
          <w:numId w:val="26"/>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Only patients aged ≥50 years old will be administered the zoster vaccine</w:t>
      </w:r>
      <w:r w:rsidR="00A754F4" w:rsidRPr="00376E45">
        <w:rPr>
          <w:rFonts w:ascii="Times New Roman" w:hAnsi="Times New Roman"/>
          <w:sz w:val="24"/>
          <w:szCs w:val="24"/>
          <w:lang w:val="en-GB"/>
        </w:rPr>
        <w:t>.</w:t>
      </w:r>
    </w:p>
    <w:p w14:paraId="37E2380D" w14:textId="77777777" w:rsidR="00177829" w:rsidRPr="00376E45" w:rsidRDefault="00177829" w:rsidP="00177829">
      <w:pPr>
        <w:pStyle w:val="ListParagraph"/>
        <w:numPr>
          <w:ilvl w:val="0"/>
          <w:numId w:val="26"/>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≥4 tender/painful joints on motion and ≥4 swollen joints (28 joint count) at Screening and Baseline visits</w:t>
      </w:r>
    </w:p>
    <w:p w14:paraId="7C8D1533" w14:textId="160039C1" w:rsidR="00177829" w:rsidRPr="00376E45" w:rsidRDefault="00177829" w:rsidP="00177829">
      <w:pPr>
        <w:pStyle w:val="ListParagraph"/>
        <w:numPr>
          <w:ilvl w:val="0"/>
          <w:numId w:val="26"/>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Screening C-reactive protein (CRP) &gt;</w:t>
      </w:r>
      <w:r w:rsidR="00BB1DEE" w:rsidRPr="00376E45">
        <w:rPr>
          <w:rFonts w:ascii="Times New Roman" w:hAnsi="Times New Roman"/>
          <w:sz w:val="24"/>
          <w:szCs w:val="24"/>
          <w:lang w:val="en-GB"/>
        </w:rPr>
        <w:t>3</w:t>
      </w:r>
      <w:r w:rsidRPr="00376E45">
        <w:rPr>
          <w:rFonts w:ascii="Times New Roman" w:hAnsi="Times New Roman"/>
          <w:sz w:val="24"/>
          <w:szCs w:val="24"/>
          <w:lang w:val="en-GB"/>
        </w:rPr>
        <w:t xml:space="preserve"> mg/L in the central laboratory</w:t>
      </w:r>
    </w:p>
    <w:p w14:paraId="4B73347F" w14:textId="77777777" w:rsidR="00177829" w:rsidRPr="00376E45" w:rsidRDefault="00177829" w:rsidP="00177829">
      <w:pPr>
        <w:pStyle w:val="ListParagraph"/>
        <w:numPr>
          <w:ilvl w:val="0"/>
          <w:numId w:val="26"/>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Moderate to severe rheumatoid arthritis inadequate controlled with methotrexate</w:t>
      </w:r>
    </w:p>
    <w:p w14:paraId="1DB1C66D" w14:textId="77777777" w:rsidR="00177829" w:rsidRPr="00376E45" w:rsidRDefault="00177829" w:rsidP="00177829">
      <w:pPr>
        <w:pStyle w:val="ListParagraph"/>
        <w:numPr>
          <w:ilvl w:val="0"/>
          <w:numId w:val="26"/>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A score of 6 or greater on the 2010 ACR/EULAR Classification Criteria for Rheumatoid Arthritis</w:t>
      </w:r>
    </w:p>
    <w:p w14:paraId="481618B7" w14:textId="3ED7604C" w:rsidR="00177829" w:rsidRPr="00376E45" w:rsidRDefault="00177829" w:rsidP="00177829">
      <w:pPr>
        <w:pStyle w:val="ListParagraph"/>
        <w:numPr>
          <w:ilvl w:val="0"/>
          <w:numId w:val="26"/>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 xml:space="preserve">Met Class I, II, or III of the ACR 1991 Revised Criteria for Global Functional Status in RA where usual self-care activities including dressing, feeding, bathing, grooming, and toileting; avocational (recreational and/or leisure) and vocational (work, school, homemaking) activities are </w:t>
      </w:r>
      <w:r w:rsidR="009E57BE" w:rsidRPr="00376E45">
        <w:rPr>
          <w:rFonts w:ascii="Times New Roman" w:hAnsi="Times New Roman"/>
          <w:sz w:val="24"/>
          <w:szCs w:val="24"/>
          <w:lang w:val="en-GB"/>
        </w:rPr>
        <w:t>patient</w:t>
      </w:r>
      <w:r w:rsidRPr="00376E45">
        <w:rPr>
          <w:rFonts w:ascii="Times New Roman" w:hAnsi="Times New Roman"/>
          <w:sz w:val="24"/>
          <w:szCs w:val="24"/>
          <w:lang w:val="en-GB"/>
        </w:rPr>
        <w:t>-desired and age- and sex-specific:</w:t>
      </w:r>
    </w:p>
    <w:p w14:paraId="12BF0B83" w14:textId="7DB12703" w:rsidR="00177829" w:rsidRPr="00376E45" w:rsidRDefault="00177829" w:rsidP="00FC683D">
      <w:pPr>
        <w:pStyle w:val="ListParagraph"/>
        <w:numPr>
          <w:ilvl w:val="1"/>
          <w:numId w:val="26"/>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 xml:space="preserve">Class I </w:t>
      </w:r>
      <w:r w:rsidR="00FC683D" w:rsidRPr="00376E45">
        <w:rPr>
          <w:rFonts w:ascii="Times New Roman" w:hAnsi="Times New Roman"/>
          <w:sz w:val="24"/>
          <w:szCs w:val="24"/>
          <w:lang w:val="en-GB"/>
        </w:rPr>
        <w:t>–</w:t>
      </w:r>
      <w:r w:rsidRPr="00376E45">
        <w:rPr>
          <w:rFonts w:ascii="Times New Roman" w:hAnsi="Times New Roman"/>
          <w:sz w:val="24"/>
          <w:szCs w:val="24"/>
          <w:lang w:val="en-GB"/>
        </w:rPr>
        <w:t xml:space="preserve"> Completely able to perform usual activities of daily living (self-care, vocational, and avocational)</w:t>
      </w:r>
    </w:p>
    <w:p w14:paraId="46294AB3" w14:textId="77777777" w:rsidR="00177829" w:rsidRPr="00376E45" w:rsidRDefault="00177829" w:rsidP="00177829">
      <w:pPr>
        <w:pStyle w:val="ListParagraph"/>
        <w:numPr>
          <w:ilvl w:val="1"/>
          <w:numId w:val="26"/>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Class II – Able to perform usual self-care and vocational activities, but limited in avocational activities</w:t>
      </w:r>
    </w:p>
    <w:p w14:paraId="39239204" w14:textId="77777777" w:rsidR="00177829" w:rsidRPr="00376E45" w:rsidRDefault="00177829" w:rsidP="00177829">
      <w:pPr>
        <w:pStyle w:val="ListParagraph"/>
        <w:numPr>
          <w:ilvl w:val="1"/>
          <w:numId w:val="26"/>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Class III – Able to perform usual self-care activities, but limited in vocational and avocational activities.</w:t>
      </w:r>
    </w:p>
    <w:p w14:paraId="24A566E4" w14:textId="28C64AD6" w:rsidR="00177829" w:rsidRPr="00376E45" w:rsidRDefault="00177829" w:rsidP="00177829">
      <w:pPr>
        <w:pStyle w:val="ListParagraph"/>
        <w:numPr>
          <w:ilvl w:val="0"/>
          <w:numId w:val="26"/>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 xml:space="preserve">Had been receiving a methotrexate treatment regimen continuously for ≥4 months prior to the Screening visit and had been taking a stable weekly dose of oral methotrexate with supplemental folic or </w:t>
      </w:r>
      <w:proofErr w:type="spellStart"/>
      <w:r w:rsidRPr="00376E45">
        <w:rPr>
          <w:rFonts w:ascii="Times New Roman" w:hAnsi="Times New Roman"/>
          <w:sz w:val="24"/>
          <w:szCs w:val="24"/>
          <w:lang w:val="en-GB"/>
        </w:rPr>
        <w:t>folinic</w:t>
      </w:r>
      <w:proofErr w:type="spellEnd"/>
      <w:r w:rsidRPr="00376E45">
        <w:rPr>
          <w:rFonts w:ascii="Times New Roman" w:hAnsi="Times New Roman"/>
          <w:sz w:val="24"/>
          <w:szCs w:val="24"/>
          <w:lang w:val="en-GB"/>
        </w:rPr>
        <w:t xml:space="preserve"> acid for ≥6 weeks prior to the Baseline visit. Conversion from parenteral to oral also required ‘stab</w:t>
      </w:r>
      <w:r w:rsidR="00675D68" w:rsidRPr="00376E45">
        <w:rPr>
          <w:rFonts w:ascii="Times New Roman" w:hAnsi="Times New Roman"/>
          <w:sz w:val="24"/>
          <w:szCs w:val="24"/>
          <w:lang w:val="en-GB"/>
        </w:rPr>
        <w:t>ilis</w:t>
      </w:r>
      <w:r w:rsidRPr="00376E45">
        <w:rPr>
          <w:rFonts w:ascii="Times New Roman" w:hAnsi="Times New Roman"/>
          <w:sz w:val="24"/>
          <w:szCs w:val="24"/>
          <w:lang w:val="en-GB"/>
        </w:rPr>
        <w:t>ation’ over this period of time</w:t>
      </w:r>
      <w:r w:rsidR="004F4CD4" w:rsidRPr="00376E45">
        <w:rPr>
          <w:rFonts w:ascii="Times New Roman" w:hAnsi="Times New Roman"/>
          <w:sz w:val="24"/>
          <w:szCs w:val="24"/>
          <w:lang w:val="en-GB"/>
        </w:rPr>
        <w:t>:</w:t>
      </w:r>
    </w:p>
    <w:p w14:paraId="7868FE95" w14:textId="77777777" w:rsidR="00177829" w:rsidRPr="00376E45" w:rsidRDefault="00177829" w:rsidP="00177829">
      <w:pPr>
        <w:pStyle w:val="ListParagraph"/>
        <w:numPr>
          <w:ilvl w:val="1"/>
          <w:numId w:val="26"/>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Methotrexate doses less than 15 mg/week were allowed only if there was documented intolerance or toxicity from higher doses</w:t>
      </w:r>
    </w:p>
    <w:p w14:paraId="6EFB9E73" w14:textId="77777777" w:rsidR="00177829" w:rsidRPr="00376E45" w:rsidRDefault="00177829" w:rsidP="00177829">
      <w:pPr>
        <w:pStyle w:val="ListParagraph"/>
        <w:numPr>
          <w:ilvl w:val="1"/>
          <w:numId w:val="26"/>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Methotrexate doses higher than 25 mg/week were not permitted under any circumstances</w:t>
      </w:r>
    </w:p>
    <w:p w14:paraId="45FA9996" w14:textId="7A44BFF1" w:rsidR="00177829" w:rsidRPr="00376E45" w:rsidRDefault="00177829" w:rsidP="00177829">
      <w:pPr>
        <w:pStyle w:val="ListParagraph"/>
        <w:numPr>
          <w:ilvl w:val="1"/>
          <w:numId w:val="26"/>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 xml:space="preserve">Folic acid doses had to be at least 5 mg/week; </w:t>
      </w:r>
      <w:proofErr w:type="spellStart"/>
      <w:r w:rsidRPr="00376E45">
        <w:rPr>
          <w:rFonts w:ascii="Times New Roman" w:hAnsi="Times New Roman"/>
          <w:sz w:val="24"/>
          <w:szCs w:val="24"/>
          <w:lang w:val="en-GB"/>
        </w:rPr>
        <w:t>folinic</w:t>
      </w:r>
      <w:proofErr w:type="spellEnd"/>
      <w:r w:rsidRPr="00376E45">
        <w:rPr>
          <w:rFonts w:ascii="Times New Roman" w:hAnsi="Times New Roman"/>
          <w:sz w:val="24"/>
          <w:szCs w:val="24"/>
          <w:lang w:val="en-GB"/>
        </w:rPr>
        <w:t xml:space="preserve"> acid doses had to be at least 2</w:t>
      </w:r>
      <w:r w:rsidR="00334EBB" w:rsidRPr="00376E45">
        <w:rPr>
          <w:rFonts w:ascii="Times New Roman" w:hAnsi="Times New Roman"/>
          <w:sz w:val="24"/>
          <w:szCs w:val="24"/>
          <w:lang w:val="en-GB"/>
        </w:rPr>
        <w:t>·</w:t>
      </w:r>
      <w:r w:rsidRPr="00376E45">
        <w:rPr>
          <w:rFonts w:ascii="Times New Roman" w:hAnsi="Times New Roman"/>
          <w:sz w:val="24"/>
          <w:szCs w:val="24"/>
          <w:lang w:val="en-GB"/>
        </w:rPr>
        <w:t>5 mg/week</w:t>
      </w:r>
    </w:p>
    <w:p w14:paraId="39E2FA6A" w14:textId="77777777" w:rsidR="00177829" w:rsidRPr="00376E45" w:rsidRDefault="00177829" w:rsidP="00177829">
      <w:pPr>
        <w:pStyle w:val="ListParagraph"/>
        <w:numPr>
          <w:ilvl w:val="1"/>
          <w:numId w:val="26"/>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The patient must have had an inadequate clinical response to methotrexate, defined as the presence of sufficient residual disease activity to meet the entry criteria.</w:t>
      </w:r>
    </w:p>
    <w:p w14:paraId="53AD9610" w14:textId="77777777" w:rsidR="00177829" w:rsidRPr="00376E45" w:rsidRDefault="00177829" w:rsidP="00177829">
      <w:pPr>
        <w:pStyle w:val="ListParagraph"/>
        <w:numPr>
          <w:ilvl w:val="0"/>
          <w:numId w:val="26"/>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Female patients of childbearing potential had to test negative for pregnancy</w:t>
      </w:r>
    </w:p>
    <w:p w14:paraId="4562D0AF" w14:textId="77777777" w:rsidR="00177829" w:rsidRPr="00376E45" w:rsidRDefault="00177829" w:rsidP="00177829">
      <w:pPr>
        <w:pStyle w:val="ListParagraph"/>
        <w:numPr>
          <w:ilvl w:val="0"/>
          <w:numId w:val="26"/>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Male and female patients of childbearing potential and at risk for pregnancy had to agree to use two highly effective methods of contraception throughout the study and for ≥3 months after the last dose of assigned treatment. A patient was of childbearing potential if, in the opinion of the investigator, he/she was biologically capable of having children and was sexually active</w:t>
      </w:r>
    </w:p>
    <w:p w14:paraId="7AECA07D" w14:textId="26992C78" w:rsidR="00177829" w:rsidRPr="00376E45" w:rsidRDefault="00177829" w:rsidP="00177829">
      <w:pPr>
        <w:pStyle w:val="ListParagraph"/>
        <w:numPr>
          <w:ilvl w:val="0"/>
          <w:numId w:val="26"/>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Female patients who were n</w:t>
      </w:r>
      <w:r w:rsidR="00675D68" w:rsidRPr="00376E45">
        <w:rPr>
          <w:rFonts w:ascii="Times New Roman" w:hAnsi="Times New Roman"/>
          <w:sz w:val="24"/>
          <w:szCs w:val="24"/>
          <w:lang w:val="en-GB"/>
        </w:rPr>
        <w:t>ot of childbearing potential (</w:t>
      </w:r>
      <w:proofErr w:type="spellStart"/>
      <w:r w:rsidR="00675D68" w:rsidRPr="00376E45">
        <w:rPr>
          <w:rFonts w:ascii="Times New Roman" w:hAnsi="Times New Roman"/>
          <w:sz w:val="24"/>
          <w:szCs w:val="24"/>
          <w:lang w:val="en-GB"/>
        </w:rPr>
        <w:t>ie</w:t>
      </w:r>
      <w:proofErr w:type="spellEnd"/>
      <w:r w:rsidRPr="00376E45">
        <w:rPr>
          <w:rFonts w:ascii="Times New Roman" w:hAnsi="Times New Roman"/>
          <w:sz w:val="24"/>
          <w:szCs w:val="24"/>
          <w:lang w:val="en-GB"/>
        </w:rPr>
        <w:t>, met at least one of the following criteria:</w:t>
      </w:r>
    </w:p>
    <w:p w14:paraId="62D5D039" w14:textId="77777777" w:rsidR="00177829" w:rsidRPr="00376E45" w:rsidRDefault="00177829" w:rsidP="00177829">
      <w:pPr>
        <w:pStyle w:val="ListParagraph"/>
        <w:numPr>
          <w:ilvl w:val="1"/>
          <w:numId w:val="26"/>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Had undergone a documented hysterectomy and/or bilateral oophorectomy</w:t>
      </w:r>
    </w:p>
    <w:p w14:paraId="3FA1FB71" w14:textId="40C55FF6" w:rsidR="00177829" w:rsidRPr="00376E45" w:rsidRDefault="00177829" w:rsidP="00177829">
      <w:pPr>
        <w:pStyle w:val="ListParagraph"/>
        <w:numPr>
          <w:ilvl w:val="1"/>
          <w:numId w:val="26"/>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Had medical</w:t>
      </w:r>
      <w:r w:rsidR="00675D68" w:rsidRPr="00376E45">
        <w:rPr>
          <w:rFonts w:ascii="Times New Roman" w:hAnsi="Times New Roman"/>
          <w:sz w:val="24"/>
          <w:szCs w:val="24"/>
          <w:lang w:val="en-GB"/>
        </w:rPr>
        <w:t>ly confirmed ovarian failure or</w:t>
      </w:r>
    </w:p>
    <w:p w14:paraId="4437E4A2" w14:textId="5A31B78D" w:rsidR="00177829" w:rsidRPr="00376E45" w:rsidRDefault="00177829" w:rsidP="00177829">
      <w:pPr>
        <w:pStyle w:val="ListParagraph"/>
        <w:numPr>
          <w:ilvl w:val="1"/>
          <w:numId w:val="26"/>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Achieved post-menopausal status, defined as: cessation of regular menses for ≥12 consecutive months with no alternative pathological or physiological cause; and had a serum follicle-stimulating hormone (FSH) level within the laboratory’s reference range for postmenopausal females</w:t>
      </w:r>
      <w:r w:rsidR="004F4CD4" w:rsidRPr="00376E45">
        <w:rPr>
          <w:rFonts w:ascii="Times New Roman" w:hAnsi="Times New Roman"/>
          <w:sz w:val="24"/>
          <w:szCs w:val="24"/>
          <w:lang w:val="en-GB"/>
        </w:rPr>
        <w:t>.</w:t>
      </w:r>
    </w:p>
    <w:p w14:paraId="2F4AF8BD" w14:textId="77777777" w:rsidR="00177829" w:rsidRPr="00376E45" w:rsidRDefault="00177829" w:rsidP="00177829">
      <w:pPr>
        <w:pStyle w:val="ListParagraph"/>
        <w:numPr>
          <w:ilvl w:val="0"/>
          <w:numId w:val="26"/>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Patients had to screen negative for active tuberculosis or inadequately treated tuberculosis infection (active or latent) as evidenced by the following:</w:t>
      </w:r>
    </w:p>
    <w:p w14:paraId="6A3534FD" w14:textId="405B84D3" w:rsidR="00177829" w:rsidRPr="00376E45" w:rsidRDefault="00177829" w:rsidP="00177829">
      <w:pPr>
        <w:pStyle w:val="ListParagraph"/>
        <w:numPr>
          <w:ilvl w:val="1"/>
          <w:numId w:val="26"/>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 xml:space="preserve">Negative </w:t>
      </w:r>
      <w:proofErr w:type="spellStart"/>
      <w:r w:rsidRPr="00376E45">
        <w:rPr>
          <w:rFonts w:ascii="Times New Roman" w:hAnsi="Times New Roman"/>
          <w:sz w:val="24"/>
          <w:szCs w:val="24"/>
          <w:lang w:val="en-GB"/>
        </w:rPr>
        <w:t>QuantiFERON</w:t>
      </w:r>
      <w:proofErr w:type="spellEnd"/>
      <w:r w:rsidRPr="00376E45">
        <w:rPr>
          <w:rFonts w:ascii="Times New Roman" w:hAnsi="Times New Roman"/>
          <w:sz w:val="24"/>
          <w:szCs w:val="24"/>
          <w:lang w:val="en-GB"/>
        </w:rPr>
        <w:t xml:space="preserve"> </w:t>
      </w:r>
      <w:proofErr w:type="spellStart"/>
      <w:r w:rsidRPr="00376E45">
        <w:rPr>
          <w:rFonts w:ascii="Times New Roman" w:hAnsi="Times New Roman"/>
          <w:sz w:val="24"/>
          <w:szCs w:val="24"/>
          <w:lang w:val="en-GB"/>
        </w:rPr>
        <w:t>Gold</w:t>
      </w:r>
      <w:r w:rsidRPr="00376E45">
        <w:rPr>
          <w:rFonts w:ascii="Times New Roman" w:hAnsi="Times New Roman"/>
          <w:sz w:val="24"/>
          <w:szCs w:val="24"/>
          <w:vertAlign w:val="superscript"/>
          <w:lang w:val="en-GB"/>
        </w:rPr>
        <w:t>®TM</w:t>
      </w:r>
      <w:proofErr w:type="spellEnd"/>
      <w:r w:rsidRPr="00376E45">
        <w:rPr>
          <w:rFonts w:ascii="Times New Roman" w:hAnsi="Times New Roman"/>
          <w:sz w:val="24"/>
          <w:szCs w:val="24"/>
          <w:vertAlign w:val="superscript"/>
          <w:lang w:val="en-GB"/>
        </w:rPr>
        <w:t xml:space="preserve"> </w:t>
      </w:r>
      <w:r w:rsidRPr="00376E45">
        <w:rPr>
          <w:rFonts w:ascii="Times New Roman" w:hAnsi="Times New Roman"/>
          <w:sz w:val="24"/>
          <w:szCs w:val="24"/>
          <w:lang w:val="en-GB"/>
        </w:rPr>
        <w:t>In-Tube test performed at screening</w:t>
      </w:r>
      <w:r w:rsidR="004F4CD4" w:rsidRPr="00376E45">
        <w:rPr>
          <w:rFonts w:ascii="Times New Roman" w:hAnsi="Times New Roman"/>
          <w:sz w:val="24"/>
          <w:szCs w:val="24"/>
          <w:lang w:val="en-GB"/>
        </w:rPr>
        <w:t>:</w:t>
      </w:r>
    </w:p>
    <w:p w14:paraId="163EAEF2" w14:textId="77777777" w:rsidR="00177829" w:rsidRPr="00376E45" w:rsidRDefault="00177829" w:rsidP="00177829">
      <w:pPr>
        <w:pStyle w:val="ListParagraph"/>
        <w:numPr>
          <w:ilvl w:val="2"/>
          <w:numId w:val="26"/>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 xml:space="preserve">This was required unless the patient had been adequately treated for active or latent tuberculosis or a negative </w:t>
      </w:r>
      <w:proofErr w:type="spellStart"/>
      <w:r w:rsidRPr="00376E45">
        <w:rPr>
          <w:rFonts w:ascii="Times New Roman" w:hAnsi="Times New Roman"/>
          <w:sz w:val="24"/>
          <w:szCs w:val="24"/>
          <w:lang w:val="en-GB"/>
        </w:rPr>
        <w:t>QuantiFERON</w:t>
      </w:r>
      <w:proofErr w:type="spellEnd"/>
      <w:r w:rsidRPr="00376E45">
        <w:rPr>
          <w:rFonts w:ascii="Times New Roman" w:hAnsi="Times New Roman"/>
          <w:sz w:val="24"/>
          <w:szCs w:val="24"/>
          <w:lang w:val="en-GB"/>
        </w:rPr>
        <w:t xml:space="preserve"> </w:t>
      </w:r>
      <w:proofErr w:type="spellStart"/>
      <w:r w:rsidRPr="00376E45">
        <w:rPr>
          <w:rFonts w:ascii="Times New Roman" w:hAnsi="Times New Roman"/>
          <w:sz w:val="24"/>
          <w:szCs w:val="24"/>
          <w:lang w:val="en-GB"/>
        </w:rPr>
        <w:t>Gold</w:t>
      </w:r>
      <w:r w:rsidRPr="00376E45">
        <w:rPr>
          <w:rFonts w:ascii="Times New Roman" w:hAnsi="Times New Roman"/>
          <w:sz w:val="24"/>
          <w:szCs w:val="24"/>
          <w:vertAlign w:val="superscript"/>
          <w:lang w:val="en-GB"/>
        </w:rPr>
        <w:t>®TM</w:t>
      </w:r>
      <w:proofErr w:type="spellEnd"/>
      <w:r w:rsidRPr="00376E45">
        <w:rPr>
          <w:rFonts w:ascii="Times New Roman" w:hAnsi="Times New Roman"/>
          <w:sz w:val="24"/>
          <w:szCs w:val="24"/>
          <w:vertAlign w:val="superscript"/>
          <w:lang w:val="en-GB"/>
        </w:rPr>
        <w:t xml:space="preserve"> </w:t>
      </w:r>
      <w:r w:rsidRPr="00376E45">
        <w:rPr>
          <w:rFonts w:ascii="Times New Roman" w:hAnsi="Times New Roman"/>
          <w:sz w:val="24"/>
          <w:szCs w:val="24"/>
          <w:lang w:val="en-GB"/>
        </w:rPr>
        <w:t>In-Tube test was previously performed and documented within the 3 months prior to screening</w:t>
      </w:r>
    </w:p>
    <w:p w14:paraId="7DCA3601" w14:textId="77777777" w:rsidR="00177829" w:rsidRPr="00376E45" w:rsidRDefault="00177829" w:rsidP="00177829">
      <w:pPr>
        <w:pStyle w:val="ListParagraph"/>
        <w:numPr>
          <w:ilvl w:val="2"/>
          <w:numId w:val="26"/>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 xml:space="preserve">A negative tuberculin skin test (TST) was one that was &lt;5 mm induration and could be substituted for the </w:t>
      </w:r>
      <w:proofErr w:type="spellStart"/>
      <w:r w:rsidRPr="00376E45">
        <w:rPr>
          <w:rFonts w:ascii="Times New Roman" w:hAnsi="Times New Roman"/>
          <w:sz w:val="24"/>
          <w:szCs w:val="24"/>
          <w:lang w:val="en-GB"/>
        </w:rPr>
        <w:t>QuantiFERON</w:t>
      </w:r>
      <w:proofErr w:type="spellEnd"/>
      <w:r w:rsidRPr="00376E45">
        <w:rPr>
          <w:rFonts w:ascii="Times New Roman" w:hAnsi="Times New Roman"/>
          <w:sz w:val="24"/>
          <w:szCs w:val="24"/>
          <w:lang w:val="en-GB"/>
        </w:rPr>
        <w:t xml:space="preserve"> </w:t>
      </w:r>
      <w:proofErr w:type="spellStart"/>
      <w:r w:rsidRPr="00376E45">
        <w:rPr>
          <w:rFonts w:ascii="Times New Roman" w:hAnsi="Times New Roman"/>
          <w:sz w:val="24"/>
          <w:szCs w:val="24"/>
          <w:lang w:val="en-GB"/>
        </w:rPr>
        <w:t>Gold</w:t>
      </w:r>
      <w:r w:rsidRPr="00376E45">
        <w:rPr>
          <w:rFonts w:ascii="Times New Roman" w:hAnsi="Times New Roman"/>
          <w:sz w:val="24"/>
          <w:szCs w:val="24"/>
          <w:vertAlign w:val="superscript"/>
          <w:lang w:val="en-GB"/>
        </w:rPr>
        <w:t>®TM</w:t>
      </w:r>
      <w:proofErr w:type="spellEnd"/>
      <w:r w:rsidRPr="00376E45">
        <w:rPr>
          <w:rFonts w:ascii="Times New Roman" w:hAnsi="Times New Roman"/>
          <w:sz w:val="24"/>
          <w:szCs w:val="24"/>
          <w:vertAlign w:val="superscript"/>
          <w:lang w:val="en-GB"/>
        </w:rPr>
        <w:t xml:space="preserve"> </w:t>
      </w:r>
      <w:r w:rsidRPr="00376E45">
        <w:rPr>
          <w:rFonts w:ascii="Times New Roman" w:hAnsi="Times New Roman"/>
          <w:sz w:val="24"/>
          <w:szCs w:val="24"/>
          <w:lang w:val="en-GB"/>
        </w:rPr>
        <w:t>In-Tube test only if the central laboratory was unable to perform the test or the test was reported as indeterminate after at least 2 successive attempts</w:t>
      </w:r>
    </w:p>
    <w:p w14:paraId="5186B820" w14:textId="77777777" w:rsidR="00177829" w:rsidRPr="00376E45" w:rsidRDefault="00177829" w:rsidP="00177829">
      <w:pPr>
        <w:pStyle w:val="ListParagraph"/>
        <w:numPr>
          <w:ilvl w:val="2"/>
          <w:numId w:val="26"/>
        </w:numPr>
        <w:spacing w:before="240" w:after="240" w:line="480" w:lineRule="auto"/>
        <w:rPr>
          <w:rFonts w:ascii="Times New Roman" w:hAnsi="Times New Roman"/>
          <w:sz w:val="24"/>
          <w:szCs w:val="24"/>
          <w:lang w:val="en-GB"/>
        </w:rPr>
      </w:pPr>
      <w:proofErr w:type="spellStart"/>
      <w:r w:rsidRPr="00376E45">
        <w:rPr>
          <w:rFonts w:ascii="Times New Roman" w:hAnsi="Times New Roman"/>
          <w:sz w:val="24"/>
          <w:szCs w:val="24"/>
          <w:lang w:val="en-GB"/>
        </w:rPr>
        <w:t>QuantiFERON</w:t>
      </w:r>
      <w:proofErr w:type="spellEnd"/>
      <w:r w:rsidRPr="00376E45">
        <w:rPr>
          <w:rFonts w:ascii="Times New Roman" w:hAnsi="Times New Roman"/>
          <w:sz w:val="24"/>
          <w:szCs w:val="24"/>
          <w:lang w:val="en-GB"/>
        </w:rPr>
        <w:t xml:space="preserve"> </w:t>
      </w:r>
      <w:proofErr w:type="spellStart"/>
      <w:r w:rsidRPr="00376E45">
        <w:rPr>
          <w:rFonts w:ascii="Times New Roman" w:hAnsi="Times New Roman"/>
          <w:sz w:val="24"/>
          <w:szCs w:val="24"/>
          <w:lang w:val="en-GB"/>
        </w:rPr>
        <w:t>Gold</w:t>
      </w:r>
      <w:r w:rsidRPr="00376E45">
        <w:rPr>
          <w:rFonts w:ascii="Times New Roman" w:hAnsi="Times New Roman"/>
          <w:sz w:val="24"/>
          <w:szCs w:val="24"/>
          <w:vertAlign w:val="superscript"/>
          <w:lang w:val="en-GB"/>
        </w:rPr>
        <w:t>®TM</w:t>
      </w:r>
      <w:proofErr w:type="spellEnd"/>
      <w:r w:rsidRPr="00376E45">
        <w:rPr>
          <w:rFonts w:ascii="Times New Roman" w:hAnsi="Times New Roman"/>
          <w:sz w:val="24"/>
          <w:szCs w:val="24"/>
          <w:vertAlign w:val="superscript"/>
          <w:lang w:val="en-GB"/>
        </w:rPr>
        <w:t xml:space="preserve"> </w:t>
      </w:r>
      <w:r w:rsidRPr="00376E45">
        <w:rPr>
          <w:rFonts w:ascii="Times New Roman" w:hAnsi="Times New Roman"/>
          <w:sz w:val="24"/>
          <w:szCs w:val="24"/>
          <w:lang w:val="en-GB"/>
        </w:rPr>
        <w:t xml:space="preserve">In-Tube test was strongly recommended for patients with a history of </w:t>
      </w:r>
      <w:proofErr w:type="spellStart"/>
      <w:r w:rsidRPr="00376E45">
        <w:rPr>
          <w:rFonts w:ascii="Times New Roman" w:hAnsi="Times New Roman"/>
          <w:sz w:val="24"/>
          <w:szCs w:val="24"/>
          <w:lang w:val="en-GB"/>
        </w:rPr>
        <w:t>Bacille</w:t>
      </w:r>
      <w:proofErr w:type="spellEnd"/>
      <w:r w:rsidRPr="00376E45">
        <w:rPr>
          <w:rFonts w:ascii="Times New Roman" w:hAnsi="Times New Roman"/>
          <w:sz w:val="24"/>
          <w:szCs w:val="24"/>
          <w:lang w:val="en-GB"/>
        </w:rPr>
        <w:t xml:space="preserve"> </w:t>
      </w:r>
      <w:proofErr w:type="spellStart"/>
      <w:r w:rsidRPr="00376E45">
        <w:rPr>
          <w:rFonts w:ascii="Times New Roman" w:hAnsi="Times New Roman"/>
          <w:sz w:val="24"/>
          <w:szCs w:val="24"/>
          <w:lang w:val="en-GB"/>
        </w:rPr>
        <w:t>Calmette</w:t>
      </w:r>
      <w:proofErr w:type="spellEnd"/>
      <w:r w:rsidRPr="00376E45">
        <w:rPr>
          <w:rFonts w:ascii="Times New Roman" w:hAnsi="Times New Roman"/>
          <w:sz w:val="24"/>
          <w:szCs w:val="24"/>
          <w:lang w:val="en-GB"/>
        </w:rPr>
        <w:t xml:space="preserve"> </w:t>
      </w:r>
      <w:proofErr w:type="spellStart"/>
      <w:r w:rsidRPr="00376E45">
        <w:rPr>
          <w:rFonts w:ascii="Times New Roman" w:hAnsi="Times New Roman"/>
          <w:sz w:val="24"/>
          <w:szCs w:val="24"/>
          <w:lang w:val="en-GB"/>
        </w:rPr>
        <w:t>Guérin</w:t>
      </w:r>
      <w:proofErr w:type="spellEnd"/>
      <w:r w:rsidRPr="00376E45">
        <w:rPr>
          <w:rFonts w:ascii="Times New Roman" w:hAnsi="Times New Roman"/>
          <w:sz w:val="24"/>
          <w:szCs w:val="24"/>
          <w:lang w:val="en-GB"/>
        </w:rPr>
        <w:t xml:space="preserve"> (BCG) vaccination.</w:t>
      </w:r>
    </w:p>
    <w:p w14:paraId="385295E4" w14:textId="77777777" w:rsidR="00177829" w:rsidRPr="00376E45" w:rsidRDefault="00177829" w:rsidP="00177829">
      <w:pPr>
        <w:pStyle w:val="ListParagraph"/>
        <w:numPr>
          <w:ilvl w:val="1"/>
          <w:numId w:val="26"/>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Chest radiograph (or chest computed tomography (CT) scan, if available) taken at screening without changes suggestive of active tuberculosis infection, unless previously performed and documented with 3 months prior to screening</w:t>
      </w:r>
    </w:p>
    <w:p w14:paraId="534D25BE" w14:textId="77777777" w:rsidR="00177829" w:rsidRPr="00376E45" w:rsidRDefault="00177829" w:rsidP="00177829">
      <w:pPr>
        <w:pStyle w:val="ListParagraph"/>
        <w:numPr>
          <w:ilvl w:val="1"/>
          <w:numId w:val="26"/>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No history of tuberculosis infection unless one of the following was documented:</w:t>
      </w:r>
    </w:p>
    <w:p w14:paraId="51ADC2AA" w14:textId="77777777" w:rsidR="00177829" w:rsidRPr="00376E45" w:rsidRDefault="00177829" w:rsidP="00177829">
      <w:pPr>
        <w:pStyle w:val="ListParagraph"/>
        <w:numPr>
          <w:ilvl w:val="2"/>
          <w:numId w:val="26"/>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Patient with prior or current latent tuberculosis had no evidence of active tuberculosis and had to be taking or have completed an adequate course of therapy for latent tuberculosis in a locale where rates of primary multi-drug resistant TB infection were &lt;5%, and a chest radiograph was negative for active disease; the chest radiograph had to be obtained at screening or, if previously performed and documented, within 3 months prior to screening</w:t>
      </w:r>
    </w:p>
    <w:p w14:paraId="1211C908" w14:textId="51268C64" w:rsidR="00177829" w:rsidRPr="00376E45" w:rsidRDefault="00177829" w:rsidP="00177829">
      <w:pPr>
        <w:pStyle w:val="ListParagraph"/>
        <w:numPr>
          <w:ilvl w:val="2"/>
          <w:numId w:val="26"/>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Patient with prior active tuberculosis had no current evidence of active disease and had completed an adequate course of therapy for active tuberculosis (a</w:t>
      </w:r>
      <w:r w:rsidR="00675D68" w:rsidRPr="00376E45">
        <w:rPr>
          <w:rFonts w:ascii="Times New Roman" w:hAnsi="Times New Roman"/>
          <w:sz w:val="24"/>
          <w:szCs w:val="24"/>
          <w:lang w:val="en-GB"/>
        </w:rPr>
        <w:t xml:space="preserve"> multi-drug regimen recognis</w:t>
      </w:r>
      <w:r w:rsidRPr="00376E45">
        <w:rPr>
          <w:rFonts w:ascii="Times New Roman" w:hAnsi="Times New Roman"/>
          <w:sz w:val="24"/>
          <w:szCs w:val="24"/>
          <w:lang w:val="en-GB"/>
        </w:rPr>
        <w:t>ed by the World Health Organization) and a chest radiograph was negative for active disease; the chest radiograph had to be obtained at screening or, if previously performed and documented, within 3 months prior to screening.</w:t>
      </w:r>
    </w:p>
    <w:p w14:paraId="4F59E024" w14:textId="77777777" w:rsidR="00177829" w:rsidRPr="00376E45" w:rsidRDefault="00177829" w:rsidP="00177829">
      <w:pPr>
        <w:pStyle w:val="ListParagraph"/>
        <w:numPr>
          <w:ilvl w:val="0"/>
          <w:numId w:val="26"/>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Patients had to be willing and able to comply with schedule visits, treatment plan, laboratory tests, and other study procedures.</w:t>
      </w:r>
    </w:p>
    <w:p w14:paraId="45F8B3AC" w14:textId="77777777" w:rsidR="00177829" w:rsidRPr="00376E45" w:rsidRDefault="00177829" w:rsidP="00177829">
      <w:pPr>
        <w:spacing w:before="240"/>
        <w:rPr>
          <w:lang w:val="en-GB"/>
        </w:rPr>
      </w:pPr>
      <w:r w:rsidRPr="00376E45">
        <w:rPr>
          <w:lang w:val="en-GB"/>
        </w:rPr>
        <w:t>The following exclusion criteria applied:</w:t>
      </w:r>
    </w:p>
    <w:p w14:paraId="7111AB38" w14:textId="77777777" w:rsidR="00177829" w:rsidRPr="00376E45" w:rsidRDefault="00177829" w:rsidP="00177829">
      <w:pPr>
        <w:pStyle w:val="ListParagraph"/>
        <w:numPr>
          <w:ilvl w:val="0"/>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Patients who were investigational site staff members directly involved in the conduct of the study and their family members, site staff members otherwise supervised by the Investigator, or patients who were Pfizer employees directly involved in the conduct of the study</w:t>
      </w:r>
    </w:p>
    <w:p w14:paraId="4DE26619" w14:textId="77777777" w:rsidR="00177829" w:rsidRPr="00376E45" w:rsidRDefault="00177829" w:rsidP="00177829">
      <w:pPr>
        <w:pStyle w:val="ListParagraph"/>
        <w:numPr>
          <w:ilvl w:val="0"/>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Patients who had an allergy or hypersensitivity to methotrexate, patients who had experienced a serious toxicity when administered methotrexate, or had any contraindication to treatment with methotrexate according to the local label for treatment of RA with methotrexate</w:t>
      </w:r>
    </w:p>
    <w:p w14:paraId="0173B683" w14:textId="77777777" w:rsidR="00177829" w:rsidRPr="00376E45" w:rsidRDefault="00177829" w:rsidP="00177829">
      <w:pPr>
        <w:pStyle w:val="ListParagraph"/>
        <w:numPr>
          <w:ilvl w:val="0"/>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Patients who had Class III or Class IV heart failure according to the New York Heart Association (NYHA) functional classification system or any other contraindication to treatment with adalimumab</w:t>
      </w:r>
    </w:p>
    <w:p w14:paraId="4F2D6281" w14:textId="77777777" w:rsidR="00177829" w:rsidRPr="00376E45" w:rsidRDefault="00177829" w:rsidP="00177829">
      <w:pPr>
        <w:pStyle w:val="ListParagraph"/>
        <w:numPr>
          <w:ilvl w:val="0"/>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Pregnant female patients; breastfeeding female patients; males and females of childbearing potential who were unwilling or unable to use two methods of highly effective contraception for the duration of the study and for at least 3 months after last dose of investigational product</w:t>
      </w:r>
    </w:p>
    <w:p w14:paraId="1B28E16F" w14:textId="77777777" w:rsidR="00177829" w:rsidRPr="00376E45" w:rsidRDefault="00177829" w:rsidP="00177829">
      <w:pPr>
        <w:pStyle w:val="ListParagraph"/>
        <w:numPr>
          <w:ilvl w:val="0"/>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Patients who had infections or history of infections:</w:t>
      </w:r>
    </w:p>
    <w:p w14:paraId="0A5D13DA" w14:textId="77777777" w:rsidR="00177829" w:rsidRPr="00376E45" w:rsidRDefault="00177829" w:rsidP="00177829">
      <w:pPr>
        <w:pStyle w:val="ListParagraph"/>
        <w:numPr>
          <w:ilvl w:val="1"/>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Any infection requiring treatment within 2 weeks prior to the Baseline visit</w:t>
      </w:r>
    </w:p>
    <w:p w14:paraId="2FCF5256" w14:textId="35FE7405" w:rsidR="00177829" w:rsidRPr="00376E45" w:rsidRDefault="00177829" w:rsidP="00177829">
      <w:pPr>
        <w:pStyle w:val="ListParagraph"/>
        <w:numPr>
          <w:ilvl w:val="1"/>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An</w:t>
      </w:r>
      <w:r w:rsidR="00675D68" w:rsidRPr="00376E45">
        <w:rPr>
          <w:rFonts w:ascii="Times New Roman" w:hAnsi="Times New Roman"/>
          <w:sz w:val="24"/>
          <w:szCs w:val="24"/>
          <w:lang w:val="en-GB"/>
        </w:rPr>
        <w:t>y infection requiring hospitalis</w:t>
      </w:r>
      <w:r w:rsidRPr="00376E45">
        <w:rPr>
          <w:rFonts w:ascii="Times New Roman" w:hAnsi="Times New Roman"/>
          <w:sz w:val="24"/>
          <w:szCs w:val="24"/>
          <w:lang w:val="en-GB"/>
        </w:rPr>
        <w:t>ation, parenteral antimicrobial therapy, or as otherwise judged to be an opportunistic infection or clinically significant by the Investigator, within the past 6 months</w:t>
      </w:r>
    </w:p>
    <w:p w14:paraId="3F96734D" w14:textId="77777777" w:rsidR="00177829" w:rsidRPr="00376E45" w:rsidRDefault="00177829" w:rsidP="00177829">
      <w:pPr>
        <w:pStyle w:val="ListParagraph"/>
        <w:numPr>
          <w:ilvl w:val="1"/>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Infected joint prosthesis at any time with the prosthesis still in situ</w:t>
      </w:r>
    </w:p>
    <w:p w14:paraId="09D22472" w14:textId="77777777" w:rsidR="00177829" w:rsidRPr="00376E45" w:rsidRDefault="00177829" w:rsidP="00177829">
      <w:pPr>
        <w:pStyle w:val="ListParagraph"/>
        <w:numPr>
          <w:ilvl w:val="1"/>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Recurrent (more than one episode) herpes zoster or disseminated (a single episode) herpes zoster or disseminated (a single episode) herpes simplex</w:t>
      </w:r>
    </w:p>
    <w:p w14:paraId="5DCCEA3A" w14:textId="77777777" w:rsidR="00177829" w:rsidRPr="00376E45" w:rsidRDefault="00177829" w:rsidP="00177829">
      <w:pPr>
        <w:pStyle w:val="ListParagraph"/>
        <w:numPr>
          <w:ilvl w:val="1"/>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Patients were screened for human immunodeficiency virus (HIV). Patients who tested positive for HIV were excluded from the study</w:t>
      </w:r>
    </w:p>
    <w:p w14:paraId="1942917C" w14:textId="77777777" w:rsidR="00177829" w:rsidRPr="00376E45" w:rsidRDefault="00177829" w:rsidP="00177829">
      <w:pPr>
        <w:pStyle w:val="ListParagraph"/>
        <w:numPr>
          <w:ilvl w:val="1"/>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Patients were screened for hepatitis B virus infection. Patients who had hepatitis B surface antigen (</w:t>
      </w:r>
      <w:proofErr w:type="spellStart"/>
      <w:r w:rsidRPr="00376E45">
        <w:rPr>
          <w:rFonts w:ascii="Times New Roman" w:hAnsi="Times New Roman"/>
          <w:sz w:val="24"/>
          <w:szCs w:val="24"/>
          <w:lang w:val="en-GB"/>
        </w:rPr>
        <w:t>HBsAg</w:t>
      </w:r>
      <w:proofErr w:type="spellEnd"/>
      <w:r w:rsidRPr="00376E45">
        <w:rPr>
          <w:rFonts w:ascii="Times New Roman" w:hAnsi="Times New Roman"/>
          <w:sz w:val="24"/>
          <w:szCs w:val="24"/>
          <w:lang w:val="en-GB"/>
        </w:rPr>
        <w:t>) negative testing but who tested positive for hepatitis B core antibody (</w:t>
      </w:r>
      <w:proofErr w:type="spellStart"/>
      <w:r w:rsidRPr="00376E45">
        <w:rPr>
          <w:rFonts w:ascii="Times New Roman" w:hAnsi="Times New Roman"/>
          <w:sz w:val="24"/>
          <w:szCs w:val="24"/>
          <w:lang w:val="en-GB"/>
        </w:rPr>
        <w:t>HBcAb</w:t>
      </w:r>
      <w:proofErr w:type="spellEnd"/>
      <w:r w:rsidRPr="00376E45">
        <w:rPr>
          <w:rFonts w:ascii="Times New Roman" w:hAnsi="Times New Roman"/>
          <w:sz w:val="24"/>
          <w:szCs w:val="24"/>
          <w:lang w:val="en-GB"/>
        </w:rPr>
        <w:t>) had to have further testing for hepatitis B surface antibody (</w:t>
      </w:r>
      <w:proofErr w:type="spellStart"/>
      <w:r w:rsidRPr="00376E45">
        <w:rPr>
          <w:rFonts w:ascii="Times New Roman" w:hAnsi="Times New Roman"/>
          <w:sz w:val="24"/>
          <w:szCs w:val="24"/>
          <w:lang w:val="en-GB"/>
        </w:rPr>
        <w:t>HBsAb</w:t>
      </w:r>
      <w:proofErr w:type="spellEnd"/>
      <w:r w:rsidRPr="00376E45">
        <w:rPr>
          <w:rFonts w:ascii="Times New Roman" w:hAnsi="Times New Roman"/>
          <w:sz w:val="24"/>
          <w:szCs w:val="24"/>
          <w:lang w:val="en-GB"/>
        </w:rPr>
        <w:t xml:space="preserve">). If </w:t>
      </w:r>
      <w:proofErr w:type="spellStart"/>
      <w:r w:rsidRPr="00376E45">
        <w:rPr>
          <w:rFonts w:ascii="Times New Roman" w:hAnsi="Times New Roman"/>
          <w:sz w:val="24"/>
          <w:szCs w:val="24"/>
          <w:lang w:val="en-GB"/>
        </w:rPr>
        <w:t>HBsAb</w:t>
      </w:r>
      <w:proofErr w:type="spellEnd"/>
      <w:r w:rsidRPr="00376E45">
        <w:rPr>
          <w:rFonts w:ascii="Times New Roman" w:hAnsi="Times New Roman"/>
          <w:sz w:val="24"/>
          <w:szCs w:val="24"/>
          <w:lang w:val="en-GB"/>
        </w:rPr>
        <w:t xml:space="preserve"> was negative, the patient was excluded from the study</w:t>
      </w:r>
    </w:p>
    <w:p w14:paraId="29D3F06E" w14:textId="0D5A976A" w:rsidR="00177829" w:rsidRPr="00376E45" w:rsidRDefault="00177829" w:rsidP="00177829">
      <w:pPr>
        <w:pStyle w:val="ListParagraph"/>
        <w:numPr>
          <w:ilvl w:val="1"/>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 xml:space="preserve">Patients were screened for hepatitis C virus antibodies (HCV Ab). Patients with positive HCV Ab tests were reflex tested for hepatitis C virus ribonucleic acid (HCV RNA). Only patients with negative HCV Ab or HCV RNA were </w:t>
      </w:r>
      <w:r w:rsidR="003A3816" w:rsidRPr="00376E45">
        <w:rPr>
          <w:rFonts w:ascii="Times New Roman" w:hAnsi="Times New Roman"/>
          <w:sz w:val="24"/>
          <w:szCs w:val="24"/>
          <w:lang w:val="en-GB"/>
        </w:rPr>
        <w:t>allowed to enrol</w:t>
      </w:r>
      <w:r w:rsidRPr="00376E45">
        <w:rPr>
          <w:rFonts w:ascii="Times New Roman" w:hAnsi="Times New Roman"/>
          <w:sz w:val="24"/>
          <w:szCs w:val="24"/>
          <w:lang w:val="en-GB"/>
        </w:rPr>
        <w:t xml:space="preserve"> in the study</w:t>
      </w:r>
    </w:p>
    <w:p w14:paraId="42BB7025" w14:textId="12035C03" w:rsidR="00177829" w:rsidRPr="00376E45" w:rsidRDefault="00177829" w:rsidP="00177829">
      <w:pPr>
        <w:pStyle w:val="ListParagraph"/>
        <w:numPr>
          <w:ilvl w:val="1"/>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Patients were excluded for current active tuberculosis infection or prior active or latent tuberculosis that was inadequately treated or could not be documented</w:t>
      </w:r>
      <w:r w:rsidR="004F4CD4" w:rsidRPr="00376E45">
        <w:rPr>
          <w:rFonts w:ascii="Times New Roman" w:hAnsi="Times New Roman"/>
          <w:sz w:val="24"/>
          <w:szCs w:val="24"/>
          <w:lang w:val="en-GB"/>
        </w:rPr>
        <w:t>.</w:t>
      </w:r>
    </w:p>
    <w:p w14:paraId="2BCA2085" w14:textId="77777777" w:rsidR="00177829" w:rsidRPr="00376E45" w:rsidRDefault="00177829" w:rsidP="00177829">
      <w:pPr>
        <w:pStyle w:val="ListParagraph"/>
        <w:numPr>
          <w:ilvl w:val="0"/>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Patients with any current malignancy or a history of malignancy, with the exception of adequately treated or excised non-metastatic basal cell or squamous cell cancer of the skin or cervical carcinoma in situ</w:t>
      </w:r>
    </w:p>
    <w:p w14:paraId="044E696F" w14:textId="77777777" w:rsidR="00177829" w:rsidRPr="00376E45" w:rsidRDefault="00177829" w:rsidP="00177829">
      <w:pPr>
        <w:pStyle w:val="ListParagraph"/>
        <w:numPr>
          <w:ilvl w:val="0"/>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Patients with any uncontrolled clinically significant laboratory abnormality or any of the following laboratory abnormalities:</w:t>
      </w:r>
    </w:p>
    <w:p w14:paraId="4F2F7601" w14:textId="3A149C4C" w:rsidR="00177829" w:rsidRPr="00376E45" w:rsidRDefault="00177829" w:rsidP="00177829">
      <w:pPr>
        <w:pStyle w:val="ListParagraph"/>
        <w:numPr>
          <w:ilvl w:val="1"/>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Evidence of h</w:t>
      </w:r>
      <w:r w:rsidR="003A3816" w:rsidRPr="00376E45">
        <w:rPr>
          <w:rFonts w:ascii="Times New Roman" w:hAnsi="Times New Roman"/>
          <w:sz w:val="24"/>
          <w:szCs w:val="24"/>
          <w:lang w:val="en-GB"/>
        </w:rPr>
        <w:t>a</w:t>
      </w:r>
      <w:r w:rsidRPr="00376E45">
        <w:rPr>
          <w:rFonts w:ascii="Times New Roman" w:hAnsi="Times New Roman"/>
          <w:sz w:val="24"/>
          <w:szCs w:val="24"/>
          <w:lang w:val="en-GB"/>
        </w:rPr>
        <w:t>ematopoietic disorder or h</w:t>
      </w:r>
      <w:r w:rsidR="003A3816" w:rsidRPr="00376E45">
        <w:rPr>
          <w:rFonts w:ascii="Times New Roman" w:hAnsi="Times New Roman"/>
          <w:sz w:val="24"/>
          <w:szCs w:val="24"/>
          <w:lang w:val="en-GB"/>
        </w:rPr>
        <w:t>a</w:t>
      </w:r>
      <w:r w:rsidRPr="00376E45">
        <w:rPr>
          <w:rFonts w:ascii="Times New Roman" w:hAnsi="Times New Roman"/>
          <w:sz w:val="24"/>
          <w:szCs w:val="24"/>
          <w:lang w:val="en-GB"/>
        </w:rPr>
        <w:t>emoglobin &lt;9 g/dL</w:t>
      </w:r>
    </w:p>
    <w:p w14:paraId="6ACEE46B" w14:textId="06E7CDE6" w:rsidR="00177829" w:rsidRPr="00376E45" w:rsidRDefault="00177829" w:rsidP="00177829">
      <w:pPr>
        <w:pStyle w:val="ListParagraph"/>
        <w:numPr>
          <w:ilvl w:val="1"/>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Absolute lymphocyte count &lt;0</w:t>
      </w:r>
      <w:r w:rsidR="00334EBB" w:rsidRPr="00376E45">
        <w:rPr>
          <w:rFonts w:ascii="Times New Roman" w:hAnsi="Times New Roman"/>
          <w:sz w:val="24"/>
          <w:szCs w:val="24"/>
          <w:lang w:val="en-GB"/>
        </w:rPr>
        <w:t>·</w:t>
      </w:r>
      <w:r w:rsidRPr="00376E45">
        <w:rPr>
          <w:rFonts w:ascii="Times New Roman" w:hAnsi="Times New Roman"/>
          <w:sz w:val="24"/>
          <w:szCs w:val="24"/>
          <w:lang w:val="en-GB"/>
        </w:rPr>
        <w:t>75 x 10</w:t>
      </w:r>
      <w:r w:rsidRPr="00376E45">
        <w:rPr>
          <w:rFonts w:ascii="Times New Roman" w:hAnsi="Times New Roman"/>
          <w:sz w:val="24"/>
          <w:szCs w:val="24"/>
          <w:vertAlign w:val="superscript"/>
          <w:lang w:val="en-GB"/>
        </w:rPr>
        <w:t>9</w:t>
      </w:r>
      <w:r w:rsidRPr="00376E45">
        <w:rPr>
          <w:rFonts w:ascii="Times New Roman" w:hAnsi="Times New Roman"/>
          <w:sz w:val="24"/>
          <w:szCs w:val="24"/>
          <w:lang w:val="en-GB"/>
        </w:rPr>
        <w:t>/L (&lt;750/mm</w:t>
      </w:r>
      <w:r w:rsidRPr="00376E45">
        <w:rPr>
          <w:rFonts w:ascii="Times New Roman" w:hAnsi="Times New Roman"/>
          <w:sz w:val="24"/>
          <w:szCs w:val="24"/>
          <w:vertAlign w:val="superscript"/>
          <w:lang w:val="en-GB"/>
        </w:rPr>
        <w:t>3</w:t>
      </w:r>
      <w:r w:rsidRPr="00376E45">
        <w:rPr>
          <w:rFonts w:ascii="Times New Roman" w:hAnsi="Times New Roman"/>
          <w:sz w:val="24"/>
          <w:szCs w:val="24"/>
          <w:lang w:val="en-GB"/>
        </w:rPr>
        <w:t>)</w:t>
      </w:r>
    </w:p>
    <w:p w14:paraId="1E1DD7D5" w14:textId="7FBD181D" w:rsidR="00177829" w:rsidRPr="00376E45" w:rsidRDefault="00177829" w:rsidP="00177829">
      <w:pPr>
        <w:pStyle w:val="ListParagraph"/>
        <w:numPr>
          <w:ilvl w:val="1"/>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Absolute neutrophil count &lt;1</w:t>
      </w:r>
      <w:r w:rsidR="00334EBB" w:rsidRPr="00376E45">
        <w:rPr>
          <w:rFonts w:ascii="Times New Roman" w:hAnsi="Times New Roman"/>
          <w:sz w:val="24"/>
          <w:szCs w:val="24"/>
          <w:lang w:val="en-GB"/>
        </w:rPr>
        <w:t>·</w:t>
      </w:r>
      <w:r w:rsidRPr="00376E45">
        <w:rPr>
          <w:rFonts w:ascii="Times New Roman" w:hAnsi="Times New Roman"/>
          <w:sz w:val="24"/>
          <w:szCs w:val="24"/>
          <w:lang w:val="en-GB"/>
        </w:rPr>
        <w:t>2 x 10</w:t>
      </w:r>
      <w:r w:rsidRPr="00376E45">
        <w:rPr>
          <w:rFonts w:ascii="Times New Roman" w:hAnsi="Times New Roman"/>
          <w:sz w:val="24"/>
          <w:szCs w:val="24"/>
          <w:vertAlign w:val="superscript"/>
          <w:lang w:val="en-GB"/>
        </w:rPr>
        <w:t>9</w:t>
      </w:r>
      <w:r w:rsidRPr="00376E45">
        <w:rPr>
          <w:rFonts w:ascii="Times New Roman" w:hAnsi="Times New Roman"/>
          <w:sz w:val="24"/>
          <w:szCs w:val="24"/>
          <w:lang w:val="en-GB"/>
        </w:rPr>
        <w:t>/L (&lt;1200/mm</w:t>
      </w:r>
      <w:r w:rsidRPr="00376E45">
        <w:rPr>
          <w:rFonts w:ascii="Times New Roman" w:hAnsi="Times New Roman"/>
          <w:sz w:val="24"/>
          <w:szCs w:val="24"/>
          <w:vertAlign w:val="superscript"/>
          <w:lang w:val="en-GB"/>
        </w:rPr>
        <w:t>3</w:t>
      </w:r>
      <w:r w:rsidRPr="00376E45">
        <w:rPr>
          <w:rFonts w:ascii="Times New Roman" w:hAnsi="Times New Roman"/>
          <w:sz w:val="24"/>
          <w:szCs w:val="24"/>
          <w:lang w:val="en-GB"/>
        </w:rPr>
        <w:t>)</w:t>
      </w:r>
    </w:p>
    <w:p w14:paraId="79EDBCB3" w14:textId="77777777" w:rsidR="00177829" w:rsidRPr="00376E45" w:rsidRDefault="00177829" w:rsidP="00177829">
      <w:pPr>
        <w:pStyle w:val="ListParagraph"/>
        <w:numPr>
          <w:ilvl w:val="1"/>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Platelet count &lt;100 x 10</w:t>
      </w:r>
      <w:r w:rsidRPr="00376E45">
        <w:rPr>
          <w:rFonts w:ascii="Times New Roman" w:hAnsi="Times New Roman"/>
          <w:sz w:val="24"/>
          <w:szCs w:val="24"/>
          <w:vertAlign w:val="superscript"/>
          <w:lang w:val="en-GB"/>
        </w:rPr>
        <w:t>9</w:t>
      </w:r>
      <w:r w:rsidRPr="00376E45">
        <w:rPr>
          <w:rFonts w:ascii="Times New Roman" w:hAnsi="Times New Roman"/>
          <w:sz w:val="24"/>
          <w:szCs w:val="24"/>
          <w:lang w:val="en-GB"/>
        </w:rPr>
        <w:t>/L (&lt;100,000/mm</w:t>
      </w:r>
      <w:r w:rsidRPr="00376E45">
        <w:rPr>
          <w:rFonts w:ascii="Times New Roman" w:hAnsi="Times New Roman"/>
          <w:sz w:val="24"/>
          <w:szCs w:val="24"/>
          <w:vertAlign w:val="superscript"/>
          <w:lang w:val="en-GB"/>
        </w:rPr>
        <w:t>3</w:t>
      </w:r>
      <w:r w:rsidRPr="00376E45">
        <w:rPr>
          <w:rFonts w:ascii="Times New Roman" w:hAnsi="Times New Roman"/>
          <w:sz w:val="24"/>
          <w:szCs w:val="24"/>
          <w:lang w:val="en-GB"/>
        </w:rPr>
        <w:t>)</w:t>
      </w:r>
    </w:p>
    <w:p w14:paraId="306D1351" w14:textId="51DB52A6" w:rsidR="00177829" w:rsidRPr="00376E45" w:rsidRDefault="00177829" w:rsidP="00177829">
      <w:pPr>
        <w:pStyle w:val="ListParagraph"/>
        <w:numPr>
          <w:ilvl w:val="1"/>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Alanine aminotransferase (ALT), or aspartate aminotransferase (AST) &gt;1</w:t>
      </w:r>
      <w:r w:rsidR="00334EBB" w:rsidRPr="00376E45">
        <w:rPr>
          <w:rFonts w:ascii="Times New Roman" w:hAnsi="Times New Roman"/>
          <w:sz w:val="24"/>
          <w:szCs w:val="24"/>
          <w:lang w:val="en-GB"/>
        </w:rPr>
        <w:t>·</w:t>
      </w:r>
      <w:r w:rsidRPr="00376E45">
        <w:rPr>
          <w:rFonts w:ascii="Times New Roman" w:hAnsi="Times New Roman"/>
          <w:sz w:val="24"/>
          <w:szCs w:val="24"/>
          <w:lang w:val="en-GB"/>
        </w:rPr>
        <w:t>5 times the upper limit of normal (× ULN)</w:t>
      </w:r>
    </w:p>
    <w:p w14:paraId="638AE0AB" w14:textId="25ED8BE6" w:rsidR="00177829" w:rsidRPr="00376E45" w:rsidRDefault="00177829" w:rsidP="00177829">
      <w:pPr>
        <w:pStyle w:val="ListParagraph"/>
        <w:numPr>
          <w:ilvl w:val="1"/>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Estimated glomerular filtration rate (GFR) &lt;40 mL/min using the Cockcroft</w:t>
      </w:r>
      <w:r w:rsidRPr="00376E45">
        <w:rPr>
          <w:rFonts w:ascii="Times New Roman" w:hAnsi="Times New Roman"/>
          <w:sz w:val="24"/>
          <w:szCs w:val="24"/>
          <w:lang w:val="en-GB"/>
        </w:rPr>
        <w:noBreakHyphen/>
      </w:r>
      <w:proofErr w:type="spellStart"/>
      <w:r w:rsidRPr="00376E45">
        <w:rPr>
          <w:rFonts w:ascii="Times New Roman" w:hAnsi="Times New Roman"/>
          <w:sz w:val="24"/>
          <w:szCs w:val="24"/>
          <w:lang w:val="en-GB"/>
        </w:rPr>
        <w:t>Gault</w:t>
      </w:r>
      <w:proofErr w:type="spellEnd"/>
      <w:r w:rsidRPr="00376E45">
        <w:rPr>
          <w:rFonts w:ascii="Times New Roman" w:hAnsi="Times New Roman"/>
          <w:sz w:val="24"/>
          <w:szCs w:val="24"/>
          <w:lang w:val="en-GB"/>
        </w:rPr>
        <w:t xml:space="preserve"> formula</w:t>
      </w:r>
      <w:r w:rsidR="004F4CD4" w:rsidRPr="00376E45">
        <w:rPr>
          <w:rFonts w:ascii="Times New Roman" w:hAnsi="Times New Roman"/>
          <w:sz w:val="24"/>
          <w:szCs w:val="24"/>
          <w:lang w:val="en-GB"/>
        </w:rPr>
        <w:t>.</w:t>
      </w:r>
    </w:p>
    <w:p w14:paraId="61D9DC95" w14:textId="77777777" w:rsidR="00177829" w:rsidRPr="00376E45" w:rsidRDefault="00177829" w:rsidP="00177829">
      <w:pPr>
        <w:pStyle w:val="ListParagraph"/>
        <w:numPr>
          <w:ilvl w:val="0"/>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Participation in other (Phase 1–4) studies involving investigational drugs within 4 weeks or 5 half-lives (whichever was longer) after discontinuation of the investigational compound before the current study began and/or during study participation</w:t>
      </w:r>
    </w:p>
    <w:p w14:paraId="7DF01F82" w14:textId="77777777" w:rsidR="00177829" w:rsidRPr="00376E45" w:rsidRDefault="00177829" w:rsidP="00177829">
      <w:pPr>
        <w:pStyle w:val="ListParagraph"/>
        <w:numPr>
          <w:ilvl w:val="0"/>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Patients who required or had received any prohibited concomitant medication or dietary supplement including:</w:t>
      </w:r>
    </w:p>
    <w:p w14:paraId="7FF5C731" w14:textId="77777777" w:rsidR="00177829" w:rsidRPr="00376E45" w:rsidRDefault="00177829" w:rsidP="00177829">
      <w:pPr>
        <w:pStyle w:val="ListParagraph"/>
        <w:numPr>
          <w:ilvl w:val="1"/>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Patients who had received live or live attenuated vaccines within 6 weeks prior to the first dose of study drug (or the zoster vaccine) or were planning to receive live or live attenuated vaccines at any time during treatment or within 6 weeks following discontinuation of study drug, except for the zoster vaccine which was administered as per the protocol</w:t>
      </w:r>
    </w:p>
    <w:p w14:paraId="12E7A481" w14:textId="77777777" w:rsidR="00177829" w:rsidRPr="00376E45" w:rsidRDefault="00177829" w:rsidP="00177829">
      <w:pPr>
        <w:pStyle w:val="ListParagraph"/>
        <w:numPr>
          <w:ilvl w:val="1"/>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Patients who had previously been treated with tofacitinib</w:t>
      </w:r>
    </w:p>
    <w:p w14:paraId="5B9EAC86" w14:textId="3EE4EE83" w:rsidR="00177829" w:rsidRPr="00376E45" w:rsidRDefault="00177829" w:rsidP="00177829">
      <w:pPr>
        <w:pStyle w:val="ListParagraph"/>
        <w:numPr>
          <w:ilvl w:val="1"/>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 xml:space="preserve">Patients who had failed any TNFi for either lack of efficacy or a TNF </w:t>
      </w:r>
      <w:r w:rsidR="003A3816" w:rsidRPr="00376E45">
        <w:rPr>
          <w:rFonts w:ascii="Times New Roman" w:hAnsi="Times New Roman"/>
          <w:sz w:val="24"/>
          <w:szCs w:val="24"/>
          <w:lang w:val="en-GB"/>
        </w:rPr>
        <w:t>mechanism-</w:t>
      </w:r>
      <w:r w:rsidRPr="00376E45">
        <w:rPr>
          <w:rFonts w:ascii="Times New Roman" w:hAnsi="Times New Roman"/>
          <w:sz w:val="24"/>
          <w:szCs w:val="24"/>
          <w:lang w:val="en-GB"/>
        </w:rPr>
        <w:t>related AE</w:t>
      </w:r>
    </w:p>
    <w:p w14:paraId="714D6B57" w14:textId="77777777" w:rsidR="00177829" w:rsidRPr="00376E45" w:rsidRDefault="00177829" w:rsidP="00177829">
      <w:pPr>
        <w:pStyle w:val="ListParagraph"/>
        <w:numPr>
          <w:ilvl w:val="1"/>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Patients who had previously received adalimumab therapy for any reason</w:t>
      </w:r>
    </w:p>
    <w:p w14:paraId="421BE091" w14:textId="77777777" w:rsidR="00177829" w:rsidRPr="00376E45" w:rsidRDefault="00177829" w:rsidP="00177829">
      <w:pPr>
        <w:pStyle w:val="ListParagraph"/>
        <w:numPr>
          <w:ilvl w:val="1"/>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 xml:space="preserve">Patients who were being treated with biologic or non-biologic DMARDs (including </w:t>
      </w:r>
      <w:proofErr w:type="spellStart"/>
      <w:r w:rsidRPr="00376E45">
        <w:rPr>
          <w:rFonts w:ascii="Times New Roman" w:hAnsi="Times New Roman"/>
          <w:sz w:val="24"/>
          <w:szCs w:val="24"/>
          <w:lang w:val="en-GB"/>
        </w:rPr>
        <w:t>antimalarials</w:t>
      </w:r>
      <w:proofErr w:type="spellEnd"/>
      <w:r w:rsidRPr="00376E45">
        <w:rPr>
          <w:rFonts w:ascii="Times New Roman" w:hAnsi="Times New Roman"/>
          <w:sz w:val="24"/>
          <w:szCs w:val="24"/>
          <w:lang w:val="en-GB"/>
        </w:rPr>
        <w:t>) other than methotrexate within their specified washout window at study entry</w:t>
      </w:r>
    </w:p>
    <w:p w14:paraId="4282ED2C" w14:textId="77777777" w:rsidR="00177829" w:rsidRPr="00376E45" w:rsidRDefault="00177829" w:rsidP="00177829">
      <w:pPr>
        <w:pStyle w:val="ListParagraph"/>
        <w:numPr>
          <w:ilvl w:val="1"/>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Patients who were being treated with corticosteroids, other than low dose oral corticosteroids in doses equivalent to ≤10 mg prednisone per day or equivalent, for 4 weeks prior to first dose of study drug</w:t>
      </w:r>
    </w:p>
    <w:p w14:paraId="33D18A4D" w14:textId="77777777" w:rsidR="00177829" w:rsidRPr="00376E45" w:rsidRDefault="00177829" w:rsidP="00177829">
      <w:pPr>
        <w:pStyle w:val="ListParagraph"/>
        <w:numPr>
          <w:ilvl w:val="1"/>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 xml:space="preserve">Patients who had received </w:t>
      </w:r>
      <w:proofErr w:type="spellStart"/>
      <w:r w:rsidRPr="00376E45">
        <w:rPr>
          <w:rFonts w:ascii="Times New Roman" w:hAnsi="Times New Roman"/>
          <w:sz w:val="24"/>
          <w:szCs w:val="24"/>
          <w:lang w:val="en-GB"/>
        </w:rPr>
        <w:t>intraarticular</w:t>
      </w:r>
      <w:proofErr w:type="spellEnd"/>
      <w:r w:rsidRPr="00376E45">
        <w:rPr>
          <w:rFonts w:ascii="Times New Roman" w:hAnsi="Times New Roman"/>
          <w:sz w:val="24"/>
          <w:szCs w:val="24"/>
          <w:lang w:val="en-GB"/>
        </w:rPr>
        <w:t>, intramuscular, or intravenous corticosteroids within 4 weeks prior to first dose of study drug</w:t>
      </w:r>
    </w:p>
    <w:p w14:paraId="08B3733C" w14:textId="251CC1DC" w:rsidR="00177829" w:rsidRPr="00376E45" w:rsidRDefault="00177829" w:rsidP="00177829">
      <w:pPr>
        <w:pStyle w:val="ListParagraph"/>
        <w:numPr>
          <w:ilvl w:val="1"/>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Patients who required concomitant treatment with medications that are potent inhibitors of cytochrome P450 3A4 (CYP3A4), both moderate inhibitors of CYP3A4 and potent inhibitors of CYP2C19, and potent CYP inducers</w:t>
      </w:r>
      <w:r w:rsidR="004F4CD4" w:rsidRPr="00376E45">
        <w:rPr>
          <w:rFonts w:ascii="Times New Roman" w:hAnsi="Times New Roman"/>
          <w:sz w:val="24"/>
          <w:szCs w:val="24"/>
          <w:lang w:val="en-GB"/>
        </w:rPr>
        <w:t>.</w:t>
      </w:r>
    </w:p>
    <w:p w14:paraId="67586E4E" w14:textId="77777777" w:rsidR="00177829" w:rsidRPr="00376E45" w:rsidRDefault="00177829" w:rsidP="00177829">
      <w:pPr>
        <w:pStyle w:val="ListParagraph"/>
        <w:numPr>
          <w:ilvl w:val="0"/>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Patients with a screening 12-lead electrocardiogram that demonstrated clinically significant abnormalities requiring urgent treatment (</w:t>
      </w:r>
      <w:proofErr w:type="spellStart"/>
      <w:r w:rsidRPr="00376E45">
        <w:rPr>
          <w:rFonts w:ascii="Times New Roman" w:hAnsi="Times New Roman"/>
          <w:sz w:val="24"/>
          <w:szCs w:val="24"/>
          <w:lang w:val="en-GB"/>
        </w:rPr>
        <w:t>eg</w:t>
      </w:r>
      <w:proofErr w:type="spellEnd"/>
      <w:r w:rsidRPr="00376E45">
        <w:rPr>
          <w:rFonts w:ascii="Times New Roman" w:hAnsi="Times New Roman"/>
          <w:sz w:val="24"/>
          <w:szCs w:val="24"/>
          <w:lang w:val="en-GB"/>
        </w:rPr>
        <w:t xml:space="preserve">, acute myocardial infarction, serious </w:t>
      </w:r>
      <w:proofErr w:type="spellStart"/>
      <w:r w:rsidRPr="00376E45">
        <w:rPr>
          <w:rFonts w:ascii="Times New Roman" w:hAnsi="Times New Roman"/>
          <w:sz w:val="24"/>
          <w:szCs w:val="24"/>
          <w:lang w:val="en-GB"/>
        </w:rPr>
        <w:t>tachy</w:t>
      </w:r>
      <w:proofErr w:type="spellEnd"/>
      <w:r w:rsidRPr="00376E45">
        <w:rPr>
          <w:rFonts w:ascii="Times New Roman" w:hAnsi="Times New Roman"/>
          <w:sz w:val="24"/>
          <w:szCs w:val="24"/>
          <w:lang w:val="en-GB"/>
        </w:rPr>
        <w:t xml:space="preserve">- or </w:t>
      </w:r>
      <w:proofErr w:type="spellStart"/>
      <w:r w:rsidRPr="00376E45">
        <w:rPr>
          <w:rFonts w:ascii="Times New Roman" w:hAnsi="Times New Roman"/>
          <w:sz w:val="24"/>
          <w:szCs w:val="24"/>
          <w:lang w:val="en-GB"/>
        </w:rPr>
        <w:t>bradyarrhythmias</w:t>
      </w:r>
      <w:proofErr w:type="spellEnd"/>
      <w:r w:rsidRPr="00376E45">
        <w:rPr>
          <w:rFonts w:ascii="Times New Roman" w:hAnsi="Times New Roman"/>
          <w:sz w:val="24"/>
          <w:szCs w:val="24"/>
          <w:lang w:val="en-GB"/>
        </w:rPr>
        <w:t>) or that was indicative of serious underlying heart disease (</w:t>
      </w:r>
      <w:proofErr w:type="spellStart"/>
      <w:r w:rsidRPr="00376E45">
        <w:rPr>
          <w:rFonts w:ascii="Times New Roman" w:hAnsi="Times New Roman"/>
          <w:sz w:val="24"/>
          <w:szCs w:val="24"/>
          <w:lang w:val="en-GB"/>
        </w:rPr>
        <w:t>eg</w:t>
      </w:r>
      <w:proofErr w:type="spellEnd"/>
      <w:r w:rsidRPr="00376E45">
        <w:rPr>
          <w:rFonts w:ascii="Times New Roman" w:hAnsi="Times New Roman"/>
          <w:sz w:val="24"/>
          <w:szCs w:val="24"/>
          <w:lang w:val="en-GB"/>
        </w:rPr>
        <w:t>, cardiomyopathy, major congenital heart disease, low voltage in all leads)</w:t>
      </w:r>
    </w:p>
    <w:p w14:paraId="468C984D" w14:textId="77777777" w:rsidR="00177829" w:rsidRPr="00376E45" w:rsidRDefault="00177829" w:rsidP="00177829">
      <w:pPr>
        <w:pStyle w:val="ListParagraph"/>
        <w:numPr>
          <w:ilvl w:val="0"/>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Patients who had significant trauma or surgical procedure within 1 month prior to the Baseline visit</w:t>
      </w:r>
    </w:p>
    <w:p w14:paraId="1ABBA661" w14:textId="77777777" w:rsidR="00177829" w:rsidRPr="00376E45" w:rsidRDefault="00177829" w:rsidP="00177829">
      <w:pPr>
        <w:pStyle w:val="ListParagraph"/>
        <w:numPr>
          <w:ilvl w:val="0"/>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 xml:space="preserve">Patients with any rheumatic autoimmune disease, other than RA and </w:t>
      </w:r>
      <w:proofErr w:type="spellStart"/>
      <w:r w:rsidRPr="00376E45">
        <w:rPr>
          <w:rFonts w:ascii="Times New Roman" w:hAnsi="Times New Roman"/>
          <w:sz w:val="24"/>
          <w:szCs w:val="24"/>
          <w:lang w:val="en-GB"/>
        </w:rPr>
        <w:t>Sjogren’s</w:t>
      </w:r>
      <w:proofErr w:type="spellEnd"/>
      <w:r w:rsidRPr="00376E45">
        <w:rPr>
          <w:rFonts w:ascii="Times New Roman" w:hAnsi="Times New Roman"/>
          <w:sz w:val="24"/>
          <w:szCs w:val="24"/>
          <w:lang w:val="en-GB"/>
        </w:rPr>
        <w:t xml:space="preserve"> syndrome</w:t>
      </w:r>
    </w:p>
    <w:p w14:paraId="2BEA9A00" w14:textId="77777777" w:rsidR="00177829" w:rsidRPr="00376E45" w:rsidRDefault="00177829" w:rsidP="00177829">
      <w:pPr>
        <w:pStyle w:val="ListParagraph"/>
        <w:numPr>
          <w:ilvl w:val="0"/>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Patients who were classified Class IV of the ACR 1991 Revised Criteria for Global Functional Status in RA (</w:t>
      </w:r>
      <w:proofErr w:type="spellStart"/>
      <w:r w:rsidRPr="00376E45">
        <w:rPr>
          <w:rFonts w:ascii="Times New Roman" w:hAnsi="Times New Roman"/>
          <w:sz w:val="24"/>
          <w:szCs w:val="24"/>
          <w:lang w:val="en-GB"/>
        </w:rPr>
        <w:t>ie</w:t>
      </w:r>
      <w:proofErr w:type="spellEnd"/>
      <w:r w:rsidRPr="00376E45">
        <w:rPr>
          <w:rFonts w:ascii="Times New Roman" w:hAnsi="Times New Roman"/>
          <w:sz w:val="24"/>
          <w:szCs w:val="24"/>
          <w:lang w:val="en-GB"/>
        </w:rPr>
        <w:t>, were limited in their ability to perform usual self-care, vocational, and avocational activities)</w:t>
      </w:r>
    </w:p>
    <w:p w14:paraId="6222C5C5" w14:textId="4919C03B" w:rsidR="00177829" w:rsidRPr="00376E45" w:rsidRDefault="00177829" w:rsidP="00177829">
      <w:pPr>
        <w:pStyle w:val="ListParagraph"/>
        <w:numPr>
          <w:ilvl w:val="0"/>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 xml:space="preserve">Patients with </w:t>
      </w:r>
      <w:proofErr w:type="spellStart"/>
      <w:r w:rsidRPr="00376E45">
        <w:rPr>
          <w:rFonts w:ascii="Times New Roman" w:hAnsi="Times New Roman"/>
          <w:sz w:val="24"/>
          <w:szCs w:val="24"/>
          <w:lang w:val="en-GB"/>
        </w:rPr>
        <w:t>lymphoproliferative</w:t>
      </w:r>
      <w:proofErr w:type="spellEnd"/>
      <w:r w:rsidRPr="00376E45">
        <w:rPr>
          <w:rFonts w:ascii="Times New Roman" w:hAnsi="Times New Roman"/>
          <w:sz w:val="24"/>
          <w:szCs w:val="24"/>
          <w:lang w:val="en-GB"/>
        </w:rPr>
        <w:t xml:space="preserve"> disorder</w:t>
      </w:r>
      <w:r w:rsidR="00372EAE" w:rsidRPr="00376E45">
        <w:rPr>
          <w:rFonts w:ascii="Times New Roman" w:hAnsi="Times New Roman"/>
          <w:sz w:val="24"/>
          <w:szCs w:val="24"/>
          <w:lang w:val="en-GB"/>
        </w:rPr>
        <w:t>s (</w:t>
      </w:r>
      <w:proofErr w:type="spellStart"/>
      <w:r w:rsidR="00372EAE" w:rsidRPr="00376E45">
        <w:rPr>
          <w:rFonts w:ascii="Times New Roman" w:hAnsi="Times New Roman"/>
          <w:sz w:val="24"/>
          <w:szCs w:val="24"/>
          <w:lang w:val="en-GB"/>
        </w:rPr>
        <w:t>eg</w:t>
      </w:r>
      <w:proofErr w:type="spellEnd"/>
      <w:r w:rsidR="00372EAE" w:rsidRPr="00376E45">
        <w:rPr>
          <w:rFonts w:ascii="Times New Roman" w:hAnsi="Times New Roman"/>
          <w:sz w:val="24"/>
          <w:szCs w:val="24"/>
          <w:lang w:val="en-GB"/>
        </w:rPr>
        <w:t>, Epstein Barr Virus (EBV)-</w:t>
      </w:r>
      <w:r w:rsidRPr="00376E45">
        <w:rPr>
          <w:rFonts w:ascii="Times New Roman" w:hAnsi="Times New Roman"/>
          <w:sz w:val="24"/>
          <w:szCs w:val="24"/>
          <w:lang w:val="en-GB"/>
        </w:rPr>
        <w:t xml:space="preserve">related </w:t>
      </w:r>
      <w:proofErr w:type="spellStart"/>
      <w:r w:rsidRPr="00376E45">
        <w:rPr>
          <w:rFonts w:ascii="Times New Roman" w:hAnsi="Times New Roman"/>
          <w:sz w:val="24"/>
          <w:szCs w:val="24"/>
          <w:lang w:val="en-GB"/>
        </w:rPr>
        <w:t>lymphoproliferative</w:t>
      </w:r>
      <w:proofErr w:type="spellEnd"/>
      <w:r w:rsidRPr="00376E45">
        <w:rPr>
          <w:rFonts w:ascii="Times New Roman" w:hAnsi="Times New Roman"/>
          <w:sz w:val="24"/>
          <w:szCs w:val="24"/>
          <w:lang w:val="en-GB"/>
        </w:rPr>
        <w:t xml:space="preserve"> disorder), a history of lymphoma, </w:t>
      </w:r>
      <w:proofErr w:type="spellStart"/>
      <w:r w:rsidRPr="00376E45">
        <w:rPr>
          <w:rFonts w:ascii="Times New Roman" w:hAnsi="Times New Roman"/>
          <w:sz w:val="24"/>
          <w:szCs w:val="24"/>
          <w:lang w:val="en-GB"/>
        </w:rPr>
        <w:t>leukemia</w:t>
      </w:r>
      <w:proofErr w:type="spellEnd"/>
      <w:r w:rsidRPr="00376E45">
        <w:rPr>
          <w:rFonts w:ascii="Times New Roman" w:hAnsi="Times New Roman"/>
          <w:sz w:val="24"/>
          <w:szCs w:val="24"/>
          <w:lang w:val="en-GB"/>
        </w:rPr>
        <w:t>, or signs and symptoms suggestive of current lymphatic disease</w:t>
      </w:r>
    </w:p>
    <w:p w14:paraId="6B09F340" w14:textId="77777777" w:rsidR="00177829" w:rsidRPr="00376E45" w:rsidRDefault="00177829" w:rsidP="00177829">
      <w:pPr>
        <w:pStyle w:val="ListParagraph"/>
        <w:numPr>
          <w:ilvl w:val="0"/>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Alcohol or substance abuse unless in full remission for greater than 6 months prior to first dose of study drug</w:t>
      </w:r>
    </w:p>
    <w:p w14:paraId="77C5D289" w14:textId="77777777" w:rsidR="00177829" w:rsidRPr="00376E45" w:rsidRDefault="00177829" w:rsidP="00177829">
      <w:pPr>
        <w:pStyle w:val="ListParagraph"/>
        <w:numPr>
          <w:ilvl w:val="0"/>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Other severe acute or chronic medical or psychiatric condition or laboratory abnormality that may have increased the risk associated with study participation or investigational product administration or may have interfered with the interpretation of study results and, in the judgment of the Investigator, would have made the patient inappropriate for entry into this study</w:t>
      </w:r>
    </w:p>
    <w:p w14:paraId="7B2ACE5F" w14:textId="77777777" w:rsidR="00177829" w:rsidRPr="00376E45" w:rsidRDefault="00177829" w:rsidP="00177829">
      <w:pPr>
        <w:pStyle w:val="ListParagraph"/>
        <w:numPr>
          <w:ilvl w:val="0"/>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Specific exclusion criteria for administration of the zoster vaccine in eligible patients:</w:t>
      </w:r>
    </w:p>
    <w:p w14:paraId="343C156A" w14:textId="77777777" w:rsidR="00177829" w:rsidRPr="00376E45" w:rsidRDefault="00177829" w:rsidP="00177829">
      <w:pPr>
        <w:pStyle w:val="ListParagraph"/>
        <w:numPr>
          <w:ilvl w:val="1"/>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History of receiving any zoster-containing vaccine</w:t>
      </w:r>
    </w:p>
    <w:p w14:paraId="000E4393" w14:textId="77777777" w:rsidR="00177829" w:rsidRPr="00376E45" w:rsidRDefault="00177829" w:rsidP="00177829">
      <w:pPr>
        <w:pStyle w:val="ListParagraph"/>
        <w:numPr>
          <w:ilvl w:val="1"/>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History of anaphylactic/</w:t>
      </w:r>
      <w:proofErr w:type="spellStart"/>
      <w:r w:rsidRPr="00376E45">
        <w:rPr>
          <w:rFonts w:ascii="Times New Roman" w:hAnsi="Times New Roman"/>
          <w:sz w:val="24"/>
          <w:szCs w:val="24"/>
          <w:lang w:val="en-GB"/>
        </w:rPr>
        <w:t>anaphylactoid</w:t>
      </w:r>
      <w:proofErr w:type="spellEnd"/>
      <w:r w:rsidRPr="00376E45">
        <w:rPr>
          <w:rFonts w:ascii="Times New Roman" w:hAnsi="Times New Roman"/>
          <w:sz w:val="24"/>
          <w:szCs w:val="24"/>
          <w:lang w:val="en-GB"/>
        </w:rPr>
        <w:t xml:space="preserve"> reaction to </w:t>
      </w:r>
      <w:proofErr w:type="spellStart"/>
      <w:r w:rsidRPr="00376E45">
        <w:rPr>
          <w:rFonts w:ascii="Times New Roman" w:hAnsi="Times New Roman"/>
          <w:sz w:val="24"/>
          <w:szCs w:val="24"/>
          <w:lang w:val="en-GB"/>
        </w:rPr>
        <w:t>gelatin</w:t>
      </w:r>
      <w:proofErr w:type="spellEnd"/>
      <w:r w:rsidRPr="00376E45">
        <w:rPr>
          <w:rFonts w:ascii="Times New Roman" w:hAnsi="Times New Roman"/>
          <w:sz w:val="24"/>
          <w:szCs w:val="24"/>
          <w:lang w:val="en-GB"/>
        </w:rPr>
        <w:t>, neomycin, or any other component of the vaccine</w:t>
      </w:r>
    </w:p>
    <w:p w14:paraId="3E431D7E" w14:textId="77777777" w:rsidR="00177829" w:rsidRPr="00376E45" w:rsidRDefault="00177829" w:rsidP="00177829">
      <w:pPr>
        <w:pStyle w:val="ListParagraph"/>
        <w:numPr>
          <w:ilvl w:val="1"/>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Patients who were &lt;140 lbs or &lt;63 kg, receiving more than 20 mg/week of methotrexate were not eligible for the administration of the zoster vaccine</w:t>
      </w:r>
    </w:p>
    <w:p w14:paraId="2FCF425E" w14:textId="77777777" w:rsidR="00177829" w:rsidRPr="00376E45" w:rsidRDefault="00177829" w:rsidP="00177829">
      <w:pPr>
        <w:pStyle w:val="ListParagraph"/>
        <w:numPr>
          <w:ilvl w:val="1"/>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Patients with clinical or laboratory evidence of an unspecified cellular immunodeficiency</w:t>
      </w:r>
    </w:p>
    <w:p w14:paraId="3D31DE39" w14:textId="77777777" w:rsidR="00177829" w:rsidRPr="00376E45" w:rsidRDefault="00177829" w:rsidP="00177829">
      <w:pPr>
        <w:pStyle w:val="ListParagraph"/>
        <w:numPr>
          <w:ilvl w:val="1"/>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History of any severe adverse reaction associated with a vaccine</w:t>
      </w:r>
    </w:p>
    <w:p w14:paraId="3D2714E3" w14:textId="5B45DD73" w:rsidR="00177829" w:rsidRPr="00376E45" w:rsidRDefault="00177829" w:rsidP="00177829">
      <w:pPr>
        <w:pStyle w:val="ListParagraph"/>
        <w:numPr>
          <w:ilvl w:val="1"/>
          <w:numId w:val="27"/>
        </w:numPr>
        <w:spacing w:before="240" w:after="240" w:line="480" w:lineRule="auto"/>
        <w:rPr>
          <w:rFonts w:ascii="Times New Roman" w:hAnsi="Times New Roman"/>
          <w:sz w:val="24"/>
          <w:szCs w:val="24"/>
          <w:lang w:val="en-GB"/>
        </w:rPr>
      </w:pPr>
      <w:r w:rsidRPr="00376E45">
        <w:rPr>
          <w:rFonts w:ascii="Times New Roman" w:hAnsi="Times New Roman"/>
          <w:sz w:val="24"/>
          <w:szCs w:val="24"/>
          <w:lang w:val="en-GB"/>
        </w:rPr>
        <w:t>History of Guillain-Barre Syndrome</w:t>
      </w:r>
      <w:r w:rsidR="004F4CD4" w:rsidRPr="00376E45">
        <w:rPr>
          <w:rFonts w:ascii="Times New Roman" w:hAnsi="Times New Roman"/>
          <w:sz w:val="24"/>
          <w:szCs w:val="24"/>
          <w:lang w:val="en-GB"/>
        </w:rPr>
        <w:t>.</w:t>
      </w:r>
    </w:p>
    <w:p w14:paraId="1F591CB0" w14:textId="77777777" w:rsidR="00177829" w:rsidRPr="00376E45" w:rsidRDefault="00177829" w:rsidP="00177829">
      <w:pPr>
        <w:rPr>
          <w:lang w:val="en-GB"/>
        </w:rPr>
      </w:pPr>
    </w:p>
    <w:p w14:paraId="283D2B35" w14:textId="7C23BB03" w:rsidR="005B0897" w:rsidRPr="00376E45" w:rsidRDefault="005B0897">
      <w:pPr>
        <w:spacing w:before="0" w:after="0" w:line="240" w:lineRule="auto"/>
        <w:rPr>
          <w:lang w:val="en-GB" w:eastAsia="en-GB"/>
        </w:rPr>
      </w:pPr>
      <w:r w:rsidRPr="00376E45">
        <w:rPr>
          <w:lang w:val="en-GB" w:eastAsia="en-GB"/>
        </w:rPr>
        <w:br w:type="page"/>
      </w:r>
    </w:p>
    <w:p w14:paraId="01CA6EA9" w14:textId="1ED124E3" w:rsidR="002D5EF4" w:rsidRPr="00376E45" w:rsidRDefault="005B0897" w:rsidP="00177829">
      <w:pPr>
        <w:tabs>
          <w:tab w:val="left" w:pos="0"/>
        </w:tabs>
        <w:spacing w:after="0"/>
        <w:rPr>
          <w:b/>
          <w:lang w:val="en-GB" w:eastAsia="en-GB"/>
        </w:rPr>
      </w:pPr>
      <w:r w:rsidRPr="00376E45">
        <w:rPr>
          <w:b/>
          <w:lang w:val="en-GB" w:eastAsia="en-GB"/>
        </w:rPr>
        <w:t>Section 3. Summary of discontinuations due to AEs</w:t>
      </w:r>
    </w:p>
    <w:tbl>
      <w:tblPr>
        <w:tblStyle w:val="TableGrid"/>
        <w:tblW w:w="0" w:type="auto"/>
        <w:tblLook w:val="04A0" w:firstRow="1" w:lastRow="0" w:firstColumn="1" w:lastColumn="0" w:noHBand="0" w:noVBand="1"/>
      </w:tblPr>
      <w:tblGrid>
        <w:gridCol w:w="7990"/>
      </w:tblGrid>
      <w:tr w:rsidR="00C409D5" w:rsidRPr="00376E45" w14:paraId="4D705017" w14:textId="77777777" w:rsidTr="0089632A">
        <w:trPr>
          <w:trHeight w:val="1354"/>
        </w:trPr>
        <w:tc>
          <w:tcPr>
            <w:tcW w:w="7990" w:type="dxa"/>
            <w:noWrap/>
          </w:tcPr>
          <w:p w14:paraId="76EAAFAD" w14:textId="77777777" w:rsidR="00C409D5" w:rsidRPr="00376E45" w:rsidRDefault="00C409D5" w:rsidP="005B0897">
            <w:pPr>
              <w:tabs>
                <w:tab w:val="left" w:pos="0"/>
              </w:tabs>
              <w:spacing w:after="0"/>
              <w:rPr>
                <w:b/>
                <w:lang w:val="en-GB" w:eastAsia="en-GB"/>
              </w:rPr>
            </w:pPr>
          </w:p>
          <w:p w14:paraId="04E12C62" w14:textId="0B94E270" w:rsidR="00C409D5" w:rsidRPr="00376E45" w:rsidRDefault="00C409D5" w:rsidP="005B0897">
            <w:pPr>
              <w:tabs>
                <w:tab w:val="left" w:pos="0"/>
              </w:tabs>
              <w:spacing w:after="0"/>
              <w:rPr>
                <w:b/>
                <w:lang w:val="en-GB" w:eastAsia="en-GB"/>
              </w:rPr>
            </w:pPr>
            <w:r w:rsidRPr="00376E45">
              <w:rPr>
                <w:b/>
                <w:lang w:val="en-GB" w:eastAsia="en-GB"/>
              </w:rPr>
              <w:t>Tofacitinib monotherapy: n=23</w:t>
            </w:r>
          </w:p>
        </w:tc>
      </w:tr>
      <w:tr w:rsidR="005B0897" w:rsidRPr="00376E45" w14:paraId="01DCCC08" w14:textId="77777777" w:rsidTr="0089632A">
        <w:trPr>
          <w:trHeight w:val="255"/>
        </w:trPr>
        <w:tc>
          <w:tcPr>
            <w:tcW w:w="7990" w:type="dxa"/>
            <w:noWrap/>
            <w:hideMark/>
          </w:tcPr>
          <w:p w14:paraId="743073F1" w14:textId="11940359" w:rsidR="005B0897" w:rsidRPr="00376E45" w:rsidRDefault="005B0897" w:rsidP="005B0897">
            <w:pPr>
              <w:tabs>
                <w:tab w:val="left" w:pos="0"/>
              </w:tabs>
              <w:spacing w:after="0"/>
              <w:rPr>
                <w:lang w:val="en-GB" w:eastAsia="en-GB"/>
              </w:rPr>
            </w:pPr>
            <w:r w:rsidRPr="00376E45">
              <w:rPr>
                <w:lang w:val="en-GB" w:eastAsia="en-GB"/>
              </w:rPr>
              <w:t>Cellulitis (n=2)</w:t>
            </w:r>
          </w:p>
        </w:tc>
      </w:tr>
      <w:tr w:rsidR="005B0897" w:rsidRPr="00376E45" w14:paraId="372E995A" w14:textId="77777777" w:rsidTr="0089632A">
        <w:trPr>
          <w:trHeight w:val="255"/>
        </w:trPr>
        <w:tc>
          <w:tcPr>
            <w:tcW w:w="7990" w:type="dxa"/>
            <w:noWrap/>
            <w:hideMark/>
          </w:tcPr>
          <w:p w14:paraId="2B64055D" w14:textId="64F3B927" w:rsidR="005B0897" w:rsidRPr="00376E45" w:rsidRDefault="005B0897" w:rsidP="005B0897">
            <w:pPr>
              <w:tabs>
                <w:tab w:val="left" w:pos="0"/>
              </w:tabs>
              <w:spacing w:after="0"/>
              <w:rPr>
                <w:lang w:val="en-GB" w:eastAsia="en-GB"/>
              </w:rPr>
            </w:pPr>
            <w:r w:rsidRPr="00376E45">
              <w:rPr>
                <w:lang w:val="en-GB" w:eastAsia="en-GB"/>
              </w:rPr>
              <w:t>Rheumatoid arthritis (n=2)</w:t>
            </w:r>
          </w:p>
        </w:tc>
      </w:tr>
      <w:tr w:rsidR="005B0897" w:rsidRPr="00096119" w14:paraId="0CB1ED48" w14:textId="77777777" w:rsidTr="0089632A">
        <w:trPr>
          <w:trHeight w:val="255"/>
        </w:trPr>
        <w:tc>
          <w:tcPr>
            <w:tcW w:w="7990" w:type="dxa"/>
            <w:noWrap/>
            <w:hideMark/>
          </w:tcPr>
          <w:p w14:paraId="3C470C5C" w14:textId="744E65B4" w:rsidR="005B0897" w:rsidRPr="00276124" w:rsidRDefault="005B0897" w:rsidP="005B0897">
            <w:pPr>
              <w:tabs>
                <w:tab w:val="left" w:pos="0"/>
              </w:tabs>
              <w:spacing w:after="0"/>
              <w:rPr>
                <w:lang w:val="fr-FR" w:eastAsia="en-GB"/>
              </w:rPr>
            </w:pPr>
            <w:r w:rsidRPr="00276124">
              <w:rPr>
                <w:lang w:val="fr-FR" w:eastAsia="en-GB"/>
              </w:rPr>
              <w:t xml:space="preserve">Abdominal distension, Abdominal pain, </w:t>
            </w:r>
            <w:proofErr w:type="spellStart"/>
            <w:r w:rsidRPr="00276124">
              <w:rPr>
                <w:lang w:val="fr-FR" w:eastAsia="en-GB"/>
              </w:rPr>
              <w:t>Nausea</w:t>
            </w:r>
            <w:proofErr w:type="spellEnd"/>
            <w:r w:rsidRPr="00276124">
              <w:rPr>
                <w:lang w:val="fr-FR" w:eastAsia="en-GB"/>
              </w:rPr>
              <w:t>, Malaise (n=1)</w:t>
            </w:r>
          </w:p>
        </w:tc>
      </w:tr>
      <w:tr w:rsidR="005B0897" w:rsidRPr="00376E45" w14:paraId="15C15F3F" w14:textId="77777777" w:rsidTr="0089632A">
        <w:trPr>
          <w:trHeight w:val="255"/>
        </w:trPr>
        <w:tc>
          <w:tcPr>
            <w:tcW w:w="7990" w:type="dxa"/>
            <w:noWrap/>
            <w:hideMark/>
          </w:tcPr>
          <w:p w14:paraId="170429B9" w14:textId="70F7866B" w:rsidR="005B0897" w:rsidRPr="00376E45" w:rsidRDefault="005B0897" w:rsidP="005B0897">
            <w:pPr>
              <w:tabs>
                <w:tab w:val="left" w:pos="0"/>
              </w:tabs>
              <w:spacing w:after="0"/>
              <w:rPr>
                <w:lang w:val="en-GB" w:eastAsia="en-GB"/>
              </w:rPr>
            </w:pPr>
            <w:r w:rsidRPr="00376E45">
              <w:rPr>
                <w:lang w:val="en-GB" w:eastAsia="en-GB"/>
              </w:rPr>
              <w:t>Asthma (n=1)</w:t>
            </w:r>
          </w:p>
        </w:tc>
      </w:tr>
      <w:tr w:rsidR="005B0897" w:rsidRPr="00376E45" w14:paraId="26F640B8" w14:textId="77777777" w:rsidTr="0089632A">
        <w:trPr>
          <w:trHeight w:val="255"/>
        </w:trPr>
        <w:tc>
          <w:tcPr>
            <w:tcW w:w="7990" w:type="dxa"/>
            <w:noWrap/>
            <w:hideMark/>
          </w:tcPr>
          <w:p w14:paraId="7845C07C" w14:textId="29FF5647" w:rsidR="005B0897" w:rsidRPr="00376E45" w:rsidRDefault="005B0897" w:rsidP="005B0897">
            <w:pPr>
              <w:tabs>
                <w:tab w:val="left" w:pos="0"/>
              </w:tabs>
              <w:spacing w:after="0"/>
              <w:rPr>
                <w:lang w:val="en-GB" w:eastAsia="en-GB"/>
              </w:rPr>
            </w:pPr>
            <w:r w:rsidRPr="00376E45">
              <w:rPr>
                <w:lang w:val="en-GB" w:eastAsia="en-GB"/>
              </w:rPr>
              <w:t xml:space="preserve">Blood </w:t>
            </w:r>
            <w:proofErr w:type="spellStart"/>
            <w:r w:rsidRPr="00376E45">
              <w:rPr>
                <w:lang w:val="en-GB" w:eastAsia="en-GB"/>
              </w:rPr>
              <w:t>creatine</w:t>
            </w:r>
            <w:proofErr w:type="spellEnd"/>
            <w:r w:rsidRPr="00376E45">
              <w:rPr>
                <w:lang w:val="en-GB" w:eastAsia="en-GB"/>
              </w:rPr>
              <w:t xml:space="preserve"> phosphokinase increased (n=1)</w:t>
            </w:r>
          </w:p>
        </w:tc>
      </w:tr>
      <w:tr w:rsidR="005B0897" w:rsidRPr="00376E45" w14:paraId="35EF782F" w14:textId="77777777" w:rsidTr="0089632A">
        <w:trPr>
          <w:trHeight w:val="255"/>
        </w:trPr>
        <w:tc>
          <w:tcPr>
            <w:tcW w:w="7990" w:type="dxa"/>
            <w:noWrap/>
            <w:hideMark/>
          </w:tcPr>
          <w:p w14:paraId="1D9345F5" w14:textId="12AD44A0" w:rsidR="005B0897" w:rsidRPr="00376E45" w:rsidRDefault="005B0897" w:rsidP="005B0897">
            <w:pPr>
              <w:tabs>
                <w:tab w:val="left" w:pos="0"/>
              </w:tabs>
              <w:spacing w:after="0"/>
              <w:rPr>
                <w:lang w:val="en-GB" w:eastAsia="en-GB"/>
              </w:rPr>
            </w:pPr>
            <w:r w:rsidRPr="00376E45">
              <w:rPr>
                <w:lang w:val="en-GB" w:eastAsia="en-GB"/>
              </w:rPr>
              <w:t>Breast cancer (n=1)</w:t>
            </w:r>
          </w:p>
        </w:tc>
      </w:tr>
      <w:tr w:rsidR="005B0897" w:rsidRPr="00376E45" w14:paraId="7595F414" w14:textId="77777777" w:rsidTr="0089632A">
        <w:trPr>
          <w:trHeight w:val="255"/>
        </w:trPr>
        <w:tc>
          <w:tcPr>
            <w:tcW w:w="7990" w:type="dxa"/>
            <w:noWrap/>
            <w:hideMark/>
          </w:tcPr>
          <w:p w14:paraId="10B11C43" w14:textId="3B4BF824" w:rsidR="005B0897" w:rsidRPr="00376E45" w:rsidRDefault="005B0897" w:rsidP="005B0897">
            <w:pPr>
              <w:tabs>
                <w:tab w:val="left" w:pos="0"/>
              </w:tabs>
              <w:spacing w:after="0"/>
              <w:rPr>
                <w:lang w:val="en-GB" w:eastAsia="en-GB"/>
              </w:rPr>
            </w:pPr>
            <w:r w:rsidRPr="00376E45">
              <w:rPr>
                <w:lang w:val="en-GB" w:eastAsia="en-GB"/>
              </w:rPr>
              <w:t>Condition aggravated (n=1)</w:t>
            </w:r>
          </w:p>
        </w:tc>
      </w:tr>
      <w:tr w:rsidR="005B0897" w:rsidRPr="00376E45" w14:paraId="07E2E056" w14:textId="77777777" w:rsidTr="0089632A">
        <w:trPr>
          <w:trHeight w:val="255"/>
        </w:trPr>
        <w:tc>
          <w:tcPr>
            <w:tcW w:w="7990" w:type="dxa"/>
            <w:noWrap/>
            <w:hideMark/>
          </w:tcPr>
          <w:p w14:paraId="61C61A11" w14:textId="5D16A46F" w:rsidR="005B0897" w:rsidRPr="00376E45" w:rsidRDefault="005B0897" w:rsidP="00C21EEA">
            <w:pPr>
              <w:tabs>
                <w:tab w:val="left" w:pos="0"/>
              </w:tabs>
              <w:spacing w:after="0"/>
              <w:rPr>
                <w:lang w:val="en-GB" w:eastAsia="en-GB"/>
              </w:rPr>
            </w:pPr>
            <w:r w:rsidRPr="00376E45">
              <w:rPr>
                <w:lang w:val="en-GB" w:eastAsia="en-GB"/>
              </w:rPr>
              <w:t>Drug-induced liver injury</w:t>
            </w:r>
            <w:r w:rsidR="00C21EEA" w:rsidRPr="00376E45">
              <w:rPr>
                <w:lang w:val="en-GB" w:eastAsia="en-GB"/>
              </w:rPr>
              <w:t xml:space="preserve"> </w:t>
            </w:r>
            <w:r w:rsidRPr="00376E45">
              <w:rPr>
                <w:lang w:val="en-GB" w:eastAsia="en-GB"/>
              </w:rPr>
              <w:t>(n=1)</w:t>
            </w:r>
          </w:p>
        </w:tc>
      </w:tr>
      <w:tr w:rsidR="005B0897" w:rsidRPr="00376E45" w14:paraId="5FC15A2F" w14:textId="77777777" w:rsidTr="0089632A">
        <w:trPr>
          <w:trHeight w:val="255"/>
        </w:trPr>
        <w:tc>
          <w:tcPr>
            <w:tcW w:w="7990" w:type="dxa"/>
            <w:noWrap/>
            <w:hideMark/>
          </w:tcPr>
          <w:p w14:paraId="0FEF05E2" w14:textId="03EE54AD" w:rsidR="005B0897" w:rsidRPr="00376E45" w:rsidRDefault="005B0897" w:rsidP="00C21EEA">
            <w:pPr>
              <w:tabs>
                <w:tab w:val="left" w:pos="0"/>
              </w:tabs>
              <w:spacing w:after="0"/>
              <w:rPr>
                <w:lang w:val="en-GB" w:eastAsia="en-GB"/>
              </w:rPr>
            </w:pPr>
            <w:r w:rsidRPr="00376E45">
              <w:rPr>
                <w:lang w:val="en-GB" w:eastAsia="en-GB"/>
              </w:rPr>
              <w:t>Human chorionic gonadotropin positive</w:t>
            </w:r>
            <w:r w:rsidR="00C21EEA" w:rsidRPr="00376E45">
              <w:rPr>
                <w:lang w:val="en-GB" w:eastAsia="en-GB"/>
              </w:rPr>
              <w:t xml:space="preserve"> </w:t>
            </w:r>
            <w:r w:rsidRPr="00376E45">
              <w:rPr>
                <w:lang w:val="en-GB" w:eastAsia="en-GB"/>
              </w:rPr>
              <w:t>(n=1)</w:t>
            </w:r>
          </w:p>
        </w:tc>
      </w:tr>
      <w:tr w:rsidR="005B0897" w:rsidRPr="00376E45" w14:paraId="0890B1C9" w14:textId="77777777" w:rsidTr="0089632A">
        <w:trPr>
          <w:trHeight w:val="255"/>
        </w:trPr>
        <w:tc>
          <w:tcPr>
            <w:tcW w:w="7990" w:type="dxa"/>
            <w:noWrap/>
            <w:hideMark/>
          </w:tcPr>
          <w:p w14:paraId="7C0FE352" w14:textId="6B83A49F" w:rsidR="005B0897" w:rsidRPr="00376E45" w:rsidRDefault="005B0897" w:rsidP="00C21EEA">
            <w:pPr>
              <w:tabs>
                <w:tab w:val="left" w:pos="0"/>
              </w:tabs>
              <w:spacing w:after="0"/>
              <w:rPr>
                <w:lang w:val="en-GB" w:eastAsia="en-GB"/>
              </w:rPr>
            </w:pPr>
            <w:r w:rsidRPr="00376E45">
              <w:rPr>
                <w:lang w:val="en-GB" w:eastAsia="en-GB"/>
              </w:rPr>
              <w:t>Lung neoplasm</w:t>
            </w:r>
            <w:r w:rsidR="00C21EEA" w:rsidRPr="00376E45">
              <w:rPr>
                <w:lang w:val="en-GB" w:eastAsia="en-GB"/>
              </w:rPr>
              <w:t xml:space="preserve"> </w:t>
            </w:r>
            <w:r w:rsidRPr="00376E45">
              <w:rPr>
                <w:lang w:val="en-GB" w:eastAsia="en-GB"/>
              </w:rPr>
              <w:t>(n=1)</w:t>
            </w:r>
          </w:p>
        </w:tc>
      </w:tr>
      <w:tr w:rsidR="005B0897" w:rsidRPr="00376E45" w14:paraId="739DD766" w14:textId="77777777" w:rsidTr="0089632A">
        <w:trPr>
          <w:trHeight w:val="255"/>
        </w:trPr>
        <w:tc>
          <w:tcPr>
            <w:tcW w:w="7990" w:type="dxa"/>
            <w:noWrap/>
            <w:hideMark/>
          </w:tcPr>
          <w:p w14:paraId="6FA3A27F" w14:textId="639C7456" w:rsidR="005B0897" w:rsidRPr="00376E45" w:rsidRDefault="005B0897" w:rsidP="00C21EEA">
            <w:pPr>
              <w:tabs>
                <w:tab w:val="left" w:pos="0"/>
              </w:tabs>
              <w:spacing w:after="0"/>
              <w:rPr>
                <w:lang w:val="en-GB" w:eastAsia="en-GB"/>
              </w:rPr>
            </w:pPr>
            <w:r w:rsidRPr="00376E45">
              <w:rPr>
                <w:lang w:val="en-GB" w:eastAsia="en-GB"/>
              </w:rPr>
              <w:t>Osteoarthritis</w:t>
            </w:r>
            <w:r w:rsidR="00C21EEA" w:rsidRPr="00376E45">
              <w:rPr>
                <w:lang w:val="en-GB" w:eastAsia="en-GB"/>
              </w:rPr>
              <w:t xml:space="preserve"> </w:t>
            </w:r>
            <w:r w:rsidRPr="00376E45">
              <w:rPr>
                <w:lang w:val="en-GB" w:eastAsia="en-GB"/>
              </w:rPr>
              <w:t>(n=1)</w:t>
            </w:r>
          </w:p>
        </w:tc>
      </w:tr>
      <w:tr w:rsidR="005B0897" w:rsidRPr="00376E45" w14:paraId="1F8F2B76" w14:textId="77777777" w:rsidTr="0089632A">
        <w:trPr>
          <w:trHeight w:val="255"/>
        </w:trPr>
        <w:tc>
          <w:tcPr>
            <w:tcW w:w="7990" w:type="dxa"/>
            <w:noWrap/>
            <w:hideMark/>
          </w:tcPr>
          <w:p w14:paraId="5AA8FA17" w14:textId="0D792030" w:rsidR="005B0897" w:rsidRPr="00376E45" w:rsidRDefault="005B0897" w:rsidP="00C21EEA">
            <w:pPr>
              <w:tabs>
                <w:tab w:val="left" w:pos="0"/>
              </w:tabs>
              <w:spacing w:after="0"/>
              <w:rPr>
                <w:lang w:val="en-GB" w:eastAsia="en-GB"/>
              </w:rPr>
            </w:pPr>
            <w:r w:rsidRPr="00376E45">
              <w:rPr>
                <w:lang w:val="en-GB" w:eastAsia="en-GB"/>
              </w:rPr>
              <w:t>Osteonecrosis</w:t>
            </w:r>
            <w:r w:rsidR="00C21EEA" w:rsidRPr="00376E45">
              <w:rPr>
                <w:lang w:val="en-GB" w:eastAsia="en-GB"/>
              </w:rPr>
              <w:t xml:space="preserve"> </w:t>
            </w:r>
            <w:r w:rsidRPr="00376E45">
              <w:rPr>
                <w:lang w:val="en-GB" w:eastAsia="en-GB"/>
              </w:rPr>
              <w:t>(n=1)</w:t>
            </w:r>
          </w:p>
        </w:tc>
      </w:tr>
      <w:tr w:rsidR="005B0897" w:rsidRPr="00376E45" w14:paraId="46895677" w14:textId="77777777" w:rsidTr="0089632A">
        <w:trPr>
          <w:trHeight w:val="255"/>
        </w:trPr>
        <w:tc>
          <w:tcPr>
            <w:tcW w:w="7990" w:type="dxa"/>
            <w:noWrap/>
            <w:hideMark/>
          </w:tcPr>
          <w:p w14:paraId="067B62C8" w14:textId="443E4ABA" w:rsidR="005B0897" w:rsidRPr="00376E45" w:rsidRDefault="005B0897" w:rsidP="00C21EEA">
            <w:pPr>
              <w:tabs>
                <w:tab w:val="left" w:pos="0"/>
              </w:tabs>
              <w:spacing w:after="0"/>
              <w:rPr>
                <w:lang w:val="en-GB" w:eastAsia="en-GB"/>
              </w:rPr>
            </w:pPr>
            <w:r w:rsidRPr="00376E45">
              <w:rPr>
                <w:lang w:val="en-GB" w:eastAsia="en-GB"/>
              </w:rPr>
              <w:t>Pericarditis</w:t>
            </w:r>
            <w:r w:rsidR="00C21EEA" w:rsidRPr="00376E45">
              <w:rPr>
                <w:lang w:val="en-GB" w:eastAsia="en-GB"/>
              </w:rPr>
              <w:t xml:space="preserve"> </w:t>
            </w:r>
            <w:r w:rsidRPr="00376E45">
              <w:rPr>
                <w:lang w:val="en-GB" w:eastAsia="en-GB"/>
              </w:rPr>
              <w:t>(n=1)</w:t>
            </w:r>
          </w:p>
        </w:tc>
      </w:tr>
      <w:tr w:rsidR="005B0897" w:rsidRPr="00376E45" w14:paraId="2AA87678" w14:textId="77777777" w:rsidTr="0089632A">
        <w:trPr>
          <w:trHeight w:val="255"/>
        </w:trPr>
        <w:tc>
          <w:tcPr>
            <w:tcW w:w="7990" w:type="dxa"/>
            <w:noWrap/>
            <w:hideMark/>
          </w:tcPr>
          <w:p w14:paraId="75B7E3BB" w14:textId="49D6F49D" w:rsidR="005B0897" w:rsidRPr="00376E45" w:rsidRDefault="005B0897" w:rsidP="00C21EEA">
            <w:pPr>
              <w:tabs>
                <w:tab w:val="left" w:pos="0"/>
              </w:tabs>
              <w:spacing w:after="0"/>
              <w:rPr>
                <w:lang w:val="en-GB" w:eastAsia="en-GB"/>
              </w:rPr>
            </w:pPr>
            <w:r w:rsidRPr="00376E45">
              <w:rPr>
                <w:lang w:val="en-GB" w:eastAsia="en-GB"/>
              </w:rPr>
              <w:t>Polyneuropathy</w:t>
            </w:r>
            <w:r w:rsidR="00C21EEA" w:rsidRPr="00376E45">
              <w:rPr>
                <w:lang w:val="en-GB" w:eastAsia="en-GB"/>
              </w:rPr>
              <w:t xml:space="preserve"> </w:t>
            </w:r>
            <w:r w:rsidRPr="00376E45">
              <w:rPr>
                <w:lang w:val="en-GB" w:eastAsia="en-GB"/>
              </w:rPr>
              <w:t>(n=1)</w:t>
            </w:r>
          </w:p>
        </w:tc>
      </w:tr>
      <w:tr w:rsidR="005B0897" w:rsidRPr="00376E45" w14:paraId="4C18F705" w14:textId="77777777" w:rsidTr="0089632A">
        <w:trPr>
          <w:trHeight w:val="255"/>
        </w:trPr>
        <w:tc>
          <w:tcPr>
            <w:tcW w:w="7990" w:type="dxa"/>
            <w:noWrap/>
            <w:hideMark/>
          </w:tcPr>
          <w:p w14:paraId="6E2993D3" w14:textId="1424A758" w:rsidR="005B0897" w:rsidRPr="00376E45" w:rsidRDefault="005B0897" w:rsidP="00C21EEA">
            <w:pPr>
              <w:tabs>
                <w:tab w:val="left" w:pos="0"/>
              </w:tabs>
              <w:spacing w:after="0"/>
              <w:rPr>
                <w:lang w:val="en-GB" w:eastAsia="en-GB"/>
              </w:rPr>
            </w:pPr>
            <w:r w:rsidRPr="00376E45">
              <w:rPr>
                <w:lang w:val="en-GB" w:eastAsia="en-GB"/>
              </w:rPr>
              <w:t>Pregnancy</w:t>
            </w:r>
            <w:r w:rsidR="00C21EEA" w:rsidRPr="00376E45">
              <w:rPr>
                <w:lang w:val="en-GB" w:eastAsia="en-GB"/>
              </w:rPr>
              <w:t xml:space="preserve"> </w:t>
            </w:r>
            <w:r w:rsidRPr="00376E45">
              <w:rPr>
                <w:lang w:val="en-GB" w:eastAsia="en-GB"/>
              </w:rPr>
              <w:t>(n=1)</w:t>
            </w:r>
          </w:p>
        </w:tc>
      </w:tr>
      <w:tr w:rsidR="005B0897" w:rsidRPr="00376E45" w14:paraId="57FED29F" w14:textId="77777777" w:rsidTr="0089632A">
        <w:trPr>
          <w:trHeight w:val="255"/>
        </w:trPr>
        <w:tc>
          <w:tcPr>
            <w:tcW w:w="7990" w:type="dxa"/>
            <w:noWrap/>
            <w:hideMark/>
          </w:tcPr>
          <w:p w14:paraId="69BECE57" w14:textId="474BDA6D" w:rsidR="005B0897" w:rsidRPr="00376E45" w:rsidRDefault="005B0897" w:rsidP="00C21EEA">
            <w:pPr>
              <w:tabs>
                <w:tab w:val="left" w:pos="0"/>
              </w:tabs>
              <w:spacing w:after="0"/>
              <w:rPr>
                <w:lang w:val="en-GB" w:eastAsia="en-GB"/>
              </w:rPr>
            </w:pPr>
            <w:r w:rsidRPr="00376E45">
              <w:rPr>
                <w:lang w:val="en-GB" w:eastAsia="en-GB"/>
              </w:rPr>
              <w:t>Retinal haemorrhage</w:t>
            </w:r>
            <w:r w:rsidR="00C21EEA" w:rsidRPr="00376E45">
              <w:rPr>
                <w:lang w:val="en-GB" w:eastAsia="en-GB"/>
              </w:rPr>
              <w:t xml:space="preserve"> </w:t>
            </w:r>
            <w:r w:rsidRPr="00376E45">
              <w:rPr>
                <w:lang w:val="en-GB" w:eastAsia="en-GB"/>
              </w:rPr>
              <w:t>(n=1)</w:t>
            </w:r>
          </w:p>
        </w:tc>
      </w:tr>
      <w:tr w:rsidR="005B0897" w:rsidRPr="00376E45" w14:paraId="14272EF6" w14:textId="77777777" w:rsidTr="0089632A">
        <w:trPr>
          <w:trHeight w:val="255"/>
        </w:trPr>
        <w:tc>
          <w:tcPr>
            <w:tcW w:w="7990" w:type="dxa"/>
            <w:noWrap/>
            <w:hideMark/>
          </w:tcPr>
          <w:p w14:paraId="4E364CA5" w14:textId="6B570A2A" w:rsidR="005B0897" w:rsidRPr="00376E45" w:rsidRDefault="005B0897" w:rsidP="00C21EEA">
            <w:pPr>
              <w:tabs>
                <w:tab w:val="left" w:pos="0"/>
              </w:tabs>
              <w:spacing w:after="0"/>
              <w:rPr>
                <w:lang w:val="en-GB" w:eastAsia="en-GB"/>
              </w:rPr>
            </w:pPr>
            <w:r w:rsidRPr="00376E45">
              <w:rPr>
                <w:lang w:val="en-GB" w:eastAsia="en-GB"/>
              </w:rPr>
              <w:t>Sexual dysfunction</w:t>
            </w:r>
            <w:r w:rsidR="00C21EEA" w:rsidRPr="00376E45">
              <w:rPr>
                <w:lang w:val="en-GB" w:eastAsia="en-GB"/>
              </w:rPr>
              <w:t xml:space="preserve"> </w:t>
            </w:r>
            <w:r w:rsidRPr="00376E45">
              <w:rPr>
                <w:lang w:val="en-GB" w:eastAsia="en-GB"/>
              </w:rPr>
              <w:t>(n=1)</w:t>
            </w:r>
          </w:p>
        </w:tc>
      </w:tr>
      <w:tr w:rsidR="005B0897" w:rsidRPr="00376E45" w14:paraId="75D5F846" w14:textId="77777777" w:rsidTr="0089632A">
        <w:trPr>
          <w:trHeight w:val="255"/>
        </w:trPr>
        <w:tc>
          <w:tcPr>
            <w:tcW w:w="7990" w:type="dxa"/>
            <w:noWrap/>
            <w:hideMark/>
          </w:tcPr>
          <w:p w14:paraId="68112C1B" w14:textId="34E47C0A" w:rsidR="005B0897" w:rsidRPr="00376E45" w:rsidRDefault="005B0897" w:rsidP="00C21EEA">
            <w:pPr>
              <w:tabs>
                <w:tab w:val="left" w:pos="0"/>
              </w:tabs>
              <w:spacing w:after="0"/>
              <w:rPr>
                <w:lang w:val="en-GB" w:eastAsia="en-GB"/>
              </w:rPr>
            </w:pPr>
            <w:r w:rsidRPr="00376E45">
              <w:rPr>
                <w:lang w:val="en-GB" w:eastAsia="en-GB"/>
              </w:rPr>
              <w:t>Skin ulcer</w:t>
            </w:r>
            <w:r w:rsidR="00C21EEA" w:rsidRPr="00376E45">
              <w:rPr>
                <w:lang w:val="en-GB" w:eastAsia="en-GB"/>
              </w:rPr>
              <w:t xml:space="preserve"> </w:t>
            </w:r>
            <w:r w:rsidRPr="00376E45">
              <w:rPr>
                <w:lang w:val="en-GB" w:eastAsia="en-GB"/>
              </w:rPr>
              <w:t>(n=1)</w:t>
            </w:r>
          </w:p>
        </w:tc>
      </w:tr>
      <w:tr w:rsidR="005B0897" w:rsidRPr="00376E45" w14:paraId="637CF113" w14:textId="77777777" w:rsidTr="0089632A">
        <w:trPr>
          <w:trHeight w:val="255"/>
        </w:trPr>
        <w:tc>
          <w:tcPr>
            <w:tcW w:w="7990" w:type="dxa"/>
            <w:noWrap/>
            <w:hideMark/>
          </w:tcPr>
          <w:p w14:paraId="72453130" w14:textId="4C7C791E" w:rsidR="005B0897" w:rsidRPr="00376E45" w:rsidRDefault="005B0897" w:rsidP="00C21EEA">
            <w:pPr>
              <w:tabs>
                <w:tab w:val="left" w:pos="0"/>
              </w:tabs>
              <w:spacing w:after="0"/>
              <w:rPr>
                <w:lang w:val="en-GB" w:eastAsia="en-GB"/>
              </w:rPr>
            </w:pPr>
            <w:r w:rsidRPr="00376E45">
              <w:rPr>
                <w:lang w:val="en-GB" w:eastAsia="en-GB"/>
              </w:rPr>
              <w:t>Tonsillitis</w:t>
            </w:r>
            <w:r w:rsidR="00C21EEA" w:rsidRPr="00376E45">
              <w:rPr>
                <w:lang w:val="en-GB" w:eastAsia="en-GB"/>
              </w:rPr>
              <w:t xml:space="preserve"> </w:t>
            </w:r>
            <w:r w:rsidRPr="00376E45">
              <w:rPr>
                <w:lang w:val="en-GB" w:eastAsia="en-GB"/>
              </w:rPr>
              <w:t>(n=1)</w:t>
            </w:r>
          </w:p>
        </w:tc>
      </w:tr>
      <w:tr w:rsidR="005B0897" w:rsidRPr="00376E45" w14:paraId="075273E3" w14:textId="77777777" w:rsidTr="0089632A">
        <w:trPr>
          <w:trHeight w:val="255"/>
        </w:trPr>
        <w:tc>
          <w:tcPr>
            <w:tcW w:w="7990" w:type="dxa"/>
            <w:noWrap/>
            <w:hideMark/>
          </w:tcPr>
          <w:p w14:paraId="7390712B" w14:textId="400BA103" w:rsidR="005B0897" w:rsidRPr="00376E45" w:rsidRDefault="005B0897" w:rsidP="00C21EEA">
            <w:pPr>
              <w:tabs>
                <w:tab w:val="left" w:pos="0"/>
              </w:tabs>
              <w:spacing w:after="0"/>
              <w:rPr>
                <w:lang w:val="en-GB" w:eastAsia="en-GB"/>
              </w:rPr>
            </w:pPr>
            <w:r w:rsidRPr="00376E45">
              <w:rPr>
                <w:lang w:val="en-GB" w:eastAsia="en-GB"/>
              </w:rPr>
              <w:t>Unintended pregnancy</w:t>
            </w:r>
            <w:r w:rsidR="00C21EEA" w:rsidRPr="00376E45">
              <w:rPr>
                <w:lang w:val="en-GB" w:eastAsia="en-GB"/>
              </w:rPr>
              <w:t xml:space="preserve"> </w:t>
            </w:r>
            <w:r w:rsidRPr="00376E45">
              <w:rPr>
                <w:lang w:val="en-GB" w:eastAsia="en-GB"/>
              </w:rPr>
              <w:t>(n=1)</w:t>
            </w:r>
          </w:p>
        </w:tc>
      </w:tr>
      <w:tr w:rsidR="005B0897" w:rsidRPr="00376E45" w14:paraId="66883A02" w14:textId="77777777" w:rsidTr="0089632A">
        <w:trPr>
          <w:trHeight w:val="255"/>
        </w:trPr>
        <w:tc>
          <w:tcPr>
            <w:tcW w:w="7990" w:type="dxa"/>
            <w:noWrap/>
            <w:hideMark/>
          </w:tcPr>
          <w:p w14:paraId="57836360" w14:textId="633504B2" w:rsidR="005B0897" w:rsidRPr="00376E45" w:rsidRDefault="005B0897" w:rsidP="00C21EEA">
            <w:pPr>
              <w:tabs>
                <w:tab w:val="left" w:pos="0"/>
              </w:tabs>
              <w:spacing w:after="0"/>
              <w:rPr>
                <w:lang w:val="en-GB" w:eastAsia="en-GB"/>
              </w:rPr>
            </w:pPr>
            <w:r w:rsidRPr="00376E45">
              <w:rPr>
                <w:lang w:val="en-GB" w:eastAsia="en-GB"/>
              </w:rPr>
              <w:t>Varicella zoster virus infection</w:t>
            </w:r>
            <w:r w:rsidR="00C21EEA" w:rsidRPr="00376E45">
              <w:rPr>
                <w:lang w:val="en-GB" w:eastAsia="en-GB"/>
              </w:rPr>
              <w:t xml:space="preserve"> </w:t>
            </w:r>
            <w:r w:rsidRPr="00376E45">
              <w:rPr>
                <w:lang w:val="en-GB" w:eastAsia="en-GB"/>
              </w:rPr>
              <w:t>(n=1)</w:t>
            </w:r>
          </w:p>
        </w:tc>
      </w:tr>
      <w:tr w:rsidR="00C409D5" w:rsidRPr="00376E45" w14:paraId="7C8238DD" w14:textId="77777777" w:rsidTr="0089632A">
        <w:trPr>
          <w:trHeight w:val="1354"/>
        </w:trPr>
        <w:tc>
          <w:tcPr>
            <w:tcW w:w="7990" w:type="dxa"/>
            <w:noWrap/>
          </w:tcPr>
          <w:p w14:paraId="109C7231" w14:textId="77777777" w:rsidR="00C409D5" w:rsidRPr="00376E45" w:rsidRDefault="00C409D5" w:rsidP="00C21EEA">
            <w:pPr>
              <w:tabs>
                <w:tab w:val="left" w:pos="0"/>
              </w:tabs>
              <w:spacing w:after="0"/>
              <w:rPr>
                <w:b/>
                <w:lang w:val="en-GB" w:eastAsia="en-GB"/>
              </w:rPr>
            </w:pPr>
          </w:p>
          <w:p w14:paraId="5469DE4E" w14:textId="3C9CE36D" w:rsidR="00C409D5" w:rsidRPr="00376E45" w:rsidRDefault="00C409D5" w:rsidP="00C21EEA">
            <w:pPr>
              <w:tabs>
                <w:tab w:val="left" w:pos="0"/>
              </w:tabs>
              <w:spacing w:after="0"/>
              <w:rPr>
                <w:lang w:val="en-GB" w:eastAsia="en-GB"/>
              </w:rPr>
            </w:pPr>
            <w:r w:rsidRPr="00376E45">
              <w:rPr>
                <w:b/>
                <w:lang w:val="en-GB" w:eastAsia="en-GB"/>
              </w:rPr>
              <w:t>Tofacitinib + MTX: n=26</w:t>
            </w:r>
          </w:p>
        </w:tc>
      </w:tr>
      <w:tr w:rsidR="005B0897" w:rsidRPr="00376E45" w14:paraId="2FCCCEC4" w14:textId="77777777" w:rsidTr="0089632A">
        <w:trPr>
          <w:trHeight w:val="255"/>
        </w:trPr>
        <w:tc>
          <w:tcPr>
            <w:tcW w:w="7990" w:type="dxa"/>
            <w:noWrap/>
            <w:hideMark/>
          </w:tcPr>
          <w:p w14:paraId="58EDA481" w14:textId="5DFEF57C" w:rsidR="005B0897" w:rsidRPr="00376E45" w:rsidRDefault="005B0897" w:rsidP="00C21EEA">
            <w:pPr>
              <w:tabs>
                <w:tab w:val="left" w:pos="0"/>
              </w:tabs>
              <w:spacing w:after="0"/>
              <w:rPr>
                <w:lang w:val="en-GB" w:eastAsia="en-GB"/>
              </w:rPr>
            </w:pPr>
            <w:r w:rsidRPr="00376E45">
              <w:rPr>
                <w:lang w:val="en-GB" w:eastAsia="en-GB"/>
              </w:rPr>
              <w:t>Liver function test abnormal</w:t>
            </w:r>
            <w:r w:rsidR="00C21EEA" w:rsidRPr="00376E45">
              <w:rPr>
                <w:lang w:val="en-GB" w:eastAsia="en-GB"/>
              </w:rPr>
              <w:t xml:space="preserve"> </w:t>
            </w:r>
            <w:r w:rsidRPr="00376E45">
              <w:rPr>
                <w:lang w:val="en-GB" w:eastAsia="en-GB"/>
              </w:rPr>
              <w:t>(n=2)</w:t>
            </w:r>
          </w:p>
        </w:tc>
      </w:tr>
      <w:tr w:rsidR="005B0897" w:rsidRPr="00376E45" w14:paraId="3AA419C3" w14:textId="77777777" w:rsidTr="0089632A">
        <w:trPr>
          <w:trHeight w:val="255"/>
        </w:trPr>
        <w:tc>
          <w:tcPr>
            <w:tcW w:w="7990" w:type="dxa"/>
            <w:noWrap/>
            <w:hideMark/>
          </w:tcPr>
          <w:p w14:paraId="2BECE89A" w14:textId="7807CF11" w:rsidR="005B0897" w:rsidRPr="00376E45" w:rsidRDefault="005B0897" w:rsidP="00C21EEA">
            <w:pPr>
              <w:tabs>
                <w:tab w:val="left" w:pos="0"/>
              </w:tabs>
              <w:spacing w:after="0"/>
              <w:rPr>
                <w:lang w:val="en-GB" w:eastAsia="en-GB"/>
              </w:rPr>
            </w:pPr>
            <w:r w:rsidRPr="00376E45">
              <w:rPr>
                <w:lang w:val="en-GB" w:eastAsia="en-GB"/>
              </w:rPr>
              <w:t>Abdominal wall haematoma</w:t>
            </w:r>
            <w:r w:rsidR="00C21EEA" w:rsidRPr="00376E45">
              <w:rPr>
                <w:lang w:val="en-GB" w:eastAsia="en-GB"/>
              </w:rPr>
              <w:t xml:space="preserve"> </w:t>
            </w:r>
            <w:r w:rsidRPr="00376E45">
              <w:rPr>
                <w:lang w:val="en-GB" w:eastAsia="en-GB"/>
              </w:rPr>
              <w:t>(n=1)</w:t>
            </w:r>
          </w:p>
        </w:tc>
      </w:tr>
      <w:tr w:rsidR="005B0897" w:rsidRPr="00376E45" w14:paraId="349524B1" w14:textId="77777777" w:rsidTr="0089632A">
        <w:trPr>
          <w:trHeight w:val="255"/>
        </w:trPr>
        <w:tc>
          <w:tcPr>
            <w:tcW w:w="7990" w:type="dxa"/>
            <w:noWrap/>
            <w:hideMark/>
          </w:tcPr>
          <w:p w14:paraId="0F907996" w14:textId="30166E3A" w:rsidR="005B0897" w:rsidRPr="00376E45" w:rsidRDefault="005B0897" w:rsidP="00C21EEA">
            <w:pPr>
              <w:tabs>
                <w:tab w:val="left" w:pos="0"/>
              </w:tabs>
              <w:spacing w:after="0"/>
              <w:rPr>
                <w:lang w:val="en-GB" w:eastAsia="en-GB"/>
              </w:rPr>
            </w:pPr>
            <w:r w:rsidRPr="00376E45">
              <w:rPr>
                <w:lang w:val="en-GB" w:eastAsia="en-GB"/>
              </w:rPr>
              <w:t>Abortion spontaneous, Pregnancy</w:t>
            </w:r>
            <w:r w:rsidR="00C21EEA" w:rsidRPr="00376E45">
              <w:rPr>
                <w:lang w:val="en-GB" w:eastAsia="en-GB"/>
              </w:rPr>
              <w:t xml:space="preserve"> </w:t>
            </w:r>
            <w:r w:rsidRPr="00376E45">
              <w:rPr>
                <w:lang w:val="en-GB" w:eastAsia="en-GB"/>
              </w:rPr>
              <w:t>(n=1)</w:t>
            </w:r>
          </w:p>
        </w:tc>
      </w:tr>
      <w:tr w:rsidR="005B0897" w:rsidRPr="00376E45" w14:paraId="1EABDF1C" w14:textId="77777777" w:rsidTr="0089632A">
        <w:trPr>
          <w:trHeight w:val="255"/>
        </w:trPr>
        <w:tc>
          <w:tcPr>
            <w:tcW w:w="7990" w:type="dxa"/>
            <w:noWrap/>
            <w:hideMark/>
          </w:tcPr>
          <w:p w14:paraId="11199D15" w14:textId="060C6AEF" w:rsidR="005B0897" w:rsidRPr="00376E45" w:rsidRDefault="005B0897" w:rsidP="00C21EEA">
            <w:pPr>
              <w:tabs>
                <w:tab w:val="left" w:pos="0"/>
              </w:tabs>
              <w:spacing w:after="0"/>
              <w:rPr>
                <w:lang w:val="en-GB" w:eastAsia="en-GB"/>
              </w:rPr>
            </w:pPr>
            <w:r w:rsidRPr="00376E45">
              <w:rPr>
                <w:lang w:val="en-GB" w:eastAsia="en-GB"/>
              </w:rPr>
              <w:t>Anaemia</w:t>
            </w:r>
            <w:r w:rsidR="00C21EEA" w:rsidRPr="00376E45">
              <w:rPr>
                <w:lang w:val="en-GB" w:eastAsia="en-GB"/>
              </w:rPr>
              <w:t xml:space="preserve"> </w:t>
            </w:r>
            <w:r w:rsidRPr="00376E45">
              <w:rPr>
                <w:lang w:val="en-GB" w:eastAsia="en-GB"/>
              </w:rPr>
              <w:t>(n=1)</w:t>
            </w:r>
          </w:p>
        </w:tc>
      </w:tr>
      <w:tr w:rsidR="005B0897" w:rsidRPr="00376E45" w14:paraId="54823604" w14:textId="77777777" w:rsidTr="0089632A">
        <w:trPr>
          <w:trHeight w:val="255"/>
        </w:trPr>
        <w:tc>
          <w:tcPr>
            <w:tcW w:w="7990" w:type="dxa"/>
            <w:noWrap/>
            <w:hideMark/>
          </w:tcPr>
          <w:p w14:paraId="4EDB7772" w14:textId="300C613D" w:rsidR="005B0897" w:rsidRPr="00376E45" w:rsidRDefault="005B0897" w:rsidP="00C21EEA">
            <w:pPr>
              <w:tabs>
                <w:tab w:val="left" w:pos="0"/>
              </w:tabs>
              <w:spacing w:after="0"/>
              <w:rPr>
                <w:lang w:val="en-GB" w:eastAsia="en-GB"/>
              </w:rPr>
            </w:pPr>
            <w:proofErr w:type="spellStart"/>
            <w:r w:rsidRPr="00376E45">
              <w:rPr>
                <w:lang w:val="en-GB" w:eastAsia="en-GB"/>
              </w:rPr>
              <w:t>Anogenital</w:t>
            </w:r>
            <w:proofErr w:type="spellEnd"/>
            <w:r w:rsidRPr="00376E45">
              <w:rPr>
                <w:lang w:val="en-GB" w:eastAsia="en-GB"/>
              </w:rPr>
              <w:t xml:space="preserve"> warts</w:t>
            </w:r>
            <w:r w:rsidR="00C21EEA" w:rsidRPr="00376E45">
              <w:rPr>
                <w:lang w:val="en-GB" w:eastAsia="en-GB"/>
              </w:rPr>
              <w:t xml:space="preserve"> </w:t>
            </w:r>
            <w:r w:rsidRPr="00376E45">
              <w:rPr>
                <w:lang w:val="en-GB" w:eastAsia="en-GB"/>
              </w:rPr>
              <w:t>(n=1)</w:t>
            </w:r>
          </w:p>
        </w:tc>
      </w:tr>
      <w:tr w:rsidR="005B0897" w:rsidRPr="00376E45" w14:paraId="131B06B5" w14:textId="77777777" w:rsidTr="0089632A">
        <w:trPr>
          <w:trHeight w:val="255"/>
        </w:trPr>
        <w:tc>
          <w:tcPr>
            <w:tcW w:w="7990" w:type="dxa"/>
            <w:noWrap/>
            <w:hideMark/>
          </w:tcPr>
          <w:p w14:paraId="35E7A7BE" w14:textId="721BE048" w:rsidR="005B0897" w:rsidRPr="00376E45" w:rsidRDefault="005B0897" w:rsidP="00C21EEA">
            <w:pPr>
              <w:tabs>
                <w:tab w:val="left" w:pos="0"/>
              </w:tabs>
              <w:spacing w:after="0"/>
              <w:rPr>
                <w:lang w:val="en-GB" w:eastAsia="en-GB"/>
              </w:rPr>
            </w:pPr>
            <w:r w:rsidRPr="00376E45">
              <w:rPr>
                <w:lang w:val="en-GB" w:eastAsia="en-GB"/>
              </w:rPr>
              <w:t>Bronchitis</w:t>
            </w:r>
            <w:r w:rsidR="00C21EEA" w:rsidRPr="00376E45">
              <w:rPr>
                <w:lang w:val="en-GB" w:eastAsia="en-GB"/>
              </w:rPr>
              <w:t xml:space="preserve"> </w:t>
            </w:r>
            <w:r w:rsidRPr="00376E45">
              <w:rPr>
                <w:lang w:val="en-GB" w:eastAsia="en-GB"/>
              </w:rPr>
              <w:t>(n=1)</w:t>
            </w:r>
          </w:p>
        </w:tc>
      </w:tr>
      <w:tr w:rsidR="005B0897" w:rsidRPr="00376E45" w14:paraId="6A5CD0D7" w14:textId="77777777" w:rsidTr="0089632A">
        <w:trPr>
          <w:trHeight w:val="255"/>
        </w:trPr>
        <w:tc>
          <w:tcPr>
            <w:tcW w:w="7990" w:type="dxa"/>
            <w:noWrap/>
            <w:hideMark/>
          </w:tcPr>
          <w:p w14:paraId="50C9D77E" w14:textId="45125335" w:rsidR="005B0897" w:rsidRPr="00376E45" w:rsidRDefault="005B0897" w:rsidP="00C21EEA">
            <w:pPr>
              <w:tabs>
                <w:tab w:val="left" w:pos="0"/>
              </w:tabs>
              <w:spacing w:after="0"/>
              <w:rPr>
                <w:lang w:val="en-GB" w:eastAsia="en-GB"/>
              </w:rPr>
            </w:pPr>
            <w:r w:rsidRPr="00376E45">
              <w:rPr>
                <w:lang w:val="en-GB" w:eastAsia="en-GB"/>
              </w:rPr>
              <w:t>Cellulitis with abscess</w:t>
            </w:r>
            <w:r w:rsidR="00C21EEA" w:rsidRPr="00376E45">
              <w:rPr>
                <w:lang w:val="en-GB" w:eastAsia="en-GB"/>
              </w:rPr>
              <w:t xml:space="preserve"> </w:t>
            </w:r>
            <w:r w:rsidRPr="00376E45">
              <w:rPr>
                <w:lang w:val="en-GB" w:eastAsia="en-GB"/>
              </w:rPr>
              <w:t>(n=1)</w:t>
            </w:r>
          </w:p>
        </w:tc>
      </w:tr>
      <w:tr w:rsidR="005B0897" w:rsidRPr="00376E45" w14:paraId="331AF50E" w14:textId="77777777" w:rsidTr="0089632A">
        <w:trPr>
          <w:trHeight w:val="255"/>
        </w:trPr>
        <w:tc>
          <w:tcPr>
            <w:tcW w:w="7990" w:type="dxa"/>
            <w:noWrap/>
            <w:hideMark/>
          </w:tcPr>
          <w:p w14:paraId="68201D8F" w14:textId="39785CBA" w:rsidR="005B0897" w:rsidRPr="00376E45" w:rsidRDefault="005B0897" w:rsidP="00C21EEA">
            <w:pPr>
              <w:tabs>
                <w:tab w:val="left" w:pos="0"/>
              </w:tabs>
              <w:spacing w:after="0"/>
              <w:rPr>
                <w:lang w:val="en-GB" w:eastAsia="en-GB"/>
              </w:rPr>
            </w:pPr>
            <w:r w:rsidRPr="00376E45">
              <w:rPr>
                <w:lang w:val="en-GB" w:eastAsia="en-GB"/>
              </w:rPr>
              <w:t>Depression</w:t>
            </w:r>
            <w:r w:rsidR="00C21EEA" w:rsidRPr="00376E45">
              <w:rPr>
                <w:lang w:val="en-GB" w:eastAsia="en-GB"/>
              </w:rPr>
              <w:t xml:space="preserve"> </w:t>
            </w:r>
            <w:r w:rsidRPr="00376E45">
              <w:rPr>
                <w:lang w:val="en-GB" w:eastAsia="en-GB"/>
              </w:rPr>
              <w:t>(n=1)</w:t>
            </w:r>
          </w:p>
        </w:tc>
      </w:tr>
      <w:tr w:rsidR="005B0897" w:rsidRPr="00376E45" w14:paraId="1396C1B0" w14:textId="77777777" w:rsidTr="0089632A">
        <w:trPr>
          <w:trHeight w:val="255"/>
        </w:trPr>
        <w:tc>
          <w:tcPr>
            <w:tcW w:w="7990" w:type="dxa"/>
            <w:noWrap/>
            <w:hideMark/>
          </w:tcPr>
          <w:p w14:paraId="77DDD08E" w14:textId="1FF2EB0C" w:rsidR="005B0897" w:rsidRPr="00376E45" w:rsidRDefault="005B0897" w:rsidP="00C21EEA">
            <w:pPr>
              <w:tabs>
                <w:tab w:val="left" w:pos="0"/>
              </w:tabs>
              <w:spacing w:after="0"/>
              <w:rPr>
                <w:lang w:val="en-GB" w:eastAsia="en-GB"/>
              </w:rPr>
            </w:pPr>
            <w:r w:rsidRPr="00376E45">
              <w:rPr>
                <w:lang w:val="en-GB" w:eastAsia="en-GB"/>
              </w:rPr>
              <w:t>Headache</w:t>
            </w:r>
            <w:r w:rsidR="00C21EEA" w:rsidRPr="00376E45">
              <w:rPr>
                <w:lang w:val="en-GB" w:eastAsia="en-GB"/>
              </w:rPr>
              <w:t xml:space="preserve"> </w:t>
            </w:r>
            <w:r w:rsidRPr="00376E45">
              <w:rPr>
                <w:lang w:val="en-GB" w:eastAsia="en-GB"/>
              </w:rPr>
              <w:t>(n=1)</w:t>
            </w:r>
          </w:p>
        </w:tc>
      </w:tr>
      <w:tr w:rsidR="005B0897" w:rsidRPr="00376E45" w14:paraId="1742D6BB" w14:textId="77777777" w:rsidTr="0089632A">
        <w:trPr>
          <w:trHeight w:val="255"/>
        </w:trPr>
        <w:tc>
          <w:tcPr>
            <w:tcW w:w="7990" w:type="dxa"/>
            <w:noWrap/>
            <w:hideMark/>
          </w:tcPr>
          <w:p w14:paraId="732616BA" w14:textId="5CB1D94E" w:rsidR="005B0897" w:rsidRPr="00376E45" w:rsidRDefault="005B0897" w:rsidP="00C21EEA">
            <w:pPr>
              <w:tabs>
                <w:tab w:val="left" w:pos="0"/>
              </w:tabs>
              <w:spacing w:after="0"/>
              <w:rPr>
                <w:lang w:val="en-GB" w:eastAsia="en-GB"/>
              </w:rPr>
            </w:pPr>
            <w:r w:rsidRPr="00376E45">
              <w:rPr>
                <w:lang w:val="en-GB" w:eastAsia="en-GB"/>
              </w:rPr>
              <w:t>Hepatic enzyme increased</w:t>
            </w:r>
            <w:r w:rsidR="00C21EEA" w:rsidRPr="00376E45">
              <w:rPr>
                <w:lang w:val="en-GB" w:eastAsia="en-GB"/>
              </w:rPr>
              <w:t xml:space="preserve"> </w:t>
            </w:r>
            <w:r w:rsidRPr="00376E45">
              <w:rPr>
                <w:lang w:val="en-GB" w:eastAsia="en-GB"/>
              </w:rPr>
              <w:t>(n=1)</w:t>
            </w:r>
          </w:p>
        </w:tc>
      </w:tr>
      <w:tr w:rsidR="005B0897" w:rsidRPr="00376E45" w14:paraId="5231374C" w14:textId="77777777" w:rsidTr="0089632A">
        <w:trPr>
          <w:trHeight w:val="255"/>
        </w:trPr>
        <w:tc>
          <w:tcPr>
            <w:tcW w:w="7990" w:type="dxa"/>
            <w:noWrap/>
            <w:hideMark/>
          </w:tcPr>
          <w:p w14:paraId="4DF1D97C" w14:textId="137A5136" w:rsidR="005B0897" w:rsidRPr="00376E45" w:rsidRDefault="005B0897" w:rsidP="00C21EEA">
            <w:pPr>
              <w:tabs>
                <w:tab w:val="left" w:pos="0"/>
              </w:tabs>
              <w:spacing w:after="0"/>
              <w:rPr>
                <w:lang w:val="en-GB" w:eastAsia="en-GB"/>
              </w:rPr>
            </w:pPr>
            <w:r w:rsidRPr="00376E45">
              <w:rPr>
                <w:lang w:val="en-GB" w:eastAsia="en-GB"/>
              </w:rPr>
              <w:t>Herpes zoster</w:t>
            </w:r>
            <w:r w:rsidR="00C21EEA" w:rsidRPr="00376E45">
              <w:rPr>
                <w:lang w:val="en-GB" w:eastAsia="en-GB"/>
              </w:rPr>
              <w:t xml:space="preserve"> </w:t>
            </w:r>
            <w:r w:rsidRPr="00376E45">
              <w:rPr>
                <w:lang w:val="en-GB" w:eastAsia="en-GB"/>
              </w:rPr>
              <w:t>(n=1)</w:t>
            </w:r>
          </w:p>
        </w:tc>
      </w:tr>
      <w:tr w:rsidR="005B0897" w:rsidRPr="00376E45" w14:paraId="5C3144F8" w14:textId="77777777" w:rsidTr="0089632A">
        <w:trPr>
          <w:trHeight w:val="255"/>
        </w:trPr>
        <w:tc>
          <w:tcPr>
            <w:tcW w:w="7990" w:type="dxa"/>
            <w:noWrap/>
            <w:hideMark/>
          </w:tcPr>
          <w:p w14:paraId="74C8F378" w14:textId="125FA252" w:rsidR="005B0897" w:rsidRPr="00376E45" w:rsidRDefault="005B0897" w:rsidP="00C21EEA">
            <w:pPr>
              <w:tabs>
                <w:tab w:val="left" w:pos="0"/>
              </w:tabs>
              <w:spacing w:after="0"/>
              <w:rPr>
                <w:lang w:val="en-GB" w:eastAsia="en-GB"/>
              </w:rPr>
            </w:pPr>
            <w:r w:rsidRPr="00376E45">
              <w:rPr>
                <w:lang w:val="en-GB" w:eastAsia="en-GB"/>
              </w:rPr>
              <w:t>Hypoxia</w:t>
            </w:r>
            <w:r w:rsidR="00C21EEA" w:rsidRPr="00376E45">
              <w:rPr>
                <w:lang w:val="en-GB" w:eastAsia="en-GB"/>
              </w:rPr>
              <w:t xml:space="preserve"> </w:t>
            </w:r>
            <w:r w:rsidRPr="00376E45">
              <w:rPr>
                <w:lang w:val="en-GB" w:eastAsia="en-GB"/>
              </w:rPr>
              <w:t>(n=1)</w:t>
            </w:r>
          </w:p>
        </w:tc>
      </w:tr>
      <w:tr w:rsidR="005B0897" w:rsidRPr="00376E45" w14:paraId="1D1BFF78" w14:textId="77777777" w:rsidTr="0089632A">
        <w:trPr>
          <w:trHeight w:val="255"/>
        </w:trPr>
        <w:tc>
          <w:tcPr>
            <w:tcW w:w="7990" w:type="dxa"/>
            <w:noWrap/>
            <w:hideMark/>
          </w:tcPr>
          <w:p w14:paraId="670099DF" w14:textId="1068C65C" w:rsidR="005B0897" w:rsidRPr="00376E45" w:rsidRDefault="005B0897" w:rsidP="00C21EEA">
            <w:pPr>
              <w:tabs>
                <w:tab w:val="left" w:pos="0"/>
              </w:tabs>
              <w:spacing w:after="0"/>
              <w:rPr>
                <w:lang w:val="en-GB" w:eastAsia="en-GB"/>
              </w:rPr>
            </w:pPr>
            <w:r w:rsidRPr="00376E45">
              <w:rPr>
                <w:lang w:val="en-GB" w:eastAsia="en-GB"/>
              </w:rPr>
              <w:t>Lobular breast carcinoma in situ</w:t>
            </w:r>
            <w:r w:rsidR="00C21EEA" w:rsidRPr="00376E45">
              <w:rPr>
                <w:lang w:val="en-GB" w:eastAsia="en-GB"/>
              </w:rPr>
              <w:t xml:space="preserve"> </w:t>
            </w:r>
            <w:r w:rsidRPr="00376E45">
              <w:rPr>
                <w:lang w:val="en-GB" w:eastAsia="en-GB"/>
              </w:rPr>
              <w:t>(n=1)</w:t>
            </w:r>
          </w:p>
        </w:tc>
      </w:tr>
      <w:tr w:rsidR="005B0897" w:rsidRPr="00376E45" w14:paraId="683E12A5" w14:textId="77777777" w:rsidTr="0089632A">
        <w:trPr>
          <w:trHeight w:val="255"/>
        </w:trPr>
        <w:tc>
          <w:tcPr>
            <w:tcW w:w="7990" w:type="dxa"/>
            <w:noWrap/>
            <w:hideMark/>
          </w:tcPr>
          <w:p w14:paraId="4A423027" w14:textId="57E45405" w:rsidR="005B0897" w:rsidRPr="00376E45" w:rsidRDefault="005B0897" w:rsidP="00C21EEA">
            <w:pPr>
              <w:tabs>
                <w:tab w:val="left" w:pos="0"/>
              </w:tabs>
              <w:spacing w:after="0"/>
              <w:rPr>
                <w:lang w:val="en-GB" w:eastAsia="en-GB"/>
              </w:rPr>
            </w:pPr>
            <w:r w:rsidRPr="00376E45">
              <w:rPr>
                <w:lang w:val="en-GB" w:eastAsia="en-GB"/>
              </w:rPr>
              <w:t>Meningioma</w:t>
            </w:r>
            <w:r w:rsidR="00C21EEA" w:rsidRPr="00376E45">
              <w:rPr>
                <w:lang w:val="en-GB" w:eastAsia="en-GB"/>
              </w:rPr>
              <w:t xml:space="preserve"> </w:t>
            </w:r>
            <w:r w:rsidRPr="00376E45">
              <w:rPr>
                <w:lang w:val="en-GB" w:eastAsia="en-GB"/>
              </w:rPr>
              <w:t>(n=1)</w:t>
            </w:r>
          </w:p>
        </w:tc>
      </w:tr>
      <w:tr w:rsidR="005B0897" w:rsidRPr="00376E45" w14:paraId="657F3C12" w14:textId="77777777" w:rsidTr="0089632A">
        <w:trPr>
          <w:trHeight w:val="255"/>
        </w:trPr>
        <w:tc>
          <w:tcPr>
            <w:tcW w:w="7990" w:type="dxa"/>
            <w:noWrap/>
            <w:hideMark/>
          </w:tcPr>
          <w:p w14:paraId="28D3EEDC" w14:textId="35C5B44E" w:rsidR="005B0897" w:rsidRPr="00376E45" w:rsidRDefault="005B0897" w:rsidP="00C21EEA">
            <w:pPr>
              <w:tabs>
                <w:tab w:val="left" w:pos="0"/>
              </w:tabs>
              <w:spacing w:after="0"/>
              <w:rPr>
                <w:lang w:val="en-GB" w:eastAsia="en-GB"/>
              </w:rPr>
            </w:pPr>
            <w:r w:rsidRPr="00376E45">
              <w:rPr>
                <w:lang w:val="en-GB" w:eastAsia="en-GB"/>
              </w:rPr>
              <w:t>Meningitis bacterial</w:t>
            </w:r>
            <w:r w:rsidR="00C21EEA" w:rsidRPr="00376E45">
              <w:rPr>
                <w:lang w:val="en-GB" w:eastAsia="en-GB"/>
              </w:rPr>
              <w:t xml:space="preserve"> </w:t>
            </w:r>
            <w:r w:rsidRPr="00376E45">
              <w:rPr>
                <w:lang w:val="en-GB" w:eastAsia="en-GB"/>
              </w:rPr>
              <w:t>(n=1)</w:t>
            </w:r>
          </w:p>
        </w:tc>
      </w:tr>
      <w:tr w:rsidR="005B0897" w:rsidRPr="00376E45" w14:paraId="08F21AC8" w14:textId="77777777" w:rsidTr="0089632A">
        <w:trPr>
          <w:trHeight w:val="255"/>
        </w:trPr>
        <w:tc>
          <w:tcPr>
            <w:tcW w:w="7990" w:type="dxa"/>
            <w:noWrap/>
            <w:hideMark/>
          </w:tcPr>
          <w:p w14:paraId="2553550A" w14:textId="0E480672" w:rsidR="005B0897" w:rsidRPr="00376E45" w:rsidRDefault="005B0897" w:rsidP="00C21EEA">
            <w:pPr>
              <w:tabs>
                <w:tab w:val="left" w:pos="0"/>
              </w:tabs>
              <w:spacing w:after="0"/>
              <w:rPr>
                <w:lang w:val="en-GB" w:eastAsia="en-GB"/>
              </w:rPr>
            </w:pPr>
            <w:r w:rsidRPr="00376E45">
              <w:rPr>
                <w:lang w:val="en-GB" w:eastAsia="en-GB"/>
              </w:rPr>
              <w:t xml:space="preserve">Meningitis </w:t>
            </w:r>
            <w:r w:rsidR="00737364" w:rsidRPr="00376E45">
              <w:rPr>
                <w:lang w:val="en-GB" w:eastAsia="en-GB"/>
              </w:rPr>
              <w:t>tuberculosis</w:t>
            </w:r>
            <w:r w:rsidR="00C21EEA" w:rsidRPr="00376E45">
              <w:rPr>
                <w:lang w:val="en-GB" w:eastAsia="en-GB"/>
              </w:rPr>
              <w:t xml:space="preserve"> </w:t>
            </w:r>
            <w:r w:rsidRPr="00376E45">
              <w:rPr>
                <w:lang w:val="en-GB" w:eastAsia="en-GB"/>
              </w:rPr>
              <w:t>(n=1)</w:t>
            </w:r>
          </w:p>
        </w:tc>
      </w:tr>
      <w:tr w:rsidR="005B0897" w:rsidRPr="00376E45" w14:paraId="2B396232" w14:textId="77777777" w:rsidTr="0089632A">
        <w:trPr>
          <w:trHeight w:val="255"/>
        </w:trPr>
        <w:tc>
          <w:tcPr>
            <w:tcW w:w="7990" w:type="dxa"/>
            <w:noWrap/>
            <w:hideMark/>
          </w:tcPr>
          <w:p w14:paraId="781DD320" w14:textId="2777BD3F" w:rsidR="005B0897" w:rsidRPr="00376E45" w:rsidRDefault="005B0897" w:rsidP="00C21EEA">
            <w:pPr>
              <w:tabs>
                <w:tab w:val="left" w:pos="0"/>
              </w:tabs>
              <w:spacing w:after="0"/>
              <w:rPr>
                <w:lang w:val="en-GB" w:eastAsia="en-GB"/>
              </w:rPr>
            </w:pPr>
            <w:r w:rsidRPr="00376E45">
              <w:rPr>
                <w:lang w:val="en-GB" w:eastAsia="en-GB"/>
              </w:rPr>
              <w:t>Pancytopenia</w:t>
            </w:r>
            <w:r w:rsidR="00C21EEA" w:rsidRPr="00376E45">
              <w:rPr>
                <w:lang w:val="en-GB" w:eastAsia="en-GB"/>
              </w:rPr>
              <w:t xml:space="preserve"> </w:t>
            </w:r>
            <w:r w:rsidRPr="00376E45">
              <w:rPr>
                <w:lang w:val="en-GB" w:eastAsia="en-GB"/>
              </w:rPr>
              <w:t>(n=1)</w:t>
            </w:r>
          </w:p>
        </w:tc>
      </w:tr>
      <w:tr w:rsidR="005B0897" w:rsidRPr="00376E45" w14:paraId="36D6F69E" w14:textId="77777777" w:rsidTr="0089632A">
        <w:trPr>
          <w:trHeight w:val="255"/>
        </w:trPr>
        <w:tc>
          <w:tcPr>
            <w:tcW w:w="7990" w:type="dxa"/>
            <w:noWrap/>
            <w:hideMark/>
          </w:tcPr>
          <w:p w14:paraId="5ED54578" w14:textId="23BF26CD" w:rsidR="005B0897" w:rsidRPr="00376E45" w:rsidRDefault="005B0897" w:rsidP="00C21EEA">
            <w:pPr>
              <w:tabs>
                <w:tab w:val="left" w:pos="0"/>
              </w:tabs>
              <w:spacing w:after="0"/>
              <w:rPr>
                <w:lang w:val="en-GB" w:eastAsia="en-GB"/>
              </w:rPr>
            </w:pPr>
            <w:r w:rsidRPr="00376E45">
              <w:rPr>
                <w:lang w:val="en-GB" w:eastAsia="en-GB"/>
              </w:rPr>
              <w:t>Platelet count decreased</w:t>
            </w:r>
            <w:r w:rsidR="00C21EEA" w:rsidRPr="00376E45">
              <w:rPr>
                <w:lang w:val="en-GB" w:eastAsia="en-GB"/>
              </w:rPr>
              <w:t xml:space="preserve"> </w:t>
            </w:r>
            <w:r w:rsidRPr="00376E45">
              <w:rPr>
                <w:lang w:val="en-GB" w:eastAsia="en-GB"/>
              </w:rPr>
              <w:t>(n=1)</w:t>
            </w:r>
          </w:p>
        </w:tc>
      </w:tr>
      <w:tr w:rsidR="005B0897" w:rsidRPr="00376E45" w14:paraId="36471FA4" w14:textId="77777777" w:rsidTr="0089632A">
        <w:trPr>
          <w:trHeight w:val="255"/>
        </w:trPr>
        <w:tc>
          <w:tcPr>
            <w:tcW w:w="7990" w:type="dxa"/>
            <w:noWrap/>
            <w:hideMark/>
          </w:tcPr>
          <w:p w14:paraId="2FE9C569" w14:textId="79C7853C" w:rsidR="005B0897" w:rsidRPr="00376E45" w:rsidRDefault="005B0897" w:rsidP="00C21EEA">
            <w:pPr>
              <w:tabs>
                <w:tab w:val="left" w:pos="0"/>
              </w:tabs>
              <w:spacing w:after="0"/>
              <w:rPr>
                <w:lang w:val="en-GB" w:eastAsia="en-GB"/>
              </w:rPr>
            </w:pPr>
            <w:r w:rsidRPr="00376E45">
              <w:rPr>
                <w:lang w:val="en-GB" w:eastAsia="en-GB"/>
              </w:rPr>
              <w:t>Pneumonia</w:t>
            </w:r>
            <w:r w:rsidR="00C21EEA" w:rsidRPr="00376E45">
              <w:rPr>
                <w:lang w:val="en-GB" w:eastAsia="en-GB"/>
              </w:rPr>
              <w:t xml:space="preserve"> </w:t>
            </w:r>
            <w:r w:rsidRPr="00376E45">
              <w:rPr>
                <w:lang w:val="en-GB" w:eastAsia="en-GB"/>
              </w:rPr>
              <w:t>(n=1)</w:t>
            </w:r>
          </w:p>
        </w:tc>
      </w:tr>
      <w:tr w:rsidR="005B0897" w:rsidRPr="00376E45" w14:paraId="2A832AA7" w14:textId="77777777" w:rsidTr="0089632A">
        <w:trPr>
          <w:trHeight w:val="255"/>
        </w:trPr>
        <w:tc>
          <w:tcPr>
            <w:tcW w:w="7990" w:type="dxa"/>
            <w:noWrap/>
            <w:hideMark/>
          </w:tcPr>
          <w:p w14:paraId="4689AB73" w14:textId="59BF19F4" w:rsidR="005B0897" w:rsidRPr="00376E45" w:rsidRDefault="005B0897" w:rsidP="00C21EEA">
            <w:pPr>
              <w:tabs>
                <w:tab w:val="left" w:pos="0"/>
              </w:tabs>
              <w:spacing w:after="0"/>
              <w:rPr>
                <w:lang w:val="en-GB" w:eastAsia="en-GB"/>
              </w:rPr>
            </w:pPr>
            <w:r w:rsidRPr="00376E45">
              <w:rPr>
                <w:lang w:val="en-GB" w:eastAsia="en-GB"/>
              </w:rPr>
              <w:t>Pulmonary tuberculosis</w:t>
            </w:r>
            <w:r w:rsidR="00C21EEA" w:rsidRPr="00376E45">
              <w:rPr>
                <w:lang w:val="en-GB" w:eastAsia="en-GB"/>
              </w:rPr>
              <w:t xml:space="preserve"> </w:t>
            </w:r>
            <w:r w:rsidRPr="00376E45">
              <w:rPr>
                <w:lang w:val="en-GB" w:eastAsia="en-GB"/>
              </w:rPr>
              <w:t>(n=1)</w:t>
            </w:r>
          </w:p>
        </w:tc>
      </w:tr>
      <w:tr w:rsidR="005B0897" w:rsidRPr="00376E45" w14:paraId="3B6D07B8" w14:textId="77777777" w:rsidTr="0089632A">
        <w:trPr>
          <w:trHeight w:val="255"/>
        </w:trPr>
        <w:tc>
          <w:tcPr>
            <w:tcW w:w="7990" w:type="dxa"/>
            <w:noWrap/>
            <w:hideMark/>
          </w:tcPr>
          <w:p w14:paraId="21FE7F79" w14:textId="09D7AF1D" w:rsidR="005B0897" w:rsidRPr="00376E45" w:rsidRDefault="005B0897" w:rsidP="00C21EEA">
            <w:pPr>
              <w:tabs>
                <w:tab w:val="left" w:pos="0"/>
              </w:tabs>
              <w:spacing w:after="0"/>
              <w:rPr>
                <w:lang w:val="en-GB" w:eastAsia="en-GB"/>
              </w:rPr>
            </w:pPr>
            <w:r w:rsidRPr="00376E45">
              <w:rPr>
                <w:lang w:val="en-GB" w:eastAsia="en-GB"/>
              </w:rPr>
              <w:t>Pyelonephritis</w:t>
            </w:r>
            <w:r w:rsidR="00C21EEA" w:rsidRPr="00376E45">
              <w:rPr>
                <w:lang w:val="en-GB" w:eastAsia="en-GB"/>
              </w:rPr>
              <w:t xml:space="preserve"> </w:t>
            </w:r>
            <w:r w:rsidRPr="00376E45">
              <w:rPr>
                <w:lang w:val="en-GB" w:eastAsia="en-GB"/>
              </w:rPr>
              <w:t>(n=1)</w:t>
            </w:r>
          </w:p>
        </w:tc>
      </w:tr>
      <w:tr w:rsidR="005B0897" w:rsidRPr="00376E45" w14:paraId="39B1B722" w14:textId="77777777" w:rsidTr="0089632A">
        <w:trPr>
          <w:trHeight w:val="255"/>
        </w:trPr>
        <w:tc>
          <w:tcPr>
            <w:tcW w:w="7990" w:type="dxa"/>
            <w:noWrap/>
            <w:hideMark/>
          </w:tcPr>
          <w:p w14:paraId="57BAF0B8" w14:textId="7D3662EB" w:rsidR="005B0897" w:rsidRPr="00376E45" w:rsidRDefault="005B0897" w:rsidP="00C21EEA">
            <w:pPr>
              <w:tabs>
                <w:tab w:val="left" w:pos="0"/>
              </w:tabs>
              <w:spacing w:after="0"/>
              <w:rPr>
                <w:lang w:val="en-GB" w:eastAsia="en-GB"/>
              </w:rPr>
            </w:pPr>
            <w:r w:rsidRPr="00376E45">
              <w:rPr>
                <w:lang w:val="en-GB" w:eastAsia="en-GB"/>
              </w:rPr>
              <w:t>Skin reaction</w:t>
            </w:r>
            <w:r w:rsidR="00C21EEA" w:rsidRPr="00376E45">
              <w:rPr>
                <w:lang w:val="en-GB" w:eastAsia="en-GB"/>
              </w:rPr>
              <w:t xml:space="preserve"> </w:t>
            </w:r>
            <w:r w:rsidRPr="00376E45">
              <w:rPr>
                <w:lang w:val="en-GB" w:eastAsia="en-GB"/>
              </w:rPr>
              <w:t>(n=1)</w:t>
            </w:r>
          </w:p>
        </w:tc>
      </w:tr>
      <w:tr w:rsidR="005B0897" w:rsidRPr="00376E45" w14:paraId="1D859ABF" w14:textId="77777777" w:rsidTr="0089632A">
        <w:trPr>
          <w:trHeight w:val="255"/>
        </w:trPr>
        <w:tc>
          <w:tcPr>
            <w:tcW w:w="7990" w:type="dxa"/>
            <w:noWrap/>
            <w:hideMark/>
          </w:tcPr>
          <w:p w14:paraId="239EC8AF" w14:textId="3542E427" w:rsidR="005B0897" w:rsidRPr="00376E45" w:rsidRDefault="005B0897" w:rsidP="00C21EEA">
            <w:pPr>
              <w:tabs>
                <w:tab w:val="left" w:pos="0"/>
              </w:tabs>
              <w:spacing w:after="0"/>
              <w:rPr>
                <w:lang w:val="en-GB" w:eastAsia="en-GB"/>
              </w:rPr>
            </w:pPr>
            <w:proofErr w:type="spellStart"/>
            <w:r w:rsidRPr="00376E45">
              <w:rPr>
                <w:lang w:val="en-GB" w:eastAsia="en-GB"/>
              </w:rPr>
              <w:t>Tracheobronchitis</w:t>
            </w:r>
            <w:proofErr w:type="spellEnd"/>
            <w:r w:rsidR="00C21EEA" w:rsidRPr="00376E45">
              <w:rPr>
                <w:lang w:val="en-GB" w:eastAsia="en-GB"/>
              </w:rPr>
              <w:t xml:space="preserve"> </w:t>
            </w:r>
            <w:r w:rsidRPr="00376E45">
              <w:rPr>
                <w:lang w:val="en-GB" w:eastAsia="en-GB"/>
              </w:rPr>
              <w:t>(n=1)</w:t>
            </w:r>
          </w:p>
        </w:tc>
      </w:tr>
      <w:tr w:rsidR="005B0897" w:rsidRPr="00376E45" w14:paraId="369A1C44" w14:textId="77777777" w:rsidTr="0089632A">
        <w:trPr>
          <w:trHeight w:val="255"/>
        </w:trPr>
        <w:tc>
          <w:tcPr>
            <w:tcW w:w="7990" w:type="dxa"/>
            <w:noWrap/>
            <w:hideMark/>
          </w:tcPr>
          <w:p w14:paraId="555B9CC5" w14:textId="07A3E653" w:rsidR="005B0897" w:rsidRPr="00376E45" w:rsidRDefault="005B0897" w:rsidP="00C21EEA">
            <w:pPr>
              <w:tabs>
                <w:tab w:val="left" w:pos="0"/>
              </w:tabs>
              <w:spacing w:after="0"/>
              <w:rPr>
                <w:lang w:val="en-GB" w:eastAsia="en-GB"/>
              </w:rPr>
            </w:pPr>
            <w:r w:rsidRPr="00376E45">
              <w:rPr>
                <w:lang w:val="en-GB" w:eastAsia="en-GB"/>
              </w:rPr>
              <w:t>Urinary tract infection</w:t>
            </w:r>
            <w:r w:rsidR="00C21EEA" w:rsidRPr="00376E45">
              <w:rPr>
                <w:lang w:val="en-GB" w:eastAsia="en-GB"/>
              </w:rPr>
              <w:t xml:space="preserve"> </w:t>
            </w:r>
            <w:r w:rsidRPr="00376E45">
              <w:rPr>
                <w:lang w:val="en-GB" w:eastAsia="en-GB"/>
              </w:rPr>
              <w:t>(n=1)</w:t>
            </w:r>
          </w:p>
        </w:tc>
      </w:tr>
      <w:tr w:rsidR="005B0897" w:rsidRPr="00376E45" w14:paraId="6CE33240" w14:textId="77777777" w:rsidTr="0089632A">
        <w:trPr>
          <w:trHeight w:val="255"/>
        </w:trPr>
        <w:tc>
          <w:tcPr>
            <w:tcW w:w="7990" w:type="dxa"/>
            <w:noWrap/>
            <w:hideMark/>
          </w:tcPr>
          <w:p w14:paraId="65AE5AED" w14:textId="489D232B" w:rsidR="005B0897" w:rsidRPr="00376E45" w:rsidRDefault="005B0897" w:rsidP="00C21EEA">
            <w:pPr>
              <w:tabs>
                <w:tab w:val="left" w:pos="0"/>
              </w:tabs>
              <w:spacing w:after="0"/>
              <w:rPr>
                <w:lang w:val="en-GB" w:eastAsia="en-GB"/>
              </w:rPr>
            </w:pPr>
            <w:proofErr w:type="spellStart"/>
            <w:r w:rsidRPr="00376E45">
              <w:rPr>
                <w:lang w:val="en-GB" w:eastAsia="en-GB"/>
              </w:rPr>
              <w:t>Urticaria</w:t>
            </w:r>
            <w:proofErr w:type="spellEnd"/>
            <w:r w:rsidR="00C21EEA" w:rsidRPr="00376E45">
              <w:rPr>
                <w:lang w:val="en-GB" w:eastAsia="en-GB"/>
              </w:rPr>
              <w:t xml:space="preserve"> </w:t>
            </w:r>
            <w:r w:rsidRPr="00376E45">
              <w:rPr>
                <w:lang w:val="en-GB" w:eastAsia="en-GB"/>
              </w:rPr>
              <w:t>(n=1)</w:t>
            </w:r>
          </w:p>
        </w:tc>
      </w:tr>
      <w:tr w:rsidR="00C409D5" w:rsidRPr="00376E45" w14:paraId="0C86EAE1" w14:textId="77777777" w:rsidTr="0089632A">
        <w:trPr>
          <w:trHeight w:val="1354"/>
        </w:trPr>
        <w:tc>
          <w:tcPr>
            <w:tcW w:w="7990" w:type="dxa"/>
            <w:noWrap/>
          </w:tcPr>
          <w:p w14:paraId="378DDE04" w14:textId="77777777" w:rsidR="00C409D5" w:rsidRPr="00376E45" w:rsidRDefault="00C409D5" w:rsidP="00C21EEA">
            <w:pPr>
              <w:tabs>
                <w:tab w:val="left" w:pos="0"/>
              </w:tabs>
              <w:spacing w:after="0"/>
              <w:rPr>
                <w:b/>
                <w:lang w:val="en-GB" w:eastAsia="en-GB"/>
              </w:rPr>
            </w:pPr>
          </w:p>
          <w:p w14:paraId="05C25D6E" w14:textId="6F46998F" w:rsidR="00C409D5" w:rsidRPr="00376E45" w:rsidRDefault="00C409D5" w:rsidP="00C21EEA">
            <w:pPr>
              <w:tabs>
                <w:tab w:val="left" w:pos="0"/>
              </w:tabs>
              <w:spacing w:after="0"/>
              <w:rPr>
                <w:lang w:val="en-GB" w:eastAsia="en-GB"/>
              </w:rPr>
            </w:pPr>
            <w:r w:rsidRPr="00376E45">
              <w:rPr>
                <w:b/>
                <w:lang w:val="en-GB" w:eastAsia="en-GB"/>
              </w:rPr>
              <w:t>Adalimumab + MTX: n=36</w:t>
            </w:r>
          </w:p>
        </w:tc>
      </w:tr>
      <w:tr w:rsidR="005B0897" w:rsidRPr="00376E45" w14:paraId="0218E6F4" w14:textId="77777777" w:rsidTr="0089632A">
        <w:trPr>
          <w:trHeight w:val="255"/>
        </w:trPr>
        <w:tc>
          <w:tcPr>
            <w:tcW w:w="7990" w:type="dxa"/>
            <w:noWrap/>
            <w:hideMark/>
          </w:tcPr>
          <w:p w14:paraId="00A2D6D9" w14:textId="734EC575" w:rsidR="005B0897" w:rsidRPr="00376E45" w:rsidRDefault="005B0897" w:rsidP="00C21EEA">
            <w:pPr>
              <w:tabs>
                <w:tab w:val="left" w:pos="0"/>
              </w:tabs>
              <w:spacing w:after="0"/>
              <w:rPr>
                <w:lang w:val="en-GB" w:eastAsia="en-GB"/>
              </w:rPr>
            </w:pPr>
            <w:r w:rsidRPr="00376E45">
              <w:rPr>
                <w:lang w:val="en-GB" w:eastAsia="en-GB"/>
              </w:rPr>
              <w:t>Herpes zoster</w:t>
            </w:r>
            <w:r w:rsidR="00C21EEA" w:rsidRPr="00376E45">
              <w:rPr>
                <w:lang w:val="en-GB" w:eastAsia="en-GB"/>
              </w:rPr>
              <w:t xml:space="preserve"> </w:t>
            </w:r>
            <w:r w:rsidRPr="00376E45">
              <w:rPr>
                <w:lang w:val="en-GB" w:eastAsia="en-GB"/>
              </w:rPr>
              <w:t>(n=3)</w:t>
            </w:r>
          </w:p>
        </w:tc>
      </w:tr>
      <w:tr w:rsidR="005B0897" w:rsidRPr="00376E45" w14:paraId="75D1AEB8" w14:textId="77777777" w:rsidTr="0089632A">
        <w:trPr>
          <w:trHeight w:val="255"/>
        </w:trPr>
        <w:tc>
          <w:tcPr>
            <w:tcW w:w="7990" w:type="dxa"/>
            <w:noWrap/>
            <w:hideMark/>
          </w:tcPr>
          <w:p w14:paraId="6AD483D0" w14:textId="25B988F5" w:rsidR="005B0897" w:rsidRPr="00376E45" w:rsidRDefault="005B0897" w:rsidP="00C21EEA">
            <w:pPr>
              <w:tabs>
                <w:tab w:val="left" w:pos="0"/>
              </w:tabs>
              <w:spacing w:after="0"/>
              <w:rPr>
                <w:lang w:val="en-GB" w:eastAsia="en-GB"/>
              </w:rPr>
            </w:pPr>
            <w:r w:rsidRPr="00376E45">
              <w:rPr>
                <w:lang w:val="en-GB" w:eastAsia="en-GB"/>
              </w:rPr>
              <w:t>Alanine aminotransferase increased</w:t>
            </w:r>
            <w:r w:rsidR="00C21EEA" w:rsidRPr="00376E45">
              <w:rPr>
                <w:lang w:val="en-GB" w:eastAsia="en-GB"/>
              </w:rPr>
              <w:t xml:space="preserve"> </w:t>
            </w:r>
            <w:r w:rsidRPr="00376E45">
              <w:rPr>
                <w:lang w:val="en-GB" w:eastAsia="en-GB"/>
              </w:rPr>
              <w:t>(n=2)</w:t>
            </w:r>
          </w:p>
        </w:tc>
      </w:tr>
      <w:tr w:rsidR="005B0897" w:rsidRPr="00376E45" w14:paraId="3FE37001" w14:textId="77777777" w:rsidTr="0089632A">
        <w:trPr>
          <w:trHeight w:val="255"/>
        </w:trPr>
        <w:tc>
          <w:tcPr>
            <w:tcW w:w="7990" w:type="dxa"/>
            <w:noWrap/>
            <w:hideMark/>
          </w:tcPr>
          <w:p w14:paraId="1DFAF706" w14:textId="5DD5C37D" w:rsidR="005B0897" w:rsidRPr="00376E45" w:rsidRDefault="005B0897" w:rsidP="00C21EEA">
            <w:pPr>
              <w:tabs>
                <w:tab w:val="left" w:pos="0"/>
              </w:tabs>
              <w:spacing w:after="0"/>
              <w:rPr>
                <w:lang w:val="en-GB" w:eastAsia="en-GB"/>
              </w:rPr>
            </w:pPr>
            <w:r w:rsidRPr="00376E45">
              <w:rPr>
                <w:lang w:val="en-GB" w:eastAsia="en-GB"/>
              </w:rPr>
              <w:t>Hepatic enzyme increased</w:t>
            </w:r>
            <w:r w:rsidR="00C21EEA" w:rsidRPr="00376E45">
              <w:rPr>
                <w:lang w:val="en-GB" w:eastAsia="en-GB"/>
              </w:rPr>
              <w:t xml:space="preserve"> </w:t>
            </w:r>
            <w:r w:rsidRPr="00376E45">
              <w:rPr>
                <w:lang w:val="en-GB" w:eastAsia="en-GB"/>
              </w:rPr>
              <w:t>(n=2)</w:t>
            </w:r>
          </w:p>
        </w:tc>
      </w:tr>
      <w:tr w:rsidR="005B0897" w:rsidRPr="00376E45" w14:paraId="0A077CE5" w14:textId="77777777" w:rsidTr="0089632A">
        <w:trPr>
          <w:trHeight w:val="255"/>
        </w:trPr>
        <w:tc>
          <w:tcPr>
            <w:tcW w:w="7990" w:type="dxa"/>
            <w:noWrap/>
            <w:hideMark/>
          </w:tcPr>
          <w:p w14:paraId="008F06E0" w14:textId="65BC7DFF" w:rsidR="005B0897" w:rsidRPr="00376E45" w:rsidRDefault="005B0897" w:rsidP="00C21EEA">
            <w:pPr>
              <w:tabs>
                <w:tab w:val="left" w:pos="0"/>
              </w:tabs>
              <w:spacing w:after="0"/>
              <w:rPr>
                <w:lang w:val="en-GB" w:eastAsia="en-GB"/>
              </w:rPr>
            </w:pPr>
            <w:r w:rsidRPr="00376E45">
              <w:rPr>
                <w:lang w:val="en-GB" w:eastAsia="en-GB"/>
              </w:rPr>
              <w:t>Neutropenia</w:t>
            </w:r>
            <w:r w:rsidR="00C21EEA" w:rsidRPr="00376E45">
              <w:rPr>
                <w:lang w:val="en-GB" w:eastAsia="en-GB"/>
              </w:rPr>
              <w:t xml:space="preserve"> </w:t>
            </w:r>
            <w:r w:rsidRPr="00376E45">
              <w:rPr>
                <w:lang w:val="en-GB" w:eastAsia="en-GB"/>
              </w:rPr>
              <w:t>(n=2)</w:t>
            </w:r>
          </w:p>
        </w:tc>
      </w:tr>
      <w:tr w:rsidR="005B0897" w:rsidRPr="00376E45" w14:paraId="77660136" w14:textId="77777777" w:rsidTr="0089632A">
        <w:trPr>
          <w:trHeight w:val="255"/>
        </w:trPr>
        <w:tc>
          <w:tcPr>
            <w:tcW w:w="7990" w:type="dxa"/>
            <w:noWrap/>
            <w:hideMark/>
          </w:tcPr>
          <w:p w14:paraId="60FA24E3" w14:textId="5E24E58D" w:rsidR="005B0897" w:rsidRPr="00376E45" w:rsidRDefault="005B0897" w:rsidP="00C21EEA">
            <w:pPr>
              <w:tabs>
                <w:tab w:val="left" w:pos="0"/>
              </w:tabs>
              <w:spacing w:after="0"/>
              <w:rPr>
                <w:lang w:val="en-GB" w:eastAsia="en-GB"/>
              </w:rPr>
            </w:pPr>
            <w:r w:rsidRPr="00376E45">
              <w:rPr>
                <w:lang w:val="en-GB" w:eastAsia="en-GB"/>
              </w:rPr>
              <w:t>Pyrexia</w:t>
            </w:r>
            <w:r w:rsidR="00C21EEA" w:rsidRPr="00376E45">
              <w:rPr>
                <w:lang w:val="en-GB" w:eastAsia="en-GB"/>
              </w:rPr>
              <w:t xml:space="preserve"> </w:t>
            </w:r>
            <w:r w:rsidRPr="00376E45">
              <w:rPr>
                <w:lang w:val="en-GB" w:eastAsia="en-GB"/>
              </w:rPr>
              <w:t>(n=2)</w:t>
            </w:r>
          </w:p>
        </w:tc>
      </w:tr>
      <w:tr w:rsidR="005B0897" w:rsidRPr="00376E45" w14:paraId="3F171F58" w14:textId="77777777" w:rsidTr="0089632A">
        <w:trPr>
          <w:trHeight w:val="255"/>
        </w:trPr>
        <w:tc>
          <w:tcPr>
            <w:tcW w:w="7990" w:type="dxa"/>
            <w:noWrap/>
            <w:hideMark/>
          </w:tcPr>
          <w:p w14:paraId="5FB1B26E" w14:textId="0589C9CA" w:rsidR="005B0897" w:rsidRPr="00376E45" w:rsidRDefault="005B0897" w:rsidP="00C21EEA">
            <w:pPr>
              <w:tabs>
                <w:tab w:val="left" w:pos="0"/>
              </w:tabs>
              <w:spacing w:after="0"/>
              <w:rPr>
                <w:lang w:val="en-GB" w:eastAsia="en-GB"/>
              </w:rPr>
            </w:pPr>
            <w:r w:rsidRPr="00376E45">
              <w:rPr>
                <w:lang w:val="en-GB" w:eastAsia="en-GB"/>
              </w:rPr>
              <w:t>Arthralgia</w:t>
            </w:r>
            <w:r w:rsidR="00C21EEA" w:rsidRPr="00376E45">
              <w:rPr>
                <w:lang w:val="en-GB" w:eastAsia="en-GB"/>
              </w:rPr>
              <w:t xml:space="preserve"> </w:t>
            </w:r>
            <w:r w:rsidRPr="00376E45">
              <w:rPr>
                <w:lang w:val="en-GB" w:eastAsia="en-GB"/>
              </w:rPr>
              <w:t>(n=1)</w:t>
            </w:r>
          </w:p>
        </w:tc>
      </w:tr>
      <w:tr w:rsidR="005B0897" w:rsidRPr="00376E45" w14:paraId="67EF481E" w14:textId="77777777" w:rsidTr="0089632A">
        <w:trPr>
          <w:trHeight w:val="255"/>
        </w:trPr>
        <w:tc>
          <w:tcPr>
            <w:tcW w:w="7990" w:type="dxa"/>
            <w:noWrap/>
            <w:hideMark/>
          </w:tcPr>
          <w:p w14:paraId="0E7CE1CE" w14:textId="63C9171E" w:rsidR="005B0897" w:rsidRPr="00376E45" w:rsidRDefault="005B0897" w:rsidP="00C21EEA">
            <w:pPr>
              <w:tabs>
                <w:tab w:val="left" w:pos="0"/>
              </w:tabs>
              <w:spacing w:after="0"/>
              <w:rPr>
                <w:lang w:val="en-GB" w:eastAsia="en-GB"/>
              </w:rPr>
            </w:pPr>
            <w:r w:rsidRPr="00376E45">
              <w:rPr>
                <w:lang w:val="en-GB" w:eastAsia="en-GB"/>
              </w:rPr>
              <w:t>Arthritis</w:t>
            </w:r>
            <w:r w:rsidR="00C21EEA" w:rsidRPr="00376E45">
              <w:rPr>
                <w:lang w:val="en-GB" w:eastAsia="en-GB"/>
              </w:rPr>
              <w:t xml:space="preserve"> </w:t>
            </w:r>
            <w:r w:rsidRPr="00376E45">
              <w:rPr>
                <w:lang w:val="en-GB" w:eastAsia="en-GB"/>
              </w:rPr>
              <w:t>(n=1)</w:t>
            </w:r>
          </w:p>
        </w:tc>
      </w:tr>
      <w:tr w:rsidR="005B0897" w:rsidRPr="00376E45" w14:paraId="362234B3" w14:textId="77777777" w:rsidTr="0089632A">
        <w:trPr>
          <w:trHeight w:val="255"/>
        </w:trPr>
        <w:tc>
          <w:tcPr>
            <w:tcW w:w="7990" w:type="dxa"/>
            <w:noWrap/>
            <w:hideMark/>
          </w:tcPr>
          <w:p w14:paraId="00902D30" w14:textId="7FB119CC" w:rsidR="005B0897" w:rsidRPr="00376E45" w:rsidRDefault="005B0897" w:rsidP="00C21EEA">
            <w:pPr>
              <w:tabs>
                <w:tab w:val="left" w:pos="0"/>
              </w:tabs>
              <w:spacing w:after="0"/>
              <w:rPr>
                <w:lang w:val="en-GB" w:eastAsia="en-GB"/>
              </w:rPr>
            </w:pPr>
            <w:r w:rsidRPr="00376E45">
              <w:rPr>
                <w:lang w:val="en-GB" w:eastAsia="en-GB"/>
              </w:rPr>
              <w:t>Bipolar disorder</w:t>
            </w:r>
            <w:r w:rsidR="00C21EEA" w:rsidRPr="00376E45">
              <w:rPr>
                <w:lang w:val="en-GB" w:eastAsia="en-GB"/>
              </w:rPr>
              <w:t xml:space="preserve"> </w:t>
            </w:r>
            <w:r w:rsidRPr="00376E45">
              <w:rPr>
                <w:lang w:val="en-GB" w:eastAsia="en-GB"/>
              </w:rPr>
              <w:t>(n=1)</w:t>
            </w:r>
          </w:p>
        </w:tc>
      </w:tr>
      <w:tr w:rsidR="005B0897" w:rsidRPr="00376E45" w14:paraId="11228472" w14:textId="77777777" w:rsidTr="0089632A">
        <w:trPr>
          <w:trHeight w:val="255"/>
        </w:trPr>
        <w:tc>
          <w:tcPr>
            <w:tcW w:w="7990" w:type="dxa"/>
            <w:noWrap/>
            <w:hideMark/>
          </w:tcPr>
          <w:p w14:paraId="662E1683" w14:textId="193763F4" w:rsidR="005B0897" w:rsidRPr="00376E45" w:rsidRDefault="005B0897" w:rsidP="00C21EEA">
            <w:pPr>
              <w:tabs>
                <w:tab w:val="left" w:pos="0"/>
              </w:tabs>
              <w:spacing w:after="0"/>
              <w:rPr>
                <w:lang w:val="en-GB" w:eastAsia="en-GB"/>
              </w:rPr>
            </w:pPr>
            <w:r w:rsidRPr="00376E45">
              <w:rPr>
                <w:lang w:val="en-GB" w:eastAsia="en-GB"/>
              </w:rPr>
              <w:t>Bronchitis</w:t>
            </w:r>
            <w:r w:rsidR="00C21EEA" w:rsidRPr="00376E45">
              <w:rPr>
                <w:lang w:val="en-GB" w:eastAsia="en-GB"/>
              </w:rPr>
              <w:t xml:space="preserve"> </w:t>
            </w:r>
            <w:r w:rsidRPr="00376E45">
              <w:rPr>
                <w:lang w:val="en-GB" w:eastAsia="en-GB"/>
              </w:rPr>
              <w:t>(n=1)</w:t>
            </w:r>
          </w:p>
        </w:tc>
      </w:tr>
      <w:tr w:rsidR="005B0897" w:rsidRPr="00376E45" w14:paraId="3D33988E" w14:textId="77777777" w:rsidTr="0089632A">
        <w:trPr>
          <w:trHeight w:val="255"/>
        </w:trPr>
        <w:tc>
          <w:tcPr>
            <w:tcW w:w="7990" w:type="dxa"/>
            <w:noWrap/>
            <w:hideMark/>
          </w:tcPr>
          <w:p w14:paraId="4F0CE82B" w14:textId="5C5D4025" w:rsidR="005B0897" w:rsidRPr="00376E45" w:rsidRDefault="005B0897" w:rsidP="00C21EEA">
            <w:pPr>
              <w:tabs>
                <w:tab w:val="left" w:pos="0"/>
              </w:tabs>
              <w:spacing w:after="0"/>
              <w:rPr>
                <w:lang w:val="en-GB" w:eastAsia="en-GB"/>
              </w:rPr>
            </w:pPr>
            <w:proofErr w:type="spellStart"/>
            <w:r w:rsidRPr="00376E45">
              <w:rPr>
                <w:lang w:val="en-GB" w:eastAsia="en-GB"/>
              </w:rPr>
              <w:t>Cholecystitis</w:t>
            </w:r>
            <w:proofErr w:type="spellEnd"/>
            <w:r w:rsidRPr="00376E45">
              <w:rPr>
                <w:lang w:val="en-GB" w:eastAsia="en-GB"/>
              </w:rPr>
              <w:t xml:space="preserve"> chronic</w:t>
            </w:r>
            <w:r w:rsidR="00C21EEA" w:rsidRPr="00376E45">
              <w:rPr>
                <w:lang w:val="en-GB" w:eastAsia="en-GB"/>
              </w:rPr>
              <w:t xml:space="preserve"> </w:t>
            </w:r>
            <w:r w:rsidRPr="00376E45">
              <w:rPr>
                <w:lang w:val="en-GB" w:eastAsia="en-GB"/>
              </w:rPr>
              <w:t>(n=1)</w:t>
            </w:r>
          </w:p>
        </w:tc>
      </w:tr>
      <w:tr w:rsidR="005B0897" w:rsidRPr="00376E45" w14:paraId="45EA9AC5" w14:textId="77777777" w:rsidTr="0089632A">
        <w:trPr>
          <w:trHeight w:val="255"/>
        </w:trPr>
        <w:tc>
          <w:tcPr>
            <w:tcW w:w="7990" w:type="dxa"/>
            <w:noWrap/>
            <w:hideMark/>
          </w:tcPr>
          <w:p w14:paraId="14EF9317" w14:textId="4894D454" w:rsidR="005B0897" w:rsidRPr="00376E45" w:rsidRDefault="005B0897" w:rsidP="00C21EEA">
            <w:pPr>
              <w:tabs>
                <w:tab w:val="left" w:pos="0"/>
              </w:tabs>
              <w:spacing w:after="0"/>
              <w:rPr>
                <w:lang w:val="en-GB" w:eastAsia="en-GB"/>
              </w:rPr>
            </w:pPr>
            <w:proofErr w:type="spellStart"/>
            <w:r w:rsidRPr="00376E45">
              <w:rPr>
                <w:lang w:val="en-GB" w:eastAsia="en-GB"/>
              </w:rPr>
              <w:t>Clostridial</w:t>
            </w:r>
            <w:proofErr w:type="spellEnd"/>
            <w:r w:rsidRPr="00376E45">
              <w:rPr>
                <w:lang w:val="en-GB" w:eastAsia="en-GB"/>
              </w:rPr>
              <w:t xml:space="preserve"> sepsis</w:t>
            </w:r>
            <w:r w:rsidR="00C21EEA" w:rsidRPr="00376E45">
              <w:rPr>
                <w:lang w:val="en-GB" w:eastAsia="en-GB"/>
              </w:rPr>
              <w:t xml:space="preserve"> </w:t>
            </w:r>
            <w:r w:rsidRPr="00376E45">
              <w:rPr>
                <w:lang w:val="en-GB" w:eastAsia="en-GB"/>
              </w:rPr>
              <w:t>(n=1)</w:t>
            </w:r>
          </w:p>
        </w:tc>
      </w:tr>
      <w:tr w:rsidR="005B0897" w:rsidRPr="00376E45" w14:paraId="66C9A979" w14:textId="77777777" w:rsidTr="0089632A">
        <w:trPr>
          <w:trHeight w:val="255"/>
        </w:trPr>
        <w:tc>
          <w:tcPr>
            <w:tcW w:w="7990" w:type="dxa"/>
            <w:noWrap/>
            <w:hideMark/>
          </w:tcPr>
          <w:p w14:paraId="400A50C7" w14:textId="449895B6" w:rsidR="005B0897" w:rsidRPr="00376E45" w:rsidRDefault="005B0897" w:rsidP="00C21EEA">
            <w:pPr>
              <w:tabs>
                <w:tab w:val="left" w:pos="0"/>
              </w:tabs>
              <w:spacing w:after="0"/>
              <w:rPr>
                <w:lang w:val="en-GB" w:eastAsia="en-GB"/>
              </w:rPr>
            </w:pPr>
            <w:r w:rsidRPr="00376E45">
              <w:rPr>
                <w:lang w:val="en-GB" w:eastAsia="en-GB"/>
              </w:rPr>
              <w:t>Depression</w:t>
            </w:r>
            <w:r w:rsidR="00C21EEA" w:rsidRPr="00376E45">
              <w:rPr>
                <w:lang w:val="en-GB" w:eastAsia="en-GB"/>
              </w:rPr>
              <w:t xml:space="preserve"> </w:t>
            </w:r>
            <w:r w:rsidRPr="00376E45">
              <w:rPr>
                <w:lang w:val="en-GB" w:eastAsia="en-GB"/>
              </w:rPr>
              <w:t>(n=1)</w:t>
            </w:r>
          </w:p>
        </w:tc>
      </w:tr>
      <w:tr w:rsidR="005B0897" w:rsidRPr="00376E45" w14:paraId="65E475C6" w14:textId="77777777" w:rsidTr="0089632A">
        <w:trPr>
          <w:trHeight w:val="255"/>
        </w:trPr>
        <w:tc>
          <w:tcPr>
            <w:tcW w:w="7990" w:type="dxa"/>
            <w:noWrap/>
            <w:hideMark/>
          </w:tcPr>
          <w:p w14:paraId="3EFF5ECB" w14:textId="18B9F95D" w:rsidR="005B0897" w:rsidRPr="00376E45" w:rsidRDefault="005B0897" w:rsidP="00C21EEA">
            <w:pPr>
              <w:tabs>
                <w:tab w:val="left" w:pos="0"/>
              </w:tabs>
              <w:spacing w:after="0"/>
              <w:rPr>
                <w:lang w:val="en-GB" w:eastAsia="en-GB"/>
              </w:rPr>
            </w:pPr>
            <w:r w:rsidRPr="00376E45">
              <w:rPr>
                <w:lang w:val="en-GB" w:eastAsia="en-GB"/>
              </w:rPr>
              <w:t>Dyspepsia</w:t>
            </w:r>
            <w:r w:rsidR="00C21EEA" w:rsidRPr="00376E45">
              <w:rPr>
                <w:lang w:val="en-GB" w:eastAsia="en-GB"/>
              </w:rPr>
              <w:t xml:space="preserve"> </w:t>
            </w:r>
            <w:r w:rsidRPr="00376E45">
              <w:rPr>
                <w:lang w:val="en-GB" w:eastAsia="en-GB"/>
              </w:rPr>
              <w:t>(n=1)</w:t>
            </w:r>
          </w:p>
        </w:tc>
      </w:tr>
      <w:tr w:rsidR="005B0897" w:rsidRPr="00376E45" w14:paraId="3CDD211B" w14:textId="77777777" w:rsidTr="0089632A">
        <w:trPr>
          <w:trHeight w:val="255"/>
        </w:trPr>
        <w:tc>
          <w:tcPr>
            <w:tcW w:w="7990" w:type="dxa"/>
            <w:noWrap/>
            <w:hideMark/>
          </w:tcPr>
          <w:p w14:paraId="41ED04C7" w14:textId="64EC7E3A" w:rsidR="005B0897" w:rsidRPr="00376E45" w:rsidRDefault="005B0897" w:rsidP="00C21EEA">
            <w:pPr>
              <w:tabs>
                <w:tab w:val="left" w:pos="0"/>
              </w:tabs>
              <w:spacing w:after="0"/>
              <w:rPr>
                <w:lang w:val="en-GB" w:eastAsia="en-GB"/>
              </w:rPr>
            </w:pPr>
            <w:r w:rsidRPr="00376E45">
              <w:rPr>
                <w:lang w:val="en-GB" w:eastAsia="en-GB"/>
              </w:rPr>
              <w:t>Dyspnoea</w:t>
            </w:r>
            <w:r w:rsidR="00C21EEA" w:rsidRPr="00376E45">
              <w:rPr>
                <w:lang w:val="en-GB" w:eastAsia="en-GB"/>
              </w:rPr>
              <w:t xml:space="preserve"> </w:t>
            </w:r>
            <w:r w:rsidRPr="00376E45">
              <w:rPr>
                <w:lang w:val="en-GB" w:eastAsia="en-GB"/>
              </w:rPr>
              <w:t>(n=1)</w:t>
            </w:r>
          </w:p>
        </w:tc>
      </w:tr>
      <w:tr w:rsidR="005B0897" w:rsidRPr="00376E45" w14:paraId="067F7EE7" w14:textId="77777777" w:rsidTr="0089632A">
        <w:trPr>
          <w:trHeight w:val="255"/>
        </w:trPr>
        <w:tc>
          <w:tcPr>
            <w:tcW w:w="7990" w:type="dxa"/>
            <w:noWrap/>
            <w:hideMark/>
          </w:tcPr>
          <w:p w14:paraId="1D1D4226" w14:textId="7FEE4CE3" w:rsidR="005B0897" w:rsidRPr="00376E45" w:rsidRDefault="005B0897" w:rsidP="00C21EEA">
            <w:pPr>
              <w:tabs>
                <w:tab w:val="left" w:pos="0"/>
              </w:tabs>
              <w:spacing w:after="0"/>
              <w:rPr>
                <w:lang w:val="en-GB" w:eastAsia="en-GB"/>
              </w:rPr>
            </w:pPr>
            <w:r w:rsidRPr="00376E45">
              <w:rPr>
                <w:lang w:val="en-GB" w:eastAsia="en-GB"/>
              </w:rPr>
              <w:t>Folliculitis</w:t>
            </w:r>
            <w:r w:rsidR="00C21EEA" w:rsidRPr="00376E45">
              <w:rPr>
                <w:lang w:val="en-GB" w:eastAsia="en-GB"/>
              </w:rPr>
              <w:t xml:space="preserve"> </w:t>
            </w:r>
            <w:r w:rsidRPr="00376E45">
              <w:rPr>
                <w:lang w:val="en-GB" w:eastAsia="en-GB"/>
              </w:rPr>
              <w:t>(n=1)</w:t>
            </w:r>
          </w:p>
        </w:tc>
      </w:tr>
      <w:tr w:rsidR="005B0897" w:rsidRPr="00376E45" w14:paraId="513E8D93" w14:textId="77777777" w:rsidTr="0089632A">
        <w:trPr>
          <w:trHeight w:val="255"/>
        </w:trPr>
        <w:tc>
          <w:tcPr>
            <w:tcW w:w="7990" w:type="dxa"/>
            <w:noWrap/>
            <w:hideMark/>
          </w:tcPr>
          <w:p w14:paraId="3FF91244" w14:textId="095EF96D" w:rsidR="005B0897" w:rsidRPr="00376E45" w:rsidRDefault="005B0897" w:rsidP="00C21EEA">
            <w:pPr>
              <w:tabs>
                <w:tab w:val="left" w:pos="0"/>
              </w:tabs>
              <w:spacing w:after="0"/>
              <w:rPr>
                <w:lang w:val="en-GB" w:eastAsia="en-GB"/>
              </w:rPr>
            </w:pPr>
            <w:r w:rsidRPr="00376E45">
              <w:rPr>
                <w:lang w:val="en-GB" w:eastAsia="en-GB"/>
              </w:rPr>
              <w:t>Hepatitis</w:t>
            </w:r>
            <w:r w:rsidR="00C21EEA" w:rsidRPr="00376E45">
              <w:rPr>
                <w:lang w:val="en-GB" w:eastAsia="en-GB"/>
              </w:rPr>
              <w:t xml:space="preserve"> </w:t>
            </w:r>
            <w:r w:rsidRPr="00376E45">
              <w:rPr>
                <w:lang w:val="en-GB" w:eastAsia="en-GB"/>
              </w:rPr>
              <w:t>(n=1)</w:t>
            </w:r>
          </w:p>
        </w:tc>
      </w:tr>
      <w:tr w:rsidR="005B0897" w:rsidRPr="00376E45" w14:paraId="104A9776" w14:textId="77777777" w:rsidTr="0089632A">
        <w:trPr>
          <w:trHeight w:val="255"/>
        </w:trPr>
        <w:tc>
          <w:tcPr>
            <w:tcW w:w="7990" w:type="dxa"/>
            <w:noWrap/>
            <w:hideMark/>
          </w:tcPr>
          <w:p w14:paraId="4EC2552E" w14:textId="063B5ADA" w:rsidR="005B0897" w:rsidRPr="00376E45" w:rsidRDefault="005B0897" w:rsidP="00C21EEA">
            <w:pPr>
              <w:tabs>
                <w:tab w:val="left" w:pos="0"/>
              </w:tabs>
              <w:spacing w:after="0"/>
              <w:rPr>
                <w:lang w:val="en-GB" w:eastAsia="en-GB"/>
              </w:rPr>
            </w:pPr>
            <w:r w:rsidRPr="00376E45">
              <w:rPr>
                <w:lang w:val="en-GB" w:eastAsia="en-GB"/>
              </w:rPr>
              <w:t>Herpes simplex</w:t>
            </w:r>
            <w:r w:rsidR="00C21EEA" w:rsidRPr="00376E45">
              <w:rPr>
                <w:lang w:val="en-GB" w:eastAsia="en-GB"/>
              </w:rPr>
              <w:t xml:space="preserve"> </w:t>
            </w:r>
            <w:r w:rsidRPr="00376E45">
              <w:rPr>
                <w:lang w:val="en-GB" w:eastAsia="en-GB"/>
              </w:rPr>
              <w:t>(n=1)</w:t>
            </w:r>
          </w:p>
        </w:tc>
      </w:tr>
      <w:tr w:rsidR="005B0897" w:rsidRPr="00376E45" w14:paraId="2D4DAB75" w14:textId="77777777" w:rsidTr="0089632A">
        <w:trPr>
          <w:trHeight w:val="255"/>
        </w:trPr>
        <w:tc>
          <w:tcPr>
            <w:tcW w:w="7990" w:type="dxa"/>
            <w:noWrap/>
            <w:hideMark/>
          </w:tcPr>
          <w:p w14:paraId="7DB53F63" w14:textId="124B2C0A" w:rsidR="005B0897" w:rsidRPr="00376E45" w:rsidRDefault="005B0897" w:rsidP="00C21EEA">
            <w:pPr>
              <w:tabs>
                <w:tab w:val="left" w:pos="0"/>
              </w:tabs>
              <w:spacing w:after="0"/>
              <w:rPr>
                <w:lang w:val="en-GB" w:eastAsia="en-GB"/>
              </w:rPr>
            </w:pPr>
            <w:r w:rsidRPr="00376E45">
              <w:rPr>
                <w:lang w:val="en-GB" w:eastAsia="en-GB"/>
              </w:rPr>
              <w:t>Human chorionic gonadotropin increased</w:t>
            </w:r>
            <w:r w:rsidR="00C21EEA" w:rsidRPr="00376E45">
              <w:rPr>
                <w:lang w:val="en-GB" w:eastAsia="en-GB"/>
              </w:rPr>
              <w:t xml:space="preserve"> </w:t>
            </w:r>
            <w:r w:rsidRPr="00376E45">
              <w:rPr>
                <w:lang w:val="en-GB" w:eastAsia="en-GB"/>
              </w:rPr>
              <w:t>(n=1)</w:t>
            </w:r>
          </w:p>
        </w:tc>
      </w:tr>
      <w:tr w:rsidR="005B0897" w:rsidRPr="00096119" w14:paraId="383F1C56" w14:textId="77777777" w:rsidTr="0089632A">
        <w:trPr>
          <w:trHeight w:val="255"/>
        </w:trPr>
        <w:tc>
          <w:tcPr>
            <w:tcW w:w="7990" w:type="dxa"/>
            <w:noWrap/>
            <w:hideMark/>
          </w:tcPr>
          <w:p w14:paraId="734EFCA4" w14:textId="3C8388E1" w:rsidR="005B0897" w:rsidRPr="00276124" w:rsidRDefault="005B0897" w:rsidP="00C21EEA">
            <w:pPr>
              <w:tabs>
                <w:tab w:val="left" w:pos="0"/>
              </w:tabs>
              <w:spacing w:after="0"/>
              <w:rPr>
                <w:lang w:val="fr-FR" w:eastAsia="en-GB"/>
              </w:rPr>
            </w:pPr>
            <w:r w:rsidRPr="00276124">
              <w:rPr>
                <w:lang w:val="fr-FR" w:eastAsia="en-GB"/>
              </w:rPr>
              <w:t xml:space="preserve">Injection site </w:t>
            </w:r>
            <w:proofErr w:type="spellStart"/>
            <w:r w:rsidRPr="00276124">
              <w:rPr>
                <w:lang w:val="fr-FR" w:eastAsia="en-GB"/>
              </w:rPr>
              <w:t>pruritus</w:t>
            </w:r>
            <w:proofErr w:type="spellEnd"/>
            <w:r w:rsidRPr="00276124">
              <w:rPr>
                <w:lang w:val="fr-FR" w:eastAsia="en-GB"/>
              </w:rPr>
              <w:t>, Injection site rash</w:t>
            </w:r>
            <w:r w:rsidR="00C21EEA" w:rsidRPr="00276124">
              <w:rPr>
                <w:lang w:val="fr-FR" w:eastAsia="en-GB"/>
              </w:rPr>
              <w:t xml:space="preserve"> </w:t>
            </w:r>
            <w:r w:rsidRPr="00276124">
              <w:rPr>
                <w:lang w:val="fr-FR" w:eastAsia="en-GB"/>
              </w:rPr>
              <w:t>(n=1)</w:t>
            </w:r>
          </w:p>
        </w:tc>
      </w:tr>
      <w:tr w:rsidR="005B0897" w:rsidRPr="00376E45" w14:paraId="28A51B12" w14:textId="77777777" w:rsidTr="0089632A">
        <w:trPr>
          <w:trHeight w:val="255"/>
        </w:trPr>
        <w:tc>
          <w:tcPr>
            <w:tcW w:w="7990" w:type="dxa"/>
            <w:noWrap/>
            <w:hideMark/>
          </w:tcPr>
          <w:p w14:paraId="676F01CE" w14:textId="77BADD0B" w:rsidR="005B0897" w:rsidRPr="00376E45" w:rsidRDefault="005B0897" w:rsidP="00C21EEA">
            <w:pPr>
              <w:tabs>
                <w:tab w:val="left" w:pos="0"/>
              </w:tabs>
              <w:spacing w:after="0"/>
              <w:rPr>
                <w:lang w:val="en-GB" w:eastAsia="en-GB"/>
              </w:rPr>
            </w:pPr>
            <w:r w:rsidRPr="00376E45">
              <w:rPr>
                <w:lang w:val="en-GB" w:eastAsia="en-GB"/>
              </w:rPr>
              <w:t>Limb injury</w:t>
            </w:r>
            <w:r w:rsidR="00C21EEA" w:rsidRPr="00376E45">
              <w:rPr>
                <w:lang w:val="en-GB" w:eastAsia="en-GB"/>
              </w:rPr>
              <w:t xml:space="preserve"> </w:t>
            </w:r>
            <w:r w:rsidRPr="00376E45">
              <w:rPr>
                <w:lang w:val="en-GB" w:eastAsia="en-GB"/>
              </w:rPr>
              <w:t>(n=1)</w:t>
            </w:r>
          </w:p>
        </w:tc>
      </w:tr>
      <w:tr w:rsidR="005B0897" w:rsidRPr="00376E45" w14:paraId="01635E95" w14:textId="77777777" w:rsidTr="0089632A">
        <w:trPr>
          <w:trHeight w:val="255"/>
        </w:trPr>
        <w:tc>
          <w:tcPr>
            <w:tcW w:w="7990" w:type="dxa"/>
            <w:noWrap/>
            <w:hideMark/>
          </w:tcPr>
          <w:p w14:paraId="315412D6" w14:textId="744D5BE5" w:rsidR="005B0897" w:rsidRPr="00376E45" w:rsidRDefault="005B0897" w:rsidP="00C21EEA">
            <w:pPr>
              <w:tabs>
                <w:tab w:val="left" w:pos="0"/>
              </w:tabs>
              <w:spacing w:after="0"/>
              <w:rPr>
                <w:lang w:val="en-GB" w:eastAsia="en-GB"/>
              </w:rPr>
            </w:pPr>
            <w:r w:rsidRPr="00376E45">
              <w:rPr>
                <w:lang w:val="en-GB" w:eastAsia="en-GB"/>
              </w:rPr>
              <w:t>Liver injury</w:t>
            </w:r>
            <w:r w:rsidR="00C21EEA" w:rsidRPr="00376E45">
              <w:rPr>
                <w:lang w:val="en-GB" w:eastAsia="en-GB"/>
              </w:rPr>
              <w:t xml:space="preserve"> </w:t>
            </w:r>
            <w:r w:rsidRPr="00376E45">
              <w:rPr>
                <w:lang w:val="en-GB" w:eastAsia="en-GB"/>
              </w:rPr>
              <w:t>(n=1)</w:t>
            </w:r>
          </w:p>
        </w:tc>
      </w:tr>
      <w:tr w:rsidR="005B0897" w:rsidRPr="00376E45" w14:paraId="0245CCBB" w14:textId="77777777" w:rsidTr="0089632A">
        <w:trPr>
          <w:trHeight w:val="255"/>
        </w:trPr>
        <w:tc>
          <w:tcPr>
            <w:tcW w:w="7990" w:type="dxa"/>
            <w:noWrap/>
            <w:hideMark/>
          </w:tcPr>
          <w:p w14:paraId="3F74E36E" w14:textId="512A0C70" w:rsidR="005B0897" w:rsidRPr="00376E45" w:rsidRDefault="005B0897" w:rsidP="00C21EEA">
            <w:pPr>
              <w:tabs>
                <w:tab w:val="left" w:pos="0"/>
              </w:tabs>
              <w:spacing w:after="0"/>
              <w:rPr>
                <w:lang w:val="en-GB" w:eastAsia="en-GB"/>
              </w:rPr>
            </w:pPr>
            <w:r w:rsidRPr="00376E45">
              <w:rPr>
                <w:lang w:val="en-GB" w:eastAsia="en-GB"/>
              </w:rPr>
              <w:t>Lupus-like syndrome</w:t>
            </w:r>
            <w:r w:rsidR="00C21EEA" w:rsidRPr="00376E45">
              <w:rPr>
                <w:lang w:val="en-GB" w:eastAsia="en-GB"/>
              </w:rPr>
              <w:t xml:space="preserve"> </w:t>
            </w:r>
            <w:r w:rsidRPr="00376E45">
              <w:rPr>
                <w:lang w:val="en-GB" w:eastAsia="en-GB"/>
              </w:rPr>
              <w:t>(n=1)</w:t>
            </w:r>
          </w:p>
        </w:tc>
      </w:tr>
      <w:tr w:rsidR="005B0897" w:rsidRPr="00376E45" w14:paraId="4F352A67" w14:textId="77777777" w:rsidTr="0089632A">
        <w:trPr>
          <w:trHeight w:val="255"/>
        </w:trPr>
        <w:tc>
          <w:tcPr>
            <w:tcW w:w="7990" w:type="dxa"/>
            <w:noWrap/>
            <w:hideMark/>
          </w:tcPr>
          <w:p w14:paraId="068248F2" w14:textId="151AE3D8" w:rsidR="005B0897" w:rsidRPr="00376E45" w:rsidRDefault="005B0897" w:rsidP="00C21EEA">
            <w:pPr>
              <w:tabs>
                <w:tab w:val="left" w:pos="0"/>
              </w:tabs>
              <w:spacing w:after="0"/>
              <w:rPr>
                <w:lang w:val="en-GB" w:eastAsia="en-GB"/>
              </w:rPr>
            </w:pPr>
            <w:r w:rsidRPr="00376E45">
              <w:rPr>
                <w:lang w:val="en-GB" w:eastAsia="en-GB"/>
              </w:rPr>
              <w:t>Paraesthesia</w:t>
            </w:r>
            <w:r w:rsidR="00C21EEA" w:rsidRPr="00376E45">
              <w:rPr>
                <w:lang w:val="en-GB" w:eastAsia="en-GB"/>
              </w:rPr>
              <w:t xml:space="preserve"> </w:t>
            </w:r>
            <w:r w:rsidRPr="00376E45">
              <w:rPr>
                <w:lang w:val="en-GB" w:eastAsia="en-GB"/>
              </w:rPr>
              <w:t>(n=1)</w:t>
            </w:r>
          </w:p>
        </w:tc>
      </w:tr>
      <w:tr w:rsidR="005B0897" w:rsidRPr="00376E45" w14:paraId="56FB065C" w14:textId="77777777" w:rsidTr="0089632A">
        <w:trPr>
          <w:trHeight w:val="255"/>
        </w:trPr>
        <w:tc>
          <w:tcPr>
            <w:tcW w:w="7990" w:type="dxa"/>
            <w:noWrap/>
            <w:hideMark/>
          </w:tcPr>
          <w:p w14:paraId="70C1D450" w14:textId="776FB38D" w:rsidR="005B0897" w:rsidRPr="00376E45" w:rsidRDefault="005B0897" w:rsidP="00C21EEA">
            <w:pPr>
              <w:tabs>
                <w:tab w:val="left" w:pos="0"/>
              </w:tabs>
              <w:spacing w:after="0"/>
              <w:rPr>
                <w:lang w:val="en-GB" w:eastAsia="en-GB"/>
              </w:rPr>
            </w:pPr>
            <w:r w:rsidRPr="00376E45">
              <w:rPr>
                <w:lang w:val="en-GB" w:eastAsia="en-GB"/>
              </w:rPr>
              <w:t>Peritonitis</w:t>
            </w:r>
            <w:r w:rsidR="00C21EEA" w:rsidRPr="00376E45">
              <w:rPr>
                <w:lang w:val="en-GB" w:eastAsia="en-GB"/>
              </w:rPr>
              <w:t xml:space="preserve"> </w:t>
            </w:r>
            <w:r w:rsidRPr="00376E45">
              <w:rPr>
                <w:lang w:val="en-GB" w:eastAsia="en-GB"/>
              </w:rPr>
              <w:t>(n=1)</w:t>
            </w:r>
          </w:p>
        </w:tc>
      </w:tr>
      <w:tr w:rsidR="005B0897" w:rsidRPr="00376E45" w14:paraId="2BA919C2" w14:textId="77777777" w:rsidTr="0089632A">
        <w:trPr>
          <w:trHeight w:val="255"/>
        </w:trPr>
        <w:tc>
          <w:tcPr>
            <w:tcW w:w="7990" w:type="dxa"/>
            <w:noWrap/>
            <w:hideMark/>
          </w:tcPr>
          <w:p w14:paraId="014ABFB4" w14:textId="52B3CA60" w:rsidR="005B0897" w:rsidRPr="00376E45" w:rsidRDefault="005B0897" w:rsidP="00C21EEA">
            <w:pPr>
              <w:tabs>
                <w:tab w:val="left" w:pos="0"/>
              </w:tabs>
              <w:spacing w:after="0"/>
              <w:rPr>
                <w:lang w:val="en-GB" w:eastAsia="en-GB"/>
              </w:rPr>
            </w:pPr>
            <w:r w:rsidRPr="00376E45">
              <w:rPr>
                <w:lang w:val="en-GB" w:eastAsia="en-GB"/>
              </w:rPr>
              <w:t>Pneumonia</w:t>
            </w:r>
            <w:r w:rsidR="00C21EEA" w:rsidRPr="00376E45">
              <w:rPr>
                <w:lang w:val="en-GB" w:eastAsia="en-GB"/>
              </w:rPr>
              <w:t xml:space="preserve"> </w:t>
            </w:r>
            <w:r w:rsidRPr="00376E45">
              <w:rPr>
                <w:lang w:val="en-GB" w:eastAsia="en-GB"/>
              </w:rPr>
              <w:t>(n=1)</w:t>
            </w:r>
          </w:p>
        </w:tc>
      </w:tr>
      <w:tr w:rsidR="005B0897" w:rsidRPr="00376E45" w14:paraId="75EC91D9" w14:textId="77777777" w:rsidTr="0089632A">
        <w:trPr>
          <w:trHeight w:val="255"/>
        </w:trPr>
        <w:tc>
          <w:tcPr>
            <w:tcW w:w="7990" w:type="dxa"/>
            <w:noWrap/>
            <w:hideMark/>
          </w:tcPr>
          <w:p w14:paraId="77398D3F" w14:textId="612F396B" w:rsidR="005B0897" w:rsidRPr="00376E45" w:rsidRDefault="005B0897" w:rsidP="00C21EEA">
            <w:pPr>
              <w:tabs>
                <w:tab w:val="left" w:pos="0"/>
              </w:tabs>
              <w:spacing w:after="0"/>
              <w:rPr>
                <w:lang w:val="en-GB" w:eastAsia="en-GB"/>
              </w:rPr>
            </w:pPr>
            <w:r w:rsidRPr="00376E45">
              <w:rPr>
                <w:lang w:val="en-GB" w:eastAsia="en-GB"/>
              </w:rPr>
              <w:t>Pneumonitis</w:t>
            </w:r>
            <w:r w:rsidR="00C21EEA" w:rsidRPr="00376E45">
              <w:rPr>
                <w:lang w:val="en-GB" w:eastAsia="en-GB"/>
              </w:rPr>
              <w:t xml:space="preserve"> </w:t>
            </w:r>
            <w:r w:rsidRPr="00376E45">
              <w:rPr>
                <w:lang w:val="en-GB" w:eastAsia="en-GB"/>
              </w:rPr>
              <w:t>(n=1)</w:t>
            </w:r>
          </w:p>
        </w:tc>
      </w:tr>
      <w:tr w:rsidR="005B0897" w:rsidRPr="00376E45" w14:paraId="19DA4146" w14:textId="77777777" w:rsidTr="0089632A">
        <w:trPr>
          <w:trHeight w:val="255"/>
        </w:trPr>
        <w:tc>
          <w:tcPr>
            <w:tcW w:w="7990" w:type="dxa"/>
            <w:noWrap/>
            <w:hideMark/>
          </w:tcPr>
          <w:p w14:paraId="2668B451" w14:textId="70C54E00" w:rsidR="005B0897" w:rsidRPr="00376E45" w:rsidRDefault="005B0897" w:rsidP="00C21EEA">
            <w:pPr>
              <w:tabs>
                <w:tab w:val="left" w:pos="0"/>
              </w:tabs>
              <w:spacing w:after="0"/>
              <w:rPr>
                <w:lang w:val="en-GB" w:eastAsia="en-GB"/>
              </w:rPr>
            </w:pPr>
            <w:r w:rsidRPr="00376E45">
              <w:rPr>
                <w:lang w:val="en-GB" w:eastAsia="en-GB"/>
              </w:rPr>
              <w:t>Rash pruritic</w:t>
            </w:r>
            <w:r w:rsidR="00C21EEA" w:rsidRPr="00376E45">
              <w:rPr>
                <w:lang w:val="en-GB" w:eastAsia="en-GB"/>
              </w:rPr>
              <w:t xml:space="preserve"> </w:t>
            </w:r>
            <w:r w:rsidRPr="00376E45">
              <w:rPr>
                <w:lang w:val="en-GB" w:eastAsia="en-GB"/>
              </w:rPr>
              <w:t>(n=1)</w:t>
            </w:r>
          </w:p>
        </w:tc>
      </w:tr>
      <w:tr w:rsidR="005B0897" w:rsidRPr="00376E45" w14:paraId="4E307B59" w14:textId="77777777" w:rsidTr="0089632A">
        <w:trPr>
          <w:trHeight w:val="255"/>
        </w:trPr>
        <w:tc>
          <w:tcPr>
            <w:tcW w:w="7990" w:type="dxa"/>
            <w:noWrap/>
            <w:hideMark/>
          </w:tcPr>
          <w:p w14:paraId="52637FF3" w14:textId="4464D99A" w:rsidR="005B0897" w:rsidRPr="00376E45" w:rsidRDefault="005B0897" w:rsidP="00C21EEA">
            <w:pPr>
              <w:tabs>
                <w:tab w:val="left" w:pos="0"/>
              </w:tabs>
              <w:spacing w:after="0"/>
              <w:rPr>
                <w:lang w:val="en-GB" w:eastAsia="en-GB"/>
              </w:rPr>
            </w:pPr>
            <w:r w:rsidRPr="00376E45">
              <w:rPr>
                <w:lang w:val="en-GB" w:eastAsia="en-GB"/>
              </w:rPr>
              <w:t>Rheumatoid arthritis</w:t>
            </w:r>
            <w:r w:rsidR="00C21EEA" w:rsidRPr="00376E45">
              <w:rPr>
                <w:lang w:val="en-GB" w:eastAsia="en-GB"/>
              </w:rPr>
              <w:t xml:space="preserve"> </w:t>
            </w:r>
            <w:r w:rsidRPr="00376E45">
              <w:rPr>
                <w:lang w:val="en-GB" w:eastAsia="en-GB"/>
              </w:rPr>
              <w:t>(n=1)</w:t>
            </w:r>
          </w:p>
        </w:tc>
      </w:tr>
      <w:tr w:rsidR="005B0897" w:rsidRPr="00376E45" w14:paraId="0DE545F0" w14:textId="77777777" w:rsidTr="0089632A">
        <w:trPr>
          <w:trHeight w:val="255"/>
        </w:trPr>
        <w:tc>
          <w:tcPr>
            <w:tcW w:w="7990" w:type="dxa"/>
            <w:noWrap/>
            <w:hideMark/>
          </w:tcPr>
          <w:p w14:paraId="499C57E8" w14:textId="5C927621" w:rsidR="005B0897" w:rsidRPr="00376E45" w:rsidRDefault="005B0897" w:rsidP="00C21EEA">
            <w:pPr>
              <w:tabs>
                <w:tab w:val="left" w:pos="0"/>
              </w:tabs>
              <w:spacing w:after="0"/>
              <w:rPr>
                <w:lang w:val="en-GB" w:eastAsia="en-GB"/>
              </w:rPr>
            </w:pPr>
            <w:r w:rsidRPr="00376E45">
              <w:rPr>
                <w:lang w:val="en-GB" w:eastAsia="en-GB"/>
              </w:rPr>
              <w:t>Sinusitis</w:t>
            </w:r>
            <w:r w:rsidR="00C21EEA" w:rsidRPr="00376E45">
              <w:rPr>
                <w:lang w:val="en-GB" w:eastAsia="en-GB"/>
              </w:rPr>
              <w:t xml:space="preserve"> </w:t>
            </w:r>
            <w:r w:rsidRPr="00376E45">
              <w:rPr>
                <w:lang w:val="en-GB" w:eastAsia="en-GB"/>
              </w:rPr>
              <w:t>(n=1)</w:t>
            </w:r>
          </w:p>
        </w:tc>
      </w:tr>
      <w:tr w:rsidR="005B0897" w:rsidRPr="00376E45" w14:paraId="6CCE23E0" w14:textId="77777777" w:rsidTr="0089632A">
        <w:trPr>
          <w:trHeight w:val="255"/>
        </w:trPr>
        <w:tc>
          <w:tcPr>
            <w:tcW w:w="7990" w:type="dxa"/>
            <w:noWrap/>
            <w:hideMark/>
          </w:tcPr>
          <w:p w14:paraId="5C240484" w14:textId="6E5DC1A2" w:rsidR="005B0897" w:rsidRPr="00376E45" w:rsidRDefault="005B0897" w:rsidP="00C21EEA">
            <w:pPr>
              <w:tabs>
                <w:tab w:val="left" w:pos="0"/>
              </w:tabs>
              <w:spacing w:after="0"/>
              <w:rPr>
                <w:lang w:val="en-GB" w:eastAsia="en-GB"/>
              </w:rPr>
            </w:pPr>
            <w:r w:rsidRPr="00376E45">
              <w:rPr>
                <w:lang w:val="en-GB" w:eastAsia="en-GB"/>
              </w:rPr>
              <w:t>Tendon rupture</w:t>
            </w:r>
            <w:r w:rsidR="00C21EEA" w:rsidRPr="00376E45">
              <w:rPr>
                <w:lang w:val="en-GB" w:eastAsia="en-GB"/>
              </w:rPr>
              <w:t xml:space="preserve"> </w:t>
            </w:r>
            <w:r w:rsidRPr="00376E45">
              <w:rPr>
                <w:lang w:val="en-GB" w:eastAsia="en-GB"/>
              </w:rPr>
              <w:t>(n=1)</w:t>
            </w:r>
          </w:p>
        </w:tc>
      </w:tr>
    </w:tbl>
    <w:p w14:paraId="04CD391C" w14:textId="4BBCF054" w:rsidR="005B0897" w:rsidRDefault="005B0897" w:rsidP="00177829">
      <w:pPr>
        <w:tabs>
          <w:tab w:val="left" w:pos="0"/>
        </w:tabs>
        <w:spacing w:after="0"/>
        <w:rPr>
          <w:b/>
          <w:lang w:val="en-GB" w:eastAsia="en-GB"/>
        </w:rPr>
      </w:pPr>
    </w:p>
    <w:p w14:paraId="05642CF7" w14:textId="6EAE5132" w:rsidR="00436D0B" w:rsidRDefault="00C56BCD" w:rsidP="00177829">
      <w:pPr>
        <w:tabs>
          <w:tab w:val="left" w:pos="0"/>
        </w:tabs>
        <w:spacing w:after="0"/>
        <w:rPr>
          <w:b/>
          <w:lang w:val="en-GB" w:eastAsia="en-GB"/>
        </w:rPr>
      </w:pPr>
      <w:r>
        <w:rPr>
          <w:b/>
          <w:lang w:val="en-GB" w:eastAsia="en-GB"/>
        </w:rPr>
        <w:t>Section 4. Summary of all protocol-specified endpoints</w:t>
      </w:r>
    </w:p>
    <w:tbl>
      <w:tblPr>
        <w:tblStyle w:val="TableGrid"/>
        <w:tblW w:w="9298" w:type="dxa"/>
        <w:tblLook w:val="04A0" w:firstRow="1" w:lastRow="0" w:firstColumn="1" w:lastColumn="0" w:noHBand="0" w:noVBand="1"/>
      </w:tblPr>
      <w:tblGrid>
        <w:gridCol w:w="7200"/>
        <w:gridCol w:w="2098"/>
      </w:tblGrid>
      <w:tr w:rsidR="00C56BCD" w:rsidRPr="00F52AA2" w14:paraId="2D32075A" w14:textId="77777777" w:rsidTr="00C56BCD">
        <w:trPr>
          <w:trHeight w:val="20"/>
        </w:trPr>
        <w:tc>
          <w:tcPr>
            <w:tcW w:w="7200" w:type="dxa"/>
          </w:tcPr>
          <w:p w14:paraId="7217FCC9" w14:textId="77777777" w:rsidR="00C56BCD" w:rsidRPr="00F52AA2" w:rsidRDefault="00C56BCD" w:rsidP="00096119">
            <w:pPr>
              <w:rPr>
                <w:b/>
                <w:bCs/>
              </w:rPr>
            </w:pPr>
            <w:r w:rsidRPr="00F52AA2">
              <w:rPr>
                <w:b/>
                <w:bCs/>
              </w:rPr>
              <w:t>ENDPOINT DESCRIPTION</w:t>
            </w:r>
          </w:p>
        </w:tc>
        <w:tc>
          <w:tcPr>
            <w:tcW w:w="2098" w:type="dxa"/>
          </w:tcPr>
          <w:p w14:paraId="1D49A455" w14:textId="77777777" w:rsidR="00C56BCD" w:rsidRPr="00F52AA2" w:rsidRDefault="00C56BCD" w:rsidP="00096119">
            <w:pPr>
              <w:rPr>
                <w:b/>
              </w:rPr>
            </w:pPr>
            <w:r w:rsidRPr="00F52AA2">
              <w:rPr>
                <w:b/>
              </w:rPr>
              <w:t xml:space="preserve">STATUS </w:t>
            </w:r>
          </w:p>
        </w:tc>
      </w:tr>
      <w:tr w:rsidR="00C56BCD" w:rsidRPr="00F52AA2" w14:paraId="2A7BF191" w14:textId="77777777" w:rsidTr="00C56BCD">
        <w:trPr>
          <w:trHeight w:val="20"/>
        </w:trPr>
        <w:tc>
          <w:tcPr>
            <w:tcW w:w="7200" w:type="dxa"/>
          </w:tcPr>
          <w:p w14:paraId="7350E38E" w14:textId="77777777" w:rsidR="00C56BCD" w:rsidRPr="00F52AA2" w:rsidRDefault="00C56BCD" w:rsidP="00096119">
            <w:pPr>
              <w:rPr>
                <w:b/>
                <w:bCs/>
              </w:rPr>
            </w:pPr>
            <w:r w:rsidRPr="00F52AA2">
              <w:rPr>
                <w:b/>
                <w:bCs/>
              </w:rPr>
              <w:t>Primary efficacy endpoint</w:t>
            </w:r>
          </w:p>
        </w:tc>
        <w:tc>
          <w:tcPr>
            <w:tcW w:w="2098" w:type="dxa"/>
          </w:tcPr>
          <w:p w14:paraId="0136B2F4" w14:textId="77777777" w:rsidR="00C56BCD" w:rsidRPr="00F52AA2" w:rsidRDefault="00C56BCD" w:rsidP="00096119"/>
        </w:tc>
      </w:tr>
      <w:tr w:rsidR="00C56BCD" w:rsidRPr="00F52AA2" w14:paraId="40C9F7C6" w14:textId="77777777" w:rsidTr="00C56BCD">
        <w:trPr>
          <w:trHeight w:val="20"/>
        </w:trPr>
        <w:tc>
          <w:tcPr>
            <w:tcW w:w="7200" w:type="dxa"/>
          </w:tcPr>
          <w:p w14:paraId="6FEF009F" w14:textId="77777777" w:rsidR="00C56BCD" w:rsidRPr="00F52AA2" w:rsidRDefault="00C56BCD" w:rsidP="00C56BCD">
            <w:pPr>
              <w:pStyle w:val="ListParagraph"/>
              <w:numPr>
                <w:ilvl w:val="0"/>
                <w:numId w:val="29"/>
              </w:numPr>
              <w:spacing w:after="0" w:line="480" w:lineRule="auto"/>
              <w:contextualSpacing w:val="0"/>
              <w:rPr>
                <w:rFonts w:ascii="Times New Roman" w:hAnsi="Times New Roman"/>
                <w:sz w:val="24"/>
                <w:szCs w:val="24"/>
              </w:rPr>
            </w:pPr>
            <w:r w:rsidRPr="00F52AA2">
              <w:rPr>
                <w:rFonts w:ascii="Times New Roman" w:hAnsi="Times New Roman"/>
                <w:sz w:val="24"/>
                <w:szCs w:val="24"/>
              </w:rPr>
              <w:t>ACR50 response rates at Month 6</w:t>
            </w:r>
          </w:p>
        </w:tc>
        <w:tc>
          <w:tcPr>
            <w:tcW w:w="2098" w:type="dxa"/>
          </w:tcPr>
          <w:p w14:paraId="3EF7BAE7" w14:textId="77777777" w:rsidR="00C56BCD" w:rsidRPr="00F52AA2" w:rsidRDefault="00C56BCD" w:rsidP="00096119">
            <w:r w:rsidRPr="00F52AA2">
              <w:t>Reported</w:t>
            </w:r>
          </w:p>
        </w:tc>
      </w:tr>
      <w:tr w:rsidR="00C56BCD" w:rsidRPr="00F52AA2" w14:paraId="7D19CBB9" w14:textId="77777777" w:rsidTr="00C56BCD">
        <w:trPr>
          <w:trHeight w:val="20"/>
        </w:trPr>
        <w:tc>
          <w:tcPr>
            <w:tcW w:w="7200" w:type="dxa"/>
          </w:tcPr>
          <w:p w14:paraId="1F334830" w14:textId="77777777" w:rsidR="00C56BCD" w:rsidRPr="00F52AA2" w:rsidRDefault="00C56BCD" w:rsidP="00096119">
            <w:r w:rsidRPr="00F52AA2">
              <w:rPr>
                <w:b/>
                <w:bCs/>
              </w:rPr>
              <w:t>Secondary efficacy endpoint</w:t>
            </w:r>
          </w:p>
        </w:tc>
        <w:tc>
          <w:tcPr>
            <w:tcW w:w="2098" w:type="dxa"/>
          </w:tcPr>
          <w:p w14:paraId="0D652A70" w14:textId="77777777" w:rsidR="00C56BCD" w:rsidRPr="00F52AA2" w:rsidRDefault="00C56BCD" w:rsidP="00096119"/>
        </w:tc>
      </w:tr>
      <w:tr w:rsidR="00C56BCD" w:rsidRPr="00F52AA2" w14:paraId="6DD456FD" w14:textId="77777777" w:rsidTr="00C56BCD">
        <w:trPr>
          <w:trHeight w:val="20"/>
        </w:trPr>
        <w:tc>
          <w:tcPr>
            <w:tcW w:w="7200" w:type="dxa"/>
          </w:tcPr>
          <w:p w14:paraId="61A96B85" w14:textId="77777777" w:rsidR="00C56BCD" w:rsidRPr="00F52AA2" w:rsidRDefault="00C56BCD" w:rsidP="00C56BCD">
            <w:pPr>
              <w:pStyle w:val="ListParagraph"/>
              <w:numPr>
                <w:ilvl w:val="0"/>
                <w:numId w:val="29"/>
              </w:numPr>
              <w:spacing w:after="0" w:line="480" w:lineRule="auto"/>
              <w:contextualSpacing w:val="0"/>
              <w:rPr>
                <w:rFonts w:ascii="Times New Roman" w:hAnsi="Times New Roman"/>
                <w:sz w:val="24"/>
                <w:szCs w:val="24"/>
              </w:rPr>
            </w:pPr>
            <w:r w:rsidRPr="00F52AA2">
              <w:rPr>
                <w:rFonts w:ascii="Times New Roman" w:hAnsi="Times New Roman"/>
                <w:sz w:val="24"/>
                <w:szCs w:val="24"/>
              </w:rPr>
              <w:t>Change from Baseline in DAS28-4 (CRP) and DAS28-4 (ESR) at Month 6</w:t>
            </w:r>
          </w:p>
        </w:tc>
        <w:tc>
          <w:tcPr>
            <w:tcW w:w="2098" w:type="dxa"/>
          </w:tcPr>
          <w:p w14:paraId="3B8EBC23" w14:textId="77777777" w:rsidR="00C56BCD" w:rsidRPr="00F52AA2" w:rsidRDefault="00C56BCD" w:rsidP="00096119">
            <w:r w:rsidRPr="00F52AA2">
              <w:t>Reported</w:t>
            </w:r>
          </w:p>
        </w:tc>
      </w:tr>
      <w:tr w:rsidR="00C56BCD" w:rsidRPr="00F52AA2" w14:paraId="1DFA4D8C" w14:textId="77777777" w:rsidTr="00C56BCD">
        <w:trPr>
          <w:trHeight w:val="20"/>
        </w:trPr>
        <w:tc>
          <w:tcPr>
            <w:tcW w:w="7200" w:type="dxa"/>
          </w:tcPr>
          <w:p w14:paraId="061A24AB" w14:textId="77777777" w:rsidR="00C56BCD" w:rsidRPr="00F52AA2" w:rsidRDefault="00C56BCD" w:rsidP="00C56BCD">
            <w:pPr>
              <w:pStyle w:val="ListParagraph"/>
              <w:numPr>
                <w:ilvl w:val="0"/>
                <w:numId w:val="29"/>
              </w:numPr>
              <w:spacing w:after="0" w:line="480" w:lineRule="auto"/>
              <w:contextualSpacing w:val="0"/>
              <w:rPr>
                <w:rFonts w:ascii="Times New Roman" w:hAnsi="Times New Roman"/>
                <w:sz w:val="24"/>
                <w:szCs w:val="24"/>
              </w:rPr>
            </w:pPr>
            <w:r w:rsidRPr="00F52AA2">
              <w:rPr>
                <w:rFonts w:ascii="Times New Roman" w:hAnsi="Times New Roman"/>
                <w:sz w:val="24"/>
                <w:szCs w:val="24"/>
              </w:rPr>
              <w:t>Rate of remission at Month 6, as assessed by: ACR-EULAR Boolean remission criteria;4 SDAI ≤3.3; CDAI ≤2.8; DAS28-4 (ESR) &lt;2.6 and DAS28-4 (CRP) &lt;2.6</w:t>
            </w:r>
          </w:p>
        </w:tc>
        <w:tc>
          <w:tcPr>
            <w:tcW w:w="2098" w:type="dxa"/>
          </w:tcPr>
          <w:p w14:paraId="33FD783B" w14:textId="77777777" w:rsidR="00C56BCD" w:rsidRPr="00F52AA2" w:rsidRDefault="00C56BCD" w:rsidP="00096119">
            <w:r w:rsidRPr="00F52AA2">
              <w:t>Reported</w:t>
            </w:r>
          </w:p>
        </w:tc>
      </w:tr>
      <w:tr w:rsidR="00C56BCD" w:rsidRPr="00F52AA2" w14:paraId="5DFF3586" w14:textId="77777777" w:rsidTr="00C56BCD">
        <w:trPr>
          <w:trHeight w:val="20"/>
        </w:trPr>
        <w:tc>
          <w:tcPr>
            <w:tcW w:w="7200" w:type="dxa"/>
          </w:tcPr>
          <w:p w14:paraId="267DACBB" w14:textId="77777777" w:rsidR="00C56BCD" w:rsidRPr="00F52AA2" w:rsidRDefault="00C56BCD" w:rsidP="00C56BCD">
            <w:pPr>
              <w:pStyle w:val="ListParagraph"/>
              <w:numPr>
                <w:ilvl w:val="0"/>
                <w:numId w:val="29"/>
              </w:numPr>
              <w:spacing w:after="0" w:line="480" w:lineRule="auto"/>
              <w:contextualSpacing w:val="0"/>
              <w:rPr>
                <w:rFonts w:ascii="Times New Roman" w:hAnsi="Times New Roman"/>
                <w:sz w:val="24"/>
                <w:szCs w:val="24"/>
              </w:rPr>
            </w:pPr>
            <w:r w:rsidRPr="00F52AA2">
              <w:rPr>
                <w:rFonts w:ascii="Times New Roman" w:hAnsi="Times New Roman"/>
                <w:sz w:val="24"/>
                <w:szCs w:val="24"/>
              </w:rPr>
              <w:t>Rate of LDA at Month 6, as assessed by: SDAI ≤11; CDAI ≤10; DAS28-4 (ESR) &lt;3.2 and DAS28-4 (CRP) &lt;3.2.</w:t>
            </w:r>
          </w:p>
        </w:tc>
        <w:tc>
          <w:tcPr>
            <w:tcW w:w="2098" w:type="dxa"/>
          </w:tcPr>
          <w:p w14:paraId="3E58569A" w14:textId="77777777" w:rsidR="00C56BCD" w:rsidRPr="00F52AA2" w:rsidRDefault="00C56BCD" w:rsidP="00096119">
            <w:r w:rsidRPr="00F52AA2">
              <w:t>Reported</w:t>
            </w:r>
          </w:p>
        </w:tc>
      </w:tr>
      <w:tr w:rsidR="00C56BCD" w:rsidRPr="00F52AA2" w14:paraId="35C9D8E3" w14:textId="77777777" w:rsidTr="00C56BCD">
        <w:trPr>
          <w:trHeight w:val="20"/>
        </w:trPr>
        <w:tc>
          <w:tcPr>
            <w:tcW w:w="7200" w:type="dxa"/>
          </w:tcPr>
          <w:p w14:paraId="22B53EE2" w14:textId="77777777" w:rsidR="00C56BCD" w:rsidRPr="00F52AA2" w:rsidRDefault="00C56BCD" w:rsidP="00C56BCD">
            <w:pPr>
              <w:pStyle w:val="ListParagraph"/>
              <w:numPr>
                <w:ilvl w:val="0"/>
                <w:numId w:val="29"/>
              </w:numPr>
              <w:spacing w:after="0" w:line="480" w:lineRule="auto"/>
              <w:contextualSpacing w:val="0"/>
              <w:rPr>
                <w:rFonts w:ascii="Times New Roman" w:hAnsi="Times New Roman"/>
                <w:sz w:val="24"/>
                <w:szCs w:val="24"/>
              </w:rPr>
            </w:pPr>
            <w:r w:rsidRPr="00F52AA2">
              <w:rPr>
                <w:rFonts w:ascii="Times New Roman" w:hAnsi="Times New Roman"/>
                <w:sz w:val="24"/>
                <w:szCs w:val="24"/>
              </w:rPr>
              <w:t>ACR20 and ACR70 response rates at Month 6</w:t>
            </w:r>
          </w:p>
        </w:tc>
        <w:tc>
          <w:tcPr>
            <w:tcW w:w="2098" w:type="dxa"/>
          </w:tcPr>
          <w:p w14:paraId="1E3A187B" w14:textId="77777777" w:rsidR="00C56BCD" w:rsidRPr="00F52AA2" w:rsidRDefault="00C56BCD" w:rsidP="00096119">
            <w:r w:rsidRPr="00F52AA2">
              <w:t>Reported</w:t>
            </w:r>
          </w:p>
        </w:tc>
      </w:tr>
      <w:tr w:rsidR="00C56BCD" w:rsidRPr="00F52AA2" w14:paraId="194832F5" w14:textId="77777777" w:rsidTr="00C56BCD">
        <w:trPr>
          <w:trHeight w:val="20"/>
        </w:trPr>
        <w:tc>
          <w:tcPr>
            <w:tcW w:w="7200" w:type="dxa"/>
          </w:tcPr>
          <w:p w14:paraId="1B924AC4" w14:textId="77777777" w:rsidR="00C56BCD" w:rsidRPr="00F52AA2" w:rsidRDefault="00C56BCD" w:rsidP="00C56BCD">
            <w:pPr>
              <w:pStyle w:val="ListParagraph"/>
              <w:numPr>
                <w:ilvl w:val="0"/>
                <w:numId w:val="29"/>
              </w:numPr>
              <w:spacing w:after="0" w:line="480" w:lineRule="auto"/>
              <w:contextualSpacing w:val="0"/>
              <w:rPr>
                <w:rFonts w:ascii="Times New Roman" w:hAnsi="Times New Roman"/>
                <w:sz w:val="24"/>
                <w:szCs w:val="24"/>
              </w:rPr>
            </w:pPr>
            <w:r w:rsidRPr="00F52AA2">
              <w:rPr>
                <w:rFonts w:ascii="Times New Roman" w:hAnsi="Times New Roman"/>
                <w:sz w:val="24"/>
                <w:szCs w:val="24"/>
              </w:rPr>
              <w:t>Change from Baseline in HAQ-DI at Month 6</w:t>
            </w:r>
          </w:p>
        </w:tc>
        <w:tc>
          <w:tcPr>
            <w:tcW w:w="2098" w:type="dxa"/>
          </w:tcPr>
          <w:p w14:paraId="564B13EC" w14:textId="77777777" w:rsidR="00C56BCD" w:rsidRPr="00F52AA2" w:rsidRDefault="00C56BCD" w:rsidP="00096119">
            <w:r w:rsidRPr="00F52AA2">
              <w:t>Reported</w:t>
            </w:r>
          </w:p>
        </w:tc>
      </w:tr>
      <w:tr w:rsidR="00C56BCD" w:rsidRPr="00F52AA2" w14:paraId="44B6E3A0" w14:textId="77777777" w:rsidTr="00C56BCD">
        <w:trPr>
          <w:trHeight w:val="20"/>
        </w:trPr>
        <w:tc>
          <w:tcPr>
            <w:tcW w:w="7200" w:type="dxa"/>
          </w:tcPr>
          <w:p w14:paraId="01D79BE7" w14:textId="77777777" w:rsidR="00C56BCD" w:rsidRPr="00F52AA2" w:rsidRDefault="00C56BCD" w:rsidP="00C56BCD">
            <w:pPr>
              <w:pStyle w:val="ListParagraph"/>
              <w:numPr>
                <w:ilvl w:val="0"/>
                <w:numId w:val="29"/>
              </w:numPr>
              <w:spacing w:after="0" w:line="480" w:lineRule="auto"/>
              <w:contextualSpacing w:val="0"/>
              <w:rPr>
                <w:rFonts w:ascii="Times New Roman" w:hAnsi="Times New Roman"/>
                <w:sz w:val="24"/>
                <w:szCs w:val="24"/>
              </w:rPr>
            </w:pPr>
            <w:r w:rsidRPr="00F52AA2">
              <w:rPr>
                <w:rFonts w:ascii="Times New Roman" w:hAnsi="Times New Roman"/>
                <w:sz w:val="24"/>
                <w:szCs w:val="24"/>
              </w:rPr>
              <w:t>Percentage HAQ-DI responders (decrease of at least 0.22) at Month 6</w:t>
            </w:r>
          </w:p>
        </w:tc>
        <w:tc>
          <w:tcPr>
            <w:tcW w:w="2098" w:type="dxa"/>
          </w:tcPr>
          <w:p w14:paraId="4784978D" w14:textId="77777777" w:rsidR="00C56BCD" w:rsidRPr="00F52AA2" w:rsidRDefault="00C56BCD" w:rsidP="00096119">
            <w:r w:rsidRPr="00F52AA2">
              <w:t>Reported</w:t>
            </w:r>
          </w:p>
        </w:tc>
      </w:tr>
      <w:tr w:rsidR="00C56BCD" w:rsidRPr="00F52AA2" w14:paraId="47919B0C" w14:textId="77777777" w:rsidTr="00C56BCD">
        <w:trPr>
          <w:trHeight w:val="20"/>
        </w:trPr>
        <w:tc>
          <w:tcPr>
            <w:tcW w:w="7200" w:type="dxa"/>
          </w:tcPr>
          <w:p w14:paraId="37475515" w14:textId="77777777" w:rsidR="00C56BCD" w:rsidRPr="00F52AA2" w:rsidRDefault="00C56BCD" w:rsidP="00C56BCD">
            <w:pPr>
              <w:pStyle w:val="ListParagraph"/>
              <w:numPr>
                <w:ilvl w:val="0"/>
                <w:numId w:val="29"/>
              </w:numPr>
              <w:spacing w:after="0" w:line="480" w:lineRule="auto"/>
              <w:contextualSpacing w:val="0"/>
              <w:rPr>
                <w:rFonts w:ascii="Times New Roman" w:hAnsi="Times New Roman"/>
                <w:sz w:val="24"/>
                <w:szCs w:val="24"/>
              </w:rPr>
            </w:pPr>
            <w:r w:rsidRPr="00F52AA2">
              <w:rPr>
                <w:rFonts w:ascii="Times New Roman" w:hAnsi="Times New Roman"/>
                <w:sz w:val="24"/>
                <w:szCs w:val="24"/>
              </w:rPr>
              <w:t>Change from Baseline in the SF-36 8 domain scores and 2 component scores at Month 6</w:t>
            </w:r>
          </w:p>
        </w:tc>
        <w:tc>
          <w:tcPr>
            <w:tcW w:w="2098" w:type="dxa"/>
          </w:tcPr>
          <w:p w14:paraId="4697C5F1" w14:textId="77777777" w:rsidR="00C56BCD" w:rsidRPr="00F52AA2" w:rsidRDefault="00C56BCD" w:rsidP="00096119">
            <w:r w:rsidRPr="00F52AA2">
              <w:t>Not reported due to space limitations</w:t>
            </w:r>
          </w:p>
        </w:tc>
      </w:tr>
      <w:tr w:rsidR="00C56BCD" w:rsidRPr="00F52AA2" w14:paraId="3E39080B" w14:textId="77777777" w:rsidTr="00C56BCD">
        <w:trPr>
          <w:trHeight w:val="20"/>
        </w:trPr>
        <w:tc>
          <w:tcPr>
            <w:tcW w:w="7200" w:type="dxa"/>
          </w:tcPr>
          <w:p w14:paraId="37F5F5CC" w14:textId="77777777" w:rsidR="00C56BCD" w:rsidRPr="00F52AA2" w:rsidRDefault="00C56BCD" w:rsidP="00C56BCD">
            <w:pPr>
              <w:pStyle w:val="ListParagraph"/>
              <w:numPr>
                <w:ilvl w:val="0"/>
                <w:numId w:val="29"/>
              </w:numPr>
              <w:spacing w:after="0" w:line="480" w:lineRule="auto"/>
              <w:contextualSpacing w:val="0"/>
              <w:rPr>
                <w:rFonts w:ascii="Times New Roman" w:hAnsi="Times New Roman"/>
                <w:sz w:val="24"/>
                <w:szCs w:val="24"/>
              </w:rPr>
            </w:pPr>
            <w:r w:rsidRPr="00F52AA2">
              <w:rPr>
                <w:rFonts w:ascii="Times New Roman" w:hAnsi="Times New Roman"/>
                <w:sz w:val="24"/>
                <w:szCs w:val="24"/>
              </w:rPr>
              <w:t>Change from Baseline in WPAI at Month 6.</w:t>
            </w:r>
          </w:p>
        </w:tc>
        <w:tc>
          <w:tcPr>
            <w:tcW w:w="2098" w:type="dxa"/>
          </w:tcPr>
          <w:p w14:paraId="71E37629" w14:textId="77777777" w:rsidR="00C56BCD" w:rsidRPr="00F52AA2" w:rsidRDefault="00C56BCD" w:rsidP="00096119">
            <w:r w:rsidRPr="00F52AA2">
              <w:t>Not reported due to space limitations</w:t>
            </w:r>
          </w:p>
        </w:tc>
      </w:tr>
      <w:tr w:rsidR="00C56BCD" w:rsidRPr="00F52AA2" w14:paraId="1943EA5D" w14:textId="77777777" w:rsidTr="00C56BCD">
        <w:trPr>
          <w:trHeight w:val="20"/>
        </w:trPr>
        <w:tc>
          <w:tcPr>
            <w:tcW w:w="7200" w:type="dxa"/>
          </w:tcPr>
          <w:p w14:paraId="2CF65F4B" w14:textId="77777777" w:rsidR="00C56BCD" w:rsidRPr="00F52AA2" w:rsidRDefault="00C56BCD" w:rsidP="00C56BCD">
            <w:pPr>
              <w:pStyle w:val="ListParagraph"/>
              <w:numPr>
                <w:ilvl w:val="0"/>
                <w:numId w:val="29"/>
              </w:numPr>
              <w:tabs>
                <w:tab w:val="left" w:pos="3581"/>
              </w:tabs>
              <w:spacing w:after="0" w:line="480" w:lineRule="auto"/>
              <w:contextualSpacing w:val="0"/>
              <w:rPr>
                <w:rFonts w:ascii="Times New Roman" w:hAnsi="Times New Roman"/>
                <w:sz w:val="24"/>
                <w:szCs w:val="24"/>
              </w:rPr>
            </w:pPr>
            <w:r w:rsidRPr="00F52AA2">
              <w:rPr>
                <w:rFonts w:ascii="Times New Roman" w:hAnsi="Times New Roman"/>
                <w:sz w:val="24"/>
                <w:szCs w:val="24"/>
              </w:rPr>
              <w:t xml:space="preserve">Change from Baseline in the </w:t>
            </w:r>
            <w:proofErr w:type="spellStart"/>
            <w:r w:rsidRPr="00F52AA2">
              <w:rPr>
                <w:rFonts w:ascii="Times New Roman" w:hAnsi="Times New Roman"/>
                <w:sz w:val="24"/>
                <w:szCs w:val="24"/>
              </w:rPr>
              <w:t>EuroQol</w:t>
            </w:r>
            <w:proofErr w:type="spellEnd"/>
            <w:r w:rsidRPr="00F52AA2">
              <w:rPr>
                <w:rFonts w:ascii="Times New Roman" w:hAnsi="Times New Roman"/>
                <w:sz w:val="24"/>
                <w:szCs w:val="24"/>
              </w:rPr>
              <w:t xml:space="preserve"> EQ-5D at Month 6</w:t>
            </w:r>
          </w:p>
        </w:tc>
        <w:tc>
          <w:tcPr>
            <w:tcW w:w="2098" w:type="dxa"/>
          </w:tcPr>
          <w:p w14:paraId="02B29D29" w14:textId="77777777" w:rsidR="00C56BCD" w:rsidRPr="00F52AA2" w:rsidRDefault="00C56BCD" w:rsidP="00096119">
            <w:r w:rsidRPr="00F52AA2">
              <w:t>Not reported due to space limitations</w:t>
            </w:r>
          </w:p>
        </w:tc>
      </w:tr>
      <w:tr w:rsidR="00C56BCD" w:rsidRPr="00F52AA2" w14:paraId="2117EB16" w14:textId="77777777" w:rsidTr="00C56BCD">
        <w:trPr>
          <w:trHeight w:val="20"/>
        </w:trPr>
        <w:tc>
          <w:tcPr>
            <w:tcW w:w="7200" w:type="dxa"/>
          </w:tcPr>
          <w:p w14:paraId="5D82BBAA" w14:textId="77777777" w:rsidR="00C56BCD" w:rsidRPr="00F52AA2" w:rsidRDefault="00C56BCD" w:rsidP="00C56BCD">
            <w:pPr>
              <w:pStyle w:val="ListParagraph"/>
              <w:numPr>
                <w:ilvl w:val="0"/>
                <w:numId w:val="29"/>
              </w:numPr>
              <w:spacing w:after="0" w:line="480" w:lineRule="auto"/>
              <w:contextualSpacing w:val="0"/>
              <w:rPr>
                <w:rFonts w:ascii="Times New Roman" w:hAnsi="Times New Roman"/>
                <w:sz w:val="24"/>
                <w:szCs w:val="24"/>
              </w:rPr>
            </w:pPr>
            <w:r w:rsidRPr="00F52AA2">
              <w:rPr>
                <w:rFonts w:ascii="Times New Roman" w:hAnsi="Times New Roman"/>
                <w:sz w:val="24"/>
                <w:szCs w:val="24"/>
              </w:rPr>
              <w:t>Change from Baseline in the FACIT-Fatigue scale at Month 6</w:t>
            </w:r>
          </w:p>
        </w:tc>
        <w:tc>
          <w:tcPr>
            <w:tcW w:w="2098" w:type="dxa"/>
          </w:tcPr>
          <w:p w14:paraId="7B665D58" w14:textId="77777777" w:rsidR="00C56BCD" w:rsidRPr="00F52AA2" w:rsidRDefault="00C56BCD" w:rsidP="00096119">
            <w:r w:rsidRPr="00F52AA2">
              <w:t>Not reported due to space limitations</w:t>
            </w:r>
          </w:p>
        </w:tc>
      </w:tr>
      <w:tr w:rsidR="00C56BCD" w:rsidRPr="00F52AA2" w14:paraId="27CEFD3B" w14:textId="77777777" w:rsidTr="00C56BCD">
        <w:trPr>
          <w:trHeight w:val="20"/>
        </w:trPr>
        <w:tc>
          <w:tcPr>
            <w:tcW w:w="7200" w:type="dxa"/>
          </w:tcPr>
          <w:p w14:paraId="2DA2770C" w14:textId="77777777" w:rsidR="00C56BCD" w:rsidRPr="00F52AA2" w:rsidRDefault="00C56BCD" w:rsidP="00096119">
            <w:r w:rsidRPr="00F52AA2">
              <w:rPr>
                <w:b/>
                <w:bCs/>
              </w:rPr>
              <w:t>Other efficacy endpoints</w:t>
            </w:r>
          </w:p>
        </w:tc>
        <w:tc>
          <w:tcPr>
            <w:tcW w:w="2098" w:type="dxa"/>
          </w:tcPr>
          <w:p w14:paraId="4CBDC8D9" w14:textId="77777777" w:rsidR="00C56BCD" w:rsidRPr="00F52AA2" w:rsidRDefault="00C56BCD" w:rsidP="00096119"/>
        </w:tc>
      </w:tr>
      <w:tr w:rsidR="00C56BCD" w:rsidRPr="00F52AA2" w14:paraId="4AA34369" w14:textId="77777777" w:rsidTr="00C56BCD">
        <w:trPr>
          <w:trHeight w:val="20"/>
        </w:trPr>
        <w:tc>
          <w:tcPr>
            <w:tcW w:w="7200" w:type="dxa"/>
          </w:tcPr>
          <w:p w14:paraId="4AD59673" w14:textId="77777777" w:rsidR="00C56BCD" w:rsidRPr="00F52AA2" w:rsidRDefault="00C56BCD" w:rsidP="00C56BCD">
            <w:pPr>
              <w:pStyle w:val="ListParagraph"/>
              <w:numPr>
                <w:ilvl w:val="0"/>
                <w:numId w:val="29"/>
              </w:numPr>
              <w:spacing w:after="0" w:line="480" w:lineRule="auto"/>
              <w:contextualSpacing w:val="0"/>
              <w:rPr>
                <w:rFonts w:ascii="Times New Roman" w:hAnsi="Times New Roman"/>
                <w:sz w:val="24"/>
                <w:szCs w:val="24"/>
              </w:rPr>
            </w:pPr>
            <w:r w:rsidRPr="00F52AA2">
              <w:rPr>
                <w:rFonts w:ascii="Times New Roman" w:hAnsi="Times New Roman"/>
                <w:sz w:val="24"/>
                <w:szCs w:val="24"/>
              </w:rPr>
              <w:t>Primary and secondary efficacy endpoints at all other post-Baseline scheduled visits.</w:t>
            </w:r>
          </w:p>
        </w:tc>
        <w:tc>
          <w:tcPr>
            <w:tcW w:w="2098" w:type="dxa"/>
          </w:tcPr>
          <w:p w14:paraId="7EF9A7B2" w14:textId="77777777" w:rsidR="00C56BCD" w:rsidRPr="00F52AA2" w:rsidRDefault="00C56BCD" w:rsidP="00096119">
            <w:r w:rsidRPr="00F52AA2">
              <w:t>Reported</w:t>
            </w:r>
          </w:p>
        </w:tc>
      </w:tr>
      <w:tr w:rsidR="00C56BCD" w:rsidRPr="00F52AA2" w14:paraId="1428AF84" w14:textId="77777777" w:rsidTr="00C56BCD">
        <w:trPr>
          <w:trHeight w:val="20"/>
        </w:trPr>
        <w:tc>
          <w:tcPr>
            <w:tcW w:w="7200" w:type="dxa"/>
          </w:tcPr>
          <w:p w14:paraId="745DF4C6" w14:textId="77777777" w:rsidR="00C56BCD" w:rsidRPr="00F52AA2" w:rsidRDefault="00C56BCD" w:rsidP="00096119">
            <w:r w:rsidRPr="00F52AA2">
              <w:rPr>
                <w:b/>
                <w:bCs/>
              </w:rPr>
              <w:t>Safety endpoints</w:t>
            </w:r>
          </w:p>
        </w:tc>
        <w:tc>
          <w:tcPr>
            <w:tcW w:w="2098" w:type="dxa"/>
          </w:tcPr>
          <w:p w14:paraId="538443C5" w14:textId="77777777" w:rsidR="00C56BCD" w:rsidRPr="00F52AA2" w:rsidRDefault="00C56BCD" w:rsidP="00096119"/>
        </w:tc>
      </w:tr>
      <w:tr w:rsidR="00C56BCD" w:rsidRPr="00F52AA2" w14:paraId="11C5390E" w14:textId="77777777" w:rsidTr="00C56BCD">
        <w:trPr>
          <w:trHeight w:val="20"/>
        </w:trPr>
        <w:tc>
          <w:tcPr>
            <w:tcW w:w="7200" w:type="dxa"/>
          </w:tcPr>
          <w:p w14:paraId="77E21159" w14:textId="77777777" w:rsidR="00C56BCD" w:rsidRPr="00F52AA2" w:rsidRDefault="00C56BCD" w:rsidP="00C56BCD">
            <w:pPr>
              <w:pStyle w:val="ListParagraph"/>
              <w:numPr>
                <w:ilvl w:val="0"/>
                <w:numId w:val="29"/>
              </w:numPr>
              <w:spacing w:after="0" w:line="480" w:lineRule="auto"/>
              <w:contextualSpacing w:val="0"/>
              <w:rPr>
                <w:rFonts w:ascii="Times New Roman" w:hAnsi="Times New Roman"/>
                <w:sz w:val="24"/>
                <w:szCs w:val="24"/>
              </w:rPr>
            </w:pPr>
            <w:r w:rsidRPr="00F52AA2">
              <w:rPr>
                <w:rFonts w:ascii="Times New Roman" w:hAnsi="Times New Roman"/>
                <w:sz w:val="24"/>
                <w:szCs w:val="24"/>
              </w:rPr>
              <w:t>All adverse events (AEs), including serious AEs (SAEs)</w:t>
            </w:r>
          </w:p>
        </w:tc>
        <w:tc>
          <w:tcPr>
            <w:tcW w:w="2098" w:type="dxa"/>
          </w:tcPr>
          <w:p w14:paraId="36C07E97" w14:textId="77777777" w:rsidR="00C56BCD" w:rsidRPr="00F52AA2" w:rsidRDefault="00C56BCD" w:rsidP="00096119">
            <w:r w:rsidRPr="00F52AA2">
              <w:t>Reported</w:t>
            </w:r>
          </w:p>
        </w:tc>
      </w:tr>
      <w:tr w:rsidR="00C56BCD" w:rsidRPr="00F52AA2" w14:paraId="23E09A66" w14:textId="77777777" w:rsidTr="00C56BCD">
        <w:trPr>
          <w:trHeight w:val="20"/>
        </w:trPr>
        <w:tc>
          <w:tcPr>
            <w:tcW w:w="7200" w:type="dxa"/>
          </w:tcPr>
          <w:p w14:paraId="562A8B87" w14:textId="77777777" w:rsidR="00C56BCD" w:rsidRPr="00F52AA2" w:rsidRDefault="00C56BCD" w:rsidP="00C56BCD">
            <w:pPr>
              <w:pStyle w:val="ListParagraph"/>
              <w:numPr>
                <w:ilvl w:val="0"/>
                <w:numId w:val="29"/>
              </w:numPr>
              <w:tabs>
                <w:tab w:val="left" w:pos="1277"/>
              </w:tabs>
              <w:spacing w:after="0" w:line="480" w:lineRule="auto"/>
              <w:contextualSpacing w:val="0"/>
              <w:rPr>
                <w:rFonts w:ascii="Times New Roman" w:hAnsi="Times New Roman"/>
                <w:sz w:val="24"/>
                <w:szCs w:val="24"/>
              </w:rPr>
            </w:pPr>
            <w:r w:rsidRPr="00F52AA2">
              <w:rPr>
                <w:rFonts w:ascii="Times New Roman" w:hAnsi="Times New Roman"/>
                <w:sz w:val="24"/>
                <w:szCs w:val="24"/>
              </w:rPr>
              <w:t>Clinically significant abnormal laboratory parameters</w:t>
            </w:r>
          </w:p>
        </w:tc>
        <w:tc>
          <w:tcPr>
            <w:tcW w:w="2098" w:type="dxa"/>
          </w:tcPr>
          <w:p w14:paraId="393791C9" w14:textId="77777777" w:rsidR="00C56BCD" w:rsidRPr="00F52AA2" w:rsidRDefault="00C56BCD" w:rsidP="00096119">
            <w:r w:rsidRPr="00F52AA2">
              <w:t>Reported</w:t>
            </w:r>
          </w:p>
        </w:tc>
      </w:tr>
      <w:tr w:rsidR="00C56BCD" w:rsidRPr="00F52AA2" w14:paraId="16DC69E0" w14:textId="77777777" w:rsidTr="00C56BCD">
        <w:trPr>
          <w:trHeight w:val="20"/>
        </w:trPr>
        <w:tc>
          <w:tcPr>
            <w:tcW w:w="7200" w:type="dxa"/>
          </w:tcPr>
          <w:p w14:paraId="7A8FEE61" w14:textId="77777777" w:rsidR="00C56BCD" w:rsidRPr="00F52AA2" w:rsidRDefault="00C56BCD" w:rsidP="00C56BCD">
            <w:pPr>
              <w:pStyle w:val="ListParagraph"/>
              <w:numPr>
                <w:ilvl w:val="0"/>
                <w:numId w:val="29"/>
              </w:numPr>
              <w:spacing w:after="0" w:line="480" w:lineRule="auto"/>
              <w:contextualSpacing w:val="0"/>
              <w:rPr>
                <w:rFonts w:ascii="Times New Roman" w:hAnsi="Times New Roman"/>
                <w:sz w:val="24"/>
                <w:szCs w:val="24"/>
              </w:rPr>
            </w:pPr>
            <w:r w:rsidRPr="00F52AA2">
              <w:rPr>
                <w:rFonts w:ascii="Times New Roman" w:hAnsi="Times New Roman"/>
                <w:sz w:val="24"/>
                <w:szCs w:val="24"/>
              </w:rPr>
              <w:t>Assessment of the rate of adverse reactions, injection site reactions and development of zoster-like lesions after vaccination</w:t>
            </w:r>
          </w:p>
        </w:tc>
        <w:tc>
          <w:tcPr>
            <w:tcW w:w="2098" w:type="dxa"/>
          </w:tcPr>
          <w:p w14:paraId="7EB8E955" w14:textId="77777777" w:rsidR="00C56BCD" w:rsidRPr="00F52AA2" w:rsidRDefault="00C56BCD" w:rsidP="00096119">
            <w:r w:rsidRPr="00F52AA2">
              <w:t>Reported</w:t>
            </w:r>
          </w:p>
        </w:tc>
      </w:tr>
      <w:tr w:rsidR="00C56BCD" w:rsidRPr="00F52AA2" w14:paraId="0DB18CFE" w14:textId="77777777" w:rsidTr="00C56BCD">
        <w:trPr>
          <w:trHeight w:val="20"/>
        </w:trPr>
        <w:tc>
          <w:tcPr>
            <w:tcW w:w="7200" w:type="dxa"/>
          </w:tcPr>
          <w:p w14:paraId="20D683EE" w14:textId="77777777" w:rsidR="00C56BCD" w:rsidRPr="00F52AA2" w:rsidRDefault="00C56BCD" w:rsidP="00C56BCD">
            <w:pPr>
              <w:pStyle w:val="ListParagraph"/>
              <w:numPr>
                <w:ilvl w:val="0"/>
                <w:numId w:val="29"/>
              </w:numPr>
              <w:spacing w:after="0" w:line="480" w:lineRule="auto"/>
              <w:contextualSpacing w:val="0"/>
              <w:rPr>
                <w:rFonts w:ascii="Times New Roman" w:hAnsi="Times New Roman"/>
                <w:sz w:val="24"/>
                <w:szCs w:val="24"/>
              </w:rPr>
            </w:pPr>
            <w:r w:rsidRPr="00F52AA2">
              <w:rPr>
                <w:rFonts w:ascii="Times New Roman" w:hAnsi="Times New Roman"/>
                <w:sz w:val="24"/>
                <w:szCs w:val="24"/>
              </w:rPr>
              <w:t>Assessment of the rate of clinical herpes zoster events by study treatment group after initiation of study treatments</w:t>
            </w:r>
          </w:p>
        </w:tc>
        <w:tc>
          <w:tcPr>
            <w:tcW w:w="2098" w:type="dxa"/>
          </w:tcPr>
          <w:p w14:paraId="608FF4DC" w14:textId="77777777" w:rsidR="00C56BCD" w:rsidRPr="00F52AA2" w:rsidRDefault="00C56BCD" w:rsidP="00096119">
            <w:r w:rsidRPr="00F52AA2">
              <w:t>Reported</w:t>
            </w:r>
          </w:p>
        </w:tc>
      </w:tr>
    </w:tbl>
    <w:p w14:paraId="3E3AF46B" w14:textId="77777777" w:rsidR="00C56BCD" w:rsidRPr="00376E45" w:rsidRDefault="00C56BCD" w:rsidP="00177829">
      <w:pPr>
        <w:tabs>
          <w:tab w:val="left" w:pos="0"/>
        </w:tabs>
        <w:spacing w:after="0"/>
        <w:rPr>
          <w:b/>
          <w:lang w:val="en-GB" w:eastAsia="en-GB"/>
        </w:rPr>
      </w:pPr>
    </w:p>
    <w:sectPr w:rsidR="00C56BCD" w:rsidRPr="00376E45" w:rsidSect="00723A4C">
      <w:pgSz w:w="11907" w:h="16839" w:code="9"/>
      <w:pgMar w:top="1440" w:right="1440" w:bottom="1440" w:left="1797"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78D36" w14:textId="77777777" w:rsidR="00094AB6" w:rsidRDefault="00094AB6" w:rsidP="00065273">
      <w:r>
        <w:separator/>
      </w:r>
    </w:p>
    <w:p w14:paraId="00E130AE" w14:textId="77777777" w:rsidR="00094AB6" w:rsidRDefault="00094AB6"/>
  </w:endnote>
  <w:endnote w:type="continuationSeparator" w:id="0">
    <w:p w14:paraId="7A1698A9" w14:textId="77777777" w:rsidR="00094AB6" w:rsidRDefault="00094AB6" w:rsidP="00065273">
      <w:r>
        <w:continuationSeparator/>
      </w:r>
    </w:p>
    <w:p w14:paraId="4FEB842E" w14:textId="77777777" w:rsidR="00094AB6" w:rsidRDefault="00094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00"/>
    <w:family w:val="auto"/>
    <w:pitch w:val="variable"/>
    <w:sig w:usb0="00000000"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9CDB1" w14:textId="14A8262D" w:rsidR="00094AB6" w:rsidRDefault="00094AB6">
    <w:pPr>
      <w:pStyle w:val="Footer"/>
      <w:jc w:val="right"/>
    </w:pPr>
    <w:r>
      <w:fldChar w:fldCharType="begin"/>
    </w:r>
    <w:r>
      <w:instrText xml:space="preserve"> PAGE   \* MERGEFORMAT </w:instrText>
    </w:r>
    <w:r>
      <w:fldChar w:fldCharType="separate"/>
    </w:r>
    <w:r w:rsidR="001A5896">
      <w:rPr>
        <w:noProof/>
      </w:rPr>
      <w:t>64</w:t>
    </w:r>
    <w:r>
      <w:rPr>
        <w:noProof/>
      </w:rPr>
      <w:fldChar w:fldCharType="end"/>
    </w:r>
  </w:p>
  <w:p w14:paraId="68B4C9C7" w14:textId="77777777" w:rsidR="00094AB6" w:rsidRDefault="00094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37337" w14:textId="77777777" w:rsidR="00094AB6" w:rsidRDefault="00094AB6" w:rsidP="00065273">
      <w:r>
        <w:separator/>
      </w:r>
    </w:p>
    <w:p w14:paraId="1FC7D23C" w14:textId="77777777" w:rsidR="00094AB6" w:rsidRDefault="00094AB6"/>
  </w:footnote>
  <w:footnote w:type="continuationSeparator" w:id="0">
    <w:p w14:paraId="53BC0C20" w14:textId="77777777" w:rsidR="00094AB6" w:rsidRDefault="00094AB6" w:rsidP="00065273">
      <w:r>
        <w:continuationSeparator/>
      </w:r>
    </w:p>
    <w:p w14:paraId="702A03A2" w14:textId="77777777" w:rsidR="00094AB6" w:rsidRDefault="00094A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BB0"/>
    <w:multiLevelType w:val="singleLevel"/>
    <w:tmpl w:val="8556D11E"/>
    <w:lvl w:ilvl="0">
      <w:start w:val="1"/>
      <w:numFmt w:val="lowerLetter"/>
      <w:lvlRestart w:val="0"/>
      <w:pStyle w:val="ListAlpha3"/>
      <w:lvlText w:val="%1."/>
      <w:lvlJc w:val="left"/>
      <w:pPr>
        <w:tabs>
          <w:tab w:val="num" w:pos="1080"/>
        </w:tabs>
        <w:ind w:left="1080" w:hanging="360"/>
      </w:pPr>
      <w:rPr>
        <w:caps w:val="0"/>
        <w:u w:val="none"/>
      </w:rPr>
    </w:lvl>
  </w:abstractNum>
  <w:abstractNum w:abstractNumId="1" w15:restartNumberingAfterBreak="0">
    <w:nsid w:val="01B35183"/>
    <w:multiLevelType w:val="singleLevel"/>
    <w:tmpl w:val="3446CFFC"/>
    <w:lvl w:ilvl="0">
      <w:start w:val="1"/>
      <w:numFmt w:val="decimal"/>
      <w:lvlRestart w:val="0"/>
      <w:pStyle w:val="ListNumber3"/>
      <w:lvlText w:val="%1."/>
      <w:lvlJc w:val="left"/>
      <w:pPr>
        <w:tabs>
          <w:tab w:val="num" w:pos="1080"/>
        </w:tabs>
        <w:ind w:left="1080" w:hanging="360"/>
      </w:pPr>
      <w:rPr>
        <w:caps w:val="0"/>
        <w:u w:val="none"/>
      </w:rPr>
    </w:lvl>
  </w:abstractNum>
  <w:abstractNum w:abstractNumId="2" w15:restartNumberingAfterBreak="0">
    <w:nsid w:val="02176D71"/>
    <w:multiLevelType w:val="singleLevel"/>
    <w:tmpl w:val="A54611D6"/>
    <w:lvl w:ilvl="0">
      <w:start w:val="1"/>
      <w:numFmt w:val="bullet"/>
      <w:lvlRestart w:val="0"/>
      <w:pStyle w:val="ListBullet"/>
      <w:lvlText w:val=""/>
      <w:lvlJc w:val="left"/>
      <w:pPr>
        <w:tabs>
          <w:tab w:val="num" w:pos="360"/>
        </w:tabs>
        <w:ind w:left="360" w:hanging="360"/>
      </w:pPr>
      <w:rPr>
        <w:rFonts w:ascii="Symbol" w:hAnsi="Symbol" w:hint="default"/>
        <w:caps w:val="0"/>
        <w:u w:val="none"/>
      </w:rPr>
    </w:lvl>
  </w:abstractNum>
  <w:abstractNum w:abstractNumId="3" w15:restartNumberingAfterBreak="0">
    <w:nsid w:val="05BD59FF"/>
    <w:multiLevelType w:val="singleLevel"/>
    <w:tmpl w:val="83B40A7E"/>
    <w:name w:val="dtBL List Bullet 5"/>
    <w:lvl w:ilvl="0">
      <w:start w:val="1"/>
      <w:numFmt w:val="bullet"/>
      <w:lvlRestart w:val="0"/>
      <w:pStyle w:val="ListBullet5"/>
      <w:lvlText w:val=""/>
      <w:lvlJc w:val="left"/>
      <w:pPr>
        <w:tabs>
          <w:tab w:val="num" w:pos="1800"/>
        </w:tabs>
        <w:ind w:left="1800" w:hanging="360"/>
      </w:pPr>
      <w:rPr>
        <w:rFonts w:ascii="Symbol" w:hAnsi="Symbol" w:hint="default"/>
        <w:caps w:val="0"/>
        <w:u w:val="none"/>
      </w:rPr>
    </w:lvl>
  </w:abstractNum>
  <w:abstractNum w:abstractNumId="4" w15:restartNumberingAfterBreak="0">
    <w:nsid w:val="0C955CFA"/>
    <w:multiLevelType w:val="singleLevel"/>
    <w:tmpl w:val="2BE8B33A"/>
    <w:lvl w:ilvl="0">
      <w:start w:val="1"/>
      <w:numFmt w:val="bullet"/>
      <w:lvlRestart w:val="0"/>
      <w:pStyle w:val="ListBullet2"/>
      <w:lvlText w:val=""/>
      <w:lvlJc w:val="left"/>
      <w:pPr>
        <w:tabs>
          <w:tab w:val="num" w:pos="720"/>
        </w:tabs>
        <w:ind w:left="720" w:hanging="360"/>
      </w:pPr>
      <w:rPr>
        <w:rFonts w:ascii="Symbol" w:hAnsi="Symbol" w:hint="default"/>
        <w:caps w:val="0"/>
        <w:u w:val="none"/>
      </w:rPr>
    </w:lvl>
  </w:abstractNum>
  <w:abstractNum w:abstractNumId="5" w15:restartNumberingAfterBreak="0">
    <w:nsid w:val="1783420E"/>
    <w:multiLevelType w:val="hybridMultilevel"/>
    <w:tmpl w:val="04E8A2C4"/>
    <w:lvl w:ilvl="0" w:tplc="CD6C2DE0">
      <w:start w:val="1"/>
      <w:numFmt w:val="bullet"/>
      <w:pStyle w:val="MediumGrid1-Accent2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87A96"/>
    <w:multiLevelType w:val="singleLevel"/>
    <w:tmpl w:val="063A2B84"/>
    <w:lvl w:ilvl="0">
      <w:start w:val="1"/>
      <w:numFmt w:val="bullet"/>
      <w:lvlRestart w:val="0"/>
      <w:pStyle w:val="ListBullet4"/>
      <w:lvlText w:val=""/>
      <w:lvlJc w:val="left"/>
      <w:pPr>
        <w:tabs>
          <w:tab w:val="num" w:pos="1440"/>
        </w:tabs>
        <w:ind w:left="1440" w:hanging="360"/>
      </w:pPr>
      <w:rPr>
        <w:rFonts w:ascii="Symbol" w:hAnsi="Symbol" w:hint="default"/>
        <w:caps w:val="0"/>
        <w:u w:val="none"/>
      </w:rPr>
    </w:lvl>
  </w:abstractNum>
  <w:abstractNum w:abstractNumId="7" w15:restartNumberingAfterBreak="0">
    <w:nsid w:val="1C68745D"/>
    <w:multiLevelType w:val="singleLevel"/>
    <w:tmpl w:val="8F38D0B6"/>
    <w:lvl w:ilvl="0">
      <w:start w:val="1"/>
      <w:numFmt w:val="lowerLetter"/>
      <w:lvlRestart w:val="0"/>
      <w:pStyle w:val="ListAlpha4"/>
      <w:lvlText w:val="%1."/>
      <w:lvlJc w:val="left"/>
      <w:pPr>
        <w:tabs>
          <w:tab w:val="num" w:pos="1440"/>
        </w:tabs>
        <w:ind w:left="1440" w:hanging="360"/>
      </w:pPr>
      <w:rPr>
        <w:caps w:val="0"/>
        <w:u w:val="none"/>
      </w:rPr>
    </w:lvl>
  </w:abstractNum>
  <w:abstractNum w:abstractNumId="8" w15:restartNumberingAfterBreak="0">
    <w:nsid w:val="239F46A9"/>
    <w:multiLevelType w:val="singleLevel"/>
    <w:tmpl w:val="4E28D0AC"/>
    <w:lvl w:ilvl="0">
      <w:start w:val="1"/>
      <w:numFmt w:val="lowerLetter"/>
      <w:lvlRestart w:val="0"/>
      <w:pStyle w:val="ListAlpha"/>
      <w:lvlText w:val="%1."/>
      <w:lvlJc w:val="left"/>
      <w:pPr>
        <w:tabs>
          <w:tab w:val="num" w:pos="360"/>
        </w:tabs>
        <w:ind w:left="360" w:hanging="360"/>
      </w:pPr>
      <w:rPr>
        <w:caps w:val="0"/>
        <w:u w:val="none"/>
      </w:rPr>
    </w:lvl>
  </w:abstractNum>
  <w:abstractNum w:abstractNumId="9" w15:restartNumberingAfterBreak="0">
    <w:nsid w:val="251E2FA6"/>
    <w:multiLevelType w:val="hybridMultilevel"/>
    <w:tmpl w:val="1016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357A9"/>
    <w:multiLevelType w:val="hybridMultilevel"/>
    <w:tmpl w:val="89F27A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4B44BD"/>
    <w:multiLevelType w:val="singleLevel"/>
    <w:tmpl w:val="01128DDA"/>
    <w:lvl w:ilvl="0">
      <w:start w:val="1"/>
      <w:numFmt w:val="decimal"/>
      <w:lvlRestart w:val="0"/>
      <w:pStyle w:val="ListNumber"/>
      <w:lvlText w:val="%1."/>
      <w:lvlJc w:val="left"/>
      <w:pPr>
        <w:tabs>
          <w:tab w:val="num" w:pos="360"/>
        </w:tabs>
        <w:ind w:left="360" w:hanging="360"/>
      </w:pPr>
      <w:rPr>
        <w:caps w:val="0"/>
        <w:u w:val="none"/>
      </w:rPr>
    </w:lvl>
  </w:abstractNum>
  <w:abstractNum w:abstractNumId="12" w15:restartNumberingAfterBreak="0">
    <w:nsid w:val="307D5E5C"/>
    <w:multiLevelType w:val="singleLevel"/>
    <w:tmpl w:val="49B28100"/>
    <w:lvl w:ilvl="0">
      <w:start w:val="1"/>
      <w:numFmt w:val="lowerLetter"/>
      <w:lvlRestart w:val="0"/>
      <w:pStyle w:val="ListAlpha2"/>
      <w:lvlText w:val="%1."/>
      <w:lvlJc w:val="left"/>
      <w:pPr>
        <w:tabs>
          <w:tab w:val="num" w:pos="720"/>
        </w:tabs>
        <w:ind w:left="720" w:hanging="360"/>
      </w:pPr>
      <w:rPr>
        <w:caps w:val="0"/>
        <w:u w:val="none"/>
      </w:rPr>
    </w:lvl>
  </w:abstractNum>
  <w:abstractNum w:abstractNumId="13" w15:restartNumberingAfterBreak="0">
    <w:nsid w:val="32CE3D57"/>
    <w:multiLevelType w:val="singleLevel"/>
    <w:tmpl w:val="FFC4B7EE"/>
    <w:lvl w:ilvl="0">
      <w:start w:val="1"/>
      <w:numFmt w:val="lowerLetter"/>
      <w:lvlRestart w:val="0"/>
      <w:pStyle w:val="ListAlphaTable"/>
      <w:lvlText w:val="%1."/>
      <w:lvlJc w:val="left"/>
      <w:pPr>
        <w:tabs>
          <w:tab w:val="num" w:pos="360"/>
        </w:tabs>
        <w:ind w:left="360" w:hanging="360"/>
      </w:pPr>
      <w:rPr>
        <w:caps w:val="0"/>
        <w:u w:val="none"/>
      </w:rPr>
    </w:lvl>
  </w:abstractNum>
  <w:abstractNum w:abstractNumId="14" w15:restartNumberingAfterBreak="0">
    <w:nsid w:val="38D62CC3"/>
    <w:multiLevelType w:val="hybridMultilevel"/>
    <w:tmpl w:val="5A889426"/>
    <w:lvl w:ilvl="0" w:tplc="08090001">
      <w:start w:val="1"/>
      <w:numFmt w:val="bullet"/>
      <w:lvlText w:val=""/>
      <w:lvlJc w:val="left"/>
      <w:pPr>
        <w:ind w:left="720" w:hanging="360"/>
      </w:pPr>
      <w:rPr>
        <w:rFonts w:ascii="Symbol" w:hAnsi="Symbol" w:hint="default"/>
      </w:rPr>
    </w:lvl>
    <w:lvl w:ilvl="1" w:tplc="167CDDEE">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D6A12"/>
    <w:multiLevelType w:val="singleLevel"/>
    <w:tmpl w:val="FFC28068"/>
    <w:lvl w:ilvl="0">
      <w:start w:val="1"/>
      <w:numFmt w:val="decimal"/>
      <w:lvlRestart w:val="0"/>
      <w:pStyle w:val="ListNumber5"/>
      <w:lvlText w:val="%1."/>
      <w:lvlJc w:val="left"/>
      <w:pPr>
        <w:tabs>
          <w:tab w:val="num" w:pos="1800"/>
        </w:tabs>
        <w:ind w:left="1800" w:hanging="360"/>
      </w:pPr>
      <w:rPr>
        <w:caps w:val="0"/>
        <w:u w:val="none"/>
      </w:rPr>
    </w:lvl>
  </w:abstractNum>
  <w:abstractNum w:abstractNumId="16" w15:restartNumberingAfterBreak="0">
    <w:nsid w:val="3AB03A27"/>
    <w:multiLevelType w:val="singleLevel"/>
    <w:tmpl w:val="EAA41330"/>
    <w:lvl w:ilvl="0">
      <w:start w:val="1"/>
      <w:numFmt w:val="decimal"/>
      <w:lvlRestart w:val="0"/>
      <w:pStyle w:val="ListNumber2"/>
      <w:lvlText w:val="%1."/>
      <w:lvlJc w:val="left"/>
      <w:pPr>
        <w:tabs>
          <w:tab w:val="num" w:pos="720"/>
        </w:tabs>
        <w:ind w:left="720" w:hanging="360"/>
      </w:pPr>
      <w:rPr>
        <w:caps w:val="0"/>
        <w:u w:val="none"/>
      </w:rPr>
    </w:lvl>
  </w:abstractNum>
  <w:abstractNum w:abstractNumId="17" w15:restartNumberingAfterBreak="0">
    <w:nsid w:val="3D005865"/>
    <w:multiLevelType w:val="hybridMultilevel"/>
    <w:tmpl w:val="A6A0F50A"/>
    <w:lvl w:ilvl="0" w:tplc="05CA9158">
      <w:start w:val="1"/>
      <w:numFmt w:val="bullet"/>
      <w:lvlText w:val=""/>
      <w:lvlJc w:val="left"/>
      <w:pPr>
        <w:tabs>
          <w:tab w:val="num" w:pos="720"/>
        </w:tabs>
        <w:ind w:left="720" w:hanging="360"/>
      </w:pPr>
      <w:rPr>
        <w:rFonts w:ascii="Wingdings 3" w:hAnsi="Wingdings 3" w:hint="default"/>
      </w:rPr>
    </w:lvl>
    <w:lvl w:ilvl="1" w:tplc="7A14CA54" w:tentative="1">
      <w:start w:val="1"/>
      <w:numFmt w:val="bullet"/>
      <w:lvlText w:val=""/>
      <w:lvlJc w:val="left"/>
      <w:pPr>
        <w:tabs>
          <w:tab w:val="num" w:pos="1440"/>
        </w:tabs>
        <w:ind w:left="1440" w:hanging="360"/>
      </w:pPr>
      <w:rPr>
        <w:rFonts w:ascii="Wingdings 3" w:hAnsi="Wingdings 3" w:hint="default"/>
      </w:rPr>
    </w:lvl>
    <w:lvl w:ilvl="2" w:tplc="80F003FC" w:tentative="1">
      <w:start w:val="1"/>
      <w:numFmt w:val="bullet"/>
      <w:lvlText w:val=""/>
      <w:lvlJc w:val="left"/>
      <w:pPr>
        <w:tabs>
          <w:tab w:val="num" w:pos="2160"/>
        </w:tabs>
        <w:ind w:left="2160" w:hanging="360"/>
      </w:pPr>
      <w:rPr>
        <w:rFonts w:ascii="Wingdings 3" w:hAnsi="Wingdings 3" w:hint="default"/>
      </w:rPr>
    </w:lvl>
    <w:lvl w:ilvl="3" w:tplc="51DA6D10" w:tentative="1">
      <w:start w:val="1"/>
      <w:numFmt w:val="bullet"/>
      <w:lvlText w:val=""/>
      <w:lvlJc w:val="left"/>
      <w:pPr>
        <w:tabs>
          <w:tab w:val="num" w:pos="2880"/>
        </w:tabs>
        <w:ind w:left="2880" w:hanging="360"/>
      </w:pPr>
      <w:rPr>
        <w:rFonts w:ascii="Wingdings 3" w:hAnsi="Wingdings 3" w:hint="default"/>
      </w:rPr>
    </w:lvl>
    <w:lvl w:ilvl="4" w:tplc="5C549652" w:tentative="1">
      <w:start w:val="1"/>
      <w:numFmt w:val="bullet"/>
      <w:lvlText w:val=""/>
      <w:lvlJc w:val="left"/>
      <w:pPr>
        <w:tabs>
          <w:tab w:val="num" w:pos="3600"/>
        </w:tabs>
        <w:ind w:left="3600" w:hanging="360"/>
      </w:pPr>
      <w:rPr>
        <w:rFonts w:ascii="Wingdings 3" w:hAnsi="Wingdings 3" w:hint="default"/>
      </w:rPr>
    </w:lvl>
    <w:lvl w:ilvl="5" w:tplc="49581762" w:tentative="1">
      <w:start w:val="1"/>
      <w:numFmt w:val="bullet"/>
      <w:lvlText w:val=""/>
      <w:lvlJc w:val="left"/>
      <w:pPr>
        <w:tabs>
          <w:tab w:val="num" w:pos="4320"/>
        </w:tabs>
        <w:ind w:left="4320" w:hanging="360"/>
      </w:pPr>
      <w:rPr>
        <w:rFonts w:ascii="Wingdings 3" w:hAnsi="Wingdings 3" w:hint="default"/>
      </w:rPr>
    </w:lvl>
    <w:lvl w:ilvl="6" w:tplc="803C1A90" w:tentative="1">
      <w:start w:val="1"/>
      <w:numFmt w:val="bullet"/>
      <w:lvlText w:val=""/>
      <w:lvlJc w:val="left"/>
      <w:pPr>
        <w:tabs>
          <w:tab w:val="num" w:pos="5040"/>
        </w:tabs>
        <w:ind w:left="5040" w:hanging="360"/>
      </w:pPr>
      <w:rPr>
        <w:rFonts w:ascii="Wingdings 3" w:hAnsi="Wingdings 3" w:hint="default"/>
      </w:rPr>
    </w:lvl>
    <w:lvl w:ilvl="7" w:tplc="46BAC310" w:tentative="1">
      <w:start w:val="1"/>
      <w:numFmt w:val="bullet"/>
      <w:lvlText w:val=""/>
      <w:lvlJc w:val="left"/>
      <w:pPr>
        <w:tabs>
          <w:tab w:val="num" w:pos="5760"/>
        </w:tabs>
        <w:ind w:left="5760" w:hanging="360"/>
      </w:pPr>
      <w:rPr>
        <w:rFonts w:ascii="Wingdings 3" w:hAnsi="Wingdings 3" w:hint="default"/>
      </w:rPr>
    </w:lvl>
    <w:lvl w:ilvl="8" w:tplc="D2A6BF02"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4B1E0C40"/>
    <w:multiLevelType w:val="singleLevel"/>
    <w:tmpl w:val="678A761A"/>
    <w:lvl w:ilvl="0">
      <w:start w:val="1"/>
      <w:numFmt w:val="decimal"/>
      <w:lvlRestart w:val="0"/>
      <w:pStyle w:val="RefText"/>
      <w:lvlText w:val="%1."/>
      <w:lvlJc w:val="left"/>
      <w:pPr>
        <w:tabs>
          <w:tab w:val="num" w:pos="501"/>
        </w:tabs>
        <w:ind w:left="501" w:hanging="501"/>
      </w:pPr>
      <w:rPr>
        <w:caps w:val="0"/>
        <w:u w:val="none"/>
      </w:rPr>
    </w:lvl>
  </w:abstractNum>
  <w:abstractNum w:abstractNumId="19" w15:restartNumberingAfterBreak="0">
    <w:nsid w:val="526773BC"/>
    <w:multiLevelType w:val="hybridMultilevel"/>
    <w:tmpl w:val="985EE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3B4F80"/>
    <w:multiLevelType w:val="singleLevel"/>
    <w:tmpl w:val="EE62C734"/>
    <w:lvl w:ilvl="0">
      <w:start w:val="1"/>
      <w:numFmt w:val="decimal"/>
      <w:lvlRestart w:val="0"/>
      <w:pStyle w:val="ListNumber4"/>
      <w:lvlText w:val="%1."/>
      <w:lvlJc w:val="left"/>
      <w:pPr>
        <w:tabs>
          <w:tab w:val="num" w:pos="1440"/>
        </w:tabs>
        <w:ind w:left="1440" w:hanging="360"/>
      </w:pPr>
      <w:rPr>
        <w:caps w:val="0"/>
        <w:u w:val="none"/>
      </w:rPr>
    </w:lvl>
  </w:abstractNum>
  <w:abstractNum w:abstractNumId="21" w15:restartNumberingAfterBreak="0">
    <w:nsid w:val="5C1603EB"/>
    <w:multiLevelType w:val="singleLevel"/>
    <w:tmpl w:val="54B4040E"/>
    <w:lvl w:ilvl="0">
      <w:start w:val="1"/>
      <w:numFmt w:val="decimal"/>
      <w:lvlText w:val="%1."/>
      <w:lvlJc w:val="left"/>
      <w:pPr>
        <w:ind w:left="720" w:hanging="360"/>
      </w:pPr>
      <w:rPr>
        <w:color w:val="auto"/>
      </w:rPr>
    </w:lvl>
  </w:abstractNum>
  <w:abstractNum w:abstractNumId="22" w15:restartNumberingAfterBreak="0">
    <w:nsid w:val="63AF015E"/>
    <w:multiLevelType w:val="hybridMultilevel"/>
    <w:tmpl w:val="D9960902"/>
    <w:lvl w:ilvl="0" w:tplc="04090001">
      <w:start w:val="4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5388A"/>
    <w:multiLevelType w:val="hybridMultilevel"/>
    <w:tmpl w:val="75F00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F450B3"/>
    <w:multiLevelType w:val="hybridMultilevel"/>
    <w:tmpl w:val="56046A1A"/>
    <w:lvl w:ilvl="0" w:tplc="F4724728">
      <w:start w:val="1"/>
      <w:numFmt w:val="bullet"/>
      <w:lvlText w:val=""/>
      <w:lvlJc w:val="left"/>
      <w:pPr>
        <w:tabs>
          <w:tab w:val="num" w:pos="720"/>
        </w:tabs>
        <w:ind w:left="720" w:hanging="360"/>
      </w:pPr>
      <w:rPr>
        <w:rFonts w:ascii="Wingdings 3" w:hAnsi="Wingdings 3" w:hint="default"/>
      </w:rPr>
    </w:lvl>
    <w:lvl w:ilvl="1" w:tplc="57803CA6" w:tentative="1">
      <w:start w:val="1"/>
      <w:numFmt w:val="bullet"/>
      <w:lvlText w:val=""/>
      <w:lvlJc w:val="left"/>
      <w:pPr>
        <w:tabs>
          <w:tab w:val="num" w:pos="1440"/>
        </w:tabs>
        <w:ind w:left="1440" w:hanging="360"/>
      </w:pPr>
      <w:rPr>
        <w:rFonts w:ascii="Wingdings 3" w:hAnsi="Wingdings 3" w:hint="default"/>
      </w:rPr>
    </w:lvl>
    <w:lvl w:ilvl="2" w:tplc="067AF90E" w:tentative="1">
      <w:start w:val="1"/>
      <w:numFmt w:val="bullet"/>
      <w:lvlText w:val=""/>
      <w:lvlJc w:val="left"/>
      <w:pPr>
        <w:tabs>
          <w:tab w:val="num" w:pos="2160"/>
        </w:tabs>
        <w:ind w:left="2160" w:hanging="360"/>
      </w:pPr>
      <w:rPr>
        <w:rFonts w:ascii="Wingdings 3" w:hAnsi="Wingdings 3" w:hint="default"/>
      </w:rPr>
    </w:lvl>
    <w:lvl w:ilvl="3" w:tplc="21AA0104" w:tentative="1">
      <w:start w:val="1"/>
      <w:numFmt w:val="bullet"/>
      <w:lvlText w:val=""/>
      <w:lvlJc w:val="left"/>
      <w:pPr>
        <w:tabs>
          <w:tab w:val="num" w:pos="2880"/>
        </w:tabs>
        <w:ind w:left="2880" w:hanging="360"/>
      </w:pPr>
      <w:rPr>
        <w:rFonts w:ascii="Wingdings 3" w:hAnsi="Wingdings 3" w:hint="default"/>
      </w:rPr>
    </w:lvl>
    <w:lvl w:ilvl="4" w:tplc="41B2C9D8" w:tentative="1">
      <w:start w:val="1"/>
      <w:numFmt w:val="bullet"/>
      <w:lvlText w:val=""/>
      <w:lvlJc w:val="left"/>
      <w:pPr>
        <w:tabs>
          <w:tab w:val="num" w:pos="3600"/>
        </w:tabs>
        <w:ind w:left="3600" w:hanging="360"/>
      </w:pPr>
      <w:rPr>
        <w:rFonts w:ascii="Wingdings 3" w:hAnsi="Wingdings 3" w:hint="default"/>
      </w:rPr>
    </w:lvl>
    <w:lvl w:ilvl="5" w:tplc="FB9C3DD0" w:tentative="1">
      <w:start w:val="1"/>
      <w:numFmt w:val="bullet"/>
      <w:lvlText w:val=""/>
      <w:lvlJc w:val="left"/>
      <w:pPr>
        <w:tabs>
          <w:tab w:val="num" w:pos="4320"/>
        </w:tabs>
        <w:ind w:left="4320" w:hanging="360"/>
      </w:pPr>
      <w:rPr>
        <w:rFonts w:ascii="Wingdings 3" w:hAnsi="Wingdings 3" w:hint="default"/>
      </w:rPr>
    </w:lvl>
    <w:lvl w:ilvl="6" w:tplc="A454D31A" w:tentative="1">
      <w:start w:val="1"/>
      <w:numFmt w:val="bullet"/>
      <w:lvlText w:val=""/>
      <w:lvlJc w:val="left"/>
      <w:pPr>
        <w:tabs>
          <w:tab w:val="num" w:pos="5040"/>
        </w:tabs>
        <w:ind w:left="5040" w:hanging="360"/>
      </w:pPr>
      <w:rPr>
        <w:rFonts w:ascii="Wingdings 3" w:hAnsi="Wingdings 3" w:hint="default"/>
      </w:rPr>
    </w:lvl>
    <w:lvl w:ilvl="7" w:tplc="4092B0B4" w:tentative="1">
      <w:start w:val="1"/>
      <w:numFmt w:val="bullet"/>
      <w:lvlText w:val=""/>
      <w:lvlJc w:val="left"/>
      <w:pPr>
        <w:tabs>
          <w:tab w:val="num" w:pos="5760"/>
        </w:tabs>
        <w:ind w:left="5760" w:hanging="360"/>
      </w:pPr>
      <w:rPr>
        <w:rFonts w:ascii="Wingdings 3" w:hAnsi="Wingdings 3" w:hint="default"/>
      </w:rPr>
    </w:lvl>
    <w:lvl w:ilvl="8" w:tplc="5E36D4E2"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75AF178B"/>
    <w:multiLevelType w:val="singleLevel"/>
    <w:tmpl w:val="AD5C2B24"/>
    <w:lvl w:ilvl="0">
      <w:start w:val="1"/>
      <w:numFmt w:val="decimal"/>
      <w:lvlRestart w:val="0"/>
      <w:pStyle w:val="ListNumberTable"/>
      <w:lvlText w:val="%1."/>
      <w:lvlJc w:val="left"/>
      <w:pPr>
        <w:tabs>
          <w:tab w:val="num" w:pos="360"/>
        </w:tabs>
        <w:ind w:left="360" w:hanging="360"/>
      </w:pPr>
      <w:rPr>
        <w:caps w:val="0"/>
        <w:u w:val="none"/>
      </w:rPr>
    </w:lvl>
  </w:abstractNum>
  <w:abstractNum w:abstractNumId="26" w15:restartNumberingAfterBreak="0">
    <w:nsid w:val="774A3101"/>
    <w:multiLevelType w:val="multilevel"/>
    <w:tmpl w:val="AEDEE8B6"/>
    <w:lvl w:ilvl="0">
      <w:start w:val="1"/>
      <w:numFmt w:val="decimal"/>
      <w:lvlRestart w:val="0"/>
      <w:suff w:val="space"/>
      <w:lvlText w:val="%1."/>
      <w:lvlJc w:val="left"/>
      <w:pPr>
        <w:tabs>
          <w:tab w:val="num" w:pos="0"/>
        </w:tabs>
        <w:ind w:left="0" w:firstLine="0"/>
      </w:pPr>
      <w:rPr>
        <w:rFonts w:ascii="Times New Roman" w:hAnsi="Times New Roman" w:cs="Times New Roman"/>
        <w:b/>
        <w:i w:val="0"/>
        <w:caps/>
        <w:smallCaps w:val="0"/>
        <w:sz w:val="24"/>
        <w:u w:val="none"/>
      </w:rPr>
    </w:lvl>
    <w:lvl w:ilvl="1">
      <w:start w:val="1"/>
      <w:numFmt w:val="decimal"/>
      <w:suff w:val="space"/>
      <w:lvlText w:val="%1.%2."/>
      <w:lvlJc w:val="left"/>
      <w:pPr>
        <w:tabs>
          <w:tab w:val="num" w:pos="0"/>
        </w:tabs>
        <w:ind w:left="0" w:firstLine="0"/>
      </w:pPr>
      <w:rPr>
        <w:rFonts w:ascii="Times New Roman" w:hAnsi="Times New Roman" w:cs="Times New Roman"/>
        <w:b/>
        <w:i w:val="0"/>
        <w:caps w:val="0"/>
        <w:sz w:val="24"/>
        <w:u w:val="none"/>
      </w:rPr>
    </w:lvl>
    <w:lvl w:ilvl="2">
      <w:start w:val="1"/>
      <w:numFmt w:val="decimal"/>
      <w:suff w:val="space"/>
      <w:lvlText w:val="%1.%2.%3."/>
      <w:lvlJc w:val="left"/>
      <w:pPr>
        <w:tabs>
          <w:tab w:val="num" w:pos="0"/>
        </w:tabs>
        <w:ind w:left="0" w:firstLine="0"/>
      </w:pPr>
      <w:rPr>
        <w:rFonts w:ascii="Times New Roman" w:hAnsi="Times New Roman" w:cs="Times New Roman"/>
        <w:b/>
        <w:i w:val="0"/>
        <w:caps w:val="0"/>
        <w:sz w:val="24"/>
        <w:u w:val="none"/>
      </w:rPr>
    </w:lvl>
    <w:lvl w:ilvl="3">
      <w:start w:val="1"/>
      <w:numFmt w:val="decimal"/>
      <w:suff w:val="space"/>
      <w:lvlText w:val="%1.%2.%3.%4."/>
      <w:lvlJc w:val="left"/>
      <w:pPr>
        <w:tabs>
          <w:tab w:val="num" w:pos="0"/>
        </w:tabs>
        <w:ind w:left="0" w:firstLine="0"/>
      </w:pPr>
      <w:rPr>
        <w:rFonts w:ascii="Times New Roman" w:hAnsi="Times New Roman" w:cs="Times New Roman"/>
        <w:b/>
        <w:i w:val="0"/>
        <w:caps w:val="0"/>
        <w:sz w:val="24"/>
        <w:u w:val="none"/>
      </w:rPr>
    </w:lvl>
    <w:lvl w:ilvl="4">
      <w:start w:val="1"/>
      <w:numFmt w:val="decimal"/>
      <w:pStyle w:val="Heading5"/>
      <w:suff w:val="space"/>
      <w:lvlText w:val="%1.%2.%3.%4.%5."/>
      <w:lvlJc w:val="left"/>
      <w:pPr>
        <w:tabs>
          <w:tab w:val="num" w:pos="0"/>
        </w:tabs>
        <w:ind w:left="0" w:firstLine="0"/>
      </w:pPr>
      <w:rPr>
        <w:rFonts w:ascii="Times New Roman" w:hAnsi="Times New Roman" w:cs="Times New Roman"/>
        <w:b/>
        <w:i w:val="0"/>
        <w:caps w:val="0"/>
        <w:sz w:val="24"/>
        <w:u w:val="none"/>
      </w:rPr>
    </w:lvl>
    <w:lvl w:ilvl="5">
      <w:start w:val="1"/>
      <w:numFmt w:val="decimal"/>
      <w:pStyle w:val="Heading6"/>
      <w:suff w:val="space"/>
      <w:lvlText w:val="%1.%2.%3.%4.%5.%6."/>
      <w:lvlJc w:val="left"/>
      <w:pPr>
        <w:tabs>
          <w:tab w:val="num" w:pos="0"/>
        </w:tabs>
        <w:ind w:left="0" w:firstLine="0"/>
      </w:pPr>
      <w:rPr>
        <w:rFonts w:ascii="Times New Roman" w:hAnsi="Times New Roman" w:cs="Times New Roman"/>
        <w:b/>
        <w:i w:val="0"/>
        <w:caps w:val="0"/>
        <w:sz w:val="24"/>
        <w:u w:val="none"/>
      </w:rPr>
    </w:lvl>
    <w:lvl w:ilvl="6">
      <w:start w:val="1"/>
      <w:numFmt w:val="decimal"/>
      <w:pStyle w:val="Heading7"/>
      <w:suff w:val="space"/>
      <w:lvlText w:val="%1.%2.%3.%4.%5.%6.%7."/>
      <w:lvlJc w:val="left"/>
      <w:pPr>
        <w:tabs>
          <w:tab w:val="num" w:pos="0"/>
        </w:tabs>
        <w:ind w:left="0" w:firstLine="0"/>
      </w:pPr>
      <w:rPr>
        <w:rFonts w:ascii="Times New Roman" w:hAnsi="Times New Roman" w:cs="Times New Roman"/>
        <w:b/>
        <w:i w:val="0"/>
        <w:caps w:val="0"/>
        <w:sz w:val="24"/>
        <w:u w:val="none"/>
      </w:rPr>
    </w:lvl>
    <w:lvl w:ilvl="7">
      <w:start w:val="1"/>
      <w:numFmt w:val="decimal"/>
      <w:pStyle w:val="Heading8"/>
      <w:suff w:val="space"/>
      <w:lvlText w:val="%1.%2.%3.%4.%5.%6.%7.%8."/>
      <w:lvlJc w:val="left"/>
      <w:pPr>
        <w:tabs>
          <w:tab w:val="num" w:pos="0"/>
        </w:tabs>
        <w:ind w:left="0" w:firstLine="0"/>
      </w:pPr>
      <w:rPr>
        <w:rFonts w:ascii="Times New Roman" w:hAnsi="Times New Roman" w:cs="Times New Roman"/>
        <w:b/>
        <w:i w:val="0"/>
        <w:caps w:val="0"/>
        <w:sz w:val="24"/>
        <w:u w:val="none"/>
      </w:rPr>
    </w:lvl>
    <w:lvl w:ilvl="8">
      <w:start w:val="1"/>
      <w:numFmt w:val="decimal"/>
      <w:pStyle w:val="Heading9"/>
      <w:suff w:val="space"/>
      <w:lvlText w:val="%1.%2.%3.%4.%5.%6.%7.%8.%9."/>
      <w:lvlJc w:val="left"/>
      <w:pPr>
        <w:tabs>
          <w:tab w:val="num" w:pos="0"/>
        </w:tabs>
        <w:ind w:left="0" w:firstLine="0"/>
      </w:pPr>
      <w:rPr>
        <w:rFonts w:ascii="Times New Roman" w:hAnsi="Times New Roman" w:cs="Times New Roman"/>
        <w:b/>
        <w:i w:val="0"/>
        <w:caps w:val="0"/>
        <w:sz w:val="24"/>
        <w:u w:val="none"/>
      </w:rPr>
    </w:lvl>
  </w:abstractNum>
  <w:abstractNum w:abstractNumId="27" w15:restartNumberingAfterBreak="0">
    <w:nsid w:val="7A7F3C64"/>
    <w:multiLevelType w:val="singleLevel"/>
    <w:tmpl w:val="A45254F6"/>
    <w:lvl w:ilvl="0">
      <w:start w:val="1"/>
      <w:numFmt w:val="bullet"/>
      <w:lvlRestart w:val="0"/>
      <w:pStyle w:val="ListBulletTable"/>
      <w:lvlText w:val=""/>
      <w:lvlJc w:val="left"/>
      <w:pPr>
        <w:tabs>
          <w:tab w:val="num" w:pos="360"/>
        </w:tabs>
        <w:ind w:left="360" w:hanging="360"/>
      </w:pPr>
      <w:rPr>
        <w:rFonts w:ascii="Symbol" w:hAnsi="Symbol" w:hint="default"/>
        <w:caps w:val="0"/>
        <w:u w:val="none"/>
      </w:rPr>
    </w:lvl>
  </w:abstractNum>
  <w:abstractNum w:abstractNumId="28" w15:restartNumberingAfterBreak="0">
    <w:nsid w:val="7CAA67F9"/>
    <w:multiLevelType w:val="singleLevel"/>
    <w:tmpl w:val="604CDF50"/>
    <w:lvl w:ilvl="0">
      <w:start w:val="1"/>
      <w:numFmt w:val="bullet"/>
      <w:lvlRestart w:val="0"/>
      <w:pStyle w:val="ListBullet3"/>
      <w:lvlText w:val=""/>
      <w:lvlJc w:val="left"/>
      <w:pPr>
        <w:tabs>
          <w:tab w:val="num" w:pos="1080"/>
        </w:tabs>
        <w:ind w:left="1080" w:hanging="360"/>
      </w:pPr>
      <w:rPr>
        <w:rFonts w:ascii="Symbol" w:hAnsi="Symbol" w:hint="default"/>
        <w:caps w:val="0"/>
        <w:u w:val="none"/>
      </w:rPr>
    </w:lvl>
  </w:abstractNum>
  <w:abstractNum w:abstractNumId="29" w15:restartNumberingAfterBreak="0">
    <w:nsid w:val="7E083F62"/>
    <w:multiLevelType w:val="multilevel"/>
    <w:tmpl w:val="E7AAF62C"/>
    <w:lvl w:ilvl="0">
      <w:start w:val="1"/>
      <w:numFmt w:val="decimal"/>
      <w:lvlRestart w:val="0"/>
      <w:pStyle w:val="Appendix1"/>
      <w:suff w:val="space"/>
      <w:lvlText w:val="Appendix %1."/>
      <w:lvlJc w:val="left"/>
      <w:pPr>
        <w:tabs>
          <w:tab w:val="num" w:pos="0"/>
        </w:tabs>
        <w:ind w:left="0" w:firstLine="0"/>
      </w:pPr>
      <w:rPr>
        <w:rFonts w:ascii="Times New Roman" w:hAnsi="Times New Roman" w:cs="Times New Roman"/>
        <w:b/>
        <w:i w:val="0"/>
        <w:caps w:val="0"/>
        <w:sz w:val="24"/>
        <w:u w:val="none"/>
      </w:rPr>
    </w:lvl>
    <w:lvl w:ilvl="1">
      <w:start w:val="1"/>
      <w:numFmt w:val="decimal"/>
      <w:pStyle w:val="Appendix2"/>
      <w:suff w:val="space"/>
      <w:lvlText w:val="Appendix %1.%2."/>
      <w:lvlJc w:val="left"/>
      <w:pPr>
        <w:tabs>
          <w:tab w:val="num" w:pos="0"/>
        </w:tabs>
        <w:ind w:left="0" w:firstLine="0"/>
      </w:pPr>
      <w:rPr>
        <w:rFonts w:ascii="Times New Roman" w:hAnsi="Times New Roman" w:cs="Times New Roman"/>
        <w:b/>
        <w:i w:val="0"/>
        <w:caps w:val="0"/>
        <w:sz w:val="24"/>
        <w:u w:val="none"/>
      </w:rPr>
    </w:lvl>
    <w:lvl w:ilvl="2">
      <w:start w:val="1"/>
      <w:numFmt w:val="decimal"/>
      <w:pStyle w:val="Appendix3"/>
      <w:suff w:val="space"/>
      <w:lvlText w:val="Appendix %1.%2.%3."/>
      <w:lvlJc w:val="left"/>
      <w:pPr>
        <w:tabs>
          <w:tab w:val="num" w:pos="0"/>
        </w:tabs>
        <w:ind w:left="0" w:firstLine="0"/>
      </w:pPr>
      <w:rPr>
        <w:rFonts w:ascii="Times New Roman" w:hAnsi="Times New Roman" w:cs="Times New Roman"/>
        <w:b/>
        <w:i w:val="0"/>
        <w:caps w:val="0"/>
        <w:sz w:val="24"/>
        <w:u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8"/>
  </w:num>
  <w:num w:numId="3">
    <w:abstractNumId w:val="12"/>
  </w:num>
  <w:num w:numId="4">
    <w:abstractNumId w:val="0"/>
  </w:num>
  <w:num w:numId="5">
    <w:abstractNumId w:val="7"/>
  </w:num>
  <w:num w:numId="6">
    <w:abstractNumId w:val="13"/>
  </w:num>
  <w:num w:numId="7">
    <w:abstractNumId w:val="2"/>
  </w:num>
  <w:num w:numId="8">
    <w:abstractNumId w:val="4"/>
  </w:num>
  <w:num w:numId="9">
    <w:abstractNumId w:val="28"/>
  </w:num>
  <w:num w:numId="10">
    <w:abstractNumId w:val="6"/>
  </w:num>
  <w:num w:numId="11">
    <w:abstractNumId w:val="3"/>
  </w:num>
  <w:num w:numId="12">
    <w:abstractNumId w:val="27"/>
  </w:num>
  <w:num w:numId="13">
    <w:abstractNumId w:val="11"/>
  </w:num>
  <w:num w:numId="14">
    <w:abstractNumId w:val="16"/>
  </w:num>
  <w:num w:numId="15">
    <w:abstractNumId w:val="1"/>
  </w:num>
  <w:num w:numId="16">
    <w:abstractNumId w:val="20"/>
  </w:num>
  <w:num w:numId="17">
    <w:abstractNumId w:val="15"/>
  </w:num>
  <w:num w:numId="18">
    <w:abstractNumId w:val="25"/>
  </w:num>
  <w:num w:numId="19">
    <w:abstractNumId w:val="18"/>
  </w:num>
  <w:num w:numId="20">
    <w:abstractNumId w:val="26"/>
  </w:num>
  <w:num w:numId="21">
    <w:abstractNumId w:val="14"/>
  </w:num>
  <w:num w:numId="22">
    <w:abstractNumId w:val="5"/>
  </w:num>
  <w:num w:numId="23">
    <w:abstractNumId w:val="10"/>
  </w:num>
  <w:num w:numId="24">
    <w:abstractNumId w:val="17"/>
  </w:num>
  <w:num w:numId="25">
    <w:abstractNumId w:val="24"/>
  </w:num>
  <w:num w:numId="26">
    <w:abstractNumId w:val="23"/>
  </w:num>
  <w:num w:numId="27">
    <w:abstractNumId w:val="19"/>
  </w:num>
  <w:num w:numId="28">
    <w:abstractNumId w:val="21"/>
  </w:num>
  <w:num w:numId="29">
    <w:abstractNumId w:val="9"/>
  </w:num>
  <w:num w:numId="30">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0&lt;/Enabled&gt;&lt;ScanUnformatted&gt;1&lt;/ScanUnformatted&gt;&lt;ScanChanges&gt;1&lt;/ScanChanges&gt;&lt;/InstantFormat&gt;"/>
    <w:docVar w:name="REFMGR.Layout" w:val="&lt;Layout&gt;&lt;StartingRefnum&gt;I:\MCM\Styles\Lancet_all journals.os&lt;/StartingRefnum&gt;&lt;FontName&gt;Times New Roman&lt;/FontName&gt;&lt;FontSize&gt;12&lt;/FontSize&gt;&lt;ReflistTitle&gt;&lt;/ReflistTitle&gt;&lt;SpaceAfter&gt;1&lt;/SpaceAfter&gt;&lt;ReflistOrder&gt;0&lt;/ReflistOrder&gt;&lt;CitationOrder&gt;0&lt;/CitationOrder&gt;&lt;NumberReferences&gt;1&lt;/NumberReferences&gt;&lt;FirstLineIndent&gt;0&lt;/FirstLineIndent&gt;&lt;HangingIndent&gt;0&lt;/HangingIndent&gt;&lt;LineSpacing&gt;2&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Pfizer CP-690,550&lt;/item&gt;&lt;/Libraries&gt;&lt;/Databases&gt;"/>
  </w:docVars>
  <w:rsids>
    <w:rsidRoot w:val="00D24AD3"/>
    <w:rsid w:val="00000544"/>
    <w:rsid w:val="000008CD"/>
    <w:rsid w:val="000013E9"/>
    <w:rsid w:val="0000140C"/>
    <w:rsid w:val="000027FA"/>
    <w:rsid w:val="00002C40"/>
    <w:rsid w:val="0000321B"/>
    <w:rsid w:val="00003290"/>
    <w:rsid w:val="00003D34"/>
    <w:rsid w:val="000049B2"/>
    <w:rsid w:val="00004A80"/>
    <w:rsid w:val="000055BA"/>
    <w:rsid w:val="00005EF0"/>
    <w:rsid w:val="00005F3E"/>
    <w:rsid w:val="00006E25"/>
    <w:rsid w:val="00006EDB"/>
    <w:rsid w:val="00007B32"/>
    <w:rsid w:val="00007CBB"/>
    <w:rsid w:val="00007FE4"/>
    <w:rsid w:val="0001114C"/>
    <w:rsid w:val="000115D5"/>
    <w:rsid w:val="0001170D"/>
    <w:rsid w:val="00013283"/>
    <w:rsid w:val="00013967"/>
    <w:rsid w:val="00013F6D"/>
    <w:rsid w:val="000145F6"/>
    <w:rsid w:val="00015A84"/>
    <w:rsid w:val="00015F9C"/>
    <w:rsid w:val="00016188"/>
    <w:rsid w:val="00016B82"/>
    <w:rsid w:val="00016F1E"/>
    <w:rsid w:val="00020FE0"/>
    <w:rsid w:val="00021C73"/>
    <w:rsid w:val="00022DAF"/>
    <w:rsid w:val="00022F90"/>
    <w:rsid w:val="00023CE3"/>
    <w:rsid w:val="00024DA4"/>
    <w:rsid w:val="00025941"/>
    <w:rsid w:val="00025DBF"/>
    <w:rsid w:val="00026719"/>
    <w:rsid w:val="0002742B"/>
    <w:rsid w:val="00027683"/>
    <w:rsid w:val="000279F0"/>
    <w:rsid w:val="00027A20"/>
    <w:rsid w:val="00027A98"/>
    <w:rsid w:val="0003025D"/>
    <w:rsid w:val="000325BA"/>
    <w:rsid w:val="00032DA2"/>
    <w:rsid w:val="00034020"/>
    <w:rsid w:val="000341A7"/>
    <w:rsid w:val="0003529D"/>
    <w:rsid w:val="00035407"/>
    <w:rsid w:val="000355AE"/>
    <w:rsid w:val="000358E0"/>
    <w:rsid w:val="000360B0"/>
    <w:rsid w:val="000361E4"/>
    <w:rsid w:val="00036E25"/>
    <w:rsid w:val="00040977"/>
    <w:rsid w:val="00044715"/>
    <w:rsid w:val="00044BA5"/>
    <w:rsid w:val="00045076"/>
    <w:rsid w:val="000450F9"/>
    <w:rsid w:val="0004572F"/>
    <w:rsid w:val="00046593"/>
    <w:rsid w:val="0005192C"/>
    <w:rsid w:val="00051A6A"/>
    <w:rsid w:val="000537D3"/>
    <w:rsid w:val="00054355"/>
    <w:rsid w:val="00054783"/>
    <w:rsid w:val="00054DD0"/>
    <w:rsid w:val="000561EA"/>
    <w:rsid w:val="00057813"/>
    <w:rsid w:val="00057819"/>
    <w:rsid w:val="00057B61"/>
    <w:rsid w:val="000604F7"/>
    <w:rsid w:val="000605C7"/>
    <w:rsid w:val="000609D1"/>
    <w:rsid w:val="0006103F"/>
    <w:rsid w:val="00062168"/>
    <w:rsid w:val="000621B9"/>
    <w:rsid w:val="000631D0"/>
    <w:rsid w:val="0006452A"/>
    <w:rsid w:val="00065273"/>
    <w:rsid w:val="0006577D"/>
    <w:rsid w:val="00066088"/>
    <w:rsid w:val="0006787E"/>
    <w:rsid w:val="00070A30"/>
    <w:rsid w:val="00070C4B"/>
    <w:rsid w:val="00071F5D"/>
    <w:rsid w:val="000720CA"/>
    <w:rsid w:val="00072EBA"/>
    <w:rsid w:val="00072F03"/>
    <w:rsid w:val="000738B2"/>
    <w:rsid w:val="000740B4"/>
    <w:rsid w:val="000742D6"/>
    <w:rsid w:val="00074BE4"/>
    <w:rsid w:val="00076AE1"/>
    <w:rsid w:val="00077015"/>
    <w:rsid w:val="000774C5"/>
    <w:rsid w:val="00077501"/>
    <w:rsid w:val="0008002C"/>
    <w:rsid w:val="00080550"/>
    <w:rsid w:val="000807C1"/>
    <w:rsid w:val="00082283"/>
    <w:rsid w:val="000826A7"/>
    <w:rsid w:val="00082A61"/>
    <w:rsid w:val="00082BD1"/>
    <w:rsid w:val="00082E18"/>
    <w:rsid w:val="000830D5"/>
    <w:rsid w:val="00083288"/>
    <w:rsid w:val="000833A2"/>
    <w:rsid w:val="00083556"/>
    <w:rsid w:val="00084C72"/>
    <w:rsid w:val="00085A57"/>
    <w:rsid w:val="000861C2"/>
    <w:rsid w:val="00086923"/>
    <w:rsid w:val="00086A34"/>
    <w:rsid w:val="00086A7C"/>
    <w:rsid w:val="00086B0F"/>
    <w:rsid w:val="00086D37"/>
    <w:rsid w:val="00086FE5"/>
    <w:rsid w:val="0008707E"/>
    <w:rsid w:val="0008719F"/>
    <w:rsid w:val="000871BA"/>
    <w:rsid w:val="000872DC"/>
    <w:rsid w:val="0008741B"/>
    <w:rsid w:val="00087EEB"/>
    <w:rsid w:val="00090EE4"/>
    <w:rsid w:val="00091E0D"/>
    <w:rsid w:val="00091FFA"/>
    <w:rsid w:val="00094AB6"/>
    <w:rsid w:val="00094D87"/>
    <w:rsid w:val="00095FB1"/>
    <w:rsid w:val="00096119"/>
    <w:rsid w:val="0009635D"/>
    <w:rsid w:val="0009682A"/>
    <w:rsid w:val="00096CEC"/>
    <w:rsid w:val="0009705E"/>
    <w:rsid w:val="00097203"/>
    <w:rsid w:val="000A0645"/>
    <w:rsid w:val="000A1731"/>
    <w:rsid w:val="000A2FEF"/>
    <w:rsid w:val="000A3F0D"/>
    <w:rsid w:val="000A4015"/>
    <w:rsid w:val="000A406F"/>
    <w:rsid w:val="000A66E0"/>
    <w:rsid w:val="000A6B2D"/>
    <w:rsid w:val="000A763E"/>
    <w:rsid w:val="000B0EDE"/>
    <w:rsid w:val="000B1389"/>
    <w:rsid w:val="000B1692"/>
    <w:rsid w:val="000B16DD"/>
    <w:rsid w:val="000B3254"/>
    <w:rsid w:val="000B3573"/>
    <w:rsid w:val="000B383C"/>
    <w:rsid w:val="000B4060"/>
    <w:rsid w:val="000B42D8"/>
    <w:rsid w:val="000B4839"/>
    <w:rsid w:val="000B66E0"/>
    <w:rsid w:val="000B681D"/>
    <w:rsid w:val="000B7664"/>
    <w:rsid w:val="000B7963"/>
    <w:rsid w:val="000B7AFD"/>
    <w:rsid w:val="000C06CA"/>
    <w:rsid w:val="000C0A6C"/>
    <w:rsid w:val="000C16D1"/>
    <w:rsid w:val="000C171E"/>
    <w:rsid w:val="000C1761"/>
    <w:rsid w:val="000C181E"/>
    <w:rsid w:val="000C19A8"/>
    <w:rsid w:val="000C1AA5"/>
    <w:rsid w:val="000C2151"/>
    <w:rsid w:val="000C3101"/>
    <w:rsid w:val="000C47A2"/>
    <w:rsid w:val="000C5AD4"/>
    <w:rsid w:val="000C77F0"/>
    <w:rsid w:val="000D0645"/>
    <w:rsid w:val="000D0E26"/>
    <w:rsid w:val="000D0EBD"/>
    <w:rsid w:val="000D1AFE"/>
    <w:rsid w:val="000D1C7E"/>
    <w:rsid w:val="000D215E"/>
    <w:rsid w:val="000D2503"/>
    <w:rsid w:val="000D2D27"/>
    <w:rsid w:val="000D4103"/>
    <w:rsid w:val="000D44B7"/>
    <w:rsid w:val="000D45B4"/>
    <w:rsid w:val="000D47E8"/>
    <w:rsid w:val="000D5B24"/>
    <w:rsid w:val="000E01C5"/>
    <w:rsid w:val="000E2621"/>
    <w:rsid w:val="000E2C18"/>
    <w:rsid w:val="000E34D8"/>
    <w:rsid w:val="000E4093"/>
    <w:rsid w:val="000E5949"/>
    <w:rsid w:val="000E700C"/>
    <w:rsid w:val="000E78F6"/>
    <w:rsid w:val="000F045D"/>
    <w:rsid w:val="000F0615"/>
    <w:rsid w:val="000F07A2"/>
    <w:rsid w:val="000F0B4D"/>
    <w:rsid w:val="000F0E8F"/>
    <w:rsid w:val="000F1093"/>
    <w:rsid w:val="000F16A3"/>
    <w:rsid w:val="000F1874"/>
    <w:rsid w:val="000F29A0"/>
    <w:rsid w:val="000F2CEA"/>
    <w:rsid w:val="000F4DB3"/>
    <w:rsid w:val="000F619E"/>
    <w:rsid w:val="000F6490"/>
    <w:rsid w:val="000F6E8E"/>
    <w:rsid w:val="000F79F2"/>
    <w:rsid w:val="001004F2"/>
    <w:rsid w:val="00101C81"/>
    <w:rsid w:val="00102F00"/>
    <w:rsid w:val="0010318F"/>
    <w:rsid w:val="00103236"/>
    <w:rsid w:val="001038D8"/>
    <w:rsid w:val="00103A17"/>
    <w:rsid w:val="00103C11"/>
    <w:rsid w:val="00104DFB"/>
    <w:rsid w:val="00105954"/>
    <w:rsid w:val="001060BF"/>
    <w:rsid w:val="0010789E"/>
    <w:rsid w:val="0010797C"/>
    <w:rsid w:val="00107C30"/>
    <w:rsid w:val="00111610"/>
    <w:rsid w:val="001126AC"/>
    <w:rsid w:val="0011316A"/>
    <w:rsid w:val="001142CD"/>
    <w:rsid w:val="00114409"/>
    <w:rsid w:val="001148BC"/>
    <w:rsid w:val="00115293"/>
    <w:rsid w:val="00115A21"/>
    <w:rsid w:val="001166D2"/>
    <w:rsid w:val="00117BCD"/>
    <w:rsid w:val="00121039"/>
    <w:rsid w:val="001211ED"/>
    <w:rsid w:val="001221E6"/>
    <w:rsid w:val="00123B06"/>
    <w:rsid w:val="001240E1"/>
    <w:rsid w:val="00124487"/>
    <w:rsid w:val="0012510D"/>
    <w:rsid w:val="00126EA6"/>
    <w:rsid w:val="001278E1"/>
    <w:rsid w:val="00127C4E"/>
    <w:rsid w:val="00132616"/>
    <w:rsid w:val="0013666E"/>
    <w:rsid w:val="00136CB9"/>
    <w:rsid w:val="0013763D"/>
    <w:rsid w:val="00140709"/>
    <w:rsid w:val="001409A7"/>
    <w:rsid w:val="00140C79"/>
    <w:rsid w:val="00144A74"/>
    <w:rsid w:val="001452F8"/>
    <w:rsid w:val="00145B66"/>
    <w:rsid w:val="00145DA7"/>
    <w:rsid w:val="00146FE7"/>
    <w:rsid w:val="00147497"/>
    <w:rsid w:val="001501FC"/>
    <w:rsid w:val="0015091B"/>
    <w:rsid w:val="00150F36"/>
    <w:rsid w:val="00151177"/>
    <w:rsid w:val="00151595"/>
    <w:rsid w:val="00151D9E"/>
    <w:rsid w:val="00152C19"/>
    <w:rsid w:val="00154747"/>
    <w:rsid w:val="00154776"/>
    <w:rsid w:val="001557E3"/>
    <w:rsid w:val="00155A90"/>
    <w:rsid w:val="00155C7C"/>
    <w:rsid w:val="00156808"/>
    <w:rsid w:val="001569AC"/>
    <w:rsid w:val="00157C23"/>
    <w:rsid w:val="00157E65"/>
    <w:rsid w:val="00161E29"/>
    <w:rsid w:val="00161EF5"/>
    <w:rsid w:val="001649AA"/>
    <w:rsid w:val="00164B8F"/>
    <w:rsid w:val="0016519B"/>
    <w:rsid w:val="0016758A"/>
    <w:rsid w:val="001676A4"/>
    <w:rsid w:val="00167A31"/>
    <w:rsid w:val="00170204"/>
    <w:rsid w:val="0017046B"/>
    <w:rsid w:val="0017048F"/>
    <w:rsid w:val="00172E2F"/>
    <w:rsid w:val="00173335"/>
    <w:rsid w:val="00173808"/>
    <w:rsid w:val="00173D72"/>
    <w:rsid w:val="001746B6"/>
    <w:rsid w:val="00175171"/>
    <w:rsid w:val="00175F29"/>
    <w:rsid w:val="00176343"/>
    <w:rsid w:val="00176B0B"/>
    <w:rsid w:val="00177829"/>
    <w:rsid w:val="001779C8"/>
    <w:rsid w:val="00180868"/>
    <w:rsid w:val="001811BC"/>
    <w:rsid w:val="00181837"/>
    <w:rsid w:val="00182548"/>
    <w:rsid w:val="00183363"/>
    <w:rsid w:val="00183C6B"/>
    <w:rsid w:val="0018489B"/>
    <w:rsid w:val="00184EE6"/>
    <w:rsid w:val="00185751"/>
    <w:rsid w:val="0018631D"/>
    <w:rsid w:val="0018667C"/>
    <w:rsid w:val="00186B3C"/>
    <w:rsid w:val="00190AE7"/>
    <w:rsid w:val="00191435"/>
    <w:rsid w:val="00191512"/>
    <w:rsid w:val="00191A78"/>
    <w:rsid w:val="00191BD5"/>
    <w:rsid w:val="001926CF"/>
    <w:rsid w:val="00192AFF"/>
    <w:rsid w:val="001932DC"/>
    <w:rsid w:val="00193863"/>
    <w:rsid w:val="00193C45"/>
    <w:rsid w:val="00193EFC"/>
    <w:rsid w:val="00197F21"/>
    <w:rsid w:val="001A0499"/>
    <w:rsid w:val="001A12CC"/>
    <w:rsid w:val="001A211F"/>
    <w:rsid w:val="001A249F"/>
    <w:rsid w:val="001A3845"/>
    <w:rsid w:val="001A49AE"/>
    <w:rsid w:val="001A565A"/>
    <w:rsid w:val="001A5896"/>
    <w:rsid w:val="001A62D4"/>
    <w:rsid w:val="001A7992"/>
    <w:rsid w:val="001B0059"/>
    <w:rsid w:val="001B2044"/>
    <w:rsid w:val="001B2C44"/>
    <w:rsid w:val="001B3166"/>
    <w:rsid w:val="001B3C48"/>
    <w:rsid w:val="001B451D"/>
    <w:rsid w:val="001B46C6"/>
    <w:rsid w:val="001B47BC"/>
    <w:rsid w:val="001B48F1"/>
    <w:rsid w:val="001B5C88"/>
    <w:rsid w:val="001B6365"/>
    <w:rsid w:val="001B6A29"/>
    <w:rsid w:val="001B6F19"/>
    <w:rsid w:val="001B7188"/>
    <w:rsid w:val="001C3290"/>
    <w:rsid w:val="001C3FF9"/>
    <w:rsid w:val="001C4571"/>
    <w:rsid w:val="001C47DB"/>
    <w:rsid w:val="001C4A4B"/>
    <w:rsid w:val="001C50E6"/>
    <w:rsid w:val="001C5491"/>
    <w:rsid w:val="001C5564"/>
    <w:rsid w:val="001C5765"/>
    <w:rsid w:val="001C72F7"/>
    <w:rsid w:val="001C7DB9"/>
    <w:rsid w:val="001D17BF"/>
    <w:rsid w:val="001D4418"/>
    <w:rsid w:val="001D5BE8"/>
    <w:rsid w:val="001D64D0"/>
    <w:rsid w:val="001D6E0D"/>
    <w:rsid w:val="001D737E"/>
    <w:rsid w:val="001D74E8"/>
    <w:rsid w:val="001D7A10"/>
    <w:rsid w:val="001E0783"/>
    <w:rsid w:val="001E1315"/>
    <w:rsid w:val="001E13A9"/>
    <w:rsid w:val="001E216D"/>
    <w:rsid w:val="001E2422"/>
    <w:rsid w:val="001E3AC7"/>
    <w:rsid w:val="001E62F9"/>
    <w:rsid w:val="001E63EC"/>
    <w:rsid w:val="001E68D1"/>
    <w:rsid w:val="001E6AF6"/>
    <w:rsid w:val="001F1CBA"/>
    <w:rsid w:val="001F4644"/>
    <w:rsid w:val="001F4A06"/>
    <w:rsid w:val="001F4A25"/>
    <w:rsid w:val="001F4E3A"/>
    <w:rsid w:val="001F4EA1"/>
    <w:rsid w:val="001F53E9"/>
    <w:rsid w:val="001F65C5"/>
    <w:rsid w:val="001F6825"/>
    <w:rsid w:val="001F79DD"/>
    <w:rsid w:val="0020088E"/>
    <w:rsid w:val="00200A32"/>
    <w:rsid w:val="00200BD5"/>
    <w:rsid w:val="00201301"/>
    <w:rsid w:val="00201C45"/>
    <w:rsid w:val="00201CBF"/>
    <w:rsid w:val="00203030"/>
    <w:rsid w:val="00203768"/>
    <w:rsid w:val="0020379A"/>
    <w:rsid w:val="00203BC3"/>
    <w:rsid w:val="002043DB"/>
    <w:rsid w:val="0020448D"/>
    <w:rsid w:val="0020497A"/>
    <w:rsid w:val="00205566"/>
    <w:rsid w:val="00205ABD"/>
    <w:rsid w:val="00206727"/>
    <w:rsid w:val="00206948"/>
    <w:rsid w:val="0020699F"/>
    <w:rsid w:val="00207A20"/>
    <w:rsid w:val="00207B87"/>
    <w:rsid w:val="002100A8"/>
    <w:rsid w:val="0021206A"/>
    <w:rsid w:val="00212683"/>
    <w:rsid w:val="00212F9A"/>
    <w:rsid w:val="002130DE"/>
    <w:rsid w:val="002141B1"/>
    <w:rsid w:val="00214B49"/>
    <w:rsid w:val="00214EDD"/>
    <w:rsid w:val="002158C0"/>
    <w:rsid w:val="00215C47"/>
    <w:rsid w:val="00215D17"/>
    <w:rsid w:val="00216655"/>
    <w:rsid w:val="00216784"/>
    <w:rsid w:val="0021692F"/>
    <w:rsid w:val="00216A09"/>
    <w:rsid w:val="0022159D"/>
    <w:rsid w:val="002217DF"/>
    <w:rsid w:val="00222096"/>
    <w:rsid w:val="00222157"/>
    <w:rsid w:val="00223017"/>
    <w:rsid w:val="002232A6"/>
    <w:rsid w:val="00223CE8"/>
    <w:rsid w:val="0022408F"/>
    <w:rsid w:val="0022713A"/>
    <w:rsid w:val="00230AA5"/>
    <w:rsid w:val="002318C5"/>
    <w:rsid w:val="0023190A"/>
    <w:rsid w:val="00232532"/>
    <w:rsid w:val="00232750"/>
    <w:rsid w:val="002332F5"/>
    <w:rsid w:val="002336A3"/>
    <w:rsid w:val="0023383B"/>
    <w:rsid w:val="0023400E"/>
    <w:rsid w:val="0023481A"/>
    <w:rsid w:val="00234830"/>
    <w:rsid w:val="00234D8F"/>
    <w:rsid w:val="002353AC"/>
    <w:rsid w:val="00235F45"/>
    <w:rsid w:val="00237427"/>
    <w:rsid w:val="00237AFE"/>
    <w:rsid w:val="00240290"/>
    <w:rsid w:val="00241645"/>
    <w:rsid w:val="00241D78"/>
    <w:rsid w:val="00242B8C"/>
    <w:rsid w:val="002432DD"/>
    <w:rsid w:val="00244A5A"/>
    <w:rsid w:val="00245077"/>
    <w:rsid w:val="00245A61"/>
    <w:rsid w:val="00246606"/>
    <w:rsid w:val="0024711C"/>
    <w:rsid w:val="0025114D"/>
    <w:rsid w:val="00251798"/>
    <w:rsid w:val="002535B4"/>
    <w:rsid w:val="0025389A"/>
    <w:rsid w:val="002539AA"/>
    <w:rsid w:val="0025438D"/>
    <w:rsid w:val="0025443C"/>
    <w:rsid w:val="00254837"/>
    <w:rsid w:val="00256722"/>
    <w:rsid w:val="00257063"/>
    <w:rsid w:val="00257478"/>
    <w:rsid w:val="00257F06"/>
    <w:rsid w:val="00260103"/>
    <w:rsid w:val="00260B2A"/>
    <w:rsid w:val="00260D2D"/>
    <w:rsid w:val="00260E40"/>
    <w:rsid w:val="00261260"/>
    <w:rsid w:val="00261404"/>
    <w:rsid w:val="00261D44"/>
    <w:rsid w:val="00261FC5"/>
    <w:rsid w:val="002625AD"/>
    <w:rsid w:val="00265273"/>
    <w:rsid w:val="00265404"/>
    <w:rsid w:val="002666CC"/>
    <w:rsid w:val="00266F9C"/>
    <w:rsid w:val="002672A8"/>
    <w:rsid w:val="002673A8"/>
    <w:rsid w:val="00267C21"/>
    <w:rsid w:val="00267D35"/>
    <w:rsid w:val="00270CD5"/>
    <w:rsid w:val="0027223B"/>
    <w:rsid w:val="00273C49"/>
    <w:rsid w:val="002758E0"/>
    <w:rsid w:val="00276124"/>
    <w:rsid w:val="002767CB"/>
    <w:rsid w:val="0028072C"/>
    <w:rsid w:val="00280B2D"/>
    <w:rsid w:val="00280FEB"/>
    <w:rsid w:val="002818F3"/>
    <w:rsid w:val="0028494C"/>
    <w:rsid w:val="00284EB8"/>
    <w:rsid w:val="002858D2"/>
    <w:rsid w:val="00286549"/>
    <w:rsid w:val="0028660E"/>
    <w:rsid w:val="00286713"/>
    <w:rsid w:val="00286C11"/>
    <w:rsid w:val="002870B5"/>
    <w:rsid w:val="002872D5"/>
    <w:rsid w:val="00290253"/>
    <w:rsid w:val="00291506"/>
    <w:rsid w:val="00291665"/>
    <w:rsid w:val="00291C13"/>
    <w:rsid w:val="00292894"/>
    <w:rsid w:val="0029297C"/>
    <w:rsid w:val="00292E56"/>
    <w:rsid w:val="002932B5"/>
    <w:rsid w:val="00293451"/>
    <w:rsid w:val="00293CD7"/>
    <w:rsid w:val="00297201"/>
    <w:rsid w:val="0029791D"/>
    <w:rsid w:val="002A1ED6"/>
    <w:rsid w:val="002A2827"/>
    <w:rsid w:val="002A2916"/>
    <w:rsid w:val="002A2E0A"/>
    <w:rsid w:val="002A3206"/>
    <w:rsid w:val="002A3D34"/>
    <w:rsid w:val="002A3EB0"/>
    <w:rsid w:val="002A42C4"/>
    <w:rsid w:val="002A42E1"/>
    <w:rsid w:val="002A459B"/>
    <w:rsid w:val="002A4EB3"/>
    <w:rsid w:val="002A4EDC"/>
    <w:rsid w:val="002A501E"/>
    <w:rsid w:val="002A582A"/>
    <w:rsid w:val="002A5C2B"/>
    <w:rsid w:val="002B0352"/>
    <w:rsid w:val="002B18D6"/>
    <w:rsid w:val="002B190A"/>
    <w:rsid w:val="002B2F69"/>
    <w:rsid w:val="002B3D99"/>
    <w:rsid w:val="002B5482"/>
    <w:rsid w:val="002B62C1"/>
    <w:rsid w:val="002B746A"/>
    <w:rsid w:val="002B7BEE"/>
    <w:rsid w:val="002C2A2E"/>
    <w:rsid w:val="002C2DAB"/>
    <w:rsid w:val="002C3D99"/>
    <w:rsid w:val="002C4527"/>
    <w:rsid w:val="002C4ED8"/>
    <w:rsid w:val="002C64FD"/>
    <w:rsid w:val="002C6824"/>
    <w:rsid w:val="002C72CB"/>
    <w:rsid w:val="002C7664"/>
    <w:rsid w:val="002D000F"/>
    <w:rsid w:val="002D04CB"/>
    <w:rsid w:val="002D1BC4"/>
    <w:rsid w:val="002D2A98"/>
    <w:rsid w:val="002D2D36"/>
    <w:rsid w:val="002D350D"/>
    <w:rsid w:val="002D3775"/>
    <w:rsid w:val="002D3E6B"/>
    <w:rsid w:val="002D47CE"/>
    <w:rsid w:val="002D4ABB"/>
    <w:rsid w:val="002D50AD"/>
    <w:rsid w:val="002D5C29"/>
    <w:rsid w:val="002D5EF4"/>
    <w:rsid w:val="002D6B08"/>
    <w:rsid w:val="002D6B7D"/>
    <w:rsid w:val="002D735C"/>
    <w:rsid w:val="002E09E7"/>
    <w:rsid w:val="002E1046"/>
    <w:rsid w:val="002E1337"/>
    <w:rsid w:val="002E1AE7"/>
    <w:rsid w:val="002E22F6"/>
    <w:rsid w:val="002E300A"/>
    <w:rsid w:val="002E3950"/>
    <w:rsid w:val="002E4871"/>
    <w:rsid w:val="002E509A"/>
    <w:rsid w:val="002E59C1"/>
    <w:rsid w:val="002E5C1A"/>
    <w:rsid w:val="002E761F"/>
    <w:rsid w:val="002E7C34"/>
    <w:rsid w:val="002E7DA8"/>
    <w:rsid w:val="002F09B1"/>
    <w:rsid w:val="002F1B1F"/>
    <w:rsid w:val="002F26DA"/>
    <w:rsid w:val="002F3E86"/>
    <w:rsid w:val="002F4674"/>
    <w:rsid w:val="002F51C2"/>
    <w:rsid w:val="002F650C"/>
    <w:rsid w:val="002F69D3"/>
    <w:rsid w:val="002F74DF"/>
    <w:rsid w:val="002F77EB"/>
    <w:rsid w:val="002F7C06"/>
    <w:rsid w:val="003000A2"/>
    <w:rsid w:val="003021A5"/>
    <w:rsid w:val="00303084"/>
    <w:rsid w:val="003041BA"/>
    <w:rsid w:val="00304396"/>
    <w:rsid w:val="003049EC"/>
    <w:rsid w:val="003063B1"/>
    <w:rsid w:val="00306763"/>
    <w:rsid w:val="003067CB"/>
    <w:rsid w:val="0031354E"/>
    <w:rsid w:val="003136C9"/>
    <w:rsid w:val="0031439E"/>
    <w:rsid w:val="00314862"/>
    <w:rsid w:val="00314EEF"/>
    <w:rsid w:val="003176DA"/>
    <w:rsid w:val="00317A47"/>
    <w:rsid w:val="003204EC"/>
    <w:rsid w:val="0032116B"/>
    <w:rsid w:val="003219DF"/>
    <w:rsid w:val="00321AB0"/>
    <w:rsid w:val="00321BA5"/>
    <w:rsid w:val="00322C4F"/>
    <w:rsid w:val="00322D6B"/>
    <w:rsid w:val="00323885"/>
    <w:rsid w:val="00323F20"/>
    <w:rsid w:val="003249A5"/>
    <w:rsid w:val="00325922"/>
    <w:rsid w:val="0032653A"/>
    <w:rsid w:val="00326701"/>
    <w:rsid w:val="00326DCF"/>
    <w:rsid w:val="003270D2"/>
    <w:rsid w:val="003273D8"/>
    <w:rsid w:val="003276FE"/>
    <w:rsid w:val="0032770E"/>
    <w:rsid w:val="00327EEB"/>
    <w:rsid w:val="00331E9C"/>
    <w:rsid w:val="0033479B"/>
    <w:rsid w:val="003348EF"/>
    <w:rsid w:val="00334EBB"/>
    <w:rsid w:val="003351AB"/>
    <w:rsid w:val="00335431"/>
    <w:rsid w:val="003355C2"/>
    <w:rsid w:val="0033623E"/>
    <w:rsid w:val="003376EB"/>
    <w:rsid w:val="0033795F"/>
    <w:rsid w:val="00337A75"/>
    <w:rsid w:val="003400EE"/>
    <w:rsid w:val="0034106C"/>
    <w:rsid w:val="00341203"/>
    <w:rsid w:val="00341D43"/>
    <w:rsid w:val="00341F0E"/>
    <w:rsid w:val="00342783"/>
    <w:rsid w:val="00343247"/>
    <w:rsid w:val="00343D07"/>
    <w:rsid w:val="00343F53"/>
    <w:rsid w:val="0034487A"/>
    <w:rsid w:val="00345178"/>
    <w:rsid w:val="00346D46"/>
    <w:rsid w:val="003501C7"/>
    <w:rsid w:val="0035026D"/>
    <w:rsid w:val="00350BCE"/>
    <w:rsid w:val="00350C92"/>
    <w:rsid w:val="00350CAF"/>
    <w:rsid w:val="00350D25"/>
    <w:rsid w:val="0035182A"/>
    <w:rsid w:val="00351BE5"/>
    <w:rsid w:val="00351DC5"/>
    <w:rsid w:val="003542E2"/>
    <w:rsid w:val="00355723"/>
    <w:rsid w:val="00355F94"/>
    <w:rsid w:val="00356540"/>
    <w:rsid w:val="00356CB7"/>
    <w:rsid w:val="00357488"/>
    <w:rsid w:val="003604FB"/>
    <w:rsid w:val="003610F1"/>
    <w:rsid w:val="003619AC"/>
    <w:rsid w:val="00361C93"/>
    <w:rsid w:val="00362A6A"/>
    <w:rsid w:val="00362C2C"/>
    <w:rsid w:val="00364965"/>
    <w:rsid w:val="0036502F"/>
    <w:rsid w:val="00365DBB"/>
    <w:rsid w:val="003668DA"/>
    <w:rsid w:val="00367C6E"/>
    <w:rsid w:val="0037073E"/>
    <w:rsid w:val="00370882"/>
    <w:rsid w:val="00370E67"/>
    <w:rsid w:val="003716C3"/>
    <w:rsid w:val="00371895"/>
    <w:rsid w:val="003719E3"/>
    <w:rsid w:val="00371CFB"/>
    <w:rsid w:val="00372207"/>
    <w:rsid w:val="00372623"/>
    <w:rsid w:val="00372A6D"/>
    <w:rsid w:val="00372EAE"/>
    <w:rsid w:val="00373EB0"/>
    <w:rsid w:val="00374307"/>
    <w:rsid w:val="003743E8"/>
    <w:rsid w:val="00374687"/>
    <w:rsid w:val="00374F6D"/>
    <w:rsid w:val="00375AF2"/>
    <w:rsid w:val="00376129"/>
    <w:rsid w:val="003762FA"/>
    <w:rsid w:val="003767AC"/>
    <w:rsid w:val="00376E45"/>
    <w:rsid w:val="00377756"/>
    <w:rsid w:val="00377F6A"/>
    <w:rsid w:val="003801DD"/>
    <w:rsid w:val="003808EF"/>
    <w:rsid w:val="00381013"/>
    <w:rsid w:val="0038158F"/>
    <w:rsid w:val="003820FD"/>
    <w:rsid w:val="003824F3"/>
    <w:rsid w:val="00382755"/>
    <w:rsid w:val="00383737"/>
    <w:rsid w:val="003838BD"/>
    <w:rsid w:val="003862E3"/>
    <w:rsid w:val="00386AEC"/>
    <w:rsid w:val="0038784E"/>
    <w:rsid w:val="0039050F"/>
    <w:rsid w:val="00391A1A"/>
    <w:rsid w:val="00391BD4"/>
    <w:rsid w:val="003922AA"/>
    <w:rsid w:val="00392E2E"/>
    <w:rsid w:val="003938E3"/>
    <w:rsid w:val="00393E1D"/>
    <w:rsid w:val="00394916"/>
    <w:rsid w:val="00394B89"/>
    <w:rsid w:val="0039795C"/>
    <w:rsid w:val="00397DA4"/>
    <w:rsid w:val="003A0682"/>
    <w:rsid w:val="003A076D"/>
    <w:rsid w:val="003A0B8F"/>
    <w:rsid w:val="003A1997"/>
    <w:rsid w:val="003A2368"/>
    <w:rsid w:val="003A239D"/>
    <w:rsid w:val="003A3137"/>
    <w:rsid w:val="003A376E"/>
    <w:rsid w:val="003A3816"/>
    <w:rsid w:val="003A439A"/>
    <w:rsid w:val="003A44CF"/>
    <w:rsid w:val="003A47B1"/>
    <w:rsid w:val="003A4E96"/>
    <w:rsid w:val="003A5A4F"/>
    <w:rsid w:val="003A6F6A"/>
    <w:rsid w:val="003A763F"/>
    <w:rsid w:val="003B31CF"/>
    <w:rsid w:val="003B4561"/>
    <w:rsid w:val="003B47F8"/>
    <w:rsid w:val="003B5192"/>
    <w:rsid w:val="003B6D5E"/>
    <w:rsid w:val="003B7D9C"/>
    <w:rsid w:val="003C0AF6"/>
    <w:rsid w:val="003C222C"/>
    <w:rsid w:val="003C4599"/>
    <w:rsid w:val="003C4CBC"/>
    <w:rsid w:val="003C5AFA"/>
    <w:rsid w:val="003C6D8F"/>
    <w:rsid w:val="003C70E4"/>
    <w:rsid w:val="003D051F"/>
    <w:rsid w:val="003D076B"/>
    <w:rsid w:val="003D0B43"/>
    <w:rsid w:val="003D1015"/>
    <w:rsid w:val="003D1375"/>
    <w:rsid w:val="003D149E"/>
    <w:rsid w:val="003D1E7B"/>
    <w:rsid w:val="003D2A4E"/>
    <w:rsid w:val="003D2EF4"/>
    <w:rsid w:val="003D3041"/>
    <w:rsid w:val="003D3383"/>
    <w:rsid w:val="003D368E"/>
    <w:rsid w:val="003D397A"/>
    <w:rsid w:val="003D3FBB"/>
    <w:rsid w:val="003D40B5"/>
    <w:rsid w:val="003D4354"/>
    <w:rsid w:val="003D457A"/>
    <w:rsid w:val="003D47CE"/>
    <w:rsid w:val="003D47E8"/>
    <w:rsid w:val="003D4E86"/>
    <w:rsid w:val="003D5076"/>
    <w:rsid w:val="003D5367"/>
    <w:rsid w:val="003E0C04"/>
    <w:rsid w:val="003E199D"/>
    <w:rsid w:val="003E2410"/>
    <w:rsid w:val="003E3D10"/>
    <w:rsid w:val="003E3EB1"/>
    <w:rsid w:val="003E3FFC"/>
    <w:rsid w:val="003E5972"/>
    <w:rsid w:val="003E5C39"/>
    <w:rsid w:val="003E5FAC"/>
    <w:rsid w:val="003E7234"/>
    <w:rsid w:val="003E75DE"/>
    <w:rsid w:val="003F1545"/>
    <w:rsid w:val="003F310D"/>
    <w:rsid w:val="003F326E"/>
    <w:rsid w:val="003F4BA7"/>
    <w:rsid w:val="003F5545"/>
    <w:rsid w:val="003F5FE4"/>
    <w:rsid w:val="003F60B7"/>
    <w:rsid w:val="003F60B9"/>
    <w:rsid w:val="003F6813"/>
    <w:rsid w:val="003F6FF0"/>
    <w:rsid w:val="0040003A"/>
    <w:rsid w:val="00400393"/>
    <w:rsid w:val="0040092C"/>
    <w:rsid w:val="004012BB"/>
    <w:rsid w:val="00402E06"/>
    <w:rsid w:val="00403F90"/>
    <w:rsid w:val="00404C58"/>
    <w:rsid w:val="00405F3B"/>
    <w:rsid w:val="004062EF"/>
    <w:rsid w:val="004069A9"/>
    <w:rsid w:val="00406B6F"/>
    <w:rsid w:val="00407191"/>
    <w:rsid w:val="00407D89"/>
    <w:rsid w:val="00407F8E"/>
    <w:rsid w:val="00412565"/>
    <w:rsid w:val="004132F1"/>
    <w:rsid w:val="00415B69"/>
    <w:rsid w:val="00415CDF"/>
    <w:rsid w:val="00417958"/>
    <w:rsid w:val="00420038"/>
    <w:rsid w:val="004203D9"/>
    <w:rsid w:val="0042084B"/>
    <w:rsid w:val="0042366B"/>
    <w:rsid w:val="00424DBC"/>
    <w:rsid w:val="0042541C"/>
    <w:rsid w:val="0042567B"/>
    <w:rsid w:val="0042659E"/>
    <w:rsid w:val="004312E2"/>
    <w:rsid w:val="004315B8"/>
    <w:rsid w:val="004319EC"/>
    <w:rsid w:val="00431D66"/>
    <w:rsid w:val="00432422"/>
    <w:rsid w:val="0043290E"/>
    <w:rsid w:val="004334E1"/>
    <w:rsid w:val="004343BE"/>
    <w:rsid w:val="00434BC9"/>
    <w:rsid w:val="004356C8"/>
    <w:rsid w:val="00436D0B"/>
    <w:rsid w:val="00437A9C"/>
    <w:rsid w:val="00437CE1"/>
    <w:rsid w:val="004410B3"/>
    <w:rsid w:val="00441172"/>
    <w:rsid w:val="004411E4"/>
    <w:rsid w:val="004416D9"/>
    <w:rsid w:val="00444919"/>
    <w:rsid w:val="00445019"/>
    <w:rsid w:val="00445196"/>
    <w:rsid w:val="004468DC"/>
    <w:rsid w:val="004473C4"/>
    <w:rsid w:val="00450434"/>
    <w:rsid w:val="00450602"/>
    <w:rsid w:val="00450F6B"/>
    <w:rsid w:val="004528D8"/>
    <w:rsid w:val="00452D04"/>
    <w:rsid w:val="00455452"/>
    <w:rsid w:val="00455F49"/>
    <w:rsid w:val="0045636C"/>
    <w:rsid w:val="00457767"/>
    <w:rsid w:val="004608BD"/>
    <w:rsid w:val="0046225B"/>
    <w:rsid w:val="004633A9"/>
    <w:rsid w:val="0046418B"/>
    <w:rsid w:val="004662F0"/>
    <w:rsid w:val="004665B6"/>
    <w:rsid w:val="004666A5"/>
    <w:rsid w:val="004674AD"/>
    <w:rsid w:val="004678F6"/>
    <w:rsid w:val="00467D3F"/>
    <w:rsid w:val="00470965"/>
    <w:rsid w:val="00471570"/>
    <w:rsid w:val="00472528"/>
    <w:rsid w:val="00472DD0"/>
    <w:rsid w:val="004738E6"/>
    <w:rsid w:val="00473E98"/>
    <w:rsid w:val="0047424C"/>
    <w:rsid w:val="00475866"/>
    <w:rsid w:val="00475A79"/>
    <w:rsid w:val="00477269"/>
    <w:rsid w:val="00477396"/>
    <w:rsid w:val="004776F8"/>
    <w:rsid w:val="004807B7"/>
    <w:rsid w:val="00480C11"/>
    <w:rsid w:val="00480C49"/>
    <w:rsid w:val="00483438"/>
    <w:rsid w:val="0048353E"/>
    <w:rsid w:val="004835DE"/>
    <w:rsid w:val="0048393F"/>
    <w:rsid w:val="00483E37"/>
    <w:rsid w:val="0048420C"/>
    <w:rsid w:val="00485C81"/>
    <w:rsid w:val="00487F3E"/>
    <w:rsid w:val="00487F86"/>
    <w:rsid w:val="00490046"/>
    <w:rsid w:val="0049008A"/>
    <w:rsid w:val="004912B6"/>
    <w:rsid w:val="004917AB"/>
    <w:rsid w:val="004917DA"/>
    <w:rsid w:val="00492FD2"/>
    <w:rsid w:val="004933D4"/>
    <w:rsid w:val="004935C4"/>
    <w:rsid w:val="00494799"/>
    <w:rsid w:val="00494887"/>
    <w:rsid w:val="00494EBA"/>
    <w:rsid w:val="00495C30"/>
    <w:rsid w:val="00496186"/>
    <w:rsid w:val="00496B9F"/>
    <w:rsid w:val="004974B5"/>
    <w:rsid w:val="0049791B"/>
    <w:rsid w:val="00497C5B"/>
    <w:rsid w:val="004A06D1"/>
    <w:rsid w:val="004A0C93"/>
    <w:rsid w:val="004A14AD"/>
    <w:rsid w:val="004A1C60"/>
    <w:rsid w:val="004A28EB"/>
    <w:rsid w:val="004A3DA4"/>
    <w:rsid w:val="004A63D9"/>
    <w:rsid w:val="004A67E3"/>
    <w:rsid w:val="004A68D2"/>
    <w:rsid w:val="004A6B87"/>
    <w:rsid w:val="004A7138"/>
    <w:rsid w:val="004B04BB"/>
    <w:rsid w:val="004B227B"/>
    <w:rsid w:val="004B25E7"/>
    <w:rsid w:val="004B2C49"/>
    <w:rsid w:val="004B3754"/>
    <w:rsid w:val="004B4C02"/>
    <w:rsid w:val="004B4F2B"/>
    <w:rsid w:val="004B5542"/>
    <w:rsid w:val="004B5720"/>
    <w:rsid w:val="004B689B"/>
    <w:rsid w:val="004C06FB"/>
    <w:rsid w:val="004C0903"/>
    <w:rsid w:val="004C195F"/>
    <w:rsid w:val="004C26C8"/>
    <w:rsid w:val="004C3DB4"/>
    <w:rsid w:val="004C40CD"/>
    <w:rsid w:val="004C44F0"/>
    <w:rsid w:val="004C459B"/>
    <w:rsid w:val="004C495E"/>
    <w:rsid w:val="004C4E6D"/>
    <w:rsid w:val="004C5E1D"/>
    <w:rsid w:val="004C5ECD"/>
    <w:rsid w:val="004C6A9B"/>
    <w:rsid w:val="004C7CDE"/>
    <w:rsid w:val="004D01BC"/>
    <w:rsid w:val="004D0742"/>
    <w:rsid w:val="004D162A"/>
    <w:rsid w:val="004D22B9"/>
    <w:rsid w:val="004D2871"/>
    <w:rsid w:val="004D5351"/>
    <w:rsid w:val="004D5513"/>
    <w:rsid w:val="004D5E76"/>
    <w:rsid w:val="004D6187"/>
    <w:rsid w:val="004D66F4"/>
    <w:rsid w:val="004D73BA"/>
    <w:rsid w:val="004E0996"/>
    <w:rsid w:val="004E1205"/>
    <w:rsid w:val="004E1221"/>
    <w:rsid w:val="004E1751"/>
    <w:rsid w:val="004E199C"/>
    <w:rsid w:val="004E1B99"/>
    <w:rsid w:val="004E201F"/>
    <w:rsid w:val="004E259A"/>
    <w:rsid w:val="004E37A2"/>
    <w:rsid w:val="004E45ED"/>
    <w:rsid w:val="004E46D8"/>
    <w:rsid w:val="004E50CC"/>
    <w:rsid w:val="004E6203"/>
    <w:rsid w:val="004E664E"/>
    <w:rsid w:val="004E706A"/>
    <w:rsid w:val="004E7E49"/>
    <w:rsid w:val="004F0EEE"/>
    <w:rsid w:val="004F1004"/>
    <w:rsid w:val="004F236D"/>
    <w:rsid w:val="004F26FB"/>
    <w:rsid w:val="004F3A86"/>
    <w:rsid w:val="004F4CD4"/>
    <w:rsid w:val="004F558D"/>
    <w:rsid w:val="004F5BAD"/>
    <w:rsid w:val="004F5F0A"/>
    <w:rsid w:val="004F6735"/>
    <w:rsid w:val="0050152A"/>
    <w:rsid w:val="00502A61"/>
    <w:rsid w:val="00503B43"/>
    <w:rsid w:val="0050432D"/>
    <w:rsid w:val="00504408"/>
    <w:rsid w:val="005050E0"/>
    <w:rsid w:val="00505626"/>
    <w:rsid w:val="00510155"/>
    <w:rsid w:val="00510220"/>
    <w:rsid w:val="0051082D"/>
    <w:rsid w:val="0051108B"/>
    <w:rsid w:val="00511448"/>
    <w:rsid w:val="005116CF"/>
    <w:rsid w:val="005117F6"/>
    <w:rsid w:val="00511D1F"/>
    <w:rsid w:val="00513A5A"/>
    <w:rsid w:val="00514BD4"/>
    <w:rsid w:val="00514FAB"/>
    <w:rsid w:val="00515004"/>
    <w:rsid w:val="00515B2A"/>
    <w:rsid w:val="00516BE1"/>
    <w:rsid w:val="00516EFD"/>
    <w:rsid w:val="00521131"/>
    <w:rsid w:val="005222FD"/>
    <w:rsid w:val="00524B93"/>
    <w:rsid w:val="005254F1"/>
    <w:rsid w:val="005265E7"/>
    <w:rsid w:val="0053021F"/>
    <w:rsid w:val="005312D4"/>
    <w:rsid w:val="00531646"/>
    <w:rsid w:val="00531C07"/>
    <w:rsid w:val="00531C8F"/>
    <w:rsid w:val="00531E9A"/>
    <w:rsid w:val="00531F04"/>
    <w:rsid w:val="00532397"/>
    <w:rsid w:val="005324B1"/>
    <w:rsid w:val="00532AE8"/>
    <w:rsid w:val="005331DE"/>
    <w:rsid w:val="005332A5"/>
    <w:rsid w:val="00533D94"/>
    <w:rsid w:val="0053420C"/>
    <w:rsid w:val="005364B7"/>
    <w:rsid w:val="00537418"/>
    <w:rsid w:val="0054043A"/>
    <w:rsid w:val="005405AF"/>
    <w:rsid w:val="00540E78"/>
    <w:rsid w:val="00541470"/>
    <w:rsid w:val="005414D5"/>
    <w:rsid w:val="005419DB"/>
    <w:rsid w:val="005428F8"/>
    <w:rsid w:val="005431FC"/>
    <w:rsid w:val="00543DA3"/>
    <w:rsid w:val="00544D44"/>
    <w:rsid w:val="005455BF"/>
    <w:rsid w:val="00547498"/>
    <w:rsid w:val="00550215"/>
    <w:rsid w:val="00551423"/>
    <w:rsid w:val="00551ADB"/>
    <w:rsid w:val="00552574"/>
    <w:rsid w:val="005534FA"/>
    <w:rsid w:val="00553B62"/>
    <w:rsid w:val="00555134"/>
    <w:rsid w:val="00555795"/>
    <w:rsid w:val="00561520"/>
    <w:rsid w:val="005636DC"/>
    <w:rsid w:val="00565307"/>
    <w:rsid w:val="005655C4"/>
    <w:rsid w:val="00567F7F"/>
    <w:rsid w:val="00570668"/>
    <w:rsid w:val="00570B42"/>
    <w:rsid w:val="00571518"/>
    <w:rsid w:val="00571756"/>
    <w:rsid w:val="00571D96"/>
    <w:rsid w:val="0057249F"/>
    <w:rsid w:val="005732B6"/>
    <w:rsid w:val="005736DF"/>
    <w:rsid w:val="00574483"/>
    <w:rsid w:val="005756D8"/>
    <w:rsid w:val="00575F60"/>
    <w:rsid w:val="005769B8"/>
    <w:rsid w:val="00576FEE"/>
    <w:rsid w:val="005776BA"/>
    <w:rsid w:val="00577E98"/>
    <w:rsid w:val="00580DB7"/>
    <w:rsid w:val="0058102D"/>
    <w:rsid w:val="00581127"/>
    <w:rsid w:val="00581A18"/>
    <w:rsid w:val="0058326B"/>
    <w:rsid w:val="005843E6"/>
    <w:rsid w:val="00584539"/>
    <w:rsid w:val="00584837"/>
    <w:rsid w:val="00585799"/>
    <w:rsid w:val="0058674D"/>
    <w:rsid w:val="00586F67"/>
    <w:rsid w:val="00587A05"/>
    <w:rsid w:val="00587A10"/>
    <w:rsid w:val="00590A9E"/>
    <w:rsid w:val="00591111"/>
    <w:rsid w:val="0059169D"/>
    <w:rsid w:val="00591E88"/>
    <w:rsid w:val="00593167"/>
    <w:rsid w:val="005931B1"/>
    <w:rsid w:val="00594185"/>
    <w:rsid w:val="00596DE1"/>
    <w:rsid w:val="005A0384"/>
    <w:rsid w:val="005A06B8"/>
    <w:rsid w:val="005A09D6"/>
    <w:rsid w:val="005A1759"/>
    <w:rsid w:val="005A2568"/>
    <w:rsid w:val="005A3047"/>
    <w:rsid w:val="005A38D8"/>
    <w:rsid w:val="005A3FC9"/>
    <w:rsid w:val="005A4C44"/>
    <w:rsid w:val="005A5101"/>
    <w:rsid w:val="005A5D31"/>
    <w:rsid w:val="005A5D34"/>
    <w:rsid w:val="005A6BA9"/>
    <w:rsid w:val="005A75E8"/>
    <w:rsid w:val="005A7EC4"/>
    <w:rsid w:val="005B0769"/>
    <w:rsid w:val="005B0897"/>
    <w:rsid w:val="005B2070"/>
    <w:rsid w:val="005B2E0A"/>
    <w:rsid w:val="005B39C3"/>
    <w:rsid w:val="005B3EF1"/>
    <w:rsid w:val="005B4A1B"/>
    <w:rsid w:val="005B5D05"/>
    <w:rsid w:val="005B64FF"/>
    <w:rsid w:val="005B6948"/>
    <w:rsid w:val="005B7DB8"/>
    <w:rsid w:val="005C0DAC"/>
    <w:rsid w:val="005C1CBE"/>
    <w:rsid w:val="005C1ED2"/>
    <w:rsid w:val="005C2095"/>
    <w:rsid w:val="005C2640"/>
    <w:rsid w:val="005C3388"/>
    <w:rsid w:val="005C3845"/>
    <w:rsid w:val="005C393B"/>
    <w:rsid w:val="005C3FE8"/>
    <w:rsid w:val="005C438D"/>
    <w:rsid w:val="005C4F4F"/>
    <w:rsid w:val="005C5339"/>
    <w:rsid w:val="005C54C0"/>
    <w:rsid w:val="005C6495"/>
    <w:rsid w:val="005C65D3"/>
    <w:rsid w:val="005C6608"/>
    <w:rsid w:val="005C697C"/>
    <w:rsid w:val="005C761F"/>
    <w:rsid w:val="005D27A3"/>
    <w:rsid w:val="005D3B2D"/>
    <w:rsid w:val="005D3F26"/>
    <w:rsid w:val="005D3FEF"/>
    <w:rsid w:val="005D4BB4"/>
    <w:rsid w:val="005D60E8"/>
    <w:rsid w:val="005D6EC2"/>
    <w:rsid w:val="005E05ED"/>
    <w:rsid w:val="005E06F6"/>
    <w:rsid w:val="005E0DD6"/>
    <w:rsid w:val="005E1898"/>
    <w:rsid w:val="005E2E30"/>
    <w:rsid w:val="005E378B"/>
    <w:rsid w:val="005E67A0"/>
    <w:rsid w:val="005E6A56"/>
    <w:rsid w:val="005F0EBF"/>
    <w:rsid w:val="005F181E"/>
    <w:rsid w:val="005F2030"/>
    <w:rsid w:val="005F2639"/>
    <w:rsid w:val="005F2909"/>
    <w:rsid w:val="005F2B68"/>
    <w:rsid w:val="005F4F75"/>
    <w:rsid w:val="005F568C"/>
    <w:rsid w:val="005F5871"/>
    <w:rsid w:val="005F677C"/>
    <w:rsid w:val="005F678A"/>
    <w:rsid w:val="005F75EB"/>
    <w:rsid w:val="005F7C1D"/>
    <w:rsid w:val="00600153"/>
    <w:rsid w:val="00600A56"/>
    <w:rsid w:val="00600F05"/>
    <w:rsid w:val="006011F8"/>
    <w:rsid w:val="00602272"/>
    <w:rsid w:val="00602E72"/>
    <w:rsid w:val="00602F02"/>
    <w:rsid w:val="00602F25"/>
    <w:rsid w:val="006030FB"/>
    <w:rsid w:val="0060340A"/>
    <w:rsid w:val="006038FC"/>
    <w:rsid w:val="0060392B"/>
    <w:rsid w:val="00603B3D"/>
    <w:rsid w:val="00603DDF"/>
    <w:rsid w:val="00606C49"/>
    <w:rsid w:val="00606EB0"/>
    <w:rsid w:val="00607FD6"/>
    <w:rsid w:val="0061014E"/>
    <w:rsid w:val="00610EBE"/>
    <w:rsid w:val="00610FA4"/>
    <w:rsid w:val="006119D2"/>
    <w:rsid w:val="006119DE"/>
    <w:rsid w:val="00611F7C"/>
    <w:rsid w:val="006120A0"/>
    <w:rsid w:val="006121A9"/>
    <w:rsid w:val="006128BA"/>
    <w:rsid w:val="00614620"/>
    <w:rsid w:val="0061703A"/>
    <w:rsid w:val="00617E2B"/>
    <w:rsid w:val="00617E88"/>
    <w:rsid w:val="0062198B"/>
    <w:rsid w:val="00621A23"/>
    <w:rsid w:val="00621CFB"/>
    <w:rsid w:val="00621F58"/>
    <w:rsid w:val="00622722"/>
    <w:rsid w:val="00622760"/>
    <w:rsid w:val="00622D14"/>
    <w:rsid w:val="0062309A"/>
    <w:rsid w:val="00625286"/>
    <w:rsid w:val="00625511"/>
    <w:rsid w:val="006268A6"/>
    <w:rsid w:val="0063057B"/>
    <w:rsid w:val="00630F4B"/>
    <w:rsid w:val="006317E2"/>
    <w:rsid w:val="0063191E"/>
    <w:rsid w:val="00632612"/>
    <w:rsid w:val="006333EA"/>
    <w:rsid w:val="006335AE"/>
    <w:rsid w:val="00634059"/>
    <w:rsid w:val="006341FA"/>
    <w:rsid w:val="00635D33"/>
    <w:rsid w:val="00635DB3"/>
    <w:rsid w:val="00636B60"/>
    <w:rsid w:val="00637A8C"/>
    <w:rsid w:val="006405CE"/>
    <w:rsid w:val="006408CD"/>
    <w:rsid w:val="00640A00"/>
    <w:rsid w:val="00640BCE"/>
    <w:rsid w:val="006426BD"/>
    <w:rsid w:val="00642A69"/>
    <w:rsid w:val="00644396"/>
    <w:rsid w:val="00644CC7"/>
    <w:rsid w:val="00644E5D"/>
    <w:rsid w:val="006452B5"/>
    <w:rsid w:val="006455F6"/>
    <w:rsid w:val="00645727"/>
    <w:rsid w:val="006458E3"/>
    <w:rsid w:val="006463CA"/>
    <w:rsid w:val="006466ED"/>
    <w:rsid w:val="00646CDA"/>
    <w:rsid w:val="00650164"/>
    <w:rsid w:val="00650495"/>
    <w:rsid w:val="006504E4"/>
    <w:rsid w:val="00650673"/>
    <w:rsid w:val="00650D68"/>
    <w:rsid w:val="0065100B"/>
    <w:rsid w:val="006512A8"/>
    <w:rsid w:val="006519C2"/>
    <w:rsid w:val="00653011"/>
    <w:rsid w:val="00653A49"/>
    <w:rsid w:val="00653A74"/>
    <w:rsid w:val="00653C28"/>
    <w:rsid w:val="00655AEE"/>
    <w:rsid w:val="00657387"/>
    <w:rsid w:val="006573A1"/>
    <w:rsid w:val="006607E4"/>
    <w:rsid w:val="00661010"/>
    <w:rsid w:val="00662291"/>
    <w:rsid w:val="00662333"/>
    <w:rsid w:val="006630C8"/>
    <w:rsid w:val="0066352B"/>
    <w:rsid w:val="00663AA8"/>
    <w:rsid w:val="00663B7F"/>
    <w:rsid w:val="006640E5"/>
    <w:rsid w:val="0066549A"/>
    <w:rsid w:val="00666817"/>
    <w:rsid w:val="00666BA0"/>
    <w:rsid w:val="00671CD3"/>
    <w:rsid w:val="0067395B"/>
    <w:rsid w:val="00673BED"/>
    <w:rsid w:val="0067463A"/>
    <w:rsid w:val="00675936"/>
    <w:rsid w:val="00675D68"/>
    <w:rsid w:val="00675E5A"/>
    <w:rsid w:val="00676FDA"/>
    <w:rsid w:val="00680975"/>
    <w:rsid w:val="00681374"/>
    <w:rsid w:val="006823FC"/>
    <w:rsid w:val="00682A7B"/>
    <w:rsid w:val="00682D62"/>
    <w:rsid w:val="006832DB"/>
    <w:rsid w:val="00683C3C"/>
    <w:rsid w:val="00686F3D"/>
    <w:rsid w:val="0068700C"/>
    <w:rsid w:val="00690B66"/>
    <w:rsid w:val="0069147F"/>
    <w:rsid w:val="00692513"/>
    <w:rsid w:val="006928B3"/>
    <w:rsid w:val="00693882"/>
    <w:rsid w:val="00693DEB"/>
    <w:rsid w:val="00694661"/>
    <w:rsid w:val="00695DE4"/>
    <w:rsid w:val="006969E8"/>
    <w:rsid w:val="006973C6"/>
    <w:rsid w:val="00697D65"/>
    <w:rsid w:val="006A0729"/>
    <w:rsid w:val="006A0A88"/>
    <w:rsid w:val="006A15D1"/>
    <w:rsid w:val="006A2A52"/>
    <w:rsid w:val="006A2ECF"/>
    <w:rsid w:val="006A3BE4"/>
    <w:rsid w:val="006A5CDA"/>
    <w:rsid w:val="006A6300"/>
    <w:rsid w:val="006A71BD"/>
    <w:rsid w:val="006B0140"/>
    <w:rsid w:val="006B03DB"/>
    <w:rsid w:val="006B0883"/>
    <w:rsid w:val="006B24FC"/>
    <w:rsid w:val="006B362B"/>
    <w:rsid w:val="006B4A90"/>
    <w:rsid w:val="006B588E"/>
    <w:rsid w:val="006B6428"/>
    <w:rsid w:val="006B6BAC"/>
    <w:rsid w:val="006B6D6F"/>
    <w:rsid w:val="006B6DC3"/>
    <w:rsid w:val="006B7006"/>
    <w:rsid w:val="006B7654"/>
    <w:rsid w:val="006B7B99"/>
    <w:rsid w:val="006C0A41"/>
    <w:rsid w:val="006C0B87"/>
    <w:rsid w:val="006C1EEC"/>
    <w:rsid w:val="006C21D8"/>
    <w:rsid w:val="006C2D29"/>
    <w:rsid w:val="006C4643"/>
    <w:rsid w:val="006C4F41"/>
    <w:rsid w:val="006C50DE"/>
    <w:rsid w:val="006C5661"/>
    <w:rsid w:val="006C58D6"/>
    <w:rsid w:val="006C5AAD"/>
    <w:rsid w:val="006C5B3F"/>
    <w:rsid w:val="006D109A"/>
    <w:rsid w:val="006D1389"/>
    <w:rsid w:val="006D143C"/>
    <w:rsid w:val="006D16F3"/>
    <w:rsid w:val="006D2227"/>
    <w:rsid w:val="006D2868"/>
    <w:rsid w:val="006D2977"/>
    <w:rsid w:val="006D38B6"/>
    <w:rsid w:val="006D50E4"/>
    <w:rsid w:val="006D5286"/>
    <w:rsid w:val="006D57FE"/>
    <w:rsid w:val="006D5D34"/>
    <w:rsid w:val="006D6D92"/>
    <w:rsid w:val="006D7798"/>
    <w:rsid w:val="006D7929"/>
    <w:rsid w:val="006E0C72"/>
    <w:rsid w:val="006E1214"/>
    <w:rsid w:val="006E1685"/>
    <w:rsid w:val="006E1F36"/>
    <w:rsid w:val="006E3032"/>
    <w:rsid w:val="006E342B"/>
    <w:rsid w:val="006E5476"/>
    <w:rsid w:val="006E705F"/>
    <w:rsid w:val="006E7357"/>
    <w:rsid w:val="006E73CA"/>
    <w:rsid w:val="006E7B72"/>
    <w:rsid w:val="006F0DD7"/>
    <w:rsid w:val="006F1B1E"/>
    <w:rsid w:val="006F2832"/>
    <w:rsid w:val="006F3411"/>
    <w:rsid w:val="006F50E6"/>
    <w:rsid w:val="006F5719"/>
    <w:rsid w:val="006F6731"/>
    <w:rsid w:val="006F68B6"/>
    <w:rsid w:val="006F6C44"/>
    <w:rsid w:val="006F7321"/>
    <w:rsid w:val="007004E3"/>
    <w:rsid w:val="007008FA"/>
    <w:rsid w:val="00700AE0"/>
    <w:rsid w:val="00701E35"/>
    <w:rsid w:val="0070278E"/>
    <w:rsid w:val="00702BC4"/>
    <w:rsid w:val="00703513"/>
    <w:rsid w:val="007039DE"/>
    <w:rsid w:val="007048C0"/>
    <w:rsid w:val="00704ADD"/>
    <w:rsid w:val="007052DF"/>
    <w:rsid w:val="007066D0"/>
    <w:rsid w:val="00706A4C"/>
    <w:rsid w:val="007101C8"/>
    <w:rsid w:val="0071038C"/>
    <w:rsid w:val="00710A2C"/>
    <w:rsid w:val="00710C6D"/>
    <w:rsid w:val="007115A5"/>
    <w:rsid w:val="00712099"/>
    <w:rsid w:val="0071278E"/>
    <w:rsid w:val="00712956"/>
    <w:rsid w:val="0071385F"/>
    <w:rsid w:val="00713CFB"/>
    <w:rsid w:val="00716AE2"/>
    <w:rsid w:val="00716F43"/>
    <w:rsid w:val="00720100"/>
    <w:rsid w:val="00720ABD"/>
    <w:rsid w:val="00721B0E"/>
    <w:rsid w:val="00722702"/>
    <w:rsid w:val="00722AA1"/>
    <w:rsid w:val="007236B3"/>
    <w:rsid w:val="00723A4C"/>
    <w:rsid w:val="00726AD8"/>
    <w:rsid w:val="00727963"/>
    <w:rsid w:val="007307F6"/>
    <w:rsid w:val="007308C4"/>
    <w:rsid w:val="007321E1"/>
    <w:rsid w:val="007322C8"/>
    <w:rsid w:val="00732C6B"/>
    <w:rsid w:val="00733853"/>
    <w:rsid w:val="00733C6A"/>
    <w:rsid w:val="0073452B"/>
    <w:rsid w:val="00734970"/>
    <w:rsid w:val="007351CB"/>
    <w:rsid w:val="00735957"/>
    <w:rsid w:val="00735FAC"/>
    <w:rsid w:val="0073632F"/>
    <w:rsid w:val="007363D0"/>
    <w:rsid w:val="00737364"/>
    <w:rsid w:val="00737EFD"/>
    <w:rsid w:val="00742005"/>
    <w:rsid w:val="00742753"/>
    <w:rsid w:val="00742B48"/>
    <w:rsid w:val="0074341A"/>
    <w:rsid w:val="007436B3"/>
    <w:rsid w:val="00743BF5"/>
    <w:rsid w:val="00744C3C"/>
    <w:rsid w:val="00745D2A"/>
    <w:rsid w:val="0075039E"/>
    <w:rsid w:val="00751984"/>
    <w:rsid w:val="00752C26"/>
    <w:rsid w:val="00752D8E"/>
    <w:rsid w:val="00753365"/>
    <w:rsid w:val="00753925"/>
    <w:rsid w:val="007547A7"/>
    <w:rsid w:val="007548FB"/>
    <w:rsid w:val="00755A30"/>
    <w:rsid w:val="00756003"/>
    <w:rsid w:val="0076046E"/>
    <w:rsid w:val="00761BC1"/>
    <w:rsid w:val="00762072"/>
    <w:rsid w:val="007622CD"/>
    <w:rsid w:val="00762C26"/>
    <w:rsid w:val="0076361C"/>
    <w:rsid w:val="007638BA"/>
    <w:rsid w:val="00763B78"/>
    <w:rsid w:val="0076433F"/>
    <w:rsid w:val="0076487F"/>
    <w:rsid w:val="007659F4"/>
    <w:rsid w:val="00765FC0"/>
    <w:rsid w:val="0076665E"/>
    <w:rsid w:val="007667EA"/>
    <w:rsid w:val="00766ED4"/>
    <w:rsid w:val="00767806"/>
    <w:rsid w:val="007679B1"/>
    <w:rsid w:val="00767A9C"/>
    <w:rsid w:val="00770088"/>
    <w:rsid w:val="00771AC9"/>
    <w:rsid w:val="00771C2C"/>
    <w:rsid w:val="00771DFF"/>
    <w:rsid w:val="007722F8"/>
    <w:rsid w:val="00772601"/>
    <w:rsid w:val="0077271C"/>
    <w:rsid w:val="00773684"/>
    <w:rsid w:val="00774138"/>
    <w:rsid w:val="00774BD9"/>
    <w:rsid w:val="00774E3F"/>
    <w:rsid w:val="0077634B"/>
    <w:rsid w:val="00776484"/>
    <w:rsid w:val="00776770"/>
    <w:rsid w:val="007767AF"/>
    <w:rsid w:val="007767E0"/>
    <w:rsid w:val="00780B6D"/>
    <w:rsid w:val="00780D45"/>
    <w:rsid w:val="007814B7"/>
    <w:rsid w:val="00782411"/>
    <w:rsid w:val="007826A0"/>
    <w:rsid w:val="00782933"/>
    <w:rsid w:val="00783577"/>
    <w:rsid w:val="007849C7"/>
    <w:rsid w:val="007851E9"/>
    <w:rsid w:val="00785909"/>
    <w:rsid w:val="00786387"/>
    <w:rsid w:val="007877A2"/>
    <w:rsid w:val="00792979"/>
    <w:rsid w:val="00792B7F"/>
    <w:rsid w:val="007933DC"/>
    <w:rsid w:val="00793E27"/>
    <w:rsid w:val="007940E9"/>
    <w:rsid w:val="00794969"/>
    <w:rsid w:val="00794EFE"/>
    <w:rsid w:val="007953DD"/>
    <w:rsid w:val="007958DA"/>
    <w:rsid w:val="00795B59"/>
    <w:rsid w:val="00795D5A"/>
    <w:rsid w:val="0079721C"/>
    <w:rsid w:val="00797448"/>
    <w:rsid w:val="007A03F8"/>
    <w:rsid w:val="007A0E77"/>
    <w:rsid w:val="007A1243"/>
    <w:rsid w:val="007A19A5"/>
    <w:rsid w:val="007A45C9"/>
    <w:rsid w:val="007A493E"/>
    <w:rsid w:val="007A5A4B"/>
    <w:rsid w:val="007A6671"/>
    <w:rsid w:val="007A6693"/>
    <w:rsid w:val="007A6D53"/>
    <w:rsid w:val="007A7578"/>
    <w:rsid w:val="007A7876"/>
    <w:rsid w:val="007B05E6"/>
    <w:rsid w:val="007B0CAA"/>
    <w:rsid w:val="007B16A8"/>
    <w:rsid w:val="007B2425"/>
    <w:rsid w:val="007B39F3"/>
    <w:rsid w:val="007B4645"/>
    <w:rsid w:val="007B4CED"/>
    <w:rsid w:val="007B4E66"/>
    <w:rsid w:val="007B4F32"/>
    <w:rsid w:val="007B59E4"/>
    <w:rsid w:val="007B5BDB"/>
    <w:rsid w:val="007B5CE3"/>
    <w:rsid w:val="007B5E26"/>
    <w:rsid w:val="007B7164"/>
    <w:rsid w:val="007B7C60"/>
    <w:rsid w:val="007C013E"/>
    <w:rsid w:val="007C085D"/>
    <w:rsid w:val="007C0D02"/>
    <w:rsid w:val="007C3079"/>
    <w:rsid w:val="007C3452"/>
    <w:rsid w:val="007C3A29"/>
    <w:rsid w:val="007C5091"/>
    <w:rsid w:val="007C50F9"/>
    <w:rsid w:val="007C5C14"/>
    <w:rsid w:val="007C5FC1"/>
    <w:rsid w:val="007C7641"/>
    <w:rsid w:val="007D1212"/>
    <w:rsid w:val="007D1B24"/>
    <w:rsid w:val="007D3208"/>
    <w:rsid w:val="007D377A"/>
    <w:rsid w:val="007D42AB"/>
    <w:rsid w:val="007D48D9"/>
    <w:rsid w:val="007D4961"/>
    <w:rsid w:val="007D4B4D"/>
    <w:rsid w:val="007D56EB"/>
    <w:rsid w:val="007D62A6"/>
    <w:rsid w:val="007D7364"/>
    <w:rsid w:val="007D79F2"/>
    <w:rsid w:val="007E0A5E"/>
    <w:rsid w:val="007E1A32"/>
    <w:rsid w:val="007E40FA"/>
    <w:rsid w:val="007E456C"/>
    <w:rsid w:val="007E4CBA"/>
    <w:rsid w:val="007E4E0E"/>
    <w:rsid w:val="007E525C"/>
    <w:rsid w:val="007E5370"/>
    <w:rsid w:val="007E54EC"/>
    <w:rsid w:val="007E554E"/>
    <w:rsid w:val="007F0A6C"/>
    <w:rsid w:val="007F1171"/>
    <w:rsid w:val="007F3502"/>
    <w:rsid w:val="007F3573"/>
    <w:rsid w:val="007F40F9"/>
    <w:rsid w:val="007F5C04"/>
    <w:rsid w:val="007F5F35"/>
    <w:rsid w:val="007F67EB"/>
    <w:rsid w:val="007F7642"/>
    <w:rsid w:val="007F7D04"/>
    <w:rsid w:val="0080119D"/>
    <w:rsid w:val="0080202E"/>
    <w:rsid w:val="00802319"/>
    <w:rsid w:val="00804012"/>
    <w:rsid w:val="0080494A"/>
    <w:rsid w:val="008063B4"/>
    <w:rsid w:val="008066F4"/>
    <w:rsid w:val="0081046A"/>
    <w:rsid w:val="008116C2"/>
    <w:rsid w:val="008120A9"/>
    <w:rsid w:val="00812445"/>
    <w:rsid w:val="00812E8D"/>
    <w:rsid w:val="0081309B"/>
    <w:rsid w:val="0081372E"/>
    <w:rsid w:val="008142F6"/>
    <w:rsid w:val="008149C9"/>
    <w:rsid w:val="00816BD2"/>
    <w:rsid w:val="00817295"/>
    <w:rsid w:val="00817A16"/>
    <w:rsid w:val="00817EE9"/>
    <w:rsid w:val="00820B28"/>
    <w:rsid w:val="00821924"/>
    <w:rsid w:val="008235EE"/>
    <w:rsid w:val="008244A1"/>
    <w:rsid w:val="00825BDF"/>
    <w:rsid w:val="00825C97"/>
    <w:rsid w:val="0082698C"/>
    <w:rsid w:val="008269A1"/>
    <w:rsid w:val="00826EC4"/>
    <w:rsid w:val="008305BE"/>
    <w:rsid w:val="00831186"/>
    <w:rsid w:val="00831ABC"/>
    <w:rsid w:val="00832763"/>
    <w:rsid w:val="00832BF8"/>
    <w:rsid w:val="00833FBE"/>
    <w:rsid w:val="00834ECB"/>
    <w:rsid w:val="00836E3A"/>
    <w:rsid w:val="00837F92"/>
    <w:rsid w:val="0084144B"/>
    <w:rsid w:val="00841C87"/>
    <w:rsid w:val="0084281B"/>
    <w:rsid w:val="00843F24"/>
    <w:rsid w:val="00847B08"/>
    <w:rsid w:val="00850B38"/>
    <w:rsid w:val="00850BAF"/>
    <w:rsid w:val="0085118F"/>
    <w:rsid w:val="00851800"/>
    <w:rsid w:val="00851A9D"/>
    <w:rsid w:val="008523D1"/>
    <w:rsid w:val="00853C02"/>
    <w:rsid w:val="00856BD9"/>
    <w:rsid w:val="0086067E"/>
    <w:rsid w:val="008606DC"/>
    <w:rsid w:val="0086087F"/>
    <w:rsid w:val="00861020"/>
    <w:rsid w:val="00861B4F"/>
    <w:rsid w:val="00862389"/>
    <w:rsid w:val="00862743"/>
    <w:rsid w:val="00862E30"/>
    <w:rsid w:val="0086323D"/>
    <w:rsid w:val="008641A0"/>
    <w:rsid w:val="008649D1"/>
    <w:rsid w:val="00864E3C"/>
    <w:rsid w:val="00865EA8"/>
    <w:rsid w:val="00866F21"/>
    <w:rsid w:val="00870206"/>
    <w:rsid w:val="008717AF"/>
    <w:rsid w:val="00872957"/>
    <w:rsid w:val="00872B41"/>
    <w:rsid w:val="008745B6"/>
    <w:rsid w:val="00875436"/>
    <w:rsid w:val="00876596"/>
    <w:rsid w:val="0087699D"/>
    <w:rsid w:val="00877A6F"/>
    <w:rsid w:val="00880856"/>
    <w:rsid w:val="00881746"/>
    <w:rsid w:val="00881952"/>
    <w:rsid w:val="008819A4"/>
    <w:rsid w:val="00883C96"/>
    <w:rsid w:val="00884010"/>
    <w:rsid w:val="00884E8E"/>
    <w:rsid w:val="00885B76"/>
    <w:rsid w:val="00885C1C"/>
    <w:rsid w:val="008862BB"/>
    <w:rsid w:val="00886E64"/>
    <w:rsid w:val="008903E4"/>
    <w:rsid w:val="00890E72"/>
    <w:rsid w:val="00893CD9"/>
    <w:rsid w:val="00895689"/>
    <w:rsid w:val="0089632A"/>
    <w:rsid w:val="0089686D"/>
    <w:rsid w:val="00896DEB"/>
    <w:rsid w:val="008A0510"/>
    <w:rsid w:val="008A1699"/>
    <w:rsid w:val="008A1B64"/>
    <w:rsid w:val="008A1C96"/>
    <w:rsid w:val="008A1C9F"/>
    <w:rsid w:val="008A3546"/>
    <w:rsid w:val="008A357A"/>
    <w:rsid w:val="008A41BD"/>
    <w:rsid w:val="008A5024"/>
    <w:rsid w:val="008A6738"/>
    <w:rsid w:val="008B2203"/>
    <w:rsid w:val="008B25E2"/>
    <w:rsid w:val="008B4A2F"/>
    <w:rsid w:val="008B4CBD"/>
    <w:rsid w:val="008B5B0B"/>
    <w:rsid w:val="008B66E3"/>
    <w:rsid w:val="008B6C06"/>
    <w:rsid w:val="008B762B"/>
    <w:rsid w:val="008B7FEC"/>
    <w:rsid w:val="008C027F"/>
    <w:rsid w:val="008C0DCC"/>
    <w:rsid w:val="008C19AA"/>
    <w:rsid w:val="008C19F1"/>
    <w:rsid w:val="008C205E"/>
    <w:rsid w:val="008C218E"/>
    <w:rsid w:val="008C2CB8"/>
    <w:rsid w:val="008C327A"/>
    <w:rsid w:val="008C3A30"/>
    <w:rsid w:val="008C3A59"/>
    <w:rsid w:val="008C3B4A"/>
    <w:rsid w:val="008C4542"/>
    <w:rsid w:val="008C5ACC"/>
    <w:rsid w:val="008C5E92"/>
    <w:rsid w:val="008C695D"/>
    <w:rsid w:val="008D0535"/>
    <w:rsid w:val="008D0E40"/>
    <w:rsid w:val="008D190B"/>
    <w:rsid w:val="008D24F0"/>
    <w:rsid w:val="008D3123"/>
    <w:rsid w:val="008D412E"/>
    <w:rsid w:val="008D4D56"/>
    <w:rsid w:val="008D53BB"/>
    <w:rsid w:val="008D58DE"/>
    <w:rsid w:val="008D5906"/>
    <w:rsid w:val="008D626D"/>
    <w:rsid w:val="008D7A0E"/>
    <w:rsid w:val="008E0B88"/>
    <w:rsid w:val="008E0DE3"/>
    <w:rsid w:val="008E2698"/>
    <w:rsid w:val="008E270C"/>
    <w:rsid w:val="008E4281"/>
    <w:rsid w:val="008E5A8D"/>
    <w:rsid w:val="008E60C7"/>
    <w:rsid w:val="008E68BC"/>
    <w:rsid w:val="008E6D5B"/>
    <w:rsid w:val="008E6F9F"/>
    <w:rsid w:val="008E74BA"/>
    <w:rsid w:val="008E7879"/>
    <w:rsid w:val="008E79B4"/>
    <w:rsid w:val="008E7CBB"/>
    <w:rsid w:val="008F0E22"/>
    <w:rsid w:val="008F13CA"/>
    <w:rsid w:val="008F23F6"/>
    <w:rsid w:val="008F2BE6"/>
    <w:rsid w:val="008F2F00"/>
    <w:rsid w:val="008F3547"/>
    <w:rsid w:val="008F3698"/>
    <w:rsid w:val="008F5012"/>
    <w:rsid w:val="008F72F7"/>
    <w:rsid w:val="008F7C8D"/>
    <w:rsid w:val="008F7DDB"/>
    <w:rsid w:val="009001D4"/>
    <w:rsid w:val="00900396"/>
    <w:rsid w:val="00901A78"/>
    <w:rsid w:val="00902772"/>
    <w:rsid w:val="00902E9C"/>
    <w:rsid w:val="009037FF"/>
    <w:rsid w:val="00903ADE"/>
    <w:rsid w:val="00903E47"/>
    <w:rsid w:val="00903F49"/>
    <w:rsid w:val="009042B4"/>
    <w:rsid w:val="00904730"/>
    <w:rsid w:val="009052AC"/>
    <w:rsid w:val="009054AE"/>
    <w:rsid w:val="00905B7E"/>
    <w:rsid w:val="00905EA7"/>
    <w:rsid w:val="00906A06"/>
    <w:rsid w:val="00910AD5"/>
    <w:rsid w:val="0091340F"/>
    <w:rsid w:val="00915B9F"/>
    <w:rsid w:val="009167B3"/>
    <w:rsid w:val="00916B06"/>
    <w:rsid w:val="00916E6A"/>
    <w:rsid w:val="00917E1E"/>
    <w:rsid w:val="0092123D"/>
    <w:rsid w:val="00921EEE"/>
    <w:rsid w:val="0092236C"/>
    <w:rsid w:val="00922DAC"/>
    <w:rsid w:val="009232E1"/>
    <w:rsid w:val="0092373E"/>
    <w:rsid w:val="00932722"/>
    <w:rsid w:val="00932CB1"/>
    <w:rsid w:val="00933BA0"/>
    <w:rsid w:val="0093459C"/>
    <w:rsid w:val="00934AB6"/>
    <w:rsid w:val="00935261"/>
    <w:rsid w:val="00935C7C"/>
    <w:rsid w:val="00937C94"/>
    <w:rsid w:val="009413A2"/>
    <w:rsid w:val="0094187E"/>
    <w:rsid w:val="00942E28"/>
    <w:rsid w:val="00944DEE"/>
    <w:rsid w:val="00945329"/>
    <w:rsid w:val="0094567F"/>
    <w:rsid w:val="009462C1"/>
    <w:rsid w:val="00946AA9"/>
    <w:rsid w:val="00946F2D"/>
    <w:rsid w:val="00946FEE"/>
    <w:rsid w:val="00950677"/>
    <w:rsid w:val="00951947"/>
    <w:rsid w:val="00952692"/>
    <w:rsid w:val="009527FE"/>
    <w:rsid w:val="00953662"/>
    <w:rsid w:val="00953DDB"/>
    <w:rsid w:val="009547CA"/>
    <w:rsid w:val="00954867"/>
    <w:rsid w:val="00955282"/>
    <w:rsid w:val="00955285"/>
    <w:rsid w:val="00960CAC"/>
    <w:rsid w:val="009611B2"/>
    <w:rsid w:val="00961960"/>
    <w:rsid w:val="00961E17"/>
    <w:rsid w:val="00962C35"/>
    <w:rsid w:val="00963367"/>
    <w:rsid w:val="00963463"/>
    <w:rsid w:val="0096382A"/>
    <w:rsid w:val="0096417F"/>
    <w:rsid w:val="00964215"/>
    <w:rsid w:val="00964434"/>
    <w:rsid w:val="00964A75"/>
    <w:rsid w:val="009658F8"/>
    <w:rsid w:val="00965B04"/>
    <w:rsid w:val="009661DE"/>
    <w:rsid w:val="00966EC4"/>
    <w:rsid w:val="00967866"/>
    <w:rsid w:val="009712EE"/>
    <w:rsid w:val="00971713"/>
    <w:rsid w:val="0097240C"/>
    <w:rsid w:val="009727D7"/>
    <w:rsid w:val="009733F4"/>
    <w:rsid w:val="00973874"/>
    <w:rsid w:val="00974335"/>
    <w:rsid w:val="00974A7D"/>
    <w:rsid w:val="00974D8E"/>
    <w:rsid w:val="009751F8"/>
    <w:rsid w:val="00975790"/>
    <w:rsid w:val="009770D3"/>
    <w:rsid w:val="00977332"/>
    <w:rsid w:val="0098004A"/>
    <w:rsid w:val="00980D28"/>
    <w:rsid w:val="0098122F"/>
    <w:rsid w:val="00982605"/>
    <w:rsid w:val="00982BD7"/>
    <w:rsid w:val="00983139"/>
    <w:rsid w:val="00983776"/>
    <w:rsid w:val="009840F4"/>
    <w:rsid w:val="009841B6"/>
    <w:rsid w:val="009845C7"/>
    <w:rsid w:val="00984A30"/>
    <w:rsid w:val="00984FCD"/>
    <w:rsid w:val="0098515B"/>
    <w:rsid w:val="00985475"/>
    <w:rsid w:val="00986F6C"/>
    <w:rsid w:val="0098707E"/>
    <w:rsid w:val="00987304"/>
    <w:rsid w:val="00990048"/>
    <w:rsid w:val="0099009B"/>
    <w:rsid w:val="00992524"/>
    <w:rsid w:val="009937E2"/>
    <w:rsid w:val="0099388C"/>
    <w:rsid w:val="009938A7"/>
    <w:rsid w:val="00994925"/>
    <w:rsid w:val="00994A5E"/>
    <w:rsid w:val="00994FAB"/>
    <w:rsid w:val="0099562D"/>
    <w:rsid w:val="00995C7A"/>
    <w:rsid w:val="00996D77"/>
    <w:rsid w:val="009A131C"/>
    <w:rsid w:val="009A288C"/>
    <w:rsid w:val="009A3010"/>
    <w:rsid w:val="009A4686"/>
    <w:rsid w:val="009A52DF"/>
    <w:rsid w:val="009A5339"/>
    <w:rsid w:val="009A5452"/>
    <w:rsid w:val="009A5922"/>
    <w:rsid w:val="009A79A6"/>
    <w:rsid w:val="009A7A73"/>
    <w:rsid w:val="009B05E7"/>
    <w:rsid w:val="009B0E9A"/>
    <w:rsid w:val="009B116F"/>
    <w:rsid w:val="009B1594"/>
    <w:rsid w:val="009B2D3A"/>
    <w:rsid w:val="009B3076"/>
    <w:rsid w:val="009B4496"/>
    <w:rsid w:val="009B5867"/>
    <w:rsid w:val="009B6DC2"/>
    <w:rsid w:val="009B7184"/>
    <w:rsid w:val="009C0E5B"/>
    <w:rsid w:val="009C243C"/>
    <w:rsid w:val="009C2DC1"/>
    <w:rsid w:val="009C2F43"/>
    <w:rsid w:val="009C3FFD"/>
    <w:rsid w:val="009C425C"/>
    <w:rsid w:val="009C5388"/>
    <w:rsid w:val="009C58AC"/>
    <w:rsid w:val="009C6129"/>
    <w:rsid w:val="009C61D8"/>
    <w:rsid w:val="009C7B6A"/>
    <w:rsid w:val="009D0481"/>
    <w:rsid w:val="009D0689"/>
    <w:rsid w:val="009D234B"/>
    <w:rsid w:val="009D46E0"/>
    <w:rsid w:val="009D4821"/>
    <w:rsid w:val="009D69F2"/>
    <w:rsid w:val="009D6F7A"/>
    <w:rsid w:val="009E076E"/>
    <w:rsid w:val="009E0DE5"/>
    <w:rsid w:val="009E2AE2"/>
    <w:rsid w:val="009E30D9"/>
    <w:rsid w:val="009E39FE"/>
    <w:rsid w:val="009E459C"/>
    <w:rsid w:val="009E461B"/>
    <w:rsid w:val="009E57BE"/>
    <w:rsid w:val="009E5A5B"/>
    <w:rsid w:val="009E6386"/>
    <w:rsid w:val="009E7A4B"/>
    <w:rsid w:val="009F0BC7"/>
    <w:rsid w:val="009F0E22"/>
    <w:rsid w:val="009F0EFE"/>
    <w:rsid w:val="009F2DCB"/>
    <w:rsid w:val="009F302B"/>
    <w:rsid w:val="009F3780"/>
    <w:rsid w:val="009F3D6A"/>
    <w:rsid w:val="009F54E2"/>
    <w:rsid w:val="009F5B9A"/>
    <w:rsid w:val="009F5CAB"/>
    <w:rsid w:val="009F61F2"/>
    <w:rsid w:val="009F6608"/>
    <w:rsid w:val="009F737F"/>
    <w:rsid w:val="009F73B5"/>
    <w:rsid w:val="00A0045D"/>
    <w:rsid w:val="00A0099C"/>
    <w:rsid w:val="00A0140C"/>
    <w:rsid w:val="00A0226A"/>
    <w:rsid w:val="00A0294A"/>
    <w:rsid w:val="00A034B2"/>
    <w:rsid w:val="00A035C5"/>
    <w:rsid w:val="00A036D6"/>
    <w:rsid w:val="00A038F2"/>
    <w:rsid w:val="00A056EF"/>
    <w:rsid w:val="00A062AA"/>
    <w:rsid w:val="00A06BC8"/>
    <w:rsid w:val="00A06BD3"/>
    <w:rsid w:val="00A07126"/>
    <w:rsid w:val="00A0729C"/>
    <w:rsid w:val="00A10B21"/>
    <w:rsid w:val="00A1181C"/>
    <w:rsid w:val="00A1192D"/>
    <w:rsid w:val="00A1257F"/>
    <w:rsid w:val="00A1345B"/>
    <w:rsid w:val="00A151E8"/>
    <w:rsid w:val="00A1623E"/>
    <w:rsid w:val="00A163C8"/>
    <w:rsid w:val="00A1684D"/>
    <w:rsid w:val="00A170BE"/>
    <w:rsid w:val="00A17362"/>
    <w:rsid w:val="00A174E2"/>
    <w:rsid w:val="00A17BC6"/>
    <w:rsid w:val="00A17F9C"/>
    <w:rsid w:val="00A20062"/>
    <w:rsid w:val="00A201BA"/>
    <w:rsid w:val="00A2593D"/>
    <w:rsid w:val="00A25C5C"/>
    <w:rsid w:val="00A25DF4"/>
    <w:rsid w:val="00A263A6"/>
    <w:rsid w:val="00A2698B"/>
    <w:rsid w:val="00A26BAB"/>
    <w:rsid w:val="00A26D3E"/>
    <w:rsid w:val="00A27865"/>
    <w:rsid w:val="00A309F2"/>
    <w:rsid w:val="00A30B12"/>
    <w:rsid w:val="00A31289"/>
    <w:rsid w:val="00A33FAF"/>
    <w:rsid w:val="00A34356"/>
    <w:rsid w:val="00A34393"/>
    <w:rsid w:val="00A34EBC"/>
    <w:rsid w:val="00A3591D"/>
    <w:rsid w:val="00A36E8F"/>
    <w:rsid w:val="00A37716"/>
    <w:rsid w:val="00A37B68"/>
    <w:rsid w:val="00A408EC"/>
    <w:rsid w:val="00A41333"/>
    <w:rsid w:val="00A413B8"/>
    <w:rsid w:val="00A42145"/>
    <w:rsid w:val="00A42B33"/>
    <w:rsid w:val="00A4492E"/>
    <w:rsid w:val="00A44A6D"/>
    <w:rsid w:val="00A44A77"/>
    <w:rsid w:val="00A462F6"/>
    <w:rsid w:val="00A463DE"/>
    <w:rsid w:val="00A4723F"/>
    <w:rsid w:val="00A47B8D"/>
    <w:rsid w:val="00A50003"/>
    <w:rsid w:val="00A50CBA"/>
    <w:rsid w:val="00A50E5E"/>
    <w:rsid w:val="00A51765"/>
    <w:rsid w:val="00A5265D"/>
    <w:rsid w:val="00A535DE"/>
    <w:rsid w:val="00A538C8"/>
    <w:rsid w:val="00A53B4B"/>
    <w:rsid w:val="00A53EBC"/>
    <w:rsid w:val="00A54336"/>
    <w:rsid w:val="00A5467A"/>
    <w:rsid w:val="00A54CF0"/>
    <w:rsid w:val="00A54DC3"/>
    <w:rsid w:val="00A55FA1"/>
    <w:rsid w:val="00A60079"/>
    <w:rsid w:val="00A6130A"/>
    <w:rsid w:val="00A6194A"/>
    <w:rsid w:val="00A63284"/>
    <w:rsid w:val="00A63722"/>
    <w:rsid w:val="00A637F6"/>
    <w:rsid w:val="00A63978"/>
    <w:rsid w:val="00A64339"/>
    <w:rsid w:val="00A66DF7"/>
    <w:rsid w:val="00A66F2A"/>
    <w:rsid w:val="00A67CCA"/>
    <w:rsid w:val="00A71A59"/>
    <w:rsid w:val="00A735F0"/>
    <w:rsid w:val="00A73D33"/>
    <w:rsid w:val="00A7477B"/>
    <w:rsid w:val="00A747F6"/>
    <w:rsid w:val="00A754D1"/>
    <w:rsid w:val="00A754F4"/>
    <w:rsid w:val="00A75C9F"/>
    <w:rsid w:val="00A77C01"/>
    <w:rsid w:val="00A77C47"/>
    <w:rsid w:val="00A813D3"/>
    <w:rsid w:val="00A81879"/>
    <w:rsid w:val="00A82A91"/>
    <w:rsid w:val="00A83423"/>
    <w:rsid w:val="00A839DE"/>
    <w:rsid w:val="00A83C7E"/>
    <w:rsid w:val="00A83D81"/>
    <w:rsid w:val="00A84171"/>
    <w:rsid w:val="00A85B66"/>
    <w:rsid w:val="00A86346"/>
    <w:rsid w:val="00A86A74"/>
    <w:rsid w:val="00A86F7E"/>
    <w:rsid w:val="00A86F87"/>
    <w:rsid w:val="00A90746"/>
    <w:rsid w:val="00A90A2D"/>
    <w:rsid w:val="00A90BFF"/>
    <w:rsid w:val="00A91784"/>
    <w:rsid w:val="00A93E24"/>
    <w:rsid w:val="00A94122"/>
    <w:rsid w:val="00A94B5B"/>
    <w:rsid w:val="00A94FFE"/>
    <w:rsid w:val="00A95B9A"/>
    <w:rsid w:val="00A96490"/>
    <w:rsid w:val="00AA023C"/>
    <w:rsid w:val="00AA02D4"/>
    <w:rsid w:val="00AA0DDB"/>
    <w:rsid w:val="00AA1A3A"/>
    <w:rsid w:val="00AA1AE6"/>
    <w:rsid w:val="00AA2802"/>
    <w:rsid w:val="00AA3ACA"/>
    <w:rsid w:val="00AA4988"/>
    <w:rsid w:val="00AA5523"/>
    <w:rsid w:val="00AA56BD"/>
    <w:rsid w:val="00AA5703"/>
    <w:rsid w:val="00AA587D"/>
    <w:rsid w:val="00AA61EF"/>
    <w:rsid w:val="00AA66CF"/>
    <w:rsid w:val="00AA723D"/>
    <w:rsid w:val="00AA72F7"/>
    <w:rsid w:val="00AB1379"/>
    <w:rsid w:val="00AB16A1"/>
    <w:rsid w:val="00AB547D"/>
    <w:rsid w:val="00AB5774"/>
    <w:rsid w:val="00AB6291"/>
    <w:rsid w:val="00AB7310"/>
    <w:rsid w:val="00AC06FD"/>
    <w:rsid w:val="00AC0918"/>
    <w:rsid w:val="00AC0D66"/>
    <w:rsid w:val="00AC1D27"/>
    <w:rsid w:val="00AC1E20"/>
    <w:rsid w:val="00AC2886"/>
    <w:rsid w:val="00AC2F6D"/>
    <w:rsid w:val="00AC31CD"/>
    <w:rsid w:val="00AC468F"/>
    <w:rsid w:val="00AC495B"/>
    <w:rsid w:val="00AC4986"/>
    <w:rsid w:val="00AC5B26"/>
    <w:rsid w:val="00AC66DE"/>
    <w:rsid w:val="00AD1B45"/>
    <w:rsid w:val="00AD1F94"/>
    <w:rsid w:val="00AD630C"/>
    <w:rsid w:val="00AD6758"/>
    <w:rsid w:val="00AD6E4B"/>
    <w:rsid w:val="00AE0233"/>
    <w:rsid w:val="00AE130C"/>
    <w:rsid w:val="00AE2473"/>
    <w:rsid w:val="00AE337C"/>
    <w:rsid w:val="00AE34A0"/>
    <w:rsid w:val="00AE3A43"/>
    <w:rsid w:val="00AE442A"/>
    <w:rsid w:val="00AE44AF"/>
    <w:rsid w:val="00AE4775"/>
    <w:rsid w:val="00AE4A2C"/>
    <w:rsid w:val="00AE516B"/>
    <w:rsid w:val="00AE53EC"/>
    <w:rsid w:val="00AE5896"/>
    <w:rsid w:val="00AE7430"/>
    <w:rsid w:val="00AE7D24"/>
    <w:rsid w:val="00AF1946"/>
    <w:rsid w:val="00AF32E9"/>
    <w:rsid w:val="00AF4DD0"/>
    <w:rsid w:val="00AF56A1"/>
    <w:rsid w:val="00AF668A"/>
    <w:rsid w:val="00AF66B0"/>
    <w:rsid w:val="00AF6E06"/>
    <w:rsid w:val="00AF74C8"/>
    <w:rsid w:val="00AF7A6D"/>
    <w:rsid w:val="00AF7D4D"/>
    <w:rsid w:val="00B000DD"/>
    <w:rsid w:val="00B00226"/>
    <w:rsid w:val="00B016D7"/>
    <w:rsid w:val="00B03060"/>
    <w:rsid w:val="00B044EA"/>
    <w:rsid w:val="00B0575A"/>
    <w:rsid w:val="00B05912"/>
    <w:rsid w:val="00B07737"/>
    <w:rsid w:val="00B0773E"/>
    <w:rsid w:val="00B1040C"/>
    <w:rsid w:val="00B139C0"/>
    <w:rsid w:val="00B139C8"/>
    <w:rsid w:val="00B15F48"/>
    <w:rsid w:val="00B173D7"/>
    <w:rsid w:val="00B175F5"/>
    <w:rsid w:val="00B20A0C"/>
    <w:rsid w:val="00B2100A"/>
    <w:rsid w:val="00B21051"/>
    <w:rsid w:val="00B210B1"/>
    <w:rsid w:val="00B223C4"/>
    <w:rsid w:val="00B22DC7"/>
    <w:rsid w:val="00B2325E"/>
    <w:rsid w:val="00B23531"/>
    <w:rsid w:val="00B247AA"/>
    <w:rsid w:val="00B248EF"/>
    <w:rsid w:val="00B24BA2"/>
    <w:rsid w:val="00B25282"/>
    <w:rsid w:val="00B252E8"/>
    <w:rsid w:val="00B25821"/>
    <w:rsid w:val="00B2649F"/>
    <w:rsid w:val="00B26FBB"/>
    <w:rsid w:val="00B26FD4"/>
    <w:rsid w:val="00B2745A"/>
    <w:rsid w:val="00B279D8"/>
    <w:rsid w:val="00B31729"/>
    <w:rsid w:val="00B3254A"/>
    <w:rsid w:val="00B33031"/>
    <w:rsid w:val="00B33CA2"/>
    <w:rsid w:val="00B3443D"/>
    <w:rsid w:val="00B3512A"/>
    <w:rsid w:val="00B358BF"/>
    <w:rsid w:val="00B360ED"/>
    <w:rsid w:val="00B3641D"/>
    <w:rsid w:val="00B36BBF"/>
    <w:rsid w:val="00B37AC6"/>
    <w:rsid w:val="00B40326"/>
    <w:rsid w:val="00B40A9B"/>
    <w:rsid w:val="00B40B94"/>
    <w:rsid w:val="00B4103F"/>
    <w:rsid w:val="00B41706"/>
    <w:rsid w:val="00B43457"/>
    <w:rsid w:val="00B43C89"/>
    <w:rsid w:val="00B4483D"/>
    <w:rsid w:val="00B44F8F"/>
    <w:rsid w:val="00B456B0"/>
    <w:rsid w:val="00B45F75"/>
    <w:rsid w:val="00B467CA"/>
    <w:rsid w:val="00B47B02"/>
    <w:rsid w:val="00B47CF5"/>
    <w:rsid w:val="00B507A0"/>
    <w:rsid w:val="00B507FC"/>
    <w:rsid w:val="00B508CD"/>
    <w:rsid w:val="00B508EE"/>
    <w:rsid w:val="00B51069"/>
    <w:rsid w:val="00B510AC"/>
    <w:rsid w:val="00B51FA1"/>
    <w:rsid w:val="00B52B9A"/>
    <w:rsid w:val="00B532E7"/>
    <w:rsid w:val="00B538F3"/>
    <w:rsid w:val="00B54251"/>
    <w:rsid w:val="00B5521A"/>
    <w:rsid w:val="00B553E7"/>
    <w:rsid w:val="00B55B53"/>
    <w:rsid w:val="00B56866"/>
    <w:rsid w:val="00B60202"/>
    <w:rsid w:val="00B610F5"/>
    <w:rsid w:val="00B61948"/>
    <w:rsid w:val="00B62B74"/>
    <w:rsid w:val="00B6317D"/>
    <w:rsid w:val="00B63BAC"/>
    <w:rsid w:val="00B63FFE"/>
    <w:rsid w:val="00B66534"/>
    <w:rsid w:val="00B66A58"/>
    <w:rsid w:val="00B66B77"/>
    <w:rsid w:val="00B67080"/>
    <w:rsid w:val="00B675C8"/>
    <w:rsid w:val="00B676E0"/>
    <w:rsid w:val="00B70D06"/>
    <w:rsid w:val="00B7103E"/>
    <w:rsid w:val="00B710F4"/>
    <w:rsid w:val="00B7110A"/>
    <w:rsid w:val="00B714E0"/>
    <w:rsid w:val="00B719AE"/>
    <w:rsid w:val="00B73869"/>
    <w:rsid w:val="00B7469B"/>
    <w:rsid w:val="00B74B7F"/>
    <w:rsid w:val="00B7653C"/>
    <w:rsid w:val="00B7660A"/>
    <w:rsid w:val="00B7661D"/>
    <w:rsid w:val="00B76847"/>
    <w:rsid w:val="00B7686F"/>
    <w:rsid w:val="00B76B33"/>
    <w:rsid w:val="00B76CB6"/>
    <w:rsid w:val="00B76D46"/>
    <w:rsid w:val="00B77B93"/>
    <w:rsid w:val="00B8020B"/>
    <w:rsid w:val="00B80EF3"/>
    <w:rsid w:val="00B815CD"/>
    <w:rsid w:val="00B82957"/>
    <w:rsid w:val="00B83DBA"/>
    <w:rsid w:val="00B84691"/>
    <w:rsid w:val="00B85009"/>
    <w:rsid w:val="00B852F9"/>
    <w:rsid w:val="00B854FC"/>
    <w:rsid w:val="00B860B1"/>
    <w:rsid w:val="00B86570"/>
    <w:rsid w:val="00B86D76"/>
    <w:rsid w:val="00B87315"/>
    <w:rsid w:val="00B87E70"/>
    <w:rsid w:val="00B9116C"/>
    <w:rsid w:val="00B9137E"/>
    <w:rsid w:val="00B92461"/>
    <w:rsid w:val="00B92FEB"/>
    <w:rsid w:val="00B931CC"/>
    <w:rsid w:val="00B9351B"/>
    <w:rsid w:val="00B944D3"/>
    <w:rsid w:val="00B94E7B"/>
    <w:rsid w:val="00B95CE0"/>
    <w:rsid w:val="00B96C31"/>
    <w:rsid w:val="00B9792D"/>
    <w:rsid w:val="00B97F36"/>
    <w:rsid w:val="00BA01F5"/>
    <w:rsid w:val="00BA0466"/>
    <w:rsid w:val="00BA07F1"/>
    <w:rsid w:val="00BA0B40"/>
    <w:rsid w:val="00BA0B5C"/>
    <w:rsid w:val="00BA1541"/>
    <w:rsid w:val="00BA158C"/>
    <w:rsid w:val="00BA1E33"/>
    <w:rsid w:val="00BA269D"/>
    <w:rsid w:val="00BA2FCC"/>
    <w:rsid w:val="00BA32A8"/>
    <w:rsid w:val="00BA375D"/>
    <w:rsid w:val="00BA5A40"/>
    <w:rsid w:val="00BA600E"/>
    <w:rsid w:val="00BA6A52"/>
    <w:rsid w:val="00BA711D"/>
    <w:rsid w:val="00BA7F03"/>
    <w:rsid w:val="00BB0A04"/>
    <w:rsid w:val="00BB1148"/>
    <w:rsid w:val="00BB1AC6"/>
    <w:rsid w:val="00BB1CDD"/>
    <w:rsid w:val="00BB1DEE"/>
    <w:rsid w:val="00BB27B3"/>
    <w:rsid w:val="00BB3A40"/>
    <w:rsid w:val="00BB3B39"/>
    <w:rsid w:val="00BB4036"/>
    <w:rsid w:val="00BB4D0A"/>
    <w:rsid w:val="00BB5FE3"/>
    <w:rsid w:val="00BB6E20"/>
    <w:rsid w:val="00BB7208"/>
    <w:rsid w:val="00BC03A2"/>
    <w:rsid w:val="00BC074C"/>
    <w:rsid w:val="00BC2D39"/>
    <w:rsid w:val="00BC33CA"/>
    <w:rsid w:val="00BC377A"/>
    <w:rsid w:val="00BC3C80"/>
    <w:rsid w:val="00BC442B"/>
    <w:rsid w:val="00BC48B7"/>
    <w:rsid w:val="00BC502B"/>
    <w:rsid w:val="00BC5F9D"/>
    <w:rsid w:val="00BC673A"/>
    <w:rsid w:val="00BC6F17"/>
    <w:rsid w:val="00BC7ED7"/>
    <w:rsid w:val="00BD020C"/>
    <w:rsid w:val="00BD0F82"/>
    <w:rsid w:val="00BD111B"/>
    <w:rsid w:val="00BD3B99"/>
    <w:rsid w:val="00BD4B50"/>
    <w:rsid w:val="00BD4C90"/>
    <w:rsid w:val="00BD5CB6"/>
    <w:rsid w:val="00BD6313"/>
    <w:rsid w:val="00BD6D02"/>
    <w:rsid w:val="00BD79E6"/>
    <w:rsid w:val="00BE2769"/>
    <w:rsid w:val="00BE3046"/>
    <w:rsid w:val="00BE622A"/>
    <w:rsid w:val="00BE6CE4"/>
    <w:rsid w:val="00BE6FA1"/>
    <w:rsid w:val="00BE74D4"/>
    <w:rsid w:val="00BE7860"/>
    <w:rsid w:val="00BE7926"/>
    <w:rsid w:val="00BF1563"/>
    <w:rsid w:val="00BF34CC"/>
    <w:rsid w:val="00BF3716"/>
    <w:rsid w:val="00BF4848"/>
    <w:rsid w:val="00BF6047"/>
    <w:rsid w:val="00BF785D"/>
    <w:rsid w:val="00C012AA"/>
    <w:rsid w:val="00C01911"/>
    <w:rsid w:val="00C03610"/>
    <w:rsid w:val="00C03728"/>
    <w:rsid w:val="00C047D9"/>
    <w:rsid w:val="00C052A6"/>
    <w:rsid w:val="00C06551"/>
    <w:rsid w:val="00C0693D"/>
    <w:rsid w:val="00C105A7"/>
    <w:rsid w:val="00C106E8"/>
    <w:rsid w:val="00C10779"/>
    <w:rsid w:val="00C1084A"/>
    <w:rsid w:val="00C10AFF"/>
    <w:rsid w:val="00C12DF0"/>
    <w:rsid w:val="00C150C1"/>
    <w:rsid w:val="00C16659"/>
    <w:rsid w:val="00C16738"/>
    <w:rsid w:val="00C174F8"/>
    <w:rsid w:val="00C17C4F"/>
    <w:rsid w:val="00C21AAD"/>
    <w:rsid w:val="00C21CD0"/>
    <w:rsid w:val="00C21EEA"/>
    <w:rsid w:val="00C21FEC"/>
    <w:rsid w:val="00C220F5"/>
    <w:rsid w:val="00C227B7"/>
    <w:rsid w:val="00C2292C"/>
    <w:rsid w:val="00C22B9B"/>
    <w:rsid w:val="00C237AF"/>
    <w:rsid w:val="00C23901"/>
    <w:rsid w:val="00C23A11"/>
    <w:rsid w:val="00C23BC0"/>
    <w:rsid w:val="00C24891"/>
    <w:rsid w:val="00C24ED3"/>
    <w:rsid w:val="00C26011"/>
    <w:rsid w:val="00C264AC"/>
    <w:rsid w:val="00C26618"/>
    <w:rsid w:val="00C2699D"/>
    <w:rsid w:val="00C26E52"/>
    <w:rsid w:val="00C274D1"/>
    <w:rsid w:val="00C30881"/>
    <w:rsid w:val="00C309E6"/>
    <w:rsid w:val="00C3129C"/>
    <w:rsid w:val="00C32871"/>
    <w:rsid w:val="00C334FB"/>
    <w:rsid w:val="00C33D13"/>
    <w:rsid w:val="00C34F53"/>
    <w:rsid w:val="00C350F9"/>
    <w:rsid w:val="00C36514"/>
    <w:rsid w:val="00C36DB4"/>
    <w:rsid w:val="00C36E0F"/>
    <w:rsid w:val="00C371A1"/>
    <w:rsid w:val="00C4032C"/>
    <w:rsid w:val="00C40806"/>
    <w:rsid w:val="00C409D5"/>
    <w:rsid w:val="00C42289"/>
    <w:rsid w:val="00C42976"/>
    <w:rsid w:val="00C43558"/>
    <w:rsid w:val="00C43DE7"/>
    <w:rsid w:val="00C44717"/>
    <w:rsid w:val="00C45EE4"/>
    <w:rsid w:val="00C46165"/>
    <w:rsid w:val="00C46CB6"/>
    <w:rsid w:val="00C46CE2"/>
    <w:rsid w:val="00C47105"/>
    <w:rsid w:val="00C47268"/>
    <w:rsid w:val="00C47E26"/>
    <w:rsid w:val="00C50610"/>
    <w:rsid w:val="00C512DB"/>
    <w:rsid w:val="00C514A8"/>
    <w:rsid w:val="00C516ED"/>
    <w:rsid w:val="00C5194B"/>
    <w:rsid w:val="00C52C38"/>
    <w:rsid w:val="00C52FC2"/>
    <w:rsid w:val="00C53A20"/>
    <w:rsid w:val="00C5453A"/>
    <w:rsid w:val="00C5595D"/>
    <w:rsid w:val="00C55FCE"/>
    <w:rsid w:val="00C5611C"/>
    <w:rsid w:val="00C56BCD"/>
    <w:rsid w:val="00C57DAD"/>
    <w:rsid w:val="00C60255"/>
    <w:rsid w:val="00C612C5"/>
    <w:rsid w:val="00C6137E"/>
    <w:rsid w:val="00C6156A"/>
    <w:rsid w:val="00C615F8"/>
    <w:rsid w:val="00C624B3"/>
    <w:rsid w:val="00C62E7D"/>
    <w:rsid w:val="00C63480"/>
    <w:rsid w:val="00C634EC"/>
    <w:rsid w:val="00C6419D"/>
    <w:rsid w:val="00C6522B"/>
    <w:rsid w:val="00C66749"/>
    <w:rsid w:val="00C67202"/>
    <w:rsid w:val="00C6731F"/>
    <w:rsid w:val="00C6786C"/>
    <w:rsid w:val="00C705D2"/>
    <w:rsid w:val="00C70B4D"/>
    <w:rsid w:val="00C70BF7"/>
    <w:rsid w:val="00C711CF"/>
    <w:rsid w:val="00C71A36"/>
    <w:rsid w:val="00C7250C"/>
    <w:rsid w:val="00C7333C"/>
    <w:rsid w:val="00C73408"/>
    <w:rsid w:val="00C7358D"/>
    <w:rsid w:val="00C74C83"/>
    <w:rsid w:val="00C75537"/>
    <w:rsid w:val="00C75E37"/>
    <w:rsid w:val="00C764C4"/>
    <w:rsid w:val="00C76923"/>
    <w:rsid w:val="00C77A7C"/>
    <w:rsid w:val="00C82833"/>
    <w:rsid w:val="00C82973"/>
    <w:rsid w:val="00C82E84"/>
    <w:rsid w:val="00C83959"/>
    <w:rsid w:val="00C842AB"/>
    <w:rsid w:val="00C84737"/>
    <w:rsid w:val="00C85468"/>
    <w:rsid w:val="00C85731"/>
    <w:rsid w:val="00C8589F"/>
    <w:rsid w:val="00C86940"/>
    <w:rsid w:val="00C86C18"/>
    <w:rsid w:val="00C8768A"/>
    <w:rsid w:val="00C901E1"/>
    <w:rsid w:val="00C903FD"/>
    <w:rsid w:val="00C90A73"/>
    <w:rsid w:val="00C90AC1"/>
    <w:rsid w:val="00C90B6C"/>
    <w:rsid w:val="00C91AEC"/>
    <w:rsid w:val="00C937BB"/>
    <w:rsid w:val="00C943AC"/>
    <w:rsid w:val="00C94A13"/>
    <w:rsid w:val="00C965D4"/>
    <w:rsid w:val="00C96785"/>
    <w:rsid w:val="00CA10B3"/>
    <w:rsid w:val="00CA159E"/>
    <w:rsid w:val="00CA1681"/>
    <w:rsid w:val="00CA2966"/>
    <w:rsid w:val="00CA2A7A"/>
    <w:rsid w:val="00CA5572"/>
    <w:rsid w:val="00CA5C48"/>
    <w:rsid w:val="00CA621A"/>
    <w:rsid w:val="00CA6AD8"/>
    <w:rsid w:val="00CA731F"/>
    <w:rsid w:val="00CA7B1F"/>
    <w:rsid w:val="00CA7BE6"/>
    <w:rsid w:val="00CB07F6"/>
    <w:rsid w:val="00CB1C9A"/>
    <w:rsid w:val="00CB1E2A"/>
    <w:rsid w:val="00CB2E06"/>
    <w:rsid w:val="00CB2E79"/>
    <w:rsid w:val="00CB3EE0"/>
    <w:rsid w:val="00CB47C9"/>
    <w:rsid w:val="00CB4CBB"/>
    <w:rsid w:val="00CB5C2D"/>
    <w:rsid w:val="00CB66D0"/>
    <w:rsid w:val="00CC0397"/>
    <w:rsid w:val="00CC05A8"/>
    <w:rsid w:val="00CC0EB2"/>
    <w:rsid w:val="00CC10D8"/>
    <w:rsid w:val="00CC1759"/>
    <w:rsid w:val="00CC2A7E"/>
    <w:rsid w:val="00CC4E1D"/>
    <w:rsid w:val="00CC5057"/>
    <w:rsid w:val="00CC5845"/>
    <w:rsid w:val="00CC5EEC"/>
    <w:rsid w:val="00CC6A45"/>
    <w:rsid w:val="00CC7CF9"/>
    <w:rsid w:val="00CD0276"/>
    <w:rsid w:val="00CD13B8"/>
    <w:rsid w:val="00CD1C3B"/>
    <w:rsid w:val="00CD4317"/>
    <w:rsid w:val="00CD4327"/>
    <w:rsid w:val="00CD4562"/>
    <w:rsid w:val="00CD5C9E"/>
    <w:rsid w:val="00CD648D"/>
    <w:rsid w:val="00CD6825"/>
    <w:rsid w:val="00CD6DA0"/>
    <w:rsid w:val="00CD70B8"/>
    <w:rsid w:val="00CD7131"/>
    <w:rsid w:val="00CD757C"/>
    <w:rsid w:val="00CD77A9"/>
    <w:rsid w:val="00CD77DB"/>
    <w:rsid w:val="00CD7A56"/>
    <w:rsid w:val="00CE062C"/>
    <w:rsid w:val="00CE0DFF"/>
    <w:rsid w:val="00CE0E3C"/>
    <w:rsid w:val="00CE1442"/>
    <w:rsid w:val="00CE145E"/>
    <w:rsid w:val="00CE3684"/>
    <w:rsid w:val="00CE3EF5"/>
    <w:rsid w:val="00CE4A3B"/>
    <w:rsid w:val="00CE5087"/>
    <w:rsid w:val="00CE5B75"/>
    <w:rsid w:val="00CE5E66"/>
    <w:rsid w:val="00CE5F07"/>
    <w:rsid w:val="00CE6D4A"/>
    <w:rsid w:val="00CE70DB"/>
    <w:rsid w:val="00CE73C8"/>
    <w:rsid w:val="00CF089F"/>
    <w:rsid w:val="00CF09A0"/>
    <w:rsid w:val="00CF0A41"/>
    <w:rsid w:val="00CF0D8A"/>
    <w:rsid w:val="00CF1352"/>
    <w:rsid w:val="00CF4ACF"/>
    <w:rsid w:val="00CF4D6C"/>
    <w:rsid w:val="00CF5253"/>
    <w:rsid w:val="00CF55F2"/>
    <w:rsid w:val="00D006F0"/>
    <w:rsid w:val="00D00DFA"/>
    <w:rsid w:val="00D01214"/>
    <w:rsid w:val="00D02162"/>
    <w:rsid w:val="00D02819"/>
    <w:rsid w:val="00D034B2"/>
    <w:rsid w:val="00D03770"/>
    <w:rsid w:val="00D05475"/>
    <w:rsid w:val="00D05A1A"/>
    <w:rsid w:val="00D06CD6"/>
    <w:rsid w:val="00D070FD"/>
    <w:rsid w:val="00D07800"/>
    <w:rsid w:val="00D07936"/>
    <w:rsid w:val="00D07D25"/>
    <w:rsid w:val="00D10A02"/>
    <w:rsid w:val="00D10ADB"/>
    <w:rsid w:val="00D10E80"/>
    <w:rsid w:val="00D115A2"/>
    <w:rsid w:val="00D1253F"/>
    <w:rsid w:val="00D1257C"/>
    <w:rsid w:val="00D12741"/>
    <w:rsid w:val="00D13C4D"/>
    <w:rsid w:val="00D13D5C"/>
    <w:rsid w:val="00D141AF"/>
    <w:rsid w:val="00D14BF6"/>
    <w:rsid w:val="00D153E4"/>
    <w:rsid w:val="00D155F6"/>
    <w:rsid w:val="00D1584F"/>
    <w:rsid w:val="00D1625F"/>
    <w:rsid w:val="00D16A02"/>
    <w:rsid w:val="00D173A6"/>
    <w:rsid w:val="00D173DE"/>
    <w:rsid w:val="00D20E62"/>
    <w:rsid w:val="00D20ECF"/>
    <w:rsid w:val="00D22C14"/>
    <w:rsid w:val="00D22F4A"/>
    <w:rsid w:val="00D233A6"/>
    <w:rsid w:val="00D238C5"/>
    <w:rsid w:val="00D24534"/>
    <w:rsid w:val="00D24AD3"/>
    <w:rsid w:val="00D27B64"/>
    <w:rsid w:val="00D30413"/>
    <w:rsid w:val="00D30B5C"/>
    <w:rsid w:val="00D30B80"/>
    <w:rsid w:val="00D30FC3"/>
    <w:rsid w:val="00D312A1"/>
    <w:rsid w:val="00D315CD"/>
    <w:rsid w:val="00D31A9A"/>
    <w:rsid w:val="00D327DF"/>
    <w:rsid w:val="00D32990"/>
    <w:rsid w:val="00D334D3"/>
    <w:rsid w:val="00D336FA"/>
    <w:rsid w:val="00D33A5E"/>
    <w:rsid w:val="00D34B6E"/>
    <w:rsid w:val="00D34F23"/>
    <w:rsid w:val="00D35538"/>
    <w:rsid w:val="00D359F5"/>
    <w:rsid w:val="00D35DE2"/>
    <w:rsid w:val="00D36557"/>
    <w:rsid w:val="00D36B63"/>
    <w:rsid w:val="00D36CBA"/>
    <w:rsid w:val="00D36D7E"/>
    <w:rsid w:val="00D41668"/>
    <w:rsid w:val="00D41A5F"/>
    <w:rsid w:val="00D42AA0"/>
    <w:rsid w:val="00D42E4E"/>
    <w:rsid w:val="00D43660"/>
    <w:rsid w:val="00D44BE7"/>
    <w:rsid w:val="00D45C76"/>
    <w:rsid w:val="00D45D5E"/>
    <w:rsid w:val="00D46938"/>
    <w:rsid w:val="00D46D35"/>
    <w:rsid w:val="00D47091"/>
    <w:rsid w:val="00D47B56"/>
    <w:rsid w:val="00D505F7"/>
    <w:rsid w:val="00D50BBE"/>
    <w:rsid w:val="00D51289"/>
    <w:rsid w:val="00D512E2"/>
    <w:rsid w:val="00D51FAD"/>
    <w:rsid w:val="00D5246A"/>
    <w:rsid w:val="00D5326B"/>
    <w:rsid w:val="00D53C05"/>
    <w:rsid w:val="00D55708"/>
    <w:rsid w:val="00D55B4D"/>
    <w:rsid w:val="00D56A99"/>
    <w:rsid w:val="00D61298"/>
    <w:rsid w:val="00D61675"/>
    <w:rsid w:val="00D6192B"/>
    <w:rsid w:val="00D61A27"/>
    <w:rsid w:val="00D61C6C"/>
    <w:rsid w:val="00D62D9D"/>
    <w:rsid w:val="00D62E97"/>
    <w:rsid w:val="00D6305D"/>
    <w:rsid w:val="00D67E8D"/>
    <w:rsid w:val="00D702AC"/>
    <w:rsid w:val="00D713E8"/>
    <w:rsid w:val="00D7190E"/>
    <w:rsid w:val="00D7191B"/>
    <w:rsid w:val="00D72431"/>
    <w:rsid w:val="00D726F2"/>
    <w:rsid w:val="00D73048"/>
    <w:rsid w:val="00D73887"/>
    <w:rsid w:val="00D73DFA"/>
    <w:rsid w:val="00D74971"/>
    <w:rsid w:val="00D76827"/>
    <w:rsid w:val="00D77126"/>
    <w:rsid w:val="00D7745D"/>
    <w:rsid w:val="00D77A15"/>
    <w:rsid w:val="00D77D2C"/>
    <w:rsid w:val="00D80997"/>
    <w:rsid w:val="00D817C1"/>
    <w:rsid w:val="00D826F0"/>
    <w:rsid w:val="00D835E8"/>
    <w:rsid w:val="00D83EDB"/>
    <w:rsid w:val="00D84BE6"/>
    <w:rsid w:val="00D85D24"/>
    <w:rsid w:val="00D85ED2"/>
    <w:rsid w:val="00D8630D"/>
    <w:rsid w:val="00D87173"/>
    <w:rsid w:val="00D915FE"/>
    <w:rsid w:val="00D92052"/>
    <w:rsid w:val="00D9284F"/>
    <w:rsid w:val="00D92E54"/>
    <w:rsid w:val="00D92F57"/>
    <w:rsid w:val="00D93E82"/>
    <w:rsid w:val="00D9468D"/>
    <w:rsid w:val="00D955C3"/>
    <w:rsid w:val="00D969DB"/>
    <w:rsid w:val="00D96A71"/>
    <w:rsid w:val="00DA02A3"/>
    <w:rsid w:val="00DA053F"/>
    <w:rsid w:val="00DA06A3"/>
    <w:rsid w:val="00DA08E8"/>
    <w:rsid w:val="00DA21B1"/>
    <w:rsid w:val="00DA21C6"/>
    <w:rsid w:val="00DA259D"/>
    <w:rsid w:val="00DA2C9A"/>
    <w:rsid w:val="00DA3B30"/>
    <w:rsid w:val="00DA427F"/>
    <w:rsid w:val="00DA4311"/>
    <w:rsid w:val="00DA4481"/>
    <w:rsid w:val="00DA4F13"/>
    <w:rsid w:val="00DA6DD9"/>
    <w:rsid w:val="00DB22F3"/>
    <w:rsid w:val="00DB3898"/>
    <w:rsid w:val="00DB3980"/>
    <w:rsid w:val="00DB4366"/>
    <w:rsid w:val="00DB4601"/>
    <w:rsid w:val="00DB5062"/>
    <w:rsid w:val="00DB5481"/>
    <w:rsid w:val="00DB5B87"/>
    <w:rsid w:val="00DB5D25"/>
    <w:rsid w:val="00DB66F6"/>
    <w:rsid w:val="00DB6812"/>
    <w:rsid w:val="00DB68B9"/>
    <w:rsid w:val="00DB6BBA"/>
    <w:rsid w:val="00DB6F7F"/>
    <w:rsid w:val="00DB6FF8"/>
    <w:rsid w:val="00DC139B"/>
    <w:rsid w:val="00DC2A60"/>
    <w:rsid w:val="00DC2AB2"/>
    <w:rsid w:val="00DC2FD1"/>
    <w:rsid w:val="00DC31D8"/>
    <w:rsid w:val="00DC385F"/>
    <w:rsid w:val="00DC3E22"/>
    <w:rsid w:val="00DC7035"/>
    <w:rsid w:val="00DC754D"/>
    <w:rsid w:val="00DD03CC"/>
    <w:rsid w:val="00DD08B1"/>
    <w:rsid w:val="00DD0D31"/>
    <w:rsid w:val="00DD0F13"/>
    <w:rsid w:val="00DD1402"/>
    <w:rsid w:val="00DD1F35"/>
    <w:rsid w:val="00DD248C"/>
    <w:rsid w:val="00DD2B8B"/>
    <w:rsid w:val="00DD388F"/>
    <w:rsid w:val="00DD3A65"/>
    <w:rsid w:val="00DD3FD9"/>
    <w:rsid w:val="00DD463C"/>
    <w:rsid w:val="00DD4F9C"/>
    <w:rsid w:val="00DD557D"/>
    <w:rsid w:val="00DD5940"/>
    <w:rsid w:val="00DD5F1C"/>
    <w:rsid w:val="00DD6A29"/>
    <w:rsid w:val="00DE1D18"/>
    <w:rsid w:val="00DE20F0"/>
    <w:rsid w:val="00DE2FBD"/>
    <w:rsid w:val="00DE3091"/>
    <w:rsid w:val="00DE3622"/>
    <w:rsid w:val="00DE3BE3"/>
    <w:rsid w:val="00DE49B0"/>
    <w:rsid w:val="00DE5F98"/>
    <w:rsid w:val="00DE661D"/>
    <w:rsid w:val="00DE70A5"/>
    <w:rsid w:val="00DE7A89"/>
    <w:rsid w:val="00DF0CB6"/>
    <w:rsid w:val="00DF1930"/>
    <w:rsid w:val="00DF21C0"/>
    <w:rsid w:val="00DF377C"/>
    <w:rsid w:val="00DF439C"/>
    <w:rsid w:val="00DF4B6B"/>
    <w:rsid w:val="00DF53A7"/>
    <w:rsid w:val="00DF605F"/>
    <w:rsid w:val="00DF6211"/>
    <w:rsid w:val="00DF6A0F"/>
    <w:rsid w:val="00DF781B"/>
    <w:rsid w:val="00DF79EE"/>
    <w:rsid w:val="00E01CA2"/>
    <w:rsid w:val="00E01E26"/>
    <w:rsid w:val="00E036D2"/>
    <w:rsid w:val="00E045C1"/>
    <w:rsid w:val="00E05898"/>
    <w:rsid w:val="00E0625E"/>
    <w:rsid w:val="00E06877"/>
    <w:rsid w:val="00E06F1C"/>
    <w:rsid w:val="00E1104A"/>
    <w:rsid w:val="00E112B0"/>
    <w:rsid w:val="00E12219"/>
    <w:rsid w:val="00E12823"/>
    <w:rsid w:val="00E13D07"/>
    <w:rsid w:val="00E13D67"/>
    <w:rsid w:val="00E1400C"/>
    <w:rsid w:val="00E14088"/>
    <w:rsid w:val="00E1482B"/>
    <w:rsid w:val="00E14ACE"/>
    <w:rsid w:val="00E14D4E"/>
    <w:rsid w:val="00E162CD"/>
    <w:rsid w:val="00E1694C"/>
    <w:rsid w:val="00E20B6A"/>
    <w:rsid w:val="00E20BD9"/>
    <w:rsid w:val="00E20C54"/>
    <w:rsid w:val="00E20CBC"/>
    <w:rsid w:val="00E20F6D"/>
    <w:rsid w:val="00E21A82"/>
    <w:rsid w:val="00E222B0"/>
    <w:rsid w:val="00E22517"/>
    <w:rsid w:val="00E25024"/>
    <w:rsid w:val="00E256FC"/>
    <w:rsid w:val="00E25F23"/>
    <w:rsid w:val="00E263F9"/>
    <w:rsid w:val="00E3180E"/>
    <w:rsid w:val="00E32125"/>
    <w:rsid w:val="00E32885"/>
    <w:rsid w:val="00E32DC9"/>
    <w:rsid w:val="00E34AAC"/>
    <w:rsid w:val="00E34D05"/>
    <w:rsid w:val="00E3580B"/>
    <w:rsid w:val="00E36D0F"/>
    <w:rsid w:val="00E3738D"/>
    <w:rsid w:val="00E3783C"/>
    <w:rsid w:val="00E402ED"/>
    <w:rsid w:val="00E40779"/>
    <w:rsid w:val="00E4160C"/>
    <w:rsid w:val="00E41EB7"/>
    <w:rsid w:val="00E42470"/>
    <w:rsid w:val="00E42553"/>
    <w:rsid w:val="00E42B0C"/>
    <w:rsid w:val="00E442FC"/>
    <w:rsid w:val="00E44B54"/>
    <w:rsid w:val="00E4728B"/>
    <w:rsid w:val="00E50059"/>
    <w:rsid w:val="00E50A94"/>
    <w:rsid w:val="00E51B74"/>
    <w:rsid w:val="00E529F9"/>
    <w:rsid w:val="00E5300C"/>
    <w:rsid w:val="00E53F60"/>
    <w:rsid w:val="00E54826"/>
    <w:rsid w:val="00E54A0F"/>
    <w:rsid w:val="00E54B13"/>
    <w:rsid w:val="00E55DE8"/>
    <w:rsid w:val="00E56DBD"/>
    <w:rsid w:val="00E57336"/>
    <w:rsid w:val="00E575F7"/>
    <w:rsid w:val="00E602C9"/>
    <w:rsid w:val="00E62432"/>
    <w:rsid w:val="00E62CB9"/>
    <w:rsid w:val="00E63145"/>
    <w:rsid w:val="00E631F4"/>
    <w:rsid w:val="00E63F92"/>
    <w:rsid w:val="00E640B6"/>
    <w:rsid w:val="00E65236"/>
    <w:rsid w:val="00E6624D"/>
    <w:rsid w:val="00E67BC0"/>
    <w:rsid w:val="00E67DEB"/>
    <w:rsid w:val="00E707F2"/>
    <w:rsid w:val="00E7117E"/>
    <w:rsid w:val="00E72372"/>
    <w:rsid w:val="00E73AED"/>
    <w:rsid w:val="00E73C9B"/>
    <w:rsid w:val="00E74037"/>
    <w:rsid w:val="00E7441C"/>
    <w:rsid w:val="00E7619E"/>
    <w:rsid w:val="00E77D9A"/>
    <w:rsid w:val="00E80058"/>
    <w:rsid w:val="00E81D1A"/>
    <w:rsid w:val="00E82E14"/>
    <w:rsid w:val="00E8418C"/>
    <w:rsid w:val="00E84C28"/>
    <w:rsid w:val="00E84CB9"/>
    <w:rsid w:val="00E859C6"/>
    <w:rsid w:val="00E85E48"/>
    <w:rsid w:val="00E86943"/>
    <w:rsid w:val="00E86D3D"/>
    <w:rsid w:val="00E86D4B"/>
    <w:rsid w:val="00E87036"/>
    <w:rsid w:val="00E871A4"/>
    <w:rsid w:val="00E877B5"/>
    <w:rsid w:val="00E87D0F"/>
    <w:rsid w:val="00E9006F"/>
    <w:rsid w:val="00E90825"/>
    <w:rsid w:val="00E92627"/>
    <w:rsid w:val="00E9285F"/>
    <w:rsid w:val="00E93430"/>
    <w:rsid w:val="00E9354B"/>
    <w:rsid w:val="00E93708"/>
    <w:rsid w:val="00E948E1"/>
    <w:rsid w:val="00E94959"/>
    <w:rsid w:val="00E94961"/>
    <w:rsid w:val="00E976B3"/>
    <w:rsid w:val="00EA0AEB"/>
    <w:rsid w:val="00EA30FF"/>
    <w:rsid w:val="00EA39E3"/>
    <w:rsid w:val="00EA3F0D"/>
    <w:rsid w:val="00EA69A8"/>
    <w:rsid w:val="00EA6FD3"/>
    <w:rsid w:val="00EA7448"/>
    <w:rsid w:val="00EA7D3A"/>
    <w:rsid w:val="00EB0571"/>
    <w:rsid w:val="00EB05B9"/>
    <w:rsid w:val="00EB1E1B"/>
    <w:rsid w:val="00EB2566"/>
    <w:rsid w:val="00EB3BC2"/>
    <w:rsid w:val="00EB401E"/>
    <w:rsid w:val="00EB5265"/>
    <w:rsid w:val="00EB72B2"/>
    <w:rsid w:val="00EB740B"/>
    <w:rsid w:val="00EB740C"/>
    <w:rsid w:val="00EC1EA5"/>
    <w:rsid w:val="00EC3460"/>
    <w:rsid w:val="00EC4E90"/>
    <w:rsid w:val="00EC6468"/>
    <w:rsid w:val="00EC6CA2"/>
    <w:rsid w:val="00ED0206"/>
    <w:rsid w:val="00ED0CB3"/>
    <w:rsid w:val="00ED1D80"/>
    <w:rsid w:val="00ED23B5"/>
    <w:rsid w:val="00ED28F0"/>
    <w:rsid w:val="00ED58E3"/>
    <w:rsid w:val="00ED6265"/>
    <w:rsid w:val="00ED6C67"/>
    <w:rsid w:val="00EE049E"/>
    <w:rsid w:val="00EE1434"/>
    <w:rsid w:val="00EE19E4"/>
    <w:rsid w:val="00EE1BF3"/>
    <w:rsid w:val="00EE1E36"/>
    <w:rsid w:val="00EE2118"/>
    <w:rsid w:val="00EE2F5F"/>
    <w:rsid w:val="00EE3F71"/>
    <w:rsid w:val="00EE43EF"/>
    <w:rsid w:val="00EE489D"/>
    <w:rsid w:val="00EE6075"/>
    <w:rsid w:val="00EE709E"/>
    <w:rsid w:val="00EE78E8"/>
    <w:rsid w:val="00EE7BB8"/>
    <w:rsid w:val="00EF0FA9"/>
    <w:rsid w:val="00EF1082"/>
    <w:rsid w:val="00EF3AF5"/>
    <w:rsid w:val="00EF4546"/>
    <w:rsid w:val="00EF5398"/>
    <w:rsid w:val="00EF5CF8"/>
    <w:rsid w:val="00EF5FEA"/>
    <w:rsid w:val="00EF62CB"/>
    <w:rsid w:val="00EF6847"/>
    <w:rsid w:val="00EF7ED6"/>
    <w:rsid w:val="00F002C2"/>
    <w:rsid w:val="00F020B3"/>
    <w:rsid w:val="00F03793"/>
    <w:rsid w:val="00F04464"/>
    <w:rsid w:val="00F049EA"/>
    <w:rsid w:val="00F04B98"/>
    <w:rsid w:val="00F04E63"/>
    <w:rsid w:val="00F04F01"/>
    <w:rsid w:val="00F053B7"/>
    <w:rsid w:val="00F0543B"/>
    <w:rsid w:val="00F05B87"/>
    <w:rsid w:val="00F07308"/>
    <w:rsid w:val="00F07EC0"/>
    <w:rsid w:val="00F10F12"/>
    <w:rsid w:val="00F11274"/>
    <w:rsid w:val="00F1138D"/>
    <w:rsid w:val="00F11768"/>
    <w:rsid w:val="00F11DFA"/>
    <w:rsid w:val="00F12242"/>
    <w:rsid w:val="00F124DA"/>
    <w:rsid w:val="00F130DC"/>
    <w:rsid w:val="00F134AC"/>
    <w:rsid w:val="00F13B4E"/>
    <w:rsid w:val="00F14477"/>
    <w:rsid w:val="00F16E9F"/>
    <w:rsid w:val="00F17886"/>
    <w:rsid w:val="00F179A4"/>
    <w:rsid w:val="00F208AF"/>
    <w:rsid w:val="00F22CE4"/>
    <w:rsid w:val="00F246F2"/>
    <w:rsid w:val="00F24A28"/>
    <w:rsid w:val="00F24F75"/>
    <w:rsid w:val="00F253EB"/>
    <w:rsid w:val="00F255A8"/>
    <w:rsid w:val="00F26E56"/>
    <w:rsid w:val="00F27426"/>
    <w:rsid w:val="00F307E3"/>
    <w:rsid w:val="00F30F76"/>
    <w:rsid w:val="00F31266"/>
    <w:rsid w:val="00F31873"/>
    <w:rsid w:val="00F33541"/>
    <w:rsid w:val="00F33F3B"/>
    <w:rsid w:val="00F34D78"/>
    <w:rsid w:val="00F351D1"/>
    <w:rsid w:val="00F3536E"/>
    <w:rsid w:val="00F357E2"/>
    <w:rsid w:val="00F35901"/>
    <w:rsid w:val="00F35B60"/>
    <w:rsid w:val="00F35C75"/>
    <w:rsid w:val="00F37078"/>
    <w:rsid w:val="00F40D7C"/>
    <w:rsid w:val="00F42B4E"/>
    <w:rsid w:val="00F42C16"/>
    <w:rsid w:val="00F44560"/>
    <w:rsid w:val="00F44686"/>
    <w:rsid w:val="00F44D9B"/>
    <w:rsid w:val="00F44E14"/>
    <w:rsid w:val="00F44F98"/>
    <w:rsid w:val="00F450EE"/>
    <w:rsid w:val="00F47164"/>
    <w:rsid w:val="00F478CB"/>
    <w:rsid w:val="00F47C0C"/>
    <w:rsid w:val="00F5002A"/>
    <w:rsid w:val="00F50416"/>
    <w:rsid w:val="00F528F2"/>
    <w:rsid w:val="00F5334C"/>
    <w:rsid w:val="00F536B6"/>
    <w:rsid w:val="00F541DE"/>
    <w:rsid w:val="00F54C15"/>
    <w:rsid w:val="00F557F2"/>
    <w:rsid w:val="00F5658E"/>
    <w:rsid w:val="00F5699E"/>
    <w:rsid w:val="00F56DBA"/>
    <w:rsid w:val="00F571BF"/>
    <w:rsid w:val="00F574B0"/>
    <w:rsid w:val="00F609DF"/>
    <w:rsid w:val="00F61D26"/>
    <w:rsid w:val="00F624DA"/>
    <w:rsid w:val="00F6436D"/>
    <w:rsid w:val="00F66FB3"/>
    <w:rsid w:val="00F6718A"/>
    <w:rsid w:val="00F67C18"/>
    <w:rsid w:val="00F70522"/>
    <w:rsid w:val="00F71B23"/>
    <w:rsid w:val="00F7208F"/>
    <w:rsid w:val="00F73E33"/>
    <w:rsid w:val="00F73F33"/>
    <w:rsid w:val="00F74B42"/>
    <w:rsid w:val="00F75542"/>
    <w:rsid w:val="00F76FF7"/>
    <w:rsid w:val="00F77694"/>
    <w:rsid w:val="00F77853"/>
    <w:rsid w:val="00F779DF"/>
    <w:rsid w:val="00F77A3B"/>
    <w:rsid w:val="00F80C23"/>
    <w:rsid w:val="00F8278A"/>
    <w:rsid w:val="00F82FA4"/>
    <w:rsid w:val="00F83173"/>
    <w:rsid w:val="00F83DCF"/>
    <w:rsid w:val="00F86217"/>
    <w:rsid w:val="00F91566"/>
    <w:rsid w:val="00F91FEF"/>
    <w:rsid w:val="00F9293E"/>
    <w:rsid w:val="00F9343D"/>
    <w:rsid w:val="00F93580"/>
    <w:rsid w:val="00F93A50"/>
    <w:rsid w:val="00F93B08"/>
    <w:rsid w:val="00F93CC3"/>
    <w:rsid w:val="00F94E50"/>
    <w:rsid w:val="00F94F75"/>
    <w:rsid w:val="00F95689"/>
    <w:rsid w:val="00F9632F"/>
    <w:rsid w:val="00F97250"/>
    <w:rsid w:val="00FA1475"/>
    <w:rsid w:val="00FA2DB4"/>
    <w:rsid w:val="00FA31DD"/>
    <w:rsid w:val="00FA3429"/>
    <w:rsid w:val="00FA4FB5"/>
    <w:rsid w:val="00FA6BE5"/>
    <w:rsid w:val="00FA7C71"/>
    <w:rsid w:val="00FB13F6"/>
    <w:rsid w:val="00FB1E92"/>
    <w:rsid w:val="00FB35EA"/>
    <w:rsid w:val="00FB397E"/>
    <w:rsid w:val="00FB398A"/>
    <w:rsid w:val="00FB3B89"/>
    <w:rsid w:val="00FB4267"/>
    <w:rsid w:val="00FB44FD"/>
    <w:rsid w:val="00FB5AC5"/>
    <w:rsid w:val="00FB6484"/>
    <w:rsid w:val="00FB6584"/>
    <w:rsid w:val="00FB67D4"/>
    <w:rsid w:val="00FB682B"/>
    <w:rsid w:val="00FB723B"/>
    <w:rsid w:val="00FC1905"/>
    <w:rsid w:val="00FC419F"/>
    <w:rsid w:val="00FC458B"/>
    <w:rsid w:val="00FC5A50"/>
    <w:rsid w:val="00FC64D3"/>
    <w:rsid w:val="00FC66D6"/>
    <w:rsid w:val="00FC683D"/>
    <w:rsid w:val="00FC6931"/>
    <w:rsid w:val="00FC6EC9"/>
    <w:rsid w:val="00FC722A"/>
    <w:rsid w:val="00FD03B1"/>
    <w:rsid w:val="00FD11E2"/>
    <w:rsid w:val="00FD1477"/>
    <w:rsid w:val="00FD15CB"/>
    <w:rsid w:val="00FD18FC"/>
    <w:rsid w:val="00FD1E37"/>
    <w:rsid w:val="00FD1F9A"/>
    <w:rsid w:val="00FD225F"/>
    <w:rsid w:val="00FD38EC"/>
    <w:rsid w:val="00FD4E64"/>
    <w:rsid w:val="00FD652D"/>
    <w:rsid w:val="00FD659F"/>
    <w:rsid w:val="00FD6A97"/>
    <w:rsid w:val="00FD7713"/>
    <w:rsid w:val="00FE014D"/>
    <w:rsid w:val="00FE17AA"/>
    <w:rsid w:val="00FE2660"/>
    <w:rsid w:val="00FE29A6"/>
    <w:rsid w:val="00FE355A"/>
    <w:rsid w:val="00FE40E5"/>
    <w:rsid w:val="00FE5140"/>
    <w:rsid w:val="00FE53B4"/>
    <w:rsid w:val="00FE6627"/>
    <w:rsid w:val="00FE7450"/>
    <w:rsid w:val="00FE7CF1"/>
    <w:rsid w:val="00FF18D4"/>
    <w:rsid w:val="00FF1DB0"/>
    <w:rsid w:val="00FF33F8"/>
    <w:rsid w:val="00FF480C"/>
    <w:rsid w:val="00FF549A"/>
    <w:rsid w:val="00FF5766"/>
    <w:rsid w:val="00FF6FC2"/>
    <w:rsid w:val="00FF6FE8"/>
    <w:rsid w:val="00FF78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D86F052"/>
  <w15:docId w15:val="{4FBD0EA3-DF32-4C14-9882-154C5667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273"/>
    <w:pPr>
      <w:spacing w:before="120" w:after="240" w:line="480" w:lineRule="auto"/>
    </w:pPr>
    <w:rPr>
      <w:sz w:val="24"/>
      <w:szCs w:val="24"/>
      <w:lang w:val="en-US" w:eastAsia="en-US"/>
    </w:rPr>
  </w:style>
  <w:style w:type="paragraph" w:styleId="Heading1">
    <w:name w:val="heading 1"/>
    <w:basedOn w:val="Heading2"/>
    <w:next w:val="Paragraph"/>
    <w:link w:val="Heading1Char"/>
    <w:uiPriority w:val="9"/>
    <w:qFormat/>
    <w:rsid w:val="006119DE"/>
    <w:pPr>
      <w:outlineLvl w:val="0"/>
    </w:pPr>
    <w:rPr>
      <w:i w:val="0"/>
    </w:rPr>
  </w:style>
  <w:style w:type="paragraph" w:styleId="Heading2">
    <w:name w:val="heading 2"/>
    <w:basedOn w:val="Normal"/>
    <w:next w:val="Paragraph"/>
    <w:link w:val="Heading2Char"/>
    <w:uiPriority w:val="9"/>
    <w:qFormat/>
    <w:rsid w:val="006119DE"/>
    <w:pPr>
      <w:keepNext/>
      <w:outlineLvl w:val="1"/>
    </w:pPr>
    <w:rPr>
      <w:b/>
      <w:i/>
    </w:rPr>
  </w:style>
  <w:style w:type="paragraph" w:styleId="Heading3">
    <w:name w:val="heading 3"/>
    <w:basedOn w:val="Normal"/>
    <w:next w:val="Paragraph"/>
    <w:link w:val="Heading3Char"/>
    <w:uiPriority w:val="9"/>
    <w:qFormat/>
    <w:rsid w:val="00B51FA1"/>
    <w:pPr>
      <w:keepNext/>
      <w:outlineLvl w:val="2"/>
    </w:pPr>
    <w:rPr>
      <w:i/>
    </w:rPr>
  </w:style>
  <w:style w:type="paragraph" w:styleId="Heading4">
    <w:name w:val="heading 4"/>
    <w:basedOn w:val="Normal"/>
    <w:next w:val="Paragraph"/>
    <w:link w:val="Heading4Char"/>
    <w:uiPriority w:val="9"/>
    <w:qFormat/>
    <w:rsid w:val="00763B78"/>
    <w:pPr>
      <w:outlineLvl w:val="3"/>
    </w:pPr>
    <w:rPr>
      <w:b/>
    </w:rPr>
  </w:style>
  <w:style w:type="paragraph" w:styleId="Heading5">
    <w:name w:val="heading 5"/>
    <w:next w:val="Paragraph"/>
    <w:link w:val="Heading5Char"/>
    <w:uiPriority w:val="9"/>
    <w:qFormat/>
    <w:rsid w:val="005F5871"/>
    <w:pPr>
      <w:keepNext/>
      <w:numPr>
        <w:ilvl w:val="4"/>
        <w:numId w:val="20"/>
      </w:numPr>
      <w:spacing w:before="120" w:after="120"/>
      <w:outlineLvl w:val="4"/>
    </w:pPr>
    <w:rPr>
      <w:b/>
      <w:iCs/>
      <w:sz w:val="24"/>
      <w:szCs w:val="24"/>
      <w:lang w:val="en-US" w:eastAsia="en-US"/>
    </w:rPr>
  </w:style>
  <w:style w:type="paragraph" w:styleId="Heading6">
    <w:name w:val="heading 6"/>
    <w:next w:val="Paragraph"/>
    <w:link w:val="Heading6Char"/>
    <w:qFormat/>
    <w:rsid w:val="005F5871"/>
    <w:pPr>
      <w:keepNext/>
      <w:numPr>
        <w:ilvl w:val="5"/>
        <w:numId w:val="20"/>
      </w:numPr>
      <w:spacing w:before="120" w:after="120"/>
      <w:outlineLvl w:val="5"/>
    </w:pPr>
    <w:rPr>
      <w:b/>
      <w:iCs/>
      <w:sz w:val="24"/>
      <w:szCs w:val="24"/>
      <w:lang w:val="en-US" w:eastAsia="en-US"/>
    </w:rPr>
  </w:style>
  <w:style w:type="paragraph" w:styleId="Heading7">
    <w:name w:val="heading 7"/>
    <w:next w:val="Paragraph"/>
    <w:link w:val="Heading7Char"/>
    <w:uiPriority w:val="9"/>
    <w:qFormat/>
    <w:rsid w:val="005F5871"/>
    <w:pPr>
      <w:keepNext/>
      <w:numPr>
        <w:ilvl w:val="6"/>
        <w:numId w:val="20"/>
      </w:numPr>
      <w:spacing w:before="120" w:after="120"/>
      <w:outlineLvl w:val="6"/>
    </w:pPr>
    <w:rPr>
      <w:b/>
      <w:iCs/>
      <w:sz w:val="24"/>
      <w:szCs w:val="24"/>
      <w:lang w:val="en-US" w:eastAsia="en-US"/>
    </w:rPr>
  </w:style>
  <w:style w:type="paragraph" w:styleId="Heading8">
    <w:name w:val="heading 8"/>
    <w:next w:val="Paragraph"/>
    <w:link w:val="Heading8Char"/>
    <w:uiPriority w:val="9"/>
    <w:qFormat/>
    <w:rsid w:val="005F5871"/>
    <w:pPr>
      <w:keepNext/>
      <w:numPr>
        <w:ilvl w:val="7"/>
        <w:numId w:val="20"/>
      </w:numPr>
      <w:spacing w:before="120" w:after="120"/>
      <w:outlineLvl w:val="7"/>
    </w:pPr>
    <w:rPr>
      <w:b/>
      <w:iCs/>
      <w:sz w:val="24"/>
      <w:szCs w:val="24"/>
      <w:lang w:val="en-US" w:eastAsia="en-US"/>
    </w:rPr>
  </w:style>
  <w:style w:type="paragraph" w:styleId="Heading9">
    <w:name w:val="heading 9"/>
    <w:next w:val="Paragraph"/>
    <w:link w:val="Heading9Char"/>
    <w:uiPriority w:val="9"/>
    <w:qFormat/>
    <w:rsid w:val="005F5871"/>
    <w:pPr>
      <w:keepNext/>
      <w:numPr>
        <w:ilvl w:val="8"/>
        <w:numId w:val="20"/>
      </w:numPr>
      <w:spacing w:before="120" w:after="120"/>
      <w:outlineLvl w:val="8"/>
    </w:pPr>
    <w:rPr>
      <w:b/>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5F5871"/>
    <w:pPr>
      <w:spacing w:after="240"/>
    </w:pPr>
    <w:rPr>
      <w:sz w:val="24"/>
      <w:szCs w:val="24"/>
      <w:lang w:val="en-US" w:eastAsia="en-US"/>
    </w:rPr>
  </w:style>
  <w:style w:type="character" w:customStyle="1" w:styleId="ParagraphChar">
    <w:name w:val="Paragraph Char"/>
    <w:link w:val="Paragraph"/>
    <w:rsid w:val="005F5871"/>
    <w:rPr>
      <w:sz w:val="24"/>
      <w:szCs w:val="24"/>
      <w:lang w:val="en-US" w:eastAsia="en-US" w:bidi="ar-SA"/>
    </w:rPr>
  </w:style>
  <w:style w:type="character" w:customStyle="1" w:styleId="Heading1Char">
    <w:name w:val="Heading 1 Char"/>
    <w:link w:val="Heading1"/>
    <w:uiPriority w:val="9"/>
    <w:rsid w:val="006119DE"/>
    <w:rPr>
      <w:b/>
      <w:sz w:val="24"/>
      <w:szCs w:val="24"/>
      <w:lang w:val="en-US" w:eastAsia="en-US"/>
    </w:rPr>
  </w:style>
  <w:style w:type="character" w:customStyle="1" w:styleId="Heading2Char">
    <w:name w:val="Heading 2 Char"/>
    <w:link w:val="Heading2"/>
    <w:uiPriority w:val="9"/>
    <w:rsid w:val="006119DE"/>
    <w:rPr>
      <w:b/>
      <w:i/>
      <w:sz w:val="24"/>
      <w:szCs w:val="24"/>
      <w:lang w:val="en-US" w:eastAsia="en-US"/>
    </w:rPr>
  </w:style>
  <w:style w:type="character" w:customStyle="1" w:styleId="Heading3Char">
    <w:name w:val="Heading 3 Char"/>
    <w:link w:val="Heading3"/>
    <w:uiPriority w:val="9"/>
    <w:rsid w:val="00B51FA1"/>
    <w:rPr>
      <w:i/>
      <w:sz w:val="24"/>
      <w:szCs w:val="24"/>
      <w:lang w:val="en-US" w:eastAsia="en-US"/>
    </w:rPr>
  </w:style>
  <w:style w:type="character" w:customStyle="1" w:styleId="Heading4Char">
    <w:name w:val="Heading 4 Char"/>
    <w:link w:val="Heading4"/>
    <w:uiPriority w:val="9"/>
    <w:rsid w:val="00763B78"/>
    <w:rPr>
      <w:b/>
      <w:sz w:val="24"/>
      <w:szCs w:val="24"/>
      <w:lang w:val="en-US" w:eastAsia="en-US"/>
    </w:rPr>
  </w:style>
  <w:style w:type="character" w:customStyle="1" w:styleId="Heading5Char">
    <w:name w:val="Heading 5 Char"/>
    <w:link w:val="Heading5"/>
    <w:uiPriority w:val="9"/>
    <w:rsid w:val="005F5871"/>
    <w:rPr>
      <w:b/>
      <w:iCs/>
      <w:sz w:val="24"/>
      <w:szCs w:val="24"/>
      <w:lang w:val="en-US" w:eastAsia="en-US"/>
    </w:rPr>
  </w:style>
  <w:style w:type="character" w:customStyle="1" w:styleId="Heading6Char">
    <w:name w:val="Heading 6 Char"/>
    <w:link w:val="Heading6"/>
    <w:rsid w:val="005F5871"/>
    <w:rPr>
      <w:b/>
      <w:iCs/>
      <w:sz w:val="24"/>
      <w:szCs w:val="24"/>
      <w:lang w:val="en-US" w:eastAsia="en-US"/>
    </w:rPr>
  </w:style>
  <w:style w:type="character" w:customStyle="1" w:styleId="Heading7Char">
    <w:name w:val="Heading 7 Char"/>
    <w:link w:val="Heading7"/>
    <w:uiPriority w:val="9"/>
    <w:rsid w:val="005F5871"/>
    <w:rPr>
      <w:b/>
      <w:iCs/>
      <w:sz w:val="24"/>
      <w:szCs w:val="24"/>
      <w:lang w:val="en-US" w:eastAsia="en-US"/>
    </w:rPr>
  </w:style>
  <w:style w:type="character" w:customStyle="1" w:styleId="Heading8Char">
    <w:name w:val="Heading 8 Char"/>
    <w:link w:val="Heading8"/>
    <w:uiPriority w:val="9"/>
    <w:rsid w:val="005F5871"/>
    <w:rPr>
      <w:b/>
      <w:iCs/>
      <w:sz w:val="24"/>
      <w:szCs w:val="24"/>
      <w:lang w:val="en-US" w:eastAsia="en-US"/>
    </w:rPr>
  </w:style>
  <w:style w:type="character" w:customStyle="1" w:styleId="Heading9Char">
    <w:name w:val="Heading 9 Char"/>
    <w:link w:val="Heading9"/>
    <w:uiPriority w:val="9"/>
    <w:rsid w:val="005F5871"/>
    <w:rPr>
      <w:b/>
      <w:iCs/>
      <w:sz w:val="24"/>
      <w:szCs w:val="24"/>
      <w:lang w:val="en-US" w:eastAsia="en-US"/>
    </w:rPr>
  </w:style>
  <w:style w:type="paragraph" w:customStyle="1" w:styleId="Appendix1">
    <w:name w:val="Appendix 1"/>
    <w:next w:val="Paragraph"/>
    <w:rsid w:val="005F5871"/>
    <w:pPr>
      <w:keepNext/>
      <w:numPr>
        <w:numId w:val="1"/>
      </w:numPr>
      <w:spacing w:after="240"/>
    </w:pPr>
    <w:rPr>
      <w:b/>
      <w:sz w:val="24"/>
      <w:szCs w:val="24"/>
      <w:lang w:val="en-US" w:eastAsia="en-US"/>
    </w:rPr>
  </w:style>
  <w:style w:type="paragraph" w:customStyle="1" w:styleId="Appendix2">
    <w:name w:val="Appendix 2"/>
    <w:next w:val="Paragraph"/>
    <w:rsid w:val="005F5871"/>
    <w:pPr>
      <w:keepNext/>
      <w:numPr>
        <w:ilvl w:val="1"/>
        <w:numId w:val="1"/>
      </w:numPr>
      <w:spacing w:after="240"/>
    </w:pPr>
    <w:rPr>
      <w:rFonts w:cs="Arial"/>
      <w:b/>
      <w:sz w:val="24"/>
      <w:szCs w:val="24"/>
      <w:lang w:val="en-US" w:eastAsia="en-US"/>
    </w:rPr>
  </w:style>
  <w:style w:type="paragraph" w:customStyle="1" w:styleId="Appendix3">
    <w:name w:val="Appendix 3"/>
    <w:next w:val="Paragraph"/>
    <w:rsid w:val="005F5871"/>
    <w:pPr>
      <w:keepNext/>
      <w:numPr>
        <w:ilvl w:val="2"/>
        <w:numId w:val="1"/>
      </w:numPr>
      <w:spacing w:after="240"/>
    </w:pPr>
    <w:rPr>
      <w:rFonts w:cs="Arial"/>
      <w:b/>
      <w:bCs/>
      <w:sz w:val="24"/>
      <w:szCs w:val="24"/>
      <w:lang w:val="en-US" w:eastAsia="en-US"/>
    </w:rPr>
  </w:style>
  <w:style w:type="paragraph" w:customStyle="1" w:styleId="AuthSig">
    <w:name w:val="AuthSig"/>
    <w:rsid w:val="005F5871"/>
    <w:pPr>
      <w:tabs>
        <w:tab w:val="right" w:pos="9000"/>
      </w:tabs>
    </w:pPr>
    <w:rPr>
      <w:sz w:val="24"/>
      <w:szCs w:val="24"/>
      <w:lang w:val="en-US" w:eastAsia="en-US"/>
    </w:rPr>
  </w:style>
  <w:style w:type="paragraph" w:styleId="Caption">
    <w:name w:val="caption"/>
    <w:aliases w:val="Footnote"/>
    <w:basedOn w:val="Normal"/>
    <w:next w:val="Paragraph"/>
    <w:uiPriority w:val="35"/>
    <w:qFormat/>
    <w:rsid w:val="00504408"/>
    <w:pPr>
      <w:spacing w:before="0" w:after="0"/>
    </w:pPr>
    <w:rPr>
      <w:sz w:val="20"/>
      <w:szCs w:val="20"/>
    </w:rPr>
  </w:style>
  <w:style w:type="paragraph" w:customStyle="1" w:styleId="EquationFootnote">
    <w:name w:val="Equation Footnote"/>
    <w:next w:val="Paragraph"/>
    <w:rsid w:val="005F5871"/>
    <w:rPr>
      <w:sz w:val="24"/>
      <w:lang w:val="en-US" w:eastAsia="en-US"/>
    </w:rPr>
  </w:style>
  <w:style w:type="character" w:customStyle="1" w:styleId="ExampleText">
    <w:name w:val="Example Text"/>
    <w:rsid w:val="005F5871"/>
    <w:rPr>
      <w:color w:val="FF0000"/>
    </w:rPr>
  </w:style>
  <w:style w:type="paragraph" w:customStyle="1" w:styleId="Figure">
    <w:name w:val="Figure"/>
    <w:next w:val="Paragraph"/>
    <w:rsid w:val="005F5871"/>
    <w:pPr>
      <w:spacing w:after="240"/>
    </w:pPr>
    <w:rPr>
      <w:lang w:val="en-US" w:eastAsia="en-US"/>
    </w:rPr>
  </w:style>
  <w:style w:type="paragraph" w:customStyle="1" w:styleId="FigureFootnote">
    <w:name w:val="Figure Footnote"/>
    <w:next w:val="Paragraph"/>
    <w:rsid w:val="005F5871"/>
    <w:pPr>
      <w:spacing w:after="240"/>
    </w:pPr>
    <w:rPr>
      <w:lang w:val="en-US" w:eastAsia="en-US"/>
    </w:rPr>
  </w:style>
  <w:style w:type="character" w:styleId="EndnoteReference">
    <w:name w:val="endnote reference"/>
    <w:rsid w:val="005F5871"/>
    <w:rPr>
      <w:rFonts w:ascii="Times New Roman" w:hAnsi="Times New Roman" w:cs="Arial"/>
      <w:vertAlign w:val="superscript"/>
    </w:rPr>
  </w:style>
  <w:style w:type="paragraph" w:styleId="EndnoteText">
    <w:name w:val="endnote text"/>
    <w:link w:val="EndnoteTextChar"/>
    <w:rsid w:val="005F5871"/>
    <w:pPr>
      <w:spacing w:after="240"/>
      <w:ind w:left="461" w:right="1440" w:hanging="461"/>
    </w:pPr>
    <w:rPr>
      <w:sz w:val="24"/>
      <w:lang w:val="en-US" w:eastAsia="en-US"/>
    </w:rPr>
  </w:style>
  <w:style w:type="character" w:customStyle="1" w:styleId="EndnoteTextChar">
    <w:name w:val="Endnote Text Char"/>
    <w:link w:val="EndnoteText"/>
    <w:rsid w:val="005F5871"/>
    <w:rPr>
      <w:sz w:val="24"/>
      <w:lang w:val="en-US" w:eastAsia="en-US" w:bidi="ar-SA"/>
    </w:rPr>
  </w:style>
  <w:style w:type="character" w:styleId="FootnoteReference">
    <w:name w:val="footnote reference"/>
    <w:uiPriority w:val="99"/>
    <w:rsid w:val="005F5871"/>
    <w:rPr>
      <w:vertAlign w:val="superscript"/>
    </w:rPr>
  </w:style>
  <w:style w:type="paragraph" w:styleId="BalloonText">
    <w:name w:val="Balloon Text"/>
    <w:basedOn w:val="Normal"/>
    <w:link w:val="BalloonTextChar"/>
    <w:rsid w:val="005F5871"/>
    <w:pPr>
      <w:overflowPunct w:val="0"/>
      <w:autoSpaceDE w:val="0"/>
      <w:autoSpaceDN w:val="0"/>
      <w:adjustRightInd w:val="0"/>
      <w:textAlignment w:val="baseline"/>
    </w:pPr>
    <w:rPr>
      <w:rFonts w:ascii="Tahoma" w:hAnsi="Tahoma"/>
      <w:sz w:val="16"/>
      <w:szCs w:val="16"/>
    </w:rPr>
  </w:style>
  <w:style w:type="character" w:customStyle="1" w:styleId="BalloonTextChar">
    <w:name w:val="Balloon Text Char"/>
    <w:link w:val="BalloonText"/>
    <w:rsid w:val="005F5871"/>
    <w:rPr>
      <w:rFonts w:ascii="Tahoma" w:hAnsi="Tahoma"/>
      <w:sz w:val="16"/>
      <w:szCs w:val="16"/>
      <w:lang w:val="en-US" w:eastAsia="en-US"/>
    </w:rPr>
  </w:style>
  <w:style w:type="paragraph" w:styleId="Footer">
    <w:name w:val="footer"/>
    <w:link w:val="FooterChar"/>
    <w:autoRedefine/>
    <w:uiPriority w:val="99"/>
    <w:rsid w:val="005F5871"/>
    <w:pPr>
      <w:jc w:val="center"/>
    </w:pPr>
    <w:rPr>
      <w:rFonts w:cs="Arial"/>
      <w:lang w:val="en-US" w:eastAsia="en-US"/>
    </w:rPr>
  </w:style>
  <w:style w:type="character" w:customStyle="1" w:styleId="FooterChar">
    <w:name w:val="Footer Char"/>
    <w:link w:val="Footer"/>
    <w:uiPriority w:val="99"/>
    <w:rsid w:val="005F5871"/>
    <w:rPr>
      <w:rFonts w:cs="Arial"/>
      <w:lang w:val="en-US" w:eastAsia="en-US" w:bidi="ar-SA"/>
    </w:rPr>
  </w:style>
  <w:style w:type="paragraph" w:styleId="FootnoteText">
    <w:name w:val="footnote text"/>
    <w:link w:val="FootnoteTextChar"/>
    <w:uiPriority w:val="99"/>
    <w:rsid w:val="005F5871"/>
    <w:pPr>
      <w:spacing w:after="120"/>
      <w:ind w:firstLine="461"/>
    </w:pPr>
    <w:rPr>
      <w:lang w:val="en-US" w:eastAsia="en-US"/>
    </w:rPr>
  </w:style>
  <w:style w:type="character" w:customStyle="1" w:styleId="FootnoteTextChar">
    <w:name w:val="Footnote Text Char"/>
    <w:link w:val="FootnoteText"/>
    <w:uiPriority w:val="99"/>
    <w:rsid w:val="005F5871"/>
    <w:rPr>
      <w:lang w:val="en-US" w:eastAsia="en-US" w:bidi="ar-SA"/>
    </w:rPr>
  </w:style>
  <w:style w:type="paragraph" w:styleId="Header">
    <w:name w:val="header"/>
    <w:link w:val="HeaderChar"/>
    <w:rsid w:val="005F5871"/>
    <w:pPr>
      <w:tabs>
        <w:tab w:val="right" w:pos="9000"/>
      </w:tabs>
    </w:pPr>
    <w:rPr>
      <w:rFonts w:cs="Arial"/>
      <w:lang w:val="en-US" w:eastAsia="en-US"/>
    </w:rPr>
  </w:style>
  <w:style w:type="character" w:customStyle="1" w:styleId="HeaderChar">
    <w:name w:val="Header Char"/>
    <w:link w:val="Header"/>
    <w:rsid w:val="005F5871"/>
    <w:rPr>
      <w:rFonts w:cs="Arial"/>
      <w:lang w:val="en-US" w:eastAsia="en-US" w:bidi="ar-SA"/>
    </w:rPr>
  </w:style>
  <w:style w:type="paragraph" w:customStyle="1" w:styleId="Heading1NoTOC">
    <w:name w:val="Heading 1 NoTOC"/>
    <w:next w:val="Paragraph"/>
    <w:rsid w:val="005F5871"/>
    <w:pPr>
      <w:keepNext/>
      <w:spacing w:before="120" w:after="120"/>
    </w:pPr>
    <w:rPr>
      <w:rFonts w:cs="Arial"/>
      <w:b/>
      <w:bCs/>
      <w:caps/>
      <w:sz w:val="24"/>
      <w:szCs w:val="28"/>
      <w:lang w:val="en-US" w:eastAsia="en-US"/>
    </w:rPr>
  </w:style>
  <w:style w:type="paragraph" w:customStyle="1" w:styleId="Heading1Unnumbered">
    <w:name w:val="Heading 1 Unnumbered"/>
    <w:next w:val="Paragraph"/>
    <w:rsid w:val="005F5871"/>
    <w:pPr>
      <w:keepNext/>
      <w:spacing w:before="120" w:after="120"/>
      <w:outlineLvl w:val="0"/>
    </w:pPr>
    <w:rPr>
      <w:rFonts w:cs="Arial"/>
      <w:b/>
      <w:bCs/>
      <w:caps/>
      <w:sz w:val="24"/>
      <w:szCs w:val="28"/>
      <w:lang w:val="en-US" w:eastAsia="en-US"/>
    </w:rPr>
  </w:style>
  <w:style w:type="paragraph" w:customStyle="1" w:styleId="Heading2NoTOC">
    <w:name w:val="Heading 2 NoTOC"/>
    <w:next w:val="Paragraph"/>
    <w:rsid w:val="005F5871"/>
    <w:pPr>
      <w:keepNext/>
      <w:spacing w:before="120" w:after="120"/>
    </w:pPr>
    <w:rPr>
      <w:rFonts w:cs="Arial"/>
      <w:b/>
      <w:bCs/>
      <w:sz w:val="24"/>
      <w:szCs w:val="26"/>
      <w:lang w:val="en-US" w:eastAsia="en-US"/>
    </w:rPr>
  </w:style>
  <w:style w:type="character" w:styleId="Hyperlink">
    <w:name w:val="Hyperlink"/>
    <w:uiPriority w:val="99"/>
    <w:rsid w:val="005F5871"/>
    <w:rPr>
      <w:color w:val="0000FF"/>
      <w:u w:val="none"/>
    </w:rPr>
  </w:style>
  <w:style w:type="paragraph" w:customStyle="1" w:styleId="ListAlpha">
    <w:name w:val="List Alpha"/>
    <w:rsid w:val="005F5871"/>
    <w:pPr>
      <w:numPr>
        <w:numId w:val="2"/>
      </w:numPr>
      <w:spacing w:after="240"/>
    </w:pPr>
    <w:rPr>
      <w:sz w:val="24"/>
      <w:szCs w:val="24"/>
      <w:lang w:val="en-US" w:eastAsia="en-US"/>
    </w:rPr>
  </w:style>
  <w:style w:type="paragraph" w:customStyle="1" w:styleId="ListAlpha2">
    <w:name w:val="List Alpha 2"/>
    <w:rsid w:val="005F5871"/>
    <w:pPr>
      <w:numPr>
        <w:numId w:val="3"/>
      </w:numPr>
      <w:spacing w:after="240"/>
    </w:pPr>
    <w:rPr>
      <w:sz w:val="24"/>
      <w:szCs w:val="24"/>
      <w:lang w:val="en-US" w:eastAsia="en-US"/>
    </w:rPr>
  </w:style>
  <w:style w:type="paragraph" w:customStyle="1" w:styleId="ListAlpha3">
    <w:name w:val="List Alpha 3"/>
    <w:rsid w:val="005F5871"/>
    <w:pPr>
      <w:numPr>
        <w:numId w:val="4"/>
      </w:numPr>
      <w:spacing w:after="240"/>
    </w:pPr>
    <w:rPr>
      <w:sz w:val="24"/>
      <w:szCs w:val="24"/>
      <w:lang w:val="en-US" w:eastAsia="en-US"/>
    </w:rPr>
  </w:style>
  <w:style w:type="paragraph" w:customStyle="1" w:styleId="ListAlpha4">
    <w:name w:val="List Alpha 4"/>
    <w:rsid w:val="005F5871"/>
    <w:pPr>
      <w:numPr>
        <w:numId w:val="5"/>
      </w:numPr>
      <w:spacing w:after="240"/>
    </w:pPr>
    <w:rPr>
      <w:sz w:val="24"/>
      <w:szCs w:val="24"/>
      <w:lang w:val="en-US" w:eastAsia="en-US"/>
    </w:rPr>
  </w:style>
  <w:style w:type="paragraph" w:customStyle="1" w:styleId="ListAlphaTable">
    <w:name w:val="List Alpha Table"/>
    <w:rsid w:val="005F5871"/>
    <w:pPr>
      <w:numPr>
        <w:numId w:val="6"/>
      </w:numPr>
    </w:pPr>
    <w:rPr>
      <w:lang w:val="en-US" w:eastAsia="en-US"/>
    </w:rPr>
  </w:style>
  <w:style w:type="paragraph" w:styleId="ListBullet">
    <w:name w:val="List Bullet"/>
    <w:rsid w:val="005F5871"/>
    <w:pPr>
      <w:numPr>
        <w:numId w:val="7"/>
      </w:numPr>
      <w:spacing w:after="240"/>
    </w:pPr>
    <w:rPr>
      <w:sz w:val="24"/>
      <w:szCs w:val="24"/>
      <w:lang w:val="en-US" w:eastAsia="en-US"/>
    </w:rPr>
  </w:style>
  <w:style w:type="paragraph" w:styleId="ListBullet2">
    <w:name w:val="List Bullet 2"/>
    <w:rsid w:val="005F5871"/>
    <w:pPr>
      <w:numPr>
        <w:numId w:val="8"/>
      </w:numPr>
      <w:spacing w:after="240"/>
    </w:pPr>
    <w:rPr>
      <w:sz w:val="24"/>
      <w:szCs w:val="24"/>
      <w:lang w:val="en-US" w:eastAsia="en-US"/>
    </w:rPr>
  </w:style>
  <w:style w:type="paragraph" w:styleId="ListBullet3">
    <w:name w:val="List Bullet 3"/>
    <w:rsid w:val="005F5871"/>
    <w:pPr>
      <w:numPr>
        <w:numId w:val="9"/>
      </w:numPr>
      <w:spacing w:after="240"/>
    </w:pPr>
    <w:rPr>
      <w:sz w:val="24"/>
      <w:szCs w:val="24"/>
      <w:lang w:val="en-US" w:eastAsia="en-US"/>
    </w:rPr>
  </w:style>
  <w:style w:type="paragraph" w:styleId="ListBullet4">
    <w:name w:val="List Bullet 4"/>
    <w:rsid w:val="005F5871"/>
    <w:pPr>
      <w:numPr>
        <w:numId w:val="10"/>
      </w:numPr>
      <w:spacing w:after="240"/>
    </w:pPr>
    <w:rPr>
      <w:sz w:val="24"/>
      <w:szCs w:val="24"/>
      <w:lang w:val="en-US" w:eastAsia="en-US"/>
    </w:rPr>
  </w:style>
  <w:style w:type="paragraph" w:styleId="ListBullet5">
    <w:name w:val="List Bullet 5"/>
    <w:rsid w:val="005F5871"/>
    <w:pPr>
      <w:numPr>
        <w:numId w:val="11"/>
      </w:numPr>
      <w:spacing w:after="240"/>
    </w:pPr>
    <w:rPr>
      <w:sz w:val="24"/>
      <w:lang w:val="en-US" w:eastAsia="en-US"/>
    </w:rPr>
  </w:style>
  <w:style w:type="paragraph" w:customStyle="1" w:styleId="ListBulletTable">
    <w:name w:val="List Bullet Table"/>
    <w:rsid w:val="005F5871"/>
    <w:pPr>
      <w:numPr>
        <w:numId w:val="12"/>
      </w:numPr>
    </w:pPr>
    <w:rPr>
      <w:lang w:val="en-US" w:eastAsia="en-US"/>
    </w:rPr>
  </w:style>
  <w:style w:type="paragraph" w:styleId="ListNumber">
    <w:name w:val="List Number"/>
    <w:rsid w:val="005F5871"/>
    <w:pPr>
      <w:numPr>
        <w:numId w:val="13"/>
      </w:numPr>
      <w:spacing w:after="240"/>
    </w:pPr>
    <w:rPr>
      <w:sz w:val="24"/>
      <w:szCs w:val="24"/>
      <w:lang w:val="en-US" w:eastAsia="en-US"/>
    </w:rPr>
  </w:style>
  <w:style w:type="paragraph" w:styleId="ListNumber2">
    <w:name w:val="List Number 2"/>
    <w:rsid w:val="005F5871"/>
    <w:pPr>
      <w:numPr>
        <w:numId w:val="14"/>
      </w:numPr>
      <w:spacing w:after="240"/>
    </w:pPr>
    <w:rPr>
      <w:sz w:val="24"/>
      <w:szCs w:val="24"/>
      <w:lang w:val="en-US" w:eastAsia="en-US"/>
    </w:rPr>
  </w:style>
  <w:style w:type="paragraph" w:styleId="ListNumber3">
    <w:name w:val="List Number 3"/>
    <w:rsid w:val="005F5871"/>
    <w:pPr>
      <w:numPr>
        <w:numId w:val="15"/>
      </w:numPr>
      <w:spacing w:after="240"/>
    </w:pPr>
    <w:rPr>
      <w:sz w:val="24"/>
      <w:szCs w:val="24"/>
      <w:lang w:val="en-US" w:eastAsia="en-US"/>
    </w:rPr>
  </w:style>
  <w:style w:type="paragraph" w:styleId="ListNumber4">
    <w:name w:val="List Number 4"/>
    <w:rsid w:val="005F5871"/>
    <w:pPr>
      <w:numPr>
        <w:numId w:val="16"/>
      </w:numPr>
      <w:spacing w:after="240"/>
    </w:pPr>
    <w:rPr>
      <w:sz w:val="24"/>
      <w:szCs w:val="24"/>
      <w:lang w:val="en-US" w:eastAsia="en-US"/>
    </w:rPr>
  </w:style>
  <w:style w:type="paragraph" w:styleId="ListNumber5">
    <w:name w:val="List Number 5"/>
    <w:rsid w:val="005F5871"/>
    <w:pPr>
      <w:numPr>
        <w:numId w:val="17"/>
      </w:numPr>
      <w:spacing w:after="240"/>
    </w:pPr>
    <w:rPr>
      <w:sz w:val="24"/>
      <w:szCs w:val="24"/>
      <w:lang w:val="en-US" w:eastAsia="en-US"/>
    </w:rPr>
  </w:style>
  <w:style w:type="paragraph" w:customStyle="1" w:styleId="ListNumberTable">
    <w:name w:val="List Number Table"/>
    <w:rsid w:val="005F5871"/>
    <w:pPr>
      <w:numPr>
        <w:numId w:val="18"/>
      </w:numPr>
    </w:pPr>
    <w:rPr>
      <w:lang w:val="en-US" w:eastAsia="en-US"/>
    </w:rPr>
  </w:style>
  <w:style w:type="paragraph" w:customStyle="1" w:styleId="ParagraphCentered">
    <w:name w:val="Paragraph Centered"/>
    <w:rsid w:val="005F5871"/>
    <w:pPr>
      <w:spacing w:after="240"/>
      <w:jc w:val="center"/>
    </w:pPr>
    <w:rPr>
      <w:bCs/>
      <w:sz w:val="24"/>
      <w:szCs w:val="24"/>
      <w:lang w:val="en-US" w:eastAsia="en-US"/>
    </w:rPr>
  </w:style>
  <w:style w:type="character" w:customStyle="1" w:styleId="TableText12">
    <w:name w:val="TableText 12"/>
    <w:rsid w:val="005F5871"/>
    <w:rPr>
      <w:rFonts w:ascii="Times New Roman" w:hAnsi="Times New Roman"/>
      <w:sz w:val="24"/>
    </w:rPr>
  </w:style>
  <w:style w:type="paragraph" w:customStyle="1" w:styleId="RefText">
    <w:name w:val="RefText"/>
    <w:rsid w:val="005F5871"/>
    <w:pPr>
      <w:numPr>
        <w:numId w:val="19"/>
      </w:numPr>
      <w:spacing w:after="240"/>
    </w:pPr>
    <w:rPr>
      <w:sz w:val="24"/>
      <w:szCs w:val="24"/>
      <w:lang w:val="en-US" w:eastAsia="en-US"/>
    </w:rPr>
  </w:style>
  <w:style w:type="paragraph" w:styleId="TableofFigures">
    <w:name w:val="table of figures"/>
    <w:basedOn w:val="Paragraph"/>
    <w:next w:val="Paragraph"/>
    <w:autoRedefine/>
    <w:uiPriority w:val="99"/>
    <w:rsid w:val="005F5871"/>
    <w:pPr>
      <w:keepLines/>
      <w:tabs>
        <w:tab w:val="right" w:leader="dot" w:pos="9000"/>
      </w:tabs>
      <w:spacing w:before="120" w:after="120"/>
      <w:ind w:left="1152" w:right="576" w:hanging="1152"/>
    </w:pPr>
    <w:rPr>
      <w:color w:val="0000FF"/>
    </w:rPr>
  </w:style>
  <w:style w:type="paragraph" w:customStyle="1" w:styleId="TableTextCenterSpace">
    <w:name w:val="TableText Center Space"/>
    <w:rsid w:val="005F5871"/>
    <w:pPr>
      <w:spacing w:before="60" w:after="60"/>
      <w:jc w:val="center"/>
    </w:pPr>
    <w:rPr>
      <w:lang w:val="en-US" w:eastAsia="en-US"/>
    </w:rPr>
  </w:style>
  <w:style w:type="paragraph" w:customStyle="1" w:styleId="TableTextCentered">
    <w:name w:val="TableText Centered"/>
    <w:link w:val="TableTextCenteredChar"/>
    <w:rsid w:val="005F5871"/>
    <w:pPr>
      <w:jc w:val="center"/>
    </w:pPr>
    <w:rPr>
      <w:lang w:val="en-US" w:eastAsia="en-US"/>
    </w:rPr>
  </w:style>
  <w:style w:type="paragraph" w:customStyle="1" w:styleId="TableTextColHead">
    <w:name w:val="TableText Col Head"/>
    <w:link w:val="TableTextColHeadChar"/>
    <w:rsid w:val="005F5871"/>
    <w:pPr>
      <w:jc w:val="center"/>
    </w:pPr>
    <w:rPr>
      <w:b/>
      <w:lang w:val="en-US" w:eastAsia="en-US"/>
    </w:rPr>
  </w:style>
  <w:style w:type="paragraph" w:customStyle="1" w:styleId="TableTextColHeadSpace">
    <w:name w:val="TableText Col Head Space"/>
    <w:next w:val="TableTextCentered"/>
    <w:rsid w:val="005F5871"/>
    <w:pPr>
      <w:spacing w:before="60" w:after="60"/>
      <w:jc w:val="center"/>
    </w:pPr>
    <w:rPr>
      <w:b/>
      <w:lang w:val="en-US" w:eastAsia="en-US"/>
    </w:rPr>
  </w:style>
  <w:style w:type="paragraph" w:customStyle="1" w:styleId="TableTextSpace">
    <w:name w:val="TableText Space"/>
    <w:rsid w:val="005F5871"/>
    <w:pPr>
      <w:spacing w:before="60" w:after="60"/>
    </w:pPr>
    <w:rPr>
      <w:lang w:val="en-US" w:eastAsia="en-US"/>
    </w:rPr>
  </w:style>
  <w:style w:type="paragraph" w:styleId="Title">
    <w:name w:val="Title"/>
    <w:next w:val="Paragraph"/>
    <w:link w:val="TitleChar"/>
    <w:qFormat/>
    <w:rsid w:val="005F5871"/>
    <w:pPr>
      <w:spacing w:before="240" w:after="240"/>
      <w:jc w:val="center"/>
    </w:pPr>
    <w:rPr>
      <w:rFonts w:cs="Arial"/>
      <w:b/>
      <w:bCs/>
      <w:caps/>
      <w:kern w:val="28"/>
      <w:sz w:val="24"/>
      <w:szCs w:val="32"/>
      <w:lang w:val="en-US" w:eastAsia="en-US"/>
    </w:rPr>
  </w:style>
  <w:style w:type="character" w:customStyle="1" w:styleId="TitleChar">
    <w:name w:val="Title Char"/>
    <w:link w:val="Title"/>
    <w:rsid w:val="005F5871"/>
    <w:rPr>
      <w:rFonts w:cs="Arial"/>
      <w:b/>
      <w:bCs/>
      <w:caps/>
      <w:kern w:val="28"/>
      <w:sz w:val="24"/>
      <w:szCs w:val="32"/>
      <w:lang w:val="en-US" w:eastAsia="en-US" w:bidi="ar-SA"/>
    </w:rPr>
  </w:style>
  <w:style w:type="paragraph" w:styleId="TOC1">
    <w:name w:val="toc 1"/>
    <w:basedOn w:val="Paragraph"/>
    <w:next w:val="Paragraph"/>
    <w:autoRedefine/>
    <w:uiPriority w:val="39"/>
    <w:rsid w:val="005F5871"/>
    <w:pPr>
      <w:keepLines/>
      <w:tabs>
        <w:tab w:val="right" w:leader="dot" w:pos="9000"/>
      </w:tabs>
      <w:spacing w:before="120" w:after="120"/>
      <w:ind w:left="288" w:right="576" w:hanging="288"/>
    </w:pPr>
    <w:rPr>
      <w:caps/>
      <w:color w:val="0000FF"/>
    </w:rPr>
  </w:style>
  <w:style w:type="paragraph" w:styleId="TOC2">
    <w:name w:val="toc 2"/>
    <w:basedOn w:val="Paragraph"/>
    <w:next w:val="Paragraph"/>
    <w:autoRedefine/>
    <w:uiPriority w:val="39"/>
    <w:rsid w:val="005F5871"/>
    <w:pPr>
      <w:keepLines/>
      <w:tabs>
        <w:tab w:val="right" w:leader="dot" w:pos="9000"/>
      </w:tabs>
      <w:spacing w:after="120"/>
      <w:ind w:left="864" w:right="576" w:hanging="288"/>
    </w:pPr>
    <w:rPr>
      <w:color w:val="0000FF"/>
    </w:rPr>
  </w:style>
  <w:style w:type="paragraph" w:styleId="TOC3">
    <w:name w:val="toc 3"/>
    <w:basedOn w:val="Paragraph"/>
    <w:next w:val="Paragraph"/>
    <w:autoRedefine/>
    <w:uiPriority w:val="39"/>
    <w:rsid w:val="005F5871"/>
    <w:pPr>
      <w:keepLines/>
      <w:tabs>
        <w:tab w:val="right" w:leader="dot" w:pos="9000"/>
      </w:tabs>
      <w:spacing w:after="120"/>
      <w:ind w:left="1440" w:right="576" w:hanging="1440"/>
    </w:pPr>
    <w:rPr>
      <w:color w:val="0000FF"/>
    </w:rPr>
  </w:style>
  <w:style w:type="paragraph" w:styleId="TOC4">
    <w:name w:val="toc 4"/>
    <w:basedOn w:val="Paragraph"/>
    <w:next w:val="Paragraph"/>
    <w:autoRedefine/>
    <w:uiPriority w:val="39"/>
    <w:rsid w:val="005F5871"/>
    <w:pPr>
      <w:keepLines/>
      <w:tabs>
        <w:tab w:val="right" w:leader="dot" w:pos="9000"/>
      </w:tabs>
      <w:spacing w:after="120"/>
      <w:ind w:left="1980" w:right="576" w:hanging="1440"/>
    </w:pPr>
    <w:rPr>
      <w:color w:val="0000FF"/>
    </w:rPr>
  </w:style>
  <w:style w:type="paragraph" w:customStyle="1" w:styleId="TOCX1">
    <w:name w:val="TOCX 1"/>
    <w:rsid w:val="005F5871"/>
    <w:pPr>
      <w:tabs>
        <w:tab w:val="left" w:pos="648"/>
        <w:tab w:val="right" w:leader="dot" w:pos="9000"/>
      </w:tabs>
      <w:spacing w:before="60" w:after="60"/>
      <w:ind w:left="547" w:right="-288" w:hanging="547"/>
    </w:pPr>
    <w:rPr>
      <w:caps/>
      <w:sz w:val="24"/>
      <w:lang w:val="en-US" w:eastAsia="en-US"/>
    </w:rPr>
  </w:style>
  <w:style w:type="paragraph" w:customStyle="1" w:styleId="TOCX2">
    <w:name w:val="TOCX 2"/>
    <w:rsid w:val="005F5871"/>
    <w:pPr>
      <w:tabs>
        <w:tab w:val="left" w:pos="936"/>
        <w:tab w:val="right" w:leader="dot" w:pos="9000"/>
      </w:tabs>
      <w:spacing w:before="60" w:after="60"/>
      <w:ind w:left="792" w:right="-288" w:hanging="547"/>
    </w:pPr>
    <w:rPr>
      <w:sz w:val="24"/>
      <w:lang w:val="en-US" w:eastAsia="en-US"/>
    </w:rPr>
  </w:style>
  <w:style w:type="character" w:customStyle="1" w:styleId="TableText9">
    <w:name w:val="TableText 9"/>
    <w:rsid w:val="005F5871"/>
    <w:rPr>
      <w:rFonts w:ascii="Times New Roman" w:hAnsi="Times New Roman"/>
      <w:sz w:val="18"/>
    </w:rPr>
  </w:style>
  <w:style w:type="paragraph" w:customStyle="1" w:styleId="TitlePage">
    <w:name w:val="Title Page"/>
    <w:rsid w:val="005F5871"/>
    <w:pPr>
      <w:jc w:val="center"/>
    </w:pPr>
    <w:rPr>
      <w:b/>
      <w:sz w:val="24"/>
      <w:lang w:val="en-US" w:eastAsia="en-US"/>
    </w:rPr>
  </w:style>
  <w:style w:type="paragraph" w:customStyle="1" w:styleId="TableText">
    <w:name w:val="TableText"/>
    <w:link w:val="TableTextChar"/>
    <w:rsid w:val="005F5871"/>
    <w:rPr>
      <w:rFonts w:cs="Arial"/>
      <w:lang w:val="en-US" w:eastAsia="en-US"/>
    </w:rPr>
  </w:style>
  <w:style w:type="paragraph" w:customStyle="1" w:styleId="TableTextFootnote">
    <w:name w:val="TableText Footnote"/>
    <w:link w:val="TableTextFootnote0"/>
    <w:rsid w:val="005F5871"/>
    <w:pPr>
      <w:tabs>
        <w:tab w:val="left" w:pos="360"/>
      </w:tabs>
    </w:pPr>
    <w:rPr>
      <w:lang w:val="en-US" w:eastAsia="en-US"/>
    </w:rPr>
  </w:style>
  <w:style w:type="character" w:customStyle="1" w:styleId="BlueText">
    <w:name w:val="Blue Text"/>
    <w:rsid w:val="005F5871"/>
    <w:rPr>
      <w:color w:val="0000FF"/>
    </w:rPr>
  </w:style>
  <w:style w:type="paragraph" w:customStyle="1" w:styleId="Heading2Unnumbered">
    <w:name w:val="Heading 2 Unnumbered"/>
    <w:next w:val="Paragraph"/>
    <w:rsid w:val="005F5871"/>
    <w:pPr>
      <w:keepNext/>
      <w:spacing w:before="120" w:after="120"/>
      <w:outlineLvl w:val="1"/>
    </w:pPr>
    <w:rPr>
      <w:b/>
      <w:sz w:val="24"/>
      <w:lang w:val="en-US" w:eastAsia="en-US"/>
    </w:rPr>
  </w:style>
  <w:style w:type="paragraph" w:customStyle="1" w:styleId="Heading3Unnumbered">
    <w:name w:val="Heading 3 Unnumbered"/>
    <w:next w:val="Paragraph"/>
    <w:rsid w:val="005F5871"/>
    <w:pPr>
      <w:keepNext/>
      <w:spacing w:before="120" w:after="120"/>
      <w:outlineLvl w:val="2"/>
    </w:pPr>
    <w:rPr>
      <w:b/>
      <w:sz w:val="24"/>
      <w:lang w:val="en-US" w:eastAsia="en-US"/>
    </w:rPr>
  </w:style>
  <w:style w:type="paragraph" w:customStyle="1" w:styleId="Heading4Unnumbered">
    <w:name w:val="Heading 4 Unnumbered"/>
    <w:next w:val="Paragraph"/>
    <w:rsid w:val="005F5871"/>
    <w:pPr>
      <w:keepNext/>
      <w:spacing w:before="120" w:after="120"/>
      <w:outlineLvl w:val="3"/>
    </w:pPr>
    <w:rPr>
      <w:b/>
      <w:sz w:val="24"/>
      <w:lang w:val="en-US" w:eastAsia="en-US"/>
    </w:rPr>
  </w:style>
  <w:style w:type="paragraph" w:customStyle="1" w:styleId="ListNoBullet">
    <w:name w:val="List No Bullet"/>
    <w:rsid w:val="005F5871"/>
    <w:rPr>
      <w:sz w:val="24"/>
      <w:lang w:val="en-US" w:eastAsia="en-US"/>
    </w:rPr>
  </w:style>
  <w:style w:type="paragraph" w:customStyle="1" w:styleId="ASCII">
    <w:name w:val="ASCII"/>
    <w:basedOn w:val="Paragraph"/>
    <w:autoRedefine/>
    <w:rsid w:val="005F5871"/>
    <w:pPr>
      <w:spacing w:after="0" w:line="150" w:lineRule="exact"/>
    </w:pPr>
    <w:rPr>
      <w:rFonts w:ascii="Courier New" w:hAnsi="Courier New"/>
      <w:sz w:val="15"/>
    </w:rPr>
  </w:style>
  <w:style w:type="paragraph" w:customStyle="1" w:styleId="CaptionCrossReference">
    <w:name w:val="Caption CrossReference"/>
    <w:basedOn w:val="Paragraph"/>
    <w:autoRedefine/>
    <w:rsid w:val="005F5871"/>
    <w:pPr>
      <w:keepNext/>
      <w:spacing w:before="120" w:after="120"/>
    </w:pPr>
    <w:rPr>
      <w:b/>
      <w:kern w:val="28"/>
    </w:rPr>
  </w:style>
  <w:style w:type="character" w:styleId="CommentReference">
    <w:name w:val="annotation reference"/>
    <w:uiPriority w:val="99"/>
    <w:rsid w:val="005F5871"/>
    <w:rPr>
      <w:sz w:val="16"/>
      <w:szCs w:val="16"/>
    </w:rPr>
  </w:style>
  <w:style w:type="paragraph" w:styleId="CommentText">
    <w:name w:val="annotation text"/>
    <w:basedOn w:val="Normal"/>
    <w:link w:val="CommentTextChar"/>
    <w:uiPriority w:val="99"/>
    <w:rsid w:val="005F5871"/>
    <w:rPr>
      <w:sz w:val="20"/>
      <w:szCs w:val="20"/>
    </w:rPr>
  </w:style>
  <w:style w:type="character" w:customStyle="1" w:styleId="CommentTextChar">
    <w:name w:val="Comment Text Char"/>
    <w:link w:val="CommentText"/>
    <w:uiPriority w:val="99"/>
    <w:rsid w:val="005F5871"/>
    <w:rPr>
      <w:lang w:val="en-US" w:eastAsia="en-US"/>
    </w:rPr>
  </w:style>
  <w:style w:type="paragraph" w:styleId="CommentSubject">
    <w:name w:val="annotation subject"/>
    <w:basedOn w:val="Normal"/>
    <w:link w:val="CommentSubjectChar"/>
    <w:rsid w:val="005F5871"/>
    <w:pPr>
      <w:overflowPunct w:val="0"/>
      <w:autoSpaceDE w:val="0"/>
      <w:autoSpaceDN w:val="0"/>
      <w:adjustRightInd w:val="0"/>
      <w:textAlignment w:val="baseline"/>
    </w:pPr>
    <w:rPr>
      <w:b/>
      <w:bCs/>
      <w:sz w:val="20"/>
      <w:szCs w:val="20"/>
    </w:rPr>
  </w:style>
  <w:style w:type="character" w:customStyle="1" w:styleId="CommentSubjectChar">
    <w:name w:val="Comment Subject Char"/>
    <w:link w:val="CommentSubject"/>
    <w:rsid w:val="005F5871"/>
    <w:rPr>
      <w:b/>
      <w:bCs/>
      <w:lang w:val="en-US" w:eastAsia="en-US"/>
    </w:rPr>
  </w:style>
  <w:style w:type="character" w:styleId="Emphasis">
    <w:name w:val="Emphasis"/>
    <w:uiPriority w:val="20"/>
    <w:qFormat/>
    <w:rsid w:val="005F5871"/>
    <w:rPr>
      <w:i/>
      <w:iCs/>
    </w:rPr>
  </w:style>
  <w:style w:type="character" w:customStyle="1" w:styleId="Instructions">
    <w:name w:val="Instructions"/>
    <w:rsid w:val="005F5871"/>
    <w:rPr>
      <w:i/>
      <w:iCs/>
      <w:color w:val="008000"/>
    </w:rPr>
  </w:style>
  <w:style w:type="character" w:styleId="LineNumber">
    <w:name w:val="line number"/>
    <w:basedOn w:val="DefaultParagraphFont"/>
    <w:rsid w:val="005F5871"/>
  </w:style>
  <w:style w:type="paragraph" w:customStyle="1" w:styleId="ListofFigures">
    <w:name w:val="List of Figures"/>
    <w:basedOn w:val="Paragraph"/>
    <w:next w:val="Paragraph"/>
    <w:rsid w:val="005F5871"/>
    <w:pPr>
      <w:keepNext/>
      <w:spacing w:before="120" w:after="120"/>
      <w:jc w:val="center"/>
      <w:outlineLvl w:val="0"/>
    </w:pPr>
    <w:rPr>
      <w:b/>
      <w:caps/>
    </w:rPr>
  </w:style>
  <w:style w:type="paragraph" w:customStyle="1" w:styleId="ListofTables">
    <w:name w:val="List of Tables"/>
    <w:basedOn w:val="Paragraph"/>
    <w:next w:val="Paragraph"/>
    <w:rsid w:val="005F5871"/>
    <w:pPr>
      <w:keepNext/>
      <w:spacing w:before="120" w:after="120"/>
      <w:jc w:val="center"/>
      <w:outlineLvl w:val="0"/>
    </w:pPr>
    <w:rPr>
      <w:b/>
      <w:caps/>
    </w:rPr>
  </w:style>
  <w:style w:type="paragraph" w:customStyle="1" w:styleId="SupportiveAppendices">
    <w:name w:val="Supportive Appendices"/>
    <w:basedOn w:val="Heading2"/>
    <w:next w:val="Paragraph"/>
    <w:autoRedefine/>
    <w:rsid w:val="005F5871"/>
    <w:rPr>
      <w:rFonts w:ascii="Times New Roman Bold" w:hAnsi="Times New Roman Bold"/>
      <w:kern w:val="28"/>
    </w:rPr>
  </w:style>
  <w:style w:type="paragraph" w:customStyle="1" w:styleId="SupportiveFigure">
    <w:name w:val="Supportive Figure"/>
    <w:basedOn w:val="Heading2"/>
    <w:next w:val="Paragraph"/>
    <w:autoRedefine/>
    <w:rsid w:val="005F5871"/>
    <w:rPr>
      <w:rFonts w:ascii="Times New Roman Bold" w:hAnsi="Times New Roman Bold"/>
      <w:kern w:val="28"/>
    </w:rPr>
  </w:style>
  <w:style w:type="paragraph" w:customStyle="1" w:styleId="SupportiveTable">
    <w:name w:val="Supportive Table"/>
    <w:basedOn w:val="Heading2"/>
    <w:next w:val="Paragraph"/>
    <w:autoRedefine/>
    <w:rsid w:val="005F5871"/>
    <w:rPr>
      <w:rFonts w:ascii="Times New Roman Bold" w:hAnsi="Times New Roman Bold"/>
      <w:kern w:val="28"/>
    </w:rPr>
  </w:style>
  <w:style w:type="paragraph" w:customStyle="1" w:styleId="TableAnnotationReference">
    <w:name w:val="Table Annotation Reference"/>
    <w:basedOn w:val="Paragraph"/>
    <w:autoRedefine/>
    <w:rsid w:val="005F5871"/>
    <w:rPr>
      <w:vertAlign w:val="superscript"/>
    </w:rPr>
  </w:style>
  <w:style w:type="paragraph" w:customStyle="1" w:styleId="TOCHeadingCentered">
    <w:name w:val="TOC Heading Centered"/>
    <w:basedOn w:val="Paragraph"/>
    <w:next w:val="Paragraph"/>
    <w:autoRedefine/>
    <w:rsid w:val="005F5871"/>
    <w:pPr>
      <w:keepNext/>
      <w:spacing w:before="120" w:after="120"/>
      <w:jc w:val="center"/>
      <w:outlineLvl w:val="0"/>
    </w:pPr>
    <w:rPr>
      <w:b/>
      <w:caps/>
    </w:rPr>
  </w:style>
  <w:style w:type="paragraph" w:customStyle="1" w:styleId="ListofAppendices">
    <w:name w:val="List of Appendices"/>
    <w:basedOn w:val="Paragraph"/>
    <w:next w:val="Paragraph"/>
    <w:rsid w:val="005F5871"/>
    <w:pPr>
      <w:keepNext/>
      <w:spacing w:before="120" w:after="120"/>
      <w:jc w:val="center"/>
      <w:outlineLvl w:val="0"/>
    </w:pPr>
    <w:rPr>
      <w:b/>
      <w:caps/>
    </w:rPr>
  </w:style>
  <w:style w:type="paragraph" w:customStyle="1" w:styleId="EndNoteBibliography">
    <w:name w:val="EndNote Bibliography"/>
    <w:basedOn w:val="Normal"/>
    <w:link w:val="EndNoteBibliographyChar"/>
    <w:rsid w:val="005F5871"/>
    <w:pPr>
      <w:spacing w:after="120"/>
      <w:jc w:val="both"/>
    </w:pPr>
    <w:rPr>
      <w:rFonts w:ascii="Calibri" w:hAnsi="Calibri"/>
      <w:noProof/>
      <w:color w:val="4E5053"/>
      <w:sz w:val="22"/>
      <w:szCs w:val="22"/>
    </w:rPr>
  </w:style>
  <w:style w:type="character" w:customStyle="1" w:styleId="EndNoteBibliographyChar">
    <w:name w:val="EndNote Bibliography Char"/>
    <w:link w:val="EndNoteBibliography"/>
    <w:rsid w:val="005F5871"/>
    <w:rPr>
      <w:rFonts w:ascii="Calibri" w:hAnsi="Calibri"/>
      <w:noProof/>
      <w:color w:val="4E5053"/>
      <w:sz w:val="22"/>
      <w:szCs w:val="22"/>
      <w:lang w:val="en-US" w:eastAsia="en-US"/>
    </w:rPr>
  </w:style>
  <w:style w:type="paragraph" w:customStyle="1" w:styleId="MediumGrid1-Accent21">
    <w:name w:val="Medium Grid 1 - Accent 21"/>
    <w:aliases w:val="Bullet1,Bullet 1,Bullet List,Section 5"/>
    <w:basedOn w:val="Normal"/>
    <w:link w:val="MediumGrid1-Accent2Char"/>
    <w:uiPriority w:val="34"/>
    <w:qFormat/>
    <w:rsid w:val="004012BB"/>
    <w:pPr>
      <w:numPr>
        <w:numId w:val="22"/>
      </w:numPr>
    </w:pPr>
  </w:style>
  <w:style w:type="character" w:customStyle="1" w:styleId="MediumGrid1-Accent2Char">
    <w:name w:val="Medium Grid 1 - Accent 2 Char"/>
    <w:aliases w:val="Bullet1 Char,Bullet 1 Char,Bullet List Char,Section 5 Char"/>
    <w:link w:val="MediumGrid1-Accent21"/>
    <w:uiPriority w:val="34"/>
    <w:rsid w:val="004012BB"/>
    <w:rPr>
      <w:sz w:val="24"/>
      <w:szCs w:val="24"/>
      <w:lang w:val="en-US" w:eastAsia="en-US"/>
    </w:rPr>
  </w:style>
  <w:style w:type="character" w:styleId="Strong">
    <w:name w:val="Strong"/>
    <w:uiPriority w:val="22"/>
    <w:qFormat/>
    <w:rsid w:val="005F5871"/>
    <w:rPr>
      <w:b/>
      <w:bCs/>
    </w:rPr>
  </w:style>
  <w:style w:type="paragraph" w:customStyle="1" w:styleId="Table-Normal">
    <w:name w:val="Table - Normal"/>
    <w:basedOn w:val="Normal"/>
    <w:qFormat/>
    <w:rsid w:val="005F5871"/>
    <w:rPr>
      <w:rFonts w:ascii="Calibri" w:hAnsi="Calibri"/>
      <w:bCs/>
      <w:color w:val="4E5053"/>
      <w:sz w:val="22"/>
      <w:szCs w:val="22"/>
    </w:rPr>
  </w:style>
  <w:style w:type="character" w:customStyle="1" w:styleId="xapple-style-span">
    <w:name w:val="x_apple-style-span"/>
    <w:rsid w:val="005F5871"/>
  </w:style>
  <w:style w:type="paragraph" w:customStyle="1" w:styleId="EndNoteBibliographyTitle">
    <w:name w:val="EndNote Bibliography Title"/>
    <w:basedOn w:val="Normal"/>
    <w:link w:val="EndNoteBibliographyTitleChar"/>
    <w:rsid w:val="005F5871"/>
    <w:pPr>
      <w:overflowPunct w:val="0"/>
      <w:autoSpaceDE w:val="0"/>
      <w:autoSpaceDN w:val="0"/>
      <w:adjustRightInd w:val="0"/>
      <w:jc w:val="center"/>
      <w:textAlignment w:val="baseline"/>
    </w:pPr>
    <w:rPr>
      <w:rFonts w:ascii="Calibri" w:hAnsi="Calibri"/>
      <w:noProof/>
      <w:sz w:val="22"/>
    </w:rPr>
  </w:style>
  <w:style w:type="character" w:customStyle="1" w:styleId="EndNoteBibliographyTitleChar">
    <w:name w:val="EndNote Bibliography Title Char"/>
    <w:link w:val="EndNoteBibliographyTitle"/>
    <w:rsid w:val="005F5871"/>
    <w:rPr>
      <w:rFonts w:ascii="Calibri" w:hAnsi="Calibri"/>
      <w:noProof/>
      <w:sz w:val="22"/>
      <w:szCs w:val="24"/>
      <w:lang w:val="en-US" w:eastAsia="en-US"/>
    </w:rPr>
  </w:style>
  <w:style w:type="character" w:customStyle="1" w:styleId="pubmedlink">
    <w:name w:val="pubmedlink"/>
    <w:rsid w:val="00457767"/>
  </w:style>
  <w:style w:type="character" w:customStyle="1" w:styleId="reftext0">
    <w:name w:val="reftext"/>
    <w:rsid w:val="00457767"/>
  </w:style>
  <w:style w:type="paragraph" w:styleId="NormalWeb">
    <w:name w:val="Normal (Web)"/>
    <w:basedOn w:val="Normal"/>
    <w:uiPriority w:val="99"/>
    <w:unhideWhenUsed/>
    <w:rsid w:val="003716C3"/>
    <w:pPr>
      <w:spacing w:before="100" w:beforeAutospacing="1" w:after="100" w:afterAutospacing="1"/>
    </w:pPr>
    <w:rPr>
      <w:lang w:val="en-GB" w:eastAsia="en-GB"/>
    </w:rPr>
  </w:style>
  <w:style w:type="character" w:customStyle="1" w:styleId="apple-converted-space">
    <w:name w:val="apple-converted-space"/>
    <w:rsid w:val="003716C3"/>
  </w:style>
  <w:style w:type="character" w:customStyle="1" w:styleId="jrnl">
    <w:name w:val="jrnl"/>
    <w:rsid w:val="00BA6A52"/>
  </w:style>
  <w:style w:type="character" w:styleId="FollowedHyperlink">
    <w:name w:val="FollowedHyperlink"/>
    <w:rsid w:val="004D162A"/>
    <w:rPr>
      <w:color w:val="954F72"/>
      <w:u w:val="single"/>
    </w:rPr>
  </w:style>
  <w:style w:type="character" w:customStyle="1" w:styleId="highlight2">
    <w:name w:val="highlight2"/>
    <w:rsid w:val="007F3573"/>
  </w:style>
  <w:style w:type="table" w:styleId="TableGrid">
    <w:name w:val="Table Grid"/>
    <w:basedOn w:val="TableNormal"/>
    <w:uiPriority w:val="39"/>
    <w:rsid w:val="00BB2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8B66E3"/>
    <w:pPr>
      <w:spacing w:before="100" w:beforeAutospacing="1" w:after="100" w:afterAutospacing="1"/>
    </w:pPr>
    <w:rPr>
      <w:lang w:val="en-GB" w:eastAsia="en-GB"/>
    </w:rPr>
  </w:style>
  <w:style w:type="character" w:customStyle="1" w:styleId="element-citation">
    <w:name w:val="element-citation"/>
    <w:rsid w:val="00795B59"/>
  </w:style>
  <w:style w:type="character" w:customStyle="1" w:styleId="ref-journal">
    <w:name w:val="ref-journal"/>
    <w:rsid w:val="00795B59"/>
  </w:style>
  <w:style w:type="character" w:customStyle="1" w:styleId="ref-vol">
    <w:name w:val="ref-vol"/>
    <w:rsid w:val="00795B59"/>
  </w:style>
  <w:style w:type="character" w:customStyle="1" w:styleId="TableTextChar">
    <w:name w:val="TableText Char"/>
    <w:link w:val="TableText"/>
    <w:rsid w:val="009841B6"/>
    <w:rPr>
      <w:rFonts w:cs="Arial"/>
      <w:lang w:val="en-US" w:eastAsia="en-US" w:bidi="ar-SA"/>
    </w:rPr>
  </w:style>
  <w:style w:type="character" w:customStyle="1" w:styleId="TableTextColHeadChar">
    <w:name w:val="TableText Col Head Char"/>
    <w:link w:val="TableTextColHead"/>
    <w:rsid w:val="009841B6"/>
    <w:rPr>
      <w:b/>
      <w:lang w:val="en-US" w:eastAsia="en-US" w:bidi="ar-SA"/>
    </w:rPr>
  </w:style>
  <w:style w:type="character" w:customStyle="1" w:styleId="TableTextCenteredChar">
    <w:name w:val="TableText Centered Char"/>
    <w:link w:val="TableTextCentered"/>
    <w:rsid w:val="009841B6"/>
    <w:rPr>
      <w:lang w:val="en-US" w:eastAsia="en-US" w:bidi="ar-SA"/>
    </w:rPr>
  </w:style>
  <w:style w:type="character" w:customStyle="1" w:styleId="TableTextFootnote0">
    <w:name w:val="TableText Footnote (文字)"/>
    <w:link w:val="TableTextFootnote"/>
    <w:rsid w:val="003E5FAC"/>
    <w:rPr>
      <w:lang w:val="en-US" w:eastAsia="en-US" w:bidi="ar-SA"/>
    </w:rPr>
  </w:style>
  <w:style w:type="character" w:customStyle="1" w:styleId="highlight">
    <w:name w:val="highlight"/>
    <w:basedOn w:val="DefaultParagraphFont"/>
    <w:rsid w:val="004917DA"/>
  </w:style>
  <w:style w:type="paragraph" w:customStyle="1" w:styleId="MediumList2-Accent21">
    <w:name w:val="Medium List 2 - Accent 21"/>
    <w:hidden/>
    <w:uiPriority w:val="99"/>
    <w:semiHidden/>
    <w:rsid w:val="00A75C9F"/>
    <w:rPr>
      <w:sz w:val="24"/>
      <w:szCs w:val="24"/>
      <w:lang w:val="en-US" w:eastAsia="en-US"/>
    </w:rPr>
  </w:style>
  <w:style w:type="paragraph" w:customStyle="1" w:styleId="Bullet2">
    <w:name w:val="Bullet 2"/>
    <w:basedOn w:val="Normal"/>
    <w:link w:val="Bullet2Char"/>
    <w:qFormat/>
    <w:rsid w:val="005B0769"/>
    <w:pPr>
      <w:numPr>
        <w:ilvl w:val="1"/>
        <w:numId w:val="21"/>
      </w:numPr>
    </w:pPr>
  </w:style>
  <w:style w:type="character" w:customStyle="1" w:styleId="Bullet2Char">
    <w:name w:val="Bullet 2 Char"/>
    <w:link w:val="Bullet2"/>
    <w:rsid w:val="005B0769"/>
    <w:rPr>
      <w:sz w:val="24"/>
      <w:szCs w:val="24"/>
      <w:lang w:val="en-US" w:eastAsia="en-US"/>
    </w:rPr>
  </w:style>
  <w:style w:type="table" w:customStyle="1" w:styleId="TableGrid0">
    <w:name w:val="TableGrid"/>
    <w:rsid w:val="00B73869"/>
    <w:rPr>
      <w:rFonts w:ascii="Calibri" w:hAnsi="Calibri"/>
      <w:sz w:val="22"/>
      <w:szCs w:val="22"/>
    </w:rPr>
    <w:tblPr>
      <w:tblCellMar>
        <w:top w:w="0" w:type="dxa"/>
        <w:left w:w="0" w:type="dxa"/>
        <w:bottom w:w="0" w:type="dxa"/>
        <w:right w:w="0" w:type="dxa"/>
      </w:tblCellMar>
    </w:tblPr>
  </w:style>
  <w:style w:type="character" w:customStyle="1" w:styleId="ParagraphChar1">
    <w:name w:val="Paragraph Char1"/>
    <w:locked/>
    <w:rsid w:val="005312D4"/>
    <w:rPr>
      <w:rFonts w:ascii="Times New Roman" w:eastAsia="Times New Roman" w:hAnsi="Times New Roman" w:cs="Times New Roman"/>
      <w:lang w:eastAsia="en-GB"/>
    </w:rPr>
  </w:style>
  <w:style w:type="paragraph" w:styleId="ListParagraph">
    <w:name w:val="List Paragraph"/>
    <w:basedOn w:val="Normal"/>
    <w:uiPriority w:val="34"/>
    <w:qFormat/>
    <w:rsid w:val="00177829"/>
    <w:pPr>
      <w:spacing w:before="0" w:after="200" w:line="276" w:lineRule="auto"/>
      <w:ind w:left="720"/>
      <w:contextualSpacing/>
    </w:pPr>
    <w:rPr>
      <w:rFonts w:ascii="Calibri" w:eastAsia="Calibri" w:hAnsi="Calibri"/>
      <w:sz w:val="22"/>
      <w:szCs w:val="22"/>
    </w:rPr>
  </w:style>
  <w:style w:type="paragraph" w:styleId="Revision">
    <w:name w:val="Revision"/>
    <w:hidden/>
    <w:uiPriority w:val="71"/>
    <w:semiHidden/>
    <w:rsid w:val="001E131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982">
      <w:bodyDiv w:val="1"/>
      <w:marLeft w:val="0"/>
      <w:marRight w:val="0"/>
      <w:marTop w:val="0"/>
      <w:marBottom w:val="0"/>
      <w:divBdr>
        <w:top w:val="none" w:sz="0" w:space="0" w:color="auto"/>
        <w:left w:val="none" w:sz="0" w:space="0" w:color="auto"/>
        <w:bottom w:val="none" w:sz="0" w:space="0" w:color="auto"/>
        <w:right w:val="none" w:sz="0" w:space="0" w:color="auto"/>
      </w:divBdr>
    </w:div>
    <w:div w:id="21903044">
      <w:bodyDiv w:val="1"/>
      <w:marLeft w:val="0"/>
      <w:marRight w:val="0"/>
      <w:marTop w:val="0"/>
      <w:marBottom w:val="0"/>
      <w:divBdr>
        <w:top w:val="none" w:sz="0" w:space="0" w:color="auto"/>
        <w:left w:val="none" w:sz="0" w:space="0" w:color="auto"/>
        <w:bottom w:val="none" w:sz="0" w:space="0" w:color="auto"/>
        <w:right w:val="none" w:sz="0" w:space="0" w:color="auto"/>
      </w:divBdr>
    </w:div>
    <w:div w:id="35473809">
      <w:bodyDiv w:val="1"/>
      <w:marLeft w:val="0"/>
      <w:marRight w:val="0"/>
      <w:marTop w:val="0"/>
      <w:marBottom w:val="0"/>
      <w:divBdr>
        <w:top w:val="none" w:sz="0" w:space="0" w:color="auto"/>
        <w:left w:val="none" w:sz="0" w:space="0" w:color="auto"/>
        <w:bottom w:val="none" w:sz="0" w:space="0" w:color="auto"/>
        <w:right w:val="none" w:sz="0" w:space="0" w:color="auto"/>
      </w:divBdr>
    </w:div>
    <w:div w:id="119955655">
      <w:bodyDiv w:val="1"/>
      <w:marLeft w:val="0"/>
      <w:marRight w:val="0"/>
      <w:marTop w:val="0"/>
      <w:marBottom w:val="0"/>
      <w:divBdr>
        <w:top w:val="none" w:sz="0" w:space="0" w:color="auto"/>
        <w:left w:val="none" w:sz="0" w:space="0" w:color="auto"/>
        <w:bottom w:val="none" w:sz="0" w:space="0" w:color="auto"/>
        <w:right w:val="none" w:sz="0" w:space="0" w:color="auto"/>
      </w:divBdr>
    </w:div>
    <w:div w:id="124083383">
      <w:bodyDiv w:val="1"/>
      <w:marLeft w:val="0"/>
      <w:marRight w:val="0"/>
      <w:marTop w:val="0"/>
      <w:marBottom w:val="0"/>
      <w:divBdr>
        <w:top w:val="none" w:sz="0" w:space="0" w:color="auto"/>
        <w:left w:val="none" w:sz="0" w:space="0" w:color="auto"/>
        <w:bottom w:val="none" w:sz="0" w:space="0" w:color="auto"/>
        <w:right w:val="none" w:sz="0" w:space="0" w:color="auto"/>
      </w:divBdr>
      <w:divsChild>
        <w:div w:id="601494333">
          <w:marLeft w:val="0"/>
          <w:marRight w:val="1"/>
          <w:marTop w:val="0"/>
          <w:marBottom w:val="0"/>
          <w:divBdr>
            <w:top w:val="none" w:sz="0" w:space="0" w:color="auto"/>
            <w:left w:val="none" w:sz="0" w:space="0" w:color="auto"/>
            <w:bottom w:val="none" w:sz="0" w:space="0" w:color="auto"/>
            <w:right w:val="none" w:sz="0" w:space="0" w:color="auto"/>
          </w:divBdr>
          <w:divsChild>
            <w:div w:id="1486161024">
              <w:marLeft w:val="0"/>
              <w:marRight w:val="0"/>
              <w:marTop w:val="0"/>
              <w:marBottom w:val="0"/>
              <w:divBdr>
                <w:top w:val="none" w:sz="0" w:space="0" w:color="auto"/>
                <w:left w:val="none" w:sz="0" w:space="0" w:color="auto"/>
                <w:bottom w:val="none" w:sz="0" w:space="0" w:color="auto"/>
                <w:right w:val="none" w:sz="0" w:space="0" w:color="auto"/>
              </w:divBdr>
              <w:divsChild>
                <w:div w:id="1953434400">
                  <w:marLeft w:val="0"/>
                  <w:marRight w:val="1"/>
                  <w:marTop w:val="0"/>
                  <w:marBottom w:val="0"/>
                  <w:divBdr>
                    <w:top w:val="none" w:sz="0" w:space="0" w:color="auto"/>
                    <w:left w:val="none" w:sz="0" w:space="0" w:color="auto"/>
                    <w:bottom w:val="none" w:sz="0" w:space="0" w:color="auto"/>
                    <w:right w:val="none" w:sz="0" w:space="0" w:color="auto"/>
                  </w:divBdr>
                  <w:divsChild>
                    <w:div w:id="611284876">
                      <w:marLeft w:val="0"/>
                      <w:marRight w:val="0"/>
                      <w:marTop w:val="0"/>
                      <w:marBottom w:val="0"/>
                      <w:divBdr>
                        <w:top w:val="none" w:sz="0" w:space="0" w:color="auto"/>
                        <w:left w:val="none" w:sz="0" w:space="0" w:color="auto"/>
                        <w:bottom w:val="none" w:sz="0" w:space="0" w:color="auto"/>
                        <w:right w:val="none" w:sz="0" w:space="0" w:color="auto"/>
                      </w:divBdr>
                      <w:divsChild>
                        <w:div w:id="1066761586">
                          <w:marLeft w:val="0"/>
                          <w:marRight w:val="0"/>
                          <w:marTop w:val="0"/>
                          <w:marBottom w:val="0"/>
                          <w:divBdr>
                            <w:top w:val="none" w:sz="0" w:space="0" w:color="auto"/>
                            <w:left w:val="none" w:sz="0" w:space="0" w:color="auto"/>
                            <w:bottom w:val="none" w:sz="0" w:space="0" w:color="auto"/>
                            <w:right w:val="none" w:sz="0" w:space="0" w:color="auto"/>
                          </w:divBdr>
                          <w:divsChild>
                            <w:div w:id="456535438">
                              <w:marLeft w:val="0"/>
                              <w:marRight w:val="0"/>
                              <w:marTop w:val="120"/>
                              <w:marBottom w:val="360"/>
                              <w:divBdr>
                                <w:top w:val="none" w:sz="0" w:space="0" w:color="auto"/>
                                <w:left w:val="none" w:sz="0" w:space="0" w:color="auto"/>
                                <w:bottom w:val="none" w:sz="0" w:space="0" w:color="auto"/>
                                <w:right w:val="none" w:sz="0" w:space="0" w:color="auto"/>
                              </w:divBdr>
                              <w:divsChild>
                                <w:div w:id="680664961">
                                  <w:marLeft w:val="0"/>
                                  <w:marRight w:val="0"/>
                                  <w:marTop w:val="0"/>
                                  <w:marBottom w:val="0"/>
                                  <w:divBdr>
                                    <w:top w:val="none" w:sz="0" w:space="0" w:color="auto"/>
                                    <w:left w:val="none" w:sz="0" w:space="0" w:color="auto"/>
                                    <w:bottom w:val="none" w:sz="0" w:space="0" w:color="auto"/>
                                    <w:right w:val="none" w:sz="0" w:space="0" w:color="auto"/>
                                  </w:divBdr>
                                </w:div>
                                <w:div w:id="13342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15719">
      <w:bodyDiv w:val="1"/>
      <w:marLeft w:val="0"/>
      <w:marRight w:val="0"/>
      <w:marTop w:val="0"/>
      <w:marBottom w:val="0"/>
      <w:divBdr>
        <w:top w:val="none" w:sz="0" w:space="0" w:color="auto"/>
        <w:left w:val="none" w:sz="0" w:space="0" w:color="auto"/>
        <w:bottom w:val="none" w:sz="0" w:space="0" w:color="auto"/>
        <w:right w:val="none" w:sz="0" w:space="0" w:color="auto"/>
      </w:divBdr>
    </w:div>
    <w:div w:id="171918963">
      <w:bodyDiv w:val="1"/>
      <w:marLeft w:val="0"/>
      <w:marRight w:val="0"/>
      <w:marTop w:val="0"/>
      <w:marBottom w:val="0"/>
      <w:divBdr>
        <w:top w:val="none" w:sz="0" w:space="0" w:color="auto"/>
        <w:left w:val="none" w:sz="0" w:space="0" w:color="auto"/>
        <w:bottom w:val="none" w:sz="0" w:space="0" w:color="auto"/>
        <w:right w:val="none" w:sz="0" w:space="0" w:color="auto"/>
      </w:divBdr>
      <w:divsChild>
        <w:div w:id="372779351">
          <w:marLeft w:val="0"/>
          <w:marRight w:val="1"/>
          <w:marTop w:val="0"/>
          <w:marBottom w:val="0"/>
          <w:divBdr>
            <w:top w:val="none" w:sz="0" w:space="0" w:color="auto"/>
            <w:left w:val="none" w:sz="0" w:space="0" w:color="auto"/>
            <w:bottom w:val="none" w:sz="0" w:space="0" w:color="auto"/>
            <w:right w:val="none" w:sz="0" w:space="0" w:color="auto"/>
          </w:divBdr>
          <w:divsChild>
            <w:div w:id="433094575">
              <w:marLeft w:val="0"/>
              <w:marRight w:val="0"/>
              <w:marTop w:val="0"/>
              <w:marBottom w:val="0"/>
              <w:divBdr>
                <w:top w:val="none" w:sz="0" w:space="0" w:color="auto"/>
                <w:left w:val="none" w:sz="0" w:space="0" w:color="auto"/>
                <w:bottom w:val="none" w:sz="0" w:space="0" w:color="auto"/>
                <w:right w:val="none" w:sz="0" w:space="0" w:color="auto"/>
              </w:divBdr>
              <w:divsChild>
                <w:div w:id="85538533">
                  <w:marLeft w:val="0"/>
                  <w:marRight w:val="1"/>
                  <w:marTop w:val="0"/>
                  <w:marBottom w:val="0"/>
                  <w:divBdr>
                    <w:top w:val="none" w:sz="0" w:space="0" w:color="auto"/>
                    <w:left w:val="none" w:sz="0" w:space="0" w:color="auto"/>
                    <w:bottom w:val="none" w:sz="0" w:space="0" w:color="auto"/>
                    <w:right w:val="none" w:sz="0" w:space="0" w:color="auto"/>
                  </w:divBdr>
                  <w:divsChild>
                    <w:div w:id="978001919">
                      <w:marLeft w:val="0"/>
                      <w:marRight w:val="0"/>
                      <w:marTop w:val="0"/>
                      <w:marBottom w:val="0"/>
                      <w:divBdr>
                        <w:top w:val="none" w:sz="0" w:space="0" w:color="auto"/>
                        <w:left w:val="none" w:sz="0" w:space="0" w:color="auto"/>
                        <w:bottom w:val="none" w:sz="0" w:space="0" w:color="auto"/>
                        <w:right w:val="none" w:sz="0" w:space="0" w:color="auto"/>
                      </w:divBdr>
                      <w:divsChild>
                        <w:div w:id="338311130">
                          <w:marLeft w:val="0"/>
                          <w:marRight w:val="0"/>
                          <w:marTop w:val="0"/>
                          <w:marBottom w:val="0"/>
                          <w:divBdr>
                            <w:top w:val="none" w:sz="0" w:space="0" w:color="auto"/>
                            <w:left w:val="none" w:sz="0" w:space="0" w:color="auto"/>
                            <w:bottom w:val="none" w:sz="0" w:space="0" w:color="auto"/>
                            <w:right w:val="none" w:sz="0" w:space="0" w:color="auto"/>
                          </w:divBdr>
                          <w:divsChild>
                            <w:div w:id="1013150181">
                              <w:marLeft w:val="0"/>
                              <w:marRight w:val="0"/>
                              <w:marTop w:val="120"/>
                              <w:marBottom w:val="360"/>
                              <w:divBdr>
                                <w:top w:val="none" w:sz="0" w:space="0" w:color="auto"/>
                                <w:left w:val="none" w:sz="0" w:space="0" w:color="auto"/>
                                <w:bottom w:val="none" w:sz="0" w:space="0" w:color="auto"/>
                                <w:right w:val="none" w:sz="0" w:space="0" w:color="auto"/>
                              </w:divBdr>
                              <w:divsChild>
                                <w:div w:id="734594430">
                                  <w:marLeft w:val="420"/>
                                  <w:marRight w:val="0"/>
                                  <w:marTop w:val="0"/>
                                  <w:marBottom w:val="0"/>
                                  <w:divBdr>
                                    <w:top w:val="none" w:sz="0" w:space="0" w:color="auto"/>
                                    <w:left w:val="none" w:sz="0" w:space="0" w:color="auto"/>
                                    <w:bottom w:val="none" w:sz="0" w:space="0" w:color="auto"/>
                                    <w:right w:val="none" w:sz="0" w:space="0" w:color="auto"/>
                                  </w:divBdr>
                                  <w:divsChild>
                                    <w:div w:id="3519546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68392">
      <w:bodyDiv w:val="1"/>
      <w:marLeft w:val="0"/>
      <w:marRight w:val="0"/>
      <w:marTop w:val="0"/>
      <w:marBottom w:val="0"/>
      <w:divBdr>
        <w:top w:val="none" w:sz="0" w:space="0" w:color="auto"/>
        <w:left w:val="none" w:sz="0" w:space="0" w:color="auto"/>
        <w:bottom w:val="none" w:sz="0" w:space="0" w:color="auto"/>
        <w:right w:val="none" w:sz="0" w:space="0" w:color="auto"/>
      </w:divBdr>
    </w:div>
    <w:div w:id="180822427">
      <w:bodyDiv w:val="1"/>
      <w:marLeft w:val="0"/>
      <w:marRight w:val="0"/>
      <w:marTop w:val="0"/>
      <w:marBottom w:val="0"/>
      <w:divBdr>
        <w:top w:val="none" w:sz="0" w:space="0" w:color="auto"/>
        <w:left w:val="none" w:sz="0" w:space="0" w:color="auto"/>
        <w:bottom w:val="none" w:sz="0" w:space="0" w:color="auto"/>
        <w:right w:val="none" w:sz="0" w:space="0" w:color="auto"/>
      </w:divBdr>
    </w:div>
    <w:div w:id="192962849">
      <w:bodyDiv w:val="1"/>
      <w:marLeft w:val="0"/>
      <w:marRight w:val="0"/>
      <w:marTop w:val="0"/>
      <w:marBottom w:val="0"/>
      <w:divBdr>
        <w:top w:val="none" w:sz="0" w:space="0" w:color="auto"/>
        <w:left w:val="none" w:sz="0" w:space="0" w:color="auto"/>
        <w:bottom w:val="none" w:sz="0" w:space="0" w:color="auto"/>
        <w:right w:val="none" w:sz="0" w:space="0" w:color="auto"/>
      </w:divBdr>
    </w:div>
    <w:div w:id="217471876">
      <w:bodyDiv w:val="1"/>
      <w:marLeft w:val="0"/>
      <w:marRight w:val="0"/>
      <w:marTop w:val="0"/>
      <w:marBottom w:val="0"/>
      <w:divBdr>
        <w:top w:val="none" w:sz="0" w:space="0" w:color="auto"/>
        <w:left w:val="none" w:sz="0" w:space="0" w:color="auto"/>
        <w:bottom w:val="none" w:sz="0" w:space="0" w:color="auto"/>
        <w:right w:val="none" w:sz="0" w:space="0" w:color="auto"/>
      </w:divBdr>
    </w:div>
    <w:div w:id="227620130">
      <w:bodyDiv w:val="1"/>
      <w:marLeft w:val="0"/>
      <w:marRight w:val="0"/>
      <w:marTop w:val="0"/>
      <w:marBottom w:val="0"/>
      <w:divBdr>
        <w:top w:val="none" w:sz="0" w:space="0" w:color="auto"/>
        <w:left w:val="none" w:sz="0" w:space="0" w:color="auto"/>
        <w:bottom w:val="none" w:sz="0" w:space="0" w:color="auto"/>
        <w:right w:val="none" w:sz="0" w:space="0" w:color="auto"/>
      </w:divBdr>
    </w:div>
    <w:div w:id="238641618">
      <w:bodyDiv w:val="1"/>
      <w:marLeft w:val="0"/>
      <w:marRight w:val="0"/>
      <w:marTop w:val="0"/>
      <w:marBottom w:val="0"/>
      <w:divBdr>
        <w:top w:val="none" w:sz="0" w:space="0" w:color="auto"/>
        <w:left w:val="none" w:sz="0" w:space="0" w:color="auto"/>
        <w:bottom w:val="none" w:sz="0" w:space="0" w:color="auto"/>
        <w:right w:val="none" w:sz="0" w:space="0" w:color="auto"/>
      </w:divBdr>
    </w:div>
    <w:div w:id="241916039">
      <w:bodyDiv w:val="1"/>
      <w:marLeft w:val="0"/>
      <w:marRight w:val="0"/>
      <w:marTop w:val="0"/>
      <w:marBottom w:val="0"/>
      <w:divBdr>
        <w:top w:val="none" w:sz="0" w:space="0" w:color="auto"/>
        <w:left w:val="none" w:sz="0" w:space="0" w:color="auto"/>
        <w:bottom w:val="none" w:sz="0" w:space="0" w:color="auto"/>
        <w:right w:val="none" w:sz="0" w:space="0" w:color="auto"/>
      </w:divBdr>
      <w:divsChild>
        <w:div w:id="165217494">
          <w:marLeft w:val="0"/>
          <w:marRight w:val="1"/>
          <w:marTop w:val="0"/>
          <w:marBottom w:val="0"/>
          <w:divBdr>
            <w:top w:val="none" w:sz="0" w:space="0" w:color="auto"/>
            <w:left w:val="none" w:sz="0" w:space="0" w:color="auto"/>
            <w:bottom w:val="none" w:sz="0" w:space="0" w:color="auto"/>
            <w:right w:val="none" w:sz="0" w:space="0" w:color="auto"/>
          </w:divBdr>
          <w:divsChild>
            <w:div w:id="882907888">
              <w:marLeft w:val="0"/>
              <w:marRight w:val="0"/>
              <w:marTop w:val="0"/>
              <w:marBottom w:val="0"/>
              <w:divBdr>
                <w:top w:val="none" w:sz="0" w:space="0" w:color="auto"/>
                <w:left w:val="none" w:sz="0" w:space="0" w:color="auto"/>
                <w:bottom w:val="none" w:sz="0" w:space="0" w:color="auto"/>
                <w:right w:val="none" w:sz="0" w:space="0" w:color="auto"/>
              </w:divBdr>
              <w:divsChild>
                <w:div w:id="651956950">
                  <w:marLeft w:val="0"/>
                  <w:marRight w:val="1"/>
                  <w:marTop w:val="0"/>
                  <w:marBottom w:val="0"/>
                  <w:divBdr>
                    <w:top w:val="none" w:sz="0" w:space="0" w:color="auto"/>
                    <w:left w:val="none" w:sz="0" w:space="0" w:color="auto"/>
                    <w:bottom w:val="none" w:sz="0" w:space="0" w:color="auto"/>
                    <w:right w:val="none" w:sz="0" w:space="0" w:color="auto"/>
                  </w:divBdr>
                  <w:divsChild>
                    <w:div w:id="517279352">
                      <w:marLeft w:val="0"/>
                      <w:marRight w:val="0"/>
                      <w:marTop w:val="0"/>
                      <w:marBottom w:val="0"/>
                      <w:divBdr>
                        <w:top w:val="none" w:sz="0" w:space="0" w:color="auto"/>
                        <w:left w:val="none" w:sz="0" w:space="0" w:color="auto"/>
                        <w:bottom w:val="none" w:sz="0" w:space="0" w:color="auto"/>
                        <w:right w:val="none" w:sz="0" w:space="0" w:color="auto"/>
                      </w:divBdr>
                      <w:divsChild>
                        <w:div w:id="1219126430">
                          <w:marLeft w:val="0"/>
                          <w:marRight w:val="0"/>
                          <w:marTop w:val="0"/>
                          <w:marBottom w:val="0"/>
                          <w:divBdr>
                            <w:top w:val="none" w:sz="0" w:space="0" w:color="auto"/>
                            <w:left w:val="none" w:sz="0" w:space="0" w:color="auto"/>
                            <w:bottom w:val="none" w:sz="0" w:space="0" w:color="auto"/>
                            <w:right w:val="none" w:sz="0" w:space="0" w:color="auto"/>
                          </w:divBdr>
                          <w:divsChild>
                            <w:div w:id="461534205">
                              <w:marLeft w:val="0"/>
                              <w:marRight w:val="0"/>
                              <w:marTop w:val="120"/>
                              <w:marBottom w:val="360"/>
                              <w:divBdr>
                                <w:top w:val="none" w:sz="0" w:space="0" w:color="auto"/>
                                <w:left w:val="none" w:sz="0" w:space="0" w:color="auto"/>
                                <w:bottom w:val="none" w:sz="0" w:space="0" w:color="auto"/>
                                <w:right w:val="none" w:sz="0" w:space="0" w:color="auto"/>
                              </w:divBdr>
                              <w:divsChild>
                                <w:div w:id="979848922">
                                  <w:marLeft w:val="0"/>
                                  <w:marRight w:val="0"/>
                                  <w:marTop w:val="0"/>
                                  <w:marBottom w:val="0"/>
                                  <w:divBdr>
                                    <w:top w:val="none" w:sz="0" w:space="0" w:color="auto"/>
                                    <w:left w:val="none" w:sz="0" w:space="0" w:color="auto"/>
                                    <w:bottom w:val="none" w:sz="0" w:space="0" w:color="auto"/>
                                    <w:right w:val="none" w:sz="0" w:space="0" w:color="auto"/>
                                  </w:divBdr>
                                </w:div>
                                <w:div w:id="20586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925458">
      <w:bodyDiv w:val="1"/>
      <w:marLeft w:val="0"/>
      <w:marRight w:val="0"/>
      <w:marTop w:val="0"/>
      <w:marBottom w:val="0"/>
      <w:divBdr>
        <w:top w:val="none" w:sz="0" w:space="0" w:color="auto"/>
        <w:left w:val="none" w:sz="0" w:space="0" w:color="auto"/>
        <w:bottom w:val="none" w:sz="0" w:space="0" w:color="auto"/>
        <w:right w:val="none" w:sz="0" w:space="0" w:color="auto"/>
      </w:divBdr>
    </w:div>
    <w:div w:id="250624034">
      <w:bodyDiv w:val="1"/>
      <w:marLeft w:val="0"/>
      <w:marRight w:val="0"/>
      <w:marTop w:val="0"/>
      <w:marBottom w:val="0"/>
      <w:divBdr>
        <w:top w:val="none" w:sz="0" w:space="0" w:color="auto"/>
        <w:left w:val="none" w:sz="0" w:space="0" w:color="auto"/>
        <w:bottom w:val="none" w:sz="0" w:space="0" w:color="auto"/>
        <w:right w:val="none" w:sz="0" w:space="0" w:color="auto"/>
      </w:divBdr>
    </w:div>
    <w:div w:id="275907991">
      <w:bodyDiv w:val="1"/>
      <w:marLeft w:val="0"/>
      <w:marRight w:val="0"/>
      <w:marTop w:val="0"/>
      <w:marBottom w:val="0"/>
      <w:divBdr>
        <w:top w:val="none" w:sz="0" w:space="0" w:color="auto"/>
        <w:left w:val="none" w:sz="0" w:space="0" w:color="auto"/>
        <w:bottom w:val="none" w:sz="0" w:space="0" w:color="auto"/>
        <w:right w:val="none" w:sz="0" w:space="0" w:color="auto"/>
      </w:divBdr>
    </w:div>
    <w:div w:id="280385842">
      <w:bodyDiv w:val="1"/>
      <w:marLeft w:val="0"/>
      <w:marRight w:val="0"/>
      <w:marTop w:val="0"/>
      <w:marBottom w:val="0"/>
      <w:divBdr>
        <w:top w:val="none" w:sz="0" w:space="0" w:color="auto"/>
        <w:left w:val="none" w:sz="0" w:space="0" w:color="auto"/>
        <w:bottom w:val="none" w:sz="0" w:space="0" w:color="auto"/>
        <w:right w:val="none" w:sz="0" w:space="0" w:color="auto"/>
      </w:divBdr>
    </w:div>
    <w:div w:id="282541612">
      <w:bodyDiv w:val="1"/>
      <w:marLeft w:val="0"/>
      <w:marRight w:val="0"/>
      <w:marTop w:val="0"/>
      <w:marBottom w:val="0"/>
      <w:divBdr>
        <w:top w:val="none" w:sz="0" w:space="0" w:color="auto"/>
        <w:left w:val="none" w:sz="0" w:space="0" w:color="auto"/>
        <w:bottom w:val="none" w:sz="0" w:space="0" w:color="auto"/>
        <w:right w:val="none" w:sz="0" w:space="0" w:color="auto"/>
      </w:divBdr>
      <w:divsChild>
        <w:div w:id="996110634">
          <w:marLeft w:val="360"/>
          <w:marRight w:val="0"/>
          <w:marTop w:val="72"/>
          <w:marBottom w:val="0"/>
          <w:divBdr>
            <w:top w:val="none" w:sz="0" w:space="0" w:color="auto"/>
            <w:left w:val="none" w:sz="0" w:space="0" w:color="auto"/>
            <w:bottom w:val="none" w:sz="0" w:space="0" w:color="auto"/>
            <w:right w:val="none" w:sz="0" w:space="0" w:color="auto"/>
          </w:divBdr>
        </w:div>
      </w:divsChild>
    </w:div>
    <w:div w:id="283463914">
      <w:bodyDiv w:val="1"/>
      <w:marLeft w:val="0"/>
      <w:marRight w:val="0"/>
      <w:marTop w:val="0"/>
      <w:marBottom w:val="0"/>
      <w:divBdr>
        <w:top w:val="none" w:sz="0" w:space="0" w:color="auto"/>
        <w:left w:val="none" w:sz="0" w:space="0" w:color="auto"/>
        <w:bottom w:val="none" w:sz="0" w:space="0" w:color="auto"/>
        <w:right w:val="none" w:sz="0" w:space="0" w:color="auto"/>
      </w:divBdr>
    </w:div>
    <w:div w:id="338776424">
      <w:bodyDiv w:val="1"/>
      <w:marLeft w:val="0"/>
      <w:marRight w:val="0"/>
      <w:marTop w:val="0"/>
      <w:marBottom w:val="0"/>
      <w:divBdr>
        <w:top w:val="none" w:sz="0" w:space="0" w:color="auto"/>
        <w:left w:val="none" w:sz="0" w:space="0" w:color="auto"/>
        <w:bottom w:val="none" w:sz="0" w:space="0" w:color="auto"/>
        <w:right w:val="none" w:sz="0" w:space="0" w:color="auto"/>
      </w:divBdr>
    </w:div>
    <w:div w:id="346710674">
      <w:bodyDiv w:val="1"/>
      <w:marLeft w:val="0"/>
      <w:marRight w:val="0"/>
      <w:marTop w:val="0"/>
      <w:marBottom w:val="0"/>
      <w:divBdr>
        <w:top w:val="none" w:sz="0" w:space="0" w:color="auto"/>
        <w:left w:val="none" w:sz="0" w:space="0" w:color="auto"/>
        <w:bottom w:val="none" w:sz="0" w:space="0" w:color="auto"/>
        <w:right w:val="none" w:sz="0" w:space="0" w:color="auto"/>
      </w:divBdr>
    </w:div>
    <w:div w:id="353577564">
      <w:bodyDiv w:val="1"/>
      <w:marLeft w:val="0"/>
      <w:marRight w:val="0"/>
      <w:marTop w:val="0"/>
      <w:marBottom w:val="0"/>
      <w:divBdr>
        <w:top w:val="none" w:sz="0" w:space="0" w:color="auto"/>
        <w:left w:val="none" w:sz="0" w:space="0" w:color="auto"/>
        <w:bottom w:val="none" w:sz="0" w:space="0" w:color="auto"/>
        <w:right w:val="none" w:sz="0" w:space="0" w:color="auto"/>
      </w:divBdr>
    </w:div>
    <w:div w:id="354382677">
      <w:bodyDiv w:val="1"/>
      <w:marLeft w:val="0"/>
      <w:marRight w:val="0"/>
      <w:marTop w:val="0"/>
      <w:marBottom w:val="0"/>
      <w:divBdr>
        <w:top w:val="none" w:sz="0" w:space="0" w:color="auto"/>
        <w:left w:val="none" w:sz="0" w:space="0" w:color="auto"/>
        <w:bottom w:val="none" w:sz="0" w:space="0" w:color="auto"/>
        <w:right w:val="none" w:sz="0" w:space="0" w:color="auto"/>
      </w:divBdr>
    </w:div>
    <w:div w:id="363096405">
      <w:bodyDiv w:val="1"/>
      <w:marLeft w:val="0"/>
      <w:marRight w:val="0"/>
      <w:marTop w:val="0"/>
      <w:marBottom w:val="0"/>
      <w:divBdr>
        <w:top w:val="none" w:sz="0" w:space="0" w:color="auto"/>
        <w:left w:val="none" w:sz="0" w:space="0" w:color="auto"/>
        <w:bottom w:val="none" w:sz="0" w:space="0" w:color="auto"/>
        <w:right w:val="none" w:sz="0" w:space="0" w:color="auto"/>
      </w:divBdr>
    </w:div>
    <w:div w:id="365637978">
      <w:bodyDiv w:val="1"/>
      <w:marLeft w:val="0"/>
      <w:marRight w:val="0"/>
      <w:marTop w:val="0"/>
      <w:marBottom w:val="0"/>
      <w:divBdr>
        <w:top w:val="none" w:sz="0" w:space="0" w:color="auto"/>
        <w:left w:val="none" w:sz="0" w:space="0" w:color="auto"/>
        <w:bottom w:val="none" w:sz="0" w:space="0" w:color="auto"/>
        <w:right w:val="none" w:sz="0" w:space="0" w:color="auto"/>
      </w:divBdr>
      <w:divsChild>
        <w:div w:id="1822581150">
          <w:marLeft w:val="0"/>
          <w:marRight w:val="1"/>
          <w:marTop w:val="0"/>
          <w:marBottom w:val="0"/>
          <w:divBdr>
            <w:top w:val="none" w:sz="0" w:space="0" w:color="auto"/>
            <w:left w:val="none" w:sz="0" w:space="0" w:color="auto"/>
            <w:bottom w:val="none" w:sz="0" w:space="0" w:color="auto"/>
            <w:right w:val="none" w:sz="0" w:space="0" w:color="auto"/>
          </w:divBdr>
          <w:divsChild>
            <w:div w:id="660276467">
              <w:marLeft w:val="0"/>
              <w:marRight w:val="0"/>
              <w:marTop w:val="0"/>
              <w:marBottom w:val="0"/>
              <w:divBdr>
                <w:top w:val="none" w:sz="0" w:space="0" w:color="auto"/>
                <w:left w:val="none" w:sz="0" w:space="0" w:color="auto"/>
                <w:bottom w:val="none" w:sz="0" w:space="0" w:color="auto"/>
                <w:right w:val="none" w:sz="0" w:space="0" w:color="auto"/>
              </w:divBdr>
              <w:divsChild>
                <w:div w:id="600726008">
                  <w:marLeft w:val="0"/>
                  <w:marRight w:val="1"/>
                  <w:marTop w:val="0"/>
                  <w:marBottom w:val="0"/>
                  <w:divBdr>
                    <w:top w:val="none" w:sz="0" w:space="0" w:color="auto"/>
                    <w:left w:val="none" w:sz="0" w:space="0" w:color="auto"/>
                    <w:bottom w:val="none" w:sz="0" w:space="0" w:color="auto"/>
                    <w:right w:val="none" w:sz="0" w:space="0" w:color="auto"/>
                  </w:divBdr>
                  <w:divsChild>
                    <w:div w:id="519706947">
                      <w:marLeft w:val="0"/>
                      <w:marRight w:val="0"/>
                      <w:marTop w:val="0"/>
                      <w:marBottom w:val="0"/>
                      <w:divBdr>
                        <w:top w:val="none" w:sz="0" w:space="0" w:color="auto"/>
                        <w:left w:val="none" w:sz="0" w:space="0" w:color="auto"/>
                        <w:bottom w:val="none" w:sz="0" w:space="0" w:color="auto"/>
                        <w:right w:val="none" w:sz="0" w:space="0" w:color="auto"/>
                      </w:divBdr>
                      <w:divsChild>
                        <w:div w:id="105851210">
                          <w:marLeft w:val="0"/>
                          <w:marRight w:val="0"/>
                          <w:marTop w:val="0"/>
                          <w:marBottom w:val="0"/>
                          <w:divBdr>
                            <w:top w:val="none" w:sz="0" w:space="0" w:color="auto"/>
                            <w:left w:val="none" w:sz="0" w:space="0" w:color="auto"/>
                            <w:bottom w:val="none" w:sz="0" w:space="0" w:color="auto"/>
                            <w:right w:val="none" w:sz="0" w:space="0" w:color="auto"/>
                          </w:divBdr>
                          <w:divsChild>
                            <w:div w:id="606694518">
                              <w:marLeft w:val="0"/>
                              <w:marRight w:val="0"/>
                              <w:marTop w:val="120"/>
                              <w:marBottom w:val="360"/>
                              <w:divBdr>
                                <w:top w:val="none" w:sz="0" w:space="0" w:color="auto"/>
                                <w:left w:val="none" w:sz="0" w:space="0" w:color="auto"/>
                                <w:bottom w:val="none" w:sz="0" w:space="0" w:color="auto"/>
                                <w:right w:val="none" w:sz="0" w:space="0" w:color="auto"/>
                              </w:divBdr>
                              <w:divsChild>
                                <w:div w:id="788624963">
                                  <w:marLeft w:val="0"/>
                                  <w:marRight w:val="0"/>
                                  <w:marTop w:val="0"/>
                                  <w:marBottom w:val="0"/>
                                  <w:divBdr>
                                    <w:top w:val="none" w:sz="0" w:space="0" w:color="auto"/>
                                    <w:left w:val="none" w:sz="0" w:space="0" w:color="auto"/>
                                    <w:bottom w:val="none" w:sz="0" w:space="0" w:color="auto"/>
                                    <w:right w:val="none" w:sz="0" w:space="0" w:color="auto"/>
                                  </w:divBdr>
                                </w:div>
                                <w:div w:id="11637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417879">
      <w:bodyDiv w:val="1"/>
      <w:marLeft w:val="0"/>
      <w:marRight w:val="0"/>
      <w:marTop w:val="0"/>
      <w:marBottom w:val="0"/>
      <w:divBdr>
        <w:top w:val="none" w:sz="0" w:space="0" w:color="auto"/>
        <w:left w:val="none" w:sz="0" w:space="0" w:color="auto"/>
        <w:bottom w:val="none" w:sz="0" w:space="0" w:color="auto"/>
        <w:right w:val="none" w:sz="0" w:space="0" w:color="auto"/>
      </w:divBdr>
    </w:div>
    <w:div w:id="394662537">
      <w:bodyDiv w:val="1"/>
      <w:marLeft w:val="0"/>
      <w:marRight w:val="0"/>
      <w:marTop w:val="0"/>
      <w:marBottom w:val="0"/>
      <w:divBdr>
        <w:top w:val="none" w:sz="0" w:space="0" w:color="auto"/>
        <w:left w:val="none" w:sz="0" w:space="0" w:color="auto"/>
        <w:bottom w:val="none" w:sz="0" w:space="0" w:color="auto"/>
        <w:right w:val="none" w:sz="0" w:space="0" w:color="auto"/>
      </w:divBdr>
    </w:div>
    <w:div w:id="395251314">
      <w:bodyDiv w:val="1"/>
      <w:marLeft w:val="0"/>
      <w:marRight w:val="0"/>
      <w:marTop w:val="0"/>
      <w:marBottom w:val="0"/>
      <w:divBdr>
        <w:top w:val="none" w:sz="0" w:space="0" w:color="auto"/>
        <w:left w:val="none" w:sz="0" w:space="0" w:color="auto"/>
        <w:bottom w:val="none" w:sz="0" w:space="0" w:color="auto"/>
        <w:right w:val="none" w:sz="0" w:space="0" w:color="auto"/>
      </w:divBdr>
      <w:divsChild>
        <w:div w:id="1714891279">
          <w:marLeft w:val="0"/>
          <w:marRight w:val="1"/>
          <w:marTop w:val="0"/>
          <w:marBottom w:val="0"/>
          <w:divBdr>
            <w:top w:val="none" w:sz="0" w:space="0" w:color="auto"/>
            <w:left w:val="none" w:sz="0" w:space="0" w:color="auto"/>
            <w:bottom w:val="none" w:sz="0" w:space="0" w:color="auto"/>
            <w:right w:val="none" w:sz="0" w:space="0" w:color="auto"/>
          </w:divBdr>
          <w:divsChild>
            <w:div w:id="1849320431">
              <w:marLeft w:val="0"/>
              <w:marRight w:val="0"/>
              <w:marTop w:val="0"/>
              <w:marBottom w:val="0"/>
              <w:divBdr>
                <w:top w:val="none" w:sz="0" w:space="0" w:color="auto"/>
                <w:left w:val="none" w:sz="0" w:space="0" w:color="auto"/>
                <w:bottom w:val="none" w:sz="0" w:space="0" w:color="auto"/>
                <w:right w:val="none" w:sz="0" w:space="0" w:color="auto"/>
              </w:divBdr>
              <w:divsChild>
                <w:div w:id="309940970">
                  <w:marLeft w:val="0"/>
                  <w:marRight w:val="1"/>
                  <w:marTop w:val="0"/>
                  <w:marBottom w:val="0"/>
                  <w:divBdr>
                    <w:top w:val="none" w:sz="0" w:space="0" w:color="auto"/>
                    <w:left w:val="none" w:sz="0" w:space="0" w:color="auto"/>
                    <w:bottom w:val="none" w:sz="0" w:space="0" w:color="auto"/>
                    <w:right w:val="none" w:sz="0" w:space="0" w:color="auto"/>
                  </w:divBdr>
                  <w:divsChild>
                    <w:div w:id="1506286638">
                      <w:marLeft w:val="0"/>
                      <w:marRight w:val="0"/>
                      <w:marTop w:val="0"/>
                      <w:marBottom w:val="0"/>
                      <w:divBdr>
                        <w:top w:val="none" w:sz="0" w:space="0" w:color="auto"/>
                        <w:left w:val="none" w:sz="0" w:space="0" w:color="auto"/>
                        <w:bottom w:val="none" w:sz="0" w:space="0" w:color="auto"/>
                        <w:right w:val="none" w:sz="0" w:space="0" w:color="auto"/>
                      </w:divBdr>
                      <w:divsChild>
                        <w:div w:id="569343337">
                          <w:marLeft w:val="0"/>
                          <w:marRight w:val="0"/>
                          <w:marTop w:val="0"/>
                          <w:marBottom w:val="0"/>
                          <w:divBdr>
                            <w:top w:val="none" w:sz="0" w:space="0" w:color="auto"/>
                            <w:left w:val="none" w:sz="0" w:space="0" w:color="auto"/>
                            <w:bottom w:val="none" w:sz="0" w:space="0" w:color="auto"/>
                            <w:right w:val="none" w:sz="0" w:space="0" w:color="auto"/>
                          </w:divBdr>
                          <w:divsChild>
                            <w:div w:id="167450049">
                              <w:marLeft w:val="0"/>
                              <w:marRight w:val="0"/>
                              <w:marTop w:val="120"/>
                              <w:marBottom w:val="360"/>
                              <w:divBdr>
                                <w:top w:val="none" w:sz="0" w:space="0" w:color="auto"/>
                                <w:left w:val="none" w:sz="0" w:space="0" w:color="auto"/>
                                <w:bottom w:val="none" w:sz="0" w:space="0" w:color="auto"/>
                                <w:right w:val="none" w:sz="0" w:space="0" w:color="auto"/>
                              </w:divBdr>
                              <w:divsChild>
                                <w:div w:id="983433830">
                                  <w:marLeft w:val="0"/>
                                  <w:marRight w:val="0"/>
                                  <w:marTop w:val="0"/>
                                  <w:marBottom w:val="0"/>
                                  <w:divBdr>
                                    <w:top w:val="none" w:sz="0" w:space="0" w:color="auto"/>
                                    <w:left w:val="none" w:sz="0" w:space="0" w:color="auto"/>
                                    <w:bottom w:val="none" w:sz="0" w:space="0" w:color="auto"/>
                                    <w:right w:val="none" w:sz="0" w:space="0" w:color="auto"/>
                                  </w:divBdr>
                                </w:div>
                                <w:div w:id="16719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519691">
      <w:bodyDiv w:val="1"/>
      <w:marLeft w:val="0"/>
      <w:marRight w:val="0"/>
      <w:marTop w:val="0"/>
      <w:marBottom w:val="0"/>
      <w:divBdr>
        <w:top w:val="none" w:sz="0" w:space="0" w:color="auto"/>
        <w:left w:val="none" w:sz="0" w:space="0" w:color="auto"/>
        <w:bottom w:val="none" w:sz="0" w:space="0" w:color="auto"/>
        <w:right w:val="none" w:sz="0" w:space="0" w:color="auto"/>
      </w:divBdr>
    </w:div>
    <w:div w:id="431707277">
      <w:bodyDiv w:val="1"/>
      <w:marLeft w:val="0"/>
      <w:marRight w:val="0"/>
      <w:marTop w:val="0"/>
      <w:marBottom w:val="0"/>
      <w:divBdr>
        <w:top w:val="none" w:sz="0" w:space="0" w:color="auto"/>
        <w:left w:val="none" w:sz="0" w:space="0" w:color="auto"/>
        <w:bottom w:val="none" w:sz="0" w:space="0" w:color="auto"/>
        <w:right w:val="none" w:sz="0" w:space="0" w:color="auto"/>
      </w:divBdr>
      <w:divsChild>
        <w:div w:id="636767271">
          <w:marLeft w:val="0"/>
          <w:marRight w:val="1"/>
          <w:marTop w:val="0"/>
          <w:marBottom w:val="0"/>
          <w:divBdr>
            <w:top w:val="none" w:sz="0" w:space="0" w:color="auto"/>
            <w:left w:val="none" w:sz="0" w:space="0" w:color="auto"/>
            <w:bottom w:val="none" w:sz="0" w:space="0" w:color="auto"/>
            <w:right w:val="none" w:sz="0" w:space="0" w:color="auto"/>
          </w:divBdr>
          <w:divsChild>
            <w:div w:id="392198066">
              <w:marLeft w:val="0"/>
              <w:marRight w:val="0"/>
              <w:marTop w:val="0"/>
              <w:marBottom w:val="0"/>
              <w:divBdr>
                <w:top w:val="none" w:sz="0" w:space="0" w:color="auto"/>
                <w:left w:val="none" w:sz="0" w:space="0" w:color="auto"/>
                <w:bottom w:val="none" w:sz="0" w:space="0" w:color="auto"/>
                <w:right w:val="none" w:sz="0" w:space="0" w:color="auto"/>
              </w:divBdr>
              <w:divsChild>
                <w:div w:id="350493955">
                  <w:marLeft w:val="0"/>
                  <w:marRight w:val="1"/>
                  <w:marTop w:val="0"/>
                  <w:marBottom w:val="0"/>
                  <w:divBdr>
                    <w:top w:val="none" w:sz="0" w:space="0" w:color="auto"/>
                    <w:left w:val="none" w:sz="0" w:space="0" w:color="auto"/>
                    <w:bottom w:val="none" w:sz="0" w:space="0" w:color="auto"/>
                    <w:right w:val="none" w:sz="0" w:space="0" w:color="auto"/>
                  </w:divBdr>
                  <w:divsChild>
                    <w:div w:id="780415680">
                      <w:marLeft w:val="0"/>
                      <w:marRight w:val="0"/>
                      <w:marTop w:val="0"/>
                      <w:marBottom w:val="0"/>
                      <w:divBdr>
                        <w:top w:val="none" w:sz="0" w:space="0" w:color="auto"/>
                        <w:left w:val="none" w:sz="0" w:space="0" w:color="auto"/>
                        <w:bottom w:val="none" w:sz="0" w:space="0" w:color="auto"/>
                        <w:right w:val="none" w:sz="0" w:space="0" w:color="auto"/>
                      </w:divBdr>
                      <w:divsChild>
                        <w:div w:id="1977224271">
                          <w:marLeft w:val="0"/>
                          <w:marRight w:val="0"/>
                          <w:marTop w:val="0"/>
                          <w:marBottom w:val="0"/>
                          <w:divBdr>
                            <w:top w:val="none" w:sz="0" w:space="0" w:color="auto"/>
                            <w:left w:val="none" w:sz="0" w:space="0" w:color="auto"/>
                            <w:bottom w:val="none" w:sz="0" w:space="0" w:color="auto"/>
                            <w:right w:val="none" w:sz="0" w:space="0" w:color="auto"/>
                          </w:divBdr>
                          <w:divsChild>
                            <w:div w:id="384597537">
                              <w:marLeft w:val="0"/>
                              <w:marRight w:val="0"/>
                              <w:marTop w:val="120"/>
                              <w:marBottom w:val="360"/>
                              <w:divBdr>
                                <w:top w:val="none" w:sz="0" w:space="0" w:color="auto"/>
                                <w:left w:val="none" w:sz="0" w:space="0" w:color="auto"/>
                                <w:bottom w:val="none" w:sz="0" w:space="0" w:color="auto"/>
                                <w:right w:val="none" w:sz="0" w:space="0" w:color="auto"/>
                              </w:divBdr>
                              <w:divsChild>
                                <w:div w:id="732701155">
                                  <w:marLeft w:val="0"/>
                                  <w:marRight w:val="0"/>
                                  <w:marTop w:val="0"/>
                                  <w:marBottom w:val="0"/>
                                  <w:divBdr>
                                    <w:top w:val="none" w:sz="0" w:space="0" w:color="auto"/>
                                    <w:left w:val="none" w:sz="0" w:space="0" w:color="auto"/>
                                    <w:bottom w:val="none" w:sz="0" w:space="0" w:color="auto"/>
                                    <w:right w:val="none" w:sz="0" w:space="0" w:color="auto"/>
                                  </w:divBdr>
                                </w:div>
                                <w:div w:id="12822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186013">
      <w:bodyDiv w:val="1"/>
      <w:marLeft w:val="0"/>
      <w:marRight w:val="0"/>
      <w:marTop w:val="0"/>
      <w:marBottom w:val="0"/>
      <w:divBdr>
        <w:top w:val="none" w:sz="0" w:space="0" w:color="auto"/>
        <w:left w:val="none" w:sz="0" w:space="0" w:color="auto"/>
        <w:bottom w:val="none" w:sz="0" w:space="0" w:color="auto"/>
        <w:right w:val="none" w:sz="0" w:space="0" w:color="auto"/>
      </w:divBdr>
    </w:div>
    <w:div w:id="442194564">
      <w:bodyDiv w:val="1"/>
      <w:marLeft w:val="0"/>
      <w:marRight w:val="0"/>
      <w:marTop w:val="0"/>
      <w:marBottom w:val="0"/>
      <w:divBdr>
        <w:top w:val="none" w:sz="0" w:space="0" w:color="auto"/>
        <w:left w:val="none" w:sz="0" w:space="0" w:color="auto"/>
        <w:bottom w:val="none" w:sz="0" w:space="0" w:color="auto"/>
        <w:right w:val="none" w:sz="0" w:space="0" w:color="auto"/>
      </w:divBdr>
    </w:div>
    <w:div w:id="446849228">
      <w:bodyDiv w:val="1"/>
      <w:marLeft w:val="0"/>
      <w:marRight w:val="0"/>
      <w:marTop w:val="0"/>
      <w:marBottom w:val="0"/>
      <w:divBdr>
        <w:top w:val="none" w:sz="0" w:space="0" w:color="auto"/>
        <w:left w:val="none" w:sz="0" w:space="0" w:color="auto"/>
        <w:bottom w:val="none" w:sz="0" w:space="0" w:color="auto"/>
        <w:right w:val="none" w:sz="0" w:space="0" w:color="auto"/>
      </w:divBdr>
    </w:div>
    <w:div w:id="460390834">
      <w:bodyDiv w:val="1"/>
      <w:marLeft w:val="0"/>
      <w:marRight w:val="0"/>
      <w:marTop w:val="0"/>
      <w:marBottom w:val="0"/>
      <w:divBdr>
        <w:top w:val="none" w:sz="0" w:space="0" w:color="auto"/>
        <w:left w:val="none" w:sz="0" w:space="0" w:color="auto"/>
        <w:bottom w:val="none" w:sz="0" w:space="0" w:color="auto"/>
        <w:right w:val="none" w:sz="0" w:space="0" w:color="auto"/>
      </w:divBdr>
    </w:div>
    <w:div w:id="463696143">
      <w:bodyDiv w:val="1"/>
      <w:marLeft w:val="0"/>
      <w:marRight w:val="0"/>
      <w:marTop w:val="0"/>
      <w:marBottom w:val="0"/>
      <w:divBdr>
        <w:top w:val="none" w:sz="0" w:space="0" w:color="auto"/>
        <w:left w:val="none" w:sz="0" w:space="0" w:color="auto"/>
        <w:bottom w:val="none" w:sz="0" w:space="0" w:color="auto"/>
        <w:right w:val="none" w:sz="0" w:space="0" w:color="auto"/>
      </w:divBdr>
    </w:div>
    <w:div w:id="464546567">
      <w:bodyDiv w:val="1"/>
      <w:marLeft w:val="0"/>
      <w:marRight w:val="0"/>
      <w:marTop w:val="0"/>
      <w:marBottom w:val="0"/>
      <w:divBdr>
        <w:top w:val="none" w:sz="0" w:space="0" w:color="auto"/>
        <w:left w:val="none" w:sz="0" w:space="0" w:color="auto"/>
        <w:bottom w:val="none" w:sz="0" w:space="0" w:color="auto"/>
        <w:right w:val="none" w:sz="0" w:space="0" w:color="auto"/>
      </w:divBdr>
    </w:div>
    <w:div w:id="465196799">
      <w:bodyDiv w:val="1"/>
      <w:marLeft w:val="0"/>
      <w:marRight w:val="0"/>
      <w:marTop w:val="0"/>
      <w:marBottom w:val="0"/>
      <w:divBdr>
        <w:top w:val="none" w:sz="0" w:space="0" w:color="auto"/>
        <w:left w:val="none" w:sz="0" w:space="0" w:color="auto"/>
        <w:bottom w:val="none" w:sz="0" w:space="0" w:color="auto"/>
        <w:right w:val="none" w:sz="0" w:space="0" w:color="auto"/>
      </w:divBdr>
    </w:div>
    <w:div w:id="477066922">
      <w:bodyDiv w:val="1"/>
      <w:marLeft w:val="0"/>
      <w:marRight w:val="0"/>
      <w:marTop w:val="0"/>
      <w:marBottom w:val="0"/>
      <w:divBdr>
        <w:top w:val="none" w:sz="0" w:space="0" w:color="auto"/>
        <w:left w:val="none" w:sz="0" w:space="0" w:color="auto"/>
        <w:bottom w:val="none" w:sz="0" w:space="0" w:color="auto"/>
        <w:right w:val="none" w:sz="0" w:space="0" w:color="auto"/>
      </w:divBdr>
      <w:divsChild>
        <w:div w:id="1197355362">
          <w:marLeft w:val="0"/>
          <w:marRight w:val="0"/>
          <w:marTop w:val="0"/>
          <w:marBottom w:val="0"/>
          <w:divBdr>
            <w:top w:val="none" w:sz="0" w:space="0" w:color="auto"/>
            <w:left w:val="none" w:sz="0" w:space="0" w:color="auto"/>
            <w:bottom w:val="none" w:sz="0" w:space="0" w:color="auto"/>
            <w:right w:val="none" w:sz="0" w:space="0" w:color="auto"/>
          </w:divBdr>
          <w:divsChild>
            <w:div w:id="459882802">
              <w:marLeft w:val="0"/>
              <w:marRight w:val="0"/>
              <w:marTop w:val="0"/>
              <w:marBottom w:val="0"/>
              <w:divBdr>
                <w:top w:val="none" w:sz="0" w:space="0" w:color="auto"/>
                <w:left w:val="none" w:sz="0" w:space="0" w:color="auto"/>
                <w:bottom w:val="none" w:sz="0" w:space="0" w:color="auto"/>
                <w:right w:val="none" w:sz="0" w:space="0" w:color="auto"/>
              </w:divBdr>
              <w:divsChild>
                <w:div w:id="1859855740">
                  <w:marLeft w:val="0"/>
                  <w:marRight w:val="0"/>
                  <w:marTop w:val="0"/>
                  <w:marBottom w:val="0"/>
                  <w:divBdr>
                    <w:top w:val="none" w:sz="0" w:space="0" w:color="auto"/>
                    <w:left w:val="none" w:sz="0" w:space="0" w:color="auto"/>
                    <w:bottom w:val="none" w:sz="0" w:space="0" w:color="auto"/>
                    <w:right w:val="none" w:sz="0" w:space="0" w:color="auto"/>
                  </w:divBdr>
                  <w:divsChild>
                    <w:div w:id="606037429">
                      <w:marLeft w:val="0"/>
                      <w:marRight w:val="0"/>
                      <w:marTop w:val="0"/>
                      <w:marBottom w:val="0"/>
                      <w:divBdr>
                        <w:top w:val="none" w:sz="0" w:space="0" w:color="auto"/>
                        <w:left w:val="none" w:sz="0" w:space="0" w:color="auto"/>
                        <w:bottom w:val="none" w:sz="0" w:space="0" w:color="auto"/>
                        <w:right w:val="none" w:sz="0" w:space="0" w:color="auto"/>
                      </w:divBdr>
                      <w:divsChild>
                        <w:div w:id="1527399777">
                          <w:marLeft w:val="0"/>
                          <w:marRight w:val="0"/>
                          <w:marTop w:val="0"/>
                          <w:marBottom w:val="0"/>
                          <w:divBdr>
                            <w:top w:val="none" w:sz="0" w:space="0" w:color="auto"/>
                            <w:left w:val="none" w:sz="0" w:space="0" w:color="auto"/>
                            <w:bottom w:val="none" w:sz="0" w:space="0" w:color="auto"/>
                            <w:right w:val="none" w:sz="0" w:space="0" w:color="auto"/>
                          </w:divBdr>
                          <w:divsChild>
                            <w:div w:id="181601369">
                              <w:marLeft w:val="0"/>
                              <w:marRight w:val="0"/>
                              <w:marTop w:val="0"/>
                              <w:marBottom w:val="0"/>
                              <w:divBdr>
                                <w:top w:val="none" w:sz="0" w:space="0" w:color="auto"/>
                                <w:left w:val="none" w:sz="0" w:space="0" w:color="auto"/>
                                <w:bottom w:val="none" w:sz="0" w:space="0" w:color="auto"/>
                                <w:right w:val="none" w:sz="0" w:space="0" w:color="auto"/>
                              </w:divBdr>
                              <w:divsChild>
                                <w:div w:id="2098480974">
                                  <w:marLeft w:val="0"/>
                                  <w:marRight w:val="0"/>
                                  <w:marTop w:val="0"/>
                                  <w:marBottom w:val="0"/>
                                  <w:divBdr>
                                    <w:top w:val="none" w:sz="0" w:space="0" w:color="auto"/>
                                    <w:left w:val="none" w:sz="0" w:space="0" w:color="auto"/>
                                    <w:bottom w:val="none" w:sz="0" w:space="0" w:color="auto"/>
                                    <w:right w:val="none" w:sz="0" w:space="0" w:color="auto"/>
                                  </w:divBdr>
                                  <w:divsChild>
                                    <w:div w:id="59527797">
                                      <w:marLeft w:val="0"/>
                                      <w:marRight w:val="0"/>
                                      <w:marTop w:val="0"/>
                                      <w:marBottom w:val="0"/>
                                      <w:divBdr>
                                        <w:top w:val="none" w:sz="0" w:space="0" w:color="auto"/>
                                        <w:left w:val="none" w:sz="0" w:space="0" w:color="auto"/>
                                        <w:bottom w:val="none" w:sz="0" w:space="0" w:color="auto"/>
                                        <w:right w:val="none" w:sz="0" w:space="0" w:color="auto"/>
                                      </w:divBdr>
                                      <w:divsChild>
                                        <w:div w:id="241186987">
                                          <w:marLeft w:val="0"/>
                                          <w:marRight w:val="0"/>
                                          <w:marTop w:val="0"/>
                                          <w:marBottom w:val="0"/>
                                          <w:divBdr>
                                            <w:top w:val="none" w:sz="0" w:space="0" w:color="auto"/>
                                            <w:left w:val="none" w:sz="0" w:space="0" w:color="auto"/>
                                            <w:bottom w:val="none" w:sz="0" w:space="0" w:color="auto"/>
                                            <w:right w:val="none" w:sz="0" w:space="0" w:color="auto"/>
                                          </w:divBdr>
                                          <w:divsChild>
                                            <w:div w:id="1863204972">
                                              <w:marLeft w:val="0"/>
                                              <w:marRight w:val="0"/>
                                              <w:marTop w:val="0"/>
                                              <w:marBottom w:val="0"/>
                                              <w:divBdr>
                                                <w:top w:val="none" w:sz="0" w:space="0" w:color="auto"/>
                                                <w:left w:val="none" w:sz="0" w:space="0" w:color="auto"/>
                                                <w:bottom w:val="none" w:sz="0" w:space="0" w:color="auto"/>
                                                <w:right w:val="none" w:sz="0" w:space="0" w:color="auto"/>
                                              </w:divBdr>
                                              <w:divsChild>
                                                <w:div w:id="11330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4145">
      <w:bodyDiv w:val="1"/>
      <w:marLeft w:val="0"/>
      <w:marRight w:val="0"/>
      <w:marTop w:val="0"/>
      <w:marBottom w:val="0"/>
      <w:divBdr>
        <w:top w:val="none" w:sz="0" w:space="0" w:color="auto"/>
        <w:left w:val="none" w:sz="0" w:space="0" w:color="auto"/>
        <w:bottom w:val="none" w:sz="0" w:space="0" w:color="auto"/>
        <w:right w:val="none" w:sz="0" w:space="0" w:color="auto"/>
      </w:divBdr>
    </w:div>
    <w:div w:id="496697748">
      <w:bodyDiv w:val="1"/>
      <w:marLeft w:val="0"/>
      <w:marRight w:val="0"/>
      <w:marTop w:val="0"/>
      <w:marBottom w:val="0"/>
      <w:divBdr>
        <w:top w:val="none" w:sz="0" w:space="0" w:color="auto"/>
        <w:left w:val="none" w:sz="0" w:space="0" w:color="auto"/>
        <w:bottom w:val="none" w:sz="0" w:space="0" w:color="auto"/>
        <w:right w:val="none" w:sz="0" w:space="0" w:color="auto"/>
      </w:divBdr>
    </w:div>
    <w:div w:id="509372274">
      <w:bodyDiv w:val="1"/>
      <w:marLeft w:val="0"/>
      <w:marRight w:val="0"/>
      <w:marTop w:val="0"/>
      <w:marBottom w:val="0"/>
      <w:divBdr>
        <w:top w:val="none" w:sz="0" w:space="0" w:color="auto"/>
        <w:left w:val="none" w:sz="0" w:space="0" w:color="auto"/>
        <w:bottom w:val="none" w:sz="0" w:space="0" w:color="auto"/>
        <w:right w:val="none" w:sz="0" w:space="0" w:color="auto"/>
      </w:divBdr>
    </w:div>
    <w:div w:id="518934852">
      <w:bodyDiv w:val="1"/>
      <w:marLeft w:val="0"/>
      <w:marRight w:val="0"/>
      <w:marTop w:val="0"/>
      <w:marBottom w:val="0"/>
      <w:divBdr>
        <w:top w:val="none" w:sz="0" w:space="0" w:color="auto"/>
        <w:left w:val="none" w:sz="0" w:space="0" w:color="auto"/>
        <w:bottom w:val="none" w:sz="0" w:space="0" w:color="auto"/>
        <w:right w:val="none" w:sz="0" w:space="0" w:color="auto"/>
      </w:divBdr>
    </w:div>
    <w:div w:id="531067419">
      <w:bodyDiv w:val="1"/>
      <w:marLeft w:val="0"/>
      <w:marRight w:val="0"/>
      <w:marTop w:val="0"/>
      <w:marBottom w:val="0"/>
      <w:divBdr>
        <w:top w:val="none" w:sz="0" w:space="0" w:color="auto"/>
        <w:left w:val="none" w:sz="0" w:space="0" w:color="auto"/>
        <w:bottom w:val="none" w:sz="0" w:space="0" w:color="auto"/>
        <w:right w:val="none" w:sz="0" w:space="0" w:color="auto"/>
      </w:divBdr>
    </w:div>
    <w:div w:id="532768420">
      <w:bodyDiv w:val="1"/>
      <w:marLeft w:val="0"/>
      <w:marRight w:val="0"/>
      <w:marTop w:val="0"/>
      <w:marBottom w:val="0"/>
      <w:divBdr>
        <w:top w:val="none" w:sz="0" w:space="0" w:color="auto"/>
        <w:left w:val="none" w:sz="0" w:space="0" w:color="auto"/>
        <w:bottom w:val="none" w:sz="0" w:space="0" w:color="auto"/>
        <w:right w:val="none" w:sz="0" w:space="0" w:color="auto"/>
      </w:divBdr>
      <w:divsChild>
        <w:div w:id="616061771">
          <w:marLeft w:val="734"/>
          <w:marRight w:val="0"/>
          <w:marTop w:val="40"/>
          <w:marBottom w:val="40"/>
          <w:divBdr>
            <w:top w:val="none" w:sz="0" w:space="0" w:color="auto"/>
            <w:left w:val="none" w:sz="0" w:space="0" w:color="auto"/>
            <w:bottom w:val="none" w:sz="0" w:space="0" w:color="auto"/>
            <w:right w:val="none" w:sz="0" w:space="0" w:color="auto"/>
          </w:divBdr>
        </w:div>
        <w:div w:id="900671511">
          <w:marLeft w:val="734"/>
          <w:marRight w:val="0"/>
          <w:marTop w:val="40"/>
          <w:marBottom w:val="40"/>
          <w:divBdr>
            <w:top w:val="none" w:sz="0" w:space="0" w:color="auto"/>
            <w:left w:val="none" w:sz="0" w:space="0" w:color="auto"/>
            <w:bottom w:val="none" w:sz="0" w:space="0" w:color="auto"/>
            <w:right w:val="none" w:sz="0" w:space="0" w:color="auto"/>
          </w:divBdr>
        </w:div>
        <w:div w:id="1297222601">
          <w:marLeft w:val="734"/>
          <w:marRight w:val="0"/>
          <w:marTop w:val="40"/>
          <w:marBottom w:val="40"/>
          <w:divBdr>
            <w:top w:val="none" w:sz="0" w:space="0" w:color="auto"/>
            <w:left w:val="none" w:sz="0" w:space="0" w:color="auto"/>
            <w:bottom w:val="none" w:sz="0" w:space="0" w:color="auto"/>
            <w:right w:val="none" w:sz="0" w:space="0" w:color="auto"/>
          </w:divBdr>
        </w:div>
        <w:div w:id="1495101943">
          <w:marLeft w:val="734"/>
          <w:marRight w:val="0"/>
          <w:marTop w:val="40"/>
          <w:marBottom w:val="40"/>
          <w:divBdr>
            <w:top w:val="none" w:sz="0" w:space="0" w:color="auto"/>
            <w:left w:val="none" w:sz="0" w:space="0" w:color="auto"/>
            <w:bottom w:val="none" w:sz="0" w:space="0" w:color="auto"/>
            <w:right w:val="none" w:sz="0" w:space="0" w:color="auto"/>
          </w:divBdr>
        </w:div>
        <w:div w:id="1654989491">
          <w:marLeft w:val="734"/>
          <w:marRight w:val="0"/>
          <w:marTop w:val="40"/>
          <w:marBottom w:val="40"/>
          <w:divBdr>
            <w:top w:val="none" w:sz="0" w:space="0" w:color="auto"/>
            <w:left w:val="none" w:sz="0" w:space="0" w:color="auto"/>
            <w:bottom w:val="none" w:sz="0" w:space="0" w:color="auto"/>
            <w:right w:val="none" w:sz="0" w:space="0" w:color="auto"/>
          </w:divBdr>
        </w:div>
        <w:div w:id="1969237757">
          <w:marLeft w:val="734"/>
          <w:marRight w:val="0"/>
          <w:marTop w:val="40"/>
          <w:marBottom w:val="40"/>
          <w:divBdr>
            <w:top w:val="none" w:sz="0" w:space="0" w:color="auto"/>
            <w:left w:val="none" w:sz="0" w:space="0" w:color="auto"/>
            <w:bottom w:val="none" w:sz="0" w:space="0" w:color="auto"/>
            <w:right w:val="none" w:sz="0" w:space="0" w:color="auto"/>
          </w:divBdr>
        </w:div>
        <w:div w:id="2029864039">
          <w:marLeft w:val="360"/>
          <w:marRight w:val="0"/>
          <w:marTop w:val="240"/>
          <w:marBottom w:val="120"/>
          <w:divBdr>
            <w:top w:val="none" w:sz="0" w:space="0" w:color="auto"/>
            <w:left w:val="none" w:sz="0" w:space="0" w:color="auto"/>
            <w:bottom w:val="none" w:sz="0" w:space="0" w:color="auto"/>
            <w:right w:val="none" w:sz="0" w:space="0" w:color="auto"/>
          </w:divBdr>
        </w:div>
      </w:divsChild>
    </w:div>
    <w:div w:id="543567840">
      <w:bodyDiv w:val="1"/>
      <w:marLeft w:val="0"/>
      <w:marRight w:val="0"/>
      <w:marTop w:val="0"/>
      <w:marBottom w:val="0"/>
      <w:divBdr>
        <w:top w:val="none" w:sz="0" w:space="0" w:color="auto"/>
        <w:left w:val="none" w:sz="0" w:space="0" w:color="auto"/>
        <w:bottom w:val="none" w:sz="0" w:space="0" w:color="auto"/>
        <w:right w:val="none" w:sz="0" w:space="0" w:color="auto"/>
      </w:divBdr>
    </w:div>
    <w:div w:id="556934479">
      <w:bodyDiv w:val="1"/>
      <w:marLeft w:val="0"/>
      <w:marRight w:val="0"/>
      <w:marTop w:val="0"/>
      <w:marBottom w:val="0"/>
      <w:divBdr>
        <w:top w:val="none" w:sz="0" w:space="0" w:color="auto"/>
        <w:left w:val="none" w:sz="0" w:space="0" w:color="auto"/>
        <w:bottom w:val="none" w:sz="0" w:space="0" w:color="auto"/>
        <w:right w:val="none" w:sz="0" w:space="0" w:color="auto"/>
      </w:divBdr>
      <w:divsChild>
        <w:div w:id="399525230">
          <w:marLeft w:val="0"/>
          <w:marRight w:val="1"/>
          <w:marTop w:val="0"/>
          <w:marBottom w:val="0"/>
          <w:divBdr>
            <w:top w:val="none" w:sz="0" w:space="0" w:color="auto"/>
            <w:left w:val="none" w:sz="0" w:space="0" w:color="auto"/>
            <w:bottom w:val="none" w:sz="0" w:space="0" w:color="auto"/>
            <w:right w:val="none" w:sz="0" w:space="0" w:color="auto"/>
          </w:divBdr>
          <w:divsChild>
            <w:div w:id="1642078778">
              <w:marLeft w:val="0"/>
              <w:marRight w:val="0"/>
              <w:marTop w:val="0"/>
              <w:marBottom w:val="0"/>
              <w:divBdr>
                <w:top w:val="none" w:sz="0" w:space="0" w:color="auto"/>
                <w:left w:val="none" w:sz="0" w:space="0" w:color="auto"/>
                <w:bottom w:val="none" w:sz="0" w:space="0" w:color="auto"/>
                <w:right w:val="none" w:sz="0" w:space="0" w:color="auto"/>
              </w:divBdr>
              <w:divsChild>
                <w:div w:id="1907033114">
                  <w:marLeft w:val="0"/>
                  <w:marRight w:val="1"/>
                  <w:marTop w:val="0"/>
                  <w:marBottom w:val="0"/>
                  <w:divBdr>
                    <w:top w:val="none" w:sz="0" w:space="0" w:color="auto"/>
                    <w:left w:val="none" w:sz="0" w:space="0" w:color="auto"/>
                    <w:bottom w:val="none" w:sz="0" w:space="0" w:color="auto"/>
                    <w:right w:val="none" w:sz="0" w:space="0" w:color="auto"/>
                  </w:divBdr>
                  <w:divsChild>
                    <w:div w:id="566383785">
                      <w:marLeft w:val="0"/>
                      <w:marRight w:val="0"/>
                      <w:marTop w:val="0"/>
                      <w:marBottom w:val="0"/>
                      <w:divBdr>
                        <w:top w:val="none" w:sz="0" w:space="0" w:color="auto"/>
                        <w:left w:val="none" w:sz="0" w:space="0" w:color="auto"/>
                        <w:bottom w:val="none" w:sz="0" w:space="0" w:color="auto"/>
                        <w:right w:val="none" w:sz="0" w:space="0" w:color="auto"/>
                      </w:divBdr>
                      <w:divsChild>
                        <w:div w:id="1788239005">
                          <w:marLeft w:val="0"/>
                          <w:marRight w:val="0"/>
                          <w:marTop w:val="0"/>
                          <w:marBottom w:val="0"/>
                          <w:divBdr>
                            <w:top w:val="none" w:sz="0" w:space="0" w:color="auto"/>
                            <w:left w:val="none" w:sz="0" w:space="0" w:color="auto"/>
                            <w:bottom w:val="none" w:sz="0" w:space="0" w:color="auto"/>
                            <w:right w:val="none" w:sz="0" w:space="0" w:color="auto"/>
                          </w:divBdr>
                          <w:divsChild>
                            <w:div w:id="1969160321">
                              <w:marLeft w:val="0"/>
                              <w:marRight w:val="0"/>
                              <w:marTop w:val="120"/>
                              <w:marBottom w:val="360"/>
                              <w:divBdr>
                                <w:top w:val="none" w:sz="0" w:space="0" w:color="auto"/>
                                <w:left w:val="none" w:sz="0" w:space="0" w:color="auto"/>
                                <w:bottom w:val="none" w:sz="0" w:space="0" w:color="auto"/>
                                <w:right w:val="none" w:sz="0" w:space="0" w:color="auto"/>
                              </w:divBdr>
                              <w:divsChild>
                                <w:div w:id="741870192">
                                  <w:marLeft w:val="0"/>
                                  <w:marRight w:val="0"/>
                                  <w:marTop w:val="0"/>
                                  <w:marBottom w:val="0"/>
                                  <w:divBdr>
                                    <w:top w:val="none" w:sz="0" w:space="0" w:color="auto"/>
                                    <w:left w:val="none" w:sz="0" w:space="0" w:color="auto"/>
                                    <w:bottom w:val="none" w:sz="0" w:space="0" w:color="auto"/>
                                    <w:right w:val="none" w:sz="0" w:space="0" w:color="auto"/>
                                  </w:divBdr>
                                </w:div>
                                <w:div w:id="8391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297261">
      <w:bodyDiv w:val="1"/>
      <w:marLeft w:val="0"/>
      <w:marRight w:val="0"/>
      <w:marTop w:val="0"/>
      <w:marBottom w:val="0"/>
      <w:divBdr>
        <w:top w:val="none" w:sz="0" w:space="0" w:color="auto"/>
        <w:left w:val="none" w:sz="0" w:space="0" w:color="auto"/>
        <w:bottom w:val="none" w:sz="0" w:space="0" w:color="auto"/>
        <w:right w:val="none" w:sz="0" w:space="0" w:color="auto"/>
      </w:divBdr>
      <w:divsChild>
        <w:div w:id="830021552">
          <w:marLeft w:val="0"/>
          <w:marRight w:val="1"/>
          <w:marTop w:val="0"/>
          <w:marBottom w:val="0"/>
          <w:divBdr>
            <w:top w:val="none" w:sz="0" w:space="0" w:color="auto"/>
            <w:left w:val="none" w:sz="0" w:space="0" w:color="auto"/>
            <w:bottom w:val="none" w:sz="0" w:space="0" w:color="auto"/>
            <w:right w:val="none" w:sz="0" w:space="0" w:color="auto"/>
          </w:divBdr>
          <w:divsChild>
            <w:div w:id="216480176">
              <w:marLeft w:val="0"/>
              <w:marRight w:val="0"/>
              <w:marTop w:val="0"/>
              <w:marBottom w:val="0"/>
              <w:divBdr>
                <w:top w:val="none" w:sz="0" w:space="0" w:color="auto"/>
                <w:left w:val="none" w:sz="0" w:space="0" w:color="auto"/>
                <w:bottom w:val="none" w:sz="0" w:space="0" w:color="auto"/>
                <w:right w:val="none" w:sz="0" w:space="0" w:color="auto"/>
              </w:divBdr>
              <w:divsChild>
                <w:div w:id="557669820">
                  <w:marLeft w:val="0"/>
                  <w:marRight w:val="1"/>
                  <w:marTop w:val="0"/>
                  <w:marBottom w:val="0"/>
                  <w:divBdr>
                    <w:top w:val="none" w:sz="0" w:space="0" w:color="auto"/>
                    <w:left w:val="none" w:sz="0" w:space="0" w:color="auto"/>
                    <w:bottom w:val="none" w:sz="0" w:space="0" w:color="auto"/>
                    <w:right w:val="none" w:sz="0" w:space="0" w:color="auto"/>
                  </w:divBdr>
                  <w:divsChild>
                    <w:div w:id="2103640115">
                      <w:marLeft w:val="0"/>
                      <w:marRight w:val="0"/>
                      <w:marTop w:val="0"/>
                      <w:marBottom w:val="0"/>
                      <w:divBdr>
                        <w:top w:val="none" w:sz="0" w:space="0" w:color="auto"/>
                        <w:left w:val="none" w:sz="0" w:space="0" w:color="auto"/>
                        <w:bottom w:val="none" w:sz="0" w:space="0" w:color="auto"/>
                        <w:right w:val="none" w:sz="0" w:space="0" w:color="auto"/>
                      </w:divBdr>
                      <w:divsChild>
                        <w:div w:id="344405896">
                          <w:marLeft w:val="0"/>
                          <w:marRight w:val="0"/>
                          <w:marTop w:val="0"/>
                          <w:marBottom w:val="0"/>
                          <w:divBdr>
                            <w:top w:val="none" w:sz="0" w:space="0" w:color="auto"/>
                            <w:left w:val="none" w:sz="0" w:space="0" w:color="auto"/>
                            <w:bottom w:val="none" w:sz="0" w:space="0" w:color="auto"/>
                            <w:right w:val="none" w:sz="0" w:space="0" w:color="auto"/>
                          </w:divBdr>
                          <w:divsChild>
                            <w:div w:id="1201160897">
                              <w:marLeft w:val="0"/>
                              <w:marRight w:val="0"/>
                              <w:marTop w:val="120"/>
                              <w:marBottom w:val="360"/>
                              <w:divBdr>
                                <w:top w:val="none" w:sz="0" w:space="0" w:color="auto"/>
                                <w:left w:val="none" w:sz="0" w:space="0" w:color="auto"/>
                                <w:bottom w:val="none" w:sz="0" w:space="0" w:color="auto"/>
                                <w:right w:val="none" w:sz="0" w:space="0" w:color="auto"/>
                              </w:divBdr>
                              <w:divsChild>
                                <w:div w:id="200244678">
                                  <w:marLeft w:val="0"/>
                                  <w:marRight w:val="0"/>
                                  <w:marTop w:val="0"/>
                                  <w:marBottom w:val="0"/>
                                  <w:divBdr>
                                    <w:top w:val="none" w:sz="0" w:space="0" w:color="auto"/>
                                    <w:left w:val="none" w:sz="0" w:space="0" w:color="auto"/>
                                    <w:bottom w:val="none" w:sz="0" w:space="0" w:color="auto"/>
                                    <w:right w:val="none" w:sz="0" w:space="0" w:color="auto"/>
                                  </w:divBdr>
                                </w:div>
                                <w:div w:id="7058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680021">
      <w:bodyDiv w:val="1"/>
      <w:marLeft w:val="0"/>
      <w:marRight w:val="0"/>
      <w:marTop w:val="0"/>
      <w:marBottom w:val="0"/>
      <w:divBdr>
        <w:top w:val="none" w:sz="0" w:space="0" w:color="auto"/>
        <w:left w:val="none" w:sz="0" w:space="0" w:color="auto"/>
        <w:bottom w:val="none" w:sz="0" w:space="0" w:color="auto"/>
        <w:right w:val="none" w:sz="0" w:space="0" w:color="auto"/>
      </w:divBdr>
    </w:div>
    <w:div w:id="576521818">
      <w:bodyDiv w:val="1"/>
      <w:marLeft w:val="0"/>
      <w:marRight w:val="0"/>
      <w:marTop w:val="0"/>
      <w:marBottom w:val="0"/>
      <w:divBdr>
        <w:top w:val="none" w:sz="0" w:space="0" w:color="auto"/>
        <w:left w:val="none" w:sz="0" w:space="0" w:color="auto"/>
        <w:bottom w:val="none" w:sz="0" w:space="0" w:color="auto"/>
        <w:right w:val="none" w:sz="0" w:space="0" w:color="auto"/>
      </w:divBdr>
    </w:div>
    <w:div w:id="604963656">
      <w:bodyDiv w:val="1"/>
      <w:marLeft w:val="0"/>
      <w:marRight w:val="0"/>
      <w:marTop w:val="0"/>
      <w:marBottom w:val="0"/>
      <w:divBdr>
        <w:top w:val="none" w:sz="0" w:space="0" w:color="auto"/>
        <w:left w:val="none" w:sz="0" w:space="0" w:color="auto"/>
        <w:bottom w:val="none" w:sz="0" w:space="0" w:color="auto"/>
        <w:right w:val="none" w:sz="0" w:space="0" w:color="auto"/>
      </w:divBdr>
      <w:divsChild>
        <w:div w:id="1693648574">
          <w:marLeft w:val="0"/>
          <w:marRight w:val="1"/>
          <w:marTop w:val="0"/>
          <w:marBottom w:val="0"/>
          <w:divBdr>
            <w:top w:val="none" w:sz="0" w:space="0" w:color="auto"/>
            <w:left w:val="none" w:sz="0" w:space="0" w:color="auto"/>
            <w:bottom w:val="none" w:sz="0" w:space="0" w:color="auto"/>
            <w:right w:val="none" w:sz="0" w:space="0" w:color="auto"/>
          </w:divBdr>
          <w:divsChild>
            <w:div w:id="131365919">
              <w:marLeft w:val="0"/>
              <w:marRight w:val="0"/>
              <w:marTop w:val="0"/>
              <w:marBottom w:val="0"/>
              <w:divBdr>
                <w:top w:val="none" w:sz="0" w:space="0" w:color="auto"/>
                <w:left w:val="none" w:sz="0" w:space="0" w:color="auto"/>
                <w:bottom w:val="none" w:sz="0" w:space="0" w:color="auto"/>
                <w:right w:val="none" w:sz="0" w:space="0" w:color="auto"/>
              </w:divBdr>
              <w:divsChild>
                <w:div w:id="1267885370">
                  <w:marLeft w:val="0"/>
                  <w:marRight w:val="1"/>
                  <w:marTop w:val="0"/>
                  <w:marBottom w:val="0"/>
                  <w:divBdr>
                    <w:top w:val="none" w:sz="0" w:space="0" w:color="auto"/>
                    <w:left w:val="none" w:sz="0" w:space="0" w:color="auto"/>
                    <w:bottom w:val="none" w:sz="0" w:space="0" w:color="auto"/>
                    <w:right w:val="none" w:sz="0" w:space="0" w:color="auto"/>
                  </w:divBdr>
                  <w:divsChild>
                    <w:div w:id="1479683310">
                      <w:marLeft w:val="0"/>
                      <w:marRight w:val="0"/>
                      <w:marTop w:val="0"/>
                      <w:marBottom w:val="0"/>
                      <w:divBdr>
                        <w:top w:val="none" w:sz="0" w:space="0" w:color="auto"/>
                        <w:left w:val="none" w:sz="0" w:space="0" w:color="auto"/>
                        <w:bottom w:val="none" w:sz="0" w:space="0" w:color="auto"/>
                        <w:right w:val="none" w:sz="0" w:space="0" w:color="auto"/>
                      </w:divBdr>
                      <w:divsChild>
                        <w:div w:id="24405915">
                          <w:marLeft w:val="0"/>
                          <w:marRight w:val="0"/>
                          <w:marTop w:val="0"/>
                          <w:marBottom w:val="0"/>
                          <w:divBdr>
                            <w:top w:val="none" w:sz="0" w:space="0" w:color="auto"/>
                            <w:left w:val="none" w:sz="0" w:space="0" w:color="auto"/>
                            <w:bottom w:val="none" w:sz="0" w:space="0" w:color="auto"/>
                            <w:right w:val="none" w:sz="0" w:space="0" w:color="auto"/>
                          </w:divBdr>
                          <w:divsChild>
                            <w:div w:id="1495564283">
                              <w:marLeft w:val="0"/>
                              <w:marRight w:val="0"/>
                              <w:marTop w:val="120"/>
                              <w:marBottom w:val="360"/>
                              <w:divBdr>
                                <w:top w:val="none" w:sz="0" w:space="0" w:color="auto"/>
                                <w:left w:val="none" w:sz="0" w:space="0" w:color="auto"/>
                                <w:bottom w:val="none" w:sz="0" w:space="0" w:color="auto"/>
                                <w:right w:val="none" w:sz="0" w:space="0" w:color="auto"/>
                              </w:divBdr>
                              <w:divsChild>
                                <w:div w:id="230430268">
                                  <w:marLeft w:val="0"/>
                                  <w:marRight w:val="0"/>
                                  <w:marTop w:val="0"/>
                                  <w:marBottom w:val="0"/>
                                  <w:divBdr>
                                    <w:top w:val="none" w:sz="0" w:space="0" w:color="auto"/>
                                    <w:left w:val="none" w:sz="0" w:space="0" w:color="auto"/>
                                    <w:bottom w:val="none" w:sz="0" w:space="0" w:color="auto"/>
                                    <w:right w:val="none" w:sz="0" w:space="0" w:color="auto"/>
                                  </w:divBdr>
                                </w:div>
                                <w:div w:id="3994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903905">
      <w:bodyDiv w:val="1"/>
      <w:marLeft w:val="0"/>
      <w:marRight w:val="0"/>
      <w:marTop w:val="0"/>
      <w:marBottom w:val="0"/>
      <w:divBdr>
        <w:top w:val="none" w:sz="0" w:space="0" w:color="auto"/>
        <w:left w:val="none" w:sz="0" w:space="0" w:color="auto"/>
        <w:bottom w:val="none" w:sz="0" w:space="0" w:color="auto"/>
        <w:right w:val="none" w:sz="0" w:space="0" w:color="auto"/>
      </w:divBdr>
    </w:div>
    <w:div w:id="674961371">
      <w:bodyDiv w:val="1"/>
      <w:marLeft w:val="0"/>
      <w:marRight w:val="0"/>
      <w:marTop w:val="0"/>
      <w:marBottom w:val="0"/>
      <w:divBdr>
        <w:top w:val="none" w:sz="0" w:space="0" w:color="auto"/>
        <w:left w:val="none" w:sz="0" w:space="0" w:color="auto"/>
        <w:bottom w:val="none" w:sz="0" w:space="0" w:color="auto"/>
        <w:right w:val="none" w:sz="0" w:space="0" w:color="auto"/>
      </w:divBdr>
      <w:divsChild>
        <w:div w:id="1231044019">
          <w:marLeft w:val="360"/>
          <w:marRight w:val="0"/>
          <w:marTop w:val="72"/>
          <w:marBottom w:val="0"/>
          <w:divBdr>
            <w:top w:val="none" w:sz="0" w:space="0" w:color="auto"/>
            <w:left w:val="none" w:sz="0" w:space="0" w:color="auto"/>
            <w:bottom w:val="none" w:sz="0" w:space="0" w:color="auto"/>
            <w:right w:val="none" w:sz="0" w:space="0" w:color="auto"/>
          </w:divBdr>
        </w:div>
      </w:divsChild>
    </w:div>
    <w:div w:id="686179852">
      <w:bodyDiv w:val="1"/>
      <w:marLeft w:val="0"/>
      <w:marRight w:val="0"/>
      <w:marTop w:val="0"/>
      <w:marBottom w:val="0"/>
      <w:divBdr>
        <w:top w:val="none" w:sz="0" w:space="0" w:color="auto"/>
        <w:left w:val="none" w:sz="0" w:space="0" w:color="auto"/>
        <w:bottom w:val="none" w:sz="0" w:space="0" w:color="auto"/>
        <w:right w:val="none" w:sz="0" w:space="0" w:color="auto"/>
      </w:divBdr>
      <w:divsChild>
        <w:div w:id="981733508">
          <w:marLeft w:val="0"/>
          <w:marRight w:val="1"/>
          <w:marTop w:val="0"/>
          <w:marBottom w:val="0"/>
          <w:divBdr>
            <w:top w:val="none" w:sz="0" w:space="0" w:color="auto"/>
            <w:left w:val="none" w:sz="0" w:space="0" w:color="auto"/>
            <w:bottom w:val="none" w:sz="0" w:space="0" w:color="auto"/>
            <w:right w:val="none" w:sz="0" w:space="0" w:color="auto"/>
          </w:divBdr>
          <w:divsChild>
            <w:div w:id="1110248427">
              <w:marLeft w:val="0"/>
              <w:marRight w:val="0"/>
              <w:marTop w:val="0"/>
              <w:marBottom w:val="0"/>
              <w:divBdr>
                <w:top w:val="none" w:sz="0" w:space="0" w:color="auto"/>
                <w:left w:val="none" w:sz="0" w:space="0" w:color="auto"/>
                <w:bottom w:val="none" w:sz="0" w:space="0" w:color="auto"/>
                <w:right w:val="none" w:sz="0" w:space="0" w:color="auto"/>
              </w:divBdr>
              <w:divsChild>
                <w:div w:id="1702584395">
                  <w:marLeft w:val="0"/>
                  <w:marRight w:val="1"/>
                  <w:marTop w:val="0"/>
                  <w:marBottom w:val="0"/>
                  <w:divBdr>
                    <w:top w:val="none" w:sz="0" w:space="0" w:color="auto"/>
                    <w:left w:val="none" w:sz="0" w:space="0" w:color="auto"/>
                    <w:bottom w:val="none" w:sz="0" w:space="0" w:color="auto"/>
                    <w:right w:val="none" w:sz="0" w:space="0" w:color="auto"/>
                  </w:divBdr>
                  <w:divsChild>
                    <w:div w:id="710375452">
                      <w:marLeft w:val="0"/>
                      <w:marRight w:val="0"/>
                      <w:marTop w:val="0"/>
                      <w:marBottom w:val="0"/>
                      <w:divBdr>
                        <w:top w:val="none" w:sz="0" w:space="0" w:color="auto"/>
                        <w:left w:val="none" w:sz="0" w:space="0" w:color="auto"/>
                        <w:bottom w:val="none" w:sz="0" w:space="0" w:color="auto"/>
                        <w:right w:val="none" w:sz="0" w:space="0" w:color="auto"/>
                      </w:divBdr>
                      <w:divsChild>
                        <w:div w:id="608197743">
                          <w:marLeft w:val="0"/>
                          <w:marRight w:val="0"/>
                          <w:marTop w:val="0"/>
                          <w:marBottom w:val="0"/>
                          <w:divBdr>
                            <w:top w:val="none" w:sz="0" w:space="0" w:color="auto"/>
                            <w:left w:val="none" w:sz="0" w:space="0" w:color="auto"/>
                            <w:bottom w:val="none" w:sz="0" w:space="0" w:color="auto"/>
                            <w:right w:val="none" w:sz="0" w:space="0" w:color="auto"/>
                          </w:divBdr>
                          <w:divsChild>
                            <w:div w:id="343017176">
                              <w:marLeft w:val="0"/>
                              <w:marRight w:val="0"/>
                              <w:marTop w:val="120"/>
                              <w:marBottom w:val="360"/>
                              <w:divBdr>
                                <w:top w:val="none" w:sz="0" w:space="0" w:color="auto"/>
                                <w:left w:val="none" w:sz="0" w:space="0" w:color="auto"/>
                                <w:bottom w:val="none" w:sz="0" w:space="0" w:color="auto"/>
                                <w:right w:val="none" w:sz="0" w:space="0" w:color="auto"/>
                              </w:divBdr>
                              <w:divsChild>
                                <w:div w:id="637491268">
                                  <w:marLeft w:val="0"/>
                                  <w:marRight w:val="0"/>
                                  <w:marTop w:val="0"/>
                                  <w:marBottom w:val="0"/>
                                  <w:divBdr>
                                    <w:top w:val="none" w:sz="0" w:space="0" w:color="auto"/>
                                    <w:left w:val="none" w:sz="0" w:space="0" w:color="auto"/>
                                    <w:bottom w:val="none" w:sz="0" w:space="0" w:color="auto"/>
                                    <w:right w:val="none" w:sz="0" w:space="0" w:color="auto"/>
                                  </w:divBdr>
                                </w:div>
                                <w:div w:id="15445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149467">
      <w:bodyDiv w:val="1"/>
      <w:marLeft w:val="0"/>
      <w:marRight w:val="0"/>
      <w:marTop w:val="0"/>
      <w:marBottom w:val="0"/>
      <w:divBdr>
        <w:top w:val="none" w:sz="0" w:space="0" w:color="auto"/>
        <w:left w:val="none" w:sz="0" w:space="0" w:color="auto"/>
        <w:bottom w:val="none" w:sz="0" w:space="0" w:color="auto"/>
        <w:right w:val="none" w:sz="0" w:space="0" w:color="auto"/>
      </w:divBdr>
    </w:div>
    <w:div w:id="711425204">
      <w:bodyDiv w:val="1"/>
      <w:marLeft w:val="0"/>
      <w:marRight w:val="0"/>
      <w:marTop w:val="0"/>
      <w:marBottom w:val="0"/>
      <w:divBdr>
        <w:top w:val="none" w:sz="0" w:space="0" w:color="auto"/>
        <w:left w:val="none" w:sz="0" w:space="0" w:color="auto"/>
        <w:bottom w:val="none" w:sz="0" w:space="0" w:color="auto"/>
        <w:right w:val="none" w:sz="0" w:space="0" w:color="auto"/>
      </w:divBdr>
    </w:div>
    <w:div w:id="717627281">
      <w:bodyDiv w:val="1"/>
      <w:marLeft w:val="0"/>
      <w:marRight w:val="0"/>
      <w:marTop w:val="0"/>
      <w:marBottom w:val="0"/>
      <w:divBdr>
        <w:top w:val="none" w:sz="0" w:space="0" w:color="auto"/>
        <w:left w:val="none" w:sz="0" w:space="0" w:color="auto"/>
        <w:bottom w:val="none" w:sz="0" w:space="0" w:color="auto"/>
        <w:right w:val="none" w:sz="0" w:space="0" w:color="auto"/>
      </w:divBdr>
      <w:divsChild>
        <w:div w:id="167407151">
          <w:marLeft w:val="0"/>
          <w:marRight w:val="1"/>
          <w:marTop w:val="0"/>
          <w:marBottom w:val="0"/>
          <w:divBdr>
            <w:top w:val="none" w:sz="0" w:space="0" w:color="auto"/>
            <w:left w:val="none" w:sz="0" w:space="0" w:color="auto"/>
            <w:bottom w:val="none" w:sz="0" w:space="0" w:color="auto"/>
            <w:right w:val="none" w:sz="0" w:space="0" w:color="auto"/>
          </w:divBdr>
          <w:divsChild>
            <w:div w:id="2027907116">
              <w:marLeft w:val="0"/>
              <w:marRight w:val="0"/>
              <w:marTop w:val="0"/>
              <w:marBottom w:val="0"/>
              <w:divBdr>
                <w:top w:val="none" w:sz="0" w:space="0" w:color="auto"/>
                <w:left w:val="none" w:sz="0" w:space="0" w:color="auto"/>
                <w:bottom w:val="none" w:sz="0" w:space="0" w:color="auto"/>
                <w:right w:val="none" w:sz="0" w:space="0" w:color="auto"/>
              </w:divBdr>
              <w:divsChild>
                <w:div w:id="404912727">
                  <w:marLeft w:val="0"/>
                  <w:marRight w:val="1"/>
                  <w:marTop w:val="0"/>
                  <w:marBottom w:val="0"/>
                  <w:divBdr>
                    <w:top w:val="none" w:sz="0" w:space="0" w:color="auto"/>
                    <w:left w:val="none" w:sz="0" w:space="0" w:color="auto"/>
                    <w:bottom w:val="none" w:sz="0" w:space="0" w:color="auto"/>
                    <w:right w:val="none" w:sz="0" w:space="0" w:color="auto"/>
                  </w:divBdr>
                  <w:divsChild>
                    <w:div w:id="906956795">
                      <w:marLeft w:val="0"/>
                      <w:marRight w:val="0"/>
                      <w:marTop w:val="0"/>
                      <w:marBottom w:val="0"/>
                      <w:divBdr>
                        <w:top w:val="none" w:sz="0" w:space="0" w:color="auto"/>
                        <w:left w:val="none" w:sz="0" w:space="0" w:color="auto"/>
                        <w:bottom w:val="none" w:sz="0" w:space="0" w:color="auto"/>
                        <w:right w:val="none" w:sz="0" w:space="0" w:color="auto"/>
                      </w:divBdr>
                      <w:divsChild>
                        <w:div w:id="1216626200">
                          <w:marLeft w:val="0"/>
                          <w:marRight w:val="0"/>
                          <w:marTop w:val="0"/>
                          <w:marBottom w:val="0"/>
                          <w:divBdr>
                            <w:top w:val="none" w:sz="0" w:space="0" w:color="auto"/>
                            <w:left w:val="none" w:sz="0" w:space="0" w:color="auto"/>
                            <w:bottom w:val="none" w:sz="0" w:space="0" w:color="auto"/>
                            <w:right w:val="none" w:sz="0" w:space="0" w:color="auto"/>
                          </w:divBdr>
                          <w:divsChild>
                            <w:div w:id="2130972772">
                              <w:marLeft w:val="0"/>
                              <w:marRight w:val="0"/>
                              <w:marTop w:val="120"/>
                              <w:marBottom w:val="360"/>
                              <w:divBdr>
                                <w:top w:val="none" w:sz="0" w:space="0" w:color="auto"/>
                                <w:left w:val="none" w:sz="0" w:space="0" w:color="auto"/>
                                <w:bottom w:val="none" w:sz="0" w:space="0" w:color="auto"/>
                                <w:right w:val="none" w:sz="0" w:space="0" w:color="auto"/>
                              </w:divBdr>
                              <w:divsChild>
                                <w:div w:id="1798571655">
                                  <w:marLeft w:val="0"/>
                                  <w:marRight w:val="0"/>
                                  <w:marTop w:val="0"/>
                                  <w:marBottom w:val="0"/>
                                  <w:divBdr>
                                    <w:top w:val="none" w:sz="0" w:space="0" w:color="auto"/>
                                    <w:left w:val="none" w:sz="0" w:space="0" w:color="auto"/>
                                    <w:bottom w:val="none" w:sz="0" w:space="0" w:color="auto"/>
                                    <w:right w:val="none" w:sz="0" w:space="0" w:color="auto"/>
                                  </w:divBdr>
                                </w:div>
                                <w:div w:id="17987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395861">
      <w:bodyDiv w:val="1"/>
      <w:marLeft w:val="0"/>
      <w:marRight w:val="0"/>
      <w:marTop w:val="0"/>
      <w:marBottom w:val="0"/>
      <w:divBdr>
        <w:top w:val="none" w:sz="0" w:space="0" w:color="auto"/>
        <w:left w:val="none" w:sz="0" w:space="0" w:color="auto"/>
        <w:bottom w:val="none" w:sz="0" w:space="0" w:color="auto"/>
        <w:right w:val="none" w:sz="0" w:space="0" w:color="auto"/>
      </w:divBdr>
    </w:div>
    <w:div w:id="815486558">
      <w:bodyDiv w:val="1"/>
      <w:marLeft w:val="0"/>
      <w:marRight w:val="0"/>
      <w:marTop w:val="0"/>
      <w:marBottom w:val="0"/>
      <w:divBdr>
        <w:top w:val="none" w:sz="0" w:space="0" w:color="auto"/>
        <w:left w:val="none" w:sz="0" w:space="0" w:color="auto"/>
        <w:bottom w:val="none" w:sz="0" w:space="0" w:color="auto"/>
        <w:right w:val="none" w:sz="0" w:space="0" w:color="auto"/>
      </w:divBdr>
    </w:div>
    <w:div w:id="825052392">
      <w:bodyDiv w:val="1"/>
      <w:marLeft w:val="0"/>
      <w:marRight w:val="0"/>
      <w:marTop w:val="0"/>
      <w:marBottom w:val="0"/>
      <w:divBdr>
        <w:top w:val="none" w:sz="0" w:space="0" w:color="auto"/>
        <w:left w:val="none" w:sz="0" w:space="0" w:color="auto"/>
        <w:bottom w:val="none" w:sz="0" w:space="0" w:color="auto"/>
        <w:right w:val="none" w:sz="0" w:space="0" w:color="auto"/>
      </w:divBdr>
      <w:divsChild>
        <w:div w:id="1851944906">
          <w:marLeft w:val="0"/>
          <w:marRight w:val="1"/>
          <w:marTop w:val="0"/>
          <w:marBottom w:val="0"/>
          <w:divBdr>
            <w:top w:val="none" w:sz="0" w:space="0" w:color="auto"/>
            <w:left w:val="none" w:sz="0" w:space="0" w:color="auto"/>
            <w:bottom w:val="none" w:sz="0" w:space="0" w:color="auto"/>
            <w:right w:val="none" w:sz="0" w:space="0" w:color="auto"/>
          </w:divBdr>
          <w:divsChild>
            <w:div w:id="1284459401">
              <w:marLeft w:val="0"/>
              <w:marRight w:val="0"/>
              <w:marTop w:val="0"/>
              <w:marBottom w:val="0"/>
              <w:divBdr>
                <w:top w:val="none" w:sz="0" w:space="0" w:color="auto"/>
                <w:left w:val="none" w:sz="0" w:space="0" w:color="auto"/>
                <w:bottom w:val="none" w:sz="0" w:space="0" w:color="auto"/>
                <w:right w:val="none" w:sz="0" w:space="0" w:color="auto"/>
              </w:divBdr>
              <w:divsChild>
                <w:div w:id="1067994416">
                  <w:marLeft w:val="0"/>
                  <w:marRight w:val="1"/>
                  <w:marTop w:val="0"/>
                  <w:marBottom w:val="0"/>
                  <w:divBdr>
                    <w:top w:val="none" w:sz="0" w:space="0" w:color="auto"/>
                    <w:left w:val="none" w:sz="0" w:space="0" w:color="auto"/>
                    <w:bottom w:val="none" w:sz="0" w:space="0" w:color="auto"/>
                    <w:right w:val="none" w:sz="0" w:space="0" w:color="auto"/>
                  </w:divBdr>
                  <w:divsChild>
                    <w:div w:id="1349406173">
                      <w:marLeft w:val="0"/>
                      <w:marRight w:val="0"/>
                      <w:marTop w:val="0"/>
                      <w:marBottom w:val="0"/>
                      <w:divBdr>
                        <w:top w:val="none" w:sz="0" w:space="0" w:color="auto"/>
                        <w:left w:val="none" w:sz="0" w:space="0" w:color="auto"/>
                        <w:bottom w:val="none" w:sz="0" w:space="0" w:color="auto"/>
                        <w:right w:val="none" w:sz="0" w:space="0" w:color="auto"/>
                      </w:divBdr>
                      <w:divsChild>
                        <w:div w:id="2141261680">
                          <w:marLeft w:val="0"/>
                          <w:marRight w:val="0"/>
                          <w:marTop w:val="0"/>
                          <w:marBottom w:val="0"/>
                          <w:divBdr>
                            <w:top w:val="none" w:sz="0" w:space="0" w:color="auto"/>
                            <w:left w:val="none" w:sz="0" w:space="0" w:color="auto"/>
                            <w:bottom w:val="none" w:sz="0" w:space="0" w:color="auto"/>
                            <w:right w:val="none" w:sz="0" w:space="0" w:color="auto"/>
                          </w:divBdr>
                          <w:divsChild>
                            <w:div w:id="2062048823">
                              <w:marLeft w:val="0"/>
                              <w:marRight w:val="0"/>
                              <w:marTop w:val="120"/>
                              <w:marBottom w:val="360"/>
                              <w:divBdr>
                                <w:top w:val="none" w:sz="0" w:space="0" w:color="auto"/>
                                <w:left w:val="none" w:sz="0" w:space="0" w:color="auto"/>
                                <w:bottom w:val="none" w:sz="0" w:space="0" w:color="auto"/>
                                <w:right w:val="none" w:sz="0" w:space="0" w:color="auto"/>
                              </w:divBdr>
                              <w:divsChild>
                                <w:div w:id="2137023335">
                                  <w:marLeft w:val="420"/>
                                  <w:marRight w:val="0"/>
                                  <w:marTop w:val="0"/>
                                  <w:marBottom w:val="0"/>
                                  <w:divBdr>
                                    <w:top w:val="none" w:sz="0" w:space="0" w:color="auto"/>
                                    <w:left w:val="none" w:sz="0" w:space="0" w:color="auto"/>
                                    <w:bottom w:val="none" w:sz="0" w:space="0" w:color="auto"/>
                                    <w:right w:val="none" w:sz="0" w:space="0" w:color="auto"/>
                                  </w:divBdr>
                                  <w:divsChild>
                                    <w:div w:id="1282052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863745">
      <w:bodyDiv w:val="1"/>
      <w:marLeft w:val="0"/>
      <w:marRight w:val="0"/>
      <w:marTop w:val="0"/>
      <w:marBottom w:val="0"/>
      <w:divBdr>
        <w:top w:val="none" w:sz="0" w:space="0" w:color="auto"/>
        <w:left w:val="none" w:sz="0" w:space="0" w:color="auto"/>
        <w:bottom w:val="none" w:sz="0" w:space="0" w:color="auto"/>
        <w:right w:val="none" w:sz="0" w:space="0" w:color="auto"/>
      </w:divBdr>
    </w:div>
    <w:div w:id="847061812">
      <w:bodyDiv w:val="1"/>
      <w:marLeft w:val="0"/>
      <w:marRight w:val="0"/>
      <w:marTop w:val="0"/>
      <w:marBottom w:val="0"/>
      <w:divBdr>
        <w:top w:val="none" w:sz="0" w:space="0" w:color="auto"/>
        <w:left w:val="none" w:sz="0" w:space="0" w:color="auto"/>
        <w:bottom w:val="none" w:sz="0" w:space="0" w:color="auto"/>
        <w:right w:val="none" w:sz="0" w:space="0" w:color="auto"/>
      </w:divBdr>
    </w:div>
    <w:div w:id="901060673">
      <w:bodyDiv w:val="1"/>
      <w:marLeft w:val="0"/>
      <w:marRight w:val="0"/>
      <w:marTop w:val="0"/>
      <w:marBottom w:val="0"/>
      <w:divBdr>
        <w:top w:val="none" w:sz="0" w:space="0" w:color="auto"/>
        <w:left w:val="none" w:sz="0" w:space="0" w:color="auto"/>
        <w:bottom w:val="none" w:sz="0" w:space="0" w:color="auto"/>
        <w:right w:val="none" w:sz="0" w:space="0" w:color="auto"/>
      </w:divBdr>
    </w:div>
    <w:div w:id="913275581">
      <w:bodyDiv w:val="1"/>
      <w:marLeft w:val="0"/>
      <w:marRight w:val="0"/>
      <w:marTop w:val="0"/>
      <w:marBottom w:val="0"/>
      <w:divBdr>
        <w:top w:val="none" w:sz="0" w:space="0" w:color="auto"/>
        <w:left w:val="none" w:sz="0" w:space="0" w:color="auto"/>
        <w:bottom w:val="none" w:sz="0" w:space="0" w:color="auto"/>
        <w:right w:val="none" w:sz="0" w:space="0" w:color="auto"/>
      </w:divBdr>
      <w:divsChild>
        <w:div w:id="947272613">
          <w:marLeft w:val="461"/>
          <w:marRight w:val="0"/>
          <w:marTop w:val="360"/>
          <w:marBottom w:val="0"/>
          <w:divBdr>
            <w:top w:val="none" w:sz="0" w:space="0" w:color="auto"/>
            <w:left w:val="none" w:sz="0" w:space="0" w:color="auto"/>
            <w:bottom w:val="none" w:sz="0" w:space="0" w:color="auto"/>
            <w:right w:val="none" w:sz="0" w:space="0" w:color="auto"/>
          </w:divBdr>
        </w:div>
      </w:divsChild>
    </w:div>
    <w:div w:id="935868513">
      <w:bodyDiv w:val="1"/>
      <w:marLeft w:val="0"/>
      <w:marRight w:val="0"/>
      <w:marTop w:val="0"/>
      <w:marBottom w:val="0"/>
      <w:divBdr>
        <w:top w:val="none" w:sz="0" w:space="0" w:color="auto"/>
        <w:left w:val="none" w:sz="0" w:space="0" w:color="auto"/>
        <w:bottom w:val="none" w:sz="0" w:space="0" w:color="auto"/>
        <w:right w:val="none" w:sz="0" w:space="0" w:color="auto"/>
      </w:divBdr>
    </w:div>
    <w:div w:id="984629004">
      <w:bodyDiv w:val="1"/>
      <w:marLeft w:val="0"/>
      <w:marRight w:val="0"/>
      <w:marTop w:val="0"/>
      <w:marBottom w:val="0"/>
      <w:divBdr>
        <w:top w:val="none" w:sz="0" w:space="0" w:color="auto"/>
        <w:left w:val="none" w:sz="0" w:space="0" w:color="auto"/>
        <w:bottom w:val="none" w:sz="0" w:space="0" w:color="auto"/>
        <w:right w:val="none" w:sz="0" w:space="0" w:color="auto"/>
      </w:divBdr>
    </w:div>
    <w:div w:id="986859518">
      <w:bodyDiv w:val="1"/>
      <w:marLeft w:val="0"/>
      <w:marRight w:val="0"/>
      <w:marTop w:val="0"/>
      <w:marBottom w:val="0"/>
      <w:divBdr>
        <w:top w:val="none" w:sz="0" w:space="0" w:color="auto"/>
        <w:left w:val="none" w:sz="0" w:space="0" w:color="auto"/>
        <w:bottom w:val="none" w:sz="0" w:space="0" w:color="auto"/>
        <w:right w:val="none" w:sz="0" w:space="0" w:color="auto"/>
      </w:divBdr>
    </w:div>
    <w:div w:id="1031881222">
      <w:bodyDiv w:val="1"/>
      <w:marLeft w:val="0"/>
      <w:marRight w:val="0"/>
      <w:marTop w:val="0"/>
      <w:marBottom w:val="0"/>
      <w:divBdr>
        <w:top w:val="none" w:sz="0" w:space="0" w:color="auto"/>
        <w:left w:val="none" w:sz="0" w:space="0" w:color="auto"/>
        <w:bottom w:val="none" w:sz="0" w:space="0" w:color="auto"/>
        <w:right w:val="none" w:sz="0" w:space="0" w:color="auto"/>
      </w:divBdr>
      <w:divsChild>
        <w:div w:id="1245649980">
          <w:marLeft w:val="0"/>
          <w:marRight w:val="1"/>
          <w:marTop w:val="0"/>
          <w:marBottom w:val="0"/>
          <w:divBdr>
            <w:top w:val="none" w:sz="0" w:space="0" w:color="auto"/>
            <w:left w:val="none" w:sz="0" w:space="0" w:color="auto"/>
            <w:bottom w:val="none" w:sz="0" w:space="0" w:color="auto"/>
            <w:right w:val="none" w:sz="0" w:space="0" w:color="auto"/>
          </w:divBdr>
          <w:divsChild>
            <w:div w:id="2004701305">
              <w:marLeft w:val="0"/>
              <w:marRight w:val="0"/>
              <w:marTop w:val="0"/>
              <w:marBottom w:val="0"/>
              <w:divBdr>
                <w:top w:val="none" w:sz="0" w:space="0" w:color="auto"/>
                <w:left w:val="none" w:sz="0" w:space="0" w:color="auto"/>
                <w:bottom w:val="none" w:sz="0" w:space="0" w:color="auto"/>
                <w:right w:val="none" w:sz="0" w:space="0" w:color="auto"/>
              </w:divBdr>
              <w:divsChild>
                <w:div w:id="383141169">
                  <w:marLeft w:val="0"/>
                  <w:marRight w:val="1"/>
                  <w:marTop w:val="0"/>
                  <w:marBottom w:val="0"/>
                  <w:divBdr>
                    <w:top w:val="none" w:sz="0" w:space="0" w:color="auto"/>
                    <w:left w:val="none" w:sz="0" w:space="0" w:color="auto"/>
                    <w:bottom w:val="none" w:sz="0" w:space="0" w:color="auto"/>
                    <w:right w:val="none" w:sz="0" w:space="0" w:color="auto"/>
                  </w:divBdr>
                  <w:divsChild>
                    <w:div w:id="1759978132">
                      <w:marLeft w:val="0"/>
                      <w:marRight w:val="0"/>
                      <w:marTop w:val="0"/>
                      <w:marBottom w:val="0"/>
                      <w:divBdr>
                        <w:top w:val="none" w:sz="0" w:space="0" w:color="auto"/>
                        <w:left w:val="none" w:sz="0" w:space="0" w:color="auto"/>
                        <w:bottom w:val="none" w:sz="0" w:space="0" w:color="auto"/>
                        <w:right w:val="none" w:sz="0" w:space="0" w:color="auto"/>
                      </w:divBdr>
                      <w:divsChild>
                        <w:div w:id="911279324">
                          <w:marLeft w:val="0"/>
                          <w:marRight w:val="0"/>
                          <w:marTop w:val="0"/>
                          <w:marBottom w:val="0"/>
                          <w:divBdr>
                            <w:top w:val="none" w:sz="0" w:space="0" w:color="auto"/>
                            <w:left w:val="none" w:sz="0" w:space="0" w:color="auto"/>
                            <w:bottom w:val="none" w:sz="0" w:space="0" w:color="auto"/>
                            <w:right w:val="none" w:sz="0" w:space="0" w:color="auto"/>
                          </w:divBdr>
                          <w:divsChild>
                            <w:div w:id="364136137">
                              <w:marLeft w:val="0"/>
                              <w:marRight w:val="0"/>
                              <w:marTop w:val="120"/>
                              <w:marBottom w:val="360"/>
                              <w:divBdr>
                                <w:top w:val="none" w:sz="0" w:space="0" w:color="auto"/>
                                <w:left w:val="none" w:sz="0" w:space="0" w:color="auto"/>
                                <w:bottom w:val="none" w:sz="0" w:space="0" w:color="auto"/>
                                <w:right w:val="none" w:sz="0" w:space="0" w:color="auto"/>
                              </w:divBdr>
                              <w:divsChild>
                                <w:div w:id="1301182108">
                                  <w:marLeft w:val="0"/>
                                  <w:marRight w:val="0"/>
                                  <w:marTop w:val="0"/>
                                  <w:marBottom w:val="0"/>
                                  <w:divBdr>
                                    <w:top w:val="none" w:sz="0" w:space="0" w:color="auto"/>
                                    <w:left w:val="none" w:sz="0" w:space="0" w:color="auto"/>
                                    <w:bottom w:val="none" w:sz="0" w:space="0" w:color="auto"/>
                                    <w:right w:val="none" w:sz="0" w:space="0" w:color="auto"/>
                                  </w:divBdr>
                                </w:div>
                                <w:div w:id="17750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4553">
      <w:bodyDiv w:val="1"/>
      <w:marLeft w:val="0"/>
      <w:marRight w:val="0"/>
      <w:marTop w:val="0"/>
      <w:marBottom w:val="0"/>
      <w:divBdr>
        <w:top w:val="none" w:sz="0" w:space="0" w:color="auto"/>
        <w:left w:val="none" w:sz="0" w:space="0" w:color="auto"/>
        <w:bottom w:val="none" w:sz="0" w:space="0" w:color="auto"/>
        <w:right w:val="none" w:sz="0" w:space="0" w:color="auto"/>
      </w:divBdr>
    </w:div>
    <w:div w:id="1075130560">
      <w:bodyDiv w:val="1"/>
      <w:marLeft w:val="0"/>
      <w:marRight w:val="0"/>
      <w:marTop w:val="0"/>
      <w:marBottom w:val="0"/>
      <w:divBdr>
        <w:top w:val="none" w:sz="0" w:space="0" w:color="auto"/>
        <w:left w:val="none" w:sz="0" w:space="0" w:color="auto"/>
        <w:bottom w:val="none" w:sz="0" w:space="0" w:color="auto"/>
        <w:right w:val="none" w:sz="0" w:space="0" w:color="auto"/>
      </w:divBdr>
    </w:div>
    <w:div w:id="1077822538">
      <w:bodyDiv w:val="1"/>
      <w:marLeft w:val="0"/>
      <w:marRight w:val="0"/>
      <w:marTop w:val="0"/>
      <w:marBottom w:val="0"/>
      <w:divBdr>
        <w:top w:val="none" w:sz="0" w:space="0" w:color="auto"/>
        <w:left w:val="none" w:sz="0" w:space="0" w:color="auto"/>
        <w:bottom w:val="none" w:sz="0" w:space="0" w:color="auto"/>
        <w:right w:val="none" w:sz="0" w:space="0" w:color="auto"/>
      </w:divBdr>
    </w:div>
    <w:div w:id="1109543033">
      <w:bodyDiv w:val="1"/>
      <w:marLeft w:val="0"/>
      <w:marRight w:val="0"/>
      <w:marTop w:val="0"/>
      <w:marBottom w:val="0"/>
      <w:divBdr>
        <w:top w:val="none" w:sz="0" w:space="0" w:color="auto"/>
        <w:left w:val="none" w:sz="0" w:space="0" w:color="auto"/>
        <w:bottom w:val="none" w:sz="0" w:space="0" w:color="auto"/>
        <w:right w:val="none" w:sz="0" w:space="0" w:color="auto"/>
      </w:divBdr>
    </w:div>
    <w:div w:id="1164779748">
      <w:bodyDiv w:val="1"/>
      <w:marLeft w:val="0"/>
      <w:marRight w:val="0"/>
      <w:marTop w:val="0"/>
      <w:marBottom w:val="0"/>
      <w:divBdr>
        <w:top w:val="none" w:sz="0" w:space="0" w:color="auto"/>
        <w:left w:val="none" w:sz="0" w:space="0" w:color="auto"/>
        <w:bottom w:val="none" w:sz="0" w:space="0" w:color="auto"/>
        <w:right w:val="none" w:sz="0" w:space="0" w:color="auto"/>
      </w:divBdr>
    </w:div>
    <w:div w:id="1178540849">
      <w:bodyDiv w:val="1"/>
      <w:marLeft w:val="0"/>
      <w:marRight w:val="0"/>
      <w:marTop w:val="0"/>
      <w:marBottom w:val="0"/>
      <w:divBdr>
        <w:top w:val="none" w:sz="0" w:space="0" w:color="auto"/>
        <w:left w:val="none" w:sz="0" w:space="0" w:color="auto"/>
        <w:bottom w:val="none" w:sz="0" w:space="0" w:color="auto"/>
        <w:right w:val="none" w:sz="0" w:space="0" w:color="auto"/>
      </w:divBdr>
    </w:div>
    <w:div w:id="1180656074">
      <w:bodyDiv w:val="1"/>
      <w:marLeft w:val="0"/>
      <w:marRight w:val="0"/>
      <w:marTop w:val="0"/>
      <w:marBottom w:val="0"/>
      <w:divBdr>
        <w:top w:val="none" w:sz="0" w:space="0" w:color="auto"/>
        <w:left w:val="none" w:sz="0" w:space="0" w:color="auto"/>
        <w:bottom w:val="none" w:sz="0" w:space="0" w:color="auto"/>
        <w:right w:val="none" w:sz="0" w:space="0" w:color="auto"/>
      </w:divBdr>
    </w:div>
    <w:div w:id="1182086353">
      <w:bodyDiv w:val="1"/>
      <w:marLeft w:val="0"/>
      <w:marRight w:val="0"/>
      <w:marTop w:val="0"/>
      <w:marBottom w:val="0"/>
      <w:divBdr>
        <w:top w:val="none" w:sz="0" w:space="0" w:color="auto"/>
        <w:left w:val="none" w:sz="0" w:space="0" w:color="auto"/>
        <w:bottom w:val="none" w:sz="0" w:space="0" w:color="auto"/>
        <w:right w:val="none" w:sz="0" w:space="0" w:color="auto"/>
      </w:divBdr>
      <w:divsChild>
        <w:div w:id="867567959">
          <w:marLeft w:val="360"/>
          <w:marRight w:val="0"/>
          <w:marTop w:val="72"/>
          <w:marBottom w:val="0"/>
          <w:divBdr>
            <w:top w:val="none" w:sz="0" w:space="0" w:color="auto"/>
            <w:left w:val="none" w:sz="0" w:space="0" w:color="auto"/>
            <w:bottom w:val="none" w:sz="0" w:space="0" w:color="auto"/>
            <w:right w:val="none" w:sz="0" w:space="0" w:color="auto"/>
          </w:divBdr>
        </w:div>
      </w:divsChild>
    </w:div>
    <w:div w:id="1235117113">
      <w:bodyDiv w:val="1"/>
      <w:marLeft w:val="0"/>
      <w:marRight w:val="0"/>
      <w:marTop w:val="0"/>
      <w:marBottom w:val="0"/>
      <w:divBdr>
        <w:top w:val="none" w:sz="0" w:space="0" w:color="auto"/>
        <w:left w:val="none" w:sz="0" w:space="0" w:color="auto"/>
        <w:bottom w:val="none" w:sz="0" w:space="0" w:color="auto"/>
        <w:right w:val="none" w:sz="0" w:space="0" w:color="auto"/>
      </w:divBdr>
      <w:divsChild>
        <w:div w:id="230428278">
          <w:marLeft w:val="360"/>
          <w:marRight w:val="0"/>
          <w:marTop w:val="0"/>
          <w:marBottom w:val="0"/>
          <w:divBdr>
            <w:top w:val="none" w:sz="0" w:space="0" w:color="auto"/>
            <w:left w:val="none" w:sz="0" w:space="0" w:color="auto"/>
            <w:bottom w:val="none" w:sz="0" w:space="0" w:color="auto"/>
            <w:right w:val="none" w:sz="0" w:space="0" w:color="auto"/>
          </w:divBdr>
        </w:div>
        <w:div w:id="290476985">
          <w:marLeft w:val="274"/>
          <w:marRight w:val="0"/>
          <w:marTop w:val="0"/>
          <w:marBottom w:val="0"/>
          <w:divBdr>
            <w:top w:val="none" w:sz="0" w:space="0" w:color="auto"/>
            <w:left w:val="none" w:sz="0" w:space="0" w:color="auto"/>
            <w:bottom w:val="none" w:sz="0" w:space="0" w:color="auto"/>
            <w:right w:val="none" w:sz="0" w:space="0" w:color="auto"/>
          </w:divBdr>
        </w:div>
        <w:div w:id="361443298">
          <w:marLeft w:val="360"/>
          <w:marRight w:val="0"/>
          <w:marTop w:val="0"/>
          <w:marBottom w:val="0"/>
          <w:divBdr>
            <w:top w:val="none" w:sz="0" w:space="0" w:color="auto"/>
            <w:left w:val="none" w:sz="0" w:space="0" w:color="auto"/>
            <w:bottom w:val="none" w:sz="0" w:space="0" w:color="auto"/>
            <w:right w:val="none" w:sz="0" w:space="0" w:color="auto"/>
          </w:divBdr>
        </w:div>
        <w:div w:id="431632219">
          <w:marLeft w:val="360"/>
          <w:marRight w:val="0"/>
          <w:marTop w:val="0"/>
          <w:marBottom w:val="0"/>
          <w:divBdr>
            <w:top w:val="none" w:sz="0" w:space="0" w:color="auto"/>
            <w:left w:val="none" w:sz="0" w:space="0" w:color="auto"/>
            <w:bottom w:val="none" w:sz="0" w:space="0" w:color="auto"/>
            <w:right w:val="none" w:sz="0" w:space="0" w:color="auto"/>
          </w:divBdr>
        </w:div>
        <w:div w:id="754937654">
          <w:marLeft w:val="360"/>
          <w:marRight w:val="0"/>
          <w:marTop w:val="0"/>
          <w:marBottom w:val="0"/>
          <w:divBdr>
            <w:top w:val="none" w:sz="0" w:space="0" w:color="auto"/>
            <w:left w:val="none" w:sz="0" w:space="0" w:color="auto"/>
            <w:bottom w:val="none" w:sz="0" w:space="0" w:color="auto"/>
            <w:right w:val="none" w:sz="0" w:space="0" w:color="auto"/>
          </w:divBdr>
        </w:div>
        <w:div w:id="777985024">
          <w:marLeft w:val="360"/>
          <w:marRight w:val="0"/>
          <w:marTop w:val="0"/>
          <w:marBottom w:val="0"/>
          <w:divBdr>
            <w:top w:val="none" w:sz="0" w:space="0" w:color="auto"/>
            <w:left w:val="none" w:sz="0" w:space="0" w:color="auto"/>
            <w:bottom w:val="none" w:sz="0" w:space="0" w:color="auto"/>
            <w:right w:val="none" w:sz="0" w:space="0" w:color="auto"/>
          </w:divBdr>
        </w:div>
        <w:div w:id="948926218">
          <w:marLeft w:val="360"/>
          <w:marRight w:val="0"/>
          <w:marTop w:val="0"/>
          <w:marBottom w:val="0"/>
          <w:divBdr>
            <w:top w:val="none" w:sz="0" w:space="0" w:color="auto"/>
            <w:left w:val="none" w:sz="0" w:space="0" w:color="auto"/>
            <w:bottom w:val="none" w:sz="0" w:space="0" w:color="auto"/>
            <w:right w:val="none" w:sz="0" w:space="0" w:color="auto"/>
          </w:divBdr>
        </w:div>
        <w:div w:id="1221673719">
          <w:marLeft w:val="360"/>
          <w:marRight w:val="0"/>
          <w:marTop w:val="0"/>
          <w:marBottom w:val="0"/>
          <w:divBdr>
            <w:top w:val="none" w:sz="0" w:space="0" w:color="auto"/>
            <w:left w:val="none" w:sz="0" w:space="0" w:color="auto"/>
            <w:bottom w:val="none" w:sz="0" w:space="0" w:color="auto"/>
            <w:right w:val="none" w:sz="0" w:space="0" w:color="auto"/>
          </w:divBdr>
        </w:div>
        <w:div w:id="1322195874">
          <w:marLeft w:val="360"/>
          <w:marRight w:val="0"/>
          <w:marTop w:val="0"/>
          <w:marBottom w:val="0"/>
          <w:divBdr>
            <w:top w:val="none" w:sz="0" w:space="0" w:color="auto"/>
            <w:left w:val="none" w:sz="0" w:space="0" w:color="auto"/>
            <w:bottom w:val="none" w:sz="0" w:space="0" w:color="auto"/>
            <w:right w:val="none" w:sz="0" w:space="0" w:color="auto"/>
          </w:divBdr>
        </w:div>
        <w:div w:id="1474175709">
          <w:marLeft w:val="360"/>
          <w:marRight w:val="0"/>
          <w:marTop w:val="0"/>
          <w:marBottom w:val="0"/>
          <w:divBdr>
            <w:top w:val="none" w:sz="0" w:space="0" w:color="auto"/>
            <w:left w:val="none" w:sz="0" w:space="0" w:color="auto"/>
            <w:bottom w:val="none" w:sz="0" w:space="0" w:color="auto"/>
            <w:right w:val="none" w:sz="0" w:space="0" w:color="auto"/>
          </w:divBdr>
        </w:div>
        <w:div w:id="1605772480">
          <w:marLeft w:val="360"/>
          <w:marRight w:val="0"/>
          <w:marTop w:val="0"/>
          <w:marBottom w:val="0"/>
          <w:divBdr>
            <w:top w:val="none" w:sz="0" w:space="0" w:color="auto"/>
            <w:left w:val="none" w:sz="0" w:space="0" w:color="auto"/>
            <w:bottom w:val="none" w:sz="0" w:space="0" w:color="auto"/>
            <w:right w:val="none" w:sz="0" w:space="0" w:color="auto"/>
          </w:divBdr>
        </w:div>
        <w:div w:id="1623536009">
          <w:marLeft w:val="360"/>
          <w:marRight w:val="0"/>
          <w:marTop w:val="0"/>
          <w:marBottom w:val="0"/>
          <w:divBdr>
            <w:top w:val="none" w:sz="0" w:space="0" w:color="auto"/>
            <w:left w:val="none" w:sz="0" w:space="0" w:color="auto"/>
            <w:bottom w:val="none" w:sz="0" w:space="0" w:color="auto"/>
            <w:right w:val="none" w:sz="0" w:space="0" w:color="auto"/>
          </w:divBdr>
        </w:div>
        <w:div w:id="1750689353">
          <w:marLeft w:val="360"/>
          <w:marRight w:val="0"/>
          <w:marTop w:val="0"/>
          <w:marBottom w:val="0"/>
          <w:divBdr>
            <w:top w:val="none" w:sz="0" w:space="0" w:color="auto"/>
            <w:left w:val="none" w:sz="0" w:space="0" w:color="auto"/>
            <w:bottom w:val="none" w:sz="0" w:space="0" w:color="auto"/>
            <w:right w:val="none" w:sz="0" w:space="0" w:color="auto"/>
          </w:divBdr>
        </w:div>
        <w:div w:id="1758095698">
          <w:marLeft w:val="360"/>
          <w:marRight w:val="0"/>
          <w:marTop w:val="0"/>
          <w:marBottom w:val="0"/>
          <w:divBdr>
            <w:top w:val="none" w:sz="0" w:space="0" w:color="auto"/>
            <w:left w:val="none" w:sz="0" w:space="0" w:color="auto"/>
            <w:bottom w:val="none" w:sz="0" w:space="0" w:color="auto"/>
            <w:right w:val="none" w:sz="0" w:space="0" w:color="auto"/>
          </w:divBdr>
        </w:div>
        <w:div w:id="1884126278">
          <w:marLeft w:val="360"/>
          <w:marRight w:val="0"/>
          <w:marTop w:val="0"/>
          <w:marBottom w:val="0"/>
          <w:divBdr>
            <w:top w:val="none" w:sz="0" w:space="0" w:color="auto"/>
            <w:left w:val="none" w:sz="0" w:space="0" w:color="auto"/>
            <w:bottom w:val="none" w:sz="0" w:space="0" w:color="auto"/>
            <w:right w:val="none" w:sz="0" w:space="0" w:color="auto"/>
          </w:divBdr>
        </w:div>
        <w:div w:id="2024629573">
          <w:marLeft w:val="360"/>
          <w:marRight w:val="0"/>
          <w:marTop w:val="0"/>
          <w:marBottom w:val="0"/>
          <w:divBdr>
            <w:top w:val="none" w:sz="0" w:space="0" w:color="auto"/>
            <w:left w:val="none" w:sz="0" w:space="0" w:color="auto"/>
            <w:bottom w:val="none" w:sz="0" w:space="0" w:color="auto"/>
            <w:right w:val="none" w:sz="0" w:space="0" w:color="auto"/>
          </w:divBdr>
        </w:div>
        <w:div w:id="2063674522">
          <w:marLeft w:val="360"/>
          <w:marRight w:val="0"/>
          <w:marTop w:val="0"/>
          <w:marBottom w:val="0"/>
          <w:divBdr>
            <w:top w:val="none" w:sz="0" w:space="0" w:color="auto"/>
            <w:left w:val="none" w:sz="0" w:space="0" w:color="auto"/>
            <w:bottom w:val="none" w:sz="0" w:space="0" w:color="auto"/>
            <w:right w:val="none" w:sz="0" w:space="0" w:color="auto"/>
          </w:divBdr>
        </w:div>
      </w:divsChild>
    </w:div>
    <w:div w:id="1239558274">
      <w:bodyDiv w:val="1"/>
      <w:marLeft w:val="0"/>
      <w:marRight w:val="0"/>
      <w:marTop w:val="0"/>
      <w:marBottom w:val="0"/>
      <w:divBdr>
        <w:top w:val="none" w:sz="0" w:space="0" w:color="auto"/>
        <w:left w:val="none" w:sz="0" w:space="0" w:color="auto"/>
        <w:bottom w:val="none" w:sz="0" w:space="0" w:color="auto"/>
        <w:right w:val="none" w:sz="0" w:space="0" w:color="auto"/>
      </w:divBdr>
    </w:div>
    <w:div w:id="1267426396">
      <w:bodyDiv w:val="1"/>
      <w:marLeft w:val="0"/>
      <w:marRight w:val="0"/>
      <w:marTop w:val="0"/>
      <w:marBottom w:val="0"/>
      <w:divBdr>
        <w:top w:val="none" w:sz="0" w:space="0" w:color="auto"/>
        <w:left w:val="none" w:sz="0" w:space="0" w:color="auto"/>
        <w:bottom w:val="none" w:sz="0" w:space="0" w:color="auto"/>
        <w:right w:val="none" w:sz="0" w:space="0" w:color="auto"/>
      </w:divBdr>
    </w:div>
    <w:div w:id="1268541002">
      <w:bodyDiv w:val="1"/>
      <w:marLeft w:val="0"/>
      <w:marRight w:val="0"/>
      <w:marTop w:val="0"/>
      <w:marBottom w:val="0"/>
      <w:divBdr>
        <w:top w:val="none" w:sz="0" w:space="0" w:color="auto"/>
        <w:left w:val="none" w:sz="0" w:space="0" w:color="auto"/>
        <w:bottom w:val="none" w:sz="0" w:space="0" w:color="auto"/>
        <w:right w:val="none" w:sz="0" w:space="0" w:color="auto"/>
      </w:divBdr>
    </w:div>
    <w:div w:id="1269392824">
      <w:bodyDiv w:val="1"/>
      <w:marLeft w:val="0"/>
      <w:marRight w:val="0"/>
      <w:marTop w:val="0"/>
      <w:marBottom w:val="0"/>
      <w:divBdr>
        <w:top w:val="none" w:sz="0" w:space="0" w:color="auto"/>
        <w:left w:val="none" w:sz="0" w:space="0" w:color="auto"/>
        <w:bottom w:val="none" w:sz="0" w:space="0" w:color="auto"/>
        <w:right w:val="none" w:sz="0" w:space="0" w:color="auto"/>
      </w:divBdr>
    </w:div>
    <w:div w:id="1270890356">
      <w:bodyDiv w:val="1"/>
      <w:marLeft w:val="0"/>
      <w:marRight w:val="0"/>
      <w:marTop w:val="0"/>
      <w:marBottom w:val="0"/>
      <w:divBdr>
        <w:top w:val="none" w:sz="0" w:space="0" w:color="auto"/>
        <w:left w:val="none" w:sz="0" w:space="0" w:color="auto"/>
        <w:bottom w:val="none" w:sz="0" w:space="0" w:color="auto"/>
        <w:right w:val="none" w:sz="0" w:space="0" w:color="auto"/>
      </w:divBdr>
    </w:div>
    <w:div w:id="1299333409">
      <w:bodyDiv w:val="1"/>
      <w:marLeft w:val="0"/>
      <w:marRight w:val="0"/>
      <w:marTop w:val="0"/>
      <w:marBottom w:val="0"/>
      <w:divBdr>
        <w:top w:val="none" w:sz="0" w:space="0" w:color="auto"/>
        <w:left w:val="none" w:sz="0" w:space="0" w:color="auto"/>
        <w:bottom w:val="none" w:sz="0" w:space="0" w:color="auto"/>
        <w:right w:val="none" w:sz="0" w:space="0" w:color="auto"/>
      </w:divBdr>
    </w:div>
    <w:div w:id="1300648051">
      <w:bodyDiv w:val="1"/>
      <w:marLeft w:val="0"/>
      <w:marRight w:val="0"/>
      <w:marTop w:val="0"/>
      <w:marBottom w:val="0"/>
      <w:divBdr>
        <w:top w:val="none" w:sz="0" w:space="0" w:color="auto"/>
        <w:left w:val="none" w:sz="0" w:space="0" w:color="auto"/>
        <w:bottom w:val="none" w:sz="0" w:space="0" w:color="auto"/>
        <w:right w:val="none" w:sz="0" w:space="0" w:color="auto"/>
      </w:divBdr>
    </w:div>
    <w:div w:id="1320765541">
      <w:bodyDiv w:val="1"/>
      <w:marLeft w:val="0"/>
      <w:marRight w:val="0"/>
      <w:marTop w:val="0"/>
      <w:marBottom w:val="0"/>
      <w:divBdr>
        <w:top w:val="none" w:sz="0" w:space="0" w:color="auto"/>
        <w:left w:val="none" w:sz="0" w:space="0" w:color="auto"/>
        <w:bottom w:val="none" w:sz="0" w:space="0" w:color="auto"/>
        <w:right w:val="none" w:sz="0" w:space="0" w:color="auto"/>
      </w:divBdr>
      <w:divsChild>
        <w:div w:id="1068573560">
          <w:marLeft w:val="0"/>
          <w:marRight w:val="1"/>
          <w:marTop w:val="0"/>
          <w:marBottom w:val="0"/>
          <w:divBdr>
            <w:top w:val="none" w:sz="0" w:space="0" w:color="auto"/>
            <w:left w:val="none" w:sz="0" w:space="0" w:color="auto"/>
            <w:bottom w:val="none" w:sz="0" w:space="0" w:color="auto"/>
            <w:right w:val="none" w:sz="0" w:space="0" w:color="auto"/>
          </w:divBdr>
          <w:divsChild>
            <w:div w:id="551118817">
              <w:marLeft w:val="0"/>
              <w:marRight w:val="0"/>
              <w:marTop w:val="0"/>
              <w:marBottom w:val="0"/>
              <w:divBdr>
                <w:top w:val="none" w:sz="0" w:space="0" w:color="auto"/>
                <w:left w:val="none" w:sz="0" w:space="0" w:color="auto"/>
                <w:bottom w:val="none" w:sz="0" w:space="0" w:color="auto"/>
                <w:right w:val="none" w:sz="0" w:space="0" w:color="auto"/>
              </w:divBdr>
              <w:divsChild>
                <w:div w:id="1538617082">
                  <w:marLeft w:val="0"/>
                  <w:marRight w:val="1"/>
                  <w:marTop w:val="0"/>
                  <w:marBottom w:val="0"/>
                  <w:divBdr>
                    <w:top w:val="none" w:sz="0" w:space="0" w:color="auto"/>
                    <w:left w:val="none" w:sz="0" w:space="0" w:color="auto"/>
                    <w:bottom w:val="none" w:sz="0" w:space="0" w:color="auto"/>
                    <w:right w:val="none" w:sz="0" w:space="0" w:color="auto"/>
                  </w:divBdr>
                  <w:divsChild>
                    <w:div w:id="1822117566">
                      <w:marLeft w:val="0"/>
                      <w:marRight w:val="0"/>
                      <w:marTop w:val="0"/>
                      <w:marBottom w:val="0"/>
                      <w:divBdr>
                        <w:top w:val="none" w:sz="0" w:space="0" w:color="auto"/>
                        <w:left w:val="none" w:sz="0" w:space="0" w:color="auto"/>
                        <w:bottom w:val="none" w:sz="0" w:space="0" w:color="auto"/>
                        <w:right w:val="none" w:sz="0" w:space="0" w:color="auto"/>
                      </w:divBdr>
                      <w:divsChild>
                        <w:div w:id="769932181">
                          <w:marLeft w:val="0"/>
                          <w:marRight w:val="0"/>
                          <w:marTop w:val="0"/>
                          <w:marBottom w:val="0"/>
                          <w:divBdr>
                            <w:top w:val="none" w:sz="0" w:space="0" w:color="auto"/>
                            <w:left w:val="none" w:sz="0" w:space="0" w:color="auto"/>
                            <w:bottom w:val="none" w:sz="0" w:space="0" w:color="auto"/>
                            <w:right w:val="none" w:sz="0" w:space="0" w:color="auto"/>
                          </w:divBdr>
                          <w:divsChild>
                            <w:div w:id="1323460776">
                              <w:marLeft w:val="0"/>
                              <w:marRight w:val="0"/>
                              <w:marTop w:val="120"/>
                              <w:marBottom w:val="360"/>
                              <w:divBdr>
                                <w:top w:val="none" w:sz="0" w:space="0" w:color="auto"/>
                                <w:left w:val="none" w:sz="0" w:space="0" w:color="auto"/>
                                <w:bottom w:val="none" w:sz="0" w:space="0" w:color="auto"/>
                                <w:right w:val="none" w:sz="0" w:space="0" w:color="auto"/>
                              </w:divBdr>
                              <w:divsChild>
                                <w:div w:id="416632950">
                                  <w:marLeft w:val="0"/>
                                  <w:marRight w:val="0"/>
                                  <w:marTop w:val="0"/>
                                  <w:marBottom w:val="0"/>
                                  <w:divBdr>
                                    <w:top w:val="none" w:sz="0" w:space="0" w:color="auto"/>
                                    <w:left w:val="none" w:sz="0" w:space="0" w:color="auto"/>
                                    <w:bottom w:val="none" w:sz="0" w:space="0" w:color="auto"/>
                                    <w:right w:val="none" w:sz="0" w:space="0" w:color="auto"/>
                                  </w:divBdr>
                                </w:div>
                                <w:div w:id="6227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982561">
      <w:bodyDiv w:val="1"/>
      <w:marLeft w:val="0"/>
      <w:marRight w:val="0"/>
      <w:marTop w:val="0"/>
      <w:marBottom w:val="0"/>
      <w:divBdr>
        <w:top w:val="none" w:sz="0" w:space="0" w:color="auto"/>
        <w:left w:val="none" w:sz="0" w:space="0" w:color="auto"/>
        <w:bottom w:val="none" w:sz="0" w:space="0" w:color="auto"/>
        <w:right w:val="none" w:sz="0" w:space="0" w:color="auto"/>
      </w:divBdr>
    </w:div>
    <w:div w:id="1348680181">
      <w:bodyDiv w:val="1"/>
      <w:marLeft w:val="0"/>
      <w:marRight w:val="0"/>
      <w:marTop w:val="0"/>
      <w:marBottom w:val="0"/>
      <w:divBdr>
        <w:top w:val="none" w:sz="0" w:space="0" w:color="auto"/>
        <w:left w:val="none" w:sz="0" w:space="0" w:color="auto"/>
        <w:bottom w:val="none" w:sz="0" w:space="0" w:color="auto"/>
        <w:right w:val="none" w:sz="0" w:space="0" w:color="auto"/>
      </w:divBdr>
    </w:div>
    <w:div w:id="1390614804">
      <w:bodyDiv w:val="1"/>
      <w:marLeft w:val="0"/>
      <w:marRight w:val="0"/>
      <w:marTop w:val="0"/>
      <w:marBottom w:val="0"/>
      <w:divBdr>
        <w:top w:val="none" w:sz="0" w:space="0" w:color="auto"/>
        <w:left w:val="none" w:sz="0" w:space="0" w:color="auto"/>
        <w:bottom w:val="none" w:sz="0" w:space="0" w:color="auto"/>
        <w:right w:val="none" w:sz="0" w:space="0" w:color="auto"/>
      </w:divBdr>
      <w:divsChild>
        <w:div w:id="1012487132">
          <w:marLeft w:val="1080"/>
          <w:marRight w:val="0"/>
          <w:marTop w:val="216"/>
          <w:marBottom w:val="0"/>
          <w:divBdr>
            <w:top w:val="none" w:sz="0" w:space="0" w:color="auto"/>
            <w:left w:val="none" w:sz="0" w:space="0" w:color="auto"/>
            <w:bottom w:val="none" w:sz="0" w:space="0" w:color="auto"/>
            <w:right w:val="none" w:sz="0" w:space="0" w:color="auto"/>
          </w:divBdr>
        </w:div>
      </w:divsChild>
    </w:div>
    <w:div w:id="1411806930">
      <w:bodyDiv w:val="1"/>
      <w:marLeft w:val="0"/>
      <w:marRight w:val="0"/>
      <w:marTop w:val="0"/>
      <w:marBottom w:val="0"/>
      <w:divBdr>
        <w:top w:val="none" w:sz="0" w:space="0" w:color="auto"/>
        <w:left w:val="none" w:sz="0" w:space="0" w:color="auto"/>
        <w:bottom w:val="none" w:sz="0" w:space="0" w:color="auto"/>
        <w:right w:val="none" w:sz="0" w:space="0" w:color="auto"/>
      </w:divBdr>
    </w:div>
    <w:div w:id="1419667514">
      <w:bodyDiv w:val="1"/>
      <w:marLeft w:val="0"/>
      <w:marRight w:val="0"/>
      <w:marTop w:val="0"/>
      <w:marBottom w:val="0"/>
      <w:divBdr>
        <w:top w:val="none" w:sz="0" w:space="0" w:color="auto"/>
        <w:left w:val="none" w:sz="0" w:space="0" w:color="auto"/>
        <w:bottom w:val="none" w:sz="0" w:space="0" w:color="auto"/>
        <w:right w:val="none" w:sz="0" w:space="0" w:color="auto"/>
      </w:divBdr>
    </w:div>
    <w:div w:id="1424257061">
      <w:bodyDiv w:val="1"/>
      <w:marLeft w:val="0"/>
      <w:marRight w:val="0"/>
      <w:marTop w:val="0"/>
      <w:marBottom w:val="0"/>
      <w:divBdr>
        <w:top w:val="none" w:sz="0" w:space="0" w:color="auto"/>
        <w:left w:val="none" w:sz="0" w:space="0" w:color="auto"/>
        <w:bottom w:val="none" w:sz="0" w:space="0" w:color="auto"/>
        <w:right w:val="none" w:sz="0" w:space="0" w:color="auto"/>
      </w:divBdr>
    </w:div>
    <w:div w:id="1446535355">
      <w:bodyDiv w:val="1"/>
      <w:marLeft w:val="0"/>
      <w:marRight w:val="0"/>
      <w:marTop w:val="0"/>
      <w:marBottom w:val="0"/>
      <w:divBdr>
        <w:top w:val="none" w:sz="0" w:space="0" w:color="auto"/>
        <w:left w:val="none" w:sz="0" w:space="0" w:color="auto"/>
        <w:bottom w:val="none" w:sz="0" w:space="0" w:color="auto"/>
        <w:right w:val="none" w:sz="0" w:space="0" w:color="auto"/>
      </w:divBdr>
      <w:divsChild>
        <w:div w:id="2142993048">
          <w:marLeft w:val="0"/>
          <w:marRight w:val="1"/>
          <w:marTop w:val="0"/>
          <w:marBottom w:val="0"/>
          <w:divBdr>
            <w:top w:val="none" w:sz="0" w:space="0" w:color="auto"/>
            <w:left w:val="none" w:sz="0" w:space="0" w:color="auto"/>
            <w:bottom w:val="none" w:sz="0" w:space="0" w:color="auto"/>
            <w:right w:val="none" w:sz="0" w:space="0" w:color="auto"/>
          </w:divBdr>
          <w:divsChild>
            <w:div w:id="513230019">
              <w:marLeft w:val="0"/>
              <w:marRight w:val="0"/>
              <w:marTop w:val="0"/>
              <w:marBottom w:val="0"/>
              <w:divBdr>
                <w:top w:val="none" w:sz="0" w:space="0" w:color="auto"/>
                <w:left w:val="none" w:sz="0" w:space="0" w:color="auto"/>
                <w:bottom w:val="none" w:sz="0" w:space="0" w:color="auto"/>
                <w:right w:val="none" w:sz="0" w:space="0" w:color="auto"/>
              </w:divBdr>
              <w:divsChild>
                <w:div w:id="377897599">
                  <w:marLeft w:val="0"/>
                  <w:marRight w:val="1"/>
                  <w:marTop w:val="0"/>
                  <w:marBottom w:val="0"/>
                  <w:divBdr>
                    <w:top w:val="none" w:sz="0" w:space="0" w:color="auto"/>
                    <w:left w:val="none" w:sz="0" w:space="0" w:color="auto"/>
                    <w:bottom w:val="none" w:sz="0" w:space="0" w:color="auto"/>
                    <w:right w:val="none" w:sz="0" w:space="0" w:color="auto"/>
                  </w:divBdr>
                  <w:divsChild>
                    <w:div w:id="660160143">
                      <w:marLeft w:val="0"/>
                      <w:marRight w:val="0"/>
                      <w:marTop w:val="0"/>
                      <w:marBottom w:val="0"/>
                      <w:divBdr>
                        <w:top w:val="none" w:sz="0" w:space="0" w:color="auto"/>
                        <w:left w:val="none" w:sz="0" w:space="0" w:color="auto"/>
                        <w:bottom w:val="none" w:sz="0" w:space="0" w:color="auto"/>
                        <w:right w:val="none" w:sz="0" w:space="0" w:color="auto"/>
                      </w:divBdr>
                      <w:divsChild>
                        <w:div w:id="292518918">
                          <w:marLeft w:val="0"/>
                          <w:marRight w:val="0"/>
                          <w:marTop w:val="0"/>
                          <w:marBottom w:val="0"/>
                          <w:divBdr>
                            <w:top w:val="none" w:sz="0" w:space="0" w:color="auto"/>
                            <w:left w:val="none" w:sz="0" w:space="0" w:color="auto"/>
                            <w:bottom w:val="none" w:sz="0" w:space="0" w:color="auto"/>
                            <w:right w:val="none" w:sz="0" w:space="0" w:color="auto"/>
                          </w:divBdr>
                          <w:divsChild>
                            <w:div w:id="907350588">
                              <w:marLeft w:val="0"/>
                              <w:marRight w:val="0"/>
                              <w:marTop w:val="120"/>
                              <w:marBottom w:val="360"/>
                              <w:divBdr>
                                <w:top w:val="none" w:sz="0" w:space="0" w:color="auto"/>
                                <w:left w:val="none" w:sz="0" w:space="0" w:color="auto"/>
                                <w:bottom w:val="none" w:sz="0" w:space="0" w:color="auto"/>
                                <w:right w:val="none" w:sz="0" w:space="0" w:color="auto"/>
                              </w:divBdr>
                              <w:divsChild>
                                <w:div w:id="1628513414">
                                  <w:marLeft w:val="0"/>
                                  <w:marRight w:val="0"/>
                                  <w:marTop w:val="0"/>
                                  <w:marBottom w:val="0"/>
                                  <w:divBdr>
                                    <w:top w:val="none" w:sz="0" w:space="0" w:color="auto"/>
                                    <w:left w:val="none" w:sz="0" w:space="0" w:color="auto"/>
                                    <w:bottom w:val="none" w:sz="0" w:space="0" w:color="auto"/>
                                    <w:right w:val="none" w:sz="0" w:space="0" w:color="auto"/>
                                  </w:divBdr>
                                </w:div>
                                <w:div w:id="20139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633961">
      <w:bodyDiv w:val="1"/>
      <w:marLeft w:val="0"/>
      <w:marRight w:val="0"/>
      <w:marTop w:val="0"/>
      <w:marBottom w:val="0"/>
      <w:divBdr>
        <w:top w:val="none" w:sz="0" w:space="0" w:color="auto"/>
        <w:left w:val="none" w:sz="0" w:space="0" w:color="auto"/>
        <w:bottom w:val="none" w:sz="0" w:space="0" w:color="auto"/>
        <w:right w:val="none" w:sz="0" w:space="0" w:color="auto"/>
      </w:divBdr>
      <w:divsChild>
        <w:div w:id="200361881">
          <w:marLeft w:val="0"/>
          <w:marRight w:val="1"/>
          <w:marTop w:val="0"/>
          <w:marBottom w:val="0"/>
          <w:divBdr>
            <w:top w:val="none" w:sz="0" w:space="0" w:color="auto"/>
            <w:left w:val="none" w:sz="0" w:space="0" w:color="auto"/>
            <w:bottom w:val="none" w:sz="0" w:space="0" w:color="auto"/>
            <w:right w:val="none" w:sz="0" w:space="0" w:color="auto"/>
          </w:divBdr>
          <w:divsChild>
            <w:div w:id="1286041418">
              <w:marLeft w:val="0"/>
              <w:marRight w:val="0"/>
              <w:marTop w:val="0"/>
              <w:marBottom w:val="0"/>
              <w:divBdr>
                <w:top w:val="none" w:sz="0" w:space="0" w:color="auto"/>
                <w:left w:val="none" w:sz="0" w:space="0" w:color="auto"/>
                <w:bottom w:val="none" w:sz="0" w:space="0" w:color="auto"/>
                <w:right w:val="none" w:sz="0" w:space="0" w:color="auto"/>
              </w:divBdr>
              <w:divsChild>
                <w:div w:id="215707387">
                  <w:marLeft w:val="0"/>
                  <w:marRight w:val="1"/>
                  <w:marTop w:val="0"/>
                  <w:marBottom w:val="0"/>
                  <w:divBdr>
                    <w:top w:val="none" w:sz="0" w:space="0" w:color="auto"/>
                    <w:left w:val="none" w:sz="0" w:space="0" w:color="auto"/>
                    <w:bottom w:val="none" w:sz="0" w:space="0" w:color="auto"/>
                    <w:right w:val="none" w:sz="0" w:space="0" w:color="auto"/>
                  </w:divBdr>
                  <w:divsChild>
                    <w:div w:id="1529563118">
                      <w:marLeft w:val="0"/>
                      <w:marRight w:val="0"/>
                      <w:marTop w:val="0"/>
                      <w:marBottom w:val="0"/>
                      <w:divBdr>
                        <w:top w:val="none" w:sz="0" w:space="0" w:color="auto"/>
                        <w:left w:val="none" w:sz="0" w:space="0" w:color="auto"/>
                        <w:bottom w:val="none" w:sz="0" w:space="0" w:color="auto"/>
                        <w:right w:val="none" w:sz="0" w:space="0" w:color="auto"/>
                      </w:divBdr>
                      <w:divsChild>
                        <w:div w:id="1689867099">
                          <w:marLeft w:val="0"/>
                          <w:marRight w:val="0"/>
                          <w:marTop w:val="0"/>
                          <w:marBottom w:val="0"/>
                          <w:divBdr>
                            <w:top w:val="none" w:sz="0" w:space="0" w:color="auto"/>
                            <w:left w:val="none" w:sz="0" w:space="0" w:color="auto"/>
                            <w:bottom w:val="none" w:sz="0" w:space="0" w:color="auto"/>
                            <w:right w:val="none" w:sz="0" w:space="0" w:color="auto"/>
                          </w:divBdr>
                          <w:divsChild>
                            <w:div w:id="429858470">
                              <w:marLeft w:val="0"/>
                              <w:marRight w:val="0"/>
                              <w:marTop w:val="120"/>
                              <w:marBottom w:val="360"/>
                              <w:divBdr>
                                <w:top w:val="none" w:sz="0" w:space="0" w:color="auto"/>
                                <w:left w:val="none" w:sz="0" w:space="0" w:color="auto"/>
                                <w:bottom w:val="none" w:sz="0" w:space="0" w:color="auto"/>
                                <w:right w:val="none" w:sz="0" w:space="0" w:color="auto"/>
                              </w:divBdr>
                              <w:divsChild>
                                <w:div w:id="236867453">
                                  <w:marLeft w:val="0"/>
                                  <w:marRight w:val="0"/>
                                  <w:marTop w:val="0"/>
                                  <w:marBottom w:val="0"/>
                                  <w:divBdr>
                                    <w:top w:val="none" w:sz="0" w:space="0" w:color="auto"/>
                                    <w:left w:val="none" w:sz="0" w:space="0" w:color="auto"/>
                                    <w:bottom w:val="none" w:sz="0" w:space="0" w:color="auto"/>
                                    <w:right w:val="none" w:sz="0" w:space="0" w:color="auto"/>
                                  </w:divBdr>
                                </w:div>
                                <w:div w:id="10339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033414">
      <w:bodyDiv w:val="1"/>
      <w:marLeft w:val="0"/>
      <w:marRight w:val="0"/>
      <w:marTop w:val="0"/>
      <w:marBottom w:val="0"/>
      <w:divBdr>
        <w:top w:val="none" w:sz="0" w:space="0" w:color="auto"/>
        <w:left w:val="none" w:sz="0" w:space="0" w:color="auto"/>
        <w:bottom w:val="none" w:sz="0" w:space="0" w:color="auto"/>
        <w:right w:val="none" w:sz="0" w:space="0" w:color="auto"/>
      </w:divBdr>
    </w:div>
    <w:div w:id="1484813401">
      <w:bodyDiv w:val="1"/>
      <w:marLeft w:val="0"/>
      <w:marRight w:val="0"/>
      <w:marTop w:val="0"/>
      <w:marBottom w:val="0"/>
      <w:divBdr>
        <w:top w:val="none" w:sz="0" w:space="0" w:color="auto"/>
        <w:left w:val="none" w:sz="0" w:space="0" w:color="auto"/>
        <w:bottom w:val="none" w:sz="0" w:space="0" w:color="auto"/>
        <w:right w:val="none" w:sz="0" w:space="0" w:color="auto"/>
      </w:divBdr>
    </w:div>
    <w:div w:id="1499811534">
      <w:bodyDiv w:val="1"/>
      <w:marLeft w:val="0"/>
      <w:marRight w:val="0"/>
      <w:marTop w:val="0"/>
      <w:marBottom w:val="0"/>
      <w:divBdr>
        <w:top w:val="none" w:sz="0" w:space="0" w:color="auto"/>
        <w:left w:val="none" w:sz="0" w:space="0" w:color="auto"/>
        <w:bottom w:val="none" w:sz="0" w:space="0" w:color="auto"/>
        <w:right w:val="none" w:sz="0" w:space="0" w:color="auto"/>
      </w:divBdr>
    </w:div>
    <w:div w:id="1506167652">
      <w:bodyDiv w:val="1"/>
      <w:marLeft w:val="0"/>
      <w:marRight w:val="0"/>
      <w:marTop w:val="0"/>
      <w:marBottom w:val="0"/>
      <w:divBdr>
        <w:top w:val="none" w:sz="0" w:space="0" w:color="auto"/>
        <w:left w:val="none" w:sz="0" w:space="0" w:color="auto"/>
        <w:bottom w:val="none" w:sz="0" w:space="0" w:color="auto"/>
        <w:right w:val="none" w:sz="0" w:space="0" w:color="auto"/>
      </w:divBdr>
    </w:div>
    <w:div w:id="1507138128">
      <w:bodyDiv w:val="1"/>
      <w:marLeft w:val="0"/>
      <w:marRight w:val="0"/>
      <w:marTop w:val="0"/>
      <w:marBottom w:val="0"/>
      <w:divBdr>
        <w:top w:val="none" w:sz="0" w:space="0" w:color="auto"/>
        <w:left w:val="none" w:sz="0" w:space="0" w:color="auto"/>
        <w:bottom w:val="none" w:sz="0" w:space="0" w:color="auto"/>
        <w:right w:val="none" w:sz="0" w:space="0" w:color="auto"/>
      </w:divBdr>
    </w:div>
    <w:div w:id="1551378967">
      <w:bodyDiv w:val="1"/>
      <w:marLeft w:val="0"/>
      <w:marRight w:val="0"/>
      <w:marTop w:val="0"/>
      <w:marBottom w:val="0"/>
      <w:divBdr>
        <w:top w:val="none" w:sz="0" w:space="0" w:color="auto"/>
        <w:left w:val="none" w:sz="0" w:space="0" w:color="auto"/>
        <w:bottom w:val="none" w:sz="0" w:space="0" w:color="auto"/>
        <w:right w:val="none" w:sz="0" w:space="0" w:color="auto"/>
      </w:divBdr>
    </w:div>
    <w:div w:id="1560284334">
      <w:bodyDiv w:val="1"/>
      <w:marLeft w:val="0"/>
      <w:marRight w:val="0"/>
      <w:marTop w:val="0"/>
      <w:marBottom w:val="0"/>
      <w:divBdr>
        <w:top w:val="none" w:sz="0" w:space="0" w:color="auto"/>
        <w:left w:val="none" w:sz="0" w:space="0" w:color="auto"/>
        <w:bottom w:val="none" w:sz="0" w:space="0" w:color="auto"/>
        <w:right w:val="none" w:sz="0" w:space="0" w:color="auto"/>
      </w:divBdr>
      <w:divsChild>
        <w:div w:id="2041121331">
          <w:marLeft w:val="0"/>
          <w:marRight w:val="1"/>
          <w:marTop w:val="0"/>
          <w:marBottom w:val="0"/>
          <w:divBdr>
            <w:top w:val="none" w:sz="0" w:space="0" w:color="auto"/>
            <w:left w:val="none" w:sz="0" w:space="0" w:color="auto"/>
            <w:bottom w:val="none" w:sz="0" w:space="0" w:color="auto"/>
            <w:right w:val="none" w:sz="0" w:space="0" w:color="auto"/>
          </w:divBdr>
          <w:divsChild>
            <w:div w:id="1661272574">
              <w:marLeft w:val="0"/>
              <w:marRight w:val="0"/>
              <w:marTop w:val="0"/>
              <w:marBottom w:val="0"/>
              <w:divBdr>
                <w:top w:val="none" w:sz="0" w:space="0" w:color="auto"/>
                <w:left w:val="none" w:sz="0" w:space="0" w:color="auto"/>
                <w:bottom w:val="none" w:sz="0" w:space="0" w:color="auto"/>
                <w:right w:val="none" w:sz="0" w:space="0" w:color="auto"/>
              </w:divBdr>
              <w:divsChild>
                <w:div w:id="1285846290">
                  <w:marLeft w:val="0"/>
                  <w:marRight w:val="1"/>
                  <w:marTop w:val="0"/>
                  <w:marBottom w:val="0"/>
                  <w:divBdr>
                    <w:top w:val="none" w:sz="0" w:space="0" w:color="auto"/>
                    <w:left w:val="none" w:sz="0" w:space="0" w:color="auto"/>
                    <w:bottom w:val="none" w:sz="0" w:space="0" w:color="auto"/>
                    <w:right w:val="none" w:sz="0" w:space="0" w:color="auto"/>
                  </w:divBdr>
                  <w:divsChild>
                    <w:div w:id="7369568">
                      <w:marLeft w:val="0"/>
                      <w:marRight w:val="0"/>
                      <w:marTop w:val="0"/>
                      <w:marBottom w:val="0"/>
                      <w:divBdr>
                        <w:top w:val="none" w:sz="0" w:space="0" w:color="auto"/>
                        <w:left w:val="none" w:sz="0" w:space="0" w:color="auto"/>
                        <w:bottom w:val="none" w:sz="0" w:space="0" w:color="auto"/>
                        <w:right w:val="none" w:sz="0" w:space="0" w:color="auto"/>
                      </w:divBdr>
                      <w:divsChild>
                        <w:div w:id="1670062893">
                          <w:marLeft w:val="0"/>
                          <w:marRight w:val="0"/>
                          <w:marTop w:val="0"/>
                          <w:marBottom w:val="0"/>
                          <w:divBdr>
                            <w:top w:val="none" w:sz="0" w:space="0" w:color="auto"/>
                            <w:left w:val="none" w:sz="0" w:space="0" w:color="auto"/>
                            <w:bottom w:val="none" w:sz="0" w:space="0" w:color="auto"/>
                            <w:right w:val="none" w:sz="0" w:space="0" w:color="auto"/>
                          </w:divBdr>
                          <w:divsChild>
                            <w:div w:id="1390303778">
                              <w:marLeft w:val="0"/>
                              <w:marRight w:val="0"/>
                              <w:marTop w:val="120"/>
                              <w:marBottom w:val="360"/>
                              <w:divBdr>
                                <w:top w:val="none" w:sz="0" w:space="0" w:color="auto"/>
                                <w:left w:val="none" w:sz="0" w:space="0" w:color="auto"/>
                                <w:bottom w:val="none" w:sz="0" w:space="0" w:color="auto"/>
                                <w:right w:val="none" w:sz="0" w:space="0" w:color="auto"/>
                              </w:divBdr>
                              <w:divsChild>
                                <w:div w:id="622807270">
                                  <w:marLeft w:val="0"/>
                                  <w:marRight w:val="0"/>
                                  <w:marTop w:val="0"/>
                                  <w:marBottom w:val="0"/>
                                  <w:divBdr>
                                    <w:top w:val="none" w:sz="0" w:space="0" w:color="auto"/>
                                    <w:left w:val="none" w:sz="0" w:space="0" w:color="auto"/>
                                    <w:bottom w:val="none" w:sz="0" w:space="0" w:color="auto"/>
                                    <w:right w:val="none" w:sz="0" w:space="0" w:color="auto"/>
                                  </w:divBdr>
                                </w:div>
                                <w:div w:id="11568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877139">
      <w:bodyDiv w:val="1"/>
      <w:marLeft w:val="0"/>
      <w:marRight w:val="0"/>
      <w:marTop w:val="0"/>
      <w:marBottom w:val="0"/>
      <w:divBdr>
        <w:top w:val="none" w:sz="0" w:space="0" w:color="auto"/>
        <w:left w:val="none" w:sz="0" w:space="0" w:color="auto"/>
        <w:bottom w:val="none" w:sz="0" w:space="0" w:color="auto"/>
        <w:right w:val="none" w:sz="0" w:space="0" w:color="auto"/>
      </w:divBdr>
    </w:div>
    <w:div w:id="1602833404">
      <w:bodyDiv w:val="1"/>
      <w:marLeft w:val="0"/>
      <w:marRight w:val="0"/>
      <w:marTop w:val="0"/>
      <w:marBottom w:val="0"/>
      <w:divBdr>
        <w:top w:val="none" w:sz="0" w:space="0" w:color="auto"/>
        <w:left w:val="none" w:sz="0" w:space="0" w:color="auto"/>
        <w:bottom w:val="none" w:sz="0" w:space="0" w:color="auto"/>
        <w:right w:val="none" w:sz="0" w:space="0" w:color="auto"/>
      </w:divBdr>
    </w:div>
    <w:div w:id="1626229604">
      <w:bodyDiv w:val="1"/>
      <w:marLeft w:val="0"/>
      <w:marRight w:val="0"/>
      <w:marTop w:val="0"/>
      <w:marBottom w:val="0"/>
      <w:divBdr>
        <w:top w:val="none" w:sz="0" w:space="0" w:color="auto"/>
        <w:left w:val="none" w:sz="0" w:space="0" w:color="auto"/>
        <w:bottom w:val="none" w:sz="0" w:space="0" w:color="auto"/>
        <w:right w:val="none" w:sz="0" w:space="0" w:color="auto"/>
      </w:divBdr>
    </w:div>
    <w:div w:id="1643541978">
      <w:bodyDiv w:val="1"/>
      <w:marLeft w:val="0"/>
      <w:marRight w:val="0"/>
      <w:marTop w:val="0"/>
      <w:marBottom w:val="0"/>
      <w:divBdr>
        <w:top w:val="none" w:sz="0" w:space="0" w:color="auto"/>
        <w:left w:val="none" w:sz="0" w:space="0" w:color="auto"/>
        <w:bottom w:val="none" w:sz="0" w:space="0" w:color="auto"/>
        <w:right w:val="none" w:sz="0" w:space="0" w:color="auto"/>
      </w:divBdr>
    </w:div>
    <w:div w:id="1649900728">
      <w:bodyDiv w:val="1"/>
      <w:marLeft w:val="0"/>
      <w:marRight w:val="0"/>
      <w:marTop w:val="0"/>
      <w:marBottom w:val="0"/>
      <w:divBdr>
        <w:top w:val="none" w:sz="0" w:space="0" w:color="auto"/>
        <w:left w:val="none" w:sz="0" w:space="0" w:color="auto"/>
        <w:bottom w:val="none" w:sz="0" w:space="0" w:color="auto"/>
        <w:right w:val="none" w:sz="0" w:space="0" w:color="auto"/>
      </w:divBdr>
    </w:div>
    <w:div w:id="1656761996">
      <w:bodyDiv w:val="1"/>
      <w:marLeft w:val="0"/>
      <w:marRight w:val="0"/>
      <w:marTop w:val="0"/>
      <w:marBottom w:val="0"/>
      <w:divBdr>
        <w:top w:val="none" w:sz="0" w:space="0" w:color="auto"/>
        <w:left w:val="none" w:sz="0" w:space="0" w:color="auto"/>
        <w:bottom w:val="none" w:sz="0" w:space="0" w:color="auto"/>
        <w:right w:val="none" w:sz="0" w:space="0" w:color="auto"/>
      </w:divBdr>
    </w:div>
    <w:div w:id="1694842139">
      <w:bodyDiv w:val="1"/>
      <w:marLeft w:val="0"/>
      <w:marRight w:val="0"/>
      <w:marTop w:val="0"/>
      <w:marBottom w:val="0"/>
      <w:divBdr>
        <w:top w:val="none" w:sz="0" w:space="0" w:color="auto"/>
        <w:left w:val="none" w:sz="0" w:space="0" w:color="auto"/>
        <w:bottom w:val="none" w:sz="0" w:space="0" w:color="auto"/>
        <w:right w:val="none" w:sz="0" w:space="0" w:color="auto"/>
      </w:divBdr>
      <w:divsChild>
        <w:div w:id="759645398">
          <w:marLeft w:val="0"/>
          <w:marRight w:val="1"/>
          <w:marTop w:val="0"/>
          <w:marBottom w:val="0"/>
          <w:divBdr>
            <w:top w:val="none" w:sz="0" w:space="0" w:color="auto"/>
            <w:left w:val="none" w:sz="0" w:space="0" w:color="auto"/>
            <w:bottom w:val="none" w:sz="0" w:space="0" w:color="auto"/>
            <w:right w:val="none" w:sz="0" w:space="0" w:color="auto"/>
          </w:divBdr>
          <w:divsChild>
            <w:div w:id="889152840">
              <w:marLeft w:val="0"/>
              <w:marRight w:val="0"/>
              <w:marTop w:val="0"/>
              <w:marBottom w:val="0"/>
              <w:divBdr>
                <w:top w:val="none" w:sz="0" w:space="0" w:color="auto"/>
                <w:left w:val="none" w:sz="0" w:space="0" w:color="auto"/>
                <w:bottom w:val="none" w:sz="0" w:space="0" w:color="auto"/>
                <w:right w:val="none" w:sz="0" w:space="0" w:color="auto"/>
              </w:divBdr>
              <w:divsChild>
                <w:div w:id="1621645099">
                  <w:marLeft w:val="0"/>
                  <w:marRight w:val="1"/>
                  <w:marTop w:val="0"/>
                  <w:marBottom w:val="0"/>
                  <w:divBdr>
                    <w:top w:val="none" w:sz="0" w:space="0" w:color="auto"/>
                    <w:left w:val="none" w:sz="0" w:space="0" w:color="auto"/>
                    <w:bottom w:val="none" w:sz="0" w:space="0" w:color="auto"/>
                    <w:right w:val="none" w:sz="0" w:space="0" w:color="auto"/>
                  </w:divBdr>
                  <w:divsChild>
                    <w:div w:id="999575844">
                      <w:marLeft w:val="0"/>
                      <w:marRight w:val="0"/>
                      <w:marTop w:val="0"/>
                      <w:marBottom w:val="0"/>
                      <w:divBdr>
                        <w:top w:val="none" w:sz="0" w:space="0" w:color="auto"/>
                        <w:left w:val="none" w:sz="0" w:space="0" w:color="auto"/>
                        <w:bottom w:val="none" w:sz="0" w:space="0" w:color="auto"/>
                        <w:right w:val="none" w:sz="0" w:space="0" w:color="auto"/>
                      </w:divBdr>
                      <w:divsChild>
                        <w:div w:id="55902309">
                          <w:marLeft w:val="0"/>
                          <w:marRight w:val="0"/>
                          <w:marTop w:val="0"/>
                          <w:marBottom w:val="0"/>
                          <w:divBdr>
                            <w:top w:val="none" w:sz="0" w:space="0" w:color="auto"/>
                            <w:left w:val="none" w:sz="0" w:space="0" w:color="auto"/>
                            <w:bottom w:val="none" w:sz="0" w:space="0" w:color="auto"/>
                            <w:right w:val="none" w:sz="0" w:space="0" w:color="auto"/>
                          </w:divBdr>
                          <w:divsChild>
                            <w:div w:id="1246498667">
                              <w:marLeft w:val="0"/>
                              <w:marRight w:val="0"/>
                              <w:marTop w:val="120"/>
                              <w:marBottom w:val="360"/>
                              <w:divBdr>
                                <w:top w:val="none" w:sz="0" w:space="0" w:color="auto"/>
                                <w:left w:val="none" w:sz="0" w:space="0" w:color="auto"/>
                                <w:bottom w:val="none" w:sz="0" w:space="0" w:color="auto"/>
                                <w:right w:val="none" w:sz="0" w:space="0" w:color="auto"/>
                              </w:divBdr>
                              <w:divsChild>
                                <w:div w:id="232545933">
                                  <w:marLeft w:val="0"/>
                                  <w:marRight w:val="0"/>
                                  <w:marTop w:val="0"/>
                                  <w:marBottom w:val="0"/>
                                  <w:divBdr>
                                    <w:top w:val="none" w:sz="0" w:space="0" w:color="auto"/>
                                    <w:left w:val="none" w:sz="0" w:space="0" w:color="auto"/>
                                    <w:bottom w:val="none" w:sz="0" w:space="0" w:color="auto"/>
                                    <w:right w:val="none" w:sz="0" w:space="0" w:color="auto"/>
                                  </w:divBdr>
                                </w:div>
                                <w:div w:id="20398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740042">
      <w:bodyDiv w:val="1"/>
      <w:marLeft w:val="0"/>
      <w:marRight w:val="0"/>
      <w:marTop w:val="0"/>
      <w:marBottom w:val="0"/>
      <w:divBdr>
        <w:top w:val="none" w:sz="0" w:space="0" w:color="auto"/>
        <w:left w:val="none" w:sz="0" w:space="0" w:color="auto"/>
        <w:bottom w:val="none" w:sz="0" w:space="0" w:color="auto"/>
        <w:right w:val="none" w:sz="0" w:space="0" w:color="auto"/>
      </w:divBdr>
    </w:div>
    <w:div w:id="1714696235">
      <w:bodyDiv w:val="1"/>
      <w:marLeft w:val="0"/>
      <w:marRight w:val="0"/>
      <w:marTop w:val="0"/>
      <w:marBottom w:val="0"/>
      <w:divBdr>
        <w:top w:val="none" w:sz="0" w:space="0" w:color="auto"/>
        <w:left w:val="none" w:sz="0" w:space="0" w:color="auto"/>
        <w:bottom w:val="none" w:sz="0" w:space="0" w:color="auto"/>
        <w:right w:val="none" w:sz="0" w:space="0" w:color="auto"/>
      </w:divBdr>
      <w:divsChild>
        <w:div w:id="909272264">
          <w:marLeft w:val="0"/>
          <w:marRight w:val="1"/>
          <w:marTop w:val="0"/>
          <w:marBottom w:val="0"/>
          <w:divBdr>
            <w:top w:val="none" w:sz="0" w:space="0" w:color="auto"/>
            <w:left w:val="none" w:sz="0" w:space="0" w:color="auto"/>
            <w:bottom w:val="none" w:sz="0" w:space="0" w:color="auto"/>
            <w:right w:val="none" w:sz="0" w:space="0" w:color="auto"/>
          </w:divBdr>
          <w:divsChild>
            <w:div w:id="1736002283">
              <w:marLeft w:val="0"/>
              <w:marRight w:val="0"/>
              <w:marTop w:val="0"/>
              <w:marBottom w:val="0"/>
              <w:divBdr>
                <w:top w:val="none" w:sz="0" w:space="0" w:color="auto"/>
                <w:left w:val="none" w:sz="0" w:space="0" w:color="auto"/>
                <w:bottom w:val="none" w:sz="0" w:space="0" w:color="auto"/>
                <w:right w:val="none" w:sz="0" w:space="0" w:color="auto"/>
              </w:divBdr>
              <w:divsChild>
                <w:div w:id="1998344504">
                  <w:marLeft w:val="0"/>
                  <w:marRight w:val="1"/>
                  <w:marTop w:val="0"/>
                  <w:marBottom w:val="0"/>
                  <w:divBdr>
                    <w:top w:val="none" w:sz="0" w:space="0" w:color="auto"/>
                    <w:left w:val="none" w:sz="0" w:space="0" w:color="auto"/>
                    <w:bottom w:val="none" w:sz="0" w:space="0" w:color="auto"/>
                    <w:right w:val="none" w:sz="0" w:space="0" w:color="auto"/>
                  </w:divBdr>
                  <w:divsChild>
                    <w:div w:id="563030062">
                      <w:marLeft w:val="0"/>
                      <w:marRight w:val="0"/>
                      <w:marTop w:val="0"/>
                      <w:marBottom w:val="0"/>
                      <w:divBdr>
                        <w:top w:val="none" w:sz="0" w:space="0" w:color="auto"/>
                        <w:left w:val="none" w:sz="0" w:space="0" w:color="auto"/>
                        <w:bottom w:val="none" w:sz="0" w:space="0" w:color="auto"/>
                        <w:right w:val="none" w:sz="0" w:space="0" w:color="auto"/>
                      </w:divBdr>
                      <w:divsChild>
                        <w:div w:id="960918814">
                          <w:marLeft w:val="0"/>
                          <w:marRight w:val="0"/>
                          <w:marTop w:val="0"/>
                          <w:marBottom w:val="0"/>
                          <w:divBdr>
                            <w:top w:val="none" w:sz="0" w:space="0" w:color="auto"/>
                            <w:left w:val="none" w:sz="0" w:space="0" w:color="auto"/>
                            <w:bottom w:val="none" w:sz="0" w:space="0" w:color="auto"/>
                            <w:right w:val="none" w:sz="0" w:space="0" w:color="auto"/>
                          </w:divBdr>
                          <w:divsChild>
                            <w:div w:id="1139608345">
                              <w:marLeft w:val="0"/>
                              <w:marRight w:val="0"/>
                              <w:marTop w:val="120"/>
                              <w:marBottom w:val="360"/>
                              <w:divBdr>
                                <w:top w:val="none" w:sz="0" w:space="0" w:color="auto"/>
                                <w:left w:val="none" w:sz="0" w:space="0" w:color="auto"/>
                                <w:bottom w:val="none" w:sz="0" w:space="0" w:color="auto"/>
                                <w:right w:val="none" w:sz="0" w:space="0" w:color="auto"/>
                              </w:divBdr>
                              <w:divsChild>
                                <w:div w:id="442464062">
                                  <w:marLeft w:val="0"/>
                                  <w:marRight w:val="0"/>
                                  <w:marTop w:val="0"/>
                                  <w:marBottom w:val="0"/>
                                  <w:divBdr>
                                    <w:top w:val="none" w:sz="0" w:space="0" w:color="auto"/>
                                    <w:left w:val="none" w:sz="0" w:space="0" w:color="auto"/>
                                    <w:bottom w:val="none" w:sz="0" w:space="0" w:color="auto"/>
                                    <w:right w:val="none" w:sz="0" w:space="0" w:color="auto"/>
                                  </w:divBdr>
                                </w:div>
                                <w:div w:id="7900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086344">
      <w:bodyDiv w:val="1"/>
      <w:marLeft w:val="0"/>
      <w:marRight w:val="0"/>
      <w:marTop w:val="0"/>
      <w:marBottom w:val="0"/>
      <w:divBdr>
        <w:top w:val="none" w:sz="0" w:space="0" w:color="auto"/>
        <w:left w:val="none" w:sz="0" w:space="0" w:color="auto"/>
        <w:bottom w:val="none" w:sz="0" w:space="0" w:color="auto"/>
        <w:right w:val="none" w:sz="0" w:space="0" w:color="auto"/>
      </w:divBdr>
    </w:div>
    <w:div w:id="1730883146">
      <w:bodyDiv w:val="1"/>
      <w:marLeft w:val="0"/>
      <w:marRight w:val="0"/>
      <w:marTop w:val="0"/>
      <w:marBottom w:val="0"/>
      <w:divBdr>
        <w:top w:val="none" w:sz="0" w:space="0" w:color="auto"/>
        <w:left w:val="none" w:sz="0" w:space="0" w:color="auto"/>
        <w:bottom w:val="none" w:sz="0" w:space="0" w:color="auto"/>
        <w:right w:val="none" w:sz="0" w:space="0" w:color="auto"/>
      </w:divBdr>
    </w:div>
    <w:div w:id="1776828002">
      <w:bodyDiv w:val="1"/>
      <w:marLeft w:val="0"/>
      <w:marRight w:val="0"/>
      <w:marTop w:val="0"/>
      <w:marBottom w:val="0"/>
      <w:divBdr>
        <w:top w:val="none" w:sz="0" w:space="0" w:color="auto"/>
        <w:left w:val="none" w:sz="0" w:space="0" w:color="auto"/>
        <w:bottom w:val="none" w:sz="0" w:space="0" w:color="auto"/>
        <w:right w:val="none" w:sz="0" w:space="0" w:color="auto"/>
      </w:divBdr>
      <w:divsChild>
        <w:div w:id="3095986">
          <w:marLeft w:val="360"/>
          <w:marRight w:val="0"/>
          <w:marTop w:val="240"/>
          <w:marBottom w:val="120"/>
          <w:divBdr>
            <w:top w:val="none" w:sz="0" w:space="0" w:color="auto"/>
            <w:left w:val="none" w:sz="0" w:space="0" w:color="auto"/>
            <w:bottom w:val="none" w:sz="0" w:space="0" w:color="auto"/>
            <w:right w:val="none" w:sz="0" w:space="0" w:color="auto"/>
          </w:divBdr>
        </w:div>
      </w:divsChild>
    </w:div>
    <w:div w:id="1797259895">
      <w:bodyDiv w:val="1"/>
      <w:marLeft w:val="0"/>
      <w:marRight w:val="0"/>
      <w:marTop w:val="0"/>
      <w:marBottom w:val="0"/>
      <w:divBdr>
        <w:top w:val="none" w:sz="0" w:space="0" w:color="auto"/>
        <w:left w:val="none" w:sz="0" w:space="0" w:color="auto"/>
        <w:bottom w:val="none" w:sz="0" w:space="0" w:color="auto"/>
        <w:right w:val="none" w:sz="0" w:space="0" w:color="auto"/>
      </w:divBdr>
    </w:div>
    <w:div w:id="1815948255">
      <w:bodyDiv w:val="1"/>
      <w:marLeft w:val="0"/>
      <w:marRight w:val="0"/>
      <w:marTop w:val="0"/>
      <w:marBottom w:val="0"/>
      <w:divBdr>
        <w:top w:val="none" w:sz="0" w:space="0" w:color="auto"/>
        <w:left w:val="none" w:sz="0" w:space="0" w:color="auto"/>
        <w:bottom w:val="none" w:sz="0" w:space="0" w:color="auto"/>
        <w:right w:val="none" w:sz="0" w:space="0" w:color="auto"/>
      </w:divBdr>
    </w:div>
    <w:div w:id="1819109515">
      <w:bodyDiv w:val="1"/>
      <w:marLeft w:val="0"/>
      <w:marRight w:val="0"/>
      <w:marTop w:val="0"/>
      <w:marBottom w:val="0"/>
      <w:divBdr>
        <w:top w:val="none" w:sz="0" w:space="0" w:color="auto"/>
        <w:left w:val="none" w:sz="0" w:space="0" w:color="auto"/>
        <w:bottom w:val="none" w:sz="0" w:space="0" w:color="auto"/>
        <w:right w:val="none" w:sz="0" w:space="0" w:color="auto"/>
      </w:divBdr>
    </w:div>
    <w:div w:id="1830124594">
      <w:bodyDiv w:val="1"/>
      <w:marLeft w:val="0"/>
      <w:marRight w:val="0"/>
      <w:marTop w:val="0"/>
      <w:marBottom w:val="0"/>
      <w:divBdr>
        <w:top w:val="none" w:sz="0" w:space="0" w:color="auto"/>
        <w:left w:val="none" w:sz="0" w:space="0" w:color="auto"/>
        <w:bottom w:val="none" w:sz="0" w:space="0" w:color="auto"/>
        <w:right w:val="none" w:sz="0" w:space="0" w:color="auto"/>
      </w:divBdr>
      <w:divsChild>
        <w:div w:id="918248140">
          <w:marLeft w:val="0"/>
          <w:marRight w:val="1"/>
          <w:marTop w:val="0"/>
          <w:marBottom w:val="0"/>
          <w:divBdr>
            <w:top w:val="none" w:sz="0" w:space="0" w:color="auto"/>
            <w:left w:val="none" w:sz="0" w:space="0" w:color="auto"/>
            <w:bottom w:val="none" w:sz="0" w:space="0" w:color="auto"/>
            <w:right w:val="none" w:sz="0" w:space="0" w:color="auto"/>
          </w:divBdr>
          <w:divsChild>
            <w:div w:id="1030645992">
              <w:marLeft w:val="0"/>
              <w:marRight w:val="0"/>
              <w:marTop w:val="0"/>
              <w:marBottom w:val="0"/>
              <w:divBdr>
                <w:top w:val="none" w:sz="0" w:space="0" w:color="auto"/>
                <w:left w:val="none" w:sz="0" w:space="0" w:color="auto"/>
                <w:bottom w:val="none" w:sz="0" w:space="0" w:color="auto"/>
                <w:right w:val="none" w:sz="0" w:space="0" w:color="auto"/>
              </w:divBdr>
              <w:divsChild>
                <w:div w:id="1616214556">
                  <w:marLeft w:val="0"/>
                  <w:marRight w:val="1"/>
                  <w:marTop w:val="0"/>
                  <w:marBottom w:val="0"/>
                  <w:divBdr>
                    <w:top w:val="none" w:sz="0" w:space="0" w:color="auto"/>
                    <w:left w:val="none" w:sz="0" w:space="0" w:color="auto"/>
                    <w:bottom w:val="none" w:sz="0" w:space="0" w:color="auto"/>
                    <w:right w:val="none" w:sz="0" w:space="0" w:color="auto"/>
                  </w:divBdr>
                  <w:divsChild>
                    <w:div w:id="2019233695">
                      <w:marLeft w:val="0"/>
                      <w:marRight w:val="0"/>
                      <w:marTop w:val="0"/>
                      <w:marBottom w:val="0"/>
                      <w:divBdr>
                        <w:top w:val="none" w:sz="0" w:space="0" w:color="auto"/>
                        <w:left w:val="none" w:sz="0" w:space="0" w:color="auto"/>
                        <w:bottom w:val="none" w:sz="0" w:space="0" w:color="auto"/>
                        <w:right w:val="none" w:sz="0" w:space="0" w:color="auto"/>
                      </w:divBdr>
                      <w:divsChild>
                        <w:div w:id="1233469601">
                          <w:marLeft w:val="0"/>
                          <w:marRight w:val="0"/>
                          <w:marTop w:val="0"/>
                          <w:marBottom w:val="0"/>
                          <w:divBdr>
                            <w:top w:val="none" w:sz="0" w:space="0" w:color="auto"/>
                            <w:left w:val="none" w:sz="0" w:space="0" w:color="auto"/>
                            <w:bottom w:val="none" w:sz="0" w:space="0" w:color="auto"/>
                            <w:right w:val="none" w:sz="0" w:space="0" w:color="auto"/>
                          </w:divBdr>
                          <w:divsChild>
                            <w:div w:id="1387876346">
                              <w:marLeft w:val="0"/>
                              <w:marRight w:val="0"/>
                              <w:marTop w:val="120"/>
                              <w:marBottom w:val="360"/>
                              <w:divBdr>
                                <w:top w:val="none" w:sz="0" w:space="0" w:color="auto"/>
                                <w:left w:val="none" w:sz="0" w:space="0" w:color="auto"/>
                                <w:bottom w:val="none" w:sz="0" w:space="0" w:color="auto"/>
                                <w:right w:val="none" w:sz="0" w:space="0" w:color="auto"/>
                              </w:divBdr>
                              <w:divsChild>
                                <w:div w:id="315498927">
                                  <w:marLeft w:val="0"/>
                                  <w:marRight w:val="0"/>
                                  <w:marTop w:val="0"/>
                                  <w:marBottom w:val="0"/>
                                  <w:divBdr>
                                    <w:top w:val="none" w:sz="0" w:space="0" w:color="auto"/>
                                    <w:left w:val="none" w:sz="0" w:space="0" w:color="auto"/>
                                    <w:bottom w:val="none" w:sz="0" w:space="0" w:color="auto"/>
                                    <w:right w:val="none" w:sz="0" w:space="0" w:color="auto"/>
                                  </w:divBdr>
                                </w:div>
                                <w:div w:id="3786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885145">
      <w:bodyDiv w:val="1"/>
      <w:marLeft w:val="0"/>
      <w:marRight w:val="0"/>
      <w:marTop w:val="0"/>
      <w:marBottom w:val="0"/>
      <w:divBdr>
        <w:top w:val="none" w:sz="0" w:space="0" w:color="auto"/>
        <w:left w:val="none" w:sz="0" w:space="0" w:color="auto"/>
        <w:bottom w:val="none" w:sz="0" w:space="0" w:color="auto"/>
        <w:right w:val="none" w:sz="0" w:space="0" w:color="auto"/>
      </w:divBdr>
      <w:divsChild>
        <w:div w:id="1035884426">
          <w:marLeft w:val="360"/>
          <w:marRight w:val="0"/>
          <w:marTop w:val="0"/>
          <w:marBottom w:val="120"/>
          <w:divBdr>
            <w:top w:val="none" w:sz="0" w:space="0" w:color="auto"/>
            <w:left w:val="none" w:sz="0" w:space="0" w:color="auto"/>
            <w:bottom w:val="none" w:sz="0" w:space="0" w:color="auto"/>
            <w:right w:val="none" w:sz="0" w:space="0" w:color="auto"/>
          </w:divBdr>
        </w:div>
        <w:div w:id="298149087">
          <w:marLeft w:val="360"/>
          <w:marRight w:val="0"/>
          <w:marTop w:val="0"/>
          <w:marBottom w:val="120"/>
          <w:divBdr>
            <w:top w:val="none" w:sz="0" w:space="0" w:color="auto"/>
            <w:left w:val="none" w:sz="0" w:space="0" w:color="auto"/>
            <w:bottom w:val="none" w:sz="0" w:space="0" w:color="auto"/>
            <w:right w:val="none" w:sz="0" w:space="0" w:color="auto"/>
          </w:divBdr>
        </w:div>
        <w:div w:id="1049651141">
          <w:marLeft w:val="360"/>
          <w:marRight w:val="0"/>
          <w:marTop w:val="0"/>
          <w:marBottom w:val="120"/>
          <w:divBdr>
            <w:top w:val="none" w:sz="0" w:space="0" w:color="auto"/>
            <w:left w:val="none" w:sz="0" w:space="0" w:color="auto"/>
            <w:bottom w:val="none" w:sz="0" w:space="0" w:color="auto"/>
            <w:right w:val="none" w:sz="0" w:space="0" w:color="auto"/>
          </w:divBdr>
        </w:div>
        <w:div w:id="1514145118">
          <w:marLeft w:val="360"/>
          <w:marRight w:val="0"/>
          <w:marTop w:val="0"/>
          <w:marBottom w:val="120"/>
          <w:divBdr>
            <w:top w:val="none" w:sz="0" w:space="0" w:color="auto"/>
            <w:left w:val="none" w:sz="0" w:space="0" w:color="auto"/>
            <w:bottom w:val="none" w:sz="0" w:space="0" w:color="auto"/>
            <w:right w:val="none" w:sz="0" w:space="0" w:color="auto"/>
          </w:divBdr>
        </w:div>
        <w:div w:id="789783806">
          <w:marLeft w:val="360"/>
          <w:marRight w:val="0"/>
          <w:marTop w:val="0"/>
          <w:marBottom w:val="120"/>
          <w:divBdr>
            <w:top w:val="none" w:sz="0" w:space="0" w:color="auto"/>
            <w:left w:val="none" w:sz="0" w:space="0" w:color="auto"/>
            <w:bottom w:val="none" w:sz="0" w:space="0" w:color="auto"/>
            <w:right w:val="none" w:sz="0" w:space="0" w:color="auto"/>
          </w:divBdr>
        </w:div>
        <w:div w:id="1832478295">
          <w:marLeft w:val="360"/>
          <w:marRight w:val="0"/>
          <w:marTop w:val="0"/>
          <w:marBottom w:val="120"/>
          <w:divBdr>
            <w:top w:val="none" w:sz="0" w:space="0" w:color="auto"/>
            <w:left w:val="none" w:sz="0" w:space="0" w:color="auto"/>
            <w:bottom w:val="none" w:sz="0" w:space="0" w:color="auto"/>
            <w:right w:val="none" w:sz="0" w:space="0" w:color="auto"/>
          </w:divBdr>
        </w:div>
        <w:div w:id="73937950">
          <w:marLeft w:val="360"/>
          <w:marRight w:val="0"/>
          <w:marTop w:val="0"/>
          <w:marBottom w:val="120"/>
          <w:divBdr>
            <w:top w:val="none" w:sz="0" w:space="0" w:color="auto"/>
            <w:left w:val="none" w:sz="0" w:space="0" w:color="auto"/>
            <w:bottom w:val="none" w:sz="0" w:space="0" w:color="auto"/>
            <w:right w:val="none" w:sz="0" w:space="0" w:color="auto"/>
          </w:divBdr>
        </w:div>
        <w:div w:id="2032415517">
          <w:marLeft w:val="360"/>
          <w:marRight w:val="0"/>
          <w:marTop w:val="0"/>
          <w:marBottom w:val="120"/>
          <w:divBdr>
            <w:top w:val="none" w:sz="0" w:space="0" w:color="auto"/>
            <w:left w:val="none" w:sz="0" w:space="0" w:color="auto"/>
            <w:bottom w:val="none" w:sz="0" w:space="0" w:color="auto"/>
            <w:right w:val="none" w:sz="0" w:space="0" w:color="auto"/>
          </w:divBdr>
        </w:div>
      </w:divsChild>
    </w:div>
    <w:div w:id="1883441022">
      <w:bodyDiv w:val="1"/>
      <w:marLeft w:val="0"/>
      <w:marRight w:val="0"/>
      <w:marTop w:val="0"/>
      <w:marBottom w:val="0"/>
      <w:divBdr>
        <w:top w:val="none" w:sz="0" w:space="0" w:color="auto"/>
        <w:left w:val="none" w:sz="0" w:space="0" w:color="auto"/>
        <w:bottom w:val="none" w:sz="0" w:space="0" w:color="auto"/>
        <w:right w:val="none" w:sz="0" w:space="0" w:color="auto"/>
      </w:divBdr>
      <w:divsChild>
        <w:div w:id="1832603833">
          <w:marLeft w:val="0"/>
          <w:marRight w:val="1"/>
          <w:marTop w:val="0"/>
          <w:marBottom w:val="0"/>
          <w:divBdr>
            <w:top w:val="none" w:sz="0" w:space="0" w:color="auto"/>
            <w:left w:val="none" w:sz="0" w:space="0" w:color="auto"/>
            <w:bottom w:val="none" w:sz="0" w:space="0" w:color="auto"/>
            <w:right w:val="none" w:sz="0" w:space="0" w:color="auto"/>
          </w:divBdr>
          <w:divsChild>
            <w:div w:id="638415015">
              <w:marLeft w:val="0"/>
              <w:marRight w:val="0"/>
              <w:marTop w:val="0"/>
              <w:marBottom w:val="0"/>
              <w:divBdr>
                <w:top w:val="none" w:sz="0" w:space="0" w:color="auto"/>
                <w:left w:val="none" w:sz="0" w:space="0" w:color="auto"/>
                <w:bottom w:val="none" w:sz="0" w:space="0" w:color="auto"/>
                <w:right w:val="none" w:sz="0" w:space="0" w:color="auto"/>
              </w:divBdr>
              <w:divsChild>
                <w:div w:id="1695107208">
                  <w:marLeft w:val="0"/>
                  <w:marRight w:val="1"/>
                  <w:marTop w:val="0"/>
                  <w:marBottom w:val="0"/>
                  <w:divBdr>
                    <w:top w:val="none" w:sz="0" w:space="0" w:color="auto"/>
                    <w:left w:val="none" w:sz="0" w:space="0" w:color="auto"/>
                    <w:bottom w:val="none" w:sz="0" w:space="0" w:color="auto"/>
                    <w:right w:val="none" w:sz="0" w:space="0" w:color="auto"/>
                  </w:divBdr>
                  <w:divsChild>
                    <w:div w:id="1580017706">
                      <w:marLeft w:val="0"/>
                      <w:marRight w:val="0"/>
                      <w:marTop w:val="0"/>
                      <w:marBottom w:val="0"/>
                      <w:divBdr>
                        <w:top w:val="none" w:sz="0" w:space="0" w:color="auto"/>
                        <w:left w:val="none" w:sz="0" w:space="0" w:color="auto"/>
                        <w:bottom w:val="none" w:sz="0" w:space="0" w:color="auto"/>
                        <w:right w:val="none" w:sz="0" w:space="0" w:color="auto"/>
                      </w:divBdr>
                      <w:divsChild>
                        <w:div w:id="1400906837">
                          <w:marLeft w:val="0"/>
                          <w:marRight w:val="0"/>
                          <w:marTop w:val="0"/>
                          <w:marBottom w:val="0"/>
                          <w:divBdr>
                            <w:top w:val="none" w:sz="0" w:space="0" w:color="auto"/>
                            <w:left w:val="none" w:sz="0" w:space="0" w:color="auto"/>
                            <w:bottom w:val="none" w:sz="0" w:space="0" w:color="auto"/>
                            <w:right w:val="none" w:sz="0" w:space="0" w:color="auto"/>
                          </w:divBdr>
                          <w:divsChild>
                            <w:div w:id="1216503013">
                              <w:marLeft w:val="0"/>
                              <w:marRight w:val="0"/>
                              <w:marTop w:val="120"/>
                              <w:marBottom w:val="360"/>
                              <w:divBdr>
                                <w:top w:val="none" w:sz="0" w:space="0" w:color="auto"/>
                                <w:left w:val="none" w:sz="0" w:space="0" w:color="auto"/>
                                <w:bottom w:val="none" w:sz="0" w:space="0" w:color="auto"/>
                                <w:right w:val="none" w:sz="0" w:space="0" w:color="auto"/>
                              </w:divBdr>
                              <w:divsChild>
                                <w:div w:id="520779287">
                                  <w:marLeft w:val="0"/>
                                  <w:marRight w:val="0"/>
                                  <w:marTop w:val="0"/>
                                  <w:marBottom w:val="0"/>
                                  <w:divBdr>
                                    <w:top w:val="none" w:sz="0" w:space="0" w:color="auto"/>
                                    <w:left w:val="none" w:sz="0" w:space="0" w:color="auto"/>
                                    <w:bottom w:val="none" w:sz="0" w:space="0" w:color="auto"/>
                                    <w:right w:val="none" w:sz="0" w:space="0" w:color="auto"/>
                                  </w:divBdr>
                                </w:div>
                                <w:div w:id="19003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898133">
      <w:bodyDiv w:val="1"/>
      <w:marLeft w:val="0"/>
      <w:marRight w:val="0"/>
      <w:marTop w:val="0"/>
      <w:marBottom w:val="0"/>
      <w:divBdr>
        <w:top w:val="none" w:sz="0" w:space="0" w:color="auto"/>
        <w:left w:val="none" w:sz="0" w:space="0" w:color="auto"/>
        <w:bottom w:val="none" w:sz="0" w:space="0" w:color="auto"/>
        <w:right w:val="none" w:sz="0" w:space="0" w:color="auto"/>
      </w:divBdr>
      <w:divsChild>
        <w:div w:id="1100222121">
          <w:marLeft w:val="360"/>
          <w:marRight w:val="0"/>
          <w:marTop w:val="72"/>
          <w:marBottom w:val="0"/>
          <w:divBdr>
            <w:top w:val="none" w:sz="0" w:space="0" w:color="auto"/>
            <w:left w:val="none" w:sz="0" w:space="0" w:color="auto"/>
            <w:bottom w:val="none" w:sz="0" w:space="0" w:color="auto"/>
            <w:right w:val="none" w:sz="0" w:space="0" w:color="auto"/>
          </w:divBdr>
        </w:div>
      </w:divsChild>
    </w:div>
    <w:div w:id="1924992227">
      <w:bodyDiv w:val="1"/>
      <w:marLeft w:val="0"/>
      <w:marRight w:val="0"/>
      <w:marTop w:val="0"/>
      <w:marBottom w:val="0"/>
      <w:divBdr>
        <w:top w:val="none" w:sz="0" w:space="0" w:color="auto"/>
        <w:left w:val="none" w:sz="0" w:space="0" w:color="auto"/>
        <w:bottom w:val="none" w:sz="0" w:space="0" w:color="auto"/>
        <w:right w:val="none" w:sz="0" w:space="0" w:color="auto"/>
      </w:divBdr>
    </w:div>
    <w:div w:id="1945532144">
      <w:bodyDiv w:val="1"/>
      <w:marLeft w:val="0"/>
      <w:marRight w:val="0"/>
      <w:marTop w:val="0"/>
      <w:marBottom w:val="0"/>
      <w:divBdr>
        <w:top w:val="none" w:sz="0" w:space="0" w:color="auto"/>
        <w:left w:val="none" w:sz="0" w:space="0" w:color="auto"/>
        <w:bottom w:val="none" w:sz="0" w:space="0" w:color="auto"/>
        <w:right w:val="none" w:sz="0" w:space="0" w:color="auto"/>
      </w:divBdr>
    </w:div>
    <w:div w:id="1947424341">
      <w:bodyDiv w:val="1"/>
      <w:marLeft w:val="0"/>
      <w:marRight w:val="0"/>
      <w:marTop w:val="0"/>
      <w:marBottom w:val="0"/>
      <w:divBdr>
        <w:top w:val="none" w:sz="0" w:space="0" w:color="auto"/>
        <w:left w:val="none" w:sz="0" w:space="0" w:color="auto"/>
        <w:bottom w:val="none" w:sz="0" w:space="0" w:color="auto"/>
        <w:right w:val="none" w:sz="0" w:space="0" w:color="auto"/>
      </w:divBdr>
      <w:divsChild>
        <w:div w:id="1191068055">
          <w:marLeft w:val="360"/>
          <w:marRight w:val="0"/>
          <w:marTop w:val="120"/>
          <w:marBottom w:val="120"/>
          <w:divBdr>
            <w:top w:val="none" w:sz="0" w:space="0" w:color="auto"/>
            <w:left w:val="none" w:sz="0" w:space="0" w:color="auto"/>
            <w:bottom w:val="none" w:sz="0" w:space="0" w:color="auto"/>
            <w:right w:val="none" w:sz="0" w:space="0" w:color="auto"/>
          </w:divBdr>
        </w:div>
        <w:div w:id="1313868226">
          <w:marLeft w:val="360"/>
          <w:marRight w:val="0"/>
          <w:marTop w:val="120"/>
          <w:marBottom w:val="120"/>
          <w:divBdr>
            <w:top w:val="none" w:sz="0" w:space="0" w:color="auto"/>
            <w:left w:val="none" w:sz="0" w:space="0" w:color="auto"/>
            <w:bottom w:val="none" w:sz="0" w:space="0" w:color="auto"/>
            <w:right w:val="none" w:sz="0" w:space="0" w:color="auto"/>
          </w:divBdr>
        </w:div>
        <w:div w:id="388379858">
          <w:marLeft w:val="360"/>
          <w:marRight w:val="0"/>
          <w:marTop w:val="120"/>
          <w:marBottom w:val="120"/>
          <w:divBdr>
            <w:top w:val="none" w:sz="0" w:space="0" w:color="auto"/>
            <w:left w:val="none" w:sz="0" w:space="0" w:color="auto"/>
            <w:bottom w:val="none" w:sz="0" w:space="0" w:color="auto"/>
            <w:right w:val="none" w:sz="0" w:space="0" w:color="auto"/>
          </w:divBdr>
        </w:div>
        <w:div w:id="1462730155">
          <w:marLeft w:val="360"/>
          <w:marRight w:val="0"/>
          <w:marTop w:val="120"/>
          <w:marBottom w:val="120"/>
          <w:divBdr>
            <w:top w:val="none" w:sz="0" w:space="0" w:color="auto"/>
            <w:left w:val="none" w:sz="0" w:space="0" w:color="auto"/>
            <w:bottom w:val="none" w:sz="0" w:space="0" w:color="auto"/>
            <w:right w:val="none" w:sz="0" w:space="0" w:color="auto"/>
          </w:divBdr>
        </w:div>
        <w:div w:id="723138143">
          <w:marLeft w:val="360"/>
          <w:marRight w:val="0"/>
          <w:marTop w:val="120"/>
          <w:marBottom w:val="120"/>
          <w:divBdr>
            <w:top w:val="none" w:sz="0" w:space="0" w:color="auto"/>
            <w:left w:val="none" w:sz="0" w:space="0" w:color="auto"/>
            <w:bottom w:val="none" w:sz="0" w:space="0" w:color="auto"/>
            <w:right w:val="none" w:sz="0" w:space="0" w:color="auto"/>
          </w:divBdr>
        </w:div>
      </w:divsChild>
    </w:div>
    <w:div w:id="1949238686">
      <w:bodyDiv w:val="1"/>
      <w:marLeft w:val="0"/>
      <w:marRight w:val="0"/>
      <w:marTop w:val="0"/>
      <w:marBottom w:val="0"/>
      <w:divBdr>
        <w:top w:val="none" w:sz="0" w:space="0" w:color="auto"/>
        <w:left w:val="none" w:sz="0" w:space="0" w:color="auto"/>
        <w:bottom w:val="none" w:sz="0" w:space="0" w:color="auto"/>
        <w:right w:val="none" w:sz="0" w:space="0" w:color="auto"/>
      </w:divBdr>
      <w:divsChild>
        <w:div w:id="560947940">
          <w:marLeft w:val="0"/>
          <w:marRight w:val="1"/>
          <w:marTop w:val="0"/>
          <w:marBottom w:val="0"/>
          <w:divBdr>
            <w:top w:val="none" w:sz="0" w:space="0" w:color="auto"/>
            <w:left w:val="none" w:sz="0" w:space="0" w:color="auto"/>
            <w:bottom w:val="none" w:sz="0" w:space="0" w:color="auto"/>
            <w:right w:val="none" w:sz="0" w:space="0" w:color="auto"/>
          </w:divBdr>
          <w:divsChild>
            <w:div w:id="760293393">
              <w:marLeft w:val="0"/>
              <w:marRight w:val="0"/>
              <w:marTop w:val="0"/>
              <w:marBottom w:val="0"/>
              <w:divBdr>
                <w:top w:val="none" w:sz="0" w:space="0" w:color="auto"/>
                <w:left w:val="none" w:sz="0" w:space="0" w:color="auto"/>
                <w:bottom w:val="none" w:sz="0" w:space="0" w:color="auto"/>
                <w:right w:val="none" w:sz="0" w:space="0" w:color="auto"/>
              </w:divBdr>
              <w:divsChild>
                <w:div w:id="2106876369">
                  <w:marLeft w:val="0"/>
                  <w:marRight w:val="1"/>
                  <w:marTop w:val="0"/>
                  <w:marBottom w:val="0"/>
                  <w:divBdr>
                    <w:top w:val="none" w:sz="0" w:space="0" w:color="auto"/>
                    <w:left w:val="none" w:sz="0" w:space="0" w:color="auto"/>
                    <w:bottom w:val="none" w:sz="0" w:space="0" w:color="auto"/>
                    <w:right w:val="none" w:sz="0" w:space="0" w:color="auto"/>
                  </w:divBdr>
                  <w:divsChild>
                    <w:div w:id="973682662">
                      <w:marLeft w:val="0"/>
                      <w:marRight w:val="0"/>
                      <w:marTop w:val="0"/>
                      <w:marBottom w:val="0"/>
                      <w:divBdr>
                        <w:top w:val="none" w:sz="0" w:space="0" w:color="auto"/>
                        <w:left w:val="none" w:sz="0" w:space="0" w:color="auto"/>
                        <w:bottom w:val="none" w:sz="0" w:space="0" w:color="auto"/>
                        <w:right w:val="none" w:sz="0" w:space="0" w:color="auto"/>
                      </w:divBdr>
                      <w:divsChild>
                        <w:div w:id="1552963468">
                          <w:marLeft w:val="0"/>
                          <w:marRight w:val="0"/>
                          <w:marTop w:val="0"/>
                          <w:marBottom w:val="0"/>
                          <w:divBdr>
                            <w:top w:val="none" w:sz="0" w:space="0" w:color="auto"/>
                            <w:left w:val="none" w:sz="0" w:space="0" w:color="auto"/>
                            <w:bottom w:val="none" w:sz="0" w:space="0" w:color="auto"/>
                            <w:right w:val="none" w:sz="0" w:space="0" w:color="auto"/>
                          </w:divBdr>
                          <w:divsChild>
                            <w:div w:id="1033728794">
                              <w:marLeft w:val="0"/>
                              <w:marRight w:val="0"/>
                              <w:marTop w:val="120"/>
                              <w:marBottom w:val="360"/>
                              <w:divBdr>
                                <w:top w:val="none" w:sz="0" w:space="0" w:color="auto"/>
                                <w:left w:val="none" w:sz="0" w:space="0" w:color="auto"/>
                                <w:bottom w:val="none" w:sz="0" w:space="0" w:color="auto"/>
                                <w:right w:val="none" w:sz="0" w:space="0" w:color="auto"/>
                              </w:divBdr>
                              <w:divsChild>
                                <w:div w:id="150371845">
                                  <w:marLeft w:val="0"/>
                                  <w:marRight w:val="0"/>
                                  <w:marTop w:val="0"/>
                                  <w:marBottom w:val="0"/>
                                  <w:divBdr>
                                    <w:top w:val="none" w:sz="0" w:space="0" w:color="auto"/>
                                    <w:left w:val="none" w:sz="0" w:space="0" w:color="auto"/>
                                    <w:bottom w:val="none" w:sz="0" w:space="0" w:color="auto"/>
                                    <w:right w:val="none" w:sz="0" w:space="0" w:color="auto"/>
                                  </w:divBdr>
                                </w:div>
                                <w:div w:id="6537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337296">
      <w:bodyDiv w:val="1"/>
      <w:marLeft w:val="0"/>
      <w:marRight w:val="0"/>
      <w:marTop w:val="0"/>
      <w:marBottom w:val="0"/>
      <w:divBdr>
        <w:top w:val="none" w:sz="0" w:space="0" w:color="auto"/>
        <w:left w:val="none" w:sz="0" w:space="0" w:color="auto"/>
        <w:bottom w:val="none" w:sz="0" w:space="0" w:color="auto"/>
        <w:right w:val="none" w:sz="0" w:space="0" w:color="auto"/>
      </w:divBdr>
    </w:div>
    <w:div w:id="1968701570">
      <w:bodyDiv w:val="1"/>
      <w:marLeft w:val="0"/>
      <w:marRight w:val="0"/>
      <w:marTop w:val="0"/>
      <w:marBottom w:val="0"/>
      <w:divBdr>
        <w:top w:val="none" w:sz="0" w:space="0" w:color="auto"/>
        <w:left w:val="none" w:sz="0" w:space="0" w:color="auto"/>
        <w:bottom w:val="none" w:sz="0" w:space="0" w:color="auto"/>
        <w:right w:val="none" w:sz="0" w:space="0" w:color="auto"/>
      </w:divBdr>
    </w:div>
    <w:div w:id="1981760907">
      <w:bodyDiv w:val="1"/>
      <w:marLeft w:val="0"/>
      <w:marRight w:val="0"/>
      <w:marTop w:val="0"/>
      <w:marBottom w:val="0"/>
      <w:divBdr>
        <w:top w:val="none" w:sz="0" w:space="0" w:color="auto"/>
        <w:left w:val="none" w:sz="0" w:space="0" w:color="auto"/>
        <w:bottom w:val="none" w:sz="0" w:space="0" w:color="auto"/>
        <w:right w:val="none" w:sz="0" w:space="0" w:color="auto"/>
      </w:divBdr>
    </w:div>
    <w:div w:id="1988391442">
      <w:bodyDiv w:val="1"/>
      <w:marLeft w:val="0"/>
      <w:marRight w:val="0"/>
      <w:marTop w:val="0"/>
      <w:marBottom w:val="0"/>
      <w:divBdr>
        <w:top w:val="none" w:sz="0" w:space="0" w:color="auto"/>
        <w:left w:val="none" w:sz="0" w:space="0" w:color="auto"/>
        <w:bottom w:val="none" w:sz="0" w:space="0" w:color="auto"/>
        <w:right w:val="none" w:sz="0" w:space="0" w:color="auto"/>
      </w:divBdr>
    </w:div>
    <w:div w:id="1988824701">
      <w:bodyDiv w:val="1"/>
      <w:marLeft w:val="0"/>
      <w:marRight w:val="0"/>
      <w:marTop w:val="0"/>
      <w:marBottom w:val="0"/>
      <w:divBdr>
        <w:top w:val="none" w:sz="0" w:space="0" w:color="auto"/>
        <w:left w:val="none" w:sz="0" w:space="0" w:color="auto"/>
        <w:bottom w:val="none" w:sz="0" w:space="0" w:color="auto"/>
        <w:right w:val="none" w:sz="0" w:space="0" w:color="auto"/>
      </w:divBdr>
    </w:div>
    <w:div w:id="2017266497">
      <w:bodyDiv w:val="1"/>
      <w:marLeft w:val="0"/>
      <w:marRight w:val="0"/>
      <w:marTop w:val="0"/>
      <w:marBottom w:val="0"/>
      <w:divBdr>
        <w:top w:val="none" w:sz="0" w:space="0" w:color="auto"/>
        <w:left w:val="none" w:sz="0" w:space="0" w:color="auto"/>
        <w:bottom w:val="none" w:sz="0" w:space="0" w:color="auto"/>
        <w:right w:val="none" w:sz="0" w:space="0" w:color="auto"/>
      </w:divBdr>
      <w:divsChild>
        <w:div w:id="1817721122">
          <w:marLeft w:val="0"/>
          <w:marRight w:val="1"/>
          <w:marTop w:val="0"/>
          <w:marBottom w:val="0"/>
          <w:divBdr>
            <w:top w:val="none" w:sz="0" w:space="0" w:color="auto"/>
            <w:left w:val="none" w:sz="0" w:space="0" w:color="auto"/>
            <w:bottom w:val="none" w:sz="0" w:space="0" w:color="auto"/>
            <w:right w:val="none" w:sz="0" w:space="0" w:color="auto"/>
          </w:divBdr>
          <w:divsChild>
            <w:div w:id="1255280357">
              <w:marLeft w:val="0"/>
              <w:marRight w:val="0"/>
              <w:marTop w:val="0"/>
              <w:marBottom w:val="0"/>
              <w:divBdr>
                <w:top w:val="none" w:sz="0" w:space="0" w:color="auto"/>
                <w:left w:val="none" w:sz="0" w:space="0" w:color="auto"/>
                <w:bottom w:val="none" w:sz="0" w:space="0" w:color="auto"/>
                <w:right w:val="none" w:sz="0" w:space="0" w:color="auto"/>
              </w:divBdr>
              <w:divsChild>
                <w:div w:id="786235517">
                  <w:marLeft w:val="0"/>
                  <w:marRight w:val="1"/>
                  <w:marTop w:val="0"/>
                  <w:marBottom w:val="0"/>
                  <w:divBdr>
                    <w:top w:val="none" w:sz="0" w:space="0" w:color="auto"/>
                    <w:left w:val="none" w:sz="0" w:space="0" w:color="auto"/>
                    <w:bottom w:val="none" w:sz="0" w:space="0" w:color="auto"/>
                    <w:right w:val="none" w:sz="0" w:space="0" w:color="auto"/>
                  </w:divBdr>
                  <w:divsChild>
                    <w:div w:id="575747651">
                      <w:marLeft w:val="0"/>
                      <w:marRight w:val="0"/>
                      <w:marTop w:val="0"/>
                      <w:marBottom w:val="0"/>
                      <w:divBdr>
                        <w:top w:val="none" w:sz="0" w:space="0" w:color="auto"/>
                        <w:left w:val="none" w:sz="0" w:space="0" w:color="auto"/>
                        <w:bottom w:val="none" w:sz="0" w:space="0" w:color="auto"/>
                        <w:right w:val="none" w:sz="0" w:space="0" w:color="auto"/>
                      </w:divBdr>
                      <w:divsChild>
                        <w:div w:id="813914576">
                          <w:marLeft w:val="0"/>
                          <w:marRight w:val="0"/>
                          <w:marTop w:val="0"/>
                          <w:marBottom w:val="0"/>
                          <w:divBdr>
                            <w:top w:val="none" w:sz="0" w:space="0" w:color="auto"/>
                            <w:left w:val="none" w:sz="0" w:space="0" w:color="auto"/>
                            <w:bottom w:val="none" w:sz="0" w:space="0" w:color="auto"/>
                            <w:right w:val="none" w:sz="0" w:space="0" w:color="auto"/>
                          </w:divBdr>
                          <w:divsChild>
                            <w:div w:id="1600870998">
                              <w:marLeft w:val="0"/>
                              <w:marRight w:val="0"/>
                              <w:marTop w:val="120"/>
                              <w:marBottom w:val="360"/>
                              <w:divBdr>
                                <w:top w:val="none" w:sz="0" w:space="0" w:color="auto"/>
                                <w:left w:val="none" w:sz="0" w:space="0" w:color="auto"/>
                                <w:bottom w:val="none" w:sz="0" w:space="0" w:color="auto"/>
                                <w:right w:val="none" w:sz="0" w:space="0" w:color="auto"/>
                              </w:divBdr>
                              <w:divsChild>
                                <w:div w:id="1484538801">
                                  <w:marLeft w:val="0"/>
                                  <w:marRight w:val="0"/>
                                  <w:marTop w:val="0"/>
                                  <w:marBottom w:val="0"/>
                                  <w:divBdr>
                                    <w:top w:val="none" w:sz="0" w:space="0" w:color="auto"/>
                                    <w:left w:val="none" w:sz="0" w:space="0" w:color="auto"/>
                                    <w:bottom w:val="none" w:sz="0" w:space="0" w:color="auto"/>
                                    <w:right w:val="none" w:sz="0" w:space="0" w:color="auto"/>
                                  </w:divBdr>
                                </w:div>
                                <w:div w:id="19883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540246">
      <w:bodyDiv w:val="1"/>
      <w:marLeft w:val="0"/>
      <w:marRight w:val="0"/>
      <w:marTop w:val="0"/>
      <w:marBottom w:val="0"/>
      <w:divBdr>
        <w:top w:val="none" w:sz="0" w:space="0" w:color="auto"/>
        <w:left w:val="none" w:sz="0" w:space="0" w:color="auto"/>
        <w:bottom w:val="none" w:sz="0" w:space="0" w:color="auto"/>
        <w:right w:val="none" w:sz="0" w:space="0" w:color="auto"/>
      </w:divBdr>
    </w:div>
    <w:div w:id="2061514378">
      <w:bodyDiv w:val="1"/>
      <w:marLeft w:val="0"/>
      <w:marRight w:val="0"/>
      <w:marTop w:val="0"/>
      <w:marBottom w:val="0"/>
      <w:divBdr>
        <w:top w:val="none" w:sz="0" w:space="0" w:color="auto"/>
        <w:left w:val="none" w:sz="0" w:space="0" w:color="auto"/>
        <w:bottom w:val="none" w:sz="0" w:space="0" w:color="auto"/>
        <w:right w:val="none" w:sz="0" w:space="0" w:color="auto"/>
      </w:divBdr>
      <w:divsChild>
        <w:div w:id="1881549353">
          <w:marLeft w:val="0"/>
          <w:marRight w:val="1"/>
          <w:marTop w:val="0"/>
          <w:marBottom w:val="0"/>
          <w:divBdr>
            <w:top w:val="none" w:sz="0" w:space="0" w:color="auto"/>
            <w:left w:val="none" w:sz="0" w:space="0" w:color="auto"/>
            <w:bottom w:val="none" w:sz="0" w:space="0" w:color="auto"/>
            <w:right w:val="none" w:sz="0" w:space="0" w:color="auto"/>
          </w:divBdr>
          <w:divsChild>
            <w:div w:id="1077753069">
              <w:marLeft w:val="0"/>
              <w:marRight w:val="0"/>
              <w:marTop w:val="0"/>
              <w:marBottom w:val="0"/>
              <w:divBdr>
                <w:top w:val="none" w:sz="0" w:space="0" w:color="auto"/>
                <w:left w:val="none" w:sz="0" w:space="0" w:color="auto"/>
                <w:bottom w:val="none" w:sz="0" w:space="0" w:color="auto"/>
                <w:right w:val="none" w:sz="0" w:space="0" w:color="auto"/>
              </w:divBdr>
              <w:divsChild>
                <w:div w:id="1827821759">
                  <w:marLeft w:val="0"/>
                  <w:marRight w:val="1"/>
                  <w:marTop w:val="0"/>
                  <w:marBottom w:val="0"/>
                  <w:divBdr>
                    <w:top w:val="none" w:sz="0" w:space="0" w:color="auto"/>
                    <w:left w:val="none" w:sz="0" w:space="0" w:color="auto"/>
                    <w:bottom w:val="none" w:sz="0" w:space="0" w:color="auto"/>
                    <w:right w:val="none" w:sz="0" w:space="0" w:color="auto"/>
                  </w:divBdr>
                  <w:divsChild>
                    <w:div w:id="733436266">
                      <w:marLeft w:val="0"/>
                      <w:marRight w:val="0"/>
                      <w:marTop w:val="0"/>
                      <w:marBottom w:val="0"/>
                      <w:divBdr>
                        <w:top w:val="none" w:sz="0" w:space="0" w:color="auto"/>
                        <w:left w:val="none" w:sz="0" w:space="0" w:color="auto"/>
                        <w:bottom w:val="none" w:sz="0" w:space="0" w:color="auto"/>
                        <w:right w:val="none" w:sz="0" w:space="0" w:color="auto"/>
                      </w:divBdr>
                      <w:divsChild>
                        <w:div w:id="569925279">
                          <w:marLeft w:val="0"/>
                          <w:marRight w:val="0"/>
                          <w:marTop w:val="0"/>
                          <w:marBottom w:val="0"/>
                          <w:divBdr>
                            <w:top w:val="none" w:sz="0" w:space="0" w:color="auto"/>
                            <w:left w:val="none" w:sz="0" w:space="0" w:color="auto"/>
                            <w:bottom w:val="none" w:sz="0" w:space="0" w:color="auto"/>
                            <w:right w:val="none" w:sz="0" w:space="0" w:color="auto"/>
                          </w:divBdr>
                          <w:divsChild>
                            <w:div w:id="1020857839">
                              <w:marLeft w:val="0"/>
                              <w:marRight w:val="0"/>
                              <w:marTop w:val="120"/>
                              <w:marBottom w:val="360"/>
                              <w:divBdr>
                                <w:top w:val="none" w:sz="0" w:space="0" w:color="auto"/>
                                <w:left w:val="none" w:sz="0" w:space="0" w:color="auto"/>
                                <w:bottom w:val="none" w:sz="0" w:space="0" w:color="auto"/>
                                <w:right w:val="none" w:sz="0" w:space="0" w:color="auto"/>
                              </w:divBdr>
                              <w:divsChild>
                                <w:div w:id="141704940">
                                  <w:marLeft w:val="0"/>
                                  <w:marRight w:val="0"/>
                                  <w:marTop w:val="0"/>
                                  <w:marBottom w:val="0"/>
                                  <w:divBdr>
                                    <w:top w:val="none" w:sz="0" w:space="0" w:color="auto"/>
                                    <w:left w:val="none" w:sz="0" w:space="0" w:color="auto"/>
                                    <w:bottom w:val="none" w:sz="0" w:space="0" w:color="auto"/>
                                    <w:right w:val="none" w:sz="0" w:space="0" w:color="auto"/>
                                  </w:divBdr>
                                </w:div>
                                <w:div w:id="2365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832125">
      <w:bodyDiv w:val="1"/>
      <w:marLeft w:val="0"/>
      <w:marRight w:val="0"/>
      <w:marTop w:val="0"/>
      <w:marBottom w:val="0"/>
      <w:divBdr>
        <w:top w:val="none" w:sz="0" w:space="0" w:color="auto"/>
        <w:left w:val="none" w:sz="0" w:space="0" w:color="auto"/>
        <w:bottom w:val="none" w:sz="0" w:space="0" w:color="auto"/>
        <w:right w:val="none" w:sz="0" w:space="0" w:color="auto"/>
      </w:divBdr>
    </w:div>
    <w:div w:id="2072381054">
      <w:bodyDiv w:val="1"/>
      <w:marLeft w:val="0"/>
      <w:marRight w:val="0"/>
      <w:marTop w:val="0"/>
      <w:marBottom w:val="0"/>
      <w:divBdr>
        <w:top w:val="none" w:sz="0" w:space="0" w:color="auto"/>
        <w:left w:val="none" w:sz="0" w:space="0" w:color="auto"/>
        <w:bottom w:val="none" w:sz="0" w:space="0" w:color="auto"/>
        <w:right w:val="none" w:sz="0" w:space="0" w:color="auto"/>
      </w:divBdr>
    </w:div>
    <w:div w:id="2127002515">
      <w:bodyDiv w:val="1"/>
      <w:marLeft w:val="0"/>
      <w:marRight w:val="0"/>
      <w:marTop w:val="0"/>
      <w:marBottom w:val="0"/>
      <w:divBdr>
        <w:top w:val="none" w:sz="0" w:space="0" w:color="auto"/>
        <w:left w:val="none" w:sz="0" w:space="0" w:color="auto"/>
        <w:bottom w:val="none" w:sz="0" w:space="0" w:color="auto"/>
        <w:right w:val="none" w:sz="0" w:space="0" w:color="auto"/>
      </w:divBdr>
      <w:divsChild>
        <w:div w:id="1257710101">
          <w:marLeft w:val="0"/>
          <w:marRight w:val="1"/>
          <w:marTop w:val="0"/>
          <w:marBottom w:val="0"/>
          <w:divBdr>
            <w:top w:val="none" w:sz="0" w:space="0" w:color="auto"/>
            <w:left w:val="none" w:sz="0" w:space="0" w:color="auto"/>
            <w:bottom w:val="none" w:sz="0" w:space="0" w:color="auto"/>
            <w:right w:val="none" w:sz="0" w:space="0" w:color="auto"/>
          </w:divBdr>
          <w:divsChild>
            <w:div w:id="1795638946">
              <w:marLeft w:val="0"/>
              <w:marRight w:val="0"/>
              <w:marTop w:val="0"/>
              <w:marBottom w:val="0"/>
              <w:divBdr>
                <w:top w:val="none" w:sz="0" w:space="0" w:color="auto"/>
                <w:left w:val="none" w:sz="0" w:space="0" w:color="auto"/>
                <w:bottom w:val="none" w:sz="0" w:space="0" w:color="auto"/>
                <w:right w:val="none" w:sz="0" w:space="0" w:color="auto"/>
              </w:divBdr>
              <w:divsChild>
                <w:div w:id="1187016334">
                  <w:marLeft w:val="0"/>
                  <w:marRight w:val="1"/>
                  <w:marTop w:val="0"/>
                  <w:marBottom w:val="0"/>
                  <w:divBdr>
                    <w:top w:val="none" w:sz="0" w:space="0" w:color="auto"/>
                    <w:left w:val="none" w:sz="0" w:space="0" w:color="auto"/>
                    <w:bottom w:val="none" w:sz="0" w:space="0" w:color="auto"/>
                    <w:right w:val="none" w:sz="0" w:space="0" w:color="auto"/>
                  </w:divBdr>
                  <w:divsChild>
                    <w:div w:id="447696953">
                      <w:marLeft w:val="0"/>
                      <w:marRight w:val="0"/>
                      <w:marTop w:val="0"/>
                      <w:marBottom w:val="0"/>
                      <w:divBdr>
                        <w:top w:val="none" w:sz="0" w:space="0" w:color="auto"/>
                        <w:left w:val="none" w:sz="0" w:space="0" w:color="auto"/>
                        <w:bottom w:val="none" w:sz="0" w:space="0" w:color="auto"/>
                        <w:right w:val="none" w:sz="0" w:space="0" w:color="auto"/>
                      </w:divBdr>
                      <w:divsChild>
                        <w:div w:id="1439763327">
                          <w:marLeft w:val="0"/>
                          <w:marRight w:val="0"/>
                          <w:marTop w:val="0"/>
                          <w:marBottom w:val="0"/>
                          <w:divBdr>
                            <w:top w:val="none" w:sz="0" w:space="0" w:color="auto"/>
                            <w:left w:val="none" w:sz="0" w:space="0" w:color="auto"/>
                            <w:bottom w:val="none" w:sz="0" w:space="0" w:color="auto"/>
                            <w:right w:val="none" w:sz="0" w:space="0" w:color="auto"/>
                          </w:divBdr>
                          <w:divsChild>
                            <w:div w:id="1146779041">
                              <w:marLeft w:val="0"/>
                              <w:marRight w:val="0"/>
                              <w:marTop w:val="120"/>
                              <w:marBottom w:val="360"/>
                              <w:divBdr>
                                <w:top w:val="none" w:sz="0" w:space="0" w:color="auto"/>
                                <w:left w:val="none" w:sz="0" w:space="0" w:color="auto"/>
                                <w:bottom w:val="none" w:sz="0" w:space="0" w:color="auto"/>
                                <w:right w:val="none" w:sz="0" w:space="0" w:color="auto"/>
                              </w:divBdr>
                              <w:divsChild>
                                <w:div w:id="334385846">
                                  <w:marLeft w:val="0"/>
                                  <w:marRight w:val="0"/>
                                  <w:marTop w:val="0"/>
                                  <w:marBottom w:val="0"/>
                                  <w:divBdr>
                                    <w:top w:val="none" w:sz="0" w:space="0" w:color="auto"/>
                                    <w:left w:val="none" w:sz="0" w:space="0" w:color="auto"/>
                                    <w:bottom w:val="none" w:sz="0" w:space="0" w:color="auto"/>
                                    <w:right w:val="none" w:sz="0" w:space="0" w:color="auto"/>
                                  </w:divBdr>
                                </w:div>
                                <w:div w:id="9061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479893">
      <w:bodyDiv w:val="1"/>
      <w:marLeft w:val="0"/>
      <w:marRight w:val="0"/>
      <w:marTop w:val="0"/>
      <w:marBottom w:val="0"/>
      <w:divBdr>
        <w:top w:val="none" w:sz="0" w:space="0" w:color="auto"/>
        <w:left w:val="none" w:sz="0" w:space="0" w:color="auto"/>
        <w:bottom w:val="none" w:sz="0" w:space="0" w:color="auto"/>
        <w:right w:val="none" w:sz="0" w:space="0" w:color="auto"/>
      </w:divBdr>
      <w:divsChild>
        <w:div w:id="416445972">
          <w:marLeft w:val="0"/>
          <w:marRight w:val="0"/>
          <w:marTop w:val="0"/>
          <w:marBottom w:val="0"/>
          <w:divBdr>
            <w:top w:val="none" w:sz="0" w:space="0" w:color="auto"/>
            <w:left w:val="none" w:sz="0" w:space="0" w:color="auto"/>
            <w:bottom w:val="none" w:sz="0" w:space="0" w:color="auto"/>
            <w:right w:val="none" w:sz="0" w:space="0" w:color="auto"/>
          </w:divBdr>
          <w:divsChild>
            <w:div w:id="1930505133">
              <w:marLeft w:val="0"/>
              <w:marRight w:val="0"/>
              <w:marTop w:val="0"/>
              <w:marBottom w:val="0"/>
              <w:divBdr>
                <w:top w:val="none" w:sz="0" w:space="0" w:color="auto"/>
                <w:left w:val="none" w:sz="0" w:space="0" w:color="auto"/>
                <w:bottom w:val="none" w:sz="0" w:space="0" w:color="auto"/>
                <w:right w:val="none" w:sz="0" w:space="0" w:color="auto"/>
              </w:divBdr>
              <w:divsChild>
                <w:div w:id="1753967743">
                  <w:marLeft w:val="0"/>
                  <w:marRight w:val="0"/>
                  <w:marTop w:val="0"/>
                  <w:marBottom w:val="0"/>
                  <w:divBdr>
                    <w:top w:val="none" w:sz="0" w:space="0" w:color="auto"/>
                    <w:left w:val="none" w:sz="0" w:space="0" w:color="auto"/>
                    <w:bottom w:val="none" w:sz="0" w:space="0" w:color="auto"/>
                    <w:right w:val="none" w:sz="0" w:space="0" w:color="auto"/>
                  </w:divBdr>
                  <w:divsChild>
                    <w:div w:id="577641623">
                      <w:marLeft w:val="0"/>
                      <w:marRight w:val="0"/>
                      <w:marTop w:val="0"/>
                      <w:marBottom w:val="0"/>
                      <w:divBdr>
                        <w:top w:val="none" w:sz="0" w:space="0" w:color="auto"/>
                        <w:left w:val="none" w:sz="0" w:space="0" w:color="auto"/>
                        <w:bottom w:val="none" w:sz="0" w:space="0" w:color="auto"/>
                        <w:right w:val="none" w:sz="0" w:space="0" w:color="auto"/>
                      </w:divBdr>
                      <w:divsChild>
                        <w:div w:id="1011446583">
                          <w:marLeft w:val="0"/>
                          <w:marRight w:val="0"/>
                          <w:marTop w:val="0"/>
                          <w:marBottom w:val="0"/>
                          <w:divBdr>
                            <w:top w:val="none" w:sz="0" w:space="0" w:color="auto"/>
                            <w:left w:val="none" w:sz="0" w:space="0" w:color="auto"/>
                            <w:bottom w:val="none" w:sz="0" w:space="0" w:color="auto"/>
                            <w:right w:val="none" w:sz="0" w:space="0" w:color="auto"/>
                          </w:divBdr>
                          <w:divsChild>
                            <w:div w:id="722171497">
                              <w:marLeft w:val="0"/>
                              <w:marRight w:val="0"/>
                              <w:marTop w:val="0"/>
                              <w:marBottom w:val="0"/>
                              <w:divBdr>
                                <w:top w:val="none" w:sz="0" w:space="0" w:color="auto"/>
                                <w:left w:val="none" w:sz="0" w:space="0" w:color="auto"/>
                                <w:bottom w:val="none" w:sz="0" w:space="0" w:color="auto"/>
                                <w:right w:val="none" w:sz="0" w:space="0" w:color="auto"/>
                              </w:divBdr>
                              <w:divsChild>
                                <w:div w:id="808937417">
                                  <w:marLeft w:val="0"/>
                                  <w:marRight w:val="0"/>
                                  <w:marTop w:val="0"/>
                                  <w:marBottom w:val="0"/>
                                  <w:divBdr>
                                    <w:top w:val="none" w:sz="0" w:space="0" w:color="auto"/>
                                    <w:left w:val="none" w:sz="0" w:space="0" w:color="auto"/>
                                    <w:bottom w:val="none" w:sz="0" w:space="0" w:color="auto"/>
                                    <w:right w:val="none" w:sz="0" w:space="0" w:color="auto"/>
                                  </w:divBdr>
                                  <w:divsChild>
                                    <w:div w:id="92895845">
                                      <w:marLeft w:val="0"/>
                                      <w:marRight w:val="0"/>
                                      <w:marTop w:val="0"/>
                                      <w:marBottom w:val="0"/>
                                      <w:divBdr>
                                        <w:top w:val="none" w:sz="0" w:space="0" w:color="auto"/>
                                        <w:left w:val="none" w:sz="0" w:space="0" w:color="auto"/>
                                        <w:bottom w:val="none" w:sz="0" w:space="0" w:color="auto"/>
                                        <w:right w:val="none" w:sz="0" w:space="0" w:color="auto"/>
                                      </w:divBdr>
                                      <w:divsChild>
                                        <w:div w:id="150489367">
                                          <w:marLeft w:val="0"/>
                                          <w:marRight w:val="0"/>
                                          <w:marTop w:val="0"/>
                                          <w:marBottom w:val="0"/>
                                          <w:divBdr>
                                            <w:top w:val="none" w:sz="0" w:space="0" w:color="auto"/>
                                            <w:left w:val="none" w:sz="0" w:space="0" w:color="auto"/>
                                            <w:bottom w:val="none" w:sz="0" w:space="0" w:color="auto"/>
                                            <w:right w:val="none" w:sz="0" w:space="0" w:color="auto"/>
                                          </w:divBdr>
                                          <w:divsChild>
                                            <w:div w:id="1576086741">
                                              <w:marLeft w:val="0"/>
                                              <w:marRight w:val="0"/>
                                              <w:marTop w:val="0"/>
                                              <w:marBottom w:val="0"/>
                                              <w:divBdr>
                                                <w:top w:val="none" w:sz="0" w:space="0" w:color="auto"/>
                                                <w:left w:val="none" w:sz="0" w:space="0" w:color="auto"/>
                                                <w:bottom w:val="none" w:sz="0" w:space="0" w:color="auto"/>
                                                <w:right w:val="none" w:sz="0" w:space="0" w:color="auto"/>
                                              </w:divBdr>
                                              <w:divsChild>
                                                <w:div w:id="8976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FA0963FA69A646AA916D2E41284FC10000B785941D6388B24EA0873181CE02B259" ma:contentTypeVersion="0" ma:contentTypeDescription="Create a new document." ma:contentTypeScope="" ma:versionID="ce745ee6aaf926dbf38565efe06ef8b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8857E-587A-4CEE-843D-67095D6C3FB2}">
  <ds:schemaRefs>
    <ds:schemaRef ds:uri="http://schemas.microsoft.com/sharepoint/v3/contenttype/forms"/>
  </ds:schemaRefs>
</ds:datastoreItem>
</file>

<file path=customXml/itemProps2.xml><?xml version="1.0" encoding="utf-8"?>
<ds:datastoreItem xmlns:ds="http://schemas.openxmlformats.org/officeDocument/2006/customXml" ds:itemID="{4CBA279C-0F23-46CE-83E0-49B72C4F6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9628C4E-1A5E-45F6-AB02-5C05BD455C89}">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963BBBA-40AB-4D87-9904-6F4578FA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11387</Words>
  <Characters>65437</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76671</CharactersWithSpaces>
  <SharedDoc>false</SharedDoc>
  <HLinks>
    <vt:vector size="24" baseType="variant">
      <vt:variant>
        <vt:i4>3997815</vt:i4>
      </vt:variant>
      <vt:variant>
        <vt:i4>65</vt:i4>
      </vt:variant>
      <vt:variant>
        <vt:i4>0</vt:i4>
      </vt:variant>
      <vt:variant>
        <vt:i4>5</vt:i4>
      </vt:variant>
      <vt:variant>
        <vt:lpwstr>http://labeling.pfizer.com/ShowLabeling.aspx?id=959</vt:lpwstr>
      </vt:variant>
      <vt:variant>
        <vt:lpwstr/>
      </vt:variant>
      <vt:variant>
        <vt:i4>8192124</vt:i4>
      </vt:variant>
      <vt:variant>
        <vt:i4>62</vt:i4>
      </vt:variant>
      <vt:variant>
        <vt:i4>0</vt:i4>
      </vt:variant>
      <vt:variant>
        <vt:i4>5</vt:i4>
      </vt:variant>
      <vt:variant>
        <vt:lpwstr>http://www.rxabbvie.com/pdf/humira.pdf</vt:lpwstr>
      </vt:variant>
      <vt:variant>
        <vt:lpwstr/>
      </vt:variant>
      <vt:variant>
        <vt:i4>6553609</vt:i4>
      </vt:variant>
      <vt:variant>
        <vt:i4>9</vt:i4>
      </vt:variant>
      <vt:variant>
        <vt:i4>0</vt:i4>
      </vt:variant>
      <vt:variant>
        <vt:i4>5</vt:i4>
      </vt:variant>
      <vt:variant>
        <vt:lpwstr>http://eular.org/myUploadData/files/EULAR RA Management recommendations 2016 update June 2016-c_2.pdf</vt:lpwstr>
      </vt:variant>
      <vt:variant>
        <vt:lpwstr/>
      </vt:variant>
      <vt:variant>
        <vt:i4>327745</vt:i4>
      </vt:variant>
      <vt:variant>
        <vt:i4>0</vt:i4>
      </vt:variant>
      <vt:variant>
        <vt:i4>0</vt:i4>
      </vt:variant>
      <vt:variant>
        <vt:i4>5</vt:i4>
      </vt:variant>
      <vt:variant>
        <vt:lpwstr>http://dx.doi.org/10.1136/annrheumdis-2016-210715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Bell, Martin (GLA-CMC)</cp:lastModifiedBy>
  <cp:revision>3</cp:revision>
  <dcterms:created xsi:type="dcterms:W3CDTF">2017-05-19T10:23:00Z</dcterms:created>
  <dcterms:modified xsi:type="dcterms:W3CDTF">2017-05-22T14:17:00Z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0x010100FA0963FA69A646AA916D2E41284FC10000B785941D6388B24EA0873181CE02B259</vt:lpwstr>
  </property>
</Properties>
</file>