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124" w:rsidRPr="003546B9" w:rsidRDefault="00B92124" w:rsidP="00B92124">
      <w:pPr>
        <w:pStyle w:val="NoSpacing"/>
        <w:jc w:val="both"/>
        <w:rPr>
          <w:b/>
          <w:i/>
        </w:rPr>
      </w:pPr>
      <w:r w:rsidRPr="003546B9">
        <w:rPr>
          <w:b/>
        </w:rPr>
        <w:t>A pilot study evaluating the prescribing of ceftriaxone in hospitals in Ghana: findings and implications.</w:t>
      </w:r>
    </w:p>
    <w:p w:rsidR="00B92124" w:rsidRPr="003546B9" w:rsidRDefault="00B92124" w:rsidP="00B92124">
      <w:pPr>
        <w:pStyle w:val="NoSpacing"/>
        <w:rPr>
          <w:color w:val="000000"/>
          <w:vertAlign w:val="superscript"/>
        </w:rPr>
      </w:pPr>
    </w:p>
    <w:p w:rsidR="00B92124" w:rsidRPr="003546B9" w:rsidRDefault="00B92124" w:rsidP="00B92124">
      <w:pPr>
        <w:pStyle w:val="Default"/>
      </w:pPr>
      <w:r w:rsidRPr="003546B9">
        <w:rPr>
          <w:vertAlign w:val="superscript"/>
        </w:rPr>
        <w:t>1</w:t>
      </w:r>
      <w:r w:rsidRPr="003546B9">
        <w:t xml:space="preserve">Daniel </w:t>
      </w:r>
      <w:r>
        <w:rPr>
          <w:bCs/>
        </w:rPr>
        <w:t xml:space="preserve">Kwame </w:t>
      </w:r>
      <w:proofErr w:type="spellStart"/>
      <w:r w:rsidRPr="003546B9">
        <w:rPr>
          <w:bCs/>
        </w:rPr>
        <w:t>A</w:t>
      </w:r>
      <w:r w:rsidRPr="003546B9">
        <w:t>friyie</w:t>
      </w:r>
      <w:proofErr w:type="spellEnd"/>
      <w:r w:rsidRPr="003546B9">
        <w:t xml:space="preserve">, </w:t>
      </w:r>
      <w:r w:rsidRPr="003546B9">
        <w:rPr>
          <w:vertAlign w:val="superscript"/>
        </w:rPr>
        <w:t>2</w:t>
      </w:r>
      <w:r w:rsidRPr="003546B9">
        <w:t xml:space="preserve">Seth </w:t>
      </w:r>
      <w:proofErr w:type="spellStart"/>
      <w:r w:rsidRPr="003546B9">
        <w:rPr>
          <w:bCs/>
        </w:rPr>
        <w:t>Kwabena</w:t>
      </w:r>
      <w:proofErr w:type="spellEnd"/>
      <w:r w:rsidRPr="003546B9">
        <w:rPr>
          <w:bCs/>
        </w:rPr>
        <w:t xml:space="preserve"> </w:t>
      </w:r>
      <w:proofErr w:type="spellStart"/>
      <w:r w:rsidRPr="003546B9">
        <w:t>Amponsah</w:t>
      </w:r>
      <w:proofErr w:type="spellEnd"/>
      <w:r w:rsidRPr="003546B9">
        <w:t xml:space="preserve">, </w:t>
      </w:r>
      <w:r w:rsidRPr="003546B9">
        <w:rPr>
          <w:vertAlign w:val="superscript"/>
        </w:rPr>
        <w:t>3</w:t>
      </w:r>
      <w:r w:rsidRPr="003546B9">
        <w:t xml:space="preserve">Justice </w:t>
      </w:r>
      <w:proofErr w:type="spellStart"/>
      <w:r w:rsidRPr="003546B9">
        <w:t>Dogbey</w:t>
      </w:r>
      <w:proofErr w:type="spellEnd"/>
      <w:r w:rsidRPr="003546B9">
        <w:t>,</w:t>
      </w:r>
      <w:r w:rsidRPr="003546B9">
        <w:rPr>
          <w:vertAlign w:val="superscript"/>
        </w:rPr>
        <w:t xml:space="preserve"> 1</w:t>
      </w:r>
      <w:r w:rsidRPr="003546B9">
        <w:rPr>
          <w:bCs/>
        </w:rPr>
        <w:t xml:space="preserve">Kwabena </w:t>
      </w:r>
      <w:proofErr w:type="spellStart"/>
      <w:r w:rsidRPr="003546B9">
        <w:rPr>
          <w:bCs/>
        </w:rPr>
        <w:t>A</w:t>
      </w:r>
      <w:r w:rsidRPr="003546B9">
        <w:t>gyekum</w:t>
      </w:r>
      <w:proofErr w:type="spellEnd"/>
      <w:r w:rsidRPr="003546B9">
        <w:t xml:space="preserve">, </w:t>
      </w:r>
      <w:r w:rsidRPr="003546B9">
        <w:rPr>
          <w:vertAlign w:val="superscript"/>
        </w:rPr>
        <w:t>1</w:t>
      </w:r>
      <w:r w:rsidRPr="003546B9">
        <w:t xml:space="preserve">Samuel </w:t>
      </w:r>
      <w:bookmarkStart w:id="0" w:name="_GoBack"/>
      <w:proofErr w:type="spellStart"/>
      <w:r w:rsidRPr="003546B9">
        <w:t>Kesse</w:t>
      </w:r>
      <w:bookmarkEnd w:id="0"/>
      <w:proofErr w:type="spellEnd"/>
      <w:r w:rsidRPr="003546B9">
        <w:t xml:space="preserve">, </w:t>
      </w:r>
      <w:r w:rsidRPr="003546B9">
        <w:rPr>
          <w:vertAlign w:val="superscript"/>
        </w:rPr>
        <w:t>4</w:t>
      </w:r>
      <w:r w:rsidRPr="003546B9">
        <w:t>Isle Truter,</w:t>
      </w:r>
      <w:r>
        <w:t xml:space="preserve"> </w:t>
      </w:r>
      <w:r w:rsidRPr="003546B9">
        <w:rPr>
          <w:vertAlign w:val="superscript"/>
        </w:rPr>
        <w:t>5</w:t>
      </w:r>
      <w:r w:rsidRPr="003546B9">
        <w:t xml:space="preserve">Joanna C </w:t>
      </w:r>
      <w:proofErr w:type="gramStart"/>
      <w:r w:rsidRPr="003546B9">
        <w:t xml:space="preserve">Meyer, </w:t>
      </w:r>
      <w:r w:rsidRPr="003546B9">
        <w:rPr>
          <w:vertAlign w:val="superscript"/>
        </w:rPr>
        <w:t xml:space="preserve"> 6</w:t>
      </w:r>
      <w:proofErr w:type="gramEnd"/>
      <w:r w:rsidRPr="003546B9">
        <w:rPr>
          <w:vertAlign w:val="superscript"/>
        </w:rPr>
        <w:t>,7</w:t>
      </w:r>
      <w:r>
        <w:rPr>
          <w:vertAlign w:val="superscript"/>
        </w:rPr>
        <w:t>,8</w:t>
      </w:r>
      <w:r w:rsidRPr="003546B9">
        <w:rPr>
          <w:vertAlign w:val="superscript"/>
        </w:rPr>
        <w:t>*</w:t>
      </w:r>
      <w:r w:rsidRPr="003546B9">
        <w:t>Brian Godman</w:t>
      </w:r>
    </w:p>
    <w:p w:rsidR="00B92124" w:rsidRPr="003546B9" w:rsidRDefault="00B92124" w:rsidP="00B92124">
      <w:pPr>
        <w:pStyle w:val="NoSpacing"/>
        <w:rPr>
          <w:color w:val="000000"/>
          <w:vertAlign w:val="superscript"/>
        </w:rPr>
      </w:pPr>
    </w:p>
    <w:p w:rsidR="00B92124" w:rsidRPr="003546B9" w:rsidRDefault="00B92124" w:rsidP="00B92124">
      <w:pPr>
        <w:pStyle w:val="NoSpacing"/>
        <w:rPr>
          <w:color w:val="000000"/>
        </w:rPr>
      </w:pPr>
      <w:r w:rsidRPr="003546B9">
        <w:rPr>
          <w:color w:val="000000"/>
          <w:vertAlign w:val="superscript"/>
        </w:rPr>
        <w:t xml:space="preserve">1 </w:t>
      </w:r>
      <w:r w:rsidRPr="003546B9">
        <w:rPr>
          <w:color w:val="000000"/>
        </w:rPr>
        <w:t xml:space="preserve">Ghana Police Hospital, Pharmacy Department, Accra, Ghana. </w:t>
      </w:r>
      <w:proofErr w:type="gramStart"/>
      <w:r w:rsidRPr="003546B9">
        <w:rPr>
          <w:color w:val="000000"/>
        </w:rPr>
        <w:t>Emails:dspdan77@yahoo.com</w:t>
      </w:r>
      <w:proofErr w:type="gramEnd"/>
      <w:r w:rsidRPr="003546B9">
        <w:rPr>
          <w:color w:val="000000"/>
        </w:rPr>
        <w:t xml:space="preserve">; </w:t>
      </w:r>
      <w:hyperlink r:id="rId5" w:history="1">
        <w:r w:rsidRPr="003546B9">
          <w:rPr>
            <w:rStyle w:val="Hyperlink"/>
          </w:rPr>
          <w:t>agyekumkwabena@hotmail.com</w:t>
        </w:r>
      </w:hyperlink>
      <w:r w:rsidRPr="003546B9">
        <w:rPr>
          <w:color w:val="000000"/>
        </w:rPr>
        <w:t>; kessejnr@gmail.com</w:t>
      </w:r>
    </w:p>
    <w:p w:rsidR="00B92124" w:rsidRPr="003546B9" w:rsidRDefault="00B92124" w:rsidP="00B92124">
      <w:pPr>
        <w:pStyle w:val="NoSpacing"/>
        <w:rPr>
          <w:color w:val="000000"/>
        </w:rPr>
      </w:pPr>
      <w:r w:rsidRPr="003546B9">
        <w:rPr>
          <w:color w:val="000000"/>
          <w:vertAlign w:val="superscript"/>
        </w:rPr>
        <w:t xml:space="preserve">2 </w:t>
      </w:r>
      <w:r w:rsidRPr="003546B9">
        <w:rPr>
          <w:color w:val="000000"/>
        </w:rPr>
        <w:t xml:space="preserve">Department of Pharmacology and Toxicology, University of Ghana School of Pharmacy, </w:t>
      </w:r>
      <w:proofErr w:type="spellStart"/>
      <w:r w:rsidRPr="003546B9">
        <w:rPr>
          <w:color w:val="000000"/>
        </w:rPr>
        <w:t>Legon</w:t>
      </w:r>
      <w:proofErr w:type="spellEnd"/>
      <w:r w:rsidRPr="003546B9">
        <w:rPr>
          <w:color w:val="000000"/>
        </w:rPr>
        <w:t>, Ghana. Email: sethicom@yahoo.com</w:t>
      </w:r>
    </w:p>
    <w:p w:rsidR="00B92124" w:rsidRPr="003546B9" w:rsidRDefault="00B92124" w:rsidP="00B92124">
      <w:pPr>
        <w:pStyle w:val="NoSpacing"/>
        <w:rPr>
          <w:color w:val="000000"/>
        </w:rPr>
      </w:pPr>
      <w:r w:rsidRPr="003546B9">
        <w:rPr>
          <w:color w:val="000000"/>
          <w:vertAlign w:val="superscript"/>
        </w:rPr>
        <w:t>3</w:t>
      </w:r>
      <w:r w:rsidRPr="003546B9">
        <w:rPr>
          <w:color w:val="000000"/>
        </w:rPr>
        <w:t>Korle-Bu Teaching Hospital, Plastics and Burns Unit, Pharmacy Department, Accra. Email: justdo12@yahoo.com</w:t>
      </w:r>
    </w:p>
    <w:p w:rsidR="00B92124" w:rsidRPr="003546B9" w:rsidRDefault="00B92124" w:rsidP="00B92124">
      <w:pPr>
        <w:pStyle w:val="NoSpacing"/>
      </w:pPr>
      <w:r w:rsidRPr="003546B9">
        <w:rPr>
          <w:vertAlign w:val="superscript"/>
        </w:rPr>
        <w:t>4</w:t>
      </w:r>
      <w:r w:rsidRPr="003546B9">
        <w:t xml:space="preserve">Drug Utilization Research Unit (DURU), Department of Pharmacy, Nelson Mandela Metropolitan University, Port Elizabeth 6031, South Africa. Email: </w:t>
      </w:r>
      <w:hyperlink r:id="rId6" w:history="1">
        <w:r w:rsidRPr="003546B9">
          <w:rPr>
            <w:rStyle w:val="Hyperlink"/>
          </w:rPr>
          <w:t>ilse.truter@nmmu.ac.za</w:t>
        </w:r>
      </w:hyperlink>
    </w:p>
    <w:p w:rsidR="00B92124" w:rsidRPr="003546B9" w:rsidRDefault="00B92124" w:rsidP="00B92124">
      <w:pPr>
        <w:pStyle w:val="NoSpacing"/>
      </w:pPr>
      <w:r w:rsidRPr="003546B9">
        <w:rPr>
          <w:vertAlign w:val="superscript"/>
        </w:rPr>
        <w:t>5</w:t>
      </w:r>
      <w:r w:rsidRPr="003546B9">
        <w:t xml:space="preserve">Department of Pharmacy, </w:t>
      </w:r>
      <w:proofErr w:type="spellStart"/>
      <w:r w:rsidRPr="003546B9">
        <w:t>SefakoMakgatho</w:t>
      </w:r>
      <w:proofErr w:type="spellEnd"/>
      <w:r w:rsidRPr="003546B9">
        <w:t xml:space="preserve"> Health Sciences University, South Africa. </w:t>
      </w:r>
      <w:proofErr w:type="gramStart"/>
      <w:r w:rsidRPr="003546B9">
        <w:t>Email:hannelie.meyer@smu.ac.za</w:t>
      </w:r>
      <w:proofErr w:type="gramEnd"/>
    </w:p>
    <w:p w:rsidR="00B92124" w:rsidRPr="003546B9" w:rsidRDefault="00B92124" w:rsidP="00B92124">
      <w:pPr>
        <w:pStyle w:val="NoSpacing"/>
      </w:pPr>
      <w:r w:rsidRPr="003546B9">
        <w:rPr>
          <w:vertAlign w:val="superscript"/>
        </w:rPr>
        <w:t xml:space="preserve">6 </w:t>
      </w:r>
      <w:r w:rsidRPr="003546B9">
        <w:t xml:space="preserve">Department of Clinical Pharmacology, Karolinska </w:t>
      </w:r>
      <w:proofErr w:type="spellStart"/>
      <w:r w:rsidRPr="003546B9">
        <w:t>Institutet</w:t>
      </w:r>
      <w:proofErr w:type="spellEnd"/>
      <w:r w:rsidRPr="003546B9">
        <w:t>, Stockholm, Sweden. Email: Brian Godman@ki.se</w:t>
      </w:r>
    </w:p>
    <w:p w:rsidR="00B92124" w:rsidRDefault="00B92124" w:rsidP="00B92124">
      <w:pPr>
        <w:pStyle w:val="NoSpacing"/>
      </w:pPr>
      <w:r w:rsidRPr="003546B9">
        <w:rPr>
          <w:vertAlign w:val="superscript"/>
        </w:rPr>
        <w:t>7</w:t>
      </w:r>
      <w:r w:rsidRPr="003546B9">
        <w:t xml:space="preserve">Strathclyde Institute of Pharmacy and Biomedical Sciences, Strathclyde University, Glasgow, UK. Email: </w:t>
      </w:r>
      <w:hyperlink r:id="rId7" w:history="1">
        <w:r w:rsidRPr="00D166CD">
          <w:rPr>
            <w:rStyle w:val="Hyperlink"/>
          </w:rPr>
          <w:t>Brian.Godman@strath.ac.uk</w:t>
        </w:r>
      </w:hyperlink>
    </w:p>
    <w:p w:rsidR="00B92124" w:rsidRPr="003546B9" w:rsidRDefault="00B92124" w:rsidP="00B92124">
      <w:pPr>
        <w:pStyle w:val="NoSpacing"/>
      </w:pPr>
      <w:r w:rsidRPr="00B92124">
        <w:rPr>
          <w:vertAlign w:val="superscript"/>
        </w:rPr>
        <w:t>8</w:t>
      </w:r>
      <w:r>
        <w:t>Health Economics Centre, Liverpool University Management School, Liverpool University, United Kingdom</w:t>
      </w:r>
    </w:p>
    <w:p w:rsidR="00B92124" w:rsidRPr="003546B9" w:rsidRDefault="00B92124" w:rsidP="00B92124">
      <w:pPr>
        <w:pStyle w:val="NoSpacing"/>
        <w:rPr>
          <w:color w:val="FF0000"/>
        </w:rPr>
      </w:pPr>
    </w:p>
    <w:p w:rsidR="00B92124" w:rsidRPr="00354A91" w:rsidRDefault="00B92124" w:rsidP="00B92124">
      <w:pPr>
        <w:pStyle w:val="NoSpacing"/>
        <w:jc w:val="both"/>
        <w:rPr>
          <w:rFonts w:eastAsia="Calibri"/>
          <w:lang w:eastAsia="en-US"/>
        </w:rPr>
      </w:pPr>
      <w:r w:rsidRPr="00354A91">
        <w:t>*Author for correspondence: Brian Godman, Division of Clinical Pharmacology, Karolinska Institute, Karolinska University Hospital Huddinge, SE-141 86, Stockholm, Sweden. Email: Brian.Godman@ki.se. Telephone + 46 8 58581068. Fax + 46 8 59581070 and Strathclyde Institute of Pharmacy and Biomedical Sciences, University of Strathclyde, Glasgow G4 0RE, United Kingdom. Email:  brian.godman@strath.ac.uk.</w:t>
      </w:r>
    </w:p>
    <w:p w:rsidR="00B92124" w:rsidRDefault="00B92124" w:rsidP="00B92124">
      <w:pPr>
        <w:rPr>
          <w:rFonts w:ascii="Times New Roman" w:hAnsi="Times New Roman" w:cs="Times New Roman"/>
          <w:sz w:val="24"/>
          <w:szCs w:val="24"/>
        </w:rPr>
      </w:pPr>
    </w:p>
    <w:p w:rsidR="00B92124" w:rsidRPr="00354A91" w:rsidRDefault="00B92124" w:rsidP="00B92124">
      <w:pPr>
        <w:rPr>
          <w:rFonts w:ascii="Times New Roman" w:hAnsi="Times New Roman" w:cs="Times New Roman"/>
          <w:sz w:val="24"/>
          <w:szCs w:val="24"/>
        </w:rPr>
      </w:pPr>
      <w:r>
        <w:rPr>
          <w:rFonts w:ascii="Times New Roman" w:hAnsi="Times New Roman" w:cs="Times New Roman"/>
          <w:sz w:val="24"/>
          <w:szCs w:val="24"/>
        </w:rPr>
        <w:t>(Accepted for publication Hospital Practice. Please keep Confidential)</w:t>
      </w:r>
    </w:p>
    <w:p w:rsidR="00D016CF" w:rsidRPr="00EA6DB9" w:rsidRDefault="00555EC3" w:rsidP="00EA6DB9">
      <w:pPr>
        <w:pStyle w:val="NoSpacing"/>
        <w:rPr>
          <w:b/>
        </w:rPr>
      </w:pPr>
      <w:r w:rsidRPr="00EA6DB9">
        <w:rPr>
          <w:b/>
        </w:rPr>
        <w:t>Abstract</w:t>
      </w:r>
    </w:p>
    <w:p w:rsidR="00EA6DB9" w:rsidRDefault="00EA6DB9" w:rsidP="00EA6DB9">
      <w:pPr>
        <w:pStyle w:val="NoSpacing"/>
      </w:pPr>
    </w:p>
    <w:p w:rsidR="00666BCF" w:rsidRDefault="00666BCF" w:rsidP="00666BCF">
      <w:pPr>
        <w:pStyle w:val="NoSpacing"/>
        <w:jc w:val="both"/>
      </w:pPr>
      <w:r w:rsidRPr="00230FA6">
        <w:t>Background</w:t>
      </w:r>
      <w:r w:rsidR="00010860">
        <w:t xml:space="preserve"> and Objectives</w:t>
      </w:r>
      <w:r>
        <w:t xml:space="preserve">: Widespread empiric use of antibiotics exists especially in developing countries. </w:t>
      </w:r>
      <w:r w:rsidR="002A1C8B">
        <w:t xml:space="preserve">This is a concern since inappropriate use of antibiotics, including their extended inappropriate use, will increase resistance rates. </w:t>
      </w:r>
      <w:r>
        <w:t xml:space="preserve">Consequently, </w:t>
      </w:r>
      <w:r w:rsidR="002A1C8B">
        <w:t xml:space="preserve">there is </w:t>
      </w:r>
      <w:r>
        <w:t xml:space="preserve">a need to evaluate </w:t>
      </w:r>
      <w:r w:rsidR="002A1C8B">
        <w:t>antibiotic</w:t>
      </w:r>
      <w:r>
        <w:t xml:space="preserve"> u</w:t>
      </w:r>
      <w:r w:rsidR="002A1C8B">
        <w:t>tilisation</w:t>
      </w:r>
      <w:r>
        <w:t xml:space="preserve"> across healthcare sectors to improve future use. </w:t>
      </w:r>
      <w:r w:rsidR="002A1C8B">
        <w:t xml:space="preserve">This includes ceftriaxone in hospitals as it is a widely used antibiotic among hospitals including those in Ghana. </w:t>
      </w:r>
      <w:r w:rsidRPr="00735FB8">
        <w:t>Methods</w:t>
      </w:r>
      <w:r>
        <w:t xml:space="preserve">: </w:t>
      </w:r>
      <w:r w:rsidR="002A1C8B">
        <w:t>A c</w:t>
      </w:r>
      <w:r>
        <w:t xml:space="preserve">ross-sectional study to evaluate </w:t>
      </w:r>
      <w:r w:rsidR="002A1C8B">
        <w:t xml:space="preserve">the </w:t>
      </w:r>
      <w:r>
        <w:t xml:space="preserve">appropriateness of ceftriaxone prescribing </w:t>
      </w:r>
      <w:r w:rsidR="002A1C8B">
        <w:t>in</w:t>
      </w:r>
      <w:r>
        <w:t xml:space="preserve"> a leading hospital in Ghana. Ceftriaxone prescribing </w:t>
      </w:r>
      <w:r w:rsidR="002A1C8B">
        <w:t xml:space="preserve">in the patient record cards was </w:t>
      </w:r>
      <w:r>
        <w:t xml:space="preserve">assessed using modified WHO drug utilization evaluation criteria </w:t>
      </w:r>
      <w:r w:rsidR="002A1C8B">
        <w:t xml:space="preserve">as well as </w:t>
      </w:r>
      <w:r>
        <w:t xml:space="preserve">referencing the national standard treatment guidelines in Ghana and the ceftriaxone package insert. </w:t>
      </w:r>
      <w:r w:rsidRPr="00B544E0">
        <w:t>Results</w:t>
      </w:r>
      <w:r>
        <w:t xml:space="preserve">: 251 patients </w:t>
      </w:r>
      <w:r w:rsidR="002A1C8B">
        <w:t xml:space="preserve">were </w:t>
      </w:r>
      <w:r>
        <w:t xml:space="preserve">assessed. Ceftriaxone </w:t>
      </w:r>
      <w:r w:rsidR="002A1C8B">
        <w:t xml:space="preserve">was </w:t>
      </w:r>
      <w:r>
        <w:t xml:space="preserve">most commonly prescribed for comorbid malaria with bacterial infections, urinary tract infections, sepsis and gastroenteritis. </w:t>
      </w:r>
      <w:r w:rsidR="002A1C8B">
        <w:t>The a</w:t>
      </w:r>
      <w:r>
        <w:t xml:space="preserve">ppropriateness of the indication was 86.9% (n = 218). </w:t>
      </w:r>
      <w:r w:rsidR="002A1C8B">
        <w:t>The d</w:t>
      </w:r>
      <w:r>
        <w:t xml:space="preserve">oses most prescribed were 1 g (41.4%) and 2 g (39.4%). Stat dose and once daily dosage regimen constituted 51.4% and 84.5% respectively. </w:t>
      </w:r>
      <w:r w:rsidR="002A1C8B">
        <w:t>The m</w:t>
      </w:r>
      <w:r>
        <w:t>ost common duration of treatment w</w:t>
      </w:r>
      <w:r w:rsidR="002A1C8B">
        <w:t>as</w:t>
      </w:r>
      <w:r>
        <w:t xml:space="preserve"> 1 (51.4%) and 2 days (35.1%). The </w:t>
      </w:r>
      <w:r w:rsidR="00AD18B7">
        <w:t xml:space="preserve">overall </w:t>
      </w:r>
      <w:r>
        <w:t xml:space="preserve">appropriateness </w:t>
      </w:r>
      <w:r w:rsidR="00AD18B7">
        <w:t xml:space="preserve">of prescribing </w:t>
      </w:r>
      <w:r>
        <w:t xml:space="preserve">was 93.0% against a pre-set threshold of 97.9%. </w:t>
      </w:r>
      <w:r w:rsidRPr="00D03266">
        <w:t>Conclusion</w:t>
      </w:r>
      <w:r>
        <w:t xml:space="preserve">: </w:t>
      </w:r>
      <w:r w:rsidR="00AD18B7">
        <w:t>The a</w:t>
      </w:r>
      <w:r>
        <w:t>ppropriateness of ceftriaxone prescribing was high</w:t>
      </w:r>
      <w:r w:rsidR="00AD18B7">
        <w:t xml:space="preserve"> in this leading </w:t>
      </w:r>
      <w:r w:rsidR="00AD18B7">
        <w:lastRenderedPageBreak/>
        <w:t>hospital in Ghana</w:t>
      </w:r>
      <w:r>
        <w:t xml:space="preserve">. </w:t>
      </w:r>
      <w:r w:rsidR="002A1C8B">
        <w:t>However, there is room for improvement with t</w:t>
      </w:r>
      <w:r>
        <w:t>argeted education</w:t>
      </w:r>
      <w:r w:rsidR="002A1C8B">
        <w:t xml:space="preserve">al initiatives, with </w:t>
      </w:r>
      <w:r>
        <w:t>further research planned.</w:t>
      </w:r>
      <w:r w:rsidDel="0018166A">
        <w:t xml:space="preserve"> </w:t>
      </w:r>
    </w:p>
    <w:p w:rsidR="00EA6DB9" w:rsidRDefault="00EA6DB9" w:rsidP="005365D4">
      <w:pPr>
        <w:pStyle w:val="NoSpacing"/>
        <w:jc w:val="both"/>
      </w:pPr>
    </w:p>
    <w:p w:rsidR="00D016CF" w:rsidRDefault="00D016CF" w:rsidP="00EA6DB9">
      <w:pPr>
        <w:pStyle w:val="NoSpacing"/>
      </w:pPr>
      <w:r w:rsidRPr="00767BE5">
        <w:t>Keywords:</w:t>
      </w:r>
      <w:r>
        <w:t xml:space="preserve"> </w:t>
      </w:r>
      <w:r w:rsidR="00E635F2">
        <w:t xml:space="preserve">appropriateness, </w:t>
      </w:r>
      <w:r w:rsidR="00A877C8">
        <w:t xml:space="preserve">ceftriaxone, </w:t>
      </w:r>
      <w:r>
        <w:t xml:space="preserve">drug use evaluation, </w:t>
      </w:r>
      <w:r w:rsidR="00E635F2">
        <w:t>Ghana</w:t>
      </w:r>
      <w:r>
        <w:t>, thresholds.</w:t>
      </w:r>
    </w:p>
    <w:p w:rsidR="00EA6DB9" w:rsidRDefault="00EA6DB9" w:rsidP="00372BE0">
      <w:pPr>
        <w:pStyle w:val="NoSpacing"/>
        <w:jc w:val="both"/>
      </w:pPr>
    </w:p>
    <w:p w:rsidR="00D016CF" w:rsidRPr="00EA6DB9" w:rsidRDefault="00A6283A" w:rsidP="00372BE0">
      <w:pPr>
        <w:pStyle w:val="NoSpacing"/>
        <w:jc w:val="both"/>
        <w:rPr>
          <w:b/>
        </w:rPr>
      </w:pPr>
      <w:r w:rsidRPr="00EA6DB9">
        <w:rPr>
          <w:b/>
        </w:rPr>
        <w:t>INTRODUCTION</w:t>
      </w:r>
    </w:p>
    <w:p w:rsidR="00EA6DB9" w:rsidRDefault="00EA6DB9" w:rsidP="00372BE0">
      <w:pPr>
        <w:pStyle w:val="NoSpacing"/>
        <w:jc w:val="both"/>
      </w:pPr>
    </w:p>
    <w:p w:rsidR="00D016CF" w:rsidRDefault="00D016CF" w:rsidP="00372BE0">
      <w:pPr>
        <w:pStyle w:val="NoSpacing"/>
        <w:jc w:val="both"/>
      </w:pPr>
      <w:r>
        <w:t xml:space="preserve">Irrational </w:t>
      </w:r>
      <w:r w:rsidRPr="00FC11AB">
        <w:t>anti</w:t>
      </w:r>
      <w:r>
        <w:t>microbial</w:t>
      </w:r>
      <w:r w:rsidRPr="00FC11AB">
        <w:t xml:space="preserve"> use is a global </w:t>
      </w:r>
      <w:r>
        <w:t xml:space="preserve">health </w:t>
      </w:r>
      <w:r w:rsidRPr="00FC11AB">
        <w:t>problem espec</w:t>
      </w:r>
      <w:r>
        <w:t xml:space="preserve">ially in </w:t>
      </w:r>
      <w:r w:rsidRPr="00FC11AB">
        <w:t>developing count</w:t>
      </w:r>
      <w:r>
        <w:t>ries. It often results in failure to eradicate</w:t>
      </w:r>
      <w:r w:rsidRPr="00FC11AB">
        <w:t xml:space="preserve"> infecti</w:t>
      </w:r>
      <w:r>
        <w:t xml:space="preserve">ous microbes, emergence of antimicrobial resistance, </w:t>
      </w:r>
      <w:r w:rsidR="00625407">
        <w:t xml:space="preserve">as well as </w:t>
      </w:r>
      <w:r w:rsidRPr="00123EB6">
        <w:t xml:space="preserve">unnecessary health </w:t>
      </w:r>
      <w:r>
        <w:t xml:space="preserve">care cost to patients and </w:t>
      </w:r>
      <w:r w:rsidRPr="00123EB6">
        <w:t>healthcare system</w:t>
      </w:r>
      <w:r w:rsidR="006304B3">
        <w:t>s [1-3]</w:t>
      </w:r>
      <w:r>
        <w:t xml:space="preserve">. </w:t>
      </w:r>
      <w:r w:rsidR="00404169">
        <w:t>I</w:t>
      </w:r>
      <w:r w:rsidR="00F61B24">
        <w:t xml:space="preserve">nfections are also becoming increasingly difficult to treat with standard first-line antibiotics due </w:t>
      </w:r>
      <w:r w:rsidR="006304B3">
        <w:t>to rising antimicrobial resistance</w:t>
      </w:r>
      <w:r w:rsidR="00D87950">
        <w:t xml:space="preserve"> </w:t>
      </w:r>
      <w:r w:rsidR="00404169">
        <w:t xml:space="preserve">(AMR) </w:t>
      </w:r>
      <w:r w:rsidR="00D87950">
        <w:t>rates. This is</w:t>
      </w:r>
      <w:r w:rsidR="00F61B24">
        <w:t xml:space="preserve"> </w:t>
      </w:r>
      <w:r w:rsidR="00404169">
        <w:t xml:space="preserve">resulting in the </w:t>
      </w:r>
      <w:r w:rsidR="00F61B24">
        <w:t>use of newer, more targeted, but also more expensive antibiotics across</w:t>
      </w:r>
      <w:r w:rsidR="00D87950">
        <w:t xml:space="preserve"> health care</w:t>
      </w:r>
      <w:r w:rsidR="00F61B24">
        <w:t xml:space="preserve"> sectors </w:t>
      </w:r>
      <w:r w:rsidR="006304B3">
        <w:t>[</w:t>
      </w:r>
      <w:r w:rsidR="00AD18B7">
        <w:t>1,</w:t>
      </w:r>
      <w:r w:rsidR="006304B3">
        <w:t>4]</w:t>
      </w:r>
      <w:r w:rsidR="00F61B24">
        <w:t>.</w:t>
      </w:r>
      <w:r w:rsidR="006304B3">
        <w:t xml:space="preserve"> </w:t>
      </w:r>
      <w:r w:rsidR="00F61B24">
        <w:t>Consequently, the evaluation of current antibiotic use is an essential measure for</w:t>
      </w:r>
      <w:r>
        <w:t xml:space="preserve"> assessing</w:t>
      </w:r>
      <w:r w:rsidR="00D87950">
        <w:t xml:space="preserve"> and improving</w:t>
      </w:r>
      <w:r>
        <w:t xml:space="preserve"> the</w:t>
      </w:r>
      <w:r w:rsidR="00D87950">
        <w:t xml:space="preserve"> </w:t>
      </w:r>
      <w:r w:rsidR="00F61B24">
        <w:t>appropriate us</w:t>
      </w:r>
      <w:r>
        <w:t xml:space="preserve">e of antibiotics </w:t>
      </w:r>
      <w:r w:rsidR="00AD18B7">
        <w:t xml:space="preserve">across sectors </w:t>
      </w:r>
      <w:r>
        <w:t xml:space="preserve">in </w:t>
      </w:r>
      <w:r w:rsidR="00D87950">
        <w:t xml:space="preserve">order to develop pertinent </w:t>
      </w:r>
      <w:r w:rsidR="00404169">
        <w:t xml:space="preserve">future </w:t>
      </w:r>
      <w:r w:rsidR="00D87950">
        <w:t xml:space="preserve">strategies </w:t>
      </w:r>
      <w:r w:rsidR="00AD18B7">
        <w:t xml:space="preserve">to reduce AMR in the future </w:t>
      </w:r>
      <w:r w:rsidR="00B025DF">
        <w:t>[</w:t>
      </w:r>
      <w:r w:rsidR="00AD18B7">
        <w:t>4-8</w:t>
      </w:r>
      <w:r w:rsidR="006304B3">
        <w:t>]</w:t>
      </w:r>
      <w:r>
        <w:t>.</w:t>
      </w:r>
    </w:p>
    <w:p w:rsidR="00EA6DB9" w:rsidRDefault="00EA6DB9" w:rsidP="00372BE0">
      <w:pPr>
        <w:pStyle w:val="NoSpacing"/>
        <w:jc w:val="both"/>
      </w:pPr>
    </w:p>
    <w:p w:rsidR="00D016CF" w:rsidRPr="00C0749D" w:rsidRDefault="00D016CF" w:rsidP="00372BE0">
      <w:pPr>
        <w:pStyle w:val="NoSpacing"/>
        <w:jc w:val="both"/>
        <w:rPr>
          <w:rFonts w:ascii="Calibri" w:eastAsia="Calibri" w:hAnsi="Calibri"/>
        </w:rPr>
      </w:pPr>
      <w:r>
        <w:t>Since the introduction of</w:t>
      </w:r>
      <w:r w:rsidR="00F61B24">
        <w:t xml:space="preserve"> the</w:t>
      </w:r>
      <w:r>
        <w:t xml:space="preserve"> rational drug use concept in the mid-1980’s</w:t>
      </w:r>
      <w:r w:rsidR="005779CF">
        <w:t>,</w:t>
      </w:r>
      <w:r>
        <w:t xml:space="preserve"> </w:t>
      </w:r>
      <w:r w:rsidRPr="004D159F">
        <w:t>several efforts hav</w:t>
      </w:r>
      <w:r w:rsidR="00F61B24">
        <w:t xml:space="preserve">e been made to improve prescribing </w:t>
      </w:r>
      <w:r w:rsidRPr="004D159F">
        <w:t>pr</w:t>
      </w:r>
      <w:r>
        <w:t xml:space="preserve">actices </w:t>
      </w:r>
      <w:r w:rsidR="00AD18B7">
        <w:t xml:space="preserve">in hospitals and other settings </w:t>
      </w:r>
      <w:r w:rsidR="00D87950">
        <w:t>through</w:t>
      </w:r>
      <w:r>
        <w:t xml:space="preserve"> promoting</w:t>
      </w:r>
      <w:r w:rsidRPr="004D159F">
        <w:t xml:space="preserve"> drug </w:t>
      </w:r>
      <w:r>
        <w:t>utilization studies, reviews or</w:t>
      </w:r>
      <w:r w:rsidRPr="004D159F">
        <w:t xml:space="preserve"> evaluation i</w:t>
      </w:r>
      <w:r w:rsidR="00B025DF">
        <w:t>nitiatives [</w:t>
      </w:r>
      <w:r w:rsidR="00AD18B7">
        <w:t>9-13</w:t>
      </w:r>
      <w:r w:rsidR="006304B3">
        <w:t>]</w:t>
      </w:r>
      <w:r w:rsidRPr="004D159F">
        <w:t>.</w:t>
      </w:r>
      <w:r>
        <w:rPr>
          <w:rFonts w:ascii="Calibri" w:eastAsia="Calibri" w:hAnsi="Calibri"/>
        </w:rPr>
        <w:t xml:space="preserve"> </w:t>
      </w:r>
      <w:r>
        <w:rPr>
          <w:rFonts w:eastAsia="Calibri"/>
        </w:rPr>
        <w:t>Drug utilization research is generally classified</w:t>
      </w:r>
      <w:r w:rsidRPr="005E5C8B">
        <w:rPr>
          <w:rFonts w:eastAsia="Calibri"/>
        </w:rPr>
        <w:t xml:space="preserve"> into des</w:t>
      </w:r>
      <w:r>
        <w:rPr>
          <w:rFonts w:eastAsia="Calibri"/>
        </w:rPr>
        <w:t xml:space="preserve">criptive (drug use patterns or trends) and analytical (drug use evaluation or review) studies. </w:t>
      </w:r>
      <w:r w:rsidRPr="00BD4877">
        <w:t>Drug use evaluation (DUE) is defined by the American Society of Health System Pharmacists (ASHP) as a c</w:t>
      </w:r>
      <w:r>
        <w:t>riteria-based, ongoing</w:t>
      </w:r>
      <w:r w:rsidRPr="00BD4877">
        <w:t xml:space="preserve"> and systemic process for monitoring and evaluating the prophylactic, therapeutic and empiric use of drugs (at the individual patient level)</w:t>
      </w:r>
      <w:r>
        <w:t xml:space="preserve"> to ensure</w:t>
      </w:r>
      <w:r w:rsidRPr="00BD4877">
        <w:t xml:space="preserve"> </w:t>
      </w:r>
      <w:r w:rsidR="005779CF">
        <w:t>medicines</w:t>
      </w:r>
      <w:r w:rsidRPr="00BD4877">
        <w:t xml:space="preserve"> are provided appropriately and used effectively</w:t>
      </w:r>
      <w:r w:rsidR="00B025DF">
        <w:t xml:space="preserve"> [</w:t>
      </w:r>
      <w:r w:rsidR="00AD18B7">
        <w:t>14,15</w:t>
      </w:r>
      <w:r w:rsidR="006304B3">
        <w:t>]</w:t>
      </w:r>
      <w:r w:rsidRPr="00BD4877">
        <w:t>.</w:t>
      </w:r>
      <w:r>
        <w:t xml:space="preserve"> </w:t>
      </w:r>
      <w:r w:rsidR="006304B3">
        <w:rPr>
          <w:rFonts w:eastAsia="Calibri"/>
        </w:rPr>
        <w:t>According to</w:t>
      </w:r>
      <w:r w:rsidR="006304B3" w:rsidRPr="006304B3">
        <w:t xml:space="preserve"> </w:t>
      </w:r>
      <w:r w:rsidR="00A877C8">
        <w:t xml:space="preserve">the </w:t>
      </w:r>
      <w:r w:rsidR="00B025DF">
        <w:t>World Health Organization [1</w:t>
      </w:r>
      <w:r w:rsidR="00AD18B7">
        <w:t>6</w:t>
      </w:r>
      <w:r w:rsidR="006304B3">
        <w:t>]</w:t>
      </w:r>
      <w:r>
        <w:rPr>
          <w:rFonts w:eastAsia="Calibri"/>
        </w:rPr>
        <w:t>, this aspect is drug or disease specific or both, and can be</w:t>
      </w:r>
      <w:r w:rsidR="00D87950">
        <w:rPr>
          <w:rFonts w:eastAsia="Calibri"/>
        </w:rPr>
        <w:t xml:space="preserve"> structured to assess the</w:t>
      </w:r>
      <w:r>
        <w:rPr>
          <w:rFonts w:eastAsia="Calibri"/>
        </w:rPr>
        <w:t xml:space="preserve"> </w:t>
      </w:r>
      <w:r w:rsidR="00D87950">
        <w:rPr>
          <w:rFonts w:eastAsia="Calibri"/>
        </w:rPr>
        <w:t>prescribing, dispensing and administering of medications by</w:t>
      </w:r>
      <w:r>
        <w:rPr>
          <w:rFonts w:eastAsia="Calibri"/>
        </w:rPr>
        <w:t xml:space="preserve"> indications, dose, </w:t>
      </w:r>
      <w:r w:rsidR="005C1EA8">
        <w:rPr>
          <w:rFonts w:eastAsia="Calibri"/>
        </w:rPr>
        <w:t>and potential</w:t>
      </w:r>
      <w:r w:rsidR="00D87950">
        <w:rPr>
          <w:rFonts w:eastAsia="Calibri"/>
        </w:rPr>
        <w:t xml:space="preserve"> </w:t>
      </w:r>
      <w:r>
        <w:rPr>
          <w:rFonts w:eastAsia="Calibri"/>
        </w:rPr>
        <w:t>drug i</w:t>
      </w:r>
      <w:r w:rsidR="00D87950">
        <w:rPr>
          <w:rFonts w:eastAsia="Calibri"/>
        </w:rPr>
        <w:t>nteraction among others</w:t>
      </w:r>
      <w:r>
        <w:rPr>
          <w:rFonts w:eastAsia="Calibri"/>
        </w:rPr>
        <w:t xml:space="preserve">. </w:t>
      </w:r>
      <w:r w:rsidR="005C1EA8">
        <w:rPr>
          <w:rFonts w:eastAsia="Calibri"/>
        </w:rPr>
        <w:t xml:space="preserve"> DUE c</w:t>
      </w:r>
      <w:r w:rsidR="00AD18B7">
        <w:rPr>
          <w:rFonts w:eastAsia="Calibri"/>
        </w:rPr>
        <w:t>an</w:t>
      </w:r>
      <w:r w:rsidR="005C1EA8">
        <w:rPr>
          <w:rFonts w:eastAsia="Calibri"/>
        </w:rPr>
        <w:t xml:space="preserve"> also be used to assess prescribing against agreed guidance</w:t>
      </w:r>
      <w:r w:rsidR="00AD18B7">
        <w:rPr>
          <w:rFonts w:eastAsia="Calibri"/>
        </w:rPr>
        <w:t>,</w:t>
      </w:r>
      <w:r w:rsidR="005C1EA8">
        <w:rPr>
          <w:rFonts w:eastAsia="Calibri"/>
        </w:rPr>
        <w:t xml:space="preserve"> including b</w:t>
      </w:r>
      <w:r w:rsidR="006258F8">
        <w:rPr>
          <w:rFonts w:eastAsia="Calibri"/>
        </w:rPr>
        <w:t>oth new and existing medicines [</w:t>
      </w:r>
      <w:r w:rsidR="006258F8">
        <w:rPr>
          <w:rFonts w:eastAsia="Calibri"/>
          <w:color w:val="000000" w:themeColor="text1"/>
        </w:rPr>
        <w:t>1</w:t>
      </w:r>
      <w:r w:rsidR="00AD18B7">
        <w:rPr>
          <w:rFonts w:eastAsia="Calibri"/>
          <w:color w:val="000000" w:themeColor="text1"/>
        </w:rPr>
        <w:t>7-20</w:t>
      </w:r>
      <w:r w:rsidR="006258F8">
        <w:rPr>
          <w:rFonts w:eastAsia="Calibri"/>
        </w:rPr>
        <w:t>]</w:t>
      </w:r>
      <w:r w:rsidR="005C1EA8">
        <w:rPr>
          <w:rFonts w:eastAsia="Calibri"/>
        </w:rPr>
        <w:t>.</w:t>
      </w:r>
    </w:p>
    <w:p w:rsidR="00EA6DB9" w:rsidRDefault="00EA6DB9" w:rsidP="00372BE0">
      <w:pPr>
        <w:pStyle w:val="NoSpacing"/>
        <w:jc w:val="both"/>
      </w:pPr>
    </w:p>
    <w:p w:rsidR="00EA6DB9" w:rsidRDefault="00D016CF" w:rsidP="00372BE0">
      <w:pPr>
        <w:pStyle w:val="NoSpacing"/>
        <w:jc w:val="both"/>
      </w:pPr>
      <w:r>
        <w:t>T</w:t>
      </w:r>
      <w:r w:rsidRPr="006B3941">
        <w:t>hird</w:t>
      </w:r>
      <w:r w:rsidR="00DF347A">
        <w:t>-</w:t>
      </w:r>
      <w:r w:rsidRPr="006B3941">
        <w:t>generation cephalosporin</w:t>
      </w:r>
      <w:r>
        <w:t>s are used in the</w:t>
      </w:r>
      <w:r w:rsidRPr="006B3941">
        <w:t xml:space="preserve"> treatment o</w:t>
      </w:r>
      <w:r>
        <w:t xml:space="preserve">f a </w:t>
      </w:r>
      <w:r w:rsidR="005779CF">
        <w:t>number</w:t>
      </w:r>
      <w:r>
        <w:t xml:space="preserve"> of infections due to their </w:t>
      </w:r>
      <w:proofErr w:type="gramStart"/>
      <w:r>
        <w:t>broad spectrum</w:t>
      </w:r>
      <w:proofErr w:type="gramEnd"/>
      <w:r>
        <w:t xml:space="preserve"> activity against</w:t>
      </w:r>
      <w:r w:rsidRPr="006B3941">
        <w:t xml:space="preserve"> most Gram-positive and Gram-negative bacteria.</w:t>
      </w:r>
      <w:r>
        <w:t xml:space="preserve"> C</w:t>
      </w:r>
      <w:r w:rsidRPr="00C70511">
        <w:t xml:space="preserve">eftriaxone is the most prescribed </w:t>
      </w:r>
      <w:r w:rsidR="005779CF">
        <w:t>antibiotic</w:t>
      </w:r>
      <w:r>
        <w:t xml:space="preserve"> among the third generation cephalosporins and is of</w:t>
      </w:r>
      <w:r w:rsidR="006258F8">
        <w:t>ten misused or overused [</w:t>
      </w:r>
      <w:r w:rsidR="00AD18B7">
        <w:t>21-23</w:t>
      </w:r>
      <w:r w:rsidR="005E2445">
        <w:t>]</w:t>
      </w:r>
      <w:r>
        <w:t>. In most developing countries such as Ghana, there is widespread empiric use of ceftriaxone</w:t>
      </w:r>
      <w:r w:rsidRPr="006B3941">
        <w:t xml:space="preserve"> </w:t>
      </w:r>
      <w:r>
        <w:t>among</w:t>
      </w:r>
      <w:r w:rsidRPr="006B3941">
        <w:t xml:space="preserve"> hospitalized</w:t>
      </w:r>
      <w:r w:rsidR="005C1EA8">
        <w:t xml:space="preserve"> patients as well as</w:t>
      </w:r>
      <w:r>
        <w:t xml:space="preserve"> out-patients.</w:t>
      </w:r>
      <w:r w:rsidRPr="006B3941">
        <w:t xml:space="preserve"> </w:t>
      </w:r>
      <w:r>
        <w:t xml:space="preserve">This is because in most cases, </w:t>
      </w:r>
      <w:r w:rsidRPr="006B3941">
        <w:t xml:space="preserve">culture </w:t>
      </w:r>
      <w:r>
        <w:t>and/</w:t>
      </w:r>
      <w:r w:rsidRPr="006B3941">
        <w:t xml:space="preserve">or </w:t>
      </w:r>
      <w:r>
        <w:t xml:space="preserve">ceftriaxone </w:t>
      </w:r>
      <w:proofErr w:type="spellStart"/>
      <w:r w:rsidRPr="006B3941">
        <w:t>anti</w:t>
      </w:r>
      <w:r>
        <w:t>biogram</w:t>
      </w:r>
      <w:proofErr w:type="spellEnd"/>
      <w:r>
        <w:t xml:space="preserve"> tests are unavailable</w:t>
      </w:r>
      <w:r w:rsidRPr="006B3941">
        <w:t xml:space="preserve">. </w:t>
      </w:r>
    </w:p>
    <w:p w:rsidR="00EA6DB9" w:rsidRDefault="00EA6DB9" w:rsidP="00372BE0">
      <w:pPr>
        <w:pStyle w:val="NoSpacing"/>
        <w:jc w:val="both"/>
      </w:pPr>
    </w:p>
    <w:p w:rsidR="00E33232" w:rsidRDefault="00D016CF" w:rsidP="00E33232">
      <w:pPr>
        <w:pStyle w:val="NoSpacing"/>
      </w:pPr>
      <w:r>
        <w:t xml:space="preserve">Consequently, the rational use of ceftriaxone is of concern to prescribers and to health </w:t>
      </w:r>
      <w:r w:rsidR="005779CF">
        <w:t xml:space="preserve">care </w:t>
      </w:r>
      <w:r>
        <w:t xml:space="preserve">systems, especially with the rising </w:t>
      </w:r>
      <w:r w:rsidR="00404169">
        <w:t>AMR</w:t>
      </w:r>
      <w:r>
        <w:t xml:space="preserve"> rates i</w:t>
      </w:r>
      <w:r w:rsidR="006258F8">
        <w:t>n Ghana [</w:t>
      </w:r>
      <w:r w:rsidR="00AD18B7">
        <w:t>24</w:t>
      </w:r>
      <w:r w:rsidR="0083485D">
        <w:t>]</w:t>
      </w:r>
      <w:r>
        <w:t>.  However, we are unaware of a</w:t>
      </w:r>
      <w:r w:rsidR="005C1EA8">
        <w:t xml:space="preserve">ny study </w:t>
      </w:r>
      <w:r w:rsidR="005779CF">
        <w:t xml:space="preserve">that has been </w:t>
      </w:r>
      <w:r w:rsidR="005C1EA8">
        <w:t>published to assess the appropriateness of prescribing of ceftriaxone in hospitals in Ghana</w:t>
      </w:r>
      <w:r w:rsidR="00BC0B3F">
        <w:t xml:space="preserve">. </w:t>
      </w:r>
      <w:r w:rsidR="00AE49C5">
        <w:t xml:space="preserve">This is important as </w:t>
      </w:r>
      <w:r w:rsidR="00AE49C5" w:rsidRPr="002A3023">
        <w:t>ceftriaxone is on the national health insurance drug list</w:t>
      </w:r>
      <w:r w:rsidR="00A877C8">
        <w:t>,</w:t>
      </w:r>
      <w:r w:rsidR="00AE49C5">
        <w:t xml:space="preserve"> increasing </w:t>
      </w:r>
      <w:r w:rsidR="00AE49C5" w:rsidRPr="002A3023">
        <w:t>the li</w:t>
      </w:r>
      <w:r w:rsidR="00AE49C5">
        <w:t>kelihood of this antibiotic being prescribed</w:t>
      </w:r>
      <w:r w:rsidR="00AE49C5" w:rsidRPr="002A3023">
        <w:t xml:space="preserve">. </w:t>
      </w:r>
      <w:r w:rsidR="00E33232">
        <w:t xml:space="preserve">Other antibiotics on the Ghana Police hospital formulary </w:t>
      </w:r>
      <w:r w:rsidR="00166D74">
        <w:t>include amoxicill</w:t>
      </w:r>
      <w:r w:rsidR="00E33232">
        <w:t>in, amoxicillin/c</w:t>
      </w:r>
      <w:r w:rsidR="00E33232" w:rsidRPr="00E33BB0">
        <w:t>lavulani</w:t>
      </w:r>
      <w:r w:rsidR="00E33232">
        <w:t>c acid, c</w:t>
      </w:r>
      <w:r w:rsidR="00E33232" w:rsidRPr="00E33BB0">
        <w:t>efuroxime</w:t>
      </w:r>
      <w:r w:rsidR="00E33232">
        <w:t>, c</w:t>
      </w:r>
      <w:r w:rsidR="00E33232" w:rsidRPr="00E33BB0">
        <w:t>iprofloxacin</w:t>
      </w:r>
      <w:r w:rsidR="00E33232">
        <w:t>, doxycycline, flucloxacillin, g</w:t>
      </w:r>
      <w:r w:rsidR="00E33232" w:rsidRPr="00E33BB0">
        <w:t>entamicin</w:t>
      </w:r>
      <w:r w:rsidR="00E33232">
        <w:t>, and metronidazole.</w:t>
      </w:r>
    </w:p>
    <w:p w:rsidR="00E33232" w:rsidRDefault="00E33232" w:rsidP="00ED1870">
      <w:pPr>
        <w:pStyle w:val="NoSpacing"/>
      </w:pPr>
    </w:p>
    <w:p w:rsidR="00974487" w:rsidRDefault="00AE49C5" w:rsidP="00ED1870">
      <w:pPr>
        <w:pStyle w:val="NoSpacing"/>
      </w:pPr>
      <w:r>
        <w:t>We are aware that</w:t>
      </w:r>
      <w:r w:rsidR="00D016CF">
        <w:t xml:space="preserve"> studies regarding antibiotic prescribing have been conducted in ambulatory care</w:t>
      </w:r>
      <w:r>
        <w:t xml:space="preserve"> in Ghana</w:t>
      </w:r>
      <w:r w:rsidR="00357774">
        <w:t>,</w:t>
      </w:r>
      <w:r w:rsidR="00D016CF">
        <w:t xml:space="preserve"> including self-medication</w:t>
      </w:r>
      <w:r w:rsidR="00A877C8">
        <w:t>,</w:t>
      </w:r>
      <w:r w:rsidR="00D016CF">
        <w:t xml:space="preserve"> and there are </w:t>
      </w:r>
      <w:r>
        <w:t>also</w:t>
      </w:r>
      <w:r w:rsidR="00D016CF">
        <w:t xml:space="preserve"> </w:t>
      </w:r>
      <w:r>
        <w:t xml:space="preserve">published </w:t>
      </w:r>
      <w:r w:rsidR="00D016CF">
        <w:t>studies monitor</w:t>
      </w:r>
      <w:r>
        <w:t>ing</w:t>
      </w:r>
      <w:r w:rsidR="00D016CF">
        <w:t xml:space="preserve"> antibiotic use and resistance patterns in Ghana</w:t>
      </w:r>
      <w:r w:rsidR="007E441A">
        <w:t xml:space="preserve"> [</w:t>
      </w:r>
      <w:r w:rsidR="00AD18B7">
        <w:t>25-31</w:t>
      </w:r>
      <w:r w:rsidR="0083485D">
        <w:t>]</w:t>
      </w:r>
      <w:r w:rsidR="00BC0B3F">
        <w:t xml:space="preserve">. We are </w:t>
      </w:r>
      <w:r>
        <w:t xml:space="preserve">also </w:t>
      </w:r>
      <w:r w:rsidR="00BC0B3F">
        <w:t>aware</w:t>
      </w:r>
      <w:r w:rsidR="00D016CF">
        <w:t xml:space="preserve"> that the evaluation </w:t>
      </w:r>
      <w:r w:rsidR="00D016CF">
        <w:lastRenderedPageBreak/>
        <w:t xml:space="preserve">of the use of cephalosporins such as ceftriaxone is well documented </w:t>
      </w:r>
      <w:r w:rsidR="00BC0B3F">
        <w:t>in other countries</w:t>
      </w:r>
      <w:r>
        <w:t>,</w:t>
      </w:r>
      <w:r w:rsidR="00BC0B3F">
        <w:t xml:space="preserve"> </w:t>
      </w:r>
      <w:r w:rsidR="00D016CF">
        <w:t>and has contributed to their prudent use and containing costs</w:t>
      </w:r>
      <w:r w:rsidR="007E441A">
        <w:t xml:space="preserve"> [5, </w:t>
      </w:r>
      <w:r w:rsidR="00AD18B7">
        <w:t>32-34</w:t>
      </w:r>
      <w:r w:rsidR="0083485D">
        <w:t>]</w:t>
      </w:r>
      <w:r w:rsidR="00D016CF">
        <w:t xml:space="preserve">. </w:t>
      </w:r>
    </w:p>
    <w:p w:rsidR="00974487" w:rsidRDefault="00974487" w:rsidP="00372BE0">
      <w:pPr>
        <w:pStyle w:val="NoSpacing"/>
        <w:jc w:val="both"/>
      </w:pPr>
    </w:p>
    <w:p w:rsidR="008D4DED" w:rsidRDefault="00974487" w:rsidP="00372BE0">
      <w:pPr>
        <w:pStyle w:val="NoSpacing"/>
        <w:jc w:val="both"/>
      </w:pPr>
      <w:r>
        <w:t xml:space="preserve">The Standard Treatment Guidelines (STGs) of Ghana are published by the Ministry of Health to guide prescribers, pharmacists, dispensers and other healthcare staff </w:t>
      </w:r>
      <w:r w:rsidR="004D1FE8">
        <w:t xml:space="preserve">who prescribe at primary healthcare facilities </w:t>
      </w:r>
      <w:r>
        <w:t>on the</w:t>
      </w:r>
      <w:r w:rsidR="00E33232">
        <w:t xml:space="preserve"> care of</w:t>
      </w:r>
      <w:r>
        <w:t xml:space="preserve"> patients with common diseases, in line with the essential drug concept [</w:t>
      </w:r>
      <w:r w:rsidR="00AD18B7">
        <w:t>35</w:t>
      </w:r>
      <w:r>
        <w:t xml:space="preserve">]. </w:t>
      </w:r>
      <w:r w:rsidR="00E33232">
        <w:t>The STGs</w:t>
      </w:r>
      <w:r w:rsidR="00873E83">
        <w:t xml:space="preserve"> are primarily directed at physicians working in primary healthcare</w:t>
      </w:r>
      <w:r w:rsidR="008D4DED">
        <w:t>; however</w:t>
      </w:r>
      <w:r w:rsidR="00E33232">
        <w:t>, they</w:t>
      </w:r>
      <w:r w:rsidR="008D4DED">
        <w:t xml:space="preserve"> are </w:t>
      </w:r>
      <w:r w:rsidR="00E33232">
        <w:t xml:space="preserve">also </w:t>
      </w:r>
      <w:r w:rsidR="008D4DED">
        <w:t xml:space="preserve">used in secondary and tertiary centres. </w:t>
      </w:r>
    </w:p>
    <w:p w:rsidR="008D4DED" w:rsidRDefault="008D4DED" w:rsidP="00372BE0">
      <w:pPr>
        <w:pStyle w:val="NoSpacing"/>
        <w:jc w:val="both"/>
      </w:pPr>
    </w:p>
    <w:p w:rsidR="00EA6DB9" w:rsidRDefault="00974487" w:rsidP="00372BE0">
      <w:pPr>
        <w:pStyle w:val="NoSpacing"/>
        <w:jc w:val="both"/>
      </w:pPr>
      <w:r>
        <w:t>The use of the STGs to enhance the appropriate use of medicines is achieved through initiatives of the Ghana National Drugs Program</w:t>
      </w:r>
      <w:r w:rsidR="00AD18B7">
        <w:t>. These</w:t>
      </w:r>
      <w:r>
        <w:t xml:space="preserve"> includ</w:t>
      </w:r>
      <w:r w:rsidR="00AD18B7">
        <w:t>e</w:t>
      </w:r>
      <w:r>
        <w:t xml:space="preserve"> seminars for prescribers, advertisements in health magazines and supply of copies of the STGs to all health </w:t>
      </w:r>
      <w:r w:rsidR="004D1FE8">
        <w:t xml:space="preserve">care </w:t>
      </w:r>
      <w:r>
        <w:t>facilities. The Police hospital, being a secondary level quasi-government health facility, has adopted the STGs and encourages prescribers to adhere to the guidelines through its clinical education unit</w:t>
      </w:r>
      <w:r w:rsidR="00D36A55">
        <w:t xml:space="preserve"> where applicable</w:t>
      </w:r>
      <w:r>
        <w:t>.  Drug package inserts are also used in other secondary and tertiary hospitals in Ghana to guide prescribing alongside the STGs</w:t>
      </w:r>
      <w:r w:rsidR="00D36A55">
        <w:t xml:space="preserve"> where pertinent STGs do not exist</w:t>
      </w:r>
      <w:r>
        <w:t>.  However, many health facilities in developing countries such as Ghana do not have active antibiotic stewardship program</w:t>
      </w:r>
      <w:r w:rsidR="004D1FE8">
        <w:t>mes</w:t>
      </w:r>
      <w:r>
        <w:t>. These are considerations for the future</w:t>
      </w:r>
      <w:r w:rsidR="00D36A55">
        <w:t>. W</w:t>
      </w:r>
      <w:r w:rsidR="00902142">
        <w:t xml:space="preserve">e are </w:t>
      </w:r>
      <w:r w:rsidR="004D1FE8">
        <w:t xml:space="preserve">also </w:t>
      </w:r>
      <w:r w:rsidR="00902142">
        <w:t>aware that a number of studies have shown low adherence levels to STGs</w:t>
      </w:r>
      <w:r w:rsidR="0016493B">
        <w:t xml:space="preserve"> [</w:t>
      </w:r>
      <w:r>
        <w:t>3</w:t>
      </w:r>
      <w:r w:rsidR="00AD18B7">
        <w:t>6,37</w:t>
      </w:r>
      <w:r w:rsidR="00C62CB9">
        <w:t xml:space="preserve">]. </w:t>
      </w:r>
    </w:p>
    <w:p w:rsidR="00EA6DB9" w:rsidRDefault="00EA6DB9" w:rsidP="00372BE0">
      <w:pPr>
        <w:pStyle w:val="NoSpacing"/>
        <w:jc w:val="both"/>
      </w:pPr>
    </w:p>
    <w:p w:rsidR="00D016CF" w:rsidRDefault="00DE05B3" w:rsidP="00372BE0">
      <w:pPr>
        <w:pStyle w:val="NoSpacing"/>
        <w:jc w:val="both"/>
      </w:pPr>
      <w:r>
        <w:t>Consequently</w:t>
      </w:r>
      <w:r w:rsidR="00D016CF">
        <w:t>, the aim of this study was to evaluate the</w:t>
      </w:r>
      <w:r w:rsidR="00BC0B3F">
        <w:t xml:space="preserve"> current use of ceftriaxone within</w:t>
      </w:r>
      <w:r w:rsidR="00EA6DB9">
        <w:t xml:space="preserve"> </w:t>
      </w:r>
      <w:r w:rsidR="00372BE0">
        <w:t xml:space="preserve">a national Police referral </w:t>
      </w:r>
      <w:r w:rsidR="00D016CF">
        <w:t>hospital in Ghana</w:t>
      </w:r>
      <w:r w:rsidR="00902142">
        <w:t xml:space="preserve"> against published guidance</w:t>
      </w:r>
      <w:r w:rsidR="007239D6">
        <w:t xml:space="preserve">. The findings </w:t>
      </w:r>
      <w:r w:rsidR="00D36A55">
        <w:t>will</w:t>
      </w:r>
      <w:r w:rsidR="007239D6">
        <w:t xml:space="preserve"> act </w:t>
      </w:r>
      <w:r w:rsidR="00BC0B3F">
        <w:t xml:space="preserve">as a basis for suggesting future initiatives </w:t>
      </w:r>
      <w:r w:rsidR="00405FFF">
        <w:t xml:space="preserve">to </w:t>
      </w:r>
      <w:r w:rsidR="00902142">
        <w:t xml:space="preserve">further </w:t>
      </w:r>
      <w:r w:rsidR="00405FFF">
        <w:t xml:space="preserve">promote its rational use in </w:t>
      </w:r>
      <w:r w:rsidR="0030263F">
        <w:t>Ghana</w:t>
      </w:r>
      <w:r w:rsidR="00405FFF">
        <w:t xml:space="preserve"> </w:t>
      </w:r>
      <w:r w:rsidR="00BC0B3F">
        <w:t xml:space="preserve">if </w:t>
      </w:r>
      <w:r w:rsidR="00405FFF">
        <w:t>applicable</w:t>
      </w:r>
      <w:r w:rsidR="0030263F">
        <w:t xml:space="preserve"> along with general moves to enhance antibiotic stewardship.</w:t>
      </w:r>
    </w:p>
    <w:p w:rsidR="00372BE0" w:rsidRDefault="00372BE0" w:rsidP="00EA6DB9">
      <w:pPr>
        <w:pStyle w:val="NoSpacing"/>
        <w:rPr>
          <w:b/>
        </w:rPr>
      </w:pPr>
    </w:p>
    <w:p w:rsidR="00D016CF" w:rsidRPr="00EA6DB9" w:rsidRDefault="00D016CF" w:rsidP="00EA6DB9">
      <w:pPr>
        <w:pStyle w:val="NoSpacing"/>
        <w:rPr>
          <w:b/>
        </w:rPr>
      </w:pPr>
      <w:r w:rsidRPr="00EA6DB9">
        <w:rPr>
          <w:b/>
        </w:rPr>
        <w:t>METHODS</w:t>
      </w:r>
    </w:p>
    <w:p w:rsidR="00EA6DB9" w:rsidRDefault="00EA6DB9" w:rsidP="00EA6DB9">
      <w:pPr>
        <w:pStyle w:val="NoSpacing"/>
      </w:pPr>
    </w:p>
    <w:p w:rsidR="00D016CF" w:rsidRPr="00EA6DB9" w:rsidRDefault="00D016CF" w:rsidP="00372BE0">
      <w:pPr>
        <w:pStyle w:val="NoSpacing"/>
        <w:jc w:val="both"/>
        <w:rPr>
          <w:b/>
          <w:i/>
        </w:rPr>
      </w:pPr>
      <w:r w:rsidRPr="00EA6DB9">
        <w:rPr>
          <w:b/>
          <w:i/>
        </w:rPr>
        <w:t>Study site</w:t>
      </w:r>
    </w:p>
    <w:p w:rsidR="00D016CF" w:rsidRDefault="00D016CF" w:rsidP="00372BE0">
      <w:pPr>
        <w:pStyle w:val="NoSpacing"/>
        <w:jc w:val="both"/>
      </w:pPr>
      <w:r>
        <w:t xml:space="preserve">The study was conducted at the Ghana Police Hospital, </w:t>
      </w:r>
      <w:r w:rsidR="006D3C0F">
        <w:t xml:space="preserve">Greater </w:t>
      </w:r>
      <w:r>
        <w:t xml:space="preserve">Accra, Ghana. </w:t>
      </w:r>
      <w:r w:rsidR="006D3C0F">
        <w:t>The Greater Region is the smallest area of Ghana’s administrative region, occupy</w:t>
      </w:r>
      <w:r w:rsidR="00D36A55">
        <w:t>ing</w:t>
      </w:r>
      <w:r w:rsidR="006D3C0F">
        <w:t xml:space="preserve"> a total land </w:t>
      </w:r>
      <w:r w:rsidR="001A75AD">
        <w:t>surface area</w:t>
      </w:r>
      <w:r w:rsidR="006D3C0F">
        <w:t xml:space="preserve"> of 3,245 km</w:t>
      </w:r>
      <w:proofErr w:type="gramStart"/>
      <w:r w:rsidR="006D3C0F">
        <w:rPr>
          <w:vertAlign w:val="superscript"/>
        </w:rPr>
        <w:t>2</w:t>
      </w:r>
      <w:r w:rsidR="00A46E81">
        <w:rPr>
          <w:vertAlign w:val="superscript"/>
        </w:rPr>
        <w:t xml:space="preserve"> </w:t>
      </w:r>
      <w:r w:rsidR="001A75AD">
        <w:t>,</w:t>
      </w:r>
      <w:proofErr w:type="gramEnd"/>
      <w:r w:rsidR="001A75AD">
        <w:t xml:space="preserve"> representing 1.4% of the total area of Ghana. The population of the region st</w:t>
      </w:r>
      <w:r w:rsidR="00D36A55">
        <w:t>ood</w:t>
      </w:r>
      <w:r w:rsidR="001A75AD">
        <w:t xml:space="preserve"> at </w:t>
      </w:r>
      <w:r w:rsidR="00D36A55">
        <w:t xml:space="preserve">just over </w:t>
      </w:r>
      <w:r w:rsidR="001A75AD">
        <w:t>4</w:t>
      </w:r>
      <w:r w:rsidR="00D36A55">
        <w:t xml:space="preserve"> million people </w:t>
      </w:r>
      <w:r w:rsidR="001A75AD">
        <w:t>in 2012. There is one tertiary level</w:t>
      </w:r>
      <w:r w:rsidR="00942AD1">
        <w:t xml:space="preserve"> referral</w:t>
      </w:r>
      <w:r w:rsidR="001A75AD">
        <w:t xml:space="preserve"> health facility in Accra, one regional hospital, two quasi-government secondary</w:t>
      </w:r>
      <w:r w:rsidR="00942AD1">
        <w:t xml:space="preserve"> level security hospitals, and a few private hospitals with limited in-service facilities. </w:t>
      </w:r>
      <w:r>
        <w:t>Th</w:t>
      </w:r>
      <w:r w:rsidR="00942AD1">
        <w:t>e Ghana Police hospital</w:t>
      </w:r>
      <w:r>
        <w:t xml:space="preserve"> </w:t>
      </w:r>
      <w:r w:rsidRPr="00B000BC">
        <w:t xml:space="preserve">is a 100-bed </w:t>
      </w:r>
      <w:r>
        <w:t>facility</w:t>
      </w:r>
      <w:r w:rsidRPr="00B000BC">
        <w:t xml:space="preserve"> provid</w:t>
      </w:r>
      <w:r>
        <w:t>ing</w:t>
      </w:r>
      <w:r w:rsidRPr="00B000BC">
        <w:t xml:space="preserve"> health services to police personnel, their dependents, and the general public</w:t>
      </w:r>
      <w:r>
        <w:t>. Some of the specialist services in addition to outpatient services include</w:t>
      </w:r>
      <w:r w:rsidR="00DF347A">
        <w:t xml:space="preserve"> </w:t>
      </w:r>
      <w:r>
        <w:t>gynaecological, surgical, p</w:t>
      </w:r>
      <w:r w:rsidR="00DF347A">
        <w:t>a</w:t>
      </w:r>
      <w:r>
        <w:t>ediatric, family medicine, dental, public health, ophthalmological</w:t>
      </w:r>
      <w:r w:rsidR="00D805EE">
        <w:t xml:space="preserve"> and</w:t>
      </w:r>
      <w:r>
        <w:t xml:space="preserve"> ear-nose-throat services among others. </w:t>
      </w:r>
      <w:r w:rsidR="00D805EE">
        <w:t>The out</w:t>
      </w:r>
      <w:r>
        <w:t xml:space="preserve">-patient </w:t>
      </w:r>
      <w:r w:rsidR="00D805EE">
        <w:t>department</w:t>
      </w:r>
      <w:r w:rsidR="00D805EE" w:rsidRPr="00C83C23">
        <w:t xml:space="preserve"> </w:t>
      </w:r>
      <w:r>
        <w:t xml:space="preserve">provides services to over </w:t>
      </w:r>
      <w:r w:rsidRPr="00DD74D5">
        <w:t>100,000 patients</w:t>
      </w:r>
      <w:r w:rsidR="00942AD1">
        <w:t xml:space="preserve"> </w:t>
      </w:r>
      <w:r w:rsidR="00D36A55">
        <w:t xml:space="preserve">each year, </w:t>
      </w:r>
      <w:r w:rsidR="00942AD1">
        <w:t>representing an estimated 2.5% of the total population of the Greater Accra region</w:t>
      </w:r>
      <w:r w:rsidRPr="00B000BC">
        <w:t>.</w:t>
      </w:r>
      <w:r>
        <w:t xml:space="preserve"> The hospital is currently unde</w:t>
      </w:r>
      <w:r w:rsidR="00430DEA">
        <w:t>rgoing expansion</w:t>
      </w:r>
      <w:r>
        <w:t xml:space="preserve"> to cope with increasing service demands. </w:t>
      </w:r>
      <w:r w:rsidR="00430378">
        <w:t>It</w:t>
      </w:r>
      <w:r>
        <w:t xml:space="preserve"> also serves as a major medical referral centre during national disasters.</w:t>
      </w:r>
      <w:r w:rsidRPr="00B000BC">
        <w:t xml:space="preserve"> </w:t>
      </w:r>
      <w:r>
        <w:t xml:space="preserve">Consequently, </w:t>
      </w:r>
      <w:r w:rsidR="00430DEA">
        <w:t xml:space="preserve">the results </w:t>
      </w:r>
      <w:r w:rsidR="00C656EA">
        <w:t xml:space="preserve">of the study </w:t>
      </w:r>
      <w:r>
        <w:t>can provide a basis for asse</w:t>
      </w:r>
      <w:r w:rsidR="00430DEA">
        <w:t>ssing current ceftriaxone use within hospitals in</w:t>
      </w:r>
      <w:r>
        <w:t xml:space="preserve"> Ghana</w:t>
      </w:r>
      <w:r w:rsidR="0036335B">
        <w:t xml:space="preserve"> </w:t>
      </w:r>
      <w:r w:rsidR="00DE05B3">
        <w:t xml:space="preserve">in order </w:t>
      </w:r>
      <w:r w:rsidR="0045227D">
        <w:t>to develop</w:t>
      </w:r>
      <w:r w:rsidR="0036335B">
        <w:t xml:space="preserve"> future strategies</w:t>
      </w:r>
      <w:r w:rsidR="00DE05B3">
        <w:t xml:space="preserve"> to improve the use of ceftriaxone </w:t>
      </w:r>
      <w:r w:rsidR="00430378">
        <w:t xml:space="preserve">in </w:t>
      </w:r>
      <w:r w:rsidR="00AD18B7">
        <w:t xml:space="preserve">this and other </w:t>
      </w:r>
      <w:r w:rsidR="00430378">
        <w:t xml:space="preserve">hospitals </w:t>
      </w:r>
      <w:r w:rsidR="00AD18B7">
        <w:t xml:space="preserve">in Ghana </w:t>
      </w:r>
      <w:r w:rsidR="00DE05B3">
        <w:t>if pertinent.</w:t>
      </w:r>
    </w:p>
    <w:p w:rsidR="00F61B24" w:rsidRDefault="00F61B24" w:rsidP="00372BE0">
      <w:pPr>
        <w:pStyle w:val="NoSpacing"/>
        <w:jc w:val="both"/>
      </w:pPr>
    </w:p>
    <w:p w:rsidR="00D016CF" w:rsidRPr="00EA6DB9" w:rsidRDefault="00D016CF" w:rsidP="00372BE0">
      <w:pPr>
        <w:pStyle w:val="NoSpacing"/>
        <w:jc w:val="both"/>
        <w:rPr>
          <w:b/>
          <w:i/>
        </w:rPr>
      </w:pPr>
      <w:r w:rsidRPr="00EA6DB9">
        <w:rPr>
          <w:b/>
          <w:i/>
        </w:rPr>
        <w:t>Study design</w:t>
      </w:r>
    </w:p>
    <w:p w:rsidR="00D016CF" w:rsidRDefault="003471F1" w:rsidP="00372BE0">
      <w:pPr>
        <w:pStyle w:val="NoSpacing"/>
        <w:jc w:val="both"/>
      </w:pPr>
      <w:r>
        <w:t xml:space="preserve">This was a </w:t>
      </w:r>
      <w:r w:rsidR="00D016CF">
        <w:t>cross-sectional study conducted from January to June 2015. This study evaluate</w:t>
      </w:r>
      <w:r w:rsidR="00357774">
        <w:t>d ceftriaxone injection use with the aid of</w:t>
      </w:r>
      <w:r w:rsidR="00D016CF">
        <w:t xml:space="preserve"> the </w:t>
      </w:r>
      <w:r w:rsidR="00405FFF">
        <w:t>P</w:t>
      </w:r>
      <w:r w:rsidR="00D016CF">
        <w:t xml:space="preserve">harmacy </w:t>
      </w:r>
      <w:r w:rsidR="00405FFF">
        <w:t>D</w:t>
      </w:r>
      <w:r w:rsidR="00D016CF">
        <w:t xml:space="preserve">epartment’s drug evaluation data collection format. This included pre-set criteria for assessing ceftriaxone use based on the </w:t>
      </w:r>
      <w:r w:rsidR="00D016CF">
        <w:lastRenderedPageBreak/>
        <w:t xml:space="preserve">National </w:t>
      </w:r>
      <w:r w:rsidR="00C656EA">
        <w:t>STGs</w:t>
      </w:r>
      <w:r w:rsidR="007E441A">
        <w:t xml:space="preserve"> [</w:t>
      </w:r>
      <w:r w:rsidR="00AD18B7">
        <w:t>35</w:t>
      </w:r>
      <w:r w:rsidR="00C656EA">
        <w:t>]</w:t>
      </w:r>
      <w:r w:rsidR="001076FE">
        <w:t>,</w:t>
      </w:r>
      <w:r w:rsidR="00D016CF">
        <w:t xml:space="preserve"> and ceftriaxone injection package insert from Roche </w:t>
      </w:r>
      <w:r w:rsidR="004D641F">
        <w:t xml:space="preserve">Laboratories </w:t>
      </w:r>
      <w:r w:rsidR="00D016CF">
        <w:t>[</w:t>
      </w:r>
      <w:r w:rsidR="00DF4A05">
        <w:t xml:space="preserve">Batch number: </w:t>
      </w:r>
      <w:r w:rsidR="00D016CF">
        <w:t xml:space="preserve">B0008B02F93]. </w:t>
      </w:r>
    </w:p>
    <w:p w:rsidR="00D016CF" w:rsidRPr="00420493" w:rsidRDefault="00D016CF" w:rsidP="00372BE0">
      <w:pPr>
        <w:pStyle w:val="NoSpacing"/>
        <w:jc w:val="both"/>
      </w:pPr>
      <w:r>
        <w:t xml:space="preserve"> </w:t>
      </w:r>
    </w:p>
    <w:p w:rsidR="00D016CF" w:rsidRPr="00EA6DB9" w:rsidRDefault="00D016CF" w:rsidP="00372BE0">
      <w:pPr>
        <w:pStyle w:val="NoSpacing"/>
        <w:jc w:val="both"/>
        <w:rPr>
          <w:b/>
          <w:i/>
        </w:rPr>
      </w:pPr>
      <w:r w:rsidRPr="00EA6DB9">
        <w:rPr>
          <w:b/>
          <w:i/>
        </w:rPr>
        <w:t>Data collection and determination of thresholds of key variables.</w:t>
      </w:r>
    </w:p>
    <w:p w:rsidR="00772B8E" w:rsidRDefault="00D016CF" w:rsidP="00372BE0">
      <w:pPr>
        <w:pStyle w:val="NoSpacing"/>
        <w:jc w:val="both"/>
      </w:pPr>
      <w:r>
        <w:t>Patient cards with prescribed ceftriaxone injection</w:t>
      </w:r>
      <w:r w:rsidR="0036335B">
        <w:t>s</w:t>
      </w:r>
      <w:r>
        <w:t xml:space="preserve"> from both out- and in-patient presented at the Pharmacy </w:t>
      </w:r>
      <w:r w:rsidR="00C656EA">
        <w:t>Department of</w:t>
      </w:r>
      <w:r>
        <w:t xml:space="preserve"> the Ghana Police Hospital were assessed </w:t>
      </w:r>
      <w:r w:rsidR="004D1FE8">
        <w:t xml:space="preserve">on receipt </w:t>
      </w:r>
      <w:r>
        <w:t>with the aid of the Pharmacy unit’s drug evaluation form. Demographic information, diagnosis, drug dose, drug frequency, duration of treatment</w:t>
      </w:r>
      <w:r w:rsidRPr="00A14E5E">
        <w:t xml:space="preserve"> </w:t>
      </w:r>
      <w:r>
        <w:t xml:space="preserve">supportive/additional antibiotics, possible drug interactions and disease contraindications were obtained from </w:t>
      </w:r>
      <w:r w:rsidR="004D1FE8">
        <w:t xml:space="preserve">the </w:t>
      </w:r>
      <w:r>
        <w:t>patient cards</w:t>
      </w:r>
      <w:r w:rsidR="00FC4681">
        <w:t>.</w:t>
      </w:r>
    </w:p>
    <w:p w:rsidR="00EA6DB9" w:rsidRDefault="00772B8E" w:rsidP="00372BE0">
      <w:pPr>
        <w:pStyle w:val="NoSpacing"/>
        <w:jc w:val="both"/>
      </w:pPr>
      <w:r>
        <w:t>A modified version of the World Health Organization (WHO) criteria was adopted for the drug use evaluation [38].</w:t>
      </w:r>
      <w:r w:rsidR="00FC4681">
        <w:t xml:space="preserve"> </w:t>
      </w:r>
      <w:r w:rsidR="00EC40B7">
        <w:t xml:space="preserve">In line with </w:t>
      </w:r>
      <w:r>
        <w:t>WHO</w:t>
      </w:r>
      <w:r w:rsidR="00EC40B7">
        <w:t xml:space="preserve"> criteria for assessing medicine in the absence of hospital </w:t>
      </w:r>
      <w:r w:rsidR="00D36A55">
        <w:t xml:space="preserve">specific </w:t>
      </w:r>
      <w:r w:rsidR="00EC40B7">
        <w:t>STG’</w:t>
      </w:r>
      <w:r w:rsidR="00EA2FF6">
        <w:t>s</w:t>
      </w:r>
      <w:r w:rsidR="00D36A55">
        <w:t>,</w:t>
      </w:r>
      <w:r w:rsidR="00EC40B7">
        <w:t xml:space="preserve"> we based our criteria on recommendations from the national STGs</w:t>
      </w:r>
      <w:r w:rsidR="00EA2FF6">
        <w:t>,</w:t>
      </w:r>
      <w:r w:rsidR="00EC40B7">
        <w:t xml:space="preserve"> </w:t>
      </w:r>
      <w:r w:rsidR="00D36A55">
        <w:t xml:space="preserve">which is principally aimed at primary care, </w:t>
      </w:r>
      <w:r w:rsidR="00EC40B7">
        <w:t>in addition to manufacturer’s package insert</w:t>
      </w:r>
      <w:r w:rsidR="00D36A55">
        <w:t>. These two sources are seen as</w:t>
      </w:r>
      <w:r w:rsidR="00EC40B7">
        <w:t xml:space="preserve"> relevant literature source</w:t>
      </w:r>
      <w:r w:rsidR="00D36A55">
        <w:t>s</w:t>
      </w:r>
      <w:r w:rsidR="00EC40B7">
        <w:t xml:space="preserve"> for </w:t>
      </w:r>
      <w:proofErr w:type="gramStart"/>
      <w:r w:rsidR="00EC40B7">
        <w:t>prescribers</w:t>
      </w:r>
      <w:proofErr w:type="gramEnd"/>
      <w:r w:rsidR="00EA2FF6">
        <w:t xml:space="preserve"> guidance</w:t>
      </w:r>
      <w:r w:rsidR="00EC40B7">
        <w:t xml:space="preserve"> in this setting. Hence,</w:t>
      </w:r>
      <w:r>
        <w:t xml:space="preserve"> </w:t>
      </w:r>
      <w:r w:rsidR="004D1FE8">
        <w:t>p</w:t>
      </w:r>
      <w:r w:rsidR="00FC4681">
        <w:t>re</w:t>
      </w:r>
      <w:r w:rsidR="004D1FE8">
        <w:t xml:space="preserve">scribing of ceftriaxone </w:t>
      </w:r>
      <w:r w:rsidR="00FC4681">
        <w:t>was considered appropriate i</w:t>
      </w:r>
      <w:r w:rsidR="004D1FE8">
        <w:t>f this</w:t>
      </w:r>
      <w:r w:rsidR="00FC4681">
        <w:t xml:space="preserve"> was in line with </w:t>
      </w:r>
      <w:r w:rsidR="004D1FE8">
        <w:t xml:space="preserve">the </w:t>
      </w:r>
      <w:r w:rsidR="00FC4681">
        <w:t>recommend</w:t>
      </w:r>
      <w:r>
        <w:t>ations</w:t>
      </w:r>
      <w:r w:rsidR="004D1FE8">
        <w:t xml:space="preserve"> in the STGs and the manu</w:t>
      </w:r>
      <w:r w:rsidR="003B1450">
        <w:t xml:space="preserve">facturer’s </w:t>
      </w:r>
      <w:r w:rsidR="00D016CF">
        <w:t xml:space="preserve">package insert. </w:t>
      </w:r>
    </w:p>
    <w:p w:rsidR="00EA6DB9" w:rsidRDefault="00EA6DB9" w:rsidP="00372BE0">
      <w:pPr>
        <w:pStyle w:val="NoSpacing"/>
        <w:jc w:val="both"/>
      </w:pPr>
    </w:p>
    <w:p w:rsidR="00D016CF" w:rsidRPr="009013F4" w:rsidRDefault="00D016CF" w:rsidP="00372BE0">
      <w:pPr>
        <w:pStyle w:val="NoSpacing"/>
        <w:jc w:val="both"/>
      </w:pPr>
      <w:r>
        <w:t>Furthermore, the actual thresholds of prescribed ceftriaxone with respect to diagnosis, dose, frequency, duration, need for supportive/additional antibiotics, possible drug interactions and contraindications were</w:t>
      </w:r>
      <w:r w:rsidR="001F7143">
        <w:t xml:space="preserve"> determined</w:t>
      </w:r>
      <w:r>
        <w:t xml:space="preserve"> </w:t>
      </w:r>
      <w:r w:rsidR="001F7143">
        <w:t>and</w:t>
      </w:r>
      <w:r>
        <w:t xml:space="preserve"> assessed against pre-set criteria thresholds ranging between 95-100%</w:t>
      </w:r>
      <w:r w:rsidR="0050563E">
        <w:t>. This threshold was</w:t>
      </w:r>
      <w:r w:rsidR="0036335B">
        <w:t xml:space="preserve"> based on </w:t>
      </w:r>
      <w:r w:rsidR="004D641F">
        <w:t xml:space="preserve">the </w:t>
      </w:r>
      <w:r w:rsidR="0036335B">
        <w:t>WHO and Management Sciences for Health</w:t>
      </w:r>
      <w:r w:rsidR="0078005B">
        <w:t xml:space="preserve"> guidelines for</w:t>
      </w:r>
      <w:r w:rsidR="0050563E">
        <w:t xml:space="preserve"> the </w:t>
      </w:r>
      <w:r w:rsidR="0078005B">
        <w:t>evaluation</w:t>
      </w:r>
      <w:r w:rsidR="0036335B">
        <w:t xml:space="preserve"> </w:t>
      </w:r>
      <w:r w:rsidR="0050563E">
        <w:t xml:space="preserve">of </w:t>
      </w:r>
      <w:r w:rsidR="004D1FE8">
        <w:t>drug</w:t>
      </w:r>
      <w:r w:rsidR="0050563E">
        <w:t xml:space="preserve"> use in hospitals </w:t>
      </w:r>
      <w:r w:rsidR="0036335B">
        <w:t>[</w:t>
      </w:r>
      <w:r w:rsidR="004D641F">
        <w:rPr>
          <w:color w:val="000000" w:themeColor="text1"/>
        </w:rPr>
        <w:t>3</w:t>
      </w:r>
      <w:r w:rsidR="00AD18B7">
        <w:rPr>
          <w:color w:val="000000" w:themeColor="text1"/>
        </w:rPr>
        <w:t>9</w:t>
      </w:r>
      <w:r w:rsidR="0036335B">
        <w:t>]</w:t>
      </w:r>
      <w:r>
        <w:t>. Patient cards not bearing any of the required data</w:t>
      </w:r>
      <w:r w:rsidR="0078005B">
        <w:t xml:space="preserve"> on</w:t>
      </w:r>
      <w:r>
        <w:t xml:space="preserve"> sex, age, drug dose, drug frequency, duration of treatment and diagnosis, were excluded.</w:t>
      </w:r>
    </w:p>
    <w:p w:rsidR="0036335B" w:rsidRDefault="0036335B" w:rsidP="00372BE0">
      <w:pPr>
        <w:pStyle w:val="NoSpacing"/>
        <w:jc w:val="both"/>
      </w:pPr>
    </w:p>
    <w:p w:rsidR="00ED11F6" w:rsidRDefault="00ED11F6" w:rsidP="00ED11F6">
      <w:pPr>
        <w:pStyle w:val="NoSpacing"/>
        <w:rPr>
          <w:b/>
        </w:rPr>
      </w:pPr>
      <w:r>
        <w:rPr>
          <w:b/>
        </w:rPr>
        <w:t xml:space="preserve">% Actual Threshold = </w:t>
      </w:r>
      <w:r w:rsidRPr="00725228">
        <w:rPr>
          <w:b/>
          <w:u w:val="single"/>
        </w:rPr>
        <w:t xml:space="preserve">Total observed appropriateness of </w:t>
      </w:r>
      <w:r>
        <w:rPr>
          <w:b/>
          <w:u w:val="single"/>
        </w:rPr>
        <w:t>each</w:t>
      </w:r>
      <w:r w:rsidRPr="00725228">
        <w:rPr>
          <w:b/>
          <w:u w:val="single"/>
        </w:rPr>
        <w:t xml:space="preserve"> variable</w:t>
      </w:r>
      <w:r>
        <w:rPr>
          <w:b/>
        </w:rPr>
        <w:t xml:space="preserve"> x 100</w:t>
      </w:r>
      <w:r w:rsidR="001F7143">
        <w:rPr>
          <w:b/>
        </w:rPr>
        <w:t>.</w:t>
      </w:r>
      <w:r>
        <w:rPr>
          <w:b/>
        </w:rPr>
        <w:t xml:space="preserve"> </w:t>
      </w:r>
    </w:p>
    <w:p w:rsidR="00ED11F6" w:rsidRDefault="00ED11F6" w:rsidP="00ED11F6">
      <w:pPr>
        <w:pStyle w:val="NoSpacing"/>
        <w:ind w:left="720"/>
        <w:rPr>
          <w:b/>
        </w:rPr>
      </w:pPr>
      <w:r>
        <w:rPr>
          <w:b/>
        </w:rPr>
        <w:t xml:space="preserve">                           Total expected appropriateness of each variable </w:t>
      </w:r>
    </w:p>
    <w:p w:rsidR="00ED11F6" w:rsidRDefault="00ED11F6" w:rsidP="00372BE0">
      <w:pPr>
        <w:pStyle w:val="NoSpacing"/>
        <w:jc w:val="both"/>
      </w:pPr>
    </w:p>
    <w:p w:rsidR="00FC4681" w:rsidRDefault="00FC4681" w:rsidP="00372BE0">
      <w:pPr>
        <w:pStyle w:val="NoSpacing"/>
        <w:jc w:val="both"/>
      </w:pPr>
      <w:r>
        <w:t>There was no attempt to assess the accuracy of the diagnosis stated on the patient c</w:t>
      </w:r>
      <w:r w:rsidR="003B1450">
        <w:t>ards as this was a</w:t>
      </w:r>
      <w:r>
        <w:t xml:space="preserve"> drug use evaluation study based on the </w:t>
      </w:r>
      <w:r w:rsidR="003B1450">
        <w:t xml:space="preserve">actual </w:t>
      </w:r>
      <w:r>
        <w:t>data included in the record cards and did not involv</w:t>
      </w:r>
      <w:r w:rsidR="003B1450">
        <w:t>e interviews with physicians or</w:t>
      </w:r>
      <w:r>
        <w:t xml:space="preserve"> other professionals. </w:t>
      </w:r>
      <w:r w:rsidR="00AD18B7">
        <w:t>Some of these anyway may have left the hospital to practice elsewhere by the time the data was analysed.</w:t>
      </w:r>
    </w:p>
    <w:p w:rsidR="00FC4681" w:rsidRDefault="00FC4681" w:rsidP="00372BE0">
      <w:pPr>
        <w:pStyle w:val="NoSpacing"/>
        <w:jc w:val="both"/>
      </w:pPr>
    </w:p>
    <w:p w:rsidR="00D016CF" w:rsidRPr="00EA6DB9" w:rsidRDefault="00D016CF" w:rsidP="00372BE0">
      <w:pPr>
        <w:pStyle w:val="NoSpacing"/>
        <w:jc w:val="both"/>
        <w:rPr>
          <w:b/>
          <w:i/>
        </w:rPr>
      </w:pPr>
      <w:r w:rsidRPr="00EA6DB9">
        <w:rPr>
          <w:b/>
          <w:i/>
        </w:rPr>
        <w:t>Statistical analysis</w:t>
      </w:r>
    </w:p>
    <w:p w:rsidR="00D016CF" w:rsidRPr="00B55AFA" w:rsidRDefault="00D016CF" w:rsidP="00372BE0">
      <w:pPr>
        <w:pStyle w:val="NoSpacing"/>
        <w:jc w:val="both"/>
      </w:pPr>
      <w:r w:rsidRPr="00821EA0">
        <w:t>Data generated from patient cards</w:t>
      </w:r>
      <w:r>
        <w:t xml:space="preserve"> were</w:t>
      </w:r>
      <w:r w:rsidRPr="00821EA0">
        <w:t xml:space="preserve"> </w:t>
      </w:r>
      <w:r>
        <w:t xml:space="preserve">categorized and </w:t>
      </w:r>
      <w:proofErr w:type="spellStart"/>
      <w:r>
        <w:t>analyzed</w:t>
      </w:r>
      <w:proofErr w:type="spellEnd"/>
      <w:r>
        <w:t xml:space="preserve"> with the aid of</w:t>
      </w:r>
      <w:r w:rsidRPr="00821EA0">
        <w:t xml:space="preserve"> Excel spreadsheet (Microsoft Excel 2010), after verification and cleaning. Descript</w:t>
      </w:r>
      <w:r>
        <w:t xml:space="preserve">ive statistics (percentages, </w:t>
      </w:r>
      <w:r w:rsidRPr="00821EA0">
        <w:t>frequency</w:t>
      </w:r>
      <w:r>
        <w:t xml:space="preserve"> and histogram</w:t>
      </w:r>
      <w:r w:rsidR="0078005B">
        <w:t>s</w:t>
      </w:r>
      <w:r w:rsidRPr="00821EA0">
        <w:t xml:space="preserve">) was used to </w:t>
      </w:r>
      <w:proofErr w:type="spellStart"/>
      <w:r w:rsidRPr="00821EA0">
        <w:t>analyze</w:t>
      </w:r>
      <w:proofErr w:type="spellEnd"/>
      <w:r w:rsidRPr="00821EA0">
        <w:t xml:space="preserve"> </w:t>
      </w:r>
      <w:r w:rsidR="00B92124">
        <w:t xml:space="preserve">the </w:t>
      </w:r>
      <w:r w:rsidRPr="00821EA0">
        <w:t>data.</w:t>
      </w:r>
    </w:p>
    <w:p w:rsidR="00315838" w:rsidRDefault="00315838" w:rsidP="00372BE0">
      <w:pPr>
        <w:pStyle w:val="NoSpacing"/>
        <w:jc w:val="both"/>
      </w:pPr>
    </w:p>
    <w:p w:rsidR="00D016CF" w:rsidRPr="00EA6DB9" w:rsidRDefault="00D016CF" w:rsidP="00372BE0">
      <w:pPr>
        <w:pStyle w:val="NoSpacing"/>
        <w:jc w:val="both"/>
        <w:rPr>
          <w:b/>
          <w:i/>
        </w:rPr>
      </w:pPr>
      <w:r w:rsidRPr="00EA6DB9">
        <w:rPr>
          <w:b/>
          <w:i/>
        </w:rPr>
        <w:t>Ethical consideration</w:t>
      </w:r>
    </w:p>
    <w:p w:rsidR="0078005B" w:rsidRDefault="00D016CF" w:rsidP="00372BE0">
      <w:pPr>
        <w:pStyle w:val="NoSpacing"/>
        <w:jc w:val="both"/>
        <w:rPr>
          <w:b/>
        </w:rPr>
      </w:pPr>
      <w:r w:rsidRPr="00F236E9">
        <w:t>The study protocol received approval from the Ghana Police Hospital Administration.</w:t>
      </w:r>
      <w:r>
        <w:t xml:space="preserve"> Patients</w:t>
      </w:r>
      <w:r w:rsidR="00430378">
        <w:t>’</w:t>
      </w:r>
      <w:r>
        <w:t xml:space="preserve"> data w</w:t>
      </w:r>
      <w:r w:rsidR="0078005B">
        <w:t>ere</w:t>
      </w:r>
      <w:r>
        <w:t xml:space="preserve"> handled with utmost confidentiality, and all </w:t>
      </w:r>
      <w:r w:rsidR="0078005B">
        <w:t xml:space="preserve">patients and </w:t>
      </w:r>
      <w:proofErr w:type="gramStart"/>
      <w:r w:rsidR="0078005B">
        <w:t>doctors</w:t>
      </w:r>
      <w:proofErr w:type="gramEnd"/>
      <w:r>
        <w:t xml:space="preserve"> identifiers </w:t>
      </w:r>
      <w:r w:rsidR="0078005B">
        <w:t xml:space="preserve">were </w:t>
      </w:r>
      <w:r>
        <w:t>removed.</w:t>
      </w:r>
    </w:p>
    <w:p w:rsidR="00430378" w:rsidRDefault="00430378" w:rsidP="00372BE0">
      <w:pPr>
        <w:pStyle w:val="NoSpacing"/>
        <w:jc w:val="both"/>
        <w:rPr>
          <w:b/>
        </w:rPr>
      </w:pPr>
    </w:p>
    <w:p w:rsidR="00D016CF" w:rsidRPr="00EA6DB9" w:rsidRDefault="00D016CF" w:rsidP="00372BE0">
      <w:pPr>
        <w:pStyle w:val="NoSpacing"/>
        <w:jc w:val="both"/>
        <w:rPr>
          <w:b/>
        </w:rPr>
      </w:pPr>
      <w:r w:rsidRPr="00EA6DB9">
        <w:rPr>
          <w:b/>
        </w:rPr>
        <w:t>RESULTS</w:t>
      </w:r>
    </w:p>
    <w:p w:rsidR="00EA6DB9" w:rsidRDefault="00EA6DB9" w:rsidP="00372BE0">
      <w:pPr>
        <w:pStyle w:val="NoSpacing"/>
        <w:jc w:val="both"/>
      </w:pPr>
    </w:p>
    <w:p w:rsidR="00D016CF" w:rsidRPr="00EA6DB9" w:rsidRDefault="00D016CF" w:rsidP="00372BE0">
      <w:pPr>
        <w:pStyle w:val="NoSpacing"/>
        <w:jc w:val="both"/>
        <w:rPr>
          <w:b/>
          <w:i/>
        </w:rPr>
      </w:pPr>
      <w:r w:rsidRPr="00EA6DB9">
        <w:rPr>
          <w:b/>
          <w:i/>
        </w:rPr>
        <w:t>Demography of patients</w:t>
      </w:r>
    </w:p>
    <w:p w:rsidR="00D016CF" w:rsidRPr="00D016CF" w:rsidRDefault="00D016CF" w:rsidP="00372BE0">
      <w:pPr>
        <w:pStyle w:val="NoSpacing"/>
        <w:jc w:val="both"/>
      </w:pPr>
      <w:r>
        <w:t xml:space="preserve">Out of the 276 patients </w:t>
      </w:r>
      <w:r w:rsidR="005D6BDA">
        <w:t xml:space="preserve">whose </w:t>
      </w:r>
      <w:r>
        <w:t xml:space="preserve">cards </w:t>
      </w:r>
      <w:r w:rsidR="004D1FE8">
        <w:t xml:space="preserve">were </w:t>
      </w:r>
      <w:r>
        <w:t>reviewed within</w:t>
      </w:r>
      <w:r w:rsidR="0078005B">
        <w:t xml:space="preserve"> the</w:t>
      </w:r>
      <w:r>
        <w:t xml:space="preserve"> study period</w:t>
      </w:r>
      <w:r w:rsidR="00990CF7">
        <w:t xml:space="preserve"> which had ceftriaxone injection prescribed</w:t>
      </w:r>
      <w:r>
        <w:t xml:space="preserve">, 251 (90%) had all </w:t>
      </w:r>
      <w:r w:rsidR="007239D6">
        <w:t xml:space="preserve">the </w:t>
      </w:r>
      <w:r>
        <w:t xml:space="preserve">relevant information required for inclusion in the evaluation of ceftriaxone use. </w:t>
      </w:r>
      <w:r w:rsidR="00FC4681">
        <w:t xml:space="preserve">In- and out-patients who were prescribed ceftriaxone injection constituted 12.4 % (31) and 87.6 % (220) of patients respectively. </w:t>
      </w:r>
      <w:r>
        <w:t xml:space="preserve">The </w:t>
      </w:r>
      <w:r>
        <w:lastRenderedPageBreak/>
        <w:t xml:space="preserve">age category with the highest prescription of ceftriaxone was 21 − </w:t>
      </w:r>
      <w:r w:rsidRPr="00A95A7A">
        <w:rPr>
          <w:u w:val="single"/>
        </w:rPr>
        <w:t>&lt;</w:t>
      </w:r>
      <w:r>
        <w:t xml:space="preserve"> 40 years (n = 95, 37.8%) whilst the age category with the least ceftriaxone prescriptions (n</w:t>
      </w:r>
      <w:r w:rsidR="0049176C">
        <w:t xml:space="preserve"> </w:t>
      </w:r>
      <w:r>
        <w:t>=</w:t>
      </w:r>
      <w:r w:rsidR="0049176C">
        <w:t xml:space="preserve"> </w:t>
      </w:r>
      <w:r>
        <w:t xml:space="preserve">22, 8.8%) were patients older than 60 years. The gender and age categories of patients whose cards had ceftriaxone injection </w:t>
      </w:r>
      <w:r w:rsidR="00837E8F">
        <w:t xml:space="preserve">prescribed </w:t>
      </w:r>
      <w:r>
        <w:t xml:space="preserve">are shown in Table 1. </w:t>
      </w:r>
    </w:p>
    <w:p w:rsidR="00947E12" w:rsidRDefault="00947E12" w:rsidP="00EA6DB9">
      <w:pPr>
        <w:pStyle w:val="NoSpacing"/>
      </w:pPr>
    </w:p>
    <w:p w:rsidR="00D016CF" w:rsidRPr="00691003" w:rsidRDefault="00D016CF" w:rsidP="00A37027">
      <w:pPr>
        <w:pStyle w:val="NoSpacing"/>
        <w:jc w:val="both"/>
        <w:rPr>
          <w:b/>
        </w:rPr>
      </w:pPr>
      <w:r w:rsidRPr="00691003">
        <w:rPr>
          <w:b/>
        </w:rPr>
        <w:t xml:space="preserve">Table 1: Gender and age </w:t>
      </w:r>
      <w:r w:rsidR="00AB7E5A" w:rsidRPr="00691003">
        <w:rPr>
          <w:b/>
        </w:rPr>
        <w:t xml:space="preserve">characteristics </w:t>
      </w:r>
      <w:r w:rsidRPr="00691003">
        <w:rPr>
          <w:b/>
        </w:rPr>
        <w:t xml:space="preserve">of study patients </w:t>
      </w:r>
      <w:r w:rsidR="004D1FE8">
        <w:rPr>
          <w:b/>
        </w:rPr>
        <w:t>prescribed</w:t>
      </w:r>
      <w:r w:rsidR="00AB7E5A" w:rsidRPr="00691003">
        <w:rPr>
          <w:b/>
        </w:rPr>
        <w:t xml:space="preserve"> ceftriaxone        </w:t>
      </w:r>
      <w:proofErr w:type="gramStart"/>
      <w:r w:rsidR="00AB7E5A" w:rsidRPr="00691003">
        <w:rPr>
          <w:b/>
        </w:rPr>
        <w:t xml:space="preserve">   </w:t>
      </w:r>
      <w:r w:rsidRPr="00691003">
        <w:rPr>
          <w:b/>
        </w:rPr>
        <w:t>(</w:t>
      </w:r>
      <w:proofErr w:type="gramEnd"/>
      <w:r w:rsidRPr="00691003">
        <w:rPr>
          <w:b/>
        </w:rPr>
        <w:t>n = 251)</w:t>
      </w:r>
    </w:p>
    <w:p w:rsidR="00EA6DB9" w:rsidRPr="00EA6DB9" w:rsidRDefault="00EA6DB9" w:rsidP="00EA6DB9">
      <w:pPr>
        <w:pStyle w:val="NoSpacing"/>
        <w:rPr>
          <w:u w:val="single"/>
        </w:rPr>
      </w:pPr>
    </w:p>
    <w:tbl>
      <w:tblPr>
        <w:tblStyle w:val="TableGrid"/>
        <w:tblW w:w="0" w:type="auto"/>
        <w:tblLook w:val="04A0" w:firstRow="1" w:lastRow="0" w:firstColumn="1" w:lastColumn="0" w:noHBand="0" w:noVBand="1"/>
      </w:tblPr>
      <w:tblGrid>
        <w:gridCol w:w="3168"/>
        <w:gridCol w:w="1980"/>
        <w:gridCol w:w="2034"/>
      </w:tblGrid>
      <w:tr w:rsidR="00D016CF" w:rsidTr="004D641F">
        <w:tc>
          <w:tcPr>
            <w:tcW w:w="3168" w:type="dxa"/>
          </w:tcPr>
          <w:p w:rsidR="00D016CF" w:rsidRPr="0062732C" w:rsidRDefault="00AB7E5A" w:rsidP="00EA6DB9">
            <w:pPr>
              <w:pStyle w:val="NoSpacing"/>
              <w:rPr>
                <w:b/>
              </w:rPr>
            </w:pPr>
            <w:r>
              <w:rPr>
                <w:b/>
              </w:rPr>
              <w:t>Characteristics</w:t>
            </w:r>
          </w:p>
        </w:tc>
        <w:tc>
          <w:tcPr>
            <w:tcW w:w="1980" w:type="dxa"/>
            <w:vMerge w:val="restart"/>
          </w:tcPr>
          <w:p w:rsidR="00D016CF" w:rsidRPr="0062732C" w:rsidRDefault="00D016CF" w:rsidP="0062732C">
            <w:pPr>
              <w:pStyle w:val="NoSpacing"/>
              <w:jc w:val="center"/>
              <w:rPr>
                <w:b/>
              </w:rPr>
            </w:pPr>
          </w:p>
          <w:p w:rsidR="00D016CF" w:rsidRPr="0062732C" w:rsidRDefault="00D016CF" w:rsidP="0062732C">
            <w:pPr>
              <w:pStyle w:val="NoSpacing"/>
              <w:jc w:val="center"/>
              <w:rPr>
                <w:b/>
              </w:rPr>
            </w:pPr>
            <w:r w:rsidRPr="0062732C">
              <w:rPr>
                <w:b/>
              </w:rPr>
              <w:t>Frequency</w:t>
            </w:r>
          </w:p>
        </w:tc>
        <w:tc>
          <w:tcPr>
            <w:tcW w:w="2034" w:type="dxa"/>
            <w:vMerge w:val="restart"/>
          </w:tcPr>
          <w:p w:rsidR="00D016CF" w:rsidRPr="0062732C" w:rsidRDefault="00D016CF" w:rsidP="0062732C">
            <w:pPr>
              <w:pStyle w:val="NoSpacing"/>
              <w:jc w:val="center"/>
              <w:rPr>
                <w:b/>
              </w:rPr>
            </w:pPr>
          </w:p>
          <w:p w:rsidR="00D016CF" w:rsidRPr="0062732C" w:rsidRDefault="00D016CF" w:rsidP="0062732C">
            <w:pPr>
              <w:pStyle w:val="NoSpacing"/>
              <w:jc w:val="center"/>
              <w:rPr>
                <w:b/>
              </w:rPr>
            </w:pPr>
            <w:r w:rsidRPr="0062732C">
              <w:rPr>
                <w:b/>
              </w:rPr>
              <w:t>Percentage (%)</w:t>
            </w:r>
          </w:p>
        </w:tc>
      </w:tr>
      <w:tr w:rsidR="00D016CF" w:rsidTr="004D641F">
        <w:tc>
          <w:tcPr>
            <w:tcW w:w="3168" w:type="dxa"/>
          </w:tcPr>
          <w:p w:rsidR="00D016CF" w:rsidRPr="00945AB4" w:rsidRDefault="00D016CF" w:rsidP="00EA6DB9">
            <w:pPr>
              <w:pStyle w:val="NoSpacing"/>
              <w:rPr>
                <w:i/>
              </w:rPr>
            </w:pPr>
            <w:r w:rsidRPr="00945AB4">
              <w:rPr>
                <w:i/>
              </w:rPr>
              <w:t>Gender</w:t>
            </w:r>
          </w:p>
        </w:tc>
        <w:tc>
          <w:tcPr>
            <w:tcW w:w="1980" w:type="dxa"/>
            <w:vMerge/>
          </w:tcPr>
          <w:p w:rsidR="00D016CF" w:rsidRDefault="00D016CF" w:rsidP="0062732C">
            <w:pPr>
              <w:pStyle w:val="NoSpacing"/>
              <w:jc w:val="center"/>
            </w:pPr>
          </w:p>
        </w:tc>
        <w:tc>
          <w:tcPr>
            <w:tcW w:w="2034" w:type="dxa"/>
            <w:vMerge/>
          </w:tcPr>
          <w:p w:rsidR="00D016CF" w:rsidRDefault="00D016CF" w:rsidP="0062732C">
            <w:pPr>
              <w:pStyle w:val="NoSpacing"/>
              <w:jc w:val="center"/>
            </w:pPr>
          </w:p>
        </w:tc>
      </w:tr>
      <w:tr w:rsidR="00D016CF" w:rsidTr="004D641F">
        <w:tc>
          <w:tcPr>
            <w:tcW w:w="3168" w:type="dxa"/>
          </w:tcPr>
          <w:p w:rsidR="00D016CF" w:rsidRDefault="00D016CF" w:rsidP="00EA6DB9">
            <w:pPr>
              <w:pStyle w:val="NoSpacing"/>
            </w:pPr>
            <w:r>
              <w:t>Male</w:t>
            </w:r>
          </w:p>
        </w:tc>
        <w:tc>
          <w:tcPr>
            <w:tcW w:w="1980" w:type="dxa"/>
          </w:tcPr>
          <w:p w:rsidR="00D016CF" w:rsidRDefault="00D016CF" w:rsidP="0062732C">
            <w:pPr>
              <w:pStyle w:val="NoSpacing"/>
              <w:jc w:val="center"/>
            </w:pPr>
            <w:r>
              <w:t>133</w:t>
            </w:r>
          </w:p>
        </w:tc>
        <w:tc>
          <w:tcPr>
            <w:tcW w:w="2034" w:type="dxa"/>
          </w:tcPr>
          <w:p w:rsidR="00D016CF" w:rsidRDefault="00D016CF" w:rsidP="0062732C">
            <w:pPr>
              <w:pStyle w:val="NoSpacing"/>
              <w:jc w:val="center"/>
            </w:pPr>
            <w:r>
              <w:t>53</w:t>
            </w:r>
            <w:r w:rsidR="00AB7E5A">
              <w:t>.0</w:t>
            </w:r>
          </w:p>
        </w:tc>
      </w:tr>
      <w:tr w:rsidR="00D016CF" w:rsidTr="004D641F">
        <w:tc>
          <w:tcPr>
            <w:tcW w:w="3168" w:type="dxa"/>
          </w:tcPr>
          <w:p w:rsidR="00D016CF" w:rsidRDefault="00D016CF" w:rsidP="00EA6DB9">
            <w:pPr>
              <w:pStyle w:val="NoSpacing"/>
            </w:pPr>
            <w:r>
              <w:t>Female</w:t>
            </w:r>
          </w:p>
        </w:tc>
        <w:tc>
          <w:tcPr>
            <w:tcW w:w="1980" w:type="dxa"/>
          </w:tcPr>
          <w:p w:rsidR="00D016CF" w:rsidRDefault="00D016CF" w:rsidP="0062732C">
            <w:pPr>
              <w:pStyle w:val="NoSpacing"/>
              <w:jc w:val="center"/>
            </w:pPr>
            <w:r>
              <w:t>118</w:t>
            </w:r>
          </w:p>
        </w:tc>
        <w:tc>
          <w:tcPr>
            <w:tcW w:w="2034" w:type="dxa"/>
          </w:tcPr>
          <w:p w:rsidR="00D016CF" w:rsidRDefault="00D016CF" w:rsidP="0062732C">
            <w:pPr>
              <w:pStyle w:val="NoSpacing"/>
              <w:jc w:val="center"/>
            </w:pPr>
            <w:r>
              <w:t>47</w:t>
            </w:r>
            <w:r w:rsidR="00AB7E5A">
              <w:t>.0</w:t>
            </w:r>
          </w:p>
        </w:tc>
      </w:tr>
      <w:tr w:rsidR="00D016CF" w:rsidTr="004D641F">
        <w:tc>
          <w:tcPr>
            <w:tcW w:w="3168" w:type="dxa"/>
          </w:tcPr>
          <w:p w:rsidR="00D016CF" w:rsidRPr="00945AB4" w:rsidRDefault="00D016CF" w:rsidP="00EA6DB9">
            <w:pPr>
              <w:pStyle w:val="NoSpacing"/>
              <w:rPr>
                <w:i/>
              </w:rPr>
            </w:pPr>
            <w:r w:rsidRPr="00945AB4">
              <w:rPr>
                <w:i/>
              </w:rPr>
              <w:t>Ag</w:t>
            </w:r>
            <w:r>
              <w:rPr>
                <w:i/>
              </w:rPr>
              <w:t>e Category</w:t>
            </w:r>
          </w:p>
        </w:tc>
        <w:tc>
          <w:tcPr>
            <w:tcW w:w="1980" w:type="dxa"/>
          </w:tcPr>
          <w:p w:rsidR="00D016CF" w:rsidRDefault="00D016CF" w:rsidP="0062732C">
            <w:pPr>
              <w:pStyle w:val="NoSpacing"/>
              <w:jc w:val="center"/>
            </w:pPr>
          </w:p>
        </w:tc>
        <w:tc>
          <w:tcPr>
            <w:tcW w:w="2034" w:type="dxa"/>
          </w:tcPr>
          <w:p w:rsidR="00D016CF" w:rsidRDefault="00D016CF" w:rsidP="0062732C">
            <w:pPr>
              <w:pStyle w:val="NoSpacing"/>
              <w:jc w:val="center"/>
            </w:pPr>
          </w:p>
        </w:tc>
      </w:tr>
      <w:tr w:rsidR="00D016CF" w:rsidTr="004D641F">
        <w:tc>
          <w:tcPr>
            <w:tcW w:w="3168" w:type="dxa"/>
          </w:tcPr>
          <w:p w:rsidR="00D016CF" w:rsidRDefault="00D016CF" w:rsidP="00EA6DB9">
            <w:pPr>
              <w:pStyle w:val="NoSpacing"/>
            </w:pPr>
            <w:r>
              <w:t xml:space="preserve">4 months to </w:t>
            </w:r>
            <w:r w:rsidRPr="002765A2">
              <w:rPr>
                <w:u w:val="single"/>
              </w:rPr>
              <w:t>&lt;</w:t>
            </w:r>
            <w:r>
              <w:t xml:space="preserve"> 5 years</w:t>
            </w:r>
          </w:p>
        </w:tc>
        <w:tc>
          <w:tcPr>
            <w:tcW w:w="1980" w:type="dxa"/>
          </w:tcPr>
          <w:p w:rsidR="00D016CF" w:rsidRDefault="00D016CF" w:rsidP="0062732C">
            <w:pPr>
              <w:pStyle w:val="NoSpacing"/>
              <w:jc w:val="center"/>
            </w:pPr>
            <w:r>
              <w:t>32</w:t>
            </w:r>
          </w:p>
        </w:tc>
        <w:tc>
          <w:tcPr>
            <w:tcW w:w="2034" w:type="dxa"/>
          </w:tcPr>
          <w:p w:rsidR="00D016CF" w:rsidRDefault="00D016CF" w:rsidP="0062732C">
            <w:pPr>
              <w:pStyle w:val="NoSpacing"/>
              <w:jc w:val="center"/>
            </w:pPr>
            <w:r>
              <w:t>12.8</w:t>
            </w:r>
          </w:p>
        </w:tc>
      </w:tr>
      <w:tr w:rsidR="00D016CF" w:rsidTr="004D641F">
        <w:tc>
          <w:tcPr>
            <w:tcW w:w="3168" w:type="dxa"/>
          </w:tcPr>
          <w:p w:rsidR="00D016CF" w:rsidRDefault="00AB7E5A" w:rsidP="00EA6DB9">
            <w:pPr>
              <w:pStyle w:val="NoSpacing"/>
            </w:pPr>
            <w:r>
              <w:t>&gt;5</w:t>
            </w:r>
            <w:r w:rsidR="00D016CF">
              <w:t xml:space="preserve"> years to </w:t>
            </w:r>
            <w:r w:rsidR="00D016CF" w:rsidRPr="002765A2">
              <w:rPr>
                <w:u w:val="single"/>
              </w:rPr>
              <w:t>&lt;</w:t>
            </w:r>
            <w:r w:rsidR="00D016CF">
              <w:t xml:space="preserve"> 13 years</w:t>
            </w:r>
          </w:p>
        </w:tc>
        <w:tc>
          <w:tcPr>
            <w:tcW w:w="1980" w:type="dxa"/>
          </w:tcPr>
          <w:p w:rsidR="00D016CF" w:rsidRDefault="00D016CF" w:rsidP="0062732C">
            <w:pPr>
              <w:pStyle w:val="NoSpacing"/>
              <w:jc w:val="center"/>
            </w:pPr>
            <w:r>
              <w:t>37</w:t>
            </w:r>
          </w:p>
        </w:tc>
        <w:tc>
          <w:tcPr>
            <w:tcW w:w="2034" w:type="dxa"/>
          </w:tcPr>
          <w:p w:rsidR="00D016CF" w:rsidRDefault="00D016CF" w:rsidP="0062732C">
            <w:pPr>
              <w:pStyle w:val="NoSpacing"/>
              <w:jc w:val="center"/>
            </w:pPr>
            <w:r>
              <w:t>14.7</w:t>
            </w:r>
          </w:p>
        </w:tc>
      </w:tr>
      <w:tr w:rsidR="00D016CF" w:rsidTr="004D641F">
        <w:tc>
          <w:tcPr>
            <w:tcW w:w="3168" w:type="dxa"/>
          </w:tcPr>
          <w:p w:rsidR="00D016CF" w:rsidRPr="007C06AA" w:rsidRDefault="00AB7E5A" w:rsidP="00EA6DB9">
            <w:pPr>
              <w:pStyle w:val="NoSpacing"/>
            </w:pPr>
            <w:r>
              <w:t xml:space="preserve">&gt;13 </w:t>
            </w:r>
            <w:r w:rsidR="00D016CF" w:rsidRPr="007C06AA">
              <w:t xml:space="preserve">years to </w:t>
            </w:r>
            <w:r w:rsidR="00D016CF" w:rsidRPr="007C06AA">
              <w:rPr>
                <w:u w:val="single"/>
              </w:rPr>
              <w:t>&lt;</w:t>
            </w:r>
            <w:r w:rsidR="00D016CF" w:rsidRPr="007C06AA">
              <w:t xml:space="preserve"> 20 years</w:t>
            </w:r>
          </w:p>
        </w:tc>
        <w:tc>
          <w:tcPr>
            <w:tcW w:w="1980" w:type="dxa"/>
          </w:tcPr>
          <w:p w:rsidR="00D016CF" w:rsidRDefault="00D016CF" w:rsidP="0062732C">
            <w:pPr>
              <w:pStyle w:val="NoSpacing"/>
              <w:jc w:val="center"/>
            </w:pPr>
            <w:r>
              <w:t>22</w:t>
            </w:r>
          </w:p>
        </w:tc>
        <w:tc>
          <w:tcPr>
            <w:tcW w:w="2034" w:type="dxa"/>
          </w:tcPr>
          <w:p w:rsidR="00D016CF" w:rsidRDefault="00D016CF" w:rsidP="0062732C">
            <w:pPr>
              <w:pStyle w:val="NoSpacing"/>
              <w:jc w:val="center"/>
            </w:pPr>
            <w:r>
              <w:t>8.8</w:t>
            </w:r>
          </w:p>
        </w:tc>
      </w:tr>
      <w:tr w:rsidR="00D016CF" w:rsidTr="004D641F">
        <w:tc>
          <w:tcPr>
            <w:tcW w:w="3168" w:type="dxa"/>
          </w:tcPr>
          <w:p w:rsidR="00D016CF" w:rsidRPr="007C06AA" w:rsidRDefault="00AB7E5A" w:rsidP="00EA6DB9">
            <w:pPr>
              <w:pStyle w:val="NoSpacing"/>
            </w:pPr>
            <w:r>
              <w:t>&gt;</w:t>
            </w:r>
            <w:r w:rsidR="00D016CF">
              <w:t>2</w:t>
            </w:r>
            <w:r>
              <w:t>0</w:t>
            </w:r>
            <w:r w:rsidR="00D016CF">
              <w:t xml:space="preserve"> </w:t>
            </w:r>
            <w:r w:rsidR="00D016CF" w:rsidRPr="007C06AA">
              <w:t xml:space="preserve">years to </w:t>
            </w:r>
            <w:r w:rsidR="00D016CF" w:rsidRPr="007C06AA">
              <w:rPr>
                <w:u w:val="single"/>
              </w:rPr>
              <w:t>&lt;</w:t>
            </w:r>
            <w:r w:rsidR="00D016CF" w:rsidRPr="007C06AA">
              <w:t xml:space="preserve"> 40 years</w:t>
            </w:r>
          </w:p>
        </w:tc>
        <w:tc>
          <w:tcPr>
            <w:tcW w:w="1980" w:type="dxa"/>
          </w:tcPr>
          <w:p w:rsidR="00D016CF" w:rsidRDefault="00D016CF" w:rsidP="0062732C">
            <w:pPr>
              <w:pStyle w:val="NoSpacing"/>
              <w:jc w:val="center"/>
            </w:pPr>
            <w:r>
              <w:t>95</w:t>
            </w:r>
          </w:p>
        </w:tc>
        <w:tc>
          <w:tcPr>
            <w:tcW w:w="2034" w:type="dxa"/>
          </w:tcPr>
          <w:p w:rsidR="00D016CF" w:rsidRDefault="00D016CF" w:rsidP="0062732C">
            <w:pPr>
              <w:pStyle w:val="NoSpacing"/>
              <w:jc w:val="center"/>
            </w:pPr>
            <w:r>
              <w:t>37.8</w:t>
            </w:r>
          </w:p>
        </w:tc>
      </w:tr>
      <w:tr w:rsidR="00D016CF" w:rsidTr="004D641F">
        <w:tc>
          <w:tcPr>
            <w:tcW w:w="3168" w:type="dxa"/>
          </w:tcPr>
          <w:p w:rsidR="00D016CF" w:rsidRPr="00D153A1" w:rsidRDefault="00AB7E5A" w:rsidP="00EA6DB9">
            <w:pPr>
              <w:pStyle w:val="NoSpacing"/>
            </w:pPr>
            <w:r>
              <w:t>&gt;</w:t>
            </w:r>
            <w:r w:rsidR="00D016CF">
              <w:t>4</w:t>
            </w:r>
            <w:r>
              <w:t>0</w:t>
            </w:r>
            <w:r w:rsidR="00D016CF" w:rsidRPr="00D153A1">
              <w:t xml:space="preserve"> years to </w:t>
            </w:r>
            <w:r w:rsidR="00D016CF" w:rsidRPr="00D153A1">
              <w:rPr>
                <w:u w:val="single"/>
              </w:rPr>
              <w:t>&lt;</w:t>
            </w:r>
            <w:r w:rsidR="00D016CF">
              <w:t xml:space="preserve"> 6</w:t>
            </w:r>
            <w:r w:rsidR="00D016CF" w:rsidRPr="00D153A1">
              <w:t>0 years</w:t>
            </w:r>
          </w:p>
        </w:tc>
        <w:tc>
          <w:tcPr>
            <w:tcW w:w="1980" w:type="dxa"/>
          </w:tcPr>
          <w:p w:rsidR="00D016CF" w:rsidRDefault="00D016CF" w:rsidP="0062732C">
            <w:pPr>
              <w:pStyle w:val="NoSpacing"/>
              <w:jc w:val="center"/>
            </w:pPr>
            <w:r>
              <w:t>41</w:t>
            </w:r>
          </w:p>
        </w:tc>
        <w:tc>
          <w:tcPr>
            <w:tcW w:w="2034" w:type="dxa"/>
          </w:tcPr>
          <w:p w:rsidR="00D016CF" w:rsidRDefault="00D016CF" w:rsidP="0062732C">
            <w:pPr>
              <w:pStyle w:val="NoSpacing"/>
              <w:jc w:val="center"/>
            </w:pPr>
            <w:r>
              <w:t>16.3</w:t>
            </w:r>
          </w:p>
        </w:tc>
      </w:tr>
      <w:tr w:rsidR="00D016CF" w:rsidTr="004D641F">
        <w:tc>
          <w:tcPr>
            <w:tcW w:w="3168" w:type="dxa"/>
          </w:tcPr>
          <w:p w:rsidR="00D016CF" w:rsidRDefault="00D016CF" w:rsidP="00AB7E5A">
            <w:pPr>
              <w:pStyle w:val="NoSpacing"/>
            </w:pPr>
            <w:r>
              <w:t>&gt; 61 years</w:t>
            </w:r>
          </w:p>
        </w:tc>
        <w:tc>
          <w:tcPr>
            <w:tcW w:w="1980" w:type="dxa"/>
          </w:tcPr>
          <w:p w:rsidR="00D016CF" w:rsidRDefault="00D016CF" w:rsidP="0062732C">
            <w:pPr>
              <w:pStyle w:val="NoSpacing"/>
              <w:jc w:val="center"/>
            </w:pPr>
            <w:r>
              <w:t>24</w:t>
            </w:r>
          </w:p>
        </w:tc>
        <w:tc>
          <w:tcPr>
            <w:tcW w:w="2034" w:type="dxa"/>
          </w:tcPr>
          <w:p w:rsidR="00D016CF" w:rsidRDefault="00D016CF" w:rsidP="0062732C">
            <w:pPr>
              <w:pStyle w:val="NoSpacing"/>
              <w:jc w:val="center"/>
            </w:pPr>
            <w:r>
              <w:t>9.6</w:t>
            </w:r>
          </w:p>
        </w:tc>
      </w:tr>
    </w:tbl>
    <w:p w:rsidR="00947E12" w:rsidRDefault="00947E12" w:rsidP="00EA6DB9">
      <w:pPr>
        <w:pStyle w:val="NoSpacing"/>
      </w:pPr>
    </w:p>
    <w:p w:rsidR="00D016CF" w:rsidRPr="00EA6DB9" w:rsidRDefault="00D016CF" w:rsidP="00A37027">
      <w:pPr>
        <w:pStyle w:val="NoSpacing"/>
        <w:jc w:val="both"/>
        <w:rPr>
          <w:b/>
          <w:i/>
        </w:rPr>
      </w:pPr>
      <w:r w:rsidRPr="00EA6DB9">
        <w:rPr>
          <w:b/>
          <w:i/>
        </w:rPr>
        <w:t>Common indications for which ceftriaxone was prescribed</w:t>
      </w:r>
    </w:p>
    <w:p w:rsidR="00947E12" w:rsidRDefault="00D016CF" w:rsidP="00A37027">
      <w:pPr>
        <w:pStyle w:val="NoSpacing"/>
        <w:jc w:val="both"/>
      </w:pPr>
      <w:r>
        <w:t xml:space="preserve">Patients diagnosed </w:t>
      </w:r>
      <w:r w:rsidR="00990CF7">
        <w:t xml:space="preserve">as </w:t>
      </w:r>
      <w:r>
        <w:t>having malaria with other bacterial infections (</w:t>
      </w:r>
      <w:r w:rsidR="00A37027">
        <w:t>19.9</w:t>
      </w:r>
      <w:r>
        <w:t>%), urinary tract infections (11.6%), sepsis (9.6%) gastroenteritis (8.6%)</w:t>
      </w:r>
      <w:r w:rsidR="00881A4C">
        <w:t>, upper respiratory tract infection (5.6%), appendicitis (4.8%), gastritis (3.2%), food poisoning (2.4%), fracture (2.4%), cellulitis (2.4%) and enteric fever (2.4%)</w:t>
      </w:r>
      <w:r>
        <w:t xml:space="preserve"> </w:t>
      </w:r>
      <w:proofErr w:type="gramStart"/>
      <w:r>
        <w:t>were  the</w:t>
      </w:r>
      <w:proofErr w:type="gramEnd"/>
      <w:r w:rsidR="00A37027">
        <w:t xml:space="preserve"> prevalent clinical</w:t>
      </w:r>
      <w:r>
        <w:t xml:space="preserve"> conditions for which ceftriaxone was</w:t>
      </w:r>
      <w:r w:rsidR="00A37027">
        <w:t xml:space="preserve"> mostly</w:t>
      </w:r>
      <w:r>
        <w:t xml:space="preserve"> prescribed. The</w:t>
      </w:r>
      <w:r w:rsidR="00881A4C">
        <w:t>se</w:t>
      </w:r>
      <w:r>
        <w:t xml:space="preserve"> top eleven indications for which ceftriaxone was prescribed constituted </w:t>
      </w:r>
      <w:r w:rsidR="00A37027">
        <w:t>72.9</w:t>
      </w:r>
      <w:r w:rsidR="00005419">
        <w:t xml:space="preserve"> </w:t>
      </w:r>
      <w:r>
        <w:t>% (183) of the cases.  Other conditions for which ceftriaxone was prescribed (n &lt; 6</w:t>
      </w:r>
      <w:r w:rsidR="00742F00">
        <w:t xml:space="preserve"> per diagnosis</w:t>
      </w:r>
      <w:r>
        <w:t>, 2.4%) cons</w:t>
      </w:r>
      <w:r w:rsidR="00C15C98">
        <w:t xml:space="preserve">tituted </w:t>
      </w:r>
      <w:r w:rsidR="00A37027">
        <w:t>27.1</w:t>
      </w:r>
      <w:r w:rsidR="00005419">
        <w:t xml:space="preserve"> </w:t>
      </w:r>
      <w:r w:rsidR="00C15C98">
        <w:t>% (</w:t>
      </w:r>
      <w:r w:rsidR="005D22A2">
        <w:t xml:space="preserve">n= </w:t>
      </w:r>
      <w:r w:rsidR="00C15C98">
        <w:t>68)</w:t>
      </w:r>
      <w:r w:rsidR="00430378">
        <w:t>.</w:t>
      </w:r>
      <w:r w:rsidR="00DF347A">
        <w:t xml:space="preserve"> </w:t>
      </w:r>
      <w:r w:rsidR="00430378">
        <w:t>T</w:t>
      </w:r>
      <w:r w:rsidR="00C15C98">
        <w:t>hese include</w:t>
      </w:r>
      <w:r w:rsidR="004D641F">
        <w:t>d</w:t>
      </w:r>
      <w:r w:rsidR="00C15C98">
        <w:t xml:space="preserve"> </w:t>
      </w:r>
      <w:r>
        <w:t>gonorrh</w:t>
      </w:r>
      <w:r w:rsidR="00DF347A">
        <w:t>o</w:t>
      </w:r>
      <w:r>
        <w:t>ea, uterine fibroid, prostate infections, tonsillitis</w:t>
      </w:r>
      <w:r w:rsidRPr="00A82403">
        <w:t xml:space="preserve">, </w:t>
      </w:r>
      <w:proofErr w:type="spellStart"/>
      <w:r w:rsidRPr="00A82403">
        <w:t>appendisectomy</w:t>
      </w:r>
      <w:proofErr w:type="spellEnd"/>
      <w:r w:rsidRPr="00A82403">
        <w:t xml:space="preserve">, </w:t>
      </w:r>
      <w:r>
        <w:t xml:space="preserve">leukopenia, urethral discharge, herpes zoster, </w:t>
      </w:r>
      <w:r w:rsidR="005D22A2">
        <w:t>Stevens-</w:t>
      </w:r>
      <w:r>
        <w:t>Johnson’s syndrome and br</w:t>
      </w:r>
      <w:r w:rsidR="00C15C98">
        <w:t>east cancer</w:t>
      </w:r>
      <w:r>
        <w:t xml:space="preserve">. </w:t>
      </w:r>
    </w:p>
    <w:p w:rsidR="00B92124" w:rsidRDefault="00B92124" w:rsidP="00A37027">
      <w:pPr>
        <w:pStyle w:val="NoSpacing"/>
        <w:jc w:val="both"/>
        <w:rPr>
          <w:b/>
          <w:i/>
        </w:rPr>
      </w:pPr>
    </w:p>
    <w:p w:rsidR="00D016CF" w:rsidRPr="00EA6DB9" w:rsidRDefault="00D016CF" w:rsidP="00A37027">
      <w:pPr>
        <w:pStyle w:val="NoSpacing"/>
        <w:jc w:val="both"/>
        <w:rPr>
          <w:b/>
          <w:i/>
        </w:rPr>
      </w:pPr>
      <w:r w:rsidRPr="00EA6DB9">
        <w:rPr>
          <w:b/>
          <w:i/>
        </w:rPr>
        <w:t xml:space="preserve">Appropriateness of </w:t>
      </w:r>
      <w:r w:rsidR="0083075B">
        <w:rPr>
          <w:b/>
          <w:i/>
        </w:rPr>
        <w:t xml:space="preserve">the </w:t>
      </w:r>
      <w:r w:rsidRPr="00EA6DB9">
        <w:rPr>
          <w:b/>
          <w:i/>
        </w:rPr>
        <w:t xml:space="preserve">indication </w:t>
      </w:r>
    </w:p>
    <w:p w:rsidR="00FC4681" w:rsidRDefault="00D016CF" w:rsidP="00A37027">
      <w:pPr>
        <w:pStyle w:val="NoSpacing"/>
        <w:jc w:val="both"/>
      </w:pPr>
      <w:r>
        <w:t xml:space="preserve">The </w:t>
      </w:r>
      <w:r w:rsidR="00FC4681">
        <w:t>o</w:t>
      </w:r>
      <w:r>
        <w:t xml:space="preserve">verall appropriateness of indications for which ceftriaxone was prescribed </w:t>
      </w:r>
      <w:r w:rsidR="00FC4681">
        <w:t xml:space="preserve">based on our methodology was </w:t>
      </w:r>
      <w:r>
        <w:t>86.9% (</w:t>
      </w:r>
      <w:r w:rsidR="00DF347A">
        <w:t>n=</w:t>
      </w:r>
      <w:r>
        <w:t>218)</w:t>
      </w:r>
      <w:r w:rsidR="005D6BDA">
        <w:t>,</w:t>
      </w:r>
      <w:r>
        <w:t xml:space="preserve"> whilst 13.1 % (</w:t>
      </w:r>
      <w:r w:rsidR="00DF347A">
        <w:t>n=</w:t>
      </w:r>
      <w:r>
        <w:t>33) were inappropriate</w:t>
      </w:r>
      <w:r w:rsidR="00DF347A">
        <w:t xml:space="preserve"> (Table </w:t>
      </w:r>
      <w:r w:rsidR="00B86695">
        <w:t>2</w:t>
      </w:r>
      <w:r w:rsidR="00DF347A">
        <w:t>)</w:t>
      </w:r>
      <w:r>
        <w:t xml:space="preserve">. </w:t>
      </w:r>
    </w:p>
    <w:p w:rsidR="00FC4681" w:rsidRDefault="00FC4681" w:rsidP="00A37027">
      <w:pPr>
        <w:pStyle w:val="NoSpacing"/>
        <w:jc w:val="both"/>
      </w:pPr>
    </w:p>
    <w:p w:rsidR="00EA6DB9" w:rsidRDefault="00D016CF" w:rsidP="00A37027">
      <w:pPr>
        <w:pStyle w:val="NoSpacing"/>
        <w:jc w:val="both"/>
      </w:pPr>
      <w:r>
        <w:t>Most of the malaria cases were diagnosed as co-morbid 78</w:t>
      </w:r>
      <w:r w:rsidR="00B6677A">
        <w:t>.0</w:t>
      </w:r>
      <w:r>
        <w:t>% (</w:t>
      </w:r>
      <w:r w:rsidR="00DF347A">
        <w:t>n=</w:t>
      </w:r>
      <w:r>
        <w:t>39) with bacterial infections such as gastroenteritis, urinary tract infections, bacterial suspected food poisoning, sepsis, meningitis, gonorrh</w:t>
      </w:r>
      <w:r w:rsidR="00C15C98">
        <w:t>oea and typhoid. The remaining</w:t>
      </w:r>
      <w:r>
        <w:t xml:space="preserve"> malaria cases with suspected bacterial infections but not stated on the patients’ cards constituted</w:t>
      </w:r>
      <w:r w:rsidR="00C15C98">
        <w:t xml:space="preserve"> 22</w:t>
      </w:r>
      <w:r w:rsidR="00DF347A">
        <w:t>.0</w:t>
      </w:r>
      <w:r w:rsidR="00C15C98">
        <w:t>% (</w:t>
      </w:r>
      <w:r w:rsidR="0083075B">
        <w:t>n=</w:t>
      </w:r>
      <w:r w:rsidR="00C15C98">
        <w:t>11)</w:t>
      </w:r>
      <w:r w:rsidR="00DF347A">
        <w:t>. Consequently,</w:t>
      </w:r>
      <w:r w:rsidR="00742F00">
        <w:t xml:space="preserve"> indications for prescribing in these cases were regarded as inappropriate.</w:t>
      </w:r>
      <w:r w:rsidR="00C15C98">
        <w:t xml:space="preserve"> In the remaining frequent</w:t>
      </w:r>
      <w:r>
        <w:t xml:space="preserve"> cases for which ceftriaxone was prescribed, it was observed that the prescriptions were appropriate (100%). </w:t>
      </w:r>
    </w:p>
    <w:p w:rsidR="00430378" w:rsidRDefault="00430378" w:rsidP="00A37027">
      <w:pPr>
        <w:pStyle w:val="NoSpacing"/>
        <w:jc w:val="both"/>
      </w:pPr>
    </w:p>
    <w:p w:rsidR="002E554A" w:rsidRDefault="00D016CF" w:rsidP="00A37027">
      <w:pPr>
        <w:pStyle w:val="NoSpacing"/>
        <w:jc w:val="both"/>
      </w:pPr>
      <w:r>
        <w:t>Furthermore, in the least diagnosed cases in this study (n</w:t>
      </w:r>
      <w:r w:rsidR="00251BB0">
        <w:t xml:space="preserve"> &lt; 6</w:t>
      </w:r>
      <w:r w:rsidR="00742F00">
        <w:t xml:space="preserve"> per diagnosis</w:t>
      </w:r>
      <w:r w:rsidR="00251BB0">
        <w:t>) which together constituted 27</w:t>
      </w:r>
      <w:r w:rsidR="00742F00">
        <w:t>.1</w:t>
      </w:r>
      <w:r w:rsidR="00251BB0">
        <w:t>% of prescriptions</w:t>
      </w:r>
      <w:r>
        <w:t xml:space="preserve">, the </w:t>
      </w:r>
      <w:proofErr w:type="gramStart"/>
      <w:r>
        <w:t>indications  for</w:t>
      </w:r>
      <w:proofErr w:type="gramEnd"/>
      <w:r>
        <w:t xml:space="preserve"> which prescription</w:t>
      </w:r>
      <w:r w:rsidR="00251BB0">
        <w:t>s</w:t>
      </w:r>
      <w:r>
        <w:t xml:space="preserve"> for</w:t>
      </w:r>
      <w:r w:rsidR="00251BB0">
        <w:t xml:space="preserve"> ceftriaxone was appropriate constituted</w:t>
      </w:r>
      <w:r>
        <w:t xml:space="preserve"> 46 (67.7%), whilst 22 (32.3%) were inappropriate</w:t>
      </w:r>
      <w:r w:rsidR="006F5C4F">
        <w:t xml:space="preserve"> e.g. diabetes, hypertension, stroke and </w:t>
      </w:r>
      <w:r w:rsidR="004D1FE8">
        <w:t>h</w:t>
      </w:r>
      <w:r w:rsidR="006F5C4F">
        <w:t>erpes</w:t>
      </w:r>
      <w:r w:rsidR="004D1FE8">
        <w:t xml:space="preserve"> </w:t>
      </w:r>
      <w:r w:rsidR="006F5C4F">
        <w:t>zoster.</w:t>
      </w:r>
      <w:r>
        <w:t xml:space="preserve"> The detailed results of the appropriateness of prescribed ceftriaxone injection</w:t>
      </w:r>
      <w:r w:rsidR="00742F00">
        <w:t>s</w:t>
      </w:r>
      <w:r>
        <w:t xml:space="preserve"> are presented in Table </w:t>
      </w:r>
      <w:r w:rsidR="00B86695">
        <w:t>2</w:t>
      </w:r>
      <w:r>
        <w:t xml:space="preserve">. </w:t>
      </w:r>
    </w:p>
    <w:p w:rsidR="002E554A" w:rsidRDefault="002E554A" w:rsidP="00EA6DB9">
      <w:pPr>
        <w:pStyle w:val="NoSpacing"/>
      </w:pPr>
    </w:p>
    <w:p w:rsidR="00B92124" w:rsidRDefault="00B92124">
      <w:pPr>
        <w:rPr>
          <w:rFonts w:ascii="Times New Roman" w:eastAsia="Times New Roman" w:hAnsi="Times New Roman" w:cs="Times New Roman"/>
          <w:b/>
          <w:sz w:val="24"/>
          <w:szCs w:val="24"/>
          <w:lang w:val="en-GB" w:eastAsia="en-GB"/>
        </w:rPr>
      </w:pPr>
      <w:r>
        <w:rPr>
          <w:b/>
        </w:rPr>
        <w:br w:type="page"/>
      </w:r>
    </w:p>
    <w:p w:rsidR="0049176C" w:rsidRPr="00691003" w:rsidRDefault="00D016CF" w:rsidP="00EA6DB9">
      <w:pPr>
        <w:pStyle w:val="NoSpacing"/>
        <w:rPr>
          <w:b/>
        </w:rPr>
      </w:pPr>
      <w:r w:rsidRPr="00691003">
        <w:rPr>
          <w:b/>
        </w:rPr>
        <w:lastRenderedPageBreak/>
        <w:t xml:space="preserve">Table </w:t>
      </w:r>
      <w:r w:rsidR="00881A4C">
        <w:rPr>
          <w:b/>
        </w:rPr>
        <w:t>2</w:t>
      </w:r>
      <w:r w:rsidRPr="00691003">
        <w:rPr>
          <w:b/>
        </w:rPr>
        <w:t>: Appropriateness of indic</w:t>
      </w:r>
      <w:r w:rsidR="0049176C" w:rsidRPr="00691003">
        <w:rPr>
          <w:b/>
        </w:rPr>
        <w:t>ation</w:t>
      </w:r>
      <w:r w:rsidR="00DF347A">
        <w:rPr>
          <w:b/>
        </w:rPr>
        <w:t>s</w:t>
      </w:r>
      <w:r w:rsidR="0049176C" w:rsidRPr="00691003">
        <w:rPr>
          <w:b/>
        </w:rPr>
        <w:t xml:space="preserve"> </w:t>
      </w:r>
      <w:r w:rsidR="00742F00" w:rsidRPr="00691003">
        <w:rPr>
          <w:b/>
        </w:rPr>
        <w:t xml:space="preserve">for </w:t>
      </w:r>
      <w:r w:rsidR="0049176C" w:rsidRPr="00691003">
        <w:rPr>
          <w:b/>
        </w:rPr>
        <w:t>ceftriaxone</w:t>
      </w:r>
      <w:r w:rsidR="00312877" w:rsidRPr="00691003">
        <w:rPr>
          <w:b/>
        </w:rPr>
        <w:t xml:space="preserve"> injection prescribing (n=251).</w:t>
      </w:r>
    </w:p>
    <w:tbl>
      <w:tblPr>
        <w:tblStyle w:val="TableGrid"/>
        <w:tblW w:w="8481" w:type="dxa"/>
        <w:tblLayout w:type="fixed"/>
        <w:tblLook w:val="04A0" w:firstRow="1" w:lastRow="0" w:firstColumn="1" w:lastColumn="0" w:noHBand="0" w:noVBand="1"/>
      </w:tblPr>
      <w:tblGrid>
        <w:gridCol w:w="2268"/>
        <w:gridCol w:w="1440"/>
        <w:gridCol w:w="1620"/>
        <w:gridCol w:w="1443"/>
        <w:gridCol w:w="1710"/>
      </w:tblGrid>
      <w:tr w:rsidR="00D016CF" w:rsidRPr="001739D5" w:rsidTr="004D641F">
        <w:tc>
          <w:tcPr>
            <w:tcW w:w="2268" w:type="dxa"/>
          </w:tcPr>
          <w:p w:rsidR="00D016CF" w:rsidRPr="001739D5" w:rsidRDefault="00D016CF" w:rsidP="00EA6DB9">
            <w:pPr>
              <w:pStyle w:val="NoSpacing"/>
              <w:rPr>
                <w:b/>
              </w:rPr>
            </w:pPr>
            <w:r w:rsidRPr="001739D5">
              <w:rPr>
                <w:b/>
              </w:rPr>
              <w:t>Diagnosis</w:t>
            </w:r>
          </w:p>
        </w:tc>
        <w:tc>
          <w:tcPr>
            <w:tcW w:w="1440" w:type="dxa"/>
          </w:tcPr>
          <w:p w:rsidR="00D016CF" w:rsidRPr="001739D5" w:rsidRDefault="00D016CF" w:rsidP="001739D5">
            <w:pPr>
              <w:pStyle w:val="NoSpacing"/>
              <w:jc w:val="center"/>
              <w:rPr>
                <w:b/>
              </w:rPr>
            </w:pPr>
            <w:r w:rsidRPr="001739D5">
              <w:rPr>
                <w:b/>
              </w:rPr>
              <w:t>Total number</w:t>
            </w:r>
          </w:p>
        </w:tc>
        <w:tc>
          <w:tcPr>
            <w:tcW w:w="1620" w:type="dxa"/>
          </w:tcPr>
          <w:p w:rsidR="00D016CF" w:rsidRPr="001739D5" w:rsidRDefault="00D016CF" w:rsidP="001739D5">
            <w:pPr>
              <w:pStyle w:val="NoSpacing"/>
              <w:jc w:val="center"/>
              <w:rPr>
                <w:b/>
              </w:rPr>
            </w:pPr>
            <w:r w:rsidRPr="001739D5">
              <w:rPr>
                <w:b/>
              </w:rPr>
              <w:t>Number appropriate</w:t>
            </w:r>
          </w:p>
        </w:tc>
        <w:tc>
          <w:tcPr>
            <w:tcW w:w="1443" w:type="dxa"/>
          </w:tcPr>
          <w:p w:rsidR="00D016CF" w:rsidRPr="001739D5" w:rsidRDefault="00D016CF" w:rsidP="001739D5">
            <w:pPr>
              <w:pStyle w:val="NoSpacing"/>
              <w:jc w:val="center"/>
              <w:rPr>
                <w:b/>
              </w:rPr>
            </w:pPr>
            <w:r w:rsidRPr="001739D5">
              <w:rPr>
                <w:b/>
              </w:rPr>
              <w:t>Percentage (%) appropriate</w:t>
            </w:r>
          </w:p>
        </w:tc>
        <w:tc>
          <w:tcPr>
            <w:tcW w:w="1710" w:type="dxa"/>
          </w:tcPr>
          <w:p w:rsidR="00D016CF" w:rsidRPr="001739D5" w:rsidRDefault="00D016CF" w:rsidP="001739D5">
            <w:pPr>
              <w:pStyle w:val="NoSpacing"/>
              <w:jc w:val="center"/>
              <w:rPr>
                <w:b/>
              </w:rPr>
            </w:pPr>
            <w:r w:rsidRPr="001739D5">
              <w:rPr>
                <w:b/>
              </w:rPr>
              <w:t>Percentage (%) inappropriate</w:t>
            </w:r>
          </w:p>
        </w:tc>
      </w:tr>
      <w:tr w:rsidR="00D016CF" w:rsidTr="004D641F">
        <w:tc>
          <w:tcPr>
            <w:tcW w:w="2268" w:type="dxa"/>
          </w:tcPr>
          <w:p w:rsidR="00D016CF" w:rsidRDefault="00D016CF" w:rsidP="00EA6DB9">
            <w:pPr>
              <w:pStyle w:val="NoSpacing"/>
            </w:pPr>
            <w:r>
              <w:t>Co-morbidity (Malaria + other bacterial infections)</w:t>
            </w:r>
          </w:p>
        </w:tc>
        <w:tc>
          <w:tcPr>
            <w:tcW w:w="1440" w:type="dxa"/>
          </w:tcPr>
          <w:p w:rsidR="00D016CF" w:rsidRDefault="00D016CF" w:rsidP="001739D5">
            <w:pPr>
              <w:pStyle w:val="NoSpacing"/>
              <w:jc w:val="center"/>
            </w:pPr>
            <w:r>
              <w:t>50</w:t>
            </w:r>
          </w:p>
        </w:tc>
        <w:tc>
          <w:tcPr>
            <w:tcW w:w="1620" w:type="dxa"/>
          </w:tcPr>
          <w:p w:rsidR="00D016CF" w:rsidRDefault="00D016CF" w:rsidP="001739D5">
            <w:pPr>
              <w:pStyle w:val="NoSpacing"/>
              <w:jc w:val="center"/>
            </w:pPr>
            <w:r>
              <w:t>39</w:t>
            </w:r>
          </w:p>
        </w:tc>
        <w:tc>
          <w:tcPr>
            <w:tcW w:w="1443" w:type="dxa"/>
          </w:tcPr>
          <w:p w:rsidR="00D016CF" w:rsidRDefault="00D016CF" w:rsidP="001739D5">
            <w:pPr>
              <w:pStyle w:val="NoSpacing"/>
              <w:jc w:val="center"/>
            </w:pPr>
            <w:r>
              <w:t>78</w:t>
            </w:r>
            <w:r w:rsidR="00312877">
              <w:t>.0</w:t>
            </w:r>
            <w:r>
              <w:t>%</w:t>
            </w:r>
          </w:p>
        </w:tc>
        <w:tc>
          <w:tcPr>
            <w:tcW w:w="1710" w:type="dxa"/>
          </w:tcPr>
          <w:p w:rsidR="00D016CF" w:rsidRDefault="00D016CF" w:rsidP="001739D5">
            <w:pPr>
              <w:pStyle w:val="NoSpacing"/>
              <w:jc w:val="center"/>
            </w:pPr>
            <w:r>
              <w:t>22</w:t>
            </w:r>
            <w:r w:rsidR="00312877">
              <w:t>.0</w:t>
            </w:r>
            <w:r>
              <w:t xml:space="preserve"> %</w:t>
            </w:r>
          </w:p>
        </w:tc>
      </w:tr>
      <w:tr w:rsidR="00D016CF" w:rsidTr="004D641F">
        <w:tc>
          <w:tcPr>
            <w:tcW w:w="2268" w:type="dxa"/>
          </w:tcPr>
          <w:p w:rsidR="00D016CF" w:rsidRDefault="00D016CF" w:rsidP="00EA6DB9">
            <w:pPr>
              <w:pStyle w:val="NoSpacing"/>
            </w:pPr>
            <w:r>
              <w:t>Urinary tract infection</w:t>
            </w:r>
          </w:p>
        </w:tc>
        <w:tc>
          <w:tcPr>
            <w:tcW w:w="1440" w:type="dxa"/>
          </w:tcPr>
          <w:p w:rsidR="00D016CF" w:rsidRDefault="00D016CF" w:rsidP="001739D5">
            <w:pPr>
              <w:pStyle w:val="NoSpacing"/>
              <w:jc w:val="center"/>
            </w:pPr>
            <w:r>
              <w:t>29</w:t>
            </w:r>
          </w:p>
        </w:tc>
        <w:tc>
          <w:tcPr>
            <w:tcW w:w="1620" w:type="dxa"/>
          </w:tcPr>
          <w:p w:rsidR="00D016CF" w:rsidRDefault="00D016CF" w:rsidP="001739D5">
            <w:pPr>
              <w:pStyle w:val="NoSpacing"/>
              <w:jc w:val="center"/>
            </w:pPr>
            <w:r>
              <w:t>29</w:t>
            </w:r>
          </w:p>
        </w:tc>
        <w:tc>
          <w:tcPr>
            <w:tcW w:w="1443" w:type="dxa"/>
          </w:tcPr>
          <w:p w:rsidR="00D016CF" w:rsidRDefault="00D016CF" w:rsidP="001739D5">
            <w:pPr>
              <w:pStyle w:val="NoSpacing"/>
              <w:jc w:val="center"/>
            </w:pPr>
            <w:r>
              <w:t>100%</w:t>
            </w:r>
          </w:p>
        </w:tc>
        <w:tc>
          <w:tcPr>
            <w:tcW w:w="1710" w:type="dxa"/>
          </w:tcPr>
          <w:p w:rsidR="00D016CF" w:rsidRPr="00084C62" w:rsidRDefault="00D016CF" w:rsidP="001739D5">
            <w:pPr>
              <w:pStyle w:val="NoSpacing"/>
              <w:jc w:val="center"/>
            </w:pPr>
            <w:r w:rsidRPr="00084C62">
              <w:t>-</w:t>
            </w:r>
          </w:p>
        </w:tc>
      </w:tr>
      <w:tr w:rsidR="00D016CF" w:rsidTr="004D641F">
        <w:tc>
          <w:tcPr>
            <w:tcW w:w="2268" w:type="dxa"/>
          </w:tcPr>
          <w:p w:rsidR="00D016CF" w:rsidRDefault="00D016CF" w:rsidP="00EA6DB9">
            <w:pPr>
              <w:pStyle w:val="NoSpacing"/>
            </w:pPr>
            <w:r>
              <w:t>Sepsis</w:t>
            </w:r>
          </w:p>
        </w:tc>
        <w:tc>
          <w:tcPr>
            <w:tcW w:w="1440" w:type="dxa"/>
          </w:tcPr>
          <w:p w:rsidR="00D016CF" w:rsidRDefault="00D016CF" w:rsidP="001739D5">
            <w:pPr>
              <w:pStyle w:val="NoSpacing"/>
              <w:jc w:val="center"/>
            </w:pPr>
            <w:r>
              <w:t>24</w:t>
            </w:r>
          </w:p>
        </w:tc>
        <w:tc>
          <w:tcPr>
            <w:tcW w:w="1620" w:type="dxa"/>
          </w:tcPr>
          <w:p w:rsidR="00D016CF" w:rsidRDefault="00D016CF" w:rsidP="001739D5">
            <w:pPr>
              <w:pStyle w:val="NoSpacing"/>
              <w:jc w:val="center"/>
            </w:pPr>
            <w:r>
              <w:t>24</w:t>
            </w:r>
          </w:p>
        </w:tc>
        <w:tc>
          <w:tcPr>
            <w:tcW w:w="1443" w:type="dxa"/>
          </w:tcPr>
          <w:p w:rsidR="00D016CF" w:rsidRDefault="00D016CF" w:rsidP="001739D5">
            <w:pPr>
              <w:pStyle w:val="NoSpacing"/>
              <w:jc w:val="center"/>
            </w:pPr>
            <w:r>
              <w:t>100%</w:t>
            </w:r>
          </w:p>
        </w:tc>
        <w:tc>
          <w:tcPr>
            <w:tcW w:w="1710" w:type="dxa"/>
          </w:tcPr>
          <w:p w:rsidR="00D016CF" w:rsidRPr="00084C62" w:rsidRDefault="00D016CF" w:rsidP="001739D5">
            <w:pPr>
              <w:pStyle w:val="NoSpacing"/>
              <w:jc w:val="center"/>
            </w:pPr>
            <w:r w:rsidRPr="00084C62">
              <w:t>-</w:t>
            </w:r>
          </w:p>
        </w:tc>
      </w:tr>
      <w:tr w:rsidR="00D016CF" w:rsidTr="004D641F">
        <w:tc>
          <w:tcPr>
            <w:tcW w:w="2268" w:type="dxa"/>
          </w:tcPr>
          <w:p w:rsidR="00D016CF" w:rsidRDefault="00D016CF" w:rsidP="00EA6DB9">
            <w:pPr>
              <w:pStyle w:val="NoSpacing"/>
            </w:pPr>
            <w:r>
              <w:t>Gastroenteritis</w:t>
            </w:r>
          </w:p>
        </w:tc>
        <w:tc>
          <w:tcPr>
            <w:tcW w:w="1440" w:type="dxa"/>
          </w:tcPr>
          <w:p w:rsidR="00D016CF" w:rsidRDefault="00D016CF" w:rsidP="001739D5">
            <w:pPr>
              <w:pStyle w:val="NoSpacing"/>
              <w:jc w:val="center"/>
            </w:pPr>
            <w:r>
              <w:t>22</w:t>
            </w:r>
          </w:p>
        </w:tc>
        <w:tc>
          <w:tcPr>
            <w:tcW w:w="1620" w:type="dxa"/>
          </w:tcPr>
          <w:p w:rsidR="00D016CF" w:rsidRDefault="00D016CF" w:rsidP="001739D5">
            <w:pPr>
              <w:pStyle w:val="NoSpacing"/>
              <w:jc w:val="center"/>
            </w:pPr>
            <w:r>
              <w:t>22</w:t>
            </w:r>
          </w:p>
        </w:tc>
        <w:tc>
          <w:tcPr>
            <w:tcW w:w="1443" w:type="dxa"/>
          </w:tcPr>
          <w:p w:rsidR="00D016CF" w:rsidRDefault="00D016CF" w:rsidP="001739D5">
            <w:pPr>
              <w:pStyle w:val="NoSpacing"/>
              <w:jc w:val="center"/>
            </w:pPr>
            <w:r>
              <w:t>100%</w:t>
            </w:r>
          </w:p>
        </w:tc>
        <w:tc>
          <w:tcPr>
            <w:tcW w:w="1710" w:type="dxa"/>
          </w:tcPr>
          <w:p w:rsidR="00D016CF" w:rsidRPr="00084C62" w:rsidRDefault="00D016CF" w:rsidP="001739D5">
            <w:pPr>
              <w:pStyle w:val="NoSpacing"/>
              <w:jc w:val="center"/>
            </w:pPr>
            <w:r w:rsidRPr="00084C62">
              <w:t>-</w:t>
            </w:r>
          </w:p>
        </w:tc>
      </w:tr>
      <w:tr w:rsidR="00D016CF" w:rsidTr="004D641F">
        <w:tc>
          <w:tcPr>
            <w:tcW w:w="2268" w:type="dxa"/>
          </w:tcPr>
          <w:p w:rsidR="00D016CF" w:rsidRDefault="00D016CF" w:rsidP="00EA6DB9">
            <w:pPr>
              <w:pStyle w:val="NoSpacing"/>
            </w:pPr>
            <w:r>
              <w:t>Upper respiratory tract infection</w:t>
            </w:r>
          </w:p>
        </w:tc>
        <w:tc>
          <w:tcPr>
            <w:tcW w:w="1440" w:type="dxa"/>
          </w:tcPr>
          <w:p w:rsidR="00D016CF" w:rsidRDefault="00D016CF" w:rsidP="001739D5">
            <w:pPr>
              <w:pStyle w:val="NoSpacing"/>
              <w:jc w:val="center"/>
            </w:pPr>
            <w:r>
              <w:t>14</w:t>
            </w:r>
          </w:p>
        </w:tc>
        <w:tc>
          <w:tcPr>
            <w:tcW w:w="1620" w:type="dxa"/>
          </w:tcPr>
          <w:p w:rsidR="00D016CF" w:rsidRDefault="00D016CF" w:rsidP="001739D5">
            <w:pPr>
              <w:pStyle w:val="NoSpacing"/>
              <w:jc w:val="center"/>
            </w:pPr>
            <w:r>
              <w:t>14</w:t>
            </w:r>
          </w:p>
        </w:tc>
        <w:tc>
          <w:tcPr>
            <w:tcW w:w="1443" w:type="dxa"/>
          </w:tcPr>
          <w:p w:rsidR="00D016CF" w:rsidRDefault="00D016CF" w:rsidP="001739D5">
            <w:pPr>
              <w:pStyle w:val="NoSpacing"/>
              <w:jc w:val="center"/>
            </w:pPr>
            <w:r>
              <w:t>100%</w:t>
            </w:r>
          </w:p>
        </w:tc>
        <w:tc>
          <w:tcPr>
            <w:tcW w:w="1710" w:type="dxa"/>
          </w:tcPr>
          <w:p w:rsidR="00D016CF" w:rsidRPr="00084C62" w:rsidRDefault="00D016CF" w:rsidP="001739D5">
            <w:pPr>
              <w:pStyle w:val="NoSpacing"/>
              <w:jc w:val="center"/>
            </w:pPr>
            <w:r w:rsidRPr="00084C62">
              <w:t>-</w:t>
            </w:r>
          </w:p>
        </w:tc>
      </w:tr>
      <w:tr w:rsidR="00D016CF" w:rsidTr="004D641F">
        <w:tc>
          <w:tcPr>
            <w:tcW w:w="2268" w:type="dxa"/>
          </w:tcPr>
          <w:p w:rsidR="00D016CF" w:rsidRDefault="00D016CF" w:rsidP="00EA6DB9">
            <w:pPr>
              <w:pStyle w:val="NoSpacing"/>
            </w:pPr>
            <w:r>
              <w:t>Appendicitis</w:t>
            </w:r>
          </w:p>
        </w:tc>
        <w:tc>
          <w:tcPr>
            <w:tcW w:w="1440" w:type="dxa"/>
          </w:tcPr>
          <w:p w:rsidR="00D016CF" w:rsidRDefault="00D016CF" w:rsidP="001739D5">
            <w:pPr>
              <w:pStyle w:val="NoSpacing"/>
              <w:jc w:val="center"/>
            </w:pPr>
            <w:r>
              <w:t>12</w:t>
            </w:r>
          </w:p>
        </w:tc>
        <w:tc>
          <w:tcPr>
            <w:tcW w:w="1620" w:type="dxa"/>
          </w:tcPr>
          <w:p w:rsidR="00D016CF" w:rsidRDefault="00D016CF" w:rsidP="001739D5">
            <w:pPr>
              <w:pStyle w:val="NoSpacing"/>
              <w:jc w:val="center"/>
            </w:pPr>
            <w:r>
              <w:t>12</w:t>
            </w:r>
          </w:p>
        </w:tc>
        <w:tc>
          <w:tcPr>
            <w:tcW w:w="1443" w:type="dxa"/>
          </w:tcPr>
          <w:p w:rsidR="00D016CF" w:rsidRDefault="00D016CF" w:rsidP="001739D5">
            <w:pPr>
              <w:pStyle w:val="NoSpacing"/>
              <w:jc w:val="center"/>
            </w:pPr>
            <w:r>
              <w:t>100%</w:t>
            </w:r>
          </w:p>
        </w:tc>
        <w:tc>
          <w:tcPr>
            <w:tcW w:w="1710" w:type="dxa"/>
          </w:tcPr>
          <w:p w:rsidR="00D016CF" w:rsidRPr="00084C62" w:rsidRDefault="00D016CF" w:rsidP="001739D5">
            <w:pPr>
              <w:pStyle w:val="NoSpacing"/>
              <w:jc w:val="center"/>
            </w:pPr>
            <w:r w:rsidRPr="00084C62">
              <w:t>-</w:t>
            </w:r>
          </w:p>
        </w:tc>
      </w:tr>
      <w:tr w:rsidR="00D016CF" w:rsidTr="004D641F">
        <w:tc>
          <w:tcPr>
            <w:tcW w:w="2268" w:type="dxa"/>
          </w:tcPr>
          <w:p w:rsidR="00D016CF" w:rsidRDefault="00D016CF" w:rsidP="00EA6DB9">
            <w:pPr>
              <w:pStyle w:val="NoSpacing"/>
            </w:pPr>
            <w:r>
              <w:t>Gastritis</w:t>
            </w:r>
          </w:p>
        </w:tc>
        <w:tc>
          <w:tcPr>
            <w:tcW w:w="1440" w:type="dxa"/>
          </w:tcPr>
          <w:p w:rsidR="00D016CF" w:rsidRDefault="00D016CF" w:rsidP="001739D5">
            <w:pPr>
              <w:pStyle w:val="NoSpacing"/>
              <w:jc w:val="center"/>
            </w:pPr>
            <w:r>
              <w:t>8</w:t>
            </w:r>
          </w:p>
        </w:tc>
        <w:tc>
          <w:tcPr>
            <w:tcW w:w="1620" w:type="dxa"/>
          </w:tcPr>
          <w:p w:rsidR="00D016CF" w:rsidRDefault="00D016CF" w:rsidP="001739D5">
            <w:pPr>
              <w:pStyle w:val="NoSpacing"/>
              <w:jc w:val="center"/>
            </w:pPr>
            <w:r>
              <w:t>8</w:t>
            </w:r>
          </w:p>
        </w:tc>
        <w:tc>
          <w:tcPr>
            <w:tcW w:w="1443" w:type="dxa"/>
          </w:tcPr>
          <w:p w:rsidR="00D016CF" w:rsidRDefault="00D016CF" w:rsidP="001739D5">
            <w:pPr>
              <w:pStyle w:val="NoSpacing"/>
              <w:jc w:val="center"/>
            </w:pPr>
            <w:r>
              <w:t>100%</w:t>
            </w:r>
          </w:p>
        </w:tc>
        <w:tc>
          <w:tcPr>
            <w:tcW w:w="1710" w:type="dxa"/>
          </w:tcPr>
          <w:p w:rsidR="00D016CF" w:rsidRPr="00084C62" w:rsidRDefault="00D016CF" w:rsidP="001739D5">
            <w:pPr>
              <w:pStyle w:val="NoSpacing"/>
              <w:jc w:val="center"/>
            </w:pPr>
            <w:r w:rsidRPr="00084C62">
              <w:t>-</w:t>
            </w:r>
          </w:p>
        </w:tc>
      </w:tr>
      <w:tr w:rsidR="00D016CF" w:rsidTr="004D641F">
        <w:tc>
          <w:tcPr>
            <w:tcW w:w="2268" w:type="dxa"/>
          </w:tcPr>
          <w:p w:rsidR="00D016CF" w:rsidRDefault="00D016CF" w:rsidP="00EA6DB9">
            <w:pPr>
              <w:pStyle w:val="NoSpacing"/>
            </w:pPr>
            <w:r>
              <w:t>Food poisoning</w:t>
            </w:r>
          </w:p>
        </w:tc>
        <w:tc>
          <w:tcPr>
            <w:tcW w:w="1440" w:type="dxa"/>
          </w:tcPr>
          <w:p w:rsidR="00D016CF" w:rsidRDefault="00D016CF" w:rsidP="001739D5">
            <w:pPr>
              <w:pStyle w:val="NoSpacing"/>
              <w:jc w:val="center"/>
            </w:pPr>
            <w:r>
              <w:t>6</w:t>
            </w:r>
          </w:p>
        </w:tc>
        <w:tc>
          <w:tcPr>
            <w:tcW w:w="1620" w:type="dxa"/>
          </w:tcPr>
          <w:p w:rsidR="00D016CF" w:rsidRDefault="00D016CF" w:rsidP="001739D5">
            <w:pPr>
              <w:pStyle w:val="NoSpacing"/>
              <w:jc w:val="center"/>
            </w:pPr>
            <w:r>
              <w:t>8</w:t>
            </w:r>
          </w:p>
        </w:tc>
        <w:tc>
          <w:tcPr>
            <w:tcW w:w="1443" w:type="dxa"/>
          </w:tcPr>
          <w:p w:rsidR="00D016CF" w:rsidRDefault="00D016CF" w:rsidP="001739D5">
            <w:pPr>
              <w:pStyle w:val="NoSpacing"/>
              <w:jc w:val="center"/>
            </w:pPr>
            <w:r>
              <w:t>100%</w:t>
            </w:r>
          </w:p>
        </w:tc>
        <w:tc>
          <w:tcPr>
            <w:tcW w:w="1710" w:type="dxa"/>
          </w:tcPr>
          <w:p w:rsidR="00D016CF" w:rsidRPr="00084C62" w:rsidRDefault="00D016CF" w:rsidP="001739D5">
            <w:pPr>
              <w:pStyle w:val="NoSpacing"/>
              <w:jc w:val="center"/>
            </w:pPr>
            <w:r w:rsidRPr="00084C62">
              <w:t>-</w:t>
            </w:r>
          </w:p>
        </w:tc>
      </w:tr>
      <w:tr w:rsidR="00D016CF" w:rsidTr="004D641F">
        <w:tc>
          <w:tcPr>
            <w:tcW w:w="2268" w:type="dxa"/>
          </w:tcPr>
          <w:p w:rsidR="00D016CF" w:rsidRDefault="00D016CF" w:rsidP="00EA6DB9">
            <w:pPr>
              <w:pStyle w:val="NoSpacing"/>
            </w:pPr>
            <w:r>
              <w:t>Fracture (Bone infection)</w:t>
            </w:r>
          </w:p>
        </w:tc>
        <w:tc>
          <w:tcPr>
            <w:tcW w:w="1440" w:type="dxa"/>
          </w:tcPr>
          <w:p w:rsidR="00D016CF" w:rsidRDefault="00D016CF" w:rsidP="001739D5">
            <w:pPr>
              <w:pStyle w:val="NoSpacing"/>
              <w:jc w:val="center"/>
            </w:pPr>
            <w:r>
              <w:t>6</w:t>
            </w:r>
          </w:p>
        </w:tc>
        <w:tc>
          <w:tcPr>
            <w:tcW w:w="1620" w:type="dxa"/>
          </w:tcPr>
          <w:p w:rsidR="00D016CF" w:rsidRDefault="00D016CF" w:rsidP="001739D5">
            <w:pPr>
              <w:pStyle w:val="NoSpacing"/>
              <w:jc w:val="center"/>
            </w:pPr>
            <w:r>
              <w:t>6</w:t>
            </w:r>
          </w:p>
        </w:tc>
        <w:tc>
          <w:tcPr>
            <w:tcW w:w="1443" w:type="dxa"/>
          </w:tcPr>
          <w:p w:rsidR="00D016CF" w:rsidRDefault="00D016CF" w:rsidP="001739D5">
            <w:pPr>
              <w:pStyle w:val="NoSpacing"/>
              <w:jc w:val="center"/>
            </w:pPr>
            <w:r>
              <w:t>100%</w:t>
            </w:r>
          </w:p>
        </w:tc>
        <w:tc>
          <w:tcPr>
            <w:tcW w:w="1710" w:type="dxa"/>
          </w:tcPr>
          <w:p w:rsidR="00D016CF" w:rsidRPr="00084C62" w:rsidRDefault="00D016CF" w:rsidP="001739D5">
            <w:pPr>
              <w:pStyle w:val="NoSpacing"/>
              <w:jc w:val="center"/>
            </w:pPr>
            <w:r w:rsidRPr="00084C62">
              <w:t>-</w:t>
            </w:r>
          </w:p>
        </w:tc>
      </w:tr>
      <w:tr w:rsidR="00D016CF" w:rsidTr="004D641F">
        <w:tc>
          <w:tcPr>
            <w:tcW w:w="2268" w:type="dxa"/>
          </w:tcPr>
          <w:p w:rsidR="00D016CF" w:rsidRDefault="00D016CF" w:rsidP="00EA6DB9">
            <w:pPr>
              <w:pStyle w:val="NoSpacing"/>
            </w:pPr>
            <w:r>
              <w:t>Cellulitis</w:t>
            </w:r>
          </w:p>
        </w:tc>
        <w:tc>
          <w:tcPr>
            <w:tcW w:w="1440" w:type="dxa"/>
          </w:tcPr>
          <w:p w:rsidR="00D016CF" w:rsidRDefault="00D016CF" w:rsidP="001739D5">
            <w:pPr>
              <w:pStyle w:val="NoSpacing"/>
              <w:jc w:val="center"/>
            </w:pPr>
            <w:r>
              <w:t>6</w:t>
            </w:r>
          </w:p>
        </w:tc>
        <w:tc>
          <w:tcPr>
            <w:tcW w:w="1620" w:type="dxa"/>
          </w:tcPr>
          <w:p w:rsidR="00D016CF" w:rsidRDefault="00D016CF" w:rsidP="001739D5">
            <w:pPr>
              <w:pStyle w:val="NoSpacing"/>
              <w:jc w:val="center"/>
            </w:pPr>
            <w:r>
              <w:t>6</w:t>
            </w:r>
          </w:p>
        </w:tc>
        <w:tc>
          <w:tcPr>
            <w:tcW w:w="1443" w:type="dxa"/>
          </w:tcPr>
          <w:p w:rsidR="00D016CF" w:rsidRDefault="00D016CF" w:rsidP="001739D5">
            <w:pPr>
              <w:pStyle w:val="NoSpacing"/>
              <w:jc w:val="center"/>
            </w:pPr>
            <w:r>
              <w:t>100%</w:t>
            </w:r>
          </w:p>
        </w:tc>
        <w:tc>
          <w:tcPr>
            <w:tcW w:w="1710" w:type="dxa"/>
          </w:tcPr>
          <w:p w:rsidR="00D016CF" w:rsidRPr="00084C62" w:rsidRDefault="00D016CF" w:rsidP="001739D5">
            <w:pPr>
              <w:pStyle w:val="NoSpacing"/>
              <w:jc w:val="center"/>
            </w:pPr>
            <w:r w:rsidRPr="00084C62">
              <w:t>-</w:t>
            </w:r>
          </w:p>
        </w:tc>
      </w:tr>
      <w:tr w:rsidR="00D016CF" w:rsidTr="004D641F">
        <w:tc>
          <w:tcPr>
            <w:tcW w:w="2268" w:type="dxa"/>
          </w:tcPr>
          <w:p w:rsidR="00D016CF" w:rsidRDefault="00D016CF" w:rsidP="00EA6DB9">
            <w:pPr>
              <w:pStyle w:val="NoSpacing"/>
            </w:pPr>
            <w:r>
              <w:t>Enteric fever</w:t>
            </w:r>
          </w:p>
        </w:tc>
        <w:tc>
          <w:tcPr>
            <w:tcW w:w="1440" w:type="dxa"/>
          </w:tcPr>
          <w:p w:rsidR="00D016CF" w:rsidRDefault="00D016CF" w:rsidP="001739D5">
            <w:pPr>
              <w:pStyle w:val="NoSpacing"/>
              <w:jc w:val="center"/>
            </w:pPr>
            <w:r>
              <w:t>6</w:t>
            </w:r>
          </w:p>
        </w:tc>
        <w:tc>
          <w:tcPr>
            <w:tcW w:w="1620" w:type="dxa"/>
          </w:tcPr>
          <w:p w:rsidR="00D016CF" w:rsidRDefault="00D016CF" w:rsidP="001739D5">
            <w:pPr>
              <w:pStyle w:val="NoSpacing"/>
              <w:jc w:val="center"/>
            </w:pPr>
            <w:r>
              <w:t>6</w:t>
            </w:r>
          </w:p>
        </w:tc>
        <w:tc>
          <w:tcPr>
            <w:tcW w:w="1443" w:type="dxa"/>
          </w:tcPr>
          <w:p w:rsidR="00D016CF" w:rsidRDefault="00D016CF" w:rsidP="001739D5">
            <w:pPr>
              <w:pStyle w:val="NoSpacing"/>
              <w:jc w:val="center"/>
            </w:pPr>
            <w:r>
              <w:t>100%</w:t>
            </w:r>
          </w:p>
        </w:tc>
        <w:tc>
          <w:tcPr>
            <w:tcW w:w="1710" w:type="dxa"/>
          </w:tcPr>
          <w:p w:rsidR="00D016CF" w:rsidRPr="00084C62" w:rsidRDefault="00D016CF" w:rsidP="001739D5">
            <w:pPr>
              <w:pStyle w:val="NoSpacing"/>
              <w:jc w:val="center"/>
            </w:pPr>
            <w:r w:rsidRPr="00084C62">
              <w:t>-</w:t>
            </w:r>
          </w:p>
        </w:tc>
      </w:tr>
      <w:tr w:rsidR="00D016CF" w:rsidTr="004D641F">
        <w:tc>
          <w:tcPr>
            <w:tcW w:w="2268" w:type="dxa"/>
          </w:tcPr>
          <w:p w:rsidR="00D016CF" w:rsidRDefault="00D016CF" w:rsidP="00EA6DB9">
            <w:pPr>
              <w:pStyle w:val="NoSpacing"/>
            </w:pPr>
            <w:r>
              <w:t>Others</w:t>
            </w:r>
          </w:p>
        </w:tc>
        <w:tc>
          <w:tcPr>
            <w:tcW w:w="1440" w:type="dxa"/>
          </w:tcPr>
          <w:p w:rsidR="00D016CF" w:rsidRDefault="00D016CF" w:rsidP="001739D5">
            <w:pPr>
              <w:pStyle w:val="NoSpacing"/>
              <w:jc w:val="center"/>
            </w:pPr>
            <w:r>
              <w:t>68</w:t>
            </w:r>
          </w:p>
        </w:tc>
        <w:tc>
          <w:tcPr>
            <w:tcW w:w="1620" w:type="dxa"/>
          </w:tcPr>
          <w:p w:rsidR="00D016CF" w:rsidRDefault="00D016CF" w:rsidP="001739D5">
            <w:pPr>
              <w:pStyle w:val="NoSpacing"/>
              <w:jc w:val="center"/>
            </w:pPr>
            <w:r>
              <w:t>46</w:t>
            </w:r>
          </w:p>
        </w:tc>
        <w:tc>
          <w:tcPr>
            <w:tcW w:w="1443" w:type="dxa"/>
          </w:tcPr>
          <w:p w:rsidR="00D016CF" w:rsidRDefault="00D016CF" w:rsidP="001739D5">
            <w:pPr>
              <w:pStyle w:val="NoSpacing"/>
              <w:jc w:val="center"/>
            </w:pPr>
            <w:r>
              <w:t>67.7%</w:t>
            </w:r>
          </w:p>
        </w:tc>
        <w:tc>
          <w:tcPr>
            <w:tcW w:w="1710" w:type="dxa"/>
          </w:tcPr>
          <w:p w:rsidR="00D016CF" w:rsidRDefault="00D016CF" w:rsidP="001739D5">
            <w:pPr>
              <w:pStyle w:val="NoSpacing"/>
              <w:jc w:val="center"/>
            </w:pPr>
            <w:r>
              <w:t>32.3 %</w:t>
            </w:r>
          </w:p>
        </w:tc>
      </w:tr>
      <w:tr w:rsidR="004D1FE8" w:rsidTr="004D641F">
        <w:tc>
          <w:tcPr>
            <w:tcW w:w="2268" w:type="dxa"/>
          </w:tcPr>
          <w:p w:rsidR="004D1FE8" w:rsidRDefault="004D1FE8" w:rsidP="00EA6DB9">
            <w:pPr>
              <w:pStyle w:val="NoSpacing"/>
            </w:pPr>
            <w:r>
              <w:t>Total</w:t>
            </w:r>
          </w:p>
        </w:tc>
        <w:tc>
          <w:tcPr>
            <w:tcW w:w="1440" w:type="dxa"/>
          </w:tcPr>
          <w:p w:rsidR="004D1FE8" w:rsidRDefault="004D1FE8" w:rsidP="001739D5">
            <w:pPr>
              <w:pStyle w:val="NoSpacing"/>
              <w:jc w:val="center"/>
            </w:pPr>
            <w:r>
              <w:t>251</w:t>
            </w:r>
          </w:p>
        </w:tc>
        <w:tc>
          <w:tcPr>
            <w:tcW w:w="1620" w:type="dxa"/>
          </w:tcPr>
          <w:p w:rsidR="004D1FE8" w:rsidRDefault="004D1FE8" w:rsidP="001739D5">
            <w:pPr>
              <w:pStyle w:val="NoSpacing"/>
              <w:jc w:val="center"/>
            </w:pPr>
            <w:r>
              <w:t>218</w:t>
            </w:r>
          </w:p>
        </w:tc>
        <w:tc>
          <w:tcPr>
            <w:tcW w:w="1443" w:type="dxa"/>
          </w:tcPr>
          <w:p w:rsidR="004D1FE8" w:rsidRDefault="004D1FE8" w:rsidP="001739D5">
            <w:pPr>
              <w:pStyle w:val="NoSpacing"/>
              <w:jc w:val="center"/>
            </w:pPr>
            <w:r>
              <w:t>86.9%</w:t>
            </w:r>
          </w:p>
        </w:tc>
        <w:tc>
          <w:tcPr>
            <w:tcW w:w="1710" w:type="dxa"/>
          </w:tcPr>
          <w:p w:rsidR="004D1FE8" w:rsidRDefault="004D1FE8" w:rsidP="001739D5">
            <w:pPr>
              <w:pStyle w:val="NoSpacing"/>
              <w:jc w:val="center"/>
            </w:pPr>
            <w:r>
              <w:t>13.1%</w:t>
            </w:r>
          </w:p>
        </w:tc>
      </w:tr>
    </w:tbl>
    <w:p w:rsidR="00D016CF" w:rsidRPr="00D10F2A" w:rsidRDefault="00D016CF" w:rsidP="00EA6DB9">
      <w:pPr>
        <w:pStyle w:val="NoSpacing"/>
      </w:pPr>
    </w:p>
    <w:p w:rsidR="00D016CF" w:rsidRPr="00EA6DB9" w:rsidRDefault="00D016CF" w:rsidP="00EA6DB9">
      <w:pPr>
        <w:pStyle w:val="NoSpacing"/>
        <w:rPr>
          <w:b/>
          <w:i/>
        </w:rPr>
      </w:pPr>
      <w:r w:rsidRPr="00EA6DB9">
        <w:rPr>
          <w:b/>
          <w:i/>
        </w:rPr>
        <w:t>Pattern of prescribed ceftriaxone doses</w:t>
      </w:r>
    </w:p>
    <w:p w:rsidR="002E554A" w:rsidRPr="00947E12" w:rsidRDefault="00D016CF" w:rsidP="00312877">
      <w:pPr>
        <w:pStyle w:val="NoSpacing"/>
        <w:jc w:val="both"/>
      </w:pPr>
      <w:r>
        <w:t xml:space="preserve">With respect to prescribed doses of ceftriaxone observed in this study, 1 g (41.4%) and 2 g (39.4%) were found to be the most prescribed doses of ceftriaxone, </w:t>
      </w:r>
      <w:r w:rsidR="00B86695">
        <w:t>followed by 500 mg (9.2%) and (5.6%) respectively. T</w:t>
      </w:r>
      <w:r>
        <w:t>he least prescribed doses were 125 mg, 3g and 4 g, which together constituted 4.4%</w:t>
      </w:r>
      <w:r w:rsidR="004D641F">
        <w:t xml:space="preserve"> of the doses prescribed</w:t>
      </w:r>
      <w:r>
        <w:t xml:space="preserve">. </w:t>
      </w:r>
    </w:p>
    <w:p w:rsidR="002E554A" w:rsidRDefault="002E554A" w:rsidP="00EA6DB9">
      <w:pPr>
        <w:pStyle w:val="NoSpacing"/>
      </w:pPr>
    </w:p>
    <w:p w:rsidR="00D016CF" w:rsidRPr="00702342" w:rsidRDefault="00D016CF" w:rsidP="00EA6DB9">
      <w:pPr>
        <w:pStyle w:val="NoSpacing"/>
        <w:rPr>
          <w:b/>
          <w:i/>
        </w:rPr>
      </w:pPr>
      <w:r w:rsidRPr="00702342">
        <w:rPr>
          <w:b/>
          <w:i/>
        </w:rPr>
        <w:t>Daily frequency and duration of prescribed ceftriaxone.</w:t>
      </w:r>
    </w:p>
    <w:p w:rsidR="00D016CF" w:rsidRPr="00EB1D2F" w:rsidRDefault="00D016CF" w:rsidP="00691003">
      <w:pPr>
        <w:pStyle w:val="NoSpacing"/>
        <w:jc w:val="both"/>
      </w:pPr>
      <w:r>
        <w:t>With respect to</w:t>
      </w:r>
      <w:r w:rsidR="00CA258B">
        <w:t xml:space="preserve"> the</w:t>
      </w:r>
      <w:r>
        <w:t xml:space="preserve"> daily dosage regimen, ceftriaxone stat doses (administered once) constituted </w:t>
      </w:r>
      <w:r w:rsidRPr="00EC1911">
        <w:t>51.4%</w:t>
      </w:r>
      <w:r>
        <w:rPr>
          <w:color w:val="FF0000"/>
        </w:rPr>
        <w:t xml:space="preserve"> </w:t>
      </w:r>
      <w:r w:rsidR="0049176C">
        <w:t>(</w:t>
      </w:r>
      <w:r w:rsidRPr="009E1C10">
        <w:t>129</w:t>
      </w:r>
      <w:r w:rsidR="00111789">
        <w:t xml:space="preserve"> prescriptions</w:t>
      </w:r>
      <w:r w:rsidRPr="009E1C10">
        <w:t xml:space="preserve">) </w:t>
      </w:r>
      <w:r>
        <w:t>whilst once daily regimen</w:t>
      </w:r>
      <w:r w:rsidR="00251BB0">
        <w:t>s</w:t>
      </w:r>
      <w:r>
        <w:t xml:space="preserve"> which were prescribed (as stat only or stat and once daily) constituted 84.5% (212</w:t>
      </w:r>
      <w:r w:rsidR="00111789">
        <w:t xml:space="preserve"> prescriptions</w:t>
      </w:r>
      <w:r>
        <w:t>). Twice daily dos</w:t>
      </w:r>
      <w:r w:rsidR="0004610D">
        <w:t>age regimens in</w:t>
      </w:r>
      <w:r>
        <w:t xml:space="preserve"> equally divided doses every 12 hours constituted 10.3% (26</w:t>
      </w:r>
      <w:r w:rsidR="00111789">
        <w:t xml:space="preserve"> prescriptions</w:t>
      </w:r>
      <w:r>
        <w:t xml:space="preserve">), and other doses which given as </w:t>
      </w:r>
      <w:r w:rsidR="0004610D">
        <w:t>twice daily</w:t>
      </w:r>
      <w:r w:rsidR="0050563E">
        <w:t xml:space="preserve"> </w:t>
      </w:r>
      <w:r>
        <w:t xml:space="preserve">or start then </w:t>
      </w:r>
      <w:r w:rsidR="0004610D">
        <w:t>twice daily</w:t>
      </w:r>
      <w:r>
        <w:t xml:space="preserve"> were 5.2% (13).  </w:t>
      </w:r>
      <w:r w:rsidR="00802C7F">
        <w:t>Ceftriaxone prescribed</w:t>
      </w:r>
      <w:r>
        <w:t xml:space="preserve"> for 1 day constituted 51.4% (129),</w:t>
      </w:r>
      <w:r w:rsidR="00802C7F">
        <w:t xml:space="preserve"> whilst prescriptions</w:t>
      </w:r>
      <w:r>
        <w:t xml:space="preserve"> for two days was 35.1% (88) an</w:t>
      </w:r>
      <w:r w:rsidR="00EB1D2F">
        <w:t>d three to five days was</w:t>
      </w:r>
      <w:r>
        <w:t xml:space="preserve"> 13.5% (34). </w:t>
      </w:r>
    </w:p>
    <w:p w:rsidR="003471F1" w:rsidRDefault="003471F1" w:rsidP="00691003">
      <w:pPr>
        <w:pStyle w:val="NoSpacing"/>
        <w:jc w:val="both"/>
      </w:pPr>
    </w:p>
    <w:p w:rsidR="00D016CF" w:rsidRPr="00702342" w:rsidRDefault="00D016CF" w:rsidP="00691003">
      <w:pPr>
        <w:pStyle w:val="NoSpacing"/>
        <w:jc w:val="both"/>
        <w:rPr>
          <w:b/>
          <w:i/>
        </w:rPr>
      </w:pPr>
      <w:r w:rsidRPr="00702342">
        <w:rPr>
          <w:b/>
          <w:i/>
        </w:rPr>
        <w:t xml:space="preserve">Actual threshold and </w:t>
      </w:r>
      <w:r w:rsidR="0004610D">
        <w:rPr>
          <w:b/>
          <w:i/>
        </w:rPr>
        <w:t>p</w:t>
      </w:r>
      <w:r w:rsidRPr="00702342">
        <w:rPr>
          <w:b/>
          <w:i/>
        </w:rPr>
        <w:t>re-set criteria threshold</w:t>
      </w:r>
    </w:p>
    <w:p w:rsidR="00A55AE3" w:rsidRPr="00186472" w:rsidRDefault="00D016CF" w:rsidP="00691003">
      <w:pPr>
        <w:pStyle w:val="NoSpacing"/>
        <w:jc w:val="both"/>
      </w:pPr>
      <w:r>
        <w:t xml:space="preserve">The study revealed that </w:t>
      </w:r>
      <w:r w:rsidR="0004610D">
        <w:t xml:space="preserve">the </w:t>
      </w:r>
      <w:r>
        <w:t>actual threshold of prescribed ceftriaxone</w:t>
      </w:r>
      <w:r w:rsidR="0004610D">
        <w:t xml:space="preserve"> injection</w:t>
      </w:r>
      <w:r w:rsidR="00490A61">
        <w:t>s</w:t>
      </w:r>
      <w:r>
        <w:t xml:space="preserve"> was 86.9% with respect to </w:t>
      </w:r>
      <w:r w:rsidR="00490A61">
        <w:t xml:space="preserve">the </w:t>
      </w:r>
      <w:r w:rsidR="0004610D">
        <w:t xml:space="preserve">appropriateness of </w:t>
      </w:r>
      <w:r w:rsidR="00490A61">
        <w:t>the indication (</w:t>
      </w:r>
      <w:r>
        <w:t>diagnosis</w:t>
      </w:r>
      <w:r w:rsidR="00490A61">
        <w:t>)</w:t>
      </w:r>
      <w:r>
        <w:t xml:space="preserve"> </w:t>
      </w:r>
      <w:r w:rsidR="0050563E">
        <w:t>versus</w:t>
      </w:r>
      <w:r>
        <w:t xml:space="preserve"> </w:t>
      </w:r>
      <w:r w:rsidR="0004610D">
        <w:t xml:space="preserve">the </w:t>
      </w:r>
      <w:r>
        <w:t>pre</w:t>
      </w:r>
      <w:r w:rsidR="0004610D">
        <w:t>-</w:t>
      </w:r>
      <w:r>
        <w:t xml:space="preserve">set threshold </w:t>
      </w:r>
      <w:r w:rsidR="0050563E">
        <w:t>of</w:t>
      </w:r>
      <w:r>
        <w:t xml:space="preserve"> 95%. Actual thresholds for all the doses and daily dosage regimen were appropriate (100%). The actual threshold for duration of prescribed ceftriaxone was 85.7% against </w:t>
      </w:r>
      <w:r w:rsidR="00EA43B4">
        <w:t xml:space="preserve">the </w:t>
      </w:r>
      <w:r>
        <w:t>pre</w:t>
      </w:r>
      <w:r w:rsidR="00EA43B4">
        <w:t>-</w:t>
      </w:r>
      <w:r>
        <w:t xml:space="preserve">set threshold of 95%. </w:t>
      </w:r>
      <w:r w:rsidR="00EA43B4">
        <w:t>The a</w:t>
      </w:r>
      <w:r>
        <w:t xml:space="preserve">ctual threshold for prescribed supportive or additional antibiotics in this study was 90.3% against </w:t>
      </w:r>
      <w:r w:rsidR="004D641F">
        <w:t>a pre-set</w:t>
      </w:r>
      <w:r>
        <w:t xml:space="preserve"> threshold of 100%. The threshold obtained for the absence of possible drug-drug interactions was 8</w:t>
      </w:r>
      <w:r w:rsidR="00DC1827">
        <w:t>7.7</w:t>
      </w:r>
      <w:r>
        <w:t xml:space="preserve">% against </w:t>
      </w:r>
      <w:r w:rsidR="004D641F">
        <w:t>a pre-set</w:t>
      </w:r>
      <w:r>
        <w:t xml:space="preserve"> threshold of 95%. There was no disease condition for which prescribed ceftriaxone was contraindicated, hence a threshold of 100%. </w:t>
      </w:r>
      <w:r w:rsidR="004D641F">
        <w:t>The d</w:t>
      </w:r>
      <w:r>
        <w:t>etailed comparison of actual and pre-set criteria thresholds is show</w:t>
      </w:r>
      <w:r w:rsidR="004D641F">
        <w:t>n</w:t>
      </w:r>
      <w:r>
        <w:t xml:space="preserve"> in Table </w:t>
      </w:r>
      <w:r w:rsidR="00B86695">
        <w:t>3</w:t>
      </w:r>
      <w:r>
        <w:t>.</w:t>
      </w:r>
    </w:p>
    <w:p w:rsidR="00D016CF" w:rsidRDefault="00D016CF" w:rsidP="00EA6DB9">
      <w:pPr>
        <w:pStyle w:val="NoSpacing"/>
      </w:pPr>
    </w:p>
    <w:p w:rsidR="003471F1" w:rsidRPr="004A2688" w:rsidRDefault="00D016CF" w:rsidP="00EA6DB9">
      <w:pPr>
        <w:pStyle w:val="NoSpacing"/>
        <w:rPr>
          <w:b/>
        </w:rPr>
      </w:pPr>
      <w:r w:rsidRPr="004A2688">
        <w:rPr>
          <w:b/>
        </w:rPr>
        <w:lastRenderedPageBreak/>
        <w:t xml:space="preserve">Table </w:t>
      </w:r>
      <w:r w:rsidR="00881A4C">
        <w:rPr>
          <w:b/>
        </w:rPr>
        <w:t>3</w:t>
      </w:r>
      <w:r w:rsidRPr="004A2688">
        <w:rPr>
          <w:b/>
        </w:rPr>
        <w:t xml:space="preserve">: Criteria </w:t>
      </w:r>
      <w:r w:rsidR="00FA284F">
        <w:rPr>
          <w:b/>
        </w:rPr>
        <w:t>t</w:t>
      </w:r>
      <w:r w:rsidRPr="004A2688">
        <w:rPr>
          <w:b/>
        </w:rPr>
        <w:t xml:space="preserve">hreshold for </w:t>
      </w:r>
      <w:r w:rsidR="00304BB3">
        <w:rPr>
          <w:b/>
        </w:rPr>
        <w:t>c</w:t>
      </w:r>
      <w:r w:rsidRPr="004A2688">
        <w:rPr>
          <w:b/>
        </w:rPr>
        <w:t xml:space="preserve">eftriaxone </w:t>
      </w:r>
      <w:r w:rsidR="00217F06">
        <w:rPr>
          <w:b/>
        </w:rPr>
        <w:t xml:space="preserve">injection </w:t>
      </w:r>
      <w:r w:rsidRPr="004A2688">
        <w:rPr>
          <w:b/>
        </w:rPr>
        <w:t>use at the Ghana Police Hospital</w:t>
      </w:r>
    </w:p>
    <w:tbl>
      <w:tblPr>
        <w:tblStyle w:val="TableGrid"/>
        <w:tblW w:w="9322" w:type="dxa"/>
        <w:tblLook w:val="04A0" w:firstRow="1" w:lastRow="0" w:firstColumn="1" w:lastColumn="0" w:noHBand="0" w:noVBand="1"/>
      </w:tblPr>
      <w:tblGrid>
        <w:gridCol w:w="2660"/>
        <w:gridCol w:w="2126"/>
        <w:gridCol w:w="2268"/>
        <w:gridCol w:w="2268"/>
      </w:tblGrid>
      <w:tr w:rsidR="00D016CF" w:rsidRPr="001739D5" w:rsidTr="00D934B8">
        <w:tc>
          <w:tcPr>
            <w:tcW w:w="2660" w:type="dxa"/>
          </w:tcPr>
          <w:p w:rsidR="00D016CF" w:rsidRPr="001739D5" w:rsidRDefault="000E617D" w:rsidP="000E617D">
            <w:pPr>
              <w:pStyle w:val="NoSpacing"/>
              <w:jc w:val="center"/>
              <w:rPr>
                <w:b/>
              </w:rPr>
            </w:pPr>
            <w:r>
              <w:rPr>
                <w:b/>
              </w:rPr>
              <w:t>Criteria assessed v</w:t>
            </w:r>
            <w:r w:rsidR="00D016CF" w:rsidRPr="001739D5">
              <w:rPr>
                <w:b/>
              </w:rPr>
              <w:t>ariables</w:t>
            </w:r>
          </w:p>
        </w:tc>
        <w:tc>
          <w:tcPr>
            <w:tcW w:w="2126" w:type="dxa"/>
          </w:tcPr>
          <w:p w:rsidR="00D016CF" w:rsidRPr="001739D5" w:rsidRDefault="00FA284F" w:rsidP="001739D5">
            <w:pPr>
              <w:pStyle w:val="NoSpacing"/>
              <w:jc w:val="center"/>
              <w:rPr>
                <w:b/>
              </w:rPr>
            </w:pPr>
            <w:r>
              <w:rPr>
                <w:b/>
              </w:rPr>
              <w:t>Number of cases assessed</w:t>
            </w:r>
          </w:p>
        </w:tc>
        <w:tc>
          <w:tcPr>
            <w:tcW w:w="2268" w:type="dxa"/>
          </w:tcPr>
          <w:p w:rsidR="00D016CF" w:rsidRPr="001739D5" w:rsidRDefault="00D016CF" w:rsidP="001739D5">
            <w:pPr>
              <w:pStyle w:val="NoSpacing"/>
              <w:jc w:val="center"/>
              <w:rPr>
                <w:b/>
              </w:rPr>
            </w:pPr>
            <w:r w:rsidRPr="001739D5">
              <w:rPr>
                <w:b/>
              </w:rPr>
              <w:t xml:space="preserve">% </w:t>
            </w:r>
            <w:r w:rsidR="00595173">
              <w:rPr>
                <w:b/>
              </w:rPr>
              <w:t>Pre-set</w:t>
            </w:r>
          </w:p>
          <w:p w:rsidR="00D016CF" w:rsidRPr="001739D5" w:rsidRDefault="00AD5BD1" w:rsidP="001739D5">
            <w:pPr>
              <w:pStyle w:val="NoSpacing"/>
              <w:jc w:val="center"/>
              <w:rPr>
                <w:b/>
              </w:rPr>
            </w:pPr>
            <w:r>
              <w:rPr>
                <w:b/>
              </w:rPr>
              <w:t>T</w:t>
            </w:r>
            <w:r w:rsidR="00D016CF" w:rsidRPr="001739D5">
              <w:rPr>
                <w:b/>
              </w:rPr>
              <w:t>hreshold</w:t>
            </w:r>
          </w:p>
        </w:tc>
        <w:tc>
          <w:tcPr>
            <w:tcW w:w="2268" w:type="dxa"/>
          </w:tcPr>
          <w:p w:rsidR="00D016CF" w:rsidRPr="001739D5" w:rsidRDefault="00D016CF" w:rsidP="001739D5">
            <w:pPr>
              <w:pStyle w:val="NoSpacing"/>
              <w:jc w:val="center"/>
              <w:rPr>
                <w:b/>
              </w:rPr>
            </w:pPr>
            <w:r w:rsidRPr="001739D5">
              <w:rPr>
                <w:b/>
              </w:rPr>
              <w:t>% Actual</w:t>
            </w:r>
          </w:p>
          <w:p w:rsidR="00D016CF" w:rsidRPr="001739D5" w:rsidRDefault="00F32494" w:rsidP="001739D5">
            <w:pPr>
              <w:pStyle w:val="NoSpacing"/>
              <w:jc w:val="center"/>
              <w:rPr>
                <w:b/>
              </w:rPr>
            </w:pPr>
            <w:r>
              <w:rPr>
                <w:b/>
              </w:rPr>
              <w:t>T</w:t>
            </w:r>
            <w:r w:rsidR="00D016CF" w:rsidRPr="001739D5">
              <w:rPr>
                <w:b/>
              </w:rPr>
              <w:t>hreshold</w:t>
            </w:r>
          </w:p>
        </w:tc>
      </w:tr>
      <w:tr w:rsidR="00D016CF" w:rsidTr="00D934B8">
        <w:tc>
          <w:tcPr>
            <w:tcW w:w="2660" w:type="dxa"/>
          </w:tcPr>
          <w:p w:rsidR="00D016CF" w:rsidRPr="00E20300" w:rsidRDefault="00D016CF" w:rsidP="000E617D">
            <w:pPr>
              <w:pStyle w:val="NoSpacing"/>
              <w:jc w:val="center"/>
            </w:pPr>
            <w:r w:rsidRPr="00E20300">
              <w:t>Indication</w:t>
            </w:r>
          </w:p>
        </w:tc>
        <w:tc>
          <w:tcPr>
            <w:tcW w:w="2126" w:type="dxa"/>
          </w:tcPr>
          <w:p w:rsidR="00D016CF" w:rsidRPr="00E20300" w:rsidRDefault="00217F06" w:rsidP="001739D5">
            <w:pPr>
              <w:pStyle w:val="NoSpacing"/>
              <w:jc w:val="center"/>
            </w:pPr>
            <w:r>
              <w:t>251</w:t>
            </w:r>
          </w:p>
        </w:tc>
        <w:tc>
          <w:tcPr>
            <w:tcW w:w="2268" w:type="dxa"/>
          </w:tcPr>
          <w:p w:rsidR="00D016CF" w:rsidRPr="00E20300" w:rsidRDefault="00D016CF" w:rsidP="001739D5">
            <w:pPr>
              <w:pStyle w:val="NoSpacing"/>
              <w:jc w:val="center"/>
            </w:pPr>
            <w:r w:rsidRPr="00E20300">
              <w:t>239 (95%)</w:t>
            </w:r>
          </w:p>
        </w:tc>
        <w:tc>
          <w:tcPr>
            <w:tcW w:w="2268" w:type="dxa"/>
          </w:tcPr>
          <w:p w:rsidR="00D016CF" w:rsidRPr="00E20300" w:rsidRDefault="00D016CF" w:rsidP="001739D5">
            <w:pPr>
              <w:pStyle w:val="NoSpacing"/>
              <w:jc w:val="center"/>
            </w:pPr>
            <w:r w:rsidRPr="00E20300">
              <w:t>(218) 86.9%</w:t>
            </w:r>
          </w:p>
        </w:tc>
      </w:tr>
      <w:tr w:rsidR="00D016CF" w:rsidTr="00D934B8">
        <w:tc>
          <w:tcPr>
            <w:tcW w:w="2660" w:type="dxa"/>
          </w:tcPr>
          <w:p w:rsidR="00D016CF" w:rsidRPr="00E20300" w:rsidRDefault="00DC1827" w:rsidP="000E617D">
            <w:pPr>
              <w:pStyle w:val="NoSpacing"/>
              <w:jc w:val="center"/>
            </w:pPr>
            <w:r>
              <w:t xml:space="preserve">  </w:t>
            </w:r>
            <w:r w:rsidR="00D016CF" w:rsidRPr="00E20300">
              <w:t>Dose (</w:t>
            </w:r>
            <w:r w:rsidR="00ED11F6">
              <w:t xml:space="preserve">based on </w:t>
            </w:r>
            <w:r w:rsidR="00D016CF" w:rsidRPr="00E20300">
              <w:t>age)</w:t>
            </w:r>
          </w:p>
        </w:tc>
        <w:tc>
          <w:tcPr>
            <w:tcW w:w="2126" w:type="dxa"/>
          </w:tcPr>
          <w:p w:rsidR="00D016CF" w:rsidRPr="00E20300" w:rsidRDefault="00217F06" w:rsidP="001739D5">
            <w:pPr>
              <w:pStyle w:val="NoSpacing"/>
              <w:jc w:val="center"/>
            </w:pPr>
            <w:r>
              <w:t>251</w:t>
            </w:r>
          </w:p>
        </w:tc>
        <w:tc>
          <w:tcPr>
            <w:tcW w:w="2268" w:type="dxa"/>
          </w:tcPr>
          <w:p w:rsidR="00D016CF" w:rsidRPr="00E20300" w:rsidRDefault="00D016CF" w:rsidP="001739D5">
            <w:pPr>
              <w:pStyle w:val="NoSpacing"/>
              <w:jc w:val="center"/>
            </w:pPr>
            <w:r w:rsidRPr="00E20300">
              <w:t>251 (100%)</w:t>
            </w:r>
          </w:p>
        </w:tc>
        <w:tc>
          <w:tcPr>
            <w:tcW w:w="2268" w:type="dxa"/>
          </w:tcPr>
          <w:p w:rsidR="00D016CF" w:rsidRPr="00E20300" w:rsidRDefault="00D016CF" w:rsidP="001739D5">
            <w:pPr>
              <w:pStyle w:val="NoSpacing"/>
              <w:jc w:val="center"/>
            </w:pPr>
            <w:r w:rsidRPr="00E20300">
              <w:t>(251) 100%</w:t>
            </w:r>
          </w:p>
        </w:tc>
      </w:tr>
      <w:tr w:rsidR="00D016CF" w:rsidTr="00D934B8">
        <w:tc>
          <w:tcPr>
            <w:tcW w:w="2660" w:type="dxa"/>
          </w:tcPr>
          <w:p w:rsidR="00D016CF" w:rsidRPr="00E20300" w:rsidRDefault="00D016CF" w:rsidP="000E617D">
            <w:pPr>
              <w:pStyle w:val="NoSpacing"/>
              <w:jc w:val="center"/>
            </w:pPr>
            <w:r w:rsidRPr="00E20300">
              <w:t>Daily dose regimen</w:t>
            </w:r>
          </w:p>
        </w:tc>
        <w:tc>
          <w:tcPr>
            <w:tcW w:w="2126" w:type="dxa"/>
          </w:tcPr>
          <w:p w:rsidR="00D016CF" w:rsidRPr="00E20300" w:rsidRDefault="00217F06" w:rsidP="001739D5">
            <w:pPr>
              <w:pStyle w:val="NoSpacing"/>
              <w:jc w:val="center"/>
            </w:pPr>
            <w:r>
              <w:t>251</w:t>
            </w:r>
          </w:p>
        </w:tc>
        <w:tc>
          <w:tcPr>
            <w:tcW w:w="2268" w:type="dxa"/>
          </w:tcPr>
          <w:p w:rsidR="00D016CF" w:rsidRPr="00E20300" w:rsidRDefault="00D016CF" w:rsidP="001739D5">
            <w:pPr>
              <w:pStyle w:val="NoSpacing"/>
              <w:jc w:val="center"/>
            </w:pPr>
            <w:r w:rsidRPr="00E20300">
              <w:t>251 (100%)</w:t>
            </w:r>
          </w:p>
        </w:tc>
        <w:tc>
          <w:tcPr>
            <w:tcW w:w="2268" w:type="dxa"/>
          </w:tcPr>
          <w:p w:rsidR="00D016CF" w:rsidRPr="00E20300" w:rsidRDefault="00D016CF" w:rsidP="001739D5">
            <w:pPr>
              <w:pStyle w:val="NoSpacing"/>
              <w:jc w:val="center"/>
            </w:pPr>
            <w:r w:rsidRPr="00E20300">
              <w:t>(251) 100%</w:t>
            </w:r>
          </w:p>
        </w:tc>
      </w:tr>
      <w:tr w:rsidR="00D016CF" w:rsidTr="00D934B8">
        <w:trPr>
          <w:trHeight w:val="794"/>
        </w:trPr>
        <w:tc>
          <w:tcPr>
            <w:tcW w:w="2660" w:type="dxa"/>
          </w:tcPr>
          <w:p w:rsidR="00D016CF" w:rsidRPr="00E20300" w:rsidRDefault="00D016CF" w:rsidP="000E617D">
            <w:pPr>
              <w:pStyle w:val="NoSpacing"/>
              <w:jc w:val="center"/>
            </w:pPr>
            <w:r w:rsidRPr="00E20300">
              <w:t>Duration (based on severity of condition)</w:t>
            </w:r>
          </w:p>
        </w:tc>
        <w:tc>
          <w:tcPr>
            <w:tcW w:w="2126" w:type="dxa"/>
          </w:tcPr>
          <w:p w:rsidR="00D016CF" w:rsidRPr="00E20300" w:rsidRDefault="00217F06" w:rsidP="001739D5">
            <w:pPr>
              <w:pStyle w:val="NoSpacing"/>
              <w:jc w:val="center"/>
            </w:pPr>
            <w:r>
              <w:t>251</w:t>
            </w:r>
          </w:p>
        </w:tc>
        <w:tc>
          <w:tcPr>
            <w:tcW w:w="2268" w:type="dxa"/>
          </w:tcPr>
          <w:p w:rsidR="00D016CF" w:rsidRPr="00E20300" w:rsidRDefault="00D016CF" w:rsidP="001739D5">
            <w:pPr>
              <w:pStyle w:val="NoSpacing"/>
              <w:jc w:val="center"/>
            </w:pPr>
            <w:r w:rsidRPr="00E20300">
              <w:t>239 (95%)</w:t>
            </w:r>
          </w:p>
        </w:tc>
        <w:tc>
          <w:tcPr>
            <w:tcW w:w="2268" w:type="dxa"/>
          </w:tcPr>
          <w:p w:rsidR="00D016CF" w:rsidRPr="00E20300" w:rsidRDefault="00D016CF" w:rsidP="001739D5">
            <w:pPr>
              <w:pStyle w:val="NoSpacing"/>
              <w:jc w:val="center"/>
            </w:pPr>
            <w:r w:rsidRPr="00E20300">
              <w:t>(215) 85.7%</w:t>
            </w:r>
          </w:p>
        </w:tc>
      </w:tr>
      <w:tr w:rsidR="00D016CF" w:rsidTr="00D934B8">
        <w:tc>
          <w:tcPr>
            <w:tcW w:w="2660" w:type="dxa"/>
          </w:tcPr>
          <w:p w:rsidR="00D016CF" w:rsidRPr="00E20300" w:rsidRDefault="00D016CF" w:rsidP="000E617D">
            <w:pPr>
              <w:pStyle w:val="NoSpacing"/>
              <w:jc w:val="center"/>
            </w:pPr>
            <w:r w:rsidRPr="00E20300">
              <w:t>Supportive/</w:t>
            </w:r>
            <w:proofErr w:type="gramStart"/>
            <w:r w:rsidRPr="00E20300">
              <w:t>additional  antibiotic</w:t>
            </w:r>
            <w:proofErr w:type="gramEnd"/>
            <w:r w:rsidRPr="00E20300">
              <w:t xml:space="preserve"> required</w:t>
            </w:r>
          </w:p>
        </w:tc>
        <w:tc>
          <w:tcPr>
            <w:tcW w:w="2126" w:type="dxa"/>
          </w:tcPr>
          <w:p w:rsidR="00D016CF" w:rsidRPr="00E20300" w:rsidRDefault="00217F06" w:rsidP="001739D5">
            <w:pPr>
              <w:pStyle w:val="NoSpacing"/>
              <w:jc w:val="center"/>
            </w:pPr>
            <w:r>
              <w:t>186</w:t>
            </w:r>
          </w:p>
        </w:tc>
        <w:tc>
          <w:tcPr>
            <w:tcW w:w="2268" w:type="dxa"/>
          </w:tcPr>
          <w:p w:rsidR="00D016CF" w:rsidRPr="00E20300" w:rsidRDefault="00D016CF" w:rsidP="001739D5">
            <w:pPr>
              <w:pStyle w:val="NoSpacing"/>
              <w:jc w:val="center"/>
            </w:pPr>
            <w:r w:rsidRPr="00E20300">
              <w:t xml:space="preserve">186 </w:t>
            </w:r>
            <w:r w:rsidR="004D1FE8">
              <w:t>(</w:t>
            </w:r>
            <w:r w:rsidRPr="00E20300">
              <w:t>100%</w:t>
            </w:r>
            <w:r w:rsidR="004D1FE8">
              <w:t>)</w:t>
            </w:r>
          </w:p>
        </w:tc>
        <w:tc>
          <w:tcPr>
            <w:tcW w:w="2268" w:type="dxa"/>
          </w:tcPr>
          <w:p w:rsidR="00D016CF" w:rsidRPr="00E20300" w:rsidRDefault="00D016CF" w:rsidP="001739D5">
            <w:pPr>
              <w:pStyle w:val="NoSpacing"/>
              <w:jc w:val="center"/>
            </w:pPr>
            <w:r w:rsidRPr="00E20300">
              <w:t xml:space="preserve">168 </w:t>
            </w:r>
            <w:r w:rsidR="004D1FE8">
              <w:t>(</w:t>
            </w:r>
            <w:r w:rsidRPr="00E20300">
              <w:t>90.3%</w:t>
            </w:r>
            <w:r w:rsidR="004D1FE8">
              <w:t>)</w:t>
            </w:r>
          </w:p>
          <w:p w:rsidR="00D016CF" w:rsidRPr="00E20300" w:rsidRDefault="00D016CF" w:rsidP="001739D5">
            <w:pPr>
              <w:pStyle w:val="NoSpacing"/>
              <w:jc w:val="center"/>
            </w:pPr>
          </w:p>
        </w:tc>
      </w:tr>
      <w:tr w:rsidR="00D016CF" w:rsidTr="00D934B8">
        <w:trPr>
          <w:trHeight w:val="616"/>
        </w:trPr>
        <w:tc>
          <w:tcPr>
            <w:tcW w:w="2660" w:type="dxa"/>
          </w:tcPr>
          <w:p w:rsidR="00D016CF" w:rsidRPr="00E20300" w:rsidRDefault="00D016CF" w:rsidP="000E617D">
            <w:pPr>
              <w:pStyle w:val="NoSpacing"/>
              <w:jc w:val="center"/>
            </w:pPr>
            <w:r w:rsidRPr="00E20300">
              <w:t xml:space="preserve">Possible </w:t>
            </w:r>
            <w:r w:rsidR="00595173">
              <w:t>d</w:t>
            </w:r>
            <w:r w:rsidRPr="00E20300">
              <w:t>rug-</w:t>
            </w:r>
            <w:r w:rsidR="00595173">
              <w:t>d</w:t>
            </w:r>
            <w:r w:rsidRPr="00E20300">
              <w:t>rug Interaction</w:t>
            </w:r>
            <w:r w:rsidR="000F2B7D">
              <w:t xml:space="preserve"> (absence)</w:t>
            </w:r>
          </w:p>
        </w:tc>
        <w:tc>
          <w:tcPr>
            <w:tcW w:w="2126" w:type="dxa"/>
          </w:tcPr>
          <w:p w:rsidR="00D016CF" w:rsidRPr="00E20300" w:rsidRDefault="00217F06" w:rsidP="001739D5">
            <w:pPr>
              <w:pStyle w:val="NoSpacing"/>
              <w:jc w:val="center"/>
            </w:pPr>
            <w:r>
              <w:t>251</w:t>
            </w:r>
          </w:p>
        </w:tc>
        <w:tc>
          <w:tcPr>
            <w:tcW w:w="2268" w:type="dxa"/>
          </w:tcPr>
          <w:p w:rsidR="00D016CF" w:rsidRPr="00E20300" w:rsidRDefault="00D016CF" w:rsidP="001739D5">
            <w:pPr>
              <w:pStyle w:val="NoSpacing"/>
              <w:jc w:val="center"/>
            </w:pPr>
            <w:r w:rsidRPr="00E20300">
              <w:t>239 (95%)</w:t>
            </w:r>
          </w:p>
        </w:tc>
        <w:tc>
          <w:tcPr>
            <w:tcW w:w="2268" w:type="dxa"/>
          </w:tcPr>
          <w:p w:rsidR="00D016CF" w:rsidRPr="00E20300" w:rsidRDefault="00D016CF" w:rsidP="001739D5">
            <w:pPr>
              <w:pStyle w:val="NoSpacing"/>
              <w:jc w:val="center"/>
            </w:pPr>
            <w:r w:rsidRPr="00E20300">
              <w:t>(220) 87.7%</w:t>
            </w:r>
          </w:p>
        </w:tc>
      </w:tr>
      <w:tr w:rsidR="00D016CF" w:rsidTr="00D934B8">
        <w:trPr>
          <w:trHeight w:val="658"/>
        </w:trPr>
        <w:tc>
          <w:tcPr>
            <w:tcW w:w="2660" w:type="dxa"/>
          </w:tcPr>
          <w:p w:rsidR="00D016CF" w:rsidRPr="00E20300" w:rsidRDefault="00D016CF" w:rsidP="000E617D">
            <w:pPr>
              <w:pStyle w:val="NoSpacing"/>
              <w:jc w:val="center"/>
            </w:pPr>
            <w:r w:rsidRPr="00E20300">
              <w:t>Contraindicated Disease</w:t>
            </w:r>
            <w:r w:rsidR="000F2B7D">
              <w:t xml:space="preserve"> (absence)</w:t>
            </w:r>
          </w:p>
        </w:tc>
        <w:tc>
          <w:tcPr>
            <w:tcW w:w="2126" w:type="dxa"/>
          </w:tcPr>
          <w:p w:rsidR="00D016CF" w:rsidRPr="00E20300" w:rsidRDefault="00217F06" w:rsidP="001739D5">
            <w:pPr>
              <w:pStyle w:val="NoSpacing"/>
              <w:jc w:val="center"/>
            </w:pPr>
            <w:r>
              <w:t>251</w:t>
            </w:r>
          </w:p>
        </w:tc>
        <w:tc>
          <w:tcPr>
            <w:tcW w:w="2268" w:type="dxa"/>
          </w:tcPr>
          <w:p w:rsidR="00D016CF" w:rsidRPr="00E20300" w:rsidRDefault="00D016CF" w:rsidP="001739D5">
            <w:pPr>
              <w:pStyle w:val="NoSpacing"/>
              <w:jc w:val="center"/>
            </w:pPr>
            <w:r w:rsidRPr="00E20300">
              <w:t>251 (100%)</w:t>
            </w:r>
          </w:p>
        </w:tc>
        <w:tc>
          <w:tcPr>
            <w:tcW w:w="2268" w:type="dxa"/>
          </w:tcPr>
          <w:p w:rsidR="00D016CF" w:rsidRPr="00E20300" w:rsidRDefault="00D016CF" w:rsidP="001739D5">
            <w:pPr>
              <w:pStyle w:val="NoSpacing"/>
              <w:jc w:val="center"/>
            </w:pPr>
            <w:r w:rsidRPr="00E20300">
              <w:t>(251) 100%</w:t>
            </w:r>
          </w:p>
        </w:tc>
      </w:tr>
      <w:tr w:rsidR="00D016CF" w:rsidTr="00D934B8">
        <w:tc>
          <w:tcPr>
            <w:tcW w:w="2660" w:type="dxa"/>
          </w:tcPr>
          <w:p w:rsidR="00D016CF" w:rsidRPr="00E20300" w:rsidRDefault="00D016CF" w:rsidP="000E617D">
            <w:pPr>
              <w:pStyle w:val="NoSpacing"/>
              <w:jc w:val="center"/>
            </w:pPr>
            <w:r w:rsidRPr="00E20300">
              <w:t>Overall</w:t>
            </w:r>
            <w:r w:rsidR="004D1FE8">
              <w:t xml:space="preserve"> appropriateness</w:t>
            </w:r>
          </w:p>
        </w:tc>
        <w:tc>
          <w:tcPr>
            <w:tcW w:w="2126" w:type="dxa"/>
          </w:tcPr>
          <w:p w:rsidR="00D016CF" w:rsidRPr="00E20300" w:rsidRDefault="00217F06" w:rsidP="001739D5">
            <w:pPr>
              <w:pStyle w:val="NoSpacing"/>
              <w:jc w:val="center"/>
            </w:pPr>
            <w:r>
              <w:t>1692</w:t>
            </w:r>
          </w:p>
        </w:tc>
        <w:tc>
          <w:tcPr>
            <w:tcW w:w="2268" w:type="dxa"/>
          </w:tcPr>
          <w:p w:rsidR="00D016CF" w:rsidRPr="00E20300" w:rsidRDefault="004B70CB" w:rsidP="001739D5">
            <w:pPr>
              <w:pStyle w:val="NoSpacing"/>
              <w:jc w:val="center"/>
            </w:pPr>
            <w:r>
              <w:t>1656</w:t>
            </w:r>
            <w:r w:rsidR="00D016CF" w:rsidRPr="00E20300">
              <w:t>/</w:t>
            </w:r>
            <w:r w:rsidR="00FA284F">
              <w:t>1692</w:t>
            </w:r>
            <w:r w:rsidR="00FA284F" w:rsidRPr="00E20300">
              <w:t xml:space="preserve"> </w:t>
            </w:r>
            <w:r w:rsidR="00FA284F">
              <w:t>(</w:t>
            </w:r>
            <w:r>
              <w:t>97.9%</w:t>
            </w:r>
            <w:r w:rsidR="00FA284F">
              <w:t>)</w:t>
            </w:r>
          </w:p>
        </w:tc>
        <w:tc>
          <w:tcPr>
            <w:tcW w:w="2268" w:type="dxa"/>
          </w:tcPr>
          <w:p w:rsidR="00D016CF" w:rsidRPr="00E20300" w:rsidRDefault="004B70CB" w:rsidP="00217F06">
            <w:pPr>
              <w:pStyle w:val="NoSpacing"/>
            </w:pPr>
            <w:r>
              <w:t>1574</w:t>
            </w:r>
            <w:r w:rsidR="00FA284F">
              <w:t>/</w:t>
            </w:r>
            <w:r>
              <w:t xml:space="preserve">1692 </w:t>
            </w:r>
            <w:r w:rsidR="00FA284F">
              <w:t>(</w:t>
            </w:r>
            <w:r>
              <w:t>93.0%</w:t>
            </w:r>
            <w:r w:rsidR="00FA284F">
              <w:t>)</w:t>
            </w:r>
          </w:p>
        </w:tc>
      </w:tr>
    </w:tbl>
    <w:p w:rsidR="0050563E" w:rsidRDefault="00FA284F" w:rsidP="00EA6DB9">
      <w:pPr>
        <w:pStyle w:val="NoSpacing"/>
        <w:rPr>
          <w:b/>
        </w:rPr>
      </w:pPr>
      <w:r>
        <w:rPr>
          <w:b/>
        </w:rPr>
        <w:t>*</w:t>
      </w:r>
      <w:r w:rsidR="0050563E">
        <w:rPr>
          <w:b/>
        </w:rPr>
        <w:t>NB. The c</w:t>
      </w:r>
      <w:r>
        <w:rPr>
          <w:b/>
        </w:rPr>
        <w:t xml:space="preserve">riteria for assessing variables was </w:t>
      </w:r>
      <w:r w:rsidR="00595173">
        <w:rPr>
          <w:b/>
        </w:rPr>
        <w:t xml:space="preserve">as specified in </w:t>
      </w:r>
      <w:r>
        <w:rPr>
          <w:b/>
        </w:rPr>
        <w:t xml:space="preserve">STGs and </w:t>
      </w:r>
      <w:r w:rsidR="004D1FE8">
        <w:rPr>
          <w:b/>
        </w:rPr>
        <w:t>c</w:t>
      </w:r>
      <w:r>
        <w:rPr>
          <w:b/>
        </w:rPr>
        <w:t>eftriaxone package insert.</w:t>
      </w:r>
    </w:p>
    <w:p w:rsidR="0075673A" w:rsidRDefault="0075673A" w:rsidP="00EA6DB9">
      <w:pPr>
        <w:pStyle w:val="NoSpacing"/>
        <w:rPr>
          <w:b/>
        </w:rPr>
      </w:pPr>
    </w:p>
    <w:p w:rsidR="00B57BC5" w:rsidRPr="00702342" w:rsidRDefault="00B57BC5" w:rsidP="00EA6DB9">
      <w:pPr>
        <w:pStyle w:val="NoSpacing"/>
        <w:rPr>
          <w:b/>
        </w:rPr>
      </w:pPr>
      <w:r w:rsidRPr="00702342">
        <w:rPr>
          <w:b/>
        </w:rPr>
        <w:t>DISCUSSION</w:t>
      </w:r>
    </w:p>
    <w:p w:rsidR="00702342" w:rsidRDefault="00702342" w:rsidP="00EA6DB9">
      <w:pPr>
        <w:pStyle w:val="NoSpacing"/>
      </w:pPr>
    </w:p>
    <w:p w:rsidR="00B57BC5" w:rsidRDefault="00B57BC5" w:rsidP="00730E6B">
      <w:pPr>
        <w:pStyle w:val="NoSpacing"/>
        <w:jc w:val="both"/>
      </w:pPr>
      <w:r w:rsidRPr="002A3023">
        <w:t xml:space="preserve">Drug </w:t>
      </w:r>
      <w:r w:rsidR="0050563E">
        <w:t xml:space="preserve">use </w:t>
      </w:r>
      <w:r w:rsidRPr="002A3023">
        <w:t>evaluation involves a thorough review of patients’ prescription and medication data before, during and after dispensing in order to assure appropriate therapeutic decision-making an</w:t>
      </w:r>
      <w:r w:rsidR="009A324C">
        <w:t>d positive outcomes [</w:t>
      </w:r>
      <w:r w:rsidR="00CA06E5">
        <w:t>40</w:t>
      </w:r>
      <w:r w:rsidR="00C53209">
        <w:t>]</w:t>
      </w:r>
      <w:r w:rsidRPr="002A3023">
        <w:t xml:space="preserve">. </w:t>
      </w:r>
      <w:r w:rsidR="00E34219">
        <w:t xml:space="preserve">According to the WHO [38], </w:t>
      </w:r>
      <w:r w:rsidR="00CE2985">
        <w:t xml:space="preserve">the </w:t>
      </w:r>
      <w:r w:rsidR="00E34219">
        <w:t xml:space="preserve">credibility and acceptance of drug use evaluation depends on using criteria developed from established evidenced based </w:t>
      </w:r>
      <w:r w:rsidR="00CE4055">
        <w:t xml:space="preserve">medicines from reputable sources. Furthermore, the criteria for use of any medicine must be established using health facilities STGs. Other sources for developing criteria in the absence hospital STGs are recommendations from national, locally available satisfactory drug use protocols, other relevant literature sources and/or recognised international or local experts. </w:t>
      </w:r>
    </w:p>
    <w:p w:rsidR="00702342" w:rsidRDefault="00702342" w:rsidP="00730E6B">
      <w:pPr>
        <w:pStyle w:val="NoSpacing"/>
        <w:jc w:val="both"/>
      </w:pPr>
    </w:p>
    <w:p w:rsidR="00641AE3" w:rsidRDefault="00B57BC5" w:rsidP="00730E6B">
      <w:pPr>
        <w:pStyle w:val="NoSpacing"/>
        <w:jc w:val="both"/>
      </w:pPr>
      <w:r w:rsidRPr="002A3023">
        <w:t xml:space="preserve">In this study, malaria with suspected bacterial infections such as </w:t>
      </w:r>
      <w:r w:rsidR="004D641F">
        <w:t>upper respiratory tract infection</w:t>
      </w:r>
      <w:r w:rsidR="00D934B8">
        <w:t>s</w:t>
      </w:r>
      <w:r w:rsidR="004D641F">
        <w:t xml:space="preserve"> (</w:t>
      </w:r>
      <w:r w:rsidRPr="002A3023">
        <w:t>URTI</w:t>
      </w:r>
      <w:r w:rsidR="00D934B8">
        <w:t>s</w:t>
      </w:r>
      <w:r w:rsidR="004D641F">
        <w:t>)</w:t>
      </w:r>
      <w:r w:rsidRPr="002A3023">
        <w:t>, typhoid, sepsis, gastroenteritis</w:t>
      </w:r>
      <w:r w:rsidR="00DE0E45">
        <w:t xml:space="preserve"> and</w:t>
      </w:r>
      <w:r w:rsidRPr="002A3023">
        <w:t xml:space="preserve"> gonorrhoea among others</w:t>
      </w:r>
      <w:r w:rsidR="00DE0E45">
        <w:t>,</w:t>
      </w:r>
      <w:r w:rsidRPr="002A3023">
        <w:t xml:space="preserve"> constituted </w:t>
      </w:r>
      <w:r w:rsidR="006A6F6F">
        <w:t>19.9</w:t>
      </w:r>
      <w:r w:rsidRPr="002A3023">
        <w:t xml:space="preserve"> %</w:t>
      </w:r>
      <w:r w:rsidR="004D641F">
        <w:t xml:space="preserve"> </w:t>
      </w:r>
      <w:r w:rsidR="00DE0E45">
        <w:t>of the indications for which ceftriaxone was prescribed</w:t>
      </w:r>
      <w:r w:rsidR="00FB730C">
        <w:t xml:space="preserve"> in hospitals in Ghana</w:t>
      </w:r>
      <w:r w:rsidR="00DE0E45">
        <w:t>.</w:t>
      </w:r>
      <w:r w:rsidRPr="002A3023">
        <w:t xml:space="preserve"> </w:t>
      </w:r>
      <w:r w:rsidR="00755263">
        <w:t>However, we coul</w:t>
      </w:r>
      <w:r w:rsidR="00641AE3">
        <w:t xml:space="preserve">d not determine whether the </w:t>
      </w:r>
      <w:r w:rsidR="00755263">
        <w:t xml:space="preserve">diagnosis of </w:t>
      </w:r>
      <w:r w:rsidR="00755263" w:rsidRPr="002A3023">
        <w:t xml:space="preserve">malaria with suspected bacterial infections </w:t>
      </w:r>
      <w:r w:rsidR="00755263">
        <w:t xml:space="preserve">was </w:t>
      </w:r>
      <w:r w:rsidR="00641AE3">
        <w:t xml:space="preserve">always </w:t>
      </w:r>
      <w:r w:rsidR="00755263">
        <w:t>supported by the results of</w:t>
      </w:r>
      <w:r w:rsidR="00641AE3">
        <w:t xml:space="preserve"> rapid diagnostic tests and laboratory culture results as this was not always recorded. </w:t>
      </w:r>
      <w:r w:rsidR="00CE2985">
        <w:t xml:space="preserve">This will be an area of focus in the future. </w:t>
      </w:r>
    </w:p>
    <w:p w:rsidR="00641AE3" w:rsidRDefault="00641AE3" w:rsidP="00730E6B">
      <w:pPr>
        <w:pStyle w:val="NoSpacing"/>
        <w:jc w:val="both"/>
      </w:pPr>
    </w:p>
    <w:p w:rsidR="00B57BC5" w:rsidRPr="002A3023" w:rsidRDefault="00B57BC5" w:rsidP="00730E6B">
      <w:pPr>
        <w:pStyle w:val="NoSpacing"/>
        <w:jc w:val="both"/>
      </w:pPr>
      <w:r w:rsidRPr="002A3023">
        <w:t>Comorbid and non-comorbid diagnosis in a similar ceftriaxone evaluation study in Nepal was found to constitute 27.8% a</w:t>
      </w:r>
      <w:r w:rsidR="009A324C">
        <w:t>nd 72.2% respectively [</w:t>
      </w:r>
      <w:r w:rsidR="00CA06E5">
        <w:t>41</w:t>
      </w:r>
      <w:r w:rsidR="003471F1">
        <w:t>]</w:t>
      </w:r>
      <w:r w:rsidRPr="002A3023">
        <w:t>.  Indications such as URTI-pneumonia (20.9%) and sepsis (20.9%)</w:t>
      </w:r>
      <w:r w:rsidR="00CE2985">
        <w:t xml:space="preserve"> </w:t>
      </w:r>
      <w:r w:rsidRPr="002A3023">
        <w:t xml:space="preserve">were higher than </w:t>
      </w:r>
      <w:r w:rsidR="000B41A7">
        <w:t>our</w:t>
      </w:r>
      <w:r w:rsidRPr="002A3023">
        <w:t xml:space="preserve"> study, though the frequency of UTI</w:t>
      </w:r>
      <w:r w:rsidR="00D934B8">
        <w:t>s</w:t>
      </w:r>
      <w:r w:rsidRPr="002A3023">
        <w:t xml:space="preserve"> (9.8%) and typhoid feve</w:t>
      </w:r>
      <w:r w:rsidR="009A324C">
        <w:t>r (2.7%) w</w:t>
      </w:r>
      <w:r w:rsidR="00FB730C">
        <w:t>ere</w:t>
      </w:r>
      <w:r w:rsidR="009A324C">
        <w:t xml:space="preserve"> comparable [</w:t>
      </w:r>
      <w:r w:rsidR="00CA06E5">
        <w:t>42</w:t>
      </w:r>
      <w:r w:rsidR="00C53209">
        <w:t>]</w:t>
      </w:r>
      <w:r w:rsidRPr="002A3023">
        <w:t xml:space="preserve">. </w:t>
      </w:r>
      <w:r w:rsidR="00CE2985">
        <w:t xml:space="preserve">This though may be down to </w:t>
      </w:r>
      <w:proofErr w:type="spellStart"/>
      <w:r w:rsidR="00CE2985">
        <w:t>casemix</w:t>
      </w:r>
      <w:proofErr w:type="spellEnd"/>
      <w:r w:rsidR="00CE2985">
        <w:t xml:space="preserve"> differences between the two populations.</w:t>
      </w:r>
    </w:p>
    <w:p w:rsidR="00702342" w:rsidRDefault="00702342" w:rsidP="00730E6B">
      <w:pPr>
        <w:pStyle w:val="NoSpacing"/>
        <w:jc w:val="both"/>
      </w:pPr>
    </w:p>
    <w:p w:rsidR="0058397F" w:rsidRDefault="00B57BC5" w:rsidP="00730E6B">
      <w:pPr>
        <w:pStyle w:val="NoSpacing"/>
        <w:jc w:val="both"/>
      </w:pPr>
      <w:r w:rsidRPr="002A3023">
        <w:t>Overall</w:t>
      </w:r>
      <w:r>
        <w:t>, the</w:t>
      </w:r>
      <w:r w:rsidRPr="002A3023">
        <w:t xml:space="preserve"> appropriateness of indication</w:t>
      </w:r>
      <w:r w:rsidR="003C5EBC">
        <w:t>s</w:t>
      </w:r>
      <w:r w:rsidRPr="002A3023">
        <w:t xml:space="preserve"> for which ceftriaxone</w:t>
      </w:r>
      <w:r w:rsidR="003C5EBC">
        <w:t xml:space="preserve"> injection</w:t>
      </w:r>
      <w:r w:rsidRPr="002A3023">
        <w:t xml:space="preserve"> was prescribed was 86.9% in this study</w:t>
      </w:r>
      <w:r w:rsidR="00AE49C5">
        <w:t xml:space="preserve"> (Table 3)</w:t>
      </w:r>
      <w:r w:rsidR="00CE2985">
        <w:t>, and</w:t>
      </w:r>
      <w:r w:rsidR="00B1622C">
        <w:t xml:space="preserve"> may be because we included the package insert to help determine appropriateness</w:t>
      </w:r>
      <w:r w:rsidR="001E07B7">
        <w:t>, and there have been educational activities to enhance appropriate prescribing of ceftriaxone.</w:t>
      </w:r>
    </w:p>
    <w:p w:rsidR="0058397F" w:rsidRDefault="0058397F" w:rsidP="00730E6B">
      <w:pPr>
        <w:pStyle w:val="NoSpacing"/>
        <w:jc w:val="both"/>
      </w:pPr>
    </w:p>
    <w:p w:rsidR="0058397F" w:rsidRDefault="00B1622C" w:rsidP="0058397F">
      <w:pPr>
        <w:pStyle w:val="NoSpacing"/>
        <w:jc w:val="both"/>
      </w:pPr>
      <w:r>
        <w:lastRenderedPageBreak/>
        <w:t>T</w:t>
      </w:r>
      <w:r w:rsidR="0058397F">
        <w:t>he</w:t>
      </w:r>
      <w:r w:rsidR="0058397F" w:rsidRPr="002A3023">
        <w:t xml:space="preserve"> appropriateness of prescribed ceftriaxone with respect </w:t>
      </w:r>
      <w:r w:rsidR="0058397F">
        <w:t xml:space="preserve">to indication, dose, frequency, </w:t>
      </w:r>
      <w:r w:rsidR="0058397F" w:rsidRPr="002A3023">
        <w:t xml:space="preserve">duration, supportive/complementary antibiotic therapy, possible drug-drug interactions and contraindications was </w:t>
      </w:r>
      <w:r>
        <w:t xml:space="preserve">also high at </w:t>
      </w:r>
      <w:r w:rsidR="0058397F">
        <w:t>93</w:t>
      </w:r>
      <w:r w:rsidR="0058397F" w:rsidRPr="002A3023">
        <w:t xml:space="preserve">%. </w:t>
      </w:r>
      <w:r w:rsidR="00CE2985">
        <w:t>This</w:t>
      </w:r>
      <w:r w:rsidR="0058397F">
        <w:t xml:space="preserve"> appreciably</w:t>
      </w:r>
      <w:r w:rsidR="0058397F" w:rsidRPr="002A3023">
        <w:t xml:space="preserve"> higher than 48.9% and 44.6% obtained from a similar study in public and private hos</w:t>
      </w:r>
      <w:r w:rsidR="0058397F">
        <w:t>pi</w:t>
      </w:r>
      <w:r w:rsidR="007133CE">
        <w:t>tal</w:t>
      </w:r>
      <w:r w:rsidR="00CE2985">
        <w:t>s</w:t>
      </w:r>
      <w:r w:rsidR="007133CE">
        <w:t xml:space="preserve"> in Ethiopia [4</w:t>
      </w:r>
      <w:r w:rsidR="00CA06E5">
        <w:t>8</w:t>
      </w:r>
      <w:r w:rsidR="0058397F">
        <w:t>]. This was despite our study including</w:t>
      </w:r>
      <w:r w:rsidR="0058397F" w:rsidRPr="002A3023">
        <w:t xml:space="preserve"> </w:t>
      </w:r>
      <w:r w:rsidR="0058397F">
        <w:t xml:space="preserve">three </w:t>
      </w:r>
      <w:r w:rsidR="0058397F" w:rsidRPr="002A3023">
        <w:t>additional variables</w:t>
      </w:r>
      <w:r w:rsidR="0058397F">
        <w:t xml:space="preserve"> in the determination of overall appropriateness of ceftriaxone prescribed. </w:t>
      </w:r>
      <w:r>
        <w:t>However,</w:t>
      </w:r>
      <w:r w:rsidR="0058397F">
        <w:t xml:space="preserve"> </w:t>
      </w:r>
      <w:proofErr w:type="spellStart"/>
      <w:r w:rsidR="00CE2985">
        <w:t>Shimels</w:t>
      </w:r>
      <w:proofErr w:type="spellEnd"/>
      <w:r w:rsidR="00CE2985">
        <w:t xml:space="preserve"> </w:t>
      </w:r>
      <w:r w:rsidR="00CE2985" w:rsidRPr="00B92124">
        <w:rPr>
          <w:i/>
        </w:rPr>
        <w:t>et al</w:t>
      </w:r>
      <w:r w:rsidR="0058397F" w:rsidRPr="002A3023">
        <w:t xml:space="preserve"> used their national STG</w:t>
      </w:r>
      <w:r w:rsidR="0058397F">
        <w:t>s</w:t>
      </w:r>
      <w:r w:rsidR="0058397F" w:rsidRPr="002A3023">
        <w:t xml:space="preserve"> as their </w:t>
      </w:r>
      <w:r w:rsidR="0058397F">
        <w:t xml:space="preserve">reference </w:t>
      </w:r>
      <w:r w:rsidR="007239D6">
        <w:t>point</w:t>
      </w:r>
      <w:r w:rsidR="0058397F" w:rsidRPr="002A3023">
        <w:t xml:space="preserve">. </w:t>
      </w:r>
      <w:r w:rsidR="00CE2985">
        <w:t>O</w:t>
      </w:r>
      <w:r w:rsidR="0058397F">
        <w:t xml:space="preserve">ther studies </w:t>
      </w:r>
      <w:r w:rsidR="00CE2985">
        <w:t xml:space="preserve">have </w:t>
      </w:r>
      <w:r w:rsidR="0058397F">
        <w:t>also documented lower rates</w:t>
      </w:r>
      <w:r w:rsidR="0058397F" w:rsidRPr="002A3023">
        <w:t xml:space="preserve"> of appropriateness of pre</w:t>
      </w:r>
      <w:r>
        <w:t>scribed ceftriaxone</w:t>
      </w:r>
      <w:r w:rsidR="0058397F">
        <w:t>,</w:t>
      </w:r>
      <w:r w:rsidR="00CE2985">
        <w:t xml:space="preserve"> for example,</w:t>
      </w:r>
      <w:r w:rsidR="0058397F">
        <w:t xml:space="preserve"> </w:t>
      </w:r>
      <w:r w:rsidR="0058397F" w:rsidRPr="002A3023">
        <w:t>38</w:t>
      </w:r>
      <w:r w:rsidR="0058397F">
        <w:t xml:space="preserve"> </w:t>
      </w:r>
      <w:r w:rsidR="0058397F" w:rsidRPr="002A3023">
        <w:t xml:space="preserve">% in a tertiary hospital </w:t>
      </w:r>
      <w:r w:rsidR="007133CE">
        <w:t>at Port Spain, Trinidad [4</w:t>
      </w:r>
      <w:r w:rsidR="00CE2985">
        <w:t>4</w:t>
      </w:r>
      <w:r w:rsidR="0058397F">
        <w:t>]</w:t>
      </w:r>
      <w:r w:rsidR="0058397F" w:rsidRPr="002A3023">
        <w:t xml:space="preserve"> and 35.8% at </w:t>
      </w:r>
      <w:proofErr w:type="spellStart"/>
      <w:r w:rsidR="0058397F" w:rsidRPr="002A3023">
        <w:t>Ayder</w:t>
      </w:r>
      <w:proofErr w:type="spellEnd"/>
      <w:r w:rsidR="0058397F" w:rsidRPr="002A3023">
        <w:t xml:space="preserve"> Ref</w:t>
      </w:r>
      <w:r w:rsidR="0058397F">
        <w:t>erral Hospital, Ethiopia [</w:t>
      </w:r>
      <w:r w:rsidR="00CA06E5">
        <w:t>42</w:t>
      </w:r>
      <w:r w:rsidR="0058397F">
        <w:t>]</w:t>
      </w:r>
      <w:r w:rsidR="0058397F" w:rsidRPr="002A3023">
        <w:t xml:space="preserve">. </w:t>
      </w:r>
      <w:r w:rsidR="00C608CC">
        <w:t>Abebe et al based</w:t>
      </w:r>
      <w:r w:rsidR="0058397F" w:rsidRPr="002A3023">
        <w:t xml:space="preserve"> </w:t>
      </w:r>
      <w:r w:rsidR="007239D6">
        <w:t>the</w:t>
      </w:r>
      <w:r w:rsidR="00C608CC">
        <w:t>ir</w:t>
      </w:r>
      <w:r w:rsidR="007239D6">
        <w:t xml:space="preserve"> </w:t>
      </w:r>
      <w:r w:rsidR="0058397F" w:rsidRPr="002A3023">
        <w:t>appropriateness of ceftriaxone use</w:t>
      </w:r>
      <w:r w:rsidR="00C608CC">
        <w:t xml:space="preserve"> </w:t>
      </w:r>
      <w:r w:rsidR="0058397F" w:rsidRPr="002A3023">
        <w:t xml:space="preserve">on </w:t>
      </w:r>
      <w:r w:rsidR="00C608CC">
        <w:t xml:space="preserve">the </w:t>
      </w:r>
      <w:r w:rsidR="0058397F" w:rsidRPr="002A3023">
        <w:t>indication, dos</w:t>
      </w:r>
      <w:r w:rsidR="007239D6">
        <w:t>e, frequency and duration against</w:t>
      </w:r>
      <w:r>
        <w:t xml:space="preserve"> </w:t>
      </w:r>
      <w:r w:rsidR="0058397F" w:rsidRPr="002A3023">
        <w:t>the Ethiopian STG</w:t>
      </w:r>
      <w:r w:rsidR="0058397F">
        <w:t>s</w:t>
      </w:r>
      <w:r w:rsidR="007239D6">
        <w:t xml:space="preserve"> only</w:t>
      </w:r>
      <w:r w:rsidR="0058397F" w:rsidRPr="002A3023">
        <w:t xml:space="preserve">. </w:t>
      </w:r>
    </w:p>
    <w:p w:rsidR="0058397F" w:rsidRDefault="0058397F" w:rsidP="0058397F">
      <w:pPr>
        <w:pStyle w:val="NoSpacing"/>
        <w:jc w:val="both"/>
      </w:pPr>
    </w:p>
    <w:p w:rsidR="0058397F" w:rsidRPr="002A3023" w:rsidRDefault="00B1622C" w:rsidP="0058397F">
      <w:pPr>
        <w:pStyle w:val="NoSpacing"/>
        <w:jc w:val="both"/>
      </w:pPr>
      <w:r>
        <w:t>H</w:t>
      </w:r>
      <w:r w:rsidR="0058397F">
        <w:t>igh</w:t>
      </w:r>
      <w:r w:rsidR="00C608CC">
        <w:t>er</w:t>
      </w:r>
      <w:r w:rsidR="0058397F">
        <w:t xml:space="preserve"> levels</w:t>
      </w:r>
      <w:r w:rsidR="0058397F" w:rsidRPr="002A3023">
        <w:t xml:space="preserve"> of </w:t>
      </w:r>
      <w:r w:rsidR="007239D6">
        <w:t xml:space="preserve">the </w:t>
      </w:r>
      <w:r w:rsidR="0058397F" w:rsidRPr="002A3023">
        <w:t>appropriat</w:t>
      </w:r>
      <w:r>
        <w:t>eness of prescribed ceftriaxone</w:t>
      </w:r>
      <w:r w:rsidR="007239D6">
        <w:t xml:space="preserve"> have </w:t>
      </w:r>
      <w:r w:rsidR="00C608CC">
        <w:t xml:space="preserve">though </w:t>
      </w:r>
      <w:r w:rsidR="007239D6">
        <w:t>been seen in other studies</w:t>
      </w:r>
      <w:r>
        <w:t xml:space="preserve">, e.g. </w:t>
      </w:r>
      <w:r w:rsidR="0058397F" w:rsidRPr="002A3023">
        <w:t>7</w:t>
      </w:r>
      <w:r w:rsidR="0058397F">
        <w:t>3.02% and 65.5%</w:t>
      </w:r>
      <w:r w:rsidR="0058397F" w:rsidRPr="002A3023">
        <w:t xml:space="preserve"> at </w:t>
      </w:r>
      <w:r w:rsidR="0058397F">
        <w:t xml:space="preserve">the </w:t>
      </w:r>
      <w:r w:rsidR="0058397F" w:rsidRPr="002A3023">
        <w:t>Police Hospital, Addis Ab</w:t>
      </w:r>
      <w:r w:rsidR="007133CE">
        <w:t>aba [</w:t>
      </w:r>
      <w:r w:rsidR="00C608CC">
        <w:t>45</w:t>
      </w:r>
      <w:r w:rsidR="0058397F">
        <w:t>]</w:t>
      </w:r>
      <w:r>
        <w:t>,</w:t>
      </w:r>
      <w:r w:rsidR="0058397F" w:rsidRPr="002A3023">
        <w:t xml:space="preserve"> and in a </w:t>
      </w:r>
      <w:r w:rsidR="0058397F">
        <w:t>survey of 10 Korean hospitals [5]</w:t>
      </w:r>
      <w:r>
        <w:t xml:space="preserve"> respectively</w:t>
      </w:r>
      <w:r w:rsidR="007239D6">
        <w:t>;</w:t>
      </w:r>
      <w:r w:rsidR="001E07B7">
        <w:t xml:space="preserve"> </w:t>
      </w:r>
      <w:r w:rsidR="007239D6">
        <w:t xml:space="preserve">lower </w:t>
      </w:r>
      <w:r w:rsidR="001E07B7">
        <w:t xml:space="preserve">though </w:t>
      </w:r>
      <w:r w:rsidR="007239D6">
        <w:t xml:space="preserve">than seen in </w:t>
      </w:r>
      <w:r w:rsidR="0058397F">
        <w:t>our study</w:t>
      </w:r>
      <w:r w:rsidR="0058397F" w:rsidRPr="002A3023">
        <w:t>.</w:t>
      </w:r>
      <w:r w:rsidR="0058397F">
        <w:t xml:space="preserve"> </w:t>
      </w:r>
      <w:r>
        <w:t xml:space="preserve">This again may be due to the </w:t>
      </w:r>
      <w:r w:rsidR="0058397F">
        <w:t xml:space="preserve">inclusion of the </w:t>
      </w:r>
      <w:r>
        <w:t>ceftriaxone package insert in our study</w:t>
      </w:r>
      <w:r w:rsidR="001E07B7">
        <w:t xml:space="preserve"> coupled with previous activities</w:t>
      </w:r>
      <w:r w:rsidR="0058397F">
        <w:t>.</w:t>
      </w:r>
      <w:r w:rsidR="0058397F" w:rsidRPr="002A3023">
        <w:t xml:space="preserve"> </w:t>
      </w:r>
      <w:r>
        <w:t>H</w:t>
      </w:r>
      <w:r w:rsidR="00C608CC">
        <w:t>aving said this</w:t>
      </w:r>
      <w:r>
        <w:t>, f</w:t>
      </w:r>
      <w:r w:rsidR="0058397F">
        <w:t xml:space="preserve">urther analysis of our </w:t>
      </w:r>
      <w:r w:rsidR="00C608CC">
        <w:t>study</w:t>
      </w:r>
      <w:r w:rsidR="0058397F">
        <w:t xml:space="preserve"> showed that</w:t>
      </w:r>
      <w:r w:rsidR="0058397F" w:rsidRPr="002A3023">
        <w:t xml:space="preserve"> if the appropriateness of prescribed c</w:t>
      </w:r>
      <w:r>
        <w:t xml:space="preserve">eftriaxone </w:t>
      </w:r>
      <w:r w:rsidR="0058397F">
        <w:t>was ass</w:t>
      </w:r>
      <w:r w:rsidR="0058397F" w:rsidRPr="002A3023">
        <w:t xml:space="preserve">essed </w:t>
      </w:r>
      <w:r w:rsidR="0058397F">
        <w:t>against</w:t>
      </w:r>
      <w:r w:rsidR="0058397F" w:rsidRPr="002A3023">
        <w:t xml:space="preserve"> only </w:t>
      </w:r>
      <w:r w:rsidR="0058397F">
        <w:t xml:space="preserve">the </w:t>
      </w:r>
      <w:r w:rsidR="0058397F" w:rsidRPr="002A3023">
        <w:t xml:space="preserve">indication, dose, daily dose regimen and duration of therapy, as seen in other studies reported in Africa, the appropriateness of use would have been </w:t>
      </w:r>
      <w:r w:rsidR="0058397F">
        <w:t>96.7%</w:t>
      </w:r>
      <w:r w:rsidR="0058397F" w:rsidRPr="002A3023">
        <w:t xml:space="preserve"> instead of </w:t>
      </w:r>
      <w:r w:rsidR="0058397F">
        <w:t>9</w:t>
      </w:r>
      <w:r w:rsidR="0058397F" w:rsidRPr="002A3023">
        <w:t>3%. This suggests that the number of variables used to det</w:t>
      </w:r>
      <w:r w:rsidR="0058397F">
        <w:t>ermine appropriateness of a prescribed medicine</w:t>
      </w:r>
      <w:r>
        <w:t xml:space="preserve"> will</w:t>
      </w:r>
      <w:r w:rsidR="0058397F" w:rsidRPr="002A3023">
        <w:t xml:space="preserve"> </w:t>
      </w:r>
      <w:r w:rsidR="0058397F">
        <w:t xml:space="preserve">appreciably </w:t>
      </w:r>
      <w:r w:rsidR="0058397F" w:rsidRPr="002A3023">
        <w:t xml:space="preserve">influence </w:t>
      </w:r>
      <w:r w:rsidR="0058397F">
        <w:t>guideline adherence rates</w:t>
      </w:r>
      <w:r w:rsidR="0058397F" w:rsidRPr="002A3023">
        <w:t>.</w:t>
      </w:r>
    </w:p>
    <w:p w:rsidR="0058397F" w:rsidRDefault="0058397F" w:rsidP="00730E6B">
      <w:pPr>
        <w:pStyle w:val="NoSpacing"/>
        <w:jc w:val="both"/>
      </w:pPr>
    </w:p>
    <w:p w:rsidR="00B57BC5" w:rsidRDefault="006A6F6F" w:rsidP="00730E6B">
      <w:pPr>
        <w:pStyle w:val="NoSpacing"/>
        <w:jc w:val="both"/>
      </w:pPr>
      <w:r>
        <w:t>Unstated</w:t>
      </w:r>
      <w:r w:rsidR="00B57BC5" w:rsidRPr="002A3023">
        <w:t xml:space="preserve"> </w:t>
      </w:r>
      <w:r>
        <w:t>s</w:t>
      </w:r>
      <w:r w:rsidR="00B57BC5" w:rsidRPr="002A3023">
        <w:t xml:space="preserve">uspected bacterial co-infection </w:t>
      </w:r>
      <w:r>
        <w:t xml:space="preserve">on patient cards </w:t>
      </w:r>
      <w:r w:rsidR="00B57BC5" w:rsidRPr="002A3023">
        <w:t xml:space="preserve">could be </w:t>
      </w:r>
      <w:r w:rsidR="00C608CC">
        <w:t>an</w:t>
      </w:r>
      <w:r w:rsidR="00B57BC5" w:rsidRPr="002A3023">
        <w:t xml:space="preserve"> underlying reason why ceftriaxone was </w:t>
      </w:r>
      <w:r w:rsidR="00C608CC">
        <w:t xml:space="preserve">being </w:t>
      </w:r>
      <w:r w:rsidR="00B57BC5" w:rsidRPr="002A3023">
        <w:t>prescribed in some the cases</w:t>
      </w:r>
      <w:r w:rsidR="004B34ED">
        <w:t>,</w:t>
      </w:r>
      <w:r w:rsidR="00B57BC5" w:rsidRPr="002A3023">
        <w:t xml:space="preserve"> which were inappropriate by our criteria. </w:t>
      </w:r>
      <w:r w:rsidR="00C608CC">
        <w:t xml:space="preserve">This will be addressed in future studies. </w:t>
      </w:r>
    </w:p>
    <w:p w:rsidR="00702342" w:rsidRDefault="00702342" w:rsidP="00730E6B">
      <w:pPr>
        <w:pStyle w:val="NoSpacing"/>
        <w:jc w:val="both"/>
      </w:pPr>
    </w:p>
    <w:p w:rsidR="00B57BC5" w:rsidRPr="002A3023" w:rsidRDefault="001E07B7" w:rsidP="00730E6B">
      <w:pPr>
        <w:pStyle w:val="NoSpacing"/>
        <w:jc w:val="both"/>
      </w:pPr>
      <w:r>
        <w:t>Interestingly</w:t>
      </w:r>
      <w:r w:rsidR="00C608CC">
        <w:t xml:space="preserve">, </w:t>
      </w:r>
      <w:r w:rsidR="00B57BC5" w:rsidRPr="002A3023">
        <w:t>most of the indications for whic</w:t>
      </w:r>
      <w:r w:rsidR="00B57BC5">
        <w:t xml:space="preserve">h ceftriaxone was </w:t>
      </w:r>
      <w:r w:rsidR="00C608CC">
        <w:t xml:space="preserve">being </w:t>
      </w:r>
      <w:r w:rsidR="00B57BC5">
        <w:t xml:space="preserve">prescribed </w:t>
      </w:r>
      <w:r w:rsidR="00C608CC">
        <w:t xml:space="preserve">in our study </w:t>
      </w:r>
      <w:r w:rsidR="00B57BC5">
        <w:t>were</w:t>
      </w:r>
      <w:r w:rsidR="00B57BC5" w:rsidRPr="002A3023">
        <w:t xml:space="preserve"> not in the</w:t>
      </w:r>
      <w:r w:rsidR="003C5EBC">
        <w:t xml:space="preserve"> national</w:t>
      </w:r>
      <w:r w:rsidR="00B57BC5" w:rsidRPr="002A3023">
        <w:t xml:space="preserve"> STG</w:t>
      </w:r>
      <w:r w:rsidR="003C5EBC">
        <w:t>s</w:t>
      </w:r>
      <w:r w:rsidR="003B1450">
        <w:t xml:space="preserve">; however, </w:t>
      </w:r>
      <w:r w:rsidR="00B57BC5" w:rsidRPr="002A3023">
        <w:t xml:space="preserve">justification </w:t>
      </w:r>
      <w:r w:rsidR="003B1450">
        <w:t xml:space="preserve">was </w:t>
      </w:r>
      <w:r w:rsidR="0019575E">
        <w:t xml:space="preserve">based on </w:t>
      </w:r>
      <w:r w:rsidR="00B57BC5" w:rsidRPr="002A3023">
        <w:t xml:space="preserve">the </w:t>
      </w:r>
      <w:r w:rsidR="003C5EBC" w:rsidRPr="002A3023">
        <w:t>ceftriaxone package</w:t>
      </w:r>
      <w:r w:rsidR="00B57BC5" w:rsidRPr="002A3023">
        <w:t xml:space="preserve"> insert. </w:t>
      </w:r>
      <w:r w:rsidR="0058397F">
        <w:t>The</w:t>
      </w:r>
      <w:r w:rsidR="00B57BC5" w:rsidRPr="002A3023">
        <w:t xml:space="preserve"> </w:t>
      </w:r>
      <w:r w:rsidR="0058397F">
        <w:t xml:space="preserve">main </w:t>
      </w:r>
      <w:r w:rsidR="00B57BC5" w:rsidRPr="002A3023">
        <w:t xml:space="preserve">reason </w:t>
      </w:r>
      <w:r w:rsidR="0058397F">
        <w:t>for th</w:t>
      </w:r>
      <w:r w:rsidR="00C608CC">
        <w:t>is current situation</w:t>
      </w:r>
      <w:r w:rsidR="0058397F">
        <w:t xml:space="preserve"> </w:t>
      </w:r>
      <w:r w:rsidR="00B57BC5" w:rsidRPr="002A3023">
        <w:t xml:space="preserve">could be that the </w:t>
      </w:r>
      <w:r w:rsidR="003C5EBC">
        <w:t xml:space="preserve">aim of </w:t>
      </w:r>
      <w:r w:rsidR="00B57BC5" w:rsidRPr="002A3023">
        <w:t>national STG</w:t>
      </w:r>
      <w:r w:rsidR="003C5EBC">
        <w:t>s</w:t>
      </w:r>
      <w:r w:rsidR="00B57BC5" w:rsidRPr="002A3023">
        <w:t xml:space="preserve"> </w:t>
      </w:r>
      <w:r w:rsidR="003C5EBC">
        <w:t>is to</w:t>
      </w:r>
      <w:r w:rsidR="00B57BC5" w:rsidRPr="002A3023">
        <w:t xml:space="preserve"> ensur</w:t>
      </w:r>
      <w:r w:rsidR="00E93718">
        <w:t>e</w:t>
      </w:r>
      <w:r w:rsidR="00B57BC5" w:rsidRPr="002A3023">
        <w:t xml:space="preserve"> </w:t>
      </w:r>
      <w:r w:rsidR="007B1CB4">
        <w:t xml:space="preserve">the </w:t>
      </w:r>
      <w:r w:rsidR="00B57BC5" w:rsidRPr="002A3023">
        <w:t>use of aff</w:t>
      </w:r>
      <w:r w:rsidR="007B1CB4">
        <w:t>ordable and effective medicine</w:t>
      </w:r>
      <w:r w:rsidR="00B57BC5" w:rsidRPr="002A3023">
        <w:t>s</w:t>
      </w:r>
      <w:r w:rsidR="00C608CC">
        <w:t>,</w:t>
      </w:r>
      <w:r w:rsidR="00B57BC5" w:rsidRPr="002A3023">
        <w:t xml:space="preserve"> in line with the concept of </w:t>
      </w:r>
      <w:r w:rsidR="00E93718">
        <w:t xml:space="preserve">an </w:t>
      </w:r>
      <w:r w:rsidR="00B57BC5" w:rsidRPr="002A3023">
        <w:t xml:space="preserve">essential </w:t>
      </w:r>
      <w:r w:rsidR="00B13C26">
        <w:t>medicine</w:t>
      </w:r>
      <w:r w:rsidR="00B57BC5" w:rsidRPr="002A3023">
        <w:t xml:space="preserve"> list</w:t>
      </w:r>
      <w:r w:rsidR="00C608CC">
        <w:t>,</w:t>
      </w:r>
      <w:r w:rsidR="0058397F">
        <w:t xml:space="preserve"> and primarily aimed at ambulatory care</w:t>
      </w:r>
      <w:r w:rsidR="00B57BC5" w:rsidRPr="002A3023">
        <w:t xml:space="preserve">. </w:t>
      </w:r>
      <w:r>
        <w:t>The hospital situation can be different.</w:t>
      </w:r>
    </w:p>
    <w:p w:rsidR="00702342" w:rsidRDefault="00702342" w:rsidP="00730E6B">
      <w:pPr>
        <w:pStyle w:val="NoSpacing"/>
        <w:jc w:val="both"/>
      </w:pPr>
    </w:p>
    <w:p w:rsidR="00B57BC5" w:rsidRPr="002A3023" w:rsidRDefault="00B57BC5" w:rsidP="00730E6B">
      <w:pPr>
        <w:pStyle w:val="NoSpacing"/>
        <w:jc w:val="both"/>
      </w:pPr>
      <w:r w:rsidRPr="002A3023">
        <w:t>Common erroneous drug dosage regimen</w:t>
      </w:r>
      <w:r w:rsidR="00AE49C5">
        <w:t>s,</w:t>
      </w:r>
      <w:r w:rsidRPr="002A3023">
        <w:t xml:space="preserve"> which include </w:t>
      </w:r>
      <w:r w:rsidR="00AE49C5">
        <w:t>prescribing</w:t>
      </w:r>
      <w:r w:rsidRPr="002A3023">
        <w:t xml:space="preserve"> of sub</w:t>
      </w:r>
      <w:r w:rsidR="00E93718">
        <w:t>-</w:t>
      </w:r>
      <w:r w:rsidRPr="002A3023">
        <w:t>therapeutic or excessive dose</w:t>
      </w:r>
      <w:r w:rsidR="00E93718">
        <w:t>s</w:t>
      </w:r>
      <w:r w:rsidR="002F3718">
        <w:t>,</w:t>
      </w:r>
      <w:r w:rsidRPr="002A3023">
        <w:t xml:space="preserve"> a</w:t>
      </w:r>
      <w:r w:rsidR="002F3718">
        <w:t>s well as</w:t>
      </w:r>
      <w:r w:rsidRPr="002A3023">
        <w:t xml:space="preserve"> </w:t>
      </w:r>
      <w:r w:rsidR="00AE49C5">
        <w:t xml:space="preserve">the </w:t>
      </w:r>
      <w:r w:rsidRPr="002A3023">
        <w:t>wrong frequency of administration</w:t>
      </w:r>
      <w:r w:rsidR="00AE49C5">
        <w:t>,</w:t>
      </w:r>
      <w:r w:rsidRPr="002A3023">
        <w:t xml:space="preserve"> ha</w:t>
      </w:r>
      <w:r w:rsidR="00AE49C5">
        <w:t>ve</w:t>
      </w:r>
      <w:r w:rsidRPr="002A3023">
        <w:t xml:space="preserve"> been associated with antim</w:t>
      </w:r>
      <w:r w:rsidR="009A324C">
        <w:t>icrobial therapy [</w:t>
      </w:r>
      <w:r w:rsidR="00CA06E5">
        <w:t>56</w:t>
      </w:r>
      <w:r w:rsidR="00C53209">
        <w:t>]</w:t>
      </w:r>
      <w:r w:rsidRPr="002A3023">
        <w:t xml:space="preserve">. </w:t>
      </w:r>
      <w:r w:rsidR="002F3718">
        <w:t>However, our</w:t>
      </w:r>
      <w:r w:rsidRPr="002A3023">
        <w:t xml:space="preserve"> study </w:t>
      </w:r>
      <w:r w:rsidR="002F3718">
        <w:t>showed</w:t>
      </w:r>
      <w:r w:rsidRPr="002A3023">
        <w:t xml:space="preserve"> </w:t>
      </w:r>
      <w:r w:rsidR="00E93718">
        <w:t xml:space="preserve">that </w:t>
      </w:r>
      <w:r w:rsidRPr="002A3023">
        <w:t>all doses prescribed for infants, children and adults were in line wit</w:t>
      </w:r>
      <w:r w:rsidR="00DA03AE">
        <w:t>h the reference sources. In addition</w:t>
      </w:r>
      <w:r w:rsidRPr="002A3023">
        <w:t>, 84.5% of the doses were prescribed once daily (every 24 hours), whilst 15.5% were prescribed twice daily. Furthermore, 80.8</w:t>
      </w:r>
      <w:r w:rsidR="00BA15F3">
        <w:t xml:space="preserve"> </w:t>
      </w:r>
      <w:r w:rsidRPr="002A3023">
        <w:t>% of the doses prescribed were either 1 or 2 g, suggesting most of the patients in this study were over 1</w:t>
      </w:r>
      <w:r>
        <w:t>2 years, which appears to</w:t>
      </w:r>
      <w:r w:rsidRPr="002A3023">
        <w:t xml:space="preserve"> agree with our demographic data which revealed </w:t>
      </w:r>
      <w:r w:rsidR="00E93718">
        <w:t xml:space="preserve">that </w:t>
      </w:r>
      <w:r w:rsidRPr="002A3023">
        <w:t>72.5% of patients were older than 13 years</w:t>
      </w:r>
      <w:r w:rsidR="00392FD3">
        <w:t xml:space="preserve"> (Table 1)</w:t>
      </w:r>
      <w:r w:rsidRPr="002A3023">
        <w:t>. Instances of high doses of 3 – 4 g were observed, but these were rationally prescribed for the management of meningitis in adults.</w:t>
      </w:r>
      <w:r>
        <w:t xml:space="preserve"> This again endorses the appropriate use of ceftriaxone that was </w:t>
      </w:r>
      <w:r w:rsidR="00B13C26">
        <w:t xml:space="preserve">generally </w:t>
      </w:r>
      <w:r>
        <w:t>seen</w:t>
      </w:r>
      <w:r w:rsidR="00B13C26">
        <w:t xml:space="preserve"> in our study</w:t>
      </w:r>
      <w:r>
        <w:t>.</w:t>
      </w:r>
    </w:p>
    <w:p w:rsidR="00702342" w:rsidRDefault="00702342" w:rsidP="00EA6DB9">
      <w:pPr>
        <w:pStyle w:val="NoSpacing"/>
      </w:pPr>
    </w:p>
    <w:p w:rsidR="00B57BC5" w:rsidRPr="002A3023" w:rsidRDefault="00B57BC5" w:rsidP="00730E6B">
      <w:pPr>
        <w:pStyle w:val="NoSpacing"/>
        <w:jc w:val="both"/>
      </w:pPr>
      <w:r w:rsidRPr="002A3023">
        <w:t xml:space="preserve">Reports have shown that duration of antibiotic use correlates with resistance prevalence </w:t>
      </w:r>
      <w:r w:rsidR="009A324C">
        <w:t>[</w:t>
      </w:r>
      <w:r w:rsidR="002F3718">
        <w:t>46-48</w:t>
      </w:r>
      <w:r w:rsidR="00C53209">
        <w:t>]</w:t>
      </w:r>
      <w:r w:rsidRPr="002A3023">
        <w:t xml:space="preserve">.  Hence, adherence to minimum required duration of antibiotics therapy can mitigate </w:t>
      </w:r>
      <w:r w:rsidR="00392FD3">
        <w:t xml:space="preserve">against the </w:t>
      </w:r>
      <w:r w:rsidRPr="002A3023">
        <w:t xml:space="preserve">development of resistance by microorganisms. </w:t>
      </w:r>
      <w:r w:rsidR="002F3718">
        <w:t>In our study</w:t>
      </w:r>
      <w:r w:rsidRPr="002A3023">
        <w:t xml:space="preserve">, ceftriaxone was prescribed once daily for either 1 or 2 days in 86.5 % of the cases, whilst prescriptions for 3 – 5 days constituted 13.5%. </w:t>
      </w:r>
      <w:r w:rsidR="00F72DE2">
        <w:t xml:space="preserve">Overall, 87.6% of prescribed ceftriaxone injections were given in outpatients for short courses. </w:t>
      </w:r>
      <w:r w:rsidR="002F3718">
        <w:t>As a result</w:t>
      </w:r>
      <w:r w:rsidR="00392FD3">
        <w:t>, i</w:t>
      </w:r>
      <w:r w:rsidRPr="002A3023">
        <w:t>t was not surprising that</w:t>
      </w:r>
      <w:r w:rsidR="00392FD3">
        <w:t xml:space="preserve"> </w:t>
      </w:r>
      <w:r w:rsidRPr="002A3023">
        <w:t>74.</w:t>
      </w:r>
      <w:r w:rsidR="008C3299" w:rsidRPr="002A3023">
        <w:t>1</w:t>
      </w:r>
      <w:r w:rsidR="008C3299">
        <w:t>%</w:t>
      </w:r>
      <w:r w:rsidRPr="002A3023">
        <w:t xml:space="preserve"> of cases required supportive or additional antibiotics to complete </w:t>
      </w:r>
      <w:r w:rsidR="00B13C26">
        <w:t>patient</w:t>
      </w:r>
      <w:r w:rsidR="00DA03AE">
        <w:t xml:space="preserve"> treatment</w:t>
      </w:r>
      <w:r w:rsidRPr="002A3023">
        <w:t>.</w:t>
      </w:r>
      <w:r w:rsidR="00DA03AE">
        <w:t xml:space="preserve"> The relatively high cost of </w:t>
      </w:r>
      <w:r w:rsidR="00DA03AE">
        <w:lastRenderedPageBreak/>
        <w:t>ceftriaxone to patients</w:t>
      </w:r>
      <w:r w:rsidR="00F72DE2">
        <w:t xml:space="preserve"> and the healthcare system</w:t>
      </w:r>
      <w:r w:rsidR="00DA03AE">
        <w:t xml:space="preserve">, coupled with most of the cases seen on </w:t>
      </w:r>
      <w:r w:rsidR="009832C1">
        <w:t xml:space="preserve">an </w:t>
      </w:r>
      <w:r w:rsidR="00DA03AE">
        <w:t>outpatient basis</w:t>
      </w:r>
      <w:r w:rsidR="00392FD3">
        <w:t>,</w:t>
      </w:r>
      <w:r w:rsidR="00DA03AE">
        <w:t xml:space="preserve"> could</w:t>
      </w:r>
      <w:r w:rsidR="004A3760">
        <w:t xml:space="preserve"> be the reason underpinning the</w:t>
      </w:r>
      <w:r w:rsidR="00DA03AE">
        <w:t xml:space="preserve"> need to continue initial ceftriaxone injection</w:t>
      </w:r>
      <w:r w:rsidR="00701A51">
        <w:t>s</w:t>
      </w:r>
      <w:r w:rsidR="00DA03AE">
        <w:t xml:space="preserve"> with oral </w:t>
      </w:r>
      <w:r w:rsidR="004A3760">
        <w:t>antibiotics in most patients</w:t>
      </w:r>
      <w:r w:rsidR="00DA03AE">
        <w:t>.</w:t>
      </w:r>
      <w:r w:rsidR="00392FD3">
        <w:t xml:space="preserve"> </w:t>
      </w:r>
      <w:r w:rsidR="00187881">
        <w:t>However, if these outpatient</w:t>
      </w:r>
      <w:r w:rsidR="002F3718">
        <w:t>s</w:t>
      </w:r>
      <w:r w:rsidR="00187881">
        <w:t xml:space="preserve"> fail to comply with the supportive or additional oral antibiotics</w:t>
      </w:r>
      <w:r w:rsidR="00626DEA">
        <w:t xml:space="preserve"> after their initial dose of ceftriaxone, this could contribute antimicrobial resistance to ceftriaxone </w:t>
      </w:r>
      <w:r w:rsidR="002F3718">
        <w:t>unless addressed</w:t>
      </w:r>
      <w:r w:rsidR="00626DEA">
        <w:t xml:space="preserve">. </w:t>
      </w:r>
      <w:r w:rsidR="00F72DE2" w:rsidRPr="002A3023">
        <w:t xml:space="preserve">Common antibiotics </w:t>
      </w:r>
      <w:r w:rsidR="00F72DE2">
        <w:t xml:space="preserve">that were </w:t>
      </w:r>
      <w:r w:rsidR="00F72DE2" w:rsidRPr="002A3023">
        <w:t>often prescribed with ceftriaxone include</w:t>
      </w:r>
      <w:r w:rsidR="00F72DE2">
        <w:t>d</w:t>
      </w:r>
      <w:r w:rsidR="00F72DE2" w:rsidRPr="002A3023">
        <w:t xml:space="preserve"> ciprofloxacin, penicillin, metronidazole, doxycycline, cefuroxime, amoxicillin and ciprofloxacin-tinidazole. </w:t>
      </w:r>
      <w:r w:rsidR="00392FD3">
        <w:t>This will be explored further in future research projects</w:t>
      </w:r>
      <w:r w:rsidR="00701A51">
        <w:t xml:space="preserve"> to improve antibiotic prescribing as part of stewardship programmes</w:t>
      </w:r>
      <w:r w:rsidR="00392FD3">
        <w:t>.</w:t>
      </w:r>
      <w:r w:rsidR="00BA15F3">
        <w:t xml:space="preserve"> </w:t>
      </w:r>
    </w:p>
    <w:p w:rsidR="00702342" w:rsidRDefault="00702342" w:rsidP="00730E6B">
      <w:pPr>
        <w:pStyle w:val="NoSpacing"/>
        <w:jc w:val="both"/>
      </w:pPr>
    </w:p>
    <w:p w:rsidR="002F3718" w:rsidRDefault="00B57BC5" w:rsidP="00730E6B">
      <w:pPr>
        <w:pStyle w:val="NoSpacing"/>
        <w:jc w:val="both"/>
      </w:pPr>
      <w:r w:rsidRPr="002A3023">
        <w:t>Establishing criteria for evaluating medicine use based on evidence based sources, recognized international and local experts’ remains the most important proc</w:t>
      </w:r>
      <w:r w:rsidR="00A7609E">
        <w:t>edure in DUE [</w:t>
      </w:r>
      <w:r w:rsidR="00392FD3">
        <w:t>3</w:t>
      </w:r>
      <w:r w:rsidR="00CA06E5">
        <w:t>9</w:t>
      </w:r>
      <w:r w:rsidR="008A663A">
        <w:t>]</w:t>
      </w:r>
      <w:r w:rsidRPr="002A3023">
        <w:t xml:space="preserve">. </w:t>
      </w:r>
      <w:r w:rsidR="00392FD3">
        <w:t>In addition</w:t>
      </w:r>
      <w:r w:rsidRPr="002A3023">
        <w:t xml:space="preserve">, setting a threshold of 90 – 95% for each </w:t>
      </w:r>
      <w:proofErr w:type="gramStart"/>
      <w:r w:rsidRPr="002A3023">
        <w:t>criteria</w:t>
      </w:r>
      <w:proofErr w:type="gramEnd"/>
      <w:r w:rsidR="00B13C26">
        <w:t>,</w:t>
      </w:r>
      <w:r w:rsidRPr="002A3023">
        <w:t xml:space="preserve"> against which</w:t>
      </w:r>
      <w:r w:rsidR="009832C1">
        <w:t xml:space="preserve"> the</w:t>
      </w:r>
      <w:r w:rsidRPr="002A3023">
        <w:t xml:space="preserve"> actual threshold is determined</w:t>
      </w:r>
      <w:r w:rsidR="009832C1">
        <w:t>,</w:t>
      </w:r>
      <w:r w:rsidRPr="002A3023">
        <w:t xml:space="preserve"> is seen as appropriate </w:t>
      </w:r>
      <w:r w:rsidR="00392FD3">
        <w:t>to</w:t>
      </w:r>
      <w:r w:rsidRPr="002A3023">
        <w:t xml:space="preserve"> assess rational drug use</w:t>
      </w:r>
      <w:r w:rsidR="00392FD3">
        <w:t xml:space="preserve"> to optimize future use</w:t>
      </w:r>
      <w:r w:rsidR="008C3299">
        <w:t xml:space="preserve"> [3</w:t>
      </w:r>
      <w:r w:rsidR="00CA06E5">
        <w:t>9</w:t>
      </w:r>
      <w:r w:rsidR="008C3299">
        <w:t>]</w:t>
      </w:r>
      <w:r w:rsidRPr="002A3023">
        <w:t>. However, most DUE studies often end with determination of percentages of appropriateness and inappropriateness but fail to fulfil the WHO-MSH requirement of determining actual thresholds against pre</w:t>
      </w:r>
      <w:r w:rsidR="00A40B38">
        <w:t>-</w:t>
      </w:r>
      <w:r w:rsidRPr="002A3023">
        <w:t>set thresholds. In this study</w:t>
      </w:r>
      <w:r w:rsidR="00A06847">
        <w:t>, the</w:t>
      </w:r>
      <w:r w:rsidRPr="002A3023">
        <w:t xml:space="preserve"> overall actual threshold for all the drug use indicators was 9</w:t>
      </w:r>
      <w:r w:rsidR="000E617D">
        <w:t>3</w:t>
      </w:r>
      <w:r w:rsidRPr="002A3023">
        <w:t>.</w:t>
      </w:r>
      <w:r w:rsidR="000E617D">
        <w:t>0</w:t>
      </w:r>
      <w:r w:rsidRPr="002A3023">
        <w:t xml:space="preserve">% as against </w:t>
      </w:r>
      <w:r w:rsidR="00A40B38">
        <w:t xml:space="preserve">an </w:t>
      </w:r>
      <w:r w:rsidRPr="002A3023">
        <w:t>expected threshold of 9</w:t>
      </w:r>
      <w:r w:rsidR="000E617D">
        <w:t>7</w:t>
      </w:r>
      <w:r w:rsidRPr="002A3023">
        <w:t>.</w:t>
      </w:r>
      <w:r w:rsidR="000E617D">
        <w:t>9</w:t>
      </w:r>
      <w:r w:rsidRPr="002A3023">
        <w:t xml:space="preserve">%. </w:t>
      </w:r>
    </w:p>
    <w:p w:rsidR="002F3718" w:rsidRDefault="002F3718" w:rsidP="00730E6B">
      <w:pPr>
        <w:pStyle w:val="NoSpacing"/>
        <w:jc w:val="both"/>
      </w:pPr>
    </w:p>
    <w:p w:rsidR="00B57BC5" w:rsidRPr="00453C20" w:rsidRDefault="002F3718" w:rsidP="00730E6B">
      <w:pPr>
        <w:pStyle w:val="NoSpacing"/>
        <w:jc w:val="both"/>
      </w:pPr>
      <w:r>
        <w:t>Overall, there appeared to be</w:t>
      </w:r>
      <w:r w:rsidR="00B57BC5" w:rsidRPr="002A3023">
        <w:t xml:space="preserve"> </w:t>
      </w:r>
      <w:r>
        <w:t>a</w:t>
      </w:r>
      <w:r w:rsidR="00B57BC5" w:rsidRPr="002A3023">
        <w:t xml:space="preserve"> </w:t>
      </w:r>
      <w:r w:rsidR="00B37ED0">
        <w:t xml:space="preserve">high </w:t>
      </w:r>
      <w:r w:rsidR="00B57BC5" w:rsidRPr="002A3023">
        <w:t xml:space="preserve">level of rational use of ceftriaxone </w:t>
      </w:r>
      <w:r w:rsidR="008A5CBD">
        <w:t>at the Police hospital</w:t>
      </w:r>
      <w:r w:rsidR="00B37ED0">
        <w:t xml:space="preserve"> in </w:t>
      </w:r>
      <w:r w:rsidR="00B57BC5" w:rsidRPr="002A3023">
        <w:t>Ghana</w:t>
      </w:r>
      <w:r>
        <w:t>,</w:t>
      </w:r>
      <w:r w:rsidR="00B57BC5" w:rsidRPr="002A3023">
        <w:t xml:space="preserve"> based on the percentage appropriateness of </w:t>
      </w:r>
      <w:r w:rsidR="00B37ED0">
        <w:t xml:space="preserve">all </w:t>
      </w:r>
      <w:r w:rsidR="00B57BC5" w:rsidRPr="002A3023">
        <w:t>the criteria variables</w:t>
      </w:r>
      <w:r w:rsidR="00B37ED0">
        <w:t>,</w:t>
      </w:r>
      <w:r w:rsidR="00B57BC5" w:rsidRPr="002A3023">
        <w:t xml:space="preserve"> which ranged from 85.7%</w:t>
      </w:r>
      <w:r w:rsidR="00A06847">
        <w:t xml:space="preserve"> to 100%</w:t>
      </w:r>
      <w:r>
        <w:t xml:space="preserve"> (Table 3)</w:t>
      </w:r>
      <w:r w:rsidR="00A06847">
        <w:t>.</w:t>
      </w:r>
      <w:r w:rsidR="00FE4B9A">
        <w:t xml:space="preserve"> Whilst</w:t>
      </w:r>
      <w:r w:rsidR="00A06847">
        <w:t xml:space="preserve"> the high overall target</w:t>
      </w:r>
      <w:r w:rsidR="00B57BC5" w:rsidRPr="002A3023">
        <w:t xml:space="preserve"> </w:t>
      </w:r>
      <w:r w:rsidR="00A06847">
        <w:t>(</w:t>
      </w:r>
      <w:r w:rsidR="00B57BC5" w:rsidRPr="002A3023">
        <w:t>threshold</w:t>
      </w:r>
      <w:r w:rsidR="00A06847">
        <w:t>)</w:t>
      </w:r>
      <w:r w:rsidR="00B57BC5" w:rsidRPr="002A3023">
        <w:t xml:space="preserve"> of 9</w:t>
      </w:r>
      <w:r w:rsidR="000E617D">
        <w:t>7</w:t>
      </w:r>
      <w:r w:rsidR="00B57BC5" w:rsidRPr="002A3023">
        <w:t>.</w:t>
      </w:r>
      <w:r w:rsidR="000E617D">
        <w:t>9</w:t>
      </w:r>
      <w:r w:rsidR="00B57BC5" w:rsidRPr="002A3023">
        <w:t xml:space="preserve">% was not attained, </w:t>
      </w:r>
      <w:r w:rsidR="00A570A1">
        <w:t xml:space="preserve">the overall rate of rational use of ceftriaxone </w:t>
      </w:r>
      <w:r w:rsidR="00A40B38">
        <w:t xml:space="preserve">injection </w:t>
      </w:r>
      <w:r w:rsidR="00B37ED0">
        <w:t>for</w:t>
      </w:r>
      <w:r w:rsidR="00A570A1">
        <w:t xml:space="preserve"> the individual indicators w</w:t>
      </w:r>
      <w:r w:rsidR="00B13C26">
        <w:t>as</w:t>
      </w:r>
      <w:r w:rsidR="00A570A1">
        <w:t xml:space="preserve"> high. </w:t>
      </w:r>
      <w:r w:rsidR="00FE4B9A">
        <w:t xml:space="preserve"> However, there was some inappropriate prescribing.  </w:t>
      </w:r>
      <w:r w:rsidR="00B57BC5" w:rsidRPr="002A3023">
        <w:t xml:space="preserve">The most common </w:t>
      </w:r>
      <w:r w:rsidR="00FE4B9A">
        <w:t>was</w:t>
      </w:r>
      <w:r w:rsidR="00B57BC5" w:rsidRPr="002A3023">
        <w:t xml:space="preserve"> the duration of therapy</w:t>
      </w:r>
      <w:r w:rsidR="00CA06E5">
        <w:t>,</w:t>
      </w:r>
      <w:r w:rsidR="00B57BC5" w:rsidRPr="002A3023">
        <w:t xml:space="preserve"> followed close</w:t>
      </w:r>
      <w:r w:rsidR="007C6298">
        <w:t xml:space="preserve">ly by inappropriate indications. </w:t>
      </w:r>
      <w:r w:rsidR="00FE4B9A">
        <w:t xml:space="preserve">This was </w:t>
      </w:r>
      <w:r w:rsidR="00B57BC5" w:rsidRPr="002A3023">
        <w:t>similar to</w:t>
      </w:r>
      <w:r w:rsidR="00B57BC5">
        <w:t xml:space="preserve"> studies in Ethiopia </w:t>
      </w:r>
      <w:r w:rsidR="00A7609E">
        <w:t>[</w:t>
      </w:r>
      <w:r w:rsidR="00CA06E5">
        <w:t>42,4</w:t>
      </w:r>
      <w:r w:rsidR="00FE4B9A">
        <w:t>3</w:t>
      </w:r>
      <w:r w:rsidR="00CA06E5">
        <w:t>,</w:t>
      </w:r>
      <w:r w:rsidR="00FE4B9A">
        <w:t>45</w:t>
      </w:r>
      <w:r w:rsidR="008A663A">
        <w:t>]</w:t>
      </w:r>
      <w:r w:rsidR="00B57BC5" w:rsidRPr="002A3023">
        <w:t xml:space="preserve"> and Thailand </w:t>
      </w:r>
      <w:r w:rsidR="00A7609E">
        <w:t>[</w:t>
      </w:r>
      <w:r w:rsidR="00FE4B9A">
        <w:t>49</w:t>
      </w:r>
      <w:r w:rsidR="008A663A">
        <w:t>]</w:t>
      </w:r>
      <w:r w:rsidR="00B57BC5" w:rsidRPr="002A3023">
        <w:t xml:space="preserve">. 74.1% (186) of the cases in which ceftriaxone was prescribed </w:t>
      </w:r>
      <w:r w:rsidR="00FE4B9A">
        <w:t xml:space="preserve">also </w:t>
      </w:r>
      <w:r w:rsidR="00B57BC5" w:rsidRPr="002A3023">
        <w:t>required additional</w:t>
      </w:r>
      <w:r w:rsidR="00992E2D">
        <w:t xml:space="preserve"> or</w:t>
      </w:r>
      <w:r w:rsidR="00B57BC5" w:rsidRPr="002A3023">
        <w:t xml:space="preserve"> supportive antibiotics to complete drug therapy</w:t>
      </w:r>
      <w:r w:rsidR="00CA06E5">
        <w:t>.</w:t>
      </w:r>
      <w:r w:rsidR="00F72DE2">
        <w:t xml:space="preserve"> </w:t>
      </w:r>
      <w:r w:rsidR="00B57BC5" w:rsidRPr="002A3023">
        <w:t xml:space="preserve">This means prescribers </w:t>
      </w:r>
      <w:r w:rsidR="00EF280C">
        <w:t xml:space="preserve">in the future </w:t>
      </w:r>
      <w:r w:rsidR="00B57BC5" w:rsidRPr="002A3023">
        <w:t xml:space="preserve">should ensure that adequate and appropriate complementary antibiotics are prescribed </w:t>
      </w:r>
      <w:r w:rsidR="00CA06E5">
        <w:t xml:space="preserve">together </w:t>
      </w:r>
      <w:r w:rsidR="00B57BC5" w:rsidRPr="002A3023">
        <w:t xml:space="preserve">with </w:t>
      </w:r>
      <w:r w:rsidR="00B57BC5" w:rsidRPr="00453C20">
        <w:t>ceftr</w:t>
      </w:r>
      <w:r w:rsidR="00AA1D78">
        <w:t xml:space="preserve">iaxone to complete drug therapy. </w:t>
      </w:r>
      <w:r w:rsidR="00EF280C">
        <w:t>This will be a target for the future</w:t>
      </w:r>
      <w:r w:rsidR="0019575E">
        <w:t xml:space="preserve"> </w:t>
      </w:r>
      <w:r w:rsidR="00EF280C">
        <w:t>with t</w:t>
      </w:r>
      <w:r w:rsidR="00AA1D78">
        <w:t>hreshold rates enhanced through targeted educational activities.</w:t>
      </w:r>
    </w:p>
    <w:p w:rsidR="00702342" w:rsidRDefault="00702342" w:rsidP="00730E6B">
      <w:pPr>
        <w:pStyle w:val="NoSpacing"/>
        <w:jc w:val="both"/>
      </w:pPr>
    </w:p>
    <w:p w:rsidR="005C3DC6" w:rsidRPr="005C3DC6" w:rsidRDefault="00701A51" w:rsidP="00730E6B">
      <w:pPr>
        <w:pStyle w:val="NoSpacing"/>
        <w:jc w:val="both"/>
      </w:pPr>
      <w:r>
        <w:t>The p</w:t>
      </w:r>
      <w:r w:rsidR="00B57BC5" w:rsidRPr="00453C20">
        <w:t xml:space="preserve">ossibility of incompatibility of ceftriaxone with calcium containing </w:t>
      </w:r>
      <w:r w:rsidR="00687B56">
        <w:t>solutions such as Hartmann’s solution or Ringer’s solution</w:t>
      </w:r>
      <w:r w:rsidR="00B57BC5" w:rsidRPr="00453C20">
        <w:t xml:space="preserve">, </w:t>
      </w:r>
      <w:proofErr w:type="spellStart"/>
      <w:r w:rsidR="00687B56">
        <w:t>amscarine</w:t>
      </w:r>
      <w:proofErr w:type="spellEnd"/>
      <w:r w:rsidR="00687B56">
        <w:t>, vancomycin, fluconazole and</w:t>
      </w:r>
      <w:r w:rsidR="00B57BC5" w:rsidRPr="00453C20">
        <w:t xml:space="preserve"> aminoglycosides is cautioned in </w:t>
      </w:r>
      <w:r w:rsidR="00FE4B9A">
        <w:t>the</w:t>
      </w:r>
      <w:r w:rsidR="00B57BC5" w:rsidRPr="00453C20">
        <w:t xml:space="preserve"> package insert.  Co-prescribing </w:t>
      </w:r>
      <w:r w:rsidR="00FE4B9A">
        <w:t>with</w:t>
      </w:r>
      <w:r w:rsidR="00B57BC5" w:rsidRPr="00453C20">
        <w:t xml:space="preserve"> Ringer’s lactate </w:t>
      </w:r>
      <w:r w:rsidR="00FE4B9A">
        <w:t>was seen in</w:t>
      </w:r>
      <w:r w:rsidR="00B57BC5" w:rsidRPr="00453C20">
        <w:t xml:space="preserve"> 12.4% </w:t>
      </w:r>
      <w:r w:rsidR="004B34ED">
        <w:t>of prescriptions</w:t>
      </w:r>
      <w:r w:rsidR="00B57BC5" w:rsidRPr="00453C20">
        <w:t xml:space="preserve">, lower </w:t>
      </w:r>
      <w:r w:rsidR="00FE4B9A">
        <w:t xml:space="preserve">though </w:t>
      </w:r>
      <w:r w:rsidR="00B57BC5" w:rsidRPr="00453C20">
        <w:t>than</w:t>
      </w:r>
      <w:r w:rsidR="00453EA5">
        <w:t xml:space="preserve"> rates of</w:t>
      </w:r>
      <w:r w:rsidR="00B57BC5" w:rsidRPr="00453C20">
        <w:t xml:space="preserve"> 40.9% </w:t>
      </w:r>
      <w:r w:rsidR="00FE4B9A">
        <w:t>to</w:t>
      </w:r>
      <w:r w:rsidR="00B57BC5" w:rsidRPr="00453C20">
        <w:t xml:space="preserve"> 44.</w:t>
      </w:r>
      <w:r w:rsidR="00095E4F">
        <w:t>5</w:t>
      </w:r>
      <w:r w:rsidR="00B57BC5" w:rsidRPr="00453C20">
        <w:t xml:space="preserve">% </w:t>
      </w:r>
      <w:r w:rsidR="00FE4B9A">
        <w:t>in</w:t>
      </w:r>
      <w:r w:rsidR="00B57BC5" w:rsidRPr="00453C20">
        <w:t xml:space="preserve"> Ethio</w:t>
      </w:r>
      <w:r w:rsidR="00A7609E">
        <w:t>pia [4</w:t>
      </w:r>
      <w:r w:rsidR="00FE4B9A">
        <w:t>3</w:t>
      </w:r>
      <w:r w:rsidR="008A663A">
        <w:t>]</w:t>
      </w:r>
      <w:r w:rsidR="00941284">
        <w:t>. T</w:t>
      </w:r>
      <w:r w:rsidR="00B57BC5" w:rsidRPr="00453C20">
        <w:t xml:space="preserve">he actual threshold obtained for </w:t>
      </w:r>
      <w:r w:rsidR="000F2B7D">
        <w:t>the absence of</w:t>
      </w:r>
      <w:r w:rsidR="004166FC">
        <w:t xml:space="preserve"> </w:t>
      </w:r>
      <w:r w:rsidR="00B57BC5" w:rsidRPr="00453C20">
        <w:t>possible drug-drug interaction</w:t>
      </w:r>
      <w:r w:rsidR="004B34ED">
        <w:t>s</w:t>
      </w:r>
      <w:r w:rsidR="00B57BC5" w:rsidRPr="00453C20">
        <w:t xml:space="preserve"> was 8</w:t>
      </w:r>
      <w:r w:rsidR="006532A1">
        <w:t>7.7</w:t>
      </w:r>
      <w:r w:rsidR="00B57BC5" w:rsidRPr="00453C20">
        <w:t>% compared to the minimum expected pre</w:t>
      </w:r>
      <w:r w:rsidR="00992E2D">
        <w:t>-</w:t>
      </w:r>
      <w:r w:rsidR="00B57BC5" w:rsidRPr="00453C20">
        <w:t xml:space="preserve">set threshold of 95%. </w:t>
      </w:r>
      <w:r w:rsidR="00FE4B9A">
        <w:t>Consequently</w:t>
      </w:r>
      <w:r w:rsidR="00B57BC5" w:rsidRPr="00453C20">
        <w:t>, the</w:t>
      </w:r>
      <w:r w:rsidR="0058397F">
        <w:t>re is a</w:t>
      </w:r>
      <w:r w:rsidR="00B57BC5" w:rsidRPr="00453C20">
        <w:t xml:space="preserve"> need for prescribers to </w:t>
      </w:r>
      <w:r w:rsidR="004B34ED">
        <w:t xml:space="preserve">continue to </w:t>
      </w:r>
      <w:r w:rsidR="00B57BC5" w:rsidRPr="00453C20">
        <w:t xml:space="preserve">minimize such co-prescriptions and use alternative maintenance fluids </w:t>
      </w:r>
      <w:r w:rsidR="00941284">
        <w:t>where pertinent</w:t>
      </w:r>
      <w:r w:rsidR="00B57BC5" w:rsidRPr="00453C20">
        <w:t>. However, no such adverse reports (drug incompatibility effects) were reported within the study period. With respect to contraindications to ceftriaxone prescribing, no such instance</w:t>
      </w:r>
      <w:r w:rsidR="000F2B7D">
        <w:t>s</w:t>
      </w:r>
      <w:r w:rsidR="00B57BC5" w:rsidRPr="00453C20">
        <w:t xml:space="preserve"> w</w:t>
      </w:r>
      <w:r w:rsidR="000F2B7D">
        <w:t>ere</w:t>
      </w:r>
      <w:r w:rsidR="00B57BC5" w:rsidRPr="00453C20">
        <w:t xml:space="preserve"> observed in this study</w:t>
      </w:r>
      <w:r w:rsidR="000F2B7D">
        <w:t>;</w:t>
      </w:r>
      <w:r w:rsidR="00B57BC5" w:rsidRPr="00453C20">
        <w:t xml:space="preserve"> </w:t>
      </w:r>
      <w:r w:rsidR="000F2B7D">
        <w:t>consequently,</w:t>
      </w:r>
      <w:r w:rsidR="00B57BC5" w:rsidRPr="00453C20">
        <w:t xml:space="preserve"> </w:t>
      </w:r>
      <w:r w:rsidR="00992E2D">
        <w:t xml:space="preserve">the </w:t>
      </w:r>
      <w:r w:rsidR="00B57BC5" w:rsidRPr="00453C20">
        <w:t xml:space="preserve">actual and </w:t>
      </w:r>
      <w:r w:rsidR="00992E2D">
        <w:t xml:space="preserve">the </w:t>
      </w:r>
      <w:r w:rsidR="00B57BC5" w:rsidRPr="00453C20">
        <w:t>pre</w:t>
      </w:r>
      <w:r w:rsidR="00992E2D">
        <w:t>-</w:t>
      </w:r>
      <w:r w:rsidR="00B57BC5" w:rsidRPr="00453C20">
        <w:t>set threshold</w:t>
      </w:r>
      <w:r w:rsidR="00992E2D">
        <w:t>s</w:t>
      </w:r>
      <w:r w:rsidR="00941284">
        <w:t xml:space="preserve"> were</w:t>
      </w:r>
      <w:r w:rsidR="00B57BC5" w:rsidRPr="00453C20">
        <w:t xml:space="preserve"> the same </w:t>
      </w:r>
      <w:r w:rsidR="005C3DC6">
        <w:t>at 100%</w:t>
      </w:r>
      <w:r w:rsidR="00FE4B9A">
        <w:t>, which is encouraging.</w:t>
      </w:r>
    </w:p>
    <w:p w:rsidR="00702342" w:rsidRDefault="00702342" w:rsidP="00730E6B">
      <w:pPr>
        <w:pStyle w:val="NoSpacing"/>
        <w:jc w:val="both"/>
      </w:pPr>
    </w:p>
    <w:p w:rsidR="00A9777F" w:rsidRDefault="00A9777F" w:rsidP="00730E6B">
      <w:pPr>
        <w:pStyle w:val="NoSpacing"/>
        <w:jc w:val="both"/>
      </w:pPr>
      <w:r>
        <w:t xml:space="preserve">We accept that </w:t>
      </w:r>
      <w:r w:rsidR="00D149CA">
        <w:t xml:space="preserve">there are </w:t>
      </w:r>
      <w:r>
        <w:t>major limitation</w:t>
      </w:r>
      <w:r w:rsidR="00D149CA">
        <w:t>s</w:t>
      </w:r>
      <w:r>
        <w:t xml:space="preserve"> </w:t>
      </w:r>
      <w:r w:rsidR="00D149CA">
        <w:t xml:space="preserve">in </w:t>
      </w:r>
      <w:r>
        <w:t>our study</w:t>
      </w:r>
      <w:r w:rsidR="00D149CA">
        <w:t>. These include the fact</w:t>
      </w:r>
      <w:r>
        <w:t xml:space="preserve"> that </w:t>
      </w:r>
      <w:r w:rsidR="00D149CA">
        <w:t>the study</w:t>
      </w:r>
      <w:r>
        <w:t xml:space="preserve"> was only carried out in </w:t>
      </w:r>
      <w:r w:rsidR="00CA06E5">
        <w:t xml:space="preserve">only </w:t>
      </w:r>
      <w:r>
        <w:t>one centre in Ghana</w:t>
      </w:r>
      <w:r w:rsidR="008B1651">
        <w:t xml:space="preserve"> and for only six months</w:t>
      </w:r>
      <w:r w:rsidR="003B7EA0">
        <w:t xml:space="preserve"> reducing the potential to record any seasonality</w:t>
      </w:r>
      <w:r>
        <w:t xml:space="preserve">. </w:t>
      </w:r>
      <w:r w:rsidR="00D149CA" w:rsidRPr="002A08B1">
        <w:t xml:space="preserve">We also accept that </w:t>
      </w:r>
      <w:r w:rsidR="00EE6F46" w:rsidRPr="00ED1870">
        <w:t>we did not assess how diagnos</w:t>
      </w:r>
      <w:r w:rsidR="003B7EA0">
        <w:t>e</w:t>
      </w:r>
      <w:r w:rsidR="00EE6F46" w:rsidRPr="00ED1870">
        <w:t xml:space="preserve">s stated on patient cards were made, just the diagnosis. </w:t>
      </w:r>
      <w:r w:rsidR="00D54047" w:rsidRPr="00ED1870">
        <w:t>This may well have resulted in higher adherence rates in view of the broad categories of infection within the package insert</w:t>
      </w:r>
      <w:r w:rsidR="00D54047">
        <w:rPr>
          <w:color w:val="FF0000"/>
        </w:rPr>
        <w:t xml:space="preserve">. </w:t>
      </w:r>
      <w:r w:rsidR="00EE6F46">
        <w:t>We also did not capture patients who should have been prescribed ceftriaxone but w</w:t>
      </w:r>
      <w:r w:rsidR="00CA06E5">
        <w:t>ere</w:t>
      </w:r>
      <w:r w:rsidR="00EE6F46">
        <w:t xml:space="preserve"> prescribed other antibiotic</w:t>
      </w:r>
      <w:r w:rsidR="002D12DC">
        <w:t xml:space="preserve">s, neither did we capture when ceftriaxone was started, which is important to optimise its use in </w:t>
      </w:r>
      <w:r w:rsidR="002D12DC">
        <w:lastRenderedPageBreak/>
        <w:t>sepsis and pneumonia.</w:t>
      </w:r>
      <w:r w:rsidR="003B7EA0">
        <w:t xml:space="preserve"> We also did not segment patients into in- and out-patients given the relatively small number of in-patients given ceftriaxone</w:t>
      </w:r>
      <w:r w:rsidR="00EF280C">
        <w:t>. However</w:t>
      </w:r>
      <w:r w:rsidR="00B92124">
        <w:t>,</w:t>
      </w:r>
      <w:r w:rsidR="00EF280C">
        <w:t xml:space="preserve"> in view of the nature of the hospital, and its referral nature, as well as the number of prescriptions analysed</w:t>
      </w:r>
      <w:r w:rsidR="00CA06E5">
        <w:t>,</w:t>
      </w:r>
      <w:r w:rsidR="00EF280C">
        <w:t xml:space="preserve"> we believe our findings are valid and provide direction for the future. </w:t>
      </w:r>
      <w:r w:rsidR="003B7EA0">
        <w:t>W</w:t>
      </w:r>
      <w:r>
        <w:t xml:space="preserve">e will </w:t>
      </w:r>
      <w:r w:rsidR="003B7EA0">
        <w:t xml:space="preserve">though </w:t>
      </w:r>
      <w:r>
        <w:t>be undertaking fu</w:t>
      </w:r>
      <w:r w:rsidR="00EE6F46">
        <w:t>ture</w:t>
      </w:r>
      <w:r>
        <w:t xml:space="preserve"> studies among hospitals in Ghana to further assess the appropriateness of ceftriaxone injections </w:t>
      </w:r>
      <w:r w:rsidR="00EE6F46">
        <w:t>using more rigorous criteria</w:t>
      </w:r>
      <w:r w:rsidR="00CA06E5">
        <w:t>. This</w:t>
      </w:r>
      <w:r w:rsidR="00EE6F46">
        <w:t xml:space="preserve"> </w:t>
      </w:r>
      <w:r w:rsidR="00873E83">
        <w:t>includ</w:t>
      </w:r>
      <w:r w:rsidR="00CA06E5">
        <w:t>es</w:t>
      </w:r>
      <w:r w:rsidR="002D12DC">
        <w:t xml:space="preserve"> </w:t>
      </w:r>
      <w:proofErr w:type="spellStart"/>
      <w:r w:rsidR="00EF280C">
        <w:t>antibiograms</w:t>
      </w:r>
      <w:proofErr w:type="spellEnd"/>
      <w:r w:rsidR="00EF280C">
        <w:t xml:space="preserve"> as well as </w:t>
      </w:r>
      <w:r w:rsidR="004335AA">
        <w:t>upgrade</w:t>
      </w:r>
      <w:r w:rsidR="00EF280C">
        <w:t>d</w:t>
      </w:r>
      <w:r w:rsidR="004335AA">
        <w:t xml:space="preserve"> treatment guidance</w:t>
      </w:r>
      <w:r w:rsidR="002D12DC">
        <w:t xml:space="preserve"> including timings</w:t>
      </w:r>
      <w:r w:rsidR="004335AA">
        <w:t xml:space="preserve">. There will also be </w:t>
      </w:r>
      <w:r>
        <w:t>targeted education interventions in our hospitals</w:t>
      </w:r>
      <w:r w:rsidR="004335AA">
        <w:t xml:space="preserve"> based on this and future activities</w:t>
      </w:r>
      <w:r w:rsidR="00F2794F">
        <w:t xml:space="preserve"> including the </w:t>
      </w:r>
      <w:r w:rsidR="00F2794F" w:rsidRPr="002A3023">
        <w:t>duration of therapy, wrong indication or unstated comorbid indications</w:t>
      </w:r>
      <w:r>
        <w:t>. The</w:t>
      </w:r>
      <w:r w:rsidR="004335AA">
        <w:t xml:space="preserve"> impact of the</w:t>
      </w:r>
      <w:r>
        <w:t>se</w:t>
      </w:r>
      <w:r w:rsidR="004335AA">
        <w:t xml:space="preserve"> activities</w:t>
      </w:r>
      <w:r>
        <w:t xml:space="preserve"> will </w:t>
      </w:r>
      <w:r w:rsidR="004335AA">
        <w:t>be assessed to further improve antibiotic use among hospitals in Ghana</w:t>
      </w:r>
      <w:r>
        <w:t>.</w:t>
      </w:r>
      <w:r w:rsidR="00CA06E5">
        <w:t xml:space="preserve"> We also hope our findings will be of interest to other African countries as they seek to improve antibiotic use in their hospitals. </w:t>
      </w:r>
    </w:p>
    <w:p w:rsidR="00A9777F" w:rsidRDefault="00A9777F" w:rsidP="00730E6B">
      <w:pPr>
        <w:pStyle w:val="NoSpacing"/>
        <w:jc w:val="both"/>
      </w:pPr>
    </w:p>
    <w:p w:rsidR="008A663A" w:rsidRPr="00702342" w:rsidRDefault="008A663A" w:rsidP="00730E6B">
      <w:pPr>
        <w:pStyle w:val="NoSpacing"/>
        <w:jc w:val="both"/>
        <w:rPr>
          <w:b/>
        </w:rPr>
      </w:pPr>
      <w:r w:rsidRPr="00702342">
        <w:rPr>
          <w:b/>
        </w:rPr>
        <w:t>CONCLUSION</w:t>
      </w:r>
    </w:p>
    <w:p w:rsidR="00A9777F" w:rsidRDefault="00A9777F" w:rsidP="00730E6B">
      <w:pPr>
        <w:pStyle w:val="NoSpacing"/>
        <w:jc w:val="both"/>
      </w:pPr>
    </w:p>
    <w:p w:rsidR="008A663A" w:rsidRPr="00F438F0" w:rsidRDefault="008A663A" w:rsidP="00730E6B">
      <w:pPr>
        <w:pStyle w:val="NoSpacing"/>
        <w:jc w:val="both"/>
      </w:pPr>
      <w:r>
        <w:t>The study revealed that the appropriateness of ceftriaxone prescribed (duration and indications) was lower than expected.</w:t>
      </w:r>
      <w:r w:rsidR="005C3DC6">
        <w:t xml:space="preserve"> Having said this, pre-set levels were high at 95% to 100% based on WHO and MSH recommendations.</w:t>
      </w:r>
      <w:r>
        <w:t xml:space="preserve"> </w:t>
      </w:r>
      <w:r w:rsidR="001E07B7">
        <w:t xml:space="preserve">We believe our findings can be exported to other hospitals in Ghana to improve their utilisation of ceftriaxone. </w:t>
      </w:r>
      <w:r>
        <w:t>Findings of ceftriaxone-use-related probl</w:t>
      </w:r>
      <w:r w:rsidR="005C3DC6">
        <w:t xml:space="preserve">ems in this study </w:t>
      </w:r>
      <w:r w:rsidR="001E07B7">
        <w:t xml:space="preserve">also </w:t>
      </w:r>
      <w:r w:rsidR="005C3DC6">
        <w:t>provide</w:t>
      </w:r>
      <w:r w:rsidR="00E635F2">
        <w:t xml:space="preserve"> a</w:t>
      </w:r>
      <w:r w:rsidR="005C3DC6">
        <w:t xml:space="preserve"> rational</w:t>
      </w:r>
      <w:r>
        <w:t xml:space="preserve"> for </w:t>
      </w:r>
      <w:r w:rsidR="0031539B">
        <w:t xml:space="preserve">further </w:t>
      </w:r>
      <w:r>
        <w:t xml:space="preserve">targeted education of prescribers and other health </w:t>
      </w:r>
      <w:r w:rsidR="00992E2D">
        <w:t xml:space="preserve">care </w:t>
      </w:r>
      <w:r>
        <w:t>workers at the Ghana Police Hospital</w:t>
      </w:r>
      <w:r w:rsidR="000F2B7D">
        <w:t xml:space="preserve"> as well as other hospitals in Ghana</w:t>
      </w:r>
      <w:r>
        <w:t xml:space="preserve">.  </w:t>
      </w:r>
      <w:r w:rsidR="005C3DC6">
        <w:t xml:space="preserve">Such programs will be </w:t>
      </w:r>
      <w:r w:rsidR="008A5CBD">
        <w:t xml:space="preserve">the </w:t>
      </w:r>
      <w:r w:rsidR="005C3DC6">
        <w:t xml:space="preserve">subject of future research activities </w:t>
      </w:r>
      <w:r w:rsidR="000F2B7D">
        <w:t xml:space="preserve">in this and other hospitals in Ghana </w:t>
      </w:r>
      <w:r w:rsidR="005C3DC6">
        <w:t>to attain agreed pre-set levels.</w:t>
      </w:r>
      <w:r w:rsidR="00042889">
        <w:t xml:space="preserve"> This will form part of future antibiotic stewardship programmes.</w:t>
      </w:r>
    </w:p>
    <w:p w:rsidR="005C3DC6" w:rsidRDefault="005C3DC6" w:rsidP="00EA6DB9">
      <w:pPr>
        <w:pStyle w:val="NoSpacing"/>
      </w:pPr>
    </w:p>
    <w:p w:rsidR="00AE7A58" w:rsidRDefault="00AE7A58" w:rsidP="00EA6DB9">
      <w:pPr>
        <w:pStyle w:val="NoSpacing"/>
        <w:rPr>
          <w:b/>
        </w:rPr>
      </w:pPr>
    </w:p>
    <w:p w:rsidR="00DD57EE" w:rsidRPr="00DD57EE" w:rsidRDefault="00DD57EE" w:rsidP="00EA6DB9">
      <w:pPr>
        <w:pStyle w:val="NoSpacing"/>
        <w:rPr>
          <w:b/>
        </w:rPr>
      </w:pPr>
      <w:r w:rsidRPr="00DD57EE">
        <w:rPr>
          <w:b/>
        </w:rPr>
        <w:t>Key Messages</w:t>
      </w:r>
    </w:p>
    <w:p w:rsidR="00DD57EE" w:rsidRDefault="00DD57EE" w:rsidP="00EA6DB9">
      <w:pPr>
        <w:pStyle w:val="NoSpacing"/>
      </w:pPr>
    </w:p>
    <w:p w:rsidR="00800C85" w:rsidRPr="00800C85" w:rsidRDefault="00800C85" w:rsidP="00CD4CD4">
      <w:pPr>
        <w:pStyle w:val="NoSpacing"/>
        <w:numPr>
          <w:ilvl w:val="0"/>
          <w:numId w:val="8"/>
        </w:numPr>
        <w:jc w:val="both"/>
      </w:pPr>
      <w:r>
        <w:rPr>
          <w:color w:val="000000" w:themeColor="text1"/>
        </w:rPr>
        <w:t>Several rational drug use studies conducted in Ghana ha</w:t>
      </w:r>
      <w:r w:rsidR="002B1514">
        <w:rPr>
          <w:color w:val="000000" w:themeColor="text1"/>
        </w:rPr>
        <w:t>ve</w:t>
      </w:r>
      <w:r>
        <w:rPr>
          <w:color w:val="000000" w:themeColor="text1"/>
        </w:rPr>
        <w:t xml:space="preserve"> revealed high proportions of antibiotic</w:t>
      </w:r>
      <w:r w:rsidR="0076629D">
        <w:rPr>
          <w:color w:val="000000" w:themeColor="text1"/>
        </w:rPr>
        <w:t>s</w:t>
      </w:r>
      <w:r>
        <w:rPr>
          <w:color w:val="000000" w:themeColor="text1"/>
        </w:rPr>
        <w:t xml:space="preserve"> on prescriptions</w:t>
      </w:r>
      <w:r w:rsidR="002B1514">
        <w:rPr>
          <w:color w:val="000000" w:themeColor="text1"/>
        </w:rPr>
        <w:t>, appreciably</w:t>
      </w:r>
      <w:r w:rsidR="00D934B8">
        <w:rPr>
          <w:color w:val="000000" w:themeColor="text1"/>
        </w:rPr>
        <w:t xml:space="preserve"> </w:t>
      </w:r>
      <w:r>
        <w:rPr>
          <w:color w:val="000000" w:themeColor="text1"/>
        </w:rPr>
        <w:t xml:space="preserve">above </w:t>
      </w:r>
      <w:r w:rsidR="00F960E5">
        <w:rPr>
          <w:color w:val="000000" w:themeColor="text1"/>
        </w:rPr>
        <w:t xml:space="preserve">national and </w:t>
      </w:r>
      <w:r>
        <w:rPr>
          <w:color w:val="000000" w:themeColor="text1"/>
        </w:rPr>
        <w:t>WHO ind</w:t>
      </w:r>
      <w:r w:rsidR="00F960E5">
        <w:rPr>
          <w:color w:val="000000" w:themeColor="text1"/>
        </w:rPr>
        <w:t>ices</w:t>
      </w:r>
      <w:r>
        <w:rPr>
          <w:color w:val="000000" w:themeColor="text1"/>
        </w:rPr>
        <w:t xml:space="preserve"> per prescription.</w:t>
      </w:r>
    </w:p>
    <w:p w:rsidR="00800C85" w:rsidRDefault="00F222DE" w:rsidP="00323671">
      <w:pPr>
        <w:pStyle w:val="NoSpacing"/>
        <w:numPr>
          <w:ilvl w:val="0"/>
          <w:numId w:val="8"/>
        </w:numPr>
        <w:jc w:val="both"/>
      </w:pPr>
      <w:r>
        <w:t>Ceftriaxone injection is among the most frequently prescribed antibiotic in Ghana due to its known efficacy and safety profile, coupled with its once or twice -daily ease of administration.</w:t>
      </w:r>
      <w:r w:rsidR="002D784E">
        <w:t xml:space="preserve"> </w:t>
      </w:r>
    </w:p>
    <w:p w:rsidR="002D784E" w:rsidRDefault="002D784E" w:rsidP="009C4BF3">
      <w:pPr>
        <w:pStyle w:val="NoSpacing"/>
        <w:numPr>
          <w:ilvl w:val="0"/>
          <w:numId w:val="8"/>
        </w:numPr>
        <w:jc w:val="both"/>
      </w:pPr>
      <w:r>
        <w:t xml:space="preserve">The </w:t>
      </w:r>
      <w:r w:rsidR="00FA36A6">
        <w:t>Pharmacy Department</w:t>
      </w:r>
      <w:r w:rsidR="00F9724B">
        <w:t>,</w:t>
      </w:r>
      <w:r w:rsidR="00FA36A6">
        <w:t xml:space="preserve"> of the </w:t>
      </w:r>
      <w:r>
        <w:t xml:space="preserve">National Police Hospital which </w:t>
      </w:r>
      <w:r w:rsidR="00165A43">
        <w:t xml:space="preserve">is </w:t>
      </w:r>
      <w:r>
        <w:t>also a referral hospital during national disaster</w:t>
      </w:r>
      <w:r w:rsidR="00FA36A6">
        <w:t>,</w:t>
      </w:r>
      <w:r>
        <w:t xml:space="preserve"> conducted a cross-sectional study </w:t>
      </w:r>
      <w:r w:rsidR="00FA36A6">
        <w:t>in</w:t>
      </w:r>
      <w:r>
        <w:t xml:space="preserve"> its facility on the evaluation of ceftriaxone </w:t>
      </w:r>
      <w:r w:rsidR="00323671">
        <w:t>injection from January to June 2015.</w:t>
      </w:r>
    </w:p>
    <w:p w:rsidR="00323671" w:rsidRDefault="00323671" w:rsidP="00800C85">
      <w:pPr>
        <w:pStyle w:val="NoSpacing"/>
        <w:numPr>
          <w:ilvl w:val="0"/>
          <w:numId w:val="8"/>
        </w:numPr>
        <w:jc w:val="both"/>
      </w:pPr>
      <w:r>
        <w:t xml:space="preserve">The observed </w:t>
      </w:r>
      <w:r w:rsidR="00165A43">
        <w:t xml:space="preserve">threshold of </w:t>
      </w:r>
      <w:r>
        <w:t>appropriateness of ceftriaxone prescribed was 9</w:t>
      </w:r>
      <w:r w:rsidR="00165A43">
        <w:t>3</w:t>
      </w:r>
      <w:r>
        <w:t>.</w:t>
      </w:r>
      <w:r w:rsidR="00165A43">
        <w:t>0</w:t>
      </w:r>
      <w:r w:rsidR="00C62CB9">
        <w:t xml:space="preserve"> </w:t>
      </w:r>
      <w:r>
        <w:t>% as against expected</w:t>
      </w:r>
      <w:r w:rsidR="00FA36A6">
        <w:t xml:space="preserve"> (pre-set)</w:t>
      </w:r>
      <w:r>
        <w:t xml:space="preserve"> threshold of 9</w:t>
      </w:r>
      <w:r w:rsidR="00165A43">
        <w:t>7</w:t>
      </w:r>
      <w:r>
        <w:t>.</w:t>
      </w:r>
      <w:r w:rsidR="00165A43">
        <w:t>9</w:t>
      </w:r>
      <w:r w:rsidR="00C62CB9">
        <w:t xml:space="preserve"> </w:t>
      </w:r>
      <w:r>
        <w:t>%</w:t>
      </w:r>
      <w:r w:rsidR="00CD4CD4">
        <w:t xml:space="preserve">. </w:t>
      </w:r>
      <w:r w:rsidR="002B1514">
        <w:t>I</w:t>
      </w:r>
      <w:r>
        <w:t xml:space="preserve">nappropriate indication and duration of prescribing were </w:t>
      </w:r>
      <w:r w:rsidR="00FA36A6">
        <w:t xml:space="preserve">identified </w:t>
      </w:r>
      <w:r>
        <w:t xml:space="preserve">as most common areas </w:t>
      </w:r>
      <w:r w:rsidR="00FA36A6">
        <w:t>with</w:t>
      </w:r>
      <w:r>
        <w:t xml:space="preserve"> prescribing</w:t>
      </w:r>
      <w:r w:rsidR="00FA36A6">
        <w:t xml:space="preserve"> errors</w:t>
      </w:r>
      <w:r>
        <w:t>.</w:t>
      </w:r>
    </w:p>
    <w:p w:rsidR="002B1514" w:rsidRDefault="00323671" w:rsidP="00800C85">
      <w:pPr>
        <w:pStyle w:val="NoSpacing"/>
        <w:numPr>
          <w:ilvl w:val="0"/>
          <w:numId w:val="8"/>
        </w:numPr>
        <w:jc w:val="both"/>
      </w:pPr>
      <w:r>
        <w:t>Though findings suggest high adherence to STGs and ceftriaxone package insert recommendations</w:t>
      </w:r>
      <w:r w:rsidR="009A5FCF">
        <w:t>.</w:t>
      </w:r>
      <w:r w:rsidR="002B1514">
        <w:t xml:space="preserve"> </w:t>
      </w:r>
      <w:r w:rsidR="009A5FCF">
        <w:t xml:space="preserve">However, </w:t>
      </w:r>
      <w:r w:rsidR="00CD4CD4">
        <w:t>t</w:t>
      </w:r>
      <w:r>
        <w:t>argeted education of prescribers could</w:t>
      </w:r>
      <w:r w:rsidR="00FA36A6">
        <w:t xml:space="preserve"> further</w:t>
      </w:r>
      <w:r>
        <w:t xml:space="preserve"> improve its prescribing at the facility</w:t>
      </w:r>
      <w:r w:rsidR="009A5FCF">
        <w:t xml:space="preserve"> especially in outpatients</w:t>
      </w:r>
    </w:p>
    <w:p w:rsidR="00323671" w:rsidRDefault="002B1514" w:rsidP="00800C85">
      <w:pPr>
        <w:pStyle w:val="NoSpacing"/>
        <w:numPr>
          <w:ilvl w:val="0"/>
          <w:numId w:val="8"/>
        </w:numPr>
        <w:jc w:val="both"/>
      </w:pPr>
      <w:r>
        <w:t>The f</w:t>
      </w:r>
      <w:r w:rsidR="00F960E5">
        <w:t xml:space="preserve">indings of this study </w:t>
      </w:r>
      <w:proofErr w:type="gramStart"/>
      <w:r w:rsidR="00F960E5">
        <w:t>provide</w:t>
      </w:r>
      <w:r w:rsidR="00CD4CD4">
        <w:t>s</w:t>
      </w:r>
      <w:proofErr w:type="gramEnd"/>
      <w:r w:rsidR="00F960E5">
        <w:t xml:space="preserve"> baseline data </w:t>
      </w:r>
      <w:r w:rsidR="007C2E71">
        <w:t>for similar</w:t>
      </w:r>
      <w:r w:rsidR="00F960E5">
        <w:t xml:space="preserve"> studies </w:t>
      </w:r>
      <w:r>
        <w:t>among</w:t>
      </w:r>
      <w:r w:rsidR="004E40DF">
        <w:t xml:space="preserve"> </w:t>
      </w:r>
      <w:r w:rsidR="009A5FCF">
        <w:t xml:space="preserve">secondary and tertiary </w:t>
      </w:r>
      <w:r w:rsidR="004E40DF">
        <w:t xml:space="preserve">health facilities </w:t>
      </w:r>
      <w:r>
        <w:t>in Ghana</w:t>
      </w:r>
      <w:r w:rsidR="000F2B7D">
        <w:t xml:space="preserve"> in addition to this hospital</w:t>
      </w:r>
      <w:r w:rsidR="009A5FCF">
        <w:t xml:space="preserve"> including the potential instigation of antibiotic stewardship programmes</w:t>
      </w:r>
    </w:p>
    <w:p w:rsidR="00DD57EE" w:rsidRPr="00800C85" w:rsidRDefault="00DD57EE" w:rsidP="00800C85">
      <w:pPr>
        <w:pStyle w:val="NoSpacing"/>
        <w:rPr>
          <w:color w:val="000000" w:themeColor="text1"/>
        </w:rPr>
      </w:pPr>
    </w:p>
    <w:p w:rsidR="00B502CD" w:rsidRPr="00B502CD" w:rsidRDefault="00B502CD" w:rsidP="00B502CD">
      <w:pPr>
        <w:pStyle w:val="NoSpacing"/>
      </w:pPr>
    </w:p>
    <w:p w:rsidR="005C3DC6" w:rsidRDefault="005C3DC6" w:rsidP="00730E6B">
      <w:pPr>
        <w:pStyle w:val="NoSpacing"/>
        <w:jc w:val="both"/>
      </w:pPr>
    </w:p>
    <w:p w:rsidR="00B92124" w:rsidRDefault="00B92124">
      <w:pPr>
        <w:rPr>
          <w:rFonts w:ascii="Times New Roman" w:eastAsia="Times New Roman" w:hAnsi="Times New Roman" w:cs="Times New Roman"/>
          <w:b/>
          <w:sz w:val="24"/>
          <w:szCs w:val="24"/>
          <w:lang w:val="en-GB" w:eastAsia="en-GB"/>
        </w:rPr>
      </w:pPr>
      <w:r>
        <w:rPr>
          <w:b/>
        </w:rPr>
        <w:br w:type="page"/>
      </w:r>
    </w:p>
    <w:p w:rsidR="001F7673" w:rsidRPr="00702342" w:rsidRDefault="001F7673" w:rsidP="00730E6B">
      <w:pPr>
        <w:pStyle w:val="NoSpacing"/>
        <w:jc w:val="both"/>
        <w:rPr>
          <w:b/>
        </w:rPr>
      </w:pPr>
      <w:r w:rsidRPr="00702342">
        <w:rPr>
          <w:b/>
        </w:rPr>
        <w:lastRenderedPageBreak/>
        <w:t>REFERENCES</w:t>
      </w:r>
    </w:p>
    <w:p w:rsidR="00702342" w:rsidRDefault="00702342" w:rsidP="00730E6B">
      <w:pPr>
        <w:pStyle w:val="NoSpacing"/>
        <w:jc w:val="both"/>
      </w:pPr>
    </w:p>
    <w:p w:rsidR="0031539B" w:rsidRPr="00C72CFA" w:rsidRDefault="0031539B" w:rsidP="0031539B">
      <w:pPr>
        <w:pStyle w:val="NoSpacing"/>
        <w:numPr>
          <w:ilvl w:val="0"/>
          <w:numId w:val="5"/>
        </w:numPr>
        <w:ind w:left="360"/>
        <w:jc w:val="both"/>
      </w:pPr>
      <w:proofErr w:type="spellStart"/>
      <w:r w:rsidRPr="00C72CFA">
        <w:t>Md</w:t>
      </w:r>
      <w:proofErr w:type="spellEnd"/>
      <w:r w:rsidRPr="00C72CFA">
        <w:t xml:space="preserve"> </w:t>
      </w:r>
      <w:proofErr w:type="spellStart"/>
      <w:r w:rsidRPr="00C72CFA">
        <w:t>Rezal</w:t>
      </w:r>
      <w:proofErr w:type="spellEnd"/>
      <w:r w:rsidRPr="00C72CFA">
        <w:t xml:space="preserve"> RS, </w:t>
      </w:r>
      <w:proofErr w:type="spellStart"/>
      <w:r w:rsidRPr="00C72CFA">
        <w:t>Hassali</w:t>
      </w:r>
      <w:proofErr w:type="spellEnd"/>
      <w:r w:rsidRPr="00C72CFA">
        <w:t xml:space="preserve"> MA, </w:t>
      </w:r>
      <w:proofErr w:type="spellStart"/>
      <w:r w:rsidRPr="00C72CFA">
        <w:t>ALrasheedy</w:t>
      </w:r>
      <w:proofErr w:type="spellEnd"/>
      <w:r w:rsidRPr="00C72CFA">
        <w:t xml:space="preserve"> AA, et al. Physicians knowledge, perceptions and </w:t>
      </w:r>
      <w:proofErr w:type="spellStart"/>
      <w:r w:rsidRPr="00C72CFA">
        <w:t>behavior</w:t>
      </w:r>
      <w:proofErr w:type="spellEnd"/>
      <w:r w:rsidRPr="00C72CFA">
        <w:t xml:space="preserve"> towards antibiotic prescribing: systematic review of the literature. Expert Rev Anti Infect. </w:t>
      </w:r>
      <w:proofErr w:type="spellStart"/>
      <w:r w:rsidRPr="00C72CFA">
        <w:t>Ther</w:t>
      </w:r>
      <w:proofErr w:type="spellEnd"/>
      <w:r w:rsidRPr="00C72CFA">
        <w:t xml:space="preserve"> 2015; 13 (5): 665-680.</w:t>
      </w:r>
    </w:p>
    <w:p w:rsidR="0031539B" w:rsidRPr="00C72CFA" w:rsidRDefault="0031539B" w:rsidP="0031539B">
      <w:pPr>
        <w:pStyle w:val="NoSpacing"/>
        <w:numPr>
          <w:ilvl w:val="0"/>
          <w:numId w:val="5"/>
        </w:numPr>
        <w:ind w:left="360"/>
        <w:jc w:val="both"/>
      </w:pPr>
      <w:proofErr w:type="spellStart"/>
      <w:r w:rsidRPr="00C72CFA">
        <w:t>Ghandra</w:t>
      </w:r>
      <w:proofErr w:type="spellEnd"/>
      <w:r w:rsidRPr="00C72CFA">
        <w:t xml:space="preserve"> S, Barter DM, </w:t>
      </w:r>
      <w:proofErr w:type="spellStart"/>
      <w:r w:rsidRPr="00C72CFA">
        <w:t>Laxminarayan</w:t>
      </w:r>
      <w:proofErr w:type="spellEnd"/>
      <w:r w:rsidRPr="00C72CFA">
        <w:t xml:space="preserve"> R. Economic burden of antibiotic resistance: how much do we really know? </w:t>
      </w:r>
      <w:proofErr w:type="spellStart"/>
      <w:r w:rsidRPr="00C72CFA">
        <w:t>Clin</w:t>
      </w:r>
      <w:proofErr w:type="spellEnd"/>
      <w:r w:rsidRPr="00C72CFA">
        <w:t xml:space="preserve"> </w:t>
      </w:r>
      <w:proofErr w:type="spellStart"/>
      <w:r w:rsidRPr="00C72CFA">
        <w:t>Microbiol</w:t>
      </w:r>
      <w:proofErr w:type="spellEnd"/>
      <w:r w:rsidRPr="00C72CFA">
        <w:t xml:space="preserve"> Infect. 2014; 20 (10): 973-980.</w:t>
      </w:r>
    </w:p>
    <w:p w:rsidR="0031539B" w:rsidRPr="00C72CFA" w:rsidRDefault="0031539B" w:rsidP="0031539B">
      <w:pPr>
        <w:pStyle w:val="NoSpacing"/>
        <w:numPr>
          <w:ilvl w:val="0"/>
          <w:numId w:val="5"/>
        </w:numPr>
        <w:ind w:left="360"/>
        <w:jc w:val="both"/>
      </w:pPr>
      <w:r w:rsidRPr="00C72CFA">
        <w:t xml:space="preserve">World Health Organization (WHO). Partnerships for malaria control: engaging the formal and informal private sectors in child survival, 2006. WHO Ref. No: TDR/GEN/06.1, World Health Organization, Geneva. </w:t>
      </w:r>
    </w:p>
    <w:p w:rsidR="0031539B" w:rsidRPr="00C72CFA" w:rsidRDefault="0031539B" w:rsidP="0031539B">
      <w:pPr>
        <w:pStyle w:val="NoSpacing"/>
        <w:numPr>
          <w:ilvl w:val="0"/>
          <w:numId w:val="5"/>
        </w:numPr>
        <w:ind w:left="360"/>
        <w:jc w:val="both"/>
      </w:pPr>
      <w:proofErr w:type="spellStart"/>
      <w:r w:rsidRPr="00C72CFA">
        <w:t>Bisht</w:t>
      </w:r>
      <w:proofErr w:type="spellEnd"/>
      <w:r w:rsidRPr="00C72CFA">
        <w:t xml:space="preserve"> R, </w:t>
      </w:r>
      <w:proofErr w:type="spellStart"/>
      <w:r w:rsidRPr="00C72CFA">
        <w:t>Katiyar</w:t>
      </w:r>
      <w:proofErr w:type="spellEnd"/>
      <w:r w:rsidRPr="00C72CFA">
        <w:t xml:space="preserve"> A, Singh R, et al. Antibiotic resistance - A global issue of concern. Asian J Pharm and Clinical Res. 2009; 2:34-39. </w:t>
      </w:r>
    </w:p>
    <w:p w:rsidR="0031539B" w:rsidRPr="00C72CFA" w:rsidRDefault="0031539B" w:rsidP="0031539B">
      <w:pPr>
        <w:pStyle w:val="NoSpacing"/>
        <w:numPr>
          <w:ilvl w:val="0"/>
          <w:numId w:val="5"/>
        </w:numPr>
        <w:ind w:left="360"/>
        <w:jc w:val="both"/>
      </w:pPr>
      <w:r w:rsidRPr="00C72CFA">
        <w:t xml:space="preserve">Lee H, Jung D, </w:t>
      </w:r>
      <w:proofErr w:type="spellStart"/>
      <w:r w:rsidRPr="00C72CFA">
        <w:t>Yeom</w:t>
      </w:r>
      <w:proofErr w:type="spellEnd"/>
      <w:r w:rsidRPr="00C72CFA">
        <w:t xml:space="preserve"> JS. Evaluation of ceftriaxone utilization at </w:t>
      </w:r>
      <w:proofErr w:type="spellStart"/>
      <w:r w:rsidRPr="00C72CFA">
        <w:t>muliticenter</w:t>
      </w:r>
      <w:proofErr w:type="spellEnd"/>
      <w:r w:rsidRPr="00C72CFA">
        <w:t xml:space="preserve"> study. Korean J Intern Med. 2009; 24 (4): 374-380</w:t>
      </w:r>
    </w:p>
    <w:p w:rsidR="0031539B" w:rsidRPr="00C72CFA" w:rsidRDefault="0031539B" w:rsidP="0031539B">
      <w:pPr>
        <w:pStyle w:val="NoSpacing"/>
        <w:numPr>
          <w:ilvl w:val="0"/>
          <w:numId w:val="5"/>
        </w:numPr>
        <w:ind w:left="360"/>
        <w:jc w:val="both"/>
      </w:pPr>
      <w:r w:rsidRPr="00C72CFA">
        <w:rPr>
          <w:noProof/>
        </w:rPr>
        <w:t>McNeil V, Cruickshank M, Duguid M. Safer use of antimicrobials in hospitals: the value of antimicrobial usage data. The Medical journal of Australia. 2010;193(8 Suppl):S114-7.</w:t>
      </w:r>
      <w:bookmarkStart w:id="1" w:name="_ENREF_2"/>
    </w:p>
    <w:p w:rsidR="0031539B" w:rsidRPr="00C72CFA" w:rsidRDefault="0031539B" w:rsidP="0031539B">
      <w:pPr>
        <w:pStyle w:val="NoSpacing"/>
        <w:numPr>
          <w:ilvl w:val="0"/>
          <w:numId w:val="5"/>
        </w:numPr>
        <w:ind w:left="360"/>
        <w:jc w:val="both"/>
      </w:pPr>
      <w:r w:rsidRPr="00C72CFA">
        <w:rPr>
          <w:noProof/>
        </w:rPr>
        <w:t>Raastad R, Tvete IF, Abrahamsen TG, Berild D, Leegaard TM, Walberg M, et al. A worrying trend in weight-adjusted paediatric antibiotic use in a Norwegian tertiary care hospital. Acta paediatrica (Oslo, Norway : 1992). 2015;104(7):687-92</w:t>
      </w:r>
      <w:bookmarkStart w:id="2" w:name="_ENREF_3"/>
      <w:bookmarkEnd w:id="1"/>
    </w:p>
    <w:p w:rsidR="0031539B" w:rsidRPr="00C72CFA" w:rsidRDefault="0031539B" w:rsidP="0031539B">
      <w:pPr>
        <w:pStyle w:val="NoSpacing"/>
        <w:numPr>
          <w:ilvl w:val="0"/>
          <w:numId w:val="5"/>
        </w:numPr>
        <w:ind w:left="360"/>
        <w:jc w:val="both"/>
      </w:pPr>
      <w:r w:rsidRPr="00C72CFA">
        <w:rPr>
          <w:noProof/>
        </w:rPr>
        <w:t>Khan FA, Singh VK, Sharma S, Singh P. A prospective study on the antimicrobial usage in the medicine department of a tertiary care teaching hospital. Journal of clinical and diagnostic research : JCDR. 2013;7(7):1343-6.</w:t>
      </w:r>
      <w:bookmarkEnd w:id="2"/>
    </w:p>
    <w:p w:rsidR="0031539B" w:rsidRPr="00C72CFA" w:rsidRDefault="0031539B" w:rsidP="0031539B">
      <w:pPr>
        <w:pStyle w:val="NoSpacing"/>
        <w:numPr>
          <w:ilvl w:val="0"/>
          <w:numId w:val="5"/>
        </w:numPr>
        <w:ind w:left="360"/>
        <w:jc w:val="both"/>
      </w:pPr>
      <w:r w:rsidRPr="00C72CFA">
        <w:t xml:space="preserve">Laing RO. Rational drug use: an unsolved problem. Trop </w:t>
      </w:r>
      <w:proofErr w:type="spellStart"/>
      <w:r w:rsidRPr="00C72CFA">
        <w:t>Doct</w:t>
      </w:r>
      <w:proofErr w:type="spellEnd"/>
      <w:r w:rsidRPr="00C72CFA">
        <w:t>. 1990; 20: 101–103.</w:t>
      </w:r>
    </w:p>
    <w:p w:rsidR="0031539B" w:rsidRPr="00C72CFA" w:rsidRDefault="0031539B" w:rsidP="0031539B">
      <w:pPr>
        <w:pStyle w:val="NoSpacing"/>
        <w:numPr>
          <w:ilvl w:val="0"/>
          <w:numId w:val="5"/>
        </w:numPr>
        <w:ind w:left="360"/>
        <w:jc w:val="both"/>
      </w:pPr>
      <w:r w:rsidRPr="00C72CFA">
        <w:t xml:space="preserve">Walker GJ, </w:t>
      </w:r>
      <w:proofErr w:type="spellStart"/>
      <w:r w:rsidRPr="00C72CFA">
        <w:t>Hogerzeil</w:t>
      </w:r>
      <w:proofErr w:type="spellEnd"/>
      <w:r w:rsidRPr="00C72CFA">
        <w:t xml:space="preserve"> HV, </w:t>
      </w:r>
      <w:proofErr w:type="spellStart"/>
      <w:r w:rsidRPr="00C72CFA">
        <w:t>Sallami</w:t>
      </w:r>
      <w:proofErr w:type="spellEnd"/>
      <w:r w:rsidRPr="00C72CFA">
        <w:t xml:space="preserve"> AO, et al. Evaluation of rational drug prescribing in Democratic Yemen. </w:t>
      </w:r>
      <w:proofErr w:type="spellStart"/>
      <w:r w:rsidRPr="00C72CFA">
        <w:t>Soc</w:t>
      </w:r>
      <w:proofErr w:type="spellEnd"/>
      <w:r w:rsidRPr="00C72CFA">
        <w:t xml:space="preserve"> Sci Med. 1990; 31 (7): 823-828</w:t>
      </w:r>
    </w:p>
    <w:p w:rsidR="0031539B" w:rsidRPr="00C72CFA" w:rsidRDefault="0031539B" w:rsidP="0031539B">
      <w:pPr>
        <w:pStyle w:val="NoSpacing"/>
        <w:numPr>
          <w:ilvl w:val="0"/>
          <w:numId w:val="5"/>
        </w:numPr>
        <w:ind w:left="360"/>
        <w:jc w:val="both"/>
      </w:pPr>
      <w:proofErr w:type="spellStart"/>
      <w:r w:rsidRPr="00C72CFA">
        <w:t>Massele</w:t>
      </w:r>
      <w:proofErr w:type="spellEnd"/>
      <w:r w:rsidRPr="00C72CFA">
        <w:t xml:space="preserve"> A, Burger J, </w:t>
      </w:r>
      <w:proofErr w:type="spellStart"/>
      <w:r w:rsidRPr="00C72CFA">
        <w:t>Katende-Kyenda</w:t>
      </w:r>
      <w:proofErr w:type="spellEnd"/>
      <w:r w:rsidRPr="00C72CFA">
        <w:t xml:space="preserve"> NL, </w:t>
      </w:r>
      <w:proofErr w:type="spellStart"/>
      <w:r w:rsidRPr="00C72CFA">
        <w:t>Kalemeera</w:t>
      </w:r>
      <w:proofErr w:type="spellEnd"/>
      <w:r w:rsidRPr="00C72CFA">
        <w:t xml:space="preserve"> F, </w:t>
      </w:r>
      <w:proofErr w:type="spellStart"/>
      <w:r w:rsidRPr="00C72CFA">
        <w:t>Kenaope</w:t>
      </w:r>
      <w:proofErr w:type="spellEnd"/>
      <w:r w:rsidRPr="00C72CFA">
        <w:t xml:space="preserve"> T, </w:t>
      </w:r>
      <w:proofErr w:type="spellStart"/>
      <w:r w:rsidRPr="00C72CFA">
        <w:t>Kibuule</w:t>
      </w:r>
      <w:proofErr w:type="spellEnd"/>
      <w:r w:rsidRPr="00C72CFA">
        <w:t xml:space="preserve"> D, </w:t>
      </w:r>
      <w:proofErr w:type="spellStart"/>
      <w:r w:rsidRPr="00C72CFA">
        <w:t>Mbach</w:t>
      </w:r>
      <w:proofErr w:type="spellEnd"/>
      <w:r w:rsidRPr="00C72CFA">
        <w:t xml:space="preserve"> </w:t>
      </w:r>
      <w:proofErr w:type="gramStart"/>
      <w:r w:rsidRPr="00C72CFA">
        <w:t xml:space="preserve">O,  </w:t>
      </w:r>
      <w:proofErr w:type="spellStart"/>
      <w:r w:rsidRPr="00C72CFA">
        <w:t>Mubita</w:t>
      </w:r>
      <w:proofErr w:type="spellEnd"/>
      <w:proofErr w:type="gramEnd"/>
      <w:r w:rsidRPr="00C72CFA">
        <w:t xml:space="preserve"> M, </w:t>
      </w:r>
      <w:proofErr w:type="spellStart"/>
      <w:r w:rsidRPr="00C72CFA">
        <w:t>Oluka</w:t>
      </w:r>
      <w:proofErr w:type="spellEnd"/>
      <w:r w:rsidRPr="00C72CFA">
        <w:t xml:space="preserve"> M, </w:t>
      </w:r>
      <w:proofErr w:type="spellStart"/>
      <w:r w:rsidRPr="00C72CFA">
        <w:t>Olusanya</w:t>
      </w:r>
      <w:proofErr w:type="spellEnd"/>
      <w:r w:rsidRPr="00C72CFA">
        <w:t xml:space="preserve"> A, Anand </w:t>
      </w:r>
      <w:proofErr w:type="spellStart"/>
      <w:r w:rsidRPr="00C72CFA">
        <w:t>Paramadhas</w:t>
      </w:r>
      <w:proofErr w:type="spellEnd"/>
      <w:r w:rsidRPr="00C72CFA">
        <w:t xml:space="preserve"> B, van Zyl P, </w:t>
      </w:r>
      <w:r w:rsidRPr="00C72CFA">
        <w:rPr>
          <w:b/>
        </w:rPr>
        <w:t>Godman B</w:t>
      </w:r>
      <w:r w:rsidRPr="00C72CFA">
        <w:t xml:space="preserve">. Outcome of the first Medicines Utilisation Research in Africa Group meeting to promote sustainable and rational medicine use in Africa. </w:t>
      </w:r>
      <w:hyperlink r:id="rId8" w:tooltip="Expert review of pharmacoeconomics &amp; outcomes research." w:history="1">
        <w:r w:rsidRPr="00C72CFA">
          <w:t xml:space="preserve">Expert Rev </w:t>
        </w:r>
        <w:proofErr w:type="spellStart"/>
        <w:r w:rsidRPr="00C72CFA">
          <w:t>Pharmacoecon</w:t>
        </w:r>
        <w:proofErr w:type="spellEnd"/>
        <w:r w:rsidRPr="00C72CFA">
          <w:t xml:space="preserve"> Outcomes Res.</w:t>
        </w:r>
      </w:hyperlink>
      <w:r w:rsidRPr="00C72CFA">
        <w:t xml:space="preserve"> 2015; 15(6):885-8</w:t>
      </w:r>
    </w:p>
    <w:p w:rsidR="0031539B" w:rsidRPr="00C72CFA" w:rsidRDefault="0031539B" w:rsidP="0031539B">
      <w:pPr>
        <w:pStyle w:val="NoSpacing"/>
        <w:numPr>
          <w:ilvl w:val="0"/>
          <w:numId w:val="5"/>
        </w:numPr>
        <w:ind w:left="360"/>
        <w:jc w:val="both"/>
      </w:pPr>
      <w:r w:rsidRPr="00C72CFA">
        <w:rPr>
          <w:noProof/>
        </w:rPr>
        <w:t>Samilski JAE, Lau TTY, Elbe DHT, Aulakh AK, Lun EMC. Drug Use Evaluation of Moxifloxacin (Avelox) Using a Hand-Held Electronic Device At a Canadian Teaching Hospital. Pharmacy and Therapeutics. 2012;37(5):291-9.</w:t>
      </w:r>
    </w:p>
    <w:p w:rsidR="0031539B" w:rsidRPr="00C72CFA" w:rsidRDefault="0031539B" w:rsidP="0031539B">
      <w:pPr>
        <w:pStyle w:val="NoSpacing"/>
        <w:numPr>
          <w:ilvl w:val="0"/>
          <w:numId w:val="5"/>
        </w:numPr>
        <w:ind w:left="360"/>
        <w:jc w:val="both"/>
      </w:pPr>
      <w:r w:rsidRPr="00C72CFA">
        <w:rPr>
          <w:noProof/>
        </w:rPr>
        <w:t>Salehifar E, Shiva A, Moshayedi M, Kashi TS, Chabra A. Drug use evaluation of Meropenem at a tertiary care university hospital: A report from Northern Iran. Journal of Research in Pharmacy Practice. 2015;4(4):222-5</w:t>
      </w:r>
    </w:p>
    <w:p w:rsidR="0031539B" w:rsidRPr="00C72CFA" w:rsidRDefault="0031539B" w:rsidP="0031539B">
      <w:pPr>
        <w:pStyle w:val="NoSpacing"/>
        <w:numPr>
          <w:ilvl w:val="0"/>
          <w:numId w:val="5"/>
        </w:numPr>
        <w:ind w:left="360"/>
        <w:jc w:val="both"/>
        <w:rPr>
          <w:color w:val="000000"/>
        </w:rPr>
      </w:pPr>
      <w:r w:rsidRPr="00C72CFA">
        <w:rPr>
          <w:color w:val="000000"/>
        </w:rPr>
        <w:t xml:space="preserve">American Society of Hospital Pharmacists. ASHP guidelines on the pharmacist’s role in drug use evaluation. </w:t>
      </w:r>
      <w:proofErr w:type="spellStart"/>
      <w:r w:rsidRPr="00C72CFA">
        <w:rPr>
          <w:color w:val="000000"/>
        </w:rPr>
        <w:t>Amer</w:t>
      </w:r>
      <w:proofErr w:type="spellEnd"/>
      <w:r w:rsidRPr="00C72CFA">
        <w:rPr>
          <w:color w:val="000000"/>
        </w:rPr>
        <w:t xml:space="preserve"> J Hosp Pharm. 1988; 45: 385–386. </w:t>
      </w:r>
    </w:p>
    <w:p w:rsidR="0031539B" w:rsidRPr="00C72CFA" w:rsidRDefault="0031539B" w:rsidP="0031539B">
      <w:pPr>
        <w:pStyle w:val="NoSpacing"/>
        <w:numPr>
          <w:ilvl w:val="0"/>
          <w:numId w:val="5"/>
        </w:numPr>
        <w:ind w:left="360"/>
        <w:jc w:val="both"/>
        <w:rPr>
          <w:color w:val="000000"/>
        </w:rPr>
      </w:pPr>
      <w:r w:rsidRPr="00C72CFA">
        <w:rPr>
          <w:color w:val="000000"/>
        </w:rPr>
        <w:t xml:space="preserve">American Society of Hospital Pharmacists (ASHP). Criteria for drug use evaluation. Vol. 1. Bethesda: American Society of Hospital Pharmacists, 1990. </w:t>
      </w:r>
    </w:p>
    <w:p w:rsidR="0031539B" w:rsidRPr="00C72CFA" w:rsidRDefault="0031539B" w:rsidP="0031539B">
      <w:pPr>
        <w:pStyle w:val="NoSpacing"/>
        <w:numPr>
          <w:ilvl w:val="0"/>
          <w:numId w:val="5"/>
        </w:numPr>
        <w:ind w:left="360"/>
        <w:jc w:val="both"/>
        <w:rPr>
          <w:color w:val="000000"/>
        </w:rPr>
      </w:pPr>
      <w:r w:rsidRPr="00C72CFA">
        <w:t>World Health Organization (WHO). Drug and therapeutic committee. A practical guide to drug use evaluation; Drug use evaluation (Drug utilization review), 2003; 155. Available at URL: http://apps.who.int/medicinedocs/en/d/Js4882e/</w:t>
      </w:r>
    </w:p>
    <w:p w:rsidR="0031539B" w:rsidRPr="00C72CFA" w:rsidRDefault="0031539B" w:rsidP="0031539B">
      <w:pPr>
        <w:pStyle w:val="NoSpacing"/>
        <w:numPr>
          <w:ilvl w:val="0"/>
          <w:numId w:val="5"/>
        </w:numPr>
        <w:ind w:left="360"/>
        <w:jc w:val="both"/>
      </w:pPr>
      <w:r w:rsidRPr="00C72CFA">
        <w:t xml:space="preserve">Godman B, </w:t>
      </w:r>
      <w:proofErr w:type="spellStart"/>
      <w:r w:rsidRPr="00C72CFA">
        <w:t>Malmstrom</w:t>
      </w:r>
      <w:proofErr w:type="spellEnd"/>
      <w:r w:rsidRPr="00C72CFA">
        <w:t xml:space="preserve"> RE, </w:t>
      </w:r>
      <w:proofErr w:type="spellStart"/>
      <w:r w:rsidRPr="00C72CFA">
        <w:t>Diogene</w:t>
      </w:r>
      <w:proofErr w:type="spellEnd"/>
      <w:r w:rsidRPr="00C72CFA">
        <w:t xml:space="preserve"> E, et al. Are new models needed to optimize the utilization of new medicines to sustain healthcare systems? Expert </w:t>
      </w:r>
      <w:proofErr w:type="gramStart"/>
      <w:r w:rsidRPr="00C72CFA">
        <w:t xml:space="preserve">Rev  </w:t>
      </w:r>
      <w:proofErr w:type="spellStart"/>
      <w:r w:rsidRPr="00C72CFA">
        <w:t>Clin</w:t>
      </w:r>
      <w:proofErr w:type="spellEnd"/>
      <w:proofErr w:type="gramEnd"/>
      <w:r w:rsidRPr="00C72CFA">
        <w:t xml:space="preserve"> </w:t>
      </w:r>
      <w:proofErr w:type="spellStart"/>
      <w:r w:rsidRPr="00C72CFA">
        <w:t>Pharmacol</w:t>
      </w:r>
      <w:proofErr w:type="spellEnd"/>
      <w:r w:rsidRPr="00C72CFA">
        <w:t>. 2015; 8 (1):77-94.</w:t>
      </w:r>
    </w:p>
    <w:p w:rsidR="0031539B" w:rsidRPr="00C72CFA" w:rsidRDefault="0031539B" w:rsidP="0031539B">
      <w:pPr>
        <w:pStyle w:val="NoSpacing"/>
        <w:numPr>
          <w:ilvl w:val="0"/>
          <w:numId w:val="5"/>
        </w:numPr>
        <w:ind w:left="360"/>
        <w:jc w:val="both"/>
      </w:pPr>
      <w:r w:rsidRPr="00C72CFA">
        <w:t xml:space="preserve">Godman B, </w:t>
      </w:r>
      <w:proofErr w:type="spellStart"/>
      <w:r w:rsidRPr="00C72CFA">
        <w:t>Malmstrom</w:t>
      </w:r>
      <w:proofErr w:type="spellEnd"/>
      <w:r w:rsidRPr="00C72CFA">
        <w:t xml:space="preserve"> RE, </w:t>
      </w:r>
      <w:proofErr w:type="spellStart"/>
      <w:r w:rsidRPr="00C72CFA">
        <w:t>Diogene</w:t>
      </w:r>
      <w:proofErr w:type="spellEnd"/>
      <w:r w:rsidRPr="00C72CFA">
        <w:t xml:space="preserve"> E, et al. </w:t>
      </w:r>
      <w:proofErr w:type="spellStart"/>
      <w:r w:rsidRPr="00C72CFA">
        <w:t>Diabigatran</w:t>
      </w:r>
      <w:proofErr w:type="spellEnd"/>
      <w:r w:rsidRPr="00C72CFA">
        <w:t xml:space="preserve">-a continuing exemplary case history demonstrating the need for comprehensive models to optimize the utilization of new drugs. Front </w:t>
      </w:r>
      <w:proofErr w:type="spellStart"/>
      <w:r w:rsidRPr="00C72CFA">
        <w:t>Pharmacol</w:t>
      </w:r>
      <w:proofErr w:type="spellEnd"/>
      <w:r w:rsidRPr="00C72CFA">
        <w:t>. 2014; 5:109.</w:t>
      </w:r>
    </w:p>
    <w:p w:rsidR="0031539B" w:rsidRPr="00C72CFA" w:rsidRDefault="0031539B" w:rsidP="0031539B">
      <w:pPr>
        <w:pStyle w:val="NoSpacing"/>
        <w:numPr>
          <w:ilvl w:val="0"/>
          <w:numId w:val="5"/>
        </w:numPr>
        <w:ind w:left="360"/>
        <w:jc w:val="both"/>
      </w:pPr>
      <w:r w:rsidRPr="00C72CFA">
        <w:lastRenderedPageBreak/>
        <w:t xml:space="preserve">Godman B, </w:t>
      </w:r>
      <w:proofErr w:type="spellStart"/>
      <w:r w:rsidRPr="00C72CFA">
        <w:t>Wettermark</w:t>
      </w:r>
      <w:proofErr w:type="spellEnd"/>
      <w:r w:rsidRPr="00C72CFA">
        <w:t xml:space="preserve"> B, van </w:t>
      </w:r>
      <w:proofErr w:type="spellStart"/>
      <w:r w:rsidRPr="00C72CFA">
        <w:t>Woekom</w:t>
      </w:r>
      <w:proofErr w:type="spellEnd"/>
      <w:r w:rsidRPr="00C72CFA">
        <w:t xml:space="preserve"> M, et al. Multiple policies to enhance prescribing efficiency for established medicines in Europe with a particular focus on demand-side measures: findings and future implications. Front </w:t>
      </w:r>
      <w:proofErr w:type="spellStart"/>
      <w:r w:rsidRPr="00C72CFA">
        <w:t>Pharmacol</w:t>
      </w:r>
      <w:proofErr w:type="spellEnd"/>
      <w:r w:rsidRPr="00C72CFA">
        <w:t>. 2014; 5:106.</w:t>
      </w:r>
    </w:p>
    <w:p w:rsidR="0031539B" w:rsidRPr="00C72CFA" w:rsidRDefault="0031539B" w:rsidP="0031539B">
      <w:pPr>
        <w:pStyle w:val="NoSpacing"/>
        <w:numPr>
          <w:ilvl w:val="0"/>
          <w:numId w:val="5"/>
        </w:numPr>
        <w:ind w:left="360"/>
        <w:jc w:val="both"/>
      </w:pPr>
      <w:r w:rsidRPr="00C72CFA">
        <w:t xml:space="preserve">SHPA Standard of practice for drug use evaluation in Australian Hospital. J Pharm </w:t>
      </w:r>
      <w:proofErr w:type="spellStart"/>
      <w:r w:rsidRPr="00C72CFA">
        <w:t>Pract</w:t>
      </w:r>
      <w:proofErr w:type="spellEnd"/>
      <w:r w:rsidRPr="00C72CFA">
        <w:t xml:space="preserve"> Res. 2004; 34 (3): 220-223.</w:t>
      </w:r>
    </w:p>
    <w:p w:rsidR="0031539B" w:rsidRPr="00C72CFA" w:rsidRDefault="0031539B" w:rsidP="0031539B">
      <w:pPr>
        <w:pStyle w:val="NoSpacing"/>
        <w:numPr>
          <w:ilvl w:val="0"/>
          <w:numId w:val="5"/>
        </w:numPr>
        <w:ind w:left="360"/>
        <w:jc w:val="both"/>
      </w:pPr>
      <w:r w:rsidRPr="00C72CFA">
        <w:t xml:space="preserve">Khaled AI, </w:t>
      </w:r>
      <w:proofErr w:type="spellStart"/>
      <w:r w:rsidRPr="00C72CFA">
        <w:t>Abdulkarim</w:t>
      </w:r>
      <w:proofErr w:type="spellEnd"/>
      <w:r w:rsidRPr="00C72CFA">
        <w:t xml:space="preserve"> A, </w:t>
      </w:r>
      <w:proofErr w:type="spellStart"/>
      <w:r w:rsidRPr="00C72CFA">
        <w:t>Noohu</w:t>
      </w:r>
      <w:proofErr w:type="spellEnd"/>
      <w:r w:rsidRPr="00C72CFA">
        <w:t xml:space="preserve"> K, et al. Misuse of antibiotics and awareness of antibiotics hazard among the public and medical professionals in Thamar Province in Republic of Yemen. IJCP. 2013; 4 (1): ISSN 0976-8157.</w:t>
      </w:r>
    </w:p>
    <w:p w:rsidR="0031539B" w:rsidRPr="00C72CFA" w:rsidRDefault="0031539B" w:rsidP="0031539B">
      <w:pPr>
        <w:pStyle w:val="NoSpacing"/>
        <w:numPr>
          <w:ilvl w:val="0"/>
          <w:numId w:val="5"/>
        </w:numPr>
        <w:ind w:left="360"/>
        <w:jc w:val="both"/>
      </w:pPr>
      <w:r w:rsidRPr="00C72CFA">
        <w:t>Salah I. Cephalosporins usage and resistance in Sudanese hospital surgical wards. J Pharm Biomed Sci.</w:t>
      </w:r>
      <w:r w:rsidRPr="00C72CFA">
        <w:rPr>
          <w:rStyle w:val="st1"/>
          <w:color w:val="545454"/>
        </w:rPr>
        <w:t xml:space="preserve"> </w:t>
      </w:r>
      <w:r w:rsidRPr="00C72CFA">
        <w:rPr>
          <w:rStyle w:val="st1"/>
        </w:rPr>
        <w:t>2011;</w:t>
      </w:r>
      <w:r w:rsidRPr="00C72CFA">
        <w:rPr>
          <w:rStyle w:val="st1"/>
          <w:color w:val="545454"/>
        </w:rPr>
        <w:t xml:space="preserve"> </w:t>
      </w:r>
      <w:r w:rsidRPr="00C72CFA">
        <w:t>3: 2230-7885.</w:t>
      </w:r>
    </w:p>
    <w:p w:rsidR="0031539B" w:rsidRPr="00C72CFA" w:rsidRDefault="0031539B" w:rsidP="0031539B">
      <w:pPr>
        <w:pStyle w:val="NoSpacing"/>
        <w:numPr>
          <w:ilvl w:val="0"/>
          <w:numId w:val="5"/>
        </w:numPr>
        <w:ind w:left="360"/>
        <w:jc w:val="both"/>
      </w:pPr>
      <w:r w:rsidRPr="00C72CFA">
        <w:t xml:space="preserve">William F, Janis E. The cephalosporins. Mayo </w:t>
      </w:r>
      <w:proofErr w:type="spellStart"/>
      <w:r w:rsidRPr="00C72CFA">
        <w:t>Clin</w:t>
      </w:r>
      <w:proofErr w:type="spellEnd"/>
      <w:r w:rsidRPr="00C72CFA">
        <w:t xml:space="preserve"> Proc 1999; 74: 187-195.</w:t>
      </w:r>
    </w:p>
    <w:p w:rsidR="0031539B" w:rsidRPr="00C72CFA" w:rsidRDefault="0031539B" w:rsidP="0031539B">
      <w:pPr>
        <w:pStyle w:val="NoSpacing"/>
        <w:numPr>
          <w:ilvl w:val="0"/>
          <w:numId w:val="5"/>
        </w:numPr>
        <w:ind w:left="360"/>
        <w:jc w:val="both"/>
      </w:pPr>
      <w:proofErr w:type="spellStart"/>
      <w:r w:rsidRPr="00C72CFA">
        <w:t>Gyansa-Lutterodt</w:t>
      </w:r>
      <w:proofErr w:type="spellEnd"/>
      <w:r w:rsidRPr="00C72CFA">
        <w:t xml:space="preserve"> M. Antibiotic resistance in Ghana. Lancet Infect Dis. 2013; 13 (12): 1006-1007.</w:t>
      </w:r>
    </w:p>
    <w:p w:rsidR="0031539B" w:rsidRPr="00C72CFA" w:rsidRDefault="0031539B" w:rsidP="0031539B">
      <w:pPr>
        <w:pStyle w:val="NoSpacing"/>
        <w:numPr>
          <w:ilvl w:val="0"/>
          <w:numId w:val="5"/>
        </w:numPr>
        <w:ind w:left="360"/>
        <w:jc w:val="both"/>
      </w:pPr>
      <w:proofErr w:type="spellStart"/>
      <w:r w:rsidRPr="00C72CFA">
        <w:t>Ahiabu</w:t>
      </w:r>
      <w:proofErr w:type="spellEnd"/>
      <w:r w:rsidRPr="00C72CFA">
        <w:t xml:space="preserve"> MA, </w:t>
      </w:r>
      <w:proofErr w:type="spellStart"/>
      <w:r w:rsidRPr="00C72CFA">
        <w:t>Tersbol</w:t>
      </w:r>
      <w:proofErr w:type="spellEnd"/>
      <w:r w:rsidRPr="00C72CFA">
        <w:t xml:space="preserve"> BP, </w:t>
      </w:r>
      <w:proofErr w:type="spellStart"/>
      <w:r w:rsidRPr="00C72CFA">
        <w:t>Biritwum</w:t>
      </w:r>
      <w:proofErr w:type="spellEnd"/>
      <w:r w:rsidRPr="00C72CFA">
        <w:t xml:space="preserve"> R, et al. A retrospective audit of antibiotic prescriptions primary health-care facilities in Eastern Region, Ghana. Health Policy Plan. 2016; 31 (2): 250-258.</w:t>
      </w:r>
    </w:p>
    <w:p w:rsidR="0031539B" w:rsidRPr="00C72CFA" w:rsidRDefault="0031539B" w:rsidP="0031539B">
      <w:pPr>
        <w:pStyle w:val="NoSpacing"/>
        <w:numPr>
          <w:ilvl w:val="0"/>
          <w:numId w:val="5"/>
        </w:numPr>
        <w:ind w:left="360"/>
        <w:jc w:val="both"/>
      </w:pPr>
      <w:r w:rsidRPr="00C72CFA">
        <w:t xml:space="preserve">Donkor ES, </w:t>
      </w:r>
      <w:proofErr w:type="spellStart"/>
      <w:r w:rsidRPr="00C72CFA">
        <w:t>Tetteh-Quarcoo</w:t>
      </w:r>
      <w:proofErr w:type="spellEnd"/>
      <w:r w:rsidRPr="00C72CFA">
        <w:t xml:space="preserve"> PB, </w:t>
      </w:r>
      <w:proofErr w:type="spellStart"/>
      <w:r w:rsidRPr="00C72CFA">
        <w:t>Nartey</w:t>
      </w:r>
      <w:proofErr w:type="spellEnd"/>
      <w:r w:rsidRPr="00C72CFA">
        <w:t xml:space="preserve"> P, et al. Self-medication practices with antibiotics among tertiary level students in Accra, Ghana: a cross-sectional study. IJERPH. 2012; 9 (10): 3519-29.</w:t>
      </w:r>
    </w:p>
    <w:p w:rsidR="0031539B" w:rsidRPr="00C72CFA" w:rsidRDefault="0031539B" w:rsidP="0031539B">
      <w:pPr>
        <w:pStyle w:val="NoSpacing"/>
        <w:numPr>
          <w:ilvl w:val="0"/>
          <w:numId w:val="5"/>
        </w:numPr>
        <w:ind w:left="360"/>
        <w:jc w:val="both"/>
      </w:pPr>
      <w:proofErr w:type="spellStart"/>
      <w:r w:rsidRPr="00C72CFA">
        <w:t>Afriyie</w:t>
      </w:r>
      <w:proofErr w:type="spellEnd"/>
      <w:r w:rsidRPr="00C72CFA">
        <w:t xml:space="preserve"> DK, </w:t>
      </w:r>
      <w:proofErr w:type="spellStart"/>
      <w:r w:rsidRPr="00C72CFA">
        <w:t>Gyansa-Lutterodt</w:t>
      </w:r>
      <w:proofErr w:type="spellEnd"/>
      <w:r w:rsidRPr="00C72CFA">
        <w:t xml:space="preserve"> M, </w:t>
      </w:r>
      <w:proofErr w:type="spellStart"/>
      <w:r w:rsidRPr="00C72CFA">
        <w:t>Amponsah</w:t>
      </w:r>
      <w:proofErr w:type="spellEnd"/>
      <w:r w:rsidRPr="00C72CFA">
        <w:t xml:space="preserve"> SK, et al. Susceptibility pattern of </w:t>
      </w:r>
      <w:proofErr w:type="spellStart"/>
      <w:r w:rsidRPr="00C72CFA">
        <w:t>uropathogens</w:t>
      </w:r>
      <w:proofErr w:type="spellEnd"/>
      <w:r w:rsidRPr="00C72CFA">
        <w:t xml:space="preserve"> to ciprofloxacin at the Ghana Police Hospital. PAMJ. 2015; 22:87.</w:t>
      </w:r>
    </w:p>
    <w:p w:rsidR="0031539B" w:rsidRPr="00C72CFA" w:rsidRDefault="0031539B" w:rsidP="0031539B">
      <w:pPr>
        <w:pStyle w:val="NoSpacing"/>
        <w:numPr>
          <w:ilvl w:val="0"/>
          <w:numId w:val="5"/>
        </w:numPr>
        <w:ind w:left="360"/>
        <w:jc w:val="both"/>
      </w:pPr>
      <w:proofErr w:type="spellStart"/>
      <w:r w:rsidRPr="00C72CFA">
        <w:t>Namboodiri</w:t>
      </w:r>
      <w:proofErr w:type="spellEnd"/>
      <w:r w:rsidRPr="00C72CFA">
        <w:t xml:space="preserve"> SS, </w:t>
      </w:r>
      <w:proofErr w:type="spellStart"/>
      <w:r w:rsidRPr="00C72CFA">
        <w:t>Opintan</w:t>
      </w:r>
      <w:proofErr w:type="spellEnd"/>
      <w:r w:rsidRPr="00C72CFA">
        <w:t xml:space="preserve"> JA, </w:t>
      </w:r>
      <w:proofErr w:type="spellStart"/>
      <w:r w:rsidRPr="00C72CFA">
        <w:t>Lijek</w:t>
      </w:r>
      <w:proofErr w:type="spellEnd"/>
      <w:r w:rsidRPr="00C72CFA">
        <w:t xml:space="preserve"> RS, et al. Quinolone resistance in </w:t>
      </w:r>
      <w:r w:rsidRPr="00C72CFA">
        <w:rPr>
          <w:i/>
        </w:rPr>
        <w:t>Escherichia coli</w:t>
      </w:r>
      <w:r w:rsidRPr="00C72CFA">
        <w:t xml:space="preserve"> from Accra, Ghana. BMC </w:t>
      </w:r>
      <w:proofErr w:type="spellStart"/>
      <w:r w:rsidRPr="00C72CFA">
        <w:t>Microbiol</w:t>
      </w:r>
      <w:proofErr w:type="spellEnd"/>
      <w:r w:rsidRPr="00C72CFA">
        <w:t>. 2011; 11: 44.</w:t>
      </w:r>
    </w:p>
    <w:p w:rsidR="0031539B" w:rsidRPr="00C72CFA" w:rsidRDefault="0031539B" w:rsidP="0031539B">
      <w:pPr>
        <w:pStyle w:val="NoSpacing"/>
        <w:numPr>
          <w:ilvl w:val="0"/>
          <w:numId w:val="5"/>
        </w:numPr>
        <w:ind w:left="360"/>
        <w:jc w:val="both"/>
      </w:pPr>
      <w:r w:rsidRPr="00C72CFA">
        <w:t xml:space="preserve">Newman MJ, Frimpong E, Donkor ES, </w:t>
      </w:r>
      <w:proofErr w:type="gramStart"/>
      <w:r w:rsidRPr="00C72CFA">
        <w:t>et  al.</w:t>
      </w:r>
      <w:proofErr w:type="gramEnd"/>
      <w:r w:rsidRPr="00C72CFA">
        <w:t xml:space="preserve"> Resistance to antimicrobial drugs in Ghana. </w:t>
      </w:r>
      <w:r w:rsidRPr="00C72CFA">
        <w:rPr>
          <w:bCs/>
        </w:rPr>
        <w:t xml:space="preserve">Infection and Drug Resistance. </w:t>
      </w:r>
      <w:r w:rsidRPr="00C72CFA">
        <w:t>2011:4 215–220</w:t>
      </w:r>
    </w:p>
    <w:p w:rsidR="0031539B" w:rsidRPr="00C72CFA" w:rsidRDefault="00434FD4" w:rsidP="0031539B">
      <w:pPr>
        <w:pStyle w:val="NoSpacing"/>
        <w:numPr>
          <w:ilvl w:val="0"/>
          <w:numId w:val="5"/>
        </w:numPr>
        <w:ind w:left="360"/>
        <w:jc w:val="both"/>
      </w:pPr>
      <w:hyperlink r:id="rId9" w:history="1">
        <w:r w:rsidR="0031539B" w:rsidRPr="00C72CFA">
          <w:t>George</w:t>
        </w:r>
      </w:hyperlink>
      <w:r w:rsidR="0031539B" w:rsidRPr="00C72CFA">
        <w:t xml:space="preserve"> DF, </w:t>
      </w:r>
      <w:proofErr w:type="spellStart"/>
      <w:r w:rsidR="0031539B" w:rsidRPr="00C72CFA">
        <w:fldChar w:fldCharType="begin"/>
      </w:r>
      <w:r w:rsidR="0031539B" w:rsidRPr="00C72CFA">
        <w:instrText xml:space="preserve"> HYPERLINK "http://www.hindawi.com/57820210/" </w:instrText>
      </w:r>
      <w:r w:rsidR="0031539B" w:rsidRPr="00C72CFA">
        <w:fldChar w:fldCharType="separate"/>
      </w:r>
      <w:r w:rsidR="0031539B" w:rsidRPr="00C72CFA">
        <w:t>Gbedema</w:t>
      </w:r>
      <w:proofErr w:type="spellEnd"/>
      <w:r w:rsidR="0031539B" w:rsidRPr="00C72CFA">
        <w:fldChar w:fldCharType="end"/>
      </w:r>
      <w:r w:rsidR="0031539B" w:rsidRPr="00C72CFA">
        <w:t xml:space="preserve"> SY, </w:t>
      </w:r>
      <w:proofErr w:type="spellStart"/>
      <w:r w:rsidR="0031539B" w:rsidRPr="00C72CFA">
        <w:fldChar w:fldCharType="begin"/>
      </w:r>
      <w:r w:rsidR="0031539B" w:rsidRPr="00C72CFA">
        <w:instrText xml:space="preserve"> HYPERLINK "http://www.hindawi.com/68915043/" </w:instrText>
      </w:r>
      <w:r w:rsidR="0031539B" w:rsidRPr="00C72CFA">
        <w:fldChar w:fldCharType="separate"/>
      </w:r>
      <w:r w:rsidR="0031539B" w:rsidRPr="00C72CFA">
        <w:t>Agyare</w:t>
      </w:r>
      <w:proofErr w:type="spellEnd"/>
      <w:r w:rsidR="0031539B" w:rsidRPr="00C72CFA">
        <w:fldChar w:fldCharType="end"/>
      </w:r>
      <w:r w:rsidR="0031539B" w:rsidRPr="00C72CFA">
        <w:t xml:space="preserve"> C, et al. Antibiotic Resistance Patterns of Escherichia coli Isolates from Hospitals in Kumasi, Ghana. ISRN Microbiology. 2012:  1-5. Article ID 658470</w:t>
      </w:r>
    </w:p>
    <w:p w:rsidR="0031539B" w:rsidRPr="00C72CFA" w:rsidRDefault="0031539B" w:rsidP="0031539B">
      <w:pPr>
        <w:pStyle w:val="NoSpacing"/>
        <w:numPr>
          <w:ilvl w:val="0"/>
          <w:numId w:val="5"/>
        </w:numPr>
        <w:ind w:left="360"/>
        <w:jc w:val="both"/>
      </w:pPr>
      <w:r w:rsidRPr="00C72CFA">
        <w:rPr>
          <w:bCs/>
        </w:rPr>
        <w:t xml:space="preserve">Saana ABBM, </w:t>
      </w:r>
      <w:proofErr w:type="spellStart"/>
      <w:r w:rsidRPr="00C72CFA">
        <w:rPr>
          <w:bCs/>
        </w:rPr>
        <w:t>Adu</w:t>
      </w:r>
      <w:proofErr w:type="spellEnd"/>
      <w:r w:rsidRPr="00C72CFA">
        <w:rPr>
          <w:bCs/>
        </w:rPr>
        <w:t xml:space="preserve"> F, </w:t>
      </w:r>
      <w:proofErr w:type="spellStart"/>
      <w:r w:rsidRPr="00C72CFA">
        <w:rPr>
          <w:bCs/>
        </w:rPr>
        <w:t>Agyare</w:t>
      </w:r>
      <w:proofErr w:type="spellEnd"/>
      <w:r w:rsidRPr="00C72CFA">
        <w:rPr>
          <w:bCs/>
        </w:rPr>
        <w:t xml:space="preserve"> C, et al. </w:t>
      </w:r>
      <w:r w:rsidRPr="00C72CFA">
        <w:t xml:space="preserve"> </w:t>
      </w:r>
      <w:r w:rsidRPr="00C72CFA">
        <w:rPr>
          <w:bCs/>
        </w:rPr>
        <w:t xml:space="preserve">Antibiotic resistance patterns of strains of </w:t>
      </w:r>
      <w:r w:rsidRPr="00C72CFA">
        <w:rPr>
          <w:bCs/>
          <w:i/>
          <w:iCs/>
        </w:rPr>
        <w:t xml:space="preserve">Staphylococcus aureus </w:t>
      </w:r>
      <w:r w:rsidRPr="00C72CFA">
        <w:rPr>
          <w:bCs/>
        </w:rPr>
        <w:t>isolated from patients in three hospitals in Kumasi, Ghana. Journal of Bacteriology Research. 2013; 5 (3): 35-40.</w:t>
      </w:r>
    </w:p>
    <w:p w:rsidR="0031539B" w:rsidRPr="00C72CFA" w:rsidRDefault="0031539B" w:rsidP="0031539B">
      <w:pPr>
        <w:pStyle w:val="NoSpacing"/>
        <w:numPr>
          <w:ilvl w:val="0"/>
          <w:numId w:val="5"/>
        </w:numPr>
        <w:ind w:left="360"/>
        <w:jc w:val="both"/>
      </w:pPr>
      <w:r w:rsidRPr="00C72CFA">
        <w:t xml:space="preserve">Reddy SC, </w:t>
      </w:r>
      <w:proofErr w:type="spellStart"/>
      <w:r w:rsidRPr="00C72CFA">
        <w:t>Sankar</w:t>
      </w:r>
      <w:proofErr w:type="spellEnd"/>
      <w:r w:rsidRPr="00C72CFA">
        <w:t xml:space="preserve">, BK, </w:t>
      </w:r>
      <w:proofErr w:type="spellStart"/>
      <w:r w:rsidRPr="00C72CFA">
        <w:t>Ambujakshi</w:t>
      </w:r>
      <w:proofErr w:type="spellEnd"/>
      <w:r w:rsidRPr="00C72CFA">
        <w:t xml:space="preserve"> HR, et al. A study on prescription pattern of ceftriaxone in general medicine department of a south Indian teaching hospital. IJRPB. 2015; 3(2): 130-133.</w:t>
      </w:r>
    </w:p>
    <w:p w:rsidR="0031539B" w:rsidRPr="00C72CFA" w:rsidRDefault="0031539B" w:rsidP="0031539B">
      <w:pPr>
        <w:pStyle w:val="NoSpacing"/>
        <w:numPr>
          <w:ilvl w:val="0"/>
          <w:numId w:val="5"/>
        </w:numPr>
        <w:ind w:left="360"/>
        <w:jc w:val="both"/>
      </w:pPr>
      <w:proofErr w:type="spellStart"/>
      <w:r w:rsidRPr="00C72CFA">
        <w:t>Ayinalem</w:t>
      </w:r>
      <w:proofErr w:type="spellEnd"/>
      <w:r w:rsidRPr="00C72CFA">
        <w:t xml:space="preserve"> GA, </w:t>
      </w:r>
      <w:proofErr w:type="spellStart"/>
      <w:r w:rsidRPr="00C72CFA">
        <w:t>Gelaw</w:t>
      </w:r>
      <w:proofErr w:type="spellEnd"/>
      <w:r w:rsidRPr="00C72CFA">
        <w:t xml:space="preserve"> BK, Belay AZ, et al. Drug use evaluation of ceftriaxone in medical ward of Dessie Referral Hospital, North East Ethiopia. </w:t>
      </w:r>
      <w:proofErr w:type="spellStart"/>
      <w:r w:rsidRPr="00C72CFA">
        <w:t>Int</w:t>
      </w:r>
      <w:proofErr w:type="spellEnd"/>
      <w:r w:rsidRPr="00C72CFA">
        <w:t xml:space="preserve"> J Basic </w:t>
      </w:r>
      <w:proofErr w:type="spellStart"/>
      <w:r w:rsidRPr="00C72CFA">
        <w:t>Clin</w:t>
      </w:r>
      <w:proofErr w:type="spellEnd"/>
      <w:r w:rsidRPr="00C72CFA">
        <w:t xml:space="preserve"> </w:t>
      </w:r>
      <w:proofErr w:type="spellStart"/>
      <w:r w:rsidRPr="00C72CFA">
        <w:t>Pharmacol</w:t>
      </w:r>
      <w:proofErr w:type="spellEnd"/>
      <w:r w:rsidRPr="00C72CFA">
        <w:t>. 2013; 2 (6): 711-717.</w:t>
      </w:r>
    </w:p>
    <w:p w:rsidR="0031539B" w:rsidRPr="00C72CFA" w:rsidRDefault="0031539B" w:rsidP="0031539B">
      <w:pPr>
        <w:pStyle w:val="NoSpacing"/>
        <w:numPr>
          <w:ilvl w:val="0"/>
          <w:numId w:val="5"/>
        </w:numPr>
        <w:ind w:left="360"/>
        <w:jc w:val="both"/>
      </w:pPr>
      <w:proofErr w:type="spellStart"/>
      <w:r w:rsidRPr="00C72CFA">
        <w:t>Misan</w:t>
      </w:r>
      <w:proofErr w:type="spellEnd"/>
      <w:r w:rsidRPr="00C72CFA">
        <w:t xml:space="preserve"> GM, </w:t>
      </w:r>
      <w:proofErr w:type="spellStart"/>
      <w:r w:rsidRPr="00C72CFA">
        <w:t>Dollman</w:t>
      </w:r>
      <w:proofErr w:type="spellEnd"/>
      <w:r w:rsidRPr="00C72CFA">
        <w:t xml:space="preserve"> C, Shaw DR, et al. Cephalosporin utilization review and evaluation. </w:t>
      </w:r>
      <w:proofErr w:type="spellStart"/>
      <w:r w:rsidRPr="00C72CFA">
        <w:t>Pharmacoeconomics</w:t>
      </w:r>
      <w:proofErr w:type="spellEnd"/>
      <w:r w:rsidRPr="00C72CFA">
        <w:t xml:space="preserve"> 1995; 8:100-122. </w:t>
      </w:r>
    </w:p>
    <w:p w:rsidR="0031539B" w:rsidRPr="00C72CFA" w:rsidRDefault="0031539B" w:rsidP="0031539B">
      <w:pPr>
        <w:pStyle w:val="NoSpacing"/>
        <w:numPr>
          <w:ilvl w:val="0"/>
          <w:numId w:val="5"/>
        </w:numPr>
        <w:ind w:left="360"/>
        <w:jc w:val="both"/>
      </w:pPr>
      <w:r w:rsidRPr="00C72CFA">
        <w:t>Ministry of Health Republic of Ghana. Standard Treatment Guidelines. Sixth Edition, Ghana. 2010. Available at URL: http://apps.who.int/medicinedocs/documents/s18015en/s18015en.pdf</w:t>
      </w:r>
    </w:p>
    <w:p w:rsidR="0031539B" w:rsidRPr="00C72CFA" w:rsidRDefault="0031539B" w:rsidP="0031539B">
      <w:pPr>
        <w:pStyle w:val="NoSpacing"/>
        <w:numPr>
          <w:ilvl w:val="0"/>
          <w:numId w:val="5"/>
        </w:numPr>
        <w:ind w:left="360"/>
        <w:jc w:val="both"/>
      </w:pPr>
      <w:proofErr w:type="spellStart"/>
      <w:r w:rsidRPr="00C72CFA">
        <w:t>Hashemi</w:t>
      </w:r>
      <w:proofErr w:type="spellEnd"/>
      <w:r w:rsidRPr="00C72CFA">
        <w:t xml:space="preserve"> S, </w:t>
      </w:r>
      <w:proofErr w:type="spellStart"/>
      <w:r w:rsidRPr="00C72CFA">
        <w:t>Nasrollah</w:t>
      </w:r>
      <w:proofErr w:type="spellEnd"/>
      <w:r w:rsidRPr="00C72CFA">
        <w:t xml:space="preserve"> A, </w:t>
      </w:r>
      <w:proofErr w:type="spellStart"/>
      <w:r w:rsidRPr="00C72CFA">
        <w:t>Rajabi</w:t>
      </w:r>
      <w:proofErr w:type="spellEnd"/>
      <w:r w:rsidRPr="00C72CFA">
        <w:t xml:space="preserve"> M. Irrational antibiotic prescribing. A local issue or global concern? EXCLI Journal 2013; 12: 384-395.</w:t>
      </w:r>
    </w:p>
    <w:p w:rsidR="0031539B" w:rsidRPr="00C72CFA" w:rsidRDefault="0031539B" w:rsidP="0031539B">
      <w:pPr>
        <w:pStyle w:val="NoSpacing"/>
        <w:numPr>
          <w:ilvl w:val="0"/>
          <w:numId w:val="5"/>
        </w:numPr>
        <w:ind w:left="360"/>
        <w:jc w:val="both"/>
      </w:pPr>
      <w:proofErr w:type="spellStart"/>
      <w:r w:rsidRPr="00C72CFA">
        <w:t>Ntsekhe</w:t>
      </w:r>
      <w:proofErr w:type="spellEnd"/>
      <w:r w:rsidRPr="00C72CFA">
        <w:t xml:space="preserve"> MN, </w:t>
      </w:r>
      <w:proofErr w:type="spellStart"/>
      <w:r w:rsidRPr="00C72CFA">
        <w:t>Hoohlo-Kotle</w:t>
      </w:r>
      <w:proofErr w:type="spellEnd"/>
      <w:r w:rsidRPr="00C72CFA">
        <w:t xml:space="preserve"> N, </w:t>
      </w:r>
      <w:proofErr w:type="spellStart"/>
      <w:r w:rsidRPr="00C72CFA">
        <w:t>Tlali</w:t>
      </w:r>
      <w:proofErr w:type="spellEnd"/>
      <w:r w:rsidRPr="00C72CFA">
        <w:t xml:space="preserve"> et al. Antibiotic Prescribing Patterns at Six Hospitals in Lesotho. Submitted to the US Agency for International Development by the Strengthening Pharmaceutical Systems (SPS) Program. Arlington, VA 2011: Management Sciences for Health.</w:t>
      </w:r>
    </w:p>
    <w:p w:rsidR="0031539B" w:rsidRPr="00C72CFA" w:rsidRDefault="0031539B" w:rsidP="0031539B">
      <w:pPr>
        <w:pStyle w:val="NoSpacing"/>
        <w:jc w:val="both"/>
      </w:pPr>
    </w:p>
    <w:p w:rsidR="0031539B" w:rsidRPr="00C72CFA" w:rsidRDefault="0031539B" w:rsidP="0031539B">
      <w:pPr>
        <w:pStyle w:val="NoSpacing"/>
        <w:numPr>
          <w:ilvl w:val="0"/>
          <w:numId w:val="5"/>
        </w:numPr>
        <w:ind w:left="360"/>
        <w:jc w:val="both"/>
      </w:pPr>
      <w:r w:rsidRPr="00C72CFA">
        <w:lastRenderedPageBreak/>
        <w:t>Holloway K, Green T. Drug and Therapeutics Committees- A Practical Guide. Geneva, Switzerland: World Health Organization. Department of Essential Drugs and Medicines Policy 2003.</w:t>
      </w:r>
    </w:p>
    <w:p w:rsidR="0031539B" w:rsidRPr="00C72CFA" w:rsidRDefault="0031539B" w:rsidP="0031539B">
      <w:pPr>
        <w:pStyle w:val="NoSpacing"/>
        <w:numPr>
          <w:ilvl w:val="0"/>
          <w:numId w:val="5"/>
        </w:numPr>
        <w:ind w:left="360"/>
      </w:pPr>
      <w:r w:rsidRPr="00C72CFA">
        <w:t xml:space="preserve">Management Sciences for Health and World Health Organization. Drug and Therapeutics Committee Training Course. Submitted to U.S Agency for International Development by the Rational Pharmaceutical Management Plus Program. Arlington, VA 2007: 229 - 240. URL: </w:t>
      </w:r>
      <w:hyperlink r:id="rId10" w:history="1">
        <w:r w:rsidRPr="00C72CFA">
          <w:rPr>
            <w:rStyle w:val="Hyperlink"/>
          </w:rPr>
          <w:t>http://apps.who.int/medicinedocs/documents/s22115en/s22115en.pdf</w:t>
        </w:r>
      </w:hyperlink>
    </w:p>
    <w:p w:rsidR="0031539B" w:rsidRPr="00C72CFA" w:rsidRDefault="0031539B" w:rsidP="0031539B">
      <w:pPr>
        <w:pStyle w:val="NoSpacing"/>
        <w:numPr>
          <w:ilvl w:val="0"/>
          <w:numId w:val="5"/>
        </w:numPr>
        <w:ind w:left="360"/>
      </w:pPr>
      <w:r w:rsidRPr="00C72CFA">
        <w:t xml:space="preserve">Academy of Managed Care Pharmacy. Drug Utilization </w:t>
      </w:r>
      <w:proofErr w:type="gramStart"/>
      <w:r w:rsidRPr="00C72CFA">
        <w:t>Review..</w:t>
      </w:r>
      <w:proofErr w:type="gramEnd"/>
      <w:r w:rsidRPr="00C72CFA">
        <w:t xml:space="preserve"> Available at URL: http://www.amcp.org/WorkArea/DownloadAsset.aspx?id=9296</w:t>
      </w:r>
    </w:p>
    <w:p w:rsidR="0031539B" w:rsidRPr="00C72CFA" w:rsidRDefault="0031539B" w:rsidP="0031539B">
      <w:pPr>
        <w:pStyle w:val="NoSpacing"/>
        <w:numPr>
          <w:ilvl w:val="0"/>
          <w:numId w:val="5"/>
        </w:numPr>
        <w:ind w:left="360"/>
        <w:jc w:val="both"/>
      </w:pPr>
      <w:proofErr w:type="spellStart"/>
      <w:r w:rsidRPr="00C72CFA">
        <w:t>Srijana</w:t>
      </w:r>
      <w:proofErr w:type="spellEnd"/>
      <w:r w:rsidRPr="00C72CFA">
        <w:t xml:space="preserve"> G, </w:t>
      </w:r>
      <w:proofErr w:type="spellStart"/>
      <w:r w:rsidRPr="00C72CFA">
        <w:t>Nijan</w:t>
      </w:r>
      <w:proofErr w:type="spellEnd"/>
      <w:r w:rsidRPr="00C72CFA">
        <w:t xml:space="preserve"> U, </w:t>
      </w:r>
      <w:proofErr w:type="spellStart"/>
      <w:r w:rsidRPr="00C72CFA">
        <w:t>Sabyata</w:t>
      </w:r>
      <w:proofErr w:type="spellEnd"/>
      <w:r w:rsidRPr="00C72CFA">
        <w:t xml:space="preserve"> G et al. A study on drug use of ceftriaxone in a private hospital of Nepal.  World J Pharm Sci. 2015; 3(1): 111-119. </w:t>
      </w:r>
    </w:p>
    <w:p w:rsidR="0031539B" w:rsidRPr="00C72CFA" w:rsidRDefault="0031539B" w:rsidP="0031539B">
      <w:pPr>
        <w:pStyle w:val="NoSpacing"/>
        <w:numPr>
          <w:ilvl w:val="0"/>
          <w:numId w:val="5"/>
        </w:numPr>
        <w:ind w:left="360"/>
        <w:jc w:val="both"/>
      </w:pPr>
      <w:r w:rsidRPr="00C72CFA">
        <w:t xml:space="preserve">Abebe FA, </w:t>
      </w:r>
      <w:proofErr w:type="spellStart"/>
      <w:r w:rsidRPr="00C72CFA">
        <w:t>Derbew</w:t>
      </w:r>
      <w:proofErr w:type="spellEnd"/>
      <w:r w:rsidRPr="00C72CFA">
        <w:t xml:space="preserve"> F, </w:t>
      </w:r>
      <w:proofErr w:type="spellStart"/>
      <w:r w:rsidRPr="00C72CFA">
        <w:t>Berhe</w:t>
      </w:r>
      <w:proofErr w:type="spellEnd"/>
      <w:r w:rsidRPr="00C72CFA">
        <w:t xml:space="preserve"> DF, et al. Drug use evaluation of ceftriaxone: the case of </w:t>
      </w:r>
      <w:proofErr w:type="spellStart"/>
      <w:r w:rsidRPr="00C72CFA">
        <w:t>Ayder</w:t>
      </w:r>
      <w:proofErr w:type="spellEnd"/>
      <w:r w:rsidRPr="00C72CFA">
        <w:t xml:space="preserve"> Referral Hospital, Mikelle, Ethiopia. IJPSR 2012; 3:2191-195.</w:t>
      </w:r>
    </w:p>
    <w:p w:rsidR="0031539B" w:rsidRPr="00C72CFA" w:rsidRDefault="0031539B" w:rsidP="0031539B">
      <w:pPr>
        <w:pStyle w:val="NoSpacing"/>
        <w:numPr>
          <w:ilvl w:val="0"/>
          <w:numId w:val="5"/>
        </w:numPr>
        <w:ind w:left="360"/>
        <w:jc w:val="both"/>
      </w:pPr>
      <w:proofErr w:type="spellStart"/>
      <w:r w:rsidRPr="00C72CFA">
        <w:t>Shimels</w:t>
      </w:r>
      <w:proofErr w:type="spellEnd"/>
      <w:r w:rsidRPr="00C72CFA">
        <w:t xml:space="preserve"> T, Bilal A, </w:t>
      </w:r>
      <w:proofErr w:type="spellStart"/>
      <w:r w:rsidRPr="00C72CFA">
        <w:t>Mulugeta</w:t>
      </w:r>
      <w:proofErr w:type="spellEnd"/>
      <w:r w:rsidRPr="00C72CFA">
        <w:t xml:space="preserve"> A. Evaluation of ceftriaxone utilization in internal medicine wards of general hospitals in Addis Ababa, Ethiopia: a comparative retrospective study. J Pharm Policy and </w:t>
      </w:r>
      <w:proofErr w:type="spellStart"/>
      <w:r w:rsidRPr="00C72CFA">
        <w:t>Pract</w:t>
      </w:r>
      <w:proofErr w:type="spellEnd"/>
      <w:r w:rsidRPr="00C72CFA">
        <w:t>. 2015; 8: 26.</w:t>
      </w:r>
    </w:p>
    <w:p w:rsidR="0031539B" w:rsidRPr="00C72CFA" w:rsidRDefault="0031539B" w:rsidP="0031539B">
      <w:pPr>
        <w:pStyle w:val="NoSpacing"/>
        <w:numPr>
          <w:ilvl w:val="0"/>
          <w:numId w:val="5"/>
        </w:numPr>
        <w:ind w:left="360"/>
        <w:jc w:val="both"/>
      </w:pPr>
      <w:r w:rsidRPr="00C72CFA">
        <w:t>Pinto Pereira LM,</w:t>
      </w:r>
      <w:r w:rsidRPr="00C72CFA">
        <w:rPr>
          <w:rStyle w:val="apple-converted-space"/>
        </w:rPr>
        <w:t> </w:t>
      </w:r>
      <w:r w:rsidRPr="00C72CFA">
        <w:t>Phillips M,</w:t>
      </w:r>
      <w:r w:rsidRPr="00C72CFA">
        <w:rPr>
          <w:rStyle w:val="apple-converted-space"/>
        </w:rPr>
        <w:t> </w:t>
      </w:r>
      <w:proofErr w:type="spellStart"/>
      <w:r w:rsidRPr="00C72CFA">
        <w:t>Ramlal</w:t>
      </w:r>
      <w:proofErr w:type="spellEnd"/>
      <w:r w:rsidRPr="00C72CFA">
        <w:t xml:space="preserve"> H,</w:t>
      </w:r>
      <w:r w:rsidRPr="00C72CFA">
        <w:rPr>
          <w:rStyle w:val="apple-converted-space"/>
        </w:rPr>
        <w:t> </w:t>
      </w:r>
      <w:r w:rsidRPr="00C72CFA">
        <w:t>et al. Third generation cephalosporin use in a tertiary hospital in Port of Spain, Trinidad: Need for an antibiotic policy. BMC Infect Dis.</w:t>
      </w:r>
      <w:r w:rsidRPr="00C72CFA">
        <w:rPr>
          <w:rStyle w:val="apple-converted-space"/>
        </w:rPr>
        <w:t> </w:t>
      </w:r>
      <w:r w:rsidRPr="00C72CFA">
        <w:t>2004; 4(1): 59.</w:t>
      </w:r>
    </w:p>
    <w:p w:rsidR="0031539B" w:rsidRPr="00C72CFA" w:rsidRDefault="0031539B" w:rsidP="0031539B">
      <w:pPr>
        <w:pStyle w:val="NoSpacing"/>
        <w:numPr>
          <w:ilvl w:val="0"/>
          <w:numId w:val="5"/>
        </w:numPr>
        <w:ind w:left="360"/>
        <w:jc w:val="both"/>
      </w:pPr>
      <w:proofErr w:type="spellStart"/>
      <w:r w:rsidRPr="00C72CFA">
        <w:t>Mulugeta</w:t>
      </w:r>
      <w:proofErr w:type="spellEnd"/>
      <w:r w:rsidRPr="00C72CFA">
        <w:t xml:space="preserve"> T, </w:t>
      </w:r>
      <w:proofErr w:type="spellStart"/>
      <w:r w:rsidRPr="00C72CFA">
        <w:t>Tarekegn</w:t>
      </w:r>
      <w:proofErr w:type="spellEnd"/>
      <w:r w:rsidRPr="00C72CFA">
        <w:t xml:space="preserve"> M. Comparative retrospective drug use evaluation of ceftriaxone injection in Police and Black Lion Hospitals, EPA annual conference 2009: 17. Available at URL:  </w:t>
      </w:r>
      <w:hyperlink r:id="rId11" w:history="1">
        <w:r w:rsidRPr="00C72CFA">
          <w:rPr>
            <w:rStyle w:val="Hyperlink"/>
          </w:rPr>
          <w:t>http://epaethiopia.org/images/k2/38/32/abstract_2009.pdf</w:t>
        </w:r>
      </w:hyperlink>
    </w:p>
    <w:p w:rsidR="0031539B" w:rsidRPr="00C72CFA" w:rsidRDefault="0031539B" w:rsidP="0031539B">
      <w:pPr>
        <w:pStyle w:val="NoSpacing"/>
        <w:numPr>
          <w:ilvl w:val="0"/>
          <w:numId w:val="5"/>
        </w:numPr>
        <w:ind w:left="360"/>
        <w:jc w:val="both"/>
      </w:pPr>
      <w:r w:rsidRPr="00C72CFA">
        <w:rPr>
          <w:noProof/>
        </w:rPr>
        <w:t>Hayashi Y, Paterson DL. Strategies for reduction in duration of antibiotic use in hospitalized patients. Clinical infectious diseases : an official publication of the Infectious Diseases Society of America. 2011;52(10):1232-40.</w:t>
      </w:r>
      <w:bookmarkStart w:id="3" w:name="_ENREF_9"/>
    </w:p>
    <w:p w:rsidR="0031539B" w:rsidRPr="00C72CFA" w:rsidRDefault="0031539B" w:rsidP="0031539B">
      <w:pPr>
        <w:pStyle w:val="NoSpacing"/>
        <w:numPr>
          <w:ilvl w:val="0"/>
          <w:numId w:val="5"/>
        </w:numPr>
        <w:ind w:left="360"/>
        <w:jc w:val="both"/>
      </w:pPr>
      <w:r w:rsidRPr="00C72CFA">
        <w:rPr>
          <w:noProof/>
        </w:rPr>
        <w:t>Gilbert GL. Knowing when to stop antibiotic therapy. The Medical journal of Australia. 2015;202(3):121-2.</w:t>
      </w:r>
      <w:bookmarkEnd w:id="3"/>
    </w:p>
    <w:p w:rsidR="0031539B" w:rsidRPr="00C72CFA" w:rsidRDefault="0031539B" w:rsidP="0031539B">
      <w:pPr>
        <w:pStyle w:val="NoSpacing"/>
        <w:numPr>
          <w:ilvl w:val="0"/>
          <w:numId w:val="5"/>
        </w:numPr>
        <w:ind w:left="360"/>
        <w:jc w:val="both"/>
      </w:pPr>
      <w:r w:rsidRPr="00C72CFA">
        <w:rPr>
          <w:noProof/>
        </w:rPr>
        <w:t>Ventola CL. The Antibiotic Resistance Crisis: Part 1: Causes and Threats. Pharmacy and Therapeutics. 2015;40(4):277-83</w:t>
      </w:r>
    </w:p>
    <w:p w:rsidR="0031539B" w:rsidRPr="00C72CFA" w:rsidRDefault="0031539B" w:rsidP="0031539B">
      <w:pPr>
        <w:pStyle w:val="NoSpacing"/>
        <w:numPr>
          <w:ilvl w:val="0"/>
          <w:numId w:val="5"/>
        </w:numPr>
        <w:ind w:left="360"/>
        <w:jc w:val="both"/>
      </w:pPr>
      <w:proofErr w:type="spellStart"/>
      <w:r w:rsidRPr="00C72CFA">
        <w:t>Tapaneeyakul</w:t>
      </w:r>
      <w:proofErr w:type="spellEnd"/>
      <w:r w:rsidRPr="00C72CFA">
        <w:t xml:space="preserve"> J, </w:t>
      </w:r>
      <w:proofErr w:type="spellStart"/>
      <w:r w:rsidRPr="00C72CFA">
        <w:t>Lertsuwannawin</w:t>
      </w:r>
      <w:proofErr w:type="spellEnd"/>
      <w:r w:rsidRPr="00C72CFA">
        <w:t xml:space="preserve"> S, </w:t>
      </w:r>
      <w:proofErr w:type="spellStart"/>
      <w:r w:rsidRPr="00C72CFA">
        <w:t>Hosakul</w:t>
      </w:r>
      <w:proofErr w:type="spellEnd"/>
      <w:r w:rsidRPr="00C72CFA">
        <w:t xml:space="preserve"> O. Drug use evaluation of ceftriaxone at </w:t>
      </w:r>
      <w:proofErr w:type="spellStart"/>
      <w:r w:rsidRPr="00C72CFA">
        <w:t>Bumrungrad</w:t>
      </w:r>
      <w:proofErr w:type="spellEnd"/>
      <w:r w:rsidRPr="00C72CFA">
        <w:t xml:space="preserve"> Hospital. Available at URL: http//www.pharmacy.mahidolac.th/ </w:t>
      </w:r>
      <w:proofErr w:type="spellStart"/>
      <w:r w:rsidRPr="00C72CFA">
        <w:t>newspdf</w:t>
      </w:r>
      <w:proofErr w:type="spellEnd"/>
      <w:r w:rsidRPr="00C72CFA">
        <w:t xml:space="preserve">/ special project/2543-35.pdf. </w:t>
      </w:r>
    </w:p>
    <w:p w:rsidR="00AA410B" w:rsidRPr="00702342" w:rsidRDefault="00AA410B" w:rsidP="00730E6B">
      <w:pPr>
        <w:pStyle w:val="NoSpacing"/>
        <w:jc w:val="both"/>
      </w:pPr>
    </w:p>
    <w:sectPr w:rsidR="00AA410B" w:rsidRPr="00702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DDF"/>
    <w:multiLevelType w:val="hybridMultilevel"/>
    <w:tmpl w:val="550A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E5371"/>
    <w:multiLevelType w:val="hybridMultilevel"/>
    <w:tmpl w:val="313674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62337"/>
    <w:multiLevelType w:val="hybridMultilevel"/>
    <w:tmpl w:val="5C324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B387C"/>
    <w:multiLevelType w:val="hybridMultilevel"/>
    <w:tmpl w:val="354C3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5A32BE"/>
    <w:multiLevelType w:val="hybridMultilevel"/>
    <w:tmpl w:val="C70000F4"/>
    <w:lvl w:ilvl="0" w:tplc="E1A4ED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21B1E"/>
    <w:multiLevelType w:val="hybridMultilevel"/>
    <w:tmpl w:val="EBE8A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71527"/>
    <w:multiLevelType w:val="hybridMultilevel"/>
    <w:tmpl w:val="5A643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AA224C"/>
    <w:multiLevelType w:val="hybridMultilevel"/>
    <w:tmpl w:val="355091CE"/>
    <w:lvl w:ilvl="0" w:tplc="95D47C5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3F19D9"/>
    <w:multiLevelType w:val="hybridMultilevel"/>
    <w:tmpl w:val="FF4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6"/>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CF"/>
    <w:rsid w:val="00005419"/>
    <w:rsid w:val="00010860"/>
    <w:rsid w:val="00036FE4"/>
    <w:rsid w:val="00042889"/>
    <w:rsid w:val="000434C5"/>
    <w:rsid w:val="0004610D"/>
    <w:rsid w:val="00066EF9"/>
    <w:rsid w:val="0007387D"/>
    <w:rsid w:val="00095E4F"/>
    <w:rsid w:val="000A7203"/>
    <w:rsid w:val="000B149D"/>
    <w:rsid w:val="000B41A7"/>
    <w:rsid w:val="000C0C99"/>
    <w:rsid w:val="000D4B9C"/>
    <w:rsid w:val="000E617D"/>
    <w:rsid w:val="000F2B7D"/>
    <w:rsid w:val="00105018"/>
    <w:rsid w:val="001076FE"/>
    <w:rsid w:val="00111789"/>
    <w:rsid w:val="00113971"/>
    <w:rsid w:val="00121AB9"/>
    <w:rsid w:val="00150F97"/>
    <w:rsid w:val="0016493B"/>
    <w:rsid w:val="00165A43"/>
    <w:rsid w:val="00165E9D"/>
    <w:rsid w:val="00166D74"/>
    <w:rsid w:val="001739D5"/>
    <w:rsid w:val="00187881"/>
    <w:rsid w:val="0019575E"/>
    <w:rsid w:val="001A75AD"/>
    <w:rsid w:val="001E07B7"/>
    <w:rsid w:val="001E78B2"/>
    <w:rsid w:val="001F7143"/>
    <w:rsid w:val="001F7673"/>
    <w:rsid w:val="00206225"/>
    <w:rsid w:val="00217F06"/>
    <w:rsid w:val="0023171D"/>
    <w:rsid w:val="00251BB0"/>
    <w:rsid w:val="00253FD5"/>
    <w:rsid w:val="00266B46"/>
    <w:rsid w:val="002A08B1"/>
    <w:rsid w:val="002A0DFE"/>
    <w:rsid w:val="002A180D"/>
    <w:rsid w:val="002A1C8B"/>
    <w:rsid w:val="002B1514"/>
    <w:rsid w:val="002C145C"/>
    <w:rsid w:val="002D12DC"/>
    <w:rsid w:val="002D784E"/>
    <w:rsid w:val="002E554A"/>
    <w:rsid w:val="002E5CFE"/>
    <w:rsid w:val="002F3718"/>
    <w:rsid w:val="0030263F"/>
    <w:rsid w:val="00304BB3"/>
    <w:rsid w:val="00307466"/>
    <w:rsid w:val="0031036F"/>
    <w:rsid w:val="003115A0"/>
    <w:rsid w:val="00312877"/>
    <w:rsid w:val="0031539B"/>
    <w:rsid w:val="00315838"/>
    <w:rsid w:val="00317DF5"/>
    <w:rsid w:val="00323671"/>
    <w:rsid w:val="00345B55"/>
    <w:rsid w:val="003471F1"/>
    <w:rsid w:val="00357774"/>
    <w:rsid w:val="00360821"/>
    <w:rsid w:val="0036335B"/>
    <w:rsid w:val="00372BE0"/>
    <w:rsid w:val="00392FD3"/>
    <w:rsid w:val="00396588"/>
    <w:rsid w:val="003A2E8F"/>
    <w:rsid w:val="003B1450"/>
    <w:rsid w:val="003B7EA0"/>
    <w:rsid w:val="003C111E"/>
    <w:rsid w:val="003C5EBC"/>
    <w:rsid w:val="003D6266"/>
    <w:rsid w:val="003F2BBE"/>
    <w:rsid w:val="004035E3"/>
    <w:rsid w:val="00404169"/>
    <w:rsid w:val="00405FFF"/>
    <w:rsid w:val="004166FC"/>
    <w:rsid w:val="00423950"/>
    <w:rsid w:val="00430378"/>
    <w:rsid w:val="00430DEA"/>
    <w:rsid w:val="004335AA"/>
    <w:rsid w:val="00434FD4"/>
    <w:rsid w:val="0045227D"/>
    <w:rsid w:val="00453EA5"/>
    <w:rsid w:val="00490A61"/>
    <w:rsid w:val="00490E8A"/>
    <w:rsid w:val="0049176C"/>
    <w:rsid w:val="004A2688"/>
    <w:rsid w:val="004A3760"/>
    <w:rsid w:val="004A3FB1"/>
    <w:rsid w:val="004B34ED"/>
    <w:rsid w:val="004B70CB"/>
    <w:rsid w:val="004C6106"/>
    <w:rsid w:val="004D1FE8"/>
    <w:rsid w:val="004D641F"/>
    <w:rsid w:val="004E40DF"/>
    <w:rsid w:val="004E62D1"/>
    <w:rsid w:val="0050563E"/>
    <w:rsid w:val="005365D4"/>
    <w:rsid w:val="0055283B"/>
    <w:rsid w:val="00555EC3"/>
    <w:rsid w:val="00560197"/>
    <w:rsid w:val="005779CF"/>
    <w:rsid w:val="0058397F"/>
    <w:rsid w:val="00595173"/>
    <w:rsid w:val="005A1233"/>
    <w:rsid w:val="005C1EA8"/>
    <w:rsid w:val="005C3DC6"/>
    <w:rsid w:val="005D22A2"/>
    <w:rsid w:val="005D6BDA"/>
    <w:rsid w:val="005E2445"/>
    <w:rsid w:val="005F7386"/>
    <w:rsid w:val="00625407"/>
    <w:rsid w:val="006258F8"/>
    <w:rsid w:val="00626DEA"/>
    <w:rsid w:val="0062732C"/>
    <w:rsid w:val="006304B3"/>
    <w:rsid w:val="00634735"/>
    <w:rsid w:val="00641AE3"/>
    <w:rsid w:val="006532A1"/>
    <w:rsid w:val="00666BCF"/>
    <w:rsid w:val="00682F32"/>
    <w:rsid w:val="00684542"/>
    <w:rsid w:val="00687B56"/>
    <w:rsid w:val="00691003"/>
    <w:rsid w:val="006A2EE9"/>
    <w:rsid w:val="006A6F6F"/>
    <w:rsid w:val="006D1F5F"/>
    <w:rsid w:val="006D3C0F"/>
    <w:rsid w:val="006F5C4F"/>
    <w:rsid w:val="00701A51"/>
    <w:rsid w:val="00702342"/>
    <w:rsid w:val="007133CE"/>
    <w:rsid w:val="007239D6"/>
    <w:rsid w:val="00725228"/>
    <w:rsid w:val="00725673"/>
    <w:rsid w:val="00730E6B"/>
    <w:rsid w:val="00742F00"/>
    <w:rsid w:val="00755263"/>
    <w:rsid w:val="0075673A"/>
    <w:rsid w:val="00761C3D"/>
    <w:rsid w:val="0076629D"/>
    <w:rsid w:val="00772B8E"/>
    <w:rsid w:val="0078005B"/>
    <w:rsid w:val="007A4341"/>
    <w:rsid w:val="007B1CB4"/>
    <w:rsid w:val="007B52F2"/>
    <w:rsid w:val="007C0689"/>
    <w:rsid w:val="007C2E71"/>
    <w:rsid w:val="007C6298"/>
    <w:rsid w:val="007E441A"/>
    <w:rsid w:val="007F55CE"/>
    <w:rsid w:val="00800C85"/>
    <w:rsid w:val="00802C7F"/>
    <w:rsid w:val="0083075B"/>
    <w:rsid w:val="0083485D"/>
    <w:rsid w:val="00837E8F"/>
    <w:rsid w:val="00852EC0"/>
    <w:rsid w:val="00857BAE"/>
    <w:rsid w:val="00870F70"/>
    <w:rsid w:val="00873E83"/>
    <w:rsid w:val="00877E89"/>
    <w:rsid w:val="00881A4C"/>
    <w:rsid w:val="00886FCD"/>
    <w:rsid w:val="008875C4"/>
    <w:rsid w:val="008A04EE"/>
    <w:rsid w:val="008A2A98"/>
    <w:rsid w:val="008A5CBD"/>
    <w:rsid w:val="008A663A"/>
    <w:rsid w:val="008A68FE"/>
    <w:rsid w:val="008B13DA"/>
    <w:rsid w:val="008B1651"/>
    <w:rsid w:val="008C3299"/>
    <w:rsid w:val="008D4DED"/>
    <w:rsid w:val="00902142"/>
    <w:rsid w:val="0090531D"/>
    <w:rsid w:val="0092342F"/>
    <w:rsid w:val="00941284"/>
    <w:rsid w:val="00942AD1"/>
    <w:rsid w:val="00947E12"/>
    <w:rsid w:val="00974487"/>
    <w:rsid w:val="009832C1"/>
    <w:rsid w:val="009868E6"/>
    <w:rsid w:val="00990CF7"/>
    <w:rsid w:val="0099258A"/>
    <w:rsid w:val="00992E2D"/>
    <w:rsid w:val="009A324C"/>
    <w:rsid w:val="009A5FCF"/>
    <w:rsid w:val="009A7210"/>
    <w:rsid w:val="009C2421"/>
    <w:rsid w:val="009C4BF3"/>
    <w:rsid w:val="009C539C"/>
    <w:rsid w:val="009D79FA"/>
    <w:rsid w:val="009E34A6"/>
    <w:rsid w:val="009F37F4"/>
    <w:rsid w:val="00A06847"/>
    <w:rsid w:val="00A1139F"/>
    <w:rsid w:val="00A37027"/>
    <w:rsid w:val="00A40B38"/>
    <w:rsid w:val="00A45BEE"/>
    <w:rsid w:val="00A46E81"/>
    <w:rsid w:val="00A5121E"/>
    <w:rsid w:val="00A540B6"/>
    <w:rsid w:val="00A55AE3"/>
    <w:rsid w:val="00A570A1"/>
    <w:rsid w:val="00A60A65"/>
    <w:rsid w:val="00A6283A"/>
    <w:rsid w:val="00A76087"/>
    <w:rsid w:val="00A7609E"/>
    <w:rsid w:val="00A877C8"/>
    <w:rsid w:val="00A90CFC"/>
    <w:rsid w:val="00A9777F"/>
    <w:rsid w:val="00AA1D78"/>
    <w:rsid w:val="00AA410B"/>
    <w:rsid w:val="00AB355B"/>
    <w:rsid w:val="00AB7E5A"/>
    <w:rsid w:val="00AD18B7"/>
    <w:rsid w:val="00AD5BD1"/>
    <w:rsid w:val="00AE49C5"/>
    <w:rsid w:val="00AE7A58"/>
    <w:rsid w:val="00B025DF"/>
    <w:rsid w:val="00B07FF8"/>
    <w:rsid w:val="00B13C26"/>
    <w:rsid w:val="00B1622C"/>
    <w:rsid w:val="00B37ED0"/>
    <w:rsid w:val="00B502CD"/>
    <w:rsid w:val="00B57BC5"/>
    <w:rsid w:val="00B61E3A"/>
    <w:rsid w:val="00B6677A"/>
    <w:rsid w:val="00B70D2B"/>
    <w:rsid w:val="00B824EF"/>
    <w:rsid w:val="00B86695"/>
    <w:rsid w:val="00B92124"/>
    <w:rsid w:val="00BA15F3"/>
    <w:rsid w:val="00BA7359"/>
    <w:rsid w:val="00BB6CCB"/>
    <w:rsid w:val="00BC0B3F"/>
    <w:rsid w:val="00BC101E"/>
    <w:rsid w:val="00BE4093"/>
    <w:rsid w:val="00BF2BE1"/>
    <w:rsid w:val="00C15C98"/>
    <w:rsid w:val="00C53209"/>
    <w:rsid w:val="00C608CC"/>
    <w:rsid w:val="00C623F7"/>
    <w:rsid w:val="00C62CB9"/>
    <w:rsid w:val="00C656EA"/>
    <w:rsid w:val="00C93B31"/>
    <w:rsid w:val="00CA06E5"/>
    <w:rsid w:val="00CA258B"/>
    <w:rsid w:val="00CA6A0F"/>
    <w:rsid w:val="00CD4CD4"/>
    <w:rsid w:val="00CE2985"/>
    <w:rsid w:val="00CE4055"/>
    <w:rsid w:val="00D016CF"/>
    <w:rsid w:val="00D12A53"/>
    <w:rsid w:val="00D149CA"/>
    <w:rsid w:val="00D259B3"/>
    <w:rsid w:val="00D36A55"/>
    <w:rsid w:val="00D4116A"/>
    <w:rsid w:val="00D54047"/>
    <w:rsid w:val="00D6298F"/>
    <w:rsid w:val="00D76407"/>
    <w:rsid w:val="00D805EE"/>
    <w:rsid w:val="00D811F5"/>
    <w:rsid w:val="00D87950"/>
    <w:rsid w:val="00D934B8"/>
    <w:rsid w:val="00DA03AE"/>
    <w:rsid w:val="00DB5C0B"/>
    <w:rsid w:val="00DB68C1"/>
    <w:rsid w:val="00DC1827"/>
    <w:rsid w:val="00DD2227"/>
    <w:rsid w:val="00DD57EE"/>
    <w:rsid w:val="00DD74D5"/>
    <w:rsid w:val="00DE05B3"/>
    <w:rsid w:val="00DE0E45"/>
    <w:rsid w:val="00DF347A"/>
    <w:rsid w:val="00DF4A05"/>
    <w:rsid w:val="00E034DF"/>
    <w:rsid w:val="00E15491"/>
    <w:rsid w:val="00E21B4B"/>
    <w:rsid w:val="00E27DDA"/>
    <w:rsid w:val="00E33232"/>
    <w:rsid w:val="00E34219"/>
    <w:rsid w:val="00E41834"/>
    <w:rsid w:val="00E635F2"/>
    <w:rsid w:val="00E92BB0"/>
    <w:rsid w:val="00E93718"/>
    <w:rsid w:val="00E95C9B"/>
    <w:rsid w:val="00EA2FF6"/>
    <w:rsid w:val="00EA43B4"/>
    <w:rsid w:val="00EA5FE3"/>
    <w:rsid w:val="00EA6DB9"/>
    <w:rsid w:val="00EB1D2F"/>
    <w:rsid w:val="00EC2AC0"/>
    <w:rsid w:val="00EC40B7"/>
    <w:rsid w:val="00ED11F6"/>
    <w:rsid w:val="00ED1870"/>
    <w:rsid w:val="00ED67E7"/>
    <w:rsid w:val="00EE6A05"/>
    <w:rsid w:val="00EE6F46"/>
    <w:rsid w:val="00EF280C"/>
    <w:rsid w:val="00F222DE"/>
    <w:rsid w:val="00F2794F"/>
    <w:rsid w:val="00F32494"/>
    <w:rsid w:val="00F34AB7"/>
    <w:rsid w:val="00F61B24"/>
    <w:rsid w:val="00F67CE0"/>
    <w:rsid w:val="00F72DE2"/>
    <w:rsid w:val="00F8427A"/>
    <w:rsid w:val="00F90A7C"/>
    <w:rsid w:val="00F960E5"/>
    <w:rsid w:val="00F9724B"/>
    <w:rsid w:val="00FA284F"/>
    <w:rsid w:val="00FA36A6"/>
    <w:rsid w:val="00FB730C"/>
    <w:rsid w:val="00FC4681"/>
    <w:rsid w:val="00FC7FC0"/>
    <w:rsid w:val="00FD1FCD"/>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4413"/>
  <w15:docId w15:val="{48181FAF-6968-42EE-9B98-0AF662FA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6C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16CF"/>
    <w:rPr>
      <w:color w:val="0000FF"/>
      <w:u w:val="single"/>
    </w:rPr>
  </w:style>
  <w:style w:type="paragraph" w:styleId="ListParagraph">
    <w:name w:val="List Paragraph"/>
    <w:basedOn w:val="Normal"/>
    <w:uiPriority w:val="34"/>
    <w:qFormat/>
    <w:rsid w:val="00D016CF"/>
    <w:pPr>
      <w:ind w:left="720"/>
      <w:contextualSpacing/>
    </w:pPr>
  </w:style>
  <w:style w:type="table" w:styleId="TableGrid">
    <w:name w:val="Table Grid"/>
    <w:basedOn w:val="TableNormal"/>
    <w:uiPriority w:val="59"/>
    <w:rsid w:val="00D016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7BC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1">
    <w:name w:val="st1"/>
    <w:basedOn w:val="DefaultParagraphFont"/>
    <w:rsid w:val="00B57BC5"/>
  </w:style>
  <w:style w:type="character" w:customStyle="1" w:styleId="apple-converted-space">
    <w:name w:val="apple-converted-space"/>
    <w:rsid w:val="001F7673"/>
  </w:style>
  <w:style w:type="paragraph" w:styleId="BalloonText">
    <w:name w:val="Balloon Text"/>
    <w:basedOn w:val="Normal"/>
    <w:link w:val="BalloonTextChar"/>
    <w:uiPriority w:val="99"/>
    <w:semiHidden/>
    <w:unhideWhenUsed/>
    <w:rsid w:val="00345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B55"/>
    <w:rPr>
      <w:rFonts w:ascii="Tahoma" w:hAnsi="Tahoma" w:cs="Tahoma"/>
      <w:sz w:val="16"/>
      <w:szCs w:val="16"/>
      <w:lang w:val="en-US"/>
    </w:rPr>
  </w:style>
  <w:style w:type="paragraph" w:styleId="NoSpacing">
    <w:name w:val="No Spacing"/>
    <w:link w:val="NoSpacingChar"/>
    <w:uiPriority w:val="1"/>
    <w:qFormat/>
    <w:rsid w:val="00625407"/>
    <w:pPr>
      <w:spacing w:after="0" w:line="240" w:lineRule="auto"/>
    </w:pPr>
    <w:rPr>
      <w:rFonts w:ascii="Times New Roman" w:eastAsia="Times New Roman" w:hAnsi="Times New Roman" w:cs="Times New Roman"/>
      <w:sz w:val="24"/>
      <w:szCs w:val="24"/>
      <w:lang w:eastAsia="en-GB"/>
    </w:rPr>
  </w:style>
  <w:style w:type="character" w:customStyle="1" w:styleId="NoSpacingChar">
    <w:name w:val="No Spacing Char"/>
    <w:link w:val="NoSpacing"/>
    <w:uiPriority w:val="1"/>
    <w:locked/>
    <w:rsid w:val="00625407"/>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A0DFE"/>
    <w:rPr>
      <w:sz w:val="16"/>
      <w:szCs w:val="16"/>
    </w:rPr>
  </w:style>
  <w:style w:type="paragraph" w:styleId="CommentText">
    <w:name w:val="annotation text"/>
    <w:basedOn w:val="Normal"/>
    <w:link w:val="CommentTextChar"/>
    <w:uiPriority w:val="99"/>
    <w:semiHidden/>
    <w:unhideWhenUsed/>
    <w:rsid w:val="002A0DFE"/>
    <w:pPr>
      <w:spacing w:line="240" w:lineRule="auto"/>
    </w:pPr>
    <w:rPr>
      <w:sz w:val="20"/>
      <w:szCs w:val="20"/>
    </w:rPr>
  </w:style>
  <w:style w:type="character" w:customStyle="1" w:styleId="CommentTextChar">
    <w:name w:val="Comment Text Char"/>
    <w:basedOn w:val="DefaultParagraphFont"/>
    <w:link w:val="CommentText"/>
    <w:uiPriority w:val="99"/>
    <w:semiHidden/>
    <w:rsid w:val="002A0DFE"/>
    <w:rPr>
      <w:sz w:val="20"/>
      <w:szCs w:val="20"/>
      <w:lang w:val="en-US"/>
    </w:rPr>
  </w:style>
  <w:style w:type="paragraph" w:styleId="CommentSubject">
    <w:name w:val="annotation subject"/>
    <w:basedOn w:val="CommentText"/>
    <w:next w:val="CommentText"/>
    <w:link w:val="CommentSubjectChar"/>
    <w:uiPriority w:val="99"/>
    <w:semiHidden/>
    <w:unhideWhenUsed/>
    <w:rsid w:val="002A0DFE"/>
    <w:rPr>
      <w:b/>
      <w:bCs/>
    </w:rPr>
  </w:style>
  <w:style w:type="character" w:customStyle="1" w:styleId="CommentSubjectChar">
    <w:name w:val="Comment Subject Char"/>
    <w:basedOn w:val="CommentTextChar"/>
    <w:link w:val="CommentSubject"/>
    <w:uiPriority w:val="99"/>
    <w:semiHidden/>
    <w:rsid w:val="002A0DFE"/>
    <w:rPr>
      <w:b/>
      <w:bCs/>
      <w:sz w:val="20"/>
      <w:szCs w:val="20"/>
      <w:lang w:val="en-US"/>
    </w:rPr>
  </w:style>
  <w:style w:type="character" w:styleId="UnresolvedMention">
    <w:name w:val="Unresolved Mention"/>
    <w:basedOn w:val="DefaultParagraphFont"/>
    <w:uiPriority w:val="99"/>
    <w:semiHidden/>
    <w:unhideWhenUsed/>
    <w:rsid w:val="00B921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3678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rian.Godman@strath.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se.truter@nmmu.ac.za" TargetMode="External"/><Relationship Id="rId11" Type="http://schemas.openxmlformats.org/officeDocument/2006/relationships/hyperlink" Target="http://epaethiopia.org/images/k2/38/32/abstract_2009.pdf" TargetMode="External"/><Relationship Id="rId5" Type="http://schemas.openxmlformats.org/officeDocument/2006/relationships/hyperlink" Target="mailto:agyekumkwabena@hotmail.com" TargetMode="External"/><Relationship Id="rId10" Type="http://schemas.openxmlformats.org/officeDocument/2006/relationships/hyperlink" Target="http://apps.who.int/medicinedocs/documents/s22115en/s22115en.pdf" TargetMode="External"/><Relationship Id="rId4" Type="http://schemas.openxmlformats.org/officeDocument/2006/relationships/webSettings" Target="webSettings.xml"/><Relationship Id="rId9" Type="http://schemas.openxmlformats.org/officeDocument/2006/relationships/hyperlink" Target="http://www.hindawi.com/27975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6319</Words>
  <Characters>36022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Afriyie</dc:creator>
  <cp:lastModifiedBy>Brian Godman</cp:lastModifiedBy>
  <cp:revision>3</cp:revision>
  <dcterms:created xsi:type="dcterms:W3CDTF">2017-06-29T11:44:00Z</dcterms:created>
  <dcterms:modified xsi:type="dcterms:W3CDTF">2017-06-29T12:02:00Z</dcterms:modified>
</cp:coreProperties>
</file>