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18D56" w14:textId="0E503128" w:rsidR="00043434" w:rsidRDefault="00043434"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rPr>
          <w:b/>
          <w:bCs/>
        </w:rPr>
      </w:pPr>
      <w:r>
        <w:rPr>
          <w:b/>
          <w:bCs/>
        </w:rPr>
        <w:t xml:space="preserve">Teaching in </w:t>
      </w:r>
      <w:r w:rsidR="004552BC">
        <w:rPr>
          <w:b/>
          <w:bCs/>
        </w:rPr>
        <w:t>H</w:t>
      </w:r>
      <w:r>
        <w:rPr>
          <w:b/>
          <w:bCs/>
        </w:rPr>
        <w:t xml:space="preserve">igher </w:t>
      </w:r>
      <w:r w:rsidR="004552BC">
        <w:rPr>
          <w:b/>
          <w:bCs/>
        </w:rPr>
        <w:t>E</w:t>
      </w:r>
      <w:r>
        <w:rPr>
          <w:b/>
          <w:bCs/>
        </w:rPr>
        <w:t xml:space="preserve">ducation as a </w:t>
      </w:r>
      <w:r w:rsidR="004552BC">
        <w:rPr>
          <w:b/>
          <w:bCs/>
        </w:rPr>
        <w:t>C</w:t>
      </w:r>
      <w:r>
        <w:rPr>
          <w:b/>
          <w:bCs/>
        </w:rPr>
        <w:t xml:space="preserve">ollective </w:t>
      </w:r>
      <w:r w:rsidR="004552BC">
        <w:rPr>
          <w:b/>
          <w:bCs/>
        </w:rPr>
        <w:t>E</w:t>
      </w:r>
      <w:r>
        <w:rPr>
          <w:b/>
          <w:bCs/>
        </w:rPr>
        <w:t>ndeavour</w:t>
      </w:r>
    </w:p>
    <w:p w14:paraId="78B9D7F3" w14:textId="77777777" w:rsidR="007508DB" w:rsidRDefault="007508DB"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p>
    <w:p w14:paraId="48D53337" w14:textId="77777777" w:rsidR="00043434" w:rsidRDefault="00043434"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rPr>
          <w:i/>
          <w:iCs/>
        </w:rPr>
      </w:pPr>
      <w:r>
        <w:rPr>
          <w:i/>
          <w:iCs/>
        </w:rPr>
        <w:t>Peter Kahn</w:t>
      </w:r>
    </w:p>
    <w:p w14:paraId="361AA27E" w14:textId="77777777" w:rsidR="00043434" w:rsidRDefault="00043434"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p>
    <w:p w14:paraId="76727504" w14:textId="5A827C23" w:rsidR="00B65003" w:rsidRPr="00B65003" w:rsidRDefault="00B65003" w:rsidP="00B65003">
      <w:pPr>
        <w:ind w:left="397" w:hanging="397"/>
      </w:pPr>
      <w:r w:rsidRPr="00B65003">
        <w:t xml:space="preserve">Kahn, P.E. (2017) ‘Teaching in higher education as a collective endeavour’, in Eds. B. Leibowitz, V. Bozalek and P.E. Kahn, </w:t>
      </w:r>
      <w:r w:rsidRPr="00B65003">
        <w:rPr>
          <w:i/>
        </w:rPr>
        <w:t>Theorising Learning to Teaching in Higher Education</w:t>
      </w:r>
      <w:r w:rsidRPr="00B65003">
        <w:t>, Society for Research into Higher Education Series, Routledge, London, pp</w:t>
      </w:r>
      <w:r w:rsidR="000352CD">
        <w:t>. 157-171.</w:t>
      </w:r>
      <w:bookmarkStart w:id="0" w:name="_GoBack"/>
      <w:bookmarkEnd w:id="0"/>
    </w:p>
    <w:p w14:paraId="3623BBD4" w14:textId="77777777" w:rsidR="00B65003" w:rsidRDefault="00B65003"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p>
    <w:p w14:paraId="478948C7" w14:textId="77777777" w:rsidR="007508DB" w:rsidRDefault="007508DB"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p>
    <w:p w14:paraId="36D889A0" w14:textId="77777777" w:rsidR="00043434" w:rsidRDefault="00043434"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rPr>
          <w:b/>
          <w:bCs/>
        </w:rPr>
      </w:pPr>
      <w:r>
        <w:rPr>
          <w:b/>
          <w:bCs/>
        </w:rPr>
        <w:t>Introduction</w:t>
      </w:r>
    </w:p>
    <w:p w14:paraId="5971E43B" w14:textId="1D31BAC8" w:rsidR="001472CC" w:rsidRDefault="006B2FCA"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r>
        <w:t>M</w:t>
      </w:r>
      <w:r w:rsidR="00043434">
        <w:t xml:space="preserve">any of the tasks entailed in </w:t>
      </w:r>
      <w:r w:rsidR="00B7639A">
        <w:t xml:space="preserve">university </w:t>
      </w:r>
      <w:r w:rsidR="00043434">
        <w:t xml:space="preserve">teaching are characteristically performed by an individual, whether giving a lecture or convening a seminar. </w:t>
      </w:r>
      <w:r w:rsidR="00B7639A">
        <w:t>A lecturer usually stands in front of a class of students on his or her own, or</w:t>
      </w:r>
      <w:r w:rsidR="0076750B">
        <w:t xml:space="preserve"> a single</w:t>
      </w:r>
      <w:r w:rsidR="00B7639A">
        <w:t xml:space="preserve"> technician </w:t>
      </w:r>
      <w:r w:rsidR="0076750B">
        <w:t>will</w:t>
      </w:r>
      <w:r w:rsidR="00B7639A">
        <w:t xml:space="preserve"> explain to a group of students how to operate a piece of equipment. The collective dimension to teaching is muted at best. </w:t>
      </w:r>
      <w:r w:rsidR="00043434">
        <w:t>If</w:t>
      </w:r>
      <w:r>
        <w:t xml:space="preserve"> teaching is stereotypically seen </w:t>
      </w:r>
      <w:r w:rsidR="00043434">
        <w:t xml:space="preserve">as </w:t>
      </w:r>
      <w:r w:rsidR="0076750B">
        <w:t>involving actions of</w:t>
      </w:r>
      <w:r w:rsidR="00043434">
        <w:t xml:space="preserve"> indi</w:t>
      </w:r>
      <w:r>
        <w:t>vidual, then</w:t>
      </w:r>
      <w:r w:rsidR="00B93A0A">
        <w:t xml:space="preserve"> </w:t>
      </w:r>
      <w:r w:rsidR="00043434">
        <w:t>we should not be surprised that the dominan</w:t>
      </w:r>
      <w:r>
        <w:t>t theories used to frame how to teach</w:t>
      </w:r>
      <w:r w:rsidR="00043434">
        <w:t xml:space="preserve"> in higher educa</w:t>
      </w:r>
      <w:r>
        <w:t xml:space="preserve">tion are focused on </w:t>
      </w:r>
      <w:r w:rsidR="00043434">
        <w:t>individual competenc</w:t>
      </w:r>
      <w:r w:rsidR="006B4403">
        <w:t>e.</w:t>
      </w:r>
      <w:r w:rsidR="001472CC">
        <w:t xml:space="preserve"> Indeed, Boud (1999) suggested that programmes of professional development for teaching in higher education typically focus on training and developing individual members of staff as resource for their institutions, on the lines of human capital theory</w:t>
      </w:r>
      <w:r w:rsidR="004001EF">
        <w:t xml:space="preserve"> (Lepak &amp; Snell</w:t>
      </w:r>
      <w:r w:rsidR="00FB5F8B">
        <w:t xml:space="preserve"> 1999)</w:t>
      </w:r>
      <w:r w:rsidR="001472CC">
        <w:t xml:space="preserve">.  </w:t>
      </w:r>
    </w:p>
    <w:p w14:paraId="44D4022D" w14:textId="77777777" w:rsidR="004552BC" w:rsidRDefault="004552BC"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p>
    <w:p w14:paraId="1177BFA4" w14:textId="2DA105B0" w:rsidR="00043434" w:rsidRDefault="006B4403"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Peseta and Kandlbinder </w:t>
      </w:r>
      <w:r w:rsidRPr="00156914">
        <w:rPr>
          <w:noProof/>
          <w:lang w:val="en-GB"/>
        </w:rPr>
        <w:t>(2009)</w:t>
      </w:r>
      <w:r w:rsidRPr="00156914">
        <w:rPr>
          <w:lang w:val="en-GB"/>
        </w:rPr>
        <w:t xml:space="preserve"> </w:t>
      </w:r>
      <w:r w:rsidR="00043434">
        <w:t>identified a set of theoretical perspectives that were particularly likely to be adopted on</w:t>
      </w:r>
      <w:r w:rsidR="001472CC">
        <w:t xml:space="preserve"> such programmes</w:t>
      </w:r>
      <w:r w:rsidR="00043434">
        <w:t>, including reflective practice</w:t>
      </w:r>
      <w:r w:rsidR="006A2571">
        <w:t xml:space="preserve"> </w:t>
      </w:r>
      <w:r w:rsidR="004001EF">
        <w:rPr>
          <w:rFonts w:eastAsia="Times New Roman"/>
        </w:rPr>
        <w:t>(Schön</w:t>
      </w:r>
      <w:r w:rsidR="006A2571" w:rsidRPr="006A2571">
        <w:rPr>
          <w:rFonts w:eastAsia="Times New Roman"/>
        </w:rPr>
        <w:t xml:space="preserve"> 1983)</w:t>
      </w:r>
      <w:r w:rsidR="00043434">
        <w:t>, constructive alignment</w:t>
      </w:r>
      <w:r w:rsidR="006A2571">
        <w:t xml:space="preserve"> </w:t>
      </w:r>
      <w:r w:rsidR="004001EF">
        <w:rPr>
          <w:noProof/>
        </w:rPr>
        <w:t>(Biggs &amp; Tang</w:t>
      </w:r>
      <w:r w:rsidR="006A2571">
        <w:rPr>
          <w:noProof/>
        </w:rPr>
        <w:t xml:space="preserve"> 1999)</w:t>
      </w:r>
      <w:r w:rsidR="006A2571">
        <w:t xml:space="preserve"> </w:t>
      </w:r>
      <w:r w:rsidR="00043434">
        <w:t>and the scholarship of teaching</w:t>
      </w:r>
      <w:r w:rsidR="006A2571">
        <w:t xml:space="preserve"> </w:t>
      </w:r>
      <w:r w:rsidR="00B738B9">
        <w:rPr>
          <w:noProof/>
        </w:rPr>
        <w:t>(Boyer</w:t>
      </w:r>
      <w:r w:rsidR="006A2571">
        <w:rPr>
          <w:noProof/>
        </w:rPr>
        <w:t xml:space="preserve"> 1990)</w:t>
      </w:r>
      <w:r w:rsidR="006B2FCA">
        <w:t xml:space="preserve">. </w:t>
      </w:r>
      <w:r w:rsidR="00F07FF1">
        <w:t xml:space="preserve">Such perspectives typically promote an individual framing of teaching in higher education. </w:t>
      </w:r>
      <w:r w:rsidR="00B93A0A">
        <w:t>For instance,</w:t>
      </w:r>
      <w:r w:rsidR="00043434">
        <w:t xml:space="preserve"> Kahn</w:t>
      </w:r>
      <w:r w:rsidR="004001EF">
        <w:t>, Goodhew, Murphy and</w:t>
      </w:r>
      <w:r>
        <w:t xml:space="preserve"> Walsh </w:t>
      </w:r>
      <w:r w:rsidRPr="00156914">
        <w:rPr>
          <w:lang w:val="en-GB"/>
        </w:rPr>
        <w:t xml:space="preserve">(2013) </w:t>
      </w:r>
      <w:r w:rsidR="00043434">
        <w:t xml:space="preserve">argued that the original model of the scholarship of </w:t>
      </w:r>
      <w:r>
        <w:t>teaching offered by Boyer</w:t>
      </w:r>
      <w:r w:rsidR="006A2571">
        <w:rPr>
          <w:lang w:val="en-GB"/>
        </w:rPr>
        <w:t xml:space="preserve"> </w:t>
      </w:r>
      <w:r w:rsidR="00043434">
        <w:t>concentrates on the practice of i</w:t>
      </w:r>
      <w:r w:rsidR="00B93A0A">
        <w:t xml:space="preserve">ndividuals. </w:t>
      </w:r>
      <w:r w:rsidR="00F07FF1">
        <w:t xml:space="preserve">The influence of such theories is also apparent in the emphasis on individual competence that is evident in professional standards frameworks such as the </w:t>
      </w:r>
      <w:r w:rsidR="00F07FF1">
        <w:rPr>
          <w:rFonts w:eastAsia="Times New Roman"/>
        </w:rPr>
        <w:t xml:space="preserve">UK Professional Standards Framework for teaching and supporting learning in higher education </w:t>
      </w:r>
      <w:r w:rsidR="004001EF">
        <w:rPr>
          <w:rFonts w:eastAsia="Times New Roman"/>
          <w:noProof/>
        </w:rPr>
        <w:t xml:space="preserve">(Higher Education Academy </w:t>
      </w:r>
      <w:r w:rsidR="00F07FF1">
        <w:rPr>
          <w:rFonts w:eastAsia="Times New Roman"/>
          <w:noProof/>
        </w:rPr>
        <w:t>2011)</w:t>
      </w:r>
      <w:r w:rsidR="00F07FF1">
        <w:rPr>
          <w:rFonts w:eastAsia="Times New Roman"/>
        </w:rPr>
        <w:t>.</w:t>
      </w:r>
      <w:r w:rsidR="00F07FF1">
        <w:t xml:space="preserve"> </w:t>
      </w:r>
      <w:r w:rsidR="00B93A0A">
        <w:t>It is to be expected</w:t>
      </w:r>
      <w:r w:rsidR="00043434">
        <w:t>, furthermore, that</w:t>
      </w:r>
      <w:r w:rsidR="00B93A0A">
        <w:t xml:space="preserve"> development programmes will </w:t>
      </w:r>
      <w:r w:rsidR="00043434">
        <w:t>not only promote these th</w:t>
      </w:r>
      <w:r w:rsidR="00B93A0A">
        <w:t xml:space="preserve">eories to participants, but will themselves be influenced </w:t>
      </w:r>
      <w:r w:rsidR="00B23B2F">
        <w:t>by the</w:t>
      </w:r>
      <w:r w:rsidR="00B7639A">
        <w:t>m</w:t>
      </w:r>
      <w:r w:rsidR="00B23B2F">
        <w:t>.</w:t>
      </w:r>
      <w:r w:rsidR="00CA4B59">
        <w:t xml:space="preserve"> </w:t>
      </w:r>
    </w:p>
    <w:p w14:paraId="14645064" w14:textId="77777777" w:rsidR="004552BC" w:rsidRDefault="004552BC"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p>
    <w:p w14:paraId="39FFAF3A" w14:textId="320C8E38" w:rsidR="00043434" w:rsidRDefault="00043434" w:rsidP="004552BC">
      <w:r>
        <w:t>Is this framing of what it means to teach and to learn to teach one that is full</w:t>
      </w:r>
      <w:r w:rsidR="006B2FCA">
        <w:t>y adequate? Are there core aspects of the</w:t>
      </w:r>
      <w:r>
        <w:t xml:space="preserve"> teaching role that go beyo</w:t>
      </w:r>
      <w:r w:rsidR="007B0635">
        <w:t>nd one’s own individual</w:t>
      </w:r>
      <w:r w:rsidR="00852EFB">
        <w:t xml:space="preserve"> expertise</w:t>
      </w:r>
      <w:r>
        <w:t xml:space="preserve"> as a practitioner? If so, what would the implication</w:t>
      </w:r>
      <w:r w:rsidR="007B0635">
        <w:t>s</w:t>
      </w:r>
      <w:r>
        <w:t xml:space="preserve"> be for the process of learning to teach in higher education? There is significant scope </w:t>
      </w:r>
      <w:r w:rsidR="006B2FCA">
        <w:t>for social theory to underpin</w:t>
      </w:r>
      <w:r>
        <w:t xml:space="preserve"> investigation of these questions. One of the advantages of a critical realist theorisation is the scope it offers for critique, as Clegg </w:t>
      </w:r>
      <w:r w:rsidR="00852EFB">
        <w:rPr>
          <w:noProof/>
        </w:rPr>
        <w:t>(2014)</w:t>
      </w:r>
      <w:r>
        <w:t xml:space="preserve"> argued. Indeed,</w:t>
      </w:r>
      <w:r w:rsidR="006B2FCA">
        <w:t xml:space="preserve"> the</w:t>
      </w:r>
      <w:r>
        <w:t xml:space="preserve"> early work by Bhaskar </w:t>
      </w:r>
      <w:r w:rsidR="00706E3C" w:rsidRPr="00156914">
        <w:rPr>
          <w:noProof/>
          <w:lang w:val="en-GB"/>
        </w:rPr>
        <w:t>(1979)</w:t>
      </w:r>
      <w:r w:rsidR="00706E3C">
        <w:rPr>
          <w:lang w:val="en-GB"/>
        </w:rPr>
        <w:t xml:space="preserve"> </w:t>
      </w:r>
      <w:r>
        <w:t>that helped to establish critical realism as a field was itself focused as a critique of the contemporary human sciences. However, the emphasis within critical realism on developing comprehensive and non-reductive explanations for social phenomena also means that the paradigm is well sui</w:t>
      </w:r>
      <w:r w:rsidR="006B2FCA">
        <w:t>ted to a theorisation that takes in</w:t>
      </w:r>
      <w:r>
        <w:t xml:space="preserve"> a wider basis than the theoretical perspectives currently in possession within </w:t>
      </w:r>
      <w:r w:rsidR="00852EFB">
        <w:t xml:space="preserve">the field of </w:t>
      </w:r>
      <w:r>
        <w:t xml:space="preserve">academic development. </w:t>
      </w:r>
    </w:p>
    <w:p w14:paraId="15640B3B" w14:textId="77777777" w:rsidR="004552BC" w:rsidRPr="00852EFB" w:rsidRDefault="004552BC" w:rsidP="004552BC"/>
    <w:p w14:paraId="20F203D6" w14:textId="04E5263D" w:rsidR="00043434" w:rsidRDefault="00043434"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r>
        <w:t xml:space="preserve">Critical realism is </w:t>
      </w:r>
      <w:r w:rsidR="006B2FCA">
        <w:t xml:space="preserve">also </w:t>
      </w:r>
      <w:r>
        <w:t>closely associated with the pursuit of social justice</w:t>
      </w:r>
      <w:r w:rsidR="00B7639A">
        <w:t>, as Clegg observed in the previous chapter</w:t>
      </w:r>
      <w:r>
        <w:t xml:space="preserve">. Bhaskar </w:t>
      </w:r>
      <w:r w:rsidR="00706E3C" w:rsidRPr="00156914">
        <w:rPr>
          <w:noProof/>
          <w:lang w:val="en-GB"/>
        </w:rPr>
        <w:t>(1986)</w:t>
      </w:r>
      <w:r>
        <w:t xml:space="preserve"> argued that theories in the social sciences are not neutral, but are</w:t>
      </w:r>
      <w:r w:rsidR="006B2FCA">
        <w:t xml:space="preserve"> both</w:t>
      </w:r>
      <w:r>
        <w:t xml:space="preserve"> ridden w</w:t>
      </w:r>
      <w:r w:rsidR="006B2FCA">
        <w:t>ith values and impregnate commitments</w:t>
      </w:r>
      <w:r>
        <w:t>. He suggested that an</w:t>
      </w:r>
      <w:r w:rsidR="006B2FCA">
        <w:t xml:space="preserve"> </w:t>
      </w:r>
      <w:r w:rsidR="006B2FCA">
        <w:lastRenderedPageBreak/>
        <w:t>understanding of the causal mechanisms in</w:t>
      </w:r>
      <w:r>
        <w:t xml:space="preserve"> play within social rea</w:t>
      </w:r>
      <w:r w:rsidR="00752951">
        <w:t>lity should engender a</w:t>
      </w:r>
      <w:r>
        <w:t xml:space="preserve"> commitment to emancipatory action. </w:t>
      </w:r>
      <w:r w:rsidR="00752951">
        <w:t>If education is understood</w:t>
      </w:r>
      <w:r w:rsidR="00852EFB">
        <w:t xml:space="preserve"> and unfolds in particular ways</w:t>
      </w:r>
      <w:r w:rsidR="00752951">
        <w:t xml:space="preserve"> then</w:t>
      </w:r>
      <w:r w:rsidR="00852EFB">
        <w:t>,</w:t>
      </w:r>
      <w:r w:rsidR="00752951">
        <w:t xml:space="preserve"> according to Bhaskar (1986)</w:t>
      </w:r>
      <w:r w:rsidR="00852EFB">
        <w:t>,</w:t>
      </w:r>
      <w:r w:rsidR="00752951">
        <w:t xml:space="preserve"> there will be ethical implications for the way that lecturers both teach and learn to teach. H</w:t>
      </w:r>
      <w:r>
        <w:t xml:space="preserve">e </w:t>
      </w:r>
      <w:r w:rsidR="00852EFB">
        <w:t xml:space="preserve">principally </w:t>
      </w:r>
      <w:r>
        <w:t xml:space="preserve">understood emancipation as a form of self determination, in which the lives of subjects are determined by </w:t>
      </w:r>
      <w:r w:rsidR="006B2FCA">
        <w:t>sources that are desired rather than undesired by them</w:t>
      </w:r>
      <w:r>
        <w:t>.</w:t>
      </w:r>
      <w:r w:rsidR="006B2FCA">
        <w:t xml:space="preserve"> However, Bhaskar </w:t>
      </w:r>
      <w:r w:rsidR="00CA5EC3">
        <w:t xml:space="preserve">(1986) </w:t>
      </w:r>
      <w:r w:rsidR="006B2FCA">
        <w:t>also r</w:t>
      </w:r>
      <w:r w:rsidR="00CA5EC3">
        <w:t xml:space="preserve">ecognized a shared dimension in that </w:t>
      </w:r>
      <w:r w:rsidR="006B2FCA">
        <w:t>emancipatory acti</w:t>
      </w:r>
      <w:r w:rsidR="00CA5EC3">
        <w:t>on requires solidarity with others if a transformation of soc</w:t>
      </w:r>
      <w:r w:rsidR="007B0635">
        <w:t>ial structures is to occur</w:t>
      </w:r>
      <w:r w:rsidR="00CA5EC3">
        <w:t xml:space="preserve">. </w:t>
      </w:r>
      <w:r w:rsidR="00752951">
        <w:t xml:space="preserve">If we ignore the collective dimension to university teaching, it is likely that scope for the advancement of social justice will narrow. </w:t>
      </w:r>
    </w:p>
    <w:p w14:paraId="3A0F8531" w14:textId="77777777" w:rsidR="004552BC" w:rsidRDefault="004552BC"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p>
    <w:p w14:paraId="7F89F251" w14:textId="4B832C91" w:rsidR="00043434" w:rsidRDefault="00043434"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r>
        <w:t>Such perspectives inform the analysis in this chapter of what is entailed in learning to teach, although the argument also address</w:t>
      </w:r>
      <w:r w:rsidR="00CA5EC3">
        <w:t>es some limitations in the</w:t>
      </w:r>
      <w:r>
        <w:t xml:space="preserve"> approach to emancipation</w:t>
      </w:r>
      <w:r w:rsidR="00CA5EC3">
        <w:t xml:space="preserve"> advocated by Bhaskar (1986)</w:t>
      </w:r>
      <w:r w:rsidR="00560650">
        <w:t xml:space="preserve">. It is clear that individually-focused capacities are still required to teach well. </w:t>
      </w:r>
      <w:r>
        <w:t>This chapter</w:t>
      </w:r>
      <w:r w:rsidR="00560650">
        <w:t>, though,</w:t>
      </w:r>
      <w:r>
        <w:t xml:space="preserve"> seeks to employ critical realist perspectives to understand the collective dimension to teaching in higher education, and the means that might be employed to help those who are teaching as they learn to undertake their varied roles.</w:t>
      </w:r>
    </w:p>
    <w:p w14:paraId="6A221BDD" w14:textId="77777777" w:rsidR="00043434" w:rsidRDefault="00043434"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p>
    <w:p w14:paraId="3993D2AA" w14:textId="77777777" w:rsidR="00043434" w:rsidRDefault="00043434"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rPr>
          <w:b/>
          <w:bCs/>
        </w:rPr>
      </w:pPr>
      <w:r>
        <w:rPr>
          <w:b/>
          <w:bCs/>
        </w:rPr>
        <w:t xml:space="preserve">Teaching as a disciplinary practice </w:t>
      </w:r>
    </w:p>
    <w:p w14:paraId="00756978" w14:textId="77777777" w:rsidR="004552BC" w:rsidRDefault="004552BC"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rPr>
          <w:b/>
          <w:bCs/>
        </w:rPr>
      </w:pPr>
    </w:p>
    <w:p w14:paraId="04B07265" w14:textId="472CC392" w:rsidR="000C20D7" w:rsidRDefault="00043434" w:rsidP="004552BC">
      <w:r>
        <w:t>Teaching in higher education is characteristically undertaken within disciplinary settings or in settings with a scholarly focus for cross-disciplinary engagement. Each discipline has i</w:t>
      </w:r>
      <w:r w:rsidR="00952E72">
        <w:t>ts own language, knowledge base</w:t>
      </w:r>
      <w:r>
        <w:t xml:space="preserve"> and ways of perceiving the worl</w:t>
      </w:r>
      <w:r w:rsidR="00706E3C">
        <w:t xml:space="preserve">d, as Becher and Trowler </w:t>
      </w:r>
      <w:r w:rsidR="00706E3C">
        <w:rPr>
          <w:noProof/>
          <w:lang w:val="en-GB"/>
        </w:rPr>
        <w:t>(2001)</w:t>
      </w:r>
      <w:r w:rsidR="00706E3C">
        <w:rPr>
          <w:lang w:val="en-GB"/>
        </w:rPr>
        <w:t xml:space="preserve"> </w:t>
      </w:r>
      <w:r>
        <w:t>argued. Entry into a given academic tribe primarily rests on the acquisition of specialist disciplinary knowledge and expertise, as acquired when securing a doctorate. The command of one’s subject matter is central to participation in the tribe, and it is this command that a teacher seeks to help his or her students to acquire. It is intri</w:t>
      </w:r>
      <w:r w:rsidR="00706E3C">
        <w:t>guing, though, as Shulman</w:t>
      </w:r>
      <w:r w:rsidR="00706E3C" w:rsidRPr="00156914">
        <w:rPr>
          <w:lang w:val="en-GB"/>
        </w:rPr>
        <w:t xml:space="preserve"> </w:t>
      </w:r>
      <w:r w:rsidR="00706E3C" w:rsidRPr="00156914">
        <w:rPr>
          <w:noProof/>
          <w:lang w:val="en-GB"/>
        </w:rPr>
        <w:t>(1986)</w:t>
      </w:r>
      <w:r w:rsidR="00706E3C">
        <w:rPr>
          <w:lang w:val="en-GB"/>
        </w:rPr>
        <w:t xml:space="preserve"> </w:t>
      </w:r>
      <w:r>
        <w:t xml:space="preserve">pointed out, that our current processes to examine doctoral students remain closely related to the forms of teaching in evidence within medieval universities: oral exposition </w:t>
      </w:r>
      <w:r w:rsidR="007B0635">
        <w:t>(lecture) and defens</w:t>
      </w:r>
      <w:r>
        <w:t>e of a thesis (disputation).</w:t>
      </w:r>
      <w:r w:rsidR="00F07FF1">
        <w:t xml:space="preserve"> T</w:t>
      </w:r>
      <w:r>
        <w:t>he mastery of the lecture and the disputation have historically been acquired on a tacit rather than an explicit basis</w:t>
      </w:r>
      <w:r w:rsidR="00952E72">
        <w:t xml:space="preserve"> </w:t>
      </w:r>
      <w:r w:rsidR="004001EF">
        <w:rPr>
          <w:noProof/>
        </w:rPr>
        <w:t>(Eraut</w:t>
      </w:r>
      <w:r w:rsidR="00952E72">
        <w:rPr>
          <w:noProof/>
        </w:rPr>
        <w:t xml:space="preserve"> 2000)</w:t>
      </w:r>
      <w:r w:rsidR="005E14EA">
        <w:t>, on the basis of experience rather than formal instruction</w:t>
      </w:r>
      <w:r>
        <w:t>.</w:t>
      </w:r>
      <w:r w:rsidR="007B0635">
        <w:t xml:space="preserve"> </w:t>
      </w:r>
      <w:r w:rsidR="0058498F">
        <w:t xml:space="preserve">Until relatively recently, </w:t>
      </w:r>
      <w:r w:rsidR="007B0635">
        <w:t>lecturers</w:t>
      </w:r>
      <w:r w:rsidR="0058498F">
        <w:t xml:space="preserve"> </w:t>
      </w:r>
      <w:r w:rsidR="00B7639A">
        <w:t>ty</w:t>
      </w:r>
      <w:r w:rsidR="003A536F">
        <w:t>pically</w:t>
      </w:r>
      <w:r w:rsidR="00B7639A">
        <w:t xml:space="preserve"> </w:t>
      </w:r>
      <w:r w:rsidR="0058498F">
        <w:t xml:space="preserve">have </w:t>
      </w:r>
      <w:r>
        <w:t>been expected to replicate the modes of instruction</w:t>
      </w:r>
      <w:r w:rsidR="007B0635">
        <w:t xml:space="preserve"> that they experienced when they themselves studied as students</w:t>
      </w:r>
      <w:r>
        <w:t xml:space="preserve">. Knight and Trowler </w:t>
      </w:r>
      <w:r w:rsidR="00952E72">
        <w:rPr>
          <w:noProof/>
        </w:rPr>
        <w:t>(2000)</w:t>
      </w:r>
      <w:r w:rsidR="003A536F">
        <w:rPr>
          <w:noProof/>
        </w:rPr>
        <w:t>, furthermore,</w:t>
      </w:r>
      <w:r>
        <w:t xml:space="preserve"> have argued that colleagues in a give</w:t>
      </w:r>
      <w:r w:rsidR="0058498F">
        <w:t>n department maintain</w:t>
      </w:r>
      <w:r>
        <w:t xml:space="preserve"> common working practices when teaching. </w:t>
      </w:r>
      <w:r w:rsidR="009A3F7C">
        <w:t>There ar</w:t>
      </w:r>
      <w:r w:rsidR="003A536F">
        <w:t>e</w:t>
      </w:r>
      <w:r w:rsidR="009A3F7C">
        <w:t xml:space="preserve"> advantages in maintaining common teaching practices within a department. </w:t>
      </w:r>
      <w:r w:rsidR="00EF0509">
        <w:t xml:space="preserve">Students benefit from receiving a </w:t>
      </w:r>
      <w:r w:rsidR="009A3F7C">
        <w:t>consistent</w:t>
      </w:r>
      <w:r w:rsidR="00821FC3">
        <w:t xml:space="preserve"> educational experience. </w:t>
      </w:r>
      <w:r w:rsidR="009A3F7C">
        <w:t>The capacity to adopt practices that are acceptable and meaningful to one’s colleagues</w:t>
      </w:r>
      <w:r w:rsidR="003A536F">
        <w:t xml:space="preserve"> </w:t>
      </w:r>
      <w:r w:rsidR="009A3F7C">
        <w:t xml:space="preserve">represents an important baseline for learning to teach. Kahn and Walsh </w:t>
      </w:r>
      <w:r w:rsidR="009A3F7C">
        <w:rPr>
          <w:noProof/>
          <w:lang w:val="en-GB"/>
        </w:rPr>
        <w:t>(2006)</w:t>
      </w:r>
      <w:r w:rsidR="009A3F7C">
        <w:t xml:space="preserve">, for instance, argued that it is reasonable for lecturers to justify their teaching in part through an appeal to established practice within their immediate setting. </w:t>
      </w:r>
    </w:p>
    <w:p w14:paraId="335BCAB4" w14:textId="77777777" w:rsidR="004552BC" w:rsidRDefault="004552BC" w:rsidP="004552BC"/>
    <w:p w14:paraId="3A72FF95" w14:textId="637C3860" w:rsidR="000C20D7" w:rsidRDefault="000C20D7"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r>
        <w:t>T</w:t>
      </w:r>
      <w:r w:rsidR="0058498F">
        <w:t xml:space="preserve">he term </w:t>
      </w:r>
      <w:r w:rsidR="007B0635">
        <w:t>‘</w:t>
      </w:r>
      <w:r w:rsidR="0058498F">
        <w:t>morphostasis</w:t>
      </w:r>
      <w:r w:rsidR="007B0635">
        <w:t>’</w:t>
      </w:r>
      <w:r w:rsidR="0058498F">
        <w:t xml:space="preserve"> refer</w:t>
      </w:r>
      <w:r w:rsidR="00DF4CC1">
        <w:t>s</w:t>
      </w:r>
      <w:r w:rsidR="0058498F">
        <w:t xml:space="preserve"> to those processes that tend to preserve the existing structural asp</w:t>
      </w:r>
      <w:r w:rsidR="003109DB">
        <w:t>ects of a system</w:t>
      </w:r>
      <w:r w:rsidR="00B7639A">
        <w:t>, with</w:t>
      </w:r>
      <w:r w:rsidR="0058498F">
        <w:t xml:space="preserve"> </w:t>
      </w:r>
      <w:r w:rsidR="007B0635">
        <w:t xml:space="preserve">‘morphogenesis’ </w:t>
      </w:r>
      <w:r w:rsidR="0058498F">
        <w:t>refer</w:t>
      </w:r>
      <w:r w:rsidR="00B7639A">
        <w:t>ring</w:t>
      </w:r>
      <w:r w:rsidR="0047209E">
        <w:t xml:space="preserve"> to those processes which tend over time t</w:t>
      </w:r>
      <w:r w:rsidR="0058498F">
        <w:t>o transform the structural aspects of a system</w:t>
      </w:r>
      <w:r w:rsidR="004001EF">
        <w:t xml:space="preserve"> (Archer</w:t>
      </w:r>
      <w:r>
        <w:t xml:space="preserve"> 1995)</w:t>
      </w:r>
      <w:r w:rsidR="0058498F">
        <w:t>.</w:t>
      </w:r>
      <w:r w:rsidR="003A536F">
        <w:t xml:space="preserve"> A</w:t>
      </w:r>
      <w:r>
        <w:t xml:space="preserve">t least until </w:t>
      </w:r>
      <w:r w:rsidR="003A536F">
        <w:t xml:space="preserve">somewhat </w:t>
      </w:r>
      <w:r>
        <w:t>recent times,</w:t>
      </w:r>
      <w:r w:rsidR="003A536F">
        <w:t xml:space="preserve"> </w:t>
      </w:r>
      <w:r>
        <w:t xml:space="preserve">teaching in higher education has been characterized by morphostasis. </w:t>
      </w:r>
      <w:r w:rsidR="00B7639A">
        <w:t xml:space="preserve">Clegg explored in the previous chapter how </w:t>
      </w:r>
      <w:r w:rsidR="0047209E">
        <w:t xml:space="preserve">interaction between </w:t>
      </w:r>
      <w:r w:rsidR="003109DB">
        <w:t xml:space="preserve">the </w:t>
      </w:r>
      <w:r w:rsidR="0047209E">
        <w:t>agents</w:t>
      </w:r>
      <w:r w:rsidR="003109DB">
        <w:t xml:space="preserve"> </w:t>
      </w:r>
      <w:r w:rsidR="007B0635">
        <w:t xml:space="preserve">operating within </w:t>
      </w:r>
      <w:r w:rsidR="00B7639A">
        <w:t>a</w:t>
      </w:r>
      <w:r w:rsidR="007B0635">
        <w:t xml:space="preserve"> system either leads to</w:t>
      </w:r>
      <w:r w:rsidR="0047209E">
        <w:t xml:space="preserve"> structural elaboration or reproduction.</w:t>
      </w:r>
      <w:r w:rsidR="008F635A">
        <w:t xml:space="preserve"> </w:t>
      </w:r>
      <w:r w:rsidR="00A66F0A">
        <w:t>One might argue for using terms such as ‘change’ and ‘stability’ rather than ‘morphogenesis’ and ‘morphostasis’ when seeking to make sense of teaching. However, at least for the purposes of theorising in this chapter, the use of</w:t>
      </w:r>
      <w:r w:rsidR="007B0635">
        <w:t xml:space="preserve"> these latter terms helps us to draw</w:t>
      </w:r>
      <w:r w:rsidR="00A66F0A">
        <w:t xml:space="preserve"> attention to the processe</w:t>
      </w:r>
      <w:r w:rsidR="007B0635">
        <w:t>s in play, and assists in</w:t>
      </w:r>
      <w:r w:rsidR="00A66F0A">
        <w:t xml:space="preserve"> connecting our argument to critica</w:t>
      </w:r>
      <w:r w:rsidR="007B0635">
        <w:t>l realist theoris</w:t>
      </w:r>
      <w:r w:rsidR="00A66F0A">
        <w:t>ing.</w:t>
      </w:r>
    </w:p>
    <w:p w14:paraId="2F8BB02D" w14:textId="77777777" w:rsidR="004552BC" w:rsidRDefault="004552BC"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p>
    <w:p w14:paraId="315D7705" w14:textId="1CF282B8" w:rsidR="00A66F0A" w:rsidRDefault="00043434"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r>
        <w:t>Archer</w:t>
      </w:r>
      <w:r w:rsidR="00706E3C">
        <w:t xml:space="preserve"> </w:t>
      </w:r>
      <w:r w:rsidR="00706E3C">
        <w:rPr>
          <w:noProof/>
          <w:lang w:val="en-GB"/>
        </w:rPr>
        <w:t>(1995)</w:t>
      </w:r>
      <w:r w:rsidR="00A66F0A">
        <w:rPr>
          <w:lang w:val="en-GB"/>
        </w:rPr>
        <w:t>, however,</w:t>
      </w:r>
      <w:r w:rsidR="00706E3C">
        <w:rPr>
          <w:lang w:val="en-GB"/>
        </w:rPr>
        <w:t xml:space="preserve"> </w:t>
      </w:r>
      <w:r>
        <w:t>claimed that morphostatic scenarios become increasingly untenable as pressures for change mount. The extent to which the world of higher educatio</w:t>
      </w:r>
      <w:r w:rsidR="003109DB">
        <w:t xml:space="preserve">n is </w:t>
      </w:r>
      <w:r w:rsidR="000C20D7">
        <w:t xml:space="preserve">now </w:t>
      </w:r>
      <w:r w:rsidR="003109DB">
        <w:t>characterised by change</w:t>
      </w:r>
      <w:r w:rsidR="000C20D7">
        <w:t xml:space="preserve"> rather than stability</w:t>
      </w:r>
      <w:r w:rsidR="003109DB">
        <w:t xml:space="preserve"> is</w:t>
      </w:r>
      <w:r>
        <w:t xml:space="preserve"> a central issue</w:t>
      </w:r>
      <w:r w:rsidR="000C20D7">
        <w:t>, one that has a significant influence on w</w:t>
      </w:r>
      <w:r w:rsidR="003109DB">
        <w:t>hat is entailed in learning to teach</w:t>
      </w:r>
      <w:r>
        <w:t xml:space="preserve">. </w:t>
      </w:r>
      <w:r w:rsidR="00C35099" w:rsidRPr="00156914">
        <w:rPr>
          <w:lang w:val="en-GB"/>
        </w:rPr>
        <w:t>Archer</w:t>
      </w:r>
      <w:r w:rsidR="003109DB">
        <w:rPr>
          <w:lang w:val="en-GB"/>
        </w:rPr>
        <w:t xml:space="preserve"> </w:t>
      </w:r>
      <w:r w:rsidR="003109DB">
        <w:rPr>
          <w:noProof/>
          <w:lang w:val="en-GB"/>
        </w:rPr>
        <w:t>(2007)</w:t>
      </w:r>
      <w:r w:rsidR="00A66F0A">
        <w:rPr>
          <w:lang w:val="en-GB"/>
        </w:rPr>
        <w:t xml:space="preserve"> held</w:t>
      </w:r>
      <w:r w:rsidR="00C35099" w:rsidRPr="00156914">
        <w:rPr>
          <w:lang w:val="en-GB"/>
        </w:rPr>
        <w:t xml:space="preserve"> that social change is now endemic in today’s morphogenetic so</w:t>
      </w:r>
      <w:r w:rsidR="00C35099">
        <w:rPr>
          <w:lang w:val="en-GB"/>
        </w:rPr>
        <w:t>ciety, while Barnett</w:t>
      </w:r>
      <w:r w:rsidR="00140784">
        <w:rPr>
          <w:lang w:val="en-GB"/>
        </w:rPr>
        <w:t xml:space="preserve"> </w:t>
      </w:r>
      <w:r w:rsidR="00140784">
        <w:rPr>
          <w:noProof/>
          <w:lang w:val="en-GB"/>
        </w:rPr>
        <w:t>(1999)</w:t>
      </w:r>
      <w:r w:rsidR="00C35099">
        <w:rPr>
          <w:lang w:val="en-GB"/>
        </w:rPr>
        <w:t xml:space="preserve"> suggested </w:t>
      </w:r>
      <w:r w:rsidR="00C35099" w:rsidRPr="00156914">
        <w:rPr>
          <w:lang w:val="en-GB"/>
        </w:rPr>
        <w:t>that our world is char</w:t>
      </w:r>
      <w:r w:rsidR="00140784">
        <w:rPr>
          <w:lang w:val="en-GB"/>
        </w:rPr>
        <w:t>acterised by super</w:t>
      </w:r>
      <w:r w:rsidR="00C35099">
        <w:rPr>
          <w:lang w:val="en-GB"/>
        </w:rPr>
        <w:t>complexity</w:t>
      </w:r>
      <w:r w:rsidR="00140784">
        <w:rPr>
          <w:lang w:val="en-GB"/>
        </w:rPr>
        <w:t>,</w:t>
      </w:r>
      <w:r w:rsidR="003109DB">
        <w:rPr>
          <w:lang w:val="en-GB"/>
        </w:rPr>
        <w:t xml:space="preserve"> in which </w:t>
      </w:r>
      <w:r w:rsidR="00140784">
        <w:rPr>
          <w:lang w:val="en-GB"/>
        </w:rPr>
        <w:t xml:space="preserve">the means that we use to understand the world and our place within it are themselves contested. </w:t>
      </w:r>
      <w:r>
        <w:t xml:space="preserve">One’s view of what it means to learn to teach depends </w:t>
      </w:r>
      <w:r w:rsidR="00A66F0A">
        <w:t xml:space="preserve">in significant part </w:t>
      </w:r>
      <w:r>
        <w:t>on the extent to which one acknowledges change as an integral feature of higher education today.</w:t>
      </w:r>
      <w:r w:rsidR="00706E3C">
        <w:t xml:space="preserve"> </w:t>
      </w:r>
    </w:p>
    <w:p w14:paraId="1E427D72" w14:textId="77777777" w:rsidR="007508DB" w:rsidRDefault="007508DB" w:rsidP="004552BC"/>
    <w:p w14:paraId="7F0DA864" w14:textId="114363F4" w:rsidR="007508DB" w:rsidRDefault="007508DB" w:rsidP="004552BC">
      <w:pPr>
        <w:rPr>
          <w:b/>
        </w:rPr>
      </w:pPr>
      <w:r w:rsidRPr="007508DB">
        <w:rPr>
          <w:b/>
        </w:rPr>
        <w:t xml:space="preserve">Transformation and the </w:t>
      </w:r>
      <w:r w:rsidR="004552BC">
        <w:rPr>
          <w:b/>
        </w:rPr>
        <w:t>C</w:t>
      </w:r>
      <w:r w:rsidRPr="007508DB">
        <w:rPr>
          <w:b/>
        </w:rPr>
        <w:t xml:space="preserve">apacity to </w:t>
      </w:r>
      <w:r w:rsidR="004552BC">
        <w:rPr>
          <w:b/>
        </w:rPr>
        <w:t>T</w:t>
      </w:r>
      <w:r w:rsidRPr="007508DB">
        <w:rPr>
          <w:b/>
        </w:rPr>
        <w:t>each</w:t>
      </w:r>
    </w:p>
    <w:p w14:paraId="615E356C" w14:textId="77777777" w:rsidR="004552BC" w:rsidRDefault="004552BC" w:rsidP="004552BC">
      <w:pPr>
        <w:rPr>
          <w:b/>
        </w:rPr>
      </w:pPr>
    </w:p>
    <w:p w14:paraId="1DBE4B89" w14:textId="3B60F0C6" w:rsidR="00EF0509" w:rsidRDefault="00A66F0A" w:rsidP="004552BC">
      <w:r>
        <w:t xml:space="preserve">It is important to </w:t>
      </w:r>
      <w:r w:rsidR="006E5579">
        <w:t>understand the nature of the</w:t>
      </w:r>
      <w:r w:rsidR="007B0635">
        <w:t xml:space="preserve"> pressures for change</w:t>
      </w:r>
      <w:r>
        <w:t xml:space="preserve"> before considering the i</w:t>
      </w:r>
      <w:r w:rsidR="007B0635">
        <w:t>mplications for the process of</w:t>
      </w:r>
      <w:r>
        <w:t xml:space="preserve"> learn</w:t>
      </w:r>
      <w:r w:rsidR="007B0635">
        <w:t>ing</w:t>
      </w:r>
      <w:r>
        <w:t xml:space="preserve"> to teach. If a department perceives that its existence is under threat, then new teaching practices may be required to attract students or to convince managers of the viability of the department. </w:t>
      </w:r>
      <w:r w:rsidR="00706E3C" w:rsidRPr="00156914">
        <w:rPr>
          <w:lang w:val="en-GB"/>
        </w:rPr>
        <w:t>Gibbs</w:t>
      </w:r>
      <w:r w:rsidR="004001EF">
        <w:rPr>
          <w:lang w:val="en-GB"/>
        </w:rPr>
        <w:t xml:space="preserve">, </w:t>
      </w:r>
      <w:r w:rsidR="004001EF" w:rsidRPr="00FD1A8C">
        <w:rPr>
          <w:rFonts w:eastAsia="Times New Roman"/>
        </w:rPr>
        <w:t>Knapper</w:t>
      </w:r>
      <w:r w:rsidR="004001EF">
        <w:rPr>
          <w:rFonts w:eastAsia="Times New Roman"/>
        </w:rPr>
        <w:t xml:space="preserve"> and P</w:t>
      </w:r>
      <w:r w:rsidR="004001EF" w:rsidRPr="00FD1A8C">
        <w:rPr>
          <w:rFonts w:eastAsia="Times New Roman"/>
        </w:rPr>
        <w:t>icinnin</w:t>
      </w:r>
      <w:r w:rsidR="004001EF">
        <w:rPr>
          <w:lang w:val="en-GB"/>
        </w:rPr>
        <w:t xml:space="preserve"> </w:t>
      </w:r>
      <w:r w:rsidR="00706E3C">
        <w:rPr>
          <w:noProof/>
          <w:lang w:val="en-GB"/>
        </w:rPr>
        <w:t>(2008)</w:t>
      </w:r>
      <w:r w:rsidR="00706E3C">
        <w:rPr>
          <w:lang w:val="en-GB"/>
        </w:rPr>
        <w:t xml:space="preserve"> </w:t>
      </w:r>
      <w:r w:rsidR="00043434">
        <w:t>identified a set of departments in research intensive institutions that could objectively be characterised as manifesting excellent teaching. In each case he wa</w:t>
      </w:r>
      <w:r>
        <w:t>s able to identify an</w:t>
      </w:r>
      <w:r w:rsidR="00043434">
        <w:t xml:space="preserve"> external threat to the future of the department as a significant facto</w:t>
      </w:r>
      <w:r>
        <w:t xml:space="preserve">r in realising that excellence. </w:t>
      </w:r>
      <w:r w:rsidR="001C5147">
        <w:t>However, the range of pressures for chang</w:t>
      </w:r>
      <w:r w:rsidR="007B0635">
        <w:t>e in teaching</w:t>
      </w:r>
      <w:r w:rsidR="00B7639A">
        <w:t xml:space="preserve"> that now operate within higher education</w:t>
      </w:r>
      <w:r w:rsidR="007B0635">
        <w:t xml:space="preserve"> is genuinely wide</w:t>
      </w:r>
      <w:r w:rsidR="00043434">
        <w:t>. Regulatory changes provide a particula</w:t>
      </w:r>
      <w:r w:rsidR="001C5147">
        <w:t>r</w:t>
      </w:r>
      <w:r w:rsidR="007B0635">
        <w:t>ly compelling motive for change</w:t>
      </w:r>
      <w:r w:rsidR="00043434">
        <w:t xml:space="preserve"> – as has occurred in many European countrie</w:t>
      </w:r>
      <w:r w:rsidR="001C5147">
        <w:t xml:space="preserve">s as a result of the Bologna process to integrate higher education </w:t>
      </w:r>
      <w:r w:rsidR="004001EF">
        <w:rPr>
          <w:noProof/>
          <w:lang w:val="en-GB"/>
        </w:rPr>
        <w:t>(Keeling</w:t>
      </w:r>
      <w:r w:rsidR="00706E3C" w:rsidRPr="00156914">
        <w:rPr>
          <w:noProof/>
          <w:lang w:val="en-GB"/>
        </w:rPr>
        <w:t xml:space="preserve"> 2006)</w:t>
      </w:r>
      <w:r w:rsidR="001C5147">
        <w:t>. Drives for greater</w:t>
      </w:r>
      <w:r w:rsidR="00043434">
        <w:t xml:space="preserve"> ac</w:t>
      </w:r>
      <w:r w:rsidR="001C5147">
        <w:t>countability</w:t>
      </w:r>
      <w:r w:rsidR="00043434">
        <w:t xml:space="preserve"> have</w:t>
      </w:r>
      <w:r w:rsidR="001C5147">
        <w:t xml:space="preserve"> been particularly powerful in the UK, with the </w:t>
      </w:r>
      <w:r w:rsidR="001C5147" w:rsidRPr="001C5147">
        <w:t>Quality Assurance Agency for Higher Education</w:t>
      </w:r>
      <w:r w:rsidR="001C5147">
        <w:t xml:space="preserve"> (2014) requiring institutions to specify the outcomes, and methods of teaching, learning and assessment that are employed in programmes. </w:t>
      </w:r>
      <w:r w:rsidR="006E5579">
        <w:t>The</w:t>
      </w:r>
      <w:r w:rsidR="00043434">
        <w:t xml:space="preserve"> use of l</w:t>
      </w:r>
      <w:r w:rsidR="00560650">
        <w:t>earning technology</w:t>
      </w:r>
      <w:r w:rsidR="00043434">
        <w:t xml:space="preserve"> constitutes a</w:t>
      </w:r>
      <w:r w:rsidR="001C5147">
        <w:t xml:space="preserve"> particularly widesprea</w:t>
      </w:r>
      <w:r w:rsidR="006E5579">
        <w:t>d driver for change</w:t>
      </w:r>
      <w:r w:rsidR="00043434">
        <w:t xml:space="preserve"> in teaching</w:t>
      </w:r>
      <w:r w:rsidR="006E5579">
        <w:t xml:space="preserve"> </w:t>
      </w:r>
      <w:r w:rsidR="004001EF">
        <w:rPr>
          <w:noProof/>
        </w:rPr>
        <w:t>(Laurillard</w:t>
      </w:r>
      <w:r w:rsidR="006E5579">
        <w:rPr>
          <w:noProof/>
        </w:rPr>
        <w:t xml:space="preserve"> 2013)</w:t>
      </w:r>
      <w:r w:rsidR="006E5579">
        <w:t xml:space="preserve">. </w:t>
      </w:r>
      <w:r w:rsidR="00B30564">
        <w:t>Indeed,</w:t>
      </w:r>
      <w:r w:rsidR="00043434">
        <w:t xml:space="preserve"> </w:t>
      </w:r>
      <w:r w:rsidR="006E5579">
        <w:t xml:space="preserve">technological </w:t>
      </w:r>
      <w:r w:rsidR="00043434">
        <w:t>pedagogic</w:t>
      </w:r>
      <w:r w:rsidR="00B30564">
        <w:t>al</w:t>
      </w:r>
      <w:r w:rsidR="00043434">
        <w:t xml:space="preserve"> content knowledge</w:t>
      </w:r>
      <w:r w:rsidR="00B30564">
        <w:t xml:space="preserve"> </w:t>
      </w:r>
      <w:r w:rsidR="004001EF">
        <w:rPr>
          <w:noProof/>
        </w:rPr>
        <w:t>(Mishra &amp; Koehler</w:t>
      </w:r>
      <w:r w:rsidR="006E5579">
        <w:rPr>
          <w:noProof/>
        </w:rPr>
        <w:t xml:space="preserve"> 2006)</w:t>
      </w:r>
      <w:r w:rsidR="006E5579">
        <w:t xml:space="preserve"> has been added as a specific sub-domain to pedagogical content knowledge. </w:t>
      </w:r>
      <w:r w:rsidR="00D76B6A">
        <w:t xml:space="preserve">In addition to these drivers, </w:t>
      </w:r>
      <w:r w:rsidR="000D53F5">
        <w:rPr>
          <w:rFonts w:eastAsia="Times New Roman"/>
        </w:rPr>
        <w:t>Altbach, Reisberg and Rumbley</w:t>
      </w:r>
      <w:r w:rsidR="00E21425">
        <w:rPr>
          <w:rFonts w:eastAsia="Times New Roman"/>
        </w:rPr>
        <w:t xml:space="preserve"> </w:t>
      </w:r>
      <w:r w:rsidR="00E21425">
        <w:rPr>
          <w:rFonts w:eastAsia="Times New Roman"/>
          <w:noProof/>
        </w:rPr>
        <w:t>(2009)</w:t>
      </w:r>
      <w:r w:rsidR="00E21425">
        <w:rPr>
          <w:rFonts w:eastAsia="Times New Roman"/>
        </w:rPr>
        <w:t xml:space="preserve"> </w:t>
      </w:r>
      <w:r w:rsidR="000D53F5">
        <w:t xml:space="preserve">cite global shifts that relate to the </w:t>
      </w:r>
      <w:r w:rsidR="00D76B6A">
        <w:t>massification of higher education, growth in trans</w:t>
      </w:r>
      <w:r w:rsidR="007B0635">
        <w:t>n</w:t>
      </w:r>
      <w:r w:rsidR="00D76B6A">
        <w:t xml:space="preserve">ational education, moves towards widening access, the advance of private higher education, partnerships with industry, </w:t>
      </w:r>
      <w:r w:rsidR="000D53F5">
        <w:t xml:space="preserve">and so on. </w:t>
      </w:r>
      <w:r w:rsidR="00EF0509">
        <w:t xml:space="preserve">Other shifts in society at large have also impacted on higher education, whether the growing recognition of the need for sustainable education or the value of addressing historic inequalities in participation in higher education. </w:t>
      </w:r>
    </w:p>
    <w:p w14:paraId="73C231A4" w14:textId="4061D1D6" w:rsidR="005A087F" w:rsidRDefault="007351AF" w:rsidP="004552BC">
      <w:r>
        <w:t>Critical realist perspectives would suggest, though, that such pressures do not operate on those teaching in higher education in some automatic fashion</w:t>
      </w:r>
      <w:r w:rsidR="00C81834">
        <w:t>; just as social justice is not an inevitable outcome of change</w:t>
      </w:r>
      <w:r>
        <w:t xml:space="preserve">. </w:t>
      </w:r>
      <w:r w:rsidR="005A087F">
        <w:t xml:space="preserve">Archer (1995) </w:t>
      </w:r>
      <w:r w:rsidR="00043434">
        <w:t>argued that while pressures</w:t>
      </w:r>
      <w:r>
        <w:t xml:space="preserve"> may exist for change</w:t>
      </w:r>
      <w:r w:rsidR="00043434">
        <w:t>, individuals and groups need to act together if morphoge</w:t>
      </w:r>
      <w:r w:rsidR="002F71C0">
        <w:t xml:space="preserve">nesis is to result. </w:t>
      </w:r>
      <w:r w:rsidR="005A087F">
        <w:t xml:space="preserve">Archer (1995) </w:t>
      </w:r>
      <w:r w:rsidR="00043434">
        <w:t xml:space="preserve">used the term </w:t>
      </w:r>
      <w:r w:rsidR="007B0635">
        <w:t>‘</w:t>
      </w:r>
      <w:r w:rsidR="00043434">
        <w:t>corporate ag</w:t>
      </w:r>
      <w:r w:rsidR="002F71C0">
        <w:t>ency</w:t>
      </w:r>
      <w:r w:rsidR="007B0635">
        <w:t>’</w:t>
      </w:r>
      <w:r w:rsidR="002F71C0">
        <w:t xml:space="preserve"> to refer to the way that individual agents </w:t>
      </w:r>
      <w:r w:rsidR="00043434">
        <w:t>join together in order to formulate and advance mutual interests</w:t>
      </w:r>
      <w:r w:rsidR="005A087F">
        <w:t>. Corporate agenc</w:t>
      </w:r>
      <w:r w:rsidR="007B0635">
        <w:t xml:space="preserve">y is focused on systemic change, whereby corporate groups change the structure of the system. Archer (1995) contrasted this form of agency with primary agency, whereby agents work within existing systems. </w:t>
      </w:r>
      <w:r w:rsidR="006B4403">
        <w:t>Primary agents are those who act within a system that is shaped by others</w:t>
      </w:r>
      <w:r w:rsidR="005A087F">
        <w:t>, even in cases where they act together</w:t>
      </w:r>
      <w:r w:rsidR="006B4403">
        <w:t>.</w:t>
      </w:r>
      <w:r w:rsidR="005A087F">
        <w:t xml:space="preserve"> A department or </w:t>
      </w:r>
      <w:r w:rsidR="007508DB">
        <w:t>institution in which</w:t>
      </w:r>
      <w:r w:rsidR="005A087F">
        <w:t xml:space="preserve"> no change has occurred in teaching over an extended period can be characterized as a morphostatic scenario. By contrast, the pursuit of changes </w:t>
      </w:r>
      <w:r w:rsidR="007508DB">
        <w:t xml:space="preserve">in teaching </w:t>
      </w:r>
      <w:r w:rsidR="005A087F">
        <w:t xml:space="preserve">necessitates the capacity to act </w:t>
      </w:r>
      <w:r w:rsidR="007508DB">
        <w:t xml:space="preserve">together with others </w:t>
      </w:r>
      <w:r w:rsidR="005A087F">
        <w:t xml:space="preserve">as a corporate agent. </w:t>
      </w:r>
      <w:r w:rsidR="007508DB">
        <w:t>If excellent te</w:t>
      </w:r>
      <w:r w:rsidR="002300BF">
        <w:t>aching involves responding</w:t>
      </w:r>
      <w:r w:rsidR="00B7639A">
        <w:t xml:space="preserve"> constructively</w:t>
      </w:r>
      <w:r w:rsidR="002300BF">
        <w:t xml:space="preserve"> to</w:t>
      </w:r>
      <w:r w:rsidR="007508DB">
        <w:t xml:space="preserve"> </w:t>
      </w:r>
      <w:r w:rsidR="009A3F7C">
        <w:t xml:space="preserve">pressures for </w:t>
      </w:r>
      <w:r w:rsidR="007508DB">
        <w:t xml:space="preserve">change, then the capacity to teach is closely related to the capacity to act as a corporate agent. </w:t>
      </w:r>
    </w:p>
    <w:p w14:paraId="0C9E876E" w14:textId="77777777" w:rsidR="007508DB" w:rsidRDefault="007508DB" w:rsidP="004552BC"/>
    <w:p w14:paraId="76344965" w14:textId="77777777" w:rsidR="004552BC" w:rsidRPr="004552BC" w:rsidRDefault="007508DB" w:rsidP="004552BC">
      <w:pPr>
        <w:rPr>
          <w:b/>
          <w:i/>
        </w:rPr>
      </w:pPr>
      <w:r w:rsidRPr="004552BC">
        <w:rPr>
          <w:b/>
          <w:i/>
        </w:rPr>
        <w:t>Learning to pursue change with others</w:t>
      </w:r>
    </w:p>
    <w:p w14:paraId="38BE4E12" w14:textId="4EF0ADBD" w:rsidR="007508DB" w:rsidRPr="00061BD5" w:rsidRDefault="007508DB" w:rsidP="004552BC">
      <w:pPr>
        <w:rPr>
          <w:i/>
        </w:rPr>
      </w:pPr>
      <w:r w:rsidRPr="00061BD5">
        <w:rPr>
          <w:i/>
        </w:rPr>
        <w:t xml:space="preserve"> </w:t>
      </w:r>
    </w:p>
    <w:p w14:paraId="30C8A546" w14:textId="262D8E37" w:rsidR="005A087F" w:rsidRDefault="00333E59" w:rsidP="004552BC">
      <w:r>
        <w:t>I</w:t>
      </w:r>
      <w:r w:rsidR="009A3F7C">
        <w:t xml:space="preserve">t is important to </w:t>
      </w:r>
      <w:r>
        <w:t xml:space="preserve">understand how lecturers and others engaged in teaching can respond creatively </w:t>
      </w:r>
      <w:r w:rsidR="00037A13">
        <w:t xml:space="preserve">and wisely </w:t>
      </w:r>
      <w:r>
        <w:t>to pressures for change</w:t>
      </w:r>
      <w:r w:rsidR="009A3F7C">
        <w:t xml:space="preserve">. This depends upon an </w:t>
      </w:r>
      <w:r>
        <w:t>appreciat</w:t>
      </w:r>
      <w:r w:rsidR="009A3F7C">
        <w:t xml:space="preserve">ion of the ways in which </w:t>
      </w:r>
      <w:r>
        <w:t xml:space="preserve">a group of people collectively act so rather than otherwise in the pursuit of mutual interests. </w:t>
      </w:r>
      <w:r w:rsidR="008F635A">
        <w:t>One</w:t>
      </w:r>
      <w:r w:rsidR="005A087F">
        <w:t xml:space="preserve"> key lesson from </w:t>
      </w:r>
      <w:r w:rsidR="008F635A">
        <w:t>Archer</w:t>
      </w:r>
      <w:r w:rsidR="00516CA9">
        <w:t xml:space="preserve"> (2003</w:t>
      </w:r>
      <w:r w:rsidR="00061BD5">
        <w:t xml:space="preserve">) is that </w:t>
      </w:r>
      <w:r w:rsidR="008F635A">
        <w:t xml:space="preserve">reflexivity </w:t>
      </w:r>
      <w:r w:rsidR="005A087F">
        <w:t>plays an important role in mediating the influence of structure on</w:t>
      </w:r>
      <w:r w:rsidR="00061BD5">
        <w:t xml:space="preserve"> the</w:t>
      </w:r>
      <w:r w:rsidR="005A087F">
        <w:t xml:space="preserve"> agency</w:t>
      </w:r>
      <w:r w:rsidR="00584EE0">
        <w:t xml:space="preserve"> of individuals. R</w:t>
      </w:r>
      <w:r w:rsidR="00061BD5">
        <w:t>eflexivity</w:t>
      </w:r>
      <w:r w:rsidR="00F80356">
        <w:t xml:space="preserve"> as a term</w:t>
      </w:r>
      <w:r w:rsidR="00584EE0">
        <w:t xml:space="preserve"> refers to</w:t>
      </w:r>
      <w:r w:rsidR="007508DB">
        <w:t xml:space="preserve"> the ordinary</w:t>
      </w:r>
      <w:r w:rsidR="007508DB" w:rsidRPr="00290421">
        <w:t xml:space="preserve"> mental capacity to consider </w:t>
      </w:r>
      <w:r w:rsidR="007508DB">
        <w:t>oneself in relation to the</w:t>
      </w:r>
      <w:r w:rsidR="007508DB" w:rsidRPr="00290421">
        <w:t xml:space="preserve"> social contexts</w:t>
      </w:r>
      <w:r w:rsidR="007508DB">
        <w:t xml:space="preserve"> that one encounters</w:t>
      </w:r>
      <w:r w:rsidR="00061BD5">
        <w:t xml:space="preserve">. </w:t>
      </w:r>
      <w:r w:rsidR="00516CA9" w:rsidRPr="00156914">
        <w:rPr>
          <w:lang w:val="en-GB"/>
        </w:rPr>
        <w:t xml:space="preserve">Archer (2003) </w:t>
      </w:r>
      <w:r w:rsidR="00516CA9">
        <w:rPr>
          <w:lang w:val="en-GB"/>
        </w:rPr>
        <w:t xml:space="preserve">argued that </w:t>
      </w:r>
      <w:r w:rsidR="00516CA9" w:rsidRPr="00156914">
        <w:rPr>
          <w:lang w:val="en-GB"/>
        </w:rPr>
        <w:t>the agency of individuals becomes increasingly conc</w:t>
      </w:r>
      <w:r w:rsidR="008B597A">
        <w:rPr>
          <w:lang w:val="en-GB"/>
        </w:rPr>
        <w:t>rete as concerns lead to action,</w:t>
      </w:r>
      <w:r w:rsidR="00516CA9" w:rsidRPr="00156914">
        <w:rPr>
          <w:lang w:val="en-GB"/>
        </w:rPr>
        <w:t xml:space="preserve"> under the inf</w:t>
      </w:r>
      <w:r w:rsidR="00516CA9">
        <w:rPr>
          <w:lang w:val="en-GB"/>
        </w:rPr>
        <w:t>luence of reflexivity</w:t>
      </w:r>
      <w:r w:rsidR="00516CA9" w:rsidRPr="00156914">
        <w:rPr>
          <w:lang w:val="en-GB"/>
        </w:rPr>
        <w:t xml:space="preserve"> and within given structural settings that constrain and influence that action.</w:t>
      </w:r>
      <w:r w:rsidR="00516CA9">
        <w:rPr>
          <w:lang w:val="en-GB"/>
        </w:rPr>
        <w:t xml:space="preserve"> </w:t>
      </w:r>
      <w:r w:rsidR="008622C8">
        <w:t xml:space="preserve">We have already seen in Chapter </w:t>
      </w:r>
      <w:r w:rsidR="00337FAA">
        <w:t>10</w:t>
      </w:r>
      <w:r w:rsidR="008622C8">
        <w:t xml:space="preserve"> that Archer (2003) identified a set of characteristic modes of reflexivity. </w:t>
      </w:r>
      <w:r w:rsidR="00061BD5">
        <w:t>Variation in the way that structure impacts on agency results in p</w:t>
      </w:r>
      <w:r w:rsidR="005A087F">
        <w:t>art</w:t>
      </w:r>
      <w:r w:rsidR="007508DB">
        <w:t xml:space="preserve"> </w:t>
      </w:r>
      <w:r w:rsidR="00061BD5">
        <w:t>from differences in the way that individuals engage in reflexivity</w:t>
      </w:r>
      <w:r w:rsidR="005A087F">
        <w:t>.</w:t>
      </w:r>
      <w:r w:rsidR="00380B92">
        <w:t xml:space="preserve"> </w:t>
      </w:r>
      <w:r w:rsidR="008F635A">
        <w:t>It is reasonable to consider the possibility that similar principles operate in relati</w:t>
      </w:r>
      <w:r>
        <w:t>on to corporate agency</w:t>
      </w:r>
      <w:r w:rsidR="008F635A">
        <w:t xml:space="preserve">. </w:t>
      </w:r>
    </w:p>
    <w:p w14:paraId="024603DB" w14:textId="77777777" w:rsidR="004552BC" w:rsidRDefault="004552BC" w:rsidP="004552BC"/>
    <w:p w14:paraId="7731BF5F" w14:textId="0036B7FE" w:rsidR="00061BD5" w:rsidRDefault="00333E59" w:rsidP="004552BC">
      <w:r>
        <w:t xml:space="preserve">Archer </w:t>
      </w:r>
      <w:r>
        <w:rPr>
          <w:noProof/>
        </w:rPr>
        <w:t>(2013)</w:t>
      </w:r>
      <w:r w:rsidR="00043434">
        <w:t xml:space="preserve"> used the term </w:t>
      </w:r>
      <w:r w:rsidR="008622C8">
        <w:t>‘</w:t>
      </w:r>
      <w:r w:rsidR="00043434">
        <w:t>collective reflexivity</w:t>
      </w:r>
      <w:r w:rsidR="008622C8">
        <w:t xml:space="preserve">’ to denote </w:t>
      </w:r>
      <w:r w:rsidR="00043434">
        <w:t>the reflexivity that subjects</w:t>
      </w:r>
      <w:r w:rsidR="00061BD5">
        <w:t xml:space="preserve"> employ with regard to their</w:t>
      </w:r>
      <w:r w:rsidR="00043434">
        <w:t xml:space="preserve"> social rel</w:t>
      </w:r>
      <w:r>
        <w:t>ationships</w:t>
      </w:r>
      <w:r w:rsidR="00061BD5">
        <w:t xml:space="preserve"> in particular</w:t>
      </w:r>
      <w:r>
        <w:t>. Donati</w:t>
      </w:r>
      <w:r w:rsidR="00061BD5">
        <w:t xml:space="preserve"> </w:t>
      </w:r>
      <w:r w:rsidR="00061BD5">
        <w:rPr>
          <w:noProof/>
        </w:rPr>
        <w:t>(2011)</w:t>
      </w:r>
      <w:r>
        <w:t xml:space="preserve"> refer</w:t>
      </w:r>
      <w:r w:rsidR="00061BD5">
        <w:t>r</w:t>
      </w:r>
      <w:r>
        <w:t>ed</w:t>
      </w:r>
      <w:r w:rsidR="00043434">
        <w:t xml:space="preserve"> to ‘we-reflexivity’ as the means by which agents employ (internal) reflexivity in order to guide their (external) relations with others. However, the focus on joint action is not to the fore in this description of we-reflexivity, with Kahn</w:t>
      </w:r>
      <w:r w:rsidR="00061BD5">
        <w:t xml:space="preserve"> </w:t>
      </w:r>
      <w:r w:rsidR="00061BD5">
        <w:rPr>
          <w:noProof/>
        </w:rPr>
        <w:t>(2014)</w:t>
      </w:r>
      <w:r w:rsidR="00061BD5">
        <w:t xml:space="preserve"> </w:t>
      </w:r>
      <w:r w:rsidR="00043434">
        <w:t>using the term co-reflexivity to refer to this more spe</w:t>
      </w:r>
      <w:r w:rsidR="00706E3C">
        <w:t xml:space="preserve">cifically. </w:t>
      </w:r>
      <w:r w:rsidR="00706E3C" w:rsidRPr="00156914">
        <w:rPr>
          <w:lang w:val="en-GB"/>
        </w:rPr>
        <w:t>Archer (2013)</w:t>
      </w:r>
      <w:r w:rsidR="00043434">
        <w:t xml:space="preserve"> suggested that social theorists have barely begun to address ways in which collective reflexivity shapes and influences our interpersonal relations.</w:t>
      </w:r>
      <w:r w:rsidR="00061BD5">
        <w:t xml:space="preserve"> </w:t>
      </w:r>
    </w:p>
    <w:p w14:paraId="2637B123" w14:textId="77777777" w:rsidR="006C686D" w:rsidRDefault="006C686D" w:rsidP="004552BC"/>
    <w:p w14:paraId="4E1EF098" w14:textId="77777777" w:rsidR="006C686D" w:rsidRPr="004552BC" w:rsidRDefault="006C686D" w:rsidP="004552BC">
      <w:pPr>
        <w:rPr>
          <w:b/>
          <w:i/>
          <w:lang w:val="en-GB"/>
        </w:rPr>
      </w:pPr>
      <w:r w:rsidRPr="004552BC">
        <w:rPr>
          <w:b/>
          <w:i/>
          <w:lang w:val="en-GB"/>
        </w:rPr>
        <w:t>Teaching as a priority</w:t>
      </w:r>
    </w:p>
    <w:p w14:paraId="530E9404" w14:textId="77777777" w:rsidR="004552BC" w:rsidRPr="00156914" w:rsidRDefault="004552BC" w:rsidP="004552BC">
      <w:pPr>
        <w:rPr>
          <w:i/>
          <w:lang w:val="en-GB"/>
        </w:rPr>
      </w:pPr>
    </w:p>
    <w:p w14:paraId="3D6C3049" w14:textId="204A696E" w:rsidR="006C686D" w:rsidRDefault="00061BD5" w:rsidP="004552BC">
      <w:r>
        <w:t>It is clear, in the first instance, that the ex</w:t>
      </w:r>
      <w:r w:rsidR="008622C8">
        <w:t xml:space="preserve">ercise of corporate agency </w:t>
      </w:r>
      <w:r>
        <w:t>need</w:t>
      </w:r>
      <w:r w:rsidR="008622C8">
        <w:t>s</w:t>
      </w:r>
      <w:r>
        <w:t xml:space="preserve"> to be supported by reflexivity.</w:t>
      </w:r>
      <w:r w:rsidR="00A96843">
        <w:t xml:space="preserve"> </w:t>
      </w:r>
      <w:r>
        <w:t>In a morphostatic scenario where corporate agency for the development of teaching is highly restricte</w:t>
      </w:r>
      <w:r w:rsidR="00A96843">
        <w:t>d</w:t>
      </w:r>
      <w:r w:rsidR="008622C8">
        <w:t>, one might possibly expect to see</w:t>
      </w:r>
      <w:r>
        <w:t xml:space="preserve"> the restricted reflexivity that Donati</w:t>
      </w:r>
      <w:r w:rsidR="00125AA2">
        <w:t xml:space="preserve"> </w:t>
      </w:r>
      <w:r w:rsidR="00A96843">
        <w:rPr>
          <w:noProof/>
        </w:rPr>
        <w:t>(2011)</w:t>
      </w:r>
      <w:r w:rsidR="00125AA2">
        <w:t xml:space="preserve"> </w:t>
      </w:r>
      <w:r w:rsidR="00A96843">
        <w:t xml:space="preserve">called </w:t>
      </w:r>
      <w:r w:rsidR="008622C8">
        <w:t>‘</w:t>
      </w:r>
      <w:r w:rsidR="00A96843">
        <w:t xml:space="preserve">we-reflexivity close to </w:t>
      </w:r>
      <w:r>
        <w:t>zero</w:t>
      </w:r>
      <w:r w:rsidR="008622C8">
        <w:t>’</w:t>
      </w:r>
      <w:r w:rsidR="00112E9F">
        <w:t xml:space="preserve"> or the </w:t>
      </w:r>
      <w:r w:rsidR="00524F60">
        <w:t xml:space="preserve">near non-reflexivity of Archer </w:t>
      </w:r>
      <w:r w:rsidR="00524F60">
        <w:rPr>
          <w:noProof/>
        </w:rPr>
        <w:t>(2012)</w:t>
      </w:r>
      <w:r w:rsidR="00524F60">
        <w:t xml:space="preserve">. </w:t>
      </w:r>
      <w:r w:rsidR="008F635A">
        <w:t>Kahn (2014) argued that extende</w:t>
      </w:r>
      <w:r w:rsidR="006C686D">
        <w:t>d forms of reflexivity are a central</w:t>
      </w:r>
      <w:r w:rsidR="008F635A">
        <w:t xml:space="preserve"> featu</w:t>
      </w:r>
      <w:r w:rsidR="006C686D">
        <w:t>re of learning, and this would be true</w:t>
      </w:r>
      <w:r w:rsidR="008F635A">
        <w:t xml:space="preserve"> as</w:t>
      </w:r>
      <w:r w:rsidR="006C686D">
        <w:t xml:space="preserve"> much for the </w:t>
      </w:r>
      <w:r w:rsidR="008F635A">
        <w:t xml:space="preserve">learning </w:t>
      </w:r>
      <w:r w:rsidR="00A96843">
        <w:t>of te</w:t>
      </w:r>
      <w:r w:rsidR="006C686D">
        <w:t>achers as for students.</w:t>
      </w:r>
      <w:r w:rsidR="008622C8">
        <w:t xml:space="preserve"> Where change is involved, i</w:t>
      </w:r>
      <w:r w:rsidR="006C686D">
        <w:t>t is clear that the interests that are at stake in teaching span efficient processes, social relations,</w:t>
      </w:r>
      <w:r w:rsidR="00037A13">
        <w:t xml:space="preserve"> whose interests are served</w:t>
      </w:r>
      <w:r w:rsidR="00337FAA">
        <w:t>,</w:t>
      </w:r>
      <w:r w:rsidR="00037A13">
        <w:t xml:space="preserve"> </w:t>
      </w:r>
      <w:r w:rsidR="006C686D">
        <w:t xml:space="preserve">and other areas. These interests relate to each </w:t>
      </w:r>
      <w:r w:rsidR="008622C8">
        <w:t xml:space="preserve">of the </w:t>
      </w:r>
      <w:r w:rsidR="00337FAA">
        <w:t>three</w:t>
      </w:r>
      <w:r w:rsidR="008622C8">
        <w:t xml:space="preserve"> main characteristics</w:t>
      </w:r>
      <w:r w:rsidR="006C686D">
        <w:t xml:space="preserve"> modes of</w:t>
      </w:r>
      <w:r w:rsidR="008622C8">
        <w:t xml:space="preserve"> constructive</w:t>
      </w:r>
      <w:r w:rsidR="006C686D">
        <w:t xml:space="preserve"> reflexivity identified by Archer </w:t>
      </w:r>
      <w:r w:rsidR="003E5670">
        <w:t>(200</w:t>
      </w:r>
      <w:r w:rsidR="006C686D">
        <w:t>3), namely autonomous reflexivity, communicative reflexivity</w:t>
      </w:r>
      <w:r w:rsidR="00337FAA">
        <w:t xml:space="preserve"> and</w:t>
      </w:r>
      <w:r w:rsidR="006C686D">
        <w:t xml:space="preserve"> meta-reflexivity. </w:t>
      </w:r>
      <w:r w:rsidR="00337FAA">
        <w:t xml:space="preserve">As Clegg noted in the previous chapter, these different forms of reflexivity are shaped in significant part by social influences. </w:t>
      </w:r>
      <w:r w:rsidR="006C686D">
        <w:t>The complexity o</w:t>
      </w:r>
      <w:r w:rsidR="008622C8">
        <w:t>f the interests that are entailed in corporate agency around</w:t>
      </w:r>
      <w:r w:rsidR="00B3306B">
        <w:t xml:space="preserve"> </w:t>
      </w:r>
      <w:r w:rsidR="006C686D">
        <w:t>teaching</w:t>
      </w:r>
      <w:r w:rsidR="00B3306B">
        <w:t xml:space="preserve"> favour</w:t>
      </w:r>
      <w:r w:rsidR="006C686D">
        <w:t xml:space="preserve"> extended expressions of reflexivity. </w:t>
      </w:r>
    </w:p>
    <w:p w14:paraId="04381AD5" w14:textId="3A463963" w:rsidR="00112E9F" w:rsidRPr="00516CA9" w:rsidRDefault="00112E9F" w:rsidP="004552BC">
      <w:pPr>
        <w:rPr>
          <w:lang w:val="en-GB"/>
        </w:rPr>
      </w:pPr>
      <w:r>
        <w:t>Possibilities for</w:t>
      </w:r>
      <w:r w:rsidR="003E5670">
        <w:t xml:space="preserve"> extended reflexivity</w:t>
      </w:r>
      <w:r w:rsidR="006C686D">
        <w:t>, though,</w:t>
      </w:r>
      <w:r w:rsidR="008622C8">
        <w:t xml:space="preserve"> depend</w:t>
      </w:r>
      <w:r w:rsidR="006C686D">
        <w:t xml:space="preserve"> to the extent to which teaching</w:t>
      </w:r>
      <w:r w:rsidR="00516CA9">
        <w:t>, and need to adapt teaching to a changing world,</w:t>
      </w:r>
      <w:r w:rsidR="006C686D">
        <w:t xml:space="preserve"> is considered a prio</w:t>
      </w:r>
      <w:r w:rsidR="008622C8">
        <w:t>rity</w:t>
      </w:r>
      <w:r w:rsidR="00337FAA">
        <w:t xml:space="preserve"> by lecturers themselves</w:t>
      </w:r>
      <w:r w:rsidR="003E5670">
        <w:t xml:space="preserve">. </w:t>
      </w:r>
      <w:r w:rsidR="006C686D" w:rsidRPr="00156914">
        <w:rPr>
          <w:lang w:val="en-GB"/>
        </w:rPr>
        <w:t>There is a significantly greater chance of teaching being accorded a priority by a group of members of staff if there is a connection with a genuinely significant issue at stake for the discipline, department or institution, as Kahn et al</w:t>
      </w:r>
      <w:r w:rsidR="004001EF">
        <w:rPr>
          <w:lang w:val="en-GB"/>
        </w:rPr>
        <w:t>.</w:t>
      </w:r>
      <w:r w:rsidR="006C686D" w:rsidRPr="00156914">
        <w:rPr>
          <w:lang w:val="en-GB"/>
        </w:rPr>
        <w:t xml:space="preserve"> </w:t>
      </w:r>
      <w:r w:rsidR="006C686D" w:rsidRPr="00156914">
        <w:rPr>
          <w:noProof/>
          <w:lang w:val="en-GB"/>
        </w:rPr>
        <w:t>(2013)</w:t>
      </w:r>
      <w:r w:rsidR="006C686D" w:rsidRPr="00156914">
        <w:rPr>
          <w:lang w:val="en-GB"/>
        </w:rPr>
        <w:t xml:space="preserve"> contended. </w:t>
      </w:r>
      <w:r w:rsidRPr="00156914">
        <w:rPr>
          <w:lang w:val="en-GB"/>
        </w:rPr>
        <w:t>This is evident</w:t>
      </w:r>
      <w:r>
        <w:rPr>
          <w:lang w:val="en-GB"/>
        </w:rPr>
        <w:t xml:space="preserve"> also i</w:t>
      </w:r>
      <w:r w:rsidRPr="00156914">
        <w:rPr>
          <w:lang w:val="en-GB"/>
        </w:rPr>
        <w:t xml:space="preserve">n </w:t>
      </w:r>
      <w:r>
        <w:rPr>
          <w:lang w:val="en-GB"/>
        </w:rPr>
        <w:t xml:space="preserve">many </w:t>
      </w:r>
      <w:r w:rsidRPr="00156914">
        <w:rPr>
          <w:lang w:val="en-GB"/>
        </w:rPr>
        <w:t>professional disciplines</w:t>
      </w:r>
      <w:r>
        <w:rPr>
          <w:lang w:val="en-GB"/>
        </w:rPr>
        <w:t xml:space="preserve"> in which a commitment </w:t>
      </w:r>
      <w:r w:rsidRPr="00156914">
        <w:rPr>
          <w:lang w:val="en-GB"/>
        </w:rPr>
        <w:t xml:space="preserve">to </w:t>
      </w:r>
      <w:r>
        <w:rPr>
          <w:lang w:val="en-GB"/>
        </w:rPr>
        <w:t>the futur</w:t>
      </w:r>
      <w:r w:rsidR="00F512A8">
        <w:rPr>
          <w:lang w:val="en-GB"/>
        </w:rPr>
        <w:t>e of the profession underpins the</w:t>
      </w:r>
      <w:r>
        <w:rPr>
          <w:lang w:val="en-GB"/>
        </w:rPr>
        <w:t xml:space="preserve"> </w:t>
      </w:r>
      <w:r w:rsidR="00F512A8">
        <w:rPr>
          <w:lang w:val="en-GB"/>
        </w:rPr>
        <w:t>readiness to c</w:t>
      </w:r>
      <w:r>
        <w:rPr>
          <w:lang w:val="en-GB"/>
        </w:rPr>
        <w:t>hange. It is</w:t>
      </w:r>
      <w:r w:rsidR="008B1632">
        <w:rPr>
          <w:lang w:val="en-GB"/>
        </w:rPr>
        <w:t>,</w:t>
      </w:r>
      <w:r>
        <w:rPr>
          <w:lang w:val="en-GB"/>
        </w:rPr>
        <w:t xml:space="preserve"> however</w:t>
      </w:r>
      <w:r w:rsidR="008B1632">
        <w:rPr>
          <w:lang w:val="en-GB"/>
        </w:rPr>
        <w:t>,</w:t>
      </w:r>
      <w:r>
        <w:rPr>
          <w:lang w:val="en-GB"/>
        </w:rPr>
        <w:t xml:space="preserve"> relatively difficult for programmes of education focused on personal competence to </w:t>
      </w:r>
      <w:r w:rsidRPr="00156914">
        <w:rPr>
          <w:lang w:val="en-GB"/>
        </w:rPr>
        <w:t>connec</w:t>
      </w:r>
      <w:r>
        <w:rPr>
          <w:lang w:val="en-GB"/>
        </w:rPr>
        <w:t>t to such compelling reasons for action</w:t>
      </w:r>
      <w:r w:rsidRPr="00156914">
        <w:rPr>
          <w:lang w:val="en-GB"/>
        </w:rPr>
        <w:t xml:space="preserve"> – </w:t>
      </w:r>
      <w:r w:rsidR="008B1632">
        <w:rPr>
          <w:lang w:val="en-GB"/>
        </w:rPr>
        <w:t>such programmes should look to</w:t>
      </w:r>
      <w:r w:rsidRPr="00156914">
        <w:rPr>
          <w:lang w:val="en-GB"/>
        </w:rPr>
        <w:t xml:space="preserve"> outcom</w:t>
      </w:r>
      <w:r w:rsidR="008B1632">
        <w:rPr>
          <w:lang w:val="en-GB"/>
        </w:rPr>
        <w:t>es for the work group as much as to outcomes</w:t>
      </w:r>
      <w:r w:rsidRPr="00156914">
        <w:rPr>
          <w:lang w:val="en-GB"/>
        </w:rPr>
        <w:t xml:space="preserve"> for the individua</w:t>
      </w:r>
      <w:r w:rsidR="008B1632">
        <w:rPr>
          <w:lang w:val="en-GB"/>
        </w:rPr>
        <w:t xml:space="preserve">l. Any outcomes for the work group would need to </w:t>
      </w:r>
      <w:r w:rsidRPr="00156914">
        <w:rPr>
          <w:lang w:val="en-GB"/>
        </w:rPr>
        <w:t>be negotiated</w:t>
      </w:r>
      <w:r w:rsidR="008B1632">
        <w:rPr>
          <w:lang w:val="en-GB"/>
        </w:rPr>
        <w:t xml:space="preserve"> on</w:t>
      </w:r>
      <w:r w:rsidR="00EF0509">
        <w:rPr>
          <w:lang w:val="en-GB"/>
        </w:rPr>
        <w:t xml:space="preserve"> an ongoing basis, and could not be determined</w:t>
      </w:r>
      <w:r>
        <w:rPr>
          <w:lang w:val="en-GB"/>
        </w:rPr>
        <w:t xml:space="preserve"> in advance</w:t>
      </w:r>
      <w:r w:rsidR="008B1632">
        <w:rPr>
          <w:lang w:val="en-GB"/>
        </w:rPr>
        <w:t xml:space="preserve"> by a programme team</w:t>
      </w:r>
      <w:r>
        <w:rPr>
          <w:lang w:val="en-GB"/>
        </w:rPr>
        <w:t xml:space="preserve">. Boud </w:t>
      </w:r>
      <w:r>
        <w:rPr>
          <w:noProof/>
          <w:lang w:val="en-GB"/>
        </w:rPr>
        <w:t>(1999)</w:t>
      </w:r>
      <w:r>
        <w:rPr>
          <w:lang w:val="en-GB"/>
        </w:rPr>
        <w:t>, indeed, argued that there is good reason to situate a</w:t>
      </w:r>
      <w:r>
        <w:rPr>
          <w:rFonts w:eastAsia="Times New Roman"/>
        </w:rPr>
        <w:t>cademic development within sites of academic practice.</w:t>
      </w:r>
    </w:p>
    <w:p w14:paraId="5ED02D34" w14:textId="4F41CBD0" w:rsidR="00F41FDF" w:rsidRDefault="008B1632" w:rsidP="004552BC">
      <w:pPr>
        <w:rPr>
          <w:lang w:val="en-GB"/>
        </w:rPr>
      </w:pPr>
      <w:r>
        <w:rPr>
          <w:lang w:val="en-GB"/>
        </w:rPr>
        <w:t xml:space="preserve">There is also an inherent dominance from research that needs to be taken into account. </w:t>
      </w:r>
      <w:r w:rsidR="00F41FDF" w:rsidRPr="00156914">
        <w:rPr>
          <w:lang w:val="en-GB"/>
        </w:rPr>
        <w:t xml:space="preserve">Bernstein </w:t>
      </w:r>
      <w:r w:rsidR="00F41FDF" w:rsidRPr="00156914">
        <w:rPr>
          <w:noProof/>
          <w:lang w:val="en-GB"/>
        </w:rPr>
        <w:t>(2000)</w:t>
      </w:r>
      <w:r w:rsidR="00F41FDF" w:rsidRPr="00156914">
        <w:rPr>
          <w:lang w:val="en-GB"/>
        </w:rPr>
        <w:t xml:space="preserve"> argued that several different fields of activity are in play, in which separate discourses take place with their own rules and patterns of language use. Teaching is constituted as a field of reproduction</w:t>
      </w:r>
      <w:r w:rsidR="00F41FDF">
        <w:rPr>
          <w:lang w:val="en-GB"/>
        </w:rPr>
        <w:t>, with its own discourse and patterns of language use</w:t>
      </w:r>
      <w:r w:rsidR="00F41FDF" w:rsidRPr="00156914">
        <w:rPr>
          <w:lang w:val="en-GB"/>
        </w:rPr>
        <w:t>.</w:t>
      </w:r>
      <w:r w:rsidR="00F41FDF">
        <w:rPr>
          <w:lang w:val="en-GB"/>
        </w:rPr>
        <w:t xml:space="preserve"> </w:t>
      </w:r>
      <w:r w:rsidR="00F41FDF" w:rsidRPr="00156914">
        <w:rPr>
          <w:lang w:val="en-GB"/>
        </w:rPr>
        <w:t>It depends on an earlier reconstitution of knowledge, which also forms part of a wider pedagogic discourse. Such pedagogic discourse, though, contrasts with the discourse associated with r</w:t>
      </w:r>
      <w:r w:rsidR="00F41FDF">
        <w:rPr>
          <w:lang w:val="en-GB"/>
        </w:rPr>
        <w:t>esearch. Bernstein (2000) referred</w:t>
      </w:r>
      <w:r w:rsidR="00F41FDF" w:rsidRPr="00156914">
        <w:rPr>
          <w:lang w:val="en-GB"/>
        </w:rPr>
        <w:t xml:space="preserve"> to research as a field of production, in which new knowledge is created. Bernstein (2000) argued that contestation occurs between these fields for control of educational activity</w:t>
      </w:r>
      <w:r w:rsidR="00F41FDF">
        <w:rPr>
          <w:lang w:val="en-GB"/>
        </w:rPr>
        <w:t xml:space="preserve">, but that research as a discourse is typically more dominant. It is generally recognised that </w:t>
      </w:r>
      <w:r w:rsidR="00F41FDF" w:rsidRPr="00156914">
        <w:rPr>
          <w:lang w:val="en-GB"/>
        </w:rPr>
        <w:t xml:space="preserve">higher levels of prestige are associated with research as opposed to teaching. </w:t>
      </w:r>
      <w:r w:rsidR="005E14EA">
        <w:rPr>
          <w:lang w:val="en-GB"/>
        </w:rPr>
        <w:t xml:space="preserve">Chalmers </w:t>
      </w:r>
      <w:r w:rsidR="005E14EA">
        <w:rPr>
          <w:noProof/>
          <w:lang w:val="en-GB"/>
        </w:rPr>
        <w:t>(2006)</w:t>
      </w:r>
      <w:r w:rsidR="00112E9F">
        <w:rPr>
          <w:lang w:val="en-GB"/>
        </w:rPr>
        <w:t>, indeed, reported</w:t>
      </w:r>
      <w:r w:rsidR="005E14EA">
        <w:rPr>
          <w:lang w:val="en-GB"/>
        </w:rPr>
        <w:t xml:space="preserve"> widespread</w:t>
      </w:r>
      <w:r w:rsidR="00112E9F">
        <w:rPr>
          <w:lang w:val="en-GB"/>
        </w:rPr>
        <w:t xml:space="preserve"> agreement in the research literature on the low status which universities give to teaching</w:t>
      </w:r>
      <w:r w:rsidR="005E14EA">
        <w:rPr>
          <w:lang w:val="en-GB"/>
        </w:rPr>
        <w:t>, even if progress has been made in recent years</w:t>
      </w:r>
      <w:r w:rsidR="00112E9F">
        <w:rPr>
          <w:lang w:val="en-GB"/>
        </w:rPr>
        <w:t xml:space="preserve">. </w:t>
      </w:r>
    </w:p>
    <w:p w14:paraId="715144C7" w14:textId="77777777" w:rsidR="004552BC" w:rsidRPr="004001EF" w:rsidRDefault="004552BC" w:rsidP="004552BC">
      <w:pPr>
        <w:rPr>
          <w:rFonts w:eastAsia="Times New Roman"/>
        </w:rPr>
      </w:pPr>
    </w:p>
    <w:p w14:paraId="7559D15B" w14:textId="2181B7E6" w:rsidR="00F41FDF" w:rsidRDefault="00F41FDF" w:rsidP="004552BC">
      <w:pPr>
        <w:rPr>
          <w:lang w:val="en-GB"/>
        </w:rPr>
      </w:pPr>
      <w:r>
        <w:rPr>
          <w:lang w:val="en-GB"/>
        </w:rPr>
        <w:t>One’s</w:t>
      </w:r>
      <w:r w:rsidR="00524F60">
        <w:rPr>
          <w:lang w:val="en-GB"/>
        </w:rPr>
        <w:t xml:space="preserve"> </w:t>
      </w:r>
      <w:r>
        <w:rPr>
          <w:lang w:val="en-GB"/>
        </w:rPr>
        <w:t>configuration of concerns</w:t>
      </w:r>
      <w:r w:rsidRPr="00156914">
        <w:rPr>
          <w:lang w:val="en-GB"/>
        </w:rPr>
        <w:t xml:space="preserve"> form</w:t>
      </w:r>
      <w:r>
        <w:rPr>
          <w:lang w:val="en-GB"/>
        </w:rPr>
        <w:t>s</w:t>
      </w:r>
      <w:r w:rsidRPr="00156914">
        <w:rPr>
          <w:lang w:val="en-GB"/>
        </w:rPr>
        <w:t xml:space="preserve"> an important part of personal identity for Archer</w:t>
      </w:r>
      <w:r>
        <w:rPr>
          <w:lang w:val="en-GB"/>
        </w:rPr>
        <w:t xml:space="preserve"> </w:t>
      </w:r>
      <w:r>
        <w:rPr>
          <w:noProof/>
          <w:lang w:val="en-GB"/>
        </w:rPr>
        <w:t>(2007)</w:t>
      </w:r>
      <w:r w:rsidRPr="00156914">
        <w:rPr>
          <w:lang w:val="en-GB"/>
        </w:rPr>
        <w:t xml:space="preserve">. </w:t>
      </w:r>
      <w:r w:rsidR="00337FAA">
        <w:rPr>
          <w:lang w:val="en-GB"/>
        </w:rPr>
        <w:t xml:space="preserve">According to </w:t>
      </w:r>
      <w:r>
        <w:rPr>
          <w:lang w:val="en-GB"/>
        </w:rPr>
        <w:t>this view, l</w:t>
      </w:r>
      <w:r w:rsidRPr="00156914">
        <w:rPr>
          <w:lang w:val="en-GB"/>
        </w:rPr>
        <w:t xml:space="preserve">earning to teach within a changing environment entails learning to give at </w:t>
      </w:r>
      <w:r>
        <w:rPr>
          <w:lang w:val="en-GB"/>
        </w:rPr>
        <w:t>least some priority to teaching-</w:t>
      </w:r>
      <w:r w:rsidRPr="00156914">
        <w:rPr>
          <w:lang w:val="en-GB"/>
        </w:rPr>
        <w:t>related concer</w:t>
      </w:r>
      <w:r w:rsidR="00524F60">
        <w:rPr>
          <w:lang w:val="en-GB"/>
        </w:rPr>
        <w:t>ns. The readiness to exercise corporate</w:t>
      </w:r>
      <w:r w:rsidRPr="00156914">
        <w:rPr>
          <w:lang w:val="en-GB"/>
        </w:rPr>
        <w:t xml:space="preserve"> a</w:t>
      </w:r>
      <w:r w:rsidR="00524F60">
        <w:rPr>
          <w:lang w:val="en-GB"/>
        </w:rPr>
        <w:t xml:space="preserve">gency </w:t>
      </w:r>
      <w:r w:rsidRPr="00156914">
        <w:rPr>
          <w:lang w:val="en-GB"/>
        </w:rPr>
        <w:t>represents a key threshold in the process of learning to teach.</w:t>
      </w:r>
      <w:r>
        <w:rPr>
          <w:lang w:val="en-GB"/>
        </w:rPr>
        <w:t xml:space="preserve"> Otherwise lecturers can remain as primary agents, swept along by </w:t>
      </w:r>
      <w:r w:rsidR="00524F60">
        <w:rPr>
          <w:lang w:val="en-GB"/>
        </w:rPr>
        <w:t>an agenda that is set by others</w:t>
      </w:r>
      <w:r>
        <w:rPr>
          <w:lang w:val="en-GB"/>
        </w:rPr>
        <w:t>.</w:t>
      </w:r>
      <w:r w:rsidR="00524F60">
        <w:rPr>
          <w:lang w:val="en-GB"/>
        </w:rPr>
        <w:t xml:space="preserve"> </w:t>
      </w:r>
      <w:r w:rsidR="00524F60">
        <w:rPr>
          <w:rFonts w:eastAsia="Times New Roman"/>
          <w:lang w:val="en-GB"/>
        </w:rPr>
        <w:t xml:space="preserve">However, Reed </w:t>
      </w:r>
      <w:r w:rsidR="00524F60">
        <w:rPr>
          <w:rFonts w:eastAsia="Times New Roman"/>
          <w:noProof/>
          <w:lang w:val="en-GB"/>
        </w:rPr>
        <w:t>(2005)</w:t>
      </w:r>
      <w:r w:rsidR="00524F60">
        <w:rPr>
          <w:lang w:val="en-GB"/>
        </w:rPr>
        <w:t xml:space="preserve"> noted that c</w:t>
      </w:r>
      <w:r w:rsidR="00524F60" w:rsidRPr="00156914">
        <w:rPr>
          <w:lang w:val="en-GB"/>
        </w:rPr>
        <w:t>orporate agency does not, of itself, confer strict social identity.</w:t>
      </w:r>
      <w:r w:rsidR="00524F60">
        <w:rPr>
          <w:lang w:val="en-GB"/>
        </w:rPr>
        <w:t xml:space="preserve"> He pointed out that the</w:t>
      </w:r>
      <w:r w:rsidR="00524F60" w:rsidRPr="00156914">
        <w:rPr>
          <w:lang w:val="en-GB"/>
        </w:rPr>
        <w:t xml:space="preserve"> model </w:t>
      </w:r>
      <w:r w:rsidR="00524F60">
        <w:rPr>
          <w:lang w:val="en-GB"/>
        </w:rPr>
        <w:t xml:space="preserve">offered by Archer (1995) </w:t>
      </w:r>
      <w:r w:rsidR="00524F60" w:rsidRPr="00156914">
        <w:rPr>
          <w:lang w:val="en-GB"/>
        </w:rPr>
        <w:t xml:space="preserve">is </w:t>
      </w:r>
      <w:r w:rsidR="008B1632">
        <w:rPr>
          <w:lang w:val="en-GB"/>
        </w:rPr>
        <w:t xml:space="preserve">only </w:t>
      </w:r>
      <w:r w:rsidR="00524F60" w:rsidRPr="00156914">
        <w:rPr>
          <w:lang w:val="en-GB"/>
        </w:rPr>
        <w:t xml:space="preserve">completed by the articulation of roles that </w:t>
      </w:r>
      <w:r w:rsidR="008B1632">
        <w:rPr>
          <w:lang w:val="en-GB"/>
        </w:rPr>
        <w:t xml:space="preserve">the </w:t>
      </w:r>
      <w:r w:rsidR="00524F60" w:rsidRPr="00156914">
        <w:rPr>
          <w:lang w:val="en-GB"/>
        </w:rPr>
        <w:t>‘You’ can occupy</w:t>
      </w:r>
      <w:r w:rsidR="008B1632">
        <w:rPr>
          <w:lang w:val="en-GB"/>
        </w:rPr>
        <w:t>;</w:t>
      </w:r>
      <w:r w:rsidR="00524F60" w:rsidRPr="00156914">
        <w:rPr>
          <w:lang w:val="en-GB"/>
        </w:rPr>
        <w:t xml:space="preserve"> and through which individuals gain social identity. </w:t>
      </w:r>
      <w:r w:rsidR="00524F60">
        <w:rPr>
          <w:lang w:val="en-GB"/>
        </w:rPr>
        <w:t xml:space="preserve">Morphogenesis is particularly associated by Archer (1995) with the establishment of new roles. The success of corporate agency is manifest when the interests are embodied in the social order through a new </w:t>
      </w:r>
      <w:r w:rsidR="00C102D0">
        <w:rPr>
          <w:lang w:val="en-GB"/>
        </w:rPr>
        <w:t>configuration</w:t>
      </w:r>
      <w:r w:rsidR="00524F60">
        <w:rPr>
          <w:lang w:val="en-GB"/>
        </w:rPr>
        <w:t xml:space="preserve"> of roles, given that </w:t>
      </w:r>
      <w:r w:rsidR="00C102D0">
        <w:rPr>
          <w:lang w:val="en-GB"/>
        </w:rPr>
        <w:t>roles</w:t>
      </w:r>
      <w:r w:rsidR="00524F60">
        <w:rPr>
          <w:lang w:val="en-GB"/>
        </w:rPr>
        <w:t xml:space="preserve"> re</w:t>
      </w:r>
      <w:r w:rsidR="008B1632">
        <w:rPr>
          <w:lang w:val="en-GB"/>
        </w:rPr>
        <w:t xml:space="preserve">present a key means by which </w:t>
      </w:r>
      <w:r w:rsidR="00C102D0">
        <w:rPr>
          <w:lang w:val="en-GB"/>
        </w:rPr>
        <w:t>the</w:t>
      </w:r>
      <w:r w:rsidR="008B1632">
        <w:rPr>
          <w:lang w:val="en-GB"/>
        </w:rPr>
        <w:t xml:space="preserve"> </w:t>
      </w:r>
      <w:r w:rsidR="00524F60">
        <w:rPr>
          <w:lang w:val="en-GB"/>
        </w:rPr>
        <w:t xml:space="preserve">social order </w:t>
      </w:r>
      <w:r w:rsidR="00C102D0">
        <w:rPr>
          <w:lang w:val="en-GB"/>
        </w:rPr>
        <w:t>is constituted</w:t>
      </w:r>
      <w:r w:rsidR="008B1632">
        <w:rPr>
          <w:lang w:val="en-GB"/>
        </w:rPr>
        <w:t>.</w:t>
      </w:r>
      <w:r w:rsidR="00C102D0">
        <w:rPr>
          <w:lang w:val="en-GB"/>
        </w:rPr>
        <w:t xml:space="preserve"> </w:t>
      </w:r>
      <w:r w:rsidR="008B1632">
        <w:rPr>
          <w:lang w:val="en-GB"/>
        </w:rPr>
        <w:t xml:space="preserve"> </w:t>
      </w:r>
    </w:p>
    <w:p w14:paraId="73630213" w14:textId="77777777" w:rsidR="00F41FDF" w:rsidRDefault="00F41FDF" w:rsidP="004552BC"/>
    <w:p w14:paraId="3853791B" w14:textId="17984D49" w:rsidR="00F41FDF" w:rsidRPr="004552BC" w:rsidRDefault="00112E9F" w:rsidP="004552BC">
      <w:pPr>
        <w:rPr>
          <w:b/>
          <w:i/>
        </w:rPr>
      </w:pPr>
      <w:r w:rsidRPr="004552BC">
        <w:rPr>
          <w:b/>
          <w:i/>
        </w:rPr>
        <w:t xml:space="preserve">Sustaining collective reflexivity </w:t>
      </w:r>
    </w:p>
    <w:p w14:paraId="55C889A4" w14:textId="77777777" w:rsidR="004552BC" w:rsidRPr="00112E9F" w:rsidRDefault="004552BC" w:rsidP="004552BC">
      <w:pPr>
        <w:rPr>
          <w:i/>
        </w:rPr>
      </w:pPr>
    </w:p>
    <w:p w14:paraId="595552AA" w14:textId="39DC4E77" w:rsidR="00043434" w:rsidRDefault="00D62C8A" w:rsidP="004552BC">
      <w:r>
        <w:t>Given the importance of collective reflexivity to responding to change, it is important to consider what sustains such reflexivity. C</w:t>
      </w:r>
      <w:r w:rsidR="006C686D">
        <w:t>orporate agency</w:t>
      </w:r>
      <w:r w:rsidR="006A6E24">
        <w:t xml:space="preserve"> </w:t>
      </w:r>
      <w:r>
        <w:t xml:space="preserve">entails a </w:t>
      </w:r>
      <w:r w:rsidR="006A6E24">
        <w:t xml:space="preserve">communicative dimension that </w:t>
      </w:r>
      <w:r>
        <w:t xml:space="preserve">ensures an awareness of </w:t>
      </w:r>
      <w:r w:rsidR="006C686D">
        <w:t>the interests of colleagues</w:t>
      </w:r>
      <w:r w:rsidR="006A6E24">
        <w:t xml:space="preserve">. </w:t>
      </w:r>
      <w:r>
        <w:t xml:space="preserve">Dialogue is particularly needed when seeking to agree on </w:t>
      </w:r>
      <w:r w:rsidR="00043434">
        <w:t>novel purposes or practices.</w:t>
      </w:r>
      <w:r>
        <w:t xml:space="preserve"> </w:t>
      </w:r>
      <w:r w:rsidR="00706E3C">
        <w:t>Roxå and Mårtensson</w:t>
      </w:r>
      <w:r w:rsidR="00706E3C" w:rsidRPr="00156914">
        <w:rPr>
          <w:rStyle w:val="hlfld-contribauthor"/>
          <w:rFonts w:eastAsia="Times New Roman"/>
          <w:color w:val="000000"/>
          <w:lang w:val="en-GB"/>
        </w:rPr>
        <w:t xml:space="preserve"> </w:t>
      </w:r>
      <w:r w:rsidR="00706E3C" w:rsidRPr="00156914">
        <w:rPr>
          <w:rStyle w:val="hlfld-contribauthor"/>
          <w:rFonts w:eastAsia="Times New Roman"/>
          <w:noProof/>
          <w:color w:val="000000"/>
          <w:lang w:val="en-GB"/>
        </w:rPr>
        <w:t>(2008)</w:t>
      </w:r>
      <w:r w:rsidR="00043434">
        <w:t xml:space="preserve"> suggest</w:t>
      </w:r>
      <w:r w:rsidR="004D7D53">
        <w:t>ed</w:t>
      </w:r>
      <w:r w:rsidR="00043434">
        <w:t xml:space="preserve"> that most teachers rely on a small number of significant others for conversations that are characterised by their privacy, by mutual trust and by their intellectual intrigue. </w:t>
      </w:r>
      <w:r w:rsidR="00214006">
        <w:t xml:space="preserve">The data that they presented suggested that university teachers rely on a limited number of individuals to test ideas or solve problems related to teaching and learning. </w:t>
      </w:r>
      <w:r w:rsidR="00043434">
        <w:t xml:space="preserve">Individual teachers </w:t>
      </w:r>
      <w:r w:rsidR="006C14B0">
        <w:t xml:space="preserve">were seen to have </w:t>
      </w:r>
      <w:r w:rsidR="00043434">
        <w:t>small ‘significant networks’, where private discussions provide</w:t>
      </w:r>
      <w:r w:rsidR="00214006">
        <w:t>d</w:t>
      </w:r>
      <w:r w:rsidR="00043434">
        <w:t xml:space="preserve"> a basis for conc</w:t>
      </w:r>
      <w:r w:rsidR="004D7D53">
        <w:t>eptual developme</w:t>
      </w:r>
      <w:r w:rsidR="00214006">
        <w:t>nt and learning in ways that were</w:t>
      </w:r>
      <w:r w:rsidR="00043434">
        <w:t xml:space="preserve"> quite different</w:t>
      </w:r>
      <w:r w:rsidR="004D7D53">
        <w:t xml:space="preserve"> to ‘front stage’</w:t>
      </w:r>
      <w:r w:rsidR="00043434">
        <w:t xml:space="preserve"> public debate about teaching</w:t>
      </w:r>
      <w:r w:rsidR="004D7D53">
        <w:t xml:space="preserve"> in committees</w:t>
      </w:r>
      <w:r w:rsidR="00043434">
        <w:t>. Individual teachers seem</w:t>
      </w:r>
      <w:r w:rsidR="00214006">
        <w:t>ed</w:t>
      </w:r>
      <w:r w:rsidR="00043434">
        <w:t xml:space="preserve"> to have more significant conversations and larger net</w:t>
      </w:r>
      <w:r w:rsidR="00214006">
        <w:t>works where the local culture was</w:t>
      </w:r>
      <w:r w:rsidR="00043434">
        <w:t xml:space="preserve"> perceived to be supportive of such c</w:t>
      </w:r>
      <w:r w:rsidR="00214006">
        <w:t xml:space="preserve">onversations. </w:t>
      </w:r>
      <w:r w:rsidR="006C14B0">
        <w:t>Learning to teach</w:t>
      </w:r>
      <w:r w:rsidR="006B4403">
        <w:t xml:space="preserve"> in contexts where change is endemic </w:t>
      </w:r>
      <w:r w:rsidR="006C14B0">
        <w:t xml:space="preserve">involves learning to value such conversations. </w:t>
      </w:r>
    </w:p>
    <w:p w14:paraId="09554275" w14:textId="77777777" w:rsidR="004552BC" w:rsidRDefault="004552BC" w:rsidP="004552BC"/>
    <w:p w14:paraId="5F1218DE" w14:textId="7A52F1A2" w:rsidR="00112E9F" w:rsidRDefault="00112E9F" w:rsidP="004552BC">
      <w:r>
        <w:t xml:space="preserve">Dialogue, can however, serve as a focus for inaction. Where reflexivity is marked by an absence of agency on the part of individuals, Archer employed the term ‘fractured reflexivity’. Kahn (2015) suggested that there is scope for co-reflexivity to fracture in relation to learning. If one experiences frustrations with the collective aspirations that are in possession, then a fractured response could result. It may be the case that reflexivity around teaching degenerate, we can say, into a series of complaints. Dialogue would then simply amplify </w:t>
      </w:r>
      <w:r w:rsidR="00214006">
        <w:t xml:space="preserve">the overall volume of </w:t>
      </w:r>
      <w:r>
        <w:t>complaints, directly serving a morphostatic purpose.</w:t>
      </w:r>
      <w:r w:rsidR="00214006">
        <w:t xml:space="preserve"> Dialogue can support the status quo in other ways, whether in talking down prospects for change or in focusing on the most satisfactory aspects of current provision.  </w:t>
      </w:r>
    </w:p>
    <w:p w14:paraId="26E328DE" w14:textId="77777777" w:rsidR="004552BC" w:rsidRDefault="004552BC" w:rsidP="004552BC"/>
    <w:p w14:paraId="000B84DF" w14:textId="73A3A67C" w:rsidR="00061BD5" w:rsidRDefault="009B1E18"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r>
        <w:t xml:space="preserve">Archer and </w:t>
      </w:r>
      <w:r w:rsidR="00706E3C">
        <w:t>Donati</w:t>
      </w:r>
      <w:r>
        <w:t xml:space="preserve"> </w:t>
      </w:r>
      <w:r>
        <w:rPr>
          <w:noProof/>
        </w:rPr>
        <w:t>(2015)</w:t>
      </w:r>
      <w:r w:rsidR="00706E3C">
        <w:t xml:space="preserve"> further highlighted the relational b</w:t>
      </w:r>
      <w:r>
        <w:t>asis for collective reflexivity</w:t>
      </w:r>
      <w:r w:rsidR="00706E3C">
        <w:t>. Gustavsen</w:t>
      </w:r>
      <w:r w:rsidR="00214006">
        <w:t xml:space="preserve"> </w:t>
      </w:r>
      <w:r w:rsidR="00214006">
        <w:rPr>
          <w:noProof/>
        </w:rPr>
        <w:t>(2001)</w:t>
      </w:r>
      <w:r w:rsidR="00706E3C">
        <w:t xml:space="preserve"> similarly suggested that the capacity for new forms of action is </w:t>
      </w:r>
      <w:r w:rsidR="00214006">
        <w:t>closely</w:t>
      </w:r>
      <w:r>
        <w:t xml:space="preserve"> </w:t>
      </w:r>
      <w:r w:rsidR="00706E3C">
        <w:t>affected by the extent to which a rich and diverse network of profess</w:t>
      </w:r>
      <w:r>
        <w:t xml:space="preserve">ional relationships is present. </w:t>
      </w:r>
      <w:r w:rsidR="00706E3C">
        <w:t xml:space="preserve">The nature of the social relations that are in place has a significant influence on the capacity of those involved to undertake </w:t>
      </w:r>
      <w:r>
        <w:t xml:space="preserve">the </w:t>
      </w:r>
      <w:r w:rsidR="00706E3C">
        <w:t xml:space="preserve">collective reflexivity that supports corporate agency. </w:t>
      </w:r>
      <w:r>
        <w:t>Donati (2011) specifically highli</w:t>
      </w:r>
      <w:r w:rsidR="00214006">
        <w:t>ghted</w:t>
      </w:r>
      <w:r>
        <w:t xml:space="preserve"> reciprocity in social relations as a central feature of what humanises these r</w:t>
      </w:r>
      <w:r w:rsidR="00214006">
        <w:t xml:space="preserve">elations. Boud (1999) argued </w:t>
      </w:r>
      <w:r>
        <w:t>that reciprocal peer relations are particularly likely to lead to learning amongst academics. By contrast, r</w:t>
      </w:r>
      <w:r w:rsidR="00706E3C">
        <w:t>elations that are constituted by processes of domination a</w:t>
      </w:r>
      <w:r w:rsidR="00214006">
        <w:t xml:space="preserve">nd competition are </w:t>
      </w:r>
      <w:r w:rsidR="00706E3C">
        <w:t>hard</w:t>
      </w:r>
      <w:r w:rsidR="00214006">
        <w:t>er</w:t>
      </w:r>
      <w:r w:rsidR="00706E3C">
        <w:t xml:space="preserve"> to combine with extended reflexivity that is directed at constructive action.</w:t>
      </w:r>
      <w:r>
        <w:t xml:space="preserve"> Flann (2010) argued that where an individual is subject to domination by others, then reflexivity can be suppressed. </w:t>
      </w:r>
      <w:r w:rsidR="00706E3C">
        <w:t>The social relations one maintains closely influence one’s capacity to act as a corporate agent.</w:t>
      </w:r>
      <w:r>
        <w:t xml:space="preserve"> On this count, learning to teach in a changing world involves building reciprocal relations with others. </w:t>
      </w:r>
    </w:p>
    <w:p w14:paraId="58829F0C" w14:textId="77777777" w:rsidR="00BE6DA5" w:rsidRDefault="00BE6DA5" w:rsidP="004552BC">
      <w:pPr>
        <w:rPr>
          <w:lang w:val="en-GB"/>
        </w:rPr>
      </w:pPr>
    </w:p>
    <w:p w14:paraId="6AB037B9" w14:textId="06AF8323" w:rsidR="00BE6DA5" w:rsidRDefault="00BE6DA5" w:rsidP="004552BC">
      <w:pPr>
        <w:rPr>
          <w:b/>
          <w:lang w:val="en-GB"/>
        </w:rPr>
      </w:pPr>
      <w:r w:rsidRPr="00BE6DA5">
        <w:rPr>
          <w:b/>
          <w:lang w:val="en-GB"/>
        </w:rPr>
        <w:t xml:space="preserve">Teaching as </w:t>
      </w:r>
      <w:r w:rsidR="004552BC">
        <w:rPr>
          <w:b/>
          <w:lang w:val="en-GB"/>
        </w:rPr>
        <w:t>E</w:t>
      </w:r>
      <w:r w:rsidRPr="00BE6DA5">
        <w:rPr>
          <w:b/>
          <w:lang w:val="en-GB"/>
        </w:rPr>
        <w:t xml:space="preserve">mergent </w:t>
      </w:r>
      <w:r w:rsidR="004552BC">
        <w:rPr>
          <w:b/>
          <w:lang w:val="en-GB"/>
        </w:rPr>
        <w:t>C</w:t>
      </w:r>
      <w:r w:rsidRPr="00BE6DA5">
        <w:rPr>
          <w:b/>
          <w:lang w:val="en-GB"/>
        </w:rPr>
        <w:t>o-action</w:t>
      </w:r>
    </w:p>
    <w:p w14:paraId="6836DB14" w14:textId="77777777" w:rsidR="004552BC" w:rsidRPr="00BE6DA5" w:rsidRDefault="004552BC" w:rsidP="004552BC">
      <w:pPr>
        <w:rPr>
          <w:b/>
          <w:lang w:val="en-GB"/>
        </w:rPr>
      </w:pPr>
    </w:p>
    <w:p w14:paraId="4E8B9DD7" w14:textId="37C9351E" w:rsidR="00C35099" w:rsidRDefault="00214006" w:rsidP="004552BC">
      <w:pPr>
        <w:rPr>
          <w:lang w:val="en-GB"/>
        </w:rPr>
      </w:pPr>
      <w:r>
        <w:rPr>
          <w:lang w:val="en-GB"/>
        </w:rPr>
        <w:t>Learning to teach involves</w:t>
      </w:r>
      <w:r w:rsidR="00C35099">
        <w:rPr>
          <w:lang w:val="en-GB"/>
        </w:rPr>
        <w:t xml:space="preserve"> growth</w:t>
      </w:r>
      <w:r>
        <w:rPr>
          <w:lang w:val="en-GB"/>
        </w:rPr>
        <w:t xml:space="preserve"> in </w:t>
      </w:r>
      <w:r w:rsidR="00C35099">
        <w:rPr>
          <w:lang w:val="en-GB"/>
        </w:rPr>
        <w:t>one’s capacity to act as a corporate agent in order to meet new aspirations and needs as they arise</w:t>
      </w:r>
      <w:r w:rsidR="009B1E18">
        <w:rPr>
          <w:lang w:val="en-GB"/>
        </w:rPr>
        <w:t xml:space="preserve"> in a changing world. However, </w:t>
      </w:r>
      <w:r w:rsidR="00C35099">
        <w:rPr>
          <w:lang w:val="en-GB"/>
        </w:rPr>
        <w:t xml:space="preserve">even </w:t>
      </w:r>
      <w:r w:rsidR="00563C6E">
        <w:rPr>
          <w:lang w:val="en-GB"/>
        </w:rPr>
        <w:t xml:space="preserve">beyond </w:t>
      </w:r>
      <w:r w:rsidR="00842945">
        <w:rPr>
          <w:lang w:val="en-GB"/>
        </w:rPr>
        <w:t xml:space="preserve">change </w:t>
      </w:r>
      <w:r w:rsidR="00563C6E">
        <w:rPr>
          <w:lang w:val="en-GB"/>
        </w:rPr>
        <w:t xml:space="preserve">in </w:t>
      </w:r>
      <w:r w:rsidR="00C35099">
        <w:rPr>
          <w:lang w:val="en-GB"/>
        </w:rPr>
        <w:t>practices and structures</w:t>
      </w:r>
      <w:r w:rsidR="00E147FF">
        <w:rPr>
          <w:lang w:val="en-GB"/>
        </w:rPr>
        <w:t xml:space="preserve">, teaching </w:t>
      </w:r>
      <w:r w:rsidR="00563C6E">
        <w:rPr>
          <w:lang w:val="en-GB"/>
        </w:rPr>
        <w:t>involves a range of further demanding forms of co-action</w:t>
      </w:r>
      <w:r w:rsidR="009B1E18">
        <w:rPr>
          <w:lang w:val="en-GB"/>
        </w:rPr>
        <w:t xml:space="preserve">. Walsh and Kahn </w:t>
      </w:r>
      <w:r w:rsidR="009B1E18">
        <w:rPr>
          <w:noProof/>
          <w:lang w:val="en-GB"/>
        </w:rPr>
        <w:t>(2009)</w:t>
      </w:r>
      <w:r w:rsidR="00842945">
        <w:rPr>
          <w:lang w:val="en-GB"/>
        </w:rPr>
        <w:t xml:space="preserve"> argued</w:t>
      </w:r>
      <w:r w:rsidR="009B1E18">
        <w:rPr>
          <w:lang w:val="en-GB"/>
        </w:rPr>
        <w:t xml:space="preserve"> that </w:t>
      </w:r>
      <w:r w:rsidR="00842945">
        <w:rPr>
          <w:lang w:val="en-GB"/>
        </w:rPr>
        <w:t>teaching is an inherently troublesome activity that involves emergent working</w:t>
      </w:r>
      <w:r w:rsidR="00DF4CC1">
        <w:rPr>
          <w:lang w:val="en-GB"/>
        </w:rPr>
        <w:t>. It is not possible to pre-determine from the outset those actions that will be required when teaching</w:t>
      </w:r>
      <w:r w:rsidR="00842945">
        <w:rPr>
          <w:lang w:val="en-GB"/>
        </w:rPr>
        <w:t xml:space="preserve">. </w:t>
      </w:r>
      <w:r w:rsidR="00851359">
        <w:rPr>
          <w:lang w:val="en-GB"/>
        </w:rPr>
        <w:t xml:space="preserve">This is especially so given the challenges of working with students, for whom learning incorporates an inherent dimension of uncertainty and struggle. </w:t>
      </w:r>
      <w:r w:rsidR="00DF4CC1">
        <w:rPr>
          <w:lang w:val="en-GB"/>
        </w:rPr>
        <w:t>I</w:t>
      </w:r>
      <w:r w:rsidR="00851359">
        <w:rPr>
          <w:lang w:val="en-GB"/>
        </w:rPr>
        <w:t>nteraction</w:t>
      </w:r>
      <w:r w:rsidR="00DF4CC1">
        <w:rPr>
          <w:lang w:val="en-GB"/>
        </w:rPr>
        <w:t xml:space="preserve"> with students and colleagues </w:t>
      </w:r>
      <w:r w:rsidR="00851359">
        <w:rPr>
          <w:lang w:val="en-GB"/>
        </w:rPr>
        <w:t>place</w:t>
      </w:r>
      <w:r w:rsidR="00DF4CC1">
        <w:rPr>
          <w:lang w:val="en-GB"/>
        </w:rPr>
        <w:t>s</w:t>
      </w:r>
      <w:r w:rsidR="00851359">
        <w:rPr>
          <w:lang w:val="en-GB"/>
        </w:rPr>
        <w:t xml:space="preserve"> significant demands on one’s social relations, reflexivity and capacity to engage in dialogue. </w:t>
      </w:r>
    </w:p>
    <w:p w14:paraId="4E849489" w14:textId="77777777" w:rsidR="00BE6DA5" w:rsidRDefault="00BE6DA5" w:rsidP="004552BC">
      <w:pPr>
        <w:rPr>
          <w:lang w:val="en-GB"/>
        </w:rPr>
      </w:pPr>
    </w:p>
    <w:p w14:paraId="4F43272E" w14:textId="34801173" w:rsidR="00BE6DA5" w:rsidRPr="004552BC" w:rsidRDefault="00BE6DA5" w:rsidP="004552BC">
      <w:pPr>
        <w:rPr>
          <w:b/>
          <w:i/>
          <w:lang w:val="en-GB"/>
        </w:rPr>
      </w:pPr>
      <w:r w:rsidRPr="004552BC">
        <w:rPr>
          <w:b/>
          <w:i/>
          <w:lang w:val="en-GB"/>
        </w:rPr>
        <w:t>A collective endeavour with students</w:t>
      </w:r>
    </w:p>
    <w:p w14:paraId="16468932" w14:textId="77777777" w:rsidR="004552BC" w:rsidRPr="00BE6DA5" w:rsidRDefault="004552BC" w:rsidP="004552BC">
      <w:pPr>
        <w:rPr>
          <w:i/>
          <w:lang w:val="en-GB"/>
        </w:rPr>
      </w:pPr>
    </w:p>
    <w:p w14:paraId="47F6865D" w14:textId="063A5FB0" w:rsidR="00B31F73" w:rsidRDefault="002E21B3" w:rsidP="004552BC">
      <w:pPr>
        <w:rPr>
          <w:lang w:val="en-GB"/>
        </w:rPr>
      </w:pPr>
      <w:r w:rsidRPr="00156914">
        <w:rPr>
          <w:lang w:val="en-GB"/>
        </w:rPr>
        <w:t>Teaching involves developing an understanding of one’s students, and the challenges t</w:t>
      </w:r>
      <w:r w:rsidR="00C35099">
        <w:rPr>
          <w:lang w:val="en-GB"/>
        </w:rPr>
        <w:t xml:space="preserve">hat they face as learners. </w:t>
      </w:r>
      <w:r w:rsidR="002A6180" w:rsidRPr="00156914">
        <w:rPr>
          <w:lang w:val="en-GB"/>
        </w:rPr>
        <w:t xml:space="preserve">If one does not understand what will inspire or intrigue one’s students, then one’s teaching will be lacklustre. Palmer </w:t>
      </w:r>
      <w:r w:rsidR="002A6180" w:rsidRPr="00156914">
        <w:rPr>
          <w:noProof/>
          <w:lang w:val="en-GB"/>
        </w:rPr>
        <w:t>(2009)</w:t>
      </w:r>
      <w:r w:rsidR="002A6180" w:rsidRPr="00156914">
        <w:rPr>
          <w:lang w:val="en-GB"/>
        </w:rPr>
        <w:t xml:space="preserve"> argued that it is essential to d</w:t>
      </w:r>
      <w:r w:rsidR="00C81834">
        <w:rPr>
          <w:lang w:val="en-GB"/>
        </w:rPr>
        <w:t>evelop good rapport with</w:t>
      </w:r>
      <w:r w:rsidR="002A6180" w:rsidRPr="00156914">
        <w:rPr>
          <w:lang w:val="en-GB"/>
        </w:rPr>
        <w:t xml:space="preserve"> student</w:t>
      </w:r>
      <w:r w:rsidR="00C81834">
        <w:rPr>
          <w:lang w:val="en-GB"/>
        </w:rPr>
        <w:t>s</w:t>
      </w:r>
      <w:r w:rsidR="002A6180" w:rsidRPr="00156914">
        <w:rPr>
          <w:lang w:val="en-GB"/>
        </w:rPr>
        <w:t xml:space="preserve">, both to find inspiration for the dedication that </w:t>
      </w:r>
      <w:r w:rsidR="00C81834">
        <w:rPr>
          <w:lang w:val="en-GB"/>
        </w:rPr>
        <w:t>is required as a teacher</w:t>
      </w:r>
      <w:r w:rsidR="002A6180">
        <w:rPr>
          <w:lang w:val="en-GB"/>
        </w:rPr>
        <w:t xml:space="preserve"> and to catalyse</w:t>
      </w:r>
      <w:r w:rsidR="002A6180" w:rsidRPr="00156914">
        <w:rPr>
          <w:lang w:val="en-GB"/>
        </w:rPr>
        <w:t xml:space="preserve"> the interest and engagem</w:t>
      </w:r>
      <w:r w:rsidR="002A6180">
        <w:rPr>
          <w:lang w:val="en-GB"/>
        </w:rPr>
        <w:t>ent of students</w:t>
      </w:r>
      <w:r w:rsidR="002A6180" w:rsidRPr="00156914">
        <w:rPr>
          <w:lang w:val="en-GB"/>
        </w:rPr>
        <w:t xml:space="preserve">. </w:t>
      </w:r>
      <w:r w:rsidR="00BE6DA5">
        <w:rPr>
          <w:lang w:val="en-GB"/>
        </w:rPr>
        <w:t>Lecturers will always need to come to understand the capacities and</w:t>
      </w:r>
      <w:r w:rsidR="00BE6DA5" w:rsidRPr="00156914">
        <w:rPr>
          <w:lang w:val="en-GB"/>
        </w:rPr>
        <w:t xml:space="preserve"> experiences that students brin</w:t>
      </w:r>
      <w:r w:rsidR="00C81834">
        <w:rPr>
          <w:lang w:val="en-GB"/>
        </w:rPr>
        <w:t>g with them to their studies</w:t>
      </w:r>
      <w:r w:rsidR="00BE6DA5">
        <w:rPr>
          <w:lang w:val="en-GB"/>
        </w:rPr>
        <w:t xml:space="preserve">. Constructive forms of collective reflexivity are needed for members of staff to appreciate their students. </w:t>
      </w:r>
      <w:r w:rsidR="00BE6DA5" w:rsidRPr="00156914">
        <w:rPr>
          <w:lang w:val="en-GB"/>
        </w:rPr>
        <w:t>Clearly it is possible to respond to perceived inadequacies in the student body with a fractured reflexivity that does not manifest itself in constructive action</w:t>
      </w:r>
      <w:r w:rsidR="00BE6DA5">
        <w:rPr>
          <w:lang w:val="en-GB"/>
        </w:rPr>
        <w:t xml:space="preserve"> </w:t>
      </w:r>
      <w:r w:rsidR="00BE6DA5">
        <w:rPr>
          <w:lang w:val="en-GB"/>
        </w:rPr>
        <w:sym w:font="Symbol" w:char="F02D"/>
      </w:r>
      <w:r w:rsidR="00BE6DA5">
        <w:rPr>
          <w:lang w:val="en-GB"/>
        </w:rPr>
        <w:t xml:space="preserve"> in </w:t>
      </w:r>
      <w:r w:rsidR="003A2D51">
        <w:rPr>
          <w:lang w:val="en-GB"/>
        </w:rPr>
        <w:t>time-honoured</w:t>
      </w:r>
      <w:r w:rsidR="00BE6DA5">
        <w:rPr>
          <w:lang w:val="en-GB"/>
        </w:rPr>
        <w:t xml:space="preserve"> fashion</w:t>
      </w:r>
      <w:r w:rsidR="00BE6DA5">
        <w:rPr>
          <w:lang w:val="en-GB"/>
        </w:rPr>
        <w:softHyphen/>
      </w:r>
      <w:r w:rsidR="00BE6DA5" w:rsidRPr="00156914">
        <w:rPr>
          <w:lang w:val="en-GB"/>
        </w:rPr>
        <w:t>.</w:t>
      </w:r>
      <w:r w:rsidR="00BE6DA5">
        <w:rPr>
          <w:lang w:val="en-GB"/>
        </w:rPr>
        <w:t xml:space="preserve"> </w:t>
      </w:r>
      <w:r w:rsidR="00851359">
        <w:rPr>
          <w:lang w:val="en-GB"/>
        </w:rPr>
        <w:t xml:space="preserve">Even without change in society, the interests and capacities of students are inherently different from those of their teachers. </w:t>
      </w:r>
      <w:r w:rsidR="00B31F73">
        <w:rPr>
          <w:lang w:val="en-GB"/>
        </w:rPr>
        <w:t>I</w:t>
      </w:r>
      <w:r w:rsidR="00B31F73" w:rsidRPr="00156914">
        <w:rPr>
          <w:lang w:val="en-GB"/>
        </w:rPr>
        <w:t>t is easy</w:t>
      </w:r>
      <w:r w:rsidR="00B31F73">
        <w:rPr>
          <w:lang w:val="en-GB"/>
        </w:rPr>
        <w:t>, for instance,</w:t>
      </w:r>
      <w:r w:rsidR="00B31F73" w:rsidRPr="00156914">
        <w:rPr>
          <w:lang w:val="en-GB"/>
        </w:rPr>
        <w:t xml:space="preserve"> for lecturers to forget the uncertainties and challenges that mark out learning as a difficult. Work on threshold concepts has been helpful in drawing close attention to these challenges</w:t>
      </w:r>
      <w:r w:rsidR="00851359">
        <w:rPr>
          <w:lang w:val="en-GB"/>
        </w:rPr>
        <w:t xml:space="preserve"> </w:t>
      </w:r>
      <w:r w:rsidR="004001EF">
        <w:rPr>
          <w:noProof/>
          <w:lang w:val="en-GB"/>
        </w:rPr>
        <w:t>(Meyer &amp; Land</w:t>
      </w:r>
      <w:r w:rsidR="00851359">
        <w:rPr>
          <w:noProof/>
          <w:lang w:val="en-GB"/>
        </w:rPr>
        <w:t xml:space="preserve"> 2006)</w:t>
      </w:r>
      <w:r w:rsidR="00B31F73" w:rsidRPr="00156914">
        <w:rPr>
          <w:lang w:val="en-GB"/>
        </w:rPr>
        <w:t>. Learning to teach should incorporate an explicit engagement w</w:t>
      </w:r>
      <w:r w:rsidR="00C81834">
        <w:rPr>
          <w:lang w:val="en-GB"/>
        </w:rPr>
        <w:t xml:space="preserve">ith understanding the </w:t>
      </w:r>
      <w:r w:rsidR="00B31F73" w:rsidRPr="00156914">
        <w:rPr>
          <w:lang w:val="en-GB"/>
        </w:rPr>
        <w:t xml:space="preserve">challenges that students </w:t>
      </w:r>
      <w:r w:rsidR="00DF4CC1">
        <w:rPr>
          <w:lang w:val="en-GB"/>
        </w:rPr>
        <w:t xml:space="preserve">face </w:t>
      </w:r>
      <w:r w:rsidR="00B31F73" w:rsidRPr="00156914">
        <w:rPr>
          <w:lang w:val="en-GB"/>
        </w:rPr>
        <w:t>in developing mastery within their subjects. Shulman (1986), indeed, highlighted this as a central aspect of pedagogic</w:t>
      </w:r>
      <w:r w:rsidR="00851359">
        <w:rPr>
          <w:lang w:val="en-GB"/>
        </w:rPr>
        <w:t>al</w:t>
      </w:r>
      <w:r w:rsidR="00B31F73" w:rsidRPr="00156914">
        <w:rPr>
          <w:lang w:val="en-GB"/>
        </w:rPr>
        <w:t xml:space="preserve"> content knowledge.  </w:t>
      </w:r>
    </w:p>
    <w:p w14:paraId="18842B43" w14:textId="20AB229B" w:rsidR="00BE6DA5" w:rsidRDefault="00BE6DA5" w:rsidP="004552BC">
      <w:pPr>
        <w:rPr>
          <w:lang w:val="en-GB"/>
        </w:rPr>
      </w:pPr>
      <w:r>
        <w:rPr>
          <w:lang w:val="en-GB"/>
        </w:rPr>
        <w:t>Social relations between</w:t>
      </w:r>
      <w:r w:rsidR="00DF4CC1">
        <w:rPr>
          <w:lang w:val="en-GB"/>
        </w:rPr>
        <w:t xml:space="preserve"> staff</w:t>
      </w:r>
      <w:r>
        <w:rPr>
          <w:lang w:val="en-GB"/>
        </w:rPr>
        <w:t xml:space="preserve"> and students are thus an essential consideration in what constitutes excellent teaching. </w:t>
      </w:r>
      <w:r w:rsidRPr="00156914">
        <w:rPr>
          <w:lang w:val="en-GB"/>
        </w:rPr>
        <w:t>The quality of the social relations that are maintained through different modes of teaching is important</w:t>
      </w:r>
      <w:r>
        <w:rPr>
          <w:lang w:val="en-GB"/>
        </w:rPr>
        <w:t xml:space="preserve"> to consider</w:t>
      </w:r>
      <w:r w:rsidRPr="00156914">
        <w:rPr>
          <w:lang w:val="en-GB"/>
        </w:rPr>
        <w:t xml:space="preserve"> – doubling the size of a seminar group or cutting out personal tutorials </w:t>
      </w:r>
      <w:r>
        <w:rPr>
          <w:lang w:val="en-GB"/>
        </w:rPr>
        <w:t xml:space="preserve">affect the nature of the </w:t>
      </w:r>
      <w:r w:rsidR="00C81834">
        <w:rPr>
          <w:lang w:val="en-GB"/>
        </w:rPr>
        <w:t xml:space="preserve">social </w:t>
      </w:r>
      <w:r>
        <w:rPr>
          <w:lang w:val="en-GB"/>
        </w:rPr>
        <w:t xml:space="preserve">relations in place. </w:t>
      </w:r>
      <w:r w:rsidR="00225AE5">
        <w:rPr>
          <w:lang w:val="en-GB"/>
        </w:rPr>
        <w:t xml:space="preserve">Different teaching methods affect the scope for dialogue with students as an integral feature of learning. </w:t>
      </w:r>
      <w:r w:rsidRPr="00156914">
        <w:rPr>
          <w:lang w:val="en-GB"/>
        </w:rPr>
        <w:t xml:space="preserve">There may be scope for a shared determination of </w:t>
      </w:r>
      <w:r w:rsidR="00225AE5">
        <w:rPr>
          <w:lang w:val="en-GB"/>
        </w:rPr>
        <w:t>what is entailed in learning</w:t>
      </w:r>
      <w:r>
        <w:rPr>
          <w:lang w:val="en-GB"/>
        </w:rPr>
        <w:t>, as is</w:t>
      </w:r>
      <w:r w:rsidR="00225AE5">
        <w:rPr>
          <w:lang w:val="en-GB"/>
        </w:rPr>
        <w:t xml:space="preserve"> often</w:t>
      </w:r>
      <w:r w:rsidRPr="00156914">
        <w:rPr>
          <w:lang w:val="en-GB"/>
        </w:rPr>
        <w:t xml:space="preserve"> the case in enquiry-based learning or when students undertake research as a part of their studies</w:t>
      </w:r>
      <w:r w:rsidR="00AE7573">
        <w:rPr>
          <w:lang w:val="en-GB"/>
        </w:rPr>
        <w:t xml:space="preserve"> </w:t>
      </w:r>
      <w:r w:rsidR="00225AE5" w:rsidRPr="00225AE5">
        <w:rPr>
          <w:rFonts w:eastAsia="Times New Roman"/>
        </w:rPr>
        <w:t>(Kahn &amp; O’Rourke, 2004)</w:t>
      </w:r>
      <w:r w:rsidRPr="00156914">
        <w:rPr>
          <w:lang w:val="en-GB"/>
        </w:rPr>
        <w:t>.</w:t>
      </w:r>
      <w:r>
        <w:rPr>
          <w:lang w:val="en-GB"/>
        </w:rPr>
        <w:t xml:space="preserve"> </w:t>
      </w:r>
      <w:r w:rsidR="00821FC3">
        <w:rPr>
          <w:lang w:val="en-GB"/>
        </w:rPr>
        <w:t>Kahn (2014) suggested that such modes of learning may result in students exercising higher levels of agency in relation to their own learning. S</w:t>
      </w:r>
      <w:r>
        <w:rPr>
          <w:lang w:val="en-GB"/>
        </w:rPr>
        <w:t>imilarly</w:t>
      </w:r>
      <w:r w:rsidR="00225AE5">
        <w:rPr>
          <w:lang w:val="en-GB"/>
        </w:rPr>
        <w:t>,</w:t>
      </w:r>
      <w:r>
        <w:rPr>
          <w:lang w:val="en-GB"/>
        </w:rPr>
        <w:t xml:space="preserve"> th</w:t>
      </w:r>
      <w:r w:rsidR="00C81834">
        <w:rPr>
          <w:lang w:val="en-GB"/>
        </w:rPr>
        <w:t>e organisation of</w:t>
      </w:r>
      <w:r>
        <w:rPr>
          <w:lang w:val="en-GB"/>
        </w:rPr>
        <w:t xml:space="preserve"> </w:t>
      </w:r>
      <w:r w:rsidR="00C81834">
        <w:rPr>
          <w:lang w:val="en-GB"/>
        </w:rPr>
        <w:t xml:space="preserve">university </w:t>
      </w:r>
      <w:r>
        <w:rPr>
          <w:lang w:val="en-GB"/>
        </w:rPr>
        <w:t>life</w:t>
      </w:r>
      <w:r w:rsidR="00C81834">
        <w:rPr>
          <w:lang w:val="en-GB"/>
        </w:rPr>
        <w:t xml:space="preserve"> beyond the classroom </w:t>
      </w:r>
      <w:r>
        <w:rPr>
          <w:lang w:val="en-GB"/>
        </w:rPr>
        <w:t xml:space="preserve">has a significant impact on the extent to which social relations are realistic between staff and students. </w:t>
      </w:r>
      <w:r w:rsidRPr="00156914">
        <w:rPr>
          <w:lang w:val="en-GB"/>
        </w:rPr>
        <w:t>Tutors historically maintained relatively close personal re</w:t>
      </w:r>
      <w:r w:rsidR="00C81834">
        <w:rPr>
          <w:lang w:val="en-GB"/>
        </w:rPr>
        <w:t>lations with their</w:t>
      </w:r>
      <w:r w:rsidRPr="00156914">
        <w:rPr>
          <w:lang w:val="en-GB"/>
        </w:rPr>
        <w:t xml:space="preserve"> students, although clearly there will have been extensive variation. </w:t>
      </w:r>
      <w:r w:rsidR="00225AE5">
        <w:rPr>
          <w:lang w:val="en-GB"/>
        </w:rPr>
        <w:t xml:space="preserve">John Henry </w:t>
      </w:r>
      <w:r w:rsidRPr="00156914">
        <w:rPr>
          <w:lang w:val="en-GB"/>
        </w:rPr>
        <w:t>Newman</w:t>
      </w:r>
      <w:r w:rsidR="00225AE5">
        <w:rPr>
          <w:lang w:val="en-GB"/>
        </w:rPr>
        <w:t xml:space="preserve"> </w:t>
      </w:r>
      <w:r w:rsidR="00225AE5">
        <w:rPr>
          <w:noProof/>
          <w:lang w:val="en-GB"/>
        </w:rPr>
        <w:t>(2008)</w:t>
      </w:r>
      <w:r w:rsidR="00C81834">
        <w:rPr>
          <w:lang w:val="en-GB"/>
        </w:rPr>
        <w:t xml:space="preserve"> observed</w:t>
      </w:r>
      <w:r w:rsidRPr="00156914">
        <w:rPr>
          <w:lang w:val="en-GB"/>
        </w:rPr>
        <w:t xml:space="preserve"> that he would rather dispense with examinations rather than with the requir</w:t>
      </w:r>
      <w:r w:rsidR="00C81834">
        <w:rPr>
          <w:lang w:val="en-GB"/>
        </w:rPr>
        <w:t xml:space="preserve">ement to live as a resident </w:t>
      </w:r>
      <w:r w:rsidRPr="00156914">
        <w:rPr>
          <w:lang w:val="en-GB"/>
        </w:rPr>
        <w:t xml:space="preserve">in a college. </w:t>
      </w:r>
      <w:r w:rsidR="00A25D1B">
        <w:rPr>
          <w:lang w:val="en-GB"/>
        </w:rPr>
        <w:t>A</w:t>
      </w:r>
      <w:r>
        <w:rPr>
          <w:lang w:val="en-GB"/>
        </w:rPr>
        <w:t xml:space="preserve"> </w:t>
      </w:r>
      <w:r w:rsidRPr="00156914">
        <w:rPr>
          <w:lang w:val="en-GB"/>
        </w:rPr>
        <w:t>clear rationale exists for the make up of</w:t>
      </w:r>
      <w:r w:rsidR="00821FC3">
        <w:rPr>
          <w:lang w:val="en-GB"/>
        </w:rPr>
        <w:t xml:space="preserve"> the </w:t>
      </w:r>
      <w:r w:rsidR="00DF4CC1">
        <w:rPr>
          <w:lang w:val="en-GB"/>
        </w:rPr>
        <w:t>academic staff</w:t>
      </w:r>
      <w:r w:rsidRPr="00156914">
        <w:rPr>
          <w:lang w:val="en-GB"/>
        </w:rPr>
        <w:t xml:space="preserve"> to re</w:t>
      </w:r>
      <w:r w:rsidR="00225AE5">
        <w:rPr>
          <w:lang w:val="en-GB"/>
        </w:rPr>
        <w:t xml:space="preserve">flect the student body, as Astin </w:t>
      </w:r>
      <w:r w:rsidR="00225AE5">
        <w:rPr>
          <w:noProof/>
          <w:lang w:val="en-GB"/>
        </w:rPr>
        <w:t>(1993)</w:t>
      </w:r>
      <w:r w:rsidR="00225AE5">
        <w:rPr>
          <w:lang w:val="en-GB"/>
        </w:rPr>
        <w:t xml:space="preserve"> argued</w:t>
      </w:r>
      <w:r w:rsidRPr="00156914">
        <w:rPr>
          <w:lang w:val="en-GB"/>
        </w:rPr>
        <w:t>. The relational goods that are present within an ethnic community convey a significant advantage in establishing relations between staff and students from that community, providing a basis for communi</w:t>
      </w:r>
      <w:r>
        <w:rPr>
          <w:lang w:val="en-GB"/>
        </w:rPr>
        <w:t>cative reflexivity and for the establishment of trust</w:t>
      </w:r>
      <w:r w:rsidRPr="00156914">
        <w:rPr>
          <w:lang w:val="en-GB"/>
        </w:rPr>
        <w:t xml:space="preserve">. </w:t>
      </w:r>
      <w:r w:rsidR="00A25D1B">
        <w:rPr>
          <w:lang w:val="en-GB"/>
        </w:rPr>
        <w:t>N</w:t>
      </w:r>
      <w:r>
        <w:rPr>
          <w:lang w:val="en-GB"/>
        </w:rPr>
        <w:t>ew pu</w:t>
      </w:r>
      <w:r w:rsidRPr="00156914">
        <w:rPr>
          <w:lang w:val="en-GB"/>
        </w:rPr>
        <w:t>blic management</w:t>
      </w:r>
      <w:r>
        <w:rPr>
          <w:lang w:val="en-GB"/>
        </w:rPr>
        <w:t xml:space="preserve"> has gained extensive ground in universities in recent years</w:t>
      </w:r>
      <w:r w:rsidR="0068078E">
        <w:rPr>
          <w:lang w:val="en-GB"/>
        </w:rPr>
        <w:t xml:space="preserve"> </w:t>
      </w:r>
      <w:r w:rsidR="004001EF">
        <w:rPr>
          <w:noProof/>
          <w:lang w:val="en-GB"/>
        </w:rPr>
        <w:t xml:space="preserve">(De Boer, Enders, &amp; Schimank </w:t>
      </w:r>
      <w:r w:rsidR="0068078E">
        <w:rPr>
          <w:noProof/>
          <w:lang w:val="en-GB"/>
        </w:rPr>
        <w:t>2007)</w:t>
      </w:r>
      <w:r>
        <w:rPr>
          <w:lang w:val="en-GB"/>
        </w:rPr>
        <w:t xml:space="preserve">, but this approach to management </w:t>
      </w:r>
      <w:r w:rsidRPr="00156914">
        <w:rPr>
          <w:lang w:val="en-GB"/>
        </w:rPr>
        <w:t>tend</w:t>
      </w:r>
      <w:r>
        <w:rPr>
          <w:lang w:val="en-GB"/>
        </w:rPr>
        <w:t>s</w:t>
      </w:r>
      <w:r w:rsidRPr="00156914">
        <w:rPr>
          <w:lang w:val="en-GB"/>
        </w:rPr>
        <w:t xml:space="preserve"> to neglect the releva</w:t>
      </w:r>
      <w:r>
        <w:rPr>
          <w:lang w:val="en-GB"/>
        </w:rPr>
        <w:t>nce of social relations in a</w:t>
      </w:r>
      <w:r w:rsidRPr="00156914">
        <w:rPr>
          <w:lang w:val="en-GB"/>
        </w:rPr>
        <w:t xml:space="preserve"> search for efficiency gains</w:t>
      </w:r>
      <w:r w:rsidR="0068078E">
        <w:rPr>
          <w:lang w:val="en-GB"/>
        </w:rPr>
        <w:t>. A</w:t>
      </w:r>
      <w:r w:rsidRPr="00156914">
        <w:rPr>
          <w:lang w:val="en-GB"/>
        </w:rPr>
        <w:t xml:space="preserve"> focus on social relations between staff and students is</w:t>
      </w:r>
      <w:r w:rsidR="0068078E">
        <w:rPr>
          <w:lang w:val="en-GB"/>
        </w:rPr>
        <w:t xml:space="preserve"> similarly </w:t>
      </w:r>
      <w:r w:rsidRPr="00156914">
        <w:rPr>
          <w:lang w:val="en-GB"/>
        </w:rPr>
        <w:t>absent from the perspectives</w:t>
      </w:r>
      <w:r w:rsidR="00A25D1B">
        <w:rPr>
          <w:lang w:val="en-GB"/>
        </w:rPr>
        <w:t xml:space="preserve"> noted earlier in the ch</w:t>
      </w:r>
      <w:r w:rsidR="0068078E">
        <w:rPr>
          <w:lang w:val="en-GB"/>
        </w:rPr>
        <w:t>a</w:t>
      </w:r>
      <w:r w:rsidR="00A25D1B">
        <w:rPr>
          <w:lang w:val="en-GB"/>
        </w:rPr>
        <w:t>p</w:t>
      </w:r>
      <w:r w:rsidR="0068078E">
        <w:rPr>
          <w:lang w:val="en-GB"/>
        </w:rPr>
        <w:t>ter</w:t>
      </w:r>
      <w:r w:rsidRPr="00156914">
        <w:rPr>
          <w:lang w:val="en-GB"/>
        </w:rPr>
        <w:t xml:space="preserve"> that are </w:t>
      </w:r>
      <w:r w:rsidR="00225AE5">
        <w:rPr>
          <w:lang w:val="en-GB"/>
        </w:rPr>
        <w:t xml:space="preserve">typically </w:t>
      </w:r>
      <w:r w:rsidRPr="00156914">
        <w:rPr>
          <w:lang w:val="en-GB"/>
        </w:rPr>
        <w:t xml:space="preserve">promoted in programmes of professional development </w:t>
      </w:r>
      <w:r w:rsidR="0068078E">
        <w:rPr>
          <w:lang w:val="en-GB"/>
        </w:rPr>
        <w:t>on teaching.</w:t>
      </w:r>
      <w:r w:rsidR="00A25D1B">
        <w:rPr>
          <w:lang w:val="en-GB"/>
        </w:rPr>
        <w:t xml:space="preserve"> I</w:t>
      </w:r>
      <w:r w:rsidR="0068078E">
        <w:rPr>
          <w:lang w:val="en-GB"/>
        </w:rPr>
        <w:t xml:space="preserve">f education in universities is conceived to be mutually determined, then the possibilities of emancipation for students are significantly enhanced. </w:t>
      </w:r>
    </w:p>
    <w:p w14:paraId="5A54AD1A" w14:textId="77777777" w:rsidR="004311DF" w:rsidRDefault="004311DF" w:rsidP="004552BC">
      <w:pPr>
        <w:rPr>
          <w:lang w:val="en-GB"/>
        </w:rPr>
      </w:pPr>
    </w:p>
    <w:p w14:paraId="7AAAD4BA" w14:textId="77777777" w:rsidR="007D7EE2" w:rsidRPr="004552BC" w:rsidRDefault="007D7EE2" w:rsidP="004552BC">
      <w:pPr>
        <w:rPr>
          <w:b/>
          <w:i/>
          <w:lang w:val="en-GB"/>
        </w:rPr>
      </w:pPr>
      <w:r w:rsidRPr="004552BC">
        <w:rPr>
          <w:b/>
          <w:i/>
          <w:lang w:val="en-GB"/>
        </w:rPr>
        <w:t>Teaching together</w:t>
      </w:r>
    </w:p>
    <w:p w14:paraId="2B09EE79" w14:textId="77777777" w:rsidR="004552BC" w:rsidRPr="00156914" w:rsidRDefault="004552BC" w:rsidP="004552BC">
      <w:pPr>
        <w:rPr>
          <w:i/>
          <w:lang w:val="en-GB"/>
        </w:rPr>
      </w:pPr>
    </w:p>
    <w:p w14:paraId="014D7CE7" w14:textId="47D8D48B" w:rsidR="004B05FC" w:rsidRPr="003C5FD4" w:rsidRDefault="00037A13" w:rsidP="004552BC">
      <w:pPr>
        <w:rPr>
          <w:lang w:val="en-GB"/>
        </w:rPr>
      </w:pPr>
      <w:r>
        <w:rPr>
          <w:lang w:val="en-GB"/>
        </w:rPr>
        <w:t>S</w:t>
      </w:r>
      <w:r w:rsidR="007D7EE2" w:rsidRPr="00156914">
        <w:rPr>
          <w:lang w:val="en-GB"/>
        </w:rPr>
        <w:t>ome aspects of teaching are constituted on an overtly collective basis.</w:t>
      </w:r>
      <w:r w:rsidR="005A4FF9" w:rsidRPr="00156914">
        <w:rPr>
          <w:lang w:val="en-GB"/>
        </w:rPr>
        <w:t xml:space="preserve"> </w:t>
      </w:r>
      <w:r w:rsidR="00A630A1">
        <w:rPr>
          <w:rFonts w:eastAsia="Times New Roman"/>
          <w:lang w:val="en-GB"/>
        </w:rPr>
        <w:t xml:space="preserve">Team teaching offers particular possibilities for learning to teach. </w:t>
      </w:r>
      <w:r w:rsidR="00A630A1" w:rsidRPr="00156914">
        <w:rPr>
          <w:rFonts w:eastAsia="Times New Roman"/>
          <w:lang w:val="en-GB"/>
        </w:rPr>
        <w:t xml:space="preserve">Archer (2000, pp. 182–184) argued that </w:t>
      </w:r>
      <w:r w:rsidRPr="00156914">
        <w:rPr>
          <w:rFonts w:eastAsia="Times New Roman"/>
          <w:lang w:val="en-GB"/>
        </w:rPr>
        <w:t xml:space="preserve">a sharing of practice is essential </w:t>
      </w:r>
      <w:r w:rsidR="00A630A1" w:rsidRPr="00156914">
        <w:rPr>
          <w:rFonts w:eastAsia="Times New Roman"/>
          <w:lang w:val="en-GB"/>
        </w:rPr>
        <w:t>for new forms of discursive knowl</w:t>
      </w:r>
      <w:r>
        <w:rPr>
          <w:rFonts w:eastAsia="Times New Roman"/>
          <w:lang w:val="en-GB"/>
        </w:rPr>
        <w:t>edge to impact on practice</w:t>
      </w:r>
      <w:r w:rsidR="00A630A1" w:rsidRPr="00156914">
        <w:rPr>
          <w:rFonts w:eastAsia="Times New Roman"/>
          <w:lang w:val="en-GB"/>
        </w:rPr>
        <w:t>.</w:t>
      </w:r>
      <w:r w:rsidR="00A630A1">
        <w:rPr>
          <w:rFonts w:eastAsia="Times New Roman"/>
          <w:lang w:val="en-GB"/>
        </w:rPr>
        <w:t xml:space="preserve"> There is similarly scope for shared practice to ground</w:t>
      </w:r>
      <w:r w:rsidR="003C5FD4">
        <w:rPr>
          <w:rFonts w:eastAsia="Times New Roman"/>
          <w:lang w:val="en-GB"/>
        </w:rPr>
        <w:t xml:space="preserve"> the process of learning for inexperienced</w:t>
      </w:r>
      <w:r w:rsidR="00A630A1">
        <w:rPr>
          <w:rFonts w:eastAsia="Times New Roman"/>
          <w:lang w:val="en-GB"/>
        </w:rPr>
        <w:t xml:space="preserve"> members of staff. When someone new </w:t>
      </w:r>
      <w:r w:rsidR="003C5FD4">
        <w:rPr>
          <w:rFonts w:eastAsia="Times New Roman"/>
          <w:lang w:val="en-GB"/>
        </w:rPr>
        <w:t>to teaching is first</w:t>
      </w:r>
      <w:r w:rsidR="00A630A1">
        <w:rPr>
          <w:rFonts w:eastAsia="Times New Roman"/>
          <w:lang w:val="en-GB"/>
        </w:rPr>
        <w:t xml:space="preserve"> faced wit</w:t>
      </w:r>
      <w:r w:rsidR="003C5FD4">
        <w:rPr>
          <w:rFonts w:eastAsia="Times New Roman"/>
          <w:lang w:val="en-GB"/>
        </w:rPr>
        <w:t>h the uncertainties of their</w:t>
      </w:r>
      <w:r w:rsidR="00A630A1">
        <w:rPr>
          <w:rFonts w:eastAsia="Times New Roman"/>
          <w:lang w:val="en-GB"/>
        </w:rPr>
        <w:t xml:space="preserve"> professional environment, there is scope for a collective reflexivity that helps them to chart their own way forward, on a similar basis to communicative reflexivity. </w:t>
      </w:r>
      <w:r w:rsidR="00DB4270">
        <w:rPr>
          <w:rFonts w:eastAsia="Times New Roman"/>
          <w:lang w:val="en-GB"/>
        </w:rPr>
        <w:t xml:space="preserve">Shulman </w:t>
      </w:r>
      <w:r w:rsidR="00DB4270">
        <w:rPr>
          <w:rFonts w:eastAsia="Times New Roman"/>
          <w:noProof/>
          <w:lang w:val="en-GB"/>
        </w:rPr>
        <w:t>(2005)</w:t>
      </w:r>
      <w:r w:rsidR="00DB4270">
        <w:rPr>
          <w:rFonts w:eastAsia="Times New Roman"/>
          <w:lang w:val="en-GB"/>
        </w:rPr>
        <w:t xml:space="preserve"> argued that many settings for professional education incorporate signature pedagogies, characteristic forms of teaching and learning. There is significant overlap between signature pedagogies offered </w:t>
      </w:r>
      <w:r w:rsidR="00324C65">
        <w:rPr>
          <w:rFonts w:eastAsia="Times New Roman"/>
          <w:lang w:val="en-GB"/>
        </w:rPr>
        <w:t>by Shulman (2005) and the presence of di</w:t>
      </w:r>
      <w:r w:rsidR="00DB4270">
        <w:rPr>
          <w:rFonts w:eastAsia="Times New Roman"/>
          <w:lang w:val="en-GB"/>
        </w:rPr>
        <w:t xml:space="preserve">stinctive professional environments. </w:t>
      </w:r>
      <w:r w:rsidR="00324C65">
        <w:rPr>
          <w:rFonts w:eastAsia="Times New Roman"/>
          <w:lang w:val="en-GB"/>
        </w:rPr>
        <w:t xml:space="preserve">Signature pedagogies are closely grounded in </w:t>
      </w:r>
      <w:r w:rsidR="00A630A1">
        <w:rPr>
          <w:rFonts w:eastAsia="Times New Roman"/>
          <w:lang w:val="en-GB"/>
        </w:rPr>
        <w:t xml:space="preserve">particular </w:t>
      </w:r>
      <w:r w:rsidR="00324C65">
        <w:rPr>
          <w:rFonts w:eastAsia="Times New Roman"/>
          <w:lang w:val="en-GB"/>
        </w:rPr>
        <w:t>socio</w:t>
      </w:r>
      <w:r w:rsidR="00A630A1">
        <w:rPr>
          <w:rFonts w:eastAsia="Times New Roman"/>
          <w:lang w:val="en-GB"/>
        </w:rPr>
        <w:t>material settings, whethe</w:t>
      </w:r>
      <w:r w:rsidR="00324C65">
        <w:rPr>
          <w:lang w:val="en-GB"/>
        </w:rPr>
        <w:t xml:space="preserve">r </w:t>
      </w:r>
      <w:r w:rsidR="005A4FF9" w:rsidRPr="00156914">
        <w:rPr>
          <w:lang w:val="en-GB"/>
        </w:rPr>
        <w:t>studio</w:t>
      </w:r>
      <w:r w:rsidR="00324C65">
        <w:rPr>
          <w:lang w:val="en-GB"/>
        </w:rPr>
        <w:t>s</w:t>
      </w:r>
      <w:r w:rsidR="005A4FF9" w:rsidRPr="00156914">
        <w:rPr>
          <w:lang w:val="en-GB"/>
        </w:rPr>
        <w:t>, field</w:t>
      </w:r>
      <w:r w:rsidR="00324C65">
        <w:rPr>
          <w:lang w:val="en-GB"/>
        </w:rPr>
        <w:t>s</w:t>
      </w:r>
      <w:r w:rsidR="005A4FF9" w:rsidRPr="00156914">
        <w:rPr>
          <w:lang w:val="en-GB"/>
        </w:rPr>
        <w:t>, stage</w:t>
      </w:r>
      <w:r w:rsidR="00324C65">
        <w:rPr>
          <w:lang w:val="en-GB"/>
        </w:rPr>
        <w:t>s</w:t>
      </w:r>
      <w:r w:rsidR="005A4FF9" w:rsidRPr="00156914">
        <w:rPr>
          <w:lang w:val="en-GB"/>
        </w:rPr>
        <w:t>, operating theatre</w:t>
      </w:r>
      <w:r w:rsidR="00324C65">
        <w:rPr>
          <w:lang w:val="en-GB"/>
        </w:rPr>
        <w:t>s, laboratories</w:t>
      </w:r>
      <w:r w:rsidR="005A4FF9" w:rsidRPr="00156914">
        <w:rPr>
          <w:lang w:val="en-GB"/>
        </w:rPr>
        <w:t xml:space="preserve"> and so on. </w:t>
      </w:r>
      <w:r w:rsidR="00A630A1">
        <w:rPr>
          <w:lang w:val="en-GB"/>
        </w:rPr>
        <w:t xml:space="preserve">Such settings provide extensive opportunities for shared practice and for collective reflexivity, whether resulting from interactions around equipment, common tasks, residency and so on. In order to </w:t>
      </w:r>
      <w:r w:rsidR="007D7EE2" w:rsidRPr="00156914">
        <w:rPr>
          <w:lang w:val="en-GB"/>
        </w:rPr>
        <w:t>te</w:t>
      </w:r>
      <w:r w:rsidR="00A630A1">
        <w:rPr>
          <w:lang w:val="en-GB"/>
        </w:rPr>
        <w:t>ach together in these settings one needs to acquire a</w:t>
      </w:r>
      <w:r w:rsidR="007D7EE2" w:rsidRPr="00156914">
        <w:rPr>
          <w:lang w:val="en-GB"/>
        </w:rPr>
        <w:t xml:space="preserve"> familiarity and attentivenes</w:t>
      </w:r>
      <w:r w:rsidR="00A630A1">
        <w:rPr>
          <w:lang w:val="en-GB"/>
        </w:rPr>
        <w:t>s</w:t>
      </w:r>
      <w:r w:rsidR="005A4FF9" w:rsidRPr="00156914">
        <w:rPr>
          <w:lang w:val="en-GB"/>
        </w:rPr>
        <w:t xml:space="preserve"> that takes in the</w:t>
      </w:r>
      <w:r w:rsidR="007D7EE2" w:rsidRPr="00156914">
        <w:rPr>
          <w:lang w:val="en-GB"/>
        </w:rPr>
        <w:t xml:space="preserve"> social and material dimensions.</w:t>
      </w:r>
      <w:r w:rsidR="004B05FC">
        <w:rPr>
          <w:lang w:val="en-GB"/>
        </w:rPr>
        <w:t xml:space="preserve"> </w:t>
      </w:r>
      <w:r w:rsidR="004B05FC" w:rsidRPr="00156914">
        <w:rPr>
          <w:lang w:val="en-GB"/>
        </w:rPr>
        <w:t xml:space="preserve">In relation to learning within an operating theatre in medical education, for instance, Lyon and Brew </w:t>
      </w:r>
      <w:r w:rsidR="004B05FC" w:rsidRPr="00156914">
        <w:rPr>
          <w:noProof/>
          <w:lang w:val="en-GB"/>
        </w:rPr>
        <w:t>(2003)</w:t>
      </w:r>
      <w:r w:rsidR="004B05FC" w:rsidRPr="00156914">
        <w:rPr>
          <w:lang w:val="en-GB"/>
        </w:rPr>
        <w:t xml:space="preserve"> argued that the most successful students were able to attend to the immediate physical environment</w:t>
      </w:r>
      <w:r w:rsidR="00B01635">
        <w:rPr>
          <w:lang w:val="en-GB"/>
        </w:rPr>
        <w:t xml:space="preserve"> and</w:t>
      </w:r>
      <w:r w:rsidR="00B01635" w:rsidRPr="00156914">
        <w:rPr>
          <w:lang w:val="en-GB"/>
        </w:rPr>
        <w:t xml:space="preserve"> the social relations that were present</w:t>
      </w:r>
      <w:r w:rsidR="004B05FC" w:rsidRPr="00156914">
        <w:rPr>
          <w:lang w:val="en-GB"/>
        </w:rPr>
        <w:t xml:space="preserve">, </w:t>
      </w:r>
      <w:r w:rsidR="00B01635">
        <w:rPr>
          <w:lang w:val="en-GB"/>
        </w:rPr>
        <w:t xml:space="preserve">and they were able to relate </w:t>
      </w:r>
      <w:r w:rsidR="004B05FC" w:rsidRPr="00156914">
        <w:rPr>
          <w:lang w:val="en-GB"/>
        </w:rPr>
        <w:t>the em</w:t>
      </w:r>
      <w:r w:rsidR="00B01635">
        <w:rPr>
          <w:lang w:val="en-GB"/>
        </w:rPr>
        <w:t>otional impact of the surgery to their work and education</w:t>
      </w:r>
      <w:r w:rsidR="004B05FC" w:rsidRPr="00156914">
        <w:rPr>
          <w:lang w:val="en-GB"/>
        </w:rPr>
        <w:t xml:space="preserve">.  </w:t>
      </w:r>
    </w:p>
    <w:p w14:paraId="64D39395" w14:textId="4EAEE592" w:rsidR="0043560C" w:rsidRPr="00156914" w:rsidRDefault="0043560C" w:rsidP="004552BC">
      <w:pPr>
        <w:rPr>
          <w:lang w:val="en-GB"/>
        </w:rPr>
      </w:pPr>
    </w:p>
    <w:p w14:paraId="75AD4F7F" w14:textId="13C7C2C2" w:rsidR="00F0039F" w:rsidRPr="004552BC" w:rsidRDefault="00DB4270" w:rsidP="004552BC">
      <w:pPr>
        <w:rPr>
          <w:b/>
          <w:i/>
          <w:lang w:val="en-GB"/>
        </w:rPr>
      </w:pPr>
      <w:r w:rsidRPr="004552BC">
        <w:rPr>
          <w:b/>
          <w:i/>
          <w:lang w:val="en-GB"/>
        </w:rPr>
        <w:t>Collecti</w:t>
      </w:r>
      <w:r w:rsidR="00E14908" w:rsidRPr="004552BC">
        <w:rPr>
          <w:b/>
          <w:i/>
          <w:lang w:val="en-GB"/>
        </w:rPr>
        <w:t>ve responsibility for higher education</w:t>
      </w:r>
    </w:p>
    <w:p w14:paraId="0635F908" w14:textId="47FEDC05" w:rsidR="00DB4270" w:rsidRDefault="00DB4270" w:rsidP="004552BC">
      <w:pPr>
        <w:rPr>
          <w:lang w:val="en-GB"/>
        </w:rPr>
      </w:pPr>
      <w:r>
        <w:rPr>
          <w:lang w:val="en-GB"/>
        </w:rPr>
        <w:t>Curricula are established as result of</w:t>
      </w:r>
      <w:r w:rsidR="00FE3F2A">
        <w:rPr>
          <w:lang w:val="en-GB"/>
        </w:rPr>
        <w:t xml:space="preserve"> collective endeavour</w:t>
      </w:r>
      <w:r>
        <w:rPr>
          <w:lang w:val="en-GB"/>
        </w:rPr>
        <w:t>. A</w:t>
      </w:r>
      <w:r w:rsidR="00621D30" w:rsidRPr="00156914">
        <w:rPr>
          <w:lang w:val="en-GB"/>
        </w:rPr>
        <w:t xml:space="preserve"> curriculum represents a plan for learning </w:t>
      </w:r>
      <w:r w:rsidR="004001EF">
        <w:rPr>
          <w:noProof/>
          <w:lang w:val="en-GB"/>
        </w:rPr>
        <w:t xml:space="preserve">(Taba &amp; Spalding </w:t>
      </w:r>
      <w:r w:rsidR="00621D30" w:rsidRPr="00156914">
        <w:rPr>
          <w:noProof/>
          <w:lang w:val="en-GB"/>
        </w:rPr>
        <w:t>1962)</w:t>
      </w:r>
      <w:r w:rsidR="00621D30" w:rsidRPr="00156914">
        <w:rPr>
          <w:lang w:val="en-GB"/>
        </w:rPr>
        <w:t>. M</w:t>
      </w:r>
      <w:r>
        <w:rPr>
          <w:lang w:val="en-GB"/>
        </w:rPr>
        <w:t>ore specifically, we can view a curriculum</w:t>
      </w:r>
      <w:r w:rsidR="00621D30" w:rsidRPr="00156914">
        <w:rPr>
          <w:lang w:val="en-GB"/>
        </w:rPr>
        <w:t xml:space="preserve"> as an ordered series of foci for learning. </w:t>
      </w:r>
      <w:r w:rsidR="007D7EE2" w:rsidRPr="00156914">
        <w:rPr>
          <w:lang w:val="en-GB"/>
        </w:rPr>
        <w:t xml:space="preserve">It would in principle be possible to </w:t>
      </w:r>
      <w:r w:rsidR="00F0039F" w:rsidRPr="00156914">
        <w:rPr>
          <w:lang w:val="en-GB"/>
        </w:rPr>
        <w:t>envisage an apprentice</w:t>
      </w:r>
      <w:r w:rsidR="007D7EE2" w:rsidRPr="00156914">
        <w:rPr>
          <w:lang w:val="en-GB"/>
        </w:rPr>
        <w:t>ship</w:t>
      </w:r>
      <w:r w:rsidR="00F0039F" w:rsidRPr="00156914">
        <w:rPr>
          <w:lang w:val="en-GB"/>
        </w:rPr>
        <w:t xml:space="preserve"> model o</w:t>
      </w:r>
      <w:r w:rsidR="00E65634" w:rsidRPr="00156914">
        <w:rPr>
          <w:lang w:val="en-GB"/>
        </w:rPr>
        <w:t>f higher education, in which a</w:t>
      </w:r>
      <w:r w:rsidR="00621D30" w:rsidRPr="00156914">
        <w:rPr>
          <w:lang w:val="en-GB"/>
        </w:rPr>
        <w:t xml:space="preserve"> master passes on</w:t>
      </w:r>
      <w:r w:rsidR="00E65634" w:rsidRPr="00156914">
        <w:rPr>
          <w:lang w:val="en-GB"/>
        </w:rPr>
        <w:t xml:space="preserve"> his or her</w:t>
      </w:r>
      <w:r w:rsidR="00621D30" w:rsidRPr="00156914">
        <w:rPr>
          <w:lang w:val="en-GB"/>
        </w:rPr>
        <w:t xml:space="preserve"> expertise to one or more </w:t>
      </w:r>
      <w:r w:rsidR="00F0039F" w:rsidRPr="00156914">
        <w:rPr>
          <w:lang w:val="en-GB"/>
        </w:rPr>
        <w:t>apprentices</w:t>
      </w:r>
      <w:r w:rsidR="00E65634" w:rsidRPr="00156914">
        <w:rPr>
          <w:lang w:val="en-GB"/>
        </w:rPr>
        <w:t xml:space="preserve"> </w:t>
      </w:r>
      <w:r w:rsidR="004001EF">
        <w:rPr>
          <w:noProof/>
          <w:lang w:val="en-GB"/>
        </w:rPr>
        <w:t xml:space="preserve">(Lane </w:t>
      </w:r>
      <w:r w:rsidR="00E65634" w:rsidRPr="00156914">
        <w:rPr>
          <w:noProof/>
          <w:lang w:val="en-GB"/>
        </w:rPr>
        <w:t>2005)</w:t>
      </w:r>
      <w:r w:rsidR="00F0039F" w:rsidRPr="00156914">
        <w:rPr>
          <w:lang w:val="en-GB"/>
        </w:rPr>
        <w:t>.</w:t>
      </w:r>
      <w:r w:rsidR="00E65634" w:rsidRPr="00156914">
        <w:rPr>
          <w:lang w:val="en-GB"/>
        </w:rPr>
        <w:t xml:space="preserve"> </w:t>
      </w:r>
      <w:r w:rsidR="00C5324A">
        <w:rPr>
          <w:lang w:val="en-GB"/>
        </w:rPr>
        <w:t xml:space="preserve">The </w:t>
      </w:r>
      <w:r w:rsidR="00FE3F2A">
        <w:rPr>
          <w:lang w:val="en-GB"/>
        </w:rPr>
        <w:t>master might</w:t>
      </w:r>
      <w:r w:rsidR="00621D30" w:rsidRPr="00156914">
        <w:rPr>
          <w:lang w:val="en-GB"/>
        </w:rPr>
        <w:t xml:space="preserve"> determine the focus fo</w:t>
      </w:r>
      <w:r w:rsidR="00FE3F2A">
        <w:rPr>
          <w:lang w:val="en-GB"/>
        </w:rPr>
        <w:t>r learning on the basis of his or her</w:t>
      </w:r>
      <w:r w:rsidR="00621D30" w:rsidRPr="00156914">
        <w:rPr>
          <w:lang w:val="en-GB"/>
        </w:rPr>
        <w:t xml:space="preserve"> own acquired expertise</w:t>
      </w:r>
      <w:r w:rsidR="00E65634" w:rsidRPr="00156914">
        <w:rPr>
          <w:lang w:val="en-GB"/>
        </w:rPr>
        <w:t>.</w:t>
      </w:r>
      <w:r w:rsidR="00621D30" w:rsidRPr="00156914">
        <w:rPr>
          <w:lang w:val="en-GB"/>
        </w:rPr>
        <w:t xml:space="preserve"> </w:t>
      </w:r>
      <w:r w:rsidR="00FE3F2A">
        <w:rPr>
          <w:lang w:val="en-GB"/>
        </w:rPr>
        <w:t>H</w:t>
      </w:r>
      <w:r w:rsidR="00F0039F" w:rsidRPr="00156914">
        <w:rPr>
          <w:lang w:val="en-GB"/>
        </w:rPr>
        <w:t>igher education</w:t>
      </w:r>
      <w:r w:rsidR="00FE3F2A">
        <w:rPr>
          <w:lang w:val="en-GB"/>
        </w:rPr>
        <w:t>, however,</w:t>
      </w:r>
      <w:r w:rsidR="00B01635">
        <w:rPr>
          <w:lang w:val="en-GB"/>
        </w:rPr>
        <w:t xml:space="preserve"> almost from its very beginnings developed as a </w:t>
      </w:r>
      <w:r w:rsidR="00F0039F" w:rsidRPr="00156914">
        <w:rPr>
          <w:lang w:val="en-GB"/>
        </w:rPr>
        <w:t>communal form of education</w:t>
      </w:r>
      <w:r w:rsidR="00E65634" w:rsidRPr="00156914">
        <w:rPr>
          <w:lang w:val="en-GB"/>
        </w:rPr>
        <w:t xml:space="preserve"> in</w:t>
      </w:r>
      <w:r w:rsidR="00B01635">
        <w:rPr>
          <w:lang w:val="en-GB"/>
        </w:rPr>
        <w:t xml:space="preserve"> which the foci for learning were</w:t>
      </w:r>
      <w:r w:rsidR="00E65634" w:rsidRPr="00156914">
        <w:rPr>
          <w:lang w:val="en-GB"/>
        </w:rPr>
        <w:t xml:space="preserve"> establ</w:t>
      </w:r>
      <w:r w:rsidR="006E13B9">
        <w:rPr>
          <w:lang w:val="en-GB"/>
        </w:rPr>
        <w:t>ished on a collective</w:t>
      </w:r>
      <w:r w:rsidR="00E65634" w:rsidRPr="00156914">
        <w:rPr>
          <w:lang w:val="en-GB"/>
        </w:rPr>
        <w:t xml:space="preserve"> basis. </w:t>
      </w:r>
      <w:r w:rsidR="009D2A0B" w:rsidRPr="00156914">
        <w:rPr>
          <w:lang w:val="en-GB"/>
        </w:rPr>
        <w:t>Ridder-Symoens (2003)</w:t>
      </w:r>
      <w:r w:rsidR="00FE3F2A">
        <w:rPr>
          <w:lang w:val="en-GB"/>
        </w:rPr>
        <w:t>, indeed, demonstrated</w:t>
      </w:r>
      <w:r w:rsidR="006E13B9">
        <w:rPr>
          <w:lang w:val="en-GB"/>
        </w:rPr>
        <w:t xml:space="preserve"> that shared </w:t>
      </w:r>
      <w:r w:rsidR="009D2A0B" w:rsidRPr="00156914">
        <w:rPr>
          <w:lang w:val="en-GB"/>
        </w:rPr>
        <w:t>responsibility for determining the organisation of the studies to be pursued</w:t>
      </w:r>
      <w:r w:rsidR="00FE3F2A">
        <w:rPr>
          <w:lang w:val="en-GB"/>
        </w:rPr>
        <w:t xml:space="preserve"> in universities</w:t>
      </w:r>
      <w:r w:rsidR="009D2A0B" w:rsidRPr="00156914">
        <w:rPr>
          <w:lang w:val="en-GB"/>
        </w:rPr>
        <w:t xml:space="preserve"> was established </w:t>
      </w:r>
      <w:r w:rsidR="00FE3F2A" w:rsidRPr="00156914">
        <w:rPr>
          <w:lang w:val="en-GB"/>
        </w:rPr>
        <w:t>during medieval times</w:t>
      </w:r>
      <w:r w:rsidR="00FE3F2A">
        <w:rPr>
          <w:lang w:val="en-GB"/>
        </w:rPr>
        <w:t>.</w:t>
      </w:r>
      <w:r w:rsidR="007170C3" w:rsidRPr="00156914">
        <w:rPr>
          <w:lang w:val="en-GB"/>
        </w:rPr>
        <w:t xml:space="preserve"> Learning to teach involves learning to ac</w:t>
      </w:r>
      <w:r w:rsidR="00FE3F2A">
        <w:rPr>
          <w:lang w:val="en-GB"/>
        </w:rPr>
        <w:t>t as a member of an institution. If a lecturer or tutor</w:t>
      </w:r>
      <w:r w:rsidR="007170C3" w:rsidRPr="00156914">
        <w:rPr>
          <w:lang w:val="en-GB"/>
        </w:rPr>
        <w:t xml:space="preserve"> comes </w:t>
      </w:r>
      <w:r w:rsidR="00FE3F2A">
        <w:rPr>
          <w:lang w:val="en-GB"/>
        </w:rPr>
        <w:t xml:space="preserve">to a teaching role </w:t>
      </w:r>
      <w:r w:rsidR="007170C3" w:rsidRPr="00156914">
        <w:rPr>
          <w:lang w:val="en-GB"/>
        </w:rPr>
        <w:t>with the expectatio</w:t>
      </w:r>
      <w:r w:rsidR="00FE3F2A">
        <w:rPr>
          <w:lang w:val="en-GB"/>
        </w:rPr>
        <w:t>n of being able to frame a course of study as he or she</w:t>
      </w:r>
      <w:r w:rsidR="007170C3" w:rsidRPr="00156914">
        <w:rPr>
          <w:lang w:val="en-GB"/>
        </w:rPr>
        <w:t xml:space="preserve"> sees fit, then disappointment is likely to abound. </w:t>
      </w:r>
      <w:r w:rsidR="006E13B9">
        <w:rPr>
          <w:lang w:val="en-GB"/>
        </w:rPr>
        <w:t xml:space="preserve">An emergent form of co-action is again entailed in this aspect of teaching, one that also depends upon collective reflexivity. </w:t>
      </w:r>
      <w:r w:rsidR="007170C3" w:rsidRPr="00156914">
        <w:rPr>
          <w:lang w:val="en-GB"/>
        </w:rPr>
        <w:t>If a departmental or faculty committee has a role to approve the specification for</w:t>
      </w:r>
      <w:r w:rsidR="00FE3F2A">
        <w:rPr>
          <w:lang w:val="en-GB"/>
        </w:rPr>
        <w:t xml:space="preserve"> a module or programme, then in order to teach well one needs to recognise the legitimacy of this situation. </w:t>
      </w:r>
      <w:r w:rsidR="007170C3" w:rsidRPr="00156914">
        <w:rPr>
          <w:lang w:val="en-GB"/>
        </w:rPr>
        <w:t xml:space="preserve">Discussions with committee members prior to the </w:t>
      </w:r>
      <w:r w:rsidR="00FE3F2A">
        <w:rPr>
          <w:lang w:val="en-GB"/>
        </w:rPr>
        <w:t xml:space="preserve">meeting at which a </w:t>
      </w:r>
      <w:r w:rsidR="007170C3" w:rsidRPr="00156914">
        <w:rPr>
          <w:lang w:val="en-GB"/>
        </w:rPr>
        <w:t>decision</w:t>
      </w:r>
      <w:r w:rsidR="00FE3F2A">
        <w:rPr>
          <w:lang w:val="en-GB"/>
        </w:rPr>
        <w:t xml:space="preserve"> is to be made </w:t>
      </w:r>
      <w:r w:rsidR="007170C3" w:rsidRPr="00156914">
        <w:rPr>
          <w:lang w:val="en-GB"/>
        </w:rPr>
        <w:t>will seem entirely reasonable if the determination of the curriculum</w:t>
      </w:r>
      <w:r w:rsidR="006E13B9">
        <w:rPr>
          <w:lang w:val="en-GB"/>
        </w:rPr>
        <w:t xml:space="preserve"> is seen as a collective </w:t>
      </w:r>
      <w:r w:rsidR="00FE3F2A">
        <w:rPr>
          <w:lang w:val="en-GB"/>
        </w:rPr>
        <w:t>responsibility</w:t>
      </w:r>
      <w:r w:rsidR="007170C3" w:rsidRPr="00156914">
        <w:rPr>
          <w:lang w:val="en-GB"/>
        </w:rPr>
        <w:t>.</w:t>
      </w:r>
      <w:r w:rsidR="001A36DC">
        <w:rPr>
          <w:lang w:val="en-GB"/>
        </w:rPr>
        <w:t xml:space="preserve"> In the face of differences with colleagues, it can be only too easy to revert to criticism, complaint and anxiety – to fractured reflexivity.</w:t>
      </w:r>
    </w:p>
    <w:p w14:paraId="370E7159" w14:textId="77777777" w:rsidR="004552BC" w:rsidRDefault="00E14908" w:rsidP="004552BC">
      <w:pPr>
        <w:rPr>
          <w:lang w:val="en-GB"/>
        </w:rPr>
      </w:pPr>
      <w:r w:rsidRPr="00E14908">
        <w:rPr>
          <w:lang w:val="en-GB"/>
        </w:rPr>
        <w:tab/>
      </w:r>
    </w:p>
    <w:p w14:paraId="0D319458" w14:textId="401F318F" w:rsidR="00E14908" w:rsidRPr="00324C65" w:rsidRDefault="00E14908" w:rsidP="004552BC">
      <w:pPr>
        <w:rPr>
          <w:lang w:val="en-GB"/>
        </w:rPr>
      </w:pPr>
      <w:r>
        <w:rPr>
          <w:lang w:val="en-GB"/>
        </w:rPr>
        <w:t xml:space="preserve">Collective </w:t>
      </w:r>
      <w:r w:rsidRPr="00E14908">
        <w:rPr>
          <w:lang w:val="en-GB"/>
        </w:rPr>
        <w:t xml:space="preserve">responsibility for higher education </w:t>
      </w:r>
      <w:r>
        <w:rPr>
          <w:lang w:val="en-GB"/>
        </w:rPr>
        <w:t>is also in evidence in relation to the quality assurance and enhancement that institutions maintain, whether p</w:t>
      </w:r>
      <w:r w:rsidR="00156914" w:rsidRPr="00156914">
        <w:rPr>
          <w:lang w:val="en-GB"/>
        </w:rPr>
        <w:t xml:space="preserve">rogramme </w:t>
      </w:r>
      <w:r w:rsidR="00C5324A">
        <w:rPr>
          <w:lang w:val="en-GB"/>
        </w:rPr>
        <w:t xml:space="preserve">approval, </w:t>
      </w:r>
      <w:r w:rsidR="001A36DC">
        <w:rPr>
          <w:lang w:val="en-GB"/>
        </w:rPr>
        <w:t>monitoring of programmes</w:t>
      </w:r>
      <w:r w:rsidR="00C5324A">
        <w:rPr>
          <w:lang w:val="en-GB"/>
        </w:rPr>
        <w:t>,</w:t>
      </w:r>
      <w:r w:rsidR="001A36DC">
        <w:rPr>
          <w:lang w:val="en-GB"/>
        </w:rPr>
        <w:t xml:space="preserve"> periodic r</w:t>
      </w:r>
      <w:r w:rsidR="00156914" w:rsidRPr="00156914">
        <w:rPr>
          <w:lang w:val="en-GB"/>
        </w:rPr>
        <w:t xml:space="preserve">eview </w:t>
      </w:r>
      <w:r w:rsidR="001A36DC">
        <w:rPr>
          <w:lang w:val="en-GB"/>
        </w:rPr>
        <w:t>of programmes</w:t>
      </w:r>
      <w:r>
        <w:rPr>
          <w:lang w:val="en-GB"/>
        </w:rPr>
        <w:t xml:space="preserve">. It is important to develop the </w:t>
      </w:r>
      <w:r w:rsidR="00736E4B">
        <w:rPr>
          <w:lang w:val="en-GB"/>
        </w:rPr>
        <w:t xml:space="preserve">capacity to offer constructive </w:t>
      </w:r>
      <w:r>
        <w:rPr>
          <w:lang w:val="en-GB"/>
        </w:rPr>
        <w:t>peer review when learning to teach</w:t>
      </w:r>
      <w:r w:rsidR="00736E4B">
        <w:rPr>
          <w:lang w:val="en-GB"/>
        </w:rPr>
        <w:t>, as well as the capacity to respond well to the critique of others</w:t>
      </w:r>
      <w:r>
        <w:rPr>
          <w:lang w:val="en-GB"/>
        </w:rPr>
        <w:t>. Some institutions have begun to exercise more direct forms of control over teaching – but there is clearly a danger that imposing particular modes of teaching</w:t>
      </w:r>
      <w:r w:rsidR="00C526BD">
        <w:rPr>
          <w:lang w:val="en-GB"/>
        </w:rPr>
        <w:t xml:space="preserve"> or the</w:t>
      </w:r>
      <w:r>
        <w:rPr>
          <w:lang w:val="en-GB"/>
        </w:rPr>
        <w:t xml:space="preserve"> use of spec</w:t>
      </w:r>
      <w:r w:rsidR="00736E4B">
        <w:rPr>
          <w:lang w:val="en-GB"/>
        </w:rPr>
        <w:t xml:space="preserve">ific resources will undercut scope for </w:t>
      </w:r>
      <w:r>
        <w:rPr>
          <w:lang w:val="en-GB"/>
        </w:rPr>
        <w:t xml:space="preserve">corporate </w:t>
      </w:r>
      <w:r w:rsidR="00C526BD">
        <w:rPr>
          <w:lang w:val="en-GB"/>
        </w:rPr>
        <w:t>agency</w:t>
      </w:r>
      <w:r w:rsidR="00736E4B">
        <w:rPr>
          <w:lang w:val="en-GB"/>
        </w:rPr>
        <w:t xml:space="preserve"> and other forms of emergent co-action that is more attuned to the needs and aspirations of students.</w:t>
      </w:r>
    </w:p>
    <w:p w14:paraId="6E02C463" w14:textId="77777777" w:rsidR="00FE3F2A" w:rsidRDefault="00FE3F2A" w:rsidP="004552BC">
      <w:pPr>
        <w:rPr>
          <w:lang w:val="en-GB"/>
        </w:rPr>
      </w:pPr>
    </w:p>
    <w:p w14:paraId="70879FBF" w14:textId="77777777" w:rsidR="004552BC" w:rsidRDefault="00324C65" w:rsidP="004552BC">
      <w:pPr>
        <w:rPr>
          <w:b/>
          <w:lang w:val="en-GB"/>
        </w:rPr>
      </w:pPr>
      <w:r>
        <w:rPr>
          <w:b/>
          <w:lang w:val="en-GB"/>
        </w:rPr>
        <w:t>Beyond</w:t>
      </w:r>
      <w:r w:rsidR="00FA4EEF">
        <w:rPr>
          <w:b/>
          <w:lang w:val="en-GB"/>
        </w:rPr>
        <w:t xml:space="preserve"> </w:t>
      </w:r>
      <w:r w:rsidR="004552BC">
        <w:rPr>
          <w:b/>
          <w:lang w:val="en-GB"/>
        </w:rPr>
        <w:t>O</w:t>
      </w:r>
      <w:r w:rsidR="0001401F">
        <w:rPr>
          <w:b/>
          <w:lang w:val="en-GB"/>
        </w:rPr>
        <w:t xml:space="preserve">ne’s </w:t>
      </w:r>
      <w:r w:rsidR="004552BC">
        <w:rPr>
          <w:b/>
          <w:lang w:val="en-GB"/>
        </w:rPr>
        <w:t>I</w:t>
      </w:r>
      <w:r>
        <w:rPr>
          <w:b/>
          <w:lang w:val="en-GB"/>
        </w:rPr>
        <w:t xml:space="preserve">mmediate </w:t>
      </w:r>
      <w:r w:rsidR="004552BC">
        <w:rPr>
          <w:b/>
          <w:lang w:val="en-GB"/>
        </w:rPr>
        <w:t>C</w:t>
      </w:r>
      <w:r>
        <w:rPr>
          <w:b/>
          <w:lang w:val="en-GB"/>
        </w:rPr>
        <w:t xml:space="preserve">ontext for </w:t>
      </w:r>
      <w:r w:rsidR="004552BC">
        <w:rPr>
          <w:b/>
          <w:lang w:val="en-GB"/>
        </w:rPr>
        <w:t>T</w:t>
      </w:r>
      <w:r>
        <w:rPr>
          <w:b/>
          <w:lang w:val="en-GB"/>
        </w:rPr>
        <w:t xml:space="preserve">eaching </w:t>
      </w:r>
    </w:p>
    <w:p w14:paraId="54DFA588" w14:textId="1E084512" w:rsidR="00507095" w:rsidRPr="00FE3F2A" w:rsidRDefault="00324C65" w:rsidP="004552BC">
      <w:pPr>
        <w:rPr>
          <w:lang w:val="en-GB"/>
        </w:rPr>
      </w:pPr>
      <w:r>
        <w:rPr>
          <w:b/>
          <w:lang w:val="en-GB"/>
        </w:rPr>
        <w:t xml:space="preserve"> </w:t>
      </w:r>
    </w:p>
    <w:p w14:paraId="22E3F61F" w14:textId="47397F41" w:rsidR="00C27810" w:rsidRDefault="00324C65" w:rsidP="004552BC">
      <w:pPr>
        <w:rPr>
          <w:lang w:val="en-GB"/>
        </w:rPr>
      </w:pPr>
      <w:r>
        <w:rPr>
          <w:lang w:val="en-GB"/>
        </w:rPr>
        <w:t xml:space="preserve">Different settings for teaching do, indeed, incorporate varying scope to work collectively with others. </w:t>
      </w:r>
      <w:r w:rsidR="00C5324A">
        <w:rPr>
          <w:lang w:val="en-GB"/>
        </w:rPr>
        <w:t>The systems that are</w:t>
      </w:r>
      <w:r w:rsidR="0003442B">
        <w:rPr>
          <w:lang w:val="en-GB"/>
        </w:rPr>
        <w:t xml:space="preserve"> </w:t>
      </w:r>
      <w:r w:rsidR="00C5324A">
        <w:rPr>
          <w:lang w:val="en-GB"/>
        </w:rPr>
        <w:t>in place or the number of students that one is teaching may make it</w:t>
      </w:r>
      <w:r w:rsidR="00E01EF2">
        <w:rPr>
          <w:lang w:val="en-GB"/>
        </w:rPr>
        <w:t xml:space="preserve"> difficult</w:t>
      </w:r>
      <w:r>
        <w:rPr>
          <w:lang w:val="en-GB"/>
        </w:rPr>
        <w:t xml:space="preserve"> to develop social relations </w:t>
      </w:r>
      <w:r w:rsidR="00E01EF2">
        <w:rPr>
          <w:lang w:val="en-GB"/>
        </w:rPr>
        <w:t>with colleagues or one’s students.</w:t>
      </w:r>
      <w:r>
        <w:rPr>
          <w:lang w:val="en-GB"/>
        </w:rPr>
        <w:t xml:space="preserve"> Colleagues may be unwilling to engage in curricular change that responds to one’s own </w:t>
      </w:r>
      <w:r w:rsidR="003A2D51">
        <w:rPr>
          <w:lang w:val="en-GB"/>
        </w:rPr>
        <w:t>deeply</w:t>
      </w:r>
      <w:r w:rsidR="00DF4CC1">
        <w:rPr>
          <w:lang w:val="en-GB"/>
        </w:rPr>
        <w:t>-</w:t>
      </w:r>
      <w:r w:rsidR="003A2D51">
        <w:rPr>
          <w:lang w:val="en-GB"/>
        </w:rPr>
        <w:t>held</w:t>
      </w:r>
      <w:r>
        <w:rPr>
          <w:lang w:val="en-GB"/>
        </w:rPr>
        <w:t xml:space="preserve"> concerns</w:t>
      </w:r>
      <w:r w:rsidR="00740944">
        <w:rPr>
          <w:lang w:val="en-GB"/>
        </w:rPr>
        <w:t>.</w:t>
      </w:r>
      <w:r w:rsidR="002078C4">
        <w:rPr>
          <w:lang w:val="en-GB"/>
        </w:rPr>
        <w:t xml:space="preserve"> The increasingly dominant focus on preparing students for the labour market </w:t>
      </w:r>
      <w:r w:rsidR="004001EF">
        <w:rPr>
          <w:noProof/>
          <w:lang w:val="en-GB"/>
        </w:rPr>
        <w:t>(Bok</w:t>
      </w:r>
      <w:r w:rsidR="002078C4">
        <w:rPr>
          <w:noProof/>
          <w:lang w:val="en-GB"/>
        </w:rPr>
        <w:t xml:space="preserve"> 2009)</w:t>
      </w:r>
      <w:r w:rsidR="002078C4">
        <w:rPr>
          <w:lang w:val="en-GB"/>
        </w:rPr>
        <w:t xml:space="preserve"> may make it difficult to respond to other agendas.</w:t>
      </w:r>
      <w:r w:rsidR="00740944">
        <w:rPr>
          <w:lang w:val="en-GB"/>
        </w:rPr>
        <w:t xml:space="preserve"> </w:t>
      </w:r>
      <w:r w:rsidR="003F5F27">
        <w:rPr>
          <w:lang w:val="en-GB"/>
        </w:rPr>
        <w:t>It remains the case that the practice of teaching is constrained in a range of ways</w:t>
      </w:r>
      <w:r w:rsidR="004B5E8D">
        <w:rPr>
          <w:lang w:val="en-GB"/>
        </w:rPr>
        <w:t xml:space="preserve">. </w:t>
      </w:r>
      <w:r w:rsidR="00FA4EEF">
        <w:rPr>
          <w:lang w:val="en-GB"/>
        </w:rPr>
        <w:t xml:space="preserve">The sociomaterial perspectives that have been advanced within this book highlight these constraints in helpful ways, </w:t>
      </w:r>
      <w:r w:rsidR="00AD4E88">
        <w:rPr>
          <w:lang w:val="en-GB"/>
        </w:rPr>
        <w:t xml:space="preserve">Gourlay and Oliver in Chapter 2, for instance, argued that an emphasis on reflective practice may inculcate in lecturers a positive orientation to active learning, and a readiness to use </w:t>
      </w:r>
      <w:r w:rsidR="00C27810">
        <w:rPr>
          <w:lang w:val="en-GB"/>
        </w:rPr>
        <w:t xml:space="preserve">assessment to ensure students act in desired ways. </w:t>
      </w:r>
      <w:r w:rsidR="00AD4E88">
        <w:rPr>
          <w:lang w:val="en-GB"/>
        </w:rPr>
        <w:t xml:space="preserve">Richards and Fenwick in Chapter 4 argued that technology serves to reconfigure </w:t>
      </w:r>
      <w:r w:rsidR="00C27810">
        <w:rPr>
          <w:lang w:val="en-GB"/>
        </w:rPr>
        <w:t xml:space="preserve">practice. </w:t>
      </w:r>
    </w:p>
    <w:p w14:paraId="3E4E7F8F" w14:textId="77777777" w:rsidR="004552BC" w:rsidRDefault="004552BC" w:rsidP="004552BC">
      <w:pPr>
        <w:rPr>
          <w:lang w:val="en-GB"/>
        </w:rPr>
      </w:pPr>
    </w:p>
    <w:p w14:paraId="16C82A95" w14:textId="47F10848" w:rsidR="00FA4EEF" w:rsidRDefault="00DF4CC1" w:rsidP="004552BC">
      <w:pPr>
        <w:rPr>
          <w:lang w:val="en-GB"/>
        </w:rPr>
      </w:pPr>
      <w:r>
        <w:rPr>
          <w:lang w:val="en-GB"/>
        </w:rPr>
        <w:t>T</w:t>
      </w:r>
      <w:r w:rsidR="00FA4EEF">
        <w:rPr>
          <w:lang w:val="en-GB"/>
        </w:rPr>
        <w:t>he analysis of thi</w:t>
      </w:r>
      <w:r w:rsidR="00F8583F">
        <w:rPr>
          <w:lang w:val="en-GB"/>
        </w:rPr>
        <w:t>s chapter would suggest</w:t>
      </w:r>
      <w:r>
        <w:rPr>
          <w:lang w:val="en-GB"/>
        </w:rPr>
        <w:t>, however,</w:t>
      </w:r>
      <w:r w:rsidR="00F8583F">
        <w:rPr>
          <w:lang w:val="en-GB"/>
        </w:rPr>
        <w:t xml:space="preserve"> that</w:t>
      </w:r>
      <w:r>
        <w:rPr>
          <w:lang w:val="en-GB"/>
        </w:rPr>
        <w:t xml:space="preserve"> a space still remains for the intentional action of individual tutors and groups of tutors to shape practice. </w:t>
      </w:r>
      <w:r w:rsidR="00A97CA1">
        <w:rPr>
          <w:lang w:val="en-GB"/>
        </w:rPr>
        <w:t xml:space="preserve">Smith </w:t>
      </w:r>
      <w:r w:rsidR="00A97CA1">
        <w:rPr>
          <w:noProof/>
          <w:lang w:val="en-GB"/>
        </w:rPr>
        <w:t>(2010)</w:t>
      </w:r>
      <w:r w:rsidR="00A97CA1">
        <w:rPr>
          <w:lang w:val="en-GB"/>
        </w:rPr>
        <w:t xml:space="preserve">, indeed, has argued that systems involving persons are </w:t>
      </w:r>
      <w:r w:rsidR="00A97CA1" w:rsidRPr="00A97CA1">
        <w:rPr>
          <w:i/>
          <w:lang w:val="en-GB"/>
        </w:rPr>
        <w:t xml:space="preserve">proactively </w:t>
      </w:r>
      <w:r w:rsidR="00A97CA1">
        <w:rPr>
          <w:lang w:val="en-GB"/>
        </w:rPr>
        <w:t>emergent, w</w:t>
      </w:r>
      <w:r w:rsidR="00C27810">
        <w:rPr>
          <w:lang w:val="en-GB"/>
        </w:rPr>
        <w:t>ith human intentional action both occurring within the system and influencing</w:t>
      </w:r>
      <w:r w:rsidR="00A97CA1">
        <w:rPr>
          <w:lang w:val="en-GB"/>
        </w:rPr>
        <w:t xml:space="preserve"> the emergence</w:t>
      </w:r>
      <w:r w:rsidR="00C27810">
        <w:rPr>
          <w:lang w:val="en-GB"/>
        </w:rPr>
        <w:t xml:space="preserve"> that results. It is clear that t</w:t>
      </w:r>
      <w:r w:rsidR="00CF2CB6">
        <w:rPr>
          <w:lang w:val="en-GB"/>
        </w:rPr>
        <w:t>he capacity to re-frame existing forms and structure, and to e</w:t>
      </w:r>
      <w:r w:rsidR="008A7F0D">
        <w:rPr>
          <w:lang w:val="en-GB"/>
        </w:rPr>
        <w:t>vade constrai</w:t>
      </w:r>
      <w:r w:rsidR="00A97CA1">
        <w:rPr>
          <w:lang w:val="en-GB"/>
        </w:rPr>
        <w:t xml:space="preserve">nts, constitutes an integral aspect of what it means to teach well. </w:t>
      </w:r>
      <w:r w:rsidR="00FA4EEF">
        <w:rPr>
          <w:lang w:val="en-GB"/>
        </w:rPr>
        <w:t>The capacity to think imaginatively</w:t>
      </w:r>
      <w:r w:rsidR="00C27810">
        <w:rPr>
          <w:lang w:val="en-GB"/>
        </w:rPr>
        <w:t xml:space="preserve"> in dialogue with others </w:t>
      </w:r>
      <w:r w:rsidR="00FA4EEF">
        <w:rPr>
          <w:lang w:val="en-GB"/>
        </w:rPr>
        <w:t>in relation to the constraints that one faces is a feature of an excellent teacher.</w:t>
      </w:r>
      <w:r w:rsidR="00CF2CB6">
        <w:rPr>
          <w:lang w:val="en-GB"/>
        </w:rPr>
        <w:t xml:space="preserve"> This essentially represents a meta-reflexive response to the social contexts within which one finds oneself, enabling a tenacious pursuit of social ideals. For instance, regulations constrain the </w:t>
      </w:r>
      <w:r w:rsidR="00286285">
        <w:rPr>
          <w:lang w:val="en-GB"/>
        </w:rPr>
        <w:t>actions that are possible within universities, but i</w:t>
      </w:r>
      <w:r w:rsidR="00FA4EEF">
        <w:rPr>
          <w:lang w:val="en-GB"/>
        </w:rPr>
        <w:t xml:space="preserve">t may be possible to argue for an interpretation of the regulations that fits </w:t>
      </w:r>
      <w:r w:rsidR="00286285">
        <w:rPr>
          <w:lang w:val="en-GB"/>
        </w:rPr>
        <w:t>with one’s</w:t>
      </w:r>
      <w:r w:rsidR="00FA4EEF">
        <w:rPr>
          <w:lang w:val="en-GB"/>
        </w:rPr>
        <w:t xml:space="preserve"> intended course of action. Barnett </w:t>
      </w:r>
      <w:r w:rsidR="00FA4EEF">
        <w:rPr>
          <w:noProof/>
          <w:lang w:val="en-GB"/>
        </w:rPr>
        <w:t>(2013)</w:t>
      </w:r>
      <w:r w:rsidR="00FA4EEF">
        <w:rPr>
          <w:lang w:val="en-GB"/>
        </w:rPr>
        <w:t xml:space="preserve"> has suggested that there is scope to broaden the ways in which we imagine life within universities. It may be that a work group or institution can be helped to acquire a wider breadth of vision in order to be ready to consider new forms of education. Markus and Nurius </w:t>
      </w:r>
      <w:r w:rsidR="00FA4EEF">
        <w:rPr>
          <w:noProof/>
          <w:lang w:val="en-GB"/>
        </w:rPr>
        <w:t>(1986)</w:t>
      </w:r>
      <w:r w:rsidR="00FA4EEF">
        <w:rPr>
          <w:lang w:val="en-GB"/>
        </w:rPr>
        <w:t xml:space="preserve"> argued that each person has the capacity to represent possible futures for itself, giving expression to their ideals and hopes. The </w:t>
      </w:r>
      <w:r w:rsidR="00DC072B">
        <w:rPr>
          <w:lang w:val="en-GB"/>
        </w:rPr>
        <w:t>self-knowledge</w:t>
      </w:r>
      <w:r w:rsidR="00FA4EEF">
        <w:rPr>
          <w:lang w:val="en-GB"/>
        </w:rPr>
        <w:t xml:space="preserve"> that is developed through formulating such representations has been employed in a range of ways to support individual growth. There is scope for a similar formulation of possible collectives, future collectives, whereby a group engages in dialogue and actions designed to formulate possible futures for itself. </w:t>
      </w:r>
    </w:p>
    <w:p w14:paraId="64805761" w14:textId="77777777" w:rsidR="004552BC" w:rsidRDefault="004552BC" w:rsidP="004552BC">
      <w:pPr>
        <w:rPr>
          <w:lang w:val="en-GB"/>
        </w:rPr>
      </w:pPr>
    </w:p>
    <w:p w14:paraId="726F38A0" w14:textId="6BAAB110" w:rsidR="00256869" w:rsidRDefault="00286285" w:rsidP="004552BC">
      <w:pPr>
        <w:rPr>
          <w:lang w:val="en-GB"/>
        </w:rPr>
      </w:pPr>
      <w:r>
        <w:rPr>
          <w:lang w:val="en-GB"/>
        </w:rPr>
        <w:t xml:space="preserve">There will be a role for paradigms such as critical realism in helping to establish forms and systems of education that enhance the possibilities for emancipation. </w:t>
      </w:r>
      <w:r w:rsidR="008A7F0D">
        <w:rPr>
          <w:lang w:val="en-GB"/>
        </w:rPr>
        <w:t xml:space="preserve">The capacity for critique is an essential feature of an excellent teacher. </w:t>
      </w:r>
      <w:r w:rsidR="004B5E8D">
        <w:rPr>
          <w:lang w:val="en-GB"/>
        </w:rPr>
        <w:t>Lacey (1997)</w:t>
      </w:r>
      <w:r w:rsidR="00256869">
        <w:rPr>
          <w:lang w:val="en-GB"/>
        </w:rPr>
        <w:t>, however,</w:t>
      </w:r>
      <w:r w:rsidR="004B5E8D">
        <w:rPr>
          <w:lang w:val="en-GB"/>
        </w:rPr>
        <w:t xml:space="preserve"> </w:t>
      </w:r>
      <w:r w:rsidR="001F011F" w:rsidRPr="00156914">
        <w:rPr>
          <w:lang w:val="en-GB"/>
        </w:rPr>
        <w:t xml:space="preserve">argued that the move from holding a theory to </w:t>
      </w:r>
      <w:r w:rsidR="008A7F0D">
        <w:rPr>
          <w:lang w:val="en-GB"/>
        </w:rPr>
        <w:t>becoming committed</w:t>
      </w:r>
      <w:r w:rsidR="001F011F" w:rsidRPr="00156914">
        <w:rPr>
          <w:lang w:val="en-GB"/>
        </w:rPr>
        <w:t xml:space="preserve"> to a value is less straightforward than Bhaskar (1986) suggested. </w:t>
      </w:r>
      <w:r w:rsidR="00256869" w:rsidRPr="00156914">
        <w:rPr>
          <w:lang w:val="en-GB"/>
        </w:rPr>
        <w:t>Lacey</w:t>
      </w:r>
      <w:r w:rsidR="00256869">
        <w:rPr>
          <w:lang w:val="en-GB"/>
        </w:rPr>
        <w:t xml:space="preserve"> </w:t>
      </w:r>
      <w:r w:rsidR="00256869">
        <w:rPr>
          <w:noProof/>
          <w:lang w:val="en-GB"/>
        </w:rPr>
        <w:t>(1997, p. 236)</w:t>
      </w:r>
      <w:r w:rsidR="00256869" w:rsidRPr="00156914">
        <w:rPr>
          <w:lang w:val="en-GB"/>
        </w:rPr>
        <w:t xml:space="preserve"> </w:t>
      </w:r>
      <w:r w:rsidR="00256869">
        <w:rPr>
          <w:lang w:val="en-GB"/>
        </w:rPr>
        <w:t xml:space="preserve">argued: </w:t>
      </w:r>
      <w:r w:rsidR="00256869" w:rsidRPr="00156914">
        <w:rPr>
          <w:lang w:val="en-GB"/>
        </w:rPr>
        <w:t>‘</w:t>
      </w:r>
      <w:r w:rsidR="00256869" w:rsidRPr="00156914">
        <w:rPr>
          <w:rFonts w:eastAsia="Times New Roman"/>
          <w:lang w:val="en-GB"/>
        </w:rPr>
        <w:t>The promise of Bhaskar’s argument is that there is a quick rational move from coming to accept theories in the social sciences to adopting value judgments</w:t>
      </w:r>
      <w:r w:rsidR="00256869">
        <w:rPr>
          <w:rFonts w:eastAsia="Times New Roman"/>
          <w:lang w:val="en-GB"/>
        </w:rPr>
        <w:t xml:space="preserve"> partial to emancipation.’ </w:t>
      </w:r>
      <w:r w:rsidR="001F011F" w:rsidRPr="00156914">
        <w:rPr>
          <w:lang w:val="en-GB"/>
        </w:rPr>
        <w:t>He suggested that fur</w:t>
      </w:r>
      <w:r w:rsidR="00256869">
        <w:rPr>
          <w:lang w:val="en-GB"/>
        </w:rPr>
        <w:t xml:space="preserve">ther value judgements are </w:t>
      </w:r>
      <w:r w:rsidR="001F011F" w:rsidRPr="00156914">
        <w:rPr>
          <w:lang w:val="en-GB"/>
        </w:rPr>
        <w:t>e</w:t>
      </w:r>
      <w:r w:rsidR="00256869">
        <w:rPr>
          <w:lang w:val="en-GB"/>
        </w:rPr>
        <w:t>ntailed in this transition</w:t>
      </w:r>
      <w:r w:rsidR="001F011F" w:rsidRPr="00156914">
        <w:rPr>
          <w:lang w:val="en-GB"/>
        </w:rPr>
        <w:t>. Lacey</w:t>
      </w:r>
      <w:r w:rsidR="00256869">
        <w:rPr>
          <w:lang w:val="en-GB"/>
        </w:rPr>
        <w:t xml:space="preserve"> (1997)</w:t>
      </w:r>
      <w:r w:rsidR="001F011F" w:rsidRPr="00156914">
        <w:rPr>
          <w:lang w:val="en-GB"/>
        </w:rPr>
        <w:t xml:space="preserve"> pointed out that a commitment to emancipation requires both appreciating the actual limits of curren</w:t>
      </w:r>
      <w:r w:rsidR="00DD2422">
        <w:rPr>
          <w:lang w:val="en-GB"/>
        </w:rPr>
        <w:t xml:space="preserve">t structures and developing </w:t>
      </w:r>
      <w:r w:rsidR="001F011F" w:rsidRPr="00156914">
        <w:rPr>
          <w:lang w:val="en-GB"/>
        </w:rPr>
        <w:t>forms of organisation that could provide a basis for new social structures. Only if a theory is developed or understood from within an emancipatory movement did Lac</w:t>
      </w:r>
      <w:r w:rsidR="00256869">
        <w:rPr>
          <w:lang w:val="en-GB"/>
        </w:rPr>
        <w:t>e</w:t>
      </w:r>
      <w:r w:rsidR="001F011F" w:rsidRPr="00156914">
        <w:rPr>
          <w:lang w:val="en-GB"/>
        </w:rPr>
        <w:t xml:space="preserve">y suggest that Bhaskar’s argument is fully applicable. </w:t>
      </w:r>
      <w:r w:rsidR="004538F7">
        <w:rPr>
          <w:lang w:val="en-GB"/>
        </w:rPr>
        <w:t xml:space="preserve">Learning to teach </w:t>
      </w:r>
      <w:r w:rsidR="004538F7" w:rsidRPr="00156914">
        <w:rPr>
          <w:lang w:val="en-GB"/>
        </w:rPr>
        <w:t>can</w:t>
      </w:r>
      <w:r w:rsidR="00256869">
        <w:rPr>
          <w:lang w:val="en-GB"/>
        </w:rPr>
        <w:t xml:space="preserve"> </w:t>
      </w:r>
      <w:r w:rsidR="004538F7">
        <w:rPr>
          <w:lang w:val="en-GB"/>
        </w:rPr>
        <w:t>be regarded as learning to engage in</w:t>
      </w:r>
      <w:r w:rsidR="004538F7" w:rsidRPr="00156914">
        <w:rPr>
          <w:lang w:val="en-GB"/>
        </w:rPr>
        <w:t xml:space="preserve"> activism</w:t>
      </w:r>
      <w:r w:rsidR="00256869">
        <w:rPr>
          <w:lang w:val="en-GB"/>
        </w:rPr>
        <w:t xml:space="preserve">, even if this is not taken as far as the approach advocated by critical pedagogy </w:t>
      </w:r>
      <w:r w:rsidR="004001EF">
        <w:rPr>
          <w:noProof/>
          <w:lang w:val="en-GB"/>
        </w:rPr>
        <w:t>(McLean</w:t>
      </w:r>
      <w:r w:rsidR="00256869">
        <w:rPr>
          <w:noProof/>
          <w:lang w:val="en-GB"/>
        </w:rPr>
        <w:t xml:space="preserve"> 2006)</w:t>
      </w:r>
      <w:r w:rsidR="00256869">
        <w:rPr>
          <w:lang w:val="en-GB"/>
        </w:rPr>
        <w:t>.</w:t>
      </w:r>
    </w:p>
    <w:p w14:paraId="2AA51A8D" w14:textId="77777777" w:rsidR="004552BC" w:rsidRDefault="004552BC" w:rsidP="004552BC">
      <w:pPr>
        <w:rPr>
          <w:lang w:val="en-GB"/>
        </w:rPr>
      </w:pPr>
    </w:p>
    <w:p w14:paraId="07FC9444" w14:textId="1867CED4" w:rsidR="00740944" w:rsidRPr="00156914" w:rsidRDefault="002078C4" w:rsidP="004552BC">
      <w:pPr>
        <w:rPr>
          <w:lang w:val="en-GB"/>
        </w:rPr>
      </w:pPr>
      <w:r>
        <w:rPr>
          <w:lang w:val="en-GB"/>
        </w:rPr>
        <w:t xml:space="preserve">The setting within which one practices education </w:t>
      </w:r>
      <w:r w:rsidR="0001401F">
        <w:rPr>
          <w:lang w:val="en-GB"/>
        </w:rPr>
        <w:t>is</w:t>
      </w:r>
      <w:r>
        <w:rPr>
          <w:lang w:val="en-GB"/>
        </w:rPr>
        <w:t xml:space="preserve"> important. The pursuit of social justice within higher education </w:t>
      </w:r>
      <w:r w:rsidR="0001401F">
        <w:rPr>
          <w:lang w:val="en-GB"/>
        </w:rPr>
        <w:t>is</w:t>
      </w:r>
      <w:r>
        <w:rPr>
          <w:lang w:val="en-GB"/>
        </w:rPr>
        <w:t xml:space="preserve"> the work of a lifetime. </w:t>
      </w:r>
      <w:r w:rsidR="0001401F">
        <w:rPr>
          <w:lang w:val="en-GB"/>
        </w:rPr>
        <w:t xml:space="preserve">One </w:t>
      </w:r>
      <w:r>
        <w:rPr>
          <w:lang w:val="en-GB"/>
        </w:rPr>
        <w:t>might</w:t>
      </w:r>
      <w:r w:rsidR="0001401F">
        <w:rPr>
          <w:lang w:val="en-GB"/>
        </w:rPr>
        <w:t xml:space="preserve"> take</w:t>
      </w:r>
      <w:r>
        <w:rPr>
          <w:lang w:val="en-GB"/>
        </w:rPr>
        <w:t xml:space="preserve"> up </w:t>
      </w:r>
      <w:r w:rsidR="0001401F">
        <w:rPr>
          <w:lang w:val="en-GB"/>
        </w:rPr>
        <w:t xml:space="preserve">roles and </w:t>
      </w:r>
      <w:r>
        <w:rPr>
          <w:lang w:val="en-GB"/>
        </w:rPr>
        <w:t xml:space="preserve">positions </w:t>
      </w:r>
      <w:r w:rsidR="0001401F">
        <w:rPr>
          <w:lang w:val="en-GB"/>
        </w:rPr>
        <w:t>partly on the basis of the scope for shared emancipatory commitments</w:t>
      </w:r>
      <w:r w:rsidR="00A97CA1">
        <w:rPr>
          <w:lang w:val="en-GB"/>
        </w:rPr>
        <w:t>, particularly in settings where emancipation is an urgent concern.</w:t>
      </w:r>
      <w:r w:rsidR="0001401F">
        <w:rPr>
          <w:lang w:val="en-GB"/>
        </w:rPr>
        <w:t xml:space="preserve"> </w:t>
      </w:r>
      <w:r>
        <w:rPr>
          <w:lang w:val="en-GB"/>
        </w:rPr>
        <w:t>It is</w:t>
      </w:r>
      <w:r w:rsidR="0001401F">
        <w:rPr>
          <w:lang w:val="en-GB"/>
        </w:rPr>
        <w:t xml:space="preserve"> also</w:t>
      </w:r>
      <w:r>
        <w:rPr>
          <w:lang w:val="en-GB"/>
        </w:rPr>
        <w:t xml:space="preserve"> important </w:t>
      </w:r>
      <w:r w:rsidR="0001401F">
        <w:rPr>
          <w:lang w:val="en-GB"/>
        </w:rPr>
        <w:t xml:space="preserve">to recognise </w:t>
      </w:r>
      <w:r>
        <w:rPr>
          <w:lang w:val="en-GB"/>
        </w:rPr>
        <w:t xml:space="preserve">that one’s reflexivity </w:t>
      </w:r>
      <w:r w:rsidR="0001401F">
        <w:rPr>
          <w:lang w:val="en-GB"/>
        </w:rPr>
        <w:t xml:space="preserve">is influenced </w:t>
      </w:r>
      <w:r>
        <w:rPr>
          <w:lang w:val="en-GB"/>
        </w:rPr>
        <w:t>by the</w:t>
      </w:r>
      <w:r w:rsidR="0001401F">
        <w:rPr>
          <w:lang w:val="en-GB"/>
        </w:rPr>
        <w:t xml:space="preserve"> context within</w:t>
      </w:r>
      <w:r w:rsidR="00A97CA1">
        <w:rPr>
          <w:lang w:val="en-GB"/>
        </w:rPr>
        <w:t xml:space="preserve"> which one</w:t>
      </w:r>
      <w:r w:rsidR="0001401F">
        <w:rPr>
          <w:lang w:val="en-GB"/>
        </w:rPr>
        <w:t xml:space="preserve"> exercises agency, as Kahn (2014) argued in relation to student learning</w:t>
      </w:r>
      <w:r>
        <w:rPr>
          <w:lang w:val="en-GB"/>
        </w:rPr>
        <w:t xml:space="preserve">. </w:t>
      </w:r>
      <w:r w:rsidR="0001401F">
        <w:rPr>
          <w:lang w:val="en-GB"/>
        </w:rPr>
        <w:t>Learning to teach should</w:t>
      </w:r>
      <w:r w:rsidRPr="00156914">
        <w:rPr>
          <w:lang w:val="en-GB"/>
        </w:rPr>
        <w:t xml:space="preserve"> </w:t>
      </w:r>
      <w:r w:rsidR="0001401F">
        <w:rPr>
          <w:lang w:val="en-GB"/>
        </w:rPr>
        <w:t>involve learning to take care over</w:t>
      </w:r>
      <w:r w:rsidRPr="00156914">
        <w:rPr>
          <w:lang w:val="en-GB"/>
        </w:rPr>
        <w:t xml:space="preserve"> </w:t>
      </w:r>
      <w:r w:rsidR="0001401F">
        <w:rPr>
          <w:lang w:val="en-GB"/>
        </w:rPr>
        <w:t xml:space="preserve">the </w:t>
      </w:r>
      <w:r w:rsidRPr="00156914">
        <w:rPr>
          <w:lang w:val="en-GB"/>
        </w:rPr>
        <w:t>choice</w:t>
      </w:r>
      <w:r w:rsidR="00A97CA1">
        <w:rPr>
          <w:lang w:val="en-GB"/>
        </w:rPr>
        <w:t xml:space="preserve"> of</w:t>
      </w:r>
      <w:r w:rsidR="0001401F">
        <w:rPr>
          <w:lang w:val="en-GB"/>
        </w:rPr>
        <w:t xml:space="preserve"> context within which</w:t>
      </w:r>
      <w:r w:rsidR="00A97CA1">
        <w:rPr>
          <w:lang w:val="en-GB"/>
        </w:rPr>
        <w:t xml:space="preserve"> one t</w:t>
      </w:r>
      <w:r w:rsidR="0001401F">
        <w:rPr>
          <w:lang w:val="en-GB"/>
        </w:rPr>
        <w:t>each</w:t>
      </w:r>
      <w:r w:rsidR="00A97CA1">
        <w:rPr>
          <w:lang w:val="en-GB"/>
        </w:rPr>
        <w:t>es</w:t>
      </w:r>
      <w:r w:rsidRPr="00156914">
        <w:rPr>
          <w:lang w:val="en-GB"/>
        </w:rPr>
        <w:t>.</w:t>
      </w:r>
      <w:r w:rsidR="00A97CA1">
        <w:rPr>
          <w:lang w:val="en-GB"/>
        </w:rPr>
        <w:t xml:space="preserve"> </w:t>
      </w:r>
      <w:r w:rsidR="00A97CA1" w:rsidRPr="00156914">
        <w:rPr>
          <w:lang w:val="en-GB"/>
        </w:rPr>
        <w:t xml:space="preserve">One might </w:t>
      </w:r>
      <w:r w:rsidR="00A97CA1">
        <w:rPr>
          <w:lang w:val="en-GB"/>
        </w:rPr>
        <w:t xml:space="preserve">even </w:t>
      </w:r>
      <w:r w:rsidR="00A97CA1" w:rsidRPr="00156914">
        <w:rPr>
          <w:lang w:val="en-GB"/>
        </w:rPr>
        <w:t xml:space="preserve">actively search out an institutional or departmental setting where others </w:t>
      </w:r>
      <w:r w:rsidR="00A97CA1">
        <w:rPr>
          <w:lang w:val="en-GB"/>
        </w:rPr>
        <w:t xml:space="preserve">manifest compatible </w:t>
      </w:r>
      <w:r w:rsidR="00A97CA1" w:rsidRPr="00156914">
        <w:rPr>
          <w:lang w:val="en-GB"/>
        </w:rPr>
        <w:t>commitment</w:t>
      </w:r>
      <w:r w:rsidR="00A97CA1">
        <w:rPr>
          <w:lang w:val="en-GB"/>
        </w:rPr>
        <w:t xml:space="preserve">s to education or where scope for good scope is present for corporate agency. </w:t>
      </w:r>
      <w:r w:rsidR="0001401F">
        <w:rPr>
          <w:lang w:val="en-GB"/>
        </w:rPr>
        <w:t xml:space="preserve"> Learning to teach is not simply about le</w:t>
      </w:r>
      <w:r w:rsidR="00BF6172">
        <w:rPr>
          <w:lang w:val="en-GB"/>
        </w:rPr>
        <w:t>arning to perform in a seminar room or to design a course</w:t>
      </w:r>
      <w:r w:rsidR="0001401F">
        <w:rPr>
          <w:lang w:val="en-GB"/>
        </w:rPr>
        <w:t>, even if it might be most straightforward for programme</w:t>
      </w:r>
      <w:r w:rsidR="00BF6172">
        <w:rPr>
          <w:lang w:val="en-GB"/>
        </w:rPr>
        <w:t>s</w:t>
      </w:r>
      <w:r w:rsidR="0001401F">
        <w:rPr>
          <w:lang w:val="en-GB"/>
        </w:rPr>
        <w:t xml:space="preserve"> of professi</w:t>
      </w:r>
      <w:r w:rsidR="00BF6172">
        <w:rPr>
          <w:lang w:val="en-GB"/>
        </w:rPr>
        <w:t>onal development</w:t>
      </w:r>
      <w:r w:rsidR="0001401F">
        <w:rPr>
          <w:lang w:val="en-GB"/>
        </w:rPr>
        <w:t xml:space="preserve"> to concentrate on such issues.</w:t>
      </w:r>
      <w:r w:rsidRPr="00156914">
        <w:rPr>
          <w:lang w:val="en-GB"/>
        </w:rPr>
        <w:t xml:space="preserve"> </w:t>
      </w:r>
    </w:p>
    <w:p w14:paraId="183D3627" w14:textId="639EB3CE" w:rsidR="001029C8" w:rsidRPr="00156914" w:rsidRDefault="003148A0" w:rsidP="004552BC">
      <w:pPr>
        <w:rPr>
          <w:lang w:val="en-GB"/>
        </w:rPr>
      </w:pPr>
      <w:r>
        <w:rPr>
          <w:lang w:val="en-GB"/>
        </w:rPr>
        <w:tab/>
        <w:t xml:space="preserve"> </w:t>
      </w:r>
    </w:p>
    <w:p w14:paraId="49753693" w14:textId="30BB817E" w:rsidR="009F1A1B" w:rsidRDefault="009F1A1B" w:rsidP="004552BC">
      <w:pPr>
        <w:rPr>
          <w:b/>
          <w:lang w:val="en-GB"/>
        </w:rPr>
      </w:pPr>
      <w:r w:rsidRPr="00156914">
        <w:rPr>
          <w:b/>
          <w:lang w:val="en-GB"/>
        </w:rPr>
        <w:t xml:space="preserve">Conclusion </w:t>
      </w:r>
    </w:p>
    <w:p w14:paraId="1AF865CC" w14:textId="77777777" w:rsidR="004552BC" w:rsidRPr="00156914" w:rsidRDefault="004552BC" w:rsidP="004552BC">
      <w:pPr>
        <w:rPr>
          <w:b/>
          <w:lang w:val="en-GB"/>
        </w:rPr>
      </w:pPr>
    </w:p>
    <w:p w14:paraId="530B3096" w14:textId="61765B3A" w:rsidR="00866492" w:rsidRDefault="002F144E"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pPr>
      <w:r w:rsidRPr="00156914">
        <w:rPr>
          <w:lang w:val="en-GB"/>
        </w:rPr>
        <w:t>Teaching</w:t>
      </w:r>
      <w:r w:rsidR="006A5ACB">
        <w:rPr>
          <w:lang w:val="en-GB"/>
        </w:rPr>
        <w:t xml:space="preserve"> in higher education</w:t>
      </w:r>
      <w:r w:rsidRPr="00156914">
        <w:rPr>
          <w:lang w:val="en-GB"/>
        </w:rPr>
        <w:t xml:space="preserve"> </w:t>
      </w:r>
      <w:r w:rsidRPr="006A5ACB">
        <w:rPr>
          <w:i/>
          <w:lang w:val="en-GB"/>
        </w:rPr>
        <w:t>is</w:t>
      </w:r>
      <w:r w:rsidRPr="00156914">
        <w:rPr>
          <w:lang w:val="en-GB"/>
        </w:rPr>
        <w:t xml:space="preserve"> a collective endeavo</w:t>
      </w:r>
      <w:r w:rsidR="00AC5567">
        <w:rPr>
          <w:lang w:val="en-GB"/>
        </w:rPr>
        <w:t>u</w:t>
      </w:r>
      <w:r w:rsidR="006A5ACB">
        <w:rPr>
          <w:lang w:val="en-GB"/>
        </w:rPr>
        <w:t>r</w:t>
      </w:r>
      <w:r w:rsidRPr="00156914">
        <w:rPr>
          <w:lang w:val="en-GB"/>
        </w:rPr>
        <w:t xml:space="preserve">. It requires </w:t>
      </w:r>
      <w:r w:rsidR="00716420">
        <w:rPr>
          <w:lang w:val="en-GB"/>
        </w:rPr>
        <w:t>the commitment</w:t>
      </w:r>
      <w:r w:rsidR="006A5ACB">
        <w:rPr>
          <w:lang w:val="en-GB"/>
        </w:rPr>
        <w:t xml:space="preserve"> and agency of teachers, learners and others in order to be undertaken well</w:t>
      </w:r>
      <w:r w:rsidRPr="00156914">
        <w:rPr>
          <w:lang w:val="en-GB"/>
        </w:rPr>
        <w:t xml:space="preserve">. </w:t>
      </w:r>
      <w:r w:rsidR="00A012F1">
        <w:rPr>
          <w:lang w:val="en-GB"/>
        </w:rPr>
        <w:t>Excellent teaching is determined on a wider basis than simply the individual competence of</w:t>
      </w:r>
      <w:r w:rsidR="00F8583F">
        <w:rPr>
          <w:lang w:val="en-GB"/>
        </w:rPr>
        <w:t xml:space="preserve"> lecturers. An awareness of these</w:t>
      </w:r>
      <w:r w:rsidR="00A012F1">
        <w:rPr>
          <w:lang w:val="en-GB"/>
        </w:rPr>
        <w:t xml:space="preserve"> wider underpinning</w:t>
      </w:r>
      <w:r w:rsidR="00F8583F">
        <w:rPr>
          <w:lang w:val="en-GB"/>
        </w:rPr>
        <w:t>s is important for anyone to learn</w:t>
      </w:r>
      <w:r w:rsidR="00A012F1">
        <w:rPr>
          <w:lang w:val="en-GB"/>
        </w:rPr>
        <w:t xml:space="preserve"> to teach or to improve their teaching. One does </w:t>
      </w:r>
      <w:r w:rsidR="00866492">
        <w:rPr>
          <w:rFonts w:cs="Arial"/>
          <w:color w:val="000000"/>
          <w:shd w:val="clear" w:color="auto" w:fill="FFFFFF"/>
          <w:lang w:val="en-GB"/>
        </w:rPr>
        <w:t xml:space="preserve">not </w:t>
      </w:r>
      <w:r w:rsidR="00F8583F">
        <w:rPr>
          <w:rFonts w:cs="Arial"/>
          <w:color w:val="000000"/>
          <w:shd w:val="clear" w:color="auto" w:fill="FFFFFF"/>
          <w:lang w:val="en-GB"/>
        </w:rPr>
        <w:t xml:space="preserve">necessarily </w:t>
      </w:r>
      <w:r w:rsidR="00866492">
        <w:rPr>
          <w:rFonts w:cs="Arial"/>
          <w:color w:val="000000"/>
          <w:shd w:val="clear" w:color="auto" w:fill="FFFFFF"/>
          <w:lang w:val="en-GB"/>
        </w:rPr>
        <w:t>ne</w:t>
      </w:r>
      <w:r w:rsidR="00F8583F">
        <w:rPr>
          <w:rFonts w:cs="Arial"/>
          <w:color w:val="000000"/>
          <w:shd w:val="clear" w:color="auto" w:fill="FFFFFF"/>
          <w:lang w:val="en-GB"/>
        </w:rPr>
        <w:t>ed to employ theoretical viewpoint</w:t>
      </w:r>
      <w:r w:rsidR="00866492">
        <w:rPr>
          <w:rFonts w:cs="Arial"/>
          <w:color w:val="000000"/>
          <w:shd w:val="clear" w:color="auto" w:fill="FFFFFF"/>
          <w:lang w:val="en-GB"/>
        </w:rPr>
        <w:t xml:space="preserve"> offered in this chapter in order to teach well, but it remains the case that an appreciation of the generative mechanisms that shape t</w:t>
      </w:r>
      <w:r w:rsidR="00F8583F">
        <w:rPr>
          <w:rFonts w:cs="Arial"/>
          <w:color w:val="000000"/>
          <w:shd w:val="clear" w:color="auto" w:fill="FFFFFF"/>
          <w:lang w:val="en-GB"/>
        </w:rPr>
        <w:t>eaching and learning is of value. O</w:t>
      </w:r>
      <w:r w:rsidR="00866492">
        <w:rPr>
          <w:rFonts w:cs="Arial"/>
          <w:color w:val="000000"/>
          <w:shd w:val="clear" w:color="auto" w:fill="FFFFFF"/>
          <w:lang w:val="en-GB"/>
        </w:rPr>
        <w:t xml:space="preserve">ne </w:t>
      </w:r>
      <w:r w:rsidR="00866492">
        <w:rPr>
          <w:lang w:val="en-GB"/>
        </w:rPr>
        <w:t>of the p</w:t>
      </w:r>
      <w:r w:rsidR="00866492" w:rsidRPr="00156914">
        <w:rPr>
          <w:lang w:val="en-GB"/>
        </w:rPr>
        <w:t>urpose</w:t>
      </w:r>
      <w:r w:rsidR="00866492">
        <w:rPr>
          <w:lang w:val="en-GB"/>
        </w:rPr>
        <w:t>s</w:t>
      </w:r>
      <w:r w:rsidR="00866492" w:rsidRPr="00156914">
        <w:rPr>
          <w:lang w:val="en-GB"/>
        </w:rPr>
        <w:t xml:space="preserve"> of this</w:t>
      </w:r>
      <w:r w:rsidR="00866492">
        <w:rPr>
          <w:lang w:val="en-GB"/>
        </w:rPr>
        <w:t xml:space="preserve"> present</w:t>
      </w:r>
      <w:r w:rsidR="00A012F1">
        <w:rPr>
          <w:lang w:val="en-GB"/>
        </w:rPr>
        <w:t xml:space="preserve"> book is to extend</w:t>
      </w:r>
      <w:r w:rsidR="00866492" w:rsidRPr="00156914">
        <w:rPr>
          <w:lang w:val="en-GB"/>
        </w:rPr>
        <w:t xml:space="preserve"> the range of theoretical perspectives that are employed to make sense of </w:t>
      </w:r>
      <w:r w:rsidR="00F8583F">
        <w:rPr>
          <w:lang w:val="en-GB"/>
        </w:rPr>
        <w:t xml:space="preserve">both </w:t>
      </w:r>
      <w:r w:rsidR="00866492" w:rsidRPr="00156914">
        <w:rPr>
          <w:lang w:val="en-GB"/>
        </w:rPr>
        <w:t>teaching in higher</w:t>
      </w:r>
      <w:r w:rsidR="00F8583F">
        <w:rPr>
          <w:lang w:val="en-GB"/>
        </w:rPr>
        <w:t xml:space="preserve"> education and the field of academic development.</w:t>
      </w:r>
      <w:r w:rsidR="00A012F1">
        <w:rPr>
          <w:rFonts w:cs="Arial"/>
          <w:color w:val="000000"/>
          <w:shd w:val="clear" w:color="auto" w:fill="FFFFFF"/>
          <w:lang w:val="en-GB"/>
        </w:rPr>
        <w:t xml:space="preserve"> T</w:t>
      </w:r>
      <w:r w:rsidR="00866492" w:rsidRPr="00156914">
        <w:rPr>
          <w:rFonts w:cs="Arial"/>
          <w:color w:val="000000"/>
          <w:shd w:val="clear" w:color="auto" w:fill="FFFFFF"/>
          <w:lang w:val="en-GB"/>
        </w:rPr>
        <w:t>his chapter has been able to provide an explanation for a range of issues that ar</w:t>
      </w:r>
      <w:r w:rsidR="00F8583F">
        <w:rPr>
          <w:rFonts w:cs="Arial"/>
          <w:color w:val="000000"/>
          <w:shd w:val="clear" w:color="auto" w:fill="FFFFFF"/>
          <w:lang w:val="en-GB"/>
        </w:rPr>
        <w:t xml:space="preserve">e not normally addressed when considering the process of </w:t>
      </w:r>
      <w:r w:rsidR="00A012F1">
        <w:rPr>
          <w:rFonts w:cs="Arial"/>
          <w:color w:val="000000"/>
          <w:shd w:val="clear" w:color="auto" w:fill="FFFFFF"/>
          <w:lang w:val="en-GB"/>
        </w:rPr>
        <w:t>learning to teach</w:t>
      </w:r>
      <w:r w:rsidR="00F8583F">
        <w:rPr>
          <w:rFonts w:cs="Arial"/>
          <w:color w:val="000000"/>
          <w:shd w:val="clear" w:color="auto" w:fill="FFFFFF"/>
          <w:lang w:val="en-GB"/>
        </w:rPr>
        <w:t xml:space="preserve"> in higher education</w:t>
      </w:r>
      <w:r w:rsidR="00A012F1">
        <w:rPr>
          <w:rFonts w:cs="Arial"/>
          <w:color w:val="000000"/>
          <w:shd w:val="clear" w:color="auto" w:fill="FFFFFF"/>
          <w:lang w:val="en-GB"/>
        </w:rPr>
        <w:t xml:space="preserve">, taking in the role that both change and uncertainty play in relation to collective activity. </w:t>
      </w:r>
      <w:r w:rsidR="00111563">
        <w:t>On this view, lea</w:t>
      </w:r>
      <w:r w:rsidR="00F8583F">
        <w:t>rning to teach in the shared</w:t>
      </w:r>
      <w:r w:rsidR="00111563">
        <w:t xml:space="preserve"> and changing world that is higher education involves acquiring the capacity to undertake corporate agency</w:t>
      </w:r>
      <w:r w:rsidR="00CA4B59">
        <w:t>. I</w:t>
      </w:r>
      <w:r w:rsidR="00F8583F">
        <w:t xml:space="preserve">t involves learning to engage in </w:t>
      </w:r>
      <w:r w:rsidR="00111563">
        <w:t>constructive and extended forms of collective reflexivity, and to maintain capacity for</w:t>
      </w:r>
      <w:r w:rsidR="00A97CA1">
        <w:t xml:space="preserve"> critique,</w:t>
      </w:r>
      <w:r w:rsidR="00111563">
        <w:t xml:space="preserve"> dialogue, collective practice and social relations.  </w:t>
      </w:r>
    </w:p>
    <w:p w14:paraId="61088A2D" w14:textId="77777777" w:rsidR="00916D25" w:rsidRPr="00F8583F" w:rsidRDefault="00916D25" w:rsidP="004552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86"/>
        <w:rPr>
          <w:lang w:val="en-GB"/>
        </w:rPr>
      </w:pPr>
    </w:p>
    <w:p w14:paraId="1C15CC78" w14:textId="746F8537" w:rsidR="006121F5" w:rsidRDefault="00CA4B59" w:rsidP="004552BC">
      <w:pPr>
        <w:rPr>
          <w:lang w:val="en-GB"/>
        </w:rPr>
      </w:pPr>
      <w:r>
        <w:rPr>
          <w:lang w:val="en-GB"/>
        </w:rPr>
        <w:t xml:space="preserve">The account in this chapter is offered as a resource on which to enhance the development of teaching in higher education. </w:t>
      </w:r>
      <w:r w:rsidR="00BF6172">
        <w:rPr>
          <w:lang w:val="en-GB"/>
        </w:rPr>
        <w:t xml:space="preserve">Those </w:t>
      </w:r>
      <w:r>
        <w:rPr>
          <w:lang w:val="en-GB"/>
        </w:rPr>
        <w:t xml:space="preserve">seeking to develop teaching either as individuals or on behalf of disciplines and institutions should </w:t>
      </w:r>
      <w:r w:rsidR="00BA4A57">
        <w:rPr>
          <w:lang w:val="en-GB"/>
        </w:rPr>
        <w:t>pay explicit attention</w:t>
      </w:r>
      <w:r w:rsidR="00A97CA1">
        <w:rPr>
          <w:lang w:val="en-GB"/>
        </w:rPr>
        <w:t xml:space="preserve"> to the</w:t>
      </w:r>
      <w:r w:rsidR="00BA4A57">
        <w:rPr>
          <w:lang w:val="en-GB"/>
        </w:rPr>
        <w:t xml:space="preserve"> collective dimension to teaching</w:t>
      </w:r>
      <w:r w:rsidR="006121F5">
        <w:rPr>
          <w:lang w:val="en-GB"/>
        </w:rPr>
        <w:t>.</w:t>
      </w:r>
      <w:r>
        <w:rPr>
          <w:lang w:val="en-GB"/>
        </w:rPr>
        <w:t xml:space="preserve"> Consideration of these issues could play an important role in the design of academic development programmes and in the way that faculty seek to develop their own capacities for teaching. It could assist in the design of professional standards frameworks</w:t>
      </w:r>
      <w:r w:rsidR="00EA2244">
        <w:rPr>
          <w:lang w:val="en-GB"/>
        </w:rPr>
        <w:t xml:space="preserve"> </w:t>
      </w:r>
      <w:r w:rsidR="00EC7A1C">
        <w:rPr>
          <w:lang w:val="en-GB"/>
        </w:rPr>
        <w:t xml:space="preserve">or the development of new signature pedagogies. There is scope to illuminate the pursuit of social justice within higher education as a result of the theoretical perspectives outlined in this chapter. </w:t>
      </w:r>
    </w:p>
    <w:p w14:paraId="4665FD07" w14:textId="77777777" w:rsidR="004552BC" w:rsidRPr="00156914" w:rsidRDefault="004552BC" w:rsidP="004552BC">
      <w:pPr>
        <w:rPr>
          <w:lang w:val="en-GB"/>
        </w:rPr>
      </w:pPr>
    </w:p>
    <w:p w14:paraId="67B98A2D" w14:textId="1F94BB1E" w:rsidR="00253949" w:rsidRPr="00156914" w:rsidRDefault="00865535" w:rsidP="004552BC">
      <w:pPr>
        <w:rPr>
          <w:lang w:val="en-GB"/>
        </w:rPr>
      </w:pPr>
      <w:r w:rsidRPr="00156914">
        <w:rPr>
          <w:lang w:val="en-GB"/>
        </w:rPr>
        <w:t>The</w:t>
      </w:r>
      <w:r w:rsidR="00EC7A1C">
        <w:rPr>
          <w:lang w:val="en-GB"/>
        </w:rPr>
        <w:t xml:space="preserve">re is </w:t>
      </w:r>
      <w:r w:rsidRPr="00156914">
        <w:rPr>
          <w:lang w:val="en-GB"/>
        </w:rPr>
        <w:t xml:space="preserve">value </w:t>
      </w:r>
      <w:r w:rsidR="00B30564">
        <w:rPr>
          <w:lang w:val="en-GB"/>
        </w:rPr>
        <w:t>in acquiring a</w:t>
      </w:r>
      <w:r w:rsidRPr="00156914">
        <w:rPr>
          <w:lang w:val="en-GB"/>
        </w:rPr>
        <w:t xml:space="preserve"> breadth of vision</w:t>
      </w:r>
      <w:r w:rsidR="00EC7A1C">
        <w:rPr>
          <w:lang w:val="en-GB"/>
        </w:rPr>
        <w:t xml:space="preserve"> when teaching in higher education. </w:t>
      </w:r>
      <w:r w:rsidR="00B30564" w:rsidRPr="00156914">
        <w:rPr>
          <w:lang w:val="en-GB"/>
        </w:rPr>
        <w:t>Learning to teach should involve coming to recognise the full range of influences on one’s teaching</w:t>
      </w:r>
      <w:r w:rsidR="00A97CA1">
        <w:rPr>
          <w:lang w:val="en-GB"/>
        </w:rPr>
        <w:t>. There are man</w:t>
      </w:r>
      <w:r w:rsidR="00374EA5">
        <w:rPr>
          <w:lang w:val="en-GB"/>
        </w:rPr>
        <w:t>y</w:t>
      </w:r>
      <w:r w:rsidR="00A97CA1">
        <w:rPr>
          <w:lang w:val="en-GB"/>
        </w:rPr>
        <w:t xml:space="preserve"> advantages from viewing </w:t>
      </w:r>
      <w:r w:rsidR="00EC7A1C">
        <w:rPr>
          <w:lang w:val="en-GB"/>
        </w:rPr>
        <w:t>teaching as a collective endeavour</w:t>
      </w:r>
      <w:r w:rsidR="00B30564" w:rsidRPr="00156914">
        <w:rPr>
          <w:lang w:val="en-GB"/>
        </w:rPr>
        <w:t>.</w:t>
      </w:r>
      <w:r w:rsidR="006121F5">
        <w:rPr>
          <w:lang w:val="en-GB"/>
        </w:rPr>
        <w:t xml:space="preserve"> </w:t>
      </w:r>
      <w:r w:rsidR="00EC7A1C">
        <w:rPr>
          <w:lang w:val="en-GB"/>
        </w:rPr>
        <w:t>By contrast, a</w:t>
      </w:r>
      <w:r w:rsidR="006121F5">
        <w:rPr>
          <w:lang w:val="en-GB"/>
        </w:rPr>
        <w:t xml:space="preserve"> focus on individual competence leaves one ill-</w:t>
      </w:r>
      <w:r w:rsidRPr="00156914">
        <w:rPr>
          <w:lang w:val="en-GB"/>
        </w:rPr>
        <w:t>equipped to deal with shifts in the higher education sector</w:t>
      </w:r>
      <w:r w:rsidR="00EC7A1C">
        <w:rPr>
          <w:lang w:val="en-GB"/>
        </w:rPr>
        <w:t xml:space="preserve"> that work against emancipation. A </w:t>
      </w:r>
      <w:r w:rsidR="00B30564">
        <w:rPr>
          <w:lang w:val="en-GB"/>
        </w:rPr>
        <w:t xml:space="preserve">theoretical lens </w:t>
      </w:r>
      <w:r w:rsidR="00EC7A1C">
        <w:rPr>
          <w:lang w:val="en-GB"/>
        </w:rPr>
        <w:t xml:space="preserve">that is grounded in comprehensive forms of explanation constitutes a valuable asset in coming </w:t>
      </w:r>
      <w:r w:rsidR="00B30564">
        <w:rPr>
          <w:lang w:val="en-GB"/>
        </w:rPr>
        <w:t xml:space="preserve">to understand what is entailed in learning to teach. </w:t>
      </w:r>
    </w:p>
    <w:p w14:paraId="1486BCF8" w14:textId="7E770F4F" w:rsidR="00AE2B15" w:rsidRDefault="005C51F1" w:rsidP="004552BC">
      <w:pPr>
        <w:rPr>
          <w:b/>
          <w:bCs/>
          <w:lang w:val="en-GB"/>
        </w:rPr>
      </w:pPr>
      <w:r w:rsidRPr="00156914">
        <w:rPr>
          <w:lang w:val="en-GB"/>
        </w:rPr>
        <w:br/>
      </w:r>
      <w:r w:rsidRPr="00156914">
        <w:rPr>
          <w:b/>
          <w:bCs/>
          <w:lang w:val="en-GB"/>
        </w:rPr>
        <w:t>References</w:t>
      </w:r>
    </w:p>
    <w:p w14:paraId="51A8DF0B" w14:textId="77777777" w:rsidR="004552BC" w:rsidRPr="00156914" w:rsidRDefault="004552BC" w:rsidP="004552BC">
      <w:pPr>
        <w:rPr>
          <w:b/>
          <w:bCs/>
          <w:lang w:val="en-GB"/>
        </w:rPr>
      </w:pPr>
    </w:p>
    <w:p w14:paraId="0ABA6D59" w14:textId="1A10C580" w:rsidR="00FD1A8C" w:rsidRPr="00FD1A8C" w:rsidRDefault="00FD1A8C" w:rsidP="004552BC">
      <w:pPr>
        <w:pStyle w:val="Bibliography"/>
        <w:spacing w:line="240" w:lineRule="auto"/>
        <w:ind w:left="0" w:firstLine="0"/>
        <w:rPr>
          <w:rFonts w:eastAsia="Times New Roman"/>
        </w:rPr>
      </w:pPr>
      <w:r w:rsidRPr="00FD1A8C">
        <w:rPr>
          <w:rFonts w:eastAsia="Times New Roman"/>
        </w:rPr>
        <w:t>Altb</w:t>
      </w:r>
      <w:r w:rsidR="004001EF">
        <w:rPr>
          <w:rFonts w:eastAsia="Times New Roman"/>
        </w:rPr>
        <w:t>ach, PG</w:t>
      </w:r>
      <w:r w:rsidRPr="00FD1A8C">
        <w:rPr>
          <w:rFonts w:eastAsia="Times New Roman"/>
        </w:rPr>
        <w:t>, Reisber</w:t>
      </w:r>
      <w:r w:rsidR="00416C25">
        <w:rPr>
          <w:rFonts w:eastAsia="Times New Roman"/>
        </w:rPr>
        <w:t>g, L, &amp; Rumbley, L</w:t>
      </w:r>
      <w:r w:rsidR="004001EF">
        <w:rPr>
          <w:rFonts w:eastAsia="Times New Roman"/>
        </w:rPr>
        <w:t xml:space="preserve">E 2009, </w:t>
      </w:r>
      <w:r w:rsidRPr="00FD1A8C">
        <w:rPr>
          <w:rFonts w:eastAsia="Times New Roman"/>
          <w:i/>
          <w:iCs/>
        </w:rPr>
        <w:t>Trends in global higher education: Tracking an academic revolution</w:t>
      </w:r>
      <w:r w:rsidR="00C14BE8">
        <w:rPr>
          <w:rFonts w:eastAsia="Times New Roman"/>
        </w:rPr>
        <w:t>,</w:t>
      </w:r>
      <w:r w:rsidRPr="00FD1A8C">
        <w:rPr>
          <w:rFonts w:eastAsia="Times New Roman"/>
        </w:rPr>
        <w:t xml:space="preserve"> Sense Publishers</w:t>
      </w:r>
      <w:r w:rsidR="00C14BE8">
        <w:rPr>
          <w:rFonts w:eastAsia="Times New Roman"/>
        </w:rPr>
        <w:t>, Rotterdam</w:t>
      </w:r>
      <w:r w:rsidRPr="00FD1A8C">
        <w:rPr>
          <w:rFonts w:eastAsia="Times New Roman"/>
        </w:rPr>
        <w:t>.</w:t>
      </w:r>
    </w:p>
    <w:p w14:paraId="2D0193C0" w14:textId="42399B4E" w:rsidR="00FD1A8C" w:rsidRPr="00FD1A8C" w:rsidRDefault="00416C25" w:rsidP="004552BC">
      <w:pPr>
        <w:pStyle w:val="Bibliography"/>
        <w:spacing w:line="240" w:lineRule="auto"/>
        <w:ind w:left="0" w:firstLine="0"/>
        <w:rPr>
          <w:rFonts w:eastAsia="Times New Roman"/>
        </w:rPr>
      </w:pPr>
      <w:r>
        <w:rPr>
          <w:rFonts w:eastAsia="Times New Roman"/>
        </w:rPr>
        <w:t>Archer, M</w:t>
      </w:r>
      <w:r w:rsidR="004001EF">
        <w:rPr>
          <w:rFonts w:eastAsia="Times New Roman"/>
        </w:rPr>
        <w:t>S 1995,</w:t>
      </w:r>
      <w:r w:rsidR="00FD1A8C" w:rsidRPr="00FD1A8C">
        <w:rPr>
          <w:rFonts w:eastAsia="Times New Roman"/>
        </w:rPr>
        <w:t xml:space="preserve"> </w:t>
      </w:r>
      <w:r w:rsidR="00FD1A8C" w:rsidRPr="00FD1A8C">
        <w:rPr>
          <w:rFonts w:eastAsia="Times New Roman"/>
          <w:i/>
          <w:iCs/>
        </w:rPr>
        <w:t>Realist Social Theory: The Morphogenetic Approach</w:t>
      </w:r>
      <w:r w:rsidR="00C14BE8">
        <w:rPr>
          <w:rFonts w:eastAsia="Times New Roman"/>
        </w:rPr>
        <w:t>,</w:t>
      </w:r>
      <w:r w:rsidR="00FD1A8C" w:rsidRPr="00FD1A8C">
        <w:rPr>
          <w:rFonts w:eastAsia="Times New Roman"/>
        </w:rPr>
        <w:t xml:space="preserve"> Cambridge University Press</w:t>
      </w:r>
      <w:r w:rsidR="00C14BE8">
        <w:rPr>
          <w:rFonts w:eastAsia="Times New Roman"/>
        </w:rPr>
        <w:t>, C</w:t>
      </w:r>
      <w:r w:rsidR="00C14BE8" w:rsidRPr="00FD1A8C">
        <w:rPr>
          <w:rFonts w:eastAsia="Times New Roman"/>
        </w:rPr>
        <w:t>ambridge</w:t>
      </w:r>
      <w:r w:rsidR="00FD1A8C" w:rsidRPr="00FD1A8C">
        <w:rPr>
          <w:rFonts w:eastAsia="Times New Roman"/>
        </w:rPr>
        <w:t>.</w:t>
      </w:r>
    </w:p>
    <w:p w14:paraId="308DEADE" w14:textId="2A66C2F6" w:rsidR="00FD1A8C" w:rsidRPr="00FD1A8C" w:rsidRDefault="004001EF" w:rsidP="004552BC">
      <w:pPr>
        <w:pStyle w:val="Bibliography"/>
        <w:spacing w:line="240" w:lineRule="auto"/>
        <w:ind w:left="0" w:firstLine="0"/>
        <w:rPr>
          <w:rFonts w:eastAsia="Times New Roman"/>
        </w:rPr>
      </w:pPr>
      <w:r>
        <w:rPr>
          <w:rFonts w:eastAsia="Times New Roman"/>
        </w:rPr>
        <w:t>Archer, MS 2007,</w:t>
      </w:r>
      <w:r w:rsidR="00FD1A8C" w:rsidRPr="00FD1A8C">
        <w:rPr>
          <w:rFonts w:eastAsia="Times New Roman"/>
        </w:rPr>
        <w:t xml:space="preserve"> </w:t>
      </w:r>
      <w:r w:rsidR="00FD1A8C" w:rsidRPr="00FD1A8C">
        <w:rPr>
          <w:rFonts w:eastAsia="Times New Roman"/>
          <w:i/>
          <w:iCs/>
        </w:rPr>
        <w:t>Making our way through the world: Human reflexivity and social mobility</w:t>
      </w:r>
      <w:r w:rsidR="00C14BE8">
        <w:rPr>
          <w:rFonts w:eastAsia="Times New Roman"/>
        </w:rPr>
        <w:t>,</w:t>
      </w:r>
      <w:r w:rsidR="00FD1A8C" w:rsidRPr="00FD1A8C">
        <w:rPr>
          <w:rFonts w:eastAsia="Times New Roman"/>
        </w:rPr>
        <w:t xml:space="preserve"> Cambridge University Press</w:t>
      </w:r>
      <w:r w:rsidR="00C14BE8">
        <w:rPr>
          <w:rFonts w:eastAsia="Times New Roman"/>
        </w:rPr>
        <w:t xml:space="preserve">, </w:t>
      </w:r>
      <w:r w:rsidR="00C14BE8" w:rsidRPr="00FD1A8C">
        <w:rPr>
          <w:rFonts w:eastAsia="Times New Roman"/>
        </w:rPr>
        <w:t>Cambridge</w:t>
      </w:r>
      <w:r w:rsidR="00FD1A8C" w:rsidRPr="00FD1A8C">
        <w:rPr>
          <w:rFonts w:eastAsia="Times New Roman"/>
        </w:rPr>
        <w:t>.</w:t>
      </w:r>
    </w:p>
    <w:p w14:paraId="4F781061" w14:textId="37CD1C27" w:rsidR="00FD1A8C" w:rsidRPr="00FD1A8C" w:rsidRDefault="00416C25" w:rsidP="004552BC">
      <w:pPr>
        <w:pStyle w:val="Bibliography"/>
        <w:spacing w:line="240" w:lineRule="auto"/>
        <w:ind w:left="0" w:firstLine="0"/>
        <w:rPr>
          <w:rFonts w:eastAsia="Times New Roman"/>
        </w:rPr>
      </w:pPr>
      <w:r>
        <w:rPr>
          <w:rFonts w:eastAsia="Times New Roman"/>
        </w:rPr>
        <w:t>Archer, M</w:t>
      </w:r>
      <w:r w:rsidR="004001EF">
        <w:rPr>
          <w:rFonts w:eastAsia="Times New Roman"/>
        </w:rPr>
        <w:t>S 2012,</w:t>
      </w:r>
      <w:r w:rsidR="00FD1A8C" w:rsidRPr="00FD1A8C">
        <w:rPr>
          <w:rFonts w:eastAsia="Times New Roman"/>
        </w:rPr>
        <w:t xml:space="preserve"> </w:t>
      </w:r>
      <w:r w:rsidR="00FD1A8C" w:rsidRPr="00FD1A8C">
        <w:rPr>
          <w:rFonts w:eastAsia="Times New Roman"/>
          <w:i/>
          <w:iCs/>
        </w:rPr>
        <w:t>The Reflexive Imperative in Late Modernit</w:t>
      </w:r>
      <w:r w:rsidR="00C14BE8">
        <w:rPr>
          <w:rFonts w:eastAsia="Times New Roman"/>
          <w:i/>
          <w:iCs/>
        </w:rPr>
        <w:t>y,</w:t>
      </w:r>
      <w:r w:rsidR="00FD1A8C" w:rsidRPr="00FD1A8C">
        <w:rPr>
          <w:rFonts w:eastAsia="Times New Roman"/>
        </w:rPr>
        <w:t xml:space="preserve"> Cambridge University Press</w:t>
      </w:r>
      <w:r w:rsidR="00C14BE8">
        <w:rPr>
          <w:rFonts w:eastAsia="Times New Roman"/>
        </w:rPr>
        <w:t xml:space="preserve">, </w:t>
      </w:r>
      <w:r w:rsidR="00C14BE8" w:rsidRPr="00FD1A8C">
        <w:rPr>
          <w:rFonts w:eastAsia="Times New Roman"/>
        </w:rPr>
        <w:t>Cambridge</w:t>
      </w:r>
      <w:r w:rsidR="00FD1A8C" w:rsidRPr="00FD1A8C">
        <w:rPr>
          <w:rFonts w:eastAsia="Times New Roman"/>
        </w:rPr>
        <w:t>.</w:t>
      </w:r>
    </w:p>
    <w:p w14:paraId="4C1928E3" w14:textId="5646D398" w:rsidR="00FD1A8C" w:rsidRPr="00FD1A8C" w:rsidRDefault="00416C25" w:rsidP="004552BC">
      <w:pPr>
        <w:pStyle w:val="Bibliography"/>
        <w:spacing w:line="240" w:lineRule="auto"/>
        <w:ind w:left="0" w:firstLine="0"/>
        <w:rPr>
          <w:rFonts w:eastAsia="Times New Roman"/>
        </w:rPr>
      </w:pPr>
      <w:r>
        <w:rPr>
          <w:rFonts w:eastAsia="Times New Roman"/>
        </w:rPr>
        <w:t>Archer, M</w:t>
      </w:r>
      <w:r w:rsidR="004001EF">
        <w:rPr>
          <w:rFonts w:eastAsia="Times New Roman"/>
        </w:rPr>
        <w:t>S 2013,</w:t>
      </w:r>
      <w:r w:rsidR="00FD1A8C" w:rsidRPr="00FD1A8C">
        <w:rPr>
          <w:rFonts w:eastAsia="Times New Roman"/>
        </w:rPr>
        <w:t xml:space="preserve"> </w:t>
      </w:r>
      <w:r>
        <w:rPr>
          <w:rFonts w:eastAsia="Times New Roman"/>
        </w:rPr>
        <w:t>‘</w:t>
      </w:r>
      <w:r w:rsidR="00FD1A8C" w:rsidRPr="00FD1A8C">
        <w:rPr>
          <w:rFonts w:eastAsia="Times New Roman"/>
        </w:rPr>
        <w:t>Collective reflexivity:</w:t>
      </w:r>
      <w:r>
        <w:rPr>
          <w:rFonts w:eastAsia="Times New Roman"/>
        </w:rPr>
        <w:t xml:space="preserve"> A relational case for it’, i</w:t>
      </w:r>
      <w:r w:rsidR="00DD0E8E">
        <w:rPr>
          <w:rFonts w:eastAsia="Times New Roman"/>
        </w:rPr>
        <w:t>n C Powell &amp; F Dépelteau (e</w:t>
      </w:r>
      <w:r w:rsidR="00FD1A8C" w:rsidRPr="00FD1A8C">
        <w:rPr>
          <w:rFonts w:eastAsia="Times New Roman"/>
        </w:rPr>
        <w:t xml:space="preserve">ds.), </w:t>
      </w:r>
      <w:r w:rsidR="00FD1A8C" w:rsidRPr="00FD1A8C">
        <w:rPr>
          <w:rFonts w:eastAsia="Times New Roman"/>
          <w:i/>
          <w:iCs/>
        </w:rPr>
        <w:t>Conceptualizing relational sociology: Ontological and theoretical issues</w:t>
      </w:r>
      <w:r>
        <w:rPr>
          <w:rFonts w:eastAsia="Times New Roman"/>
        </w:rPr>
        <w:t xml:space="preserve">, </w:t>
      </w:r>
      <w:r w:rsidR="00FD1A8C" w:rsidRPr="00FD1A8C">
        <w:rPr>
          <w:rFonts w:eastAsia="Times New Roman"/>
        </w:rPr>
        <w:t>Palgrave Macmillan</w:t>
      </w:r>
      <w:r w:rsidR="00C14BE8">
        <w:rPr>
          <w:rFonts w:eastAsia="Times New Roman"/>
        </w:rPr>
        <w:t xml:space="preserve">, </w:t>
      </w:r>
      <w:r w:rsidR="00C14BE8" w:rsidRPr="00FD1A8C">
        <w:rPr>
          <w:rFonts w:eastAsia="Times New Roman"/>
        </w:rPr>
        <w:t>London</w:t>
      </w:r>
      <w:r>
        <w:rPr>
          <w:rFonts w:eastAsia="Times New Roman"/>
        </w:rPr>
        <w:t>, pp. 145–161</w:t>
      </w:r>
      <w:r w:rsidR="00FD1A8C" w:rsidRPr="00FD1A8C">
        <w:rPr>
          <w:rFonts w:eastAsia="Times New Roman"/>
        </w:rPr>
        <w:t>.</w:t>
      </w:r>
    </w:p>
    <w:p w14:paraId="7C426986" w14:textId="61477B03" w:rsidR="00FD1A8C" w:rsidRPr="00FD1A8C" w:rsidRDefault="00416C25" w:rsidP="004552BC">
      <w:pPr>
        <w:pStyle w:val="Bibliography"/>
        <w:spacing w:line="240" w:lineRule="auto"/>
        <w:ind w:left="0" w:firstLine="0"/>
        <w:rPr>
          <w:rFonts w:eastAsia="Times New Roman"/>
        </w:rPr>
      </w:pPr>
      <w:r>
        <w:rPr>
          <w:rFonts w:eastAsia="Times New Roman"/>
        </w:rPr>
        <w:t>Astin, A</w:t>
      </w:r>
      <w:r w:rsidR="004001EF">
        <w:rPr>
          <w:rFonts w:eastAsia="Times New Roman"/>
        </w:rPr>
        <w:t>W 1993,</w:t>
      </w:r>
      <w:r w:rsidR="00FD1A8C" w:rsidRPr="00FD1A8C">
        <w:rPr>
          <w:rFonts w:eastAsia="Times New Roman"/>
        </w:rPr>
        <w:t xml:space="preserve"> </w:t>
      </w:r>
      <w:r>
        <w:rPr>
          <w:rFonts w:eastAsia="Times New Roman"/>
        </w:rPr>
        <w:t>‘</w:t>
      </w:r>
      <w:r w:rsidR="00FD1A8C" w:rsidRPr="00FD1A8C">
        <w:rPr>
          <w:rFonts w:eastAsia="Times New Roman"/>
        </w:rPr>
        <w:t>Diversity and Multiculturalism on the Campus: How Are Students Affected?</w:t>
      </w:r>
      <w:r>
        <w:rPr>
          <w:rFonts w:eastAsia="Times New Roman"/>
        </w:rPr>
        <w:t>’,</w:t>
      </w:r>
      <w:r w:rsidR="00FD1A8C" w:rsidRPr="00FD1A8C">
        <w:rPr>
          <w:rFonts w:eastAsia="Times New Roman"/>
        </w:rPr>
        <w:t xml:space="preserve"> </w:t>
      </w:r>
      <w:r w:rsidR="00FD1A8C" w:rsidRPr="00FD1A8C">
        <w:rPr>
          <w:rFonts w:eastAsia="Times New Roman"/>
          <w:i/>
          <w:iCs/>
        </w:rPr>
        <w:t>Change: The Magazine of Higher Learning</w:t>
      </w:r>
      <w:r>
        <w:rPr>
          <w:rFonts w:eastAsia="Times New Roman"/>
          <w:i/>
          <w:iCs/>
        </w:rPr>
        <w:t>,</w:t>
      </w:r>
      <w:r w:rsidR="00A41C49" w:rsidRPr="00A41C49">
        <w:rPr>
          <w:rFonts w:eastAsia="Times New Roman"/>
        </w:rPr>
        <w:t xml:space="preserve"> </w:t>
      </w:r>
      <w:r w:rsidR="00A41C49">
        <w:rPr>
          <w:rFonts w:eastAsia="Times New Roman"/>
        </w:rPr>
        <w:t xml:space="preserve">vol. </w:t>
      </w:r>
      <w:r w:rsidR="00A41C49" w:rsidRPr="00A41C49">
        <w:rPr>
          <w:rFonts w:eastAsia="Times New Roman"/>
        </w:rPr>
        <w:t xml:space="preserve">25, no. </w:t>
      </w:r>
      <w:r w:rsidR="00A41C49">
        <w:rPr>
          <w:rFonts w:eastAsia="Times New Roman"/>
        </w:rPr>
        <w:t>2</w:t>
      </w:r>
      <w:r w:rsidR="00A41C49" w:rsidRPr="00FD1A8C">
        <w:rPr>
          <w:rFonts w:eastAsia="Times New Roman"/>
        </w:rPr>
        <w:t xml:space="preserve">, </w:t>
      </w:r>
      <w:r w:rsidR="00A41C49">
        <w:rPr>
          <w:rFonts w:eastAsia="Times New Roman"/>
        </w:rPr>
        <w:t xml:space="preserve">pp. </w:t>
      </w:r>
      <w:r w:rsidR="00A41C49" w:rsidRPr="00FD1A8C">
        <w:rPr>
          <w:rFonts w:eastAsia="Times New Roman"/>
        </w:rPr>
        <w:t>44–49.</w:t>
      </w:r>
    </w:p>
    <w:p w14:paraId="1AD72A73" w14:textId="323300CE" w:rsidR="00FD1A8C" w:rsidRPr="00FD1A8C" w:rsidRDefault="004001EF" w:rsidP="004552BC">
      <w:pPr>
        <w:pStyle w:val="Bibliography"/>
        <w:spacing w:line="240" w:lineRule="auto"/>
        <w:ind w:left="0" w:firstLine="0"/>
        <w:rPr>
          <w:rFonts w:eastAsia="Times New Roman"/>
        </w:rPr>
      </w:pPr>
      <w:r>
        <w:rPr>
          <w:rFonts w:eastAsia="Times New Roman"/>
        </w:rPr>
        <w:t>Barnett, R 1999,</w:t>
      </w:r>
      <w:r w:rsidR="00FD1A8C" w:rsidRPr="00FD1A8C">
        <w:rPr>
          <w:rFonts w:eastAsia="Times New Roman"/>
        </w:rPr>
        <w:t xml:space="preserve"> </w:t>
      </w:r>
      <w:r w:rsidR="00FD1A8C" w:rsidRPr="00FD1A8C">
        <w:rPr>
          <w:rFonts w:eastAsia="Times New Roman"/>
          <w:i/>
          <w:iCs/>
        </w:rPr>
        <w:t>Realizing the University in an Age of Supercomplexit</w:t>
      </w:r>
      <w:r w:rsidR="00C14BE8">
        <w:rPr>
          <w:rFonts w:eastAsia="Times New Roman"/>
          <w:i/>
          <w:iCs/>
        </w:rPr>
        <w:t>y,</w:t>
      </w:r>
      <w:r w:rsidR="00FD1A8C" w:rsidRPr="00FD1A8C">
        <w:rPr>
          <w:rFonts w:eastAsia="Times New Roman"/>
        </w:rPr>
        <w:t xml:space="preserve"> Open University Press</w:t>
      </w:r>
      <w:r w:rsidR="00C14BE8">
        <w:rPr>
          <w:rFonts w:eastAsia="Times New Roman"/>
        </w:rPr>
        <w:t xml:space="preserve">, </w:t>
      </w:r>
      <w:r w:rsidR="00C14BE8" w:rsidRPr="00FD1A8C">
        <w:rPr>
          <w:rFonts w:eastAsia="Times New Roman"/>
        </w:rPr>
        <w:t>Maidenhead</w:t>
      </w:r>
      <w:r w:rsidR="00FD1A8C" w:rsidRPr="00FD1A8C">
        <w:rPr>
          <w:rFonts w:eastAsia="Times New Roman"/>
        </w:rPr>
        <w:t>.</w:t>
      </w:r>
    </w:p>
    <w:p w14:paraId="4B843F7D" w14:textId="4FF69194" w:rsidR="00FD1A8C" w:rsidRPr="00FD1A8C" w:rsidRDefault="004001EF" w:rsidP="004552BC">
      <w:pPr>
        <w:pStyle w:val="Bibliography"/>
        <w:spacing w:line="240" w:lineRule="auto"/>
        <w:ind w:left="0" w:firstLine="0"/>
        <w:rPr>
          <w:rFonts w:eastAsia="Times New Roman"/>
        </w:rPr>
      </w:pPr>
      <w:r>
        <w:rPr>
          <w:rFonts w:eastAsia="Times New Roman"/>
        </w:rPr>
        <w:t>Barnett, R 2013,</w:t>
      </w:r>
      <w:r w:rsidR="00FD1A8C" w:rsidRPr="00FD1A8C">
        <w:rPr>
          <w:rFonts w:eastAsia="Times New Roman"/>
        </w:rPr>
        <w:t xml:space="preserve"> </w:t>
      </w:r>
      <w:r w:rsidR="00FD1A8C" w:rsidRPr="00FD1A8C">
        <w:rPr>
          <w:rFonts w:eastAsia="Times New Roman"/>
          <w:i/>
          <w:iCs/>
        </w:rPr>
        <w:t>Imagining the universit</w:t>
      </w:r>
      <w:r w:rsidR="00C14BE8">
        <w:rPr>
          <w:rFonts w:eastAsia="Times New Roman"/>
          <w:i/>
          <w:iCs/>
        </w:rPr>
        <w:t>y,</w:t>
      </w:r>
      <w:r w:rsidR="00FD1A8C" w:rsidRPr="00FD1A8C">
        <w:rPr>
          <w:rFonts w:eastAsia="Times New Roman"/>
        </w:rPr>
        <w:t xml:space="preserve"> Routledge</w:t>
      </w:r>
      <w:r w:rsidR="00C14BE8">
        <w:rPr>
          <w:rFonts w:eastAsia="Times New Roman"/>
        </w:rPr>
        <w:t xml:space="preserve">, </w:t>
      </w:r>
      <w:r w:rsidR="00C14BE8" w:rsidRPr="00FD1A8C">
        <w:rPr>
          <w:rFonts w:eastAsia="Times New Roman"/>
        </w:rPr>
        <w:t>London</w:t>
      </w:r>
      <w:r w:rsidR="00FD1A8C" w:rsidRPr="00FD1A8C">
        <w:rPr>
          <w:rFonts w:eastAsia="Times New Roman"/>
        </w:rPr>
        <w:t>.</w:t>
      </w:r>
    </w:p>
    <w:p w14:paraId="2B8483B7" w14:textId="223DC9B9" w:rsidR="00FD1A8C" w:rsidRPr="00FD1A8C" w:rsidRDefault="004001EF" w:rsidP="004552BC">
      <w:pPr>
        <w:pStyle w:val="Bibliography"/>
        <w:spacing w:line="240" w:lineRule="auto"/>
        <w:ind w:left="0" w:firstLine="0"/>
        <w:rPr>
          <w:rFonts w:eastAsia="Times New Roman"/>
        </w:rPr>
      </w:pPr>
      <w:r>
        <w:rPr>
          <w:rFonts w:eastAsia="Times New Roman"/>
        </w:rPr>
        <w:t>Becher, T &amp; Trowler, P 2001,</w:t>
      </w:r>
      <w:r w:rsidR="00FD1A8C" w:rsidRPr="00FD1A8C">
        <w:rPr>
          <w:rFonts w:eastAsia="Times New Roman"/>
        </w:rPr>
        <w:t xml:space="preserve"> </w:t>
      </w:r>
      <w:r w:rsidR="00FD1A8C" w:rsidRPr="00FD1A8C">
        <w:rPr>
          <w:rFonts w:eastAsia="Times New Roman"/>
          <w:i/>
          <w:iCs/>
        </w:rPr>
        <w:t>Academic tribes and territories: intellectual enquiry and the culture of disciplines</w:t>
      </w:r>
      <w:r w:rsidR="00C14BE8">
        <w:rPr>
          <w:rFonts w:eastAsia="Times New Roman"/>
        </w:rPr>
        <w:t xml:space="preserve">, </w:t>
      </w:r>
      <w:r w:rsidR="00FD1A8C" w:rsidRPr="00FD1A8C">
        <w:rPr>
          <w:rFonts w:eastAsia="Times New Roman"/>
        </w:rPr>
        <w:t>Open University Press</w:t>
      </w:r>
      <w:r w:rsidR="00C14BE8">
        <w:rPr>
          <w:rFonts w:eastAsia="Times New Roman"/>
        </w:rPr>
        <w:t>, Maidenhead</w:t>
      </w:r>
      <w:r w:rsidR="00FD1A8C" w:rsidRPr="00FD1A8C">
        <w:rPr>
          <w:rFonts w:eastAsia="Times New Roman"/>
        </w:rPr>
        <w:t>.</w:t>
      </w:r>
    </w:p>
    <w:p w14:paraId="15BDCD23" w14:textId="5C760B30" w:rsidR="00FD1A8C" w:rsidRPr="00FD1A8C" w:rsidRDefault="00416C25" w:rsidP="004552BC">
      <w:pPr>
        <w:pStyle w:val="Bibliography"/>
        <w:spacing w:line="240" w:lineRule="auto"/>
        <w:ind w:left="0" w:firstLine="0"/>
        <w:rPr>
          <w:rFonts w:eastAsia="Times New Roman"/>
        </w:rPr>
      </w:pPr>
      <w:r>
        <w:rPr>
          <w:rFonts w:eastAsia="Times New Roman"/>
        </w:rPr>
        <w:t>Bernstein, B</w:t>
      </w:r>
      <w:r w:rsidR="004001EF">
        <w:rPr>
          <w:rFonts w:eastAsia="Times New Roman"/>
        </w:rPr>
        <w:t>B 2000,</w:t>
      </w:r>
      <w:r w:rsidR="00FD1A8C" w:rsidRPr="00FD1A8C">
        <w:rPr>
          <w:rFonts w:eastAsia="Times New Roman"/>
        </w:rPr>
        <w:t xml:space="preserve"> </w:t>
      </w:r>
      <w:r w:rsidR="00FD1A8C" w:rsidRPr="00FD1A8C">
        <w:rPr>
          <w:rFonts w:eastAsia="Times New Roman"/>
          <w:i/>
          <w:iCs/>
        </w:rPr>
        <w:t>Pedagogy, symbolic control, and identity: theory, research, critiqu</w:t>
      </w:r>
      <w:r w:rsidR="00C14BE8">
        <w:rPr>
          <w:rFonts w:eastAsia="Times New Roman"/>
          <w:i/>
          <w:iCs/>
        </w:rPr>
        <w:t>e,</w:t>
      </w:r>
      <w:r w:rsidR="00C14BE8">
        <w:rPr>
          <w:rFonts w:eastAsia="Times New Roman"/>
        </w:rPr>
        <w:t xml:space="preserve"> </w:t>
      </w:r>
      <w:r w:rsidR="00FD1A8C" w:rsidRPr="00FD1A8C">
        <w:rPr>
          <w:rFonts w:eastAsia="Times New Roman"/>
        </w:rPr>
        <w:t>Rowman &amp; Littlefield</w:t>
      </w:r>
      <w:r w:rsidR="00C14BE8">
        <w:rPr>
          <w:rFonts w:eastAsia="Times New Roman"/>
        </w:rPr>
        <w:t xml:space="preserve">, </w:t>
      </w:r>
      <w:r w:rsidR="00C14BE8" w:rsidRPr="00FD1A8C">
        <w:rPr>
          <w:rFonts w:eastAsia="Times New Roman"/>
        </w:rPr>
        <w:t>Lanham, MD</w:t>
      </w:r>
      <w:r w:rsidR="00FD1A8C" w:rsidRPr="00FD1A8C">
        <w:rPr>
          <w:rFonts w:eastAsia="Times New Roman"/>
        </w:rPr>
        <w:t>.</w:t>
      </w:r>
    </w:p>
    <w:p w14:paraId="2D738066" w14:textId="26AA0F9E" w:rsidR="00FD1A8C" w:rsidRPr="00FD1A8C" w:rsidRDefault="004001EF" w:rsidP="004552BC">
      <w:pPr>
        <w:pStyle w:val="Bibliography"/>
        <w:spacing w:line="240" w:lineRule="auto"/>
        <w:ind w:left="0" w:firstLine="0"/>
        <w:rPr>
          <w:rFonts w:eastAsia="Times New Roman"/>
        </w:rPr>
      </w:pPr>
      <w:r>
        <w:rPr>
          <w:rFonts w:eastAsia="Times New Roman"/>
        </w:rPr>
        <w:t>Bhaskar, R 1979,</w:t>
      </w:r>
      <w:r w:rsidR="00FD1A8C" w:rsidRPr="00FD1A8C">
        <w:rPr>
          <w:rFonts w:eastAsia="Times New Roman"/>
        </w:rPr>
        <w:t xml:space="preserve"> </w:t>
      </w:r>
      <w:r w:rsidR="00FD1A8C" w:rsidRPr="00FD1A8C">
        <w:rPr>
          <w:rFonts w:eastAsia="Times New Roman"/>
          <w:i/>
          <w:iCs/>
        </w:rPr>
        <w:t>The possibility of naturalism: a philosophical critique of contemporary human sciences</w:t>
      </w:r>
      <w:r w:rsidR="00C14BE8">
        <w:rPr>
          <w:rFonts w:eastAsia="Times New Roman"/>
        </w:rPr>
        <w:t xml:space="preserve">, </w:t>
      </w:r>
      <w:r w:rsidR="00FD1A8C" w:rsidRPr="00FD1A8C">
        <w:rPr>
          <w:rFonts w:eastAsia="Times New Roman"/>
        </w:rPr>
        <w:t>Harvester Press</w:t>
      </w:r>
      <w:r w:rsidR="00C14BE8">
        <w:rPr>
          <w:rFonts w:eastAsia="Times New Roman"/>
        </w:rPr>
        <w:t xml:space="preserve">, </w:t>
      </w:r>
      <w:r w:rsidR="00C14BE8" w:rsidRPr="00FD1A8C">
        <w:rPr>
          <w:rFonts w:eastAsia="Times New Roman"/>
        </w:rPr>
        <w:t>Brighton</w:t>
      </w:r>
      <w:r w:rsidR="00FD1A8C" w:rsidRPr="00FD1A8C">
        <w:rPr>
          <w:rFonts w:eastAsia="Times New Roman"/>
        </w:rPr>
        <w:t>.</w:t>
      </w:r>
    </w:p>
    <w:p w14:paraId="431183E0" w14:textId="1779CD78" w:rsidR="00FD1A8C" w:rsidRPr="00FD1A8C" w:rsidRDefault="004001EF" w:rsidP="004552BC">
      <w:pPr>
        <w:pStyle w:val="Bibliography"/>
        <w:spacing w:line="240" w:lineRule="auto"/>
        <w:ind w:left="0" w:firstLine="0"/>
        <w:rPr>
          <w:rFonts w:eastAsia="Times New Roman"/>
        </w:rPr>
      </w:pPr>
      <w:r>
        <w:rPr>
          <w:rFonts w:eastAsia="Times New Roman"/>
        </w:rPr>
        <w:t>Bhaskar, R 1986,</w:t>
      </w:r>
      <w:r w:rsidR="00FD1A8C" w:rsidRPr="00FD1A8C">
        <w:rPr>
          <w:rFonts w:eastAsia="Times New Roman"/>
        </w:rPr>
        <w:t xml:space="preserve"> </w:t>
      </w:r>
      <w:r w:rsidR="00FD1A8C" w:rsidRPr="00FD1A8C">
        <w:rPr>
          <w:rFonts w:eastAsia="Times New Roman"/>
          <w:i/>
          <w:iCs/>
        </w:rPr>
        <w:t>Scientific realism and human emancipation</w:t>
      </w:r>
      <w:r w:rsidR="00C14BE8">
        <w:rPr>
          <w:rFonts w:eastAsia="Times New Roman"/>
        </w:rPr>
        <w:t xml:space="preserve">, </w:t>
      </w:r>
      <w:r w:rsidR="00FD1A8C" w:rsidRPr="00FD1A8C">
        <w:rPr>
          <w:rFonts w:eastAsia="Times New Roman"/>
        </w:rPr>
        <w:t>Verso</w:t>
      </w:r>
      <w:r w:rsidR="00C14BE8">
        <w:rPr>
          <w:rFonts w:eastAsia="Times New Roman"/>
        </w:rPr>
        <w:t>, London</w:t>
      </w:r>
      <w:r w:rsidR="00FD1A8C" w:rsidRPr="00FD1A8C">
        <w:rPr>
          <w:rFonts w:eastAsia="Times New Roman"/>
        </w:rPr>
        <w:t>.</w:t>
      </w:r>
    </w:p>
    <w:p w14:paraId="11FCF268" w14:textId="40BAAC02" w:rsidR="00FD1A8C" w:rsidRPr="00FD1A8C" w:rsidRDefault="00416C25" w:rsidP="004552BC">
      <w:pPr>
        <w:pStyle w:val="Bibliography"/>
        <w:spacing w:line="240" w:lineRule="auto"/>
        <w:ind w:left="0" w:firstLine="0"/>
        <w:rPr>
          <w:rFonts w:eastAsia="Times New Roman"/>
        </w:rPr>
      </w:pPr>
      <w:r>
        <w:rPr>
          <w:rFonts w:eastAsia="Times New Roman"/>
        </w:rPr>
        <w:t>Biggs, J</w:t>
      </w:r>
      <w:r w:rsidR="004001EF">
        <w:rPr>
          <w:rFonts w:eastAsia="Times New Roman"/>
        </w:rPr>
        <w:t>B, &amp; Tang, C 1999,</w:t>
      </w:r>
      <w:r w:rsidR="00FD1A8C" w:rsidRPr="00FD1A8C">
        <w:rPr>
          <w:rFonts w:eastAsia="Times New Roman"/>
        </w:rPr>
        <w:t xml:space="preserve"> </w:t>
      </w:r>
      <w:r w:rsidR="00FD1A8C" w:rsidRPr="00FD1A8C">
        <w:rPr>
          <w:rFonts w:eastAsia="Times New Roman"/>
          <w:i/>
          <w:iCs/>
        </w:rPr>
        <w:t>Teaching for quality learning at university</w:t>
      </w:r>
      <w:r w:rsidR="00C14BE8">
        <w:rPr>
          <w:rFonts w:eastAsia="Times New Roman"/>
        </w:rPr>
        <w:t>,</w:t>
      </w:r>
      <w:r w:rsidR="00FD1A8C" w:rsidRPr="00FD1A8C">
        <w:rPr>
          <w:rFonts w:eastAsia="Times New Roman"/>
        </w:rPr>
        <w:t xml:space="preserve"> Open University Press</w:t>
      </w:r>
      <w:r w:rsidR="00C14BE8">
        <w:rPr>
          <w:rFonts w:eastAsia="Times New Roman"/>
        </w:rPr>
        <w:t xml:space="preserve">, </w:t>
      </w:r>
      <w:r w:rsidR="001F1B29">
        <w:rPr>
          <w:rFonts w:eastAsia="Times New Roman"/>
        </w:rPr>
        <w:t>Maidenhead</w:t>
      </w:r>
      <w:r w:rsidR="00FD1A8C" w:rsidRPr="00FD1A8C">
        <w:rPr>
          <w:rFonts w:eastAsia="Times New Roman"/>
        </w:rPr>
        <w:t>.</w:t>
      </w:r>
    </w:p>
    <w:p w14:paraId="2FEC44F1" w14:textId="21AF7AE0" w:rsidR="00FD1A8C" w:rsidRPr="00FD1A8C" w:rsidRDefault="004001EF" w:rsidP="004552BC">
      <w:pPr>
        <w:pStyle w:val="Bibliography"/>
        <w:spacing w:line="240" w:lineRule="auto"/>
        <w:ind w:left="0" w:firstLine="0"/>
        <w:rPr>
          <w:rFonts w:eastAsia="Times New Roman"/>
        </w:rPr>
      </w:pPr>
      <w:r>
        <w:rPr>
          <w:rFonts w:eastAsia="Times New Roman"/>
        </w:rPr>
        <w:t>Bok, D 2009,</w:t>
      </w:r>
      <w:r w:rsidR="00FD1A8C" w:rsidRPr="00FD1A8C">
        <w:rPr>
          <w:rFonts w:eastAsia="Times New Roman"/>
        </w:rPr>
        <w:t xml:space="preserve"> </w:t>
      </w:r>
      <w:r w:rsidR="00FD1A8C" w:rsidRPr="00FD1A8C">
        <w:rPr>
          <w:rFonts w:eastAsia="Times New Roman"/>
          <w:i/>
          <w:iCs/>
        </w:rPr>
        <w:t>Universities in the Marketplace: The Commercialization of Higher Education</w:t>
      </w:r>
      <w:r w:rsidR="001F1B29">
        <w:rPr>
          <w:rFonts w:eastAsia="Times New Roman"/>
        </w:rPr>
        <w:t>,</w:t>
      </w:r>
      <w:r w:rsidR="00FD1A8C" w:rsidRPr="00FD1A8C">
        <w:rPr>
          <w:rFonts w:eastAsia="Times New Roman"/>
        </w:rPr>
        <w:t xml:space="preserve"> Princeton University Press</w:t>
      </w:r>
      <w:r w:rsidR="001F1B29">
        <w:rPr>
          <w:rFonts w:eastAsia="Times New Roman"/>
        </w:rPr>
        <w:t xml:space="preserve">, </w:t>
      </w:r>
      <w:r w:rsidR="001F1B29" w:rsidRPr="00FD1A8C">
        <w:rPr>
          <w:rFonts w:eastAsia="Times New Roman"/>
        </w:rPr>
        <w:t>Princeton, NJ</w:t>
      </w:r>
      <w:r w:rsidR="00FD1A8C" w:rsidRPr="00FD1A8C">
        <w:rPr>
          <w:rFonts w:eastAsia="Times New Roman"/>
        </w:rPr>
        <w:t>.</w:t>
      </w:r>
    </w:p>
    <w:p w14:paraId="161D9E21" w14:textId="261213D6" w:rsidR="00FD1A8C" w:rsidRPr="00FD1A8C" w:rsidRDefault="004001EF" w:rsidP="004552BC">
      <w:pPr>
        <w:pStyle w:val="Bibliography"/>
        <w:spacing w:line="240" w:lineRule="auto"/>
        <w:ind w:left="0" w:firstLine="0"/>
        <w:rPr>
          <w:rFonts w:eastAsia="Times New Roman"/>
        </w:rPr>
      </w:pPr>
      <w:r>
        <w:rPr>
          <w:rFonts w:eastAsia="Times New Roman"/>
        </w:rPr>
        <w:t>Boud, D 1999,</w:t>
      </w:r>
      <w:r w:rsidR="00FD1A8C" w:rsidRPr="00FD1A8C">
        <w:rPr>
          <w:rFonts w:eastAsia="Times New Roman"/>
        </w:rPr>
        <w:t xml:space="preserve"> </w:t>
      </w:r>
      <w:r w:rsidR="00416C25">
        <w:rPr>
          <w:rFonts w:eastAsia="Times New Roman"/>
        </w:rPr>
        <w:t>‘</w:t>
      </w:r>
      <w:r w:rsidR="00FD1A8C" w:rsidRPr="00FD1A8C">
        <w:rPr>
          <w:rFonts w:eastAsia="Times New Roman"/>
        </w:rPr>
        <w:t>Situating academic development in profess</w:t>
      </w:r>
      <w:r w:rsidR="00416C25">
        <w:rPr>
          <w:rFonts w:eastAsia="Times New Roman"/>
        </w:rPr>
        <w:t>ional work: Using peer learning’,</w:t>
      </w:r>
      <w:r w:rsidR="00FD1A8C" w:rsidRPr="00FD1A8C">
        <w:rPr>
          <w:rFonts w:eastAsia="Times New Roman"/>
          <w:i/>
          <w:iCs/>
        </w:rPr>
        <w:t xml:space="preserve"> International Journal for Academic Development</w:t>
      </w:r>
      <w:r w:rsidR="00FD1A8C" w:rsidRPr="00FD1A8C">
        <w:rPr>
          <w:rFonts w:eastAsia="Times New Roman"/>
        </w:rPr>
        <w:t xml:space="preserve">, </w:t>
      </w:r>
      <w:r w:rsidR="00A41C49">
        <w:rPr>
          <w:rFonts w:eastAsia="Times New Roman"/>
        </w:rPr>
        <w:t xml:space="preserve">vol. </w:t>
      </w:r>
      <w:r w:rsidR="00FD1A8C" w:rsidRPr="00A41C49">
        <w:rPr>
          <w:rFonts w:eastAsia="Times New Roman"/>
        </w:rPr>
        <w:t>4</w:t>
      </w:r>
      <w:r w:rsidR="00A41C49">
        <w:rPr>
          <w:rFonts w:eastAsia="Times New Roman"/>
        </w:rPr>
        <w:t>, no. 1</w:t>
      </w:r>
      <w:r w:rsidR="00FD1A8C" w:rsidRPr="00FD1A8C">
        <w:rPr>
          <w:rFonts w:eastAsia="Times New Roman"/>
        </w:rPr>
        <w:t>,</w:t>
      </w:r>
      <w:r w:rsidR="00A41C49">
        <w:rPr>
          <w:rFonts w:eastAsia="Times New Roman"/>
        </w:rPr>
        <w:t xml:space="preserve"> pp.</w:t>
      </w:r>
      <w:r w:rsidR="00FD1A8C" w:rsidRPr="00FD1A8C">
        <w:rPr>
          <w:rFonts w:eastAsia="Times New Roman"/>
        </w:rPr>
        <w:t xml:space="preserve"> 3–10.</w:t>
      </w:r>
    </w:p>
    <w:p w14:paraId="094823E5" w14:textId="08DCC0A7" w:rsidR="00FD1A8C" w:rsidRDefault="00416C25" w:rsidP="004552BC">
      <w:pPr>
        <w:pStyle w:val="Bibliography"/>
        <w:spacing w:line="240" w:lineRule="auto"/>
        <w:ind w:left="0" w:firstLine="0"/>
        <w:rPr>
          <w:rFonts w:eastAsia="Times New Roman"/>
        </w:rPr>
      </w:pPr>
      <w:r>
        <w:rPr>
          <w:rFonts w:eastAsia="Times New Roman"/>
        </w:rPr>
        <w:t>Boyer, E</w:t>
      </w:r>
      <w:r w:rsidR="004001EF">
        <w:rPr>
          <w:rFonts w:eastAsia="Times New Roman"/>
        </w:rPr>
        <w:t>L 1990,</w:t>
      </w:r>
      <w:r w:rsidR="00FD1A8C" w:rsidRPr="00FD1A8C">
        <w:rPr>
          <w:rFonts w:eastAsia="Times New Roman"/>
        </w:rPr>
        <w:t xml:space="preserve"> </w:t>
      </w:r>
      <w:r w:rsidR="00FD1A8C" w:rsidRPr="00FD1A8C">
        <w:rPr>
          <w:rFonts w:eastAsia="Times New Roman"/>
          <w:i/>
          <w:iCs/>
        </w:rPr>
        <w:t>Scholarship reconsidered</w:t>
      </w:r>
      <w:r w:rsidR="001F1B29">
        <w:rPr>
          <w:rFonts w:eastAsia="Times New Roman"/>
        </w:rPr>
        <w:t>, C</w:t>
      </w:r>
      <w:r w:rsidR="00FD1A8C" w:rsidRPr="00FD1A8C">
        <w:rPr>
          <w:rFonts w:eastAsia="Times New Roman"/>
        </w:rPr>
        <w:t>arnegie Foundation for the Advancement of Teaching</w:t>
      </w:r>
      <w:r w:rsidR="001F1B29">
        <w:rPr>
          <w:rFonts w:eastAsia="Times New Roman"/>
        </w:rPr>
        <w:t>, Princeton, NJ.</w:t>
      </w:r>
    </w:p>
    <w:p w14:paraId="4F2A25AD" w14:textId="79DAA065" w:rsidR="00FD1A8C" w:rsidRPr="00FD1A8C" w:rsidRDefault="004001EF" w:rsidP="004552BC">
      <w:pPr>
        <w:pStyle w:val="Bibliography"/>
        <w:spacing w:line="240" w:lineRule="auto"/>
        <w:ind w:left="0" w:firstLine="0"/>
        <w:rPr>
          <w:rFonts w:eastAsia="Times New Roman"/>
        </w:rPr>
      </w:pPr>
      <w:r>
        <w:rPr>
          <w:rFonts w:eastAsia="Times New Roman"/>
        </w:rPr>
        <w:t>Chalmers, D</w:t>
      </w:r>
      <w:r w:rsidR="00FD1A8C" w:rsidRPr="00FD1A8C">
        <w:rPr>
          <w:rFonts w:eastAsia="Times New Roman"/>
        </w:rPr>
        <w:t xml:space="preserve"> 2011</w:t>
      </w:r>
      <w:r>
        <w:rPr>
          <w:rFonts w:eastAsia="Times New Roman"/>
        </w:rPr>
        <w:t>,</w:t>
      </w:r>
      <w:r w:rsidR="00FD1A8C" w:rsidRPr="00FD1A8C">
        <w:rPr>
          <w:rFonts w:eastAsia="Times New Roman"/>
        </w:rPr>
        <w:t xml:space="preserve"> </w:t>
      </w:r>
      <w:r w:rsidR="00416C25">
        <w:rPr>
          <w:rFonts w:eastAsia="Times New Roman"/>
        </w:rPr>
        <w:t>‘</w:t>
      </w:r>
      <w:r w:rsidR="00FD1A8C" w:rsidRPr="00FD1A8C">
        <w:rPr>
          <w:rFonts w:eastAsia="Times New Roman"/>
        </w:rPr>
        <w:t xml:space="preserve">Progress and challenges to the recognition and reward of the scholarship </w:t>
      </w:r>
      <w:r w:rsidR="00416C25">
        <w:rPr>
          <w:rFonts w:eastAsia="Times New Roman"/>
        </w:rPr>
        <w:t xml:space="preserve">of teaching in higher education’, </w:t>
      </w:r>
      <w:r w:rsidR="00FD1A8C" w:rsidRPr="00FD1A8C">
        <w:rPr>
          <w:rFonts w:eastAsia="Times New Roman"/>
          <w:i/>
        </w:rPr>
        <w:t>Higher Education Research &amp; Development</w:t>
      </w:r>
      <w:r w:rsidR="00FD1A8C" w:rsidRPr="00FD1A8C">
        <w:rPr>
          <w:rFonts w:eastAsia="Times New Roman"/>
        </w:rPr>
        <w:t>,</w:t>
      </w:r>
      <w:r w:rsidR="00FD1A8C" w:rsidRPr="00FD1A8C">
        <w:t> </w:t>
      </w:r>
      <w:r w:rsidR="00A41C49">
        <w:t xml:space="preserve">vol. </w:t>
      </w:r>
      <w:r w:rsidR="00A41C49">
        <w:rPr>
          <w:rFonts w:eastAsia="Times New Roman"/>
        </w:rPr>
        <w:t>30, no. 1,</w:t>
      </w:r>
      <w:r w:rsidR="00FD1A8C" w:rsidRPr="00FD1A8C">
        <w:rPr>
          <w:rFonts w:eastAsia="Times New Roman"/>
        </w:rPr>
        <w:t xml:space="preserve"> pp.</w:t>
      </w:r>
      <w:r w:rsidR="00A41C49">
        <w:rPr>
          <w:rFonts w:eastAsia="Times New Roman"/>
        </w:rPr>
        <w:t xml:space="preserve"> </w:t>
      </w:r>
      <w:r w:rsidR="00FD1A8C" w:rsidRPr="00FD1A8C">
        <w:rPr>
          <w:rFonts w:eastAsia="Times New Roman"/>
        </w:rPr>
        <w:t>25-38.</w:t>
      </w:r>
    </w:p>
    <w:p w14:paraId="2F95BBBE" w14:textId="44DF35FA" w:rsidR="00FD1A8C" w:rsidRPr="00FD1A8C" w:rsidRDefault="004001EF" w:rsidP="004552BC">
      <w:pPr>
        <w:pStyle w:val="Bibliography"/>
        <w:spacing w:line="240" w:lineRule="auto"/>
        <w:ind w:left="0" w:firstLine="0"/>
        <w:rPr>
          <w:rFonts w:eastAsia="Times New Roman"/>
        </w:rPr>
      </w:pPr>
      <w:r>
        <w:rPr>
          <w:rFonts w:eastAsia="Times New Roman"/>
        </w:rPr>
        <w:t>Clegg, S 2014,</w:t>
      </w:r>
      <w:r w:rsidR="00FD1A8C" w:rsidRPr="00FD1A8C">
        <w:rPr>
          <w:rFonts w:eastAsia="Times New Roman"/>
        </w:rPr>
        <w:t xml:space="preserve"> </w:t>
      </w:r>
      <w:r w:rsidR="00FD1A8C" w:rsidRPr="00FD1A8C">
        <w:rPr>
          <w:rFonts w:eastAsia="Times New Roman"/>
          <w:i/>
          <w:iCs/>
        </w:rPr>
        <w:t>Realism as a theoretical resource</w:t>
      </w:r>
      <w:r w:rsidR="006230E4">
        <w:rPr>
          <w:rFonts w:eastAsia="Times New Roman"/>
        </w:rPr>
        <w:t>,</w:t>
      </w:r>
      <w:r>
        <w:rPr>
          <w:rFonts w:eastAsia="Times New Roman"/>
        </w:rPr>
        <w:t xml:space="preserve"> </w:t>
      </w:r>
      <w:r w:rsidR="00FD1A8C" w:rsidRPr="00FD1A8C">
        <w:rPr>
          <w:rFonts w:eastAsia="Times New Roman"/>
        </w:rPr>
        <w:t>University of the Western Cape, South Africa</w:t>
      </w:r>
      <w:r w:rsidR="006230E4">
        <w:rPr>
          <w:rFonts w:eastAsia="Times New Roman"/>
        </w:rPr>
        <w:t>, October 2014</w:t>
      </w:r>
      <w:r w:rsidR="00FD1A8C" w:rsidRPr="00FD1A8C">
        <w:rPr>
          <w:rFonts w:eastAsia="Times New Roman"/>
        </w:rPr>
        <w:t>.</w:t>
      </w:r>
    </w:p>
    <w:p w14:paraId="1E5040AA" w14:textId="63C71D4E" w:rsidR="00FD1A8C" w:rsidRPr="00FD1A8C" w:rsidRDefault="004001EF" w:rsidP="004552BC">
      <w:pPr>
        <w:pStyle w:val="Bibliography"/>
        <w:spacing w:line="240" w:lineRule="auto"/>
        <w:ind w:left="0" w:firstLine="0"/>
        <w:rPr>
          <w:rFonts w:eastAsia="Times New Roman"/>
        </w:rPr>
      </w:pPr>
      <w:r>
        <w:rPr>
          <w:rFonts w:eastAsia="Times New Roman"/>
        </w:rPr>
        <w:t>De Boer, H, Enders, J, &amp; Schimank, U 2007,</w:t>
      </w:r>
      <w:r w:rsidR="00FD1A8C" w:rsidRPr="00FD1A8C">
        <w:rPr>
          <w:rFonts w:eastAsia="Times New Roman"/>
        </w:rPr>
        <w:t xml:space="preserve"> </w:t>
      </w:r>
      <w:r w:rsidR="00FD1A8C" w:rsidRPr="00FD1A8C">
        <w:rPr>
          <w:rFonts w:eastAsia="Times New Roman"/>
          <w:i/>
          <w:iCs/>
        </w:rPr>
        <w:t>On the way towards new public management? The governance of university systems in England, the Netherlands, Austria, and Germany</w:t>
      </w:r>
      <w:r w:rsidR="001F1B29">
        <w:rPr>
          <w:rFonts w:eastAsia="Times New Roman"/>
        </w:rPr>
        <w:t>,</w:t>
      </w:r>
      <w:r w:rsidR="00FD1A8C" w:rsidRPr="00FD1A8C">
        <w:rPr>
          <w:rFonts w:eastAsia="Times New Roman"/>
        </w:rPr>
        <w:t xml:space="preserve"> Springer</w:t>
      </w:r>
      <w:r w:rsidR="001F1B29">
        <w:rPr>
          <w:rFonts w:eastAsia="Times New Roman"/>
        </w:rPr>
        <w:t>, Berlin</w:t>
      </w:r>
      <w:r w:rsidR="00FD1A8C" w:rsidRPr="00FD1A8C">
        <w:rPr>
          <w:rFonts w:eastAsia="Times New Roman"/>
        </w:rPr>
        <w:t>.</w:t>
      </w:r>
    </w:p>
    <w:p w14:paraId="07CD8F08" w14:textId="7D74DDF5" w:rsidR="00FD1A8C" w:rsidRPr="00FD1A8C" w:rsidRDefault="004001EF" w:rsidP="004552BC">
      <w:pPr>
        <w:pStyle w:val="Bibliography"/>
        <w:spacing w:line="240" w:lineRule="auto"/>
        <w:ind w:left="0" w:firstLine="0"/>
        <w:rPr>
          <w:rFonts w:eastAsia="Times New Roman"/>
        </w:rPr>
      </w:pPr>
      <w:r>
        <w:rPr>
          <w:rFonts w:eastAsia="Times New Roman"/>
        </w:rPr>
        <w:t>Donati, P 2011,</w:t>
      </w:r>
      <w:r w:rsidR="00FD1A8C" w:rsidRPr="00FD1A8C">
        <w:rPr>
          <w:rFonts w:eastAsia="Times New Roman"/>
        </w:rPr>
        <w:t xml:space="preserve"> </w:t>
      </w:r>
      <w:r w:rsidR="00416C25">
        <w:rPr>
          <w:rFonts w:eastAsia="Times New Roman"/>
        </w:rPr>
        <w:t>‘</w:t>
      </w:r>
      <w:r w:rsidR="00FD1A8C" w:rsidRPr="00FD1A8C">
        <w:rPr>
          <w:rFonts w:eastAsia="Times New Roman"/>
        </w:rPr>
        <w:t>Cultural change, family transitions and reflexi</w:t>
      </w:r>
      <w:r w:rsidR="00416C25">
        <w:rPr>
          <w:rFonts w:eastAsia="Times New Roman"/>
        </w:rPr>
        <w:t>vity in a morphogenetic society’,</w:t>
      </w:r>
      <w:r w:rsidR="00FD1A8C" w:rsidRPr="00FD1A8C">
        <w:rPr>
          <w:rFonts w:eastAsia="Times New Roman"/>
        </w:rPr>
        <w:t xml:space="preserve"> </w:t>
      </w:r>
      <w:r w:rsidR="00FD1A8C" w:rsidRPr="00FD1A8C">
        <w:rPr>
          <w:rFonts w:eastAsia="Times New Roman"/>
          <w:i/>
          <w:iCs/>
        </w:rPr>
        <w:t>Memorandum</w:t>
      </w:r>
      <w:r w:rsidR="00FD1A8C" w:rsidRPr="00FD1A8C">
        <w:rPr>
          <w:rFonts w:eastAsia="Times New Roman"/>
        </w:rPr>
        <w:t xml:space="preserve">, </w:t>
      </w:r>
      <w:r w:rsidR="00A41C49">
        <w:rPr>
          <w:rFonts w:eastAsia="Times New Roman"/>
        </w:rPr>
        <w:t xml:space="preserve">vol. </w:t>
      </w:r>
      <w:r w:rsidR="00FD1A8C" w:rsidRPr="00A41C49">
        <w:rPr>
          <w:rFonts w:eastAsia="Times New Roman"/>
          <w:iCs/>
        </w:rPr>
        <w:t>21</w:t>
      </w:r>
      <w:r w:rsidR="00FD1A8C" w:rsidRPr="00A41C49">
        <w:rPr>
          <w:rFonts w:eastAsia="Times New Roman"/>
        </w:rPr>
        <w:t>,</w:t>
      </w:r>
      <w:r w:rsidR="00FD1A8C" w:rsidRPr="00FD1A8C">
        <w:rPr>
          <w:rFonts w:eastAsia="Times New Roman"/>
        </w:rPr>
        <w:t xml:space="preserve"> </w:t>
      </w:r>
      <w:r w:rsidR="00A41C49">
        <w:rPr>
          <w:rFonts w:eastAsia="Times New Roman"/>
        </w:rPr>
        <w:t xml:space="preserve">pp. </w:t>
      </w:r>
      <w:r w:rsidR="00FD1A8C" w:rsidRPr="00FD1A8C">
        <w:rPr>
          <w:rFonts w:eastAsia="Times New Roman"/>
        </w:rPr>
        <w:t>39–55.</w:t>
      </w:r>
    </w:p>
    <w:p w14:paraId="73F4CE24" w14:textId="124B0B44" w:rsidR="00FD1A8C" w:rsidRPr="00FD1A8C" w:rsidRDefault="004001EF" w:rsidP="004552BC">
      <w:pPr>
        <w:pStyle w:val="Bibliography"/>
        <w:spacing w:line="240" w:lineRule="auto"/>
        <w:ind w:left="0" w:firstLine="0"/>
        <w:rPr>
          <w:rFonts w:eastAsia="Times New Roman"/>
        </w:rPr>
      </w:pPr>
      <w:r>
        <w:rPr>
          <w:rFonts w:eastAsia="Times New Roman"/>
        </w:rPr>
        <w:t>Donati, P 2011,</w:t>
      </w:r>
      <w:r w:rsidR="00FD1A8C" w:rsidRPr="00FD1A8C">
        <w:rPr>
          <w:rFonts w:eastAsia="Times New Roman"/>
        </w:rPr>
        <w:t xml:space="preserve"> </w:t>
      </w:r>
      <w:r w:rsidR="00FD1A8C" w:rsidRPr="00FD1A8C">
        <w:rPr>
          <w:rFonts w:eastAsia="Times New Roman"/>
          <w:i/>
          <w:iCs/>
        </w:rPr>
        <w:t>Relational sociology: a new paradigm for the social sciences</w:t>
      </w:r>
      <w:r w:rsidR="001F1B29">
        <w:rPr>
          <w:rFonts w:eastAsia="Times New Roman"/>
        </w:rPr>
        <w:t>,</w:t>
      </w:r>
      <w:r w:rsidR="00FD1A8C" w:rsidRPr="00FD1A8C">
        <w:rPr>
          <w:rFonts w:eastAsia="Times New Roman"/>
        </w:rPr>
        <w:t xml:space="preserve"> Routledge</w:t>
      </w:r>
      <w:r w:rsidR="001F1B29">
        <w:rPr>
          <w:rFonts w:eastAsia="Times New Roman"/>
        </w:rPr>
        <w:t>, London</w:t>
      </w:r>
      <w:r w:rsidR="00FD1A8C" w:rsidRPr="00FD1A8C">
        <w:rPr>
          <w:rFonts w:eastAsia="Times New Roman"/>
        </w:rPr>
        <w:t>.</w:t>
      </w:r>
    </w:p>
    <w:p w14:paraId="119529AD" w14:textId="6845DC47" w:rsidR="00FD1A8C" w:rsidRPr="00FD1A8C" w:rsidRDefault="00416C25" w:rsidP="004552BC">
      <w:pPr>
        <w:pStyle w:val="Bibliography"/>
        <w:spacing w:line="240" w:lineRule="auto"/>
        <w:ind w:left="0" w:firstLine="0"/>
        <w:rPr>
          <w:rFonts w:eastAsia="Times New Roman"/>
        </w:rPr>
      </w:pPr>
      <w:r>
        <w:rPr>
          <w:rFonts w:eastAsia="Times New Roman"/>
        </w:rPr>
        <w:t>Donati, P &amp; Archer, MS</w:t>
      </w:r>
      <w:r w:rsidR="004001EF">
        <w:rPr>
          <w:rFonts w:eastAsia="Times New Roman"/>
        </w:rPr>
        <w:t xml:space="preserve"> 2015,</w:t>
      </w:r>
      <w:r w:rsidR="00FD1A8C" w:rsidRPr="00FD1A8C">
        <w:rPr>
          <w:rFonts w:eastAsia="Times New Roman"/>
        </w:rPr>
        <w:t xml:space="preserve"> </w:t>
      </w:r>
      <w:r w:rsidR="00FD1A8C" w:rsidRPr="00FD1A8C">
        <w:rPr>
          <w:rFonts w:eastAsia="Times New Roman"/>
          <w:i/>
          <w:iCs/>
        </w:rPr>
        <w:t>The relational subject</w:t>
      </w:r>
      <w:r>
        <w:rPr>
          <w:rFonts w:eastAsia="Times New Roman"/>
        </w:rPr>
        <w:t>,</w:t>
      </w:r>
      <w:r w:rsidR="00FD1A8C" w:rsidRPr="00FD1A8C">
        <w:rPr>
          <w:rFonts w:eastAsia="Times New Roman"/>
        </w:rPr>
        <w:t xml:space="preserve"> Cambridge University Press</w:t>
      </w:r>
      <w:r>
        <w:rPr>
          <w:rFonts w:eastAsia="Times New Roman"/>
        </w:rPr>
        <w:t>, Cambridge</w:t>
      </w:r>
      <w:r w:rsidR="00FD1A8C" w:rsidRPr="00FD1A8C">
        <w:rPr>
          <w:rFonts w:eastAsia="Times New Roman"/>
        </w:rPr>
        <w:t>.</w:t>
      </w:r>
    </w:p>
    <w:p w14:paraId="226C8939" w14:textId="7DBA6965" w:rsidR="00FD1A8C" w:rsidRPr="00FD1A8C" w:rsidRDefault="00416C25" w:rsidP="004552BC">
      <w:pPr>
        <w:pStyle w:val="Bibliography"/>
        <w:spacing w:line="240" w:lineRule="auto"/>
        <w:ind w:left="0" w:firstLine="0"/>
        <w:rPr>
          <w:rFonts w:eastAsia="Times New Roman"/>
        </w:rPr>
      </w:pPr>
      <w:r>
        <w:rPr>
          <w:rFonts w:eastAsia="Times New Roman"/>
        </w:rPr>
        <w:t>Eraut, M 2000, ‘N</w:t>
      </w:r>
      <w:r w:rsidR="00FD1A8C" w:rsidRPr="00FD1A8C">
        <w:rPr>
          <w:rFonts w:eastAsia="Times New Roman"/>
        </w:rPr>
        <w:t>on-formal learning and tacit</w:t>
      </w:r>
      <w:r>
        <w:rPr>
          <w:rFonts w:eastAsia="Times New Roman"/>
        </w:rPr>
        <w:t xml:space="preserve"> knowledge in professional work’,</w:t>
      </w:r>
      <w:r w:rsidR="00FD1A8C" w:rsidRPr="00FD1A8C">
        <w:rPr>
          <w:rFonts w:eastAsia="Times New Roman"/>
        </w:rPr>
        <w:t xml:space="preserve"> </w:t>
      </w:r>
      <w:r w:rsidR="00FD1A8C" w:rsidRPr="00FD1A8C">
        <w:rPr>
          <w:rFonts w:eastAsia="Times New Roman"/>
          <w:i/>
          <w:iCs/>
        </w:rPr>
        <w:t>British Journal of Educational Psychology</w:t>
      </w:r>
      <w:r w:rsidR="00FD1A8C" w:rsidRPr="00FD1A8C">
        <w:rPr>
          <w:rFonts w:eastAsia="Times New Roman"/>
        </w:rPr>
        <w:t xml:space="preserve">, </w:t>
      </w:r>
      <w:r w:rsidR="00A41C49">
        <w:rPr>
          <w:rFonts w:eastAsia="Times New Roman"/>
        </w:rPr>
        <w:t xml:space="preserve">vol. </w:t>
      </w:r>
      <w:r w:rsidR="00FD1A8C" w:rsidRPr="00A41C49">
        <w:rPr>
          <w:rFonts w:eastAsia="Times New Roman"/>
          <w:iCs/>
        </w:rPr>
        <w:t>70</w:t>
      </w:r>
      <w:r w:rsidR="00A41C49">
        <w:rPr>
          <w:rFonts w:eastAsia="Times New Roman"/>
        </w:rPr>
        <w:t>, no. 1, pp.</w:t>
      </w:r>
      <w:r w:rsidR="00FD1A8C" w:rsidRPr="00FD1A8C">
        <w:rPr>
          <w:rFonts w:eastAsia="Times New Roman"/>
        </w:rPr>
        <w:t xml:space="preserve"> 113–136.</w:t>
      </w:r>
    </w:p>
    <w:p w14:paraId="38D90C1A" w14:textId="036CE2E0" w:rsidR="00FD1A8C" w:rsidRPr="00FD1A8C" w:rsidRDefault="00FD1A8C" w:rsidP="004552BC">
      <w:pPr>
        <w:pStyle w:val="Bibliography"/>
        <w:spacing w:line="240" w:lineRule="auto"/>
        <w:ind w:left="0" w:firstLine="0"/>
        <w:rPr>
          <w:rFonts w:eastAsia="Times New Roman"/>
        </w:rPr>
      </w:pPr>
      <w:r w:rsidRPr="00FD1A8C">
        <w:rPr>
          <w:rFonts w:eastAsia="Times New Roman"/>
        </w:rPr>
        <w:t>Gibbs, G</w:t>
      </w:r>
      <w:r w:rsidR="004001EF">
        <w:rPr>
          <w:rFonts w:eastAsia="Times New Roman"/>
        </w:rPr>
        <w:t>, Knapper, C, &amp; Picinnin, S 2008,</w:t>
      </w:r>
      <w:r w:rsidRPr="00FD1A8C">
        <w:rPr>
          <w:rFonts w:eastAsia="Times New Roman"/>
        </w:rPr>
        <w:t xml:space="preserve"> </w:t>
      </w:r>
      <w:r w:rsidRPr="00FD1A8C">
        <w:rPr>
          <w:rFonts w:eastAsia="Times New Roman"/>
          <w:i/>
          <w:iCs/>
        </w:rPr>
        <w:t>Departmental leadership for quality teaching-an international comparative study of effective practice</w:t>
      </w:r>
      <w:r w:rsidR="001F1B29">
        <w:rPr>
          <w:rFonts w:eastAsia="Times New Roman"/>
        </w:rPr>
        <w:t xml:space="preserve">, </w:t>
      </w:r>
      <w:r w:rsidRPr="00FD1A8C">
        <w:rPr>
          <w:rFonts w:eastAsia="Times New Roman"/>
        </w:rPr>
        <w:t>Leadership Foundation for Higher Education</w:t>
      </w:r>
      <w:r w:rsidR="001F1B29">
        <w:rPr>
          <w:rFonts w:eastAsia="Times New Roman"/>
        </w:rPr>
        <w:t>, London</w:t>
      </w:r>
      <w:r w:rsidRPr="00FD1A8C">
        <w:rPr>
          <w:rFonts w:eastAsia="Times New Roman"/>
        </w:rPr>
        <w:t>.</w:t>
      </w:r>
    </w:p>
    <w:p w14:paraId="79B2045A" w14:textId="0F0D7CA4" w:rsidR="00FD1A8C" w:rsidRDefault="004001EF" w:rsidP="004552BC">
      <w:pPr>
        <w:pStyle w:val="Bibliography"/>
        <w:spacing w:line="240" w:lineRule="auto"/>
        <w:ind w:left="0" w:firstLine="0"/>
        <w:rPr>
          <w:rFonts w:eastAsia="Times New Roman"/>
        </w:rPr>
      </w:pPr>
      <w:r>
        <w:rPr>
          <w:rFonts w:eastAsia="Times New Roman"/>
        </w:rPr>
        <w:t xml:space="preserve">Gustavsen, B 2001, </w:t>
      </w:r>
      <w:r w:rsidR="00416C25">
        <w:rPr>
          <w:rFonts w:eastAsia="Times New Roman"/>
        </w:rPr>
        <w:t>‘</w:t>
      </w:r>
      <w:r w:rsidR="00FD1A8C" w:rsidRPr="00FD1A8C">
        <w:rPr>
          <w:rFonts w:eastAsia="Times New Roman"/>
        </w:rPr>
        <w:t>Theory and practice: The mediating discourse</w:t>
      </w:r>
      <w:r w:rsidR="00416C25">
        <w:rPr>
          <w:rFonts w:eastAsia="Times New Roman"/>
        </w:rPr>
        <w:t>’, in P Reason &amp; H</w:t>
      </w:r>
      <w:r w:rsidR="00FD1A8C" w:rsidRPr="00FD1A8C">
        <w:rPr>
          <w:rFonts w:eastAsia="Times New Roman"/>
        </w:rPr>
        <w:t xml:space="preserve"> Bradbury</w:t>
      </w:r>
      <w:r w:rsidR="00416C25">
        <w:rPr>
          <w:rFonts w:eastAsia="Times New Roman"/>
        </w:rPr>
        <w:t xml:space="preserve"> (eds.)</w:t>
      </w:r>
      <w:r w:rsidR="00FD1A8C" w:rsidRPr="00FD1A8C">
        <w:rPr>
          <w:rFonts w:eastAsia="Times New Roman"/>
        </w:rPr>
        <w:t xml:space="preserve">, </w:t>
      </w:r>
      <w:r w:rsidR="00FD1A8C" w:rsidRPr="00FD1A8C">
        <w:rPr>
          <w:rFonts w:eastAsia="Times New Roman"/>
          <w:i/>
          <w:iCs/>
        </w:rPr>
        <w:t>Handbook of action research: The concise paperback edition</w:t>
      </w:r>
      <w:r w:rsidR="00416C25">
        <w:rPr>
          <w:rFonts w:eastAsia="Times New Roman"/>
          <w:i/>
          <w:iCs/>
        </w:rPr>
        <w:t>,</w:t>
      </w:r>
      <w:r w:rsidR="00416C25">
        <w:rPr>
          <w:rFonts w:eastAsia="Times New Roman"/>
        </w:rPr>
        <w:t xml:space="preserve"> S</w:t>
      </w:r>
      <w:r w:rsidR="00FD1A8C" w:rsidRPr="00FD1A8C">
        <w:rPr>
          <w:rFonts w:eastAsia="Times New Roman"/>
        </w:rPr>
        <w:t>age</w:t>
      </w:r>
      <w:r w:rsidR="001F1B29">
        <w:rPr>
          <w:rFonts w:eastAsia="Times New Roman"/>
        </w:rPr>
        <w:t>, Thousand Oaks: CA</w:t>
      </w:r>
      <w:r w:rsidR="00416C25">
        <w:rPr>
          <w:rFonts w:eastAsia="Times New Roman"/>
        </w:rPr>
        <w:t>, pp. 17–26</w:t>
      </w:r>
      <w:r w:rsidR="00FD1A8C" w:rsidRPr="00FD1A8C">
        <w:rPr>
          <w:rFonts w:eastAsia="Times New Roman"/>
        </w:rPr>
        <w:t>.</w:t>
      </w:r>
    </w:p>
    <w:p w14:paraId="3D5DF8C4" w14:textId="5AF2520E" w:rsidR="00FD1A8C" w:rsidRPr="00FD1A8C" w:rsidRDefault="00FD1A8C" w:rsidP="004552BC">
      <w:pPr>
        <w:pStyle w:val="Bibliography"/>
        <w:spacing w:line="240" w:lineRule="auto"/>
        <w:ind w:left="0" w:firstLine="0"/>
        <w:rPr>
          <w:rFonts w:eastAsia="Times New Roman"/>
        </w:rPr>
      </w:pPr>
      <w:r w:rsidRPr="00FD1A8C">
        <w:rPr>
          <w:rFonts w:eastAsia="Times New Roman"/>
        </w:rPr>
        <w:t>H</w:t>
      </w:r>
      <w:r w:rsidR="004001EF">
        <w:rPr>
          <w:rFonts w:eastAsia="Times New Roman"/>
        </w:rPr>
        <w:t>igher Education Academy 2011,</w:t>
      </w:r>
      <w:r w:rsidRPr="00FD1A8C">
        <w:rPr>
          <w:rFonts w:eastAsia="Times New Roman"/>
        </w:rPr>
        <w:t xml:space="preserve"> </w:t>
      </w:r>
      <w:r w:rsidRPr="00FD1A8C">
        <w:rPr>
          <w:rFonts w:eastAsia="Times New Roman"/>
          <w:i/>
          <w:iCs/>
        </w:rPr>
        <w:t>The UK Professional Standards Framework for teaching and supporting learning in higher education</w:t>
      </w:r>
      <w:r w:rsidR="001F1B29">
        <w:rPr>
          <w:rFonts w:eastAsia="Times New Roman"/>
        </w:rPr>
        <w:t>,</w:t>
      </w:r>
      <w:r w:rsidRPr="00FD1A8C">
        <w:rPr>
          <w:rFonts w:eastAsia="Times New Roman"/>
        </w:rPr>
        <w:t xml:space="preserve"> Higher Education Academy</w:t>
      </w:r>
      <w:r w:rsidR="001F1B29">
        <w:rPr>
          <w:rFonts w:eastAsia="Times New Roman"/>
        </w:rPr>
        <w:t>, York</w:t>
      </w:r>
      <w:r w:rsidRPr="00FD1A8C">
        <w:rPr>
          <w:rFonts w:eastAsia="Times New Roman"/>
        </w:rPr>
        <w:t>.</w:t>
      </w:r>
    </w:p>
    <w:p w14:paraId="591D4BA5" w14:textId="6852EA42" w:rsidR="00FD1A8C" w:rsidRPr="00FD1A8C" w:rsidRDefault="00416C25" w:rsidP="004552BC">
      <w:pPr>
        <w:pStyle w:val="Bibliography"/>
        <w:spacing w:line="240" w:lineRule="auto"/>
        <w:ind w:left="0" w:firstLine="0"/>
        <w:rPr>
          <w:rFonts w:eastAsia="Times New Roman"/>
        </w:rPr>
      </w:pPr>
      <w:r>
        <w:rPr>
          <w:rFonts w:eastAsia="Times New Roman"/>
        </w:rPr>
        <w:t>Kahn, P</w:t>
      </w:r>
      <w:r w:rsidR="004001EF">
        <w:rPr>
          <w:rFonts w:eastAsia="Times New Roman"/>
        </w:rPr>
        <w:t xml:space="preserve">E 2014, </w:t>
      </w:r>
      <w:r>
        <w:rPr>
          <w:rFonts w:eastAsia="Times New Roman"/>
        </w:rPr>
        <w:t>‘</w:t>
      </w:r>
      <w:r w:rsidR="00FD1A8C" w:rsidRPr="00FD1A8C">
        <w:rPr>
          <w:rFonts w:eastAsia="Times New Roman"/>
        </w:rPr>
        <w:t xml:space="preserve">Theorising student </w:t>
      </w:r>
      <w:r>
        <w:rPr>
          <w:rFonts w:eastAsia="Times New Roman"/>
        </w:rPr>
        <w:t xml:space="preserve">engagement in higher education’, </w:t>
      </w:r>
      <w:r w:rsidR="00FD1A8C" w:rsidRPr="00FD1A8C">
        <w:rPr>
          <w:rFonts w:eastAsia="Times New Roman"/>
          <w:i/>
          <w:iCs/>
        </w:rPr>
        <w:t>British Educational Research Journal</w:t>
      </w:r>
      <w:r w:rsidR="00FD1A8C" w:rsidRPr="00FD1A8C">
        <w:rPr>
          <w:rFonts w:eastAsia="Times New Roman"/>
        </w:rPr>
        <w:t xml:space="preserve">, </w:t>
      </w:r>
      <w:r w:rsidR="007926CE">
        <w:rPr>
          <w:rFonts w:eastAsia="Times New Roman"/>
        </w:rPr>
        <w:t xml:space="preserve">vol. </w:t>
      </w:r>
      <w:r w:rsidR="00FD1A8C" w:rsidRPr="007926CE">
        <w:rPr>
          <w:rFonts w:eastAsia="Times New Roman"/>
          <w:iCs/>
        </w:rPr>
        <w:t>40</w:t>
      </w:r>
      <w:r w:rsidR="007926CE">
        <w:rPr>
          <w:rFonts w:eastAsia="Times New Roman"/>
        </w:rPr>
        <w:t>, no. 6</w:t>
      </w:r>
      <w:r w:rsidR="00FD1A8C" w:rsidRPr="007926CE">
        <w:rPr>
          <w:rFonts w:eastAsia="Times New Roman"/>
        </w:rPr>
        <w:t>,</w:t>
      </w:r>
      <w:r w:rsidR="00FD1A8C" w:rsidRPr="00FD1A8C">
        <w:rPr>
          <w:rFonts w:eastAsia="Times New Roman"/>
        </w:rPr>
        <w:t xml:space="preserve"> </w:t>
      </w:r>
      <w:r w:rsidR="007926CE">
        <w:rPr>
          <w:rFonts w:eastAsia="Times New Roman"/>
        </w:rPr>
        <w:t xml:space="preserve">pp. </w:t>
      </w:r>
      <w:r w:rsidR="00FD1A8C" w:rsidRPr="00FD1A8C">
        <w:rPr>
          <w:rFonts w:eastAsia="Times New Roman"/>
        </w:rPr>
        <w:t>1005–1018.</w:t>
      </w:r>
    </w:p>
    <w:p w14:paraId="53EBEDFA" w14:textId="0BEE8D28" w:rsidR="00FD1A8C" w:rsidRPr="00FD1A8C" w:rsidRDefault="00416C25" w:rsidP="004552BC">
      <w:pPr>
        <w:pStyle w:val="Bibliography"/>
        <w:spacing w:line="240" w:lineRule="auto"/>
        <w:ind w:left="0" w:firstLine="0"/>
        <w:rPr>
          <w:rFonts w:eastAsia="Times New Roman"/>
        </w:rPr>
      </w:pPr>
      <w:r>
        <w:rPr>
          <w:rFonts w:eastAsia="Times New Roman"/>
        </w:rPr>
        <w:t>Kahn, P</w:t>
      </w:r>
      <w:r w:rsidR="004001EF">
        <w:rPr>
          <w:rFonts w:eastAsia="Times New Roman"/>
        </w:rPr>
        <w:t>E, Goodhew, P, Murphy, M, &amp; Walsh, L 2013,</w:t>
      </w:r>
      <w:r w:rsidR="00FD1A8C" w:rsidRPr="00FD1A8C">
        <w:rPr>
          <w:rFonts w:eastAsia="Times New Roman"/>
        </w:rPr>
        <w:t xml:space="preserve"> </w:t>
      </w:r>
      <w:r>
        <w:rPr>
          <w:rFonts w:eastAsia="Times New Roman"/>
        </w:rPr>
        <w:t>‘</w:t>
      </w:r>
      <w:r w:rsidR="00FD1A8C" w:rsidRPr="00FD1A8C">
        <w:rPr>
          <w:rFonts w:eastAsia="Times New Roman"/>
        </w:rPr>
        <w:t xml:space="preserve">The Scholarship of Teaching and Learning as Collaborative Working: A case study in shared </w:t>
      </w:r>
      <w:r>
        <w:rPr>
          <w:rFonts w:eastAsia="Times New Roman"/>
        </w:rPr>
        <w:t>practice and collective purpose’,</w:t>
      </w:r>
      <w:r w:rsidR="00FD1A8C" w:rsidRPr="00FD1A8C">
        <w:rPr>
          <w:rFonts w:eastAsia="Times New Roman"/>
        </w:rPr>
        <w:t xml:space="preserve"> </w:t>
      </w:r>
      <w:r w:rsidR="00FD1A8C" w:rsidRPr="00FD1A8C">
        <w:rPr>
          <w:rFonts w:eastAsia="Times New Roman"/>
          <w:i/>
          <w:iCs/>
        </w:rPr>
        <w:t>Higher Education Research &amp; Development</w:t>
      </w:r>
      <w:r w:rsidR="00FD1A8C" w:rsidRPr="00FD1A8C">
        <w:rPr>
          <w:rFonts w:eastAsia="Times New Roman"/>
        </w:rPr>
        <w:t xml:space="preserve">, </w:t>
      </w:r>
      <w:r w:rsidR="007926CE">
        <w:rPr>
          <w:rFonts w:eastAsia="Times New Roman"/>
        </w:rPr>
        <w:t xml:space="preserve">vol. </w:t>
      </w:r>
      <w:r w:rsidR="00FD1A8C" w:rsidRPr="007926CE">
        <w:rPr>
          <w:rFonts w:eastAsia="Times New Roman"/>
          <w:iCs/>
        </w:rPr>
        <w:t>32</w:t>
      </w:r>
      <w:r w:rsidR="007926CE">
        <w:rPr>
          <w:rFonts w:eastAsia="Times New Roman"/>
        </w:rPr>
        <w:t>, no. 6,</w:t>
      </w:r>
      <w:r w:rsidR="00FD1A8C" w:rsidRPr="00FD1A8C">
        <w:rPr>
          <w:rFonts w:eastAsia="Times New Roman"/>
        </w:rPr>
        <w:t xml:space="preserve"> </w:t>
      </w:r>
      <w:r w:rsidR="007926CE">
        <w:rPr>
          <w:rFonts w:eastAsia="Times New Roman"/>
        </w:rPr>
        <w:t xml:space="preserve">pp. </w:t>
      </w:r>
      <w:r w:rsidR="00FD1A8C" w:rsidRPr="00FD1A8C">
        <w:rPr>
          <w:rFonts w:eastAsia="Times New Roman"/>
        </w:rPr>
        <w:t>901–914.</w:t>
      </w:r>
    </w:p>
    <w:p w14:paraId="1D158563" w14:textId="20960481" w:rsidR="00FD1A8C" w:rsidRPr="00FD1A8C" w:rsidRDefault="004001EF" w:rsidP="004552BC">
      <w:pPr>
        <w:pStyle w:val="Bibliography"/>
        <w:spacing w:line="240" w:lineRule="auto"/>
        <w:ind w:left="0" w:firstLine="0"/>
        <w:rPr>
          <w:rFonts w:eastAsia="Times New Roman"/>
        </w:rPr>
      </w:pPr>
      <w:r>
        <w:rPr>
          <w:rFonts w:eastAsia="Times New Roman"/>
        </w:rPr>
        <w:t>Kahn, P</w:t>
      </w:r>
      <w:r w:rsidR="00416C25">
        <w:rPr>
          <w:rFonts w:eastAsia="Times New Roman"/>
        </w:rPr>
        <w:t>E</w:t>
      </w:r>
      <w:r>
        <w:rPr>
          <w:rFonts w:eastAsia="Times New Roman"/>
        </w:rPr>
        <w:t xml:space="preserve"> &amp; O’Rourke, K 2004,</w:t>
      </w:r>
      <w:r w:rsidR="00FD1A8C" w:rsidRPr="00FD1A8C">
        <w:rPr>
          <w:rFonts w:eastAsia="Times New Roman"/>
        </w:rPr>
        <w:t xml:space="preserve"> </w:t>
      </w:r>
      <w:r w:rsidR="00FD1A8C" w:rsidRPr="00FD1A8C">
        <w:rPr>
          <w:rFonts w:eastAsia="Times New Roman"/>
          <w:i/>
          <w:iCs/>
        </w:rPr>
        <w:t>Guide to curriculum design: Enquiry-based learning</w:t>
      </w:r>
      <w:r w:rsidR="001F1B29">
        <w:rPr>
          <w:rFonts w:eastAsia="Times New Roman"/>
        </w:rPr>
        <w:t xml:space="preserve">, </w:t>
      </w:r>
      <w:r w:rsidR="00FD1A8C" w:rsidRPr="00FD1A8C">
        <w:rPr>
          <w:rFonts w:eastAsia="Times New Roman"/>
        </w:rPr>
        <w:t>Higher Education Academy</w:t>
      </w:r>
      <w:r w:rsidR="001F1B29">
        <w:rPr>
          <w:rFonts w:eastAsia="Times New Roman"/>
        </w:rPr>
        <w:t>, York</w:t>
      </w:r>
      <w:r w:rsidR="00FD1A8C" w:rsidRPr="00FD1A8C">
        <w:rPr>
          <w:rFonts w:eastAsia="Times New Roman"/>
        </w:rPr>
        <w:t>.</w:t>
      </w:r>
    </w:p>
    <w:p w14:paraId="5DAADA37" w14:textId="37966B10" w:rsidR="00FD1A8C" w:rsidRPr="00FD1A8C" w:rsidRDefault="004001EF" w:rsidP="004552BC">
      <w:pPr>
        <w:pStyle w:val="Bibliography"/>
        <w:spacing w:line="240" w:lineRule="auto"/>
        <w:ind w:left="0" w:firstLine="0"/>
        <w:rPr>
          <w:rFonts w:eastAsia="Times New Roman"/>
        </w:rPr>
      </w:pPr>
      <w:r>
        <w:rPr>
          <w:rFonts w:eastAsia="Times New Roman"/>
        </w:rPr>
        <w:t>Kahn, P</w:t>
      </w:r>
      <w:r w:rsidR="00416C25">
        <w:rPr>
          <w:rFonts w:eastAsia="Times New Roman"/>
        </w:rPr>
        <w:t>E</w:t>
      </w:r>
      <w:r>
        <w:rPr>
          <w:rFonts w:eastAsia="Times New Roman"/>
        </w:rPr>
        <w:t xml:space="preserve"> &amp; Walsh, L 2006,</w:t>
      </w:r>
      <w:r w:rsidR="00FD1A8C" w:rsidRPr="00FD1A8C">
        <w:rPr>
          <w:rFonts w:eastAsia="Times New Roman"/>
        </w:rPr>
        <w:t xml:space="preserve"> </w:t>
      </w:r>
      <w:r w:rsidR="00FD1A8C" w:rsidRPr="00FD1A8C">
        <w:rPr>
          <w:rFonts w:eastAsia="Times New Roman"/>
          <w:i/>
          <w:iCs/>
        </w:rPr>
        <w:t>Developing your teaching: ideas, insight and action</w:t>
      </w:r>
      <w:r w:rsidR="001F1B29">
        <w:rPr>
          <w:rFonts w:eastAsia="Times New Roman"/>
        </w:rPr>
        <w:t>, Routledge, London</w:t>
      </w:r>
      <w:r w:rsidR="00FD1A8C" w:rsidRPr="00FD1A8C">
        <w:rPr>
          <w:rFonts w:eastAsia="Times New Roman"/>
        </w:rPr>
        <w:t>.</w:t>
      </w:r>
    </w:p>
    <w:p w14:paraId="7E82531B" w14:textId="31062442" w:rsidR="00FD1A8C" w:rsidRPr="00FD1A8C" w:rsidRDefault="004001EF" w:rsidP="004552BC">
      <w:pPr>
        <w:pStyle w:val="Bibliography"/>
        <w:spacing w:line="240" w:lineRule="auto"/>
        <w:ind w:left="0" w:firstLine="0"/>
        <w:rPr>
          <w:rFonts w:eastAsia="Times New Roman"/>
        </w:rPr>
      </w:pPr>
      <w:r>
        <w:rPr>
          <w:rFonts w:eastAsia="Times New Roman"/>
        </w:rPr>
        <w:t>Kandlbinder, P &amp; Peseta, T 2009,</w:t>
      </w:r>
      <w:r w:rsidR="00FD1A8C" w:rsidRPr="00FD1A8C">
        <w:rPr>
          <w:rFonts w:eastAsia="Times New Roman"/>
        </w:rPr>
        <w:t xml:space="preserve"> </w:t>
      </w:r>
      <w:r w:rsidR="00416C25">
        <w:rPr>
          <w:rFonts w:eastAsia="Times New Roman"/>
        </w:rPr>
        <w:t>‘</w:t>
      </w:r>
      <w:r w:rsidR="00FD1A8C" w:rsidRPr="00FD1A8C">
        <w:rPr>
          <w:rFonts w:eastAsia="Times New Roman"/>
        </w:rPr>
        <w:t>Key concepts in postgraduate certificates in higher education teaching and learning in Aus</w:t>
      </w:r>
      <w:r w:rsidR="00416C25">
        <w:rPr>
          <w:rFonts w:eastAsia="Times New Roman"/>
        </w:rPr>
        <w:t>tralasia and the United Kingdom’,</w:t>
      </w:r>
      <w:r w:rsidR="00FD1A8C" w:rsidRPr="00FD1A8C">
        <w:rPr>
          <w:rFonts w:eastAsia="Times New Roman"/>
        </w:rPr>
        <w:t xml:space="preserve"> </w:t>
      </w:r>
      <w:r w:rsidR="00FD1A8C" w:rsidRPr="00FD1A8C">
        <w:rPr>
          <w:rFonts w:eastAsia="Times New Roman"/>
          <w:i/>
          <w:iCs/>
        </w:rPr>
        <w:t>International Journal for Academic Development</w:t>
      </w:r>
      <w:r w:rsidR="00FD1A8C" w:rsidRPr="00FD1A8C">
        <w:rPr>
          <w:rFonts w:eastAsia="Times New Roman"/>
        </w:rPr>
        <w:t xml:space="preserve">, </w:t>
      </w:r>
      <w:r w:rsidR="007926CE">
        <w:rPr>
          <w:rFonts w:eastAsia="Times New Roman"/>
        </w:rPr>
        <w:t xml:space="preserve">vol. </w:t>
      </w:r>
      <w:r w:rsidR="00FD1A8C" w:rsidRPr="007926CE">
        <w:rPr>
          <w:rFonts w:eastAsia="Times New Roman"/>
          <w:iCs/>
        </w:rPr>
        <w:t>14</w:t>
      </w:r>
      <w:r w:rsidR="007926CE">
        <w:rPr>
          <w:rFonts w:eastAsia="Times New Roman"/>
        </w:rPr>
        <w:t>, no. 1</w:t>
      </w:r>
      <w:r w:rsidR="00FD1A8C" w:rsidRPr="007926CE">
        <w:rPr>
          <w:rFonts w:eastAsia="Times New Roman"/>
        </w:rPr>
        <w:t>,</w:t>
      </w:r>
      <w:r w:rsidR="007926CE">
        <w:rPr>
          <w:rFonts w:eastAsia="Times New Roman"/>
        </w:rPr>
        <w:t xml:space="preserve"> pp.</w:t>
      </w:r>
      <w:r w:rsidR="00FD1A8C" w:rsidRPr="00FD1A8C">
        <w:rPr>
          <w:rFonts w:eastAsia="Times New Roman"/>
        </w:rPr>
        <w:t xml:space="preserve"> 19–31.</w:t>
      </w:r>
    </w:p>
    <w:p w14:paraId="68BB3EEC" w14:textId="71FE23C6" w:rsidR="00FD1A8C" w:rsidRPr="00FD1A8C" w:rsidRDefault="004001EF" w:rsidP="004552BC">
      <w:pPr>
        <w:pStyle w:val="Bibliography"/>
        <w:spacing w:line="240" w:lineRule="auto"/>
        <w:ind w:left="0" w:firstLine="0"/>
        <w:rPr>
          <w:rFonts w:eastAsia="Times New Roman"/>
        </w:rPr>
      </w:pPr>
      <w:r>
        <w:rPr>
          <w:rFonts w:eastAsia="Times New Roman"/>
        </w:rPr>
        <w:t>Keeling, R 2006,</w:t>
      </w:r>
      <w:r w:rsidR="00FD1A8C" w:rsidRPr="00FD1A8C">
        <w:rPr>
          <w:rFonts w:eastAsia="Times New Roman"/>
        </w:rPr>
        <w:t xml:space="preserve"> </w:t>
      </w:r>
      <w:r w:rsidR="00416C25">
        <w:rPr>
          <w:rFonts w:eastAsia="Times New Roman"/>
        </w:rPr>
        <w:t>‘</w:t>
      </w:r>
      <w:r w:rsidR="00FD1A8C" w:rsidRPr="00FD1A8C">
        <w:rPr>
          <w:rFonts w:eastAsia="Times New Roman"/>
        </w:rPr>
        <w:t>The Bologna Process and the Lisbon Research Agenda: the European Commission’s expanding rol</w:t>
      </w:r>
      <w:r w:rsidR="00416C25">
        <w:rPr>
          <w:rFonts w:eastAsia="Times New Roman"/>
        </w:rPr>
        <w:t>e in higher education discourse’,</w:t>
      </w:r>
      <w:r w:rsidR="00FD1A8C" w:rsidRPr="00FD1A8C">
        <w:rPr>
          <w:rFonts w:eastAsia="Times New Roman"/>
        </w:rPr>
        <w:t xml:space="preserve"> </w:t>
      </w:r>
      <w:r w:rsidR="00FD1A8C" w:rsidRPr="00FD1A8C">
        <w:rPr>
          <w:rFonts w:eastAsia="Times New Roman"/>
          <w:i/>
          <w:iCs/>
        </w:rPr>
        <w:t>European Journal of Education</w:t>
      </w:r>
      <w:r w:rsidR="00FD1A8C" w:rsidRPr="007926CE">
        <w:rPr>
          <w:rFonts w:eastAsia="Times New Roman"/>
        </w:rPr>
        <w:t xml:space="preserve">, </w:t>
      </w:r>
      <w:r w:rsidR="007926CE">
        <w:rPr>
          <w:rFonts w:eastAsia="Times New Roman"/>
        </w:rPr>
        <w:t xml:space="preserve">vol. </w:t>
      </w:r>
      <w:r w:rsidR="00FD1A8C" w:rsidRPr="007926CE">
        <w:rPr>
          <w:rFonts w:eastAsia="Times New Roman"/>
          <w:iCs/>
        </w:rPr>
        <w:t>41</w:t>
      </w:r>
      <w:r w:rsidR="007926CE">
        <w:rPr>
          <w:rFonts w:eastAsia="Times New Roman"/>
        </w:rPr>
        <w:t>, no. 2</w:t>
      </w:r>
      <w:r w:rsidR="001F1B29">
        <w:rPr>
          <w:rFonts w:eastAsia="Times New Roman"/>
        </w:rPr>
        <w:t xml:space="preserve">, </w:t>
      </w:r>
      <w:r w:rsidR="007926CE">
        <w:rPr>
          <w:rFonts w:eastAsia="Times New Roman"/>
        </w:rPr>
        <w:t xml:space="preserve">pp. </w:t>
      </w:r>
      <w:r w:rsidR="001F1B29">
        <w:rPr>
          <w:rFonts w:eastAsia="Times New Roman"/>
        </w:rPr>
        <w:t>203–223.</w:t>
      </w:r>
    </w:p>
    <w:p w14:paraId="7269D759" w14:textId="515D35F6" w:rsidR="00FD1A8C" w:rsidRPr="00FD1A8C" w:rsidRDefault="004001EF" w:rsidP="004552BC">
      <w:pPr>
        <w:pStyle w:val="Bibliography"/>
        <w:spacing w:line="240" w:lineRule="auto"/>
        <w:ind w:left="0" w:firstLine="0"/>
        <w:rPr>
          <w:rFonts w:eastAsia="Times New Roman"/>
        </w:rPr>
      </w:pPr>
      <w:r>
        <w:rPr>
          <w:rFonts w:eastAsia="Times New Roman"/>
        </w:rPr>
        <w:t>Knight, P &amp; Trowler, P 2000,</w:t>
      </w:r>
      <w:r w:rsidR="00FD1A8C" w:rsidRPr="00FD1A8C">
        <w:rPr>
          <w:rFonts w:eastAsia="Times New Roman"/>
        </w:rPr>
        <w:t xml:space="preserve"> </w:t>
      </w:r>
      <w:r w:rsidR="00416C25">
        <w:rPr>
          <w:rFonts w:eastAsia="Times New Roman"/>
        </w:rPr>
        <w:t>‘</w:t>
      </w:r>
      <w:r w:rsidR="00FD1A8C" w:rsidRPr="00FD1A8C">
        <w:rPr>
          <w:rFonts w:eastAsia="Times New Roman"/>
        </w:rPr>
        <w:t>Department-level Cultures and the Impro</w:t>
      </w:r>
      <w:r w:rsidR="00416C25">
        <w:rPr>
          <w:rFonts w:eastAsia="Times New Roman"/>
        </w:rPr>
        <w:t>vement of Learning and Teaching’,</w:t>
      </w:r>
      <w:r w:rsidR="00FD1A8C" w:rsidRPr="00FD1A8C">
        <w:rPr>
          <w:rFonts w:eastAsia="Times New Roman"/>
        </w:rPr>
        <w:t xml:space="preserve"> </w:t>
      </w:r>
      <w:r w:rsidR="00FD1A8C" w:rsidRPr="00FD1A8C">
        <w:rPr>
          <w:rFonts w:eastAsia="Times New Roman"/>
          <w:i/>
          <w:iCs/>
        </w:rPr>
        <w:t>Studies in Higher Education</w:t>
      </w:r>
      <w:r w:rsidR="00FD1A8C" w:rsidRPr="00FD1A8C">
        <w:rPr>
          <w:rFonts w:eastAsia="Times New Roman"/>
        </w:rPr>
        <w:t xml:space="preserve">, </w:t>
      </w:r>
      <w:r w:rsidR="007926CE">
        <w:rPr>
          <w:rFonts w:eastAsia="Times New Roman"/>
        </w:rPr>
        <w:t xml:space="preserve">vol. </w:t>
      </w:r>
      <w:r w:rsidR="00FD1A8C" w:rsidRPr="007926CE">
        <w:rPr>
          <w:rFonts w:eastAsia="Times New Roman"/>
          <w:iCs/>
        </w:rPr>
        <w:t>25</w:t>
      </w:r>
      <w:r w:rsidR="007926CE">
        <w:rPr>
          <w:rFonts w:eastAsia="Times New Roman"/>
        </w:rPr>
        <w:t>, no. 1</w:t>
      </w:r>
      <w:r w:rsidR="00FD1A8C" w:rsidRPr="00FD1A8C">
        <w:rPr>
          <w:rFonts w:eastAsia="Times New Roman"/>
        </w:rPr>
        <w:t xml:space="preserve">, </w:t>
      </w:r>
      <w:r w:rsidR="007926CE">
        <w:rPr>
          <w:rFonts w:eastAsia="Times New Roman"/>
        </w:rPr>
        <w:t xml:space="preserve">pp. </w:t>
      </w:r>
      <w:r w:rsidR="00FD1A8C" w:rsidRPr="00FD1A8C">
        <w:rPr>
          <w:rFonts w:eastAsia="Times New Roman"/>
        </w:rPr>
        <w:t>69–83.</w:t>
      </w:r>
    </w:p>
    <w:p w14:paraId="61775596" w14:textId="4AA8BA75" w:rsidR="00FD1A8C" w:rsidRPr="00FD1A8C" w:rsidRDefault="00FD1A8C" w:rsidP="004552BC">
      <w:pPr>
        <w:pStyle w:val="Bibliography"/>
        <w:spacing w:line="240" w:lineRule="auto"/>
        <w:ind w:left="0" w:firstLine="0"/>
        <w:rPr>
          <w:rFonts w:eastAsia="Times New Roman"/>
        </w:rPr>
      </w:pPr>
      <w:r w:rsidRPr="00FD1A8C">
        <w:rPr>
          <w:rFonts w:eastAsia="Times New Roman"/>
        </w:rPr>
        <w:t>La</w:t>
      </w:r>
      <w:r w:rsidR="004001EF">
        <w:rPr>
          <w:rFonts w:eastAsia="Times New Roman"/>
        </w:rPr>
        <w:t>cey, H 1997,</w:t>
      </w:r>
      <w:r w:rsidRPr="00FD1A8C">
        <w:rPr>
          <w:rFonts w:eastAsia="Times New Roman"/>
        </w:rPr>
        <w:t xml:space="preserve"> Neutrality in the Social Sciences: On Bhaskar’s argument for an essential emancipatory impulse in social science. </w:t>
      </w:r>
      <w:r w:rsidRPr="00FD1A8C">
        <w:rPr>
          <w:rFonts w:eastAsia="Times New Roman"/>
          <w:i/>
          <w:iCs/>
        </w:rPr>
        <w:t>Journal for the Theory of Social Behaviour</w:t>
      </w:r>
      <w:r w:rsidRPr="00FD1A8C">
        <w:rPr>
          <w:rFonts w:eastAsia="Times New Roman"/>
        </w:rPr>
        <w:t xml:space="preserve">, </w:t>
      </w:r>
      <w:r w:rsidR="007926CE">
        <w:rPr>
          <w:rFonts w:eastAsia="Times New Roman"/>
        </w:rPr>
        <w:t xml:space="preserve">vol. </w:t>
      </w:r>
      <w:r w:rsidRPr="007926CE">
        <w:rPr>
          <w:rFonts w:eastAsia="Times New Roman"/>
          <w:iCs/>
        </w:rPr>
        <w:t>27</w:t>
      </w:r>
      <w:r w:rsidR="007926CE">
        <w:rPr>
          <w:rFonts w:eastAsia="Times New Roman"/>
        </w:rPr>
        <w:t>, no. 2-3</w:t>
      </w:r>
      <w:r w:rsidR="004001EF">
        <w:rPr>
          <w:rFonts w:eastAsia="Times New Roman"/>
        </w:rPr>
        <w:t>,</w:t>
      </w:r>
      <w:r w:rsidR="007926CE">
        <w:rPr>
          <w:rFonts w:eastAsia="Times New Roman"/>
        </w:rPr>
        <w:t xml:space="preserve"> pp.</w:t>
      </w:r>
      <w:r w:rsidR="004001EF">
        <w:rPr>
          <w:rFonts w:eastAsia="Times New Roman"/>
        </w:rPr>
        <w:t xml:space="preserve"> 213–241. </w:t>
      </w:r>
    </w:p>
    <w:p w14:paraId="3A1B36D5" w14:textId="2B373473" w:rsidR="00FD1A8C" w:rsidRDefault="004001EF" w:rsidP="004552BC">
      <w:pPr>
        <w:pStyle w:val="Bibliography"/>
        <w:spacing w:line="240" w:lineRule="auto"/>
        <w:ind w:left="0" w:firstLine="0"/>
        <w:rPr>
          <w:rFonts w:eastAsia="Times New Roman"/>
        </w:rPr>
      </w:pPr>
      <w:r>
        <w:rPr>
          <w:rFonts w:eastAsia="Times New Roman"/>
        </w:rPr>
        <w:t>Lane, J 2005,</w:t>
      </w:r>
      <w:r w:rsidR="00FD1A8C" w:rsidRPr="00FD1A8C">
        <w:rPr>
          <w:rFonts w:eastAsia="Times New Roman"/>
        </w:rPr>
        <w:t xml:space="preserve"> </w:t>
      </w:r>
      <w:r w:rsidR="00FD1A8C" w:rsidRPr="00FD1A8C">
        <w:rPr>
          <w:rFonts w:eastAsia="Times New Roman"/>
          <w:i/>
          <w:iCs/>
        </w:rPr>
        <w:t>Apprenticeship In England, 1600-1914</w:t>
      </w:r>
      <w:r w:rsidR="001F1B29">
        <w:rPr>
          <w:rFonts w:eastAsia="Times New Roman"/>
        </w:rPr>
        <w:t>,</w:t>
      </w:r>
      <w:r w:rsidR="00FD1A8C" w:rsidRPr="00FD1A8C">
        <w:rPr>
          <w:rFonts w:eastAsia="Times New Roman"/>
        </w:rPr>
        <w:t xml:space="preserve"> Routledge</w:t>
      </w:r>
      <w:r w:rsidR="001F1B29">
        <w:rPr>
          <w:rFonts w:eastAsia="Times New Roman"/>
        </w:rPr>
        <w:t>,</w:t>
      </w:r>
      <w:r w:rsidR="00FB5F8B">
        <w:rPr>
          <w:rFonts w:eastAsia="Times New Roman"/>
        </w:rPr>
        <w:t xml:space="preserve"> London</w:t>
      </w:r>
      <w:r w:rsidR="00FD1A8C" w:rsidRPr="00FD1A8C">
        <w:rPr>
          <w:rFonts w:eastAsia="Times New Roman"/>
        </w:rPr>
        <w:t>.</w:t>
      </w:r>
    </w:p>
    <w:p w14:paraId="44D965D3" w14:textId="38CD5082" w:rsidR="00FB5F8B" w:rsidRPr="00FB5F8B" w:rsidRDefault="00416C25" w:rsidP="004552BC">
      <w:pPr>
        <w:pStyle w:val="Bibliography"/>
        <w:spacing w:line="240" w:lineRule="auto"/>
        <w:ind w:left="0" w:firstLine="0"/>
        <w:rPr>
          <w:rFonts w:eastAsia="Times New Roman"/>
        </w:rPr>
      </w:pPr>
      <w:r>
        <w:rPr>
          <w:rFonts w:eastAsia="Times New Roman"/>
        </w:rPr>
        <w:t>Lepak, DP and Snell, S</w:t>
      </w:r>
      <w:r w:rsidR="004001EF">
        <w:rPr>
          <w:rFonts w:eastAsia="Times New Roman"/>
        </w:rPr>
        <w:t>A</w:t>
      </w:r>
      <w:r w:rsidR="00FB5F8B" w:rsidRPr="004001EF">
        <w:rPr>
          <w:rFonts w:eastAsia="Times New Roman"/>
        </w:rPr>
        <w:t xml:space="preserve"> 1999</w:t>
      </w:r>
      <w:r w:rsidR="004001EF">
        <w:rPr>
          <w:rFonts w:eastAsia="Times New Roman"/>
        </w:rPr>
        <w:t>,</w:t>
      </w:r>
      <w:r w:rsidR="00FB5F8B" w:rsidRPr="004001EF">
        <w:rPr>
          <w:rFonts w:eastAsia="Times New Roman"/>
        </w:rPr>
        <w:t xml:space="preserve"> </w:t>
      </w:r>
      <w:r>
        <w:rPr>
          <w:rFonts w:eastAsia="Times New Roman"/>
        </w:rPr>
        <w:t>‘</w:t>
      </w:r>
      <w:r w:rsidR="00FB5F8B" w:rsidRPr="004001EF">
        <w:rPr>
          <w:rFonts w:eastAsia="Times New Roman"/>
        </w:rPr>
        <w:t>The human resource architecture: Toward a theory of human cap</w:t>
      </w:r>
      <w:r>
        <w:rPr>
          <w:rFonts w:eastAsia="Times New Roman"/>
        </w:rPr>
        <w:t>ital allocation and development’,</w:t>
      </w:r>
      <w:r w:rsidR="00FB5F8B" w:rsidRPr="004001EF">
        <w:t> </w:t>
      </w:r>
      <w:r w:rsidR="00FB5F8B" w:rsidRPr="00FB5F8B">
        <w:rPr>
          <w:rFonts w:eastAsia="Times New Roman"/>
          <w:i/>
        </w:rPr>
        <w:t>Academy of Management R</w:t>
      </w:r>
      <w:r w:rsidR="00FB5F8B" w:rsidRPr="004001EF">
        <w:rPr>
          <w:rFonts w:eastAsia="Times New Roman"/>
          <w:i/>
        </w:rPr>
        <w:t>eview</w:t>
      </w:r>
      <w:r w:rsidR="00FB5F8B" w:rsidRPr="004001EF">
        <w:rPr>
          <w:rFonts w:eastAsia="Times New Roman"/>
        </w:rPr>
        <w:t>,</w:t>
      </w:r>
      <w:r w:rsidR="00FB5F8B" w:rsidRPr="004001EF">
        <w:t> </w:t>
      </w:r>
      <w:r w:rsidR="007926CE">
        <w:t xml:space="preserve">vol. </w:t>
      </w:r>
      <w:r w:rsidR="007926CE">
        <w:rPr>
          <w:rFonts w:eastAsia="Times New Roman"/>
        </w:rPr>
        <w:t>24, no. 1,</w:t>
      </w:r>
      <w:r w:rsidR="00FB5F8B" w:rsidRPr="004001EF">
        <w:rPr>
          <w:rFonts w:eastAsia="Times New Roman"/>
        </w:rPr>
        <w:t xml:space="preserve"> pp.</w:t>
      </w:r>
      <w:r w:rsidR="007926CE">
        <w:rPr>
          <w:rFonts w:eastAsia="Times New Roman"/>
        </w:rPr>
        <w:t xml:space="preserve"> </w:t>
      </w:r>
      <w:r w:rsidR="00FB5F8B" w:rsidRPr="004001EF">
        <w:rPr>
          <w:rFonts w:eastAsia="Times New Roman"/>
        </w:rPr>
        <w:t>31-48.</w:t>
      </w:r>
    </w:p>
    <w:p w14:paraId="41134CF7" w14:textId="3934AEEA" w:rsidR="00FD1A8C" w:rsidRPr="00FD1A8C" w:rsidRDefault="004001EF" w:rsidP="004552BC">
      <w:pPr>
        <w:pStyle w:val="Bibliography"/>
        <w:spacing w:line="240" w:lineRule="auto"/>
        <w:ind w:left="0" w:firstLine="0"/>
        <w:rPr>
          <w:rFonts w:eastAsia="Times New Roman"/>
        </w:rPr>
      </w:pPr>
      <w:r>
        <w:rPr>
          <w:rFonts w:eastAsia="Times New Roman"/>
        </w:rPr>
        <w:t>Laurillard, D 2013,</w:t>
      </w:r>
      <w:r w:rsidR="00FD1A8C" w:rsidRPr="00FD1A8C">
        <w:rPr>
          <w:rFonts w:eastAsia="Times New Roman"/>
        </w:rPr>
        <w:t xml:space="preserve"> </w:t>
      </w:r>
      <w:r w:rsidR="00FD1A8C" w:rsidRPr="00FD1A8C">
        <w:rPr>
          <w:rFonts w:eastAsia="Times New Roman"/>
          <w:i/>
          <w:iCs/>
        </w:rPr>
        <w:t>Rethinking university teaching: A conversational framework for the effective use of learning technologies</w:t>
      </w:r>
      <w:r w:rsidR="001F1B29">
        <w:rPr>
          <w:rFonts w:eastAsia="Times New Roman"/>
        </w:rPr>
        <w:t>,</w:t>
      </w:r>
      <w:r w:rsidR="00FD1A8C" w:rsidRPr="00FD1A8C">
        <w:rPr>
          <w:rFonts w:eastAsia="Times New Roman"/>
        </w:rPr>
        <w:t xml:space="preserve"> Routledge</w:t>
      </w:r>
      <w:r w:rsidR="001F1B29">
        <w:rPr>
          <w:rFonts w:eastAsia="Times New Roman"/>
        </w:rPr>
        <w:t>, London</w:t>
      </w:r>
      <w:r w:rsidR="00FD1A8C" w:rsidRPr="00FD1A8C">
        <w:rPr>
          <w:rFonts w:eastAsia="Times New Roman"/>
        </w:rPr>
        <w:t>.</w:t>
      </w:r>
    </w:p>
    <w:p w14:paraId="1C7C736E" w14:textId="66DCB607" w:rsidR="00FD1A8C" w:rsidRPr="00FD1A8C" w:rsidRDefault="004001EF" w:rsidP="004552BC">
      <w:pPr>
        <w:pStyle w:val="Bibliography"/>
        <w:spacing w:line="240" w:lineRule="auto"/>
        <w:ind w:left="0" w:firstLine="0"/>
        <w:rPr>
          <w:rFonts w:eastAsia="Times New Roman"/>
        </w:rPr>
      </w:pPr>
      <w:r>
        <w:rPr>
          <w:rFonts w:eastAsia="Times New Roman"/>
        </w:rPr>
        <w:t>Lyon, P &amp; Brew, A 2003,</w:t>
      </w:r>
      <w:r w:rsidR="00FD1A8C" w:rsidRPr="00FD1A8C">
        <w:rPr>
          <w:rFonts w:eastAsia="Times New Roman"/>
        </w:rPr>
        <w:t xml:space="preserve"> </w:t>
      </w:r>
      <w:r w:rsidR="00416C25">
        <w:rPr>
          <w:rFonts w:eastAsia="Times New Roman"/>
        </w:rPr>
        <w:t>‘</w:t>
      </w:r>
      <w:r w:rsidR="00FD1A8C" w:rsidRPr="00FD1A8C">
        <w:rPr>
          <w:rFonts w:eastAsia="Times New Roman"/>
        </w:rPr>
        <w:t>Reflection on Le</w:t>
      </w:r>
      <w:r w:rsidR="00416C25">
        <w:rPr>
          <w:rFonts w:eastAsia="Times New Roman"/>
        </w:rPr>
        <w:t>arning in the Operating Theatre’,</w:t>
      </w:r>
      <w:r w:rsidR="00FD1A8C" w:rsidRPr="00FD1A8C">
        <w:rPr>
          <w:rFonts w:eastAsia="Times New Roman"/>
        </w:rPr>
        <w:t xml:space="preserve"> </w:t>
      </w:r>
      <w:r w:rsidR="00FD1A8C" w:rsidRPr="00FD1A8C">
        <w:rPr>
          <w:rFonts w:eastAsia="Times New Roman"/>
          <w:i/>
          <w:iCs/>
        </w:rPr>
        <w:t>Reflective Practice</w:t>
      </w:r>
      <w:r w:rsidR="00FD1A8C" w:rsidRPr="00FD1A8C">
        <w:rPr>
          <w:rFonts w:eastAsia="Times New Roman"/>
        </w:rPr>
        <w:t xml:space="preserve">, </w:t>
      </w:r>
      <w:r w:rsidR="007926CE">
        <w:rPr>
          <w:rFonts w:eastAsia="Times New Roman"/>
        </w:rPr>
        <w:t xml:space="preserve">vol. </w:t>
      </w:r>
      <w:r w:rsidR="00FD1A8C" w:rsidRPr="007926CE">
        <w:rPr>
          <w:rFonts w:eastAsia="Times New Roman"/>
          <w:iCs/>
        </w:rPr>
        <w:t>4</w:t>
      </w:r>
      <w:r w:rsidR="007926CE">
        <w:rPr>
          <w:rFonts w:eastAsia="Times New Roman"/>
        </w:rPr>
        <w:t xml:space="preserve">, no. </w:t>
      </w:r>
      <w:r w:rsidR="00FD1A8C" w:rsidRPr="007926CE">
        <w:rPr>
          <w:rFonts w:eastAsia="Times New Roman"/>
        </w:rPr>
        <w:t>1</w:t>
      </w:r>
      <w:r w:rsidR="00FD1A8C" w:rsidRPr="00FD1A8C">
        <w:rPr>
          <w:rFonts w:eastAsia="Times New Roman"/>
        </w:rPr>
        <w:t>,</w:t>
      </w:r>
      <w:r w:rsidR="007926CE">
        <w:rPr>
          <w:rFonts w:eastAsia="Times New Roman"/>
        </w:rPr>
        <w:t xml:space="preserve"> pp.</w:t>
      </w:r>
      <w:r w:rsidR="00FD1A8C" w:rsidRPr="00FD1A8C">
        <w:rPr>
          <w:rFonts w:eastAsia="Times New Roman"/>
        </w:rPr>
        <w:t xml:space="preserve"> 53–66.</w:t>
      </w:r>
    </w:p>
    <w:p w14:paraId="6D64F250" w14:textId="046665A8" w:rsidR="00FD1A8C" w:rsidRPr="00FD1A8C" w:rsidRDefault="004001EF" w:rsidP="004552BC">
      <w:pPr>
        <w:pStyle w:val="Bibliography"/>
        <w:spacing w:line="240" w:lineRule="auto"/>
        <w:ind w:left="0" w:firstLine="0"/>
        <w:rPr>
          <w:rFonts w:eastAsia="Times New Roman"/>
        </w:rPr>
      </w:pPr>
      <w:r>
        <w:rPr>
          <w:rFonts w:eastAsia="Times New Roman"/>
        </w:rPr>
        <w:t>Markus, H &amp; Nurius, P 1986,</w:t>
      </w:r>
      <w:r w:rsidR="00FD1A8C" w:rsidRPr="00FD1A8C">
        <w:rPr>
          <w:rFonts w:eastAsia="Times New Roman"/>
        </w:rPr>
        <w:t xml:space="preserve"> </w:t>
      </w:r>
      <w:r w:rsidR="00416C25">
        <w:rPr>
          <w:rFonts w:eastAsia="Times New Roman"/>
        </w:rPr>
        <w:t>‘Possible selves’,</w:t>
      </w:r>
      <w:r w:rsidR="00FD1A8C" w:rsidRPr="00FD1A8C">
        <w:rPr>
          <w:rFonts w:eastAsia="Times New Roman"/>
        </w:rPr>
        <w:t xml:space="preserve"> </w:t>
      </w:r>
      <w:r w:rsidR="00FD1A8C" w:rsidRPr="00FD1A8C">
        <w:rPr>
          <w:rFonts w:eastAsia="Times New Roman"/>
          <w:i/>
          <w:iCs/>
        </w:rPr>
        <w:t>American Psychologist</w:t>
      </w:r>
      <w:r w:rsidR="00FD1A8C" w:rsidRPr="007926CE">
        <w:rPr>
          <w:rFonts w:eastAsia="Times New Roman"/>
        </w:rPr>
        <w:t xml:space="preserve">, </w:t>
      </w:r>
      <w:r w:rsidR="007926CE">
        <w:rPr>
          <w:rFonts w:eastAsia="Times New Roman"/>
        </w:rPr>
        <w:t xml:space="preserve">vol. </w:t>
      </w:r>
      <w:r w:rsidR="00FD1A8C" w:rsidRPr="007926CE">
        <w:rPr>
          <w:rFonts w:eastAsia="Times New Roman"/>
          <w:iCs/>
        </w:rPr>
        <w:t>41</w:t>
      </w:r>
      <w:r w:rsidR="007926CE">
        <w:rPr>
          <w:rFonts w:eastAsia="Times New Roman"/>
        </w:rPr>
        <w:t xml:space="preserve">, no. </w:t>
      </w:r>
      <w:r w:rsidR="00FD1A8C" w:rsidRPr="007926CE">
        <w:rPr>
          <w:rFonts w:eastAsia="Times New Roman"/>
        </w:rPr>
        <w:t>9</w:t>
      </w:r>
      <w:r w:rsidR="00FD1A8C" w:rsidRPr="00FD1A8C">
        <w:rPr>
          <w:rFonts w:eastAsia="Times New Roman"/>
        </w:rPr>
        <w:t>,</w:t>
      </w:r>
      <w:r w:rsidR="007926CE">
        <w:rPr>
          <w:rFonts w:eastAsia="Times New Roman"/>
        </w:rPr>
        <w:t xml:space="preserve"> pp.</w:t>
      </w:r>
      <w:r w:rsidR="00FD1A8C" w:rsidRPr="00FD1A8C">
        <w:rPr>
          <w:rFonts w:eastAsia="Times New Roman"/>
        </w:rPr>
        <w:t xml:space="preserve"> 954.</w:t>
      </w:r>
    </w:p>
    <w:p w14:paraId="54B0DF79" w14:textId="11869567" w:rsidR="00FD1A8C" w:rsidRPr="00FD1A8C" w:rsidRDefault="00FD1A8C" w:rsidP="004552BC">
      <w:pPr>
        <w:pStyle w:val="Bibliography"/>
        <w:spacing w:line="240" w:lineRule="auto"/>
        <w:ind w:left="0" w:firstLine="0"/>
        <w:rPr>
          <w:rFonts w:eastAsia="Times New Roman"/>
        </w:rPr>
      </w:pPr>
      <w:r w:rsidRPr="00FD1A8C">
        <w:rPr>
          <w:rFonts w:eastAsia="Times New Roman"/>
        </w:rPr>
        <w:t xml:space="preserve">McLean, M. (2006). </w:t>
      </w:r>
      <w:r w:rsidRPr="00FD1A8C">
        <w:rPr>
          <w:rFonts w:eastAsia="Times New Roman"/>
          <w:i/>
          <w:iCs/>
        </w:rPr>
        <w:t>Pedagogy and the university: critical theory and practice</w:t>
      </w:r>
      <w:r w:rsidR="001F1B29">
        <w:rPr>
          <w:rFonts w:eastAsia="Times New Roman"/>
        </w:rPr>
        <w:t>. Continuum, London</w:t>
      </w:r>
      <w:r w:rsidRPr="00FD1A8C">
        <w:rPr>
          <w:rFonts w:eastAsia="Times New Roman"/>
        </w:rPr>
        <w:t>.</w:t>
      </w:r>
    </w:p>
    <w:p w14:paraId="2079FAE7" w14:textId="1E2F0F25" w:rsidR="00FD1A8C" w:rsidRPr="00FD1A8C" w:rsidRDefault="00FD1A8C" w:rsidP="004552BC">
      <w:pPr>
        <w:pStyle w:val="Bibliography"/>
        <w:spacing w:line="240" w:lineRule="auto"/>
        <w:ind w:left="0" w:firstLine="0"/>
        <w:rPr>
          <w:rFonts w:eastAsia="Times New Roman"/>
        </w:rPr>
      </w:pPr>
      <w:r w:rsidRPr="00FD1A8C">
        <w:rPr>
          <w:rFonts w:eastAsia="Times New Roman"/>
        </w:rPr>
        <w:t>Mey</w:t>
      </w:r>
      <w:r w:rsidR="00416C25">
        <w:rPr>
          <w:rFonts w:eastAsia="Times New Roman"/>
        </w:rPr>
        <w:t>er, JH</w:t>
      </w:r>
      <w:r w:rsidR="004001EF">
        <w:rPr>
          <w:rFonts w:eastAsia="Times New Roman"/>
        </w:rPr>
        <w:t>F &amp; Land, R 2006,</w:t>
      </w:r>
      <w:r w:rsidRPr="00FD1A8C">
        <w:rPr>
          <w:rFonts w:eastAsia="Times New Roman"/>
        </w:rPr>
        <w:t xml:space="preserve"> </w:t>
      </w:r>
      <w:r w:rsidRPr="00FD1A8C">
        <w:rPr>
          <w:rFonts w:eastAsia="Times New Roman"/>
          <w:i/>
          <w:iCs/>
        </w:rPr>
        <w:t>Overcoming Barriers to Student Understand</w:t>
      </w:r>
      <w:r w:rsidR="004001EF">
        <w:rPr>
          <w:rFonts w:eastAsia="Times New Roman"/>
          <w:i/>
          <w:iCs/>
        </w:rPr>
        <w:t>ing: Threshold Concepts a</w:t>
      </w:r>
      <w:r w:rsidRPr="00FD1A8C">
        <w:rPr>
          <w:rFonts w:eastAsia="Times New Roman"/>
          <w:i/>
          <w:iCs/>
        </w:rPr>
        <w:t>nd Troublesome Knowledge</w:t>
      </w:r>
      <w:r w:rsidR="001F1B29">
        <w:rPr>
          <w:rFonts w:eastAsia="Times New Roman"/>
        </w:rPr>
        <w:t>, Taylor &amp; Francis, London.</w:t>
      </w:r>
    </w:p>
    <w:p w14:paraId="029B3083" w14:textId="1A941E3B" w:rsidR="00FD1A8C" w:rsidRPr="00FD1A8C" w:rsidRDefault="004001EF" w:rsidP="004552BC">
      <w:pPr>
        <w:pStyle w:val="Bibliography"/>
        <w:spacing w:line="240" w:lineRule="auto"/>
        <w:ind w:left="0" w:firstLine="0"/>
        <w:rPr>
          <w:rFonts w:eastAsia="Times New Roman"/>
        </w:rPr>
      </w:pPr>
      <w:r>
        <w:rPr>
          <w:rFonts w:eastAsia="Times New Roman"/>
        </w:rPr>
        <w:t>Mishra, P &amp; Koehler, M 2006,</w:t>
      </w:r>
      <w:r w:rsidR="00FD1A8C" w:rsidRPr="00FD1A8C">
        <w:rPr>
          <w:rFonts w:eastAsia="Times New Roman"/>
        </w:rPr>
        <w:t xml:space="preserve"> </w:t>
      </w:r>
      <w:r w:rsidR="00416C25">
        <w:rPr>
          <w:rFonts w:eastAsia="Times New Roman"/>
        </w:rPr>
        <w:t>‘</w:t>
      </w:r>
      <w:r w:rsidR="00FD1A8C" w:rsidRPr="00FD1A8C">
        <w:rPr>
          <w:rFonts w:eastAsia="Times New Roman"/>
        </w:rPr>
        <w:t xml:space="preserve">Technological pedagogical content knowledge: A </w:t>
      </w:r>
      <w:r w:rsidR="00416C25">
        <w:rPr>
          <w:rFonts w:eastAsia="Times New Roman"/>
        </w:rPr>
        <w:t>framework for teacher knowledge’,</w:t>
      </w:r>
      <w:r w:rsidR="00FD1A8C" w:rsidRPr="00FD1A8C">
        <w:rPr>
          <w:rFonts w:eastAsia="Times New Roman"/>
        </w:rPr>
        <w:t xml:space="preserve"> </w:t>
      </w:r>
      <w:r w:rsidR="00FD1A8C" w:rsidRPr="00FD1A8C">
        <w:rPr>
          <w:rFonts w:eastAsia="Times New Roman"/>
          <w:i/>
          <w:iCs/>
        </w:rPr>
        <w:t>The Teachers College Record</w:t>
      </w:r>
      <w:r w:rsidR="00FD1A8C" w:rsidRPr="00FD1A8C">
        <w:rPr>
          <w:rFonts w:eastAsia="Times New Roman"/>
        </w:rPr>
        <w:t xml:space="preserve">, </w:t>
      </w:r>
      <w:r w:rsidR="007926CE">
        <w:rPr>
          <w:rFonts w:eastAsia="Times New Roman"/>
        </w:rPr>
        <w:t xml:space="preserve">vol. </w:t>
      </w:r>
      <w:r w:rsidR="00FD1A8C" w:rsidRPr="007926CE">
        <w:rPr>
          <w:rFonts w:eastAsia="Times New Roman"/>
          <w:iCs/>
        </w:rPr>
        <w:t>108</w:t>
      </w:r>
      <w:r w:rsidR="007926CE">
        <w:rPr>
          <w:rFonts w:eastAsia="Times New Roman"/>
        </w:rPr>
        <w:t>, no. 6</w:t>
      </w:r>
      <w:r w:rsidR="00FD1A8C" w:rsidRPr="00FD1A8C">
        <w:rPr>
          <w:rFonts w:eastAsia="Times New Roman"/>
        </w:rPr>
        <w:t xml:space="preserve">, </w:t>
      </w:r>
      <w:r w:rsidR="007926CE">
        <w:rPr>
          <w:rFonts w:eastAsia="Times New Roman"/>
        </w:rPr>
        <w:t xml:space="preserve">pp. </w:t>
      </w:r>
      <w:r w:rsidR="00FD1A8C" w:rsidRPr="00FD1A8C">
        <w:rPr>
          <w:rFonts w:eastAsia="Times New Roman"/>
        </w:rPr>
        <w:t>1017–1054.</w:t>
      </w:r>
    </w:p>
    <w:p w14:paraId="16A0B4BC" w14:textId="7CF586EC" w:rsidR="00FD1A8C" w:rsidRPr="00FD1A8C" w:rsidRDefault="00416C25" w:rsidP="004552BC">
      <w:pPr>
        <w:pStyle w:val="Bibliography"/>
        <w:spacing w:line="240" w:lineRule="auto"/>
        <w:ind w:left="0" w:firstLine="0"/>
        <w:rPr>
          <w:rFonts w:eastAsia="Times New Roman"/>
        </w:rPr>
      </w:pPr>
      <w:r>
        <w:rPr>
          <w:rFonts w:eastAsia="Times New Roman"/>
        </w:rPr>
        <w:t>Newman, J</w:t>
      </w:r>
      <w:r w:rsidR="004001EF">
        <w:rPr>
          <w:rFonts w:eastAsia="Times New Roman"/>
        </w:rPr>
        <w:t xml:space="preserve">H </w:t>
      </w:r>
      <w:r w:rsidR="00FD1A8C" w:rsidRPr="00FD1A8C">
        <w:rPr>
          <w:rFonts w:eastAsia="Times New Roman"/>
        </w:rPr>
        <w:t>20</w:t>
      </w:r>
      <w:r w:rsidR="004001EF">
        <w:rPr>
          <w:rFonts w:eastAsia="Times New Roman"/>
        </w:rPr>
        <w:t>08</w:t>
      </w:r>
      <w:r w:rsidR="00FA4D93">
        <w:rPr>
          <w:rFonts w:eastAsia="Times New Roman"/>
        </w:rPr>
        <w:t xml:space="preserve"> (first published 1873)</w:t>
      </w:r>
      <w:r w:rsidR="004001EF">
        <w:rPr>
          <w:rFonts w:eastAsia="Times New Roman"/>
        </w:rPr>
        <w:t>,</w:t>
      </w:r>
      <w:r w:rsidR="00FD1A8C" w:rsidRPr="00FD1A8C">
        <w:rPr>
          <w:rFonts w:eastAsia="Times New Roman"/>
        </w:rPr>
        <w:t xml:space="preserve"> </w:t>
      </w:r>
      <w:r w:rsidR="00FD1A8C" w:rsidRPr="00FD1A8C">
        <w:rPr>
          <w:rFonts w:eastAsia="Times New Roman"/>
          <w:i/>
          <w:iCs/>
        </w:rPr>
        <w:t>The idea of a university</w:t>
      </w:r>
      <w:r w:rsidR="001F1B29">
        <w:rPr>
          <w:rFonts w:eastAsia="Times New Roman"/>
        </w:rPr>
        <w:t>,</w:t>
      </w:r>
      <w:r w:rsidR="00FD1A8C" w:rsidRPr="00FD1A8C">
        <w:rPr>
          <w:rFonts w:eastAsia="Times New Roman"/>
        </w:rPr>
        <w:t xml:space="preserve"> Yale University Press</w:t>
      </w:r>
      <w:r w:rsidR="001F1B29">
        <w:rPr>
          <w:rFonts w:eastAsia="Times New Roman"/>
        </w:rPr>
        <w:t xml:space="preserve">, </w:t>
      </w:r>
      <w:r w:rsidR="001F1B29" w:rsidRPr="00FD1A8C">
        <w:rPr>
          <w:rFonts w:eastAsia="Times New Roman"/>
        </w:rPr>
        <w:t>New Haven, CT</w:t>
      </w:r>
      <w:r w:rsidR="00FD1A8C" w:rsidRPr="00FD1A8C">
        <w:rPr>
          <w:rFonts w:eastAsia="Times New Roman"/>
        </w:rPr>
        <w:t>.</w:t>
      </w:r>
    </w:p>
    <w:p w14:paraId="2E424B0B" w14:textId="0D4BFB00" w:rsidR="00FD1A8C" w:rsidRPr="00FD1A8C" w:rsidRDefault="00416C25" w:rsidP="004552BC">
      <w:pPr>
        <w:pStyle w:val="Bibliography"/>
        <w:spacing w:line="240" w:lineRule="auto"/>
        <w:ind w:left="0" w:firstLine="0"/>
        <w:rPr>
          <w:rFonts w:eastAsia="Times New Roman"/>
        </w:rPr>
      </w:pPr>
      <w:r>
        <w:rPr>
          <w:rFonts w:eastAsia="Times New Roman"/>
        </w:rPr>
        <w:t>Palmer, P</w:t>
      </w:r>
      <w:r w:rsidR="004001EF">
        <w:rPr>
          <w:rFonts w:eastAsia="Times New Roman"/>
        </w:rPr>
        <w:t>J 2009,</w:t>
      </w:r>
      <w:r w:rsidR="00FD1A8C" w:rsidRPr="00FD1A8C">
        <w:rPr>
          <w:rFonts w:eastAsia="Times New Roman"/>
        </w:rPr>
        <w:t xml:space="preserve"> </w:t>
      </w:r>
      <w:r w:rsidR="00FD1A8C" w:rsidRPr="00FD1A8C">
        <w:rPr>
          <w:rFonts w:eastAsia="Times New Roman"/>
          <w:i/>
          <w:iCs/>
        </w:rPr>
        <w:t>The Courage to Teach: Exploring the Inner Landscape of a Teacher’s Life</w:t>
      </w:r>
      <w:r w:rsidR="001F1B29">
        <w:rPr>
          <w:rFonts w:eastAsia="Times New Roman"/>
        </w:rPr>
        <w:t xml:space="preserve">, </w:t>
      </w:r>
      <w:r w:rsidR="00FD1A8C" w:rsidRPr="00FD1A8C">
        <w:rPr>
          <w:rFonts w:eastAsia="Times New Roman"/>
        </w:rPr>
        <w:t>John Wiley &amp; Sons</w:t>
      </w:r>
      <w:r w:rsidR="001F1B29">
        <w:rPr>
          <w:rFonts w:eastAsia="Times New Roman"/>
        </w:rPr>
        <w:t>, Hoboken, NJ</w:t>
      </w:r>
      <w:r w:rsidR="00FD1A8C" w:rsidRPr="00FD1A8C">
        <w:rPr>
          <w:rFonts w:eastAsia="Times New Roman"/>
        </w:rPr>
        <w:t>.</w:t>
      </w:r>
    </w:p>
    <w:p w14:paraId="4045BF0F" w14:textId="0E5B6D58" w:rsidR="00FD1A8C" w:rsidRPr="00FD1A8C" w:rsidRDefault="004001EF" w:rsidP="004552BC">
      <w:pPr>
        <w:pStyle w:val="Bibliography"/>
        <w:spacing w:line="240" w:lineRule="auto"/>
        <w:ind w:left="0" w:firstLine="0"/>
        <w:rPr>
          <w:rFonts w:eastAsia="Times New Roman"/>
        </w:rPr>
      </w:pPr>
      <w:r>
        <w:rPr>
          <w:rFonts w:eastAsia="Times New Roman"/>
        </w:rPr>
        <w:t>Reed, M 2005,</w:t>
      </w:r>
      <w:r w:rsidR="00FD1A8C" w:rsidRPr="00FD1A8C">
        <w:rPr>
          <w:rFonts w:eastAsia="Times New Roman"/>
        </w:rPr>
        <w:t xml:space="preserve"> </w:t>
      </w:r>
      <w:r w:rsidR="00416C25">
        <w:rPr>
          <w:rFonts w:eastAsia="Times New Roman"/>
        </w:rPr>
        <w:t>‘</w:t>
      </w:r>
      <w:r w:rsidR="00FD1A8C" w:rsidRPr="00FD1A8C">
        <w:rPr>
          <w:rFonts w:eastAsia="Times New Roman"/>
        </w:rPr>
        <w:t>Reflections on the “Realist Turn” in Orga</w:t>
      </w:r>
      <w:r w:rsidR="00416C25">
        <w:rPr>
          <w:rFonts w:eastAsia="Times New Roman"/>
        </w:rPr>
        <w:t>nization and Management Studies’,</w:t>
      </w:r>
      <w:r w:rsidR="00FD1A8C" w:rsidRPr="00FD1A8C">
        <w:rPr>
          <w:rFonts w:eastAsia="Times New Roman"/>
        </w:rPr>
        <w:t xml:space="preserve"> </w:t>
      </w:r>
      <w:r>
        <w:rPr>
          <w:rFonts w:eastAsia="Times New Roman"/>
          <w:i/>
          <w:iCs/>
        </w:rPr>
        <w:t>Journal of Mana</w:t>
      </w:r>
      <w:r w:rsidR="00FD1A8C" w:rsidRPr="00FD1A8C">
        <w:rPr>
          <w:rFonts w:eastAsia="Times New Roman"/>
          <w:i/>
          <w:iCs/>
        </w:rPr>
        <w:t>gement Studies</w:t>
      </w:r>
      <w:r w:rsidR="00FD1A8C" w:rsidRPr="00FD1A8C">
        <w:rPr>
          <w:rFonts w:eastAsia="Times New Roman"/>
        </w:rPr>
        <w:t>,</w:t>
      </w:r>
      <w:r w:rsidR="007926CE">
        <w:rPr>
          <w:rFonts w:eastAsia="Times New Roman"/>
        </w:rPr>
        <w:t xml:space="preserve"> vol.</w:t>
      </w:r>
      <w:r w:rsidR="00FD1A8C" w:rsidRPr="00FD1A8C">
        <w:rPr>
          <w:rFonts w:eastAsia="Times New Roman"/>
        </w:rPr>
        <w:t xml:space="preserve"> </w:t>
      </w:r>
      <w:r w:rsidR="00FD1A8C" w:rsidRPr="007926CE">
        <w:rPr>
          <w:rFonts w:eastAsia="Times New Roman"/>
          <w:iCs/>
        </w:rPr>
        <w:t>42</w:t>
      </w:r>
      <w:r w:rsidR="007926CE">
        <w:rPr>
          <w:rFonts w:eastAsia="Times New Roman"/>
        </w:rPr>
        <w:t>, no. 8</w:t>
      </w:r>
      <w:r w:rsidR="00FD1A8C" w:rsidRPr="007926CE">
        <w:rPr>
          <w:rFonts w:eastAsia="Times New Roman"/>
        </w:rPr>
        <w:t>,</w:t>
      </w:r>
      <w:r w:rsidR="00FD1A8C" w:rsidRPr="00FD1A8C">
        <w:rPr>
          <w:rFonts w:eastAsia="Times New Roman"/>
        </w:rPr>
        <w:t xml:space="preserve"> </w:t>
      </w:r>
      <w:r w:rsidR="007926CE">
        <w:rPr>
          <w:rFonts w:eastAsia="Times New Roman"/>
        </w:rPr>
        <w:t>pp.</w:t>
      </w:r>
      <w:r w:rsidR="00FD1A8C" w:rsidRPr="00FD1A8C">
        <w:rPr>
          <w:rFonts w:eastAsia="Times New Roman"/>
        </w:rPr>
        <w:t xml:space="preserve">1621–1644. </w:t>
      </w:r>
    </w:p>
    <w:p w14:paraId="4EBF8907" w14:textId="53C78339" w:rsidR="00FD1A8C" w:rsidRPr="00FD1A8C" w:rsidRDefault="004001EF" w:rsidP="004552BC">
      <w:pPr>
        <w:pStyle w:val="Bibliography"/>
        <w:spacing w:line="240" w:lineRule="auto"/>
        <w:ind w:left="0" w:firstLine="0"/>
        <w:rPr>
          <w:rFonts w:eastAsia="Times New Roman"/>
        </w:rPr>
      </w:pPr>
      <w:r>
        <w:rPr>
          <w:rFonts w:eastAsia="Times New Roman"/>
        </w:rPr>
        <w:t>Ridder-Symoens, H de 2003,</w:t>
      </w:r>
      <w:r w:rsidR="00FD1A8C" w:rsidRPr="00FD1A8C">
        <w:rPr>
          <w:rFonts w:eastAsia="Times New Roman"/>
        </w:rPr>
        <w:t xml:space="preserve"> </w:t>
      </w:r>
      <w:r w:rsidR="00FD1A8C" w:rsidRPr="00FD1A8C">
        <w:rPr>
          <w:rFonts w:eastAsia="Times New Roman"/>
          <w:i/>
          <w:iCs/>
        </w:rPr>
        <w:t>A History of the University in Europe: Volume 1, Universities in the Middle Ages</w:t>
      </w:r>
      <w:r w:rsidR="001F1B29">
        <w:rPr>
          <w:rFonts w:eastAsia="Times New Roman"/>
        </w:rPr>
        <w:t xml:space="preserve">, </w:t>
      </w:r>
      <w:r w:rsidR="00FD1A8C" w:rsidRPr="00FD1A8C">
        <w:rPr>
          <w:rFonts w:eastAsia="Times New Roman"/>
        </w:rPr>
        <w:t>Cambridge University Press</w:t>
      </w:r>
      <w:r w:rsidR="001F1B29">
        <w:rPr>
          <w:rFonts w:eastAsia="Times New Roman"/>
        </w:rPr>
        <w:t>, Cambridge</w:t>
      </w:r>
      <w:r w:rsidR="00FD1A8C" w:rsidRPr="00FD1A8C">
        <w:rPr>
          <w:rFonts w:eastAsia="Times New Roman"/>
        </w:rPr>
        <w:t>.</w:t>
      </w:r>
    </w:p>
    <w:p w14:paraId="24F89E92" w14:textId="5CFC23C2" w:rsidR="00FD1A8C" w:rsidRPr="00FD1A8C" w:rsidRDefault="004001EF" w:rsidP="004552BC">
      <w:pPr>
        <w:pStyle w:val="Bibliography"/>
        <w:spacing w:line="240" w:lineRule="auto"/>
        <w:ind w:left="0" w:firstLine="0"/>
        <w:rPr>
          <w:rFonts w:eastAsia="Times New Roman"/>
        </w:rPr>
      </w:pPr>
      <w:r>
        <w:rPr>
          <w:rFonts w:eastAsia="Times New Roman"/>
        </w:rPr>
        <w:t>Roxå, T &amp; Mårtensson, K 2008,</w:t>
      </w:r>
      <w:r w:rsidR="00FD1A8C" w:rsidRPr="00FD1A8C">
        <w:rPr>
          <w:rFonts w:eastAsia="Times New Roman"/>
        </w:rPr>
        <w:t xml:space="preserve"> </w:t>
      </w:r>
      <w:r w:rsidR="00416C25">
        <w:rPr>
          <w:rFonts w:eastAsia="Times New Roman"/>
        </w:rPr>
        <w:t>‘</w:t>
      </w:r>
      <w:r w:rsidR="00FD1A8C" w:rsidRPr="00FD1A8C">
        <w:rPr>
          <w:rFonts w:eastAsia="Times New Roman"/>
        </w:rPr>
        <w:t>Strategic educational development: a national Swedish initiative to suppo</w:t>
      </w:r>
      <w:r w:rsidR="00416C25">
        <w:rPr>
          <w:rFonts w:eastAsia="Times New Roman"/>
        </w:rPr>
        <w:t xml:space="preserve">rt change in higher education’, </w:t>
      </w:r>
      <w:r w:rsidR="00FD1A8C" w:rsidRPr="00FD1A8C">
        <w:rPr>
          <w:rFonts w:eastAsia="Times New Roman"/>
          <w:i/>
          <w:iCs/>
        </w:rPr>
        <w:t>Higher Education Research &amp; Development</w:t>
      </w:r>
      <w:r w:rsidR="00FD1A8C" w:rsidRPr="00FD1A8C">
        <w:rPr>
          <w:rFonts w:eastAsia="Times New Roman"/>
        </w:rPr>
        <w:t xml:space="preserve">, </w:t>
      </w:r>
      <w:r w:rsidR="007926CE">
        <w:rPr>
          <w:rFonts w:eastAsia="Times New Roman"/>
        </w:rPr>
        <w:t xml:space="preserve">vol. </w:t>
      </w:r>
      <w:r w:rsidR="00FD1A8C" w:rsidRPr="007926CE">
        <w:rPr>
          <w:rFonts w:eastAsia="Times New Roman"/>
          <w:iCs/>
        </w:rPr>
        <w:t>27</w:t>
      </w:r>
      <w:r w:rsidR="007926CE">
        <w:rPr>
          <w:rFonts w:eastAsia="Times New Roman"/>
        </w:rPr>
        <w:t>, no. 2, pp.</w:t>
      </w:r>
      <w:r>
        <w:rPr>
          <w:rFonts w:eastAsia="Times New Roman"/>
        </w:rPr>
        <w:t xml:space="preserve"> 155–168.</w:t>
      </w:r>
    </w:p>
    <w:p w14:paraId="70E81663" w14:textId="390EDB19" w:rsidR="00FD1A8C" w:rsidRPr="00FD1A8C" w:rsidRDefault="00416C25" w:rsidP="004552BC">
      <w:pPr>
        <w:pStyle w:val="Bibliography"/>
        <w:spacing w:line="240" w:lineRule="auto"/>
        <w:ind w:left="0" w:firstLine="0"/>
        <w:rPr>
          <w:rFonts w:eastAsia="Times New Roman"/>
        </w:rPr>
      </w:pPr>
      <w:r>
        <w:rPr>
          <w:rFonts w:eastAsia="Times New Roman"/>
        </w:rPr>
        <w:t>Schön, D</w:t>
      </w:r>
      <w:r w:rsidR="004001EF">
        <w:rPr>
          <w:rFonts w:eastAsia="Times New Roman"/>
        </w:rPr>
        <w:t>A 1983,</w:t>
      </w:r>
      <w:r w:rsidR="00FD1A8C" w:rsidRPr="00FD1A8C">
        <w:rPr>
          <w:rFonts w:eastAsia="Times New Roman"/>
        </w:rPr>
        <w:t xml:space="preserve"> </w:t>
      </w:r>
      <w:r w:rsidR="00FD1A8C" w:rsidRPr="00FD1A8C">
        <w:rPr>
          <w:rFonts w:eastAsia="Times New Roman"/>
          <w:i/>
          <w:iCs/>
        </w:rPr>
        <w:t>The reflective practitioner: how professionals think in action</w:t>
      </w:r>
      <w:r w:rsidR="001F1B29">
        <w:rPr>
          <w:rFonts w:eastAsia="Times New Roman"/>
        </w:rPr>
        <w:t>,</w:t>
      </w:r>
      <w:r w:rsidR="00FD1A8C" w:rsidRPr="00FD1A8C">
        <w:rPr>
          <w:rFonts w:eastAsia="Times New Roman"/>
        </w:rPr>
        <w:t xml:space="preserve"> Basic Books</w:t>
      </w:r>
      <w:r w:rsidR="001F1B29">
        <w:rPr>
          <w:rFonts w:eastAsia="Times New Roman"/>
        </w:rPr>
        <w:t>, New York</w:t>
      </w:r>
      <w:r w:rsidR="00FD1A8C" w:rsidRPr="00FD1A8C">
        <w:rPr>
          <w:rFonts w:eastAsia="Times New Roman"/>
        </w:rPr>
        <w:t>.</w:t>
      </w:r>
    </w:p>
    <w:p w14:paraId="12AFBB85" w14:textId="29BCEB24" w:rsidR="00FD1A8C" w:rsidRPr="00FD1A8C" w:rsidRDefault="00416C25" w:rsidP="004552BC">
      <w:pPr>
        <w:pStyle w:val="Bibliography"/>
        <w:spacing w:line="240" w:lineRule="auto"/>
        <w:ind w:left="0" w:firstLine="0"/>
        <w:rPr>
          <w:rFonts w:eastAsia="Times New Roman"/>
        </w:rPr>
      </w:pPr>
      <w:r>
        <w:rPr>
          <w:rFonts w:eastAsia="Times New Roman"/>
        </w:rPr>
        <w:t>Shulman, L</w:t>
      </w:r>
      <w:r w:rsidR="004001EF">
        <w:rPr>
          <w:rFonts w:eastAsia="Times New Roman"/>
        </w:rPr>
        <w:t>S 1986,</w:t>
      </w:r>
      <w:r w:rsidR="00FD1A8C" w:rsidRPr="00FD1A8C">
        <w:rPr>
          <w:rFonts w:eastAsia="Times New Roman"/>
        </w:rPr>
        <w:t xml:space="preserve"> </w:t>
      </w:r>
      <w:r>
        <w:rPr>
          <w:rFonts w:eastAsia="Times New Roman"/>
        </w:rPr>
        <w:t>‘</w:t>
      </w:r>
      <w:r w:rsidR="00FD1A8C" w:rsidRPr="00FD1A8C">
        <w:rPr>
          <w:rFonts w:eastAsia="Times New Roman"/>
        </w:rPr>
        <w:t>Those who understan</w:t>
      </w:r>
      <w:r>
        <w:rPr>
          <w:rFonts w:eastAsia="Times New Roman"/>
        </w:rPr>
        <w:t>d: Knowledge growth in teaching’,</w:t>
      </w:r>
      <w:r w:rsidR="00FD1A8C" w:rsidRPr="00FD1A8C">
        <w:rPr>
          <w:rFonts w:eastAsia="Times New Roman"/>
        </w:rPr>
        <w:t xml:space="preserve"> </w:t>
      </w:r>
      <w:r w:rsidR="00FD1A8C" w:rsidRPr="00FD1A8C">
        <w:rPr>
          <w:rFonts w:eastAsia="Times New Roman"/>
          <w:i/>
          <w:iCs/>
        </w:rPr>
        <w:t>Educational Researcher</w:t>
      </w:r>
      <w:r w:rsidR="00FD1A8C" w:rsidRPr="00FD1A8C">
        <w:rPr>
          <w:rFonts w:eastAsia="Times New Roman"/>
        </w:rPr>
        <w:t xml:space="preserve">, </w:t>
      </w:r>
      <w:r w:rsidR="00DD0E8E">
        <w:rPr>
          <w:rFonts w:eastAsia="Times New Roman"/>
        </w:rPr>
        <w:t xml:space="preserve">vol. 15, no. 2, pp. </w:t>
      </w:r>
      <w:r w:rsidR="00FD1A8C" w:rsidRPr="00FD1A8C">
        <w:rPr>
          <w:rFonts w:eastAsia="Times New Roman"/>
        </w:rPr>
        <w:t>4–14.</w:t>
      </w:r>
    </w:p>
    <w:p w14:paraId="7AB991FD" w14:textId="67B13665" w:rsidR="00FD1A8C" w:rsidRPr="00FD1A8C" w:rsidRDefault="00416C25" w:rsidP="004552BC">
      <w:pPr>
        <w:pStyle w:val="Bibliography"/>
        <w:spacing w:line="240" w:lineRule="auto"/>
        <w:ind w:left="0" w:firstLine="0"/>
        <w:rPr>
          <w:rFonts w:eastAsia="Times New Roman"/>
        </w:rPr>
      </w:pPr>
      <w:r>
        <w:rPr>
          <w:rFonts w:eastAsia="Times New Roman"/>
        </w:rPr>
        <w:t>Shulman, LS</w:t>
      </w:r>
      <w:r w:rsidR="004001EF">
        <w:rPr>
          <w:rFonts w:eastAsia="Times New Roman"/>
        </w:rPr>
        <w:t xml:space="preserve"> 2005,</w:t>
      </w:r>
      <w:r w:rsidR="00FD1A8C" w:rsidRPr="00FD1A8C">
        <w:rPr>
          <w:rFonts w:eastAsia="Times New Roman"/>
        </w:rPr>
        <w:t xml:space="preserve"> </w:t>
      </w:r>
      <w:r>
        <w:rPr>
          <w:rFonts w:eastAsia="Times New Roman"/>
        </w:rPr>
        <w:t>‘</w:t>
      </w:r>
      <w:r w:rsidR="00FD1A8C" w:rsidRPr="00FD1A8C">
        <w:rPr>
          <w:rFonts w:eastAsia="Times New Roman"/>
        </w:rPr>
        <w:t>Signatur</w:t>
      </w:r>
      <w:r>
        <w:rPr>
          <w:rFonts w:eastAsia="Times New Roman"/>
        </w:rPr>
        <w:t>e pedagogies in the professions’,</w:t>
      </w:r>
      <w:r w:rsidR="00FD1A8C" w:rsidRPr="00FD1A8C">
        <w:rPr>
          <w:rFonts w:eastAsia="Times New Roman"/>
        </w:rPr>
        <w:t xml:space="preserve"> </w:t>
      </w:r>
      <w:r w:rsidR="00FD1A8C" w:rsidRPr="00FD1A8C">
        <w:rPr>
          <w:rFonts w:eastAsia="Times New Roman"/>
          <w:i/>
          <w:iCs/>
        </w:rPr>
        <w:t>Daedalus</w:t>
      </w:r>
      <w:r w:rsidR="00FD1A8C" w:rsidRPr="00FD1A8C">
        <w:rPr>
          <w:rFonts w:eastAsia="Times New Roman"/>
        </w:rPr>
        <w:t xml:space="preserve">, </w:t>
      </w:r>
      <w:r w:rsidR="00DD0E8E">
        <w:rPr>
          <w:rFonts w:eastAsia="Times New Roman"/>
        </w:rPr>
        <w:t xml:space="preserve">vol. </w:t>
      </w:r>
      <w:r w:rsidR="00FD1A8C" w:rsidRPr="00DD0E8E">
        <w:rPr>
          <w:rFonts w:eastAsia="Times New Roman"/>
          <w:iCs/>
        </w:rPr>
        <w:t>134</w:t>
      </w:r>
      <w:r w:rsidR="00DD0E8E">
        <w:rPr>
          <w:rFonts w:eastAsia="Times New Roman"/>
        </w:rPr>
        <w:t xml:space="preserve">, no. </w:t>
      </w:r>
      <w:r w:rsidR="00FD1A8C" w:rsidRPr="00DD0E8E">
        <w:rPr>
          <w:rFonts w:eastAsia="Times New Roman"/>
        </w:rPr>
        <w:t>3</w:t>
      </w:r>
      <w:r w:rsidR="00FD1A8C" w:rsidRPr="00FD1A8C">
        <w:rPr>
          <w:rFonts w:eastAsia="Times New Roman"/>
        </w:rPr>
        <w:t xml:space="preserve">, </w:t>
      </w:r>
      <w:r w:rsidR="00DD0E8E">
        <w:rPr>
          <w:rFonts w:eastAsia="Times New Roman"/>
        </w:rPr>
        <w:t xml:space="preserve">pp. </w:t>
      </w:r>
      <w:r w:rsidR="00FD1A8C" w:rsidRPr="00FD1A8C">
        <w:rPr>
          <w:rFonts w:eastAsia="Times New Roman"/>
        </w:rPr>
        <w:t>52–59.</w:t>
      </w:r>
    </w:p>
    <w:p w14:paraId="3C228B59" w14:textId="518D5729" w:rsidR="00FD1A8C" w:rsidRPr="00FD1A8C" w:rsidRDefault="004001EF" w:rsidP="004552BC">
      <w:pPr>
        <w:pStyle w:val="Bibliography"/>
        <w:spacing w:line="240" w:lineRule="auto"/>
        <w:ind w:left="0" w:firstLine="0"/>
        <w:rPr>
          <w:rFonts w:eastAsia="Times New Roman"/>
        </w:rPr>
      </w:pPr>
      <w:r>
        <w:rPr>
          <w:rFonts w:eastAsia="Times New Roman"/>
        </w:rPr>
        <w:t>Smith, C 2010,</w:t>
      </w:r>
      <w:r w:rsidR="00FD1A8C" w:rsidRPr="00FD1A8C">
        <w:rPr>
          <w:rFonts w:eastAsia="Times New Roman"/>
        </w:rPr>
        <w:t xml:space="preserve"> </w:t>
      </w:r>
      <w:r w:rsidR="00FD1A8C" w:rsidRPr="00FD1A8C">
        <w:rPr>
          <w:rFonts w:eastAsia="Times New Roman"/>
          <w:i/>
          <w:iCs/>
        </w:rPr>
        <w:t>What is a person?: Rethinking humanity, social life, and the moral good from the person up</w:t>
      </w:r>
      <w:r w:rsidR="001F1B29">
        <w:rPr>
          <w:rFonts w:eastAsia="Times New Roman"/>
        </w:rPr>
        <w:t xml:space="preserve">, </w:t>
      </w:r>
      <w:r w:rsidR="00FD1A8C" w:rsidRPr="00FD1A8C">
        <w:rPr>
          <w:rFonts w:eastAsia="Times New Roman"/>
        </w:rPr>
        <w:t>University of Chicago Press</w:t>
      </w:r>
      <w:r w:rsidR="001F1B29">
        <w:rPr>
          <w:rFonts w:eastAsia="Times New Roman"/>
        </w:rPr>
        <w:t>, Chicago</w:t>
      </w:r>
      <w:r w:rsidR="00FD1A8C" w:rsidRPr="00FD1A8C">
        <w:rPr>
          <w:rFonts w:eastAsia="Times New Roman"/>
        </w:rPr>
        <w:t>.</w:t>
      </w:r>
    </w:p>
    <w:p w14:paraId="1448B9AA" w14:textId="6A92F15D" w:rsidR="00FD1A8C" w:rsidRPr="00FD1A8C" w:rsidRDefault="00416C25" w:rsidP="004552BC">
      <w:pPr>
        <w:pStyle w:val="Bibliography"/>
        <w:spacing w:line="240" w:lineRule="auto"/>
        <w:ind w:left="0" w:firstLine="0"/>
        <w:rPr>
          <w:rFonts w:eastAsia="Times New Roman"/>
        </w:rPr>
      </w:pPr>
      <w:r>
        <w:rPr>
          <w:rFonts w:eastAsia="Times New Roman"/>
        </w:rPr>
        <w:t>Taba, H &amp; Spalding, W</w:t>
      </w:r>
      <w:r w:rsidR="004001EF">
        <w:rPr>
          <w:rFonts w:eastAsia="Times New Roman"/>
        </w:rPr>
        <w:t>B 1962,</w:t>
      </w:r>
      <w:r w:rsidR="00FD1A8C" w:rsidRPr="00FD1A8C">
        <w:rPr>
          <w:rFonts w:eastAsia="Times New Roman"/>
        </w:rPr>
        <w:t xml:space="preserve"> </w:t>
      </w:r>
      <w:r w:rsidR="00FD1A8C" w:rsidRPr="00FD1A8C">
        <w:rPr>
          <w:rFonts w:eastAsia="Times New Roman"/>
          <w:i/>
          <w:iCs/>
        </w:rPr>
        <w:t>Curriculum development: Theory and practice</w:t>
      </w:r>
      <w:r w:rsidR="001F1B29">
        <w:rPr>
          <w:rFonts w:eastAsia="Times New Roman"/>
        </w:rPr>
        <w:t>,</w:t>
      </w:r>
      <w:r w:rsidR="00FD1A8C" w:rsidRPr="00FD1A8C">
        <w:rPr>
          <w:rFonts w:eastAsia="Times New Roman"/>
        </w:rPr>
        <w:t xml:space="preserve"> Harcourt, Brace &amp;</w:t>
      </w:r>
      <w:r w:rsidR="004001EF">
        <w:rPr>
          <w:rFonts w:eastAsia="Times New Roman"/>
        </w:rPr>
        <w:t xml:space="preserve"> World</w:t>
      </w:r>
      <w:r w:rsidR="001F1B29">
        <w:rPr>
          <w:rFonts w:eastAsia="Times New Roman"/>
        </w:rPr>
        <w:t>,</w:t>
      </w:r>
      <w:r w:rsidR="004001EF">
        <w:rPr>
          <w:rFonts w:eastAsia="Times New Roman"/>
        </w:rPr>
        <w:t xml:space="preserve"> New York. </w:t>
      </w:r>
    </w:p>
    <w:p w14:paraId="45076A8D" w14:textId="1A8DBE10" w:rsidR="00FD1A8C" w:rsidRPr="00FD1A8C" w:rsidRDefault="00FD1A8C" w:rsidP="004552BC">
      <w:pPr>
        <w:pStyle w:val="Bibliography"/>
        <w:spacing w:line="240" w:lineRule="auto"/>
        <w:ind w:left="0" w:firstLine="0"/>
        <w:rPr>
          <w:rFonts w:eastAsia="Times New Roman"/>
        </w:rPr>
      </w:pPr>
      <w:r w:rsidRPr="00FD1A8C">
        <w:rPr>
          <w:rFonts w:eastAsia="Times New Roman"/>
        </w:rPr>
        <w:t>The Quality Assura</w:t>
      </w:r>
      <w:r w:rsidR="004001EF">
        <w:rPr>
          <w:rFonts w:eastAsia="Times New Roman"/>
        </w:rPr>
        <w:t>nce Agency for Higher Education 2014,</w:t>
      </w:r>
      <w:r w:rsidRPr="00FD1A8C">
        <w:rPr>
          <w:rFonts w:eastAsia="Times New Roman"/>
        </w:rPr>
        <w:t xml:space="preserve"> </w:t>
      </w:r>
      <w:r w:rsidRPr="00FD1A8C">
        <w:rPr>
          <w:rFonts w:eastAsia="Times New Roman"/>
          <w:i/>
          <w:iCs/>
        </w:rPr>
        <w:t>The UK Quality Code for Higher Education: A brief guide</w:t>
      </w:r>
      <w:r w:rsidR="001F1B29">
        <w:rPr>
          <w:rFonts w:eastAsia="Times New Roman"/>
        </w:rPr>
        <w:t xml:space="preserve">, </w:t>
      </w:r>
      <w:r w:rsidRPr="00FD1A8C">
        <w:rPr>
          <w:rFonts w:eastAsia="Times New Roman"/>
        </w:rPr>
        <w:t>The Quality Assur</w:t>
      </w:r>
      <w:r w:rsidR="001F1B29">
        <w:rPr>
          <w:rFonts w:eastAsia="Times New Roman"/>
        </w:rPr>
        <w:t>ance Agency for Higher Education, Gloucester</w:t>
      </w:r>
      <w:r w:rsidRPr="00FD1A8C">
        <w:rPr>
          <w:rFonts w:eastAsia="Times New Roman"/>
        </w:rPr>
        <w:t>.</w:t>
      </w:r>
    </w:p>
    <w:p w14:paraId="79C95CE2" w14:textId="288AB77D" w:rsidR="00265F92" w:rsidRPr="00156914" w:rsidRDefault="00416C25" w:rsidP="004552BC">
      <w:pPr>
        <w:pStyle w:val="Bibliography"/>
        <w:spacing w:line="240" w:lineRule="auto"/>
        <w:ind w:left="0" w:firstLine="0"/>
        <w:rPr>
          <w:lang w:val="en-GB" w:eastAsia="en-GB"/>
        </w:rPr>
      </w:pPr>
      <w:r>
        <w:rPr>
          <w:rFonts w:eastAsia="Times New Roman"/>
        </w:rPr>
        <w:t>Walsh, L &amp; Kahn, P</w:t>
      </w:r>
      <w:r w:rsidR="004001EF">
        <w:rPr>
          <w:rFonts w:eastAsia="Times New Roman"/>
        </w:rPr>
        <w:t>E 2009,</w:t>
      </w:r>
      <w:r w:rsidR="00FD1A8C" w:rsidRPr="00FD1A8C">
        <w:rPr>
          <w:rFonts w:eastAsia="Times New Roman"/>
        </w:rPr>
        <w:t xml:space="preserve"> </w:t>
      </w:r>
      <w:r w:rsidR="00FD1A8C" w:rsidRPr="00FD1A8C">
        <w:rPr>
          <w:rFonts w:eastAsia="Times New Roman"/>
          <w:i/>
          <w:iCs/>
        </w:rPr>
        <w:t>Collaborative working in higher education: the social academy</w:t>
      </w:r>
      <w:r w:rsidR="001F1B29">
        <w:rPr>
          <w:rFonts w:eastAsia="Times New Roman"/>
        </w:rPr>
        <w:t>,</w:t>
      </w:r>
      <w:r w:rsidR="00FD1A8C" w:rsidRPr="00FD1A8C">
        <w:rPr>
          <w:rFonts w:eastAsia="Times New Roman"/>
        </w:rPr>
        <w:t xml:space="preserve"> Routledge</w:t>
      </w:r>
      <w:r w:rsidR="001F1B29">
        <w:rPr>
          <w:rFonts w:eastAsia="Times New Roman"/>
        </w:rPr>
        <w:t>, London</w:t>
      </w:r>
      <w:r w:rsidR="00FD1A8C" w:rsidRPr="00FD1A8C">
        <w:rPr>
          <w:rFonts w:eastAsia="Times New Roman"/>
        </w:rPr>
        <w:t>.</w:t>
      </w:r>
    </w:p>
    <w:p w14:paraId="4EB00106" w14:textId="77777777" w:rsidR="00B30564" w:rsidRDefault="00B30564" w:rsidP="004552BC">
      <w:pPr>
        <w:rPr>
          <w:lang w:val="en-GB"/>
        </w:rPr>
      </w:pPr>
    </w:p>
    <w:sectPr w:rsidR="00B30564">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DC7AB" w14:textId="77777777" w:rsidR="007F4A62" w:rsidRDefault="007F4A62" w:rsidP="00C87493">
      <w:r>
        <w:separator/>
      </w:r>
    </w:p>
  </w:endnote>
  <w:endnote w:type="continuationSeparator" w:id="0">
    <w:p w14:paraId="6D49EF74" w14:textId="77777777" w:rsidR="007F4A62" w:rsidRDefault="007F4A62" w:rsidP="00C87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yriad Pro">
    <w:charset w:val="00"/>
    <w:family w:val="auto"/>
    <w:pitch w:val="variable"/>
    <w:sig w:usb0="A00002AF" w:usb1="5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F7065" w14:textId="77777777" w:rsidR="00C27810" w:rsidRDefault="00C27810" w:rsidP="009341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867B93" w14:textId="77777777" w:rsidR="00C27810" w:rsidRDefault="00C2781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3681" w14:textId="77777777" w:rsidR="00C27810" w:rsidRDefault="00C27810" w:rsidP="009341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A62">
      <w:rPr>
        <w:rStyle w:val="PageNumber"/>
        <w:noProof/>
      </w:rPr>
      <w:t>1</w:t>
    </w:r>
    <w:r>
      <w:rPr>
        <w:rStyle w:val="PageNumber"/>
      </w:rPr>
      <w:fldChar w:fldCharType="end"/>
    </w:r>
  </w:p>
  <w:p w14:paraId="1496C819" w14:textId="77777777" w:rsidR="00C27810" w:rsidRDefault="00C2781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AAFC3" w14:textId="77777777" w:rsidR="007F4A62" w:rsidRDefault="007F4A62" w:rsidP="00C87493">
      <w:r>
        <w:separator/>
      </w:r>
    </w:p>
  </w:footnote>
  <w:footnote w:type="continuationSeparator" w:id="0">
    <w:p w14:paraId="13886D47" w14:textId="77777777" w:rsidR="007F4A62" w:rsidRDefault="007F4A62" w:rsidP="00C874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573FD"/>
    <w:multiLevelType w:val="hybridMultilevel"/>
    <w:tmpl w:val="91B2E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451B6B"/>
    <w:multiLevelType w:val="multilevel"/>
    <w:tmpl w:val="04A20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A23ED3"/>
    <w:multiLevelType w:val="hybridMultilevel"/>
    <w:tmpl w:val="08B21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FE57D1"/>
    <w:multiLevelType w:val="hybridMultilevel"/>
    <w:tmpl w:val="C36C81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activeWritingStyle w:appName="MSWord" w:lang="en-US" w:vendorID="64" w:dllVersion="131078" w:nlCheck="1" w:checkStyle="0"/>
  <w:activeWritingStyle w:appName="MSWord" w:lang="en-GB"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AD"/>
    <w:rsid w:val="000007FF"/>
    <w:rsid w:val="0001401F"/>
    <w:rsid w:val="00016191"/>
    <w:rsid w:val="00027C13"/>
    <w:rsid w:val="0003442B"/>
    <w:rsid w:val="000352CD"/>
    <w:rsid w:val="00037A13"/>
    <w:rsid w:val="00040697"/>
    <w:rsid w:val="00041EF0"/>
    <w:rsid w:val="00043434"/>
    <w:rsid w:val="000475E3"/>
    <w:rsid w:val="00061BD5"/>
    <w:rsid w:val="000770B5"/>
    <w:rsid w:val="00085876"/>
    <w:rsid w:val="00087178"/>
    <w:rsid w:val="000917BB"/>
    <w:rsid w:val="000A0F64"/>
    <w:rsid w:val="000A203F"/>
    <w:rsid w:val="000A7946"/>
    <w:rsid w:val="000B4A47"/>
    <w:rsid w:val="000C2018"/>
    <w:rsid w:val="000C20D7"/>
    <w:rsid w:val="000D0D6B"/>
    <w:rsid w:val="000D53F5"/>
    <w:rsid w:val="000D7359"/>
    <w:rsid w:val="000E7389"/>
    <w:rsid w:val="000F2818"/>
    <w:rsid w:val="001029C8"/>
    <w:rsid w:val="00111005"/>
    <w:rsid w:val="00111563"/>
    <w:rsid w:val="00112E9F"/>
    <w:rsid w:val="00114EBA"/>
    <w:rsid w:val="00125AA2"/>
    <w:rsid w:val="00126CA7"/>
    <w:rsid w:val="001404C5"/>
    <w:rsid w:val="00140784"/>
    <w:rsid w:val="001423A9"/>
    <w:rsid w:val="001472CC"/>
    <w:rsid w:val="001554DA"/>
    <w:rsid w:val="00156914"/>
    <w:rsid w:val="00160649"/>
    <w:rsid w:val="00172ED6"/>
    <w:rsid w:val="00181FA8"/>
    <w:rsid w:val="00195133"/>
    <w:rsid w:val="001961A5"/>
    <w:rsid w:val="00197A01"/>
    <w:rsid w:val="001A36DC"/>
    <w:rsid w:val="001A5A35"/>
    <w:rsid w:val="001A796D"/>
    <w:rsid w:val="001B5916"/>
    <w:rsid w:val="001C0B6E"/>
    <w:rsid w:val="001C5147"/>
    <w:rsid w:val="001F011F"/>
    <w:rsid w:val="001F1B29"/>
    <w:rsid w:val="001F6E8B"/>
    <w:rsid w:val="0020274A"/>
    <w:rsid w:val="002028A8"/>
    <w:rsid w:val="00204124"/>
    <w:rsid w:val="00205901"/>
    <w:rsid w:val="002078C4"/>
    <w:rsid w:val="00212C56"/>
    <w:rsid w:val="00214006"/>
    <w:rsid w:val="00214F95"/>
    <w:rsid w:val="00225AE5"/>
    <w:rsid w:val="002300BF"/>
    <w:rsid w:val="0025053A"/>
    <w:rsid w:val="00253949"/>
    <w:rsid w:val="002556BB"/>
    <w:rsid w:val="00256869"/>
    <w:rsid w:val="00265F92"/>
    <w:rsid w:val="0026705D"/>
    <w:rsid w:val="00270F5A"/>
    <w:rsid w:val="002818A3"/>
    <w:rsid w:val="00286285"/>
    <w:rsid w:val="002A2DF8"/>
    <w:rsid w:val="002A6180"/>
    <w:rsid w:val="002B4B53"/>
    <w:rsid w:val="002C3913"/>
    <w:rsid w:val="002C60A4"/>
    <w:rsid w:val="002D662E"/>
    <w:rsid w:val="002E21B3"/>
    <w:rsid w:val="002E57B6"/>
    <w:rsid w:val="002F144E"/>
    <w:rsid w:val="002F71C0"/>
    <w:rsid w:val="00307742"/>
    <w:rsid w:val="003109DB"/>
    <w:rsid w:val="00310DDB"/>
    <w:rsid w:val="003148A0"/>
    <w:rsid w:val="00324C65"/>
    <w:rsid w:val="00327777"/>
    <w:rsid w:val="00332C88"/>
    <w:rsid w:val="00333E59"/>
    <w:rsid w:val="003379BD"/>
    <w:rsid w:val="00337FAA"/>
    <w:rsid w:val="0034594C"/>
    <w:rsid w:val="00352C01"/>
    <w:rsid w:val="00354750"/>
    <w:rsid w:val="00361442"/>
    <w:rsid w:val="0036761B"/>
    <w:rsid w:val="00374EA5"/>
    <w:rsid w:val="00380B92"/>
    <w:rsid w:val="003970D2"/>
    <w:rsid w:val="003A10D5"/>
    <w:rsid w:val="003A2AEE"/>
    <w:rsid w:val="003A2D51"/>
    <w:rsid w:val="003A536F"/>
    <w:rsid w:val="003A768B"/>
    <w:rsid w:val="003B197C"/>
    <w:rsid w:val="003B44EC"/>
    <w:rsid w:val="003B6B41"/>
    <w:rsid w:val="003C5BA5"/>
    <w:rsid w:val="003C5FD4"/>
    <w:rsid w:val="003C6CC1"/>
    <w:rsid w:val="003C717D"/>
    <w:rsid w:val="003E4531"/>
    <w:rsid w:val="003E5670"/>
    <w:rsid w:val="003E5AA5"/>
    <w:rsid w:val="003E5C4F"/>
    <w:rsid w:val="003F5F27"/>
    <w:rsid w:val="004001EF"/>
    <w:rsid w:val="00413EA9"/>
    <w:rsid w:val="00414473"/>
    <w:rsid w:val="00416C25"/>
    <w:rsid w:val="004251C3"/>
    <w:rsid w:val="004311DF"/>
    <w:rsid w:val="0043560C"/>
    <w:rsid w:val="004379BE"/>
    <w:rsid w:val="00446965"/>
    <w:rsid w:val="004525A3"/>
    <w:rsid w:val="004538F7"/>
    <w:rsid w:val="004552BC"/>
    <w:rsid w:val="00456D70"/>
    <w:rsid w:val="00471F2A"/>
    <w:rsid w:val="0047209E"/>
    <w:rsid w:val="00473C50"/>
    <w:rsid w:val="004773EE"/>
    <w:rsid w:val="00480A05"/>
    <w:rsid w:val="004856B2"/>
    <w:rsid w:val="00487361"/>
    <w:rsid w:val="00491E51"/>
    <w:rsid w:val="00492481"/>
    <w:rsid w:val="00493930"/>
    <w:rsid w:val="00493E62"/>
    <w:rsid w:val="004949FD"/>
    <w:rsid w:val="00494D7D"/>
    <w:rsid w:val="004A3EFB"/>
    <w:rsid w:val="004B01F7"/>
    <w:rsid w:val="004B05FC"/>
    <w:rsid w:val="004B1F26"/>
    <w:rsid w:val="004B5E8D"/>
    <w:rsid w:val="004C03B4"/>
    <w:rsid w:val="004D734E"/>
    <w:rsid w:val="004D7D53"/>
    <w:rsid w:val="004E3D11"/>
    <w:rsid w:val="004E485E"/>
    <w:rsid w:val="004F67FE"/>
    <w:rsid w:val="00505546"/>
    <w:rsid w:val="0050588A"/>
    <w:rsid w:val="00507095"/>
    <w:rsid w:val="005141DB"/>
    <w:rsid w:val="00516144"/>
    <w:rsid w:val="00516CA9"/>
    <w:rsid w:val="00524F60"/>
    <w:rsid w:val="00536CCA"/>
    <w:rsid w:val="005448A6"/>
    <w:rsid w:val="00550B36"/>
    <w:rsid w:val="00560650"/>
    <w:rsid w:val="00563C6E"/>
    <w:rsid w:val="005677B7"/>
    <w:rsid w:val="005841D1"/>
    <w:rsid w:val="0058498F"/>
    <w:rsid w:val="00584EE0"/>
    <w:rsid w:val="00585D98"/>
    <w:rsid w:val="00594D65"/>
    <w:rsid w:val="005A087F"/>
    <w:rsid w:val="005A35D6"/>
    <w:rsid w:val="005A4FF9"/>
    <w:rsid w:val="005B4B31"/>
    <w:rsid w:val="005B5028"/>
    <w:rsid w:val="005B7843"/>
    <w:rsid w:val="005C51F1"/>
    <w:rsid w:val="005D14EE"/>
    <w:rsid w:val="005E14EA"/>
    <w:rsid w:val="005F4D76"/>
    <w:rsid w:val="005F5EDE"/>
    <w:rsid w:val="0060216C"/>
    <w:rsid w:val="00602D3A"/>
    <w:rsid w:val="006101AD"/>
    <w:rsid w:val="006121F5"/>
    <w:rsid w:val="00612973"/>
    <w:rsid w:val="00621D30"/>
    <w:rsid w:val="006230E4"/>
    <w:rsid w:val="006255EF"/>
    <w:rsid w:val="006403B4"/>
    <w:rsid w:val="006436C0"/>
    <w:rsid w:val="00670200"/>
    <w:rsid w:val="0068078E"/>
    <w:rsid w:val="00684B9A"/>
    <w:rsid w:val="006A2571"/>
    <w:rsid w:val="006A5ACB"/>
    <w:rsid w:val="006A6E24"/>
    <w:rsid w:val="006B15B6"/>
    <w:rsid w:val="006B2FCA"/>
    <w:rsid w:val="006B4403"/>
    <w:rsid w:val="006B7C85"/>
    <w:rsid w:val="006C1019"/>
    <w:rsid w:val="006C14B0"/>
    <w:rsid w:val="006C686D"/>
    <w:rsid w:val="006E13B9"/>
    <w:rsid w:val="006E5579"/>
    <w:rsid w:val="006F0C22"/>
    <w:rsid w:val="006F48C2"/>
    <w:rsid w:val="006F4B84"/>
    <w:rsid w:val="006F77E5"/>
    <w:rsid w:val="0070550B"/>
    <w:rsid w:val="00706E3C"/>
    <w:rsid w:val="00716420"/>
    <w:rsid w:val="007170C3"/>
    <w:rsid w:val="007270A8"/>
    <w:rsid w:val="00727299"/>
    <w:rsid w:val="00732A32"/>
    <w:rsid w:val="007333E9"/>
    <w:rsid w:val="00734FFC"/>
    <w:rsid w:val="007351AF"/>
    <w:rsid w:val="00736E4B"/>
    <w:rsid w:val="00737D06"/>
    <w:rsid w:val="00740944"/>
    <w:rsid w:val="00747547"/>
    <w:rsid w:val="007508DB"/>
    <w:rsid w:val="00752951"/>
    <w:rsid w:val="0076750B"/>
    <w:rsid w:val="007864A6"/>
    <w:rsid w:val="0079064D"/>
    <w:rsid w:val="007926CE"/>
    <w:rsid w:val="007B0635"/>
    <w:rsid w:val="007C3F50"/>
    <w:rsid w:val="007D7EE2"/>
    <w:rsid w:val="007E251F"/>
    <w:rsid w:val="007E7C7A"/>
    <w:rsid w:val="007F4A62"/>
    <w:rsid w:val="007F700B"/>
    <w:rsid w:val="00804370"/>
    <w:rsid w:val="00810E5F"/>
    <w:rsid w:val="00811594"/>
    <w:rsid w:val="00811FD3"/>
    <w:rsid w:val="00821FC3"/>
    <w:rsid w:val="008228E9"/>
    <w:rsid w:val="00842945"/>
    <w:rsid w:val="00843092"/>
    <w:rsid w:val="00851359"/>
    <w:rsid w:val="00852EFB"/>
    <w:rsid w:val="008622C8"/>
    <w:rsid w:val="0086391F"/>
    <w:rsid w:val="008640BA"/>
    <w:rsid w:val="008647B3"/>
    <w:rsid w:val="00865535"/>
    <w:rsid w:val="00865786"/>
    <w:rsid w:val="00866492"/>
    <w:rsid w:val="00870BF9"/>
    <w:rsid w:val="00875325"/>
    <w:rsid w:val="00883948"/>
    <w:rsid w:val="00884056"/>
    <w:rsid w:val="00884525"/>
    <w:rsid w:val="00887B56"/>
    <w:rsid w:val="00890D93"/>
    <w:rsid w:val="008A3912"/>
    <w:rsid w:val="008A6021"/>
    <w:rsid w:val="008A7F0D"/>
    <w:rsid w:val="008B1632"/>
    <w:rsid w:val="008B2AD4"/>
    <w:rsid w:val="008B597A"/>
    <w:rsid w:val="008C5E20"/>
    <w:rsid w:val="008D4227"/>
    <w:rsid w:val="008E1084"/>
    <w:rsid w:val="008E1598"/>
    <w:rsid w:val="008E2566"/>
    <w:rsid w:val="008E3346"/>
    <w:rsid w:val="008E5B75"/>
    <w:rsid w:val="008E74FF"/>
    <w:rsid w:val="008F635A"/>
    <w:rsid w:val="008F7C9B"/>
    <w:rsid w:val="008F7E92"/>
    <w:rsid w:val="009006AD"/>
    <w:rsid w:val="0091171F"/>
    <w:rsid w:val="00916D25"/>
    <w:rsid w:val="00934173"/>
    <w:rsid w:val="00934392"/>
    <w:rsid w:val="0093519A"/>
    <w:rsid w:val="00940266"/>
    <w:rsid w:val="009475B5"/>
    <w:rsid w:val="009505DF"/>
    <w:rsid w:val="00952E72"/>
    <w:rsid w:val="00973779"/>
    <w:rsid w:val="00987641"/>
    <w:rsid w:val="009A3F7C"/>
    <w:rsid w:val="009B1E18"/>
    <w:rsid w:val="009B4C82"/>
    <w:rsid w:val="009D2A0B"/>
    <w:rsid w:val="009E1641"/>
    <w:rsid w:val="009E3794"/>
    <w:rsid w:val="009E5054"/>
    <w:rsid w:val="009E64B3"/>
    <w:rsid w:val="009F1A1B"/>
    <w:rsid w:val="00A012F1"/>
    <w:rsid w:val="00A03A78"/>
    <w:rsid w:val="00A25801"/>
    <w:rsid w:val="00A25D1B"/>
    <w:rsid w:val="00A30993"/>
    <w:rsid w:val="00A363B3"/>
    <w:rsid w:val="00A41C49"/>
    <w:rsid w:val="00A630A1"/>
    <w:rsid w:val="00A65AF7"/>
    <w:rsid w:val="00A66F0A"/>
    <w:rsid w:val="00A7054A"/>
    <w:rsid w:val="00A70EE2"/>
    <w:rsid w:val="00A91785"/>
    <w:rsid w:val="00A92D6A"/>
    <w:rsid w:val="00A96843"/>
    <w:rsid w:val="00A97CA1"/>
    <w:rsid w:val="00AA4844"/>
    <w:rsid w:val="00AC376B"/>
    <w:rsid w:val="00AC530F"/>
    <w:rsid w:val="00AC5567"/>
    <w:rsid w:val="00AD1BE5"/>
    <w:rsid w:val="00AD45D0"/>
    <w:rsid w:val="00AD46FC"/>
    <w:rsid w:val="00AD4E88"/>
    <w:rsid w:val="00AD6391"/>
    <w:rsid w:val="00AE07DC"/>
    <w:rsid w:val="00AE2B15"/>
    <w:rsid w:val="00AE453B"/>
    <w:rsid w:val="00AE7573"/>
    <w:rsid w:val="00B01635"/>
    <w:rsid w:val="00B01E25"/>
    <w:rsid w:val="00B01FFA"/>
    <w:rsid w:val="00B0764F"/>
    <w:rsid w:val="00B17C8C"/>
    <w:rsid w:val="00B23B2F"/>
    <w:rsid w:val="00B26798"/>
    <w:rsid w:val="00B30564"/>
    <w:rsid w:val="00B31F73"/>
    <w:rsid w:val="00B3306B"/>
    <w:rsid w:val="00B339E1"/>
    <w:rsid w:val="00B465EA"/>
    <w:rsid w:val="00B53033"/>
    <w:rsid w:val="00B60C5F"/>
    <w:rsid w:val="00B65003"/>
    <w:rsid w:val="00B70BBD"/>
    <w:rsid w:val="00B738B9"/>
    <w:rsid w:val="00B7639A"/>
    <w:rsid w:val="00B82EA4"/>
    <w:rsid w:val="00B93A0A"/>
    <w:rsid w:val="00B96091"/>
    <w:rsid w:val="00BA4A57"/>
    <w:rsid w:val="00BC4144"/>
    <w:rsid w:val="00BC5955"/>
    <w:rsid w:val="00BC775E"/>
    <w:rsid w:val="00BE42EC"/>
    <w:rsid w:val="00BE6A79"/>
    <w:rsid w:val="00BE6A9D"/>
    <w:rsid w:val="00BE6DA5"/>
    <w:rsid w:val="00BF6172"/>
    <w:rsid w:val="00C02C0B"/>
    <w:rsid w:val="00C102D0"/>
    <w:rsid w:val="00C14BE8"/>
    <w:rsid w:val="00C27810"/>
    <w:rsid w:val="00C3347E"/>
    <w:rsid w:val="00C35099"/>
    <w:rsid w:val="00C4597B"/>
    <w:rsid w:val="00C526BD"/>
    <w:rsid w:val="00C5324A"/>
    <w:rsid w:val="00C611D9"/>
    <w:rsid w:val="00C61F5A"/>
    <w:rsid w:val="00C74E84"/>
    <w:rsid w:val="00C773EA"/>
    <w:rsid w:val="00C81640"/>
    <w:rsid w:val="00C81834"/>
    <w:rsid w:val="00C87493"/>
    <w:rsid w:val="00CA30C4"/>
    <w:rsid w:val="00CA4B59"/>
    <w:rsid w:val="00CA5EC3"/>
    <w:rsid w:val="00CB290F"/>
    <w:rsid w:val="00CC0148"/>
    <w:rsid w:val="00CC5853"/>
    <w:rsid w:val="00CD5EC1"/>
    <w:rsid w:val="00CD7C95"/>
    <w:rsid w:val="00CE0605"/>
    <w:rsid w:val="00CE33C7"/>
    <w:rsid w:val="00CE4B13"/>
    <w:rsid w:val="00CF0B70"/>
    <w:rsid w:val="00CF1CE5"/>
    <w:rsid w:val="00CF2CB6"/>
    <w:rsid w:val="00D0480A"/>
    <w:rsid w:val="00D12A70"/>
    <w:rsid w:val="00D22732"/>
    <w:rsid w:val="00D30D16"/>
    <w:rsid w:val="00D35454"/>
    <w:rsid w:val="00D57753"/>
    <w:rsid w:val="00D62C8A"/>
    <w:rsid w:val="00D73834"/>
    <w:rsid w:val="00D76B6A"/>
    <w:rsid w:val="00D94C1B"/>
    <w:rsid w:val="00D96F4C"/>
    <w:rsid w:val="00DA7208"/>
    <w:rsid w:val="00DB3CED"/>
    <w:rsid w:val="00DB4270"/>
    <w:rsid w:val="00DB74ED"/>
    <w:rsid w:val="00DC072B"/>
    <w:rsid w:val="00DC5231"/>
    <w:rsid w:val="00DD0E8E"/>
    <w:rsid w:val="00DD2422"/>
    <w:rsid w:val="00DF4CC1"/>
    <w:rsid w:val="00DF67F8"/>
    <w:rsid w:val="00DF799B"/>
    <w:rsid w:val="00E01EF2"/>
    <w:rsid w:val="00E02DED"/>
    <w:rsid w:val="00E1234C"/>
    <w:rsid w:val="00E147FF"/>
    <w:rsid w:val="00E14908"/>
    <w:rsid w:val="00E21425"/>
    <w:rsid w:val="00E23EA9"/>
    <w:rsid w:val="00E25550"/>
    <w:rsid w:val="00E303D9"/>
    <w:rsid w:val="00E31C4E"/>
    <w:rsid w:val="00E32133"/>
    <w:rsid w:val="00E36907"/>
    <w:rsid w:val="00E471D1"/>
    <w:rsid w:val="00E60A0E"/>
    <w:rsid w:val="00E61C74"/>
    <w:rsid w:val="00E65634"/>
    <w:rsid w:val="00E7757F"/>
    <w:rsid w:val="00E82214"/>
    <w:rsid w:val="00EA2244"/>
    <w:rsid w:val="00EA6E16"/>
    <w:rsid w:val="00EA7EE4"/>
    <w:rsid w:val="00EB2473"/>
    <w:rsid w:val="00EB5704"/>
    <w:rsid w:val="00EC1BCE"/>
    <w:rsid w:val="00EC41D6"/>
    <w:rsid w:val="00EC7A1C"/>
    <w:rsid w:val="00EF0509"/>
    <w:rsid w:val="00EF18FD"/>
    <w:rsid w:val="00EF6544"/>
    <w:rsid w:val="00F0039F"/>
    <w:rsid w:val="00F05CFF"/>
    <w:rsid w:val="00F07FF1"/>
    <w:rsid w:val="00F1286A"/>
    <w:rsid w:val="00F147AD"/>
    <w:rsid w:val="00F27DF1"/>
    <w:rsid w:val="00F41FDF"/>
    <w:rsid w:val="00F47425"/>
    <w:rsid w:val="00F512A8"/>
    <w:rsid w:val="00F51D6E"/>
    <w:rsid w:val="00F56C4B"/>
    <w:rsid w:val="00F60AF5"/>
    <w:rsid w:val="00F60F75"/>
    <w:rsid w:val="00F633D0"/>
    <w:rsid w:val="00F6365D"/>
    <w:rsid w:val="00F678BB"/>
    <w:rsid w:val="00F7116C"/>
    <w:rsid w:val="00F760B3"/>
    <w:rsid w:val="00F80356"/>
    <w:rsid w:val="00F8583F"/>
    <w:rsid w:val="00F86C0B"/>
    <w:rsid w:val="00F942DF"/>
    <w:rsid w:val="00FA213C"/>
    <w:rsid w:val="00FA4D93"/>
    <w:rsid w:val="00FA4EEF"/>
    <w:rsid w:val="00FB371F"/>
    <w:rsid w:val="00FB5F8B"/>
    <w:rsid w:val="00FD10C7"/>
    <w:rsid w:val="00FD1A8C"/>
    <w:rsid w:val="00FE01CE"/>
    <w:rsid w:val="00FE3F2A"/>
    <w:rsid w:val="00FF53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8C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6907"/>
    <w:pPr>
      <w:spacing w:after="0" w:line="240" w:lineRule="auto"/>
    </w:pPr>
    <w:rPr>
      <w:rFonts w:ascii="Times New Roman" w:hAnsi="Times New Roman" w:cs="Times New Roman"/>
      <w:sz w:val="24"/>
      <w:szCs w:val="24"/>
      <w:lang w:val="en-US"/>
    </w:rPr>
  </w:style>
  <w:style w:type="paragraph" w:styleId="Heading3">
    <w:name w:val="heading 3"/>
    <w:basedOn w:val="Normal"/>
    <w:link w:val="Heading3Char"/>
    <w:uiPriority w:val="9"/>
    <w:qFormat/>
    <w:rsid w:val="002556BB"/>
    <w:pPr>
      <w:spacing w:before="100" w:beforeAutospacing="1" w:after="100" w:afterAutospacing="1"/>
      <w:outlineLvl w:val="2"/>
    </w:pPr>
    <w:rPr>
      <w:rFonts w:eastAsia="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F2A"/>
    <w:rPr>
      <w:sz w:val="16"/>
      <w:szCs w:val="16"/>
    </w:rPr>
  </w:style>
  <w:style w:type="paragraph" w:styleId="CommentText">
    <w:name w:val="annotation text"/>
    <w:basedOn w:val="Normal"/>
    <w:link w:val="CommentTextChar"/>
    <w:uiPriority w:val="99"/>
    <w:unhideWhenUsed/>
    <w:rsid w:val="00471F2A"/>
    <w:rPr>
      <w:sz w:val="20"/>
      <w:szCs w:val="20"/>
    </w:rPr>
  </w:style>
  <w:style w:type="character" w:customStyle="1" w:styleId="CommentTextChar">
    <w:name w:val="Comment Text Char"/>
    <w:basedOn w:val="DefaultParagraphFont"/>
    <w:link w:val="CommentText"/>
    <w:uiPriority w:val="99"/>
    <w:rsid w:val="00471F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71F2A"/>
    <w:rPr>
      <w:b/>
      <w:bCs/>
    </w:rPr>
  </w:style>
  <w:style w:type="character" w:customStyle="1" w:styleId="CommentSubjectChar">
    <w:name w:val="Comment Subject Char"/>
    <w:basedOn w:val="CommentTextChar"/>
    <w:link w:val="CommentSubject"/>
    <w:uiPriority w:val="99"/>
    <w:semiHidden/>
    <w:rsid w:val="00471F2A"/>
    <w:rPr>
      <w:rFonts w:eastAsiaTheme="minorEastAsia"/>
      <w:b/>
      <w:bCs/>
      <w:sz w:val="20"/>
      <w:szCs w:val="20"/>
    </w:rPr>
  </w:style>
  <w:style w:type="paragraph" w:styleId="BalloonText">
    <w:name w:val="Balloon Text"/>
    <w:basedOn w:val="Normal"/>
    <w:link w:val="BalloonTextChar"/>
    <w:uiPriority w:val="99"/>
    <w:semiHidden/>
    <w:unhideWhenUsed/>
    <w:rsid w:val="00471F2A"/>
    <w:rPr>
      <w:rFonts w:ascii="Tahoma" w:hAnsi="Tahoma" w:cs="Tahoma"/>
      <w:sz w:val="16"/>
      <w:szCs w:val="16"/>
    </w:rPr>
  </w:style>
  <w:style w:type="character" w:customStyle="1" w:styleId="BalloonTextChar">
    <w:name w:val="Balloon Text Char"/>
    <w:basedOn w:val="DefaultParagraphFont"/>
    <w:link w:val="BalloonText"/>
    <w:uiPriority w:val="99"/>
    <w:semiHidden/>
    <w:rsid w:val="00471F2A"/>
    <w:rPr>
      <w:rFonts w:ascii="Tahoma" w:eastAsiaTheme="minorEastAsia" w:hAnsi="Tahoma" w:cs="Tahoma"/>
      <w:sz w:val="16"/>
      <w:szCs w:val="16"/>
    </w:rPr>
  </w:style>
  <w:style w:type="character" w:customStyle="1" w:styleId="apple-converted-space">
    <w:name w:val="apple-converted-space"/>
    <w:basedOn w:val="DefaultParagraphFont"/>
    <w:rsid w:val="00CE0605"/>
  </w:style>
  <w:style w:type="character" w:customStyle="1" w:styleId="referencediv">
    <w:name w:val="referencediv"/>
    <w:basedOn w:val="DefaultParagraphFont"/>
    <w:rsid w:val="00CE0605"/>
  </w:style>
  <w:style w:type="character" w:styleId="Hyperlink">
    <w:name w:val="Hyperlink"/>
    <w:basedOn w:val="DefaultParagraphFont"/>
    <w:uiPriority w:val="99"/>
    <w:unhideWhenUsed/>
    <w:rsid w:val="00CE0605"/>
    <w:rPr>
      <w:color w:val="0000FF"/>
      <w:u w:val="single"/>
    </w:rPr>
  </w:style>
  <w:style w:type="character" w:customStyle="1" w:styleId="Heading3Char">
    <w:name w:val="Heading 3 Char"/>
    <w:basedOn w:val="DefaultParagraphFont"/>
    <w:link w:val="Heading3"/>
    <w:uiPriority w:val="9"/>
    <w:rsid w:val="002556BB"/>
    <w:rPr>
      <w:rFonts w:ascii="Times New Roman" w:eastAsia="Times New Roman" w:hAnsi="Times New Roman" w:cs="Times New Roman"/>
      <w:b/>
      <w:bCs/>
      <w:sz w:val="27"/>
      <w:szCs w:val="27"/>
      <w:lang w:eastAsia="en-GB"/>
    </w:rPr>
  </w:style>
  <w:style w:type="paragraph" w:customStyle="1" w:styleId="Default">
    <w:name w:val="Default"/>
    <w:rsid w:val="005C51F1"/>
    <w:pPr>
      <w:autoSpaceDE w:val="0"/>
      <w:autoSpaceDN w:val="0"/>
      <w:adjustRightInd w:val="0"/>
      <w:spacing w:after="0" w:line="240" w:lineRule="auto"/>
    </w:pPr>
    <w:rPr>
      <w:rFonts w:ascii="Myriad Pro" w:hAnsi="Myriad Pro" w:cs="Myriad Pro"/>
      <w:color w:val="000000"/>
      <w:sz w:val="24"/>
      <w:szCs w:val="24"/>
    </w:rPr>
  </w:style>
  <w:style w:type="paragraph" w:styleId="NormalWeb">
    <w:name w:val="Normal (Web)"/>
    <w:basedOn w:val="Normal"/>
    <w:uiPriority w:val="99"/>
    <w:unhideWhenUsed/>
    <w:rsid w:val="005C51F1"/>
    <w:pPr>
      <w:spacing w:before="100" w:beforeAutospacing="1" w:after="100" w:afterAutospacing="1"/>
    </w:pPr>
    <w:rPr>
      <w:rFonts w:eastAsia="Times New Roman"/>
      <w:lang w:eastAsia="en-GB"/>
    </w:rPr>
  </w:style>
  <w:style w:type="paragraph" w:styleId="Bibliography">
    <w:name w:val="Bibliography"/>
    <w:basedOn w:val="Normal"/>
    <w:next w:val="Normal"/>
    <w:uiPriority w:val="37"/>
    <w:unhideWhenUsed/>
    <w:rsid w:val="005C51F1"/>
    <w:pPr>
      <w:spacing w:line="480" w:lineRule="auto"/>
      <w:ind w:left="720" w:hanging="720"/>
    </w:pPr>
    <w:rPr>
      <w:sz w:val="22"/>
      <w:szCs w:val="22"/>
    </w:rPr>
  </w:style>
  <w:style w:type="paragraph" w:styleId="ListParagraph">
    <w:name w:val="List Paragraph"/>
    <w:basedOn w:val="Normal"/>
    <w:uiPriority w:val="34"/>
    <w:qFormat/>
    <w:rsid w:val="00550B36"/>
    <w:pPr>
      <w:ind w:left="720"/>
      <w:contextualSpacing/>
    </w:pPr>
  </w:style>
  <w:style w:type="character" w:customStyle="1" w:styleId="hlfld-contribauthor">
    <w:name w:val="hlfld-contribauthor"/>
    <w:basedOn w:val="DefaultParagraphFont"/>
    <w:rsid w:val="002D662E"/>
  </w:style>
  <w:style w:type="character" w:styleId="FollowedHyperlink">
    <w:name w:val="FollowedHyperlink"/>
    <w:basedOn w:val="DefaultParagraphFont"/>
    <w:uiPriority w:val="99"/>
    <w:semiHidden/>
    <w:unhideWhenUsed/>
    <w:rsid w:val="002D662E"/>
    <w:rPr>
      <w:color w:val="800080" w:themeColor="followedHyperlink"/>
      <w:u w:val="single"/>
    </w:rPr>
  </w:style>
  <w:style w:type="paragraph" w:styleId="Footer">
    <w:name w:val="footer"/>
    <w:basedOn w:val="Normal"/>
    <w:link w:val="FooterChar"/>
    <w:uiPriority w:val="99"/>
    <w:unhideWhenUsed/>
    <w:rsid w:val="00C87493"/>
    <w:pPr>
      <w:tabs>
        <w:tab w:val="center" w:pos="4513"/>
        <w:tab w:val="right" w:pos="9026"/>
      </w:tabs>
    </w:pPr>
  </w:style>
  <w:style w:type="character" w:customStyle="1" w:styleId="FooterChar">
    <w:name w:val="Footer Char"/>
    <w:basedOn w:val="DefaultParagraphFont"/>
    <w:link w:val="Footer"/>
    <w:uiPriority w:val="99"/>
    <w:rsid w:val="00C87493"/>
    <w:rPr>
      <w:rFonts w:eastAsiaTheme="minorEastAsia"/>
      <w:sz w:val="24"/>
      <w:szCs w:val="24"/>
    </w:rPr>
  </w:style>
  <w:style w:type="character" w:styleId="PageNumber">
    <w:name w:val="page number"/>
    <w:basedOn w:val="DefaultParagraphFont"/>
    <w:uiPriority w:val="99"/>
    <w:semiHidden/>
    <w:unhideWhenUsed/>
    <w:rsid w:val="00C87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313">
      <w:bodyDiv w:val="1"/>
      <w:marLeft w:val="0"/>
      <w:marRight w:val="0"/>
      <w:marTop w:val="0"/>
      <w:marBottom w:val="0"/>
      <w:divBdr>
        <w:top w:val="none" w:sz="0" w:space="0" w:color="auto"/>
        <w:left w:val="none" w:sz="0" w:space="0" w:color="auto"/>
        <w:bottom w:val="none" w:sz="0" w:space="0" w:color="auto"/>
        <w:right w:val="none" w:sz="0" w:space="0" w:color="auto"/>
      </w:divBdr>
      <w:divsChild>
        <w:div w:id="1895578588">
          <w:marLeft w:val="0"/>
          <w:marRight w:val="0"/>
          <w:marTop w:val="0"/>
          <w:marBottom w:val="0"/>
          <w:divBdr>
            <w:top w:val="none" w:sz="0" w:space="0" w:color="auto"/>
            <w:left w:val="none" w:sz="0" w:space="0" w:color="auto"/>
            <w:bottom w:val="none" w:sz="0" w:space="0" w:color="auto"/>
            <w:right w:val="none" w:sz="0" w:space="0" w:color="auto"/>
          </w:divBdr>
        </w:div>
      </w:divsChild>
    </w:div>
    <w:div w:id="61830228">
      <w:bodyDiv w:val="1"/>
      <w:marLeft w:val="0"/>
      <w:marRight w:val="0"/>
      <w:marTop w:val="0"/>
      <w:marBottom w:val="0"/>
      <w:divBdr>
        <w:top w:val="none" w:sz="0" w:space="0" w:color="auto"/>
        <w:left w:val="none" w:sz="0" w:space="0" w:color="auto"/>
        <w:bottom w:val="none" w:sz="0" w:space="0" w:color="auto"/>
        <w:right w:val="none" w:sz="0" w:space="0" w:color="auto"/>
      </w:divBdr>
    </w:div>
    <w:div w:id="132672977">
      <w:bodyDiv w:val="1"/>
      <w:marLeft w:val="0"/>
      <w:marRight w:val="0"/>
      <w:marTop w:val="0"/>
      <w:marBottom w:val="0"/>
      <w:divBdr>
        <w:top w:val="none" w:sz="0" w:space="0" w:color="auto"/>
        <w:left w:val="none" w:sz="0" w:space="0" w:color="auto"/>
        <w:bottom w:val="none" w:sz="0" w:space="0" w:color="auto"/>
        <w:right w:val="none" w:sz="0" w:space="0" w:color="auto"/>
      </w:divBdr>
    </w:div>
    <w:div w:id="166677967">
      <w:bodyDiv w:val="1"/>
      <w:marLeft w:val="0"/>
      <w:marRight w:val="0"/>
      <w:marTop w:val="0"/>
      <w:marBottom w:val="0"/>
      <w:divBdr>
        <w:top w:val="none" w:sz="0" w:space="0" w:color="auto"/>
        <w:left w:val="none" w:sz="0" w:space="0" w:color="auto"/>
        <w:bottom w:val="none" w:sz="0" w:space="0" w:color="auto"/>
        <w:right w:val="none" w:sz="0" w:space="0" w:color="auto"/>
      </w:divBdr>
    </w:div>
    <w:div w:id="285158579">
      <w:bodyDiv w:val="1"/>
      <w:marLeft w:val="0"/>
      <w:marRight w:val="0"/>
      <w:marTop w:val="0"/>
      <w:marBottom w:val="0"/>
      <w:divBdr>
        <w:top w:val="none" w:sz="0" w:space="0" w:color="auto"/>
        <w:left w:val="none" w:sz="0" w:space="0" w:color="auto"/>
        <w:bottom w:val="none" w:sz="0" w:space="0" w:color="auto"/>
        <w:right w:val="none" w:sz="0" w:space="0" w:color="auto"/>
      </w:divBdr>
    </w:div>
    <w:div w:id="291328430">
      <w:bodyDiv w:val="1"/>
      <w:marLeft w:val="0"/>
      <w:marRight w:val="0"/>
      <w:marTop w:val="0"/>
      <w:marBottom w:val="0"/>
      <w:divBdr>
        <w:top w:val="none" w:sz="0" w:space="0" w:color="auto"/>
        <w:left w:val="none" w:sz="0" w:space="0" w:color="auto"/>
        <w:bottom w:val="none" w:sz="0" w:space="0" w:color="auto"/>
        <w:right w:val="none" w:sz="0" w:space="0" w:color="auto"/>
      </w:divBdr>
    </w:div>
    <w:div w:id="459150709">
      <w:bodyDiv w:val="1"/>
      <w:marLeft w:val="0"/>
      <w:marRight w:val="0"/>
      <w:marTop w:val="0"/>
      <w:marBottom w:val="0"/>
      <w:divBdr>
        <w:top w:val="none" w:sz="0" w:space="0" w:color="auto"/>
        <w:left w:val="none" w:sz="0" w:space="0" w:color="auto"/>
        <w:bottom w:val="none" w:sz="0" w:space="0" w:color="auto"/>
        <w:right w:val="none" w:sz="0" w:space="0" w:color="auto"/>
      </w:divBdr>
    </w:div>
    <w:div w:id="470174411">
      <w:bodyDiv w:val="1"/>
      <w:marLeft w:val="0"/>
      <w:marRight w:val="0"/>
      <w:marTop w:val="0"/>
      <w:marBottom w:val="0"/>
      <w:divBdr>
        <w:top w:val="none" w:sz="0" w:space="0" w:color="auto"/>
        <w:left w:val="none" w:sz="0" w:space="0" w:color="auto"/>
        <w:bottom w:val="none" w:sz="0" w:space="0" w:color="auto"/>
        <w:right w:val="none" w:sz="0" w:space="0" w:color="auto"/>
      </w:divBdr>
    </w:div>
    <w:div w:id="504705732">
      <w:bodyDiv w:val="1"/>
      <w:marLeft w:val="0"/>
      <w:marRight w:val="0"/>
      <w:marTop w:val="0"/>
      <w:marBottom w:val="0"/>
      <w:divBdr>
        <w:top w:val="none" w:sz="0" w:space="0" w:color="auto"/>
        <w:left w:val="none" w:sz="0" w:space="0" w:color="auto"/>
        <w:bottom w:val="none" w:sz="0" w:space="0" w:color="auto"/>
        <w:right w:val="none" w:sz="0" w:space="0" w:color="auto"/>
      </w:divBdr>
    </w:div>
    <w:div w:id="669480574">
      <w:bodyDiv w:val="1"/>
      <w:marLeft w:val="0"/>
      <w:marRight w:val="0"/>
      <w:marTop w:val="0"/>
      <w:marBottom w:val="0"/>
      <w:divBdr>
        <w:top w:val="none" w:sz="0" w:space="0" w:color="auto"/>
        <w:left w:val="none" w:sz="0" w:space="0" w:color="auto"/>
        <w:bottom w:val="none" w:sz="0" w:space="0" w:color="auto"/>
        <w:right w:val="none" w:sz="0" w:space="0" w:color="auto"/>
      </w:divBdr>
    </w:div>
    <w:div w:id="875235773">
      <w:bodyDiv w:val="1"/>
      <w:marLeft w:val="0"/>
      <w:marRight w:val="0"/>
      <w:marTop w:val="0"/>
      <w:marBottom w:val="0"/>
      <w:divBdr>
        <w:top w:val="none" w:sz="0" w:space="0" w:color="auto"/>
        <w:left w:val="none" w:sz="0" w:space="0" w:color="auto"/>
        <w:bottom w:val="none" w:sz="0" w:space="0" w:color="auto"/>
        <w:right w:val="none" w:sz="0" w:space="0" w:color="auto"/>
      </w:divBdr>
    </w:div>
    <w:div w:id="961182463">
      <w:bodyDiv w:val="1"/>
      <w:marLeft w:val="0"/>
      <w:marRight w:val="0"/>
      <w:marTop w:val="0"/>
      <w:marBottom w:val="0"/>
      <w:divBdr>
        <w:top w:val="none" w:sz="0" w:space="0" w:color="auto"/>
        <w:left w:val="none" w:sz="0" w:space="0" w:color="auto"/>
        <w:bottom w:val="none" w:sz="0" w:space="0" w:color="auto"/>
        <w:right w:val="none" w:sz="0" w:space="0" w:color="auto"/>
      </w:divBdr>
    </w:div>
    <w:div w:id="1065570516">
      <w:bodyDiv w:val="1"/>
      <w:marLeft w:val="0"/>
      <w:marRight w:val="0"/>
      <w:marTop w:val="0"/>
      <w:marBottom w:val="0"/>
      <w:divBdr>
        <w:top w:val="none" w:sz="0" w:space="0" w:color="auto"/>
        <w:left w:val="none" w:sz="0" w:space="0" w:color="auto"/>
        <w:bottom w:val="none" w:sz="0" w:space="0" w:color="auto"/>
        <w:right w:val="none" w:sz="0" w:space="0" w:color="auto"/>
      </w:divBdr>
    </w:div>
    <w:div w:id="1140345429">
      <w:bodyDiv w:val="1"/>
      <w:marLeft w:val="0"/>
      <w:marRight w:val="0"/>
      <w:marTop w:val="0"/>
      <w:marBottom w:val="0"/>
      <w:divBdr>
        <w:top w:val="none" w:sz="0" w:space="0" w:color="auto"/>
        <w:left w:val="none" w:sz="0" w:space="0" w:color="auto"/>
        <w:bottom w:val="none" w:sz="0" w:space="0" w:color="auto"/>
        <w:right w:val="none" w:sz="0" w:space="0" w:color="auto"/>
      </w:divBdr>
    </w:div>
    <w:div w:id="1174419285">
      <w:bodyDiv w:val="1"/>
      <w:marLeft w:val="0"/>
      <w:marRight w:val="0"/>
      <w:marTop w:val="0"/>
      <w:marBottom w:val="0"/>
      <w:divBdr>
        <w:top w:val="none" w:sz="0" w:space="0" w:color="auto"/>
        <w:left w:val="none" w:sz="0" w:space="0" w:color="auto"/>
        <w:bottom w:val="none" w:sz="0" w:space="0" w:color="auto"/>
        <w:right w:val="none" w:sz="0" w:space="0" w:color="auto"/>
      </w:divBdr>
    </w:div>
    <w:div w:id="1181122380">
      <w:bodyDiv w:val="1"/>
      <w:marLeft w:val="0"/>
      <w:marRight w:val="0"/>
      <w:marTop w:val="0"/>
      <w:marBottom w:val="0"/>
      <w:divBdr>
        <w:top w:val="none" w:sz="0" w:space="0" w:color="auto"/>
        <w:left w:val="none" w:sz="0" w:space="0" w:color="auto"/>
        <w:bottom w:val="none" w:sz="0" w:space="0" w:color="auto"/>
        <w:right w:val="none" w:sz="0" w:space="0" w:color="auto"/>
      </w:divBdr>
    </w:div>
    <w:div w:id="1231186663">
      <w:bodyDiv w:val="1"/>
      <w:marLeft w:val="0"/>
      <w:marRight w:val="0"/>
      <w:marTop w:val="0"/>
      <w:marBottom w:val="0"/>
      <w:divBdr>
        <w:top w:val="none" w:sz="0" w:space="0" w:color="auto"/>
        <w:left w:val="none" w:sz="0" w:space="0" w:color="auto"/>
        <w:bottom w:val="none" w:sz="0" w:space="0" w:color="auto"/>
        <w:right w:val="none" w:sz="0" w:space="0" w:color="auto"/>
      </w:divBdr>
    </w:div>
    <w:div w:id="1321809981">
      <w:bodyDiv w:val="1"/>
      <w:marLeft w:val="0"/>
      <w:marRight w:val="0"/>
      <w:marTop w:val="0"/>
      <w:marBottom w:val="0"/>
      <w:divBdr>
        <w:top w:val="none" w:sz="0" w:space="0" w:color="auto"/>
        <w:left w:val="none" w:sz="0" w:space="0" w:color="auto"/>
        <w:bottom w:val="none" w:sz="0" w:space="0" w:color="auto"/>
        <w:right w:val="none" w:sz="0" w:space="0" w:color="auto"/>
      </w:divBdr>
    </w:div>
    <w:div w:id="1510826539">
      <w:bodyDiv w:val="1"/>
      <w:marLeft w:val="0"/>
      <w:marRight w:val="0"/>
      <w:marTop w:val="0"/>
      <w:marBottom w:val="0"/>
      <w:divBdr>
        <w:top w:val="none" w:sz="0" w:space="0" w:color="auto"/>
        <w:left w:val="none" w:sz="0" w:space="0" w:color="auto"/>
        <w:bottom w:val="none" w:sz="0" w:space="0" w:color="auto"/>
        <w:right w:val="none" w:sz="0" w:space="0" w:color="auto"/>
      </w:divBdr>
    </w:div>
    <w:div w:id="1553730128">
      <w:bodyDiv w:val="1"/>
      <w:marLeft w:val="0"/>
      <w:marRight w:val="0"/>
      <w:marTop w:val="0"/>
      <w:marBottom w:val="0"/>
      <w:divBdr>
        <w:top w:val="none" w:sz="0" w:space="0" w:color="auto"/>
        <w:left w:val="none" w:sz="0" w:space="0" w:color="auto"/>
        <w:bottom w:val="none" w:sz="0" w:space="0" w:color="auto"/>
        <w:right w:val="none" w:sz="0" w:space="0" w:color="auto"/>
      </w:divBdr>
    </w:div>
    <w:div w:id="1707870589">
      <w:bodyDiv w:val="1"/>
      <w:marLeft w:val="0"/>
      <w:marRight w:val="0"/>
      <w:marTop w:val="0"/>
      <w:marBottom w:val="0"/>
      <w:divBdr>
        <w:top w:val="none" w:sz="0" w:space="0" w:color="auto"/>
        <w:left w:val="none" w:sz="0" w:space="0" w:color="auto"/>
        <w:bottom w:val="none" w:sz="0" w:space="0" w:color="auto"/>
        <w:right w:val="none" w:sz="0" w:space="0" w:color="auto"/>
      </w:divBdr>
    </w:div>
    <w:div w:id="1821967781">
      <w:bodyDiv w:val="1"/>
      <w:marLeft w:val="0"/>
      <w:marRight w:val="0"/>
      <w:marTop w:val="0"/>
      <w:marBottom w:val="0"/>
      <w:divBdr>
        <w:top w:val="none" w:sz="0" w:space="0" w:color="auto"/>
        <w:left w:val="none" w:sz="0" w:space="0" w:color="auto"/>
        <w:bottom w:val="none" w:sz="0" w:space="0" w:color="auto"/>
        <w:right w:val="none" w:sz="0" w:space="0" w:color="auto"/>
      </w:divBdr>
    </w:div>
    <w:div w:id="1915701699">
      <w:bodyDiv w:val="1"/>
      <w:marLeft w:val="0"/>
      <w:marRight w:val="0"/>
      <w:marTop w:val="0"/>
      <w:marBottom w:val="0"/>
      <w:divBdr>
        <w:top w:val="none" w:sz="0" w:space="0" w:color="auto"/>
        <w:left w:val="none" w:sz="0" w:space="0" w:color="auto"/>
        <w:bottom w:val="none" w:sz="0" w:space="0" w:color="auto"/>
        <w:right w:val="none" w:sz="0" w:space="0" w:color="auto"/>
      </w:divBdr>
    </w:div>
    <w:div w:id="2008945362">
      <w:bodyDiv w:val="1"/>
      <w:marLeft w:val="0"/>
      <w:marRight w:val="0"/>
      <w:marTop w:val="0"/>
      <w:marBottom w:val="0"/>
      <w:divBdr>
        <w:top w:val="none" w:sz="0" w:space="0" w:color="auto"/>
        <w:left w:val="none" w:sz="0" w:space="0" w:color="auto"/>
        <w:bottom w:val="none" w:sz="0" w:space="0" w:color="auto"/>
        <w:right w:val="none" w:sz="0" w:space="0" w:color="auto"/>
      </w:divBdr>
    </w:div>
    <w:div w:id="20741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7390-4D0E-4B48-9555-11732DBB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6817</Words>
  <Characters>38861</Characters>
  <Application>Microsoft Macintosh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Peter</dc:creator>
  <cp:keywords/>
  <dc:description/>
  <cp:lastModifiedBy>Kahn, Peter</cp:lastModifiedBy>
  <cp:revision>3</cp:revision>
  <dcterms:created xsi:type="dcterms:W3CDTF">2017-07-20T13:33:00Z</dcterms:created>
  <dcterms:modified xsi:type="dcterms:W3CDTF">2017-07-20T13:35:00Z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id="Z3CIvtiy"/&gt;&lt;style id="http://www.zotero.org/styles/apa" locale="en-US" hasBibliography="1" bibliographyStyleHasBeenSet="1"/&gt;&lt;prefs&gt;&lt;pref name="fieldType" value="Field"/&gt;&lt;pref name="storeReferen</vt:lpwstr>
  </property>
  <property fmtid="{D5CDD505-2E9C-101B-9397-08002B2CF9AE}" pid="3" name="ZOTERO_PREF_2">
    <vt:lpwstr>ces" value="true"/&gt;&lt;pref name="automaticJournalAbbreviations" value="true"/&gt;&lt;pref name="noteType" value=""/&gt;&lt;/prefs&gt;&lt;/data&gt;</vt:lpwstr>
  </property>
</Properties>
</file>