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70E15" w14:textId="2695AC58" w:rsidR="00106764" w:rsidRPr="00106764" w:rsidRDefault="00CC1D20" w:rsidP="00106764">
      <w:pPr>
        <w:pStyle w:val="Title"/>
        <w:jc w:val="left"/>
        <w:rPr>
          <w:b w:val="0"/>
          <w:color w:val="FF0000"/>
        </w:rPr>
      </w:pPr>
      <w:r w:rsidRPr="00CC1D20">
        <w:t>Assessing Cooling Energy Load and Dehumidification in Housing Built to Passivhaus Standard in Jakarta, Indonesia</w:t>
      </w:r>
    </w:p>
    <w:p w14:paraId="301DD66A" w14:textId="77777777" w:rsidR="00C74BA7" w:rsidRPr="00964599" w:rsidRDefault="00C74BA7" w:rsidP="002B0CA7">
      <w:pPr>
        <w:jc w:val="left"/>
        <w:rPr>
          <w:szCs w:val="24"/>
        </w:rPr>
      </w:pPr>
    </w:p>
    <w:p w14:paraId="03B75EB4" w14:textId="5CC99AE0" w:rsidR="00C74BA7" w:rsidRPr="00106764" w:rsidRDefault="003B31DB" w:rsidP="00BF677A">
      <w:pPr>
        <w:pStyle w:val="Authors"/>
      </w:pPr>
      <w:r>
        <w:t xml:space="preserve">Roy </w:t>
      </w:r>
      <w:r w:rsidR="00E42684">
        <w:t xml:space="preserve">Candra </w:t>
      </w:r>
      <w:r>
        <w:t>Sigalingging</w:t>
      </w:r>
      <w:r w:rsidR="00C74BA7" w:rsidRPr="00964599">
        <w:rPr>
          <w:vertAlign w:val="superscript"/>
        </w:rPr>
        <w:t>1</w:t>
      </w:r>
      <w:r w:rsidR="00C242AD">
        <w:t xml:space="preserve">, </w:t>
      </w:r>
      <w:r>
        <w:t>Dav</w:t>
      </w:r>
      <w:r w:rsidR="00AE64E2">
        <w:t>i</w:t>
      </w:r>
      <w:r>
        <w:t>d Chow</w:t>
      </w:r>
      <w:r w:rsidR="00D96B7D">
        <w:rPr>
          <w:vertAlign w:val="superscript"/>
        </w:rPr>
        <w:t>1</w:t>
      </w:r>
      <w:r w:rsidR="00C242AD">
        <w:t xml:space="preserve"> </w:t>
      </w:r>
      <w:r w:rsidR="00C74BA7" w:rsidRPr="00964599">
        <w:t xml:space="preserve">and </w:t>
      </w:r>
      <w:r w:rsidR="00F11691">
        <w:t>Steve Sharples</w:t>
      </w:r>
      <w:r w:rsidR="00D96B7D">
        <w:rPr>
          <w:vertAlign w:val="superscript"/>
        </w:rPr>
        <w:t>1</w:t>
      </w:r>
    </w:p>
    <w:p w14:paraId="2CB8C9BA" w14:textId="77777777" w:rsidR="00C74BA7" w:rsidRPr="00964599" w:rsidRDefault="00C74BA7" w:rsidP="002B0CA7">
      <w:pPr>
        <w:jc w:val="left"/>
        <w:rPr>
          <w:szCs w:val="24"/>
        </w:rPr>
      </w:pPr>
    </w:p>
    <w:p w14:paraId="02B38C86" w14:textId="06E63741" w:rsidR="00C74BA7" w:rsidRPr="00964599" w:rsidRDefault="00002B4F" w:rsidP="002B0CA7">
      <w:pPr>
        <w:ind w:left="142" w:hanging="142"/>
        <w:jc w:val="left"/>
        <w:rPr>
          <w:szCs w:val="24"/>
        </w:rPr>
      </w:pPr>
      <w:r>
        <w:rPr>
          <w:szCs w:val="24"/>
          <w:vertAlign w:val="superscript"/>
        </w:rPr>
        <w:t>1</w:t>
      </w:r>
      <w:r w:rsidR="00C74BA7" w:rsidRPr="00964599">
        <w:rPr>
          <w:szCs w:val="24"/>
        </w:rPr>
        <w:t xml:space="preserve"> </w:t>
      </w:r>
      <w:r>
        <w:rPr>
          <w:szCs w:val="24"/>
        </w:rPr>
        <w:t>School</w:t>
      </w:r>
      <w:r w:rsidR="00C74BA7" w:rsidRPr="00964599">
        <w:rPr>
          <w:szCs w:val="24"/>
        </w:rPr>
        <w:t xml:space="preserve"> of </w:t>
      </w:r>
      <w:r w:rsidR="002B0CA7">
        <w:rPr>
          <w:szCs w:val="24"/>
        </w:rPr>
        <w:t>Architecture</w:t>
      </w:r>
      <w:r w:rsidR="00C74BA7" w:rsidRPr="00964599">
        <w:rPr>
          <w:szCs w:val="24"/>
        </w:rPr>
        <w:t xml:space="preserve">, University of </w:t>
      </w:r>
      <w:r>
        <w:rPr>
          <w:szCs w:val="24"/>
        </w:rPr>
        <w:t>Liverpool</w:t>
      </w:r>
      <w:r w:rsidR="00C74BA7" w:rsidRPr="00964599">
        <w:rPr>
          <w:szCs w:val="24"/>
        </w:rPr>
        <w:t xml:space="preserve">, </w:t>
      </w:r>
      <w:r>
        <w:rPr>
          <w:szCs w:val="24"/>
        </w:rPr>
        <w:t>Liverpool</w:t>
      </w:r>
      <w:r w:rsidR="00C74BA7" w:rsidRPr="00964599">
        <w:rPr>
          <w:szCs w:val="24"/>
        </w:rPr>
        <w:t xml:space="preserve">, </w:t>
      </w:r>
      <w:r>
        <w:rPr>
          <w:szCs w:val="24"/>
        </w:rPr>
        <w:t>United Kingdom</w:t>
      </w:r>
    </w:p>
    <w:p w14:paraId="3D229133" w14:textId="77777777" w:rsidR="00C74BA7" w:rsidRPr="00964599" w:rsidRDefault="00C74BA7" w:rsidP="00C74BA7">
      <w:pPr>
        <w:rPr>
          <w:szCs w:val="24"/>
        </w:rPr>
      </w:pPr>
    </w:p>
    <w:p w14:paraId="34E22A21" w14:textId="12D5B0AA" w:rsidR="00130AA0" w:rsidRPr="00964599" w:rsidRDefault="00130AA0" w:rsidP="006F0A9F">
      <w:pPr>
        <w:pStyle w:val="Abstract"/>
      </w:pPr>
      <w:r w:rsidRPr="001371B9">
        <w:rPr>
          <w:b/>
        </w:rPr>
        <w:t>Abstract</w:t>
      </w:r>
      <w:r w:rsidR="001371B9" w:rsidRPr="001371B9">
        <w:rPr>
          <w:b/>
        </w:rPr>
        <w:t>:</w:t>
      </w:r>
      <w:r w:rsidR="001371B9">
        <w:t xml:space="preserve"> </w:t>
      </w:r>
      <w:r w:rsidR="00F11691" w:rsidRPr="00F11691">
        <w:t xml:space="preserve">A preference for low-density housing </w:t>
      </w:r>
      <w:r w:rsidR="00152351">
        <w:t>by</w:t>
      </w:r>
      <w:r w:rsidR="00F11691" w:rsidRPr="00F11691">
        <w:t xml:space="preserve"> Indonesian people has contributed greatly to uncontrollable urban sprawl arou</w:t>
      </w:r>
      <w:r w:rsidR="00152351">
        <w:t>nd the peripheries of Indonesia’s</w:t>
      </w:r>
      <w:r w:rsidR="00F11691" w:rsidRPr="00F11691">
        <w:t xml:space="preserve"> major cities. The cooling of low-density housing to maintain thermal comfort is energy intensive</w:t>
      </w:r>
      <w:r w:rsidR="00152351">
        <w:t>,</w:t>
      </w:r>
      <w:r w:rsidR="00F11691" w:rsidRPr="00F11691">
        <w:t xml:space="preserve"> </w:t>
      </w:r>
      <w:r w:rsidR="00152351">
        <w:t>with</w:t>
      </w:r>
      <w:r w:rsidR="00F11691" w:rsidRPr="00F11691">
        <w:t xml:space="preserve"> approximately 30–50% of conditioned air lost through ventilation and air infiltration. </w:t>
      </w:r>
      <w:r w:rsidR="009461E8">
        <w:t>As</w:t>
      </w:r>
      <w:r w:rsidR="00F11691" w:rsidRPr="00F11691">
        <w:t xml:space="preserve"> Indonesia </w:t>
      </w:r>
      <w:r w:rsidR="00152351">
        <w:t>is</w:t>
      </w:r>
      <w:r w:rsidR="00F11691" w:rsidRPr="00F11691">
        <w:t xml:space="preserve"> in a hot and humid climat</w:t>
      </w:r>
      <w:r w:rsidR="00152351">
        <w:t>ic</w:t>
      </w:r>
      <w:r w:rsidR="00F11691" w:rsidRPr="00F11691">
        <w:t xml:space="preserve"> region, the air’s moisture level is high, and ventilation during hot weather can introduce more moisture in</w:t>
      </w:r>
      <w:r w:rsidR="00152351">
        <w:t xml:space="preserve"> </w:t>
      </w:r>
      <w:r w:rsidR="00F11691" w:rsidRPr="00F11691">
        <w:t xml:space="preserve">to buildings. Thus, the removal of excess </w:t>
      </w:r>
      <w:r w:rsidR="009461E8">
        <w:t xml:space="preserve">internal </w:t>
      </w:r>
      <w:r w:rsidR="00F11691" w:rsidRPr="00F11691">
        <w:t xml:space="preserve">humidity is essential for </w:t>
      </w:r>
      <w:r w:rsidR="009461E8">
        <w:t xml:space="preserve">human </w:t>
      </w:r>
      <w:r w:rsidR="00F11691" w:rsidRPr="00F11691">
        <w:t xml:space="preserve">comfort. The </w:t>
      </w:r>
      <w:r w:rsidR="00152351">
        <w:t xml:space="preserve">German </w:t>
      </w:r>
      <w:r w:rsidR="00F11691" w:rsidRPr="00F11691">
        <w:t>Passivhaus</w:t>
      </w:r>
      <w:r w:rsidR="00152351">
        <w:t xml:space="preserve"> building</w:t>
      </w:r>
      <w:r w:rsidR="00F11691" w:rsidRPr="00F11691">
        <w:t xml:space="preserve"> standard is effective </w:t>
      </w:r>
      <w:r w:rsidR="00152351">
        <w:t>in</w:t>
      </w:r>
      <w:r w:rsidR="00F11691" w:rsidRPr="00F11691">
        <w:t xml:space="preserve"> preserving stable interior temperature</w:t>
      </w:r>
      <w:r w:rsidR="00152351">
        <w:t>s</w:t>
      </w:r>
      <w:r w:rsidR="00F11691" w:rsidRPr="00F11691">
        <w:t>, but its air-tight</w:t>
      </w:r>
      <w:r w:rsidR="00152351">
        <w:t xml:space="preserve"> envelope might hinder the</w:t>
      </w:r>
      <w:r w:rsidR="00F11691" w:rsidRPr="00F11691">
        <w:t xml:space="preserve"> remov</w:t>
      </w:r>
      <w:r w:rsidR="00152351">
        <w:t>al of</w:t>
      </w:r>
      <w:r w:rsidR="00F11691" w:rsidRPr="00F11691">
        <w:t xml:space="preserve"> excess moisture</w:t>
      </w:r>
      <w:r w:rsidR="00152351">
        <w:t xml:space="preserve"> in tropical climates</w:t>
      </w:r>
      <w:r w:rsidR="00F11691" w:rsidRPr="00F11691">
        <w:t xml:space="preserve">. </w:t>
      </w:r>
      <w:r w:rsidR="00152351">
        <w:t>The</w:t>
      </w:r>
      <w:r w:rsidR="00F11691" w:rsidRPr="00F11691">
        <w:t xml:space="preserve"> dynamic thermal </w:t>
      </w:r>
      <w:r w:rsidR="00152351">
        <w:t xml:space="preserve">simulation </w:t>
      </w:r>
      <w:r w:rsidR="00F11691" w:rsidRPr="00F11691">
        <w:t xml:space="preserve">software DesignBuilder </w:t>
      </w:r>
      <w:r w:rsidR="00152351">
        <w:t xml:space="preserve">was used </w:t>
      </w:r>
      <w:r w:rsidR="00F11691" w:rsidRPr="00F11691">
        <w:t xml:space="preserve">to model a typical </w:t>
      </w:r>
      <w:r w:rsidR="00152351" w:rsidRPr="00F11691">
        <w:t>Jakarta</w:t>
      </w:r>
      <w:r w:rsidR="00152351" w:rsidRPr="00F11691">
        <w:t xml:space="preserve"> </w:t>
      </w:r>
      <w:r w:rsidR="00F11691" w:rsidRPr="00F11691">
        <w:t xml:space="preserve">terraced dwelling </w:t>
      </w:r>
      <w:r w:rsidR="00152351">
        <w:t>to investigate</w:t>
      </w:r>
      <w:r w:rsidR="00F11691" w:rsidRPr="00F11691">
        <w:t xml:space="preserve"> the effects on indoor temperature and humidity on comfort and energy use </w:t>
      </w:r>
      <w:r w:rsidR="00152351">
        <w:t>from</w:t>
      </w:r>
      <w:r w:rsidR="00F11691" w:rsidRPr="00F11691">
        <w:t xml:space="preserve"> applying </w:t>
      </w:r>
      <w:r w:rsidR="00152351">
        <w:t xml:space="preserve">the </w:t>
      </w:r>
      <w:r w:rsidR="00F11691" w:rsidRPr="00F11691">
        <w:t>Passivhaus standard</w:t>
      </w:r>
      <w:r w:rsidR="00152351">
        <w:t>. The aim was</w:t>
      </w:r>
      <w:r w:rsidR="00F11691" w:rsidRPr="00F11691">
        <w:t xml:space="preserve"> to find the optimum setting for minimising cooling and dehumidification energy in air-conditioning</w:t>
      </w:r>
      <w:r w:rsidR="00152351">
        <w:t xml:space="preserve"> systems</w:t>
      </w:r>
      <w:r w:rsidR="00F11691" w:rsidRPr="00F11691">
        <w:t xml:space="preserve">. The research examined the type of active dehumidification system that might be most suitable to work with a Passivhaus in tropical conditions to position the house’s </w:t>
      </w:r>
      <w:r w:rsidR="00152351">
        <w:t xml:space="preserve">internal </w:t>
      </w:r>
      <w:r w:rsidR="00F11691" w:rsidRPr="00F11691">
        <w:t>environment within the thermal comfort zone.</w:t>
      </w:r>
    </w:p>
    <w:p w14:paraId="637714A5" w14:textId="77777777" w:rsidR="00F24D80" w:rsidRDefault="00F24D80" w:rsidP="00A772F8">
      <w:pPr>
        <w:pStyle w:val="Abstract"/>
        <w:rPr>
          <w:b/>
        </w:rPr>
      </w:pPr>
    </w:p>
    <w:p w14:paraId="6A5FE3EB" w14:textId="59984153" w:rsidR="00A772F8" w:rsidRPr="00964599" w:rsidRDefault="00040A30" w:rsidP="00C47DAC">
      <w:pPr>
        <w:pStyle w:val="Abstract"/>
      </w:pPr>
      <w:r w:rsidRPr="001371B9">
        <w:rPr>
          <w:b/>
        </w:rPr>
        <w:t>Keywords</w:t>
      </w:r>
      <w:r w:rsidRPr="00964599">
        <w:t xml:space="preserve">: </w:t>
      </w:r>
      <w:r w:rsidR="00F11691" w:rsidRPr="00F11691">
        <w:t>Passivhaus, Hot and humid climate, Dehumidification, tropical climate</w:t>
      </w:r>
      <w:r w:rsidR="00E42684">
        <w:t xml:space="preserve">, </w:t>
      </w:r>
      <w:r w:rsidR="006B3F87">
        <w:t>Low energy building</w:t>
      </w:r>
    </w:p>
    <w:p w14:paraId="32EC8BAD" w14:textId="77777777" w:rsidR="007A4F62" w:rsidRPr="00964599" w:rsidRDefault="007A4F62" w:rsidP="007A4F62">
      <w:pPr>
        <w:pStyle w:val="Heading1"/>
      </w:pPr>
      <w:r w:rsidRPr="00FC6D8E">
        <w:t>Introduction</w:t>
      </w:r>
      <w:r>
        <w:t xml:space="preserve"> </w:t>
      </w:r>
    </w:p>
    <w:p w14:paraId="37B72BC3" w14:textId="18509202" w:rsidR="007A4F62" w:rsidRPr="002F4396" w:rsidRDefault="007A4F62" w:rsidP="007A4F62">
      <w:pPr>
        <w:pStyle w:val="Firstparagraphofsection"/>
        <w:rPr>
          <w:bCs/>
        </w:rPr>
      </w:pPr>
      <w:r w:rsidRPr="00CC56E4">
        <w:t xml:space="preserve">In hot and humid </w:t>
      </w:r>
      <w:r w:rsidR="001663D0" w:rsidRPr="00CC56E4">
        <w:t>climates</w:t>
      </w:r>
      <w:r>
        <w:t xml:space="preserve"> the </w:t>
      </w:r>
      <w:r w:rsidRPr="00CC56E4">
        <w:t>application of simple cooling measure</w:t>
      </w:r>
      <w:r>
        <w:t>s</w:t>
      </w:r>
      <w:r w:rsidRPr="00CC56E4">
        <w:t xml:space="preserve"> </w:t>
      </w:r>
      <w:r>
        <w:t>can be</w:t>
      </w:r>
      <w:r w:rsidRPr="00CC56E4">
        <w:t xml:space="preserve"> effective in reducing the cooling load of buildings. </w:t>
      </w:r>
      <w:r>
        <w:t xml:space="preserve">Reductions of up to 43% in cooling load </w:t>
      </w:r>
      <w:r w:rsidRPr="00CC56E4">
        <w:t>can be achieved using a combination of well-established technologies such as glazing, shading, insulation, and natural ventilation</w:t>
      </w:r>
      <w:r>
        <w:t xml:space="preserve"> </w:t>
      </w:r>
      <w:r>
        <w:fldChar w:fldCharType="begin" w:fldLock="1"/>
      </w:r>
      <w:r w:rsidR="009066E7">
        <w:instrText>ADDIN CSL_CITATION { "citationItems" : [ { "id" : "ITEM-1", "itemData" : { "DOI" : "10.1016/j.rser.2006.07.010", "ISSN" : "1364-0321", "abstract" : "With environmental protection posing as the number one global problem, man has no choice but to reduce his energy consumption. One way to accomplish this is to resort to passive and low-energy systems to maintain thermal comfort in buildings. The conventional and modern designs of wind towers can successfully be used in hot arid regions to maintain thermal comfort (with or without the use of ceiling fans) during all hours of the cooling season, or a fraction of it. Climatic design is one of the best approaches to reduce the energy cost in buildings. Proper design is the first step of defence against the stress of the climate. Buildings should be designed according to the climate of the site, reducing the need for mechanical heating or cooling. Hence maximum natural energy can be used for creating a pleasant environment inside the built envelope. Technology and industry progress in the last decade diffused electronic and informatics\u2019 devices in many human activities, and also in building construction. The utilisation and operating opportunities components, increase the reduction of heat losses by varying the thermal insulation, optimise the lighting distribution with louver screens and operate mechanical ventilation for coolness in indoor spaces. In addition to these parameters the intelligent envelope can act for security control and became an important part of the building domotic revolution. Application of simple passive cooling measure is effective in reducing the cooling load of buildings in hot and humid climates. Fourty-three percent reductions can be achieved using a combination of well-established technologies such as glazing, shading, insulation, and natural ventilation. More advanced passive cooling techniques such as roof pond, dynamic insulation, and evaporative water jacket need to be considered more closely. The building sector is a major consumer of both energy and materials worldwide, and that consumption is increasing. Most industrialised countries are in addition becoming more and more dependent on external supplies of conventional energy carriers, i.e., fossil fuels. Energy for heating and cooling can be replaced by new renewable energy sources. New renewable energy sources, however, are usually not economically feasible compared with the traditional carriers. In order to achieve the major changes needed to alleviate the environmental impacts of the building sector, it is necessary to change and develop both the processes in the indus\u2026", "author" : [ { "dropping-particle" : "", "family" : "Omer", "given" : "Abdeen Mustafa", "non-dropping-particle" : "", "parse-names" : false, "suffix" : "" } ], "container-title" : "Renewable and Sustainable Energy Reviews", "id" : "ITEM-1", "issued" : { "date-parts" : [ [ "2008" ] ] }, "note" : "ID: S1364032106001055; Accession Number: S1364032106001055; Author: Omer, Abdeen Mustafa (*); Affiliation: 17 Juniper Court, Forest Road West, Nottingham NG7 4EU, UK; Number of Pages: 26; Language: English;", "page" : "1562-1587", "publisher" : "Elsevier Ltd", "title" : "Renewable building energy systems and passive human comfort solutions", "type" : "article-journal", "volume" : "12" }, "uris" : [ "http://www.mendeley.com/documents/?uuid=74bafec7-d46d-44e5-ad23-d61e9cd7b464" ] } ], "mendeley" : { "formattedCitation" : "(Omer 2008)", "plainTextFormattedCitation" : "(Omer 2008)", "previouslyFormattedCitation" : "(Omer, 2008)" }, "properties" : { "noteIndex" : 0 }, "schema" : "https://github.com/citation-style-language/schema/raw/master/csl-citation.json" }</w:instrText>
      </w:r>
      <w:r>
        <w:fldChar w:fldCharType="separate"/>
      </w:r>
      <w:r w:rsidR="009066E7" w:rsidRPr="009066E7">
        <w:rPr>
          <w:noProof/>
        </w:rPr>
        <w:t>(Omer 2008)</w:t>
      </w:r>
      <w:r>
        <w:fldChar w:fldCharType="end"/>
      </w:r>
      <w:r w:rsidRPr="00CC56E4">
        <w:t xml:space="preserve">. </w:t>
      </w:r>
      <w:r w:rsidR="009461E8">
        <w:t>Properly</w:t>
      </w:r>
      <w:r w:rsidRPr="00CC56E4">
        <w:t xml:space="preserve"> designed </w:t>
      </w:r>
      <w:r w:rsidRPr="00CC56E4">
        <w:rPr>
          <w:lang w:val="en-US"/>
        </w:rPr>
        <w:t>ventilation in a house will provide enough fresh air to keep the occupants healthy, to remove odo</w:t>
      </w:r>
      <w:r>
        <w:rPr>
          <w:lang w:val="en-US"/>
        </w:rPr>
        <w:t>u</w:t>
      </w:r>
      <w:r w:rsidRPr="00CC56E4">
        <w:rPr>
          <w:lang w:val="en-US"/>
        </w:rPr>
        <w:t xml:space="preserve">rs and to dilute indoor pollutants. </w:t>
      </w:r>
      <w:r>
        <w:rPr>
          <w:lang w:val="en-US"/>
        </w:rPr>
        <w:t>However, v</w:t>
      </w:r>
      <w:r w:rsidRPr="00CC56E4">
        <w:rPr>
          <w:lang w:val="en-US"/>
        </w:rPr>
        <w:t>entilation during hot weather introduces more moisture in</w:t>
      </w:r>
      <w:r w:rsidR="009461E8">
        <w:rPr>
          <w:lang w:val="en-US"/>
        </w:rPr>
        <w:t xml:space="preserve"> </w:t>
      </w:r>
      <w:r w:rsidRPr="00CC56E4">
        <w:rPr>
          <w:lang w:val="en-US"/>
        </w:rPr>
        <w:t xml:space="preserve">to </w:t>
      </w:r>
      <w:r>
        <w:rPr>
          <w:lang w:val="en-US"/>
        </w:rPr>
        <w:t>a</w:t>
      </w:r>
      <w:r w:rsidRPr="00CC56E4">
        <w:rPr>
          <w:lang w:val="en-US"/>
        </w:rPr>
        <w:t xml:space="preserve"> house, </w:t>
      </w:r>
      <w:r>
        <w:rPr>
          <w:lang w:val="en-US"/>
        </w:rPr>
        <w:t xml:space="preserve">and </w:t>
      </w:r>
      <w:r w:rsidRPr="00CC56E4">
        <w:rPr>
          <w:lang w:val="en-US"/>
        </w:rPr>
        <w:t xml:space="preserve">that tends to raise rather than lower the indoor relative humidity. </w:t>
      </w:r>
      <w:r>
        <w:t>A</w:t>
      </w:r>
      <w:r w:rsidRPr="00CC56E4">
        <w:t xml:space="preserve">pproximately 30–50% </w:t>
      </w:r>
      <w:r>
        <w:t xml:space="preserve">of the energy used for cooling </w:t>
      </w:r>
      <w:r w:rsidRPr="00CC56E4">
        <w:t xml:space="preserve">is </w:t>
      </w:r>
      <w:r>
        <w:t xml:space="preserve">also </w:t>
      </w:r>
      <w:r w:rsidRPr="00CC56E4">
        <w:t xml:space="preserve">lost through ventilation and air infiltration </w:t>
      </w:r>
      <w:r>
        <w:fldChar w:fldCharType="begin" w:fldLock="1"/>
      </w:r>
      <w:r w:rsidR="009066E7">
        <w:instrText>ADDIN CSL_CITATION { "citationItems" : [ { "id" : "ITEM-1", "itemData" : { "DOI" : "10.1016/j.rser.2006.07.010", "ISSN" : "1364-0321", "abstract" : "With environmental protection posing as the number one global problem, man has no choice but to reduce his energy consumption. One way to accomplish this is to resort to passive and low-energy systems to maintain thermal comfort in buildings. The conventional and modern designs of wind towers can successfully be used in hot arid regions to maintain thermal comfort (with or without the use of ceiling fans) during all hours of the cooling season, or a fraction of it. Climatic design is one of the best approaches to reduce the energy cost in buildings. Proper design is the first step of defence against the stress of the climate. Buildings should be designed according to the climate of the site, reducing the need for mechanical heating or cooling. Hence maximum natural energy can be used for creating a pleasant environment inside the built envelope. Technology and industry progress in the last decade diffused electronic and informatics\u2019 devices in many human activities, and also in building construction. The utilisation and operating opportunities components, increase the reduction of heat losses by varying the thermal insulation, optimise the lighting distribution with louver screens and operate mechanical ventilation for coolness in indoor spaces. In addition to these parameters the intelligent envelope can act for security control and became an important part of the building domotic revolution. Application of simple passive cooling measure is effective in reducing the cooling load of buildings in hot and humid climates. Fourty-three percent reductions can be achieved using a combination of well-established technologies such as glazing, shading, insulation, and natural ventilation. More advanced passive cooling techniques such as roof pond, dynamic insulation, and evaporative water jacket need to be considered more closely. The building sector is a major consumer of both energy and materials worldwide, and that consumption is increasing. Most industrialised countries are in addition becoming more and more dependent on external supplies of conventional energy carriers, i.e., fossil fuels. Energy for heating and cooling can be replaced by new renewable energy sources. New renewable energy sources, however, are usually not economically feasible compared with the traditional carriers. In order to achieve the major changes needed to alleviate the environmental impacts of the building sector, it is necessary to change and develop both the processes in the indus\u2026", "author" : [ { "dropping-particle" : "", "family" : "Omer", "given" : "Abdeen Mustafa", "non-dropping-particle" : "", "parse-names" : false, "suffix" : "" } ], "container-title" : "Renewable and Sustainable Energy Reviews", "id" : "ITEM-1", "issued" : { "date-parts" : [ [ "2008" ] ] }, "note" : "ID: S1364032106001055; Accession Number: S1364032106001055; Author: Omer, Abdeen Mustafa (*); Affiliation: 17 Juniper Court, Forest Road West, Nottingham NG7 4EU, UK; Number of Pages: 26; Language: English;", "page" : "1562-1587", "publisher" : "Elsevier Ltd", "title" : "Renewable building energy systems and passive human comfort solutions", "type" : "article-journal", "volume" : "12" }, "uris" : [ "http://www.mendeley.com/documents/?uuid=74bafec7-d46d-44e5-ad23-d61e9cd7b464" ] } ], "mendeley" : { "formattedCitation" : "(Omer 2008)", "plainTextFormattedCitation" : "(Omer 2008)", "previouslyFormattedCitation" : "(Omer, 2008)" }, "properties" : { "noteIndex" : 0 }, "schema" : "https://github.com/citation-style-language/schema/raw/master/csl-citation.json" }</w:instrText>
      </w:r>
      <w:r>
        <w:fldChar w:fldCharType="separate"/>
      </w:r>
      <w:r w:rsidR="009066E7" w:rsidRPr="009066E7">
        <w:rPr>
          <w:noProof/>
        </w:rPr>
        <w:t>(Omer 2008)</w:t>
      </w:r>
      <w:r>
        <w:fldChar w:fldCharType="end"/>
      </w:r>
      <w:r w:rsidRPr="00CC56E4">
        <w:t>.</w:t>
      </w:r>
      <w:r>
        <w:t xml:space="preserve"> </w:t>
      </w:r>
      <w:r w:rsidRPr="00D036BE">
        <w:t xml:space="preserve">It is crucial to </w:t>
      </w:r>
      <w:r>
        <w:t>find</w:t>
      </w:r>
      <w:r w:rsidRPr="00D036BE">
        <w:t xml:space="preserve"> cooling strategies </w:t>
      </w:r>
      <w:r>
        <w:t xml:space="preserve">that, </w:t>
      </w:r>
      <w:r w:rsidRPr="00D036BE">
        <w:t>whe</w:t>
      </w:r>
      <w:r>
        <w:t>n</w:t>
      </w:r>
      <w:r w:rsidRPr="00D036BE">
        <w:t>ever possible</w:t>
      </w:r>
      <w:r>
        <w:t>, are energy efficient for</w:t>
      </w:r>
      <w:r w:rsidRPr="00D036BE">
        <w:t xml:space="preserve"> </w:t>
      </w:r>
      <w:r w:rsidR="009461E8">
        <w:t xml:space="preserve">houses experiencing </w:t>
      </w:r>
      <w:r>
        <w:t>hot and humid</w:t>
      </w:r>
      <w:r w:rsidRPr="00D036BE">
        <w:t xml:space="preserve"> </w:t>
      </w:r>
      <w:r w:rsidR="009461E8">
        <w:t>climatic condition</w:t>
      </w:r>
      <w:r w:rsidRPr="00D036BE">
        <w:t>s.</w:t>
      </w:r>
    </w:p>
    <w:p w14:paraId="0916AF5C" w14:textId="1C7C3DD6" w:rsidR="007A4F62" w:rsidRDefault="007A4F62" w:rsidP="007A4F62">
      <w:pPr>
        <w:pStyle w:val="Firstparagraphofsection"/>
        <w:ind w:firstLine="720"/>
      </w:pPr>
      <w:r>
        <w:t>One radical alternative solution is to apply o</w:t>
      </w:r>
      <w:r w:rsidRPr="002B2848">
        <w:t xml:space="preserve">ne of the world's most </w:t>
      </w:r>
      <w:r>
        <w:t>proactive</w:t>
      </w:r>
      <w:r w:rsidRPr="002B2848">
        <w:t xml:space="preserve"> energy reduction</w:t>
      </w:r>
      <w:r>
        <w:t xml:space="preserve"> approaches to tropical housing - that</w:t>
      </w:r>
      <w:r w:rsidRPr="002B2848">
        <w:t xml:space="preserve"> is</w:t>
      </w:r>
      <w:r>
        <w:t>,</w:t>
      </w:r>
      <w:r w:rsidRPr="002B2848">
        <w:t xml:space="preserve"> the </w:t>
      </w:r>
      <w:r>
        <w:t>Passivhaus</w:t>
      </w:r>
      <w:r w:rsidRPr="002B2848">
        <w:t xml:space="preserve"> standard </w:t>
      </w:r>
      <w:r>
        <w:t>from</w:t>
      </w:r>
      <w:r w:rsidRPr="002B2848">
        <w:t xml:space="preserve"> German. “</w:t>
      </w:r>
      <w:r w:rsidRPr="000211A8">
        <w:rPr>
          <w:i/>
        </w:rPr>
        <w:t>A Passive House is a building in which thermal comfort can be guaranteed solely by heating or cooling of the supply air which is required for sufficient indoor air quality without using additional recirculated air</w:t>
      </w:r>
      <w:r w:rsidRPr="002B2848">
        <w:t>”</w:t>
      </w:r>
      <w:r>
        <w:t xml:space="preserve"> </w:t>
      </w:r>
      <w:r>
        <w:fldChar w:fldCharType="begin" w:fldLock="1"/>
      </w:r>
      <w:r w:rsidR="009066E7">
        <w:instrText>ADDIN CSL_CITATION { "citationItems" : [ { "id" : "ITEM-1", "itemData" : { "DOI" : "10.1016/j.buildenv.2013.08.024", "ISSN" : "0360-1323", "abstract" : "In response to UK government policy mandating the construction of \u2018zero carbon\u2019 homes by 2016 there have been significant changes in the way dwellings are being designed and built. Recent years have seen a rapid uptake in the adoption of the German Passivhaus standard as a template for ultra-low energy and zero carbon buildings in the UK. Despite genuine motivations to mitigate climate change and fuel poverty there is a lack of research investigating the long-term performance of Passivhaus buildings in a rapidly changing UK climate. This paper sets out to investigate whether Passivhaus dwellings will be able to provide high standards of thermal comfort in the future or whether they are inherently vulnerable to overheating risks. Scenario modelling using probabilistic data derived from the UKCP09 weather generator (WG) in conjunction with dynamic simulation and global sensitivity analysis techniques are used to assess the future performance of a range of typical Passivhaus dwellings relative to an identical Fabric Energy Efficiency Standard (FEES) compliant dwelling over its notional future lifespan. The emphasis of this study is to understand what impact climate change will pose to overheating risks for Passivhaus dwellings relative to the de facto (i.e. FEES) alternative, and which design factors play a dominant role in contributing to this risk. The results show that optimization of a small number of design inputs, including glazing ratios and external shading devices, can play a significant role in mitigating future overheating risks.; \u2022Passivhaus dwellings optimized for heating demand may be at risk of overheating.\u2022Future performance of Passivhaus dwellings are compared to a FEES dwelling.\u2022Limitations of existing overheating parameters are discussed.\u2022Enhanced Morris sensitivity analysis is used to rank influential design factors.\u2022The method used is efficient and could improve whole life design optimization.", "author" : [ { "dropping-particle" : "", "family" : "McLeod", "given" : "Robert S", "non-dropping-particle" : "", "parse-names" : false, "suffix" : "" }, { "dropping-particle" : "", "family" : "Hopfe", "given" : "Christina J", "non-dropping-particle" : "", "parse-names" : false, "suffix" : "" }, { "dropping-particle" : "", "family" : "Kwan", "given" : "Alan", "non-dropping-particle" : "", "parse-names" : false, "suffix" : "" } ], "container-title" : "Building and Environment", "id" : "ITEM-1", "issued" : { "date-parts" : [ [ "2013" ] ] }, "note" : "ID: S0360132313002503; Accession Number: S0360132313002503; Author: McLeod, Robert S. (\u2217); Author: Hopfe, Christina J.; Author: Kwan, Alan; Affiliation: BRE Institute of Sustainable Engineering, Cardiff University, CF24 3AA Wales, UK; Number of Pages: 21; Language: English;", "page" : "189-209", "publisher" : "Elsevier Ltd", "title" : "An investigation into future performance and overheating risks in Passivhaus dwellings", "type" : "article-journal", "volume" : "70" }, "uris" : [ "http://www.mendeley.com/documents/?uuid=cb526cb4-cd39-48d0-8116-3e4638b77f93" ] } ], "mendeley" : { "formattedCitation" : "(McLeod, Hopfe, and Kwan 2013)", "plainTextFormattedCitation" : "(McLeod, Hopfe, and Kwan 2013)", "previouslyFormattedCitation" : "(McLeod et al., 2013)" }, "properties" : { "noteIndex" : 0 }, "schema" : "https://github.com/citation-style-language/schema/raw/master/csl-citation.json" }</w:instrText>
      </w:r>
      <w:r>
        <w:fldChar w:fldCharType="separate"/>
      </w:r>
      <w:r w:rsidR="009066E7" w:rsidRPr="009066E7">
        <w:rPr>
          <w:noProof/>
        </w:rPr>
        <w:t>(McLeod, Hopfe, and Kwan 2013)</w:t>
      </w:r>
      <w:r>
        <w:fldChar w:fldCharType="end"/>
      </w:r>
      <w:r w:rsidRPr="002B2848">
        <w:t xml:space="preserve">. </w:t>
      </w:r>
      <w:r>
        <w:t>The Passivhaus</w:t>
      </w:r>
      <w:r w:rsidRPr="002B2848">
        <w:t xml:space="preserve"> standard </w:t>
      </w:r>
      <w:r>
        <w:t xml:space="preserve">ensures </w:t>
      </w:r>
      <w:r w:rsidRPr="002B2848">
        <w:t xml:space="preserve">indoor air quality, durability, and thermal comfort in the building. To achieve certification as a </w:t>
      </w:r>
      <w:r>
        <w:t>Passivhaus</w:t>
      </w:r>
      <w:r w:rsidRPr="002B2848">
        <w:t xml:space="preserve"> a project must demonstrate compliance</w:t>
      </w:r>
      <w:r w:rsidR="009461E8">
        <w:t>,</w:t>
      </w:r>
      <w:r w:rsidRPr="002B2848">
        <w:t xml:space="preserve"> with the annual heat</w:t>
      </w:r>
      <w:r>
        <w:t>ing</w:t>
      </w:r>
      <w:r w:rsidRPr="002B2848">
        <w:t xml:space="preserve">/cooling demand requirement </w:t>
      </w:r>
      <w:r>
        <w:t>being less than or equal to</w:t>
      </w:r>
      <w:r w:rsidRPr="002B2848">
        <w:t xml:space="preserve"> 15 kWh/m</w:t>
      </w:r>
      <w:r w:rsidRPr="00265A1F">
        <w:rPr>
          <w:vertAlign w:val="superscript"/>
        </w:rPr>
        <w:t>2</w:t>
      </w:r>
      <w:r w:rsidRPr="002B2848">
        <w:t xml:space="preserve">/year and </w:t>
      </w:r>
      <w:r>
        <w:lastRenderedPageBreak/>
        <w:t>p</w:t>
      </w:r>
      <w:r w:rsidRPr="002B2848">
        <w:t xml:space="preserve">rimary </w:t>
      </w:r>
      <w:r>
        <w:t>e</w:t>
      </w:r>
      <w:r w:rsidRPr="002B2848">
        <w:t>nergy</w:t>
      </w:r>
      <w:r>
        <w:t xml:space="preserve"> use not exceeding</w:t>
      </w:r>
      <w:r w:rsidRPr="002B2848">
        <w:t xml:space="preserve"> 120 kWh/m</w:t>
      </w:r>
      <w:r w:rsidRPr="00553176">
        <w:rPr>
          <w:vertAlign w:val="superscript"/>
        </w:rPr>
        <w:t>2</w:t>
      </w:r>
      <w:r w:rsidRPr="002B2848">
        <w:t xml:space="preserve">/year </w:t>
      </w:r>
      <w:r>
        <w:fldChar w:fldCharType="begin" w:fldLock="1"/>
      </w:r>
      <w:r w:rsidR="009066E7">
        <w:instrText>ADDIN CSL_CITATION { "citationItems" : [ { "id" : "ITEM-1", "itemData" : { "ISSN" : "00012505", "abstract" : "To help mitigate climate change, the incremental approach to making homes and buildings \"less bad' or 30% better than code is not going to work. We need aggressive, actionable solutions now. The Passive House standard (Passivhaus in German) is one of the world's most aggressive, proven, voluntary approaches to radical energy reduction, assured indoor air quality, durability, and thermal comfort in the world today. The Passive House standard has roots in Sweden, Germany, Canada and the US. While much of the approach to good, low-energy and passive design is well known, it is still seldom practiced. This paper will introduce and explore the Passive House standard design approach and requirements as well as demonstrate its application to new and retrofit projects in the North American context. Drawing from expertise on the early Passive House projects in the US and Germany, as well as on the ground experience of more recent successful and unsuccessful Passive House projects in North America, a journey toward the best practices in design application, cost and certification will be discussed. A brief review of the various products and systems incorporated in North American projects to meet the aggressive requirements of the passive house standard will also be introduced. ABSTRACT FROM AUTHOR]; Copyright of ASHRAE Transactions is the property of ASHRAE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 "author" : [ { "dropping-particle" : "", "family" : "Brew", "given" : "James Scott", "non-dropping-particle" : "", "parse-names" : false, "suffix" : "" } ], "container-title" : "ASHRAE Transactions", "id" : "ITEM-1", "issue" : "2", "issued" : { "date-parts" : [ [ "2011" ] ] }, "page" : "51-58", "publisher" : "ASHRAE", "title" : "Achieving Passivhaus Standard in North America: Lessons Learned", "type" : "article-journal", "volume" : "117" }, "uris" : [ "http://www.mendeley.com/documents/?uuid=73a635a9-6530-424d-83eb-590d234e85f2" ] } ], "mendeley" : { "formattedCitation" : "(Brew 2011)", "plainTextFormattedCitation" : "(Brew 2011)", "previouslyFormattedCitation" : "(Brew, 2011)" }, "properties" : { "noteIndex" : 0 }, "schema" : "https://github.com/citation-style-language/schema/raw/master/csl-citation.json" }</w:instrText>
      </w:r>
      <w:r>
        <w:fldChar w:fldCharType="separate"/>
      </w:r>
      <w:r w:rsidR="009066E7" w:rsidRPr="009066E7">
        <w:rPr>
          <w:noProof/>
        </w:rPr>
        <w:t>(Brew 2011)</w:t>
      </w:r>
      <w:r>
        <w:fldChar w:fldCharType="end"/>
      </w:r>
      <w:r w:rsidRPr="002B2848">
        <w:t xml:space="preserve">. </w:t>
      </w:r>
      <w:r>
        <w:t xml:space="preserve"> </w:t>
      </w:r>
      <w:r w:rsidRPr="002B2848">
        <w:t xml:space="preserve">With extreme air tightness and high </w:t>
      </w:r>
      <w:r>
        <w:t>thermal resistance</w:t>
      </w:r>
      <w:r w:rsidR="00262A4E">
        <w:t xml:space="preserve"> </w:t>
      </w:r>
      <w:r w:rsidRPr="002B2848">
        <w:t>R-value</w:t>
      </w:r>
      <w:r>
        <w:t>s</w:t>
      </w:r>
      <w:r w:rsidRPr="002B2848">
        <w:t xml:space="preserve"> in </w:t>
      </w:r>
      <w:r>
        <w:t>Passivhaus</w:t>
      </w:r>
      <w:r w:rsidRPr="002B2848">
        <w:t xml:space="preserve"> construction, </w:t>
      </w:r>
      <w:r>
        <w:t xml:space="preserve">the application of the Passivhaus standard must </w:t>
      </w:r>
      <w:r w:rsidRPr="002B2848">
        <w:t xml:space="preserve">properly consider moisture balances and the attendant latent loads on the building </w:t>
      </w:r>
      <w:r>
        <w:t>in a hot humid climate. A failure to do so</w:t>
      </w:r>
      <w:r w:rsidRPr="002B2848">
        <w:t xml:space="preserve"> can lead to discomfort or moisture-related problems</w:t>
      </w:r>
      <w:r>
        <w:t>,</w:t>
      </w:r>
      <w:r w:rsidRPr="002B2848">
        <w:t xml:space="preserve"> such as mo</w:t>
      </w:r>
      <w:r>
        <w:t>u</w:t>
      </w:r>
      <w:r w:rsidRPr="002B2848">
        <w:t xml:space="preserve">ld </w:t>
      </w:r>
      <w:r>
        <w:fldChar w:fldCharType="begin" w:fldLock="1"/>
      </w:r>
      <w:r w:rsidR="009066E7">
        <w:instrText>ADDIN CSL_CITATION { "citationItems" : [ { "id" : "ITEM-1", "itemData" : { "author" : [ { "dropping-particle" : "", "family" : "Walker", "given" : "Iain S", "non-dropping-particle" : "", "parse-names" : false, "suffix" : "" }, { "dropping-particle" : "", "family" : "Sherman", "given" : "Max H", "non-dropping-particle" : "", "parse-names" : false, "suffix" : "" } ], "container-title" : "Berkeley, CA: Lawrence Berkeley National Laboratory, LBNL-62182", "id" : "ITEM-1", "issued" : { "date-parts" : [ [ "2007" ] ] }, "title" : "Humidity Implications for meeting residential ventilation requirements", "type" : "article-journal" }, "uris" : [ "http://www.mendeley.com/documents/?uuid=3ebb670c-0dfc-4822-afd2-2c0171fad386" ] } ], "mendeley" : { "formattedCitation" : "(Walker and Sherman 2007)", "plainTextFormattedCitation" : "(Walker and Sherman 2007)", "previouslyFormattedCitation" : "(Walker and Sherman, 2007)" }, "properties" : { "noteIndex" : 0 }, "schema" : "https://github.com/citation-style-language/schema/raw/master/csl-citation.json" }</w:instrText>
      </w:r>
      <w:r>
        <w:fldChar w:fldCharType="separate"/>
      </w:r>
      <w:r w:rsidR="009066E7" w:rsidRPr="009066E7">
        <w:rPr>
          <w:noProof/>
        </w:rPr>
        <w:t>(Walker and Sherman 2007)</w:t>
      </w:r>
      <w:r>
        <w:fldChar w:fldCharType="end"/>
      </w:r>
      <w:r w:rsidRPr="002B2848">
        <w:t>.</w:t>
      </w:r>
    </w:p>
    <w:p w14:paraId="6DEDAAD1" w14:textId="77777777" w:rsidR="00564FAB" w:rsidRDefault="007A4F62" w:rsidP="00564FAB">
      <w:pPr>
        <w:pStyle w:val="Mainbodytext"/>
      </w:pPr>
      <w:r w:rsidRPr="00752C0A">
        <w:t>Different types of heat exchangers have been widely used in air conditioning systems for coolness recovery. The</w:t>
      </w:r>
      <w:r w:rsidRPr="00752C0A">
        <w:rPr>
          <w:lang w:val="en-US"/>
        </w:rPr>
        <w:t xml:space="preserve"> cooling strategy used by </w:t>
      </w:r>
      <w:r>
        <w:rPr>
          <w:lang w:val="en-US"/>
        </w:rPr>
        <w:t xml:space="preserve">the </w:t>
      </w:r>
      <w:r w:rsidRPr="00752C0A">
        <w:rPr>
          <w:lang w:val="en-US"/>
        </w:rPr>
        <w:t xml:space="preserve">Austrian Embassy that </w:t>
      </w:r>
      <w:r>
        <w:rPr>
          <w:lang w:val="en-US"/>
        </w:rPr>
        <w:t xml:space="preserve">was </w:t>
      </w:r>
      <w:r w:rsidRPr="00752C0A">
        <w:rPr>
          <w:lang w:val="en-US"/>
        </w:rPr>
        <w:t xml:space="preserve">built as </w:t>
      </w:r>
      <w:r>
        <w:rPr>
          <w:lang w:val="en-US"/>
        </w:rPr>
        <w:t>a Passivhaus</w:t>
      </w:r>
      <w:r w:rsidRPr="00752C0A">
        <w:rPr>
          <w:lang w:val="en-US"/>
        </w:rPr>
        <w:t xml:space="preserve"> office in Jakarta </w:t>
      </w:r>
      <w:r>
        <w:rPr>
          <w:lang w:val="en-US"/>
        </w:rPr>
        <w:t>wa</w:t>
      </w:r>
      <w:r w:rsidRPr="00752C0A">
        <w:rPr>
          <w:lang w:val="en-US"/>
        </w:rPr>
        <w:t xml:space="preserve">s </w:t>
      </w:r>
      <w:r>
        <w:rPr>
          <w:lang w:val="en-US"/>
        </w:rPr>
        <w:t xml:space="preserve">the </w:t>
      </w:r>
      <w:r w:rsidRPr="00752C0A">
        <w:rPr>
          <w:lang w:val="en-US"/>
        </w:rPr>
        <w:t xml:space="preserve">Concrete Core Temperature Control </w:t>
      </w:r>
      <w:r>
        <w:rPr>
          <w:lang w:val="en-US"/>
        </w:rPr>
        <w:t xml:space="preserve">or </w:t>
      </w:r>
      <w:r w:rsidRPr="00752C0A">
        <w:rPr>
          <w:lang w:val="en-US"/>
        </w:rPr>
        <w:t xml:space="preserve">CCTC </w:t>
      </w:r>
      <w:r>
        <w:rPr>
          <w:lang w:val="en-US"/>
        </w:rPr>
        <w:fldChar w:fldCharType="begin" w:fldLock="1"/>
      </w:r>
      <w:r w:rsidR="009066E7">
        <w:rPr>
          <w:lang w:val="en-US"/>
        </w:rPr>
        <w:instrText>ADDIN CSL_CITATION { "citationItems" : [ { "id" : "ITEM-1", "itemData" : { "URL" : "http://www.ecreee.org/event/regional-workshop-and-training-energy-efficiency-buildings-praia-cabo-verde", "author" : [ { "dropping-particle" : "", "family" : "Oettl", "given" : "Fritz", "non-dropping-particle" : "", "parse-names" : false, "suffix" : "" } ], "id" : "ITEM-1", "issue" : "3/29/2016", "issued" : { "date-parts" : [ [ "2014" ] ] }, "note" : "id: 1", "title" : "Regional Workshop and Training on Energy Efficiency in Buildings - Praia, Cabo Verde | ECREEE", "type" : "webpage", "volume" : "2016" }, "uris" : [ "http://www.mendeley.com/documents/?uuid=2284fe71-6966-48af-8fb2-4d7b1bba4289" ] } ], "mendeley" : { "formattedCitation" : "(Oettl 2014)", "plainTextFormattedCitation" : "(Oettl 2014)", "previouslyFormattedCitation" : "(Oettl, 2014)" }, "properties" : { "noteIndex" : 0 }, "schema" : "https://github.com/citation-style-language/schema/raw/master/csl-citation.json" }</w:instrText>
      </w:r>
      <w:r>
        <w:rPr>
          <w:lang w:val="en-US"/>
        </w:rPr>
        <w:fldChar w:fldCharType="separate"/>
      </w:r>
      <w:r w:rsidR="009066E7" w:rsidRPr="009066E7">
        <w:rPr>
          <w:noProof/>
          <w:lang w:val="en-US"/>
        </w:rPr>
        <w:t>(Oettl 2014)</w:t>
      </w:r>
      <w:r>
        <w:rPr>
          <w:lang w:val="en-US"/>
        </w:rPr>
        <w:fldChar w:fldCharType="end"/>
      </w:r>
      <w:r w:rsidRPr="00752C0A">
        <w:rPr>
          <w:lang w:val="en-US"/>
        </w:rPr>
        <w:t xml:space="preserve">. </w:t>
      </w:r>
      <w:r w:rsidR="00502CE5">
        <w:rPr>
          <w:lang w:val="en-US"/>
        </w:rPr>
        <w:t>A</w:t>
      </w:r>
      <w:r w:rsidRPr="00752C0A">
        <w:rPr>
          <w:lang w:val="en-US"/>
        </w:rPr>
        <w:t xml:space="preserve"> chiller covered the base load for the cooling supply, and provide</w:t>
      </w:r>
      <w:r>
        <w:rPr>
          <w:lang w:val="en-US"/>
        </w:rPr>
        <w:t>s</w:t>
      </w:r>
      <w:r w:rsidRPr="00752C0A">
        <w:rPr>
          <w:lang w:val="en-US"/>
        </w:rPr>
        <w:t xml:space="preserve"> gentle radiant cooling instead of </w:t>
      </w:r>
      <w:r>
        <w:rPr>
          <w:lang w:val="en-US"/>
        </w:rPr>
        <w:t xml:space="preserve">a </w:t>
      </w:r>
      <w:r w:rsidRPr="00752C0A">
        <w:rPr>
          <w:lang w:val="en-US"/>
        </w:rPr>
        <w:t xml:space="preserve">cold breeze </w:t>
      </w:r>
      <w:r>
        <w:rPr>
          <w:lang w:val="en-US"/>
        </w:rPr>
        <w:t>from</w:t>
      </w:r>
      <w:r w:rsidRPr="00752C0A">
        <w:rPr>
          <w:lang w:val="en-US"/>
        </w:rPr>
        <w:t xml:space="preserve"> split units. </w:t>
      </w:r>
      <w:r w:rsidRPr="00752C0A">
        <w:t xml:space="preserve">In Louisiana, </w:t>
      </w:r>
      <w:r>
        <w:t>s</w:t>
      </w:r>
      <w:r w:rsidRPr="00752C0A">
        <w:t>outh</w:t>
      </w:r>
      <w:r>
        <w:t>ern</w:t>
      </w:r>
      <w:r w:rsidRPr="00752C0A">
        <w:t xml:space="preserve"> USA, where cooling and dehumidifying are as much of a challenge as heating, Energy Recovery Ventilators (ERV) are being used. Unlike straight heat exchangers, ERV also transfer</w:t>
      </w:r>
      <w:r>
        <w:t>s</w:t>
      </w:r>
      <w:r w:rsidRPr="00752C0A">
        <w:t xml:space="preserve"> water vapour, which prevents the air from drying out in winter months, and removes outdoor humidity during summer months </w:t>
      </w:r>
      <w:r w:rsidRPr="00752C0A">
        <w:fldChar w:fldCharType="begin" w:fldLock="1"/>
      </w:r>
      <w:r w:rsidR="009066E7">
        <w:instrText>ADDIN CSL_CITATION { "citationItems" : [ { "id" : "ITEM-1", "itemData" : { "author" : [ { "dropping-particle" : "", "family" : "MacDonald", "given" : "Christine", "non-dropping-particle" : "", "parse-names" : false, "suffix" : "" } ], "container-title" : "2010", "id" : "ITEM-1", "issue" : "December", "issued" : { "date-parts" : [ [ "2010" ] ] }, "page" : "22-27", "title" : "Just add body heat: The new Passive Houses are so energy efficient, they make heating and cooling practically irrelevant", "type" : "article-magazine" }, "uris" : [ "http://www.mendeley.com/documents/?uuid=0665ac72-9d15-472a-b805-fc428ea71096" ] } ], "mendeley" : { "formattedCitation" : "(MacDonald 2010)", "manualFormatting" : "(MacDonald, 2010)", "plainTextFormattedCitation" : "(MacDonald 2010)", "previouslyFormattedCitation" : "(MacDonald, 2010)" }, "properties" : { "noteIndex" : 0 }, "schema" : "https://github.com/citation-style-language/schema/raw/master/csl-citation.json" }</w:instrText>
      </w:r>
      <w:r w:rsidRPr="00752C0A">
        <w:fldChar w:fldCharType="separate"/>
      </w:r>
      <w:r w:rsidRPr="00752C0A">
        <w:rPr>
          <w:noProof/>
        </w:rPr>
        <w:t>(MacDonald</w:t>
      </w:r>
      <w:r>
        <w:rPr>
          <w:noProof/>
        </w:rPr>
        <w:t>,</w:t>
      </w:r>
      <w:r w:rsidRPr="00752C0A">
        <w:rPr>
          <w:noProof/>
        </w:rPr>
        <w:t xml:space="preserve"> 2010)</w:t>
      </w:r>
      <w:r w:rsidRPr="00752C0A">
        <w:fldChar w:fldCharType="end"/>
      </w:r>
      <w:r w:rsidRPr="00752C0A">
        <w:t xml:space="preserve">. </w:t>
      </w:r>
      <w:r w:rsidRPr="00752C0A">
        <w:rPr>
          <w:lang w:val="en-US"/>
        </w:rPr>
        <w:t>However</w:t>
      </w:r>
      <w:r>
        <w:rPr>
          <w:lang w:val="en-US"/>
        </w:rPr>
        <w:t>,</w:t>
      </w:r>
      <w:r w:rsidRPr="00752C0A">
        <w:rPr>
          <w:lang w:val="en-US"/>
        </w:rPr>
        <w:t xml:space="preserve"> in </w:t>
      </w:r>
      <w:r>
        <w:rPr>
          <w:lang w:val="en-US"/>
        </w:rPr>
        <w:t xml:space="preserve">a </w:t>
      </w:r>
      <w:r w:rsidRPr="00752C0A">
        <w:rPr>
          <w:lang w:val="en-US"/>
        </w:rPr>
        <w:t xml:space="preserve">hot and humid climate, </w:t>
      </w:r>
      <w:r w:rsidRPr="00752C0A">
        <w:t xml:space="preserve">the incoming outdoor air </w:t>
      </w:r>
      <w:r>
        <w:t>can</w:t>
      </w:r>
      <w:r w:rsidRPr="00752C0A">
        <w:t xml:space="preserve"> only possibl</w:t>
      </w:r>
      <w:r>
        <w:t>y</w:t>
      </w:r>
      <w:r w:rsidRPr="00752C0A">
        <w:t xml:space="preserve"> </w:t>
      </w:r>
      <w:r>
        <w:t xml:space="preserve">be </w:t>
      </w:r>
      <w:r w:rsidRPr="00752C0A">
        <w:t xml:space="preserve">cooled by the outgoing exhaust air in an air-conditioned house </w:t>
      </w:r>
      <w:r>
        <w:fldChar w:fldCharType="begin" w:fldLock="1"/>
      </w:r>
      <w:r w:rsidR="009066E7">
        <w:instrText>ADDIN CSL_CITATION { "citationItems" : [ { "id" : "ITEM-1", "itemData" : { "URL" : "http://www.greenbuildingadvisor.com/blogs/dept/musings/hrv-or-erv", "author" : [ { "dropping-particle" : "", "family" : "Holladay", "given" : "Martin", "non-dropping-particle" : "", "parse-names" : false, "suffix" : "" } ], "id" : "ITEM-1", "issue" : "3/29/2016", "issued" : { "date-parts" : [ [ "2010" ] ] }, "note" : "id: 1", "title" : "HRV or ERV? | GreenBuildingAdvisor.com ", "type" : "webpage", "volume" : "2016" }, "uris" : [ "http://www.mendeley.com/documents/?uuid=ef2ac3b9-d404-4fa6-b453-46efaa5bbc9e" ] } ], "mendeley" : { "formattedCitation" : "(Holladay 2010)", "plainTextFormattedCitation" : "(Holladay 2010)", "previouslyFormattedCitation" : "(Holladay, 2010)" }, "properties" : { "noteIndex" : 0 }, "schema" : "https://github.com/citation-style-language/schema/raw/master/csl-citation.json" }</w:instrText>
      </w:r>
      <w:r>
        <w:fldChar w:fldCharType="separate"/>
      </w:r>
      <w:r w:rsidR="009066E7" w:rsidRPr="009066E7">
        <w:rPr>
          <w:noProof/>
        </w:rPr>
        <w:t>(Holladay 2010)</w:t>
      </w:r>
      <w:r>
        <w:fldChar w:fldCharType="end"/>
      </w:r>
      <w:r w:rsidRPr="00752C0A">
        <w:t>. While not a dehumidifier, ERV systems transfer moisture from incoming humid air to the stale indoor air that is being vented to the outside, and retain the internal humid air that produced by equipment and building user.</w:t>
      </w:r>
      <w:r w:rsidR="00564FAB">
        <w:t xml:space="preserve"> </w:t>
      </w:r>
    </w:p>
    <w:p w14:paraId="563303AF" w14:textId="76EAC76E" w:rsidR="00564FAB" w:rsidRPr="00564FAB" w:rsidRDefault="007A4F62" w:rsidP="00564FAB">
      <w:pPr>
        <w:pStyle w:val="Mainbodytext"/>
      </w:pPr>
      <w:r w:rsidRPr="00564FAB">
        <w:t>The objective of this study was to determine energy-saving modifications through the application of Passivhaus principles to Jakarta urban houses. The target houses chosen for analysis were row (terrace) houses, which form the majority of the existing urban housing stock</w:t>
      </w:r>
      <w:r w:rsidR="0067343B">
        <w:t xml:space="preserve"> </w:t>
      </w:r>
      <w:r w:rsidRPr="00564FAB">
        <w:fldChar w:fldCharType="begin" w:fldLock="1"/>
      </w:r>
      <w:r w:rsidR="009066E7" w:rsidRPr="00564FAB">
        <w:instrText>ADDIN CSL_CITATION { "citationItems" : [ { "id" : "ITEM-1", "itemData" : { "URL" : "http://sp2010.bps.go.id/index.php/site/tabel?tid=333&amp;wid=0", "accessed" : { "date-parts" : [ [ "2016", "10", "1" ] ] }, "author" : [ { "dropping-particle" : "", "family" : "Badan Pusat Statistic", "given" : "", "non-dropping-particle" : "", "parse-names" : false, "suffix" : "" } ], "id" : "ITEM-1", "issued" : { "date-parts" : [ [ "2016" ] ] }, "title" : "2010 Population Census - Household by Region and Floor Area of Dwelling Unit | Indonesia", "type" : "webpage" }, "uris" : [ "http://www.mendeley.com/documents/?uuid=3dc64f55-7563-3681-a2f2-cd92156f2047" ] } ], "mendeley" : { "formattedCitation" : "(Badan Pusat Statistic 2016)", "plainTextFormattedCitation" : "(Badan Pusat Statistic 2016)", "previouslyFormattedCitation" : "(Badan Pusat Statistic, 2016)" }, "properties" : { "noteIndex" : 0 }, "schema" : "https://github.com/citation-style-language/schema/raw/master/csl-citation.json" }</w:instrText>
      </w:r>
      <w:r w:rsidRPr="00564FAB">
        <w:fldChar w:fldCharType="separate"/>
      </w:r>
      <w:r w:rsidR="009066E7" w:rsidRPr="00564FAB">
        <w:rPr>
          <w:noProof/>
        </w:rPr>
        <w:t>(Badan Pusat Statistic 2016)</w:t>
      </w:r>
      <w:r w:rsidRPr="00564FAB">
        <w:fldChar w:fldCharType="end"/>
      </w:r>
      <w:r w:rsidRPr="00564FAB">
        <w:t>. This study analysed the effects of air conditioning (AC) and dehumidifiers on thermal comfort and cooling load through numerical simulation using the DesignBuilder program.</w:t>
      </w:r>
    </w:p>
    <w:p w14:paraId="281023F5" w14:textId="5BA3DC50" w:rsidR="00564FAB" w:rsidRPr="0067343B" w:rsidRDefault="00564FAB" w:rsidP="00564FAB">
      <w:pPr>
        <w:pStyle w:val="Heading1"/>
      </w:pPr>
      <w:r w:rsidRPr="0067343B">
        <w:rPr>
          <w:lang w:val="en-US"/>
        </w:rPr>
        <w:t>Housing in Jakarta Metropolitan Region</w:t>
      </w:r>
      <w:r w:rsidRPr="0067343B">
        <w:t xml:space="preserve"> </w:t>
      </w:r>
    </w:p>
    <w:p w14:paraId="58C84A3A" w14:textId="41D2B596" w:rsidR="00564FAB" w:rsidRDefault="00564FAB" w:rsidP="00564FAB">
      <w:pPr>
        <w:pStyle w:val="Mainbodytext"/>
        <w:rPr>
          <w:lang w:val="en-US"/>
        </w:rPr>
      </w:pPr>
      <w:r w:rsidRPr="002A6597">
        <w:rPr>
          <w:lang w:val="en-US"/>
        </w:rPr>
        <w:t>To support the exponential growth of urbanization, the surrounding areas</w:t>
      </w:r>
      <w:r>
        <w:rPr>
          <w:lang w:val="en-US"/>
        </w:rPr>
        <w:t xml:space="preserve"> of Jakarta</w:t>
      </w:r>
      <w:r w:rsidRPr="002A6597">
        <w:rPr>
          <w:lang w:val="en-US"/>
        </w:rPr>
        <w:t xml:space="preserve"> have become the extension </w:t>
      </w:r>
      <w:r>
        <w:rPr>
          <w:lang w:val="en-US"/>
        </w:rPr>
        <w:t xml:space="preserve">of </w:t>
      </w:r>
      <w:r w:rsidRPr="002A6597">
        <w:rPr>
          <w:lang w:val="en-US"/>
        </w:rPr>
        <w:t xml:space="preserve">satellite cities for Jakarta. </w:t>
      </w:r>
      <w:r>
        <w:rPr>
          <w:lang w:val="en-US"/>
        </w:rPr>
        <w:t xml:space="preserve">The </w:t>
      </w:r>
      <w:r w:rsidRPr="002A6597">
        <w:rPr>
          <w:lang w:val="en-US"/>
        </w:rPr>
        <w:t>Jaka</w:t>
      </w:r>
      <w:r>
        <w:rPr>
          <w:lang w:val="en-US"/>
        </w:rPr>
        <w:t>rta Metropolitan Region covers</w:t>
      </w:r>
      <w:r w:rsidRPr="002A6597">
        <w:rPr>
          <w:lang w:val="en-US"/>
        </w:rPr>
        <w:t xml:space="preserve"> an area of approximately 7500</w:t>
      </w:r>
      <w:r>
        <w:rPr>
          <w:lang w:val="en-US"/>
        </w:rPr>
        <w:t xml:space="preserve"> </w:t>
      </w:r>
      <w:r w:rsidRPr="002A6597">
        <w:rPr>
          <w:lang w:val="en-US"/>
        </w:rPr>
        <w:t>km</w:t>
      </w:r>
      <w:r w:rsidRPr="0097701F">
        <w:rPr>
          <w:vertAlign w:val="superscript"/>
          <w:lang w:val="en-US"/>
        </w:rPr>
        <w:t>2</w:t>
      </w:r>
      <w:r w:rsidRPr="002A6597">
        <w:rPr>
          <w:lang w:val="en-US"/>
        </w:rPr>
        <w:t>, including Jakarta City and its surrounding areas</w:t>
      </w:r>
      <w:r>
        <w:rPr>
          <w:lang w:val="en-US"/>
        </w:rPr>
        <w:t xml:space="preserve"> of</w:t>
      </w:r>
      <w:r w:rsidRPr="002A6597">
        <w:rPr>
          <w:lang w:val="en-US"/>
        </w:rPr>
        <w:t xml:space="preserve"> Bogor, Depok, Tangerang and Bekasi </w:t>
      </w:r>
      <w:r>
        <w:rPr>
          <w:lang w:val="en-US"/>
        </w:rPr>
        <w:fldChar w:fldCharType="begin" w:fldLock="1"/>
      </w:r>
      <w:r>
        <w:rPr>
          <w:lang w:val="en-US"/>
        </w:rPr>
        <w:instrText>ADDIN CSL_CITATION { "citationItems" : [ { "id" : "ITEM-1", "itemData" : { "DOI" : "10.1016/S0197-3975(03)00037-7", "ISBN" : "0197-3975", "ISSN" : "01973975", "abstract" : "The extent to which land and new town development has reinforced spatial segregation in Jakarta Metropolitan Region (JMR) is discussed. The demand for new towns has been essentially generated by the need for security and fulfilling an exclusive life style, which because it is innovative, has been able to sell an image of the 'new town' as a symbol of 'modernism.' New town development has reinforced spatial segregation in three ways: First, it has polarized the middle and upper income groups, resulting in scattered pockets of exclusive residential areas. Second, within the new towns themselves, the upper middle and high class occupied exclusively designed areas with the highest security possible. Third, in several new towns, urban development management is carried out by the developers instead of by the city hall. The spatial segregation in JMR can be classified as 'self segregation' or 'voluntary segregation.' It will continue and is inevitable, a result of socio-economic and political conditions within the urban society as a whole. ?? 2003 Elsevier Ltd. All rights reserved.", "author" : [ { "dropping-particle" : "", "family" : "Firman", "given" : "Tommy", "non-dropping-particle" : "", "parse-names" : false, "suffix" : "" } ], "container-title" : "Habitat International", "id" : "ITEM-1", "issue" : "3", "issued" : { "date-parts" : [ [ "2004" ] ] }, "page" : "349-368", "title" : "New town development in Jakarta Metropolitan Region: A perspective of spatial segregation", "type" : "article-journal", "volume" : "28" }, "uris" : [ "http://www.mendeley.com/documents/?uuid=d727f323-6f6d-4a0b-8418-9fdf3def5288" ] } ], "mendeley" : { "formattedCitation" : "(Firman 2004)", "plainTextFormattedCitation" : "(Firman 2004)", "previouslyFormattedCitation" : "(Firman, 2004)" }, "properties" : { "noteIndex" : 0 }, "schema" : "https://github.com/citation-style-language/schema/raw/master/csl-citation.json" }</w:instrText>
      </w:r>
      <w:r>
        <w:rPr>
          <w:lang w:val="en-US"/>
        </w:rPr>
        <w:fldChar w:fldCharType="separate"/>
      </w:r>
      <w:r w:rsidRPr="009066E7">
        <w:rPr>
          <w:noProof/>
          <w:lang w:val="en-US"/>
        </w:rPr>
        <w:t>(Firman 2004)</w:t>
      </w:r>
      <w:r>
        <w:rPr>
          <w:lang w:val="en-US"/>
        </w:rPr>
        <w:fldChar w:fldCharType="end"/>
      </w:r>
      <w:r w:rsidRPr="002A6597">
        <w:rPr>
          <w:lang w:val="en-US"/>
        </w:rPr>
        <w:t>.</w:t>
      </w:r>
      <w:r>
        <w:rPr>
          <w:lang w:val="en-US"/>
        </w:rPr>
        <w:t xml:space="preserve"> </w:t>
      </w:r>
      <w:r>
        <w:t xml:space="preserve">The </w:t>
      </w:r>
      <w:r w:rsidRPr="002A6597">
        <w:rPr>
          <w:lang w:val="en-US"/>
        </w:rPr>
        <w:t>current development for housing product</w:t>
      </w:r>
      <w:r>
        <w:rPr>
          <w:lang w:val="en-US"/>
        </w:rPr>
        <w:t>s</w:t>
      </w:r>
      <w:r w:rsidRPr="002A6597">
        <w:rPr>
          <w:lang w:val="en-US"/>
        </w:rPr>
        <w:t xml:space="preserve"> in </w:t>
      </w:r>
      <w:r>
        <w:rPr>
          <w:lang w:val="en-US"/>
        </w:rPr>
        <w:t xml:space="preserve">the </w:t>
      </w:r>
      <w:r w:rsidRPr="002A6597">
        <w:rPr>
          <w:lang w:val="en-US"/>
        </w:rPr>
        <w:t xml:space="preserve">Jakarta Metropolitan Region is expanding horizontally to </w:t>
      </w:r>
      <w:r>
        <w:rPr>
          <w:lang w:val="en-US"/>
        </w:rPr>
        <w:t>surrounding</w:t>
      </w:r>
      <w:r w:rsidRPr="002A6597">
        <w:rPr>
          <w:lang w:val="en-US"/>
        </w:rPr>
        <w:t xml:space="preserve"> areas around Jakarta and </w:t>
      </w:r>
      <w:r>
        <w:rPr>
          <w:lang w:val="en-US"/>
        </w:rPr>
        <w:t xml:space="preserve">is </w:t>
      </w:r>
      <w:r w:rsidRPr="002A6597">
        <w:rPr>
          <w:lang w:val="en-US"/>
        </w:rPr>
        <w:t xml:space="preserve">reaching parts of the neighboring provinces </w:t>
      </w:r>
      <w:r w:rsidRPr="002A6597">
        <w:rPr>
          <w:lang w:val="en-US"/>
        </w:rPr>
        <w:fldChar w:fldCharType="begin" w:fldLock="1"/>
      </w:r>
      <w:r>
        <w:rPr>
          <w:lang w:val="en-US"/>
        </w:rPr>
        <w:instrText>ADDIN CSL_CITATION { "citationItems" : [ { "id" : "ITEM-1", "itemData" : { "DOI" : "10.1108/IJHMA-04-2014-0008", "ISSN" : "1753-8270", "author" : [ { "dropping-particle" : "", "family" : "Rahadi", "given" : "Raden Aswin", "non-dropping-particle" : "", "parse-names" : false, "suffix" : "" }, { "dropping-particle" : "", "family" : "Wiryono", "given" : "Sudarso Kaderi", "non-dropping-particle" : "", "parse-names" : false, "suffix" : "" }, { "dropping-particle" : "", "family" : "Koesrindartoto", "given" : "Deddy Priatmodjo", "non-dropping-particle" : "", "parse-names" : false, "suffix" : "" }, { "dropping-particle" : "", "family" : "Syamwil", "given" : "Indra Budiman", "non-dropping-particle" : "", "parse-names" : false, "suffix" : "" } ], "container-title" : "International Journal of Housing Markets and Analysis", "id" : "ITEM-1", "issue" : "2", "issued" : { "date-parts" : [ [ "2015", "6" ] ] }, "page" : "169-188", "title" : "Factors influencing the price of housing in Indonesia", "type" : "article-journal", "volume" : "8" }, "uris" : [ "http://www.mendeley.com/documents/?uuid=132b62fb-2cc2-307a-86cf-b3a1dc0c7543" ] } ], "mendeley" : { "formattedCitation" : "(Rahadi et al. 2015)", "plainTextFormattedCitation" : "(Rahadi et al. 2015)", "previouslyFormattedCitation" : "(Rahadi et al., 2015)" }, "properties" : { "noteIndex" : 0 }, "schema" : "https://github.com/citation-style-language/schema/raw/master/csl-citation.json" }</w:instrText>
      </w:r>
      <w:r w:rsidRPr="002A6597">
        <w:rPr>
          <w:lang w:val="en-US"/>
        </w:rPr>
        <w:fldChar w:fldCharType="separate"/>
      </w:r>
      <w:r w:rsidRPr="009066E7">
        <w:rPr>
          <w:noProof/>
          <w:lang w:val="en-US"/>
        </w:rPr>
        <w:t>(Rahadi et al. 2015)</w:t>
      </w:r>
      <w:r w:rsidRPr="002A6597">
        <w:fldChar w:fldCharType="end"/>
      </w:r>
      <w:r>
        <w:t>. Table 1 shows the proportions of dwellings with different floor areas</w:t>
      </w:r>
      <w:r w:rsidRPr="009B79E8">
        <w:rPr>
          <w:lang w:val="en-US"/>
        </w:rPr>
        <w:t xml:space="preserve"> </w:t>
      </w:r>
      <w:r>
        <w:rPr>
          <w:lang w:val="en-US"/>
        </w:rPr>
        <w:t xml:space="preserve">in the </w:t>
      </w:r>
      <w:r w:rsidRPr="002A6597">
        <w:rPr>
          <w:lang w:val="en-US"/>
        </w:rPr>
        <w:t>Jaka</w:t>
      </w:r>
      <w:r>
        <w:rPr>
          <w:lang w:val="en-US"/>
        </w:rPr>
        <w:t>rta Metropolitan Region.</w:t>
      </w:r>
      <w:r>
        <w:rPr>
          <w:lang w:val="en-US"/>
        </w:rPr>
        <w:t xml:space="preserve"> </w:t>
      </w:r>
      <w:r w:rsidRPr="002A6597">
        <w:rPr>
          <w:lang w:val="en-US"/>
        </w:rPr>
        <w:t>From the total 100% of household</w:t>
      </w:r>
      <w:r>
        <w:rPr>
          <w:lang w:val="en-US"/>
        </w:rPr>
        <w:t>s</w:t>
      </w:r>
      <w:r w:rsidRPr="002A6597">
        <w:rPr>
          <w:lang w:val="en-US"/>
        </w:rPr>
        <w:t xml:space="preserve"> </w:t>
      </w:r>
      <w:r>
        <w:rPr>
          <w:lang w:val="en-US"/>
        </w:rPr>
        <w:t>i</w:t>
      </w:r>
      <w:r w:rsidRPr="002A6597">
        <w:rPr>
          <w:lang w:val="en-US"/>
        </w:rPr>
        <w:t xml:space="preserve">n every province/ regency </w:t>
      </w:r>
      <w:r>
        <w:rPr>
          <w:lang w:val="en-US"/>
        </w:rPr>
        <w:t xml:space="preserve">in the Jakarta Metropolitan Region (Figure 1), the most prevalent housing floor areas lie between </w:t>
      </w:r>
      <w:r w:rsidRPr="002A6597">
        <w:rPr>
          <w:lang w:val="en-US"/>
        </w:rPr>
        <w:t>50m</w:t>
      </w:r>
      <w:r w:rsidRPr="002A6597">
        <w:rPr>
          <w:vertAlign w:val="superscript"/>
          <w:lang w:val="en-US"/>
        </w:rPr>
        <w:t>2</w:t>
      </w:r>
      <w:r w:rsidRPr="002A6597">
        <w:rPr>
          <w:lang w:val="en-US"/>
        </w:rPr>
        <w:t xml:space="preserve"> to </w:t>
      </w:r>
      <w:r>
        <w:rPr>
          <w:lang w:val="en-US"/>
        </w:rPr>
        <w:t>69</w:t>
      </w:r>
      <w:r w:rsidRPr="002A6597">
        <w:rPr>
          <w:lang w:val="en-US"/>
        </w:rPr>
        <w:t>m</w:t>
      </w:r>
      <w:r w:rsidRPr="002A6597">
        <w:rPr>
          <w:vertAlign w:val="superscript"/>
          <w:lang w:val="en-US"/>
        </w:rPr>
        <w:t>2</w:t>
      </w:r>
      <w:r w:rsidRPr="00834214">
        <w:rPr>
          <w:lang w:val="en-US"/>
        </w:rPr>
        <w:t xml:space="preserve"> </w:t>
      </w:r>
      <w:r w:rsidRPr="002A6597">
        <w:rPr>
          <w:lang w:val="en-US"/>
        </w:rPr>
        <w:t>floor area, except for Jakarta</w:t>
      </w:r>
      <w:r>
        <w:rPr>
          <w:lang w:val="en-US"/>
        </w:rPr>
        <w:t>,</w:t>
      </w:r>
      <w:r w:rsidRPr="002A6597">
        <w:rPr>
          <w:lang w:val="en-US"/>
        </w:rPr>
        <w:t xml:space="preserve"> where the biggest percentage is for housing under 20m</w:t>
      </w:r>
      <w:r w:rsidRPr="002A6597">
        <w:rPr>
          <w:vertAlign w:val="superscript"/>
          <w:lang w:val="en-US"/>
        </w:rPr>
        <w:t>2</w:t>
      </w:r>
      <w:r w:rsidRPr="002A6597">
        <w:rPr>
          <w:lang w:val="en-US"/>
        </w:rPr>
        <w:t>. Low dwelling floor areas in Jakarta are because the calculations include the apartment room and slum area</w:t>
      </w:r>
      <w:r w:rsidR="0067343B">
        <w:rPr>
          <w:lang w:val="en-US"/>
        </w:rPr>
        <w:t>s</w:t>
      </w:r>
      <w:r w:rsidRPr="002A6597">
        <w:rPr>
          <w:lang w:val="en-US"/>
        </w:rPr>
        <w:t>, where the house</w:t>
      </w:r>
      <w:r>
        <w:rPr>
          <w:lang w:val="en-US"/>
        </w:rPr>
        <w:t>s</w:t>
      </w:r>
      <w:r w:rsidRPr="002A6597">
        <w:rPr>
          <w:lang w:val="en-US"/>
        </w:rPr>
        <w:t>/unit</w:t>
      </w:r>
      <w:r>
        <w:rPr>
          <w:lang w:val="en-US"/>
        </w:rPr>
        <w:t>’s</w:t>
      </w:r>
      <w:r w:rsidRPr="002A6597">
        <w:rPr>
          <w:lang w:val="en-US"/>
        </w:rPr>
        <w:t xml:space="preserve"> floor area are below 20m</w:t>
      </w:r>
      <w:r w:rsidRPr="002A6597">
        <w:rPr>
          <w:vertAlign w:val="superscript"/>
          <w:lang w:val="en-US"/>
        </w:rPr>
        <w:t>2</w:t>
      </w:r>
      <w:r w:rsidRPr="002A6597">
        <w:rPr>
          <w:lang w:val="en-US"/>
        </w:rPr>
        <w:t>.</w:t>
      </w:r>
    </w:p>
    <w:p w14:paraId="7799D606" w14:textId="77777777" w:rsidR="00564FAB" w:rsidRPr="00964599" w:rsidRDefault="00564FAB" w:rsidP="00564FAB">
      <w:pPr>
        <w:pStyle w:val="Heading1"/>
      </w:pPr>
      <w:r>
        <w:t xml:space="preserve">Research methodology </w:t>
      </w:r>
    </w:p>
    <w:p w14:paraId="16D472E8" w14:textId="0035BB82" w:rsidR="00564FAB" w:rsidRDefault="00564FAB" w:rsidP="00564FAB">
      <w:pPr>
        <w:pStyle w:val="Mainbodytext"/>
        <w:rPr>
          <w:lang w:val="en-US"/>
        </w:rPr>
      </w:pPr>
      <w:r w:rsidRPr="007E0E80">
        <w:rPr>
          <w:lang w:val="en-US"/>
        </w:rPr>
        <w:t xml:space="preserve">The performance of </w:t>
      </w:r>
      <w:r>
        <w:rPr>
          <w:lang w:val="en-US"/>
        </w:rPr>
        <w:t>a</w:t>
      </w:r>
      <w:r w:rsidRPr="007E0E80">
        <w:rPr>
          <w:lang w:val="en-US"/>
        </w:rPr>
        <w:t xml:space="preserve"> </w:t>
      </w:r>
      <w:r>
        <w:rPr>
          <w:lang w:val="en-US"/>
        </w:rPr>
        <w:t>dwelling in Jakarta built to the Passivhaus</w:t>
      </w:r>
      <w:r w:rsidRPr="007E0E80">
        <w:rPr>
          <w:lang w:val="en-US"/>
        </w:rPr>
        <w:t xml:space="preserve"> </w:t>
      </w:r>
      <w:r>
        <w:rPr>
          <w:lang w:val="en-US"/>
        </w:rPr>
        <w:t>standard</w:t>
      </w:r>
      <w:r w:rsidRPr="007E0E80">
        <w:rPr>
          <w:lang w:val="en-US"/>
        </w:rPr>
        <w:t xml:space="preserve"> </w:t>
      </w:r>
      <w:r>
        <w:rPr>
          <w:lang w:val="en-US"/>
        </w:rPr>
        <w:t>in</w:t>
      </w:r>
      <w:r w:rsidRPr="007E0E80">
        <w:rPr>
          <w:lang w:val="en-US"/>
        </w:rPr>
        <w:t xml:space="preserve"> the hot humid climate was examined in this research, with the focus on the energy use</w:t>
      </w:r>
      <w:r>
        <w:rPr>
          <w:lang w:val="en-US"/>
        </w:rPr>
        <w:t>d</w:t>
      </w:r>
      <w:r w:rsidRPr="007E0E80">
        <w:rPr>
          <w:lang w:val="en-US"/>
        </w:rPr>
        <w:t xml:space="preserve"> to achieve thermal comfort and the needs for dehumidification. </w:t>
      </w:r>
      <w:r>
        <w:rPr>
          <w:lang w:val="en-US"/>
        </w:rPr>
        <w:t>A m</w:t>
      </w:r>
      <w:r w:rsidRPr="007E0E80">
        <w:rPr>
          <w:lang w:val="en-US"/>
        </w:rPr>
        <w:t xml:space="preserve">odel of </w:t>
      </w:r>
      <w:r>
        <w:rPr>
          <w:lang w:val="en-US"/>
        </w:rPr>
        <w:t xml:space="preserve">the dwelling </w:t>
      </w:r>
      <w:r w:rsidRPr="007E0E80">
        <w:rPr>
          <w:lang w:val="en-US"/>
        </w:rPr>
        <w:t>was cre</w:t>
      </w:r>
      <w:r>
        <w:rPr>
          <w:lang w:val="en-US"/>
        </w:rPr>
        <w:t>ated using DesignB</w:t>
      </w:r>
      <w:r w:rsidRPr="007E0E80">
        <w:rPr>
          <w:lang w:val="en-US"/>
        </w:rPr>
        <w:t>uilder, which comprise</w:t>
      </w:r>
      <w:r>
        <w:rPr>
          <w:lang w:val="en-US"/>
        </w:rPr>
        <w:t xml:space="preserve">d </w:t>
      </w:r>
      <w:r w:rsidRPr="007E0E80">
        <w:rPr>
          <w:lang w:val="en-US"/>
        </w:rPr>
        <w:t xml:space="preserve">a core 3-D modeler and </w:t>
      </w:r>
      <w:r>
        <w:rPr>
          <w:lang w:val="en-US"/>
        </w:rPr>
        <w:t>ten</w:t>
      </w:r>
      <w:r w:rsidRPr="007E0E80">
        <w:rPr>
          <w:lang w:val="en-US"/>
        </w:rPr>
        <w:t xml:space="preserve"> modules which work together to provide in-depth analysis for any building to provide high quality, comfortable buildings that also comply with building regulations, optimize on-going energy costs and reduce environmental impact</w:t>
      </w:r>
      <w:r>
        <w:rPr>
          <w:lang w:val="en-US"/>
        </w:rPr>
        <w:t xml:space="preserve"> </w:t>
      </w:r>
      <w:r>
        <w:rPr>
          <w:lang w:val="en-US"/>
        </w:rPr>
        <w:fldChar w:fldCharType="begin" w:fldLock="1"/>
      </w:r>
      <w:r>
        <w:rPr>
          <w:lang w:val="en-US"/>
        </w:rPr>
        <w:instrText>ADDIN CSL_CITATION { "citationItems" : [ { "id" : "ITEM-1", "itemData" : { "URL" : "https://www.designbuilder.co.uk/", "accessed" : { "date-parts" : [ [ "2017", "4", "12" ] ] }, "author" : [ { "dropping-particle" : "", "family" : "DesignBuilder", "given" : "", "non-dropping-particle" : "", "parse-names" : false, "suffix" : "" } ], "id" : "ITEM-1", "issued" : { "date-parts" : [ [ "2017" ] ] }, "title" : "DesignBuilder Software Ltd - Home", "type" : "webpage" }, "uris" : [ "http://www.mendeley.com/documents/?uuid=2999f81e-ab29-3cd1-808d-f38b90c43818" ] } ], "mendeley" : { "formattedCitation" : "(DesignBuilder 2017)", "plainTextFormattedCitation" : "(DesignBuilder 2017)", "previouslyFormattedCitation" : "(DesignBuilder, 2017)" }, "properties" : { "noteIndex" : 0 }, "schema" : "https://github.com/citation-style-language/schema/raw/master/csl-citation.json" }</w:instrText>
      </w:r>
      <w:r>
        <w:rPr>
          <w:lang w:val="en-US"/>
        </w:rPr>
        <w:fldChar w:fldCharType="separate"/>
      </w:r>
      <w:r w:rsidRPr="009066E7">
        <w:rPr>
          <w:noProof/>
          <w:lang w:val="en-US"/>
        </w:rPr>
        <w:t>(DesignBuilder 2017)</w:t>
      </w:r>
      <w:r>
        <w:rPr>
          <w:lang w:val="en-US"/>
        </w:rPr>
        <w:fldChar w:fldCharType="end"/>
      </w:r>
      <w:r w:rsidRPr="007E0E80">
        <w:rPr>
          <w:lang w:val="en-US"/>
        </w:rPr>
        <w:t>.</w:t>
      </w:r>
    </w:p>
    <w:p w14:paraId="3C9E4B50" w14:textId="0162F51B" w:rsidR="007A4F62" w:rsidRPr="00DC6507" w:rsidRDefault="00564FAB" w:rsidP="007A4F62">
      <w:pPr>
        <w:pStyle w:val="Caption"/>
        <w:rPr>
          <w:b/>
          <w:bCs/>
        </w:rPr>
      </w:pPr>
      <w:r>
        <w:lastRenderedPageBreak/>
        <w:t>T</w:t>
      </w:r>
      <w:r w:rsidR="007A4F62" w:rsidRPr="00964599">
        <w:t xml:space="preserve">able </w:t>
      </w:r>
      <w:r w:rsidR="00471763">
        <w:fldChar w:fldCharType="begin"/>
      </w:r>
      <w:r w:rsidR="00471763">
        <w:instrText xml:space="preserve"> SEQ Table \* ARABIC </w:instrText>
      </w:r>
      <w:r w:rsidR="00471763">
        <w:fldChar w:fldCharType="separate"/>
      </w:r>
      <w:r w:rsidR="007A4F62">
        <w:rPr>
          <w:noProof/>
        </w:rPr>
        <w:t>1</w:t>
      </w:r>
      <w:r w:rsidR="00471763">
        <w:rPr>
          <w:noProof/>
        </w:rPr>
        <w:fldChar w:fldCharType="end"/>
      </w:r>
      <w:r w:rsidR="007A4F62" w:rsidRPr="00964599">
        <w:t xml:space="preserve">. </w:t>
      </w:r>
      <w:r w:rsidR="007A4F62" w:rsidRPr="0041125A">
        <w:t>Percentage Floor Area of Dwelling Unit</w:t>
      </w:r>
      <w:r w:rsidR="007A4F62">
        <w:t>s built in the Jakarta Metropolitan Region</w:t>
      </w:r>
      <w:r w:rsidR="007A4F62" w:rsidRPr="00964599">
        <w:t>.</w:t>
      </w:r>
    </w:p>
    <w:tbl>
      <w:tblPr>
        <w:tblW w:w="8816" w:type="dxa"/>
        <w:tblInd w:w="98" w:type="dxa"/>
        <w:tblLayout w:type="fixed"/>
        <w:tblLook w:val="04A0" w:firstRow="1" w:lastRow="0" w:firstColumn="1" w:lastColumn="0" w:noHBand="0" w:noVBand="1"/>
      </w:tblPr>
      <w:tblGrid>
        <w:gridCol w:w="1762"/>
        <w:gridCol w:w="579"/>
        <w:gridCol w:w="518"/>
        <w:gridCol w:w="548"/>
        <w:gridCol w:w="533"/>
        <w:gridCol w:w="533"/>
        <w:gridCol w:w="533"/>
        <w:gridCol w:w="700"/>
        <w:gridCol w:w="700"/>
        <w:gridCol w:w="700"/>
        <w:gridCol w:w="701"/>
        <w:gridCol w:w="710"/>
        <w:gridCol w:w="299"/>
      </w:tblGrid>
      <w:tr w:rsidR="007A4F62" w:rsidRPr="00435266" w14:paraId="37BB8210" w14:textId="77777777" w:rsidTr="00CF6CAF">
        <w:trPr>
          <w:gridAfter w:val="1"/>
          <w:wAfter w:w="299" w:type="dxa"/>
          <w:trHeight w:val="300"/>
        </w:trPr>
        <w:tc>
          <w:tcPr>
            <w:tcW w:w="1762"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1FBC20FE"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Province/ Regency/ Municipality</w:t>
            </w:r>
          </w:p>
        </w:tc>
        <w:tc>
          <w:tcPr>
            <w:tcW w:w="6755" w:type="dxa"/>
            <w:gridSpan w:val="11"/>
            <w:tcBorders>
              <w:top w:val="single" w:sz="8" w:space="0" w:color="auto"/>
              <w:left w:val="nil"/>
              <w:bottom w:val="single" w:sz="8" w:space="0" w:color="auto"/>
              <w:right w:val="single" w:sz="8" w:space="0" w:color="000000"/>
            </w:tcBorders>
            <w:shd w:val="clear" w:color="auto" w:fill="auto"/>
            <w:noWrap/>
            <w:vAlign w:val="center"/>
            <w:hideMark/>
          </w:tcPr>
          <w:p w14:paraId="0F4A7D74"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Percentage Floor Area of Dwelling Unit (%)</w:t>
            </w:r>
          </w:p>
        </w:tc>
      </w:tr>
      <w:tr w:rsidR="007A4F62" w:rsidRPr="00435266" w14:paraId="43582ECC" w14:textId="77777777" w:rsidTr="00CF6CAF">
        <w:trPr>
          <w:gridAfter w:val="1"/>
          <w:wAfter w:w="299" w:type="dxa"/>
          <w:trHeight w:val="300"/>
        </w:trPr>
        <w:tc>
          <w:tcPr>
            <w:tcW w:w="1762" w:type="dxa"/>
            <w:vMerge/>
            <w:tcBorders>
              <w:top w:val="single" w:sz="8" w:space="0" w:color="auto"/>
              <w:left w:val="single" w:sz="4" w:space="0" w:color="auto"/>
              <w:bottom w:val="single" w:sz="8" w:space="0" w:color="000000"/>
              <w:right w:val="single" w:sz="8" w:space="0" w:color="auto"/>
            </w:tcBorders>
            <w:vAlign w:val="center"/>
            <w:hideMark/>
          </w:tcPr>
          <w:p w14:paraId="2F797F1F" w14:textId="77777777" w:rsidR="007A4F62" w:rsidRPr="007A4F62" w:rsidRDefault="007A4F62" w:rsidP="00CF6CAF">
            <w:pPr>
              <w:rPr>
                <w:rFonts w:eastAsia="Times New Roman"/>
                <w:color w:val="000000"/>
                <w:sz w:val="20"/>
                <w:szCs w:val="20"/>
              </w:rPr>
            </w:pPr>
          </w:p>
        </w:tc>
        <w:tc>
          <w:tcPr>
            <w:tcW w:w="579" w:type="dxa"/>
            <w:tcBorders>
              <w:top w:val="nil"/>
              <w:left w:val="nil"/>
              <w:bottom w:val="single" w:sz="8" w:space="0" w:color="auto"/>
              <w:right w:val="single" w:sz="4" w:space="0" w:color="auto"/>
            </w:tcBorders>
            <w:shd w:val="clear" w:color="auto" w:fill="auto"/>
            <w:noWrap/>
            <w:vAlign w:val="center"/>
            <w:hideMark/>
          </w:tcPr>
          <w:p w14:paraId="630EA3E6" w14:textId="77777777" w:rsidR="007A4F62" w:rsidRPr="007A4F62" w:rsidRDefault="007A4F62" w:rsidP="00CF6CAF">
            <w:pPr>
              <w:jc w:val="center"/>
              <w:rPr>
                <w:rFonts w:eastAsia="Times New Roman"/>
                <w:color w:val="000000"/>
                <w:sz w:val="20"/>
                <w:szCs w:val="20"/>
                <w:vertAlign w:val="superscript"/>
              </w:rPr>
            </w:pPr>
            <w:r w:rsidRPr="007A4F62">
              <w:rPr>
                <w:rFonts w:eastAsia="Times New Roman"/>
                <w:color w:val="000000"/>
                <w:sz w:val="20"/>
                <w:szCs w:val="20"/>
              </w:rPr>
              <w:t>&lt;20m</w:t>
            </w:r>
            <w:r w:rsidRPr="007A4F62">
              <w:rPr>
                <w:rFonts w:eastAsia="Times New Roman"/>
                <w:color w:val="000000"/>
                <w:sz w:val="20"/>
                <w:szCs w:val="20"/>
                <w:vertAlign w:val="superscript"/>
              </w:rPr>
              <w:t>2</w:t>
            </w:r>
          </w:p>
        </w:tc>
        <w:tc>
          <w:tcPr>
            <w:tcW w:w="518" w:type="dxa"/>
            <w:tcBorders>
              <w:top w:val="nil"/>
              <w:left w:val="nil"/>
              <w:bottom w:val="single" w:sz="8" w:space="0" w:color="auto"/>
              <w:right w:val="single" w:sz="4" w:space="0" w:color="auto"/>
            </w:tcBorders>
            <w:shd w:val="clear" w:color="auto" w:fill="auto"/>
            <w:noWrap/>
            <w:vAlign w:val="center"/>
            <w:hideMark/>
          </w:tcPr>
          <w:p w14:paraId="43B28E03"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20-29 m</w:t>
            </w:r>
            <w:r w:rsidRPr="007A4F62">
              <w:rPr>
                <w:rFonts w:eastAsia="Times New Roman"/>
                <w:color w:val="000000"/>
                <w:sz w:val="20"/>
                <w:szCs w:val="20"/>
                <w:vertAlign w:val="superscript"/>
              </w:rPr>
              <w:t>2</w:t>
            </w:r>
          </w:p>
        </w:tc>
        <w:tc>
          <w:tcPr>
            <w:tcW w:w="548" w:type="dxa"/>
            <w:tcBorders>
              <w:top w:val="nil"/>
              <w:left w:val="nil"/>
              <w:bottom w:val="single" w:sz="8" w:space="0" w:color="auto"/>
              <w:right w:val="single" w:sz="4" w:space="0" w:color="auto"/>
            </w:tcBorders>
            <w:shd w:val="clear" w:color="auto" w:fill="auto"/>
            <w:noWrap/>
            <w:vAlign w:val="center"/>
            <w:hideMark/>
          </w:tcPr>
          <w:p w14:paraId="33FEF2AA"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30-39 m</w:t>
            </w:r>
            <w:r w:rsidRPr="007A4F62">
              <w:rPr>
                <w:rFonts w:eastAsia="Times New Roman"/>
                <w:color w:val="000000"/>
                <w:sz w:val="20"/>
                <w:szCs w:val="20"/>
                <w:vertAlign w:val="superscript"/>
              </w:rPr>
              <w:t>2</w:t>
            </w:r>
          </w:p>
        </w:tc>
        <w:tc>
          <w:tcPr>
            <w:tcW w:w="533" w:type="dxa"/>
            <w:tcBorders>
              <w:top w:val="nil"/>
              <w:left w:val="nil"/>
              <w:bottom w:val="single" w:sz="8" w:space="0" w:color="auto"/>
              <w:right w:val="single" w:sz="4" w:space="0" w:color="auto"/>
            </w:tcBorders>
            <w:shd w:val="clear" w:color="auto" w:fill="auto"/>
            <w:noWrap/>
            <w:vAlign w:val="center"/>
            <w:hideMark/>
          </w:tcPr>
          <w:p w14:paraId="56B03AF9"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40-49 m</w:t>
            </w:r>
            <w:r w:rsidRPr="007A4F62">
              <w:rPr>
                <w:rFonts w:eastAsia="Times New Roman"/>
                <w:color w:val="000000"/>
                <w:sz w:val="20"/>
                <w:szCs w:val="20"/>
                <w:vertAlign w:val="superscript"/>
              </w:rPr>
              <w:t>2</w:t>
            </w:r>
          </w:p>
        </w:tc>
        <w:tc>
          <w:tcPr>
            <w:tcW w:w="533" w:type="dxa"/>
            <w:tcBorders>
              <w:top w:val="nil"/>
              <w:left w:val="nil"/>
              <w:bottom w:val="single" w:sz="8" w:space="0" w:color="auto"/>
              <w:right w:val="single" w:sz="4" w:space="0" w:color="auto"/>
            </w:tcBorders>
            <w:shd w:val="clear" w:color="auto" w:fill="auto"/>
            <w:noWrap/>
            <w:vAlign w:val="center"/>
            <w:hideMark/>
          </w:tcPr>
          <w:p w14:paraId="41D34CC8"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50-69 m</w:t>
            </w:r>
            <w:r w:rsidRPr="007A4F62">
              <w:rPr>
                <w:rFonts w:eastAsia="Times New Roman"/>
                <w:color w:val="000000"/>
                <w:sz w:val="20"/>
                <w:szCs w:val="20"/>
                <w:vertAlign w:val="superscript"/>
              </w:rPr>
              <w:t>2</w:t>
            </w:r>
          </w:p>
        </w:tc>
        <w:tc>
          <w:tcPr>
            <w:tcW w:w="533" w:type="dxa"/>
            <w:tcBorders>
              <w:top w:val="nil"/>
              <w:left w:val="nil"/>
              <w:bottom w:val="single" w:sz="8" w:space="0" w:color="auto"/>
              <w:right w:val="single" w:sz="4" w:space="0" w:color="auto"/>
            </w:tcBorders>
            <w:shd w:val="clear" w:color="auto" w:fill="auto"/>
            <w:noWrap/>
            <w:vAlign w:val="center"/>
            <w:hideMark/>
          </w:tcPr>
          <w:p w14:paraId="623564D4"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70-99 m</w:t>
            </w:r>
            <w:r w:rsidRPr="007A4F62">
              <w:rPr>
                <w:rFonts w:eastAsia="Times New Roman"/>
                <w:color w:val="000000"/>
                <w:sz w:val="20"/>
                <w:szCs w:val="20"/>
                <w:vertAlign w:val="superscript"/>
              </w:rPr>
              <w:t>2</w:t>
            </w:r>
          </w:p>
        </w:tc>
        <w:tc>
          <w:tcPr>
            <w:tcW w:w="700" w:type="dxa"/>
            <w:tcBorders>
              <w:top w:val="nil"/>
              <w:left w:val="nil"/>
              <w:bottom w:val="single" w:sz="8" w:space="0" w:color="auto"/>
              <w:right w:val="single" w:sz="4" w:space="0" w:color="auto"/>
            </w:tcBorders>
            <w:shd w:val="clear" w:color="auto" w:fill="auto"/>
            <w:noWrap/>
            <w:vAlign w:val="center"/>
            <w:hideMark/>
          </w:tcPr>
          <w:p w14:paraId="356A007E"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100-149 m</w:t>
            </w:r>
            <w:r w:rsidRPr="007A4F62">
              <w:rPr>
                <w:rFonts w:eastAsia="Times New Roman"/>
                <w:color w:val="000000"/>
                <w:sz w:val="20"/>
                <w:szCs w:val="20"/>
                <w:vertAlign w:val="superscript"/>
              </w:rPr>
              <w:t>2</w:t>
            </w:r>
          </w:p>
        </w:tc>
        <w:tc>
          <w:tcPr>
            <w:tcW w:w="700" w:type="dxa"/>
            <w:tcBorders>
              <w:top w:val="nil"/>
              <w:left w:val="nil"/>
              <w:bottom w:val="single" w:sz="8" w:space="0" w:color="auto"/>
              <w:right w:val="single" w:sz="4" w:space="0" w:color="auto"/>
            </w:tcBorders>
            <w:shd w:val="clear" w:color="auto" w:fill="auto"/>
            <w:noWrap/>
            <w:vAlign w:val="center"/>
            <w:hideMark/>
          </w:tcPr>
          <w:p w14:paraId="3EA1B5B2"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150-199 m</w:t>
            </w:r>
            <w:r w:rsidRPr="007A4F62">
              <w:rPr>
                <w:rFonts w:eastAsia="Times New Roman"/>
                <w:color w:val="000000"/>
                <w:sz w:val="20"/>
                <w:szCs w:val="20"/>
                <w:vertAlign w:val="superscript"/>
              </w:rPr>
              <w:t>2</w:t>
            </w:r>
          </w:p>
        </w:tc>
        <w:tc>
          <w:tcPr>
            <w:tcW w:w="700" w:type="dxa"/>
            <w:tcBorders>
              <w:top w:val="nil"/>
              <w:left w:val="nil"/>
              <w:bottom w:val="single" w:sz="8" w:space="0" w:color="auto"/>
              <w:right w:val="single" w:sz="4" w:space="0" w:color="auto"/>
            </w:tcBorders>
            <w:shd w:val="clear" w:color="auto" w:fill="auto"/>
            <w:noWrap/>
            <w:vAlign w:val="center"/>
            <w:hideMark/>
          </w:tcPr>
          <w:p w14:paraId="5CC431EC"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200-299 m</w:t>
            </w:r>
            <w:r w:rsidRPr="007A4F62">
              <w:rPr>
                <w:rFonts w:eastAsia="Times New Roman"/>
                <w:color w:val="000000"/>
                <w:sz w:val="20"/>
                <w:szCs w:val="20"/>
                <w:vertAlign w:val="superscript"/>
              </w:rPr>
              <w:t>2</w:t>
            </w:r>
          </w:p>
        </w:tc>
        <w:tc>
          <w:tcPr>
            <w:tcW w:w="701" w:type="dxa"/>
            <w:tcBorders>
              <w:top w:val="nil"/>
              <w:left w:val="nil"/>
              <w:bottom w:val="single" w:sz="8" w:space="0" w:color="auto"/>
              <w:right w:val="single" w:sz="4" w:space="0" w:color="auto"/>
            </w:tcBorders>
            <w:shd w:val="clear" w:color="auto" w:fill="auto"/>
            <w:noWrap/>
            <w:vAlign w:val="center"/>
            <w:hideMark/>
          </w:tcPr>
          <w:p w14:paraId="6DBC16C7"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&gt;300 m</w:t>
            </w:r>
            <w:r w:rsidRPr="007A4F62">
              <w:rPr>
                <w:rFonts w:eastAsia="Times New Roman"/>
                <w:color w:val="000000"/>
                <w:sz w:val="20"/>
                <w:szCs w:val="20"/>
                <w:vertAlign w:val="superscript"/>
              </w:rPr>
              <w:t>2</w:t>
            </w:r>
          </w:p>
        </w:tc>
        <w:tc>
          <w:tcPr>
            <w:tcW w:w="710" w:type="dxa"/>
            <w:tcBorders>
              <w:top w:val="nil"/>
              <w:left w:val="nil"/>
              <w:bottom w:val="single" w:sz="8" w:space="0" w:color="auto"/>
              <w:right w:val="single" w:sz="8" w:space="0" w:color="auto"/>
            </w:tcBorders>
            <w:shd w:val="clear" w:color="auto" w:fill="auto"/>
            <w:noWrap/>
            <w:vAlign w:val="center"/>
            <w:hideMark/>
          </w:tcPr>
          <w:p w14:paraId="63C2CDA5"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Total</w:t>
            </w:r>
          </w:p>
        </w:tc>
      </w:tr>
      <w:tr w:rsidR="007A4F62" w:rsidRPr="00435266" w14:paraId="13600243" w14:textId="77777777" w:rsidTr="00CF6CAF">
        <w:trPr>
          <w:gridAfter w:val="1"/>
          <w:wAfter w:w="299" w:type="dxa"/>
          <w:trHeight w:val="280"/>
        </w:trPr>
        <w:tc>
          <w:tcPr>
            <w:tcW w:w="1762" w:type="dxa"/>
            <w:tcBorders>
              <w:top w:val="nil"/>
              <w:left w:val="single" w:sz="4" w:space="0" w:color="auto"/>
              <w:bottom w:val="single" w:sz="4" w:space="0" w:color="auto"/>
              <w:right w:val="single" w:sz="8" w:space="0" w:color="auto"/>
            </w:tcBorders>
            <w:shd w:val="clear" w:color="auto" w:fill="auto"/>
            <w:noWrap/>
            <w:vAlign w:val="center"/>
            <w:hideMark/>
          </w:tcPr>
          <w:p w14:paraId="29082B9E" w14:textId="77777777" w:rsidR="007A4F62" w:rsidRPr="007A4F62" w:rsidRDefault="007A4F62" w:rsidP="00CF6CAF">
            <w:pPr>
              <w:rPr>
                <w:rFonts w:eastAsia="Times New Roman"/>
                <w:color w:val="000000"/>
                <w:sz w:val="20"/>
                <w:szCs w:val="20"/>
              </w:rPr>
            </w:pPr>
            <w:r w:rsidRPr="007A4F62">
              <w:rPr>
                <w:rFonts w:eastAsia="Times New Roman"/>
                <w:color w:val="000000"/>
                <w:sz w:val="20"/>
                <w:szCs w:val="20"/>
              </w:rPr>
              <w:t>DKI Jakarta Province</w:t>
            </w:r>
          </w:p>
        </w:tc>
        <w:tc>
          <w:tcPr>
            <w:tcW w:w="579" w:type="dxa"/>
            <w:tcBorders>
              <w:top w:val="nil"/>
              <w:left w:val="nil"/>
              <w:bottom w:val="single" w:sz="4" w:space="0" w:color="auto"/>
              <w:right w:val="single" w:sz="4" w:space="0" w:color="auto"/>
            </w:tcBorders>
            <w:shd w:val="clear" w:color="auto" w:fill="auto"/>
            <w:noWrap/>
            <w:vAlign w:val="center"/>
            <w:hideMark/>
          </w:tcPr>
          <w:p w14:paraId="397E0844"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27</w:t>
            </w:r>
          </w:p>
        </w:tc>
        <w:tc>
          <w:tcPr>
            <w:tcW w:w="518" w:type="dxa"/>
            <w:tcBorders>
              <w:top w:val="nil"/>
              <w:left w:val="nil"/>
              <w:bottom w:val="single" w:sz="4" w:space="0" w:color="auto"/>
              <w:right w:val="single" w:sz="4" w:space="0" w:color="auto"/>
            </w:tcBorders>
            <w:shd w:val="clear" w:color="auto" w:fill="auto"/>
            <w:noWrap/>
            <w:vAlign w:val="center"/>
            <w:hideMark/>
          </w:tcPr>
          <w:p w14:paraId="330FF790"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12</w:t>
            </w:r>
          </w:p>
        </w:tc>
        <w:tc>
          <w:tcPr>
            <w:tcW w:w="548" w:type="dxa"/>
            <w:tcBorders>
              <w:top w:val="nil"/>
              <w:left w:val="nil"/>
              <w:bottom w:val="single" w:sz="4" w:space="0" w:color="auto"/>
              <w:right w:val="single" w:sz="4" w:space="0" w:color="auto"/>
            </w:tcBorders>
            <w:shd w:val="clear" w:color="auto" w:fill="auto"/>
            <w:noWrap/>
            <w:vAlign w:val="center"/>
            <w:hideMark/>
          </w:tcPr>
          <w:p w14:paraId="06992782"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13</w:t>
            </w:r>
          </w:p>
        </w:tc>
        <w:tc>
          <w:tcPr>
            <w:tcW w:w="533" w:type="dxa"/>
            <w:tcBorders>
              <w:top w:val="nil"/>
              <w:left w:val="nil"/>
              <w:bottom w:val="single" w:sz="4" w:space="0" w:color="auto"/>
              <w:right w:val="single" w:sz="4" w:space="0" w:color="auto"/>
            </w:tcBorders>
            <w:shd w:val="clear" w:color="auto" w:fill="auto"/>
            <w:noWrap/>
            <w:vAlign w:val="center"/>
            <w:hideMark/>
          </w:tcPr>
          <w:p w14:paraId="3C8D51AF"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7</w:t>
            </w:r>
          </w:p>
        </w:tc>
        <w:tc>
          <w:tcPr>
            <w:tcW w:w="533" w:type="dxa"/>
            <w:tcBorders>
              <w:top w:val="nil"/>
              <w:left w:val="nil"/>
              <w:bottom w:val="single" w:sz="4" w:space="0" w:color="auto"/>
              <w:right w:val="single" w:sz="4" w:space="0" w:color="auto"/>
            </w:tcBorders>
            <w:shd w:val="clear" w:color="auto" w:fill="auto"/>
            <w:noWrap/>
            <w:vAlign w:val="center"/>
            <w:hideMark/>
          </w:tcPr>
          <w:p w14:paraId="14838DE7"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11</w:t>
            </w:r>
          </w:p>
        </w:tc>
        <w:tc>
          <w:tcPr>
            <w:tcW w:w="533" w:type="dxa"/>
            <w:tcBorders>
              <w:top w:val="nil"/>
              <w:left w:val="nil"/>
              <w:bottom w:val="single" w:sz="4" w:space="0" w:color="auto"/>
              <w:right w:val="single" w:sz="4" w:space="0" w:color="auto"/>
            </w:tcBorders>
            <w:shd w:val="clear" w:color="auto" w:fill="auto"/>
            <w:noWrap/>
            <w:vAlign w:val="center"/>
            <w:hideMark/>
          </w:tcPr>
          <w:p w14:paraId="15E79CE7"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10</w:t>
            </w:r>
          </w:p>
        </w:tc>
        <w:tc>
          <w:tcPr>
            <w:tcW w:w="700" w:type="dxa"/>
            <w:tcBorders>
              <w:top w:val="nil"/>
              <w:left w:val="nil"/>
              <w:bottom w:val="single" w:sz="4" w:space="0" w:color="auto"/>
              <w:right w:val="single" w:sz="4" w:space="0" w:color="auto"/>
            </w:tcBorders>
            <w:shd w:val="clear" w:color="auto" w:fill="auto"/>
            <w:noWrap/>
            <w:vAlign w:val="center"/>
            <w:hideMark/>
          </w:tcPr>
          <w:p w14:paraId="717B166B"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9</w:t>
            </w:r>
          </w:p>
        </w:tc>
        <w:tc>
          <w:tcPr>
            <w:tcW w:w="700" w:type="dxa"/>
            <w:tcBorders>
              <w:top w:val="nil"/>
              <w:left w:val="nil"/>
              <w:bottom w:val="single" w:sz="4" w:space="0" w:color="auto"/>
              <w:right w:val="single" w:sz="4" w:space="0" w:color="auto"/>
            </w:tcBorders>
            <w:shd w:val="clear" w:color="auto" w:fill="auto"/>
            <w:noWrap/>
            <w:vAlign w:val="center"/>
            <w:hideMark/>
          </w:tcPr>
          <w:p w14:paraId="1A17F22C"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center"/>
            <w:hideMark/>
          </w:tcPr>
          <w:p w14:paraId="23B239A8"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4</w:t>
            </w:r>
          </w:p>
        </w:tc>
        <w:tc>
          <w:tcPr>
            <w:tcW w:w="701" w:type="dxa"/>
            <w:tcBorders>
              <w:top w:val="nil"/>
              <w:left w:val="nil"/>
              <w:bottom w:val="single" w:sz="4" w:space="0" w:color="auto"/>
              <w:right w:val="single" w:sz="4" w:space="0" w:color="auto"/>
            </w:tcBorders>
            <w:shd w:val="clear" w:color="auto" w:fill="auto"/>
            <w:noWrap/>
            <w:vAlign w:val="center"/>
            <w:hideMark/>
          </w:tcPr>
          <w:p w14:paraId="075ABA4D"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3</w:t>
            </w:r>
          </w:p>
        </w:tc>
        <w:tc>
          <w:tcPr>
            <w:tcW w:w="710" w:type="dxa"/>
            <w:tcBorders>
              <w:top w:val="nil"/>
              <w:left w:val="nil"/>
              <w:bottom w:val="single" w:sz="4" w:space="0" w:color="auto"/>
              <w:right w:val="single" w:sz="8" w:space="0" w:color="auto"/>
            </w:tcBorders>
            <w:shd w:val="clear" w:color="auto" w:fill="auto"/>
            <w:noWrap/>
            <w:vAlign w:val="center"/>
            <w:hideMark/>
          </w:tcPr>
          <w:p w14:paraId="3EA9CE66"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100</w:t>
            </w:r>
          </w:p>
        </w:tc>
      </w:tr>
      <w:tr w:rsidR="007A4F62" w:rsidRPr="00435266" w14:paraId="4DF127AE" w14:textId="77777777" w:rsidTr="00CF6CAF">
        <w:trPr>
          <w:gridAfter w:val="1"/>
          <w:wAfter w:w="299" w:type="dxa"/>
          <w:trHeight w:val="280"/>
        </w:trPr>
        <w:tc>
          <w:tcPr>
            <w:tcW w:w="1762" w:type="dxa"/>
            <w:tcBorders>
              <w:top w:val="nil"/>
              <w:left w:val="single" w:sz="4" w:space="0" w:color="auto"/>
              <w:bottom w:val="single" w:sz="4" w:space="0" w:color="auto"/>
              <w:right w:val="single" w:sz="8" w:space="0" w:color="auto"/>
            </w:tcBorders>
            <w:shd w:val="clear" w:color="auto" w:fill="auto"/>
            <w:noWrap/>
            <w:vAlign w:val="center"/>
            <w:hideMark/>
          </w:tcPr>
          <w:p w14:paraId="65438AB2" w14:textId="77777777" w:rsidR="007A4F62" w:rsidRPr="007A4F62" w:rsidRDefault="007A4F62" w:rsidP="00CF6CAF">
            <w:pPr>
              <w:rPr>
                <w:rFonts w:eastAsia="Times New Roman"/>
                <w:color w:val="000000"/>
                <w:sz w:val="20"/>
                <w:szCs w:val="20"/>
              </w:rPr>
            </w:pPr>
            <w:r w:rsidRPr="007A4F62">
              <w:rPr>
                <w:rFonts w:eastAsia="Times New Roman"/>
                <w:color w:val="000000"/>
                <w:sz w:val="20"/>
                <w:szCs w:val="20"/>
              </w:rPr>
              <w:t>Bogor Regency</w:t>
            </w:r>
          </w:p>
        </w:tc>
        <w:tc>
          <w:tcPr>
            <w:tcW w:w="579" w:type="dxa"/>
            <w:tcBorders>
              <w:top w:val="nil"/>
              <w:left w:val="nil"/>
              <w:bottom w:val="single" w:sz="4" w:space="0" w:color="auto"/>
              <w:right w:val="single" w:sz="4" w:space="0" w:color="auto"/>
            </w:tcBorders>
            <w:shd w:val="clear" w:color="auto" w:fill="auto"/>
            <w:noWrap/>
            <w:vAlign w:val="center"/>
            <w:hideMark/>
          </w:tcPr>
          <w:p w14:paraId="6B2CBE01"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7</w:t>
            </w:r>
          </w:p>
        </w:tc>
        <w:tc>
          <w:tcPr>
            <w:tcW w:w="518" w:type="dxa"/>
            <w:tcBorders>
              <w:top w:val="nil"/>
              <w:left w:val="nil"/>
              <w:bottom w:val="single" w:sz="4" w:space="0" w:color="auto"/>
              <w:right w:val="single" w:sz="4" w:space="0" w:color="auto"/>
            </w:tcBorders>
            <w:shd w:val="clear" w:color="auto" w:fill="auto"/>
            <w:noWrap/>
            <w:vAlign w:val="center"/>
            <w:hideMark/>
          </w:tcPr>
          <w:p w14:paraId="2E82296C"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11</w:t>
            </w:r>
          </w:p>
        </w:tc>
        <w:tc>
          <w:tcPr>
            <w:tcW w:w="548" w:type="dxa"/>
            <w:tcBorders>
              <w:top w:val="nil"/>
              <w:left w:val="nil"/>
              <w:bottom w:val="single" w:sz="4" w:space="0" w:color="auto"/>
              <w:right w:val="single" w:sz="4" w:space="0" w:color="auto"/>
            </w:tcBorders>
            <w:shd w:val="clear" w:color="auto" w:fill="auto"/>
            <w:noWrap/>
            <w:vAlign w:val="center"/>
            <w:hideMark/>
          </w:tcPr>
          <w:p w14:paraId="527BCDDA"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16</w:t>
            </w:r>
          </w:p>
        </w:tc>
        <w:tc>
          <w:tcPr>
            <w:tcW w:w="533" w:type="dxa"/>
            <w:tcBorders>
              <w:top w:val="nil"/>
              <w:left w:val="nil"/>
              <w:bottom w:val="single" w:sz="4" w:space="0" w:color="auto"/>
              <w:right w:val="single" w:sz="4" w:space="0" w:color="auto"/>
            </w:tcBorders>
            <w:shd w:val="clear" w:color="auto" w:fill="auto"/>
            <w:noWrap/>
            <w:vAlign w:val="center"/>
            <w:hideMark/>
          </w:tcPr>
          <w:p w14:paraId="7295182E"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15</w:t>
            </w:r>
          </w:p>
        </w:tc>
        <w:tc>
          <w:tcPr>
            <w:tcW w:w="533" w:type="dxa"/>
            <w:tcBorders>
              <w:top w:val="nil"/>
              <w:left w:val="nil"/>
              <w:bottom w:val="single" w:sz="4" w:space="0" w:color="auto"/>
              <w:right w:val="single" w:sz="4" w:space="0" w:color="auto"/>
            </w:tcBorders>
            <w:shd w:val="clear" w:color="auto" w:fill="auto"/>
            <w:noWrap/>
            <w:vAlign w:val="center"/>
            <w:hideMark/>
          </w:tcPr>
          <w:p w14:paraId="5CCDA3CE"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23</w:t>
            </w:r>
          </w:p>
        </w:tc>
        <w:tc>
          <w:tcPr>
            <w:tcW w:w="533" w:type="dxa"/>
            <w:tcBorders>
              <w:top w:val="nil"/>
              <w:left w:val="nil"/>
              <w:bottom w:val="single" w:sz="4" w:space="0" w:color="auto"/>
              <w:right w:val="single" w:sz="4" w:space="0" w:color="auto"/>
            </w:tcBorders>
            <w:shd w:val="clear" w:color="auto" w:fill="auto"/>
            <w:noWrap/>
            <w:vAlign w:val="center"/>
            <w:hideMark/>
          </w:tcPr>
          <w:p w14:paraId="581202DB"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17</w:t>
            </w:r>
          </w:p>
        </w:tc>
        <w:tc>
          <w:tcPr>
            <w:tcW w:w="700" w:type="dxa"/>
            <w:tcBorders>
              <w:top w:val="nil"/>
              <w:left w:val="nil"/>
              <w:bottom w:val="single" w:sz="4" w:space="0" w:color="auto"/>
              <w:right w:val="single" w:sz="4" w:space="0" w:color="auto"/>
            </w:tcBorders>
            <w:shd w:val="clear" w:color="auto" w:fill="auto"/>
            <w:noWrap/>
            <w:vAlign w:val="center"/>
            <w:hideMark/>
          </w:tcPr>
          <w:p w14:paraId="46047069"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8</w:t>
            </w:r>
          </w:p>
        </w:tc>
        <w:tc>
          <w:tcPr>
            <w:tcW w:w="700" w:type="dxa"/>
            <w:tcBorders>
              <w:top w:val="nil"/>
              <w:left w:val="nil"/>
              <w:bottom w:val="single" w:sz="4" w:space="0" w:color="auto"/>
              <w:right w:val="single" w:sz="4" w:space="0" w:color="auto"/>
            </w:tcBorders>
            <w:shd w:val="clear" w:color="auto" w:fill="auto"/>
            <w:noWrap/>
            <w:vAlign w:val="center"/>
            <w:hideMark/>
          </w:tcPr>
          <w:p w14:paraId="335958B7"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2</w:t>
            </w:r>
          </w:p>
        </w:tc>
        <w:tc>
          <w:tcPr>
            <w:tcW w:w="700" w:type="dxa"/>
            <w:tcBorders>
              <w:top w:val="nil"/>
              <w:left w:val="nil"/>
              <w:bottom w:val="single" w:sz="4" w:space="0" w:color="auto"/>
              <w:right w:val="single" w:sz="4" w:space="0" w:color="auto"/>
            </w:tcBorders>
            <w:shd w:val="clear" w:color="auto" w:fill="auto"/>
            <w:noWrap/>
            <w:vAlign w:val="center"/>
            <w:hideMark/>
          </w:tcPr>
          <w:p w14:paraId="05AD45E4"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w:t>
            </w:r>
          </w:p>
        </w:tc>
        <w:tc>
          <w:tcPr>
            <w:tcW w:w="701" w:type="dxa"/>
            <w:tcBorders>
              <w:top w:val="nil"/>
              <w:left w:val="nil"/>
              <w:bottom w:val="single" w:sz="4" w:space="0" w:color="auto"/>
              <w:right w:val="single" w:sz="4" w:space="0" w:color="auto"/>
            </w:tcBorders>
            <w:shd w:val="clear" w:color="auto" w:fill="auto"/>
            <w:noWrap/>
            <w:vAlign w:val="center"/>
            <w:hideMark/>
          </w:tcPr>
          <w:p w14:paraId="635EF466"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0</w:t>
            </w:r>
          </w:p>
        </w:tc>
        <w:tc>
          <w:tcPr>
            <w:tcW w:w="710" w:type="dxa"/>
            <w:tcBorders>
              <w:top w:val="nil"/>
              <w:left w:val="nil"/>
              <w:bottom w:val="single" w:sz="4" w:space="0" w:color="auto"/>
              <w:right w:val="single" w:sz="8" w:space="0" w:color="auto"/>
            </w:tcBorders>
            <w:shd w:val="clear" w:color="auto" w:fill="auto"/>
            <w:noWrap/>
            <w:vAlign w:val="center"/>
            <w:hideMark/>
          </w:tcPr>
          <w:p w14:paraId="4CD2CC37"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100</w:t>
            </w:r>
          </w:p>
        </w:tc>
      </w:tr>
      <w:tr w:rsidR="007A4F62" w:rsidRPr="00435266" w14:paraId="2E4789BA" w14:textId="77777777" w:rsidTr="00CF6CAF">
        <w:trPr>
          <w:gridAfter w:val="1"/>
          <w:wAfter w:w="299" w:type="dxa"/>
          <w:trHeight w:val="280"/>
        </w:trPr>
        <w:tc>
          <w:tcPr>
            <w:tcW w:w="1762" w:type="dxa"/>
            <w:tcBorders>
              <w:top w:val="nil"/>
              <w:left w:val="single" w:sz="4" w:space="0" w:color="auto"/>
              <w:bottom w:val="single" w:sz="4" w:space="0" w:color="auto"/>
              <w:right w:val="single" w:sz="8" w:space="0" w:color="auto"/>
            </w:tcBorders>
            <w:shd w:val="clear" w:color="auto" w:fill="auto"/>
            <w:noWrap/>
            <w:vAlign w:val="center"/>
            <w:hideMark/>
          </w:tcPr>
          <w:p w14:paraId="378C25EA" w14:textId="77777777" w:rsidR="007A4F62" w:rsidRPr="007A4F62" w:rsidRDefault="007A4F62" w:rsidP="00CF6CAF">
            <w:pPr>
              <w:rPr>
                <w:rFonts w:eastAsia="Times New Roman"/>
                <w:color w:val="000000"/>
                <w:sz w:val="20"/>
                <w:szCs w:val="20"/>
              </w:rPr>
            </w:pPr>
            <w:r w:rsidRPr="007A4F62">
              <w:rPr>
                <w:rFonts w:eastAsia="Times New Roman"/>
                <w:color w:val="000000"/>
                <w:sz w:val="20"/>
                <w:szCs w:val="20"/>
              </w:rPr>
              <w:t>Bogor</w:t>
            </w:r>
          </w:p>
        </w:tc>
        <w:tc>
          <w:tcPr>
            <w:tcW w:w="579" w:type="dxa"/>
            <w:tcBorders>
              <w:top w:val="nil"/>
              <w:left w:val="nil"/>
              <w:bottom w:val="single" w:sz="4" w:space="0" w:color="auto"/>
              <w:right w:val="single" w:sz="4" w:space="0" w:color="auto"/>
            </w:tcBorders>
            <w:shd w:val="clear" w:color="auto" w:fill="auto"/>
            <w:noWrap/>
            <w:vAlign w:val="center"/>
            <w:hideMark/>
          </w:tcPr>
          <w:p w14:paraId="16974479"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9</w:t>
            </w:r>
          </w:p>
        </w:tc>
        <w:tc>
          <w:tcPr>
            <w:tcW w:w="518" w:type="dxa"/>
            <w:tcBorders>
              <w:top w:val="nil"/>
              <w:left w:val="nil"/>
              <w:bottom w:val="single" w:sz="4" w:space="0" w:color="auto"/>
              <w:right w:val="single" w:sz="4" w:space="0" w:color="auto"/>
            </w:tcBorders>
            <w:shd w:val="clear" w:color="auto" w:fill="auto"/>
            <w:noWrap/>
            <w:vAlign w:val="center"/>
            <w:hideMark/>
          </w:tcPr>
          <w:p w14:paraId="442A8DDB"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11</w:t>
            </w:r>
          </w:p>
        </w:tc>
        <w:tc>
          <w:tcPr>
            <w:tcW w:w="548" w:type="dxa"/>
            <w:tcBorders>
              <w:top w:val="nil"/>
              <w:left w:val="nil"/>
              <w:bottom w:val="single" w:sz="4" w:space="0" w:color="auto"/>
              <w:right w:val="single" w:sz="4" w:space="0" w:color="auto"/>
            </w:tcBorders>
            <w:shd w:val="clear" w:color="auto" w:fill="auto"/>
            <w:noWrap/>
            <w:vAlign w:val="center"/>
            <w:hideMark/>
          </w:tcPr>
          <w:p w14:paraId="2F90D15E"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12</w:t>
            </w:r>
          </w:p>
        </w:tc>
        <w:tc>
          <w:tcPr>
            <w:tcW w:w="533" w:type="dxa"/>
            <w:tcBorders>
              <w:top w:val="nil"/>
              <w:left w:val="nil"/>
              <w:bottom w:val="single" w:sz="4" w:space="0" w:color="auto"/>
              <w:right w:val="single" w:sz="4" w:space="0" w:color="auto"/>
            </w:tcBorders>
            <w:shd w:val="clear" w:color="auto" w:fill="auto"/>
            <w:noWrap/>
            <w:vAlign w:val="center"/>
            <w:hideMark/>
          </w:tcPr>
          <w:p w14:paraId="61BCCF93"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11</w:t>
            </w:r>
          </w:p>
        </w:tc>
        <w:tc>
          <w:tcPr>
            <w:tcW w:w="533" w:type="dxa"/>
            <w:tcBorders>
              <w:top w:val="nil"/>
              <w:left w:val="nil"/>
              <w:bottom w:val="single" w:sz="4" w:space="0" w:color="auto"/>
              <w:right w:val="single" w:sz="4" w:space="0" w:color="auto"/>
            </w:tcBorders>
            <w:shd w:val="clear" w:color="auto" w:fill="auto"/>
            <w:noWrap/>
            <w:vAlign w:val="center"/>
            <w:hideMark/>
          </w:tcPr>
          <w:p w14:paraId="23741EBC"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19</w:t>
            </w:r>
          </w:p>
        </w:tc>
        <w:tc>
          <w:tcPr>
            <w:tcW w:w="533" w:type="dxa"/>
            <w:tcBorders>
              <w:top w:val="nil"/>
              <w:left w:val="nil"/>
              <w:bottom w:val="single" w:sz="4" w:space="0" w:color="auto"/>
              <w:right w:val="single" w:sz="4" w:space="0" w:color="auto"/>
            </w:tcBorders>
            <w:shd w:val="clear" w:color="auto" w:fill="auto"/>
            <w:noWrap/>
            <w:vAlign w:val="center"/>
            <w:hideMark/>
          </w:tcPr>
          <w:p w14:paraId="38CBCE17"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17</w:t>
            </w:r>
          </w:p>
        </w:tc>
        <w:tc>
          <w:tcPr>
            <w:tcW w:w="700" w:type="dxa"/>
            <w:tcBorders>
              <w:top w:val="nil"/>
              <w:left w:val="nil"/>
              <w:bottom w:val="single" w:sz="4" w:space="0" w:color="auto"/>
              <w:right w:val="single" w:sz="4" w:space="0" w:color="auto"/>
            </w:tcBorders>
            <w:shd w:val="clear" w:color="auto" w:fill="auto"/>
            <w:noWrap/>
            <w:vAlign w:val="center"/>
            <w:hideMark/>
          </w:tcPr>
          <w:p w14:paraId="7DAE203E"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12</w:t>
            </w:r>
          </w:p>
        </w:tc>
        <w:tc>
          <w:tcPr>
            <w:tcW w:w="700" w:type="dxa"/>
            <w:tcBorders>
              <w:top w:val="nil"/>
              <w:left w:val="nil"/>
              <w:bottom w:val="single" w:sz="4" w:space="0" w:color="auto"/>
              <w:right w:val="single" w:sz="4" w:space="0" w:color="auto"/>
            </w:tcBorders>
            <w:shd w:val="clear" w:color="auto" w:fill="auto"/>
            <w:noWrap/>
            <w:vAlign w:val="center"/>
            <w:hideMark/>
          </w:tcPr>
          <w:p w14:paraId="1C17ED33"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4</w:t>
            </w:r>
          </w:p>
        </w:tc>
        <w:tc>
          <w:tcPr>
            <w:tcW w:w="700" w:type="dxa"/>
            <w:tcBorders>
              <w:top w:val="nil"/>
              <w:left w:val="nil"/>
              <w:bottom w:val="single" w:sz="4" w:space="0" w:color="auto"/>
              <w:right w:val="single" w:sz="4" w:space="0" w:color="auto"/>
            </w:tcBorders>
            <w:shd w:val="clear" w:color="auto" w:fill="auto"/>
            <w:noWrap/>
            <w:vAlign w:val="center"/>
            <w:hideMark/>
          </w:tcPr>
          <w:p w14:paraId="5CF38EF9"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3</w:t>
            </w:r>
          </w:p>
        </w:tc>
        <w:tc>
          <w:tcPr>
            <w:tcW w:w="701" w:type="dxa"/>
            <w:tcBorders>
              <w:top w:val="nil"/>
              <w:left w:val="nil"/>
              <w:bottom w:val="single" w:sz="4" w:space="0" w:color="auto"/>
              <w:right w:val="single" w:sz="4" w:space="0" w:color="auto"/>
            </w:tcBorders>
            <w:shd w:val="clear" w:color="auto" w:fill="auto"/>
            <w:noWrap/>
            <w:vAlign w:val="center"/>
            <w:hideMark/>
          </w:tcPr>
          <w:p w14:paraId="06C0D14F"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2</w:t>
            </w:r>
          </w:p>
        </w:tc>
        <w:tc>
          <w:tcPr>
            <w:tcW w:w="710" w:type="dxa"/>
            <w:tcBorders>
              <w:top w:val="nil"/>
              <w:left w:val="nil"/>
              <w:bottom w:val="single" w:sz="4" w:space="0" w:color="auto"/>
              <w:right w:val="single" w:sz="8" w:space="0" w:color="auto"/>
            </w:tcBorders>
            <w:shd w:val="clear" w:color="auto" w:fill="auto"/>
            <w:noWrap/>
            <w:vAlign w:val="center"/>
            <w:hideMark/>
          </w:tcPr>
          <w:p w14:paraId="2E2A77ED"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100</w:t>
            </w:r>
          </w:p>
        </w:tc>
      </w:tr>
      <w:tr w:rsidR="007A4F62" w:rsidRPr="00435266" w14:paraId="3E2B2ED2" w14:textId="77777777" w:rsidTr="00CF6CAF">
        <w:trPr>
          <w:gridAfter w:val="1"/>
          <w:wAfter w:w="299" w:type="dxa"/>
          <w:trHeight w:val="280"/>
        </w:trPr>
        <w:tc>
          <w:tcPr>
            <w:tcW w:w="1762" w:type="dxa"/>
            <w:tcBorders>
              <w:top w:val="nil"/>
              <w:left w:val="single" w:sz="4" w:space="0" w:color="auto"/>
              <w:bottom w:val="single" w:sz="4" w:space="0" w:color="auto"/>
              <w:right w:val="single" w:sz="8" w:space="0" w:color="auto"/>
            </w:tcBorders>
            <w:shd w:val="clear" w:color="auto" w:fill="auto"/>
            <w:noWrap/>
            <w:vAlign w:val="center"/>
            <w:hideMark/>
          </w:tcPr>
          <w:p w14:paraId="097B7B1E" w14:textId="77777777" w:rsidR="007A4F62" w:rsidRPr="007A4F62" w:rsidRDefault="007A4F62" w:rsidP="00CF6CAF">
            <w:pPr>
              <w:rPr>
                <w:rFonts w:eastAsia="Times New Roman"/>
                <w:color w:val="000000"/>
                <w:sz w:val="20"/>
                <w:szCs w:val="20"/>
              </w:rPr>
            </w:pPr>
            <w:r w:rsidRPr="007A4F62">
              <w:rPr>
                <w:rFonts w:eastAsia="Times New Roman"/>
                <w:color w:val="000000"/>
                <w:sz w:val="20"/>
                <w:szCs w:val="20"/>
              </w:rPr>
              <w:t>Depok</w:t>
            </w:r>
          </w:p>
        </w:tc>
        <w:tc>
          <w:tcPr>
            <w:tcW w:w="579" w:type="dxa"/>
            <w:tcBorders>
              <w:top w:val="nil"/>
              <w:left w:val="nil"/>
              <w:bottom w:val="single" w:sz="4" w:space="0" w:color="auto"/>
              <w:right w:val="single" w:sz="4" w:space="0" w:color="auto"/>
            </w:tcBorders>
            <w:shd w:val="clear" w:color="auto" w:fill="auto"/>
            <w:noWrap/>
            <w:vAlign w:val="center"/>
            <w:hideMark/>
          </w:tcPr>
          <w:p w14:paraId="612ED981"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7</w:t>
            </w:r>
          </w:p>
        </w:tc>
        <w:tc>
          <w:tcPr>
            <w:tcW w:w="518" w:type="dxa"/>
            <w:tcBorders>
              <w:top w:val="nil"/>
              <w:left w:val="nil"/>
              <w:bottom w:val="single" w:sz="4" w:space="0" w:color="auto"/>
              <w:right w:val="single" w:sz="4" w:space="0" w:color="auto"/>
            </w:tcBorders>
            <w:shd w:val="clear" w:color="auto" w:fill="auto"/>
            <w:noWrap/>
            <w:vAlign w:val="center"/>
            <w:hideMark/>
          </w:tcPr>
          <w:p w14:paraId="5D5B1F20"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9</w:t>
            </w:r>
          </w:p>
        </w:tc>
        <w:tc>
          <w:tcPr>
            <w:tcW w:w="548" w:type="dxa"/>
            <w:tcBorders>
              <w:top w:val="nil"/>
              <w:left w:val="nil"/>
              <w:bottom w:val="single" w:sz="4" w:space="0" w:color="auto"/>
              <w:right w:val="single" w:sz="4" w:space="0" w:color="auto"/>
            </w:tcBorders>
            <w:shd w:val="clear" w:color="auto" w:fill="auto"/>
            <w:noWrap/>
            <w:vAlign w:val="center"/>
            <w:hideMark/>
          </w:tcPr>
          <w:p w14:paraId="0BC5F2BC"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14</w:t>
            </w:r>
          </w:p>
        </w:tc>
        <w:tc>
          <w:tcPr>
            <w:tcW w:w="533" w:type="dxa"/>
            <w:tcBorders>
              <w:top w:val="nil"/>
              <w:left w:val="nil"/>
              <w:bottom w:val="single" w:sz="4" w:space="0" w:color="auto"/>
              <w:right w:val="single" w:sz="4" w:space="0" w:color="auto"/>
            </w:tcBorders>
            <w:shd w:val="clear" w:color="auto" w:fill="auto"/>
            <w:noWrap/>
            <w:vAlign w:val="center"/>
            <w:hideMark/>
          </w:tcPr>
          <w:p w14:paraId="43FDBD2F"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8</w:t>
            </w:r>
          </w:p>
        </w:tc>
        <w:tc>
          <w:tcPr>
            <w:tcW w:w="533" w:type="dxa"/>
            <w:tcBorders>
              <w:top w:val="nil"/>
              <w:left w:val="nil"/>
              <w:bottom w:val="single" w:sz="4" w:space="0" w:color="auto"/>
              <w:right w:val="single" w:sz="4" w:space="0" w:color="auto"/>
            </w:tcBorders>
            <w:shd w:val="clear" w:color="auto" w:fill="auto"/>
            <w:noWrap/>
            <w:vAlign w:val="center"/>
            <w:hideMark/>
          </w:tcPr>
          <w:p w14:paraId="784F9853"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18</w:t>
            </w:r>
          </w:p>
        </w:tc>
        <w:tc>
          <w:tcPr>
            <w:tcW w:w="533" w:type="dxa"/>
            <w:tcBorders>
              <w:top w:val="nil"/>
              <w:left w:val="nil"/>
              <w:bottom w:val="single" w:sz="4" w:space="0" w:color="auto"/>
              <w:right w:val="single" w:sz="4" w:space="0" w:color="auto"/>
            </w:tcBorders>
            <w:shd w:val="clear" w:color="auto" w:fill="auto"/>
            <w:noWrap/>
            <w:vAlign w:val="center"/>
            <w:hideMark/>
          </w:tcPr>
          <w:p w14:paraId="2093A9B5"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20</w:t>
            </w:r>
          </w:p>
        </w:tc>
        <w:tc>
          <w:tcPr>
            <w:tcW w:w="700" w:type="dxa"/>
            <w:tcBorders>
              <w:top w:val="nil"/>
              <w:left w:val="nil"/>
              <w:bottom w:val="single" w:sz="4" w:space="0" w:color="auto"/>
              <w:right w:val="single" w:sz="4" w:space="0" w:color="auto"/>
            </w:tcBorders>
            <w:shd w:val="clear" w:color="auto" w:fill="auto"/>
            <w:noWrap/>
            <w:vAlign w:val="center"/>
            <w:hideMark/>
          </w:tcPr>
          <w:p w14:paraId="5BE23A7A"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15</w:t>
            </w:r>
          </w:p>
        </w:tc>
        <w:tc>
          <w:tcPr>
            <w:tcW w:w="700" w:type="dxa"/>
            <w:tcBorders>
              <w:top w:val="nil"/>
              <w:left w:val="nil"/>
              <w:bottom w:val="single" w:sz="4" w:space="0" w:color="auto"/>
              <w:right w:val="single" w:sz="4" w:space="0" w:color="auto"/>
            </w:tcBorders>
            <w:shd w:val="clear" w:color="auto" w:fill="auto"/>
            <w:noWrap/>
            <w:vAlign w:val="center"/>
            <w:hideMark/>
          </w:tcPr>
          <w:p w14:paraId="10EA3D3B"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5</w:t>
            </w:r>
          </w:p>
        </w:tc>
        <w:tc>
          <w:tcPr>
            <w:tcW w:w="700" w:type="dxa"/>
            <w:tcBorders>
              <w:top w:val="nil"/>
              <w:left w:val="nil"/>
              <w:bottom w:val="single" w:sz="4" w:space="0" w:color="auto"/>
              <w:right w:val="single" w:sz="4" w:space="0" w:color="auto"/>
            </w:tcBorders>
            <w:shd w:val="clear" w:color="auto" w:fill="auto"/>
            <w:noWrap/>
            <w:vAlign w:val="center"/>
            <w:hideMark/>
          </w:tcPr>
          <w:p w14:paraId="053BAAEC"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3</w:t>
            </w:r>
          </w:p>
        </w:tc>
        <w:tc>
          <w:tcPr>
            <w:tcW w:w="701" w:type="dxa"/>
            <w:tcBorders>
              <w:top w:val="nil"/>
              <w:left w:val="nil"/>
              <w:bottom w:val="single" w:sz="4" w:space="0" w:color="auto"/>
              <w:right w:val="single" w:sz="4" w:space="0" w:color="auto"/>
            </w:tcBorders>
            <w:shd w:val="clear" w:color="auto" w:fill="auto"/>
            <w:noWrap/>
            <w:vAlign w:val="center"/>
            <w:hideMark/>
          </w:tcPr>
          <w:p w14:paraId="5D18D2D6"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w:t>
            </w:r>
          </w:p>
        </w:tc>
        <w:tc>
          <w:tcPr>
            <w:tcW w:w="710" w:type="dxa"/>
            <w:tcBorders>
              <w:top w:val="nil"/>
              <w:left w:val="nil"/>
              <w:bottom w:val="single" w:sz="4" w:space="0" w:color="auto"/>
              <w:right w:val="single" w:sz="8" w:space="0" w:color="auto"/>
            </w:tcBorders>
            <w:shd w:val="clear" w:color="auto" w:fill="auto"/>
            <w:noWrap/>
            <w:vAlign w:val="center"/>
            <w:hideMark/>
          </w:tcPr>
          <w:p w14:paraId="1C5D30F0"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100</w:t>
            </w:r>
          </w:p>
        </w:tc>
      </w:tr>
      <w:tr w:rsidR="007A4F62" w:rsidRPr="00435266" w14:paraId="44B0AFF1" w14:textId="77777777" w:rsidTr="00CF6CAF">
        <w:trPr>
          <w:gridAfter w:val="1"/>
          <w:wAfter w:w="299" w:type="dxa"/>
          <w:trHeight w:val="280"/>
        </w:trPr>
        <w:tc>
          <w:tcPr>
            <w:tcW w:w="1762" w:type="dxa"/>
            <w:tcBorders>
              <w:top w:val="nil"/>
              <w:left w:val="single" w:sz="4" w:space="0" w:color="auto"/>
              <w:bottom w:val="single" w:sz="4" w:space="0" w:color="auto"/>
              <w:right w:val="single" w:sz="8" w:space="0" w:color="auto"/>
            </w:tcBorders>
            <w:shd w:val="clear" w:color="auto" w:fill="auto"/>
            <w:noWrap/>
            <w:vAlign w:val="center"/>
            <w:hideMark/>
          </w:tcPr>
          <w:p w14:paraId="19AFFAA5" w14:textId="77777777" w:rsidR="007A4F62" w:rsidRPr="007A4F62" w:rsidRDefault="007A4F62" w:rsidP="00CF6CAF">
            <w:pPr>
              <w:rPr>
                <w:rFonts w:eastAsia="Times New Roman"/>
                <w:color w:val="000000"/>
                <w:sz w:val="20"/>
                <w:szCs w:val="20"/>
              </w:rPr>
            </w:pPr>
            <w:r w:rsidRPr="007A4F62">
              <w:rPr>
                <w:rFonts w:eastAsia="Times New Roman"/>
                <w:color w:val="000000"/>
                <w:sz w:val="20"/>
                <w:szCs w:val="20"/>
              </w:rPr>
              <w:t>Tangerang Regency</w:t>
            </w:r>
          </w:p>
        </w:tc>
        <w:tc>
          <w:tcPr>
            <w:tcW w:w="579" w:type="dxa"/>
            <w:tcBorders>
              <w:top w:val="nil"/>
              <w:left w:val="nil"/>
              <w:bottom w:val="single" w:sz="4" w:space="0" w:color="auto"/>
              <w:right w:val="single" w:sz="4" w:space="0" w:color="auto"/>
            </w:tcBorders>
            <w:shd w:val="clear" w:color="auto" w:fill="auto"/>
            <w:noWrap/>
            <w:vAlign w:val="center"/>
            <w:hideMark/>
          </w:tcPr>
          <w:p w14:paraId="0F2F42F1"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11</w:t>
            </w:r>
          </w:p>
        </w:tc>
        <w:tc>
          <w:tcPr>
            <w:tcW w:w="518" w:type="dxa"/>
            <w:tcBorders>
              <w:top w:val="nil"/>
              <w:left w:val="nil"/>
              <w:bottom w:val="single" w:sz="4" w:space="0" w:color="auto"/>
              <w:right w:val="single" w:sz="4" w:space="0" w:color="auto"/>
            </w:tcBorders>
            <w:shd w:val="clear" w:color="auto" w:fill="auto"/>
            <w:noWrap/>
            <w:vAlign w:val="center"/>
            <w:hideMark/>
          </w:tcPr>
          <w:p w14:paraId="2327D777"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11</w:t>
            </w:r>
          </w:p>
        </w:tc>
        <w:tc>
          <w:tcPr>
            <w:tcW w:w="548" w:type="dxa"/>
            <w:tcBorders>
              <w:top w:val="nil"/>
              <w:left w:val="nil"/>
              <w:bottom w:val="single" w:sz="4" w:space="0" w:color="auto"/>
              <w:right w:val="single" w:sz="4" w:space="0" w:color="auto"/>
            </w:tcBorders>
            <w:shd w:val="clear" w:color="auto" w:fill="auto"/>
            <w:noWrap/>
            <w:vAlign w:val="center"/>
            <w:hideMark/>
          </w:tcPr>
          <w:p w14:paraId="4A81C7BF"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13</w:t>
            </w:r>
          </w:p>
        </w:tc>
        <w:tc>
          <w:tcPr>
            <w:tcW w:w="533" w:type="dxa"/>
            <w:tcBorders>
              <w:top w:val="nil"/>
              <w:left w:val="nil"/>
              <w:bottom w:val="single" w:sz="4" w:space="0" w:color="auto"/>
              <w:right w:val="single" w:sz="4" w:space="0" w:color="auto"/>
            </w:tcBorders>
            <w:shd w:val="clear" w:color="auto" w:fill="auto"/>
            <w:noWrap/>
            <w:vAlign w:val="center"/>
            <w:hideMark/>
          </w:tcPr>
          <w:p w14:paraId="6FD8CA38"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14</w:t>
            </w:r>
          </w:p>
        </w:tc>
        <w:tc>
          <w:tcPr>
            <w:tcW w:w="533" w:type="dxa"/>
            <w:tcBorders>
              <w:top w:val="nil"/>
              <w:left w:val="nil"/>
              <w:bottom w:val="single" w:sz="4" w:space="0" w:color="auto"/>
              <w:right w:val="single" w:sz="4" w:space="0" w:color="auto"/>
            </w:tcBorders>
            <w:shd w:val="clear" w:color="auto" w:fill="auto"/>
            <w:noWrap/>
            <w:vAlign w:val="center"/>
            <w:hideMark/>
          </w:tcPr>
          <w:p w14:paraId="6AD2AC65"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27</w:t>
            </w:r>
          </w:p>
        </w:tc>
        <w:tc>
          <w:tcPr>
            <w:tcW w:w="533" w:type="dxa"/>
            <w:tcBorders>
              <w:top w:val="nil"/>
              <w:left w:val="nil"/>
              <w:bottom w:val="single" w:sz="4" w:space="0" w:color="auto"/>
              <w:right w:val="single" w:sz="4" w:space="0" w:color="auto"/>
            </w:tcBorders>
            <w:shd w:val="clear" w:color="auto" w:fill="auto"/>
            <w:noWrap/>
            <w:vAlign w:val="center"/>
            <w:hideMark/>
          </w:tcPr>
          <w:p w14:paraId="2F2C87D1"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16</w:t>
            </w:r>
          </w:p>
        </w:tc>
        <w:tc>
          <w:tcPr>
            <w:tcW w:w="700" w:type="dxa"/>
            <w:tcBorders>
              <w:top w:val="nil"/>
              <w:left w:val="nil"/>
              <w:bottom w:val="single" w:sz="4" w:space="0" w:color="auto"/>
              <w:right w:val="single" w:sz="4" w:space="0" w:color="auto"/>
            </w:tcBorders>
            <w:shd w:val="clear" w:color="auto" w:fill="auto"/>
            <w:noWrap/>
            <w:vAlign w:val="center"/>
            <w:hideMark/>
          </w:tcPr>
          <w:p w14:paraId="5A6330C5"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5</w:t>
            </w:r>
          </w:p>
        </w:tc>
        <w:tc>
          <w:tcPr>
            <w:tcW w:w="700" w:type="dxa"/>
            <w:tcBorders>
              <w:top w:val="nil"/>
              <w:left w:val="nil"/>
              <w:bottom w:val="single" w:sz="4" w:space="0" w:color="auto"/>
              <w:right w:val="single" w:sz="4" w:space="0" w:color="auto"/>
            </w:tcBorders>
            <w:shd w:val="clear" w:color="auto" w:fill="auto"/>
            <w:noWrap/>
            <w:vAlign w:val="center"/>
            <w:hideMark/>
          </w:tcPr>
          <w:p w14:paraId="2A52D939"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center"/>
            <w:hideMark/>
          </w:tcPr>
          <w:p w14:paraId="47642983"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w:t>
            </w:r>
          </w:p>
        </w:tc>
        <w:tc>
          <w:tcPr>
            <w:tcW w:w="701" w:type="dxa"/>
            <w:tcBorders>
              <w:top w:val="nil"/>
              <w:left w:val="nil"/>
              <w:bottom w:val="single" w:sz="4" w:space="0" w:color="auto"/>
              <w:right w:val="single" w:sz="4" w:space="0" w:color="auto"/>
            </w:tcBorders>
            <w:shd w:val="clear" w:color="auto" w:fill="auto"/>
            <w:noWrap/>
            <w:vAlign w:val="center"/>
            <w:hideMark/>
          </w:tcPr>
          <w:p w14:paraId="68995D34"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0</w:t>
            </w:r>
          </w:p>
        </w:tc>
        <w:tc>
          <w:tcPr>
            <w:tcW w:w="710" w:type="dxa"/>
            <w:tcBorders>
              <w:top w:val="nil"/>
              <w:left w:val="nil"/>
              <w:bottom w:val="single" w:sz="4" w:space="0" w:color="auto"/>
              <w:right w:val="single" w:sz="8" w:space="0" w:color="auto"/>
            </w:tcBorders>
            <w:shd w:val="clear" w:color="auto" w:fill="auto"/>
            <w:noWrap/>
            <w:vAlign w:val="center"/>
            <w:hideMark/>
          </w:tcPr>
          <w:p w14:paraId="5E999331"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100</w:t>
            </w:r>
          </w:p>
        </w:tc>
      </w:tr>
      <w:tr w:rsidR="007A4F62" w:rsidRPr="00435266" w14:paraId="08A7A1BF" w14:textId="77777777" w:rsidTr="00CF6CAF">
        <w:trPr>
          <w:gridAfter w:val="1"/>
          <w:wAfter w:w="299" w:type="dxa"/>
          <w:trHeight w:val="280"/>
        </w:trPr>
        <w:tc>
          <w:tcPr>
            <w:tcW w:w="1762" w:type="dxa"/>
            <w:tcBorders>
              <w:top w:val="nil"/>
              <w:left w:val="single" w:sz="4" w:space="0" w:color="auto"/>
              <w:bottom w:val="single" w:sz="4" w:space="0" w:color="auto"/>
              <w:right w:val="single" w:sz="8" w:space="0" w:color="auto"/>
            </w:tcBorders>
            <w:shd w:val="clear" w:color="auto" w:fill="auto"/>
            <w:noWrap/>
            <w:vAlign w:val="center"/>
            <w:hideMark/>
          </w:tcPr>
          <w:p w14:paraId="495A9508" w14:textId="77777777" w:rsidR="007A4F62" w:rsidRPr="007A4F62" w:rsidRDefault="007A4F62" w:rsidP="00CF6CAF">
            <w:pPr>
              <w:rPr>
                <w:rFonts w:eastAsia="Times New Roman"/>
                <w:color w:val="000000"/>
                <w:sz w:val="20"/>
                <w:szCs w:val="20"/>
              </w:rPr>
            </w:pPr>
            <w:r w:rsidRPr="007A4F62">
              <w:rPr>
                <w:rFonts w:eastAsia="Times New Roman"/>
                <w:color w:val="000000"/>
                <w:sz w:val="20"/>
                <w:szCs w:val="20"/>
              </w:rPr>
              <w:t>Tangerang</w:t>
            </w:r>
          </w:p>
        </w:tc>
        <w:tc>
          <w:tcPr>
            <w:tcW w:w="579" w:type="dxa"/>
            <w:tcBorders>
              <w:top w:val="nil"/>
              <w:left w:val="nil"/>
              <w:bottom w:val="single" w:sz="4" w:space="0" w:color="auto"/>
              <w:right w:val="single" w:sz="4" w:space="0" w:color="auto"/>
            </w:tcBorders>
            <w:shd w:val="clear" w:color="auto" w:fill="auto"/>
            <w:noWrap/>
            <w:vAlign w:val="center"/>
            <w:hideMark/>
          </w:tcPr>
          <w:p w14:paraId="33141DA3"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19</w:t>
            </w:r>
          </w:p>
        </w:tc>
        <w:tc>
          <w:tcPr>
            <w:tcW w:w="518" w:type="dxa"/>
            <w:tcBorders>
              <w:top w:val="nil"/>
              <w:left w:val="nil"/>
              <w:bottom w:val="single" w:sz="4" w:space="0" w:color="auto"/>
              <w:right w:val="single" w:sz="4" w:space="0" w:color="auto"/>
            </w:tcBorders>
            <w:shd w:val="clear" w:color="auto" w:fill="auto"/>
            <w:noWrap/>
            <w:vAlign w:val="center"/>
            <w:hideMark/>
          </w:tcPr>
          <w:p w14:paraId="25C1C5DE"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12</w:t>
            </w:r>
          </w:p>
        </w:tc>
        <w:tc>
          <w:tcPr>
            <w:tcW w:w="548" w:type="dxa"/>
            <w:tcBorders>
              <w:top w:val="nil"/>
              <w:left w:val="nil"/>
              <w:bottom w:val="single" w:sz="4" w:space="0" w:color="auto"/>
              <w:right w:val="single" w:sz="4" w:space="0" w:color="auto"/>
            </w:tcBorders>
            <w:shd w:val="clear" w:color="auto" w:fill="auto"/>
            <w:noWrap/>
            <w:vAlign w:val="center"/>
            <w:hideMark/>
          </w:tcPr>
          <w:p w14:paraId="15D08C59"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12</w:t>
            </w:r>
          </w:p>
        </w:tc>
        <w:tc>
          <w:tcPr>
            <w:tcW w:w="533" w:type="dxa"/>
            <w:tcBorders>
              <w:top w:val="nil"/>
              <w:left w:val="nil"/>
              <w:bottom w:val="single" w:sz="4" w:space="0" w:color="auto"/>
              <w:right w:val="single" w:sz="4" w:space="0" w:color="auto"/>
            </w:tcBorders>
            <w:shd w:val="clear" w:color="auto" w:fill="auto"/>
            <w:noWrap/>
            <w:vAlign w:val="center"/>
            <w:hideMark/>
          </w:tcPr>
          <w:p w14:paraId="7CA4FCBC"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6</w:t>
            </w:r>
          </w:p>
        </w:tc>
        <w:tc>
          <w:tcPr>
            <w:tcW w:w="533" w:type="dxa"/>
            <w:tcBorders>
              <w:top w:val="nil"/>
              <w:left w:val="nil"/>
              <w:bottom w:val="single" w:sz="4" w:space="0" w:color="auto"/>
              <w:right w:val="single" w:sz="4" w:space="0" w:color="auto"/>
            </w:tcBorders>
            <w:shd w:val="clear" w:color="auto" w:fill="auto"/>
            <w:noWrap/>
            <w:vAlign w:val="center"/>
            <w:hideMark/>
          </w:tcPr>
          <w:p w14:paraId="6080A04C"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17</w:t>
            </w:r>
          </w:p>
        </w:tc>
        <w:tc>
          <w:tcPr>
            <w:tcW w:w="533" w:type="dxa"/>
            <w:tcBorders>
              <w:top w:val="nil"/>
              <w:left w:val="nil"/>
              <w:bottom w:val="single" w:sz="4" w:space="0" w:color="auto"/>
              <w:right w:val="single" w:sz="4" w:space="0" w:color="auto"/>
            </w:tcBorders>
            <w:shd w:val="clear" w:color="auto" w:fill="auto"/>
            <w:noWrap/>
            <w:vAlign w:val="center"/>
            <w:hideMark/>
          </w:tcPr>
          <w:p w14:paraId="419261F2"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17</w:t>
            </w:r>
          </w:p>
        </w:tc>
        <w:tc>
          <w:tcPr>
            <w:tcW w:w="700" w:type="dxa"/>
            <w:tcBorders>
              <w:top w:val="nil"/>
              <w:left w:val="nil"/>
              <w:bottom w:val="single" w:sz="4" w:space="0" w:color="auto"/>
              <w:right w:val="single" w:sz="4" w:space="0" w:color="auto"/>
            </w:tcBorders>
            <w:shd w:val="clear" w:color="auto" w:fill="auto"/>
            <w:noWrap/>
            <w:vAlign w:val="center"/>
            <w:hideMark/>
          </w:tcPr>
          <w:p w14:paraId="27C44EB1"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11</w:t>
            </w:r>
          </w:p>
        </w:tc>
        <w:tc>
          <w:tcPr>
            <w:tcW w:w="700" w:type="dxa"/>
            <w:tcBorders>
              <w:top w:val="nil"/>
              <w:left w:val="nil"/>
              <w:bottom w:val="single" w:sz="4" w:space="0" w:color="auto"/>
              <w:right w:val="single" w:sz="4" w:space="0" w:color="auto"/>
            </w:tcBorders>
            <w:shd w:val="clear" w:color="auto" w:fill="auto"/>
            <w:noWrap/>
            <w:vAlign w:val="center"/>
            <w:hideMark/>
          </w:tcPr>
          <w:p w14:paraId="310BA49C"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3</w:t>
            </w:r>
          </w:p>
        </w:tc>
        <w:tc>
          <w:tcPr>
            <w:tcW w:w="700" w:type="dxa"/>
            <w:tcBorders>
              <w:top w:val="nil"/>
              <w:left w:val="nil"/>
              <w:bottom w:val="single" w:sz="4" w:space="0" w:color="auto"/>
              <w:right w:val="single" w:sz="4" w:space="0" w:color="auto"/>
            </w:tcBorders>
            <w:shd w:val="clear" w:color="auto" w:fill="auto"/>
            <w:noWrap/>
            <w:vAlign w:val="center"/>
            <w:hideMark/>
          </w:tcPr>
          <w:p w14:paraId="26B6B304"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2</w:t>
            </w:r>
          </w:p>
        </w:tc>
        <w:tc>
          <w:tcPr>
            <w:tcW w:w="701" w:type="dxa"/>
            <w:tcBorders>
              <w:top w:val="nil"/>
              <w:left w:val="nil"/>
              <w:bottom w:val="single" w:sz="4" w:space="0" w:color="auto"/>
              <w:right w:val="single" w:sz="4" w:space="0" w:color="auto"/>
            </w:tcBorders>
            <w:shd w:val="clear" w:color="auto" w:fill="auto"/>
            <w:noWrap/>
            <w:vAlign w:val="center"/>
            <w:hideMark/>
          </w:tcPr>
          <w:p w14:paraId="49FE58B9"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w:t>
            </w:r>
          </w:p>
        </w:tc>
        <w:tc>
          <w:tcPr>
            <w:tcW w:w="710" w:type="dxa"/>
            <w:tcBorders>
              <w:top w:val="nil"/>
              <w:left w:val="nil"/>
              <w:bottom w:val="single" w:sz="4" w:space="0" w:color="auto"/>
              <w:right w:val="single" w:sz="8" w:space="0" w:color="auto"/>
            </w:tcBorders>
            <w:shd w:val="clear" w:color="auto" w:fill="auto"/>
            <w:noWrap/>
            <w:vAlign w:val="center"/>
            <w:hideMark/>
          </w:tcPr>
          <w:p w14:paraId="3D9E9ADB"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100</w:t>
            </w:r>
          </w:p>
        </w:tc>
      </w:tr>
      <w:tr w:rsidR="007A4F62" w:rsidRPr="00435266" w14:paraId="43355AAF" w14:textId="77777777" w:rsidTr="00CF6CAF">
        <w:trPr>
          <w:gridAfter w:val="1"/>
          <w:wAfter w:w="299" w:type="dxa"/>
          <w:trHeight w:val="280"/>
        </w:trPr>
        <w:tc>
          <w:tcPr>
            <w:tcW w:w="1762" w:type="dxa"/>
            <w:tcBorders>
              <w:top w:val="nil"/>
              <w:left w:val="single" w:sz="4" w:space="0" w:color="auto"/>
              <w:bottom w:val="single" w:sz="4" w:space="0" w:color="auto"/>
              <w:right w:val="single" w:sz="8" w:space="0" w:color="auto"/>
            </w:tcBorders>
            <w:shd w:val="clear" w:color="auto" w:fill="auto"/>
            <w:noWrap/>
            <w:vAlign w:val="center"/>
            <w:hideMark/>
          </w:tcPr>
          <w:p w14:paraId="21F4DC3A" w14:textId="77777777" w:rsidR="007A4F62" w:rsidRPr="007A4F62" w:rsidRDefault="007A4F62" w:rsidP="00CF6CAF">
            <w:pPr>
              <w:rPr>
                <w:rFonts w:eastAsia="Times New Roman"/>
                <w:color w:val="000000"/>
                <w:sz w:val="20"/>
                <w:szCs w:val="20"/>
              </w:rPr>
            </w:pPr>
            <w:r w:rsidRPr="007A4F62">
              <w:rPr>
                <w:rFonts w:eastAsia="Times New Roman"/>
                <w:color w:val="000000"/>
                <w:sz w:val="20"/>
                <w:szCs w:val="20"/>
              </w:rPr>
              <w:t>Tangerang Selatan</w:t>
            </w:r>
          </w:p>
        </w:tc>
        <w:tc>
          <w:tcPr>
            <w:tcW w:w="579" w:type="dxa"/>
            <w:tcBorders>
              <w:top w:val="nil"/>
              <w:left w:val="nil"/>
              <w:bottom w:val="single" w:sz="4" w:space="0" w:color="auto"/>
              <w:right w:val="single" w:sz="4" w:space="0" w:color="auto"/>
            </w:tcBorders>
            <w:shd w:val="clear" w:color="auto" w:fill="auto"/>
            <w:noWrap/>
            <w:vAlign w:val="center"/>
            <w:hideMark/>
          </w:tcPr>
          <w:p w14:paraId="49B16D9E"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6</w:t>
            </w:r>
          </w:p>
        </w:tc>
        <w:tc>
          <w:tcPr>
            <w:tcW w:w="518" w:type="dxa"/>
            <w:tcBorders>
              <w:top w:val="nil"/>
              <w:left w:val="nil"/>
              <w:bottom w:val="single" w:sz="4" w:space="0" w:color="auto"/>
              <w:right w:val="single" w:sz="4" w:space="0" w:color="auto"/>
            </w:tcBorders>
            <w:shd w:val="clear" w:color="auto" w:fill="auto"/>
            <w:noWrap/>
            <w:vAlign w:val="center"/>
            <w:hideMark/>
          </w:tcPr>
          <w:p w14:paraId="36C72A5B"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9</w:t>
            </w:r>
          </w:p>
        </w:tc>
        <w:tc>
          <w:tcPr>
            <w:tcW w:w="548" w:type="dxa"/>
            <w:tcBorders>
              <w:top w:val="nil"/>
              <w:left w:val="nil"/>
              <w:bottom w:val="single" w:sz="4" w:space="0" w:color="auto"/>
              <w:right w:val="single" w:sz="4" w:space="0" w:color="auto"/>
            </w:tcBorders>
            <w:shd w:val="clear" w:color="auto" w:fill="auto"/>
            <w:noWrap/>
            <w:vAlign w:val="center"/>
            <w:hideMark/>
          </w:tcPr>
          <w:p w14:paraId="11B0A460"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14</w:t>
            </w:r>
          </w:p>
        </w:tc>
        <w:tc>
          <w:tcPr>
            <w:tcW w:w="533" w:type="dxa"/>
            <w:tcBorders>
              <w:top w:val="nil"/>
              <w:left w:val="nil"/>
              <w:bottom w:val="single" w:sz="4" w:space="0" w:color="auto"/>
              <w:right w:val="single" w:sz="4" w:space="0" w:color="auto"/>
            </w:tcBorders>
            <w:shd w:val="clear" w:color="auto" w:fill="auto"/>
            <w:noWrap/>
            <w:vAlign w:val="center"/>
            <w:hideMark/>
          </w:tcPr>
          <w:p w14:paraId="409EBD02"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8</w:t>
            </w:r>
          </w:p>
        </w:tc>
        <w:tc>
          <w:tcPr>
            <w:tcW w:w="533" w:type="dxa"/>
            <w:tcBorders>
              <w:top w:val="nil"/>
              <w:left w:val="nil"/>
              <w:bottom w:val="single" w:sz="4" w:space="0" w:color="auto"/>
              <w:right w:val="single" w:sz="4" w:space="0" w:color="auto"/>
            </w:tcBorders>
            <w:shd w:val="clear" w:color="auto" w:fill="auto"/>
            <w:noWrap/>
            <w:vAlign w:val="center"/>
            <w:hideMark/>
          </w:tcPr>
          <w:p w14:paraId="24C5D02B"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20</w:t>
            </w:r>
          </w:p>
        </w:tc>
        <w:tc>
          <w:tcPr>
            <w:tcW w:w="533" w:type="dxa"/>
            <w:tcBorders>
              <w:top w:val="nil"/>
              <w:left w:val="nil"/>
              <w:bottom w:val="single" w:sz="4" w:space="0" w:color="auto"/>
              <w:right w:val="single" w:sz="4" w:space="0" w:color="auto"/>
            </w:tcBorders>
            <w:shd w:val="clear" w:color="auto" w:fill="auto"/>
            <w:noWrap/>
            <w:vAlign w:val="center"/>
            <w:hideMark/>
          </w:tcPr>
          <w:p w14:paraId="53CFBE50"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18</w:t>
            </w:r>
          </w:p>
        </w:tc>
        <w:tc>
          <w:tcPr>
            <w:tcW w:w="700" w:type="dxa"/>
            <w:tcBorders>
              <w:top w:val="nil"/>
              <w:left w:val="nil"/>
              <w:bottom w:val="single" w:sz="4" w:space="0" w:color="auto"/>
              <w:right w:val="single" w:sz="4" w:space="0" w:color="auto"/>
            </w:tcBorders>
            <w:shd w:val="clear" w:color="auto" w:fill="auto"/>
            <w:noWrap/>
            <w:vAlign w:val="center"/>
            <w:hideMark/>
          </w:tcPr>
          <w:p w14:paraId="63C4E1D8"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15</w:t>
            </w:r>
          </w:p>
        </w:tc>
        <w:tc>
          <w:tcPr>
            <w:tcW w:w="700" w:type="dxa"/>
            <w:tcBorders>
              <w:top w:val="nil"/>
              <w:left w:val="nil"/>
              <w:bottom w:val="single" w:sz="4" w:space="0" w:color="auto"/>
              <w:right w:val="single" w:sz="4" w:space="0" w:color="auto"/>
            </w:tcBorders>
            <w:shd w:val="clear" w:color="auto" w:fill="auto"/>
            <w:noWrap/>
            <w:vAlign w:val="center"/>
            <w:hideMark/>
          </w:tcPr>
          <w:p w14:paraId="1319130F"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5</w:t>
            </w:r>
          </w:p>
        </w:tc>
        <w:tc>
          <w:tcPr>
            <w:tcW w:w="700" w:type="dxa"/>
            <w:tcBorders>
              <w:top w:val="nil"/>
              <w:left w:val="nil"/>
              <w:bottom w:val="single" w:sz="4" w:space="0" w:color="auto"/>
              <w:right w:val="single" w:sz="4" w:space="0" w:color="auto"/>
            </w:tcBorders>
            <w:shd w:val="clear" w:color="auto" w:fill="auto"/>
            <w:noWrap/>
            <w:vAlign w:val="center"/>
            <w:hideMark/>
          </w:tcPr>
          <w:p w14:paraId="43FCD607"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4</w:t>
            </w:r>
          </w:p>
        </w:tc>
        <w:tc>
          <w:tcPr>
            <w:tcW w:w="701" w:type="dxa"/>
            <w:tcBorders>
              <w:top w:val="nil"/>
              <w:left w:val="nil"/>
              <w:bottom w:val="single" w:sz="4" w:space="0" w:color="auto"/>
              <w:right w:val="single" w:sz="4" w:space="0" w:color="auto"/>
            </w:tcBorders>
            <w:shd w:val="clear" w:color="auto" w:fill="auto"/>
            <w:noWrap/>
            <w:vAlign w:val="center"/>
            <w:hideMark/>
          </w:tcPr>
          <w:p w14:paraId="55ABB17E"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2</w:t>
            </w:r>
          </w:p>
        </w:tc>
        <w:tc>
          <w:tcPr>
            <w:tcW w:w="710" w:type="dxa"/>
            <w:tcBorders>
              <w:top w:val="nil"/>
              <w:left w:val="nil"/>
              <w:bottom w:val="single" w:sz="4" w:space="0" w:color="auto"/>
              <w:right w:val="single" w:sz="8" w:space="0" w:color="auto"/>
            </w:tcBorders>
            <w:shd w:val="clear" w:color="auto" w:fill="auto"/>
            <w:noWrap/>
            <w:vAlign w:val="center"/>
            <w:hideMark/>
          </w:tcPr>
          <w:p w14:paraId="36C51EA4"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100</w:t>
            </w:r>
          </w:p>
        </w:tc>
      </w:tr>
      <w:tr w:rsidR="007A4F62" w:rsidRPr="00435266" w14:paraId="449A73FD" w14:textId="77777777" w:rsidTr="00CF6CAF">
        <w:trPr>
          <w:gridAfter w:val="1"/>
          <w:wAfter w:w="299" w:type="dxa"/>
          <w:trHeight w:val="280"/>
        </w:trPr>
        <w:tc>
          <w:tcPr>
            <w:tcW w:w="1762" w:type="dxa"/>
            <w:tcBorders>
              <w:top w:val="nil"/>
              <w:left w:val="single" w:sz="4" w:space="0" w:color="auto"/>
              <w:bottom w:val="single" w:sz="4" w:space="0" w:color="auto"/>
              <w:right w:val="single" w:sz="8" w:space="0" w:color="auto"/>
            </w:tcBorders>
            <w:shd w:val="clear" w:color="auto" w:fill="auto"/>
            <w:noWrap/>
            <w:vAlign w:val="center"/>
            <w:hideMark/>
          </w:tcPr>
          <w:p w14:paraId="70E4D4FF" w14:textId="77777777" w:rsidR="007A4F62" w:rsidRPr="007A4F62" w:rsidRDefault="007A4F62" w:rsidP="00CF6CAF">
            <w:pPr>
              <w:rPr>
                <w:rFonts w:eastAsia="Times New Roman"/>
                <w:color w:val="000000"/>
                <w:sz w:val="20"/>
                <w:szCs w:val="20"/>
              </w:rPr>
            </w:pPr>
            <w:r w:rsidRPr="007A4F62">
              <w:rPr>
                <w:rFonts w:eastAsia="Times New Roman"/>
                <w:color w:val="000000"/>
                <w:sz w:val="20"/>
                <w:szCs w:val="20"/>
              </w:rPr>
              <w:t>Bekasi Regency</w:t>
            </w:r>
          </w:p>
        </w:tc>
        <w:tc>
          <w:tcPr>
            <w:tcW w:w="579" w:type="dxa"/>
            <w:tcBorders>
              <w:top w:val="nil"/>
              <w:left w:val="nil"/>
              <w:bottom w:val="single" w:sz="4" w:space="0" w:color="auto"/>
              <w:right w:val="single" w:sz="4" w:space="0" w:color="auto"/>
            </w:tcBorders>
            <w:shd w:val="clear" w:color="auto" w:fill="auto"/>
            <w:noWrap/>
            <w:vAlign w:val="center"/>
            <w:hideMark/>
          </w:tcPr>
          <w:p w14:paraId="15CC2A48"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9</w:t>
            </w:r>
          </w:p>
        </w:tc>
        <w:tc>
          <w:tcPr>
            <w:tcW w:w="518" w:type="dxa"/>
            <w:tcBorders>
              <w:top w:val="nil"/>
              <w:left w:val="nil"/>
              <w:bottom w:val="single" w:sz="4" w:space="0" w:color="auto"/>
              <w:right w:val="single" w:sz="4" w:space="0" w:color="auto"/>
            </w:tcBorders>
            <w:shd w:val="clear" w:color="auto" w:fill="auto"/>
            <w:noWrap/>
            <w:vAlign w:val="center"/>
            <w:hideMark/>
          </w:tcPr>
          <w:p w14:paraId="547ED882"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13</w:t>
            </w:r>
          </w:p>
        </w:tc>
        <w:tc>
          <w:tcPr>
            <w:tcW w:w="548" w:type="dxa"/>
            <w:tcBorders>
              <w:top w:val="nil"/>
              <w:left w:val="nil"/>
              <w:bottom w:val="single" w:sz="4" w:space="0" w:color="auto"/>
              <w:right w:val="single" w:sz="4" w:space="0" w:color="auto"/>
            </w:tcBorders>
            <w:shd w:val="clear" w:color="auto" w:fill="auto"/>
            <w:noWrap/>
            <w:vAlign w:val="center"/>
            <w:hideMark/>
          </w:tcPr>
          <w:p w14:paraId="2144D097"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12</w:t>
            </w:r>
          </w:p>
        </w:tc>
        <w:tc>
          <w:tcPr>
            <w:tcW w:w="533" w:type="dxa"/>
            <w:tcBorders>
              <w:top w:val="nil"/>
              <w:left w:val="nil"/>
              <w:bottom w:val="single" w:sz="4" w:space="0" w:color="auto"/>
              <w:right w:val="single" w:sz="4" w:space="0" w:color="auto"/>
            </w:tcBorders>
            <w:shd w:val="clear" w:color="auto" w:fill="auto"/>
            <w:noWrap/>
            <w:vAlign w:val="center"/>
            <w:hideMark/>
          </w:tcPr>
          <w:p w14:paraId="6802F0C4"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14</w:t>
            </w:r>
          </w:p>
        </w:tc>
        <w:tc>
          <w:tcPr>
            <w:tcW w:w="533" w:type="dxa"/>
            <w:tcBorders>
              <w:top w:val="nil"/>
              <w:left w:val="nil"/>
              <w:bottom w:val="single" w:sz="4" w:space="0" w:color="auto"/>
              <w:right w:val="single" w:sz="4" w:space="0" w:color="auto"/>
            </w:tcBorders>
            <w:shd w:val="clear" w:color="auto" w:fill="auto"/>
            <w:noWrap/>
            <w:vAlign w:val="center"/>
            <w:hideMark/>
          </w:tcPr>
          <w:p w14:paraId="53DB8D15"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29</w:t>
            </w:r>
          </w:p>
        </w:tc>
        <w:tc>
          <w:tcPr>
            <w:tcW w:w="533" w:type="dxa"/>
            <w:tcBorders>
              <w:top w:val="nil"/>
              <w:left w:val="nil"/>
              <w:bottom w:val="single" w:sz="4" w:space="0" w:color="auto"/>
              <w:right w:val="single" w:sz="4" w:space="0" w:color="auto"/>
            </w:tcBorders>
            <w:shd w:val="clear" w:color="auto" w:fill="auto"/>
            <w:noWrap/>
            <w:vAlign w:val="center"/>
            <w:hideMark/>
          </w:tcPr>
          <w:p w14:paraId="28C03E77"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15</w:t>
            </w:r>
          </w:p>
        </w:tc>
        <w:tc>
          <w:tcPr>
            <w:tcW w:w="700" w:type="dxa"/>
            <w:tcBorders>
              <w:top w:val="nil"/>
              <w:left w:val="nil"/>
              <w:bottom w:val="single" w:sz="4" w:space="0" w:color="auto"/>
              <w:right w:val="single" w:sz="4" w:space="0" w:color="auto"/>
            </w:tcBorders>
            <w:shd w:val="clear" w:color="auto" w:fill="auto"/>
            <w:noWrap/>
            <w:vAlign w:val="center"/>
            <w:hideMark/>
          </w:tcPr>
          <w:p w14:paraId="72291AEB"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6</w:t>
            </w:r>
          </w:p>
        </w:tc>
        <w:tc>
          <w:tcPr>
            <w:tcW w:w="700" w:type="dxa"/>
            <w:tcBorders>
              <w:top w:val="nil"/>
              <w:left w:val="nil"/>
              <w:bottom w:val="single" w:sz="4" w:space="0" w:color="auto"/>
              <w:right w:val="single" w:sz="4" w:space="0" w:color="auto"/>
            </w:tcBorders>
            <w:shd w:val="clear" w:color="auto" w:fill="auto"/>
            <w:noWrap/>
            <w:vAlign w:val="center"/>
            <w:hideMark/>
          </w:tcPr>
          <w:p w14:paraId="2DFA9259"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w:t>
            </w:r>
          </w:p>
        </w:tc>
        <w:tc>
          <w:tcPr>
            <w:tcW w:w="700" w:type="dxa"/>
            <w:tcBorders>
              <w:top w:val="nil"/>
              <w:left w:val="nil"/>
              <w:bottom w:val="single" w:sz="4" w:space="0" w:color="auto"/>
              <w:right w:val="single" w:sz="4" w:space="0" w:color="auto"/>
            </w:tcBorders>
            <w:shd w:val="clear" w:color="auto" w:fill="auto"/>
            <w:noWrap/>
            <w:vAlign w:val="center"/>
            <w:hideMark/>
          </w:tcPr>
          <w:p w14:paraId="00CD263F"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w:t>
            </w:r>
          </w:p>
        </w:tc>
        <w:tc>
          <w:tcPr>
            <w:tcW w:w="701" w:type="dxa"/>
            <w:tcBorders>
              <w:top w:val="nil"/>
              <w:left w:val="nil"/>
              <w:bottom w:val="single" w:sz="4" w:space="0" w:color="auto"/>
              <w:right w:val="single" w:sz="4" w:space="0" w:color="auto"/>
            </w:tcBorders>
            <w:shd w:val="clear" w:color="auto" w:fill="auto"/>
            <w:noWrap/>
            <w:vAlign w:val="center"/>
            <w:hideMark/>
          </w:tcPr>
          <w:p w14:paraId="5940DE0E"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0</w:t>
            </w:r>
          </w:p>
        </w:tc>
        <w:tc>
          <w:tcPr>
            <w:tcW w:w="710" w:type="dxa"/>
            <w:tcBorders>
              <w:top w:val="nil"/>
              <w:left w:val="nil"/>
              <w:bottom w:val="single" w:sz="4" w:space="0" w:color="auto"/>
              <w:right w:val="single" w:sz="8" w:space="0" w:color="auto"/>
            </w:tcBorders>
            <w:shd w:val="clear" w:color="auto" w:fill="auto"/>
            <w:noWrap/>
            <w:vAlign w:val="center"/>
            <w:hideMark/>
          </w:tcPr>
          <w:p w14:paraId="2893AE82"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100</w:t>
            </w:r>
          </w:p>
        </w:tc>
      </w:tr>
      <w:tr w:rsidR="007A4F62" w:rsidRPr="00435266" w14:paraId="4C256C4B" w14:textId="77777777" w:rsidTr="00CF6CAF">
        <w:trPr>
          <w:gridAfter w:val="1"/>
          <w:wAfter w:w="299" w:type="dxa"/>
          <w:trHeight w:val="280"/>
        </w:trPr>
        <w:tc>
          <w:tcPr>
            <w:tcW w:w="1762" w:type="dxa"/>
            <w:tcBorders>
              <w:top w:val="nil"/>
              <w:left w:val="single" w:sz="4" w:space="0" w:color="auto"/>
              <w:bottom w:val="single" w:sz="4" w:space="0" w:color="auto"/>
              <w:right w:val="single" w:sz="8" w:space="0" w:color="auto"/>
            </w:tcBorders>
            <w:shd w:val="clear" w:color="auto" w:fill="auto"/>
            <w:noWrap/>
            <w:vAlign w:val="center"/>
            <w:hideMark/>
          </w:tcPr>
          <w:p w14:paraId="746084AD" w14:textId="77777777" w:rsidR="007A4F62" w:rsidRPr="007A4F62" w:rsidRDefault="007A4F62" w:rsidP="00CF6CAF">
            <w:pPr>
              <w:rPr>
                <w:rFonts w:eastAsia="Times New Roman"/>
                <w:color w:val="000000"/>
                <w:sz w:val="20"/>
                <w:szCs w:val="20"/>
              </w:rPr>
            </w:pPr>
            <w:r w:rsidRPr="007A4F62">
              <w:rPr>
                <w:rFonts w:eastAsia="Times New Roman"/>
                <w:color w:val="000000"/>
                <w:sz w:val="20"/>
                <w:szCs w:val="20"/>
              </w:rPr>
              <w:t>Bekasi</w:t>
            </w:r>
          </w:p>
        </w:tc>
        <w:tc>
          <w:tcPr>
            <w:tcW w:w="579" w:type="dxa"/>
            <w:tcBorders>
              <w:top w:val="nil"/>
              <w:left w:val="nil"/>
              <w:bottom w:val="single" w:sz="4" w:space="0" w:color="auto"/>
              <w:right w:val="single" w:sz="4" w:space="0" w:color="auto"/>
            </w:tcBorders>
            <w:shd w:val="clear" w:color="auto" w:fill="auto"/>
            <w:noWrap/>
            <w:vAlign w:val="center"/>
            <w:hideMark/>
          </w:tcPr>
          <w:p w14:paraId="35CEE3E6"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9</w:t>
            </w:r>
          </w:p>
        </w:tc>
        <w:tc>
          <w:tcPr>
            <w:tcW w:w="518" w:type="dxa"/>
            <w:tcBorders>
              <w:top w:val="nil"/>
              <w:left w:val="nil"/>
              <w:bottom w:val="single" w:sz="4" w:space="0" w:color="auto"/>
              <w:right w:val="single" w:sz="4" w:space="0" w:color="auto"/>
            </w:tcBorders>
            <w:shd w:val="clear" w:color="auto" w:fill="auto"/>
            <w:noWrap/>
            <w:vAlign w:val="center"/>
            <w:hideMark/>
          </w:tcPr>
          <w:p w14:paraId="5D09BC8E"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11</w:t>
            </w:r>
          </w:p>
        </w:tc>
        <w:tc>
          <w:tcPr>
            <w:tcW w:w="548" w:type="dxa"/>
            <w:tcBorders>
              <w:top w:val="nil"/>
              <w:left w:val="nil"/>
              <w:bottom w:val="single" w:sz="4" w:space="0" w:color="auto"/>
              <w:right w:val="single" w:sz="4" w:space="0" w:color="auto"/>
            </w:tcBorders>
            <w:shd w:val="clear" w:color="auto" w:fill="auto"/>
            <w:noWrap/>
            <w:vAlign w:val="center"/>
            <w:hideMark/>
          </w:tcPr>
          <w:p w14:paraId="599370CC"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13</w:t>
            </w:r>
          </w:p>
        </w:tc>
        <w:tc>
          <w:tcPr>
            <w:tcW w:w="533" w:type="dxa"/>
            <w:tcBorders>
              <w:top w:val="nil"/>
              <w:left w:val="nil"/>
              <w:bottom w:val="single" w:sz="4" w:space="0" w:color="auto"/>
              <w:right w:val="single" w:sz="4" w:space="0" w:color="auto"/>
            </w:tcBorders>
            <w:shd w:val="clear" w:color="auto" w:fill="auto"/>
            <w:noWrap/>
            <w:vAlign w:val="center"/>
            <w:hideMark/>
          </w:tcPr>
          <w:p w14:paraId="085B1A74"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7</w:t>
            </w:r>
          </w:p>
        </w:tc>
        <w:tc>
          <w:tcPr>
            <w:tcW w:w="533" w:type="dxa"/>
            <w:tcBorders>
              <w:top w:val="nil"/>
              <w:left w:val="nil"/>
              <w:bottom w:val="single" w:sz="4" w:space="0" w:color="auto"/>
              <w:right w:val="single" w:sz="4" w:space="0" w:color="auto"/>
            </w:tcBorders>
            <w:shd w:val="clear" w:color="auto" w:fill="auto"/>
            <w:noWrap/>
            <w:vAlign w:val="center"/>
            <w:hideMark/>
          </w:tcPr>
          <w:p w14:paraId="2A128D8A"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18</w:t>
            </w:r>
          </w:p>
        </w:tc>
        <w:tc>
          <w:tcPr>
            <w:tcW w:w="533" w:type="dxa"/>
            <w:tcBorders>
              <w:top w:val="nil"/>
              <w:left w:val="nil"/>
              <w:bottom w:val="single" w:sz="4" w:space="0" w:color="auto"/>
              <w:right w:val="single" w:sz="4" w:space="0" w:color="auto"/>
            </w:tcBorders>
            <w:shd w:val="clear" w:color="auto" w:fill="auto"/>
            <w:noWrap/>
            <w:vAlign w:val="center"/>
            <w:hideMark/>
          </w:tcPr>
          <w:p w14:paraId="24CC9FDB"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19</w:t>
            </w:r>
          </w:p>
        </w:tc>
        <w:tc>
          <w:tcPr>
            <w:tcW w:w="700" w:type="dxa"/>
            <w:tcBorders>
              <w:top w:val="nil"/>
              <w:left w:val="nil"/>
              <w:bottom w:val="single" w:sz="4" w:space="0" w:color="auto"/>
              <w:right w:val="single" w:sz="4" w:space="0" w:color="auto"/>
            </w:tcBorders>
            <w:shd w:val="clear" w:color="auto" w:fill="auto"/>
            <w:noWrap/>
            <w:vAlign w:val="center"/>
            <w:hideMark/>
          </w:tcPr>
          <w:p w14:paraId="591D5B4A"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14</w:t>
            </w:r>
          </w:p>
        </w:tc>
        <w:tc>
          <w:tcPr>
            <w:tcW w:w="700" w:type="dxa"/>
            <w:tcBorders>
              <w:top w:val="nil"/>
              <w:left w:val="nil"/>
              <w:bottom w:val="single" w:sz="4" w:space="0" w:color="auto"/>
              <w:right w:val="single" w:sz="4" w:space="0" w:color="auto"/>
            </w:tcBorders>
            <w:shd w:val="clear" w:color="auto" w:fill="auto"/>
            <w:noWrap/>
            <w:vAlign w:val="center"/>
            <w:hideMark/>
          </w:tcPr>
          <w:p w14:paraId="564411B4"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5</w:t>
            </w:r>
          </w:p>
        </w:tc>
        <w:tc>
          <w:tcPr>
            <w:tcW w:w="700" w:type="dxa"/>
            <w:tcBorders>
              <w:top w:val="nil"/>
              <w:left w:val="nil"/>
              <w:bottom w:val="single" w:sz="4" w:space="0" w:color="auto"/>
              <w:right w:val="single" w:sz="4" w:space="0" w:color="auto"/>
            </w:tcBorders>
            <w:shd w:val="clear" w:color="auto" w:fill="auto"/>
            <w:noWrap/>
            <w:vAlign w:val="center"/>
            <w:hideMark/>
          </w:tcPr>
          <w:p w14:paraId="0C680ED8"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3</w:t>
            </w:r>
          </w:p>
        </w:tc>
        <w:tc>
          <w:tcPr>
            <w:tcW w:w="701" w:type="dxa"/>
            <w:tcBorders>
              <w:top w:val="nil"/>
              <w:left w:val="nil"/>
              <w:bottom w:val="single" w:sz="4" w:space="0" w:color="auto"/>
              <w:right w:val="single" w:sz="4" w:space="0" w:color="auto"/>
            </w:tcBorders>
            <w:shd w:val="clear" w:color="auto" w:fill="auto"/>
            <w:noWrap/>
            <w:vAlign w:val="center"/>
            <w:hideMark/>
          </w:tcPr>
          <w:p w14:paraId="0F0E2FE4"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w:t>
            </w:r>
          </w:p>
        </w:tc>
        <w:tc>
          <w:tcPr>
            <w:tcW w:w="710" w:type="dxa"/>
            <w:tcBorders>
              <w:top w:val="nil"/>
              <w:left w:val="nil"/>
              <w:bottom w:val="single" w:sz="4" w:space="0" w:color="auto"/>
              <w:right w:val="single" w:sz="8" w:space="0" w:color="auto"/>
            </w:tcBorders>
            <w:shd w:val="clear" w:color="auto" w:fill="auto"/>
            <w:noWrap/>
            <w:vAlign w:val="center"/>
            <w:hideMark/>
          </w:tcPr>
          <w:p w14:paraId="2E4FF2E1" w14:textId="77777777" w:rsidR="007A4F62" w:rsidRPr="007A4F62" w:rsidRDefault="007A4F62" w:rsidP="00CF6CAF">
            <w:pPr>
              <w:jc w:val="center"/>
              <w:rPr>
                <w:rFonts w:eastAsia="Times New Roman"/>
                <w:color w:val="000000"/>
                <w:sz w:val="20"/>
                <w:szCs w:val="20"/>
              </w:rPr>
            </w:pPr>
            <w:r w:rsidRPr="007A4F62">
              <w:rPr>
                <w:rFonts w:eastAsia="Times New Roman"/>
                <w:color w:val="000000"/>
                <w:sz w:val="20"/>
                <w:szCs w:val="20"/>
              </w:rPr>
              <w:t>100</w:t>
            </w:r>
          </w:p>
        </w:tc>
      </w:tr>
      <w:tr w:rsidR="007A4F62" w:rsidRPr="00435266" w14:paraId="02CE7663" w14:textId="77777777" w:rsidTr="00CF6CAF">
        <w:trPr>
          <w:trHeight w:val="251"/>
        </w:trPr>
        <w:tc>
          <w:tcPr>
            <w:tcW w:w="8816" w:type="dxa"/>
            <w:gridSpan w:val="13"/>
            <w:tcBorders>
              <w:top w:val="nil"/>
              <w:left w:val="nil"/>
              <w:bottom w:val="nil"/>
              <w:right w:val="nil"/>
            </w:tcBorders>
            <w:shd w:val="clear" w:color="auto" w:fill="auto"/>
            <w:noWrap/>
            <w:vAlign w:val="center"/>
            <w:hideMark/>
          </w:tcPr>
          <w:p w14:paraId="52B848D2" w14:textId="77777777" w:rsidR="007A4F62" w:rsidRPr="007A4F62" w:rsidRDefault="007A4F62" w:rsidP="00CF6CAF">
            <w:pPr>
              <w:rPr>
                <w:rFonts w:eastAsia="Times New Roman"/>
                <w:color w:val="000000"/>
                <w:sz w:val="20"/>
                <w:szCs w:val="20"/>
              </w:rPr>
            </w:pPr>
            <w:r w:rsidRPr="007A4F62">
              <w:rPr>
                <w:rFonts w:eastAsia="Times New Roman"/>
                <w:color w:val="000000"/>
                <w:sz w:val="20"/>
                <w:szCs w:val="20"/>
              </w:rPr>
              <w:t xml:space="preserve">                                                                                       Source: 2010 Population Census Data - Statistics Indonesia</w:t>
            </w:r>
          </w:p>
        </w:tc>
      </w:tr>
      <w:tr w:rsidR="007A4F62" w:rsidRPr="00435266" w14:paraId="33FB1F41" w14:textId="77777777" w:rsidTr="00CF6CAF">
        <w:trPr>
          <w:trHeight w:val="251"/>
        </w:trPr>
        <w:tc>
          <w:tcPr>
            <w:tcW w:w="8816" w:type="dxa"/>
            <w:gridSpan w:val="13"/>
            <w:tcBorders>
              <w:top w:val="nil"/>
              <w:left w:val="nil"/>
              <w:bottom w:val="nil"/>
              <w:right w:val="nil"/>
            </w:tcBorders>
            <w:shd w:val="clear" w:color="auto" w:fill="auto"/>
            <w:noWrap/>
            <w:vAlign w:val="center"/>
          </w:tcPr>
          <w:p w14:paraId="45A05C20" w14:textId="77777777" w:rsidR="007A4F62" w:rsidRPr="007A4F62" w:rsidRDefault="007A4F62" w:rsidP="00CF6CAF">
            <w:pPr>
              <w:rPr>
                <w:rFonts w:eastAsia="Times New Roman"/>
                <w:color w:val="000000"/>
                <w:sz w:val="20"/>
                <w:szCs w:val="20"/>
              </w:rPr>
            </w:pPr>
          </w:p>
        </w:tc>
      </w:tr>
    </w:tbl>
    <w:p w14:paraId="22B1B27D" w14:textId="4B64135D" w:rsidR="007A4F62" w:rsidRPr="001452BC" w:rsidRDefault="007A4F62" w:rsidP="007A4F62">
      <w:pPr>
        <w:pStyle w:val="Mainbodytext"/>
        <w:ind w:firstLine="0"/>
        <w:rPr>
          <w:lang w:val="en-US"/>
        </w:rPr>
      </w:pPr>
    </w:p>
    <w:tbl>
      <w:tblPr>
        <w:tblW w:w="8816" w:type="dxa"/>
        <w:tblInd w:w="103" w:type="dxa"/>
        <w:tblLayout w:type="fixed"/>
        <w:tblLook w:val="04A0" w:firstRow="1" w:lastRow="0" w:firstColumn="1" w:lastColumn="0" w:noHBand="0" w:noVBand="1"/>
      </w:tblPr>
      <w:tblGrid>
        <w:gridCol w:w="8816"/>
      </w:tblGrid>
      <w:tr w:rsidR="007A4F62" w:rsidRPr="00435266" w14:paraId="5ED36BFE" w14:textId="77777777" w:rsidTr="00CF6CAF">
        <w:trPr>
          <w:trHeight w:val="251"/>
        </w:trPr>
        <w:tc>
          <w:tcPr>
            <w:tcW w:w="8816" w:type="dxa"/>
            <w:tcBorders>
              <w:top w:val="nil"/>
              <w:left w:val="nil"/>
              <w:bottom w:val="nil"/>
              <w:right w:val="nil"/>
            </w:tcBorders>
            <w:shd w:val="clear" w:color="auto" w:fill="auto"/>
            <w:noWrap/>
            <w:vAlign w:val="center"/>
          </w:tcPr>
          <w:p w14:paraId="16192CAB" w14:textId="77777777" w:rsidR="007A4F62" w:rsidRPr="007A4F62" w:rsidRDefault="007A4F62" w:rsidP="00CF6CAF">
            <w:pPr>
              <w:jc w:val="left"/>
              <w:rPr>
                <w:rFonts w:eastAsia="Times New Roman"/>
                <w:color w:val="000000"/>
                <w:sz w:val="20"/>
                <w:szCs w:val="20"/>
              </w:rPr>
            </w:pPr>
          </w:p>
        </w:tc>
      </w:tr>
    </w:tbl>
    <w:p w14:paraId="6FE2E13D" w14:textId="36AB64F9" w:rsidR="007A4F62" w:rsidRPr="00964599" w:rsidRDefault="009066E7" w:rsidP="007A4F62">
      <w:pPr>
        <w:keepNext/>
        <w:spacing w:after="120"/>
        <w:jc w:val="center"/>
      </w:pPr>
      <w:r w:rsidRPr="007A4F62">
        <w:rPr>
          <w:noProof/>
          <w:lang w:eastAsia="en-GB"/>
        </w:rPr>
        <w:drawing>
          <wp:inline distT="0" distB="0" distL="0" distR="0" wp14:anchorId="7DE176C9" wp14:editId="1474D23B">
            <wp:extent cx="5413951" cy="2622894"/>
            <wp:effectExtent l="0" t="0" r="0" b="0"/>
            <wp:docPr id="84"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F930E6F" w14:textId="3B452A2E" w:rsidR="007A4F62" w:rsidRPr="007836DA" w:rsidRDefault="007A4F62" w:rsidP="00614315">
      <w:pPr>
        <w:pStyle w:val="Caption"/>
      </w:pPr>
      <w:r w:rsidRPr="00964599">
        <w:t xml:space="preserve">Figure </w:t>
      </w:r>
      <w:r w:rsidR="00471763">
        <w:fldChar w:fldCharType="begin"/>
      </w:r>
      <w:r w:rsidR="00471763">
        <w:instrText xml:space="preserve"> SEQ Figure \* ARABIC </w:instrText>
      </w:r>
      <w:r w:rsidR="00471763">
        <w:fldChar w:fldCharType="separate"/>
      </w:r>
      <w:r>
        <w:rPr>
          <w:noProof/>
        </w:rPr>
        <w:t>1</w:t>
      </w:r>
      <w:r w:rsidR="00471763">
        <w:rPr>
          <w:noProof/>
        </w:rPr>
        <w:fldChar w:fldCharType="end"/>
      </w:r>
      <w:r w:rsidRPr="00964599">
        <w:t xml:space="preserve">. </w:t>
      </w:r>
      <w:r>
        <w:t>Household by region and floor area of dwelling unit</w:t>
      </w:r>
    </w:p>
    <w:p w14:paraId="4C61B652" w14:textId="77777777" w:rsidR="00564FAB" w:rsidRDefault="00564FAB" w:rsidP="007A4F62">
      <w:pPr>
        <w:pStyle w:val="Mainbodytext"/>
        <w:ind w:firstLine="0"/>
        <w:rPr>
          <w:lang w:val="en-US"/>
        </w:rPr>
      </w:pPr>
    </w:p>
    <w:p w14:paraId="77D6EF22" w14:textId="28672AAB" w:rsidR="007A4F62" w:rsidRDefault="007A4F62" w:rsidP="007A4F62">
      <w:pPr>
        <w:pStyle w:val="Mainbodytext"/>
        <w:ind w:firstLine="0"/>
        <w:rPr>
          <w:lang w:val="en-US"/>
        </w:rPr>
      </w:pPr>
      <w:r w:rsidRPr="00BE0C2D">
        <w:rPr>
          <w:lang w:val="en-US"/>
        </w:rPr>
        <w:t>The empirical validation o</w:t>
      </w:r>
      <w:r>
        <w:rPr>
          <w:lang w:val="en-US"/>
        </w:rPr>
        <w:t>f the model designed by the DesignB</w:t>
      </w:r>
      <w:r w:rsidRPr="00BE0C2D">
        <w:rPr>
          <w:lang w:val="en-US"/>
        </w:rPr>
        <w:t xml:space="preserve">uilder software was </w:t>
      </w:r>
      <w:r>
        <w:rPr>
          <w:lang w:val="en-US"/>
        </w:rPr>
        <w:t>determined</w:t>
      </w:r>
      <w:r w:rsidRPr="00BE0C2D">
        <w:rPr>
          <w:lang w:val="en-US"/>
        </w:rPr>
        <w:t xml:space="preserve"> by comparing the simulation results with </w:t>
      </w:r>
      <w:r>
        <w:rPr>
          <w:lang w:val="en-US"/>
        </w:rPr>
        <w:t xml:space="preserve">some </w:t>
      </w:r>
      <w:r w:rsidRPr="00BE0C2D">
        <w:rPr>
          <w:lang w:val="en-US"/>
        </w:rPr>
        <w:t>field experiment data from building</w:t>
      </w:r>
      <w:r>
        <w:rPr>
          <w:lang w:val="en-US"/>
        </w:rPr>
        <w:t>s</w:t>
      </w:r>
      <w:r w:rsidRPr="00BE0C2D">
        <w:rPr>
          <w:lang w:val="en-US"/>
        </w:rPr>
        <w:t xml:space="preserve"> in the same climate with selected project location</w:t>
      </w:r>
      <w:r>
        <w:rPr>
          <w:lang w:val="en-US"/>
        </w:rPr>
        <w:t>s</w:t>
      </w:r>
      <w:r w:rsidRPr="00BE0C2D">
        <w:rPr>
          <w:lang w:val="en-US"/>
        </w:rPr>
        <w:t>.</w:t>
      </w:r>
      <w:r>
        <w:rPr>
          <w:lang w:val="en-US"/>
        </w:rPr>
        <w:t xml:space="preserve"> </w:t>
      </w:r>
      <w:r w:rsidRPr="00BE0C2D">
        <w:rPr>
          <w:lang w:val="en-US"/>
        </w:rPr>
        <w:t xml:space="preserve">It </w:t>
      </w:r>
      <w:r>
        <w:rPr>
          <w:lang w:val="en-US"/>
        </w:rPr>
        <w:t>should</w:t>
      </w:r>
      <w:r w:rsidRPr="00BE0C2D">
        <w:rPr>
          <w:lang w:val="en-US"/>
        </w:rPr>
        <w:t xml:space="preserve"> be clarified here that modeling refers to the task of making a logic machine that represents the material properties of the building and physics processes in it, whereas simulation refers to numerical experimentation with the model to investigate its response to changing conditions inside and outside the building. </w:t>
      </w:r>
      <w:r w:rsidRPr="007E0E80">
        <w:rPr>
          <w:lang w:val="en-US"/>
        </w:rPr>
        <w:t xml:space="preserve">To study the </w:t>
      </w:r>
      <w:r>
        <w:rPr>
          <w:lang w:val="en-US"/>
        </w:rPr>
        <w:t>Passivhaus</w:t>
      </w:r>
      <w:r w:rsidRPr="007E0E80">
        <w:rPr>
          <w:lang w:val="en-US"/>
        </w:rPr>
        <w:t xml:space="preserve"> performance, </w:t>
      </w:r>
      <w:r>
        <w:rPr>
          <w:lang w:val="en-US"/>
        </w:rPr>
        <w:t xml:space="preserve">a </w:t>
      </w:r>
      <w:r w:rsidRPr="007E0E80">
        <w:rPr>
          <w:lang w:val="en-US"/>
        </w:rPr>
        <w:t xml:space="preserve">row house from a field experiment was chosen to be modelled in this simulation study. The selected row house represents the typical housing built in </w:t>
      </w:r>
      <w:r>
        <w:rPr>
          <w:lang w:val="en-US"/>
        </w:rPr>
        <w:t xml:space="preserve">the </w:t>
      </w:r>
      <w:r w:rsidRPr="007E0E80">
        <w:rPr>
          <w:lang w:val="en-US"/>
        </w:rPr>
        <w:t>Jakarta Metropolitan region. The building configuration (materials, cooling systems, lights and appliances) of the house were re</w:t>
      </w:r>
      <w:r>
        <w:rPr>
          <w:lang w:val="en-US"/>
        </w:rPr>
        <w:t>plicated and modelled in DesignB</w:t>
      </w:r>
      <w:r w:rsidRPr="007E0E80">
        <w:rPr>
          <w:lang w:val="en-US"/>
        </w:rPr>
        <w:t xml:space="preserve">uilder, with a presupposed occupancy schedule. </w:t>
      </w:r>
      <w:r>
        <w:rPr>
          <w:lang w:val="en-US"/>
        </w:rPr>
        <w:t xml:space="preserve">A </w:t>
      </w:r>
      <w:r w:rsidRPr="007E0E80">
        <w:rPr>
          <w:lang w:val="en-US"/>
        </w:rPr>
        <w:t>Jakarta weather file was acquired through the climat</w:t>
      </w:r>
      <w:r>
        <w:rPr>
          <w:lang w:val="en-US"/>
        </w:rPr>
        <w:t>e-modelling software Meteonorm</w:t>
      </w:r>
      <w:r w:rsidR="00564FAB">
        <w:rPr>
          <w:lang w:val="en-US"/>
        </w:rPr>
        <w:t xml:space="preserve"> (Meteonorm 2017)</w:t>
      </w:r>
      <w:r>
        <w:rPr>
          <w:lang w:val="en-US"/>
        </w:rPr>
        <w:t>.</w:t>
      </w:r>
    </w:p>
    <w:p w14:paraId="0BA0E291" w14:textId="6A329064" w:rsidR="007A4F62" w:rsidRPr="0067343B" w:rsidRDefault="0067343B" w:rsidP="007A4F62">
      <w:pPr>
        <w:pStyle w:val="Heading1"/>
      </w:pPr>
      <w:r>
        <w:rPr>
          <w:lang w:val="en-US"/>
        </w:rPr>
        <w:lastRenderedPageBreak/>
        <w:t>Validation of</w:t>
      </w:r>
      <w:r w:rsidR="007A4F62" w:rsidRPr="0067343B">
        <w:rPr>
          <w:lang w:val="en-US"/>
        </w:rPr>
        <w:t xml:space="preserve"> </w:t>
      </w:r>
      <w:r>
        <w:rPr>
          <w:lang w:val="en-US"/>
        </w:rPr>
        <w:t xml:space="preserve">the </w:t>
      </w:r>
      <w:r w:rsidR="007A4F62" w:rsidRPr="0067343B">
        <w:rPr>
          <w:lang w:val="en-US"/>
        </w:rPr>
        <w:t>DesignBuilder software</w:t>
      </w:r>
      <w:r w:rsidR="007A4F62" w:rsidRPr="0067343B">
        <w:t xml:space="preserve"> </w:t>
      </w:r>
    </w:p>
    <w:p w14:paraId="362087DA" w14:textId="3BE7031A" w:rsidR="007A4F62" w:rsidRPr="002A6597" w:rsidRDefault="007A4F62" w:rsidP="007A4F62">
      <w:pPr>
        <w:pStyle w:val="Mainbodytext"/>
        <w:ind w:firstLine="0"/>
        <w:rPr>
          <w:lang w:val="en-US"/>
        </w:rPr>
      </w:pPr>
      <w:r w:rsidRPr="00BE0C2D">
        <w:rPr>
          <w:lang w:val="en-US"/>
        </w:rPr>
        <w:t>A study</w:t>
      </w:r>
      <w:r w:rsidR="0067343B">
        <w:rPr>
          <w:lang w:val="en-US"/>
        </w:rPr>
        <w:t xml:space="preserve"> by </w:t>
      </w:r>
      <w:r w:rsidR="0067343B">
        <w:rPr>
          <w:lang w:val="en-US"/>
        </w:rPr>
        <w:fldChar w:fldCharType="begin" w:fldLock="1"/>
      </w:r>
      <w:r w:rsidR="0067343B">
        <w:rPr>
          <w:lang w:val="en-US"/>
        </w:rPr>
        <w:instrText>ADDIN CSL_CITATION { "citationItems" : [ { "id" : "ITEM-1", "itemData" : { "author" : [ { "dropping-particle" : "", "family" : "Hooi", "given" : "Doris", "non-dropping-particle" : "", "parse-names" : false, "suffix" : "" }, { "dropping-particle" : "", "family" : "Sugiyama", "given" : "Susumu", "non-dropping-particle" : "", "parse-names" : false, "suffix" : "" }, { "dropping-particle" : "", "family" : "Yasufuku", "given" : "Satoshi", "non-dropping-particle" : "", "parse-names" : false, "suffix" : "" }, { "dropping-particle" : "", "family" : "Kubota", "given" : "Tetsu", "non-dropping-particle" : "", "parse-names" : false, "suffix" : "" } ], "container-title" : "PLEA 2014 - 30th INTERNATIONAL PLEA CONFERENCE", "id" : "ITEM-1", "issue" : "December", "issued" : { "date-parts" : [ [ "2014" ] ] }, "page" : "1-8", "title" : "Numerical Simulation of Passive Cooling Strategies for Urban Terraced Houses in Hot-Humid Climate of Malaysia", "type" : "article-journal" }, "uris" : [ "http://www.mendeley.com/documents/?uuid=40100618-1eeb-4294-9764-12a5e43fbade" ] } ], "mendeley" : { "formattedCitation" : "(Hooi et al. 2014)", "plainTextFormattedCitation" : "(Hooi et al. 2014)", "previouslyFormattedCitation" : "(Hooi et al., 2014)" }, "properties" : { "noteIndex" : 0 }, "schema" : "https://github.com/citation-style-language/schema/raw/master/csl-citation.json" }</w:instrText>
      </w:r>
      <w:r w:rsidR="0067343B">
        <w:rPr>
          <w:lang w:val="en-US"/>
        </w:rPr>
        <w:fldChar w:fldCharType="separate"/>
      </w:r>
      <w:r w:rsidR="0067343B" w:rsidRPr="009066E7">
        <w:rPr>
          <w:noProof/>
          <w:lang w:val="en-US"/>
        </w:rPr>
        <w:t xml:space="preserve">Hooi et al. </w:t>
      </w:r>
      <w:r w:rsidR="0067343B">
        <w:rPr>
          <w:noProof/>
          <w:lang w:val="en-US"/>
        </w:rPr>
        <w:t>(</w:t>
      </w:r>
      <w:r w:rsidR="0067343B" w:rsidRPr="009066E7">
        <w:rPr>
          <w:noProof/>
          <w:lang w:val="en-US"/>
        </w:rPr>
        <w:t>2014)</w:t>
      </w:r>
      <w:r w:rsidR="0067343B">
        <w:rPr>
          <w:lang w:val="en-US"/>
        </w:rPr>
        <w:fldChar w:fldCharType="end"/>
      </w:r>
      <w:r w:rsidRPr="00BE0C2D">
        <w:rPr>
          <w:lang w:val="en-US"/>
        </w:rPr>
        <w:t xml:space="preserve"> </w:t>
      </w:r>
      <w:r w:rsidR="0067343B" w:rsidRPr="00BE0C2D">
        <w:rPr>
          <w:lang w:val="en-US"/>
        </w:rPr>
        <w:t>in Johor Bahru</w:t>
      </w:r>
      <w:r w:rsidR="0067343B">
        <w:rPr>
          <w:lang w:val="en-US"/>
        </w:rPr>
        <w:t xml:space="preserve">, </w:t>
      </w:r>
      <w:r w:rsidR="0067343B" w:rsidRPr="00BE0C2D">
        <w:rPr>
          <w:lang w:val="en-US"/>
        </w:rPr>
        <w:t>Mala</w:t>
      </w:r>
      <w:r w:rsidR="0067343B">
        <w:rPr>
          <w:lang w:val="en-US"/>
        </w:rPr>
        <w:t>ysia</w:t>
      </w:r>
      <w:r w:rsidR="0067343B">
        <w:rPr>
          <w:lang w:val="en-US"/>
        </w:rPr>
        <w:t>,</w:t>
      </w:r>
      <w:r w:rsidR="0067343B" w:rsidRPr="00BE0C2D">
        <w:rPr>
          <w:lang w:val="en-US"/>
        </w:rPr>
        <w:t xml:space="preserve"> </w:t>
      </w:r>
      <w:r w:rsidRPr="00BE0C2D">
        <w:rPr>
          <w:lang w:val="en-US"/>
        </w:rPr>
        <w:t>that investigate</w:t>
      </w:r>
      <w:r>
        <w:rPr>
          <w:lang w:val="en-US"/>
        </w:rPr>
        <w:t>d</w:t>
      </w:r>
      <w:r w:rsidRPr="00BE0C2D">
        <w:rPr>
          <w:lang w:val="en-US"/>
        </w:rPr>
        <w:t xml:space="preserve"> the effectiveness of night ventilation for residential buildings</w:t>
      </w:r>
      <w:r w:rsidR="0067343B">
        <w:rPr>
          <w:lang w:val="en-US"/>
        </w:rPr>
        <w:t>,</w:t>
      </w:r>
      <w:r w:rsidRPr="00BE0C2D">
        <w:rPr>
          <w:lang w:val="en-US"/>
        </w:rPr>
        <w:t xml:space="preserve"> </w:t>
      </w:r>
      <w:r>
        <w:rPr>
          <w:lang w:val="en-US"/>
        </w:rPr>
        <w:t>was chosen to validate the DesignB</w:t>
      </w:r>
      <w:r w:rsidRPr="00BE0C2D">
        <w:rPr>
          <w:lang w:val="en-US"/>
        </w:rPr>
        <w:t>uilder software</w:t>
      </w:r>
      <w:r w:rsidR="0067343B">
        <w:rPr>
          <w:lang w:val="en-US"/>
        </w:rPr>
        <w:t>.</w:t>
      </w:r>
      <w:r w:rsidRPr="00BE0C2D">
        <w:rPr>
          <w:lang w:val="en-US"/>
        </w:rPr>
        <w:t xml:space="preserve"> Johor Bahru has</w:t>
      </w:r>
      <w:r>
        <w:rPr>
          <w:lang w:val="en-US"/>
        </w:rPr>
        <w:t xml:space="preserve"> a</w:t>
      </w:r>
      <w:r w:rsidRPr="00BE0C2D">
        <w:rPr>
          <w:lang w:val="en-US"/>
        </w:rPr>
        <w:t xml:space="preserve"> hot and humid climate</w:t>
      </w:r>
      <w:r>
        <w:rPr>
          <w:lang w:val="en-US"/>
        </w:rPr>
        <w:t xml:space="preserve"> which is similar to </w:t>
      </w:r>
      <w:r w:rsidR="0067343B">
        <w:rPr>
          <w:lang w:val="en-US"/>
        </w:rPr>
        <w:t>that</w:t>
      </w:r>
      <w:r w:rsidRPr="00BE0C2D">
        <w:rPr>
          <w:lang w:val="en-US"/>
        </w:rPr>
        <w:t xml:space="preserve"> </w:t>
      </w:r>
      <w:r>
        <w:rPr>
          <w:lang w:val="en-US"/>
        </w:rPr>
        <w:t>of</w:t>
      </w:r>
      <w:r w:rsidRPr="00BE0C2D">
        <w:rPr>
          <w:lang w:val="en-US"/>
        </w:rPr>
        <w:t xml:space="preserve"> Jakarta. </w:t>
      </w:r>
      <w:r>
        <w:rPr>
          <w:lang w:val="en-US"/>
        </w:rPr>
        <w:t>The</w:t>
      </w:r>
      <w:r w:rsidRPr="00BE0C2D">
        <w:rPr>
          <w:lang w:val="en-US"/>
        </w:rPr>
        <w:t xml:space="preserve"> study was conducted to study better thermal comfort for occupants in Malaysian terraced houses </w:t>
      </w:r>
      <w:r w:rsidR="0067343B">
        <w:rPr>
          <w:lang w:val="en-US"/>
        </w:rPr>
        <w:t>through</w:t>
      </w:r>
      <w:r w:rsidRPr="00BE0C2D">
        <w:rPr>
          <w:lang w:val="en-US"/>
        </w:rPr>
        <w:t xml:space="preserve"> field experiment</w:t>
      </w:r>
      <w:r>
        <w:rPr>
          <w:lang w:val="en-US"/>
        </w:rPr>
        <w:t>s</w:t>
      </w:r>
      <w:r w:rsidRPr="00BE0C2D">
        <w:rPr>
          <w:lang w:val="en-US"/>
        </w:rPr>
        <w:t>. The field experiment examine</w:t>
      </w:r>
      <w:r>
        <w:rPr>
          <w:lang w:val="en-US"/>
        </w:rPr>
        <w:t>d</w:t>
      </w:r>
      <w:r w:rsidRPr="00BE0C2D">
        <w:rPr>
          <w:lang w:val="en-US"/>
        </w:rPr>
        <w:t xml:space="preserve"> the effects of night ventilation technique</w:t>
      </w:r>
      <w:r>
        <w:rPr>
          <w:lang w:val="en-US"/>
        </w:rPr>
        <w:t>s</w:t>
      </w:r>
      <w:r w:rsidRPr="00BE0C2D">
        <w:rPr>
          <w:lang w:val="en-US"/>
        </w:rPr>
        <w:t xml:space="preserve"> on </w:t>
      </w:r>
      <w:r>
        <w:rPr>
          <w:lang w:val="en-US"/>
        </w:rPr>
        <w:t xml:space="preserve">the </w:t>
      </w:r>
      <w:r w:rsidRPr="00BE0C2D">
        <w:rPr>
          <w:lang w:val="en-US"/>
        </w:rPr>
        <w:t>indoor thermal environment for Malaysian terraced houses, focusing not only on the daytime thermal conditions but also on the</w:t>
      </w:r>
      <w:r>
        <w:rPr>
          <w:lang w:val="en-US"/>
        </w:rPr>
        <w:t xml:space="preserve"> night-time thermal conditions. </w:t>
      </w:r>
      <w:r w:rsidRPr="00BE0C2D">
        <w:rPr>
          <w:lang w:val="en-US"/>
        </w:rPr>
        <w:t>The model of this Malaysian terrac</w:t>
      </w:r>
      <w:r>
        <w:rPr>
          <w:lang w:val="en-US"/>
        </w:rPr>
        <w:t>e house was constructed using the DesignB</w:t>
      </w:r>
      <w:r w:rsidRPr="00BE0C2D">
        <w:rPr>
          <w:lang w:val="en-US"/>
        </w:rPr>
        <w:t>uilder software, and simulate</w:t>
      </w:r>
      <w:r>
        <w:rPr>
          <w:lang w:val="en-US"/>
        </w:rPr>
        <w:t>d</w:t>
      </w:r>
      <w:r w:rsidRPr="00BE0C2D">
        <w:rPr>
          <w:lang w:val="en-US"/>
        </w:rPr>
        <w:t xml:space="preserve"> the same situation </w:t>
      </w:r>
      <w:r>
        <w:rPr>
          <w:lang w:val="en-US"/>
        </w:rPr>
        <w:t xml:space="preserve">as for </w:t>
      </w:r>
      <w:r w:rsidRPr="00BE0C2D">
        <w:rPr>
          <w:lang w:val="en-US"/>
        </w:rPr>
        <w:t xml:space="preserve">the field experiment. This </w:t>
      </w:r>
      <w:r>
        <w:rPr>
          <w:lang w:val="en-US"/>
        </w:rPr>
        <w:t>DesignB</w:t>
      </w:r>
      <w:r w:rsidRPr="00BE0C2D">
        <w:rPr>
          <w:lang w:val="en-US"/>
        </w:rPr>
        <w:t>uilder validation experiment imitate</w:t>
      </w:r>
      <w:r>
        <w:rPr>
          <w:lang w:val="en-US"/>
        </w:rPr>
        <w:t>d</w:t>
      </w:r>
      <w:r w:rsidRPr="00BE0C2D">
        <w:rPr>
          <w:lang w:val="en-US"/>
        </w:rPr>
        <w:t xml:space="preserve"> the night ventilation condition that </w:t>
      </w:r>
      <w:r>
        <w:rPr>
          <w:lang w:val="en-US"/>
        </w:rPr>
        <w:t>wa</w:t>
      </w:r>
      <w:r w:rsidRPr="00BE0C2D">
        <w:rPr>
          <w:lang w:val="en-US"/>
        </w:rPr>
        <w:t xml:space="preserve">s used </w:t>
      </w:r>
      <w:r>
        <w:rPr>
          <w:lang w:val="en-US"/>
        </w:rPr>
        <w:t>i</w:t>
      </w:r>
      <w:r w:rsidRPr="00BE0C2D">
        <w:rPr>
          <w:lang w:val="en-US"/>
        </w:rPr>
        <w:t xml:space="preserve">n the field experiment </w:t>
      </w:r>
      <w:r w:rsidR="006F4CFA">
        <w:rPr>
          <w:lang w:val="en-US"/>
        </w:rPr>
        <w:t>study</w:t>
      </w:r>
      <w:r w:rsidRPr="00BE0C2D">
        <w:rPr>
          <w:lang w:val="en-US"/>
        </w:rPr>
        <w:t>.</w:t>
      </w:r>
    </w:p>
    <w:p w14:paraId="1908925C" w14:textId="4838EA16" w:rsidR="007A4F62" w:rsidRPr="00C56C46" w:rsidRDefault="007A4F62" w:rsidP="007A4F62">
      <w:pPr>
        <w:pStyle w:val="Mainbodytext"/>
        <w:rPr>
          <w:bCs/>
          <w:lang w:val="en-US"/>
        </w:rPr>
      </w:pPr>
      <w:r w:rsidRPr="00C56C46">
        <w:rPr>
          <w:bCs/>
          <w:lang w:val="en-US"/>
        </w:rPr>
        <w:t>Measured indoor air temperatures, relative humidity and the corresponding outdoor climatic conditions for model</w:t>
      </w:r>
      <w:r>
        <w:rPr>
          <w:bCs/>
          <w:lang w:val="en-US"/>
        </w:rPr>
        <w:t>l</w:t>
      </w:r>
      <w:r w:rsidRPr="00C56C46">
        <w:rPr>
          <w:bCs/>
          <w:lang w:val="en-US"/>
        </w:rPr>
        <w:t xml:space="preserve">ed building in </w:t>
      </w:r>
      <w:r>
        <w:rPr>
          <w:lang w:val="en-US"/>
        </w:rPr>
        <w:t>DesignB</w:t>
      </w:r>
      <w:r w:rsidRPr="00BE0C2D">
        <w:rPr>
          <w:lang w:val="en-US"/>
        </w:rPr>
        <w:t xml:space="preserve">uilder </w:t>
      </w:r>
      <w:r w:rsidRPr="00C56C46">
        <w:rPr>
          <w:bCs/>
          <w:lang w:val="en-US"/>
        </w:rPr>
        <w:t>software were compared with the field measurement</w:t>
      </w:r>
      <w:r w:rsidR="006F4CFA">
        <w:rPr>
          <w:bCs/>
          <w:lang w:val="en-US"/>
        </w:rPr>
        <w:t>s</w:t>
      </w:r>
      <w:r w:rsidRPr="00C56C46">
        <w:rPr>
          <w:bCs/>
          <w:lang w:val="en-US"/>
        </w:rPr>
        <w:t xml:space="preserve">. </w:t>
      </w:r>
      <w:r>
        <w:rPr>
          <w:bCs/>
          <w:lang w:val="en-US"/>
        </w:rPr>
        <w:t>Figure 2</w:t>
      </w:r>
      <w:r w:rsidR="006F4CFA">
        <w:rPr>
          <w:bCs/>
          <w:lang w:val="en-US"/>
        </w:rPr>
        <w:t>(</w:t>
      </w:r>
      <w:r>
        <w:rPr>
          <w:bCs/>
          <w:lang w:val="en-US"/>
        </w:rPr>
        <w:t>a)</w:t>
      </w:r>
      <w:r w:rsidRPr="00C56C46">
        <w:rPr>
          <w:bCs/>
          <w:lang w:val="en-US"/>
        </w:rPr>
        <w:t xml:space="preserve"> shows </w:t>
      </w:r>
      <w:r w:rsidR="006F4CFA">
        <w:rPr>
          <w:bCs/>
          <w:lang w:val="en-US"/>
        </w:rPr>
        <w:t xml:space="preserve">that </w:t>
      </w:r>
      <w:r>
        <w:rPr>
          <w:bCs/>
          <w:lang w:val="en-US"/>
        </w:rPr>
        <w:t>t</w:t>
      </w:r>
      <w:r w:rsidRPr="00C56C46">
        <w:rPr>
          <w:bCs/>
          <w:lang w:val="en-US"/>
        </w:rPr>
        <w:t>here is a 2</w:t>
      </w:r>
      <w:r>
        <w:rPr>
          <w:bCs/>
          <w:lang w:val="en-US"/>
        </w:rPr>
        <w:t>°</w:t>
      </w:r>
      <w:r w:rsidRPr="00C56C46">
        <w:rPr>
          <w:bCs/>
          <w:lang w:val="en-US"/>
        </w:rPr>
        <w:t xml:space="preserve">C air temperature differences at the first day of simulation, but the difference reduces </w:t>
      </w:r>
      <w:r>
        <w:rPr>
          <w:bCs/>
          <w:lang w:val="en-US"/>
        </w:rPr>
        <w:t>during</w:t>
      </w:r>
      <w:r w:rsidRPr="00C56C46">
        <w:rPr>
          <w:bCs/>
          <w:lang w:val="en-US"/>
        </w:rPr>
        <w:t xml:space="preserve"> the week. From the middle of the week, the air temperature between field measurement</w:t>
      </w:r>
      <w:r w:rsidR="006F4CFA">
        <w:rPr>
          <w:bCs/>
          <w:lang w:val="en-US"/>
        </w:rPr>
        <w:t>s</w:t>
      </w:r>
      <w:r w:rsidRPr="00C56C46">
        <w:rPr>
          <w:bCs/>
          <w:lang w:val="en-US"/>
        </w:rPr>
        <w:t xml:space="preserve"> and software simulation indicat</w:t>
      </w:r>
      <w:r>
        <w:rPr>
          <w:bCs/>
          <w:lang w:val="en-US"/>
        </w:rPr>
        <w:t xml:space="preserve">es </w:t>
      </w:r>
      <w:r w:rsidR="006F4CFA">
        <w:rPr>
          <w:bCs/>
          <w:lang w:val="en-US"/>
        </w:rPr>
        <w:t>similar</w:t>
      </w:r>
      <w:r>
        <w:rPr>
          <w:bCs/>
          <w:lang w:val="en-US"/>
        </w:rPr>
        <w:t xml:space="preserve"> result</w:t>
      </w:r>
      <w:r w:rsidR="006F4CFA">
        <w:rPr>
          <w:bCs/>
          <w:lang w:val="en-US"/>
        </w:rPr>
        <w:t>s</w:t>
      </w:r>
      <w:r>
        <w:rPr>
          <w:bCs/>
          <w:lang w:val="en-US"/>
        </w:rPr>
        <w:t xml:space="preserve">. Figure 2(b) </w:t>
      </w:r>
      <w:r w:rsidRPr="00C56C46">
        <w:rPr>
          <w:bCs/>
          <w:lang w:val="en-US"/>
        </w:rPr>
        <w:t>shows that the simulation result</w:t>
      </w:r>
      <w:r>
        <w:rPr>
          <w:bCs/>
          <w:lang w:val="en-US"/>
        </w:rPr>
        <w:t>s</w:t>
      </w:r>
      <w:r w:rsidRPr="00C56C46">
        <w:rPr>
          <w:bCs/>
          <w:lang w:val="en-US"/>
        </w:rPr>
        <w:t xml:space="preserve"> </w:t>
      </w:r>
      <w:r w:rsidR="006F4CFA">
        <w:rPr>
          <w:bCs/>
          <w:lang w:val="en-US"/>
        </w:rPr>
        <w:t>having</w:t>
      </w:r>
      <w:r w:rsidRPr="00C56C46">
        <w:rPr>
          <w:bCs/>
          <w:lang w:val="en-US"/>
        </w:rPr>
        <w:t xml:space="preserve"> the same </w:t>
      </w:r>
      <w:r>
        <w:rPr>
          <w:bCs/>
          <w:lang w:val="en-US"/>
        </w:rPr>
        <w:t>trend</w:t>
      </w:r>
      <w:r w:rsidRPr="00C56C46">
        <w:rPr>
          <w:bCs/>
          <w:lang w:val="en-US"/>
        </w:rPr>
        <w:t xml:space="preserve"> </w:t>
      </w:r>
      <w:r w:rsidR="006F4CFA">
        <w:rPr>
          <w:bCs/>
          <w:lang w:val="en-US"/>
        </w:rPr>
        <w:t>as</w:t>
      </w:r>
      <w:r w:rsidRPr="00C56C46">
        <w:rPr>
          <w:bCs/>
          <w:lang w:val="en-US"/>
        </w:rPr>
        <w:t xml:space="preserve"> </w:t>
      </w:r>
      <w:r>
        <w:rPr>
          <w:bCs/>
          <w:lang w:val="en-US"/>
        </w:rPr>
        <w:t xml:space="preserve">the </w:t>
      </w:r>
      <w:r w:rsidRPr="00C56C46">
        <w:rPr>
          <w:bCs/>
          <w:lang w:val="en-US"/>
        </w:rPr>
        <w:t>field measurement</w:t>
      </w:r>
      <w:r>
        <w:rPr>
          <w:bCs/>
          <w:lang w:val="en-US"/>
        </w:rPr>
        <w:t>s</w:t>
      </w:r>
      <w:r w:rsidRPr="00C56C46">
        <w:rPr>
          <w:bCs/>
          <w:lang w:val="en-US"/>
        </w:rPr>
        <w:t xml:space="preserve">. </w:t>
      </w:r>
    </w:p>
    <w:p w14:paraId="78E396EE" w14:textId="77777777" w:rsidR="007A4F62" w:rsidRDefault="007A4F62" w:rsidP="007A4F62">
      <w:pPr>
        <w:keepNext/>
        <w:spacing w:after="120"/>
        <w:jc w:val="center"/>
        <w:rPr>
          <w:noProof/>
          <w:lang w:val="en-US" w:eastAsia="en-US"/>
        </w:rPr>
      </w:pPr>
    </w:p>
    <w:p w14:paraId="4E221B8D" w14:textId="23AF4098" w:rsidR="007A4F62" w:rsidRDefault="007A4F62" w:rsidP="007A4F62">
      <w:pPr>
        <w:keepNext/>
        <w:spacing w:after="120"/>
        <w:jc w:val="center"/>
      </w:pPr>
      <w:r>
        <w:rPr>
          <w:noProof/>
          <w:lang w:val="en-US" w:eastAsia="en-US"/>
        </w:rPr>
        <w:t>(a)</w:t>
      </w:r>
      <w:r w:rsidR="009066E7" w:rsidRPr="007A4F62">
        <w:rPr>
          <w:noProof/>
          <w:lang w:eastAsia="en-GB"/>
        </w:rPr>
        <w:drawing>
          <wp:inline distT="0" distB="0" distL="0" distR="0" wp14:anchorId="37202617" wp14:editId="1791C1ED">
            <wp:extent cx="2697480" cy="1948180"/>
            <wp:effectExtent l="0" t="0" r="7620" b="0"/>
            <wp:docPr id="83"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lang w:val="en-US" w:eastAsia="en-US"/>
        </w:rPr>
        <w:t xml:space="preserve">    (b)</w:t>
      </w:r>
      <w:r w:rsidRPr="00A94106">
        <w:rPr>
          <w:noProof/>
          <w:lang w:val="en-US" w:eastAsia="en-US"/>
        </w:rPr>
        <w:t xml:space="preserve"> </w:t>
      </w:r>
      <w:r w:rsidR="009066E7" w:rsidRPr="007A4F62">
        <w:rPr>
          <w:noProof/>
          <w:lang w:eastAsia="en-GB"/>
        </w:rPr>
        <w:drawing>
          <wp:inline distT="0" distB="0" distL="0" distR="0" wp14:anchorId="28BCA88E" wp14:editId="6E8462E8">
            <wp:extent cx="2435860" cy="1957070"/>
            <wp:effectExtent l="0" t="0" r="254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5860" cy="1957070"/>
                    </a:xfrm>
                    <a:prstGeom prst="rect">
                      <a:avLst/>
                    </a:prstGeom>
                    <a:noFill/>
                    <a:ln>
                      <a:noFill/>
                    </a:ln>
                  </pic:spPr>
                </pic:pic>
              </a:graphicData>
            </a:graphic>
          </wp:inline>
        </w:drawing>
      </w:r>
    </w:p>
    <w:p w14:paraId="0D87CA11" w14:textId="77777777" w:rsidR="007A4F62" w:rsidRDefault="007A4F62" w:rsidP="007A4F62">
      <w:pPr>
        <w:pStyle w:val="Caption"/>
      </w:pPr>
      <w:r w:rsidRPr="00964599">
        <w:t xml:space="preserve">Figure </w:t>
      </w:r>
      <w:r>
        <w:t xml:space="preserve">2. </w:t>
      </w:r>
      <w:r w:rsidRPr="00531382">
        <w:t xml:space="preserve">Night ventilation </w:t>
      </w:r>
      <w:r w:rsidRPr="00EC321A">
        <w:t xml:space="preserve">air temperature </w:t>
      </w:r>
      <w:r w:rsidRPr="00531382">
        <w:t>comparison</w:t>
      </w:r>
      <w:r>
        <w:t xml:space="preserve"> in (a) one week and (b) one day</w:t>
      </w:r>
    </w:p>
    <w:p w14:paraId="7AE0ADE9" w14:textId="77777777" w:rsidR="007A4F62" w:rsidRPr="00C56C46" w:rsidRDefault="007A4F62" w:rsidP="007A4F62">
      <w:pPr>
        <w:pStyle w:val="Mainbodytext"/>
        <w:ind w:firstLine="0"/>
        <w:rPr>
          <w:bCs/>
          <w:lang w:val="en-US"/>
        </w:rPr>
      </w:pPr>
    </w:p>
    <w:p w14:paraId="187CB5C3" w14:textId="1DC150ED" w:rsidR="007A4F62" w:rsidRPr="00964599" w:rsidRDefault="007A4F62" w:rsidP="007A4F62">
      <w:pPr>
        <w:keepNext/>
        <w:spacing w:after="120"/>
        <w:jc w:val="center"/>
      </w:pPr>
      <w:r>
        <w:rPr>
          <w:noProof/>
          <w:lang w:val="en-US" w:eastAsia="en-US"/>
        </w:rPr>
        <w:t>(a)</w:t>
      </w:r>
      <w:r w:rsidR="009066E7" w:rsidRPr="007A4F62">
        <w:rPr>
          <w:noProof/>
          <w:lang w:eastAsia="en-GB"/>
        </w:rPr>
        <w:drawing>
          <wp:inline distT="0" distB="0" distL="0" distR="0" wp14:anchorId="7A1A8D6F" wp14:editId="5CDB91B5">
            <wp:extent cx="2691130" cy="1743075"/>
            <wp:effectExtent l="0" t="0" r="0" b="9525"/>
            <wp:docPr id="81"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lang w:val="en-US" w:eastAsia="en-US"/>
        </w:rPr>
        <w:t xml:space="preserve">     (b)</w:t>
      </w:r>
      <w:r w:rsidRPr="00A94106">
        <w:rPr>
          <w:noProof/>
          <w:lang w:val="en-US" w:eastAsia="en-US"/>
        </w:rPr>
        <w:t xml:space="preserve"> </w:t>
      </w:r>
      <w:r w:rsidR="009066E7" w:rsidRPr="007A4F62">
        <w:rPr>
          <w:noProof/>
          <w:lang w:eastAsia="en-GB"/>
        </w:rPr>
        <w:drawing>
          <wp:inline distT="0" distB="0" distL="0" distR="0" wp14:anchorId="209677E7" wp14:editId="69F8C0FC">
            <wp:extent cx="2290445" cy="1743075"/>
            <wp:effectExtent l="0" t="0" r="0" b="9525"/>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0445" cy="1743075"/>
                    </a:xfrm>
                    <a:prstGeom prst="rect">
                      <a:avLst/>
                    </a:prstGeom>
                    <a:noFill/>
                    <a:ln>
                      <a:noFill/>
                    </a:ln>
                  </pic:spPr>
                </pic:pic>
              </a:graphicData>
            </a:graphic>
          </wp:inline>
        </w:drawing>
      </w:r>
    </w:p>
    <w:p w14:paraId="0355C5E5" w14:textId="77777777" w:rsidR="007A4F62" w:rsidRDefault="007A4F62" w:rsidP="007A4F62">
      <w:pPr>
        <w:pStyle w:val="Caption"/>
      </w:pPr>
      <w:r w:rsidRPr="00964599">
        <w:t xml:space="preserve">Figure </w:t>
      </w:r>
      <w:r>
        <w:t xml:space="preserve">3. </w:t>
      </w:r>
      <w:r w:rsidRPr="00531382">
        <w:t>Night ventilation relative humidity comparison</w:t>
      </w:r>
      <w:r>
        <w:t xml:space="preserve"> in (a) one week and (b) one day</w:t>
      </w:r>
    </w:p>
    <w:p w14:paraId="4612F288" w14:textId="77777777" w:rsidR="001831F5" w:rsidRPr="001831F5" w:rsidRDefault="001831F5" w:rsidP="001831F5"/>
    <w:p w14:paraId="0C95A3AF" w14:textId="4A791985" w:rsidR="007A4F62" w:rsidRDefault="001831F5" w:rsidP="001831F5">
      <w:pPr>
        <w:pStyle w:val="Mainbodytext"/>
        <w:rPr>
          <w:bCs/>
          <w:lang w:val="en-US"/>
        </w:rPr>
      </w:pPr>
      <w:r w:rsidRPr="00C56C46">
        <w:rPr>
          <w:bCs/>
          <w:lang w:val="en-US"/>
        </w:rPr>
        <w:lastRenderedPageBreak/>
        <w:t>The different result</w:t>
      </w:r>
      <w:r>
        <w:rPr>
          <w:bCs/>
          <w:lang w:val="en-US"/>
        </w:rPr>
        <w:t>s</w:t>
      </w:r>
      <w:r w:rsidRPr="00C56C46">
        <w:rPr>
          <w:bCs/>
          <w:lang w:val="en-US"/>
        </w:rPr>
        <w:t xml:space="preserve"> </w:t>
      </w:r>
      <w:r>
        <w:rPr>
          <w:bCs/>
          <w:lang w:val="en-US"/>
        </w:rPr>
        <w:t>for</w:t>
      </w:r>
      <w:r w:rsidRPr="00C56C46">
        <w:rPr>
          <w:bCs/>
          <w:lang w:val="en-US"/>
        </w:rPr>
        <w:t xml:space="preserve"> the first day of the week in the simulation </w:t>
      </w:r>
      <w:r>
        <w:rPr>
          <w:bCs/>
          <w:lang w:val="en-US"/>
        </w:rPr>
        <w:t xml:space="preserve">are </w:t>
      </w:r>
      <w:r w:rsidRPr="00C56C46">
        <w:rPr>
          <w:bCs/>
          <w:lang w:val="en-US"/>
        </w:rPr>
        <w:t xml:space="preserve">possibly </w:t>
      </w:r>
      <w:r>
        <w:rPr>
          <w:bCs/>
          <w:lang w:val="en-US"/>
        </w:rPr>
        <w:t>due to</w:t>
      </w:r>
      <w:r w:rsidRPr="00C56C46">
        <w:rPr>
          <w:bCs/>
          <w:lang w:val="en-US"/>
        </w:rPr>
        <w:t xml:space="preserve"> </w:t>
      </w:r>
      <w:r>
        <w:rPr>
          <w:bCs/>
          <w:lang w:val="en-US"/>
        </w:rPr>
        <w:t xml:space="preserve">some differences in </w:t>
      </w:r>
      <w:r w:rsidRPr="00C56C46">
        <w:rPr>
          <w:bCs/>
          <w:lang w:val="en-US"/>
        </w:rPr>
        <w:t xml:space="preserve">the climate data used in the software simulation </w:t>
      </w:r>
      <w:r>
        <w:rPr>
          <w:bCs/>
          <w:lang w:val="en-US"/>
        </w:rPr>
        <w:t xml:space="preserve">compared to actual </w:t>
      </w:r>
      <w:r w:rsidRPr="00C56C46">
        <w:rPr>
          <w:bCs/>
          <w:lang w:val="en-US"/>
        </w:rPr>
        <w:t>local meteoro</w:t>
      </w:r>
      <w:r>
        <w:rPr>
          <w:bCs/>
          <w:lang w:val="en-US"/>
        </w:rPr>
        <w:t>lo</w:t>
      </w:r>
      <w:r w:rsidRPr="00C56C46">
        <w:rPr>
          <w:bCs/>
          <w:lang w:val="en-US"/>
        </w:rPr>
        <w:t>gical station data</w:t>
      </w:r>
      <w:r w:rsidRPr="00346FDD">
        <w:rPr>
          <w:bCs/>
          <w:lang w:val="en-US"/>
        </w:rPr>
        <w:t xml:space="preserve"> </w:t>
      </w:r>
      <w:r>
        <w:rPr>
          <w:bCs/>
          <w:lang w:val="en-US"/>
        </w:rPr>
        <w:t xml:space="preserve">for the </w:t>
      </w:r>
      <w:r w:rsidRPr="00C56C46">
        <w:rPr>
          <w:bCs/>
          <w:lang w:val="en-US"/>
        </w:rPr>
        <w:t xml:space="preserve">selected simulation date. </w:t>
      </w:r>
      <w:r>
        <w:rPr>
          <w:bCs/>
          <w:lang w:val="en-US"/>
        </w:rPr>
        <w:t>Ano</w:t>
      </w:r>
      <w:r w:rsidRPr="00C56C46">
        <w:rPr>
          <w:bCs/>
          <w:lang w:val="en-US"/>
        </w:rPr>
        <w:t xml:space="preserve">ther possible reason is the </w:t>
      </w:r>
      <w:r>
        <w:rPr>
          <w:bCs/>
          <w:lang w:val="en-US"/>
        </w:rPr>
        <w:t xml:space="preserve">circumstances of the </w:t>
      </w:r>
      <w:r w:rsidRPr="00C56C46">
        <w:rPr>
          <w:bCs/>
          <w:lang w:val="en-US"/>
        </w:rPr>
        <w:t>measurement</w:t>
      </w:r>
      <w:r>
        <w:rPr>
          <w:bCs/>
          <w:lang w:val="en-US"/>
        </w:rPr>
        <w:t>s</w:t>
      </w:r>
      <w:r w:rsidRPr="00C56C46">
        <w:rPr>
          <w:bCs/>
          <w:lang w:val="en-US"/>
        </w:rPr>
        <w:t xml:space="preserve"> on site</w:t>
      </w:r>
      <w:r>
        <w:rPr>
          <w:bCs/>
          <w:lang w:val="en-US"/>
        </w:rPr>
        <w:t xml:space="preserve"> -</w:t>
      </w:r>
      <w:r w:rsidRPr="00C56C46">
        <w:rPr>
          <w:bCs/>
          <w:lang w:val="en-US"/>
        </w:rPr>
        <w:t xml:space="preserve"> all house windows </w:t>
      </w:r>
      <w:r>
        <w:rPr>
          <w:bCs/>
          <w:lang w:val="en-US"/>
        </w:rPr>
        <w:t>we</w:t>
      </w:r>
      <w:r w:rsidRPr="00C56C46">
        <w:rPr>
          <w:bCs/>
          <w:lang w:val="en-US"/>
        </w:rPr>
        <w:t>re open for 24 hours a day before the experimental period.</w:t>
      </w:r>
      <w:r>
        <w:rPr>
          <w:bCs/>
          <w:lang w:val="en-US"/>
        </w:rPr>
        <w:t xml:space="preserve"> </w:t>
      </w:r>
      <w:r w:rsidRPr="00C56C46">
        <w:rPr>
          <w:bCs/>
          <w:lang w:val="en-US"/>
        </w:rPr>
        <w:t>The relative humidity of the house also indicates the same situation with the air temperature. Figure</w:t>
      </w:r>
      <w:r>
        <w:rPr>
          <w:bCs/>
          <w:lang w:val="en-US"/>
        </w:rPr>
        <w:t xml:space="preserve"> 3(a)</w:t>
      </w:r>
      <w:r w:rsidRPr="00C56C46">
        <w:rPr>
          <w:bCs/>
          <w:lang w:val="en-US"/>
        </w:rPr>
        <w:t xml:space="preserve"> shows </w:t>
      </w:r>
      <w:r>
        <w:rPr>
          <w:bCs/>
          <w:lang w:val="en-US"/>
        </w:rPr>
        <w:t xml:space="preserve">that with </w:t>
      </w:r>
      <w:r>
        <w:rPr>
          <w:bCs/>
          <w:lang w:val="en-US"/>
        </w:rPr>
        <w:sym w:font="Symbol" w:char="F0B1"/>
      </w:r>
      <w:r>
        <w:rPr>
          <w:bCs/>
          <w:lang w:val="en-US"/>
        </w:rPr>
        <w:t>5% differences, the graph indicates the same trend</w:t>
      </w:r>
      <w:r w:rsidRPr="00C56C46">
        <w:rPr>
          <w:bCs/>
          <w:lang w:val="en-US"/>
        </w:rPr>
        <w:t xml:space="preserve"> between simulation results </w:t>
      </w:r>
      <w:r>
        <w:rPr>
          <w:bCs/>
          <w:lang w:val="en-US"/>
        </w:rPr>
        <w:t>and</w:t>
      </w:r>
      <w:r w:rsidRPr="00C56C46">
        <w:rPr>
          <w:bCs/>
          <w:lang w:val="en-US"/>
        </w:rPr>
        <w:t xml:space="preserve"> field measurement. Figure</w:t>
      </w:r>
      <w:r>
        <w:rPr>
          <w:bCs/>
          <w:lang w:val="en-US"/>
        </w:rPr>
        <w:t xml:space="preserve"> 3(b)</w:t>
      </w:r>
      <w:r w:rsidRPr="00C56C46">
        <w:rPr>
          <w:bCs/>
          <w:lang w:val="en-US"/>
        </w:rPr>
        <w:t xml:space="preserve"> </w:t>
      </w:r>
      <w:r>
        <w:rPr>
          <w:bCs/>
          <w:lang w:val="en-US"/>
        </w:rPr>
        <w:t xml:space="preserve">indicates that </w:t>
      </w:r>
      <w:r w:rsidRPr="00C56C46">
        <w:rPr>
          <w:bCs/>
          <w:lang w:val="en-US"/>
        </w:rPr>
        <w:t xml:space="preserve">the relative humidity shows the same shape </w:t>
      </w:r>
      <w:r>
        <w:rPr>
          <w:bCs/>
          <w:lang w:val="en-US"/>
        </w:rPr>
        <w:t>between measured and simulation results.</w:t>
      </w:r>
    </w:p>
    <w:p w14:paraId="63B51A9B" w14:textId="0A9B3709" w:rsidR="007A4F62" w:rsidRDefault="007A4F62" w:rsidP="007A4F62">
      <w:pPr>
        <w:pStyle w:val="Mainbodytext"/>
        <w:rPr>
          <w:bCs/>
          <w:lang w:val="en-US"/>
        </w:rPr>
      </w:pPr>
      <w:r w:rsidRPr="00775B82">
        <w:rPr>
          <w:bCs/>
          <w:lang w:val="en-US"/>
        </w:rPr>
        <w:t xml:space="preserve">With this experiment, </w:t>
      </w:r>
      <w:r w:rsidR="001831F5">
        <w:rPr>
          <w:bCs/>
          <w:lang w:val="en-US"/>
        </w:rPr>
        <w:t>the</w:t>
      </w:r>
      <w:r w:rsidRPr="00775B82">
        <w:rPr>
          <w:bCs/>
          <w:lang w:val="en-US"/>
        </w:rPr>
        <w:t xml:space="preserve"> terrace house in </w:t>
      </w:r>
      <w:r>
        <w:rPr>
          <w:bCs/>
          <w:lang w:val="en-US"/>
        </w:rPr>
        <w:t xml:space="preserve">the </w:t>
      </w:r>
      <w:r w:rsidRPr="00775B82">
        <w:rPr>
          <w:bCs/>
          <w:lang w:val="en-US"/>
        </w:rPr>
        <w:t xml:space="preserve">hot humid climate </w:t>
      </w:r>
      <w:r>
        <w:rPr>
          <w:bCs/>
          <w:lang w:val="en-US"/>
        </w:rPr>
        <w:t>modelled in DesignB</w:t>
      </w:r>
      <w:r w:rsidRPr="00775B82">
        <w:rPr>
          <w:bCs/>
          <w:lang w:val="en-US"/>
        </w:rPr>
        <w:t>uilder produce</w:t>
      </w:r>
      <w:r>
        <w:rPr>
          <w:bCs/>
          <w:lang w:val="en-US"/>
        </w:rPr>
        <w:t>d</w:t>
      </w:r>
      <w:r w:rsidRPr="00775B82">
        <w:rPr>
          <w:bCs/>
          <w:lang w:val="en-US"/>
        </w:rPr>
        <w:t xml:space="preserve"> relatively </w:t>
      </w:r>
      <w:r>
        <w:rPr>
          <w:bCs/>
          <w:lang w:val="en-US"/>
        </w:rPr>
        <w:t>similar</w:t>
      </w:r>
      <w:r w:rsidRPr="00775B82">
        <w:rPr>
          <w:bCs/>
          <w:lang w:val="en-US"/>
        </w:rPr>
        <w:t xml:space="preserve"> result</w:t>
      </w:r>
      <w:r>
        <w:rPr>
          <w:bCs/>
          <w:lang w:val="en-US"/>
        </w:rPr>
        <w:t xml:space="preserve">s compared </w:t>
      </w:r>
      <w:r w:rsidRPr="00775B82">
        <w:rPr>
          <w:bCs/>
          <w:lang w:val="en-US"/>
        </w:rPr>
        <w:t xml:space="preserve">with the field measurement data. </w:t>
      </w:r>
    </w:p>
    <w:p w14:paraId="35CAA8B1" w14:textId="77777777" w:rsidR="007A4F62" w:rsidRPr="00DF79FD" w:rsidRDefault="007A4F62" w:rsidP="007A4F62">
      <w:pPr>
        <w:pStyle w:val="Mainbodytext"/>
        <w:rPr>
          <w:bCs/>
          <w:lang w:val="en-US"/>
        </w:rPr>
      </w:pPr>
    </w:p>
    <w:p w14:paraId="3AB655DC" w14:textId="212D5A76" w:rsidR="007A4F62" w:rsidRDefault="007A4F62" w:rsidP="007A4F62">
      <w:pPr>
        <w:keepNext/>
        <w:spacing w:after="120"/>
        <w:jc w:val="center"/>
        <w:rPr>
          <w:noProof/>
          <w:lang w:val="en-US" w:eastAsia="en-US"/>
        </w:rPr>
      </w:pPr>
      <w:r>
        <w:rPr>
          <w:noProof/>
          <w:lang w:val="en-US" w:eastAsia="en-US"/>
        </w:rPr>
        <w:t>(a)</w:t>
      </w:r>
      <w:r w:rsidR="009066E7" w:rsidRPr="007A4F62">
        <w:rPr>
          <w:noProof/>
          <w:lang w:eastAsia="en-GB"/>
        </w:rPr>
        <w:drawing>
          <wp:inline distT="0" distB="0" distL="0" distR="0" wp14:anchorId="2F5A473E" wp14:editId="4B4E9816">
            <wp:extent cx="2682875" cy="1537970"/>
            <wp:effectExtent l="0" t="0" r="9525" b="11430"/>
            <wp:docPr id="79"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lang w:val="en-US" w:eastAsia="en-US"/>
        </w:rPr>
        <w:t xml:space="preserve">       (b)</w:t>
      </w:r>
      <w:r w:rsidR="009066E7" w:rsidRPr="007A4F62">
        <w:rPr>
          <w:noProof/>
          <w:lang w:eastAsia="en-GB"/>
        </w:rPr>
        <w:drawing>
          <wp:inline distT="0" distB="0" distL="0" distR="0" wp14:anchorId="6B9B3562" wp14:editId="66912B7F">
            <wp:extent cx="2341245" cy="1598295"/>
            <wp:effectExtent l="0" t="0" r="0" b="1905"/>
            <wp:docPr id="78" name="Picture 17" descr="/Users/AdinnyParamita/Desktop/Ry titip/2016-11-14-PHOTO-0000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dinnyParamita/Desktop/Ry titip/2016-11-14-PHOTO-00000093.jpg"/>
                    <pic:cNvPicPr>
                      <a:picLocks noChangeAspect="1" noChangeArrowheads="1"/>
                    </pic:cNvPicPr>
                  </pic:nvPicPr>
                  <pic:blipFill>
                    <a:blip r:embed="rId14">
                      <a:extLst>
                        <a:ext uri="{28A0092B-C50C-407E-A947-70E740481C1C}">
                          <a14:useLocalDpi xmlns:a14="http://schemas.microsoft.com/office/drawing/2010/main" val="0"/>
                        </a:ext>
                      </a:extLst>
                    </a:blip>
                    <a:srcRect l="11337" r="21722"/>
                    <a:stretch>
                      <a:fillRect/>
                    </a:stretch>
                  </pic:blipFill>
                  <pic:spPr bwMode="auto">
                    <a:xfrm>
                      <a:off x="0" y="0"/>
                      <a:ext cx="2341245" cy="1598295"/>
                    </a:xfrm>
                    <a:prstGeom prst="rect">
                      <a:avLst/>
                    </a:prstGeom>
                    <a:noFill/>
                    <a:ln>
                      <a:noFill/>
                    </a:ln>
                  </pic:spPr>
                </pic:pic>
              </a:graphicData>
            </a:graphic>
          </wp:inline>
        </w:drawing>
      </w:r>
    </w:p>
    <w:p w14:paraId="00089E4F" w14:textId="159E7664" w:rsidR="007A4F62" w:rsidRPr="00964599" w:rsidRDefault="007A4F62" w:rsidP="007A4F62">
      <w:pPr>
        <w:keepNext/>
        <w:spacing w:after="120"/>
        <w:jc w:val="center"/>
      </w:pPr>
      <w:r>
        <w:t>(c)</w:t>
      </w:r>
      <w:r w:rsidR="009066E7" w:rsidRPr="007A4F62">
        <w:rPr>
          <w:noProof/>
          <w:lang w:eastAsia="en-GB"/>
        </w:rPr>
        <w:drawing>
          <wp:inline distT="0" distB="0" distL="0" distR="0" wp14:anchorId="4C0BCF30" wp14:editId="3DDD633B">
            <wp:extent cx="4061110" cy="4032001"/>
            <wp:effectExtent l="0" t="0" r="3175" b="6985"/>
            <wp:docPr id="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r="28831"/>
                    <a:stretch>
                      <a:fillRect/>
                    </a:stretch>
                  </pic:blipFill>
                  <pic:spPr bwMode="auto">
                    <a:xfrm>
                      <a:off x="0" y="0"/>
                      <a:ext cx="4074398" cy="4045193"/>
                    </a:xfrm>
                    <a:prstGeom prst="rect">
                      <a:avLst/>
                    </a:prstGeom>
                    <a:noFill/>
                    <a:ln>
                      <a:noFill/>
                    </a:ln>
                  </pic:spPr>
                </pic:pic>
              </a:graphicData>
            </a:graphic>
          </wp:inline>
        </w:drawing>
      </w:r>
    </w:p>
    <w:p w14:paraId="65ADF7D1" w14:textId="77777777" w:rsidR="007A4F62" w:rsidRPr="00A03C2D" w:rsidRDefault="007A4F62" w:rsidP="007A4F62">
      <w:pPr>
        <w:pStyle w:val="Caption"/>
      </w:pPr>
      <w:r w:rsidRPr="00964599">
        <w:t xml:space="preserve">Figure </w:t>
      </w:r>
      <w:r>
        <w:t>4. T</w:t>
      </w:r>
      <w:r w:rsidRPr="00D74BC7">
        <w:t xml:space="preserve">he case study </w:t>
      </w:r>
      <w:r>
        <w:t>row</w:t>
      </w:r>
      <w:r w:rsidRPr="00D74BC7">
        <w:t xml:space="preserve"> house</w:t>
      </w:r>
      <w:r>
        <w:t xml:space="preserve"> (a) exterior view, </w:t>
      </w:r>
      <w:r w:rsidRPr="00D74BC7">
        <w:t>(b)</w:t>
      </w:r>
      <w:r>
        <w:t xml:space="preserve"> building model, and (c)</w:t>
      </w:r>
      <w:r w:rsidRPr="00D74BC7">
        <w:t xml:space="preserve"> floor plans.</w:t>
      </w:r>
    </w:p>
    <w:p w14:paraId="7134B5AF" w14:textId="77777777" w:rsidR="001831F5" w:rsidRDefault="001831F5" w:rsidP="007A4F62">
      <w:pPr>
        <w:pStyle w:val="Heading1"/>
        <w:rPr>
          <w:lang w:val="en-US"/>
        </w:rPr>
      </w:pPr>
    </w:p>
    <w:p w14:paraId="5E08F2D4" w14:textId="77777777" w:rsidR="007A4F62" w:rsidRDefault="007A4F62" w:rsidP="007A4F62">
      <w:pPr>
        <w:pStyle w:val="Heading1"/>
        <w:rPr>
          <w:lang w:val="en-US"/>
        </w:rPr>
      </w:pPr>
      <w:r>
        <w:rPr>
          <w:lang w:val="en-US"/>
        </w:rPr>
        <w:lastRenderedPageBreak/>
        <w:t>Description and modelling of case study row house</w:t>
      </w:r>
    </w:p>
    <w:p w14:paraId="185897B1" w14:textId="1A2BB254" w:rsidR="007A4F62" w:rsidRDefault="00471763" w:rsidP="007A4F62">
      <w:pPr>
        <w:pStyle w:val="Mainbodytext"/>
        <w:ind w:firstLine="0"/>
      </w:pPr>
      <w:r>
        <w:rPr>
          <w:lang w:val="en-US"/>
        </w:rPr>
        <w:t>A</w:t>
      </w:r>
      <w:r w:rsidR="007A4F62" w:rsidRPr="007E0E80">
        <w:rPr>
          <w:lang w:val="en-US"/>
        </w:rPr>
        <w:t xml:space="preserve"> selected row house represent</w:t>
      </w:r>
      <w:r>
        <w:rPr>
          <w:lang w:val="en-US"/>
        </w:rPr>
        <w:t>ing</w:t>
      </w:r>
      <w:r w:rsidR="007A4F62" w:rsidRPr="007E0E80">
        <w:rPr>
          <w:lang w:val="en-US"/>
        </w:rPr>
        <w:t xml:space="preserve"> the typical housing built in Jakarta Metropolitan region</w:t>
      </w:r>
      <w:r w:rsidR="007A4F62">
        <w:t xml:space="preserve"> was modelled in this simulation study (Figure 4). </w:t>
      </w:r>
      <w:r w:rsidR="007A4F62" w:rsidRPr="00CA19A4">
        <w:t>The whole house was mode</w:t>
      </w:r>
      <w:r w:rsidR="007A4F62">
        <w:t>l</w:t>
      </w:r>
      <w:r w:rsidR="007A4F62" w:rsidRPr="00CA19A4">
        <w:t xml:space="preserve">led in three dimensions using </w:t>
      </w:r>
      <w:r w:rsidR="007A4F62">
        <w:rPr>
          <w:bCs/>
          <w:lang w:val="en-US"/>
        </w:rPr>
        <w:t>DesignB</w:t>
      </w:r>
      <w:r w:rsidR="007A4F62" w:rsidRPr="00775B82">
        <w:rPr>
          <w:bCs/>
          <w:lang w:val="en-US"/>
        </w:rPr>
        <w:t>uilder</w:t>
      </w:r>
      <w:r w:rsidR="007A4F62" w:rsidRPr="00CA19A4">
        <w:t xml:space="preserve">. </w:t>
      </w:r>
      <w:r w:rsidR="007A4F62">
        <w:t>The house measure</w:t>
      </w:r>
      <w:r>
        <w:t>d</w:t>
      </w:r>
      <w:r w:rsidR="007A4F62">
        <w:t xml:space="preserve"> 6 m by 10 m with a total floor area of 55 m</w:t>
      </w:r>
      <w:r w:rsidR="007A4F62" w:rsidRPr="00C23670">
        <w:rPr>
          <w:vertAlign w:val="superscript"/>
        </w:rPr>
        <w:t>2</w:t>
      </w:r>
      <w:r w:rsidR="007A4F62">
        <w:t>, with a floor-to-ceiling height of 2.85 m. The building was oriented towards north, which mean</w:t>
      </w:r>
      <w:r>
        <w:t>t</w:t>
      </w:r>
      <w:r w:rsidR="007A4F62">
        <w:t xml:space="preserve"> that the external façade of the children’s bedroom faced north. The entire house was not insulated, being constructed from a single layer of brick, with single glazing windows. The building elements used to build the model in DesignBuilder can be seen in Table 2 (base model) and Table 3 (Passivhaus model).</w:t>
      </w:r>
    </w:p>
    <w:p w14:paraId="19C031A0" w14:textId="15B3FC1B" w:rsidR="007A4F62" w:rsidRDefault="007A4F62" w:rsidP="007A4F62">
      <w:pPr>
        <w:pStyle w:val="Mainbodytext"/>
        <w:ind w:firstLine="720"/>
      </w:pPr>
      <w:r>
        <w:t>The row house modelled in DesignB</w:t>
      </w:r>
      <w:r w:rsidRPr="001B4B79">
        <w:t>uilder</w:t>
      </w:r>
      <w:r>
        <w:t xml:space="preserve"> was analysed to study </w:t>
      </w:r>
      <w:r w:rsidRPr="001B4B79">
        <w:t xml:space="preserve">the effect </w:t>
      </w:r>
      <w:r>
        <w:t xml:space="preserve">of air conditioning and </w:t>
      </w:r>
      <w:r w:rsidRPr="001B4B79">
        <w:t xml:space="preserve">dehumidification. </w:t>
      </w:r>
      <w:r>
        <w:t xml:space="preserve">A modelled house was developed using the existing building elements. Through DesignBuilder simulation, the performance of the building with natural ventilation was compared with the performance of the building when an air conditioner (AC) or dehumidifier was used. When applied in the simulation, the AC or dehumidifier were in the living room, master bedroom, and children’s bedroom. The analysis then continued by studying the building performance when </w:t>
      </w:r>
      <w:r w:rsidR="00471763">
        <w:t xml:space="preserve">the </w:t>
      </w:r>
      <w:r>
        <w:t xml:space="preserve">Passivhaus concepts were applied to the building. The same AC location was still used on this Passivhaus building. Table 3 indicates the changes on the building material to follow </w:t>
      </w:r>
      <w:r w:rsidR="00471763">
        <w:t xml:space="preserve">the </w:t>
      </w:r>
      <w:r>
        <w:t>Passivhaus concept.</w:t>
      </w:r>
    </w:p>
    <w:p w14:paraId="7D3C962C" w14:textId="77777777" w:rsidR="007A4F62" w:rsidRDefault="007A4F62" w:rsidP="007A4F62">
      <w:pPr>
        <w:pStyle w:val="Mainbodytext"/>
      </w:pPr>
    </w:p>
    <w:p w14:paraId="185A0807" w14:textId="77777777" w:rsidR="007A4F62" w:rsidRPr="00DC6507" w:rsidRDefault="007A4F62" w:rsidP="007A4F62">
      <w:pPr>
        <w:pStyle w:val="Caption"/>
        <w:rPr>
          <w:b/>
          <w:bCs/>
        </w:rPr>
      </w:pPr>
      <w:r w:rsidRPr="00964599">
        <w:t xml:space="preserve">Table </w:t>
      </w:r>
      <w:r w:rsidR="00471763">
        <w:fldChar w:fldCharType="begin"/>
      </w:r>
      <w:r w:rsidR="00471763">
        <w:instrText xml:space="preserve"> SEQ Table \* ARABIC </w:instrText>
      </w:r>
      <w:r w:rsidR="00471763">
        <w:fldChar w:fldCharType="separate"/>
      </w:r>
      <w:r>
        <w:rPr>
          <w:noProof/>
        </w:rPr>
        <w:t>2</w:t>
      </w:r>
      <w:r w:rsidR="00471763">
        <w:rPr>
          <w:noProof/>
        </w:rPr>
        <w:fldChar w:fldCharType="end"/>
      </w:r>
      <w:r w:rsidRPr="00964599">
        <w:t xml:space="preserve">. </w:t>
      </w:r>
      <w:r>
        <w:t>Building elements</w:t>
      </w:r>
      <w:r w:rsidRPr="00964599">
        <w:t>.</w:t>
      </w:r>
    </w:p>
    <w:tbl>
      <w:tblPr>
        <w:tblW w:w="8681" w:type="dxa"/>
        <w:tblInd w:w="103" w:type="dxa"/>
        <w:tblLayout w:type="fixed"/>
        <w:tblLook w:val="04A0" w:firstRow="1" w:lastRow="0" w:firstColumn="1" w:lastColumn="0" w:noHBand="0" w:noVBand="1"/>
      </w:tblPr>
      <w:tblGrid>
        <w:gridCol w:w="2591"/>
        <w:gridCol w:w="6090"/>
      </w:tblGrid>
      <w:tr w:rsidR="007A4F62" w:rsidRPr="00F57731" w14:paraId="280AC7FF" w14:textId="77777777" w:rsidTr="00CF6CAF">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2B9B3" w14:textId="77777777" w:rsidR="007A4F62" w:rsidRPr="007A4F62" w:rsidRDefault="007A4F62" w:rsidP="00CF6CAF">
            <w:pPr>
              <w:rPr>
                <w:rFonts w:eastAsia="Times New Roman"/>
                <w:b/>
                <w:color w:val="000000"/>
                <w:sz w:val="20"/>
                <w:szCs w:val="20"/>
              </w:rPr>
            </w:pPr>
            <w:r w:rsidRPr="007A4F62">
              <w:rPr>
                <w:rFonts w:eastAsia="Times New Roman"/>
                <w:b/>
                <w:color w:val="000000"/>
                <w:sz w:val="20"/>
                <w:szCs w:val="20"/>
              </w:rPr>
              <w:t>Building Element</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AFAF9" w14:textId="77777777" w:rsidR="007A4F62" w:rsidRPr="007A4F62" w:rsidRDefault="007A4F62" w:rsidP="00CF6CAF">
            <w:pPr>
              <w:jc w:val="center"/>
              <w:rPr>
                <w:rFonts w:eastAsia="Times New Roman"/>
                <w:b/>
                <w:color w:val="000000"/>
                <w:sz w:val="20"/>
                <w:szCs w:val="20"/>
              </w:rPr>
            </w:pPr>
            <w:r w:rsidRPr="007A4F62">
              <w:rPr>
                <w:rFonts w:eastAsia="Times New Roman"/>
                <w:b/>
                <w:color w:val="000000"/>
                <w:sz w:val="20"/>
                <w:szCs w:val="20"/>
              </w:rPr>
              <w:t>Constructional layers</w:t>
            </w:r>
          </w:p>
        </w:tc>
      </w:tr>
      <w:tr w:rsidR="007A4F62" w:rsidRPr="00F57731" w14:paraId="3810DB8E" w14:textId="77777777" w:rsidTr="00CF6CAF">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75B8D" w14:textId="77777777" w:rsidR="007A4F62" w:rsidRPr="007A4F62" w:rsidRDefault="007A4F62" w:rsidP="00CF6CAF">
            <w:pPr>
              <w:rPr>
                <w:rFonts w:eastAsia="Times New Roman"/>
                <w:color w:val="000000"/>
                <w:sz w:val="20"/>
                <w:szCs w:val="20"/>
              </w:rPr>
            </w:pPr>
            <w:r w:rsidRPr="007A4F62">
              <w:rPr>
                <w:rFonts w:eastAsia="Times New Roman"/>
                <w:color w:val="000000"/>
                <w:sz w:val="20"/>
                <w:szCs w:val="20"/>
              </w:rPr>
              <w:t xml:space="preserve"> </w:t>
            </w:r>
            <w:r w:rsidRPr="00F57731">
              <w:rPr>
                <w:sz w:val="20"/>
                <w:szCs w:val="20"/>
              </w:rPr>
              <w:t>External and internal walls</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008DC" w14:textId="77777777" w:rsidR="007A4F62" w:rsidRPr="007A4F62" w:rsidRDefault="007A4F62" w:rsidP="00CF6CAF">
            <w:pPr>
              <w:jc w:val="left"/>
              <w:rPr>
                <w:rFonts w:eastAsia="Times New Roman"/>
                <w:color w:val="000000"/>
                <w:sz w:val="20"/>
                <w:szCs w:val="20"/>
              </w:rPr>
            </w:pPr>
            <w:r w:rsidRPr="00F57731">
              <w:rPr>
                <w:sz w:val="20"/>
                <w:szCs w:val="20"/>
              </w:rPr>
              <w:t>25 mm thick cement plaster + 100 mm thick clay brick + 25 mm thick cement plaster</w:t>
            </w:r>
          </w:p>
        </w:tc>
      </w:tr>
      <w:tr w:rsidR="007A4F62" w:rsidRPr="00F57731" w14:paraId="6B5853C9" w14:textId="77777777" w:rsidTr="00CF6CAF">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3A555" w14:textId="77777777" w:rsidR="007A4F62" w:rsidRPr="007A4F62" w:rsidRDefault="007A4F62" w:rsidP="00CF6CAF">
            <w:pPr>
              <w:rPr>
                <w:rFonts w:eastAsia="Times New Roman"/>
                <w:color w:val="000000"/>
                <w:sz w:val="20"/>
                <w:szCs w:val="20"/>
              </w:rPr>
            </w:pPr>
            <w:r w:rsidRPr="00F57731">
              <w:rPr>
                <w:sz w:val="20"/>
                <w:szCs w:val="20"/>
              </w:rPr>
              <w:t>Party wall</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AAA68" w14:textId="77777777" w:rsidR="007A4F62" w:rsidRPr="007A4F62" w:rsidRDefault="007A4F62" w:rsidP="00CF6CAF">
            <w:pPr>
              <w:jc w:val="left"/>
              <w:rPr>
                <w:rFonts w:eastAsia="Times New Roman"/>
                <w:color w:val="000000"/>
                <w:sz w:val="20"/>
                <w:szCs w:val="20"/>
              </w:rPr>
            </w:pPr>
            <w:r w:rsidRPr="00F57731">
              <w:rPr>
                <w:sz w:val="20"/>
                <w:szCs w:val="20"/>
              </w:rPr>
              <w:t>25 mm thick cement plaster + 200 mm thick clay brick + 25 mm thick cement plaster</w:t>
            </w:r>
          </w:p>
        </w:tc>
      </w:tr>
      <w:tr w:rsidR="007A4F62" w:rsidRPr="00F57731" w14:paraId="0FAC07E9" w14:textId="77777777" w:rsidTr="00CF6CAF">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33776" w14:textId="77777777" w:rsidR="007A4F62" w:rsidRPr="007A4F62" w:rsidRDefault="007A4F62" w:rsidP="00CF6CAF">
            <w:pPr>
              <w:rPr>
                <w:rFonts w:eastAsia="Times New Roman"/>
                <w:color w:val="000000"/>
                <w:sz w:val="20"/>
                <w:szCs w:val="20"/>
              </w:rPr>
            </w:pPr>
            <w:r w:rsidRPr="00F57731">
              <w:rPr>
                <w:sz w:val="20"/>
                <w:szCs w:val="20"/>
              </w:rPr>
              <w:t>Floor</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38401" w14:textId="77777777" w:rsidR="007A4F62" w:rsidRPr="007A4F62" w:rsidRDefault="007A4F62" w:rsidP="00CF6CAF">
            <w:pPr>
              <w:jc w:val="left"/>
              <w:rPr>
                <w:rFonts w:eastAsia="Times New Roman"/>
                <w:color w:val="000000"/>
                <w:sz w:val="20"/>
                <w:szCs w:val="20"/>
              </w:rPr>
            </w:pPr>
            <w:r w:rsidRPr="00F57731">
              <w:rPr>
                <w:sz w:val="20"/>
                <w:szCs w:val="20"/>
              </w:rPr>
              <w:t>8 mm thick ceramic tile + 22 mm thick cement screed + 100 mm thick concrete slab + soil layer</w:t>
            </w:r>
          </w:p>
        </w:tc>
      </w:tr>
      <w:tr w:rsidR="007A4F62" w:rsidRPr="00F57731" w14:paraId="159405F2" w14:textId="77777777" w:rsidTr="00CF6CAF">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83E8C" w14:textId="77777777" w:rsidR="007A4F62" w:rsidRPr="00F57731" w:rsidRDefault="007A4F62" w:rsidP="00CF6CAF">
            <w:pPr>
              <w:rPr>
                <w:sz w:val="20"/>
                <w:szCs w:val="20"/>
              </w:rPr>
            </w:pPr>
            <w:r w:rsidRPr="00F57731">
              <w:rPr>
                <w:sz w:val="20"/>
                <w:szCs w:val="20"/>
              </w:rPr>
              <w:t>Window</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476F3" w14:textId="77777777" w:rsidR="007A4F62" w:rsidRPr="00F57731" w:rsidRDefault="007A4F62" w:rsidP="00CF6CAF">
            <w:pPr>
              <w:jc w:val="left"/>
              <w:rPr>
                <w:sz w:val="20"/>
                <w:szCs w:val="20"/>
              </w:rPr>
            </w:pPr>
            <w:r w:rsidRPr="00F57731">
              <w:rPr>
                <w:sz w:val="20"/>
                <w:szCs w:val="20"/>
              </w:rPr>
              <w:t>6 mm thick single layer glass</w:t>
            </w:r>
          </w:p>
        </w:tc>
      </w:tr>
      <w:tr w:rsidR="007A4F62" w:rsidRPr="00F57731" w14:paraId="2B5D89F3" w14:textId="77777777" w:rsidTr="00CF6CAF">
        <w:trPr>
          <w:trHeight w:val="6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4DB32" w14:textId="77777777" w:rsidR="007A4F62" w:rsidRPr="007A4F62" w:rsidRDefault="007A4F62" w:rsidP="00CF6CAF">
            <w:pPr>
              <w:rPr>
                <w:rFonts w:eastAsia="Times New Roman"/>
                <w:color w:val="000000"/>
                <w:sz w:val="20"/>
                <w:szCs w:val="20"/>
              </w:rPr>
            </w:pPr>
            <w:r w:rsidRPr="00F57731">
              <w:rPr>
                <w:sz w:val="20"/>
                <w:szCs w:val="20"/>
              </w:rPr>
              <w:t>Ceiling</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9F58A" w14:textId="77777777" w:rsidR="007A4F62" w:rsidRPr="007A4F62" w:rsidRDefault="007A4F62" w:rsidP="00CF6CAF">
            <w:pPr>
              <w:jc w:val="left"/>
              <w:rPr>
                <w:rFonts w:eastAsia="Times New Roman"/>
                <w:color w:val="000000"/>
                <w:sz w:val="20"/>
                <w:szCs w:val="20"/>
              </w:rPr>
            </w:pPr>
            <w:r w:rsidRPr="00F57731">
              <w:rPr>
                <w:sz w:val="20"/>
                <w:szCs w:val="20"/>
              </w:rPr>
              <w:t>6 mm thick gypsum board</w:t>
            </w:r>
          </w:p>
        </w:tc>
      </w:tr>
      <w:tr w:rsidR="007A4F62" w:rsidRPr="00F57731" w14:paraId="7E1E8319" w14:textId="77777777" w:rsidTr="00CF6CAF">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1E873" w14:textId="77777777" w:rsidR="007A4F62" w:rsidRPr="007A4F62" w:rsidRDefault="007A4F62" w:rsidP="00CF6CAF">
            <w:pPr>
              <w:rPr>
                <w:rFonts w:eastAsia="Times New Roman"/>
                <w:color w:val="000000"/>
                <w:sz w:val="20"/>
                <w:szCs w:val="20"/>
              </w:rPr>
            </w:pPr>
            <w:r w:rsidRPr="00F57731">
              <w:rPr>
                <w:sz w:val="20"/>
                <w:szCs w:val="20"/>
              </w:rPr>
              <w:t>Pitched roof</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BF4DF6" w14:textId="77777777" w:rsidR="007A4F62" w:rsidRPr="007A4F62" w:rsidRDefault="007A4F62" w:rsidP="00CF6CAF">
            <w:pPr>
              <w:jc w:val="left"/>
              <w:rPr>
                <w:rFonts w:eastAsia="Times New Roman"/>
                <w:color w:val="000000"/>
                <w:sz w:val="20"/>
                <w:szCs w:val="20"/>
              </w:rPr>
            </w:pPr>
            <w:r w:rsidRPr="00F57731">
              <w:rPr>
                <w:sz w:val="20"/>
                <w:szCs w:val="20"/>
              </w:rPr>
              <w:t>20 mm thick roof tile + 25 mm thick timber batten</w:t>
            </w:r>
          </w:p>
        </w:tc>
      </w:tr>
      <w:tr w:rsidR="007A4F62" w:rsidRPr="00F57731" w14:paraId="3CAA7AA5" w14:textId="77777777" w:rsidTr="00CF6CAF">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840C7" w14:textId="77777777" w:rsidR="007A4F62" w:rsidRPr="007A4F62" w:rsidRDefault="007A4F62" w:rsidP="00CF6CAF">
            <w:pPr>
              <w:rPr>
                <w:rFonts w:eastAsia="Times New Roman"/>
                <w:color w:val="000000"/>
                <w:sz w:val="20"/>
                <w:szCs w:val="20"/>
              </w:rPr>
            </w:pPr>
            <w:r w:rsidRPr="00F57731">
              <w:rPr>
                <w:sz w:val="20"/>
                <w:szCs w:val="20"/>
              </w:rPr>
              <w:t>Flat roof</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A054F" w14:textId="77777777" w:rsidR="007A4F62" w:rsidRPr="007A4F62" w:rsidRDefault="007A4F62" w:rsidP="00CF6CAF">
            <w:pPr>
              <w:jc w:val="left"/>
              <w:rPr>
                <w:rFonts w:eastAsia="Times New Roman"/>
                <w:color w:val="000000"/>
                <w:sz w:val="20"/>
                <w:szCs w:val="20"/>
              </w:rPr>
            </w:pPr>
            <w:r w:rsidRPr="00F57731">
              <w:rPr>
                <w:sz w:val="20"/>
                <w:szCs w:val="20"/>
              </w:rPr>
              <w:t>22 mm thick cement screed + 100 mm thick concrete slab + 20 mm thick cement plaster</w:t>
            </w:r>
          </w:p>
        </w:tc>
      </w:tr>
    </w:tbl>
    <w:p w14:paraId="732FE8B3" w14:textId="77777777" w:rsidR="007A4F62" w:rsidRDefault="007A4F62" w:rsidP="007A4F62">
      <w:pPr>
        <w:pStyle w:val="Mainbodytext"/>
        <w:ind w:firstLine="0"/>
      </w:pPr>
    </w:p>
    <w:p w14:paraId="0FFF164A" w14:textId="77777777" w:rsidR="007A4F62" w:rsidRPr="00DC6507" w:rsidRDefault="007A4F62" w:rsidP="007A4F62">
      <w:pPr>
        <w:pStyle w:val="Caption"/>
        <w:rPr>
          <w:b/>
          <w:bCs/>
        </w:rPr>
      </w:pPr>
      <w:r w:rsidRPr="00964599">
        <w:t xml:space="preserve">Table </w:t>
      </w:r>
      <w:r>
        <w:t>3</w:t>
      </w:r>
      <w:r w:rsidRPr="00964599">
        <w:t xml:space="preserve">. </w:t>
      </w:r>
      <w:r>
        <w:t>Passivhaus building elements</w:t>
      </w:r>
      <w:r w:rsidRPr="00964599">
        <w:t>.</w:t>
      </w:r>
    </w:p>
    <w:tbl>
      <w:tblPr>
        <w:tblW w:w="8681" w:type="dxa"/>
        <w:tblInd w:w="103" w:type="dxa"/>
        <w:tblLayout w:type="fixed"/>
        <w:tblLook w:val="04A0" w:firstRow="1" w:lastRow="0" w:firstColumn="1" w:lastColumn="0" w:noHBand="0" w:noVBand="1"/>
      </w:tblPr>
      <w:tblGrid>
        <w:gridCol w:w="2591"/>
        <w:gridCol w:w="6090"/>
      </w:tblGrid>
      <w:tr w:rsidR="007A4F62" w:rsidRPr="00F57731" w14:paraId="3DA99843" w14:textId="77777777" w:rsidTr="00CF6CAF">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6C0B7" w14:textId="77777777" w:rsidR="007A4F62" w:rsidRPr="007A4F62" w:rsidRDefault="007A4F62" w:rsidP="00CF6CAF">
            <w:pPr>
              <w:rPr>
                <w:rFonts w:eastAsia="Times New Roman"/>
                <w:b/>
                <w:color w:val="000000"/>
                <w:sz w:val="20"/>
                <w:szCs w:val="20"/>
              </w:rPr>
            </w:pPr>
            <w:r w:rsidRPr="007A4F62">
              <w:rPr>
                <w:rFonts w:eastAsia="Times New Roman"/>
                <w:b/>
                <w:color w:val="000000"/>
                <w:sz w:val="20"/>
                <w:szCs w:val="20"/>
              </w:rPr>
              <w:t>Building Element</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C1049" w14:textId="77777777" w:rsidR="007A4F62" w:rsidRPr="007A4F62" w:rsidRDefault="007A4F62" w:rsidP="00CF6CAF">
            <w:pPr>
              <w:jc w:val="center"/>
              <w:rPr>
                <w:rFonts w:eastAsia="Times New Roman"/>
                <w:b/>
                <w:color w:val="000000"/>
                <w:sz w:val="20"/>
                <w:szCs w:val="20"/>
              </w:rPr>
            </w:pPr>
            <w:r w:rsidRPr="007A4F62">
              <w:rPr>
                <w:rFonts w:eastAsia="Times New Roman"/>
                <w:b/>
                <w:color w:val="000000"/>
                <w:sz w:val="20"/>
                <w:szCs w:val="20"/>
              </w:rPr>
              <w:t>Constructional layers</w:t>
            </w:r>
          </w:p>
        </w:tc>
      </w:tr>
      <w:tr w:rsidR="007A4F62" w:rsidRPr="00F57731" w14:paraId="389059B8" w14:textId="77777777" w:rsidTr="00CF6CAF">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310B7" w14:textId="77777777" w:rsidR="007A4F62" w:rsidRPr="007A4F62" w:rsidRDefault="007A4F62" w:rsidP="00CF6CAF">
            <w:pPr>
              <w:rPr>
                <w:rFonts w:eastAsia="Times New Roman"/>
                <w:color w:val="000000"/>
                <w:sz w:val="20"/>
                <w:szCs w:val="20"/>
              </w:rPr>
            </w:pPr>
            <w:r w:rsidRPr="007A4F62">
              <w:rPr>
                <w:rFonts w:eastAsia="Times New Roman"/>
                <w:color w:val="000000"/>
                <w:sz w:val="20"/>
                <w:szCs w:val="20"/>
              </w:rPr>
              <w:t xml:space="preserve"> </w:t>
            </w:r>
            <w:r w:rsidRPr="00F57731">
              <w:rPr>
                <w:sz w:val="20"/>
                <w:szCs w:val="20"/>
              </w:rPr>
              <w:t>External and internal walls</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5162B" w14:textId="0C9D600D" w:rsidR="007A4F62" w:rsidRPr="007A4F62" w:rsidRDefault="007A4F62" w:rsidP="00CF6CAF">
            <w:pPr>
              <w:jc w:val="left"/>
              <w:rPr>
                <w:rFonts w:eastAsia="Times New Roman"/>
                <w:color w:val="000000"/>
                <w:sz w:val="20"/>
                <w:szCs w:val="20"/>
              </w:rPr>
            </w:pPr>
            <w:r w:rsidRPr="00F57731">
              <w:rPr>
                <w:sz w:val="20"/>
                <w:szCs w:val="20"/>
              </w:rPr>
              <w:t xml:space="preserve">25 mm thick cement plaster + 100 mm thick clay brick + 100 mm XPS Extruded </w:t>
            </w:r>
            <w:r w:rsidR="002479B9" w:rsidRPr="00F57731">
              <w:rPr>
                <w:sz w:val="20"/>
                <w:szCs w:val="20"/>
              </w:rPr>
              <w:t>Polystyrene +</w:t>
            </w:r>
            <w:r w:rsidRPr="00F57731">
              <w:rPr>
                <w:sz w:val="20"/>
                <w:szCs w:val="20"/>
              </w:rPr>
              <w:t xml:space="preserve"> 25 mm thick cement plaster</w:t>
            </w:r>
          </w:p>
        </w:tc>
      </w:tr>
      <w:tr w:rsidR="007A4F62" w:rsidRPr="00F57731" w14:paraId="0A54D6E9" w14:textId="77777777" w:rsidTr="00CF6CAF">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EC97A" w14:textId="77777777" w:rsidR="007A4F62" w:rsidRPr="007A4F62" w:rsidRDefault="007A4F62" w:rsidP="00CF6CAF">
            <w:pPr>
              <w:rPr>
                <w:rFonts w:eastAsia="Times New Roman"/>
                <w:color w:val="000000"/>
                <w:sz w:val="20"/>
                <w:szCs w:val="20"/>
              </w:rPr>
            </w:pPr>
            <w:r w:rsidRPr="00F57731">
              <w:rPr>
                <w:sz w:val="20"/>
                <w:szCs w:val="20"/>
              </w:rPr>
              <w:t>Party wall</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41ACB" w14:textId="55528EFD" w:rsidR="007A4F62" w:rsidRPr="007A4F62" w:rsidRDefault="007A4F62" w:rsidP="00CF6CAF">
            <w:pPr>
              <w:jc w:val="left"/>
              <w:rPr>
                <w:rFonts w:eastAsia="Times New Roman"/>
                <w:color w:val="000000"/>
                <w:sz w:val="20"/>
                <w:szCs w:val="20"/>
              </w:rPr>
            </w:pPr>
            <w:r w:rsidRPr="00F57731">
              <w:rPr>
                <w:sz w:val="20"/>
                <w:szCs w:val="20"/>
              </w:rPr>
              <w:t xml:space="preserve">25 mm thick cement plaster + 200 mm thick clay brick + 100 mm XPS Extruded </w:t>
            </w:r>
            <w:r w:rsidR="002479B9" w:rsidRPr="00F57731">
              <w:rPr>
                <w:sz w:val="20"/>
                <w:szCs w:val="20"/>
              </w:rPr>
              <w:t>Polystyrene +</w:t>
            </w:r>
            <w:r w:rsidRPr="00F57731">
              <w:rPr>
                <w:sz w:val="20"/>
                <w:szCs w:val="20"/>
              </w:rPr>
              <w:t xml:space="preserve"> 25 mm thick cement plaster</w:t>
            </w:r>
          </w:p>
        </w:tc>
      </w:tr>
      <w:tr w:rsidR="007A4F62" w:rsidRPr="00F57731" w14:paraId="747EF65C" w14:textId="77777777" w:rsidTr="00CF6CAF">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5511A" w14:textId="77777777" w:rsidR="007A4F62" w:rsidRPr="007A4F62" w:rsidRDefault="007A4F62" w:rsidP="00CF6CAF">
            <w:pPr>
              <w:rPr>
                <w:rFonts w:eastAsia="Times New Roman"/>
                <w:color w:val="000000"/>
                <w:sz w:val="20"/>
                <w:szCs w:val="20"/>
              </w:rPr>
            </w:pPr>
            <w:r w:rsidRPr="00F57731">
              <w:rPr>
                <w:sz w:val="20"/>
                <w:szCs w:val="20"/>
              </w:rPr>
              <w:t>Floor</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555F1" w14:textId="77777777" w:rsidR="007A4F62" w:rsidRPr="007A4F62" w:rsidRDefault="007A4F62" w:rsidP="00CF6CAF">
            <w:pPr>
              <w:jc w:val="left"/>
              <w:rPr>
                <w:rFonts w:eastAsia="Times New Roman"/>
                <w:color w:val="000000"/>
                <w:sz w:val="20"/>
                <w:szCs w:val="20"/>
              </w:rPr>
            </w:pPr>
            <w:r w:rsidRPr="00F57731">
              <w:rPr>
                <w:sz w:val="20"/>
                <w:szCs w:val="20"/>
              </w:rPr>
              <w:t>8 mm thick ceramic tile + 22 mm thick cement screed + 100 mm thick concrete slab + Urea Formaldehyde Foam + soil layer</w:t>
            </w:r>
          </w:p>
        </w:tc>
      </w:tr>
      <w:tr w:rsidR="007A4F62" w:rsidRPr="00F57731" w14:paraId="55A8306C" w14:textId="77777777" w:rsidTr="00CF6CAF">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E1258" w14:textId="77777777" w:rsidR="007A4F62" w:rsidRPr="00F57731" w:rsidRDefault="007A4F62" w:rsidP="00CF6CAF">
            <w:pPr>
              <w:rPr>
                <w:sz w:val="20"/>
                <w:szCs w:val="20"/>
              </w:rPr>
            </w:pPr>
            <w:r w:rsidRPr="00F57731">
              <w:rPr>
                <w:sz w:val="20"/>
                <w:szCs w:val="20"/>
              </w:rPr>
              <w:t>Window</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29B9A" w14:textId="77777777" w:rsidR="007A4F62" w:rsidRPr="00F57731" w:rsidRDefault="007A4F62" w:rsidP="00CF6CAF">
            <w:pPr>
              <w:jc w:val="left"/>
              <w:rPr>
                <w:sz w:val="20"/>
                <w:szCs w:val="20"/>
              </w:rPr>
            </w:pPr>
            <w:r w:rsidRPr="00F57731">
              <w:rPr>
                <w:sz w:val="20"/>
                <w:szCs w:val="20"/>
              </w:rPr>
              <w:t>6 mm thick double layer glass</w:t>
            </w:r>
          </w:p>
        </w:tc>
      </w:tr>
      <w:tr w:rsidR="007A4F62" w:rsidRPr="00F57731" w14:paraId="576EC212" w14:textId="77777777" w:rsidTr="00CF6CAF">
        <w:trPr>
          <w:trHeight w:val="6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67208" w14:textId="77777777" w:rsidR="007A4F62" w:rsidRPr="007A4F62" w:rsidRDefault="007A4F62" w:rsidP="00CF6CAF">
            <w:pPr>
              <w:rPr>
                <w:rFonts w:eastAsia="Times New Roman"/>
                <w:color w:val="000000"/>
                <w:sz w:val="20"/>
                <w:szCs w:val="20"/>
              </w:rPr>
            </w:pPr>
            <w:r w:rsidRPr="00F57731">
              <w:rPr>
                <w:sz w:val="20"/>
                <w:szCs w:val="20"/>
              </w:rPr>
              <w:t>Ceiling</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16BBA" w14:textId="77777777" w:rsidR="007A4F62" w:rsidRPr="007A4F62" w:rsidRDefault="007A4F62" w:rsidP="00CF6CAF">
            <w:pPr>
              <w:jc w:val="left"/>
              <w:rPr>
                <w:rFonts w:eastAsia="Times New Roman"/>
                <w:color w:val="000000"/>
                <w:sz w:val="20"/>
                <w:szCs w:val="20"/>
              </w:rPr>
            </w:pPr>
            <w:r w:rsidRPr="00F57731">
              <w:rPr>
                <w:sz w:val="20"/>
                <w:szCs w:val="20"/>
              </w:rPr>
              <w:t>6 mm thick gypsum board</w:t>
            </w:r>
          </w:p>
        </w:tc>
      </w:tr>
      <w:tr w:rsidR="007A4F62" w:rsidRPr="00F57731" w14:paraId="14F7D848" w14:textId="77777777" w:rsidTr="00CF6CAF">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7FDFC" w14:textId="77777777" w:rsidR="007A4F62" w:rsidRPr="007A4F62" w:rsidRDefault="007A4F62" w:rsidP="00CF6CAF">
            <w:pPr>
              <w:rPr>
                <w:rFonts w:eastAsia="Times New Roman"/>
                <w:color w:val="000000"/>
                <w:sz w:val="20"/>
                <w:szCs w:val="20"/>
              </w:rPr>
            </w:pPr>
            <w:r w:rsidRPr="00F57731">
              <w:rPr>
                <w:sz w:val="20"/>
                <w:szCs w:val="20"/>
              </w:rPr>
              <w:t>Pitched roof</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79765" w14:textId="77777777" w:rsidR="007A4F62" w:rsidRPr="007A4F62" w:rsidRDefault="007A4F62" w:rsidP="00CF6CAF">
            <w:pPr>
              <w:jc w:val="left"/>
              <w:rPr>
                <w:rFonts w:eastAsia="Times New Roman"/>
                <w:color w:val="000000"/>
                <w:sz w:val="20"/>
                <w:szCs w:val="20"/>
              </w:rPr>
            </w:pPr>
            <w:r w:rsidRPr="00F57731">
              <w:rPr>
                <w:sz w:val="20"/>
                <w:szCs w:val="20"/>
              </w:rPr>
              <w:t>20 mm thick roof tile + 25 mm thick timber batten + 100 mm MW Glass Wool (rolls)</w:t>
            </w:r>
          </w:p>
        </w:tc>
      </w:tr>
      <w:tr w:rsidR="007A4F62" w:rsidRPr="00F57731" w14:paraId="0579D34A" w14:textId="77777777" w:rsidTr="00CF6CAF">
        <w:trPr>
          <w:trHeight w:val="280"/>
        </w:trPr>
        <w:tc>
          <w:tcPr>
            <w:tcW w:w="2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10CCA" w14:textId="77777777" w:rsidR="007A4F62" w:rsidRPr="007A4F62" w:rsidRDefault="007A4F62" w:rsidP="00CF6CAF">
            <w:pPr>
              <w:rPr>
                <w:rFonts w:eastAsia="Times New Roman"/>
                <w:color w:val="000000"/>
                <w:sz w:val="20"/>
                <w:szCs w:val="20"/>
              </w:rPr>
            </w:pPr>
            <w:r w:rsidRPr="00F57731">
              <w:rPr>
                <w:sz w:val="20"/>
                <w:szCs w:val="20"/>
              </w:rPr>
              <w:t>Flat roof</w:t>
            </w:r>
          </w:p>
        </w:tc>
        <w:tc>
          <w:tcPr>
            <w:tcW w:w="60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45191" w14:textId="77777777" w:rsidR="007A4F62" w:rsidRPr="007A4F62" w:rsidRDefault="007A4F62" w:rsidP="00CF6CAF">
            <w:pPr>
              <w:jc w:val="left"/>
              <w:rPr>
                <w:rFonts w:eastAsia="Times New Roman"/>
                <w:color w:val="000000"/>
                <w:sz w:val="20"/>
                <w:szCs w:val="20"/>
              </w:rPr>
            </w:pPr>
            <w:r w:rsidRPr="00F57731">
              <w:rPr>
                <w:sz w:val="20"/>
                <w:szCs w:val="20"/>
              </w:rPr>
              <w:t>22 mm thick cement screed + 100 mm thick concrete slab + 20 mm thick cement plaster + 100 mm XPS Extruded Polystyrene</w:t>
            </w:r>
          </w:p>
        </w:tc>
      </w:tr>
    </w:tbl>
    <w:p w14:paraId="2DAB7D6A" w14:textId="77777777" w:rsidR="007A4F62" w:rsidRDefault="007A4F62" w:rsidP="007A4F62">
      <w:pPr>
        <w:pStyle w:val="Mainbodytext"/>
        <w:ind w:firstLine="0"/>
      </w:pPr>
    </w:p>
    <w:p w14:paraId="34DB50AE" w14:textId="77777777" w:rsidR="00471763" w:rsidRDefault="00471763" w:rsidP="007A4F62">
      <w:pPr>
        <w:pStyle w:val="Heading1"/>
        <w:rPr>
          <w:lang w:val="en-US"/>
        </w:rPr>
      </w:pPr>
    </w:p>
    <w:p w14:paraId="26F7174A" w14:textId="77777777" w:rsidR="007A4F62" w:rsidRPr="000924AC" w:rsidRDefault="007A4F62" w:rsidP="007A4F62">
      <w:pPr>
        <w:pStyle w:val="Heading1"/>
        <w:rPr>
          <w:lang w:val="en-US"/>
        </w:rPr>
      </w:pPr>
      <w:r w:rsidRPr="00687F3B">
        <w:rPr>
          <w:lang w:val="en-US"/>
        </w:rPr>
        <w:lastRenderedPageBreak/>
        <w:t>Simulation Result and discussion</w:t>
      </w:r>
    </w:p>
    <w:p w14:paraId="70454546" w14:textId="3B99F18D" w:rsidR="007A4F62" w:rsidRDefault="007A4F62" w:rsidP="007A4F62">
      <w:pPr>
        <w:pStyle w:val="Mainbodytext"/>
        <w:ind w:firstLine="0"/>
      </w:pPr>
      <w:r w:rsidRPr="00522BDF">
        <w:t>The air temperature</w:t>
      </w:r>
      <w:r>
        <w:t xml:space="preserve"> comparison graph</w:t>
      </w:r>
      <w:r w:rsidRPr="00522BDF">
        <w:t xml:space="preserve"> (</w:t>
      </w:r>
      <w:r>
        <w:t>F</w:t>
      </w:r>
      <w:r w:rsidRPr="00522BDF">
        <w:t>igure 5) indicates that</w:t>
      </w:r>
      <w:r>
        <w:t>,</w:t>
      </w:r>
      <w:r w:rsidRPr="00522BDF">
        <w:t xml:space="preserve"> by introducing AC</w:t>
      </w:r>
      <w:r>
        <w:t>,</w:t>
      </w:r>
      <w:r w:rsidRPr="00522BDF">
        <w:t xml:space="preserve"> </w:t>
      </w:r>
      <w:r>
        <w:t>the temperatures in</w:t>
      </w:r>
      <w:r w:rsidRPr="00522BDF">
        <w:t xml:space="preserve"> </w:t>
      </w:r>
      <w:r>
        <w:t>the l</w:t>
      </w:r>
      <w:r w:rsidRPr="00522BDF">
        <w:t xml:space="preserve">iving room and </w:t>
      </w:r>
      <w:r>
        <w:t>m</w:t>
      </w:r>
      <w:r w:rsidRPr="00522BDF">
        <w:t>aster bedro</w:t>
      </w:r>
      <w:r>
        <w:t>om were lowered by around 3</w:t>
      </w:r>
      <w:r w:rsidR="00471763">
        <w:rPr>
          <w:vertAlign w:val="superscript"/>
        </w:rPr>
        <w:t>⁰</w:t>
      </w:r>
      <w:r w:rsidRPr="00522BDF">
        <w:t>C</w:t>
      </w:r>
      <w:r>
        <w:t xml:space="preserve"> compared to using natural ventilation in the dwelling, making the air temperature always below 26</w:t>
      </w:r>
      <w:r>
        <w:rPr>
          <w:vertAlign w:val="superscript"/>
        </w:rPr>
        <w:t>0</w:t>
      </w:r>
      <w:r>
        <w:t>C for this selected period. Air temperatures in the Passivhaus building show a flat line with the temperature stable at around 26</w:t>
      </w:r>
      <w:r w:rsidR="00471763">
        <w:rPr>
          <w:vertAlign w:val="superscript"/>
        </w:rPr>
        <w:t>⁰</w:t>
      </w:r>
      <w:r>
        <w:t xml:space="preserve">C. </w:t>
      </w:r>
      <w:r w:rsidRPr="00522BDF">
        <w:t>Based on the DesignBuilder calculation</w:t>
      </w:r>
      <w:r>
        <w:t>s</w:t>
      </w:r>
      <w:r w:rsidRPr="00522BDF">
        <w:t xml:space="preserve">, the annual cooling energy used </w:t>
      </w:r>
      <w:r>
        <w:t>i</w:t>
      </w:r>
      <w:r w:rsidRPr="00522BDF">
        <w:t xml:space="preserve">n the building </w:t>
      </w:r>
      <w:r w:rsidR="00471763">
        <w:t>wa</w:t>
      </w:r>
      <w:r w:rsidRPr="00522BDF">
        <w:t xml:space="preserve">s 4093 kWh for </w:t>
      </w:r>
      <w:r>
        <w:t xml:space="preserve">the </w:t>
      </w:r>
      <w:r w:rsidRPr="00522BDF">
        <w:t xml:space="preserve">house with AC, 3631 kWh for </w:t>
      </w:r>
      <w:r w:rsidR="00471763">
        <w:t xml:space="preserve">the </w:t>
      </w:r>
      <w:r w:rsidRPr="00522BDF">
        <w:t xml:space="preserve">house with </w:t>
      </w:r>
      <w:r>
        <w:t xml:space="preserve">the </w:t>
      </w:r>
      <w:r w:rsidRPr="00522BDF">
        <w:t xml:space="preserve">dehumidifier, and </w:t>
      </w:r>
      <w:r>
        <w:t>517</w:t>
      </w:r>
      <w:r w:rsidRPr="00522BDF">
        <w:t xml:space="preserve"> kWh for </w:t>
      </w:r>
      <w:r>
        <w:t xml:space="preserve">the </w:t>
      </w:r>
      <w:r w:rsidRPr="00522BDF">
        <w:t xml:space="preserve">house </w:t>
      </w:r>
      <w:r>
        <w:t xml:space="preserve">built to the Passivhaus standard. </w:t>
      </w:r>
    </w:p>
    <w:p w14:paraId="2C7F9501" w14:textId="1BD47F39" w:rsidR="007A4F62" w:rsidRPr="00522BDF" w:rsidRDefault="007A4F62" w:rsidP="007A4F62">
      <w:pPr>
        <w:pStyle w:val="Mainbodytext"/>
        <w:ind w:firstLine="720"/>
      </w:pPr>
      <w:r>
        <w:t>Even with a fluctuating relative humidity between 50 – 70%, the relative humidity in the building using AC was still lower by 10% compare</w:t>
      </w:r>
      <w:r w:rsidR="00471763">
        <w:t>d</w:t>
      </w:r>
      <w:r>
        <w:t xml:space="preserve"> to the Passivhaus building. Using a </w:t>
      </w:r>
      <w:r w:rsidRPr="00522BDF">
        <w:t xml:space="preserve">dehumidifier </w:t>
      </w:r>
      <w:r>
        <w:t>i</w:t>
      </w:r>
      <w:r w:rsidRPr="00522BDF">
        <w:t xml:space="preserve">n the </w:t>
      </w:r>
      <w:r>
        <w:t xml:space="preserve">building </w:t>
      </w:r>
      <w:r w:rsidRPr="00522BDF">
        <w:t xml:space="preserve">lowered the air temperature </w:t>
      </w:r>
      <w:r>
        <w:t>by only 0.5</w:t>
      </w:r>
      <w:r w:rsidR="00471763">
        <w:rPr>
          <w:vertAlign w:val="superscript"/>
        </w:rPr>
        <w:t>⁰</w:t>
      </w:r>
      <w:r>
        <w:t xml:space="preserve">C, but maintained the room’s relative humidity always below 60% (Figure 6). </w:t>
      </w:r>
    </w:p>
    <w:p w14:paraId="35840388" w14:textId="77777777" w:rsidR="007A4F62" w:rsidRDefault="007A4F62" w:rsidP="007A4F62">
      <w:pPr>
        <w:pStyle w:val="Mainbodytext"/>
        <w:ind w:firstLine="0"/>
      </w:pPr>
    </w:p>
    <w:p w14:paraId="24884CC7" w14:textId="7E2E3485" w:rsidR="007A4F62" w:rsidRDefault="009066E7" w:rsidP="007A4F62">
      <w:pPr>
        <w:jc w:val="center"/>
      </w:pPr>
      <w:r w:rsidRPr="007A4F62">
        <w:rPr>
          <w:noProof/>
          <w:lang w:eastAsia="en-GB"/>
        </w:rPr>
        <w:drawing>
          <wp:inline distT="0" distB="0" distL="0" distR="0" wp14:anchorId="2C2C89E0" wp14:editId="426D8258">
            <wp:extent cx="5725795" cy="1598295"/>
            <wp:effectExtent l="0" t="0" r="0" b="1905"/>
            <wp:docPr id="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t="4405" b="3084"/>
                    <a:stretch>
                      <a:fillRect/>
                    </a:stretch>
                  </pic:blipFill>
                  <pic:spPr bwMode="auto">
                    <a:xfrm>
                      <a:off x="0" y="0"/>
                      <a:ext cx="5725795" cy="1598295"/>
                    </a:xfrm>
                    <a:prstGeom prst="rect">
                      <a:avLst/>
                    </a:prstGeom>
                    <a:noFill/>
                    <a:ln>
                      <a:noFill/>
                    </a:ln>
                  </pic:spPr>
                </pic:pic>
              </a:graphicData>
            </a:graphic>
          </wp:inline>
        </w:drawing>
      </w:r>
    </w:p>
    <w:p w14:paraId="1BF63600" w14:textId="77777777" w:rsidR="007A4F62" w:rsidRDefault="007A4F62" w:rsidP="007A4F62">
      <w:pPr>
        <w:pStyle w:val="Caption"/>
      </w:pPr>
      <w:r w:rsidRPr="00964599">
        <w:t xml:space="preserve">Figure </w:t>
      </w:r>
      <w:r>
        <w:t>5</w:t>
      </w:r>
      <w:r w:rsidRPr="00964599">
        <w:t xml:space="preserve">. </w:t>
      </w:r>
      <w:r>
        <w:t>Hourly air temperatures in master bedroom and living room for natural ventilation, AC, dehumidification and Passivhaus approaches.</w:t>
      </w:r>
    </w:p>
    <w:p w14:paraId="4F827152" w14:textId="77777777" w:rsidR="007A4F62" w:rsidRPr="00A03C2D" w:rsidRDefault="007A4F62" w:rsidP="007A4F62"/>
    <w:p w14:paraId="5A423007" w14:textId="328F7812" w:rsidR="007A4F62" w:rsidRDefault="009066E7" w:rsidP="007A4F62">
      <w:pPr>
        <w:jc w:val="center"/>
      </w:pPr>
      <w:r w:rsidRPr="007A4F62">
        <w:rPr>
          <w:noProof/>
          <w:lang w:eastAsia="en-GB"/>
        </w:rPr>
        <w:drawing>
          <wp:inline distT="0" distB="0" distL="0" distR="0" wp14:anchorId="14083084" wp14:editId="6E97045E">
            <wp:extent cx="5699760" cy="1564005"/>
            <wp:effectExtent l="0" t="0" r="0" b="10795"/>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l="417" t="5821" b="2975"/>
                    <a:stretch>
                      <a:fillRect/>
                    </a:stretch>
                  </pic:blipFill>
                  <pic:spPr bwMode="auto">
                    <a:xfrm>
                      <a:off x="0" y="0"/>
                      <a:ext cx="5699760" cy="1564005"/>
                    </a:xfrm>
                    <a:prstGeom prst="rect">
                      <a:avLst/>
                    </a:prstGeom>
                    <a:noFill/>
                    <a:ln>
                      <a:noFill/>
                    </a:ln>
                  </pic:spPr>
                </pic:pic>
              </a:graphicData>
            </a:graphic>
          </wp:inline>
        </w:drawing>
      </w:r>
    </w:p>
    <w:p w14:paraId="0C9F492A" w14:textId="5B4467FC" w:rsidR="007A4F62" w:rsidRPr="00553176" w:rsidRDefault="007A4F62" w:rsidP="002479B9">
      <w:pPr>
        <w:pStyle w:val="Caption"/>
      </w:pPr>
      <w:r w:rsidRPr="00964599">
        <w:t xml:space="preserve">Figure </w:t>
      </w:r>
      <w:r>
        <w:t>6</w:t>
      </w:r>
      <w:r w:rsidRPr="00964599">
        <w:t xml:space="preserve">. </w:t>
      </w:r>
      <w:r>
        <w:t>Hourly relative humidity</w:t>
      </w:r>
      <w:r w:rsidRPr="00E556FD">
        <w:t xml:space="preserve"> </w:t>
      </w:r>
      <w:r>
        <w:t>in master bedroom and living room for natural ventilation, AC, dehumidification and Passivhaus approaches.</w:t>
      </w:r>
    </w:p>
    <w:p w14:paraId="55C6751F" w14:textId="77777777" w:rsidR="007A4F62" w:rsidRPr="00752C0A" w:rsidRDefault="007A4F62" w:rsidP="007A4F62">
      <w:pPr>
        <w:pStyle w:val="Heading1"/>
        <w:rPr>
          <w:color w:val="auto"/>
          <w:lang w:val="en-US"/>
        </w:rPr>
      </w:pPr>
      <w:r w:rsidRPr="00752C0A">
        <w:rPr>
          <w:color w:val="auto"/>
          <w:lang w:val="en-US"/>
        </w:rPr>
        <w:t>Conclusion</w:t>
      </w:r>
    </w:p>
    <w:p w14:paraId="39880E30" w14:textId="77777777" w:rsidR="007A4F62" w:rsidRDefault="007A4F62" w:rsidP="007A4F62">
      <w:pPr>
        <w:pStyle w:val="Mainbodytext"/>
        <w:ind w:firstLine="0"/>
        <w:rPr>
          <w:lang w:val="en-US"/>
        </w:rPr>
      </w:pPr>
      <w:r w:rsidRPr="00752C0A">
        <w:t xml:space="preserve">The </w:t>
      </w:r>
      <w:r>
        <w:t>modelled house needed</w:t>
      </w:r>
      <w:r w:rsidRPr="00752C0A">
        <w:t xml:space="preserve"> a means </w:t>
      </w:r>
      <w:r>
        <w:t>of</w:t>
      </w:r>
      <w:r w:rsidRPr="00752C0A">
        <w:t xml:space="preserve"> active dehumidification </w:t>
      </w:r>
      <w:r>
        <w:t>to achieve</w:t>
      </w:r>
      <w:r w:rsidRPr="00752C0A">
        <w:t xml:space="preserve"> optimal control over the comfort zone.</w:t>
      </w:r>
      <w:r>
        <w:t xml:space="preserve"> </w:t>
      </w:r>
      <w:r w:rsidRPr="00752C0A">
        <w:rPr>
          <w:lang w:val="en-US"/>
        </w:rPr>
        <w:t>In a hot humid climate, it makes more sense to install an ERV than a HRV. The main reason is that the additional transfer of moisture introduced by the ERV will not increase the inter</w:t>
      </w:r>
      <w:r>
        <w:rPr>
          <w:lang w:val="en-US"/>
        </w:rPr>
        <w:t>nal</w:t>
      </w:r>
      <w:r w:rsidRPr="00752C0A">
        <w:rPr>
          <w:lang w:val="en-US"/>
        </w:rPr>
        <w:t xml:space="preserve"> humidity. While HRVs and ERVs both cause increased energy use, the energy attributable to </w:t>
      </w:r>
      <w:r>
        <w:rPr>
          <w:lang w:val="en-US"/>
        </w:rPr>
        <w:t xml:space="preserve">the </w:t>
      </w:r>
      <w:r w:rsidRPr="00752C0A">
        <w:rPr>
          <w:lang w:val="en-US"/>
        </w:rPr>
        <w:t>ERV</w:t>
      </w:r>
      <w:r>
        <w:rPr>
          <w:lang w:val="en-US"/>
        </w:rPr>
        <w:t>’s</w:t>
      </w:r>
      <w:r w:rsidRPr="00752C0A">
        <w:rPr>
          <w:lang w:val="en-US"/>
        </w:rPr>
        <w:t xml:space="preserve"> operation is less.</w:t>
      </w:r>
      <w:r>
        <w:rPr>
          <w:lang w:val="en-US"/>
        </w:rPr>
        <w:t xml:space="preserve"> </w:t>
      </w:r>
    </w:p>
    <w:p w14:paraId="7ACB96BB" w14:textId="17A26257" w:rsidR="007A4F62" w:rsidRPr="002479B9" w:rsidRDefault="007A4F62" w:rsidP="002479B9">
      <w:pPr>
        <w:pStyle w:val="Mainbodytext"/>
      </w:pPr>
      <w:r w:rsidRPr="00752C0A">
        <w:rPr>
          <w:lang w:val="en-US"/>
        </w:rPr>
        <w:t xml:space="preserve">With </w:t>
      </w:r>
      <w:r>
        <w:rPr>
          <w:lang w:val="en-US"/>
        </w:rPr>
        <w:t xml:space="preserve">a </w:t>
      </w:r>
      <w:r w:rsidRPr="00752C0A">
        <w:rPr>
          <w:lang w:val="en-US"/>
        </w:rPr>
        <w:t>similar process, air-condition</w:t>
      </w:r>
      <w:r>
        <w:rPr>
          <w:lang w:val="en-US"/>
        </w:rPr>
        <w:t>ing</w:t>
      </w:r>
      <w:r w:rsidRPr="00752C0A">
        <w:rPr>
          <w:lang w:val="en-US"/>
        </w:rPr>
        <w:t xml:space="preserve"> can act as </w:t>
      </w:r>
      <w:r>
        <w:rPr>
          <w:lang w:val="en-US"/>
        </w:rPr>
        <w:t xml:space="preserve">a </w:t>
      </w:r>
      <w:r w:rsidRPr="00752C0A">
        <w:rPr>
          <w:lang w:val="en-US"/>
        </w:rPr>
        <w:t xml:space="preserve">dehumidifier. </w:t>
      </w:r>
      <w:r>
        <w:t>L</w:t>
      </w:r>
      <w:r w:rsidRPr="00752C0A">
        <w:t xml:space="preserve">owering indoor air temperature will reduce the moisture capacity of the indoor air and </w:t>
      </w:r>
      <w:r>
        <w:t>decrease</w:t>
      </w:r>
      <w:r w:rsidRPr="00752C0A">
        <w:t xml:space="preserve"> relative humidity</w:t>
      </w:r>
      <w:r>
        <w:t>.</w:t>
      </w:r>
      <w:r w:rsidRPr="00752C0A">
        <w:t xml:space="preserve"> However, as expected, lowering the cooling set point increase</w:t>
      </w:r>
      <w:r w:rsidR="00471763">
        <w:t>d</w:t>
      </w:r>
      <w:r w:rsidRPr="00752C0A">
        <w:t xml:space="preserve"> energy use.</w:t>
      </w:r>
      <w:r>
        <w:t xml:space="preserve"> Using a dehumidifier enabled the maintenance of a stable relative humidity, but required considerable energy.  The Passivhaus application in the housing produced a high relative </w:t>
      </w:r>
      <w:r>
        <w:lastRenderedPageBreak/>
        <w:t>humidity but created very stable room temperatures. With a small energy demand below 10 kWh/m</w:t>
      </w:r>
      <w:r>
        <w:rPr>
          <w:vertAlign w:val="superscript"/>
        </w:rPr>
        <w:t>2</w:t>
      </w:r>
      <w:r>
        <w:t xml:space="preserve"> annually, the additional energy for the dehumidifier means it can still be used to lower the dwelling’s relative humidity whilst st</w:t>
      </w:r>
      <w:bookmarkStart w:id="0" w:name="_GoBack"/>
      <w:bookmarkEnd w:id="0"/>
      <w:r>
        <w:t>ill meeting the Passivhaus standard.</w:t>
      </w:r>
    </w:p>
    <w:p w14:paraId="7BB79060" w14:textId="6F62723A" w:rsidR="00CB60B0" w:rsidRPr="00964599" w:rsidRDefault="007A4F62" w:rsidP="007A4F62">
      <w:pPr>
        <w:pStyle w:val="Heading1"/>
      </w:pPr>
      <w:r w:rsidRPr="00752C0A">
        <w:rPr>
          <w:color w:val="auto"/>
        </w:rPr>
        <w:t>References</w:t>
      </w:r>
      <w:r w:rsidR="001B34AD" w:rsidRPr="00964599">
        <w:t xml:space="preserve"> </w:t>
      </w:r>
    </w:p>
    <w:p w14:paraId="2E74BF22" w14:textId="2837DE53" w:rsidR="009066E7" w:rsidRPr="009066E7" w:rsidRDefault="009066E7" w:rsidP="009066E7">
      <w:pPr>
        <w:widowControl w:val="0"/>
        <w:autoSpaceDE w:val="0"/>
        <w:autoSpaceDN w:val="0"/>
        <w:adjustRightInd w:val="0"/>
        <w:ind w:firstLine="567"/>
        <w:rPr>
          <w:rFonts w:eastAsia="Times New Roman"/>
          <w:noProof/>
          <w:sz w:val="20"/>
          <w:szCs w:val="20"/>
        </w:rPr>
      </w:pPr>
      <w:r w:rsidRPr="009066E7">
        <w:rPr>
          <w:sz w:val="20"/>
          <w:szCs w:val="20"/>
        </w:rPr>
        <w:fldChar w:fldCharType="begin" w:fldLock="1"/>
      </w:r>
      <w:r w:rsidRPr="009066E7">
        <w:rPr>
          <w:sz w:val="20"/>
          <w:szCs w:val="20"/>
        </w:rPr>
        <w:instrText xml:space="preserve">ADDIN Mendeley Bibliography CSL_BIBLIOGRAPHY </w:instrText>
      </w:r>
      <w:r w:rsidRPr="009066E7">
        <w:rPr>
          <w:sz w:val="20"/>
          <w:szCs w:val="20"/>
        </w:rPr>
        <w:fldChar w:fldCharType="separate"/>
      </w:r>
      <w:r w:rsidRPr="009066E7">
        <w:rPr>
          <w:rFonts w:eastAsia="Times New Roman"/>
          <w:noProof/>
          <w:sz w:val="20"/>
          <w:szCs w:val="20"/>
        </w:rPr>
        <w:t>Badan Pusat Statistic. 2016. “2010 Population Census - Household by Region and Floor Area of Dwelling Unit | Indonesia.” http://sp2010.bps.go.id/index.php/site/tabel?tid=333&amp;wid=0.</w:t>
      </w:r>
    </w:p>
    <w:p w14:paraId="2D8005D0" w14:textId="77777777" w:rsidR="00564FAB" w:rsidRDefault="009066E7" w:rsidP="009066E7">
      <w:pPr>
        <w:widowControl w:val="0"/>
        <w:autoSpaceDE w:val="0"/>
        <w:autoSpaceDN w:val="0"/>
        <w:adjustRightInd w:val="0"/>
        <w:ind w:firstLine="567"/>
        <w:rPr>
          <w:rFonts w:eastAsia="Times New Roman"/>
          <w:noProof/>
          <w:sz w:val="20"/>
          <w:szCs w:val="20"/>
        </w:rPr>
      </w:pPr>
      <w:r w:rsidRPr="009066E7">
        <w:rPr>
          <w:rFonts w:eastAsia="Times New Roman"/>
          <w:noProof/>
          <w:sz w:val="20"/>
          <w:szCs w:val="20"/>
        </w:rPr>
        <w:t xml:space="preserve">Brew, James Scott. 2011. “Achieving Passivhaus Standard in North America: Lessons Learned.” </w:t>
      </w:r>
      <w:r w:rsidRPr="009066E7">
        <w:rPr>
          <w:rFonts w:eastAsia="Times New Roman"/>
          <w:i/>
          <w:iCs/>
          <w:noProof/>
          <w:sz w:val="20"/>
          <w:szCs w:val="20"/>
        </w:rPr>
        <w:t>ASHRAE Transactions</w:t>
      </w:r>
      <w:r w:rsidRPr="009066E7">
        <w:rPr>
          <w:rFonts w:eastAsia="Times New Roman"/>
          <w:noProof/>
          <w:sz w:val="20"/>
          <w:szCs w:val="20"/>
        </w:rPr>
        <w:t xml:space="preserve"> 117 (2). ASHRAE: 51–58.</w:t>
      </w:r>
      <w:r w:rsidR="00564FAB">
        <w:rPr>
          <w:rFonts w:eastAsia="Times New Roman"/>
          <w:noProof/>
          <w:sz w:val="20"/>
          <w:szCs w:val="20"/>
        </w:rPr>
        <w:t xml:space="preserve"> </w:t>
      </w:r>
    </w:p>
    <w:p w14:paraId="4FD53A11" w14:textId="67C00F24" w:rsidR="009066E7" w:rsidRPr="009066E7" w:rsidRDefault="009066E7" w:rsidP="00564FAB">
      <w:pPr>
        <w:widowControl w:val="0"/>
        <w:autoSpaceDE w:val="0"/>
        <w:autoSpaceDN w:val="0"/>
        <w:adjustRightInd w:val="0"/>
        <w:ind w:firstLine="567"/>
        <w:rPr>
          <w:rFonts w:eastAsia="Times New Roman"/>
          <w:noProof/>
          <w:sz w:val="20"/>
          <w:szCs w:val="20"/>
        </w:rPr>
      </w:pPr>
      <w:r w:rsidRPr="009066E7">
        <w:rPr>
          <w:rFonts w:eastAsia="Times New Roman"/>
          <w:noProof/>
          <w:sz w:val="20"/>
          <w:szCs w:val="20"/>
        </w:rPr>
        <w:t>http://liverpool.idm.oclc.org/login?url=http://search.ebscohost.com/login.aspx?direct=true&amp;db=a9h&amp;AN=67217555&amp;site=eds-live&amp;scope=site.</w:t>
      </w:r>
      <w:r w:rsidR="00564FAB">
        <w:rPr>
          <w:rFonts w:eastAsia="Times New Roman"/>
          <w:noProof/>
          <w:sz w:val="20"/>
          <w:szCs w:val="20"/>
        </w:rPr>
        <w:t xml:space="preserve"> </w:t>
      </w:r>
    </w:p>
    <w:p w14:paraId="4221794A" w14:textId="77777777" w:rsidR="009066E7" w:rsidRPr="009066E7" w:rsidRDefault="009066E7" w:rsidP="009066E7">
      <w:pPr>
        <w:widowControl w:val="0"/>
        <w:autoSpaceDE w:val="0"/>
        <w:autoSpaceDN w:val="0"/>
        <w:adjustRightInd w:val="0"/>
        <w:ind w:firstLine="567"/>
        <w:rPr>
          <w:rFonts w:eastAsia="Times New Roman"/>
          <w:noProof/>
          <w:sz w:val="20"/>
          <w:szCs w:val="20"/>
        </w:rPr>
      </w:pPr>
      <w:r w:rsidRPr="009066E7">
        <w:rPr>
          <w:rFonts w:eastAsia="Times New Roman"/>
          <w:noProof/>
          <w:sz w:val="20"/>
          <w:szCs w:val="20"/>
        </w:rPr>
        <w:t>DesignBuilder. 2017. “DesignBuilder Software Ltd - Home.” https://www.designbuilder.co.uk/.</w:t>
      </w:r>
    </w:p>
    <w:p w14:paraId="1936E0EE" w14:textId="77777777" w:rsidR="009066E7" w:rsidRPr="009066E7" w:rsidRDefault="009066E7" w:rsidP="009066E7">
      <w:pPr>
        <w:widowControl w:val="0"/>
        <w:autoSpaceDE w:val="0"/>
        <w:autoSpaceDN w:val="0"/>
        <w:adjustRightInd w:val="0"/>
        <w:ind w:firstLine="567"/>
        <w:rPr>
          <w:rFonts w:eastAsia="Times New Roman"/>
          <w:noProof/>
          <w:sz w:val="20"/>
          <w:szCs w:val="20"/>
        </w:rPr>
      </w:pPr>
      <w:r w:rsidRPr="009066E7">
        <w:rPr>
          <w:rFonts w:eastAsia="Times New Roman"/>
          <w:noProof/>
          <w:sz w:val="20"/>
          <w:szCs w:val="20"/>
        </w:rPr>
        <w:t xml:space="preserve">Firman, Tommy. 2004. “New Town Development in Jakarta Metropolitan Region: A Perspective of Spatial Segregation.” </w:t>
      </w:r>
      <w:r w:rsidRPr="009066E7">
        <w:rPr>
          <w:rFonts w:eastAsia="Times New Roman"/>
          <w:i/>
          <w:iCs/>
          <w:noProof/>
          <w:sz w:val="20"/>
          <w:szCs w:val="20"/>
        </w:rPr>
        <w:t>Habitat International</w:t>
      </w:r>
      <w:r w:rsidRPr="009066E7">
        <w:rPr>
          <w:rFonts w:eastAsia="Times New Roman"/>
          <w:noProof/>
          <w:sz w:val="20"/>
          <w:szCs w:val="20"/>
        </w:rPr>
        <w:t xml:space="preserve"> 28 (3): 349–68. doi:10.1016/S0197-3975(03)00037-7.</w:t>
      </w:r>
    </w:p>
    <w:p w14:paraId="3CC3E65E" w14:textId="77777777" w:rsidR="00564FAB" w:rsidRDefault="009066E7" w:rsidP="009066E7">
      <w:pPr>
        <w:widowControl w:val="0"/>
        <w:autoSpaceDE w:val="0"/>
        <w:autoSpaceDN w:val="0"/>
        <w:adjustRightInd w:val="0"/>
        <w:ind w:firstLine="567"/>
        <w:rPr>
          <w:rFonts w:eastAsia="Times New Roman"/>
          <w:noProof/>
          <w:sz w:val="20"/>
          <w:szCs w:val="20"/>
        </w:rPr>
      </w:pPr>
      <w:r w:rsidRPr="009066E7">
        <w:rPr>
          <w:rFonts w:eastAsia="Times New Roman"/>
          <w:noProof/>
          <w:sz w:val="20"/>
          <w:szCs w:val="20"/>
        </w:rPr>
        <w:t xml:space="preserve">Holladay, Martin. 2010. “HRV or ERV? | GreenBuildingAdvisor.com .” </w:t>
      </w:r>
    </w:p>
    <w:p w14:paraId="695FC427" w14:textId="42698B1A" w:rsidR="009066E7" w:rsidRPr="009066E7" w:rsidRDefault="009066E7" w:rsidP="00564FAB">
      <w:pPr>
        <w:widowControl w:val="0"/>
        <w:autoSpaceDE w:val="0"/>
        <w:autoSpaceDN w:val="0"/>
        <w:adjustRightInd w:val="0"/>
        <w:rPr>
          <w:rFonts w:eastAsia="Times New Roman"/>
          <w:noProof/>
          <w:sz w:val="20"/>
          <w:szCs w:val="20"/>
        </w:rPr>
      </w:pPr>
      <w:r w:rsidRPr="009066E7">
        <w:rPr>
          <w:rFonts w:eastAsia="Times New Roman"/>
          <w:noProof/>
          <w:sz w:val="20"/>
          <w:szCs w:val="20"/>
        </w:rPr>
        <w:t>http://www.greenbuildingadvisor.com/blogs/dept/musings/hrv-or-erv.</w:t>
      </w:r>
    </w:p>
    <w:p w14:paraId="19F50721" w14:textId="77777777" w:rsidR="009066E7" w:rsidRPr="009066E7" w:rsidRDefault="009066E7" w:rsidP="009066E7">
      <w:pPr>
        <w:widowControl w:val="0"/>
        <w:autoSpaceDE w:val="0"/>
        <w:autoSpaceDN w:val="0"/>
        <w:adjustRightInd w:val="0"/>
        <w:ind w:firstLine="567"/>
        <w:rPr>
          <w:rFonts w:eastAsia="Times New Roman"/>
          <w:noProof/>
          <w:sz w:val="20"/>
          <w:szCs w:val="20"/>
        </w:rPr>
      </w:pPr>
      <w:r w:rsidRPr="009066E7">
        <w:rPr>
          <w:rFonts w:eastAsia="Times New Roman"/>
          <w:noProof/>
          <w:sz w:val="20"/>
          <w:szCs w:val="20"/>
        </w:rPr>
        <w:t xml:space="preserve">Hooi, Doris, Susumu Sugiyama, Satoshi Yasufuku, and Tetsu Kubota. 2014. “Numerical Simulation of Passive Cooling Strategies for Urban Terraced Houses in Hot-Humid Climate of Malaysia.” </w:t>
      </w:r>
      <w:r w:rsidRPr="009066E7">
        <w:rPr>
          <w:rFonts w:eastAsia="Times New Roman"/>
          <w:i/>
          <w:iCs/>
          <w:noProof/>
          <w:sz w:val="20"/>
          <w:szCs w:val="20"/>
        </w:rPr>
        <w:t>PLEA 2014 - 30th INTERNATIONAL PLEA CONFERENCE</w:t>
      </w:r>
      <w:r w:rsidRPr="009066E7">
        <w:rPr>
          <w:rFonts w:eastAsia="Times New Roman"/>
          <w:noProof/>
          <w:sz w:val="20"/>
          <w:szCs w:val="20"/>
        </w:rPr>
        <w:t>, no. December: 1–8.</w:t>
      </w:r>
    </w:p>
    <w:p w14:paraId="681F333C" w14:textId="77777777" w:rsidR="009066E7" w:rsidRPr="009066E7" w:rsidRDefault="009066E7" w:rsidP="009066E7">
      <w:pPr>
        <w:widowControl w:val="0"/>
        <w:autoSpaceDE w:val="0"/>
        <w:autoSpaceDN w:val="0"/>
        <w:adjustRightInd w:val="0"/>
        <w:ind w:firstLine="567"/>
        <w:rPr>
          <w:rFonts w:eastAsia="Times New Roman"/>
          <w:noProof/>
          <w:sz w:val="20"/>
          <w:szCs w:val="20"/>
        </w:rPr>
      </w:pPr>
      <w:r w:rsidRPr="009066E7">
        <w:rPr>
          <w:rFonts w:eastAsia="Times New Roman"/>
          <w:noProof/>
          <w:sz w:val="20"/>
          <w:szCs w:val="20"/>
        </w:rPr>
        <w:t xml:space="preserve">MacDonald, Christine. 2010. “Just Add Body Heat: The New Passive Houses Are so Energy Efficient, They Make Heating and Cooling Practically Irrelevant.” </w:t>
      </w:r>
      <w:r w:rsidRPr="009066E7">
        <w:rPr>
          <w:rFonts w:eastAsia="Times New Roman"/>
          <w:i/>
          <w:iCs/>
          <w:noProof/>
          <w:sz w:val="20"/>
          <w:szCs w:val="20"/>
        </w:rPr>
        <w:t>2010</w:t>
      </w:r>
      <w:r w:rsidRPr="009066E7">
        <w:rPr>
          <w:rFonts w:eastAsia="Times New Roman"/>
          <w:noProof/>
          <w:sz w:val="20"/>
          <w:szCs w:val="20"/>
        </w:rPr>
        <w:t>.</w:t>
      </w:r>
    </w:p>
    <w:p w14:paraId="0FFD721F" w14:textId="77777777" w:rsidR="009066E7" w:rsidRPr="009066E7" w:rsidRDefault="009066E7" w:rsidP="009066E7">
      <w:pPr>
        <w:widowControl w:val="0"/>
        <w:autoSpaceDE w:val="0"/>
        <w:autoSpaceDN w:val="0"/>
        <w:adjustRightInd w:val="0"/>
        <w:ind w:firstLine="567"/>
        <w:rPr>
          <w:rFonts w:eastAsia="Times New Roman"/>
          <w:noProof/>
          <w:sz w:val="20"/>
          <w:szCs w:val="20"/>
        </w:rPr>
      </w:pPr>
      <w:r w:rsidRPr="009066E7">
        <w:rPr>
          <w:rFonts w:eastAsia="Times New Roman"/>
          <w:noProof/>
          <w:sz w:val="20"/>
          <w:szCs w:val="20"/>
        </w:rPr>
        <w:t xml:space="preserve">McLeod, Robert S, Christina J Hopfe, and Alan Kwan. 2013. “An Investigation into Future Performance and Overheating Risks in Passivhaus Dwellings.” </w:t>
      </w:r>
      <w:r w:rsidRPr="009066E7">
        <w:rPr>
          <w:rFonts w:eastAsia="Times New Roman"/>
          <w:i/>
          <w:iCs/>
          <w:noProof/>
          <w:sz w:val="20"/>
          <w:szCs w:val="20"/>
        </w:rPr>
        <w:t>Building and Environment</w:t>
      </w:r>
      <w:r w:rsidRPr="009066E7">
        <w:rPr>
          <w:rFonts w:eastAsia="Times New Roman"/>
          <w:noProof/>
          <w:sz w:val="20"/>
          <w:szCs w:val="20"/>
        </w:rPr>
        <w:t xml:space="preserve"> 70. Elsevier Ltd: 189–209. doi:10.1016/j.buildenv.2013.08.024.</w:t>
      </w:r>
    </w:p>
    <w:p w14:paraId="382C260D" w14:textId="142DD152" w:rsidR="00564FAB" w:rsidRDefault="00564FAB" w:rsidP="009066E7">
      <w:pPr>
        <w:widowControl w:val="0"/>
        <w:autoSpaceDE w:val="0"/>
        <w:autoSpaceDN w:val="0"/>
        <w:adjustRightInd w:val="0"/>
        <w:ind w:firstLine="567"/>
        <w:rPr>
          <w:rFonts w:eastAsia="Times New Roman"/>
          <w:noProof/>
          <w:sz w:val="20"/>
          <w:szCs w:val="20"/>
        </w:rPr>
      </w:pPr>
      <w:r>
        <w:rPr>
          <w:rFonts w:eastAsia="Times New Roman"/>
          <w:noProof/>
          <w:sz w:val="20"/>
          <w:szCs w:val="20"/>
        </w:rPr>
        <w:t>Meteonorm. 2017</w:t>
      </w:r>
      <w:r w:rsidRPr="00564FAB">
        <w:t xml:space="preserve"> </w:t>
      </w:r>
      <w:r w:rsidRPr="00564FAB">
        <w:rPr>
          <w:rFonts w:eastAsia="Times New Roman"/>
          <w:noProof/>
          <w:sz w:val="20"/>
          <w:szCs w:val="20"/>
        </w:rPr>
        <w:t>http://www.meteonorm.com/</w:t>
      </w:r>
      <w:r>
        <w:rPr>
          <w:rFonts w:eastAsia="Times New Roman"/>
          <w:noProof/>
          <w:sz w:val="20"/>
          <w:szCs w:val="20"/>
        </w:rPr>
        <w:t xml:space="preserve"> </w:t>
      </w:r>
    </w:p>
    <w:p w14:paraId="090FC344" w14:textId="77777777" w:rsidR="009066E7" w:rsidRPr="009066E7" w:rsidRDefault="009066E7" w:rsidP="009066E7">
      <w:pPr>
        <w:widowControl w:val="0"/>
        <w:autoSpaceDE w:val="0"/>
        <w:autoSpaceDN w:val="0"/>
        <w:adjustRightInd w:val="0"/>
        <w:ind w:firstLine="567"/>
        <w:rPr>
          <w:rFonts w:eastAsia="Times New Roman"/>
          <w:noProof/>
          <w:sz w:val="20"/>
          <w:szCs w:val="20"/>
        </w:rPr>
      </w:pPr>
      <w:r w:rsidRPr="009066E7">
        <w:rPr>
          <w:rFonts w:eastAsia="Times New Roman"/>
          <w:noProof/>
          <w:sz w:val="20"/>
          <w:szCs w:val="20"/>
        </w:rPr>
        <w:t>Oettl, Fritz. 2014. “Regional Workshop and Training on Energy Efficiency in Buildings - Praia, Cabo Verde | ECREEE.” http://www.ecreee.org/event/regional-workshop-and-training-energy-efficiency-buildings-praia-cabo-verde.</w:t>
      </w:r>
    </w:p>
    <w:p w14:paraId="3CC2BD6D" w14:textId="77777777" w:rsidR="009066E7" w:rsidRPr="009066E7" w:rsidRDefault="009066E7" w:rsidP="009066E7">
      <w:pPr>
        <w:widowControl w:val="0"/>
        <w:autoSpaceDE w:val="0"/>
        <w:autoSpaceDN w:val="0"/>
        <w:adjustRightInd w:val="0"/>
        <w:ind w:firstLine="567"/>
        <w:rPr>
          <w:rFonts w:eastAsia="Times New Roman"/>
          <w:noProof/>
          <w:sz w:val="20"/>
          <w:szCs w:val="20"/>
        </w:rPr>
      </w:pPr>
      <w:r w:rsidRPr="009066E7">
        <w:rPr>
          <w:rFonts w:eastAsia="Times New Roman"/>
          <w:noProof/>
          <w:sz w:val="20"/>
          <w:szCs w:val="20"/>
        </w:rPr>
        <w:t xml:space="preserve">Omer, Abdeen Mustafa. 2008. “Renewable Building Energy Systems and Passive Human Comfort Solutions.” </w:t>
      </w:r>
      <w:r w:rsidRPr="009066E7">
        <w:rPr>
          <w:rFonts w:eastAsia="Times New Roman"/>
          <w:i/>
          <w:iCs/>
          <w:noProof/>
          <w:sz w:val="20"/>
          <w:szCs w:val="20"/>
        </w:rPr>
        <w:t>Renewable and Sustainable Energy Reviews</w:t>
      </w:r>
      <w:r w:rsidRPr="009066E7">
        <w:rPr>
          <w:rFonts w:eastAsia="Times New Roman"/>
          <w:noProof/>
          <w:sz w:val="20"/>
          <w:szCs w:val="20"/>
        </w:rPr>
        <w:t xml:space="preserve"> 12. Elsevier Ltd: 1562–87. doi:10.1016/j.rser.2006.07.010.</w:t>
      </w:r>
    </w:p>
    <w:p w14:paraId="15E9E182" w14:textId="77777777" w:rsidR="009066E7" w:rsidRPr="009066E7" w:rsidRDefault="009066E7" w:rsidP="009066E7">
      <w:pPr>
        <w:widowControl w:val="0"/>
        <w:autoSpaceDE w:val="0"/>
        <w:autoSpaceDN w:val="0"/>
        <w:adjustRightInd w:val="0"/>
        <w:ind w:firstLine="567"/>
        <w:rPr>
          <w:rFonts w:eastAsia="Times New Roman"/>
          <w:noProof/>
          <w:sz w:val="20"/>
          <w:szCs w:val="20"/>
        </w:rPr>
      </w:pPr>
      <w:r w:rsidRPr="009066E7">
        <w:rPr>
          <w:rFonts w:eastAsia="Times New Roman"/>
          <w:noProof/>
          <w:sz w:val="20"/>
          <w:szCs w:val="20"/>
        </w:rPr>
        <w:t xml:space="preserve">Rahadi, Raden Aswin, Sudarso Kaderi Wiryono, Deddy Priatmodjo Koesrindartoto, and Indra Budiman Syamwil. 2015. “Factors Influencing the Price of Housing in Indonesia.” </w:t>
      </w:r>
      <w:r w:rsidRPr="009066E7">
        <w:rPr>
          <w:rFonts w:eastAsia="Times New Roman"/>
          <w:i/>
          <w:iCs/>
          <w:noProof/>
          <w:sz w:val="20"/>
          <w:szCs w:val="20"/>
        </w:rPr>
        <w:t>International Journal of Housing Markets and Analysis</w:t>
      </w:r>
      <w:r w:rsidRPr="009066E7">
        <w:rPr>
          <w:rFonts w:eastAsia="Times New Roman"/>
          <w:noProof/>
          <w:sz w:val="20"/>
          <w:szCs w:val="20"/>
        </w:rPr>
        <w:t xml:space="preserve"> 8 (2): 169–88. doi:10.1108/IJHMA-04-2014-0008.</w:t>
      </w:r>
    </w:p>
    <w:p w14:paraId="487CE2B6" w14:textId="77777777" w:rsidR="009066E7" w:rsidRPr="009066E7" w:rsidRDefault="009066E7" w:rsidP="009066E7">
      <w:pPr>
        <w:widowControl w:val="0"/>
        <w:autoSpaceDE w:val="0"/>
        <w:autoSpaceDN w:val="0"/>
        <w:adjustRightInd w:val="0"/>
        <w:ind w:firstLine="567"/>
        <w:rPr>
          <w:noProof/>
          <w:sz w:val="20"/>
          <w:szCs w:val="20"/>
        </w:rPr>
      </w:pPr>
      <w:r w:rsidRPr="009066E7">
        <w:rPr>
          <w:rFonts w:eastAsia="Times New Roman"/>
          <w:noProof/>
          <w:sz w:val="20"/>
          <w:szCs w:val="20"/>
        </w:rPr>
        <w:t xml:space="preserve">Walker, Iain S, and Max H Sherman. 2007. “Humidity Implications for Meeting Residential Ventilation Requirements.” </w:t>
      </w:r>
      <w:r w:rsidRPr="009066E7">
        <w:rPr>
          <w:rFonts w:eastAsia="Times New Roman"/>
          <w:i/>
          <w:iCs/>
          <w:noProof/>
          <w:sz w:val="20"/>
          <w:szCs w:val="20"/>
        </w:rPr>
        <w:t>Berkeley, CA: Lawrence Berkeley National Laboratory, LBNL-62182</w:t>
      </w:r>
      <w:r w:rsidRPr="009066E7">
        <w:rPr>
          <w:rFonts w:eastAsia="Times New Roman"/>
          <w:noProof/>
          <w:sz w:val="20"/>
          <w:szCs w:val="20"/>
        </w:rPr>
        <w:t>.</w:t>
      </w:r>
    </w:p>
    <w:p w14:paraId="422449E6" w14:textId="333BFEAE" w:rsidR="00296764" w:rsidRPr="00296764" w:rsidRDefault="009066E7" w:rsidP="009066E7">
      <w:pPr>
        <w:pStyle w:val="Mainbodytext"/>
      </w:pPr>
      <w:r w:rsidRPr="009066E7">
        <w:rPr>
          <w:sz w:val="20"/>
          <w:szCs w:val="20"/>
        </w:rPr>
        <w:fldChar w:fldCharType="end"/>
      </w:r>
    </w:p>
    <w:sectPr w:rsidR="00296764" w:rsidRPr="00296764" w:rsidSect="00CB4BD9">
      <w:headerReference w:type="first" r:id="rId18"/>
      <w:pgSz w:w="11900" w:h="1682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BB5BD0" w14:textId="77777777" w:rsidR="00507A28" w:rsidRDefault="00507A28" w:rsidP="00B8052A">
      <w:r>
        <w:separator/>
      </w:r>
    </w:p>
  </w:endnote>
  <w:endnote w:type="continuationSeparator" w:id="0">
    <w:p w14:paraId="484765F0" w14:textId="77777777" w:rsidR="00507A28" w:rsidRDefault="00507A28" w:rsidP="00B80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auto"/>
    <w:pitch w:val="variable"/>
    <w:sig w:usb0="00000001" w:usb1="7800205A" w:usb2="146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CA230" w14:textId="77777777" w:rsidR="00507A28" w:rsidRDefault="00507A28" w:rsidP="00B8052A">
      <w:r>
        <w:separator/>
      </w:r>
    </w:p>
  </w:footnote>
  <w:footnote w:type="continuationSeparator" w:id="0">
    <w:p w14:paraId="51BD5AB6" w14:textId="77777777" w:rsidR="00507A28" w:rsidRDefault="00507A28" w:rsidP="00B805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FC4FA" w14:textId="61A65010" w:rsidR="006F0A9F" w:rsidRDefault="009066E7" w:rsidP="006F0A9F">
    <w:pPr>
      <w:pStyle w:val="Header"/>
    </w:pPr>
    <w:r>
      <w:rPr>
        <w:noProof/>
        <w:lang w:eastAsia="en-GB"/>
      </w:rPr>
      <w:drawing>
        <wp:inline distT="0" distB="0" distL="0" distR="0" wp14:anchorId="6C97AE81" wp14:editId="759EA17E">
          <wp:extent cx="5734050" cy="1452880"/>
          <wp:effectExtent l="0" t="0" r="635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1452880"/>
                  </a:xfrm>
                  <a:prstGeom prst="rect">
                    <a:avLst/>
                  </a:prstGeom>
                  <a:noFill/>
                  <a:ln>
                    <a:noFill/>
                  </a:ln>
                </pic:spPr>
              </pic:pic>
            </a:graphicData>
          </a:graphic>
        </wp:inline>
      </w:drawing>
    </w:r>
  </w:p>
  <w:p w14:paraId="6D84ABC5" w14:textId="77777777" w:rsidR="006F0A9F" w:rsidRPr="00E375B6" w:rsidRDefault="006F0A9F" w:rsidP="006F0A9F">
    <w:pPr>
      <w:pStyle w:val="Header"/>
      <w:ind w:firstLine="2949"/>
      <w:rPr>
        <w:rFonts w:ascii="Palatino" w:hAnsi="Palatino"/>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80260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5E18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CD4F0B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F88A50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A0E6E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618CE2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BE776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46640D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5FA6E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8CADA1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3F80D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8E50B01"/>
    <w:multiLevelType w:val="hybridMultilevel"/>
    <w:tmpl w:val="CC542B5C"/>
    <w:lvl w:ilvl="0" w:tplc="3A240748">
      <w:start w:val="4"/>
      <w:numFmt w:val="bullet"/>
      <w:lvlText w:val="-"/>
      <w:lvlJc w:val="left"/>
      <w:pPr>
        <w:ind w:left="927" w:hanging="360"/>
      </w:pPr>
      <w:rPr>
        <w:rFonts w:ascii="Calibri" w:eastAsia="MS Mincho" w:hAnsi="Calibri"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2" w15:restartNumberingAfterBreak="0">
    <w:nsid w:val="630E61FE"/>
    <w:multiLevelType w:val="multilevel"/>
    <w:tmpl w:val="45043A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7C5936FF"/>
    <w:multiLevelType w:val="multilevel"/>
    <w:tmpl w:val="45043A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2"/>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DEA"/>
    <w:rsid w:val="00002B4F"/>
    <w:rsid w:val="00006550"/>
    <w:rsid w:val="00007324"/>
    <w:rsid w:val="0001589D"/>
    <w:rsid w:val="0001716F"/>
    <w:rsid w:val="000251E5"/>
    <w:rsid w:val="000326AC"/>
    <w:rsid w:val="000330E4"/>
    <w:rsid w:val="00036B63"/>
    <w:rsid w:val="00040A30"/>
    <w:rsid w:val="00050800"/>
    <w:rsid w:val="00052C85"/>
    <w:rsid w:val="0005760F"/>
    <w:rsid w:val="00057696"/>
    <w:rsid w:val="00057ADD"/>
    <w:rsid w:val="00073891"/>
    <w:rsid w:val="00086B7D"/>
    <w:rsid w:val="00086D77"/>
    <w:rsid w:val="0009060D"/>
    <w:rsid w:val="000A5AAA"/>
    <w:rsid w:val="000A7D1A"/>
    <w:rsid w:val="000B23F6"/>
    <w:rsid w:val="000C076A"/>
    <w:rsid w:val="000D24FE"/>
    <w:rsid w:val="000D2609"/>
    <w:rsid w:val="000D3118"/>
    <w:rsid w:val="000E7A13"/>
    <w:rsid w:val="000F0EE0"/>
    <w:rsid w:val="000F1302"/>
    <w:rsid w:val="000F16FD"/>
    <w:rsid w:val="00106764"/>
    <w:rsid w:val="00120D88"/>
    <w:rsid w:val="00122139"/>
    <w:rsid w:val="00125748"/>
    <w:rsid w:val="00130AA0"/>
    <w:rsid w:val="00136F33"/>
    <w:rsid w:val="001371B9"/>
    <w:rsid w:val="0014482A"/>
    <w:rsid w:val="00146772"/>
    <w:rsid w:val="00152351"/>
    <w:rsid w:val="00152FB8"/>
    <w:rsid w:val="001536BC"/>
    <w:rsid w:val="00157CB2"/>
    <w:rsid w:val="001616D5"/>
    <w:rsid w:val="0016223F"/>
    <w:rsid w:val="001663D0"/>
    <w:rsid w:val="00180A6E"/>
    <w:rsid w:val="001831F5"/>
    <w:rsid w:val="001875BD"/>
    <w:rsid w:val="001923D1"/>
    <w:rsid w:val="00193645"/>
    <w:rsid w:val="00195D4F"/>
    <w:rsid w:val="001A08AF"/>
    <w:rsid w:val="001A2CCC"/>
    <w:rsid w:val="001A2F5F"/>
    <w:rsid w:val="001A45EF"/>
    <w:rsid w:val="001A7AD9"/>
    <w:rsid w:val="001B1039"/>
    <w:rsid w:val="001B1A4D"/>
    <w:rsid w:val="001B34AD"/>
    <w:rsid w:val="001B60B3"/>
    <w:rsid w:val="001B7A32"/>
    <w:rsid w:val="001C7025"/>
    <w:rsid w:val="001D1B75"/>
    <w:rsid w:val="001D25B4"/>
    <w:rsid w:val="001D30D0"/>
    <w:rsid w:val="001D7462"/>
    <w:rsid w:val="001D7835"/>
    <w:rsid w:val="001E4629"/>
    <w:rsid w:val="001E61B1"/>
    <w:rsid w:val="001F2773"/>
    <w:rsid w:val="001F60F5"/>
    <w:rsid w:val="001F6E5F"/>
    <w:rsid w:val="001F7BFD"/>
    <w:rsid w:val="001F7F1B"/>
    <w:rsid w:val="00206B63"/>
    <w:rsid w:val="00221AC3"/>
    <w:rsid w:val="002226FF"/>
    <w:rsid w:val="0022341A"/>
    <w:rsid w:val="002314C3"/>
    <w:rsid w:val="0023752B"/>
    <w:rsid w:val="002405ED"/>
    <w:rsid w:val="00241756"/>
    <w:rsid w:val="00242422"/>
    <w:rsid w:val="00245660"/>
    <w:rsid w:val="002479B9"/>
    <w:rsid w:val="00251127"/>
    <w:rsid w:val="00257CD5"/>
    <w:rsid w:val="00262A4E"/>
    <w:rsid w:val="0026314E"/>
    <w:rsid w:val="002715F1"/>
    <w:rsid w:val="002852E5"/>
    <w:rsid w:val="0028782F"/>
    <w:rsid w:val="00296764"/>
    <w:rsid w:val="002B0CA7"/>
    <w:rsid w:val="002C1BE3"/>
    <w:rsid w:val="002C4845"/>
    <w:rsid w:val="002C60F9"/>
    <w:rsid w:val="002D202E"/>
    <w:rsid w:val="002D5A47"/>
    <w:rsid w:val="002E1161"/>
    <w:rsid w:val="0030607D"/>
    <w:rsid w:val="003227DC"/>
    <w:rsid w:val="0032563F"/>
    <w:rsid w:val="003263FB"/>
    <w:rsid w:val="003309A5"/>
    <w:rsid w:val="00331FEE"/>
    <w:rsid w:val="00335977"/>
    <w:rsid w:val="00347E62"/>
    <w:rsid w:val="00351CBE"/>
    <w:rsid w:val="00354669"/>
    <w:rsid w:val="00365154"/>
    <w:rsid w:val="00367B35"/>
    <w:rsid w:val="0037059F"/>
    <w:rsid w:val="003874EE"/>
    <w:rsid w:val="00396539"/>
    <w:rsid w:val="0039762E"/>
    <w:rsid w:val="003A22D2"/>
    <w:rsid w:val="003A4A68"/>
    <w:rsid w:val="003A5B6B"/>
    <w:rsid w:val="003B31DB"/>
    <w:rsid w:val="003B7809"/>
    <w:rsid w:val="003C38B9"/>
    <w:rsid w:val="003C3B21"/>
    <w:rsid w:val="003D0975"/>
    <w:rsid w:val="003E0EF0"/>
    <w:rsid w:val="003F51E1"/>
    <w:rsid w:val="004008BE"/>
    <w:rsid w:val="00406D84"/>
    <w:rsid w:val="004113EA"/>
    <w:rsid w:val="00411672"/>
    <w:rsid w:val="00411BA4"/>
    <w:rsid w:val="0041413A"/>
    <w:rsid w:val="00416FCF"/>
    <w:rsid w:val="00421AE3"/>
    <w:rsid w:val="00427F93"/>
    <w:rsid w:val="00453CAE"/>
    <w:rsid w:val="00465983"/>
    <w:rsid w:val="00471763"/>
    <w:rsid w:val="00477AB0"/>
    <w:rsid w:val="004875D5"/>
    <w:rsid w:val="004963B7"/>
    <w:rsid w:val="00497522"/>
    <w:rsid w:val="004A5997"/>
    <w:rsid w:val="004B33FB"/>
    <w:rsid w:val="004B4448"/>
    <w:rsid w:val="004B5F5E"/>
    <w:rsid w:val="004B78AF"/>
    <w:rsid w:val="004C0C57"/>
    <w:rsid w:val="004D0D85"/>
    <w:rsid w:val="004D1856"/>
    <w:rsid w:val="004E4908"/>
    <w:rsid w:val="004E54EE"/>
    <w:rsid w:val="004E79F7"/>
    <w:rsid w:val="004F22A0"/>
    <w:rsid w:val="0050007C"/>
    <w:rsid w:val="00502CE5"/>
    <w:rsid w:val="005063AE"/>
    <w:rsid w:val="00507A28"/>
    <w:rsid w:val="005106D6"/>
    <w:rsid w:val="00512581"/>
    <w:rsid w:val="0051437B"/>
    <w:rsid w:val="00517A1D"/>
    <w:rsid w:val="005211D7"/>
    <w:rsid w:val="005266B4"/>
    <w:rsid w:val="00545D90"/>
    <w:rsid w:val="005578BA"/>
    <w:rsid w:val="005603C7"/>
    <w:rsid w:val="0056182B"/>
    <w:rsid w:val="00562ECF"/>
    <w:rsid w:val="00564FAB"/>
    <w:rsid w:val="00565326"/>
    <w:rsid w:val="00566936"/>
    <w:rsid w:val="00567755"/>
    <w:rsid w:val="00571CA5"/>
    <w:rsid w:val="005742A6"/>
    <w:rsid w:val="005838F2"/>
    <w:rsid w:val="00584CFE"/>
    <w:rsid w:val="0058681A"/>
    <w:rsid w:val="00587CAC"/>
    <w:rsid w:val="00593ABE"/>
    <w:rsid w:val="005A257F"/>
    <w:rsid w:val="005C3351"/>
    <w:rsid w:val="005C5560"/>
    <w:rsid w:val="005D4E5F"/>
    <w:rsid w:val="005D6A33"/>
    <w:rsid w:val="005D735E"/>
    <w:rsid w:val="005E32C4"/>
    <w:rsid w:val="005F29C2"/>
    <w:rsid w:val="00601DED"/>
    <w:rsid w:val="00605002"/>
    <w:rsid w:val="00610206"/>
    <w:rsid w:val="00610EBA"/>
    <w:rsid w:val="006124C1"/>
    <w:rsid w:val="00614315"/>
    <w:rsid w:val="00617DEF"/>
    <w:rsid w:val="00644A11"/>
    <w:rsid w:val="006464E0"/>
    <w:rsid w:val="00651627"/>
    <w:rsid w:val="00651B75"/>
    <w:rsid w:val="00661FEE"/>
    <w:rsid w:val="0066596E"/>
    <w:rsid w:val="006729BE"/>
    <w:rsid w:val="0067343B"/>
    <w:rsid w:val="0068393F"/>
    <w:rsid w:val="00692E51"/>
    <w:rsid w:val="00696E2C"/>
    <w:rsid w:val="006A1CC5"/>
    <w:rsid w:val="006A4757"/>
    <w:rsid w:val="006B367C"/>
    <w:rsid w:val="006B3F87"/>
    <w:rsid w:val="006C69D3"/>
    <w:rsid w:val="006E0711"/>
    <w:rsid w:val="006E5FC3"/>
    <w:rsid w:val="006F0A9F"/>
    <w:rsid w:val="006F4CFA"/>
    <w:rsid w:val="007009CC"/>
    <w:rsid w:val="007021AE"/>
    <w:rsid w:val="0070244B"/>
    <w:rsid w:val="007038AF"/>
    <w:rsid w:val="0071022D"/>
    <w:rsid w:val="00724B69"/>
    <w:rsid w:val="007250E6"/>
    <w:rsid w:val="00726AFB"/>
    <w:rsid w:val="00731714"/>
    <w:rsid w:val="0073423F"/>
    <w:rsid w:val="00743C1D"/>
    <w:rsid w:val="0074539A"/>
    <w:rsid w:val="0075491C"/>
    <w:rsid w:val="00761A29"/>
    <w:rsid w:val="00765780"/>
    <w:rsid w:val="007677A7"/>
    <w:rsid w:val="00773AB5"/>
    <w:rsid w:val="007914B5"/>
    <w:rsid w:val="00792D99"/>
    <w:rsid w:val="007A4F0A"/>
    <w:rsid w:val="007A4F62"/>
    <w:rsid w:val="007A5A33"/>
    <w:rsid w:val="007A6DD5"/>
    <w:rsid w:val="007A7EAD"/>
    <w:rsid w:val="007B26C4"/>
    <w:rsid w:val="007C005E"/>
    <w:rsid w:val="007C3DA4"/>
    <w:rsid w:val="007C7C86"/>
    <w:rsid w:val="007D29EB"/>
    <w:rsid w:val="007D47D1"/>
    <w:rsid w:val="007E4CF7"/>
    <w:rsid w:val="007E5470"/>
    <w:rsid w:val="007E6140"/>
    <w:rsid w:val="007E7A6A"/>
    <w:rsid w:val="00800488"/>
    <w:rsid w:val="00805BBE"/>
    <w:rsid w:val="00824474"/>
    <w:rsid w:val="00832EF4"/>
    <w:rsid w:val="00834FE6"/>
    <w:rsid w:val="00843E6A"/>
    <w:rsid w:val="00846AB7"/>
    <w:rsid w:val="00853FAE"/>
    <w:rsid w:val="00856F10"/>
    <w:rsid w:val="00857273"/>
    <w:rsid w:val="0085736A"/>
    <w:rsid w:val="00857E0F"/>
    <w:rsid w:val="0087266D"/>
    <w:rsid w:val="00877629"/>
    <w:rsid w:val="0088775B"/>
    <w:rsid w:val="008A32C5"/>
    <w:rsid w:val="008C6E12"/>
    <w:rsid w:val="008D3010"/>
    <w:rsid w:val="008E0268"/>
    <w:rsid w:val="008E175F"/>
    <w:rsid w:val="008E2BF9"/>
    <w:rsid w:val="008E3226"/>
    <w:rsid w:val="008F0E4C"/>
    <w:rsid w:val="009008AB"/>
    <w:rsid w:val="009050F4"/>
    <w:rsid w:val="009066E7"/>
    <w:rsid w:val="0090741C"/>
    <w:rsid w:val="00910489"/>
    <w:rsid w:val="00910757"/>
    <w:rsid w:val="00915FB6"/>
    <w:rsid w:val="009247FB"/>
    <w:rsid w:val="009455BF"/>
    <w:rsid w:val="009461E8"/>
    <w:rsid w:val="009532C9"/>
    <w:rsid w:val="009547E5"/>
    <w:rsid w:val="00964599"/>
    <w:rsid w:val="00971075"/>
    <w:rsid w:val="00990C94"/>
    <w:rsid w:val="009937F0"/>
    <w:rsid w:val="009A5D13"/>
    <w:rsid w:val="009B0699"/>
    <w:rsid w:val="009B3695"/>
    <w:rsid w:val="009B542D"/>
    <w:rsid w:val="009B6DDB"/>
    <w:rsid w:val="009C56D1"/>
    <w:rsid w:val="009C612E"/>
    <w:rsid w:val="009D0EF8"/>
    <w:rsid w:val="009D4D1A"/>
    <w:rsid w:val="009E1172"/>
    <w:rsid w:val="009E5573"/>
    <w:rsid w:val="009F0746"/>
    <w:rsid w:val="009F192A"/>
    <w:rsid w:val="00A05E9F"/>
    <w:rsid w:val="00A13452"/>
    <w:rsid w:val="00A16987"/>
    <w:rsid w:val="00A24286"/>
    <w:rsid w:val="00A270A1"/>
    <w:rsid w:val="00A316CC"/>
    <w:rsid w:val="00A350E9"/>
    <w:rsid w:val="00A41F4D"/>
    <w:rsid w:val="00A42DEA"/>
    <w:rsid w:val="00A4577C"/>
    <w:rsid w:val="00A5006F"/>
    <w:rsid w:val="00A56162"/>
    <w:rsid w:val="00A6043A"/>
    <w:rsid w:val="00A639B0"/>
    <w:rsid w:val="00A6580A"/>
    <w:rsid w:val="00A7065A"/>
    <w:rsid w:val="00A75779"/>
    <w:rsid w:val="00A772F8"/>
    <w:rsid w:val="00A81E9F"/>
    <w:rsid w:val="00A8652C"/>
    <w:rsid w:val="00AA1959"/>
    <w:rsid w:val="00AB5D35"/>
    <w:rsid w:val="00AC101E"/>
    <w:rsid w:val="00AC42A6"/>
    <w:rsid w:val="00AC5CC1"/>
    <w:rsid w:val="00AC771C"/>
    <w:rsid w:val="00AD11BE"/>
    <w:rsid w:val="00AE34A2"/>
    <w:rsid w:val="00AE3ADE"/>
    <w:rsid w:val="00AE3F53"/>
    <w:rsid w:val="00AE5EFD"/>
    <w:rsid w:val="00AE64E2"/>
    <w:rsid w:val="00AE677A"/>
    <w:rsid w:val="00AF10F6"/>
    <w:rsid w:val="00AF15C8"/>
    <w:rsid w:val="00B03B7F"/>
    <w:rsid w:val="00B23B8E"/>
    <w:rsid w:val="00B25250"/>
    <w:rsid w:val="00B47CC2"/>
    <w:rsid w:val="00B5319C"/>
    <w:rsid w:val="00B546E4"/>
    <w:rsid w:val="00B547FB"/>
    <w:rsid w:val="00B656F0"/>
    <w:rsid w:val="00B67AEC"/>
    <w:rsid w:val="00B70F22"/>
    <w:rsid w:val="00B8052A"/>
    <w:rsid w:val="00B8793A"/>
    <w:rsid w:val="00B932D4"/>
    <w:rsid w:val="00B9535D"/>
    <w:rsid w:val="00BA1BCE"/>
    <w:rsid w:val="00BA2681"/>
    <w:rsid w:val="00BA66A4"/>
    <w:rsid w:val="00BC0D76"/>
    <w:rsid w:val="00BC7052"/>
    <w:rsid w:val="00BD0A45"/>
    <w:rsid w:val="00BD1DF8"/>
    <w:rsid w:val="00BD3F22"/>
    <w:rsid w:val="00BD5BE4"/>
    <w:rsid w:val="00BE1080"/>
    <w:rsid w:val="00BE4FDC"/>
    <w:rsid w:val="00BF4212"/>
    <w:rsid w:val="00BF441A"/>
    <w:rsid w:val="00BF5370"/>
    <w:rsid w:val="00BF677A"/>
    <w:rsid w:val="00BF75C1"/>
    <w:rsid w:val="00C05464"/>
    <w:rsid w:val="00C074A0"/>
    <w:rsid w:val="00C22B08"/>
    <w:rsid w:val="00C242AD"/>
    <w:rsid w:val="00C32333"/>
    <w:rsid w:val="00C46222"/>
    <w:rsid w:val="00C478C7"/>
    <w:rsid w:val="00C47DAC"/>
    <w:rsid w:val="00C50BE8"/>
    <w:rsid w:val="00C53CF7"/>
    <w:rsid w:val="00C64B78"/>
    <w:rsid w:val="00C65EBD"/>
    <w:rsid w:val="00C703B7"/>
    <w:rsid w:val="00C72C03"/>
    <w:rsid w:val="00C74BA7"/>
    <w:rsid w:val="00C82CE1"/>
    <w:rsid w:val="00C85B54"/>
    <w:rsid w:val="00C923D8"/>
    <w:rsid w:val="00CA053F"/>
    <w:rsid w:val="00CB1F25"/>
    <w:rsid w:val="00CB3E7E"/>
    <w:rsid w:val="00CB4BD9"/>
    <w:rsid w:val="00CB60B0"/>
    <w:rsid w:val="00CC1D20"/>
    <w:rsid w:val="00CC3199"/>
    <w:rsid w:val="00CE5408"/>
    <w:rsid w:val="00CE69C1"/>
    <w:rsid w:val="00CF1C84"/>
    <w:rsid w:val="00D04880"/>
    <w:rsid w:val="00D04FCF"/>
    <w:rsid w:val="00D0668E"/>
    <w:rsid w:val="00D0791B"/>
    <w:rsid w:val="00D12829"/>
    <w:rsid w:val="00D22D30"/>
    <w:rsid w:val="00D32DAE"/>
    <w:rsid w:val="00D33226"/>
    <w:rsid w:val="00D366BA"/>
    <w:rsid w:val="00D42D63"/>
    <w:rsid w:val="00D447F3"/>
    <w:rsid w:val="00D45A96"/>
    <w:rsid w:val="00D52A4D"/>
    <w:rsid w:val="00D5372F"/>
    <w:rsid w:val="00D54202"/>
    <w:rsid w:val="00D63050"/>
    <w:rsid w:val="00D63694"/>
    <w:rsid w:val="00D71C4D"/>
    <w:rsid w:val="00D754EE"/>
    <w:rsid w:val="00D758FF"/>
    <w:rsid w:val="00D85D52"/>
    <w:rsid w:val="00D91801"/>
    <w:rsid w:val="00D9608C"/>
    <w:rsid w:val="00D96B7D"/>
    <w:rsid w:val="00DB138A"/>
    <w:rsid w:val="00DB15E1"/>
    <w:rsid w:val="00DB4A81"/>
    <w:rsid w:val="00DC1E15"/>
    <w:rsid w:val="00DC2AC2"/>
    <w:rsid w:val="00DD18FD"/>
    <w:rsid w:val="00DD1C4B"/>
    <w:rsid w:val="00DF5F65"/>
    <w:rsid w:val="00E107A1"/>
    <w:rsid w:val="00E13F64"/>
    <w:rsid w:val="00E17A2E"/>
    <w:rsid w:val="00E32688"/>
    <w:rsid w:val="00E34505"/>
    <w:rsid w:val="00E370E6"/>
    <w:rsid w:val="00E375B6"/>
    <w:rsid w:val="00E42684"/>
    <w:rsid w:val="00E53AA2"/>
    <w:rsid w:val="00E55121"/>
    <w:rsid w:val="00E55409"/>
    <w:rsid w:val="00E60F4D"/>
    <w:rsid w:val="00E72DBF"/>
    <w:rsid w:val="00E77711"/>
    <w:rsid w:val="00E86EAA"/>
    <w:rsid w:val="00E95C58"/>
    <w:rsid w:val="00E96206"/>
    <w:rsid w:val="00E96A09"/>
    <w:rsid w:val="00E96DEC"/>
    <w:rsid w:val="00EA1D2D"/>
    <w:rsid w:val="00EA3825"/>
    <w:rsid w:val="00EB3E7A"/>
    <w:rsid w:val="00EC34C0"/>
    <w:rsid w:val="00EC56F0"/>
    <w:rsid w:val="00EE1974"/>
    <w:rsid w:val="00EE28BD"/>
    <w:rsid w:val="00EE6278"/>
    <w:rsid w:val="00EF275A"/>
    <w:rsid w:val="00EF5CD8"/>
    <w:rsid w:val="00EF6219"/>
    <w:rsid w:val="00EF79C7"/>
    <w:rsid w:val="00F031DE"/>
    <w:rsid w:val="00F11691"/>
    <w:rsid w:val="00F15513"/>
    <w:rsid w:val="00F205AC"/>
    <w:rsid w:val="00F24D80"/>
    <w:rsid w:val="00F2573F"/>
    <w:rsid w:val="00F26B1A"/>
    <w:rsid w:val="00F302A1"/>
    <w:rsid w:val="00F42AAE"/>
    <w:rsid w:val="00F442A9"/>
    <w:rsid w:val="00F4667F"/>
    <w:rsid w:val="00F508A5"/>
    <w:rsid w:val="00F50D41"/>
    <w:rsid w:val="00F53030"/>
    <w:rsid w:val="00F61CC3"/>
    <w:rsid w:val="00F71C03"/>
    <w:rsid w:val="00F804D3"/>
    <w:rsid w:val="00F8552B"/>
    <w:rsid w:val="00F93203"/>
    <w:rsid w:val="00F978C5"/>
    <w:rsid w:val="00F97972"/>
    <w:rsid w:val="00F97E73"/>
    <w:rsid w:val="00FA53D0"/>
    <w:rsid w:val="00FB540B"/>
    <w:rsid w:val="00FB5C30"/>
    <w:rsid w:val="00FB605B"/>
    <w:rsid w:val="00FC5954"/>
    <w:rsid w:val="00FC6D8E"/>
    <w:rsid w:val="00FE4E94"/>
    <w:rsid w:val="00FF61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6A0300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Mainbodytext"/>
    <w:qFormat/>
    <w:rsid w:val="00834FE6"/>
    <w:pPr>
      <w:jc w:val="both"/>
    </w:pPr>
    <w:rPr>
      <w:sz w:val="24"/>
      <w:szCs w:val="22"/>
      <w:lang w:eastAsia="zh-CN"/>
    </w:rPr>
  </w:style>
  <w:style w:type="paragraph" w:styleId="Heading1">
    <w:name w:val="heading 1"/>
    <w:basedOn w:val="Normal"/>
    <w:next w:val="Firstparagraphofsection"/>
    <w:link w:val="Heading1Char"/>
    <w:uiPriority w:val="9"/>
    <w:qFormat/>
    <w:rsid w:val="00FC6D8E"/>
    <w:pPr>
      <w:spacing w:before="240" w:after="120"/>
      <w:outlineLvl w:val="0"/>
    </w:pPr>
    <w:rPr>
      <w:b/>
      <w:bCs/>
      <w:color w:val="000000"/>
      <w:szCs w:val="24"/>
    </w:rPr>
  </w:style>
  <w:style w:type="paragraph" w:styleId="Heading2">
    <w:name w:val="heading 2"/>
    <w:basedOn w:val="Normal"/>
    <w:next w:val="Firstparagraphofsection"/>
    <w:link w:val="Heading2Char"/>
    <w:uiPriority w:val="9"/>
    <w:unhideWhenUsed/>
    <w:qFormat/>
    <w:rsid w:val="00FC6D8E"/>
    <w:pPr>
      <w:spacing w:before="120" w:after="120"/>
      <w:outlineLvl w:val="1"/>
    </w:pPr>
    <w:rPr>
      <w:b/>
      <w:bCs/>
      <w:i/>
    </w:rPr>
  </w:style>
  <w:style w:type="paragraph" w:styleId="Heading3">
    <w:name w:val="heading 3"/>
    <w:basedOn w:val="Normal"/>
    <w:next w:val="Firstparagraphofsection"/>
    <w:link w:val="Heading3Char"/>
    <w:uiPriority w:val="9"/>
    <w:unhideWhenUsed/>
    <w:qFormat/>
    <w:rsid w:val="00FC6D8E"/>
    <w:pPr>
      <w:spacing w:before="120"/>
      <w:outlineLvl w:val="2"/>
    </w:pPr>
    <w:rPr>
      <w:i/>
    </w:rPr>
  </w:style>
  <w:style w:type="paragraph" w:styleId="Heading4">
    <w:name w:val="heading 4"/>
    <w:basedOn w:val="Normal"/>
    <w:next w:val="Normal"/>
    <w:link w:val="Heading4Char"/>
    <w:uiPriority w:val="9"/>
    <w:unhideWhenUsed/>
    <w:qFormat/>
    <w:rsid w:val="009937F0"/>
    <w:pPr>
      <w:keepNext/>
      <w:keepLines/>
      <w:numPr>
        <w:ilvl w:val="3"/>
        <w:numId w:val="1"/>
      </w:numPr>
      <w:spacing w:before="40"/>
      <w:outlineLvl w:val="3"/>
    </w:pPr>
    <w:rPr>
      <w:rFonts w:ascii="Cambria" w:eastAsia="MS Gothic" w:hAnsi="Cambria"/>
      <w:i/>
      <w:iCs/>
      <w:color w:val="365F91"/>
    </w:rPr>
  </w:style>
  <w:style w:type="paragraph" w:styleId="Heading5">
    <w:name w:val="heading 5"/>
    <w:basedOn w:val="Normal"/>
    <w:next w:val="Normal"/>
    <w:link w:val="Heading5Char"/>
    <w:uiPriority w:val="9"/>
    <w:semiHidden/>
    <w:unhideWhenUsed/>
    <w:qFormat/>
    <w:rsid w:val="009937F0"/>
    <w:pPr>
      <w:keepNext/>
      <w:keepLines/>
      <w:numPr>
        <w:ilvl w:val="4"/>
        <w:numId w:val="1"/>
      </w:numPr>
      <w:spacing w:before="40"/>
      <w:outlineLvl w:val="4"/>
    </w:pPr>
    <w:rPr>
      <w:rFonts w:ascii="Cambria" w:eastAsia="MS Gothic" w:hAnsi="Cambria"/>
      <w:color w:val="365F91"/>
    </w:rPr>
  </w:style>
  <w:style w:type="paragraph" w:styleId="Heading6">
    <w:name w:val="heading 6"/>
    <w:basedOn w:val="Normal"/>
    <w:next w:val="Normal"/>
    <w:link w:val="Heading6Char"/>
    <w:uiPriority w:val="9"/>
    <w:semiHidden/>
    <w:unhideWhenUsed/>
    <w:qFormat/>
    <w:rsid w:val="009937F0"/>
    <w:pPr>
      <w:keepNext/>
      <w:keepLines/>
      <w:numPr>
        <w:ilvl w:val="5"/>
        <w:numId w:val="1"/>
      </w:numPr>
      <w:spacing w:before="40"/>
      <w:outlineLvl w:val="5"/>
    </w:pPr>
    <w:rPr>
      <w:rFonts w:ascii="Cambria" w:eastAsia="MS Gothic" w:hAnsi="Cambria"/>
      <w:color w:val="243F60"/>
    </w:rPr>
  </w:style>
  <w:style w:type="paragraph" w:styleId="Heading7">
    <w:name w:val="heading 7"/>
    <w:basedOn w:val="Normal"/>
    <w:next w:val="Normal"/>
    <w:link w:val="Heading7Char"/>
    <w:uiPriority w:val="9"/>
    <w:semiHidden/>
    <w:unhideWhenUsed/>
    <w:qFormat/>
    <w:rsid w:val="009937F0"/>
    <w:pPr>
      <w:keepNext/>
      <w:keepLines/>
      <w:numPr>
        <w:ilvl w:val="6"/>
        <w:numId w:val="1"/>
      </w:numPr>
      <w:spacing w:before="40"/>
      <w:outlineLvl w:val="6"/>
    </w:pPr>
    <w:rPr>
      <w:rFonts w:ascii="Cambria" w:eastAsia="MS Gothic" w:hAnsi="Cambria"/>
      <w:i/>
      <w:iCs/>
      <w:color w:val="243F60"/>
    </w:rPr>
  </w:style>
  <w:style w:type="paragraph" w:styleId="Heading8">
    <w:name w:val="heading 8"/>
    <w:basedOn w:val="Normal"/>
    <w:next w:val="Normal"/>
    <w:link w:val="Heading8Char"/>
    <w:uiPriority w:val="9"/>
    <w:semiHidden/>
    <w:unhideWhenUsed/>
    <w:qFormat/>
    <w:rsid w:val="009937F0"/>
    <w:pPr>
      <w:keepNext/>
      <w:keepLines/>
      <w:numPr>
        <w:ilvl w:val="7"/>
        <w:numId w:val="1"/>
      </w:numPr>
      <w:spacing w:before="40"/>
      <w:outlineLvl w:val="7"/>
    </w:pPr>
    <w:rPr>
      <w:rFonts w:ascii="Cambria" w:eastAsia="MS Gothic" w:hAnsi="Cambria"/>
      <w:color w:val="272727"/>
      <w:sz w:val="21"/>
      <w:szCs w:val="21"/>
    </w:rPr>
  </w:style>
  <w:style w:type="paragraph" w:styleId="Heading9">
    <w:name w:val="heading 9"/>
    <w:basedOn w:val="Normal"/>
    <w:next w:val="Normal"/>
    <w:link w:val="Heading9Char"/>
    <w:uiPriority w:val="9"/>
    <w:semiHidden/>
    <w:unhideWhenUsed/>
    <w:qFormat/>
    <w:rsid w:val="009937F0"/>
    <w:pPr>
      <w:keepNext/>
      <w:keepLines/>
      <w:numPr>
        <w:ilvl w:val="8"/>
        <w:numId w:val="1"/>
      </w:numPr>
      <w:spacing w:before="40"/>
      <w:outlineLvl w:val="8"/>
    </w:pPr>
    <w:rPr>
      <w:rFonts w:ascii="Cambria" w:eastAsia="MS Gothic"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008BE"/>
    <w:rPr>
      <w:color w:val="0000FF"/>
      <w:u w:val="single"/>
    </w:rPr>
  </w:style>
  <w:style w:type="paragraph" w:styleId="BalloonText">
    <w:name w:val="Balloon Text"/>
    <w:basedOn w:val="Normal"/>
    <w:link w:val="BalloonTextChar"/>
    <w:uiPriority w:val="99"/>
    <w:semiHidden/>
    <w:unhideWhenUsed/>
    <w:rsid w:val="007009CC"/>
    <w:rPr>
      <w:rFonts w:ascii="Tahoma" w:hAnsi="Tahoma" w:cs="Tahoma"/>
      <w:sz w:val="16"/>
      <w:szCs w:val="16"/>
    </w:rPr>
  </w:style>
  <w:style w:type="character" w:customStyle="1" w:styleId="BalloonTextChar">
    <w:name w:val="Balloon Text Char"/>
    <w:link w:val="BalloonText"/>
    <w:uiPriority w:val="99"/>
    <w:semiHidden/>
    <w:rsid w:val="007009CC"/>
    <w:rPr>
      <w:rFonts w:ascii="Tahoma" w:hAnsi="Tahoma" w:cs="Tahoma"/>
      <w:sz w:val="16"/>
      <w:szCs w:val="16"/>
    </w:rPr>
  </w:style>
  <w:style w:type="paragraph" w:styleId="Caption">
    <w:name w:val="caption"/>
    <w:basedOn w:val="Normal"/>
    <w:next w:val="Normal"/>
    <w:uiPriority w:val="35"/>
    <w:unhideWhenUsed/>
    <w:qFormat/>
    <w:rsid w:val="00A270A1"/>
    <w:pPr>
      <w:jc w:val="center"/>
    </w:pPr>
    <w:rPr>
      <w:sz w:val="20"/>
      <w:szCs w:val="20"/>
    </w:rPr>
  </w:style>
  <w:style w:type="table" w:styleId="TableGrid">
    <w:name w:val="Table Grid"/>
    <w:basedOn w:val="TableNormal"/>
    <w:uiPriority w:val="59"/>
    <w:rsid w:val="00700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A316CC"/>
  </w:style>
  <w:style w:type="paragraph" w:customStyle="1" w:styleId="Default">
    <w:name w:val="Default"/>
    <w:rsid w:val="00120D88"/>
    <w:pPr>
      <w:autoSpaceDE w:val="0"/>
      <w:autoSpaceDN w:val="0"/>
      <w:adjustRightInd w:val="0"/>
    </w:pPr>
    <w:rPr>
      <w:rFonts w:ascii="Arial" w:hAnsi="Arial" w:cs="Arial"/>
      <w:color w:val="000000"/>
      <w:sz w:val="24"/>
      <w:szCs w:val="24"/>
      <w:lang w:eastAsia="zh-CN"/>
    </w:rPr>
  </w:style>
  <w:style w:type="paragraph" w:customStyle="1" w:styleId="Authors">
    <w:name w:val="Authors"/>
    <w:basedOn w:val="Normal"/>
    <w:qFormat/>
    <w:rsid w:val="001371B9"/>
    <w:pPr>
      <w:jc w:val="left"/>
    </w:pPr>
    <w:rPr>
      <w:b/>
      <w:bCs/>
      <w:szCs w:val="24"/>
    </w:rPr>
  </w:style>
  <w:style w:type="paragraph" w:styleId="Header">
    <w:name w:val="header"/>
    <w:basedOn w:val="Normal"/>
    <w:link w:val="HeaderChar"/>
    <w:uiPriority w:val="99"/>
    <w:unhideWhenUsed/>
    <w:rsid w:val="00B8052A"/>
    <w:pPr>
      <w:tabs>
        <w:tab w:val="center" w:pos="4320"/>
        <w:tab w:val="right" w:pos="8640"/>
      </w:tabs>
    </w:pPr>
  </w:style>
  <w:style w:type="character" w:customStyle="1" w:styleId="HeaderChar">
    <w:name w:val="Header Char"/>
    <w:link w:val="Header"/>
    <w:uiPriority w:val="99"/>
    <w:rsid w:val="00B8052A"/>
    <w:rPr>
      <w:rFonts w:ascii="Times New Roman" w:hAnsi="Times New Roman"/>
      <w:sz w:val="24"/>
    </w:rPr>
  </w:style>
  <w:style w:type="paragraph" w:styleId="Footer">
    <w:name w:val="footer"/>
    <w:basedOn w:val="Normal"/>
    <w:link w:val="FooterChar"/>
    <w:uiPriority w:val="99"/>
    <w:unhideWhenUsed/>
    <w:rsid w:val="00B8052A"/>
    <w:pPr>
      <w:tabs>
        <w:tab w:val="center" w:pos="4320"/>
        <w:tab w:val="right" w:pos="8640"/>
      </w:tabs>
    </w:pPr>
  </w:style>
  <w:style w:type="character" w:customStyle="1" w:styleId="FooterChar">
    <w:name w:val="Footer Char"/>
    <w:link w:val="Footer"/>
    <w:uiPriority w:val="99"/>
    <w:rsid w:val="00B8052A"/>
    <w:rPr>
      <w:rFonts w:ascii="Times New Roman" w:hAnsi="Times New Roman"/>
      <w:sz w:val="24"/>
    </w:rPr>
  </w:style>
  <w:style w:type="character" w:customStyle="1" w:styleId="Heading1Char">
    <w:name w:val="Heading 1 Char"/>
    <w:link w:val="Heading1"/>
    <w:uiPriority w:val="9"/>
    <w:rsid w:val="00FC6D8E"/>
    <w:rPr>
      <w:rFonts w:ascii="Calibri" w:hAnsi="Calibri" w:cs="Times New Roman"/>
      <w:b/>
      <w:bCs/>
      <w:color w:val="000000"/>
      <w:sz w:val="24"/>
      <w:szCs w:val="24"/>
    </w:rPr>
  </w:style>
  <w:style w:type="paragraph" w:customStyle="1" w:styleId="Abstract">
    <w:name w:val="Abstract"/>
    <w:basedOn w:val="Normal"/>
    <w:qFormat/>
    <w:rsid w:val="009937F0"/>
    <w:rPr>
      <w:sz w:val="20"/>
      <w:szCs w:val="20"/>
    </w:rPr>
  </w:style>
  <w:style w:type="paragraph" w:customStyle="1" w:styleId="proceedingsheader">
    <w:name w:val="proceedings header"/>
    <w:basedOn w:val="Normal"/>
    <w:qFormat/>
    <w:rsid w:val="00834FE6"/>
    <w:pPr>
      <w:jc w:val="left"/>
    </w:pPr>
    <w:rPr>
      <w:szCs w:val="24"/>
    </w:rPr>
  </w:style>
  <w:style w:type="character" w:customStyle="1" w:styleId="Heading2Char">
    <w:name w:val="Heading 2 Char"/>
    <w:link w:val="Heading2"/>
    <w:uiPriority w:val="9"/>
    <w:rsid w:val="00FC6D8E"/>
    <w:rPr>
      <w:rFonts w:ascii="Calibri" w:hAnsi="Calibri"/>
      <w:b/>
      <w:bCs/>
      <w:i/>
      <w:sz w:val="24"/>
    </w:rPr>
  </w:style>
  <w:style w:type="paragraph" w:styleId="Title">
    <w:name w:val="Title"/>
    <w:basedOn w:val="Normal"/>
    <w:next w:val="Normal"/>
    <w:link w:val="TitleChar"/>
    <w:uiPriority w:val="10"/>
    <w:qFormat/>
    <w:rsid w:val="00BF75C1"/>
    <w:pPr>
      <w:spacing w:before="240"/>
    </w:pPr>
    <w:rPr>
      <w:b/>
      <w:bCs/>
      <w:sz w:val="28"/>
      <w:szCs w:val="28"/>
    </w:rPr>
  </w:style>
  <w:style w:type="character" w:customStyle="1" w:styleId="TitleChar">
    <w:name w:val="Title Char"/>
    <w:link w:val="Title"/>
    <w:uiPriority w:val="10"/>
    <w:rsid w:val="00BF75C1"/>
    <w:rPr>
      <w:rFonts w:ascii="Calibri" w:hAnsi="Calibri" w:cs="Times New Roman"/>
      <w:b/>
      <w:bCs/>
      <w:sz w:val="28"/>
      <w:szCs w:val="28"/>
    </w:rPr>
  </w:style>
  <w:style w:type="character" w:customStyle="1" w:styleId="Heading3Char">
    <w:name w:val="Heading 3 Char"/>
    <w:link w:val="Heading3"/>
    <w:uiPriority w:val="9"/>
    <w:rsid w:val="00FC6D8E"/>
    <w:rPr>
      <w:rFonts w:ascii="Calibri" w:hAnsi="Calibri"/>
      <w:i/>
      <w:sz w:val="24"/>
    </w:rPr>
  </w:style>
  <w:style w:type="character" w:customStyle="1" w:styleId="Heading4Char">
    <w:name w:val="Heading 4 Char"/>
    <w:link w:val="Heading4"/>
    <w:uiPriority w:val="9"/>
    <w:rsid w:val="009937F0"/>
    <w:rPr>
      <w:rFonts w:ascii="Cambria" w:eastAsia="MS Gothic" w:hAnsi="Cambria" w:cs="Times New Roman"/>
      <w:i/>
      <w:iCs/>
      <w:color w:val="365F91"/>
      <w:sz w:val="24"/>
    </w:rPr>
  </w:style>
  <w:style w:type="character" w:customStyle="1" w:styleId="Heading5Char">
    <w:name w:val="Heading 5 Char"/>
    <w:link w:val="Heading5"/>
    <w:uiPriority w:val="9"/>
    <w:semiHidden/>
    <w:rsid w:val="009937F0"/>
    <w:rPr>
      <w:rFonts w:ascii="Cambria" w:eastAsia="MS Gothic" w:hAnsi="Cambria" w:cs="Times New Roman"/>
      <w:color w:val="365F91"/>
      <w:sz w:val="24"/>
    </w:rPr>
  </w:style>
  <w:style w:type="character" w:customStyle="1" w:styleId="Heading6Char">
    <w:name w:val="Heading 6 Char"/>
    <w:link w:val="Heading6"/>
    <w:uiPriority w:val="9"/>
    <w:semiHidden/>
    <w:rsid w:val="009937F0"/>
    <w:rPr>
      <w:rFonts w:ascii="Cambria" w:eastAsia="MS Gothic" w:hAnsi="Cambria" w:cs="Times New Roman"/>
      <w:color w:val="243F60"/>
      <w:sz w:val="24"/>
    </w:rPr>
  </w:style>
  <w:style w:type="character" w:customStyle="1" w:styleId="Heading7Char">
    <w:name w:val="Heading 7 Char"/>
    <w:link w:val="Heading7"/>
    <w:uiPriority w:val="9"/>
    <w:semiHidden/>
    <w:rsid w:val="009937F0"/>
    <w:rPr>
      <w:rFonts w:ascii="Cambria" w:eastAsia="MS Gothic" w:hAnsi="Cambria" w:cs="Times New Roman"/>
      <w:i/>
      <w:iCs/>
      <w:color w:val="243F60"/>
      <w:sz w:val="24"/>
    </w:rPr>
  </w:style>
  <w:style w:type="character" w:customStyle="1" w:styleId="Heading8Char">
    <w:name w:val="Heading 8 Char"/>
    <w:link w:val="Heading8"/>
    <w:uiPriority w:val="9"/>
    <w:semiHidden/>
    <w:rsid w:val="009937F0"/>
    <w:rPr>
      <w:rFonts w:ascii="Cambria" w:eastAsia="MS Gothic" w:hAnsi="Cambria" w:cs="Times New Roman"/>
      <w:color w:val="272727"/>
      <w:sz w:val="21"/>
      <w:szCs w:val="21"/>
    </w:rPr>
  </w:style>
  <w:style w:type="character" w:customStyle="1" w:styleId="Heading9Char">
    <w:name w:val="Heading 9 Char"/>
    <w:link w:val="Heading9"/>
    <w:uiPriority w:val="9"/>
    <w:semiHidden/>
    <w:rsid w:val="009937F0"/>
    <w:rPr>
      <w:rFonts w:ascii="Cambria" w:eastAsia="MS Gothic" w:hAnsi="Cambria" w:cs="Times New Roman"/>
      <w:i/>
      <w:iCs/>
      <w:color w:val="272727"/>
      <w:sz w:val="21"/>
      <w:szCs w:val="21"/>
    </w:rPr>
  </w:style>
  <w:style w:type="paragraph" w:customStyle="1" w:styleId="References">
    <w:name w:val="References"/>
    <w:basedOn w:val="Normal"/>
    <w:qFormat/>
    <w:rsid w:val="00A13452"/>
    <w:pPr>
      <w:autoSpaceDE w:val="0"/>
      <w:autoSpaceDN w:val="0"/>
      <w:adjustRightInd w:val="0"/>
      <w:ind w:firstLine="567"/>
    </w:pPr>
    <w:rPr>
      <w:sz w:val="20"/>
      <w:szCs w:val="24"/>
    </w:rPr>
  </w:style>
  <w:style w:type="character" w:styleId="FollowedHyperlink">
    <w:name w:val="FollowedHyperlink"/>
    <w:uiPriority w:val="99"/>
    <w:semiHidden/>
    <w:unhideWhenUsed/>
    <w:rsid w:val="001371B9"/>
    <w:rPr>
      <w:color w:val="800080"/>
      <w:u w:val="single"/>
    </w:rPr>
  </w:style>
  <w:style w:type="paragraph" w:customStyle="1" w:styleId="Firstparagraphofsection">
    <w:name w:val="First paragraph of section"/>
    <w:basedOn w:val="Normal"/>
    <w:next w:val="Mainbodytext"/>
    <w:qFormat/>
    <w:rsid w:val="00E370E6"/>
    <w:rPr>
      <w:szCs w:val="24"/>
    </w:rPr>
  </w:style>
  <w:style w:type="paragraph" w:customStyle="1" w:styleId="Mainbodytext">
    <w:name w:val="Main body text"/>
    <w:basedOn w:val="Normal"/>
    <w:qFormat/>
    <w:rsid w:val="00E370E6"/>
    <w:pPr>
      <w:ind w:firstLine="567"/>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6268177">
      <w:bodyDiv w:val="1"/>
      <w:marLeft w:val="0"/>
      <w:marRight w:val="0"/>
      <w:marTop w:val="0"/>
      <w:marBottom w:val="0"/>
      <w:divBdr>
        <w:top w:val="none" w:sz="0" w:space="0" w:color="auto"/>
        <w:left w:val="none" w:sz="0" w:space="0" w:color="auto"/>
        <w:bottom w:val="none" w:sz="0" w:space="0" w:color="auto"/>
        <w:right w:val="none" w:sz="0" w:space="0" w:color="auto"/>
      </w:divBdr>
      <w:divsChild>
        <w:div w:id="195366051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Work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Workbook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Workbook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Workbook1"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495009433599"/>
          <c:y val="0.171234816908368"/>
          <c:w val="0.82073862642169704"/>
          <c:h val="0.69083301325139201"/>
        </c:manualLayout>
      </c:layout>
      <c:lineChart>
        <c:grouping val="standard"/>
        <c:varyColors val="0"/>
        <c:dLbls>
          <c:showLegendKey val="0"/>
          <c:showVal val="0"/>
          <c:showCatName val="0"/>
          <c:showSerName val="0"/>
          <c:showPercent val="0"/>
          <c:showBubbleSize val="0"/>
        </c:dLbls>
        <c:marker val="1"/>
        <c:smooth val="0"/>
        <c:axId val="116193376"/>
        <c:axId val="116193936"/>
      </c:lineChart>
      <c:catAx>
        <c:axId val="116193376"/>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193936"/>
        <c:crosses val="autoZero"/>
        <c:auto val="1"/>
        <c:lblAlgn val="ctr"/>
        <c:lblOffset val="100"/>
        <c:noMultiLvlLbl val="0"/>
      </c:catAx>
      <c:valAx>
        <c:axId val="116193936"/>
        <c:scaling>
          <c:orientation val="minMax"/>
          <c:min val="5"/>
        </c:scaling>
        <c:delete val="1"/>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effectLst/>
                    <a:sym typeface="Symbol" charset="2"/>
                  </a:rPr>
                  <a:t></a:t>
                </a:r>
                <a:r>
                  <a:rPr lang="en-GB" sz="1200">
                    <a:effectLst/>
                  </a:rPr>
                  <a:t>C</a:t>
                </a:r>
              </a:p>
            </c:rich>
          </c:tx>
          <c:layout/>
          <c:overlay val="0"/>
          <c:spPr>
            <a:noFill/>
            <a:ln>
              <a:noFill/>
            </a:ln>
            <a:effectLst/>
          </c:spPr>
        </c:title>
        <c:numFmt formatCode="General" sourceLinked="1"/>
        <c:majorTickMark val="none"/>
        <c:minorTickMark val="none"/>
        <c:tickLblPos val="nextTo"/>
        <c:crossAx val="116193376"/>
        <c:crosses val="autoZero"/>
        <c:crossBetween val="between"/>
        <c:minorUnit val="5"/>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495009433599"/>
          <c:y val="0.171234816908368"/>
          <c:w val="0.82073862642169704"/>
          <c:h val="0.69083301325139201"/>
        </c:manualLayout>
      </c:layout>
      <c:lineChart>
        <c:grouping val="standard"/>
        <c:varyColors val="0"/>
        <c:dLbls>
          <c:showLegendKey val="0"/>
          <c:showVal val="0"/>
          <c:showCatName val="0"/>
          <c:showSerName val="0"/>
          <c:showPercent val="0"/>
          <c:showBubbleSize val="0"/>
        </c:dLbls>
        <c:marker val="1"/>
        <c:smooth val="0"/>
        <c:axId val="116196176"/>
        <c:axId val="116196736"/>
      </c:lineChart>
      <c:catAx>
        <c:axId val="116196176"/>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196736"/>
        <c:crosses val="autoZero"/>
        <c:auto val="1"/>
        <c:lblAlgn val="ctr"/>
        <c:lblOffset val="100"/>
        <c:noMultiLvlLbl val="0"/>
      </c:catAx>
      <c:valAx>
        <c:axId val="116196736"/>
        <c:scaling>
          <c:orientation val="minMax"/>
          <c:min val="5"/>
        </c:scaling>
        <c:delete val="1"/>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effectLst/>
                    <a:sym typeface="Symbol" charset="2"/>
                  </a:rPr>
                  <a:t></a:t>
                </a:r>
                <a:r>
                  <a:rPr lang="en-GB" sz="1200">
                    <a:effectLst/>
                  </a:rPr>
                  <a:t>C</a:t>
                </a:r>
              </a:p>
            </c:rich>
          </c:tx>
          <c:layout/>
          <c:overlay val="0"/>
          <c:spPr>
            <a:noFill/>
            <a:ln>
              <a:noFill/>
            </a:ln>
            <a:effectLst/>
          </c:spPr>
        </c:title>
        <c:numFmt formatCode="General" sourceLinked="1"/>
        <c:majorTickMark val="none"/>
        <c:minorTickMark val="none"/>
        <c:tickLblPos val="nextTo"/>
        <c:crossAx val="116196176"/>
        <c:crosses val="autoZero"/>
        <c:crossBetween val="between"/>
        <c:minorUnit val="5"/>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495009433599"/>
          <c:y val="0.171234816908368"/>
          <c:w val="0.82073862642169704"/>
          <c:h val="0.69083301325139201"/>
        </c:manualLayout>
      </c:layout>
      <c:lineChart>
        <c:grouping val="standard"/>
        <c:varyColors val="0"/>
        <c:dLbls>
          <c:showLegendKey val="0"/>
          <c:showVal val="0"/>
          <c:showCatName val="0"/>
          <c:showSerName val="0"/>
          <c:showPercent val="0"/>
          <c:showBubbleSize val="0"/>
        </c:dLbls>
        <c:marker val="1"/>
        <c:smooth val="0"/>
        <c:axId val="116198416"/>
        <c:axId val="116198976"/>
      </c:lineChart>
      <c:catAx>
        <c:axId val="116198416"/>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198976"/>
        <c:crosses val="autoZero"/>
        <c:auto val="1"/>
        <c:lblAlgn val="ctr"/>
        <c:lblOffset val="100"/>
        <c:noMultiLvlLbl val="0"/>
      </c:catAx>
      <c:valAx>
        <c:axId val="116198976"/>
        <c:scaling>
          <c:orientation val="minMax"/>
          <c:min val="5"/>
        </c:scaling>
        <c:delete val="1"/>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effectLst/>
                    <a:sym typeface="Symbol" charset="2"/>
                  </a:rPr>
                  <a:t></a:t>
                </a:r>
                <a:r>
                  <a:rPr lang="en-GB" sz="1200">
                    <a:effectLst/>
                  </a:rPr>
                  <a:t>C</a:t>
                </a:r>
              </a:p>
            </c:rich>
          </c:tx>
          <c:layout/>
          <c:overlay val="0"/>
          <c:spPr>
            <a:noFill/>
            <a:ln>
              <a:noFill/>
            </a:ln>
            <a:effectLst/>
          </c:spPr>
        </c:title>
        <c:numFmt formatCode="General" sourceLinked="1"/>
        <c:majorTickMark val="none"/>
        <c:minorTickMark val="none"/>
        <c:tickLblPos val="nextTo"/>
        <c:crossAx val="116198416"/>
        <c:crosses val="autoZero"/>
        <c:crossBetween val="between"/>
        <c:minorUnit val="5"/>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495009433599"/>
          <c:y val="0.171234816908368"/>
          <c:w val="0.82073862642169704"/>
          <c:h val="0.69083301325139201"/>
        </c:manualLayout>
      </c:layout>
      <c:lineChart>
        <c:grouping val="standard"/>
        <c:varyColors val="0"/>
        <c:dLbls>
          <c:showLegendKey val="0"/>
          <c:showVal val="0"/>
          <c:showCatName val="0"/>
          <c:showSerName val="0"/>
          <c:showPercent val="0"/>
          <c:showBubbleSize val="0"/>
        </c:dLbls>
        <c:marker val="1"/>
        <c:smooth val="0"/>
        <c:axId val="186112064"/>
        <c:axId val="186112624"/>
      </c:lineChart>
      <c:catAx>
        <c:axId val="186112064"/>
        <c:scaling>
          <c:orientation val="minMax"/>
        </c:scaling>
        <c:delete val="0"/>
        <c:axPos val="b"/>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12624"/>
        <c:crosses val="autoZero"/>
        <c:auto val="1"/>
        <c:lblAlgn val="ctr"/>
        <c:lblOffset val="100"/>
        <c:noMultiLvlLbl val="0"/>
      </c:catAx>
      <c:valAx>
        <c:axId val="186112624"/>
        <c:scaling>
          <c:orientation val="minMax"/>
          <c:min val="5"/>
        </c:scaling>
        <c:delete val="1"/>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effectLst/>
                    <a:sym typeface="Symbol" charset="2"/>
                  </a:rPr>
                  <a:t></a:t>
                </a:r>
                <a:r>
                  <a:rPr lang="en-GB" sz="1200">
                    <a:effectLst/>
                  </a:rPr>
                  <a:t>C</a:t>
                </a:r>
              </a:p>
            </c:rich>
          </c:tx>
          <c:layout/>
          <c:overlay val="0"/>
          <c:spPr>
            <a:noFill/>
            <a:ln>
              <a:noFill/>
            </a:ln>
            <a:effectLst/>
          </c:spPr>
        </c:title>
        <c:numFmt formatCode="General" sourceLinked="1"/>
        <c:majorTickMark val="none"/>
        <c:minorTickMark val="none"/>
        <c:tickLblPos val="nextTo"/>
        <c:crossAx val="186112064"/>
        <c:crosses val="autoZero"/>
        <c:crossBetween val="between"/>
        <c:minorUnit val="5"/>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drawings/_rels/drawing3.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6.jpe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357"/>
        <a:stretch xmlns:a="http://schemas.openxmlformats.org/drawingml/2006/main"/>
      </cdr:blipFill>
      <cdr:spPr bwMode="auto">
        <a:xfrm xmlns:a="http://schemas.openxmlformats.org/drawingml/2006/main">
          <a:off x="0" y="-8388"/>
          <a:ext cx="5059045" cy="2355984"/>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3" name="Picture 2"/>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0" y="0"/>
          <a:ext cx="2687955" cy="2040255"/>
        </a:xfrm>
        <a:prstGeom xmlns:a="http://schemas.openxmlformats.org/drawingml/2006/main" prst="rect">
          <a:avLst/>
        </a:prstGeom>
        <a:noFill xmlns:a="http://schemas.openxmlformats.org/drawingml/2006/main"/>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1</cdr:x>
      <cdr:y>1</cdr:y>
    </cdr:to>
    <cdr:pic>
      <cdr:nvPicPr>
        <cdr:cNvPr id="4" name="Picture 3"/>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5255895" cy="2632075"/>
        </a:xfrm>
        <a:prstGeom xmlns:a="http://schemas.openxmlformats.org/drawingml/2006/main" prst="rect">
          <a:avLst/>
        </a:prstGeom>
        <a:noFill xmlns:a="http://schemas.openxmlformats.org/drawingml/2006/main"/>
      </cdr:spPr>
    </cdr:pic>
  </cdr:relSizeAnchor>
</c:userShapes>
</file>

<file path=word/drawings/drawing4.xml><?xml version="1.0" encoding="utf-8"?>
<c:userShapes xmlns:c="http://schemas.openxmlformats.org/drawingml/2006/chart">
  <cdr:relSizeAnchor xmlns:cdr="http://schemas.openxmlformats.org/drawingml/2006/chartDrawing">
    <cdr:from>
      <cdr:x>0.02166</cdr:x>
      <cdr:y>0.03062</cdr:y>
    </cdr:from>
    <cdr:to>
      <cdr:x>1</cdr:x>
      <cdr:y>1</cdr:y>
    </cdr:to>
    <cdr:pic>
      <cdr:nvPicPr>
        <cdr:cNvPr id="4" name="Picture 3" descr="/Users/AdinnyParamita/Desktop/Ry titip/2016-11-14-PHOTO-00000092.jpg"/>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8213" y="42070"/>
          <a:ext cx="2177462" cy="133207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47B5090-2EEA-48FE-91DA-DDC21E125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8</Pages>
  <Words>6565</Words>
  <Characters>37423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PLEA2017 Paper Template</vt:lpstr>
    </vt:vector>
  </TitlesOfParts>
  <Manager/>
  <Company/>
  <LinksUpToDate>false</LinksUpToDate>
  <CharactersWithSpaces>43901</CharactersWithSpaces>
  <SharedDoc>false</SharedDoc>
  <HyperlinkBase/>
  <HLinks>
    <vt:vector size="24" baseType="variant">
      <vt:variant>
        <vt:i4>6553604</vt:i4>
      </vt:variant>
      <vt:variant>
        <vt:i4>9</vt:i4>
      </vt:variant>
      <vt:variant>
        <vt:i4>0</vt:i4>
      </vt:variant>
      <vt:variant>
        <vt:i4>5</vt:i4>
      </vt:variant>
      <vt:variant>
        <vt:lpwstr>https://plea2017.net/programme/</vt:lpwstr>
      </vt:variant>
      <vt:variant>
        <vt:lpwstr/>
      </vt:variant>
      <vt:variant>
        <vt:i4>1572975</vt:i4>
      </vt:variant>
      <vt:variant>
        <vt:i4>6</vt:i4>
      </vt:variant>
      <vt:variant>
        <vt:i4>0</vt:i4>
      </vt:variant>
      <vt:variant>
        <vt:i4>5</vt:i4>
      </vt:variant>
      <vt:variant>
        <vt:lpwstr>https://flame.firebird.systems/hwu/PLEA2017/MySubmissions</vt:lpwstr>
      </vt:variant>
      <vt:variant>
        <vt:lpwstr/>
      </vt:variant>
      <vt:variant>
        <vt:i4>3670029</vt:i4>
      </vt:variant>
      <vt:variant>
        <vt:i4>3</vt:i4>
      </vt:variant>
      <vt:variant>
        <vt:i4>0</vt:i4>
      </vt:variant>
      <vt:variant>
        <vt:i4>5</vt:i4>
      </vt:variant>
      <vt:variant>
        <vt:lpwstr>mailto:email@berlin.de</vt:lpwstr>
      </vt:variant>
      <vt:variant>
        <vt:lpwstr/>
      </vt:variant>
      <vt:variant>
        <vt:i4>262259</vt:i4>
      </vt:variant>
      <vt:variant>
        <vt:i4>0</vt:i4>
      </vt:variant>
      <vt:variant>
        <vt:i4>0</vt:i4>
      </vt:variant>
      <vt:variant>
        <vt:i4>5</vt:i4>
      </vt:variant>
      <vt:variant>
        <vt:lpwstr>mailto:my_email@london.uk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PLEA2017 Paper Template</dc:title>
  <dc:subject/>
  <dc:creator>Microsoft Office User</dc:creator>
  <cp:keywords/>
  <dc:description/>
  <cp:lastModifiedBy>Sharples, Stephen</cp:lastModifiedBy>
  <cp:revision>7</cp:revision>
  <cp:lastPrinted>2017-05-23T13:35:00Z</cp:lastPrinted>
  <dcterms:created xsi:type="dcterms:W3CDTF">2017-05-30T20:20:00Z</dcterms:created>
  <dcterms:modified xsi:type="dcterms:W3CDTF">2017-05-30T20:52:00Z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http://www.zotero.org/styles/emerald-harvard</vt:lpwstr>
  </property>
  <property fmtid="{D5CDD505-2E9C-101B-9397-08002B2CF9AE}" pid="13" name="Mendeley Recent Style Name 5_1">
    <vt:lpwstr>Emerald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Document_1">
    <vt:lpwstr>True</vt:lpwstr>
  </property>
  <property fmtid="{D5CDD505-2E9C-101B-9397-08002B2CF9AE}" pid="23" name="Mendeley Unique User Id_1">
    <vt:lpwstr>04c6be10-0fe1-3809-b368-e1173c4ab540</vt:lpwstr>
  </property>
  <property fmtid="{D5CDD505-2E9C-101B-9397-08002B2CF9AE}" pid="24" name="Mendeley Citation Style_1">
    <vt:lpwstr>http://www.zotero.org/styles/chicago-author-date</vt:lpwstr>
  </property>
</Properties>
</file>