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4E4B6" w14:textId="68E23B86" w:rsidR="0090741C" w:rsidRPr="00D54524" w:rsidRDefault="00253217" w:rsidP="009937F0">
      <w:pPr>
        <w:pStyle w:val="Title"/>
        <w:rPr>
          <w:rFonts w:asciiTheme="minorHAnsi" w:hAnsiTheme="minorHAnsi"/>
        </w:rPr>
      </w:pPr>
      <w:r w:rsidRPr="00D54524">
        <w:rPr>
          <w:rFonts w:asciiTheme="minorHAnsi" w:hAnsiTheme="minorHAnsi"/>
        </w:rPr>
        <w:t>Quantifying the Behaviour of Modern and Traditional</w:t>
      </w:r>
      <w:r w:rsidR="00C73611" w:rsidRPr="00D54524">
        <w:rPr>
          <w:rFonts w:asciiTheme="minorHAnsi" w:hAnsiTheme="minorHAnsi"/>
        </w:rPr>
        <w:t xml:space="preserve"> Construction</w:t>
      </w:r>
      <w:r w:rsidRPr="00D54524">
        <w:rPr>
          <w:rFonts w:asciiTheme="minorHAnsi" w:hAnsiTheme="minorHAnsi"/>
        </w:rPr>
        <w:t xml:space="preserve"> Systems on the Basis of Thermal Comfort</w:t>
      </w:r>
    </w:p>
    <w:p w14:paraId="4A126490" w14:textId="77777777" w:rsidR="00D54524" w:rsidRPr="00D54524" w:rsidRDefault="00D54524" w:rsidP="00D54524"/>
    <w:p w14:paraId="62B2F738" w14:textId="4AF494D1" w:rsidR="00D54524" w:rsidRDefault="00D54524" w:rsidP="00D54524">
      <w:pPr>
        <w:autoSpaceDE w:val="0"/>
        <w:autoSpaceDN w:val="0"/>
        <w:adjustRightInd w:val="0"/>
        <w:jc w:val="left"/>
        <w:rPr>
          <w:rFonts w:cs="HelveticaNeue"/>
          <w:b/>
          <w:szCs w:val="24"/>
          <w:vertAlign w:val="superscript"/>
          <w:lang w:eastAsia="en-US"/>
        </w:rPr>
      </w:pPr>
      <w:r w:rsidRPr="00D54524">
        <w:rPr>
          <w:rFonts w:cs="HelveticaNeue"/>
          <w:b/>
          <w:szCs w:val="24"/>
          <w:lang w:eastAsia="en-US"/>
        </w:rPr>
        <w:t>Seyed Masoud Sajjadian</w:t>
      </w:r>
      <w:bookmarkStart w:id="0" w:name="_Hlk488838461"/>
      <w:r w:rsidRPr="00D54524">
        <w:rPr>
          <w:rFonts w:cs="HelveticaNeue"/>
          <w:b/>
          <w:szCs w:val="24"/>
          <w:vertAlign w:val="superscript"/>
          <w:lang w:eastAsia="en-US"/>
        </w:rPr>
        <w:t>1</w:t>
      </w:r>
      <w:bookmarkStart w:id="1" w:name="_GoBack"/>
      <w:bookmarkEnd w:id="0"/>
      <w:bookmarkEnd w:id="1"/>
      <w:r w:rsidRPr="00D54524">
        <w:rPr>
          <w:rFonts w:cs="HelveticaNeue"/>
          <w:b/>
          <w:szCs w:val="24"/>
          <w:lang w:eastAsia="en-US"/>
        </w:rPr>
        <w:t>, Stephen Sharples</w:t>
      </w:r>
      <w:r w:rsidRPr="00D54524">
        <w:rPr>
          <w:rFonts w:cs="HelveticaNeue"/>
          <w:b/>
          <w:szCs w:val="24"/>
          <w:vertAlign w:val="superscript"/>
          <w:lang w:eastAsia="en-US"/>
        </w:rPr>
        <w:t>2</w:t>
      </w:r>
    </w:p>
    <w:p w14:paraId="4FD00A76" w14:textId="77777777" w:rsidR="00D54524" w:rsidRPr="00D54524" w:rsidRDefault="00D54524" w:rsidP="00D54524">
      <w:pPr>
        <w:pStyle w:val="Mainbodytext"/>
        <w:rPr>
          <w:lang w:eastAsia="en-US"/>
        </w:rPr>
      </w:pPr>
    </w:p>
    <w:p w14:paraId="0ADC898B" w14:textId="77777777" w:rsidR="00D54524" w:rsidRPr="00D54524" w:rsidRDefault="00D54524" w:rsidP="00D54524">
      <w:pPr>
        <w:autoSpaceDE w:val="0"/>
        <w:autoSpaceDN w:val="0"/>
        <w:adjustRightInd w:val="0"/>
        <w:jc w:val="left"/>
        <w:rPr>
          <w:rFonts w:cs="HelveticaNeue-Italic"/>
          <w:i/>
          <w:iCs/>
          <w:szCs w:val="24"/>
          <w:lang w:eastAsia="en-US"/>
        </w:rPr>
      </w:pPr>
      <w:r w:rsidRPr="00D54524">
        <w:rPr>
          <w:rFonts w:cs="HelveticaNeue"/>
          <w:szCs w:val="24"/>
          <w:vertAlign w:val="superscript"/>
          <w:lang w:eastAsia="en-US"/>
        </w:rPr>
        <w:t>1</w:t>
      </w:r>
      <w:r w:rsidRPr="00D54524">
        <w:rPr>
          <w:rFonts w:cs="HelveticaNeue-Italic"/>
          <w:i/>
          <w:iCs/>
          <w:szCs w:val="24"/>
          <w:lang w:eastAsia="en-US"/>
        </w:rPr>
        <w:t>Southampton Solent University, Southampton, United Kingdom</w:t>
      </w:r>
    </w:p>
    <w:p w14:paraId="5B26CBDE" w14:textId="7B0BC575" w:rsidR="00BF75C1" w:rsidRPr="00D54524" w:rsidRDefault="00D54524" w:rsidP="00D54524">
      <w:pPr>
        <w:autoSpaceDE w:val="0"/>
        <w:autoSpaceDN w:val="0"/>
        <w:adjustRightInd w:val="0"/>
        <w:jc w:val="left"/>
        <w:rPr>
          <w:szCs w:val="24"/>
        </w:rPr>
      </w:pPr>
      <w:r w:rsidRPr="00D54524">
        <w:rPr>
          <w:rFonts w:cs="HelveticaNeue"/>
          <w:szCs w:val="24"/>
          <w:vertAlign w:val="superscript"/>
          <w:lang w:eastAsia="en-US"/>
        </w:rPr>
        <w:t>2</w:t>
      </w:r>
      <w:r w:rsidRPr="00D54524">
        <w:rPr>
          <w:rFonts w:cs="HelveticaNeue-Italic"/>
          <w:i/>
          <w:iCs/>
          <w:szCs w:val="24"/>
          <w:lang w:eastAsia="en-US"/>
        </w:rPr>
        <w:t xml:space="preserve">School of Architecture, </w:t>
      </w:r>
      <w:r w:rsidRPr="00D54524">
        <w:rPr>
          <w:rFonts w:cs="HelveticaNeue-Italic"/>
          <w:i/>
          <w:iCs/>
          <w:szCs w:val="24"/>
          <w:lang w:eastAsia="en-US"/>
        </w:rPr>
        <w:t>U</w:t>
      </w:r>
      <w:r w:rsidRPr="00D54524">
        <w:rPr>
          <w:rFonts w:cs="HelveticaNeue-Italic"/>
          <w:i/>
          <w:iCs/>
          <w:szCs w:val="24"/>
          <w:lang w:eastAsia="en-US"/>
        </w:rPr>
        <w:t>niversity of</w:t>
      </w:r>
      <w:r w:rsidRPr="00D54524">
        <w:rPr>
          <w:rFonts w:cs="HelveticaNeue-Italic"/>
          <w:i/>
          <w:iCs/>
          <w:szCs w:val="24"/>
          <w:lang w:eastAsia="en-US"/>
        </w:rPr>
        <w:t xml:space="preserve"> </w:t>
      </w:r>
      <w:r w:rsidRPr="00D54524">
        <w:rPr>
          <w:rFonts w:cs="HelveticaNeue-Italic"/>
          <w:i/>
          <w:iCs/>
          <w:szCs w:val="24"/>
          <w:lang w:eastAsia="en-US"/>
        </w:rPr>
        <w:t>Liverpool, Liverpool, United Kingdom</w:t>
      </w:r>
    </w:p>
    <w:p w14:paraId="7A67F4DD" w14:textId="77777777" w:rsidR="00BF75C1" w:rsidRPr="00BF75C1" w:rsidRDefault="00BF75C1" w:rsidP="00BF75C1">
      <w:pPr>
        <w:pStyle w:val="Mainbodytext"/>
      </w:pPr>
    </w:p>
    <w:p w14:paraId="0129ADBD" w14:textId="22BE59D6" w:rsidR="00130AA0" w:rsidRPr="00964599" w:rsidRDefault="00130AA0" w:rsidP="00253217">
      <w:pPr>
        <w:pStyle w:val="Abstract"/>
      </w:pPr>
      <w:r w:rsidRPr="001371B9">
        <w:rPr>
          <w:b/>
        </w:rPr>
        <w:t>Abstract</w:t>
      </w:r>
      <w:r w:rsidR="001371B9" w:rsidRPr="001371B9">
        <w:rPr>
          <w:b/>
        </w:rPr>
        <w:t>:</w:t>
      </w:r>
      <w:r w:rsidR="001371B9">
        <w:t xml:space="preserve"> </w:t>
      </w:r>
      <w:r w:rsidR="00253217" w:rsidRPr="00253217">
        <w:t xml:space="preserve">Thermal comfort is crucial to ascertain the energy consumption in buildings and </w:t>
      </w:r>
      <w:r w:rsidR="00334470" w:rsidRPr="00253217">
        <w:t>is</w:t>
      </w:r>
      <w:r w:rsidR="00334470">
        <w:t xml:space="preserve"> </w:t>
      </w:r>
      <w:r w:rsidR="00253217" w:rsidRPr="00253217">
        <w:t>a key factor for decision-making in the design of sustainable building envelopes. This paper presents a methodology to assess the performance of construction systems quantitatively on the basis of</w:t>
      </w:r>
      <w:r w:rsidR="00FE3201">
        <w:t xml:space="preserve"> overall yearly</w:t>
      </w:r>
      <w:r w:rsidR="00253217" w:rsidRPr="00253217">
        <w:t xml:space="preserve"> thermal comfort. A framework is proposed to deal with the risk </w:t>
      </w:r>
      <w:r w:rsidR="00334470">
        <w:t>from</w:t>
      </w:r>
      <w:r w:rsidR="00253217" w:rsidRPr="00253217">
        <w:t xml:space="preserve"> climate change temperature increase</w:t>
      </w:r>
      <w:r w:rsidR="00334470">
        <w:t>s</w:t>
      </w:r>
      <w:r w:rsidR="00253217" w:rsidRPr="00253217">
        <w:t xml:space="preserve"> in the UK. A </w:t>
      </w:r>
      <w:r w:rsidR="00334470">
        <w:t xml:space="preserve">dynamic thermal </w:t>
      </w:r>
      <w:r w:rsidR="00253217" w:rsidRPr="00253217">
        <w:t xml:space="preserve">model with five of the most commonly used construction systems for dwellings </w:t>
      </w:r>
      <w:r w:rsidR="00334470">
        <w:t>was</w:t>
      </w:r>
      <w:r w:rsidR="00253217" w:rsidRPr="00253217">
        <w:t xml:space="preserve"> chosen for simulation in London</w:t>
      </w:r>
      <w:r w:rsidR="00334470">
        <w:t>, UK,</w:t>
      </w:r>
      <w:r w:rsidR="00253217" w:rsidRPr="00253217">
        <w:t xml:space="preserve"> for current, short term, medium term and long-term</w:t>
      </w:r>
      <w:r w:rsidR="00334470">
        <w:t xml:space="preserve"> climate scenarios</w:t>
      </w:r>
      <w:r w:rsidR="00253217" w:rsidRPr="00253217">
        <w:t xml:space="preserve"> using </w:t>
      </w:r>
      <w:r w:rsidR="00334470">
        <w:t xml:space="preserve">the software </w:t>
      </w:r>
      <w:r w:rsidR="00253217" w:rsidRPr="00253217">
        <w:t xml:space="preserve">Designbuilder. The research investigated the effect of thermal mass and insulation thickness on the behaviour of widely used construction systems </w:t>
      </w:r>
      <w:r w:rsidR="00936163" w:rsidRPr="00253217">
        <w:t>based on</w:t>
      </w:r>
      <w:r w:rsidR="00253217" w:rsidRPr="00253217">
        <w:t xml:space="preserve"> annual thermal comfort</w:t>
      </w:r>
      <w:r w:rsidR="00936163">
        <w:t>. The study</w:t>
      </w:r>
      <w:r w:rsidR="00253217" w:rsidRPr="00253217">
        <w:t xml:space="preserve"> reveals that high level of thermal mass and insulation thickness do not necessarily provide maximum comfort hours in high performance construction systems</w:t>
      </w:r>
      <w:r w:rsidR="00645881">
        <w:t xml:space="preserve"> for future climates</w:t>
      </w:r>
      <w:r w:rsidR="00253217" w:rsidRPr="00253217">
        <w:t>.</w:t>
      </w:r>
    </w:p>
    <w:p w14:paraId="36FACB0E" w14:textId="77777777" w:rsidR="001B34AD" w:rsidRDefault="00040A30" w:rsidP="00253217">
      <w:pPr>
        <w:pStyle w:val="Abstract"/>
      </w:pPr>
      <w:r w:rsidRPr="001371B9">
        <w:rPr>
          <w:b/>
        </w:rPr>
        <w:t>Keywords</w:t>
      </w:r>
      <w:r w:rsidRPr="00964599">
        <w:t xml:space="preserve">: </w:t>
      </w:r>
      <w:r w:rsidR="00253217" w:rsidRPr="00253217">
        <w:t>Climate Change, Thermal Mass, Insulation, Thermal Simulation</w:t>
      </w:r>
    </w:p>
    <w:p w14:paraId="4E4CB60C" w14:textId="77777777" w:rsidR="00A772F8" w:rsidRPr="00964599" w:rsidRDefault="00A772F8" w:rsidP="006F0A9F"/>
    <w:p w14:paraId="6FF0C71E" w14:textId="77777777" w:rsidR="00CB60B0" w:rsidRPr="00964599" w:rsidRDefault="00CB60B0" w:rsidP="00253217">
      <w:pPr>
        <w:pStyle w:val="Heading1"/>
      </w:pPr>
      <w:r w:rsidRPr="00FC6D8E">
        <w:t>Introduction</w:t>
      </w:r>
      <w:r w:rsidR="00E370E6">
        <w:t xml:space="preserve"> </w:t>
      </w:r>
    </w:p>
    <w:p w14:paraId="0C9E1624" w14:textId="56F9FF98" w:rsidR="0096496B" w:rsidRDefault="00253217" w:rsidP="00F66968">
      <w:r w:rsidRPr="00253217">
        <w:rPr>
          <w:szCs w:val="24"/>
        </w:rPr>
        <w:t xml:space="preserve">Buildings that can respond to future </w:t>
      </w:r>
      <w:r w:rsidR="004036D0">
        <w:rPr>
          <w:szCs w:val="24"/>
        </w:rPr>
        <w:t>climate change</w:t>
      </w:r>
      <w:r w:rsidRPr="00253217">
        <w:rPr>
          <w:szCs w:val="24"/>
        </w:rPr>
        <w:t xml:space="preserve"> are less likely to be obsolete</w:t>
      </w:r>
      <w:r w:rsidR="004036D0">
        <w:rPr>
          <w:szCs w:val="24"/>
        </w:rPr>
        <w:t>, and so</w:t>
      </w:r>
      <w:r w:rsidR="004036D0" w:rsidRPr="00253217">
        <w:rPr>
          <w:szCs w:val="24"/>
        </w:rPr>
        <w:t xml:space="preserve"> future thinking in the early design stages of </w:t>
      </w:r>
      <w:r w:rsidR="006D7561">
        <w:rPr>
          <w:szCs w:val="24"/>
        </w:rPr>
        <w:t xml:space="preserve">a </w:t>
      </w:r>
      <w:r w:rsidR="004036D0" w:rsidRPr="00253217">
        <w:rPr>
          <w:szCs w:val="24"/>
        </w:rPr>
        <w:t xml:space="preserve">building is </w:t>
      </w:r>
      <w:r w:rsidR="004036D0">
        <w:rPr>
          <w:szCs w:val="24"/>
        </w:rPr>
        <w:t xml:space="preserve">an </w:t>
      </w:r>
      <w:r w:rsidR="004036D0" w:rsidRPr="00253217">
        <w:rPr>
          <w:szCs w:val="24"/>
        </w:rPr>
        <w:t>essential principle of sustainable development</w:t>
      </w:r>
      <w:r w:rsidR="004036D0">
        <w:rPr>
          <w:szCs w:val="24"/>
        </w:rPr>
        <w:t>. O</w:t>
      </w:r>
      <w:r w:rsidRPr="00253217">
        <w:rPr>
          <w:szCs w:val="24"/>
        </w:rPr>
        <w:t>ne of the key parameters to decide energy consumption in buildings and</w:t>
      </w:r>
      <w:r w:rsidR="004036D0">
        <w:rPr>
          <w:szCs w:val="24"/>
        </w:rPr>
        <w:t>,</w:t>
      </w:r>
      <w:r w:rsidRPr="00253217">
        <w:rPr>
          <w:szCs w:val="24"/>
        </w:rPr>
        <w:t xml:space="preserve"> consequently</w:t>
      </w:r>
      <w:r w:rsidR="004036D0">
        <w:rPr>
          <w:szCs w:val="24"/>
        </w:rPr>
        <w:t>,</w:t>
      </w:r>
      <w:r w:rsidRPr="00253217">
        <w:rPr>
          <w:szCs w:val="24"/>
        </w:rPr>
        <w:t xml:space="preserve"> </w:t>
      </w:r>
      <w:r w:rsidR="004036D0">
        <w:rPr>
          <w:szCs w:val="24"/>
        </w:rPr>
        <w:t xml:space="preserve">to </w:t>
      </w:r>
      <w:r w:rsidRPr="00253217">
        <w:rPr>
          <w:szCs w:val="24"/>
        </w:rPr>
        <w:t xml:space="preserve">determine possible future optimization is </w:t>
      </w:r>
      <w:r w:rsidR="006D7561">
        <w:rPr>
          <w:szCs w:val="24"/>
        </w:rPr>
        <w:t xml:space="preserve">the </w:t>
      </w:r>
      <w:r w:rsidRPr="00253217">
        <w:rPr>
          <w:szCs w:val="24"/>
        </w:rPr>
        <w:t xml:space="preserve">thermal comfort </w:t>
      </w:r>
      <w:r w:rsidR="006D7561">
        <w:rPr>
          <w:szCs w:val="24"/>
        </w:rPr>
        <w:t>of</w:t>
      </w:r>
      <w:r w:rsidRPr="00253217">
        <w:rPr>
          <w:szCs w:val="24"/>
        </w:rPr>
        <w:t xml:space="preserve"> occupants.</w:t>
      </w:r>
      <w:r w:rsidR="004036D0">
        <w:rPr>
          <w:szCs w:val="24"/>
        </w:rPr>
        <w:t xml:space="preserve"> The p</w:t>
      </w:r>
      <w:r w:rsidRPr="00253217">
        <w:t xml:space="preserve">otential </w:t>
      </w:r>
      <w:r w:rsidR="004036D0">
        <w:t>impact</w:t>
      </w:r>
      <w:r w:rsidR="006D7561">
        <w:t>s</w:t>
      </w:r>
      <w:r w:rsidR="004036D0">
        <w:t xml:space="preserve"> of </w:t>
      </w:r>
      <w:r w:rsidRPr="00253217">
        <w:t xml:space="preserve">changes in the UK climate on the built environment have become widely recognized, </w:t>
      </w:r>
      <w:r w:rsidR="004036D0">
        <w:t xml:space="preserve">with </w:t>
      </w:r>
      <w:r w:rsidRPr="00253217">
        <w:t xml:space="preserve">possibly the most important feature of these changes </w:t>
      </w:r>
      <w:r w:rsidR="004036D0">
        <w:t xml:space="preserve">being </w:t>
      </w:r>
      <w:r w:rsidRPr="00253217">
        <w:t xml:space="preserve">the impact of higher air temperature on building thermal performance. Tabatabaei, et al. (2015) </w:t>
      </w:r>
      <w:r w:rsidR="004036D0">
        <w:t>considered</w:t>
      </w:r>
      <w:r w:rsidRPr="00253217">
        <w:t xml:space="preserve"> the importance of alleviating climate change consequences by passive design features to offset temperature rises. The study also recognized that thermally lightweight homes could cause levels of discomfort by creating higher room temperatures. The research work emphasized that masonry houses</w:t>
      </w:r>
      <w:r w:rsidR="006D7561">
        <w:t>,</w:t>
      </w:r>
      <w:r w:rsidRPr="00253217">
        <w:t xml:space="preserve"> with inherent thermal mass</w:t>
      </w:r>
      <w:r w:rsidR="006D7561">
        <w:t>,</w:t>
      </w:r>
      <w:r w:rsidRPr="00253217">
        <w:t xml:space="preserve"> can result in less energy consumption over their lifetime compared to a </w:t>
      </w:r>
      <w:r w:rsidR="006D7561">
        <w:t xml:space="preserve">similarly designed </w:t>
      </w:r>
      <w:r w:rsidRPr="00253217">
        <w:t xml:space="preserve">lightweight timber frame house. </w:t>
      </w:r>
      <w:r w:rsidR="006D7561">
        <w:t xml:space="preserve">A study by </w:t>
      </w:r>
      <w:r w:rsidRPr="00253217">
        <w:t xml:space="preserve">Orme et al. (2007) </w:t>
      </w:r>
      <w:r w:rsidR="006D7561">
        <w:t>indicated</w:t>
      </w:r>
      <w:r w:rsidRPr="00253217">
        <w:t xml:space="preserve"> that </w:t>
      </w:r>
      <w:r w:rsidR="006D7561" w:rsidRPr="00253217">
        <w:t>in lightweight well-insulated house</w:t>
      </w:r>
      <w:r w:rsidR="006D7561">
        <w:t xml:space="preserve">s an </w:t>
      </w:r>
      <w:r w:rsidR="006D7561" w:rsidRPr="00253217">
        <w:t>outdoor temperature</w:t>
      </w:r>
      <w:r w:rsidRPr="00253217">
        <w:t xml:space="preserve"> of 29</w:t>
      </w:r>
      <w:r w:rsidR="00B901C4">
        <w:rPr>
          <w:rFonts w:cs="Calibri"/>
        </w:rPr>
        <w:t>°</w:t>
      </w:r>
      <w:r w:rsidRPr="00253217">
        <w:t xml:space="preserve">C </w:t>
      </w:r>
      <w:r w:rsidR="006D7561" w:rsidRPr="00253217">
        <w:t>might</w:t>
      </w:r>
      <w:r w:rsidRPr="00253217">
        <w:t xml:space="preserve"> cause overheating</w:t>
      </w:r>
      <w:r w:rsidR="006D7561">
        <w:t>, with air temperatures</w:t>
      </w:r>
      <w:r w:rsidRPr="00253217">
        <w:t xml:space="preserve"> of more than 39</w:t>
      </w:r>
      <w:r w:rsidR="00B901C4">
        <w:rPr>
          <w:rFonts w:cs="Calibri"/>
        </w:rPr>
        <w:t>°</w:t>
      </w:r>
      <w:r w:rsidRPr="00253217">
        <w:t xml:space="preserve">C inside the building. </w:t>
      </w:r>
      <w:r w:rsidR="0096496B" w:rsidRPr="00253217">
        <w:t>The aim of th</w:t>
      </w:r>
      <w:r w:rsidR="006D7561">
        <w:t>is</w:t>
      </w:r>
      <w:r w:rsidR="0096496B" w:rsidRPr="00253217">
        <w:t xml:space="preserve"> study is to </w:t>
      </w:r>
      <w:r w:rsidR="007E09DD">
        <w:t>quantify the thermal re</w:t>
      </w:r>
      <w:r w:rsidR="001D084C">
        <w:t>sponse of some</w:t>
      </w:r>
      <w:r w:rsidR="007E09DD">
        <w:t xml:space="preserve"> </w:t>
      </w:r>
      <w:r w:rsidR="00FB59AA">
        <w:t xml:space="preserve">wall </w:t>
      </w:r>
      <w:r w:rsidR="007E09DD">
        <w:t>construction</w:t>
      </w:r>
      <w:r w:rsidR="001D084C">
        <w:t xml:space="preserve"> types</w:t>
      </w:r>
      <w:r w:rsidR="007E09DD">
        <w:t xml:space="preserve"> to clima</w:t>
      </w:r>
      <w:r w:rsidR="0096496B" w:rsidRPr="00253217">
        <w:t xml:space="preserve">te change risk. </w:t>
      </w:r>
      <w:r w:rsidR="007E09DD">
        <w:t>F</w:t>
      </w:r>
      <w:r w:rsidR="007E09DD" w:rsidRPr="007E09DD">
        <w:t xml:space="preserve">ive of the most commonly used </w:t>
      </w:r>
      <w:r w:rsidR="00FB59AA">
        <w:t xml:space="preserve">wall </w:t>
      </w:r>
      <w:r w:rsidR="007E09DD" w:rsidRPr="007E09DD">
        <w:t>construction systems for dwellings w</w:t>
      </w:r>
      <w:r w:rsidR="007E09DD">
        <w:t>ere</w:t>
      </w:r>
      <w:r w:rsidR="007E09DD" w:rsidRPr="007E09DD">
        <w:t xml:space="preserve"> chosen</w:t>
      </w:r>
      <w:r w:rsidR="004E344F">
        <w:t>,</w:t>
      </w:r>
      <w:r w:rsidR="007E09DD">
        <w:t xml:space="preserve"> and all</w:t>
      </w:r>
      <w:r w:rsidR="007E09DD" w:rsidRPr="007E09DD">
        <w:t xml:space="preserve"> </w:t>
      </w:r>
      <w:r w:rsidR="0096496B" w:rsidRPr="00253217">
        <w:t xml:space="preserve">met the </w:t>
      </w:r>
      <w:r w:rsidR="007E09DD">
        <w:t xml:space="preserve">German </w:t>
      </w:r>
      <w:r w:rsidR="0096496B" w:rsidRPr="00253217">
        <w:t>Passivhaus (PH) standard requirements</w:t>
      </w:r>
      <w:r w:rsidR="007E09DD">
        <w:t xml:space="preserve"> – a</w:t>
      </w:r>
      <w:r w:rsidR="0096496B" w:rsidRPr="00253217">
        <w:t xml:space="preserve"> standard </w:t>
      </w:r>
      <w:r w:rsidR="007E09DD">
        <w:t xml:space="preserve">that </w:t>
      </w:r>
      <w:r w:rsidR="00B901C4">
        <w:t>can</w:t>
      </w:r>
      <w:r w:rsidR="0096496B" w:rsidRPr="00253217">
        <w:t xml:space="preserve"> </w:t>
      </w:r>
      <w:r w:rsidR="007E09DD">
        <w:t xml:space="preserve">reduce building </w:t>
      </w:r>
      <w:r w:rsidR="0096496B" w:rsidRPr="00253217">
        <w:t>carbon emission</w:t>
      </w:r>
      <w:r w:rsidR="001D084C">
        <w:t>s</w:t>
      </w:r>
      <w:r w:rsidR="0096496B" w:rsidRPr="00253217">
        <w:t xml:space="preserve"> </w:t>
      </w:r>
      <w:r w:rsidR="007E09DD">
        <w:t>by</w:t>
      </w:r>
      <w:r w:rsidR="0096496B" w:rsidRPr="00253217">
        <w:t xml:space="preserve"> up to 80% in the UK (AECB, 2017).</w:t>
      </w:r>
    </w:p>
    <w:p w14:paraId="5179BB0D" w14:textId="7129F1A5" w:rsidR="00253217" w:rsidRPr="00964599" w:rsidRDefault="00253217" w:rsidP="00253217">
      <w:pPr>
        <w:pStyle w:val="Heading1"/>
      </w:pPr>
      <w:r>
        <w:lastRenderedPageBreak/>
        <w:t xml:space="preserve">Methodology </w:t>
      </w:r>
      <w:r w:rsidR="007E09DD">
        <w:t xml:space="preserve"> </w:t>
      </w:r>
    </w:p>
    <w:p w14:paraId="4ECB7952" w14:textId="019F96B5" w:rsidR="00253217" w:rsidRDefault="00253217" w:rsidP="00FB59AA">
      <w:pPr>
        <w:pStyle w:val="Mainbodytext"/>
        <w:ind w:firstLine="0"/>
      </w:pPr>
      <w:r w:rsidRPr="00253217">
        <w:t xml:space="preserve">Five </w:t>
      </w:r>
      <w:r w:rsidR="00FB59AA">
        <w:t>common</w:t>
      </w:r>
      <w:r w:rsidRPr="00253217">
        <w:t xml:space="preserve"> construction systems, including traditional and </w:t>
      </w:r>
      <w:r w:rsidR="006D7561">
        <w:t>modern methods of construction (</w:t>
      </w:r>
      <w:r w:rsidRPr="00253217">
        <w:t>MMC</w:t>
      </w:r>
      <w:r w:rsidR="006D7561">
        <w:t>)</w:t>
      </w:r>
      <w:r w:rsidR="001D084C">
        <w:t>,</w:t>
      </w:r>
      <w:r w:rsidRPr="00253217">
        <w:t xml:space="preserve"> </w:t>
      </w:r>
      <w:r w:rsidR="00FB59AA">
        <w:t>were</w:t>
      </w:r>
      <w:r w:rsidRPr="00253217">
        <w:t xml:space="preserve"> selected and </w:t>
      </w:r>
      <w:r w:rsidR="005B5C54">
        <w:t>configured</w:t>
      </w:r>
      <w:r w:rsidRPr="00253217">
        <w:t xml:space="preserve"> to achieve </w:t>
      </w:r>
      <w:r w:rsidR="00FB59AA">
        <w:t xml:space="preserve">a </w:t>
      </w:r>
      <w:r w:rsidR="00106E11">
        <w:t>U-Value</w:t>
      </w:r>
      <w:r w:rsidR="00FB59AA" w:rsidRPr="00253217">
        <w:t xml:space="preserve"> </w:t>
      </w:r>
      <w:r w:rsidR="00FB59AA">
        <w:t xml:space="preserve">of </w:t>
      </w:r>
      <w:r w:rsidRPr="00253217">
        <w:t>0.1 W/m</w:t>
      </w:r>
      <w:r w:rsidRPr="00FB59AA">
        <w:rPr>
          <w:vertAlign w:val="superscript"/>
        </w:rPr>
        <w:t>2</w:t>
      </w:r>
      <w:r w:rsidRPr="00253217">
        <w:t xml:space="preserve">K. These </w:t>
      </w:r>
      <w:r w:rsidR="006D7561">
        <w:t xml:space="preserve">constructions </w:t>
      </w:r>
      <w:r w:rsidRPr="00253217">
        <w:t xml:space="preserve">were used </w:t>
      </w:r>
      <w:r w:rsidR="006D7561">
        <w:t>to investigate</w:t>
      </w:r>
      <w:r w:rsidRPr="00253217">
        <w:t xml:space="preserve"> the effect of thermal mass and insulation thickness</w:t>
      </w:r>
      <w:r w:rsidR="005B5C54">
        <w:t xml:space="preserve"> on comfort levels</w:t>
      </w:r>
      <w:r w:rsidRPr="00253217">
        <w:t xml:space="preserve"> using the dynamic thermal simulation software D</w:t>
      </w:r>
      <w:r w:rsidR="00FB59AA">
        <w:t>esign</w:t>
      </w:r>
      <w:r w:rsidRPr="00253217">
        <w:t>B</w:t>
      </w:r>
      <w:r w:rsidR="00FB59AA">
        <w:t>uilder (DB)</w:t>
      </w:r>
      <w:r w:rsidR="002C7E35">
        <w:t xml:space="preserve"> </w:t>
      </w:r>
      <w:r w:rsidR="00A22E7C">
        <w:t>that</w:t>
      </w:r>
      <w:r w:rsidR="002C7E35">
        <w:t xml:space="preserve"> employs </w:t>
      </w:r>
      <w:r w:rsidR="00B901C4">
        <w:t>EnergyPlus</w:t>
      </w:r>
      <w:r w:rsidR="002C7E35">
        <w:t xml:space="preserve"> as its calculation engine</w:t>
      </w:r>
      <w:r w:rsidRPr="00253217">
        <w:t>. The admittance factor</w:t>
      </w:r>
      <w:r w:rsidR="00FB59AA">
        <w:t>,</w:t>
      </w:r>
      <w:r w:rsidR="00FB59AA" w:rsidRPr="00253217">
        <w:t xml:space="preserve"> </w:t>
      </w:r>
      <w:r w:rsidR="00FB59AA">
        <w:t xml:space="preserve">i.e. </w:t>
      </w:r>
      <w:r w:rsidRPr="00253217">
        <w:t>building fabric response to a swing in temperature (CIBSE, 2006)</w:t>
      </w:r>
      <w:r w:rsidR="00FB59AA">
        <w:t xml:space="preserve"> was</w:t>
      </w:r>
      <w:r w:rsidRPr="00253217">
        <w:t xml:space="preserve"> </w:t>
      </w:r>
      <w:r w:rsidR="004B4D06">
        <w:t>taken</w:t>
      </w:r>
      <w:r w:rsidRPr="00253217">
        <w:t xml:space="preserve"> as a thermal mass performance </w:t>
      </w:r>
      <w:r w:rsidR="00FB59AA">
        <w:t>indicator</w:t>
      </w:r>
      <w:r w:rsidRPr="00253217">
        <w:t xml:space="preserve">. </w:t>
      </w:r>
      <w:r w:rsidR="00FB59AA">
        <w:t>The</w:t>
      </w:r>
      <w:r w:rsidR="00FB59AA" w:rsidRPr="00253217">
        <w:t xml:space="preserve"> select</w:t>
      </w:r>
      <w:r w:rsidR="00FB59AA">
        <w:t>ed</w:t>
      </w:r>
      <w:r w:rsidR="00FB59AA" w:rsidRPr="00253217">
        <w:t xml:space="preserve"> construction systems</w:t>
      </w:r>
      <w:r w:rsidR="00FB59AA">
        <w:t xml:space="preserve"> meant </w:t>
      </w:r>
      <w:r w:rsidRPr="00253217">
        <w:t>low, medium and high thermal mass performance</w:t>
      </w:r>
      <w:r w:rsidR="00FB59AA">
        <w:t>s</w:t>
      </w:r>
      <w:r w:rsidRPr="00253217">
        <w:t xml:space="preserve"> </w:t>
      </w:r>
      <w:r w:rsidR="00FB59AA">
        <w:t>were</w:t>
      </w:r>
      <w:r w:rsidRPr="00253217">
        <w:t xml:space="preserve"> considered. Current and future weather data for London were used to evaluate the </w:t>
      </w:r>
      <w:r w:rsidR="001D084C" w:rsidRPr="00253217">
        <w:t>behaviour</w:t>
      </w:r>
      <w:r w:rsidRPr="00253217">
        <w:t xml:space="preserve"> of </w:t>
      </w:r>
      <w:r w:rsidR="00A22E7C">
        <w:t xml:space="preserve">the </w:t>
      </w:r>
      <w:r w:rsidRPr="00253217">
        <w:t>construction systems.</w:t>
      </w:r>
      <w:r w:rsidR="00FB59AA">
        <w:t xml:space="preserve"> </w:t>
      </w:r>
      <w:r w:rsidR="00A22E7C">
        <w:t>F</w:t>
      </w:r>
      <w:r w:rsidRPr="00253217">
        <w:t xml:space="preserve">uture climate data for three timelines </w:t>
      </w:r>
      <w:r w:rsidR="00A22E7C">
        <w:t>(</w:t>
      </w:r>
      <w:r w:rsidRPr="00253217">
        <w:t>2020, 2050 and 2080</w:t>
      </w:r>
      <w:r w:rsidR="00A22E7C">
        <w:t>)</w:t>
      </w:r>
      <w:r w:rsidRPr="00253217">
        <w:t xml:space="preserve"> in London </w:t>
      </w:r>
      <w:r w:rsidR="00FB59AA">
        <w:t>were</w:t>
      </w:r>
      <w:r w:rsidRPr="00253217">
        <w:t xml:space="preserve"> generated by</w:t>
      </w:r>
      <w:r w:rsidR="00FB59AA">
        <w:t xml:space="preserve"> </w:t>
      </w:r>
      <w:r w:rsidR="00A22E7C">
        <w:t>the</w:t>
      </w:r>
      <w:r w:rsidRPr="00253217">
        <w:t xml:space="preserve"> </w:t>
      </w:r>
      <w:r w:rsidR="00FB59AA">
        <w:t>‘</w:t>
      </w:r>
      <w:r w:rsidRPr="00253217">
        <w:t>CCWeatherGen</w:t>
      </w:r>
      <w:r w:rsidR="00FB59AA">
        <w:t>’</w:t>
      </w:r>
      <w:r w:rsidRPr="00253217">
        <w:t xml:space="preserve"> morphing procedure</w:t>
      </w:r>
      <w:r w:rsidR="00A6105C">
        <w:t xml:space="preserve"> </w:t>
      </w:r>
      <w:r w:rsidR="00A6105C" w:rsidRPr="00253217">
        <w:t>(</w:t>
      </w:r>
      <w:r w:rsidR="00A6105C">
        <w:t>SERG</w:t>
      </w:r>
      <w:r w:rsidR="00A6105C" w:rsidRPr="00253217">
        <w:t xml:space="preserve">, 2016). </w:t>
      </w:r>
      <w:r w:rsidRPr="00253217">
        <w:t xml:space="preserve"> CCWeatherGen </w:t>
      </w:r>
      <w:r w:rsidR="004B4D06">
        <w:t>morphs</w:t>
      </w:r>
      <w:r w:rsidRPr="00253217">
        <w:t xml:space="preserve"> Chartered Institution of Building Service Engineers (CIBSE) TRY (Test Reference Year) files</w:t>
      </w:r>
      <w:r w:rsidR="00FB59AA">
        <w:t xml:space="preserve"> </w:t>
      </w:r>
      <w:r w:rsidRPr="00253217">
        <w:t>in</w:t>
      </w:r>
      <w:r w:rsidR="004B4D06">
        <w:t xml:space="preserve"> </w:t>
      </w:r>
      <w:r w:rsidRPr="00253217">
        <w:t xml:space="preserve">to future EPW files </w:t>
      </w:r>
      <w:r w:rsidR="00395B46" w:rsidRPr="00253217">
        <w:t>based on</w:t>
      </w:r>
      <w:r w:rsidRPr="00253217">
        <w:t xml:space="preserve"> projections from </w:t>
      </w:r>
      <w:r w:rsidR="00FB59AA">
        <w:t xml:space="preserve">the </w:t>
      </w:r>
      <w:r w:rsidRPr="00253217">
        <w:t>UK Climate Impacts Program</w:t>
      </w:r>
      <w:r w:rsidR="00FB59AA">
        <w:t>me</w:t>
      </w:r>
      <w:r w:rsidRPr="00253217">
        <w:t xml:space="preserve"> (UKCIP). </w:t>
      </w:r>
      <w:r w:rsidR="00395B46">
        <w:t xml:space="preserve">EPW is the weather file format </w:t>
      </w:r>
      <w:r w:rsidR="004B4D06">
        <w:t>used by</w:t>
      </w:r>
      <w:r w:rsidR="00395B46">
        <w:t xml:space="preserve"> DB. </w:t>
      </w:r>
    </w:p>
    <w:p w14:paraId="6EFA1135" w14:textId="77777777" w:rsidR="00253217" w:rsidRPr="00964599" w:rsidRDefault="00253217" w:rsidP="00253217">
      <w:pPr>
        <w:pStyle w:val="Heading1"/>
      </w:pPr>
      <w:r>
        <w:t xml:space="preserve">Climate change </w:t>
      </w:r>
    </w:p>
    <w:p w14:paraId="0A73226E" w14:textId="31F38567" w:rsidR="00253217" w:rsidRDefault="00253217" w:rsidP="00253217">
      <w:pPr>
        <w:pStyle w:val="Mainbodytext"/>
        <w:ind w:firstLine="0"/>
      </w:pPr>
      <w:r w:rsidRPr="00253217">
        <w:t xml:space="preserve">Lisq (2006) </w:t>
      </w:r>
      <w:r w:rsidR="00CC201A" w:rsidRPr="00253217">
        <w:t>emphasized</w:t>
      </w:r>
      <w:r w:rsidR="00A0147F">
        <w:t xml:space="preserve"> that</w:t>
      </w:r>
      <w:r w:rsidRPr="00253217">
        <w:t xml:space="preserve"> “</w:t>
      </w:r>
      <w:r w:rsidRPr="00A0147F">
        <w:rPr>
          <w:i/>
        </w:rPr>
        <w:t>the possible impacts of climate change on the building stock being built over the next few decades must be addressed today</w:t>
      </w:r>
      <w:r w:rsidRPr="00253217">
        <w:t>”. Figure 1 illustrates the psych</w:t>
      </w:r>
      <w:r w:rsidR="00A0147F">
        <w:t>r</w:t>
      </w:r>
      <w:r w:rsidRPr="00253217">
        <w:t>o</w:t>
      </w:r>
      <w:r w:rsidR="00CC201A">
        <w:t>metric charts for London in 2011 and</w:t>
      </w:r>
      <w:r w:rsidRPr="00253217">
        <w:t xml:space="preserve"> 2080</w:t>
      </w:r>
      <w:r w:rsidR="00A0147F">
        <w:t>, with the comfort zone</w:t>
      </w:r>
      <w:r w:rsidR="005B5C54">
        <w:t>s</w:t>
      </w:r>
      <w:r w:rsidR="00A0147F">
        <w:t xml:space="preserve"> shown.</w:t>
      </w:r>
      <w:r w:rsidRPr="00253217">
        <w:t xml:space="preserve"> These charts demonstrate likely temperature increase</w:t>
      </w:r>
      <w:r w:rsidR="004B4D06">
        <w:t>s</w:t>
      </w:r>
      <w:r w:rsidRPr="00253217">
        <w:t xml:space="preserve"> as well as likely thermal </w:t>
      </w:r>
      <w:r w:rsidR="005B5C54">
        <w:t>dis</w:t>
      </w:r>
      <w:r w:rsidRPr="00253217">
        <w:t>comfort.</w:t>
      </w:r>
    </w:p>
    <w:p w14:paraId="7DFC9951" w14:textId="3CECFD45" w:rsidR="004A4806" w:rsidRDefault="00936163" w:rsidP="00253217">
      <w:pPr>
        <w:pStyle w:val="Mainbodytext"/>
        <w:ind w:firstLine="0"/>
        <w:rPr>
          <w:rFonts w:ascii="Calibri Light" w:hAnsi="Calibri Light"/>
          <w:noProof/>
          <w:lang w:val="en-US" w:eastAsia="en-US"/>
        </w:rPr>
      </w:pPr>
      <w:r>
        <w:rPr>
          <w:rFonts w:ascii="Calibri Light" w:hAnsi="Calibri Light"/>
          <w:noProof/>
          <w:lang w:eastAsia="en-GB"/>
        </w:rPr>
        <w:drawing>
          <wp:inline distT="0" distB="0" distL="0" distR="0" wp14:anchorId="03C4E21B" wp14:editId="36F4E279">
            <wp:extent cx="2886075" cy="1865248"/>
            <wp:effectExtent l="0" t="0" r="9525" b="1905"/>
            <wp:docPr id="1" name="Picture 16" descr="Macintosh HD:Users:masoud:Desktop:Psychometric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cintosh HD:Users:masoud:Desktop:Psychometric London.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r="50437" b="50333"/>
                    <a:stretch/>
                  </pic:blipFill>
                  <pic:spPr bwMode="auto">
                    <a:xfrm>
                      <a:off x="0" y="0"/>
                      <a:ext cx="2886075" cy="1864995"/>
                    </a:xfrm>
                    <a:prstGeom prst="flowChartPunchedCard">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noProof/>
          <w:lang w:eastAsia="en-GB"/>
        </w:rPr>
        <w:drawing>
          <wp:inline distT="0" distB="0" distL="0" distR="0" wp14:anchorId="3322D550" wp14:editId="2B99564B">
            <wp:extent cx="2826649" cy="1819275"/>
            <wp:effectExtent l="0" t="0" r="0" b="9525"/>
            <wp:docPr id="2" name="Picture 4" descr="Macintosh HD:Users:masoud:Desktop:Psychometric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asoud:Desktop:Psychometric London.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48007" t="48632"/>
                    <a:stretch/>
                  </pic:blipFill>
                  <pic:spPr bwMode="auto">
                    <a:xfrm>
                      <a:off x="0" y="0"/>
                      <a:ext cx="2826385" cy="1819275"/>
                    </a:xfrm>
                    <a:prstGeom prst="flowChartPunchedCard">
                      <a:avLst/>
                    </a:prstGeom>
                    <a:noFill/>
                    <a:ln>
                      <a:noFill/>
                    </a:ln>
                    <a:extLst>
                      <a:ext uri="{53640926-AAD7-44D8-BBD7-CCE9431645EC}">
                        <a14:shadowObscured xmlns:a14="http://schemas.microsoft.com/office/drawing/2010/main"/>
                      </a:ext>
                    </a:extLst>
                  </pic:spPr>
                </pic:pic>
              </a:graphicData>
            </a:graphic>
          </wp:inline>
        </w:drawing>
      </w:r>
    </w:p>
    <w:p w14:paraId="5E92C3F1" w14:textId="20EDE347" w:rsidR="004A4806" w:rsidRDefault="004A4806" w:rsidP="004A4806">
      <w:pPr>
        <w:pStyle w:val="Mainbodytext"/>
      </w:pPr>
      <w:r w:rsidRPr="004A4806">
        <w:rPr>
          <w:sz w:val="20"/>
          <w:szCs w:val="20"/>
        </w:rPr>
        <w:t>Figure 1. Psych</w:t>
      </w:r>
      <w:r w:rsidR="00A0147F">
        <w:rPr>
          <w:sz w:val="20"/>
          <w:szCs w:val="20"/>
        </w:rPr>
        <w:t>r</w:t>
      </w:r>
      <w:r w:rsidRPr="004A4806">
        <w:rPr>
          <w:sz w:val="20"/>
          <w:szCs w:val="20"/>
        </w:rPr>
        <w:t>ometric charts for London 2011</w:t>
      </w:r>
      <w:r w:rsidR="00106E63">
        <w:rPr>
          <w:sz w:val="20"/>
          <w:szCs w:val="20"/>
        </w:rPr>
        <w:t>(</w:t>
      </w:r>
      <w:r w:rsidRPr="004A4806">
        <w:rPr>
          <w:sz w:val="20"/>
          <w:szCs w:val="20"/>
        </w:rPr>
        <w:t>left</w:t>
      </w:r>
      <w:r w:rsidR="00106E63">
        <w:rPr>
          <w:sz w:val="20"/>
          <w:szCs w:val="20"/>
        </w:rPr>
        <w:t>)</w:t>
      </w:r>
      <w:r w:rsidRPr="004A4806">
        <w:rPr>
          <w:sz w:val="20"/>
          <w:szCs w:val="20"/>
        </w:rPr>
        <w:t xml:space="preserve"> and London 2080</w:t>
      </w:r>
      <w:r w:rsidR="00106E63">
        <w:rPr>
          <w:sz w:val="20"/>
          <w:szCs w:val="20"/>
        </w:rPr>
        <w:t xml:space="preserve"> (</w:t>
      </w:r>
      <w:r w:rsidRPr="004A4806">
        <w:rPr>
          <w:sz w:val="20"/>
          <w:szCs w:val="20"/>
        </w:rPr>
        <w:t>right</w:t>
      </w:r>
      <w:r w:rsidR="00106E63">
        <w:rPr>
          <w:sz w:val="20"/>
          <w:szCs w:val="20"/>
        </w:rPr>
        <w:t>)</w:t>
      </w:r>
      <w:r w:rsidR="007D4A3C">
        <w:rPr>
          <w:sz w:val="20"/>
          <w:szCs w:val="20"/>
        </w:rPr>
        <w:t>, showing</w:t>
      </w:r>
      <w:r w:rsidR="00106E63">
        <w:rPr>
          <w:sz w:val="20"/>
          <w:szCs w:val="20"/>
        </w:rPr>
        <w:t xml:space="preserve"> comfort zone</w:t>
      </w:r>
      <w:r w:rsidR="004B4D06">
        <w:rPr>
          <w:sz w:val="20"/>
          <w:szCs w:val="20"/>
        </w:rPr>
        <w:t>s</w:t>
      </w:r>
    </w:p>
    <w:p w14:paraId="71A8D940" w14:textId="77777777" w:rsidR="00AB7224" w:rsidRDefault="00AB7224" w:rsidP="00AC1DE2">
      <w:pPr>
        <w:pStyle w:val="Mainbodytext"/>
      </w:pPr>
    </w:p>
    <w:p w14:paraId="5A039584" w14:textId="2F47D450" w:rsidR="00AC1DE2" w:rsidRDefault="00122488" w:rsidP="00AC1DE2">
      <w:pPr>
        <w:pStyle w:val="Mainbodytext"/>
      </w:pPr>
      <w:r>
        <w:t xml:space="preserve">London’s temperatures are expected to increase by around </w:t>
      </w:r>
      <w:r w:rsidR="004A4806" w:rsidRPr="004A4806">
        <w:rPr>
          <w:rFonts w:hint="eastAsia"/>
        </w:rPr>
        <w:t>5</w:t>
      </w:r>
      <w:r w:rsidR="00A0147F">
        <w:rPr>
          <w:rFonts w:cs="Calibri"/>
        </w:rPr>
        <w:t>°</w:t>
      </w:r>
      <w:r w:rsidR="00A0147F">
        <w:t>C</w:t>
      </w:r>
      <w:r w:rsidR="004A4806" w:rsidRPr="004A4806">
        <w:rPr>
          <w:rFonts w:hint="eastAsia"/>
        </w:rPr>
        <w:t xml:space="preserve"> </w:t>
      </w:r>
      <w:r>
        <w:t>between</w:t>
      </w:r>
      <w:r w:rsidR="004A4806" w:rsidRPr="004A4806">
        <w:rPr>
          <w:rFonts w:hint="eastAsia"/>
        </w:rPr>
        <w:t xml:space="preserve"> 2011</w:t>
      </w:r>
      <w:r>
        <w:t xml:space="preserve"> and 2080, with</w:t>
      </w:r>
      <w:r w:rsidR="004A4806" w:rsidRPr="004A4806">
        <w:rPr>
          <w:rFonts w:hint="eastAsia"/>
        </w:rPr>
        <w:t xml:space="preserve"> </w:t>
      </w:r>
      <w:r>
        <w:t>levels of</w:t>
      </w:r>
      <w:r w:rsidR="004A4806" w:rsidRPr="004A4806">
        <w:rPr>
          <w:rFonts w:hint="eastAsia"/>
        </w:rPr>
        <w:t xml:space="preserve"> thermal </w:t>
      </w:r>
      <w:r w:rsidR="00106E63">
        <w:t>dis</w:t>
      </w:r>
      <w:r w:rsidR="004A4806" w:rsidRPr="004A4806">
        <w:rPr>
          <w:rFonts w:hint="eastAsia"/>
        </w:rPr>
        <w:t xml:space="preserve">comfort </w:t>
      </w:r>
      <w:r>
        <w:t>also rising</w:t>
      </w:r>
      <w:r w:rsidR="004A4806" w:rsidRPr="004A4806">
        <w:rPr>
          <w:rFonts w:hint="eastAsia"/>
        </w:rPr>
        <w:t xml:space="preserve">. </w:t>
      </w:r>
      <w:r w:rsidRPr="004A4806">
        <w:t>Consequently, temperature increase</w:t>
      </w:r>
      <w:r>
        <w:t>s</w:t>
      </w:r>
      <w:r w:rsidRPr="004A4806">
        <w:t xml:space="preserve"> may increase occupant vulnerability to overheating</w:t>
      </w:r>
      <w:r>
        <w:t>. Reducing</w:t>
      </w:r>
      <w:r w:rsidRPr="004A4806">
        <w:t xml:space="preserve"> th</w:t>
      </w:r>
      <w:r>
        <w:t>is</w:t>
      </w:r>
      <w:r w:rsidRPr="004A4806">
        <w:t xml:space="preserve"> vulnerability</w:t>
      </w:r>
      <w:r>
        <w:t xml:space="preserve"> </w:t>
      </w:r>
      <w:r w:rsidR="004A4806" w:rsidRPr="004A4806">
        <w:rPr>
          <w:rFonts w:hint="eastAsia"/>
        </w:rPr>
        <w:t xml:space="preserve">will </w:t>
      </w:r>
      <w:r w:rsidR="00106E63">
        <w:t>require improvements in</w:t>
      </w:r>
      <w:r w:rsidR="004A4806" w:rsidRPr="004A4806">
        <w:rPr>
          <w:rFonts w:hint="eastAsia"/>
        </w:rPr>
        <w:t xml:space="preserve"> both </w:t>
      </w:r>
      <w:r w:rsidR="00106E63">
        <w:t>building</w:t>
      </w:r>
      <w:r w:rsidR="004A4806" w:rsidRPr="004A4806">
        <w:rPr>
          <w:rFonts w:hint="eastAsia"/>
        </w:rPr>
        <w:t xml:space="preserve"> energy </w:t>
      </w:r>
      <w:r>
        <w:t>performance</w:t>
      </w:r>
      <w:r w:rsidR="004A4806" w:rsidRPr="004A4806">
        <w:rPr>
          <w:rFonts w:hint="eastAsia"/>
        </w:rPr>
        <w:t xml:space="preserve"> an</w:t>
      </w:r>
      <w:r w:rsidR="004A4806" w:rsidRPr="004A4806">
        <w:t xml:space="preserve">d </w:t>
      </w:r>
      <w:r w:rsidR="00106E63">
        <w:t xml:space="preserve">occupant </w:t>
      </w:r>
      <w:r w:rsidR="004A4806" w:rsidRPr="004A4806">
        <w:t xml:space="preserve">thermal comfort. </w:t>
      </w:r>
      <w:r w:rsidR="00814726">
        <w:t>This</w:t>
      </w:r>
      <w:r w:rsidR="004A4806" w:rsidRPr="004A4806">
        <w:t xml:space="preserve"> paper </w:t>
      </w:r>
      <w:r w:rsidR="00814726">
        <w:t xml:space="preserve">examines the impact different construction choices </w:t>
      </w:r>
      <w:r w:rsidR="004A4806" w:rsidRPr="004A4806">
        <w:t xml:space="preserve">can </w:t>
      </w:r>
      <w:r w:rsidR="00AB7224">
        <w:t>have in tackling</w:t>
      </w:r>
      <w:r w:rsidR="004A4806" w:rsidRPr="004A4806">
        <w:t xml:space="preserve"> the potential risk of overheating in future</w:t>
      </w:r>
      <w:r w:rsidR="00AB7224">
        <w:t xml:space="preserve"> dwellings</w:t>
      </w:r>
      <w:r w:rsidR="004A4806" w:rsidRPr="004A4806">
        <w:t xml:space="preserve">. </w:t>
      </w:r>
    </w:p>
    <w:p w14:paraId="720CF4E6" w14:textId="77777777" w:rsidR="00AB7224" w:rsidRDefault="00AB7224" w:rsidP="00AC1DE2">
      <w:pPr>
        <w:pStyle w:val="Heading1"/>
      </w:pPr>
    </w:p>
    <w:p w14:paraId="568BC125" w14:textId="77777777" w:rsidR="00AC1DE2" w:rsidRDefault="00AC1DE2" w:rsidP="00AC1DE2">
      <w:pPr>
        <w:pStyle w:val="Heading1"/>
      </w:pPr>
      <w:r w:rsidRPr="00AC1DE2">
        <w:t>Wall construction types for UK housing</w:t>
      </w:r>
    </w:p>
    <w:p w14:paraId="4A7D7A43" w14:textId="79C646CD" w:rsidR="00AC1DE2" w:rsidRDefault="00AC1DE2" w:rsidP="00AC1DE2">
      <w:pPr>
        <w:pStyle w:val="Firstparagraphofsection"/>
      </w:pPr>
      <w:r>
        <w:t xml:space="preserve">This research considered five commonly used </w:t>
      </w:r>
      <w:r w:rsidR="00AB7224">
        <w:t xml:space="preserve">UK </w:t>
      </w:r>
      <w:r w:rsidR="002776AE">
        <w:t xml:space="preserve">wall </w:t>
      </w:r>
      <w:r>
        <w:t>construction systems. The selection criteria were:</w:t>
      </w:r>
    </w:p>
    <w:p w14:paraId="4697130B" w14:textId="77777777" w:rsidR="002776AE" w:rsidRPr="002776AE" w:rsidRDefault="002776AE" w:rsidP="002776AE">
      <w:pPr>
        <w:pStyle w:val="Mainbodytext"/>
      </w:pPr>
    </w:p>
    <w:p w14:paraId="4AC843AA" w14:textId="3A152439" w:rsidR="00AC1DE2" w:rsidRDefault="00AC1DE2" w:rsidP="00AC1DE2">
      <w:pPr>
        <w:pStyle w:val="Firstparagraphofsection"/>
        <w:numPr>
          <w:ilvl w:val="0"/>
          <w:numId w:val="15"/>
        </w:numPr>
      </w:pPr>
      <w:r>
        <w:t xml:space="preserve">Recent utilization in </w:t>
      </w:r>
      <w:r w:rsidR="002776AE">
        <w:t xml:space="preserve">the </w:t>
      </w:r>
      <w:r>
        <w:t xml:space="preserve">UK housing industry </w:t>
      </w:r>
    </w:p>
    <w:p w14:paraId="7FD8BD1A" w14:textId="581B79BE" w:rsidR="00AC1DE2" w:rsidRDefault="00AC1DE2" w:rsidP="00AC1DE2">
      <w:pPr>
        <w:pStyle w:val="Firstparagraphofsection"/>
        <w:numPr>
          <w:ilvl w:val="0"/>
          <w:numId w:val="15"/>
        </w:numPr>
      </w:pPr>
      <w:r>
        <w:lastRenderedPageBreak/>
        <w:t>Method appropriate for UK housing</w:t>
      </w:r>
    </w:p>
    <w:p w14:paraId="38DB8150" w14:textId="64DE6B1D" w:rsidR="00AC1DE2" w:rsidRDefault="00AC1DE2" w:rsidP="00AC1DE2">
      <w:pPr>
        <w:pStyle w:val="Firstparagraphofsection"/>
        <w:numPr>
          <w:ilvl w:val="0"/>
          <w:numId w:val="15"/>
        </w:numPr>
      </w:pPr>
      <w:r>
        <w:t xml:space="preserve">The potential of achieving </w:t>
      </w:r>
      <w:r w:rsidR="005B5C54">
        <w:t xml:space="preserve">the </w:t>
      </w:r>
      <w:r>
        <w:t>P</w:t>
      </w:r>
      <w:r w:rsidR="00AB7224">
        <w:t>assivhaus</w:t>
      </w:r>
      <w:r>
        <w:t xml:space="preserve"> standard (</w:t>
      </w:r>
      <w:r w:rsidR="002776AE">
        <w:t xml:space="preserve">set at </w:t>
      </w:r>
      <w:r>
        <w:t>0.10 W/m</w:t>
      </w:r>
      <w:r w:rsidRPr="00AB7224">
        <w:rPr>
          <w:vertAlign w:val="superscript"/>
        </w:rPr>
        <w:t>2</w:t>
      </w:r>
      <w:r>
        <w:t xml:space="preserve">K </w:t>
      </w:r>
      <w:r w:rsidR="00106E11">
        <w:t>U-Value</w:t>
      </w:r>
      <w:r>
        <w:t>)</w:t>
      </w:r>
    </w:p>
    <w:p w14:paraId="2CC26E7B" w14:textId="77777777" w:rsidR="002776AE" w:rsidRPr="002776AE" w:rsidRDefault="002776AE" w:rsidP="002776AE">
      <w:pPr>
        <w:pStyle w:val="Mainbodytext"/>
      </w:pPr>
    </w:p>
    <w:p w14:paraId="116F5A8C" w14:textId="3B4D5734" w:rsidR="00AC1DE2" w:rsidRDefault="00AB7224" w:rsidP="00F26A0D">
      <w:pPr>
        <w:pStyle w:val="Firstparagraphofsection"/>
      </w:pPr>
      <w:r>
        <w:t>The building m</w:t>
      </w:r>
      <w:r w:rsidRPr="00AB7224">
        <w:t xml:space="preserve">odel used for </w:t>
      </w:r>
      <w:r>
        <w:t xml:space="preserve">the </w:t>
      </w:r>
      <w:r w:rsidRPr="00AB7224">
        <w:t>simulations</w:t>
      </w:r>
      <w:r>
        <w:t xml:space="preserve"> was a simple, </w:t>
      </w:r>
      <w:r w:rsidR="007B1153">
        <w:t>single st</w:t>
      </w:r>
      <w:r w:rsidR="00377E54">
        <w:t xml:space="preserve">orey </w:t>
      </w:r>
      <w:r>
        <w:t>single zone room</w:t>
      </w:r>
      <w:r w:rsidRPr="00AB7224">
        <w:t xml:space="preserve"> </w:t>
      </w:r>
      <w:r>
        <w:t xml:space="preserve">measuring </w:t>
      </w:r>
      <w:r w:rsidRPr="00AB7224">
        <w:t>8m</w:t>
      </w:r>
      <w:r>
        <w:t xml:space="preserve"> </w:t>
      </w:r>
      <w:r w:rsidRPr="00AB7224">
        <w:t>x</w:t>
      </w:r>
      <w:r>
        <w:t xml:space="preserve"> </w:t>
      </w:r>
      <w:r w:rsidRPr="00AB7224">
        <w:t>8m</w:t>
      </w:r>
      <w:r>
        <w:t xml:space="preserve"> </w:t>
      </w:r>
      <w:r w:rsidRPr="00AB7224">
        <w:t>x</w:t>
      </w:r>
      <w:r>
        <w:t xml:space="preserve"> </w:t>
      </w:r>
      <w:r w:rsidRPr="00AB7224">
        <w:t>3.2m</w:t>
      </w:r>
      <w:r>
        <w:t xml:space="preserve"> high with a </w:t>
      </w:r>
      <w:r w:rsidR="002776AE">
        <w:t xml:space="preserve">centrally located </w:t>
      </w:r>
      <w:r w:rsidRPr="00AB7224">
        <w:t xml:space="preserve">south-facing </w:t>
      </w:r>
      <w:r w:rsidR="000D3F43">
        <w:t xml:space="preserve">triple glazed </w:t>
      </w:r>
      <w:r w:rsidRPr="00AB7224">
        <w:t>window 2m</w:t>
      </w:r>
      <w:r w:rsidR="002776AE">
        <w:t xml:space="preserve"> </w:t>
      </w:r>
      <w:r w:rsidR="00A6105C">
        <w:t>x</w:t>
      </w:r>
      <w:r w:rsidR="002776AE">
        <w:t xml:space="preserve"> </w:t>
      </w:r>
      <w:r w:rsidRPr="00AB7224">
        <w:t xml:space="preserve">3m </w:t>
      </w:r>
      <w:r w:rsidR="002776AE">
        <w:t>wide.</w:t>
      </w:r>
      <w:r w:rsidRPr="00AB7224">
        <w:t xml:space="preserve"> </w:t>
      </w:r>
      <w:r w:rsidR="000D3F43" w:rsidRPr="001D3B7C">
        <w:t>The infiltration</w:t>
      </w:r>
      <w:r w:rsidR="000D3F43">
        <w:t xml:space="preserve"> rate</w:t>
      </w:r>
      <w:r w:rsidR="000D3F43" w:rsidRPr="001D3B7C">
        <w:t xml:space="preserve"> was </w:t>
      </w:r>
      <w:r w:rsidR="000D3F43">
        <w:t>set at</w:t>
      </w:r>
      <w:r w:rsidR="000D3F43" w:rsidRPr="001D3B7C">
        <w:t xml:space="preserve"> 0.25</w:t>
      </w:r>
      <w:r w:rsidR="005B5C54">
        <w:t xml:space="preserve"> </w:t>
      </w:r>
      <w:r w:rsidR="005B5C54" w:rsidRPr="001D3B7C">
        <w:t xml:space="preserve">air change per hour </w:t>
      </w:r>
      <w:r w:rsidR="000D3F43" w:rsidRPr="001D3B7C">
        <w:t>(</w:t>
      </w:r>
      <w:r w:rsidR="005B5C54" w:rsidRPr="001D3B7C">
        <w:t>AC/H</w:t>
      </w:r>
      <w:r w:rsidR="000D3F43" w:rsidRPr="001D3B7C">
        <w:t>). Mechanical ven</w:t>
      </w:r>
      <w:r w:rsidR="000D3F43">
        <w:t>tilation was considered and</w:t>
      </w:r>
      <w:r w:rsidR="000D3F43" w:rsidRPr="001D3B7C">
        <w:t xml:space="preserve"> </w:t>
      </w:r>
      <w:r w:rsidR="00106E11">
        <w:t>U-Value</w:t>
      </w:r>
      <w:r w:rsidR="000D3F43" w:rsidRPr="001D3B7C">
        <w:t>s of 0.1 W/m</w:t>
      </w:r>
      <w:r w:rsidR="000D3F43" w:rsidRPr="000D3F43">
        <w:rPr>
          <w:vertAlign w:val="superscript"/>
        </w:rPr>
        <w:t>2</w:t>
      </w:r>
      <w:r w:rsidR="000D3F43" w:rsidRPr="001D3B7C">
        <w:t>K for the roof and floor and 0.8 W/m</w:t>
      </w:r>
      <w:r w:rsidR="000D3F43" w:rsidRPr="000D3F43">
        <w:rPr>
          <w:vertAlign w:val="superscript"/>
        </w:rPr>
        <w:t>2</w:t>
      </w:r>
      <w:r w:rsidR="000D3F43" w:rsidRPr="001D3B7C">
        <w:t>K for a triple glazed window were assumed.</w:t>
      </w:r>
      <w:r w:rsidR="000D3F43">
        <w:t xml:space="preserve"> </w:t>
      </w:r>
      <w:r w:rsidR="00AC1DE2">
        <w:t xml:space="preserve">The </w:t>
      </w:r>
      <w:r w:rsidR="00377E54">
        <w:t xml:space="preserve">wall </w:t>
      </w:r>
      <w:r w:rsidR="00AC1DE2">
        <w:t xml:space="preserve">constructions examined </w:t>
      </w:r>
      <w:r w:rsidR="001D084C">
        <w:t>are shown in Table 1.</w:t>
      </w:r>
    </w:p>
    <w:p w14:paraId="26FC9491" w14:textId="5372483E" w:rsidR="007B1153" w:rsidRDefault="007B1153" w:rsidP="007B1153">
      <w:pPr>
        <w:pStyle w:val="Heading1"/>
      </w:pPr>
      <w:r>
        <w:t>Thermal comfort</w:t>
      </w:r>
      <w:r w:rsidR="005B5C54">
        <w:t xml:space="preserve"> </w:t>
      </w:r>
    </w:p>
    <w:p w14:paraId="42DC4C14" w14:textId="14DA9F25" w:rsidR="007B1153" w:rsidRDefault="001C2DC1" w:rsidP="007B1153">
      <w:pPr>
        <w:pStyle w:val="Firstparagraphofsection"/>
      </w:pPr>
      <w:r w:rsidRPr="00934725">
        <w:rPr>
          <w:rFonts w:asciiTheme="minorHAnsi" w:hAnsiTheme="minorHAnsi" w:cstheme="minorHAnsi"/>
        </w:rPr>
        <w:t>Several</w:t>
      </w:r>
      <w:r w:rsidR="005B5C54">
        <w:rPr>
          <w:rFonts w:asciiTheme="minorHAnsi" w:hAnsiTheme="minorHAnsi" w:cstheme="minorHAnsi"/>
        </w:rPr>
        <w:t xml:space="preserve"> </w:t>
      </w:r>
      <w:r w:rsidR="007B1153" w:rsidRPr="00934725">
        <w:rPr>
          <w:rFonts w:asciiTheme="minorHAnsi" w:hAnsiTheme="minorHAnsi" w:cstheme="minorHAnsi"/>
        </w:rPr>
        <w:t xml:space="preserve">studies have proposed </w:t>
      </w:r>
      <w:r w:rsidR="00A6105C" w:rsidRPr="00934725">
        <w:rPr>
          <w:rFonts w:asciiTheme="minorHAnsi" w:hAnsiTheme="minorHAnsi" w:cstheme="minorHAnsi"/>
        </w:rPr>
        <w:t xml:space="preserve">a </w:t>
      </w:r>
      <w:r w:rsidR="007B1153" w:rsidRPr="00934725">
        <w:rPr>
          <w:rFonts w:asciiTheme="minorHAnsi" w:hAnsiTheme="minorHAnsi" w:cstheme="minorHAnsi"/>
        </w:rPr>
        <w:t>temperature range of 18-26°C as likely to be</w:t>
      </w:r>
      <w:r w:rsidR="007B1153" w:rsidRPr="001D3B7C">
        <w:t xml:space="preserve"> within </w:t>
      </w:r>
      <w:r w:rsidR="00A6105C">
        <w:t xml:space="preserve">the human </w:t>
      </w:r>
      <w:r w:rsidR="007B1153" w:rsidRPr="001D3B7C">
        <w:t xml:space="preserve">comfort </w:t>
      </w:r>
      <w:r w:rsidR="00A6105C">
        <w:t>zone</w:t>
      </w:r>
      <w:r w:rsidR="007B1153" w:rsidRPr="001D3B7C">
        <w:t xml:space="preserve"> (Gupta &amp; Gregg, 2012). ASHRAE 55-2004 </w:t>
      </w:r>
      <w:r w:rsidR="005B5C54">
        <w:t>identified</w:t>
      </w:r>
      <w:r w:rsidR="007B1153" w:rsidRPr="001D3B7C">
        <w:t xml:space="preserve"> thermal comfort as a subjective response and defined </w:t>
      </w:r>
      <w:r w:rsidR="00934725">
        <w:t xml:space="preserve">it </w:t>
      </w:r>
      <w:r w:rsidR="007B1153" w:rsidRPr="001D3B7C">
        <w:t>as the ‘</w:t>
      </w:r>
      <w:r w:rsidR="007B1153" w:rsidRPr="00934725">
        <w:rPr>
          <w:i/>
        </w:rPr>
        <w:t>state of mind that expresses satisfaction with existing environment</w:t>
      </w:r>
      <w:r w:rsidR="007B1153" w:rsidRPr="001D3B7C">
        <w:t xml:space="preserve">’ (ASHRAE, 2004). Therefore, it seems that a precise value cannot be assigned to thermal comfort. </w:t>
      </w:r>
      <w:r w:rsidR="00934725">
        <w:t>‘</w:t>
      </w:r>
      <w:r w:rsidR="007B1153" w:rsidRPr="005B5C54">
        <w:rPr>
          <w:i/>
        </w:rPr>
        <w:t>State of mind</w:t>
      </w:r>
      <w:r w:rsidR="00934725">
        <w:t>’</w:t>
      </w:r>
      <w:r w:rsidR="007B1153" w:rsidRPr="001D3B7C">
        <w:t xml:space="preserve"> largely depends on residents’ perception</w:t>
      </w:r>
      <w:r w:rsidR="00934725">
        <w:t>s</w:t>
      </w:r>
      <w:r w:rsidR="007B1153" w:rsidRPr="001D3B7C">
        <w:t xml:space="preserve"> and expectation</w:t>
      </w:r>
      <w:r w:rsidR="00934725">
        <w:t>s</w:t>
      </w:r>
      <w:r w:rsidR="007B1153" w:rsidRPr="001D3B7C">
        <w:t xml:space="preserve">. ASHRAE-55 is based on a the static heat balance approach, which includes four environmental variables </w:t>
      </w:r>
      <w:r w:rsidR="00934725">
        <w:t xml:space="preserve">(dry bulb air </w:t>
      </w:r>
      <w:r w:rsidR="007B1153" w:rsidRPr="001D3B7C">
        <w:t>temperature, mean radiant temperature, relative humidity and air velocity</w:t>
      </w:r>
      <w:r w:rsidR="00934725">
        <w:t>)</w:t>
      </w:r>
      <w:r w:rsidR="007B1153" w:rsidRPr="001D3B7C">
        <w:t xml:space="preserve"> </w:t>
      </w:r>
      <w:r w:rsidR="00934725">
        <w:t>and two human variables</w:t>
      </w:r>
      <w:r w:rsidR="007B1153" w:rsidRPr="001D3B7C">
        <w:t xml:space="preserve"> </w:t>
      </w:r>
      <w:r w:rsidR="00934725">
        <w:t>(</w:t>
      </w:r>
      <w:r w:rsidR="007B1153" w:rsidRPr="001D3B7C">
        <w:t>activity and clothing level</w:t>
      </w:r>
      <w:r w:rsidR="00934725">
        <w:t>)</w:t>
      </w:r>
      <w:r w:rsidR="007B1153" w:rsidRPr="001D3B7C">
        <w:t xml:space="preserve">. For simplification and quantification purposes, this paper </w:t>
      </w:r>
      <w:r w:rsidR="005B5C54">
        <w:t>used</w:t>
      </w:r>
      <w:r w:rsidR="007B1153" w:rsidRPr="001D3B7C">
        <w:t xml:space="preserve"> this standard as a reasonable way to assess the </w:t>
      </w:r>
      <w:r w:rsidR="005B5C54">
        <w:t xml:space="preserve">thermal comfort/overheating </w:t>
      </w:r>
      <w:r w:rsidR="007B1153" w:rsidRPr="001D3B7C">
        <w:t>results.</w:t>
      </w:r>
    </w:p>
    <w:p w14:paraId="185F6719" w14:textId="77777777" w:rsidR="007B1153" w:rsidRDefault="007B1153" w:rsidP="007B1153">
      <w:pPr>
        <w:pStyle w:val="Heading1"/>
      </w:pPr>
      <w:r>
        <w:t>Results and discussion</w:t>
      </w:r>
    </w:p>
    <w:p w14:paraId="1F02D6AB" w14:textId="13D11932" w:rsidR="007B1153" w:rsidRDefault="000D3F43" w:rsidP="007B1153">
      <w:pPr>
        <w:pStyle w:val="Firstparagraphofsection"/>
      </w:pPr>
      <w:r>
        <w:t>DesignBuilder</w:t>
      </w:r>
      <w:r w:rsidR="007B1153" w:rsidRPr="001D3B7C">
        <w:t xml:space="preserve"> was used to </w:t>
      </w:r>
      <w:r w:rsidRPr="001D3B7C">
        <w:t>analyse</w:t>
      </w:r>
      <w:r w:rsidR="007B1153" w:rsidRPr="001D3B7C">
        <w:t xml:space="preserve"> the thermal performance </w:t>
      </w:r>
      <w:r>
        <w:t xml:space="preserve">of the wall systems.  </w:t>
      </w:r>
      <w:r w:rsidR="007B1153">
        <w:t xml:space="preserve">The </w:t>
      </w:r>
      <w:r>
        <w:t xml:space="preserve">generated London </w:t>
      </w:r>
      <w:r w:rsidR="007B1153">
        <w:t xml:space="preserve">weather data used </w:t>
      </w:r>
      <w:r>
        <w:t xml:space="preserve">a </w:t>
      </w:r>
      <w:r w:rsidR="007B1153" w:rsidRPr="001D3B7C">
        <w:t xml:space="preserve">high emission scenario from the year 2011 until 2080. </w:t>
      </w:r>
      <w:r>
        <w:t xml:space="preserve">Predicted levels of total </w:t>
      </w:r>
      <w:r w:rsidR="004A4A1E">
        <w:t xml:space="preserve">annual </w:t>
      </w:r>
      <w:r>
        <w:t xml:space="preserve">discomfort hours </w:t>
      </w:r>
      <w:r w:rsidR="001C2DC1">
        <w:t>are shown</w:t>
      </w:r>
      <w:r w:rsidRPr="001D3B7C">
        <w:t xml:space="preserve"> in Figu</w:t>
      </w:r>
      <w:r>
        <w:t xml:space="preserve">re </w:t>
      </w:r>
      <w:r w:rsidR="00B74212">
        <w:t>2</w:t>
      </w:r>
      <w:r w:rsidR="001C2DC1">
        <w:t xml:space="preserve"> and given in Table 2</w:t>
      </w:r>
      <w:r>
        <w:t>.</w:t>
      </w:r>
    </w:p>
    <w:p w14:paraId="55567A85" w14:textId="77777777" w:rsidR="00377E54" w:rsidRPr="00377E54" w:rsidRDefault="00377E54" w:rsidP="00377E54">
      <w:pPr>
        <w:pStyle w:val="Mainbodytext"/>
      </w:pPr>
    </w:p>
    <w:p w14:paraId="1850DDA7" w14:textId="489B782C" w:rsidR="00AB7224" w:rsidRDefault="00634C21" w:rsidP="00422D9E">
      <w:pPr>
        <w:pStyle w:val="Caption"/>
        <w:jc w:val="both"/>
      </w:pPr>
      <w:r>
        <w:rPr>
          <w:noProof/>
          <w:szCs w:val="24"/>
          <w:lang w:eastAsia="en-GB"/>
        </w:rPr>
        <w:drawing>
          <wp:inline distT="0" distB="0" distL="0" distR="0" wp14:anchorId="1C3093B4" wp14:editId="65EC76D2">
            <wp:extent cx="5610225" cy="1933575"/>
            <wp:effectExtent l="0" t="0" r="28575" b="22225"/>
            <wp:docPr id="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5415B9" w14:textId="77777777" w:rsidR="00AB7224" w:rsidRDefault="00AB7224" w:rsidP="00F26A0D">
      <w:pPr>
        <w:pStyle w:val="Caption"/>
      </w:pPr>
    </w:p>
    <w:p w14:paraId="74BC70F9" w14:textId="0911D458" w:rsidR="00634C21" w:rsidRPr="001D3B7C" w:rsidRDefault="00634C21" w:rsidP="00634C21">
      <w:pPr>
        <w:widowControl w:val="0"/>
        <w:autoSpaceDE w:val="0"/>
        <w:autoSpaceDN w:val="0"/>
        <w:adjustRightInd w:val="0"/>
        <w:jc w:val="center"/>
        <w:rPr>
          <w:szCs w:val="24"/>
          <w:lang w:val="en-US" w:eastAsia="en-US"/>
        </w:rPr>
      </w:pPr>
      <w:r w:rsidRPr="001D3B7C">
        <w:rPr>
          <w:sz w:val="20"/>
          <w:szCs w:val="20"/>
          <w:lang w:val="en-US" w:eastAsia="en-US"/>
        </w:rPr>
        <w:t xml:space="preserve">Figure </w:t>
      </w:r>
      <w:r w:rsidR="00B74212">
        <w:rPr>
          <w:sz w:val="20"/>
          <w:szCs w:val="20"/>
          <w:lang w:val="en-US" w:eastAsia="en-US"/>
        </w:rPr>
        <w:t>2</w:t>
      </w:r>
      <w:r>
        <w:rPr>
          <w:sz w:val="20"/>
          <w:szCs w:val="20"/>
          <w:lang w:val="en-US" w:eastAsia="en-US"/>
        </w:rPr>
        <w:t>.</w:t>
      </w:r>
      <w:r w:rsidRPr="001D3B7C">
        <w:rPr>
          <w:sz w:val="20"/>
          <w:szCs w:val="20"/>
          <w:lang w:val="en-US" w:eastAsia="en-US"/>
        </w:rPr>
        <w:t xml:space="preserve"> Total </w:t>
      </w:r>
      <w:r>
        <w:rPr>
          <w:sz w:val="20"/>
          <w:szCs w:val="20"/>
          <w:lang w:val="en-US" w:eastAsia="en-US"/>
        </w:rPr>
        <w:t xml:space="preserve">annual </w:t>
      </w:r>
      <w:r w:rsidRPr="001D3B7C">
        <w:rPr>
          <w:sz w:val="20"/>
          <w:szCs w:val="20"/>
          <w:lang w:val="en-US" w:eastAsia="en-US"/>
        </w:rPr>
        <w:t>discomfort hours in London</w:t>
      </w:r>
      <w:r>
        <w:rPr>
          <w:sz w:val="20"/>
          <w:szCs w:val="20"/>
          <w:lang w:val="en-US" w:eastAsia="en-US"/>
        </w:rPr>
        <w:t xml:space="preserve"> for four climate periods</w:t>
      </w:r>
    </w:p>
    <w:p w14:paraId="173FAE42" w14:textId="77777777" w:rsidR="00634C21" w:rsidRDefault="00634C21" w:rsidP="00F26A0D">
      <w:pPr>
        <w:pStyle w:val="Caption"/>
      </w:pPr>
    </w:p>
    <w:p w14:paraId="012F1EBF" w14:textId="2217FFD2" w:rsidR="00AC1DE2" w:rsidRDefault="00F26A0D" w:rsidP="00F26A0D">
      <w:pPr>
        <w:pStyle w:val="Caption"/>
      </w:pPr>
      <w:r w:rsidRPr="00F26A0D">
        <w:t xml:space="preserve">Table 1. </w:t>
      </w:r>
      <w:r w:rsidR="002776AE">
        <w:t xml:space="preserve">Wall </w:t>
      </w:r>
      <w:r w:rsidRPr="00F26A0D">
        <w:t xml:space="preserve">construction systems used for </w:t>
      </w:r>
      <w:r w:rsidR="002776AE">
        <w:t xml:space="preserve">the </w:t>
      </w:r>
      <w:r w:rsidRPr="00F26A0D">
        <w:t>simulations</w:t>
      </w:r>
    </w:p>
    <w:p w14:paraId="11A466BC" w14:textId="77777777" w:rsidR="002776AE" w:rsidRPr="002776AE" w:rsidRDefault="002776AE" w:rsidP="002776AE"/>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688"/>
      </w:tblGrid>
      <w:tr w:rsidR="007D32BF" w:rsidRPr="00BD6BCC" w14:paraId="54B37E26" w14:textId="77777777" w:rsidTr="00AB7224">
        <w:tc>
          <w:tcPr>
            <w:tcW w:w="3510" w:type="dxa"/>
            <w:shd w:val="clear" w:color="auto" w:fill="auto"/>
          </w:tcPr>
          <w:p w14:paraId="07BB3EDC" w14:textId="77777777" w:rsidR="00F26A0D" w:rsidRPr="00DD0DE8" w:rsidRDefault="00F26A0D" w:rsidP="00DD0DE8">
            <w:pPr>
              <w:widowControl w:val="0"/>
              <w:autoSpaceDE w:val="0"/>
              <w:autoSpaceDN w:val="0"/>
              <w:adjustRightInd w:val="0"/>
              <w:jc w:val="center"/>
              <w:rPr>
                <w:noProof/>
                <w:szCs w:val="24"/>
              </w:rPr>
            </w:pPr>
            <w:r w:rsidRPr="00DD0DE8">
              <w:rPr>
                <w:noProof/>
                <w:szCs w:val="24"/>
              </w:rPr>
              <w:t>Construction Systems</w:t>
            </w:r>
          </w:p>
        </w:tc>
        <w:tc>
          <w:tcPr>
            <w:tcW w:w="5688" w:type="dxa"/>
            <w:shd w:val="clear" w:color="auto" w:fill="auto"/>
          </w:tcPr>
          <w:p w14:paraId="35673D9D" w14:textId="77777777" w:rsidR="00F26A0D" w:rsidRPr="00DD0DE8" w:rsidRDefault="00F26A0D" w:rsidP="00DD0DE8">
            <w:pPr>
              <w:widowControl w:val="0"/>
              <w:autoSpaceDE w:val="0"/>
              <w:autoSpaceDN w:val="0"/>
              <w:adjustRightInd w:val="0"/>
              <w:jc w:val="center"/>
              <w:rPr>
                <w:szCs w:val="24"/>
              </w:rPr>
            </w:pPr>
            <w:r w:rsidRPr="00DD0DE8">
              <w:rPr>
                <w:szCs w:val="24"/>
              </w:rPr>
              <w:t>Details</w:t>
            </w:r>
          </w:p>
        </w:tc>
      </w:tr>
      <w:tr w:rsidR="007D32BF" w:rsidRPr="00BD6BCC" w14:paraId="26DC0371" w14:textId="77777777" w:rsidTr="00AB7224">
        <w:trPr>
          <w:trHeight w:val="2281"/>
        </w:trPr>
        <w:tc>
          <w:tcPr>
            <w:tcW w:w="3510" w:type="dxa"/>
            <w:shd w:val="clear" w:color="auto" w:fill="auto"/>
          </w:tcPr>
          <w:p w14:paraId="5A896E2F" w14:textId="77777777" w:rsidR="00F25E87" w:rsidRDefault="00F25E87" w:rsidP="00DD0DE8">
            <w:pPr>
              <w:widowControl w:val="0"/>
              <w:autoSpaceDE w:val="0"/>
              <w:autoSpaceDN w:val="0"/>
              <w:adjustRightInd w:val="0"/>
              <w:jc w:val="center"/>
              <w:rPr>
                <w:szCs w:val="24"/>
              </w:rPr>
            </w:pPr>
          </w:p>
          <w:p w14:paraId="04FB4C54" w14:textId="13B30815" w:rsidR="00F26A0D" w:rsidRPr="00DD0DE8" w:rsidRDefault="00936163" w:rsidP="00DD0DE8">
            <w:pPr>
              <w:widowControl w:val="0"/>
              <w:autoSpaceDE w:val="0"/>
              <w:autoSpaceDN w:val="0"/>
              <w:adjustRightInd w:val="0"/>
              <w:jc w:val="center"/>
              <w:rPr>
                <w:szCs w:val="24"/>
              </w:rPr>
            </w:pPr>
            <w:r>
              <w:rPr>
                <w:noProof/>
                <w:szCs w:val="24"/>
                <w:lang w:eastAsia="en-GB"/>
              </w:rPr>
              <w:drawing>
                <wp:inline distT="0" distB="0" distL="0" distR="0" wp14:anchorId="5A5E3E0B" wp14:editId="561D186D">
                  <wp:extent cx="1345721" cy="1121434"/>
                  <wp:effectExtent l="0" t="0" r="6985" b="254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1">
                            <a:extLst>
                              <a:ext uri="{28A0092B-C50C-407E-A947-70E740481C1C}">
                                <a14:useLocalDpi xmlns:a14="http://schemas.microsoft.com/office/drawing/2010/main" val="0"/>
                              </a:ext>
                            </a:extLst>
                          </a:blip>
                          <a:srcRect l="18491" t="13509" r="27547"/>
                          <a:stretch>
                            <a:fillRect/>
                          </a:stretch>
                        </pic:blipFill>
                        <pic:spPr bwMode="auto">
                          <a:xfrm>
                            <a:off x="0" y="0"/>
                            <a:ext cx="1345721" cy="1121434"/>
                          </a:xfrm>
                          <a:prstGeom prst="rect">
                            <a:avLst/>
                          </a:prstGeom>
                          <a:noFill/>
                          <a:ln>
                            <a:noFill/>
                          </a:ln>
                        </pic:spPr>
                      </pic:pic>
                    </a:graphicData>
                  </a:graphic>
                </wp:inline>
              </w:drawing>
            </w:r>
          </w:p>
          <w:p w14:paraId="37ABE1CC" w14:textId="4E223C32" w:rsidR="00F26A0D" w:rsidRPr="00DD0DE8" w:rsidRDefault="00F26A0D" w:rsidP="00DD0DE8">
            <w:pPr>
              <w:widowControl w:val="0"/>
              <w:autoSpaceDE w:val="0"/>
              <w:autoSpaceDN w:val="0"/>
              <w:adjustRightInd w:val="0"/>
              <w:jc w:val="center"/>
              <w:rPr>
                <w:szCs w:val="24"/>
              </w:rPr>
            </w:pPr>
            <w:r w:rsidRPr="00DD0DE8">
              <w:rPr>
                <w:szCs w:val="24"/>
              </w:rPr>
              <w:t>Brick and Block</w:t>
            </w:r>
            <w:r w:rsidR="00FF00AD">
              <w:rPr>
                <w:szCs w:val="24"/>
              </w:rPr>
              <w:t xml:space="preserve"> BB</w:t>
            </w:r>
          </w:p>
        </w:tc>
        <w:tc>
          <w:tcPr>
            <w:tcW w:w="5688" w:type="dxa"/>
            <w:shd w:val="clear" w:color="auto" w:fill="auto"/>
          </w:tcPr>
          <w:p w14:paraId="58021A30" w14:textId="77777777" w:rsidR="00F26A0D" w:rsidRPr="00544103" w:rsidRDefault="00F26A0D" w:rsidP="00DD0DE8">
            <w:pPr>
              <w:widowControl w:val="0"/>
              <w:autoSpaceDE w:val="0"/>
              <w:autoSpaceDN w:val="0"/>
              <w:adjustRightInd w:val="0"/>
              <w:jc w:val="left"/>
            </w:pPr>
            <w:r w:rsidRPr="00544103">
              <w:t>From Out to in: 110mm Brick Outer Leaf, 300mm Phenolic Insulation, 100mm Aerated Concrete Block, 10mm Lightweight Plaster</w:t>
            </w:r>
          </w:p>
          <w:p w14:paraId="77DF9E34" w14:textId="0947F5C6"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Decrement factor (0-1): 0.23</w:t>
            </w:r>
            <w:r w:rsidR="00AB7224">
              <w:rPr>
                <w:rFonts w:eastAsia="MS Gothic"/>
                <w:noProof/>
                <w:color w:val="000000"/>
              </w:rPr>
              <w:t xml:space="preserve">; </w:t>
            </w:r>
            <w:r w:rsidRPr="00DD0DE8">
              <w:rPr>
                <w:rFonts w:eastAsia="MS Gothic"/>
                <w:noProof/>
                <w:color w:val="000000"/>
              </w:rPr>
              <w:t>Time Constant (Hrs): 7.7</w:t>
            </w:r>
          </w:p>
          <w:p w14:paraId="1EABC678" w14:textId="1079A2B3"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Admittance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5.3</w:t>
            </w:r>
            <w:r w:rsidR="00AB7224">
              <w:rPr>
                <w:rFonts w:eastAsia="MS Gothic"/>
                <w:noProof/>
                <w:color w:val="000000"/>
              </w:rPr>
              <w:t xml:space="preserve">; </w:t>
            </w:r>
            <w:r w:rsidR="00106E11">
              <w:rPr>
                <w:rFonts w:eastAsia="MS Gothic"/>
                <w:noProof/>
                <w:color w:val="000000"/>
              </w:rPr>
              <w:t>U-Value</w:t>
            </w:r>
            <w:r w:rsidRPr="00DD0DE8">
              <w:rPr>
                <w:rFonts w:eastAsia="MS Gothic"/>
                <w:noProof/>
                <w:color w:val="000000"/>
              </w:rPr>
              <w:t xml:space="preserv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0.1</w:t>
            </w:r>
          </w:p>
          <w:p w14:paraId="3EE9B546" w14:textId="77777777" w:rsidR="00F26A0D" w:rsidRPr="00544103" w:rsidRDefault="00F26A0D" w:rsidP="00DD0DE8">
            <w:pPr>
              <w:widowControl w:val="0"/>
              <w:autoSpaceDE w:val="0"/>
              <w:autoSpaceDN w:val="0"/>
              <w:adjustRightInd w:val="0"/>
              <w:jc w:val="left"/>
            </w:pPr>
            <w:r w:rsidRPr="00DD0DE8">
              <w:rPr>
                <w:rFonts w:eastAsia="MS Gothic"/>
                <w:noProof/>
                <w:color w:val="000000"/>
              </w:rPr>
              <w:t>Thickness (mm): 520</w:t>
            </w:r>
          </w:p>
        </w:tc>
      </w:tr>
      <w:tr w:rsidR="007D32BF" w:rsidRPr="00BD6BCC" w14:paraId="01061A35" w14:textId="77777777" w:rsidTr="00AB7224">
        <w:trPr>
          <w:trHeight w:val="2618"/>
        </w:trPr>
        <w:tc>
          <w:tcPr>
            <w:tcW w:w="3510" w:type="dxa"/>
            <w:shd w:val="clear" w:color="auto" w:fill="auto"/>
          </w:tcPr>
          <w:p w14:paraId="617CC4B0" w14:textId="02CD2DE8" w:rsidR="00F26A0D" w:rsidRPr="00DD0DE8" w:rsidRDefault="00936163" w:rsidP="00DD0DE8">
            <w:pPr>
              <w:widowControl w:val="0"/>
              <w:autoSpaceDE w:val="0"/>
              <w:autoSpaceDN w:val="0"/>
              <w:adjustRightInd w:val="0"/>
              <w:jc w:val="center"/>
              <w:rPr>
                <w:szCs w:val="24"/>
              </w:rPr>
            </w:pPr>
            <w:r>
              <w:rPr>
                <w:noProof/>
                <w:szCs w:val="24"/>
                <w:lang w:eastAsia="en-GB"/>
              </w:rPr>
              <w:drawing>
                <wp:inline distT="0" distB="0" distL="0" distR="0" wp14:anchorId="0F2F400E" wp14:editId="179DA7FB">
                  <wp:extent cx="1414732" cy="1214744"/>
                  <wp:effectExtent l="0" t="0" r="0" b="5080"/>
                  <wp:docPr id="12" name="Picture 12" descr="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1)"/>
                          <pic:cNvPicPr>
                            <a:picLocks noChangeAspect="1" noChangeArrowheads="1"/>
                          </pic:cNvPicPr>
                        </pic:nvPicPr>
                        <pic:blipFill>
                          <a:blip r:embed="rId12">
                            <a:extLst>
                              <a:ext uri="{28A0092B-C50C-407E-A947-70E740481C1C}">
                                <a14:useLocalDpi xmlns:a14="http://schemas.microsoft.com/office/drawing/2010/main" val="0"/>
                              </a:ext>
                            </a:extLst>
                          </a:blip>
                          <a:srcRect l="18860" t="10310" r="21053"/>
                          <a:stretch>
                            <a:fillRect/>
                          </a:stretch>
                        </pic:blipFill>
                        <pic:spPr bwMode="auto">
                          <a:xfrm>
                            <a:off x="0" y="0"/>
                            <a:ext cx="1415383" cy="1215303"/>
                          </a:xfrm>
                          <a:prstGeom prst="rect">
                            <a:avLst/>
                          </a:prstGeom>
                          <a:noFill/>
                          <a:ln>
                            <a:noFill/>
                          </a:ln>
                        </pic:spPr>
                      </pic:pic>
                    </a:graphicData>
                  </a:graphic>
                </wp:inline>
              </w:drawing>
            </w:r>
          </w:p>
          <w:p w14:paraId="0A928E73" w14:textId="226EC66C" w:rsidR="00F26A0D" w:rsidRPr="00DD0DE8" w:rsidRDefault="00F26A0D" w:rsidP="00DD0DE8">
            <w:pPr>
              <w:widowControl w:val="0"/>
              <w:autoSpaceDE w:val="0"/>
              <w:autoSpaceDN w:val="0"/>
              <w:adjustRightInd w:val="0"/>
              <w:jc w:val="center"/>
              <w:rPr>
                <w:szCs w:val="24"/>
              </w:rPr>
            </w:pPr>
            <w:r w:rsidRPr="00DD0DE8">
              <w:rPr>
                <w:szCs w:val="24"/>
              </w:rPr>
              <w:t>Timber Frame</w:t>
            </w:r>
            <w:r w:rsidR="00FF00AD">
              <w:rPr>
                <w:szCs w:val="24"/>
              </w:rPr>
              <w:t xml:space="preserve"> TF</w:t>
            </w:r>
          </w:p>
        </w:tc>
        <w:tc>
          <w:tcPr>
            <w:tcW w:w="5688" w:type="dxa"/>
            <w:shd w:val="clear" w:color="auto" w:fill="auto"/>
          </w:tcPr>
          <w:p w14:paraId="336F8494" w14:textId="77777777" w:rsidR="00F26A0D" w:rsidRPr="00544103" w:rsidRDefault="00F26A0D" w:rsidP="00DD0DE8">
            <w:pPr>
              <w:widowControl w:val="0"/>
              <w:autoSpaceDE w:val="0"/>
              <w:autoSpaceDN w:val="0"/>
              <w:adjustRightInd w:val="0"/>
              <w:jc w:val="left"/>
            </w:pPr>
            <w:r w:rsidRPr="00544103">
              <w:t>From Out to in: 110mm Brick Outer Leaf, 50mm Air Gap, 140mm Rockwool, 10 mm Plywood, 200mm Rockwool, 12.5mm Plasterboard</w:t>
            </w:r>
          </w:p>
          <w:p w14:paraId="5DCA70E4" w14:textId="10CEE37A"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Decrement factor (0-1): 0.2</w:t>
            </w:r>
            <w:r w:rsidR="00AB7224">
              <w:rPr>
                <w:rFonts w:eastAsia="MS Gothic"/>
                <w:noProof/>
                <w:color w:val="000000"/>
              </w:rPr>
              <w:t xml:space="preserve">; </w:t>
            </w:r>
            <w:r w:rsidRPr="00DD0DE8">
              <w:rPr>
                <w:rFonts w:eastAsia="MS Gothic"/>
                <w:noProof/>
                <w:color w:val="000000"/>
              </w:rPr>
              <w:t>Time Constant (Hrs): 3</w:t>
            </w:r>
          </w:p>
          <w:p w14:paraId="21F5AD72" w14:textId="72237364"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Admittance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1.54</w:t>
            </w:r>
            <w:r w:rsidR="00AB7224">
              <w:rPr>
                <w:rFonts w:eastAsia="MS Gothic"/>
                <w:noProof/>
                <w:color w:val="000000"/>
              </w:rPr>
              <w:t xml:space="preserve">; </w:t>
            </w:r>
            <w:r w:rsidR="00106E11">
              <w:rPr>
                <w:rFonts w:eastAsia="MS Gothic"/>
                <w:noProof/>
                <w:color w:val="000000"/>
              </w:rPr>
              <w:t>U-Value</w:t>
            </w:r>
            <w:r w:rsidRPr="00DD0DE8">
              <w:rPr>
                <w:rFonts w:eastAsia="MS Gothic"/>
                <w:noProof/>
                <w:color w:val="000000"/>
              </w:rPr>
              <w:t xml:space="preserv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0.1</w:t>
            </w:r>
          </w:p>
          <w:p w14:paraId="690BB405" w14:textId="77777777" w:rsidR="00F26A0D" w:rsidRPr="00544103" w:rsidRDefault="00F26A0D" w:rsidP="00DD0DE8">
            <w:pPr>
              <w:widowControl w:val="0"/>
              <w:autoSpaceDE w:val="0"/>
              <w:autoSpaceDN w:val="0"/>
              <w:adjustRightInd w:val="0"/>
              <w:jc w:val="left"/>
            </w:pPr>
            <w:r w:rsidRPr="00DD0DE8">
              <w:rPr>
                <w:rFonts w:eastAsia="MS Gothic"/>
                <w:noProof/>
                <w:color w:val="000000"/>
              </w:rPr>
              <w:t>Thickness (mm): 522.5</w:t>
            </w:r>
          </w:p>
        </w:tc>
      </w:tr>
      <w:tr w:rsidR="007D32BF" w:rsidRPr="00BD6BCC" w14:paraId="24AE623C" w14:textId="77777777" w:rsidTr="00AB7224">
        <w:tc>
          <w:tcPr>
            <w:tcW w:w="3510" w:type="dxa"/>
            <w:shd w:val="clear" w:color="auto" w:fill="auto"/>
          </w:tcPr>
          <w:p w14:paraId="6554E94C" w14:textId="77777777" w:rsidR="00F25E87" w:rsidRDefault="00F25E87" w:rsidP="00DD0DE8">
            <w:pPr>
              <w:widowControl w:val="0"/>
              <w:autoSpaceDE w:val="0"/>
              <w:autoSpaceDN w:val="0"/>
              <w:adjustRightInd w:val="0"/>
              <w:jc w:val="center"/>
              <w:rPr>
                <w:noProof/>
                <w:szCs w:val="24"/>
                <w:lang w:eastAsia="en-GB"/>
              </w:rPr>
            </w:pPr>
          </w:p>
          <w:p w14:paraId="6228166E" w14:textId="3975A56A" w:rsidR="00F26A0D" w:rsidRPr="00DD0DE8" w:rsidRDefault="00936163" w:rsidP="00DD0DE8">
            <w:pPr>
              <w:widowControl w:val="0"/>
              <w:autoSpaceDE w:val="0"/>
              <w:autoSpaceDN w:val="0"/>
              <w:adjustRightInd w:val="0"/>
              <w:jc w:val="center"/>
              <w:rPr>
                <w:szCs w:val="24"/>
              </w:rPr>
            </w:pPr>
            <w:r>
              <w:rPr>
                <w:noProof/>
                <w:szCs w:val="24"/>
                <w:lang w:eastAsia="en-GB"/>
              </w:rPr>
              <w:drawing>
                <wp:inline distT="0" distB="0" distL="0" distR="0" wp14:anchorId="3897EC4C" wp14:editId="5B08E983">
                  <wp:extent cx="1518250" cy="1094552"/>
                  <wp:effectExtent l="0" t="0" r="6350" b="0"/>
                  <wp:docPr id="21" name="Pictur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13">
                            <a:extLst>
                              <a:ext uri="{28A0092B-C50C-407E-A947-70E740481C1C}">
                                <a14:useLocalDpi xmlns:a14="http://schemas.microsoft.com/office/drawing/2010/main" val="0"/>
                              </a:ext>
                            </a:extLst>
                          </a:blip>
                          <a:srcRect l="23758" t="18779" r="25000" b="14621"/>
                          <a:stretch>
                            <a:fillRect/>
                          </a:stretch>
                        </pic:blipFill>
                        <pic:spPr bwMode="auto">
                          <a:xfrm>
                            <a:off x="0" y="0"/>
                            <a:ext cx="1519545" cy="1095485"/>
                          </a:xfrm>
                          <a:prstGeom prst="rect">
                            <a:avLst/>
                          </a:prstGeom>
                          <a:noFill/>
                          <a:ln>
                            <a:noFill/>
                          </a:ln>
                        </pic:spPr>
                      </pic:pic>
                    </a:graphicData>
                  </a:graphic>
                </wp:inline>
              </w:drawing>
            </w:r>
          </w:p>
          <w:p w14:paraId="36F15620" w14:textId="61BC83BA" w:rsidR="00F26A0D" w:rsidRPr="00DD0DE8" w:rsidRDefault="00F26A0D" w:rsidP="00FF00AD">
            <w:pPr>
              <w:widowControl w:val="0"/>
              <w:autoSpaceDE w:val="0"/>
              <w:autoSpaceDN w:val="0"/>
              <w:adjustRightInd w:val="0"/>
              <w:jc w:val="center"/>
              <w:rPr>
                <w:szCs w:val="24"/>
              </w:rPr>
            </w:pPr>
            <w:r w:rsidRPr="00DD0DE8">
              <w:rPr>
                <w:szCs w:val="24"/>
              </w:rPr>
              <w:t xml:space="preserve">Insulating </w:t>
            </w:r>
            <w:r w:rsidR="00FF00AD">
              <w:rPr>
                <w:szCs w:val="24"/>
              </w:rPr>
              <w:t>C</w:t>
            </w:r>
            <w:r w:rsidRPr="00DD0DE8">
              <w:rPr>
                <w:szCs w:val="24"/>
              </w:rPr>
              <w:t xml:space="preserve">oncrete </w:t>
            </w:r>
            <w:r w:rsidR="00FF00AD">
              <w:rPr>
                <w:szCs w:val="24"/>
              </w:rPr>
              <w:t>F</w:t>
            </w:r>
            <w:r w:rsidRPr="00DD0DE8">
              <w:rPr>
                <w:szCs w:val="24"/>
              </w:rPr>
              <w:t>ormwork</w:t>
            </w:r>
            <w:r w:rsidR="00FF00AD">
              <w:rPr>
                <w:szCs w:val="24"/>
              </w:rPr>
              <w:t xml:space="preserve"> ICF</w:t>
            </w:r>
          </w:p>
        </w:tc>
        <w:tc>
          <w:tcPr>
            <w:tcW w:w="5688" w:type="dxa"/>
            <w:shd w:val="clear" w:color="auto" w:fill="auto"/>
          </w:tcPr>
          <w:p w14:paraId="6381D899" w14:textId="77777777" w:rsidR="00F26A0D" w:rsidRPr="00544103" w:rsidRDefault="00F26A0D" w:rsidP="00DD0DE8">
            <w:pPr>
              <w:widowControl w:val="0"/>
              <w:autoSpaceDE w:val="0"/>
              <w:autoSpaceDN w:val="0"/>
              <w:adjustRightInd w:val="0"/>
              <w:jc w:val="left"/>
            </w:pPr>
            <w:r w:rsidRPr="00544103">
              <w:t>From out to in: 5mm Rendering, 120mm Extruded Polystyrene (EPS), 100mm Extruded Polystyrene (EPS), 160mm Heavyweight concrete, 100mm Extruded Polystyrene (EPS), 12.5mm Plasterboard</w:t>
            </w:r>
          </w:p>
          <w:p w14:paraId="6EA60629" w14:textId="412EC72E"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Decrement factor (0-1): 0.47</w:t>
            </w:r>
            <w:r w:rsidR="00AB7224">
              <w:rPr>
                <w:rFonts w:eastAsia="MS Gothic"/>
                <w:noProof/>
                <w:color w:val="000000"/>
              </w:rPr>
              <w:t xml:space="preserve">; </w:t>
            </w:r>
            <w:r w:rsidRPr="00DD0DE8">
              <w:rPr>
                <w:rFonts w:eastAsia="MS Gothic"/>
                <w:noProof/>
                <w:color w:val="000000"/>
              </w:rPr>
              <w:t>Time Constant (Hrs): 5</w:t>
            </w:r>
          </w:p>
          <w:p w14:paraId="3129E76C" w14:textId="32F44435"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Admittance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2.96</w:t>
            </w:r>
            <w:r w:rsidR="00AB7224">
              <w:rPr>
                <w:rFonts w:eastAsia="MS Gothic"/>
                <w:noProof/>
                <w:color w:val="000000"/>
              </w:rPr>
              <w:t xml:space="preserve">; </w:t>
            </w:r>
            <w:r w:rsidR="00106E11">
              <w:rPr>
                <w:rFonts w:eastAsia="MS Gothic"/>
                <w:noProof/>
                <w:color w:val="000000"/>
              </w:rPr>
              <w:t>U-Value</w:t>
            </w:r>
            <w:r w:rsidRPr="00DD0DE8">
              <w:rPr>
                <w:rFonts w:eastAsia="MS Gothic"/>
                <w:noProof/>
                <w:color w:val="000000"/>
              </w:rPr>
              <w:t xml:space="preserv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0.1</w:t>
            </w:r>
          </w:p>
          <w:p w14:paraId="275475D3" w14:textId="77777777" w:rsidR="00F26A0D"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Thickness (mm): 497.5</w:t>
            </w:r>
          </w:p>
          <w:p w14:paraId="2F9FE8B0" w14:textId="77777777" w:rsidR="00AB7224" w:rsidRPr="00AB7224" w:rsidRDefault="00AB7224" w:rsidP="00AB7224">
            <w:pPr>
              <w:pStyle w:val="Mainbodytext"/>
            </w:pPr>
          </w:p>
        </w:tc>
      </w:tr>
      <w:tr w:rsidR="007D32BF" w:rsidRPr="00BD6BCC" w14:paraId="73B796B1" w14:textId="77777777" w:rsidTr="00AB7224">
        <w:tc>
          <w:tcPr>
            <w:tcW w:w="3510" w:type="dxa"/>
            <w:shd w:val="clear" w:color="auto" w:fill="auto"/>
          </w:tcPr>
          <w:p w14:paraId="0586FBDA" w14:textId="77777777" w:rsidR="00F25E87" w:rsidRDefault="00F25E87" w:rsidP="00DD0DE8">
            <w:pPr>
              <w:widowControl w:val="0"/>
              <w:autoSpaceDE w:val="0"/>
              <w:autoSpaceDN w:val="0"/>
              <w:adjustRightInd w:val="0"/>
              <w:jc w:val="center"/>
              <w:rPr>
                <w:noProof/>
                <w:szCs w:val="24"/>
                <w:lang w:eastAsia="en-GB"/>
              </w:rPr>
            </w:pPr>
          </w:p>
          <w:p w14:paraId="50FB5769" w14:textId="33145754" w:rsidR="00F26A0D" w:rsidRPr="00DD0DE8" w:rsidRDefault="00936163" w:rsidP="00DD0DE8">
            <w:pPr>
              <w:widowControl w:val="0"/>
              <w:autoSpaceDE w:val="0"/>
              <w:autoSpaceDN w:val="0"/>
              <w:adjustRightInd w:val="0"/>
              <w:jc w:val="center"/>
              <w:rPr>
                <w:szCs w:val="24"/>
              </w:rPr>
            </w:pPr>
            <w:r>
              <w:rPr>
                <w:noProof/>
                <w:szCs w:val="24"/>
                <w:lang w:eastAsia="en-GB"/>
              </w:rPr>
              <w:drawing>
                <wp:inline distT="0" distB="0" distL="0" distR="0" wp14:anchorId="6CC23306" wp14:editId="4E6AD1DE">
                  <wp:extent cx="1475117" cy="1126452"/>
                  <wp:effectExtent l="0" t="0" r="0" b="0"/>
                  <wp:docPr id="30" name="Picture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14">
                            <a:extLst>
                              <a:ext uri="{28A0092B-C50C-407E-A947-70E740481C1C}">
                                <a14:useLocalDpi xmlns:a14="http://schemas.microsoft.com/office/drawing/2010/main" val="0"/>
                              </a:ext>
                            </a:extLst>
                          </a:blip>
                          <a:srcRect l="22072" t="18605" r="22974" b="8705"/>
                          <a:stretch>
                            <a:fillRect/>
                          </a:stretch>
                        </pic:blipFill>
                        <pic:spPr bwMode="auto">
                          <a:xfrm>
                            <a:off x="0" y="0"/>
                            <a:ext cx="1474989" cy="1126355"/>
                          </a:xfrm>
                          <a:prstGeom prst="rect">
                            <a:avLst/>
                          </a:prstGeom>
                          <a:noFill/>
                          <a:ln>
                            <a:noFill/>
                          </a:ln>
                        </pic:spPr>
                      </pic:pic>
                    </a:graphicData>
                  </a:graphic>
                </wp:inline>
              </w:drawing>
            </w:r>
          </w:p>
          <w:p w14:paraId="55553926" w14:textId="7058B589" w:rsidR="00F26A0D" w:rsidRPr="00DD0DE8" w:rsidRDefault="00F26A0D" w:rsidP="00FF00AD">
            <w:pPr>
              <w:widowControl w:val="0"/>
              <w:autoSpaceDE w:val="0"/>
              <w:autoSpaceDN w:val="0"/>
              <w:adjustRightInd w:val="0"/>
              <w:jc w:val="center"/>
              <w:rPr>
                <w:szCs w:val="24"/>
              </w:rPr>
            </w:pPr>
            <w:r w:rsidRPr="00DD0DE8">
              <w:rPr>
                <w:szCs w:val="24"/>
              </w:rPr>
              <w:t xml:space="preserve">Structural </w:t>
            </w:r>
            <w:r w:rsidR="00FF00AD">
              <w:rPr>
                <w:szCs w:val="24"/>
              </w:rPr>
              <w:t>I</w:t>
            </w:r>
            <w:r w:rsidRPr="00DD0DE8">
              <w:rPr>
                <w:szCs w:val="24"/>
              </w:rPr>
              <w:t xml:space="preserve">nsulated </w:t>
            </w:r>
            <w:r w:rsidR="00FF00AD">
              <w:rPr>
                <w:szCs w:val="24"/>
              </w:rPr>
              <w:t>P</w:t>
            </w:r>
            <w:r w:rsidRPr="00DD0DE8">
              <w:rPr>
                <w:szCs w:val="24"/>
              </w:rPr>
              <w:t>anel</w:t>
            </w:r>
            <w:r w:rsidR="00FF00AD">
              <w:rPr>
                <w:szCs w:val="24"/>
              </w:rPr>
              <w:t xml:space="preserve"> SIP</w:t>
            </w:r>
          </w:p>
        </w:tc>
        <w:tc>
          <w:tcPr>
            <w:tcW w:w="5688" w:type="dxa"/>
            <w:shd w:val="clear" w:color="auto" w:fill="auto"/>
          </w:tcPr>
          <w:p w14:paraId="417E571F" w14:textId="77777777" w:rsidR="00F26A0D" w:rsidRPr="00544103" w:rsidRDefault="00F26A0D" w:rsidP="00DD0DE8">
            <w:pPr>
              <w:widowControl w:val="0"/>
              <w:autoSpaceDE w:val="0"/>
              <w:autoSpaceDN w:val="0"/>
              <w:adjustRightInd w:val="0"/>
              <w:jc w:val="left"/>
            </w:pPr>
            <w:r w:rsidRPr="00544103">
              <w:t>From out to in: 5mm Rendering, 15mm Softwood board, 200mm Extruded Polyurethane (PUR), 15mm Softwood board, 50mm Air Gap, 12.5mm Plasterboard</w:t>
            </w:r>
          </w:p>
          <w:p w14:paraId="264E36A0" w14:textId="49285AEC"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Decrement factor (0-1): 0.81</w:t>
            </w:r>
            <w:r w:rsidR="00AB7224">
              <w:rPr>
                <w:rFonts w:eastAsia="MS Gothic"/>
                <w:noProof/>
                <w:color w:val="000000"/>
              </w:rPr>
              <w:t xml:space="preserve">; </w:t>
            </w:r>
            <w:r w:rsidRPr="00DD0DE8">
              <w:rPr>
                <w:rFonts w:eastAsia="MS Gothic"/>
                <w:noProof/>
                <w:color w:val="000000"/>
              </w:rPr>
              <w:t>Time Constant (Hrs): 2.4</w:t>
            </w:r>
          </w:p>
          <w:p w14:paraId="0805DB1B" w14:textId="174E207A" w:rsidR="00F26A0D" w:rsidRPr="00DD0DE8" w:rsidRDefault="00F26A0D" w:rsidP="00DD0DE8">
            <w:pPr>
              <w:widowControl w:val="0"/>
              <w:autoSpaceDE w:val="0"/>
              <w:autoSpaceDN w:val="0"/>
              <w:adjustRightInd w:val="0"/>
              <w:jc w:val="left"/>
              <w:rPr>
                <w:rFonts w:eastAsia="MS Gothic"/>
                <w:noProof/>
                <w:color w:val="000000"/>
              </w:rPr>
            </w:pPr>
            <w:r w:rsidRPr="00DD0DE8">
              <w:rPr>
                <w:rFonts w:eastAsia="MS Gothic"/>
                <w:noProof/>
                <w:color w:val="000000"/>
              </w:rPr>
              <w:t>Admittance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1.16</w:t>
            </w:r>
            <w:r w:rsidR="00AB7224">
              <w:rPr>
                <w:rFonts w:eastAsia="MS Gothic"/>
                <w:noProof/>
                <w:color w:val="000000"/>
              </w:rPr>
              <w:t xml:space="preserve">; </w:t>
            </w:r>
            <w:r w:rsidR="00106E11">
              <w:rPr>
                <w:rFonts w:eastAsia="MS Gothic"/>
                <w:noProof/>
                <w:color w:val="000000"/>
              </w:rPr>
              <w:t>U-Value</w:t>
            </w:r>
            <w:r w:rsidRPr="00DD0DE8">
              <w:rPr>
                <w:rFonts w:eastAsia="MS Gothic"/>
                <w:noProof/>
                <w:color w:val="000000"/>
              </w:rPr>
              <w:t xml:space="preserv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0.1</w:t>
            </w:r>
          </w:p>
          <w:p w14:paraId="63B361B0" w14:textId="77777777" w:rsidR="00F26A0D" w:rsidRPr="00544103" w:rsidRDefault="00F26A0D" w:rsidP="00DD0DE8">
            <w:pPr>
              <w:widowControl w:val="0"/>
              <w:autoSpaceDE w:val="0"/>
              <w:autoSpaceDN w:val="0"/>
              <w:adjustRightInd w:val="0"/>
              <w:jc w:val="left"/>
            </w:pPr>
            <w:r w:rsidRPr="00DD0DE8">
              <w:rPr>
                <w:rFonts w:eastAsia="MS Gothic"/>
                <w:noProof/>
                <w:color w:val="000000"/>
              </w:rPr>
              <w:t>Thickness (mm): 297.5</w:t>
            </w:r>
          </w:p>
        </w:tc>
      </w:tr>
      <w:tr w:rsidR="007D32BF" w:rsidRPr="00BD6BCC" w14:paraId="360F2843" w14:textId="77777777" w:rsidTr="00AB7224">
        <w:trPr>
          <w:trHeight w:val="2413"/>
        </w:trPr>
        <w:tc>
          <w:tcPr>
            <w:tcW w:w="3510" w:type="dxa"/>
            <w:shd w:val="clear" w:color="auto" w:fill="auto"/>
          </w:tcPr>
          <w:p w14:paraId="26789B9C" w14:textId="77777777" w:rsidR="00F25E87" w:rsidRDefault="00F25E87" w:rsidP="00DD0DE8">
            <w:pPr>
              <w:widowControl w:val="0"/>
              <w:autoSpaceDE w:val="0"/>
              <w:autoSpaceDN w:val="0"/>
              <w:adjustRightInd w:val="0"/>
              <w:jc w:val="center"/>
              <w:rPr>
                <w:noProof/>
                <w:szCs w:val="24"/>
                <w:lang w:eastAsia="en-GB"/>
              </w:rPr>
            </w:pPr>
          </w:p>
          <w:p w14:paraId="651D0ADF" w14:textId="19633F74" w:rsidR="00F26A0D" w:rsidRPr="00DD0DE8" w:rsidRDefault="00936163" w:rsidP="00DD0DE8">
            <w:pPr>
              <w:widowControl w:val="0"/>
              <w:autoSpaceDE w:val="0"/>
              <w:autoSpaceDN w:val="0"/>
              <w:adjustRightInd w:val="0"/>
              <w:jc w:val="center"/>
              <w:rPr>
                <w:szCs w:val="24"/>
              </w:rPr>
            </w:pPr>
            <w:r>
              <w:rPr>
                <w:noProof/>
                <w:szCs w:val="24"/>
                <w:lang w:eastAsia="en-GB"/>
              </w:rPr>
              <w:drawing>
                <wp:inline distT="0" distB="0" distL="0" distR="0" wp14:anchorId="0E056DD0" wp14:editId="5EDFBB8B">
                  <wp:extent cx="1362974" cy="1251255"/>
                  <wp:effectExtent l="0" t="0" r="8890" b="6350"/>
                  <wp:docPr id="39" name="Picture 39" descr="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 (1)"/>
                          <pic:cNvPicPr>
                            <a:picLocks noChangeAspect="1" noChangeArrowheads="1"/>
                          </pic:cNvPicPr>
                        </pic:nvPicPr>
                        <pic:blipFill>
                          <a:blip r:embed="rId15">
                            <a:extLst>
                              <a:ext uri="{28A0092B-C50C-407E-A947-70E740481C1C}">
                                <a14:useLocalDpi xmlns:a14="http://schemas.microsoft.com/office/drawing/2010/main" val="0"/>
                              </a:ext>
                            </a:extLst>
                          </a:blip>
                          <a:srcRect l="22667" t="11363" r="24001" b="4630"/>
                          <a:stretch>
                            <a:fillRect/>
                          </a:stretch>
                        </pic:blipFill>
                        <pic:spPr bwMode="auto">
                          <a:xfrm>
                            <a:off x="0" y="0"/>
                            <a:ext cx="1363396" cy="1251642"/>
                          </a:xfrm>
                          <a:prstGeom prst="rect">
                            <a:avLst/>
                          </a:prstGeom>
                          <a:noFill/>
                          <a:ln>
                            <a:noFill/>
                          </a:ln>
                        </pic:spPr>
                      </pic:pic>
                    </a:graphicData>
                  </a:graphic>
                </wp:inline>
              </w:drawing>
            </w:r>
          </w:p>
          <w:p w14:paraId="2636EF8B" w14:textId="17DF970A" w:rsidR="00F26A0D" w:rsidRPr="00DD0DE8" w:rsidRDefault="00F26A0D" w:rsidP="00FF00AD">
            <w:pPr>
              <w:widowControl w:val="0"/>
              <w:autoSpaceDE w:val="0"/>
              <w:autoSpaceDN w:val="0"/>
              <w:adjustRightInd w:val="0"/>
              <w:jc w:val="center"/>
              <w:rPr>
                <w:szCs w:val="24"/>
              </w:rPr>
            </w:pPr>
            <w:r w:rsidRPr="00DD0DE8">
              <w:rPr>
                <w:szCs w:val="24"/>
              </w:rPr>
              <w:t xml:space="preserve">Steel </w:t>
            </w:r>
            <w:r w:rsidR="00FF00AD">
              <w:rPr>
                <w:szCs w:val="24"/>
              </w:rPr>
              <w:t>F</w:t>
            </w:r>
            <w:r w:rsidRPr="00DD0DE8">
              <w:rPr>
                <w:szCs w:val="24"/>
              </w:rPr>
              <w:t>rame</w:t>
            </w:r>
            <w:r w:rsidR="00FF00AD">
              <w:rPr>
                <w:szCs w:val="24"/>
              </w:rPr>
              <w:t xml:space="preserve"> SF</w:t>
            </w:r>
          </w:p>
        </w:tc>
        <w:tc>
          <w:tcPr>
            <w:tcW w:w="5688" w:type="dxa"/>
            <w:shd w:val="clear" w:color="auto" w:fill="auto"/>
          </w:tcPr>
          <w:p w14:paraId="24907BDE" w14:textId="77777777" w:rsidR="00F26A0D" w:rsidRPr="00544103" w:rsidRDefault="00F26A0D" w:rsidP="00DD0DE8">
            <w:pPr>
              <w:widowControl w:val="0"/>
              <w:autoSpaceDE w:val="0"/>
              <w:autoSpaceDN w:val="0"/>
              <w:adjustRightInd w:val="0"/>
            </w:pPr>
            <w:r w:rsidRPr="00544103">
              <w:t>From out to in: 5mm Rendering, 200mm Extruded Polystyrene (EPS), 10mm Plywood, 90mm Rockwool, 12.5mm Plasterboard</w:t>
            </w:r>
          </w:p>
          <w:p w14:paraId="75DC6560" w14:textId="75455412" w:rsidR="00F26A0D" w:rsidRPr="00DD0DE8" w:rsidRDefault="00F26A0D" w:rsidP="00DD0DE8">
            <w:pPr>
              <w:widowControl w:val="0"/>
              <w:autoSpaceDE w:val="0"/>
              <w:autoSpaceDN w:val="0"/>
              <w:adjustRightInd w:val="0"/>
              <w:rPr>
                <w:rFonts w:eastAsia="MS Gothic"/>
                <w:noProof/>
                <w:color w:val="000000"/>
              </w:rPr>
            </w:pPr>
            <w:r w:rsidRPr="00DD0DE8">
              <w:rPr>
                <w:rFonts w:eastAsia="MS Gothic"/>
                <w:noProof/>
                <w:color w:val="000000"/>
              </w:rPr>
              <w:t>Decrement factor (0-1): 0.36</w:t>
            </w:r>
            <w:r w:rsidR="00AB7224">
              <w:rPr>
                <w:rFonts w:eastAsia="MS Gothic"/>
                <w:noProof/>
                <w:color w:val="000000"/>
              </w:rPr>
              <w:t xml:space="preserve">; </w:t>
            </w:r>
            <w:r w:rsidRPr="00DD0DE8">
              <w:rPr>
                <w:rFonts w:eastAsia="MS Gothic"/>
                <w:noProof/>
                <w:color w:val="000000"/>
              </w:rPr>
              <w:t>Time Constant (Hrs): 4.9</w:t>
            </w:r>
          </w:p>
          <w:p w14:paraId="203A160D" w14:textId="6B0FB6F9" w:rsidR="00F26A0D" w:rsidRPr="00DD0DE8" w:rsidRDefault="00F26A0D" w:rsidP="00DD0DE8">
            <w:pPr>
              <w:widowControl w:val="0"/>
              <w:autoSpaceDE w:val="0"/>
              <w:autoSpaceDN w:val="0"/>
              <w:adjustRightInd w:val="0"/>
              <w:rPr>
                <w:rFonts w:eastAsia="MS Gothic"/>
                <w:noProof/>
                <w:color w:val="000000"/>
              </w:rPr>
            </w:pPr>
            <w:r w:rsidRPr="00DD0DE8">
              <w:rPr>
                <w:rFonts w:eastAsia="MS Gothic"/>
                <w:noProof/>
                <w:color w:val="000000"/>
              </w:rPr>
              <w:t>Admittance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1.39</w:t>
            </w:r>
            <w:r w:rsidR="00AB7224">
              <w:rPr>
                <w:rFonts w:eastAsia="MS Gothic"/>
                <w:noProof/>
                <w:color w:val="000000"/>
              </w:rPr>
              <w:t xml:space="preserve"> ; </w:t>
            </w:r>
            <w:r w:rsidR="00106E11">
              <w:rPr>
                <w:rFonts w:eastAsia="MS Gothic"/>
                <w:noProof/>
                <w:color w:val="000000"/>
              </w:rPr>
              <w:t>U-Value</w:t>
            </w:r>
            <w:r w:rsidRPr="00DD0DE8">
              <w:rPr>
                <w:rFonts w:eastAsia="MS Gothic"/>
                <w:noProof/>
                <w:color w:val="000000"/>
              </w:rPr>
              <w:t xml:space="preserve"> (</w:t>
            </w:r>
            <m:oMath>
              <m:r>
                <w:rPr>
                  <w:rFonts w:ascii="Cambria Math" w:hAnsi="Cambria Math"/>
                  <w:noProof/>
                  <w:color w:val="000000"/>
                </w:rPr>
                <m:t>W</m:t>
              </m:r>
            </m:oMath>
            <w:r w:rsidRPr="00DD0DE8">
              <w:rPr>
                <w:rFonts w:eastAsia="MS Gothic"/>
                <w:noProof/>
                <w:color w:val="000000"/>
              </w:rPr>
              <w:t>/</w:t>
            </w:r>
            <m:oMath>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r>
                <w:rPr>
                  <w:rFonts w:ascii="Cambria Math" w:hAnsi="Cambria Math"/>
                  <w:noProof/>
                  <w:color w:val="000000"/>
                </w:rPr>
                <m:t>K</m:t>
              </m:r>
            </m:oMath>
            <w:r w:rsidRPr="00DD0DE8">
              <w:rPr>
                <w:rFonts w:eastAsia="MS Gothic"/>
                <w:noProof/>
                <w:color w:val="000000"/>
              </w:rPr>
              <w:t>): 0.1</w:t>
            </w:r>
          </w:p>
          <w:p w14:paraId="6F6CA552" w14:textId="77777777" w:rsidR="00F26A0D" w:rsidRPr="00DD0DE8" w:rsidRDefault="00F26A0D" w:rsidP="00DD0DE8">
            <w:pPr>
              <w:widowControl w:val="0"/>
              <w:autoSpaceDE w:val="0"/>
              <w:autoSpaceDN w:val="0"/>
              <w:adjustRightInd w:val="0"/>
              <w:rPr>
                <w:szCs w:val="24"/>
              </w:rPr>
            </w:pPr>
            <w:r w:rsidRPr="00DD0DE8">
              <w:rPr>
                <w:rFonts w:eastAsia="MS Gothic"/>
                <w:noProof/>
                <w:color w:val="000000"/>
              </w:rPr>
              <w:t>Thickness (mm): 317.5</w:t>
            </w:r>
          </w:p>
        </w:tc>
      </w:tr>
    </w:tbl>
    <w:p w14:paraId="1C79A805" w14:textId="77777777" w:rsidR="00AC1DE2" w:rsidRDefault="00AC1DE2" w:rsidP="004A4806">
      <w:pPr>
        <w:pStyle w:val="Mainbodytext"/>
        <w:ind w:left="567" w:firstLine="0"/>
      </w:pPr>
    </w:p>
    <w:p w14:paraId="1B478630" w14:textId="77777777" w:rsidR="000B4CCC" w:rsidRDefault="000B4CCC" w:rsidP="00634C21">
      <w:pPr>
        <w:jc w:val="center"/>
        <w:rPr>
          <w:sz w:val="20"/>
          <w:szCs w:val="20"/>
        </w:rPr>
      </w:pPr>
    </w:p>
    <w:p w14:paraId="042CD7CB" w14:textId="77777777" w:rsidR="00634C21" w:rsidRPr="00634C21" w:rsidRDefault="00634C21" w:rsidP="00634C21">
      <w:pPr>
        <w:jc w:val="center"/>
        <w:rPr>
          <w:sz w:val="20"/>
          <w:szCs w:val="20"/>
        </w:rPr>
      </w:pPr>
      <w:r w:rsidRPr="00634C21">
        <w:rPr>
          <w:sz w:val="20"/>
          <w:szCs w:val="20"/>
        </w:rPr>
        <w:t>Table 2. Total discomfort hours by year and wall type</w:t>
      </w:r>
    </w:p>
    <w:tbl>
      <w:tblPr>
        <w:tblStyle w:val="TableGrid"/>
        <w:tblpPr w:leftFromText="180" w:rightFromText="180" w:vertAnchor="page" w:horzAnchor="margin" w:tblpXSpec="center" w:tblpY="1809"/>
        <w:tblW w:w="0" w:type="auto"/>
        <w:tblLayout w:type="fixed"/>
        <w:tblLook w:val="04A0" w:firstRow="1" w:lastRow="0" w:firstColumn="1" w:lastColumn="0" w:noHBand="0" w:noVBand="1"/>
      </w:tblPr>
      <w:tblGrid>
        <w:gridCol w:w="1774"/>
        <w:gridCol w:w="778"/>
        <w:gridCol w:w="850"/>
        <w:gridCol w:w="709"/>
        <w:gridCol w:w="851"/>
        <w:gridCol w:w="850"/>
      </w:tblGrid>
      <w:tr w:rsidR="00634C21" w:rsidRPr="001B0AC2" w14:paraId="5AC991EC" w14:textId="77777777" w:rsidTr="00634C21">
        <w:trPr>
          <w:trHeight w:val="338"/>
        </w:trPr>
        <w:tc>
          <w:tcPr>
            <w:tcW w:w="1774" w:type="dxa"/>
          </w:tcPr>
          <w:p w14:paraId="2D6923B9" w14:textId="54ADF262" w:rsidR="00634C21" w:rsidRPr="00634C21" w:rsidRDefault="00634C21" w:rsidP="00634C21">
            <w:pPr>
              <w:rPr>
                <w:szCs w:val="24"/>
              </w:rPr>
            </w:pPr>
            <w:r>
              <w:rPr>
                <w:szCs w:val="24"/>
              </w:rPr>
              <w:lastRenderedPageBreak/>
              <w:t>Year</w:t>
            </w:r>
            <w:r w:rsidRPr="00634C21">
              <w:rPr>
                <w:szCs w:val="24"/>
              </w:rPr>
              <w:t>/</w:t>
            </w:r>
            <w:r>
              <w:rPr>
                <w:szCs w:val="24"/>
              </w:rPr>
              <w:t>Wall</w:t>
            </w:r>
          </w:p>
        </w:tc>
        <w:tc>
          <w:tcPr>
            <w:tcW w:w="778" w:type="dxa"/>
          </w:tcPr>
          <w:p w14:paraId="358C47CD" w14:textId="77777777" w:rsidR="00634C21" w:rsidRPr="00634C21" w:rsidRDefault="00634C21" w:rsidP="00634C21">
            <w:pPr>
              <w:rPr>
                <w:szCs w:val="24"/>
              </w:rPr>
            </w:pPr>
            <w:r w:rsidRPr="00634C21">
              <w:rPr>
                <w:szCs w:val="24"/>
              </w:rPr>
              <w:t>BB</w:t>
            </w:r>
          </w:p>
        </w:tc>
        <w:tc>
          <w:tcPr>
            <w:tcW w:w="850" w:type="dxa"/>
          </w:tcPr>
          <w:p w14:paraId="61AB43E9" w14:textId="77777777" w:rsidR="00634C21" w:rsidRPr="00634C21" w:rsidRDefault="00634C21" w:rsidP="00634C21">
            <w:pPr>
              <w:rPr>
                <w:szCs w:val="24"/>
              </w:rPr>
            </w:pPr>
            <w:r w:rsidRPr="00634C21">
              <w:rPr>
                <w:szCs w:val="24"/>
              </w:rPr>
              <w:t>ICF</w:t>
            </w:r>
          </w:p>
        </w:tc>
        <w:tc>
          <w:tcPr>
            <w:tcW w:w="709" w:type="dxa"/>
          </w:tcPr>
          <w:p w14:paraId="02592394" w14:textId="77777777" w:rsidR="00634C21" w:rsidRPr="00634C21" w:rsidRDefault="00634C21" w:rsidP="00634C21">
            <w:pPr>
              <w:rPr>
                <w:szCs w:val="24"/>
              </w:rPr>
            </w:pPr>
            <w:r w:rsidRPr="00634C21">
              <w:rPr>
                <w:szCs w:val="24"/>
              </w:rPr>
              <w:t>SF</w:t>
            </w:r>
          </w:p>
        </w:tc>
        <w:tc>
          <w:tcPr>
            <w:tcW w:w="851" w:type="dxa"/>
          </w:tcPr>
          <w:p w14:paraId="30B6A7C1" w14:textId="77777777" w:rsidR="00634C21" w:rsidRPr="00634C21" w:rsidRDefault="00634C21" w:rsidP="00634C21">
            <w:pPr>
              <w:rPr>
                <w:szCs w:val="24"/>
              </w:rPr>
            </w:pPr>
            <w:r w:rsidRPr="00634C21">
              <w:rPr>
                <w:szCs w:val="24"/>
              </w:rPr>
              <w:t>TF</w:t>
            </w:r>
          </w:p>
        </w:tc>
        <w:tc>
          <w:tcPr>
            <w:tcW w:w="850" w:type="dxa"/>
          </w:tcPr>
          <w:p w14:paraId="6A4E596D" w14:textId="77777777" w:rsidR="00634C21" w:rsidRPr="00634C21" w:rsidRDefault="00634C21" w:rsidP="00634C21">
            <w:pPr>
              <w:rPr>
                <w:szCs w:val="24"/>
              </w:rPr>
            </w:pPr>
            <w:r w:rsidRPr="00634C21">
              <w:rPr>
                <w:szCs w:val="24"/>
              </w:rPr>
              <w:t>SIP</w:t>
            </w:r>
          </w:p>
        </w:tc>
      </w:tr>
      <w:tr w:rsidR="00634C21" w:rsidRPr="001B0AC2" w14:paraId="5C940ECC" w14:textId="77777777" w:rsidTr="00634C21">
        <w:tc>
          <w:tcPr>
            <w:tcW w:w="1774" w:type="dxa"/>
          </w:tcPr>
          <w:p w14:paraId="01EFF716" w14:textId="77777777" w:rsidR="00634C21" w:rsidRPr="00634C21" w:rsidRDefault="00634C21" w:rsidP="00634C21">
            <w:pPr>
              <w:rPr>
                <w:szCs w:val="24"/>
              </w:rPr>
            </w:pPr>
            <w:r w:rsidRPr="00634C21">
              <w:rPr>
                <w:szCs w:val="24"/>
              </w:rPr>
              <w:t>2011</w:t>
            </w:r>
          </w:p>
        </w:tc>
        <w:tc>
          <w:tcPr>
            <w:tcW w:w="778" w:type="dxa"/>
          </w:tcPr>
          <w:p w14:paraId="6DE6AD21" w14:textId="239617C6" w:rsidR="00634C21" w:rsidRPr="00634C21" w:rsidRDefault="00387E1F" w:rsidP="00634C21">
            <w:pPr>
              <w:rPr>
                <w:szCs w:val="24"/>
              </w:rPr>
            </w:pPr>
            <w:r>
              <w:rPr>
                <w:szCs w:val="24"/>
              </w:rPr>
              <w:t>2284</w:t>
            </w:r>
          </w:p>
        </w:tc>
        <w:tc>
          <w:tcPr>
            <w:tcW w:w="850" w:type="dxa"/>
          </w:tcPr>
          <w:p w14:paraId="458CB64A" w14:textId="2C9B3401" w:rsidR="00634C21" w:rsidRPr="00634C21" w:rsidRDefault="00387E1F" w:rsidP="00634C21">
            <w:pPr>
              <w:rPr>
                <w:szCs w:val="24"/>
              </w:rPr>
            </w:pPr>
            <w:r>
              <w:rPr>
                <w:szCs w:val="24"/>
              </w:rPr>
              <w:t>2289</w:t>
            </w:r>
          </w:p>
        </w:tc>
        <w:tc>
          <w:tcPr>
            <w:tcW w:w="709" w:type="dxa"/>
          </w:tcPr>
          <w:p w14:paraId="423A037C" w14:textId="5926C541" w:rsidR="00634C21" w:rsidRPr="00634C21" w:rsidRDefault="00387E1F" w:rsidP="00634C21">
            <w:pPr>
              <w:rPr>
                <w:szCs w:val="24"/>
              </w:rPr>
            </w:pPr>
            <w:r>
              <w:rPr>
                <w:szCs w:val="24"/>
              </w:rPr>
              <w:t>2284</w:t>
            </w:r>
          </w:p>
        </w:tc>
        <w:tc>
          <w:tcPr>
            <w:tcW w:w="851" w:type="dxa"/>
          </w:tcPr>
          <w:p w14:paraId="46A47447" w14:textId="3F6A45F9" w:rsidR="00634C21" w:rsidRPr="00634C21" w:rsidRDefault="00387E1F" w:rsidP="00634C21">
            <w:pPr>
              <w:rPr>
                <w:szCs w:val="24"/>
              </w:rPr>
            </w:pPr>
            <w:r>
              <w:rPr>
                <w:szCs w:val="24"/>
              </w:rPr>
              <w:t>2260</w:t>
            </w:r>
          </w:p>
        </w:tc>
        <w:tc>
          <w:tcPr>
            <w:tcW w:w="850" w:type="dxa"/>
          </w:tcPr>
          <w:p w14:paraId="2E0DA588" w14:textId="6B0B48DB" w:rsidR="00634C21" w:rsidRPr="00634C21" w:rsidRDefault="00387E1F" w:rsidP="00634C21">
            <w:pPr>
              <w:rPr>
                <w:szCs w:val="24"/>
              </w:rPr>
            </w:pPr>
            <w:r>
              <w:rPr>
                <w:szCs w:val="24"/>
              </w:rPr>
              <w:t>2284</w:t>
            </w:r>
          </w:p>
        </w:tc>
      </w:tr>
      <w:tr w:rsidR="00634C21" w:rsidRPr="001B0AC2" w14:paraId="272EC8CC" w14:textId="77777777" w:rsidTr="00634C21">
        <w:tc>
          <w:tcPr>
            <w:tcW w:w="1774" w:type="dxa"/>
          </w:tcPr>
          <w:p w14:paraId="37089162" w14:textId="77777777" w:rsidR="00634C21" w:rsidRPr="00634C21" w:rsidRDefault="00634C21" w:rsidP="00634C21">
            <w:pPr>
              <w:rPr>
                <w:szCs w:val="24"/>
              </w:rPr>
            </w:pPr>
            <w:r w:rsidRPr="00634C21">
              <w:rPr>
                <w:szCs w:val="24"/>
              </w:rPr>
              <w:t>2020</w:t>
            </w:r>
          </w:p>
        </w:tc>
        <w:tc>
          <w:tcPr>
            <w:tcW w:w="778" w:type="dxa"/>
          </w:tcPr>
          <w:p w14:paraId="5EBE3E4E" w14:textId="501ADF7F" w:rsidR="00634C21" w:rsidRPr="00634C21" w:rsidRDefault="00387E1F" w:rsidP="00634C21">
            <w:pPr>
              <w:rPr>
                <w:szCs w:val="24"/>
              </w:rPr>
            </w:pPr>
            <w:r>
              <w:rPr>
                <w:szCs w:val="24"/>
              </w:rPr>
              <w:t>2500</w:t>
            </w:r>
          </w:p>
        </w:tc>
        <w:tc>
          <w:tcPr>
            <w:tcW w:w="850" w:type="dxa"/>
          </w:tcPr>
          <w:p w14:paraId="43693125" w14:textId="2AF6ECE0" w:rsidR="00634C21" w:rsidRPr="00634C21" w:rsidRDefault="00387E1F" w:rsidP="00634C21">
            <w:pPr>
              <w:rPr>
                <w:szCs w:val="24"/>
              </w:rPr>
            </w:pPr>
            <w:r>
              <w:rPr>
                <w:szCs w:val="24"/>
              </w:rPr>
              <w:t>2504</w:t>
            </w:r>
          </w:p>
        </w:tc>
        <w:tc>
          <w:tcPr>
            <w:tcW w:w="709" w:type="dxa"/>
          </w:tcPr>
          <w:p w14:paraId="358F271E" w14:textId="5DEA15D4" w:rsidR="00634C21" w:rsidRPr="00634C21" w:rsidRDefault="00387E1F" w:rsidP="00634C21">
            <w:pPr>
              <w:rPr>
                <w:szCs w:val="24"/>
              </w:rPr>
            </w:pPr>
            <w:r>
              <w:rPr>
                <w:szCs w:val="24"/>
              </w:rPr>
              <w:t>2502</w:t>
            </w:r>
          </w:p>
        </w:tc>
        <w:tc>
          <w:tcPr>
            <w:tcW w:w="851" w:type="dxa"/>
          </w:tcPr>
          <w:p w14:paraId="4FDC7919" w14:textId="785458A7" w:rsidR="00634C21" w:rsidRPr="00634C21" w:rsidRDefault="00387E1F" w:rsidP="00634C21">
            <w:pPr>
              <w:rPr>
                <w:szCs w:val="24"/>
              </w:rPr>
            </w:pPr>
            <w:r>
              <w:rPr>
                <w:szCs w:val="24"/>
              </w:rPr>
              <w:t>2493</w:t>
            </w:r>
          </w:p>
        </w:tc>
        <w:tc>
          <w:tcPr>
            <w:tcW w:w="850" w:type="dxa"/>
          </w:tcPr>
          <w:p w14:paraId="581E8DB2" w14:textId="56D9FB6C" w:rsidR="00634C21" w:rsidRPr="00634C21" w:rsidRDefault="00387E1F" w:rsidP="00634C21">
            <w:pPr>
              <w:rPr>
                <w:szCs w:val="24"/>
              </w:rPr>
            </w:pPr>
            <w:r>
              <w:rPr>
                <w:szCs w:val="24"/>
              </w:rPr>
              <w:t>2498</w:t>
            </w:r>
          </w:p>
        </w:tc>
      </w:tr>
      <w:tr w:rsidR="00634C21" w:rsidRPr="001B0AC2" w14:paraId="42F67487" w14:textId="77777777" w:rsidTr="00634C21">
        <w:tc>
          <w:tcPr>
            <w:tcW w:w="1774" w:type="dxa"/>
          </w:tcPr>
          <w:p w14:paraId="48D9F980" w14:textId="77777777" w:rsidR="00634C21" w:rsidRPr="00634C21" w:rsidRDefault="00634C21" w:rsidP="00634C21">
            <w:pPr>
              <w:rPr>
                <w:szCs w:val="24"/>
              </w:rPr>
            </w:pPr>
            <w:r w:rsidRPr="00634C21">
              <w:rPr>
                <w:szCs w:val="24"/>
              </w:rPr>
              <w:t>2030</w:t>
            </w:r>
          </w:p>
        </w:tc>
        <w:tc>
          <w:tcPr>
            <w:tcW w:w="778" w:type="dxa"/>
          </w:tcPr>
          <w:p w14:paraId="6D457099" w14:textId="31FCD970" w:rsidR="00634C21" w:rsidRPr="00634C21" w:rsidRDefault="00387E1F" w:rsidP="00634C21">
            <w:pPr>
              <w:rPr>
                <w:szCs w:val="24"/>
              </w:rPr>
            </w:pPr>
            <w:r>
              <w:rPr>
                <w:szCs w:val="24"/>
              </w:rPr>
              <w:t>2552</w:t>
            </w:r>
          </w:p>
        </w:tc>
        <w:tc>
          <w:tcPr>
            <w:tcW w:w="850" w:type="dxa"/>
          </w:tcPr>
          <w:p w14:paraId="1BFD9A44" w14:textId="038F48B6" w:rsidR="00634C21" w:rsidRPr="00634C21" w:rsidRDefault="00387E1F" w:rsidP="00634C21">
            <w:pPr>
              <w:rPr>
                <w:szCs w:val="24"/>
              </w:rPr>
            </w:pPr>
            <w:r>
              <w:rPr>
                <w:szCs w:val="24"/>
              </w:rPr>
              <w:t>2552</w:t>
            </w:r>
          </w:p>
        </w:tc>
        <w:tc>
          <w:tcPr>
            <w:tcW w:w="709" w:type="dxa"/>
          </w:tcPr>
          <w:p w14:paraId="6B13DFC4" w14:textId="2AE525DE" w:rsidR="00634C21" w:rsidRPr="00634C21" w:rsidRDefault="00387E1F" w:rsidP="00634C21">
            <w:pPr>
              <w:rPr>
                <w:szCs w:val="24"/>
              </w:rPr>
            </w:pPr>
            <w:r>
              <w:rPr>
                <w:szCs w:val="24"/>
              </w:rPr>
              <w:t>2551</w:t>
            </w:r>
          </w:p>
        </w:tc>
        <w:tc>
          <w:tcPr>
            <w:tcW w:w="851" w:type="dxa"/>
          </w:tcPr>
          <w:p w14:paraId="747C63D4" w14:textId="33EA6E85" w:rsidR="00634C21" w:rsidRPr="00634C21" w:rsidRDefault="00387E1F" w:rsidP="00634C21">
            <w:pPr>
              <w:rPr>
                <w:szCs w:val="24"/>
              </w:rPr>
            </w:pPr>
            <w:r>
              <w:rPr>
                <w:szCs w:val="24"/>
              </w:rPr>
              <w:t>2540</w:t>
            </w:r>
          </w:p>
        </w:tc>
        <w:tc>
          <w:tcPr>
            <w:tcW w:w="850" w:type="dxa"/>
          </w:tcPr>
          <w:p w14:paraId="630E9EFE" w14:textId="439EB8FC" w:rsidR="00634C21" w:rsidRPr="00634C21" w:rsidRDefault="00387E1F" w:rsidP="00634C21">
            <w:pPr>
              <w:rPr>
                <w:szCs w:val="24"/>
              </w:rPr>
            </w:pPr>
            <w:r>
              <w:rPr>
                <w:szCs w:val="24"/>
              </w:rPr>
              <w:t>2545</w:t>
            </w:r>
          </w:p>
        </w:tc>
      </w:tr>
      <w:tr w:rsidR="00634C21" w:rsidRPr="001B0AC2" w14:paraId="0E1FFB6B" w14:textId="77777777" w:rsidTr="00634C21">
        <w:tc>
          <w:tcPr>
            <w:tcW w:w="1774" w:type="dxa"/>
          </w:tcPr>
          <w:p w14:paraId="03E13B5C" w14:textId="77777777" w:rsidR="00634C21" w:rsidRPr="00634C21" w:rsidRDefault="00634C21" w:rsidP="00634C21">
            <w:pPr>
              <w:rPr>
                <w:szCs w:val="24"/>
              </w:rPr>
            </w:pPr>
            <w:r w:rsidRPr="00634C21">
              <w:rPr>
                <w:szCs w:val="24"/>
              </w:rPr>
              <w:t>2050</w:t>
            </w:r>
          </w:p>
        </w:tc>
        <w:tc>
          <w:tcPr>
            <w:tcW w:w="778" w:type="dxa"/>
          </w:tcPr>
          <w:p w14:paraId="72AEE381" w14:textId="4C2E7068" w:rsidR="00634C21" w:rsidRPr="00634C21" w:rsidRDefault="00387E1F" w:rsidP="00634C21">
            <w:pPr>
              <w:rPr>
                <w:szCs w:val="24"/>
              </w:rPr>
            </w:pPr>
            <w:r>
              <w:rPr>
                <w:szCs w:val="24"/>
              </w:rPr>
              <w:t>2648</w:t>
            </w:r>
          </w:p>
        </w:tc>
        <w:tc>
          <w:tcPr>
            <w:tcW w:w="850" w:type="dxa"/>
          </w:tcPr>
          <w:p w14:paraId="3A5AB6B6" w14:textId="3B2B7F21" w:rsidR="00634C21" w:rsidRPr="00634C21" w:rsidRDefault="00387E1F" w:rsidP="00634C21">
            <w:pPr>
              <w:rPr>
                <w:szCs w:val="24"/>
              </w:rPr>
            </w:pPr>
            <w:r>
              <w:rPr>
                <w:szCs w:val="24"/>
              </w:rPr>
              <w:t>2647</w:t>
            </w:r>
          </w:p>
        </w:tc>
        <w:tc>
          <w:tcPr>
            <w:tcW w:w="709" w:type="dxa"/>
          </w:tcPr>
          <w:p w14:paraId="45203EB5" w14:textId="0EB8D7D4" w:rsidR="00634C21" w:rsidRPr="00634C21" w:rsidRDefault="00387E1F" w:rsidP="00634C21">
            <w:pPr>
              <w:rPr>
                <w:szCs w:val="24"/>
              </w:rPr>
            </w:pPr>
            <w:r>
              <w:rPr>
                <w:szCs w:val="24"/>
              </w:rPr>
              <w:t>2645</w:t>
            </w:r>
          </w:p>
        </w:tc>
        <w:tc>
          <w:tcPr>
            <w:tcW w:w="851" w:type="dxa"/>
          </w:tcPr>
          <w:p w14:paraId="01127063" w14:textId="643C9463" w:rsidR="00634C21" w:rsidRPr="00634C21" w:rsidRDefault="00387E1F" w:rsidP="00634C21">
            <w:pPr>
              <w:rPr>
                <w:szCs w:val="24"/>
              </w:rPr>
            </w:pPr>
            <w:r>
              <w:rPr>
                <w:szCs w:val="24"/>
              </w:rPr>
              <w:t>2623</w:t>
            </w:r>
          </w:p>
        </w:tc>
        <w:tc>
          <w:tcPr>
            <w:tcW w:w="850" w:type="dxa"/>
          </w:tcPr>
          <w:p w14:paraId="3B6E3625" w14:textId="031598E6" w:rsidR="00634C21" w:rsidRPr="00634C21" w:rsidRDefault="00387E1F" w:rsidP="00634C21">
            <w:pPr>
              <w:rPr>
                <w:szCs w:val="24"/>
              </w:rPr>
            </w:pPr>
            <w:r>
              <w:rPr>
                <w:szCs w:val="24"/>
              </w:rPr>
              <w:t>2638</w:t>
            </w:r>
          </w:p>
        </w:tc>
      </w:tr>
    </w:tbl>
    <w:p w14:paraId="21F3911E" w14:textId="77777777" w:rsidR="000B4CCC" w:rsidRDefault="000B4CCC" w:rsidP="004A4A1E">
      <w:pPr>
        <w:pStyle w:val="Heading1"/>
      </w:pPr>
    </w:p>
    <w:p w14:paraId="1812EFC9" w14:textId="77777777" w:rsidR="000B4CCC" w:rsidRDefault="000B4CCC" w:rsidP="004A4A1E">
      <w:pPr>
        <w:pStyle w:val="Heading1"/>
      </w:pPr>
    </w:p>
    <w:p w14:paraId="2985BB3A" w14:textId="77777777" w:rsidR="000B4CCC" w:rsidRDefault="000B4CCC" w:rsidP="004A4A1E">
      <w:pPr>
        <w:pStyle w:val="Heading1"/>
      </w:pPr>
    </w:p>
    <w:p w14:paraId="2F6A4416" w14:textId="77777777" w:rsidR="00DD407D" w:rsidRDefault="00DD407D" w:rsidP="004A4A1E">
      <w:pPr>
        <w:pStyle w:val="Heading1"/>
      </w:pPr>
    </w:p>
    <w:p w14:paraId="1CBEC3C6" w14:textId="2BE27CB8" w:rsidR="004A4A1E" w:rsidRDefault="004A4A1E" w:rsidP="004A4A1E">
      <w:pPr>
        <w:pStyle w:val="Heading1"/>
      </w:pPr>
      <w:r>
        <w:t>Thermal mass effect</w:t>
      </w:r>
    </w:p>
    <w:p w14:paraId="4BC6A18E" w14:textId="2C84A810" w:rsidR="00A264F0" w:rsidRDefault="0061209B" w:rsidP="001D3B7C">
      <w:pPr>
        <w:pStyle w:val="Mainbodytext"/>
      </w:pPr>
      <w:r>
        <w:t>F</w:t>
      </w:r>
      <w:r w:rsidRPr="00A264F0">
        <w:t>or all periods in London</w:t>
      </w:r>
      <w:r>
        <w:t xml:space="preserve"> t</w:t>
      </w:r>
      <w:r w:rsidR="00CC201A">
        <w:t xml:space="preserve">he results </w:t>
      </w:r>
      <w:r w:rsidR="008E5CB1">
        <w:t>from the simulation</w:t>
      </w:r>
      <w:r>
        <w:t>s</w:t>
      </w:r>
      <w:r w:rsidR="00CC201A">
        <w:t xml:space="preserve"> show</w:t>
      </w:r>
      <w:r>
        <w:t>ed</w:t>
      </w:r>
      <w:r w:rsidR="00A264F0" w:rsidRPr="00A264F0">
        <w:t xml:space="preserve"> </w:t>
      </w:r>
      <w:r w:rsidR="008E5CB1">
        <w:t xml:space="preserve">a </w:t>
      </w:r>
      <w:r w:rsidR="00A264F0" w:rsidRPr="00A264F0">
        <w:t xml:space="preserve">slight advantage for </w:t>
      </w:r>
      <w:r w:rsidR="008E5CB1">
        <w:t>timber frame (</w:t>
      </w:r>
      <w:r w:rsidR="00A264F0" w:rsidRPr="00A264F0">
        <w:t>TF</w:t>
      </w:r>
      <w:r w:rsidR="008E5CB1">
        <w:t>)</w:t>
      </w:r>
      <w:r w:rsidR="00A264F0" w:rsidRPr="00A264F0">
        <w:t xml:space="preserve"> compared to the other</w:t>
      </w:r>
      <w:r w:rsidR="008E5CB1">
        <w:t xml:space="preserve"> wall constructions</w:t>
      </w:r>
      <w:r w:rsidR="00A264F0" w:rsidRPr="00A264F0">
        <w:t xml:space="preserve">. </w:t>
      </w:r>
      <w:r w:rsidR="008E5CB1">
        <w:t xml:space="preserve">Table 1 shows that brick and block (BB) </w:t>
      </w:r>
      <w:r w:rsidR="00A264F0" w:rsidRPr="00A264F0">
        <w:t>ha</w:t>
      </w:r>
      <w:r>
        <w:t>d</w:t>
      </w:r>
      <w:r w:rsidR="00A264F0" w:rsidRPr="00A264F0">
        <w:t xml:space="preserve"> the </w:t>
      </w:r>
      <w:r w:rsidR="008E5CB1">
        <w:t>highest</w:t>
      </w:r>
      <w:r w:rsidR="00A264F0" w:rsidRPr="00A264F0">
        <w:t xml:space="preserve"> admittance factor, which demonstrates </w:t>
      </w:r>
      <w:r w:rsidR="008E5CB1">
        <w:t xml:space="preserve">a </w:t>
      </w:r>
      <w:r w:rsidR="00A264F0" w:rsidRPr="00A264F0">
        <w:t xml:space="preserve">high level of thermal mass. However, maximum discomfort hours </w:t>
      </w:r>
      <w:r w:rsidR="008E5CB1">
        <w:t>for</w:t>
      </w:r>
      <w:r w:rsidR="00A264F0" w:rsidRPr="00A264F0">
        <w:t xml:space="preserve"> most of the </w:t>
      </w:r>
      <w:r w:rsidR="008E5CB1" w:rsidRPr="00A264F0">
        <w:t>time</w:t>
      </w:r>
      <w:r w:rsidR="008E5CB1">
        <w:t>s</w:t>
      </w:r>
      <w:r w:rsidR="00A264F0" w:rsidRPr="00A264F0">
        <w:t xml:space="preserve"> </w:t>
      </w:r>
      <w:r>
        <w:t>was</w:t>
      </w:r>
      <w:r w:rsidR="00A264F0" w:rsidRPr="00A264F0">
        <w:t xml:space="preserve"> observed </w:t>
      </w:r>
      <w:r w:rsidR="008E5CB1">
        <w:t>for</w:t>
      </w:r>
      <w:r w:rsidR="00A264F0" w:rsidRPr="00A264F0">
        <w:t xml:space="preserve"> BB. The </w:t>
      </w:r>
      <w:r w:rsidR="008E5CB1" w:rsidRPr="00A264F0">
        <w:t>behaviour</w:t>
      </w:r>
      <w:r w:rsidR="00A264F0" w:rsidRPr="00A264F0">
        <w:t xml:space="preserve"> of </w:t>
      </w:r>
      <w:r>
        <w:t>the s</w:t>
      </w:r>
      <w:r w:rsidRPr="00DD0DE8">
        <w:t xml:space="preserve">teel </w:t>
      </w:r>
      <w:r>
        <w:t>f</w:t>
      </w:r>
      <w:r w:rsidRPr="00DD0DE8">
        <w:t>rame</w:t>
      </w:r>
      <w:r>
        <w:t xml:space="preserve"> (</w:t>
      </w:r>
      <w:r w:rsidR="00A264F0" w:rsidRPr="00A264F0">
        <w:t>SF</w:t>
      </w:r>
      <w:r>
        <w:t>)</w:t>
      </w:r>
      <w:r w:rsidR="00A264F0" w:rsidRPr="00A264F0">
        <w:t xml:space="preserve"> and </w:t>
      </w:r>
      <w:r>
        <w:t>i</w:t>
      </w:r>
      <w:r w:rsidRPr="00DD0DE8">
        <w:t xml:space="preserve">nsulating </w:t>
      </w:r>
      <w:r>
        <w:t>c</w:t>
      </w:r>
      <w:r w:rsidRPr="00DD0DE8">
        <w:t xml:space="preserve">oncrete </w:t>
      </w:r>
      <w:r>
        <w:t>f</w:t>
      </w:r>
      <w:r w:rsidRPr="00DD0DE8">
        <w:t>ormwork</w:t>
      </w:r>
      <w:r>
        <w:t xml:space="preserve"> (</w:t>
      </w:r>
      <w:r w:rsidR="00A264F0" w:rsidRPr="00A264F0">
        <w:t>ICF</w:t>
      </w:r>
      <w:r>
        <w:t>)</w:t>
      </w:r>
      <w:r w:rsidR="00A264F0" w:rsidRPr="00A264F0">
        <w:t xml:space="preserve"> are almost the same as BB. However, as the </w:t>
      </w:r>
      <w:r w:rsidR="008E5CB1">
        <w:t>climate</w:t>
      </w:r>
      <w:r w:rsidR="00A264F0" w:rsidRPr="00A264F0">
        <w:t xml:space="preserve"> </w:t>
      </w:r>
      <w:r w:rsidR="008E5CB1">
        <w:t>warms so the</w:t>
      </w:r>
      <w:r w:rsidR="008E5CB1" w:rsidRPr="008E5CB1">
        <w:t xml:space="preserve"> </w:t>
      </w:r>
      <w:r w:rsidRPr="00A264F0">
        <w:t>performance</w:t>
      </w:r>
      <w:r>
        <w:t xml:space="preserve"> of the </w:t>
      </w:r>
      <w:r w:rsidR="008E5CB1">
        <w:t>s</w:t>
      </w:r>
      <w:r w:rsidR="008E5CB1" w:rsidRPr="00DD0DE8">
        <w:t xml:space="preserve">tructural </w:t>
      </w:r>
      <w:r w:rsidR="008E5CB1">
        <w:t>i</w:t>
      </w:r>
      <w:r w:rsidR="008E5CB1" w:rsidRPr="00DD0DE8">
        <w:t xml:space="preserve">nsulated </w:t>
      </w:r>
      <w:r w:rsidR="008E5CB1">
        <w:t>pa</w:t>
      </w:r>
      <w:r w:rsidR="008E5CB1" w:rsidRPr="00DD0DE8">
        <w:t>nel</w:t>
      </w:r>
      <w:r w:rsidR="008E5CB1">
        <w:t xml:space="preserve"> (</w:t>
      </w:r>
      <w:r w:rsidR="00A264F0" w:rsidRPr="00A264F0">
        <w:t>SIP</w:t>
      </w:r>
      <w:r w:rsidR="008E5CB1">
        <w:t>)</w:t>
      </w:r>
      <w:r w:rsidR="00A264F0" w:rsidRPr="00A264F0">
        <w:t xml:space="preserve"> </w:t>
      </w:r>
      <w:r w:rsidR="008E5CB1">
        <w:t>reduce</w:t>
      </w:r>
      <w:r>
        <w:t>d</w:t>
      </w:r>
      <w:r w:rsidR="00A264F0" w:rsidRPr="00A264F0">
        <w:t xml:space="preserve"> compared to the other systems. </w:t>
      </w:r>
      <w:r>
        <w:t>The</w:t>
      </w:r>
      <w:r w:rsidR="00A264F0" w:rsidRPr="00A264F0">
        <w:t xml:space="preserve"> systems </w:t>
      </w:r>
      <w:r>
        <w:t xml:space="preserve">all </w:t>
      </w:r>
      <w:r w:rsidR="00A264F0" w:rsidRPr="00A264F0">
        <w:t>ha</w:t>
      </w:r>
      <w:r>
        <w:t>d</w:t>
      </w:r>
      <w:r w:rsidR="00A264F0" w:rsidRPr="00A264F0">
        <w:t xml:space="preserve"> the same </w:t>
      </w:r>
      <w:r w:rsidR="00106E11">
        <w:t>U-Value</w:t>
      </w:r>
      <w:r w:rsidR="00A264F0" w:rsidRPr="00A264F0">
        <w:t xml:space="preserve">, </w:t>
      </w:r>
      <w:r>
        <w:t xml:space="preserve">and </w:t>
      </w:r>
      <w:r w:rsidR="004A4A1E">
        <w:t>so the</w:t>
      </w:r>
      <w:r w:rsidR="00A264F0" w:rsidRPr="00A264F0">
        <w:t xml:space="preserve"> thermal mass does not seem to </w:t>
      </w:r>
      <w:r w:rsidR="00E83AC1">
        <w:t>provide a ben</w:t>
      </w:r>
      <w:r>
        <w:t>efit</w:t>
      </w:r>
      <w:r w:rsidR="00A264F0" w:rsidRPr="00A264F0">
        <w:t xml:space="preserve"> in terms of </w:t>
      </w:r>
      <w:r>
        <w:t xml:space="preserve">reducing </w:t>
      </w:r>
      <w:r w:rsidR="008277C8">
        <w:t xml:space="preserve">annual </w:t>
      </w:r>
      <w:r w:rsidR="004A4A1E">
        <w:t>dis</w:t>
      </w:r>
      <w:r w:rsidR="00A264F0" w:rsidRPr="00A264F0">
        <w:t>comfort hours.</w:t>
      </w:r>
    </w:p>
    <w:p w14:paraId="1E309057" w14:textId="77777777" w:rsidR="00A264F0" w:rsidRDefault="00A264F0" w:rsidP="00A264F0">
      <w:pPr>
        <w:pStyle w:val="Heading1"/>
      </w:pPr>
      <w:r>
        <w:t>Insulation effect</w:t>
      </w:r>
    </w:p>
    <w:p w14:paraId="481E2595" w14:textId="41899D44" w:rsidR="00A264F0" w:rsidRDefault="00A264F0" w:rsidP="00A264F0">
      <w:pPr>
        <w:pStyle w:val="Firstparagraphofsection"/>
      </w:pPr>
      <w:r w:rsidRPr="00A264F0">
        <w:t xml:space="preserve">The study reduced the amount of insulation thickness in each construction </w:t>
      </w:r>
      <w:r w:rsidR="008277C8">
        <w:t xml:space="preserve">(i.e. </w:t>
      </w:r>
      <w:r w:rsidR="008277C8" w:rsidRPr="00A264F0">
        <w:t>increase</w:t>
      </w:r>
      <w:r w:rsidR="008277C8">
        <w:t>d the</w:t>
      </w:r>
      <w:r w:rsidR="008277C8" w:rsidRPr="00A264F0">
        <w:t xml:space="preserve"> </w:t>
      </w:r>
      <w:r w:rsidR="00106E11">
        <w:t>U-Value</w:t>
      </w:r>
      <w:r w:rsidR="008277C8">
        <w:t xml:space="preserve">) </w:t>
      </w:r>
      <w:r w:rsidRPr="00A264F0">
        <w:t>to observe the impact of insulation thickness on the overall performance. Figure</w:t>
      </w:r>
      <w:r w:rsidR="00766756">
        <w:t>s</w:t>
      </w:r>
      <w:r w:rsidRPr="00A264F0">
        <w:t xml:space="preserve"> </w:t>
      </w:r>
      <w:r w:rsidR="00B74212">
        <w:t>3</w:t>
      </w:r>
      <w:r w:rsidRPr="00A264F0">
        <w:t xml:space="preserve"> to </w:t>
      </w:r>
      <w:r w:rsidR="00634C21">
        <w:t>6</w:t>
      </w:r>
      <w:r w:rsidRPr="00A264F0">
        <w:t xml:space="preserve"> demonstrate the results of this </w:t>
      </w:r>
      <w:r w:rsidR="00106E11">
        <w:t xml:space="preserve">insulation </w:t>
      </w:r>
      <w:r w:rsidRPr="00A264F0">
        <w:t>reduction</w:t>
      </w:r>
      <w:r w:rsidR="008277C8">
        <w:t xml:space="preserve"> for each construction system</w:t>
      </w:r>
      <w:r w:rsidRPr="00A264F0">
        <w:t>.</w:t>
      </w:r>
    </w:p>
    <w:p w14:paraId="4794A603" w14:textId="77777777" w:rsidR="00A264F0" w:rsidRDefault="00A264F0" w:rsidP="00A264F0">
      <w:pPr>
        <w:pStyle w:val="Mainbodytext"/>
      </w:pPr>
    </w:p>
    <w:p w14:paraId="2CB1959C" w14:textId="3BF86772" w:rsidR="00A264F0" w:rsidRDefault="00936163" w:rsidP="00A264F0">
      <w:pPr>
        <w:pStyle w:val="Mainbodytext"/>
      </w:pPr>
      <w:r>
        <w:rPr>
          <w:rFonts w:ascii="Calibri Light" w:hAnsi="Calibri Light"/>
          <w:noProof/>
          <w:lang w:eastAsia="en-GB"/>
        </w:rPr>
        <w:drawing>
          <wp:inline distT="0" distB="0" distL="0" distR="0" wp14:anchorId="0D93F7D3" wp14:editId="43CFA38B">
            <wp:extent cx="5286375" cy="2028825"/>
            <wp:effectExtent l="0" t="0" r="9525" b="9525"/>
            <wp:docPr id="50"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55751" w14:textId="0D2E417A" w:rsidR="00A264F0" w:rsidRPr="00A264F0" w:rsidRDefault="00A264F0" w:rsidP="00A264F0">
      <w:pPr>
        <w:pStyle w:val="Mainbodytext"/>
        <w:jc w:val="center"/>
        <w:rPr>
          <w:sz w:val="20"/>
          <w:szCs w:val="20"/>
        </w:rPr>
      </w:pPr>
      <w:r>
        <w:rPr>
          <w:sz w:val="20"/>
          <w:szCs w:val="20"/>
        </w:rPr>
        <w:t xml:space="preserve">Figure </w:t>
      </w:r>
      <w:r w:rsidR="00B74212">
        <w:rPr>
          <w:sz w:val="20"/>
          <w:szCs w:val="20"/>
        </w:rPr>
        <w:t>3</w:t>
      </w:r>
      <w:r>
        <w:rPr>
          <w:sz w:val="20"/>
          <w:szCs w:val="20"/>
        </w:rPr>
        <w:t>.</w:t>
      </w:r>
      <w:r w:rsidRPr="00A264F0">
        <w:rPr>
          <w:sz w:val="20"/>
          <w:szCs w:val="20"/>
        </w:rPr>
        <w:t xml:space="preserve"> </w:t>
      </w:r>
      <w:r w:rsidR="00C907E8">
        <w:rPr>
          <w:sz w:val="20"/>
          <w:szCs w:val="20"/>
        </w:rPr>
        <w:t>C</w:t>
      </w:r>
      <w:r w:rsidRPr="00A264F0">
        <w:rPr>
          <w:sz w:val="20"/>
          <w:szCs w:val="20"/>
        </w:rPr>
        <w:t>omparison of insulation thickness effect in BB construction, London</w:t>
      </w:r>
    </w:p>
    <w:p w14:paraId="58C3974E" w14:textId="77777777" w:rsidR="007A5BD8" w:rsidRDefault="007A5BD8" w:rsidP="001D3B7C">
      <w:pPr>
        <w:pStyle w:val="Mainbodytext"/>
      </w:pPr>
    </w:p>
    <w:p w14:paraId="5CB444D8" w14:textId="33321861" w:rsidR="00634C21" w:rsidRDefault="00634C21" w:rsidP="00634C21">
      <w:pPr>
        <w:pStyle w:val="Mainbodytext"/>
      </w:pPr>
      <w:r>
        <w:t>F</w:t>
      </w:r>
      <w:r w:rsidR="00A264F0" w:rsidRPr="00A264F0">
        <w:t xml:space="preserve">igure </w:t>
      </w:r>
      <w:r w:rsidR="00B74212">
        <w:t>3</w:t>
      </w:r>
      <w:r w:rsidR="00A264F0" w:rsidRPr="00A264F0">
        <w:t xml:space="preserve"> </w:t>
      </w:r>
      <w:r w:rsidR="008277C8">
        <w:t>suggests</w:t>
      </w:r>
      <w:r w:rsidR="007C0029">
        <w:t xml:space="preserve"> that</w:t>
      </w:r>
      <w:r w:rsidR="00A264F0" w:rsidRPr="00A264F0">
        <w:t xml:space="preserve"> </w:t>
      </w:r>
      <w:r w:rsidR="00106E11">
        <w:t xml:space="preserve">for the brick and block BB wall, </w:t>
      </w:r>
      <w:r w:rsidR="008277C8">
        <w:t xml:space="preserve">reducing </w:t>
      </w:r>
      <w:r w:rsidR="00A264F0" w:rsidRPr="00A264F0">
        <w:t xml:space="preserve">the </w:t>
      </w:r>
      <w:r w:rsidR="008277C8">
        <w:t>i</w:t>
      </w:r>
      <w:r w:rsidR="00A264F0" w:rsidRPr="00A264F0">
        <w:t xml:space="preserve">nsulation thickness </w:t>
      </w:r>
      <w:r w:rsidR="008277C8">
        <w:t>(from that which gave a</w:t>
      </w:r>
      <w:r w:rsidR="00A264F0" w:rsidRPr="00A264F0">
        <w:t xml:space="preserve"> 0.1 </w:t>
      </w:r>
      <w:r w:rsidR="00106E11">
        <w:t>U-Value</w:t>
      </w:r>
      <w:r w:rsidR="008277C8">
        <w:t>)</w:t>
      </w:r>
      <w:r w:rsidR="00A264F0" w:rsidRPr="00A264F0">
        <w:t xml:space="preserve"> </w:t>
      </w:r>
      <w:r w:rsidR="00106E11">
        <w:t xml:space="preserve">to </w:t>
      </w:r>
      <w:r w:rsidR="00106E11" w:rsidRPr="00A264F0">
        <w:t>200mm and 1</w:t>
      </w:r>
      <w:r w:rsidR="00106E11">
        <w:t>0</w:t>
      </w:r>
      <w:r w:rsidR="00106E11" w:rsidRPr="00A264F0">
        <w:t xml:space="preserve">0 mm </w:t>
      </w:r>
      <w:r w:rsidR="00106E11">
        <w:t>(U-Values of</w:t>
      </w:r>
      <w:r w:rsidR="00106E11" w:rsidRPr="00A264F0">
        <w:t xml:space="preserve"> 0.13 and 0.2 respectively</w:t>
      </w:r>
      <w:r w:rsidR="00106E11">
        <w:t>)</w:t>
      </w:r>
      <w:r w:rsidR="00106E11" w:rsidRPr="00A264F0">
        <w:t xml:space="preserve"> </w:t>
      </w:r>
      <w:r w:rsidR="00A264F0" w:rsidRPr="00A264F0">
        <w:t xml:space="preserve">does not </w:t>
      </w:r>
      <w:r w:rsidR="008277C8">
        <w:t>give</w:t>
      </w:r>
      <w:r w:rsidR="00A264F0" w:rsidRPr="00A264F0">
        <w:t xml:space="preserve"> significant </w:t>
      </w:r>
      <w:r w:rsidR="00106E11">
        <w:t>differences</w:t>
      </w:r>
      <w:r w:rsidR="00A264F0" w:rsidRPr="00A264F0">
        <w:t xml:space="preserve"> in </w:t>
      </w:r>
      <w:r w:rsidR="00106E11">
        <w:t>annual dis</w:t>
      </w:r>
      <w:r w:rsidR="00106E11" w:rsidRPr="00A264F0">
        <w:t>comfort hours.</w:t>
      </w:r>
      <w:r w:rsidR="007A5BD8">
        <w:t xml:space="preserve"> </w:t>
      </w:r>
      <w:r w:rsidR="00541E7F">
        <w:t xml:space="preserve">For the </w:t>
      </w:r>
      <w:r w:rsidRPr="00A264F0">
        <w:t xml:space="preserve">ICF wall </w:t>
      </w:r>
      <w:r w:rsidR="00541E7F">
        <w:t xml:space="preserve">(Figure </w:t>
      </w:r>
      <w:r w:rsidR="00B74212">
        <w:t>4</w:t>
      </w:r>
      <w:r w:rsidR="00541E7F">
        <w:t>)</w:t>
      </w:r>
      <w:r w:rsidRPr="00A264F0">
        <w:t xml:space="preserve">, </w:t>
      </w:r>
      <w:r w:rsidR="00106E11">
        <w:t xml:space="preserve">the </w:t>
      </w:r>
      <w:r w:rsidRPr="00A264F0">
        <w:t>maximum insulation thickness</w:t>
      </w:r>
      <w:r w:rsidR="008858D9">
        <w:t xml:space="preserve"> (320mm)</w:t>
      </w:r>
      <w:r w:rsidRPr="00A264F0">
        <w:t xml:space="preserve"> </w:t>
      </w:r>
      <w:r w:rsidR="008858D9">
        <w:t xml:space="preserve">for the </w:t>
      </w:r>
      <w:r w:rsidRPr="00A264F0">
        <w:t xml:space="preserve">0.1 </w:t>
      </w:r>
      <w:r w:rsidR="00106E11">
        <w:t>U-Value</w:t>
      </w:r>
      <w:r w:rsidRPr="00A264F0">
        <w:t xml:space="preserve"> </w:t>
      </w:r>
      <w:r w:rsidR="008858D9">
        <w:t>provides</w:t>
      </w:r>
      <w:r w:rsidRPr="00A264F0">
        <w:t xml:space="preserve"> a </w:t>
      </w:r>
      <w:r w:rsidR="008858D9">
        <w:t>small</w:t>
      </w:r>
      <w:r w:rsidRPr="00A264F0">
        <w:t xml:space="preserve"> </w:t>
      </w:r>
      <w:r w:rsidR="008858D9">
        <w:t xml:space="preserve">comfort advantage for current weather </w:t>
      </w:r>
      <w:r w:rsidR="007A5BD8">
        <w:t xml:space="preserve">data </w:t>
      </w:r>
      <w:r w:rsidR="008858D9">
        <w:t xml:space="preserve">compared to the </w:t>
      </w:r>
      <w:r w:rsidRPr="00A264F0">
        <w:t xml:space="preserve">200mm </w:t>
      </w:r>
      <w:r w:rsidR="008858D9">
        <w:t>(</w:t>
      </w:r>
      <w:r w:rsidRPr="00A264F0">
        <w:t xml:space="preserve">0.15 </w:t>
      </w:r>
      <w:r w:rsidR="00106E11">
        <w:t>U-Value</w:t>
      </w:r>
      <w:r w:rsidR="008858D9">
        <w:t>)</w:t>
      </w:r>
      <w:r w:rsidRPr="00A264F0">
        <w:t xml:space="preserve"> and 100mm </w:t>
      </w:r>
      <w:r w:rsidR="008858D9">
        <w:t>(</w:t>
      </w:r>
      <w:r w:rsidRPr="00A264F0">
        <w:t xml:space="preserve">0.28 </w:t>
      </w:r>
      <w:r w:rsidR="00106E11">
        <w:t>U-Value</w:t>
      </w:r>
      <w:r w:rsidR="008858D9">
        <w:t xml:space="preserve">) insulation </w:t>
      </w:r>
      <w:r w:rsidR="008858D9" w:rsidRPr="00A264F0">
        <w:t>thickness</w:t>
      </w:r>
      <w:r w:rsidR="008858D9">
        <w:t xml:space="preserve">es. However, this benefit narrows and then disappears during the following decades. </w:t>
      </w:r>
    </w:p>
    <w:p w14:paraId="4525F852" w14:textId="77777777" w:rsidR="00634C21" w:rsidRDefault="00634C21" w:rsidP="001D3B7C">
      <w:pPr>
        <w:pStyle w:val="Mainbodytext"/>
      </w:pPr>
    </w:p>
    <w:p w14:paraId="52F69CFC" w14:textId="6ECC6601" w:rsidR="00A264F0" w:rsidRDefault="00936163" w:rsidP="001D3B7C">
      <w:pPr>
        <w:pStyle w:val="Mainbodytext"/>
      </w:pPr>
      <w:r>
        <w:rPr>
          <w:rFonts w:ascii="Calibri Light" w:hAnsi="Calibri Light"/>
          <w:noProof/>
          <w:lang w:eastAsia="en-GB"/>
        </w:rPr>
        <w:lastRenderedPageBreak/>
        <w:drawing>
          <wp:inline distT="0" distB="0" distL="0" distR="0" wp14:anchorId="00971A05" wp14:editId="4122CAD7">
            <wp:extent cx="5295900" cy="2238375"/>
            <wp:effectExtent l="0" t="0" r="0" b="0"/>
            <wp:docPr id="51"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F13E85" w14:textId="17FBB6E3" w:rsidR="00A264F0" w:rsidRPr="00A264F0" w:rsidRDefault="00A264F0" w:rsidP="00A264F0">
      <w:pPr>
        <w:pStyle w:val="Mainbodytext"/>
        <w:jc w:val="center"/>
        <w:rPr>
          <w:sz w:val="20"/>
          <w:szCs w:val="20"/>
        </w:rPr>
      </w:pPr>
      <w:r>
        <w:rPr>
          <w:sz w:val="20"/>
          <w:szCs w:val="20"/>
        </w:rPr>
        <w:t xml:space="preserve">Figure </w:t>
      </w:r>
      <w:r w:rsidR="00B74212">
        <w:rPr>
          <w:sz w:val="20"/>
          <w:szCs w:val="20"/>
        </w:rPr>
        <w:t>4</w:t>
      </w:r>
      <w:r>
        <w:rPr>
          <w:sz w:val="20"/>
          <w:szCs w:val="20"/>
        </w:rPr>
        <w:t>.</w:t>
      </w:r>
      <w:r w:rsidRPr="00A264F0">
        <w:rPr>
          <w:sz w:val="20"/>
          <w:szCs w:val="20"/>
        </w:rPr>
        <w:t xml:space="preserve"> </w:t>
      </w:r>
      <w:r w:rsidR="00C907E8">
        <w:rPr>
          <w:sz w:val="20"/>
          <w:szCs w:val="20"/>
        </w:rPr>
        <w:t>C</w:t>
      </w:r>
      <w:r w:rsidRPr="00A264F0">
        <w:rPr>
          <w:sz w:val="20"/>
          <w:szCs w:val="20"/>
        </w:rPr>
        <w:t>omparison of insulation thickness effect in ICF construction, London</w:t>
      </w:r>
    </w:p>
    <w:p w14:paraId="16F85F64" w14:textId="77777777" w:rsidR="00A264F0" w:rsidRDefault="00A264F0" w:rsidP="001D3B7C">
      <w:pPr>
        <w:pStyle w:val="Mainbodytext"/>
      </w:pPr>
    </w:p>
    <w:p w14:paraId="21B9E905" w14:textId="5FF6FD57" w:rsidR="00C907E8" w:rsidRDefault="007A5BD8" w:rsidP="00C907E8">
      <w:pPr>
        <w:pStyle w:val="Mainbodytext"/>
      </w:pPr>
      <w:r>
        <w:t xml:space="preserve">The TF wall (Figure </w:t>
      </w:r>
      <w:r w:rsidR="00B74212">
        <w:t>5</w:t>
      </w:r>
      <w:r>
        <w:t xml:space="preserve">) demonstrates a similar trend to the ICF wall, with an initial small comfort benefit for </w:t>
      </w:r>
      <w:r w:rsidRPr="0020352E">
        <w:t>London 2011 weather data</w:t>
      </w:r>
      <w:r>
        <w:t xml:space="preserve"> as the insulation thicknesses are reduced (U-Values of</w:t>
      </w:r>
      <w:r w:rsidRPr="0020352E">
        <w:t xml:space="preserve"> 0.15 and 0.24 W/m</w:t>
      </w:r>
      <w:r w:rsidRPr="007A5BD8">
        <w:rPr>
          <w:vertAlign w:val="superscript"/>
        </w:rPr>
        <w:t>2</w:t>
      </w:r>
      <w:r w:rsidRPr="0020352E">
        <w:t xml:space="preserve"> K </w:t>
      </w:r>
      <w:r>
        <w:t>for</w:t>
      </w:r>
      <w:r w:rsidRPr="0020352E">
        <w:t xml:space="preserve"> 200 and 100 mm </w:t>
      </w:r>
      <w:r>
        <w:t>thicknesses</w:t>
      </w:r>
      <w:r w:rsidRPr="0020352E">
        <w:t xml:space="preserve"> respectively</w:t>
      </w:r>
      <w:r>
        <w:t xml:space="preserve">). However, as with the ICF wall, the benefit is soon lost. </w:t>
      </w:r>
    </w:p>
    <w:p w14:paraId="425CF4C0" w14:textId="587506F6" w:rsidR="00C907E8" w:rsidRDefault="00C907E8" w:rsidP="00541E7F">
      <w:pPr>
        <w:pStyle w:val="Mainbodytext"/>
      </w:pPr>
    </w:p>
    <w:p w14:paraId="1C98FF5C" w14:textId="3CA9EA33" w:rsidR="00C907E8" w:rsidRDefault="00C907E8" w:rsidP="00541E7F">
      <w:pPr>
        <w:pStyle w:val="Mainbodytext"/>
      </w:pPr>
      <w:r>
        <w:rPr>
          <w:rFonts w:ascii="Calibri Light" w:hAnsi="Calibri Light"/>
          <w:noProof/>
          <w:lang w:eastAsia="en-GB"/>
        </w:rPr>
        <w:drawing>
          <wp:inline distT="0" distB="0" distL="0" distR="0" wp14:anchorId="5D8A7979" wp14:editId="2462F3B8">
            <wp:extent cx="5286375" cy="2124075"/>
            <wp:effectExtent l="0" t="0" r="0" b="0"/>
            <wp:docPr id="8"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CF3F73" w14:textId="1CD6B7F3" w:rsidR="00C907E8" w:rsidRDefault="00C907E8" w:rsidP="00C907E8">
      <w:pPr>
        <w:pStyle w:val="Mainbodytext"/>
        <w:jc w:val="center"/>
      </w:pPr>
      <w:r>
        <w:rPr>
          <w:sz w:val="20"/>
          <w:szCs w:val="20"/>
        </w:rPr>
        <w:t xml:space="preserve">Figure </w:t>
      </w:r>
      <w:r w:rsidR="00B74212">
        <w:rPr>
          <w:sz w:val="20"/>
          <w:szCs w:val="20"/>
        </w:rPr>
        <w:t>5</w:t>
      </w:r>
      <w:r>
        <w:rPr>
          <w:sz w:val="20"/>
          <w:szCs w:val="20"/>
        </w:rPr>
        <w:t>.</w:t>
      </w:r>
      <w:r w:rsidRPr="0020352E">
        <w:rPr>
          <w:sz w:val="20"/>
          <w:szCs w:val="20"/>
        </w:rPr>
        <w:t xml:space="preserve"> </w:t>
      </w:r>
      <w:r>
        <w:rPr>
          <w:sz w:val="20"/>
          <w:szCs w:val="20"/>
        </w:rPr>
        <w:t>C</w:t>
      </w:r>
      <w:r w:rsidRPr="0020352E">
        <w:rPr>
          <w:sz w:val="20"/>
          <w:szCs w:val="20"/>
        </w:rPr>
        <w:t>omparison of insulation thickness effect in TF construction, London</w:t>
      </w:r>
    </w:p>
    <w:p w14:paraId="5AA77ECF" w14:textId="77777777" w:rsidR="007A5BD8" w:rsidRDefault="007A5BD8" w:rsidP="00541E7F">
      <w:pPr>
        <w:pStyle w:val="Mainbodytext"/>
      </w:pPr>
    </w:p>
    <w:p w14:paraId="72581BDE" w14:textId="41462975" w:rsidR="00CC5E10" w:rsidRDefault="007A5BD8" w:rsidP="00541E7F">
      <w:pPr>
        <w:pStyle w:val="Mainbodytext"/>
      </w:pPr>
      <w:r>
        <w:t>For</w:t>
      </w:r>
      <w:r w:rsidR="00541E7F" w:rsidRPr="00A264F0">
        <w:t xml:space="preserve"> </w:t>
      </w:r>
      <w:r w:rsidR="008858D9">
        <w:t xml:space="preserve">the </w:t>
      </w:r>
      <w:r w:rsidR="00541E7F" w:rsidRPr="00A264F0">
        <w:t>SF and SIP systems</w:t>
      </w:r>
      <w:r w:rsidR="00541E7F">
        <w:t xml:space="preserve"> (Figures </w:t>
      </w:r>
      <w:r w:rsidR="00B74212">
        <w:t>6</w:t>
      </w:r>
      <w:r w:rsidR="00541E7F">
        <w:t xml:space="preserve"> and </w:t>
      </w:r>
      <w:r w:rsidR="00B74212">
        <w:t>7</w:t>
      </w:r>
      <w:r w:rsidR="00541E7F">
        <w:t>)</w:t>
      </w:r>
      <w:r w:rsidR="00541E7F" w:rsidRPr="00A264F0">
        <w:t xml:space="preserve">, </w:t>
      </w:r>
      <w:r w:rsidR="00C907E8">
        <w:t xml:space="preserve">a </w:t>
      </w:r>
      <w:r w:rsidR="00541E7F" w:rsidRPr="00A264F0">
        <w:t xml:space="preserve">100mm decrease in insulation </w:t>
      </w:r>
      <w:r w:rsidR="009D3D91">
        <w:t>(</w:t>
      </w:r>
      <w:r w:rsidR="009D3D91" w:rsidRPr="00A264F0">
        <w:t xml:space="preserve">0.1 and 0.14 </w:t>
      </w:r>
      <w:r w:rsidR="009D3D91">
        <w:t>U-Value</w:t>
      </w:r>
      <w:r w:rsidR="009D3D91" w:rsidRPr="00A264F0">
        <w:t>s</w:t>
      </w:r>
      <w:r w:rsidR="009D3D91">
        <w:t xml:space="preserve"> respectively)</w:t>
      </w:r>
      <w:r w:rsidR="009D3D91" w:rsidRPr="00A264F0">
        <w:t xml:space="preserve"> </w:t>
      </w:r>
      <w:r w:rsidR="009D3D91">
        <w:t>has</w:t>
      </w:r>
      <w:r w:rsidR="00541E7F" w:rsidRPr="00A264F0">
        <w:t xml:space="preserve"> </w:t>
      </w:r>
      <w:r w:rsidR="00C907E8">
        <w:t>a negible</w:t>
      </w:r>
      <w:r w:rsidR="00541E7F" w:rsidRPr="00A264F0">
        <w:t xml:space="preserve"> effect on total discomfort hours</w:t>
      </w:r>
      <w:r w:rsidR="009D3D91">
        <w:t xml:space="preserve"> for any period</w:t>
      </w:r>
      <w:r w:rsidR="00541E7F" w:rsidRPr="00A264F0">
        <w:t xml:space="preserve">. </w:t>
      </w:r>
    </w:p>
    <w:p w14:paraId="6B0CD38E" w14:textId="6766EB27" w:rsidR="00541E7F" w:rsidRDefault="00541E7F" w:rsidP="00541E7F">
      <w:pPr>
        <w:pStyle w:val="Mainbodytext"/>
      </w:pPr>
      <w:r w:rsidRPr="00A264F0">
        <w:t xml:space="preserve"> </w:t>
      </w:r>
    </w:p>
    <w:p w14:paraId="5B989522" w14:textId="48B8A53B" w:rsidR="00A264F0" w:rsidRDefault="00936163" w:rsidP="001D3B7C">
      <w:pPr>
        <w:pStyle w:val="Mainbodytext"/>
      </w:pPr>
      <w:r>
        <w:rPr>
          <w:rFonts w:ascii="Calibri Light" w:hAnsi="Calibri Light"/>
          <w:noProof/>
          <w:lang w:eastAsia="en-GB"/>
        </w:rPr>
        <w:drawing>
          <wp:inline distT="0" distB="0" distL="0" distR="0" wp14:anchorId="3FCDE66B" wp14:editId="7EA2DB01">
            <wp:extent cx="5286375" cy="2124075"/>
            <wp:effectExtent l="0" t="0" r="0" b="0"/>
            <wp:docPr id="52"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9E1105" w14:textId="7D9A80C2" w:rsidR="00A264F0" w:rsidRPr="00A264F0" w:rsidRDefault="00A264F0" w:rsidP="00A264F0">
      <w:pPr>
        <w:pStyle w:val="Mainbodytext"/>
        <w:jc w:val="center"/>
        <w:rPr>
          <w:sz w:val="20"/>
          <w:szCs w:val="20"/>
        </w:rPr>
      </w:pPr>
      <w:r>
        <w:rPr>
          <w:sz w:val="20"/>
          <w:szCs w:val="20"/>
        </w:rPr>
        <w:t xml:space="preserve">Figure </w:t>
      </w:r>
      <w:r w:rsidR="00B74212">
        <w:rPr>
          <w:sz w:val="20"/>
          <w:szCs w:val="20"/>
        </w:rPr>
        <w:t>6</w:t>
      </w:r>
      <w:r>
        <w:rPr>
          <w:sz w:val="20"/>
          <w:szCs w:val="20"/>
        </w:rPr>
        <w:t>.</w:t>
      </w:r>
      <w:r w:rsidRPr="00A264F0">
        <w:rPr>
          <w:sz w:val="20"/>
          <w:szCs w:val="20"/>
        </w:rPr>
        <w:t xml:space="preserve"> </w:t>
      </w:r>
      <w:r w:rsidR="00C907E8">
        <w:rPr>
          <w:sz w:val="20"/>
          <w:szCs w:val="20"/>
        </w:rPr>
        <w:t>C</w:t>
      </w:r>
      <w:r w:rsidRPr="00A264F0">
        <w:rPr>
          <w:sz w:val="20"/>
          <w:szCs w:val="20"/>
        </w:rPr>
        <w:t>omparison of insulation thickness effect in SF construction, London</w:t>
      </w:r>
    </w:p>
    <w:p w14:paraId="4DB1CC84" w14:textId="5ECA2363" w:rsidR="00A264F0" w:rsidRDefault="00936163" w:rsidP="000F16FD">
      <w:pPr>
        <w:pStyle w:val="Mainbodytext"/>
      </w:pPr>
      <w:r>
        <w:rPr>
          <w:rFonts w:ascii="Calibri Light" w:hAnsi="Calibri Light"/>
          <w:noProof/>
          <w:lang w:eastAsia="en-GB"/>
        </w:rPr>
        <w:lastRenderedPageBreak/>
        <w:drawing>
          <wp:inline distT="0" distB="0" distL="0" distR="0" wp14:anchorId="590D5DFA" wp14:editId="4E5CF259">
            <wp:extent cx="5286375" cy="2181225"/>
            <wp:effectExtent l="0" t="0" r="0" b="0"/>
            <wp:docPr id="5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FFCDAD" w14:textId="66997294" w:rsidR="00A264F0" w:rsidRPr="00A264F0" w:rsidRDefault="0020352E" w:rsidP="00A264F0">
      <w:pPr>
        <w:pStyle w:val="Mainbodytext"/>
        <w:jc w:val="center"/>
        <w:rPr>
          <w:sz w:val="20"/>
          <w:szCs w:val="20"/>
        </w:rPr>
      </w:pPr>
      <w:r>
        <w:rPr>
          <w:sz w:val="20"/>
          <w:szCs w:val="20"/>
        </w:rPr>
        <w:t xml:space="preserve">Figure </w:t>
      </w:r>
      <w:r w:rsidR="00B74212">
        <w:rPr>
          <w:sz w:val="20"/>
          <w:szCs w:val="20"/>
        </w:rPr>
        <w:t>7</w:t>
      </w:r>
      <w:r>
        <w:rPr>
          <w:sz w:val="20"/>
          <w:szCs w:val="20"/>
        </w:rPr>
        <w:t>.</w:t>
      </w:r>
      <w:r w:rsidR="00A264F0" w:rsidRPr="00A264F0">
        <w:rPr>
          <w:sz w:val="20"/>
          <w:szCs w:val="20"/>
        </w:rPr>
        <w:t xml:space="preserve"> </w:t>
      </w:r>
      <w:r w:rsidR="00C907E8">
        <w:rPr>
          <w:sz w:val="20"/>
          <w:szCs w:val="20"/>
        </w:rPr>
        <w:t>C</w:t>
      </w:r>
      <w:r w:rsidR="00A264F0" w:rsidRPr="00A264F0">
        <w:rPr>
          <w:sz w:val="20"/>
          <w:szCs w:val="20"/>
        </w:rPr>
        <w:t>omparison of insulation thickness effect in SIP construction, London</w:t>
      </w:r>
    </w:p>
    <w:p w14:paraId="48824B00" w14:textId="77777777" w:rsidR="00A264F0" w:rsidRDefault="00A264F0" w:rsidP="000F16FD">
      <w:pPr>
        <w:pStyle w:val="Mainbodytext"/>
      </w:pPr>
    </w:p>
    <w:p w14:paraId="64AFBDFC" w14:textId="77777777" w:rsidR="00B74212" w:rsidRDefault="0020352E" w:rsidP="000F16FD">
      <w:pPr>
        <w:pStyle w:val="Mainbodytext"/>
      </w:pPr>
      <w:r w:rsidRPr="0020352E">
        <w:t>In general, it seems that any changes in insulation thickness</w:t>
      </w:r>
      <w:r w:rsidR="009D3D91">
        <w:t xml:space="preserve"> that</w:t>
      </w:r>
      <w:r w:rsidRPr="0020352E">
        <w:t xml:space="preserve"> </w:t>
      </w:r>
      <w:r w:rsidR="009D3D91">
        <w:t>increases</w:t>
      </w:r>
      <w:r w:rsidRPr="0020352E">
        <w:t xml:space="preserve"> </w:t>
      </w:r>
      <w:r w:rsidR="00106E11">
        <w:t>U-Value</w:t>
      </w:r>
      <w:r w:rsidR="009D3D91">
        <w:t>s</w:t>
      </w:r>
      <w:r w:rsidRPr="0020352E">
        <w:t xml:space="preserve"> up to about 0.3 W/m</w:t>
      </w:r>
      <w:r w:rsidRPr="008B7AD6">
        <w:rPr>
          <w:vertAlign w:val="superscript"/>
        </w:rPr>
        <w:t>2</w:t>
      </w:r>
      <w:r w:rsidRPr="0020352E">
        <w:t xml:space="preserve">K will not </w:t>
      </w:r>
      <w:r w:rsidR="009D3D91">
        <w:t>impact on</w:t>
      </w:r>
      <w:r w:rsidRPr="0020352E">
        <w:t xml:space="preserve"> </w:t>
      </w:r>
      <w:r w:rsidR="009D3D91">
        <w:t xml:space="preserve">total </w:t>
      </w:r>
      <w:r w:rsidRPr="0020352E">
        <w:t xml:space="preserve">annual discomfort hours. </w:t>
      </w:r>
      <w:r w:rsidR="00323699">
        <w:t>I</w:t>
      </w:r>
      <w:r w:rsidRPr="0020352E">
        <w:t xml:space="preserve">t </w:t>
      </w:r>
      <w:r w:rsidR="00323699">
        <w:t>should</w:t>
      </w:r>
      <w:r w:rsidRPr="0020352E">
        <w:t xml:space="preserve"> be mentioned that </w:t>
      </w:r>
      <w:r w:rsidR="00323699">
        <w:t>reducing</w:t>
      </w:r>
      <w:r w:rsidRPr="0020352E">
        <w:t xml:space="preserve"> insulation thickness is likely to </w:t>
      </w:r>
      <w:r w:rsidR="00323699" w:rsidRPr="0020352E">
        <w:t>decrease</w:t>
      </w:r>
      <w:r w:rsidRPr="0020352E">
        <w:t xml:space="preserve"> </w:t>
      </w:r>
      <w:r w:rsidR="009D3D91">
        <w:t xml:space="preserve">the </w:t>
      </w:r>
      <w:r w:rsidRPr="0020352E">
        <w:t xml:space="preserve">overheating risk and increase </w:t>
      </w:r>
      <w:r w:rsidR="00323699">
        <w:t xml:space="preserve">the </w:t>
      </w:r>
      <w:r w:rsidRPr="0020352E">
        <w:t xml:space="preserve">overcooling risk </w:t>
      </w:r>
      <w:r w:rsidR="00323699">
        <w:t xml:space="preserve">for UK summers and winters respectively. </w:t>
      </w:r>
      <w:r w:rsidR="00323699" w:rsidRPr="0020352E">
        <w:t>However</w:t>
      </w:r>
      <w:r w:rsidR="00323699">
        <w:t xml:space="preserve">, this study has considered only the total annual hours of discomfort, adding together both cold and hot discomfort hours to find the annual total. </w:t>
      </w:r>
    </w:p>
    <w:p w14:paraId="52EBCC1F" w14:textId="77777777" w:rsidR="00B74212" w:rsidRDefault="00B74212" w:rsidP="000F16FD">
      <w:pPr>
        <w:pStyle w:val="Mainbodytext"/>
      </w:pPr>
    </w:p>
    <w:p w14:paraId="61303CA0" w14:textId="7E41A63A" w:rsidR="0020352E" w:rsidRDefault="003814FD" w:rsidP="000F16FD">
      <w:pPr>
        <w:pStyle w:val="Mainbodytext"/>
      </w:pPr>
      <w:r>
        <w:t xml:space="preserve">This point is </w:t>
      </w:r>
      <w:r w:rsidR="00B74212">
        <w:t>illustrated</w:t>
      </w:r>
      <w:r>
        <w:t xml:space="preserve"> in </w:t>
      </w:r>
      <w:r w:rsidR="0020352E" w:rsidRPr="0020352E">
        <w:t xml:space="preserve">Figure </w:t>
      </w:r>
      <w:r w:rsidR="00B74212">
        <w:t>8</w:t>
      </w:r>
      <w:r>
        <w:t>. T</w:t>
      </w:r>
      <w:r>
        <w:rPr>
          <w:color w:val="000000"/>
        </w:rPr>
        <w:t xml:space="preserve">he y-axis </w:t>
      </w:r>
      <w:r w:rsidR="00B74212">
        <w:rPr>
          <w:color w:val="000000"/>
        </w:rPr>
        <w:t>shows</w:t>
      </w:r>
      <w:r>
        <w:rPr>
          <w:color w:val="000000"/>
        </w:rPr>
        <w:t xml:space="preserve"> the number of hours</w:t>
      </w:r>
      <w:r w:rsidR="00B74212">
        <w:rPr>
          <w:color w:val="000000"/>
        </w:rPr>
        <w:t xml:space="preserve"> during a year that a certain temperature was experienced</w:t>
      </w:r>
      <w:r>
        <w:rPr>
          <w:color w:val="000000"/>
        </w:rPr>
        <w:t xml:space="preserve"> </w:t>
      </w:r>
      <w:r w:rsidR="00B74212">
        <w:rPr>
          <w:color w:val="000000"/>
        </w:rPr>
        <w:t xml:space="preserve">in the room </w:t>
      </w:r>
      <w:r>
        <w:rPr>
          <w:color w:val="000000"/>
        </w:rPr>
        <w:t xml:space="preserve">for the ICF wall with two insulation thicknesses. </w:t>
      </w:r>
      <w:r w:rsidR="00B74212">
        <w:rPr>
          <w:color w:val="000000"/>
        </w:rPr>
        <w:t>So</w:t>
      </w:r>
      <w:r>
        <w:rPr>
          <w:color w:val="000000"/>
        </w:rPr>
        <w:t>, the ICF room with 100mm insulation experienced 100 hours at 11</w:t>
      </w:r>
      <w:r>
        <w:rPr>
          <w:rFonts w:cs="Calibri"/>
        </w:rPr>
        <w:t>°</w:t>
      </w:r>
      <w:r>
        <w:t>C</w:t>
      </w:r>
      <w:r>
        <w:rPr>
          <w:color w:val="000000"/>
        </w:rPr>
        <w:t xml:space="preserve"> temperature while the 300mm ICF wall had nearly zero hours at 11</w:t>
      </w:r>
      <w:r>
        <w:rPr>
          <w:rFonts w:cs="Calibri"/>
        </w:rPr>
        <w:t>°</w:t>
      </w:r>
      <w:r>
        <w:t>C</w:t>
      </w:r>
      <w:r>
        <w:rPr>
          <w:color w:val="000000"/>
        </w:rPr>
        <w:t>.  Even though the overall discomfort hours</w:t>
      </w:r>
      <w:r w:rsidR="00300C8D">
        <w:rPr>
          <w:color w:val="000000"/>
        </w:rPr>
        <w:t xml:space="preserve"> over a year are close for both ICF constructions, the distribution</w:t>
      </w:r>
      <w:r w:rsidR="00E34117">
        <w:rPr>
          <w:color w:val="000000"/>
        </w:rPr>
        <w:t>s</w:t>
      </w:r>
      <w:r w:rsidR="00300C8D">
        <w:rPr>
          <w:color w:val="000000"/>
        </w:rPr>
        <w:t xml:space="preserve"> of </w:t>
      </w:r>
      <w:r w:rsidR="00E34117">
        <w:rPr>
          <w:color w:val="000000"/>
        </w:rPr>
        <w:t xml:space="preserve">the </w:t>
      </w:r>
      <w:r w:rsidR="00300C8D">
        <w:rPr>
          <w:color w:val="000000"/>
        </w:rPr>
        <w:t xml:space="preserve">hours in each temperature band </w:t>
      </w:r>
      <w:r w:rsidR="00E34117">
        <w:rPr>
          <w:color w:val="000000"/>
        </w:rPr>
        <w:t>are</w:t>
      </w:r>
      <w:r>
        <w:rPr>
          <w:color w:val="000000"/>
        </w:rPr>
        <w:t xml:space="preserve"> not </w:t>
      </w:r>
      <w:r w:rsidR="004F22E0">
        <w:rPr>
          <w:color w:val="000000"/>
        </w:rPr>
        <w:t>similar</w:t>
      </w:r>
      <w:r>
        <w:rPr>
          <w:color w:val="000000"/>
        </w:rPr>
        <w:t xml:space="preserve">. </w:t>
      </w:r>
    </w:p>
    <w:p w14:paraId="1BFBA59D" w14:textId="77777777" w:rsidR="009D3D91" w:rsidRDefault="009D3D91" w:rsidP="000F16FD">
      <w:pPr>
        <w:pStyle w:val="Mainbodytext"/>
      </w:pPr>
    </w:p>
    <w:p w14:paraId="1E57752C" w14:textId="38D7841E" w:rsidR="0020352E" w:rsidRDefault="00936163" w:rsidP="000F16FD">
      <w:pPr>
        <w:pStyle w:val="Mainbodytext"/>
      </w:pPr>
      <w:r>
        <w:rPr>
          <w:rFonts w:ascii="Calibri Light" w:hAnsi="Calibri Light"/>
          <w:noProof/>
          <w:lang w:eastAsia="en-GB"/>
        </w:rPr>
        <w:drawing>
          <wp:inline distT="0" distB="0" distL="0" distR="0" wp14:anchorId="2456CD52" wp14:editId="0CD7697F">
            <wp:extent cx="5295900" cy="2181225"/>
            <wp:effectExtent l="0" t="0" r="12700" b="28575"/>
            <wp:docPr id="5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36D814" w14:textId="30D30E15" w:rsidR="0020352E" w:rsidRPr="0020352E" w:rsidRDefault="0020352E" w:rsidP="0020352E">
      <w:pPr>
        <w:pStyle w:val="Mainbodytext"/>
        <w:jc w:val="center"/>
        <w:rPr>
          <w:sz w:val="20"/>
          <w:szCs w:val="20"/>
        </w:rPr>
      </w:pPr>
      <w:r>
        <w:rPr>
          <w:sz w:val="20"/>
          <w:szCs w:val="20"/>
        </w:rPr>
        <w:t xml:space="preserve">Figure </w:t>
      </w:r>
      <w:r w:rsidR="00B74212">
        <w:rPr>
          <w:sz w:val="20"/>
          <w:szCs w:val="20"/>
        </w:rPr>
        <w:t>8</w:t>
      </w:r>
      <w:r>
        <w:rPr>
          <w:sz w:val="20"/>
          <w:szCs w:val="20"/>
        </w:rPr>
        <w:t>.</w:t>
      </w:r>
      <w:r w:rsidRPr="0020352E">
        <w:rPr>
          <w:sz w:val="20"/>
          <w:szCs w:val="20"/>
        </w:rPr>
        <w:t xml:space="preserve"> </w:t>
      </w:r>
      <w:r w:rsidR="00C42D2E">
        <w:rPr>
          <w:sz w:val="20"/>
          <w:szCs w:val="20"/>
        </w:rPr>
        <w:t>Hours at each t</w:t>
      </w:r>
      <w:r w:rsidRPr="0020352E">
        <w:rPr>
          <w:sz w:val="20"/>
          <w:szCs w:val="20"/>
        </w:rPr>
        <w:t xml:space="preserve">emperature </w:t>
      </w:r>
      <w:r w:rsidR="00C42D2E">
        <w:rPr>
          <w:sz w:val="20"/>
          <w:szCs w:val="20"/>
        </w:rPr>
        <w:t xml:space="preserve">band interval for an </w:t>
      </w:r>
      <w:r w:rsidRPr="0020352E">
        <w:rPr>
          <w:sz w:val="20"/>
          <w:szCs w:val="20"/>
        </w:rPr>
        <w:t xml:space="preserve">ICF </w:t>
      </w:r>
      <w:r w:rsidR="00C42D2E">
        <w:rPr>
          <w:sz w:val="20"/>
          <w:szCs w:val="20"/>
        </w:rPr>
        <w:t xml:space="preserve">wall with </w:t>
      </w:r>
      <w:r w:rsidRPr="0020352E">
        <w:rPr>
          <w:sz w:val="20"/>
          <w:szCs w:val="20"/>
        </w:rPr>
        <w:t xml:space="preserve">100 and 300mm </w:t>
      </w:r>
      <w:r w:rsidR="00C42D2E">
        <w:rPr>
          <w:sz w:val="20"/>
          <w:szCs w:val="20"/>
        </w:rPr>
        <w:t xml:space="preserve">of </w:t>
      </w:r>
      <w:r w:rsidRPr="0020352E">
        <w:rPr>
          <w:sz w:val="20"/>
          <w:szCs w:val="20"/>
        </w:rPr>
        <w:t>insulation</w:t>
      </w:r>
    </w:p>
    <w:p w14:paraId="107A5094" w14:textId="77777777" w:rsidR="0020352E" w:rsidRDefault="0020352E" w:rsidP="0020352E">
      <w:pPr>
        <w:pStyle w:val="Heading1"/>
      </w:pPr>
      <w:r>
        <w:t>Conclusion</w:t>
      </w:r>
    </w:p>
    <w:p w14:paraId="55B31BD4" w14:textId="77777777" w:rsidR="001849DD" w:rsidRDefault="004C06C2" w:rsidP="003E3A3D">
      <w:pPr>
        <w:pStyle w:val="Mainbodytext"/>
      </w:pPr>
      <w:r>
        <w:t>This study has examined</w:t>
      </w:r>
      <w:r w:rsidR="0020352E" w:rsidRPr="0020352E">
        <w:t xml:space="preserve"> </w:t>
      </w:r>
      <w:r w:rsidR="00EB24BC">
        <w:t>the effects of construction type, thermal mass and thermal insulation on annual thermal discomfort hours for different climate periods in London.</w:t>
      </w:r>
      <w:r w:rsidR="0020352E" w:rsidRPr="0020352E">
        <w:t xml:space="preserve"> </w:t>
      </w:r>
      <w:r w:rsidR="00EB24BC">
        <w:t xml:space="preserve">The results </w:t>
      </w:r>
      <w:r>
        <w:t xml:space="preserve">for a simple house form </w:t>
      </w:r>
      <w:r w:rsidR="00EB24BC">
        <w:t xml:space="preserve">suggest that the annual discomfort hours are relatively insensitive to the type of </w:t>
      </w:r>
      <w:r>
        <w:t xml:space="preserve">building system used. The number of discomfort hours increase in a warming future, but with little difference in total discomfort hours between </w:t>
      </w:r>
      <w:r w:rsidR="0020352E" w:rsidRPr="0020352E">
        <w:t xml:space="preserve">the </w:t>
      </w:r>
      <w:r>
        <w:t xml:space="preserve">differently </w:t>
      </w:r>
      <w:r>
        <w:lastRenderedPageBreak/>
        <w:t xml:space="preserve">constructed spaces. </w:t>
      </w:r>
      <w:r w:rsidR="0068233B">
        <w:t>T</w:t>
      </w:r>
      <w:r w:rsidR="0068233B" w:rsidRPr="0020352E">
        <w:t xml:space="preserve">imber frame shows </w:t>
      </w:r>
      <w:r w:rsidR="0068233B">
        <w:t xml:space="preserve">a </w:t>
      </w:r>
      <w:r w:rsidR="0068233B" w:rsidRPr="0020352E">
        <w:t xml:space="preserve">slightly better performance compared to the others, </w:t>
      </w:r>
      <w:r w:rsidR="00467EF8">
        <w:t>but no</w:t>
      </w:r>
      <w:r w:rsidR="0068233B" w:rsidRPr="0020352E">
        <w:t xml:space="preserve"> one ‘‘correct’’ </w:t>
      </w:r>
      <w:r w:rsidR="00467EF8">
        <w:t>construction</w:t>
      </w:r>
      <w:r w:rsidR="0068233B" w:rsidRPr="0020352E">
        <w:t xml:space="preserve"> </w:t>
      </w:r>
      <w:r w:rsidR="00467EF8">
        <w:t>can be</w:t>
      </w:r>
      <w:r w:rsidR="0068233B" w:rsidRPr="0020352E">
        <w:t xml:space="preserve"> </w:t>
      </w:r>
      <w:r w:rsidR="00BC1D88">
        <w:t>recommended</w:t>
      </w:r>
      <w:r w:rsidR="0068233B" w:rsidRPr="0020352E">
        <w:t xml:space="preserve"> to decision-makers.</w:t>
      </w:r>
      <w:r w:rsidR="0068233B">
        <w:t xml:space="preserve"> </w:t>
      </w:r>
      <w:r w:rsidR="003E3A3D">
        <w:t xml:space="preserve">This finding agrees with a comfort study by the </w:t>
      </w:r>
      <w:r w:rsidR="003E3A3D" w:rsidRPr="0020352E">
        <w:t>Three Regions Climate Change Group (TRCCG</w:t>
      </w:r>
      <w:r w:rsidR="003E3A3D">
        <w:t>, 2008</w:t>
      </w:r>
      <w:r w:rsidR="003E3A3D" w:rsidRPr="0020352E">
        <w:t>)</w:t>
      </w:r>
      <w:r w:rsidR="003E3A3D">
        <w:t xml:space="preserve"> of</w:t>
      </w:r>
      <w:r w:rsidR="003E3A3D" w:rsidRPr="0020352E">
        <w:t xml:space="preserve"> 1960s houses and flats in London, East and Southeast of England</w:t>
      </w:r>
      <w:r w:rsidR="003E3A3D">
        <w:t>. The Group concluded that</w:t>
      </w:r>
      <w:r w:rsidR="003E3A3D" w:rsidRPr="0020352E">
        <w:t xml:space="preserve"> ventilation strateg</w:t>
      </w:r>
      <w:r w:rsidR="003E3A3D">
        <w:t>ies</w:t>
      </w:r>
      <w:r w:rsidR="003E3A3D" w:rsidRPr="0020352E">
        <w:t>, solar control</w:t>
      </w:r>
      <w:r w:rsidR="003E3A3D">
        <w:t xml:space="preserve"> and </w:t>
      </w:r>
      <w:r w:rsidR="003E3A3D" w:rsidRPr="0020352E">
        <w:t>cooler floors</w:t>
      </w:r>
      <w:r w:rsidR="003E3A3D">
        <w:t xml:space="preserve"> were</w:t>
      </w:r>
      <w:r w:rsidR="003E3A3D" w:rsidRPr="0020352E">
        <w:t xml:space="preserve"> more effective </w:t>
      </w:r>
      <w:r w:rsidR="00BC1D88">
        <w:t>approaches</w:t>
      </w:r>
      <w:r w:rsidR="003E3A3D" w:rsidRPr="0020352E">
        <w:t xml:space="preserve"> to im</w:t>
      </w:r>
      <w:r w:rsidR="003E3A3D">
        <w:t>prov</w:t>
      </w:r>
      <w:r w:rsidR="00BC1D88">
        <w:t>ing</w:t>
      </w:r>
      <w:r w:rsidR="003E3A3D">
        <w:t xml:space="preserve"> comfort in UK housing</w:t>
      </w:r>
      <w:r w:rsidR="003E3A3D" w:rsidRPr="0020352E">
        <w:t xml:space="preserve"> compared to increasing insulation </w:t>
      </w:r>
      <w:r w:rsidR="003E3A3D">
        <w:t>levels.</w:t>
      </w:r>
    </w:p>
    <w:p w14:paraId="4631FC07" w14:textId="77777777" w:rsidR="001849DD" w:rsidRDefault="001849DD" w:rsidP="003E3A3D">
      <w:pPr>
        <w:pStyle w:val="Mainbodytext"/>
      </w:pPr>
    </w:p>
    <w:p w14:paraId="3F71F955" w14:textId="21B0F4C1" w:rsidR="0020352E" w:rsidRDefault="003E3A3D" w:rsidP="003E3A3D">
      <w:pPr>
        <w:pStyle w:val="Mainbodytext"/>
      </w:pPr>
      <w:r>
        <w:t xml:space="preserve"> It </w:t>
      </w:r>
      <w:r w:rsidR="00933091">
        <w:t>appears</w:t>
      </w:r>
      <w:r w:rsidR="004C06C2">
        <w:t xml:space="preserve"> that </w:t>
      </w:r>
      <w:r w:rsidR="00933091">
        <w:t>a</w:t>
      </w:r>
      <w:r w:rsidR="004C06C2">
        <w:t xml:space="preserve"> preferred building materials/</w:t>
      </w:r>
      <w:r w:rsidR="00933091">
        <w:t xml:space="preserve">details can be chosen </w:t>
      </w:r>
      <w:r w:rsidR="004C06C2">
        <w:t xml:space="preserve">without worrying that it might be a risky choice for future discomfort. </w:t>
      </w:r>
      <w:r>
        <w:t xml:space="preserve">However, there is the caveat that looking at total annual values of discomfort hours can obscure </w:t>
      </w:r>
      <w:r w:rsidR="00BC1D88">
        <w:t>the balance</w:t>
      </w:r>
      <w:r>
        <w:t xml:space="preserve"> between the ‘hot’ and ‘cold’ discomfort hours.</w:t>
      </w:r>
      <w:r w:rsidR="00933091">
        <w:t xml:space="preserve"> More research is needed to disaggregate the hourly </w:t>
      </w:r>
      <w:r w:rsidR="001849DD">
        <w:t>types</w:t>
      </w:r>
      <w:r w:rsidR="00933091">
        <w:t xml:space="preserve"> of discomfort as the energy used to meet a</w:t>
      </w:r>
      <w:r>
        <w:t xml:space="preserve"> heating demand</w:t>
      </w:r>
      <w:r w:rsidR="00933091">
        <w:t xml:space="preserve"> per °C</w:t>
      </w:r>
      <w:r>
        <w:t xml:space="preserve"> </w:t>
      </w:r>
      <w:r w:rsidR="00933091">
        <w:t xml:space="preserve">can be provided much more efficiently and economically than the energy </w:t>
      </w:r>
      <w:r w:rsidR="001849DD">
        <w:t xml:space="preserve">needed </w:t>
      </w:r>
      <w:r w:rsidR="00933091">
        <w:t xml:space="preserve">to meet the same per °C cooling demand. </w:t>
      </w:r>
    </w:p>
    <w:p w14:paraId="12771B3B" w14:textId="77777777" w:rsidR="0020352E" w:rsidRDefault="0020352E" w:rsidP="0020352E">
      <w:pPr>
        <w:pStyle w:val="Mainbodytext"/>
      </w:pPr>
    </w:p>
    <w:p w14:paraId="3A2B37B6" w14:textId="77777777" w:rsidR="0020352E" w:rsidRDefault="0020352E" w:rsidP="0020352E">
      <w:pPr>
        <w:pStyle w:val="Mainbodytext"/>
      </w:pPr>
    </w:p>
    <w:p w14:paraId="2705102B" w14:textId="77777777" w:rsidR="0020352E" w:rsidRDefault="0020352E" w:rsidP="0020352E">
      <w:pPr>
        <w:pStyle w:val="Heading1"/>
      </w:pPr>
      <w:r>
        <w:t>References</w:t>
      </w:r>
    </w:p>
    <w:p w14:paraId="084A0D4D" w14:textId="56271ABA" w:rsidR="00905BD2" w:rsidRDefault="00905BD2" w:rsidP="00905BD2">
      <w:pPr>
        <w:pStyle w:val="References"/>
      </w:pPr>
      <w:r w:rsidRPr="00905BD2">
        <w:t xml:space="preserve">AECB. (2017, February 27). CarbonLite. Retrieved from </w:t>
      </w:r>
      <w:hyperlink r:id="rId22" w:history="1">
        <w:r w:rsidRPr="007C50E8">
          <w:rPr>
            <w:rStyle w:val="Hyperlink"/>
          </w:rPr>
          <w:t>http://www.carbonlite.org.uk/carbonlite/passivhaus.ph</w:t>
        </w:r>
      </w:hyperlink>
    </w:p>
    <w:p w14:paraId="6F580D2F" w14:textId="77777777" w:rsidR="00905BD2" w:rsidRDefault="00905BD2" w:rsidP="00905BD2">
      <w:pPr>
        <w:pStyle w:val="References"/>
      </w:pPr>
      <w:r>
        <w:t>ASHRAE. (2004). Thermal Environment Conditions for Human Occupancy. Atlanta: American Society of Heating, Refrigerating and Air-conditioning Engineers organization.</w:t>
      </w:r>
    </w:p>
    <w:p w14:paraId="1FFEBE96" w14:textId="02125D43" w:rsidR="00905BD2" w:rsidRDefault="00905BD2" w:rsidP="00905BD2">
      <w:pPr>
        <w:pStyle w:val="References"/>
      </w:pPr>
      <w:r>
        <w:t xml:space="preserve">CIBSE. (2006). Guide A: Environmental Design. London: Chartered </w:t>
      </w:r>
      <w:r w:rsidR="004B4D06">
        <w:t>Institution</w:t>
      </w:r>
      <w:r>
        <w:t xml:space="preserve"> of Building Services Engineers. </w:t>
      </w:r>
    </w:p>
    <w:p w14:paraId="0BE2C938" w14:textId="77777777" w:rsidR="00905BD2" w:rsidRDefault="00905BD2" w:rsidP="00905BD2">
      <w:pPr>
        <w:pStyle w:val="References"/>
      </w:pPr>
      <w:r>
        <w:t>Gupta, R., &amp; Gregg, M. (2012). Using UK climate change projections to adapt existing English homes for a warming climate. Building and Environment, 8-17.</w:t>
      </w:r>
    </w:p>
    <w:p w14:paraId="164E1A5A" w14:textId="069E885B" w:rsidR="00905BD2" w:rsidRDefault="00905BD2" w:rsidP="00905BD2">
      <w:pPr>
        <w:pStyle w:val="References"/>
      </w:pPr>
      <w:r>
        <w:t>Humphreys MA. (1976). Comfortable indoor temperatures related to the outdoor air temperature. Building Service</w:t>
      </w:r>
      <w:r w:rsidR="004B4D06">
        <w:t>s</w:t>
      </w:r>
      <w:r>
        <w:t xml:space="preserve"> Engineer, 44, 5-27.</w:t>
      </w:r>
    </w:p>
    <w:p w14:paraId="4D559A3A" w14:textId="77777777" w:rsidR="00905BD2" w:rsidRDefault="00905BD2" w:rsidP="00905BD2">
      <w:pPr>
        <w:pStyle w:val="References"/>
      </w:pPr>
      <w:r>
        <w:t>Lisq, K. (2006). Integrated approach to risk management of future climate change impacts. Building research and information, 1-10.</w:t>
      </w:r>
    </w:p>
    <w:p w14:paraId="680A915D" w14:textId="7C2CA89B" w:rsidR="00905BD2" w:rsidRDefault="00905BD2" w:rsidP="00905BD2">
      <w:pPr>
        <w:pStyle w:val="References"/>
      </w:pPr>
      <w:r>
        <w:t>MacLaren, F., Dennis, L., &amp; Mourshed, M. (2012). Public opinions on alternative lower carbon wall construction techniques for UK housing. Habitat International, 3-5.</w:t>
      </w:r>
    </w:p>
    <w:p w14:paraId="78778502" w14:textId="7DC4EBFF" w:rsidR="00905BD2" w:rsidRDefault="00905BD2" w:rsidP="00905BD2">
      <w:pPr>
        <w:pStyle w:val="References"/>
      </w:pPr>
      <w:r>
        <w:t xml:space="preserve">Orme, M., Palmer, J., &amp; Irving, S. (2003). Control of overheating in well-insulated housing. In: Building sustainability: value and profit. Retrieved Mar 7, 2012, from </w:t>
      </w:r>
      <w:hyperlink r:id="rId23" w:history="1">
        <w:r w:rsidR="004B4D06" w:rsidRPr="00925FEA">
          <w:rPr>
            <w:rStyle w:val="Hyperlink"/>
          </w:rPr>
          <w:t>http://www.cibse.org/pdfs/7borme.pdf</w:t>
        </w:r>
      </w:hyperlink>
      <w:r w:rsidR="004B4D06">
        <w:t xml:space="preserve"> </w:t>
      </w:r>
    </w:p>
    <w:p w14:paraId="1C3690F8" w14:textId="1C7CD60E" w:rsidR="00905BD2" w:rsidRDefault="003F0CCC" w:rsidP="00905BD2">
      <w:pPr>
        <w:pStyle w:val="References"/>
      </w:pPr>
      <w:r>
        <w:t xml:space="preserve">SERG </w:t>
      </w:r>
      <w:r w:rsidR="004B4D06">
        <w:t xml:space="preserve">(2016). </w:t>
      </w:r>
      <w:r>
        <w:t>Sustainable Energy Research Group</w:t>
      </w:r>
      <w:r w:rsidR="004B4D06">
        <w:t>, University of</w:t>
      </w:r>
      <w:r>
        <w:t xml:space="preserve"> </w:t>
      </w:r>
      <w:r w:rsidR="00905BD2">
        <w:t>Southampton</w:t>
      </w:r>
      <w:r>
        <w:t>)</w:t>
      </w:r>
      <w:r w:rsidR="00905BD2">
        <w:t xml:space="preserve">, </w:t>
      </w:r>
      <w:r w:rsidR="004B4D06" w:rsidRPr="004B4D06">
        <w:t>CCWeatherGen: Climate Change Weather File Generator for the UK</w:t>
      </w:r>
      <w:r w:rsidR="00905BD2">
        <w:t xml:space="preserve">. Retrieved from </w:t>
      </w:r>
      <w:hyperlink r:id="rId24" w:history="1">
        <w:r w:rsidR="004B4D06" w:rsidRPr="00925FEA">
          <w:rPr>
            <w:rStyle w:val="Hyperlink"/>
          </w:rPr>
          <w:t>http://www.serg.soton.ac.uk/ccweathergen</w:t>
        </w:r>
      </w:hyperlink>
      <w:r w:rsidR="004B4D06">
        <w:t xml:space="preserve"> </w:t>
      </w:r>
      <w:r w:rsidR="004B4D06" w:rsidRPr="004B4D06">
        <w:t xml:space="preserve">Retrieved Mar </w:t>
      </w:r>
      <w:r w:rsidR="004B4D06">
        <w:t>1</w:t>
      </w:r>
      <w:r w:rsidR="004B4D06" w:rsidRPr="004B4D06">
        <w:t>, 201</w:t>
      </w:r>
      <w:r w:rsidR="004B4D06">
        <w:t>7</w:t>
      </w:r>
    </w:p>
    <w:p w14:paraId="74643BA7" w14:textId="39196202" w:rsidR="00905BD2" w:rsidRDefault="00905BD2" w:rsidP="00905BD2">
      <w:pPr>
        <w:pStyle w:val="References"/>
      </w:pPr>
      <w:r>
        <w:t>Tabatabei Sameni, S., Gaterell, M., Montazami, A., &amp; Ahmed, A. (2015). Overheating investigation in UK social housing flats built to the Passivhaus standard. Building and Environment, 222-235.</w:t>
      </w:r>
    </w:p>
    <w:p w14:paraId="1DD1A957" w14:textId="48E738CC" w:rsidR="0068233B" w:rsidRDefault="0068233B" w:rsidP="0068233B">
      <w:pPr>
        <w:pStyle w:val="References"/>
      </w:pPr>
      <w:r w:rsidRPr="0020352E">
        <w:t>TRCCG</w:t>
      </w:r>
      <w:r>
        <w:t xml:space="preserve"> (2008)</w:t>
      </w:r>
      <w:r w:rsidRPr="0068233B">
        <w:t xml:space="preserve"> </w:t>
      </w:r>
      <w:r>
        <w:t>Your home in a changing climate: retrofitting existing homes for climate change impacts. ARUP, London.</w:t>
      </w:r>
    </w:p>
    <w:sectPr w:rsidR="0068233B" w:rsidSect="00CB4BD9">
      <w:headerReference w:type="first" r:id="rId25"/>
      <w:pgSz w:w="11900" w:h="1682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A8F32" w14:textId="77777777" w:rsidR="00D73A4F" w:rsidRDefault="00D73A4F" w:rsidP="00B8052A">
      <w:r>
        <w:separator/>
      </w:r>
    </w:p>
  </w:endnote>
  <w:endnote w:type="continuationSeparator" w:id="0">
    <w:p w14:paraId="15CEF5A2" w14:textId="77777777" w:rsidR="00D73A4F" w:rsidRDefault="00D73A4F" w:rsidP="00B8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HelveticaNeue-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Palatino">
    <w:altName w:val="Book Antiqua"/>
    <w:charset w:val="00"/>
    <w:family w:val="auto"/>
    <w:pitch w:val="variable"/>
    <w:sig w:usb0="00000001" w:usb1="7800205A" w:usb2="14600000" w:usb3="00000000" w:csb0="00000193" w:csb1="00000000"/>
  </w:font>
  <w:font w:name="Yu Gothic Light">
    <w:charset w:val="80"/>
    <w:family w:val="swiss"/>
    <w:pitch w:val="variable"/>
    <w:sig w:usb0="E00002FF" w:usb1="2AC7FDFF" w:usb2="00000016" w:usb3="00000000" w:csb0="0002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F95BC" w14:textId="77777777" w:rsidR="00D73A4F" w:rsidRDefault="00D73A4F" w:rsidP="00B8052A">
      <w:r>
        <w:separator/>
      </w:r>
    </w:p>
  </w:footnote>
  <w:footnote w:type="continuationSeparator" w:id="0">
    <w:p w14:paraId="418A5658" w14:textId="77777777" w:rsidR="00D73A4F" w:rsidRDefault="00D73A4F" w:rsidP="00B80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D87B" w14:textId="3EBDD07A" w:rsidR="00D73A4F" w:rsidRDefault="00190319" w:rsidP="006F0A9F">
    <w:pPr>
      <w:pStyle w:val="Header"/>
    </w:pPr>
    <w:r>
      <w:rPr>
        <w:noProof/>
        <w:lang w:eastAsia="en-GB"/>
      </w:rPr>
      <w:drawing>
        <wp:inline distT="0" distB="0" distL="0" distR="0" wp14:anchorId="12F3BB61" wp14:editId="06DEBB90">
          <wp:extent cx="5727700" cy="14503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A_header_proceedings.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450340"/>
                  </a:xfrm>
                  <a:prstGeom prst="rect">
                    <a:avLst/>
                  </a:prstGeom>
                </pic:spPr>
              </pic:pic>
            </a:graphicData>
          </a:graphic>
        </wp:inline>
      </w:drawing>
    </w:r>
  </w:p>
  <w:p w14:paraId="180BC2EC" w14:textId="698C1991" w:rsidR="00D73A4F" w:rsidRPr="00E375B6" w:rsidRDefault="00D73A4F" w:rsidP="006F0A9F">
    <w:pPr>
      <w:pStyle w:val="Header"/>
      <w:ind w:firstLine="2949"/>
      <w:rPr>
        <w:rFonts w:ascii="Palatino" w:hAnsi="Palatino"/>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8026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5E18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D4F0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F88A50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A0E6E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18CE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BE77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6640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5FA6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CADA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F80D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491180"/>
    <w:multiLevelType w:val="hybridMultilevel"/>
    <w:tmpl w:val="2C0E6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B2959"/>
    <w:multiLevelType w:val="hybridMultilevel"/>
    <w:tmpl w:val="C7E4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E61FE"/>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7C5936FF"/>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217"/>
    <w:rsid w:val="00006550"/>
    <w:rsid w:val="0001589D"/>
    <w:rsid w:val="0001716F"/>
    <w:rsid w:val="000251E5"/>
    <w:rsid w:val="00025F8D"/>
    <w:rsid w:val="000326AC"/>
    <w:rsid w:val="000330E4"/>
    <w:rsid w:val="00040A30"/>
    <w:rsid w:val="00050800"/>
    <w:rsid w:val="00052C85"/>
    <w:rsid w:val="0005760F"/>
    <w:rsid w:val="00057696"/>
    <w:rsid w:val="00057ADD"/>
    <w:rsid w:val="00073891"/>
    <w:rsid w:val="00086D77"/>
    <w:rsid w:val="0009060D"/>
    <w:rsid w:val="000A5AAA"/>
    <w:rsid w:val="000A7D1A"/>
    <w:rsid w:val="000B23F6"/>
    <w:rsid w:val="000B4CCC"/>
    <w:rsid w:val="000C076A"/>
    <w:rsid w:val="000D24FE"/>
    <w:rsid w:val="000D2609"/>
    <w:rsid w:val="000D3118"/>
    <w:rsid w:val="000D3F43"/>
    <w:rsid w:val="000E7A13"/>
    <w:rsid w:val="000F0EE0"/>
    <w:rsid w:val="000F1302"/>
    <w:rsid w:val="000F16FD"/>
    <w:rsid w:val="00106E11"/>
    <w:rsid w:val="00106E63"/>
    <w:rsid w:val="00120D88"/>
    <w:rsid w:val="00122139"/>
    <w:rsid w:val="00122488"/>
    <w:rsid w:val="00125748"/>
    <w:rsid w:val="00130AA0"/>
    <w:rsid w:val="00135E4B"/>
    <w:rsid w:val="001371B9"/>
    <w:rsid w:val="0014482A"/>
    <w:rsid w:val="00146772"/>
    <w:rsid w:val="001616D5"/>
    <w:rsid w:val="0016223F"/>
    <w:rsid w:val="00180A6E"/>
    <w:rsid w:val="001849DD"/>
    <w:rsid w:val="00190319"/>
    <w:rsid w:val="001923D1"/>
    <w:rsid w:val="00193645"/>
    <w:rsid w:val="00195D4F"/>
    <w:rsid w:val="001A08AF"/>
    <w:rsid w:val="001A2CCC"/>
    <w:rsid w:val="001A2F5F"/>
    <w:rsid w:val="001A45EF"/>
    <w:rsid w:val="001A7AD9"/>
    <w:rsid w:val="001B1A4D"/>
    <w:rsid w:val="001B34AD"/>
    <w:rsid w:val="001B60B3"/>
    <w:rsid w:val="001B7A32"/>
    <w:rsid w:val="001C2DC1"/>
    <w:rsid w:val="001C7025"/>
    <w:rsid w:val="001D084C"/>
    <w:rsid w:val="001D1B75"/>
    <w:rsid w:val="001D25B4"/>
    <w:rsid w:val="001D30D0"/>
    <w:rsid w:val="001D3B7C"/>
    <w:rsid w:val="001D7462"/>
    <w:rsid w:val="001D7835"/>
    <w:rsid w:val="001E4629"/>
    <w:rsid w:val="001E61B1"/>
    <w:rsid w:val="001F2773"/>
    <w:rsid w:val="001F6E5F"/>
    <w:rsid w:val="001F7BFD"/>
    <w:rsid w:val="0020352E"/>
    <w:rsid w:val="00206B63"/>
    <w:rsid w:val="00221AC3"/>
    <w:rsid w:val="002226FF"/>
    <w:rsid w:val="0022341A"/>
    <w:rsid w:val="002314C3"/>
    <w:rsid w:val="002405ED"/>
    <w:rsid w:val="00241756"/>
    <w:rsid w:val="00242422"/>
    <w:rsid w:val="00245660"/>
    <w:rsid w:val="00251127"/>
    <w:rsid w:val="00253217"/>
    <w:rsid w:val="00257CD5"/>
    <w:rsid w:val="0026314E"/>
    <w:rsid w:val="002715F1"/>
    <w:rsid w:val="00274724"/>
    <w:rsid w:val="002776AE"/>
    <w:rsid w:val="002852E5"/>
    <w:rsid w:val="0028782F"/>
    <w:rsid w:val="002C1BE3"/>
    <w:rsid w:val="002C4845"/>
    <w:rsid w:val="002C7E35"/>
    <w:rsid w:val="002D202E"/>
    <w:rsid w:val="002D37E6"/>
    <w:rsid w:val="002D5A47"/>
    <w:rsid w:val="002E1161"/>
    <w:rsid w:val="00300C8D"/>
    <w:rsid w:val="0030607D"/>
    <w:rsid w:val="003227DC"/>
    <w:rsid w:val="00323699"/>
    <w:rsid w:val="0032563F"/>
    <w:rsid w:val="003263FB"/>
    <w:rsid w:val="003309A5"/>
    <w:rsid w:val="00331FEE"/>
    <w:rsid w:val="00334470"/>
    <w:rsid w:val="00335977"/>
    <w:rsid w:val="00347E62"/>
    <w:rsid w:val="00351CBE"/>
    <w:rsid w:val="003539C8"/>
    <w:rsid w:val="00354669"/>
    <w:rsid w:val="00365154"/>
    <w:rsid w:val="00367B35"/>
    <w:rsid w:val="0037059F"/>
    <w:rsid w:val="00377E54"/>
    <w:rsid w:val="003814FD"/>
    <w:rsid w:val="003874EE"/>
    <w:rsid w:val="00387E1F"/>
    <w:rsid w:val="00395B46"/>
    <w:rsid w:val="00396539"/>
    <w:rsid w:val="0039762E"/>
    <w:rsid w:val="003A22D2"/>
    <w:rsid w:val="003A4A68"/>
    <w:rsid w:val="003A5B6B"/>
    <w:rsid w:val="003B7809"/>
    <w:rsid w:val="003C38B9"/>
    <w:rsid w:val="003C3B21"/>
    <w:rsid w:val="003D0975"/>
    <w:rsid w:val="003E0EF0"/>
    <w:rsid w:val="003E3A3D"/>
    <w:rsid w:val="003F0CCC"/>
    <w:rsid w:val="003F51E1"/>
    <w:rsid w:val="004008BE"/>
    <w:rsid w:val="004036D0"/>
    <w:rsid w:val="00406D84"/>
    <w:rsid w:val="00411672"/>
    <w:rsid w:val="00411BA4"/>
    <w:rsid w:val="0041413A"/>
    <w:rsid w:val="00416FCF"/>
    <w:rsid w:val="00421AE3"/>
    <w:rsid w:val="00422D9E"/>
    <w:rsid w:val="00427F93"/>
    <w:rsid w:val="00453CAE"/>
    <w:rsid w:val="00467EF8"/>
    <w:rsid w:val="0048480E"/>
    <w:rsid w:val="004875D5"/>
    <w:rsid w:val="004963B7"/>
    <w:rsid w:val="004A4806"/>
    <w:rsid w:val="004A4A1E"/>
    <w:rsid w:val="004A5997"/>
    <w:rsid w:val="004B33FB"/>
    <w:rsid w:val="004B4448"/>
    <w:rsid w:val="004B4D06"/>
    <w:rsid w:val="004B78AF"/>
    <w:rsid w:val="004C06C2"/>
    <w:rsid w:val="004E344F"/>
    <w:rsid w:val="004E4908"/>
    <w:rsid w:val="004E54EE"/>
    <w:rsid w:val="004E79F7"/>
    <w:rsid w:val="004F22A0"/>
    <w:rsid w:val="004F22E0"/>
    <w:rsid w:val="0050007C"/>
    <w:rsid w:val="005063AE"/>
    <w:rsid w:val="005106D6"/>
    <w:rsid w:val="00512581"/>
    <w:rsid w:val="0051437B"/>
    <w:rsid w:val="00517A1D"/>
    <w:rsid w:val="005211D7"/>
    <w:rsid w:val="005266B4"/>
    <w:rsid w:val="00541E7F"/>
    <w:rsid w:val="00545D90"/>
    <w:rsid w:val="005578BA"/>
    <w:rsid w:val="005603C7"/>
    <w:rsid w:val="0056182B"/>
    <w:rsid w:val="00562ECF"/>
    <w:rsid w:val="00566936"/>
    <w:rsid w:val="00567755"/>
    <w:rsid w:val="00571CA5"/>
    <w:rsid w:val="005742A6"/>
    <w:rsid w:val="005838F2"/>
    <w:rsid w:val="0058681A"/>
    <w:rsid w:val="00587275"/>
    <w:rsid w:val="00587CAC"/>
    <w:rsid w:val="005A257F"/>
    <w:rsid w:val="005B5C54"/>
    <w:rsid w:val="005C3351"/>
    <w:rsid w:val="005C5560"/>
    <w:rsid w:val="005D4E5F"/>
    <w:rsid w:val="005D735E"/>
    <w:rsid w:val="005E32C4"/>
    <w:rsid w:val="005F29C2"/>
    <w:rsid w:val="00601DED"/>
    <w:rsid w:val="00605002"/>
    <w:rsid w:val="00610EBA"/>
    <w:rsid w:val="0061209B"/>
    <w:rsid w:val="006124C1"/>
    <w:rsid w:val="00617DEF"/>
    <w:rsid w:val="00634C21"/>
    <w:rsid w:val="00644A11"/>
    <w:rsid w:val="00645881"/>
    <w:rsid w:val="006464E0"/>
    <w:rsid w:val="00651627"/>
    <w:rsid w:val="00651B75"/>
    <w:rsid w:val="00661FEE"/>
    <w:rsid w:val="0066596E"/>
    <w:rsid w:val="00667E10"/>
    <w:rsid w:val="006729BE"/>
    <w:rsid w:val="0068233B"/>
    <w:rsid w:val="0068393F"/>
    <w:rsid w:val="00692E51"/>
    <w:rsid w:val="00696E2C"/>
    <w:rsid w:val="006A1CC5"/>
    <w:rsid w:val="006A4757"/>
    <w:rsid w:val="006B367C"/>
    <w:rsid w:val="006C69D3"/>
    <w:rsid w:val="006D7561"/>
    <w:rsid w:val="006E0711"/>
    <w:rsid w:val="006E5FC3"/>
    <w:rsid w:val="006F0A9F"/>
    <w:rsid w:val="007009CC"/>
    <w:rsid w:val="007021AE"/>
    <w:rsid w:val="0070244B"/>
    <w:rsid w:val="0070334F"/>
    <w:rsid w:val="007038AF"/>
    <w:rsid w:val="0071022D"/>
    <w:rsid w:val="00724B69"/>
    <w:rsid w:val="007250E6"/>
    <w:rsid w:val="00726AFB"/>
    <w:rsid w:val="00731714"/>
    <w:rsid w:val="0073423F"/>
    <w:rsid w:val="0075491C"/>
    <w:rsid w:val="00765780"/>
    <w:rsid w:val="00766756"/>
    <w:rsid w:val="007677A7"/>
    <w:rsid w:val="00773AB5"/>
    <w:rsid w:val="007914B5"/>
    <w:rsid w:val="00792D99"/>
    <w:rsid w:val="007A4F0A"/>
    <w:rsid w:val="007A5A33"/>
    <w:rsid w:val="007A5BD8"/>
    <w:rsid w:val="007A6DD5"/>
    <w:rsid w:val="007A7EAD"/>
    <w:rsid w:val="007B1153"/>
    <w:rsid w:val="007B26C4"/>
    <w:rsid w:val="007B33DE"/>
    <w:rsid w:val="007C0029"/>
    <w:rsid w:val="007C005E"/>
    <w:rsid w:val="007C3DA4"/>
    <w:rsid w:val="007D32BF"/>
    <w:rsid w:val="007D4A3C"/>
    <w:rsid w:val="007E09DD"/>
    <w:rsid w:val="007E4CF7"/>
    <w:rsid w:val="007E5470"/>
    <w:rsid w:val="007E7A6A"/>
    <w:rsid w:val="00800488"/>
    <w:rsid w:val="00814726"/>
    <w:rsid w:val="00824474"/>
    <w:rsid w:val="008277C8"/>
    <w:rsid w:val="00834FE6"/>
    <w:rsid w:val="00843E6A"/>
    <w:rsid w:val="0084706A"/>
    <w:rsid w:val="00853FAE"/>
    <w:rsid w:val="00856F10"/>
    <w:rsid w:val="00857273"/>
    <w:rsid w:val="0085736A"/>
    <w:rsid w:val="00857E0F"/>
    <w:rsid w:val="0087266D"/>
    <w:rsid w:val="00877629"/>
    <w:rsid w:val="008858D9"/>
    <w:rsid w:val="008A32C5"/>
    <w:rsid w:val="008B7AD6"/>
    <w:rsid w:val="008C6E12"/>
    <w:rsid w:val="008D3010"/>
    <w:rsid w:val="008E0268"/>
    <w:rsid w:val="008E2BF9"/>
    <w:rsid w:val="008E3226"/>
    <w:rsid w:val="008E5CB1"/>
    <w:rsid w:val="008F0E4C"/>
    <w:rsid w:val="009008AB"/>
    <w:rsid w:val="009050F4"/>
    <w:rsid w:val="00905BD2"/>
    <w:rsid w:val="0090741C"/>
    <w:rsid w:val="00910489"/>
    <w:rsid w:val="00910757"/>
    <w:rsid w:val="00914E4D"/>
    <w:rsid w:val="00915FB6"/>
    <w:rsid w:val="009247FB"/>
    <w:rsid w:val="00933091"/>
    <w:rsid w:val="00934725"/>
    <w:rsid w:val="00936163"/>
    <w:rsid w:val="009455BF"/>
    <w:rsid w:val="009532C9"/>
    <w:rsid w:val="009547E5"/>
    <w:rsid w:val="00964599"/>
    <w:rsid w:val="0096496B"/>
    <w:rsid w:val="00971075"/>
    <w:rsid w:val="009937F0"/>
    <w:rsid w:val="009A5D13"/>
    <w:rsid w:val="009B3695"/>
    <w:rsid w:val="009B542D"/>
    <w:rsid w:val="009B6DDB"/>
    <w:rsid w:val="009C56D1"/>
    <w:rsid w:val="009C612E"/>
    <w:rsid w:val="009D0EF8"/>
    <w:rsid w:val="009D3D91"/>
    <w:rsid w:val="009D3F63"/>
    <w:rsid w:val="009D4D1A"/>
    <w:rsid w:val="009E5573"/>
    <w:rsid w:val="009F0746"/>
    <w:rsid w:val="009F192A"/>
    <w:rsid w:val="00A0147F"/>
    <w:rsid w:val="00A05E9F"/>
    <w:rsid w:val="00A16987"/>
    <w:rsid w:val="00A22E7C"/>
    <w:rsid w:val="00A24286"/>
    <w:rsid w:val="00A264F0"/>
    <w:rsid w:val="00A270A1"/>
    <w:rsid w:val="00A316CC"/>
    <w:rsid w:val="00A4577C"/>
    <w:rsid w:val="00A5006F"/>
    <w:rsid w:val="00A56162"/>
    <w:rsid w:val="00A6043A"/>
    <w:rsid w:val="00A6105C"/>
    <w:rsid w:val="00A639B0"/>
    <w:rsid w:val="00A7065A"/>
    <w:rsid w:val="00A75779"/>
    <w:rsid w:val="00A772F8"/>
    <w:rsid w:val="00A81E9F"/>
    <w:rsid w:val="00A8652C"/>
    <w:rsid w:val="00AA1959"/>
    <w:rsid w:val="00AA6F23"/>
    <w:rsid w:val="00AB5D35"/>
    <w:rsid w:val="00AB7224"/>
    <w:rsid w:val="00AC1DE2"/>
    <w:rsid w:val="00AC42A6"/>
    <w:rsid w:val="00AC5CC1"/>
    <w:rsid w:val="00AC771C"/>
    <w:rsid w:val="00AE3ADE"/>
    <w:rsid w:val="00AE3F53"/>
    <w:rsid w:val="00AE5EFD"/>
    <w:rsid w:val="00AE677A"/>
    <w:rsid w:val="00AF10F6"/>
    <w:rsid w:val="00AF15C8"/>
    <w:rsid w:val="00B03B7F"/>
    <w:rsid w:val="00B23B8E"/>
    <w:rsid w:val="00B25250"/>
    <w:rsid w:val="00B47CC2"/>
    <w:rsid w:val="00B5319C"/>
    <w:rsid w:val="00B547FB"/>
    <w:rsid w:val="00B54FDF"/>
    <w:rsid w:val="00B656F0"/>
    <w:rsid w:val="00B67AEC"/>
    <w:rsid w:val="00B70F22"/>
    <w:rsid w:val="00B74212"/>
    <w:rsid w:val="00B8052A"/>
    <w:rsid w:val="00B901C4"/>
    <w:rsid w:val="00B932D4"/>
    <w:rsid w:val="00B97E21"/>
    <w:rsid w:val="00BA1BCE"/>
    <w:rsid w:val="00BA2681"/>
    <w:rsid w:val="00BC0D76"/>
    <w:rsid w:val="00BC1D88"/>
    <w:rsid w:val="00BC7052"/>
    <w:rsid w:val="00BD1DF8"/>
    <w:rsid w:val="00BE1080"/>
    <w:rsid w:val="00BE4FDC"/>
    <w:rsid w:val="00BF4212"/>
    <w:rsid w:val="00BF441A"/>
    <w:rsid w:val="00BF75C1"/>
    <w:rsid w:val="00C05464"/>
    <w:rsid w:val="00C074A0"/>
    <w:rsid w:val="00C22B08"/>
    <w:rsid w:val="00C32333"/>
    <w:rsid w:val="00C42D2E"/>
    <w:rsid w:val="00C478C7"/>
    <w:rsid w:val="00C50BE8"/>
    <w:rsid w:val="00C53CF7"/>
    <w:rsid w:val="00C64B78"/>
    <w:rsid w:val="00C65EBD"/>
    <w:rsid w:val="00C72C03"/>
    <w:rsid w:val="00C73611"/>
    <w:rsid w:val="00C82CE1"/>
    <w:rsid w:val="00C85B54"/>
    <w:rsid w:val="00C907E8"/>
    <w:rsid w:val="00C923D8"/>
    <w:rsid w:val="00CA053F"/>
    <w:rsid w:val="00CB1F25"/>
    <w:rsid w:val="00CB4BD9"/>
    <w:rsid w:val="00CB60B0"/>
    <w:rsid w:val="00CC201A"/>
    <w:rsid w:val="00CC5E10"/>
    <w:rsid w:val="00CE5408"/>
    <w:rsid w:val="00CE69C1"/>
    <w:rsid w:val="00CF1C84"/>
    <w:rsid w:val="00D04880"/>
    <w:rsid w:val="00D04FCF"/>
    <w:rsid w:val="00D0668E"/>
    <w:rsid w:val="00D22D30"/>
    <w:rsid w:val="00D33226"/>
    <w:rsid w:val="00D366BA"/>
    <w:rsid w:val="00D42D63"/>
    <w:rsid w:val="00D447F3"/>
    <w:rsid w:val="00D52A4D"/>
    <w:rsid w:val="00D5372F"/>
    <w:rsid w:val="00D54202"/>
    <w:rsid w:val="00D54524"/>
    <w:rsid w:val="00D63050"/>
    <w:rsid w:val="00D63694"/>
    <w:rsid w:val="00D71C4D"/>
    <w:rsid w:val="00D73A4F"/>
    <w:rsid w:val="00D73F9D"/>
    <w:rsid w:val="00D74C7B"/>
    <w:rsid w:val="00D754EE"/>
    <w:rsid w:val="00D758FF"/>
    <w:rsid w:val="00D830A0"/>
    <w:rsid w:val="00D85D52"/>
    <w:rsid w:val="00D91801"/>
    <w:rsid w:val="00D9608C"/>
    <w:rsid w:val="00DB138A"/>
    <w:rsid w:val="00DB15E1"/>
    <w:rsid w:val="00DB4A81"/>
    <w:rsid w:val="00DC1E15"/>
    <w:rsid w:val="00DC2AC2"/>
    <w:rsid w:val="00DD0DE8"/>
    <w:rsid w:val="00DD18FD"/>
    <w:rsid w:val="00DD1C4B"/>
    <w:rsid w:val="00DD407D"/>
    <w:rsid w:val="00E107A1"/>
    <w:rsid w:val="00E17A2E"/>
    <w:rsid w:val="00E34117"/>
    <w:rsid w:val="00E34505"/>
    <w:rsid w:val="00E370E6"/>
    <w:rsid w:val="00E375B6"/>
    <w:rsid w:val="00E53AA2"/>
    <w:rsid w:val="00E55121"/>
    <w:rsid w:val="00E55409"/>
    <w:rsid w:val="00E60F4D"/>
    <w:rsid w:val="00E72DBF"/>
    <w:rsid w:val="00E77711"/>
    <w:rsid w:val="00E83AC1"/>
    <w:rsid w:val="00E86EAA"/>
    <w:rsid w:val="00E95C58"/>
    <w:rsid w:val="00E96A09"/>
    <w:rsid w:val="00E96DEC"/>
    <w:rsid w:val="00EA1D2D"/>
    <w:rsid w:val="00EB24BC"/>
    <w:rsid w:val="00EE1974"/>
    <w:rsid w:val="00EE28BD"/>
    <w:rsid w:val="00EE6278"/>
    <w:rsid w:val="00EF275A"/>
    <w:rsid w:val="00EF5CD8"/>
    <w:rsid w:val="00EF6219"/>
    <w:rsid w:val="00EF79C7"/>
    <w:rsid w:val="00F031DE"/>
    <w:rsid w:val="00F15513"/>
    <w:rsid w:val="00F25E87"/>
    <w:rsid w:val="00F26A0D"/>
    <w:rsid w:val="00F26B1A"/>
    <w:rsid w:val="00F302A1"/>
    <w:rsid w:val="00F42AAE"/>
    <w:rsid w:val="00F442A9"/>
    <w:rsid w:val="00F508A5"/>
    <w:rsid w:val="00F50D41"/>
    <w:rsid w:val="00F53030"/>
    <w:rsid w:val="00F61CC3"/>
    <w:rsid w:val="00F66968"/>
    <w:rsid w:val="00F804D3"/>
    <w:rsid w:val="00F8552B"/>
    <w:rsid w:val="00F93203"/>
    <w:rsid w:val="00F978C5"/>
    <w:rsid w:val="00F97972"/>
    <w:rsid w:val="00F97E73"/>
    <w:rsid w:val="00FA53D0"/>
    <w:rsid w:val="00FB540B"/>
    <w:rsid w:val="00FB59AA"/>
    <w:rsid w:val="00FB605B"/>
    <w:rsid w:val="00FC5954"/>
    <w:rsid w:val="00FC6D8E"/>
    <w:rsid w:val="00FE3201"/>
    <w:rsid w:val="00FE4E94"/>
    <w:rsid w:val="00FF00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4D62DE"/>
  <w15:docId w15:val="{64DE0269-9C00-4810-9025-64D2ECB1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Mainbodytext"/>
    <w:qFormat/>
    <w:rsid w:val="00834FE6"/>
    <w:pPr>
      <w:jc w:val="both"/>
    </w:pPr>
    <w:rPr>
      <w:sz w:val="24"/>
      <w:szCs w:val="22"/>
      <w:lang w:val="en-GB" w:eastAsia="zh-CN"/>
    </w:rPr>
  </w:style>
  <w:style w:type="paragraph" w:styleId="Heading1">
    <w:name w:val="heading 1"/>
    <w:basedOn w:val="Normal"/>
    <w:next w:val="Firstparagraphofsection"/>
    <w:link w:val="Heading1Char"/>
    <w:uiPriority w:val="9"/>
    <w:qFormat/>
    <w:rsid w:val="00FC6D8E"/>
    <w:pPr>
      <w:spacing w:before="240" w:after="120"/>
      <w:outlineLvl w:val="0"/>
    </w:pPr>
    <w:rPr>
      <w:b/>
      <w:bCs/>
      <w:color w:val="000000"/>
      <w:szCs w:val="24"/>
    </w:rPr>
  </w:style>
  <w:style w:type="paragraph" w:styleId="Heading2">
    <w:name w:val="heading 2"/>
    <w:basedOn w:val="Normal"/>
    <w:next w:val="Firstparagraphofsection"/>
    <w:link w:val="Heading2Char"/>
    <w:uiPriority w:val="9"/>
    <w:unhideWhenUsed/>
    <w:qFormat/>
    <w:rsid w:val="00FC6D8E"/>
    <w:pPr>
      <w:spacing w:before="120" w:after="120"/>
      <w:outlineLvl w:val="1"/>
    </w:pPr>
    <w:rPr>
      <w:b/>
      <w:bCs/>
      <w:i/>
    </w:rPr>
  </w:style>
  <w:style w:type="paragraph" w:styleId="Heading3">
    <w:name w:val="heading 3"/>
    <w:basedOn w:val="Normal"/>
    <w:next w:val="Firstparagraphofsection"/>
    <w:link w:val="Heading3Char"/>
    <w:uiPriority w:val="9"/>
    <w:unhideWhenUsed/>
    <w:qFormat/>
    <w:rsid w:val="00FC6D8E"/>
    <w:pPr>
      <w:spacing w:before="120"/>
      <w:outlineLvl w:val="2"/>
    </w:pPr>
    <w:rPr>
      <w:i/>
    </w:rPr>
  </w:style>
  <w:style w:type="paragraph" w:styleId="Heading4">
    <w:name w:val="heading 4"/>
    <w:basedOn w:val="Normal"/>
    <w:next w:val="Normal"/>
    <w:link w:val="Heading4Char"/>
    <w:uiPriority w:val="9"/>
    <w:unhideWhenUsed/>
    <w:qFormat/>
    <w:rsid w:val="009937F0"/>
    <w:pPr>
      <w:keepNext/>
      <w:keepLines/>
      <w:numPr>
        <w:ilvl w:val="3"/>
        <w:numId w:val="1"/>
      </w:numPr>
      <w:spacing w:before="40"/>
      <w:outlineLvl w:val="3"/>
    </w:pPr>
    <w:rPr>
      <w:rFonts w:ascii="Cambria" w:eastAsia="MS Gothic" w:hAnsi="Cambria"/>
      <w:i/>
      <w:iCs/>
      <w:color w:val="365F91"/>
    </w:rPr>
  </w:style>
  <w:style w:type="paragraph" w:styleId="Heading5">
    <w:name w:val="heading 5"/>
    <w:basedOn w:val="Normal"/>
    <w:next w:val="Normal"/>
    <w:link w:val="Heading5Char"/>
    <w:uiPriority w:val="9"/>
    <w:semiHidden/>
    <w:unhideWhenUsed/>
    <w:qFormat/>
    <w:rsid w:val="009937F0"/>
    <w:pPr>
      <w:keepNext/>
      <w:keepLines/>
      <w:numPr>
        <w:ilvl w:val="4"/>
        <w:numId w:val="1"/>
      </w:numPr>
      <w:spacing w:before="40"/>
      <w:outlineLvl w:val="4"/>
    </w:pPr>
    <w:rPr>
      <w:rFonts w:ascii="Cambria" w:eastAsia="MS Gothic" w:hAnsi="Cambria"/>
      <w:color w:val="365F91"/>
    </w:rPr>
  </w:style>
  <w:style w:type="paragraph" w:styleId="Heading6">
    <w:name w:val="heading 6"/>
    <w:basedOn w:val="Normal"/>
    <w:next w:val="Normal"/>
    <w:link w:val="Heading6Char"/>
    <w:uiPriority w:val="9"/>
    <w:semiHidden/>
    <w:unhideWhenUsed/>
    <w:qFormat/>
    <w:rsid w:val="009937F0"/>
    <w:pPr>
      <w:keepNext/>
      <w:keepLines/>
      <w:numPr>
        <w:ilvl w:val="5"/>
        <w:numId w:val="1"/>
      </w:numPr>
      <w:spacing w:before="40"/>
      <w:outlineLvl w:val="5"/>
    </w:pPr>
    <w:rPr>
      <w:rFonts w:ascii="Cambria" w:eastAsia="MS Gothic" w:hAnsi="Cambria"/>
      <w:color w:val="243F60"/>
    </w:rPr>
  </w:style>
  <w:style w:type="paragraph" w:styleId="Heading7">
    <w:name w:val="heading 7"/>
    <w:basedOn w:val="Normal"/>
    <w:next w:val="Normal"/>
    <w:link w:val="Heading7Char"/>
    <w:uiPriority w:val="9"/>
    <w:semiHidden/>
    <w:unhideWhenUsed/>
    <w:qFormat/>
    <w:rsid w:val="009937F0"/>
    <w:pPr>
      <w:keepNext/>
      <w:keepLines/>
      <w:numPr>
        <w:ilvl w:val="6"/>
        <w:numId w:val="1"/>
      </w:numPr>
      <w:spacing w:before="40"/>
      <w:outlineLvl w:val="6"/>
    </w:pPr>
    <w:rPr>
      <w:rFonts w:ascii="Cambria" w:eastAsia="MS Gothic" w:hAnsi="Cambria"/>
      <w:i/>
      <w:iCs/>
      <w:color w:val="243F60"/>
    </w:rPr>
  </w:style>
  <w:style w:type="paragraph" w:styleId="Heading8">
    <w:name w:val="heading 8"/>
    <w:basedOn w:val="Normal"/>
    <w:next w:val="Normal"/>
    <w:link w:val="Heading8Char"/>
    <w:uiPriority w:val="9"/>
    <w:semiHidden/>
    <w:unhideWhenUsed/>
    <w:qFormat/>
    <w:rsid w:val="009937F0"/>
    <w:pPr>
      <w:keepNext/>
      <w:keepLines/>
      <w:numPr>
        <w:ilvl w:val="7"/>
        <w:numId w:val="1"/>
      </w:numPr>
      <w:spacing w:before="40"/>
      <w:outlineLvl w:val="7"/>
    </w:pPr>
    <w:rPr>
      <w:rFonts w:ascii="Cambria" w:eastAsia="MS Gothic" w:hAnsi="Cambria"/>
      <w:color w:val="272727"/>
      <w:sz w:val="21"/>
      <w:szCs w:val="21"/>
    </w:rPr>
  </w:style>
  <w:style w:type="paragraph" w:styleId="Heading9">
    <w:name w:val="heading 9"/>
    <w:basedOn w:val="Normal"/>
    <w:next w:val="Normal"/>
    <w:link w:val="Heading9Char"/>
    <w:uiPriority w:val="9"/>
    <w:semiHidden/>
    <w:unhideWhenUsed/>
    <w:qFormat/>
    <w:rsid w:val="009937F0"/>
    <w:pPr>
      <w:keepNext/>
      <w:keepLines/>
      <w:numPr>
        <w:ilvl w:val="8"/>
        <w:numId w:val="1"/>
      </w:numPr>
      <w:spacing w:before="40"/>
      <w:outlineLvl w:val="8"/>
    </w:pPr>
    <w:rPr>
      <w:rFonts w:ascii="Cambria" w:eastAsia="MS Gothic"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8BE"/>
    <w:rPr>
      <w:color w:val="0000FF"/>
      <w:u w:val="single"/>
    </w:rPr>
  </w:style>
  <w:style w:type="paragraph" w:styleId="BalloonText">
    <w:name w:val="Balloon Text"/>
    <w:basedOn w:val="Normal"/>
    <w:link w:val="BalloonTextChar"/>
    <w:uiPriority w:val="99"/>
    <w:semiHidden/>
    <w:unhideWhenUsed/>
    <w:rsid w:val="007009CC"/>
    <w:rPr>
      <w:rFonts w:ascii="Tahoma" w:hAnsi="Tahoma" w:cs="Tahoma"/>
      <w:sz w:val="16"/>
      <w:szCs w:val="16"/>
    </w:rPr>
  </w:style>
  <w:style w:type="character" w:customStyle="1" w:styleId="BalloonTextChar">
    <w:name w:val="Balloon Text Char"/>
    <w:link w:val="BalloonText"/>
    <w:uiPriority w:val="99"/>
    <w:semiHidden/>
    <w:rsid w:val="007009CC"/>
    <w:rPr>
      <w:rFonts w:ascii="Tahoma" w:hAnsi="Tahoma" w:cs="Tahoma"/>
      <w:sz w:val="16"/>
      <w:szCs w:val="16"/>
    </w:rPr>
  </w:style>
  <w:style w:type="paragraph" w:styleId="Caption">
    <w:name w:val="caption"/>
    <w:basedOn w:val="Normal"/>
    <w:next w:val="Normal"/>
    <w:uiPriority w:val="35"/>
    <w:unhideWhenUsed/>
    <w:qFormat/>
    <w:rsid w:val="00A270A1"/>
    <w:pPr>
      <w:jc w:val="center"/>
    </w:pPr>
    <w:rPr>
      <w:sz w:val="20"/>
      <w:szCs w:val="20"/>
    </w:rPr>
  </w:style>
  <w:style w:type="table" w:styleId="TableGrid">
    <w:name w:val="Table Grid"/>
    <w:basedOn w:val="TableNormal"/>
    <w:uiPriority w:val="59"/>
    <w:rsid w:val="00700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316CC"/>
  </w:style>
  <w:style w:type="paragraph" w:customStyle="1" w:styleId="Default">
    <w:name w:val="Default"/>
    <w:rsid w:val="00120D88"/>
    <w:pPr>
      <w:autoSpaceDE w:val="0"/>
      <w:autoSpaceDN w:val="0"/>
      <w:adjustRightInd w:val="0"/>
    </w:pPr>
    <w:rPr>
      <w:rFonts w:ascii="Arial" w:hAnsi="Arial" w:cs="Arial"/>
      <w:color w:val="000000"/>
      <w:sz w:val="24"/>
      <w:szCs w:val="24"/>
      <w:lang w:val="en-GB" w:eastAsia="zh-CN"/>
    </w:rPr>
  </w:style>
  <w:style w:type="paragraph" w:customStyle="1" w:styleId="Authors">
    <w:name w:val="Authors"/>
    <w:basedOn w:val="Normal"/>
    <w:qFormat/>
    <w:rsid w:val="001371B9"/>
    <w:pPr>
      <w:jc w:val="left"/>
    </w:pPr>
    <w:rPr>
      <w:b/>
      <w:bCs/>
      <w:szCs w:val="24"/>
    </w:rPr>
  </w:style>
  <w:style w:type="paragraph" w:styleId="Header">
    <w:name w:val="header"/>
    <w:basedOn w:val="Normal"/>
    <w:link w:val="HeaderChar"/>
    <w:uiPriority w:val="99"/>
    <w:unhideWhenUsed/>
    <w:rsid w:val="00B8052A"/>
    <w:pPr>
      <w:tabs>
        <w:tab w:val="center" w:pos="4320"/>
        <w:tab w:val="right" w:pos="8640"/>
      </w:tabs>
    </w:pPr>
  </w:style>
  <w:style w:type="character" w:customStyle="1" w:styleId="HeaderChar">
    <w:name w:val="Header Char"/>
    <w:link w:val="Header"/>
    <w:uiPriority w:val="99"/>
    <w:rsid w:val="00B8052A"/>
    <w:rPr>
      <w:rFonts w:ascii="Times New Roman" w:hAnsi="Times New Roman"/>
      <w:sz w:val="24"/>
    </w:rPr>
  </w:style>
  <w:style w:type="paragraph" w:styleId="Footer">
    <w:name w:val="footer"/>
    <w:basedOn w:val="Normal"/>
    <w:link w:val="FooterChar"/>
    <w:uiPriority w:val="99"/>
    <w:unhideWhenUsed/>
    <w:rsid w:val="00B8052A"/>
    <w:pPr>
      <w:tabs>
        <w:tab w:val="center" w:pos="4320"/>
        <w:tab w:val="right" w:pos="8640"/>
      </w:tabs>
    </w:pPr>
  </w:style>
  <w:style w:type="character" w:customStyle="1" w:styleId="FooterChar">
    <w:name w:val="Footer Char"/>
    <w:link w:val="Footer"/>
    <w:uiPriority w:val="99"/>
    <w:rsid w:val="00B8052A"/>
    <w:rPr>
      <w:rFonts w:ascii="Times New Roman" w:hAnsi="Times New Roman"/>
      <w:sz w:val="24"/>
    </w:rPr>
  </w:style>
  <w:style w:type="character" w:customStyle="1" w:styleId="Heading1Char">
    <w:name w:val="Heading 1 Char"/>
    <w:link w:val="Heading1"/>
    <w:uiPriority w:val="9"/>
    <w:rsid w:val="00FC6D8E"/>
    <w:rPr>
      <w:rFonts w:ascii="Calibri" w:hAnsi="Calibri" w:cs="Times New Roman"/>
      <w:b/>
      <w:bCs/>
      <w:color w:val="000000"/>
      <w:sz w:val="24"/>
      <w:szCs w:val="24"/>
    </w:rPr>
  </w:style>
  <w:style w:type="paragraph" w:customStyle="1" w:styleId="Abstract">
    <w:name w:val="Abstract"/>
    <w:basedOn w:val="Normal"/>
    <w:qFormat/>
    <w:rsid w:val="009937F0"/>
    <w:rPr>
      <w:sz w:val="20"/>
      <w:szCs w:val="20"/>
    </w:rPr>
  </w:style>
  <w:style w:type="paragraph" w:customStyle="1" w:styleId="proceedingsheader">
    <w:name w:val="proceedings header"/>
    <w:basedOn w:val="Normal"/>
    <w:qFormat/>
    <w:rsid w:val="00834FE6"/>
    <w:pPr>
      <w:jc w:val="left"/>
    </w:pPr>
    <w:rPr>
      <w:szCs w:val="24"/>
    </w:rPr>
  </w:style>
  <w:style w:type="character" w:customStyle="1" w:styleId="Heading2Char">
    <w:name w:val="Heading 2 Char"/>
    <w:link w:val="Heading2"/>
    <w:uiPriority w:val="9"/>
    <w:rsid w:val="00FC6D8E"/>
    <w:rPr>
      <w:rFonts w:ascii="Calibri" w:hAnsi="Calibri"/>
      <w:b/>
      <w:bCs/>
      <w:i/>
      <w:sz w:val="24"/>
    </w:rPr>
  </w:style>
  <w:style w:type="paragraph" w:styleId="Title">
    <w:name w:val="Title"/>
    <w:basedOn w:val="Normal"/>
    <w:next w:val="Normal"/>
    <w:link w:val="TitleChar"/>
    <w:uiPriority w:val="10"/>
    <w:qFormat/>
    <w:rsid w:val="00BF75C1"/>
    <w:pPr>
      <w:spacing w:before="240"/>
    </w:pPr>
    <w:rPr>
      <w:b/>
      <w:bCs/>
      <w:sz w:val="28"/>
      <w:szCs w:val="28"/>
    </w:rPr>
  </w:style>
  <w:style w:type="character" w:customStyle="1" w:styleId="TitleChar">
    <w:name w:val="Title Char"/>
    <w:link w:val="Title"/>
    <w:uiPriority w:val="10"/>
    <w:rsid w:val="00BF75C1"/>
    <w:rPr>
      <w:rFonts w:ascii="Calibri" w:hAnsi="Calibri" w:cs="Times New Roman"/>
      <w:b/>
      <w:bCs/>
      <w:sz w:val="28"/>
      <w:szCs w:val="28"/>
    </w:rPr>
  </w:style>
  <w:style w:type="character" w:customStyle="1" w:styleId="Heading3Char">
    <w:name w:val="Heading 3 Char"/>
    <w:link w:val="Heading3"/>
    <w:uiPriority w:val="9"/>
    <w:rsid w:val="00FC6D8E"/>
    <w:rPr>
      <w:rFonts w:ascii="Calibri" w:hAnsi="Calibri"/>
      <w:i/>
      <w:sz w:val="24"/>
    </w:rPr>
  </w:style>
  <w:style w:type="character" w:customStyle="1" w:styleId="Heading4Char">
    <w:name w:val="Heading 4 Char"/>
    <w:link w:val="Heading4"/>
    <w:uiPriority w:val="9"/>
    <w:rsid w:val="009937F0"/>
    <w:rPr>
      <w:rFonts w:ascii="Cambria" w:eastAsia="MS Gothic" w:hAnsi="Cambria" w:cs="Times New Roman"/>
      <w:i/>
      <w:iCs/>
      <w:color w:val="365F91"/>
      <w:sz w:val="24"/>
    </w:rPr>
  </w:style>
  <w:style w:type="character" w:customStyle="1" w:styleId="Heading5Char">
    <w:name w:val="Heading 5 Char"/>
    <w:link w:val="Heading5"/>
    <w:uiPriority w:val="9"/>
    <w:semiHidden/>
    <w:rsid w:val="009937F0"/>
    <w:rPr>
      <w:rFonts w:ascii="Cambria" w:eastAsia="MS Gothic" w:hAnsi="Cambria" w:cs="Times New Roman"/>
      <w:color w:val="365F91"/>
      <w:sz w:val="24"/>
    </w:rPr>
  </w:style>
  <w:style w:type="character" w:customStyle="1" w:styleId="Heading6Char">
    <w:name w:val="Heading 6 Char"/>
    <w:link w:val="Heading6"/>
    <w:uiPriority w:val="9"/>
    <w:semiHidden/>
    <w:rsid w:val="009937F0"/>
    <w:rPr>
      <w:rFonts w:ascii="Cambria" w:eastAsia="MS Gothic" w:hAnsi="Cambria" w:cs="Times New Roman"/>
      <w:color w:val="243F60"/>
      <w:sz w:val="24"/>
    </w:rPr>
  </w:style>
  <w:style w:type="character" w:customStyle="1" w:styleId="Heading7Char">
    <w:name w:val="Heading 7 Char"/>
    <w:link w:val="Heading7"/>
    <w:uiPriority w:val="9"/>
    <w:semiHidden/>
    <w:rsid w:val="009937F0"/>
    <w:rPr>
      <w:rFonts w:ascii="Cambria" w:eastAsia="MS Gothic" w:hAnsi="Cambria" w:cs="Times New Roman"/>
      <w:i/>
      <w:iCs/>
      <w:color w:val="243F60"/>
      <w:sz w:val="24"/>
    </w:rPr>
  </w:style>
  <w:style w:type="character" w:customStyle="1" w:styleId="Heading8Char">
    <w:name w:val="Heading 8 Char"/>
    <w:link w:val="Heading8"/>
    <w:uiPriority w:val="9"/>
    <w:semiHidden/>
    <w:rsid w:val="009937F0"/>
    <w:rPr>
      <w:rFonts w:ascii="Cambria" w:eastAsia="MS Gothic" w:hAnsi="Cambria" w:cs="Times New Roman"/>
      <w:color w:val="272727"/>
      <w:sz w:val="21"/>
      <w:szCs w:val="21"/>
    </w:rPr>
  </w:style>
  <w:style w:type="character" w:customStyle="1" w:styleId="Heading9Char">
    <w:name w:val="Heading 9 Char"/>
    <w:link w:val="Heading9"/>
    <w:uiPriority w:val="9"/>
    <w:semiHidden/>
    <w:rsid w:val="009937F0"/>
    <w:rPr>
      <w:rFonts w:ascii="Cambria" w:eastAsia="MS Gothic" w:hAnsi="Cambria" w:cs="Times New Roman"/>
      <w:i/>
      <w:iCs/>
      <w:color w:val="272727"/>
      <w:sz w:val="21"/>
      <w:szCs w:val="21"/>
    </w:rPr>
  </w:style>
  <w:style w:type="paragraph" w:customStyle="1" w:styleId="References">
    <w:name w:val="References"/>
    <w:basedOn w:val="Normal"/>
    <w:qFormat/>
    <w:rsid w:val="00F26B1A"/>
    <w:pPr>
      <w:autoSpaceDE w:val="0"/>
      <w:autoSpaceDN w:val="0"/>
      <w:adjustRightInd w:val="0"/>
      <w:ind w:firstLine="567"/>
    </w:pPr>
    <w:rPr>
      <w:szCs w:val="24"/>
    </w:rPr>
  </w:style>
  <w:style w:type="character" w:styleId="FollowedHyperlink">
    <w:name w:val="FollowedHyperlink"/>
    <w:uiPriority w:val="99"/>
    <w:semiHidden/>
    <w:unhideWhenUsed/>
    <w:rsid w:val="001371B9"/>
    <w:rPr>
      <w:color w:val="800080"/>
      <w:u w:val="single"/>
    </w:rPr>
  </w:style>
  <w:style w:type="paragraph" w:customStyle="1" w:styleId="Firstparagraphofsection">
    <w:name w:val="First paragraph of section"/>
    <w:basedOn w:val="Normal"/>
    <w:next w:val="Mainbodytext"/>
    <w:qFormat/>
    <w:rsid w:val="00E370E6"/>
    <w:rPr>
      <w:szCs w:val="24"/>
    </w:rPr>
  </w:style>
  <w:style w:type="paragraph" w:customStyle="1" w:styleId="Mainbodytext">
    <w:name w:val="Main body text"/>
    <w:basedOn w:val="Normal"/>
    <w:qFormat/>
    <w:rsid w:val="00E370E6"/>
    <w:pPr>
      <w:ind w:firstLine="567"/>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268177">
      <w:bodyDiv w:val="1"/>
      <w:marLeft w:val="0"/>
      <w:marRight w:val="0"/>
      <w:marTop w:val="0"/>
      <w:marBottom w:val="0"/>
      <w:divBdr>
        <w:top w:val="none" w:sz="0" w:space="0" w:color="auto"/>
        <w:left w:val="none" w:sz="0" w:space="0" w:color="auto"/>
        <w:bottom w:val="none" w:sz="0" w:space="0" w:color="auto"/>
        <w:right w:val="none" w:sz="0" w:space="0" w:color="auto"/>
      </w:divBdr>
      <w:divsChild>
        <w:div w:id="19536605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erg.soton.ac.uk/ccweatherg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ibse.org/pdfs/7borme.pdf" TargetMode="Externa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www.carbonlite.org.uk/carbonlite/passivhaus.p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London 2011</c:v>
                </c:pt>
              </c:strCache>
            </c:strRef>
          </c:tx>
          <c:spPr>
            <a:solidFill>
              <a:schemeClr val="accent1"/>
            </a:solidFill>
            <a:ln>
              <a:noFill/>
            </a:ln>
            <a:effectLst/>
          </c:spPr>
          <c:invertIfNegative val="0"/>
          <c:cat>
            <c:strRef>
              <c:f>Sheet1!$A$2:$A$6</c:f>
              <c:strCache>
                <c:ptCount val="5"/>
                <c:pt idx="0">
                  <c:v>BB</c:v>
                </c:pt>
                <c:pt idx="1">
                  <c:v>ICF</c:v>
                </c:pt>
                <c:pt idx="2">
                  <c:v>SF</c:v>
                </c:pt>
                <c:pt idx="3">
                  <c:v>TF</c:v>
                </c:pt>
                <c:pt idx="4">
                  <c:v>SIP</c:v>
                </c:pt>
              </c:strCache>
            </c:strRef>
          </c:cat>
          <c:val>
            <c:numRef>
              <c:f>Sheet1!$B$2:$B$6</c:f>
              <c:numCache>
                <c:formatCode>General</c:formatCode>
                <c:ptCount val="5"/>
                <c:pt idx="0">
                  <c:v>2284</c:v>
                </c:pt>
                <c:pt idx="1">
                  <c:v>2289</c:v>
                </c:pt>
                <c:pt idx="2">
                  <c:v>2284</c:v>
                </c:pt>
                <c:pt idx="3">
                  <c:v>2260</c:v>
                </c:pt>
                <c:pt idx="4">
                  <c:v>2284</c:v>
                </c:pt>
              </c:numCache>
            </c:numRef>
          </c:val>
          <c:extLst>
            <c:ext xmlns:c16="http://schemas.microsoft.com/office/drawing/2014/chart" uri="{C3380CC4-5D6E-409C-BE32-E72D297353CC}">
              <c16:uniqueId val="{00000000-D40A-4B39-9E61-CC8BCA5D909C}"/>
            </c:ext>
          </c:extLst>
        </c:ser>
        <c:ser>
          <c:idx val="1"/>
          <c:order val="1"/>
          <c:tx>
            <c:strRef>
              <c:f>Sheet1!$C$1</c:f>
              <c:strCache>
                <c:ptCount val="1"/>
                <c:pt idx="0">
                  <c:v>London 2020</c:v>
                </c:pt>
              </c:strCache>
            </c:strRef>
          </c:tx>
          <c:spPr>
            <a:solidFill>
              <a:schemeClr val="accent2"/>
            </a:solidFill>
            <a:ln>
              <a:noFill/>
            </a:ln>
            <a:effectLst/>
          </c:spPr>
          <c:invertIfNegative val="0"/>
          <c:cat>
            <c:strRef>
              <c:f>Sheet1!$A$2:$A$6</c:f>
              <c:strCache>
                <c:ptCount val="5"/>
                <c:pt idx="0">
                  <c:v>BB</c:v>
                </c:pt>
                <c:pt idx="1">
                  <c:v>ICF</c:v>
                </c:pt>
                <c:pt idx="2">
                  <c:v>SF</c:v>
                </c:pt>
                <c:pt idx="3">
                  <c:v>TF</c:v>
                </c:pt>
                <c:pt idx="4">
                  <c:v>SIP</c:v>
                </c:pt>
              </c:strCache>
            </c:strRef>
          </c:cat>
          <c:val>
            <c:numRef>
              <c:f>Sheet1!$C$2:$C$6</c:f>
              <c:numCache>
                <c:formatCode>General</c:formatCode>
                <c:ptCount val="5"/>
                <c:pt idx="0">
                  <c:v>2500</c:v>
                </c:pt>
                <c:pt idx="1">
                  <c:v>2504</c:v>
                </c:pt>
                <c:pt idx="2">
                  <c:v>2502</c:v>
                </c:pt>
                <c:pt idx="3">
                  <c:v>2493</c:v>
                </c:pt>
                <c:pt idx="4">
                  <c:v>2498</c:v>
                </c:pt>
              </c:numCache>
            </c:numRef>
          </c:val>
          <c:extLst>
            <c:ext xmlns:c16="http://schemas.microsoft.com/office/drawing/2014/chart" uri="{C3380CC4-5D6E-409C-BE32-E72D297353CC}">
              <c16:uniqueId val="{00000001-D40A-4B39-9E61-CC8BCA5D909C}"/>
            </c:ext>
          </c:extLst>
        </c:ser>
        <c:ser>
          <c:idx val="2"/>
          <c:order val="2"/>
          <c:tx>
            <c:strRef>
              <c:f>Sheet1!$D$1</c:f>
              <c:strCache>
                <c:ptCount val="1"/>
                <c:pt idx="0">
                  <c:v>London 2050</c:v>
                </c:pt>
              </c:strCache>
            </c:strRef>
          </c:tx>
          <c:spPr>
            <a:solidFill>
              <a:schemeClr val="accent3"/>
            </a:solidFill>
            <a:ln>
              <a:noFill/>
            </a:ln>
            <a:effectLst/>
          </c:spPr>
          <c:invertIfNegative val="0"/>
          <c:cat>
            <c:strRef>
              <c:f>Sheet1!$A$2:$A$6</c:f>
              <c:strCache>
                <c:ptCount val="5"/>
                <c:pt idx="0">
                  <c:v>BB</c:v>
                </c:pt>
                <c:pt idx="1">
                  <c:v>ICF</c:v>
                </c:pt>
                <c:pt idx="2">
                  <c:v>SF</c:v>
                </c:pt>
                <c:pt idx="3">
                  <c:v>TF</c:v>
                </c:pt>
                <c:pt idx="4">
                  <c:v>SIP</c:v>
                </c:pt>
              </c:strCache>
            </c:strRef>
          </c:cat>
          <c:val>
            <c:numRef>
              <c:f>Sheet1!$D$2:$D$6</c:f>
              <c:numCache>
                <c:formatCode>General</c:formatCode>
                <c:ptCount val="5"/>
                <c:pt idx="0">
                  <c:v>2552</c:v>
                </c:pt>
                <c:pt idx="1">
                  <c:v>2552</c:v>
                </c:pt>
                <c:pt idx="2">
                  <c:v>2551</c:v>
                </c:pt>
                <c:pt idx="3">
                  <c:v>2540</c:v>
                </c:pt>
                <c:pt idx="4">
                  <c:v>2545</c:v>
                </c:pt>
              </c:numCache>
            </c:numRef>
          </c:val>
          <c:extLst>
            <c:ext xmlns:c16="http://schemas.microsoft.com/office/drawing/2014/chart" uri="{C3380CC4-5D6E-409C-BE32-E72D297353CC}">
              <c16:uniqueId val="{00000002-D40A-4B39-9E61-CC8BCA5D909C}"/>
            </c:ext>
          </c:extLst>
        </c:ser>
        <c:ser>
          <c:idx val="3"/>
          <c:order val="3"/>
          <c:tx>
            <c:strRef>
              <c:f>Sheet1!$E$1</c:f>
              <c:strCache>
                <c:ptCount val="1"/>
                <c:pt idx="0">
                  <c:v>London 2080</c:v>
                </c:pt>
              </c:strCache>
            </c:strRef>
          </c:tx>
          <c:spPr>
            <a:solidFill>
              <a:schemeClr val="accent4"/>
            </a:solidFill>
            <a:ln>
              <a:noFill/>
            </a:ln>
            <a:effectLst/>
          </c:spPr>
          <c:invertIfNegative val="0"/>
          <c:cat>
            <c:strRef>
              <c:f>Sheet1!$A$2:$A$6</c:f>
              <c:strCache>
                <c:ptCount val="5"/>
                <c:pt idx="0">
                  <c:v>BB</c:v>
                </c:pt>
                <c:pt idx="1">
                  <c:v>ICF</c:v>
                </c:pt>
                <c:pt idx="2">
                  <c:v>SF</c:v>
                </c:pt>
                <c:pt idx="3">
                  <c:v>TF</c:v>
                </c:pt>
                <c:pt idx="4">
                  <c:v>SIP</c:v>
                </c:pt>
              </c:strCache>
            </c:strRef>
          </c:cat>
          <c:val>
            <c:numRef>
              <c:f>Sheet1!$E$2:$E$6</c:f>
              <c:numCache>
                <c:formatCode>General</c:formatCode>
                <c:ptCount val="5"/>
                <c:pt idx="0">
                  <c:v>2648</c:v>
                </c:pt>
                <c:pt idx="1">
                  <c:v>2647</c:v>
                </c:pt>
                <c:pt idx="2">
                  <c:v>2645</c:v>
                </c:pt>
                <c:pt idx="3">
                  <c:v>2623</c:v>
                </c:pt>
                <c:pt idx="4">
                  <c:v>2638</c:v>
                </c:pt>
              </c:numCache>
            </c:numRef>
          </c:val>
          <c:extLst>
            <c:ext xmlns:c16="http://schemas.microsoft.com/office/drawing/2014/chart" uri="{C3380CC4-5D6E-409C-BE32-E72D297353CC}">
              <c16:uniqueId val="{00000003-D40A-4B39-9E61-CC8BCA5D909C}"/>
            </c:ext>
          </c:extLst>
        </c:ser>
        <c:dLbls>
          <c:showLegendKey val="0"/>
          <c:showVal val="0"/>
          <c:showCatName val="0"/>
          <c:showSerName val="0"/>
          <c:showPercent val="0"/>
          <c:showBubbleSize val="0"/>
        </c:dLbls>
        <c:gapWidth val="267"/>
        <c:overlap val="-43"/>
        <c:axId val="156034944"/>
        <c:axId val="156036480"/>
      </c:barChart>
      <c:catAx>
        <c:axId val="156034944"/>
        <c:scaling>
          <c:orientation val="minMax"/>
        </c:scaling>
        <c:delete val="0"/>
        <c:axPos val="b"/>
        <c:majorGridlines>
          <c:spPr>
            <a:ln w="9517"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17"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dk1">
                    <a:lumMod val="65000"/>
                    <a:lumOff val="35000"/>
                  </a:schemeClr>
                </a:solidFill>
                <a:latin typeface="+mn-lt"/>
                <a:ea typeface="+mn-ea"/>
                <a:cs typeface="+mn-cs"/>
              </a:defRPr>
            </a:pPr>
            <a:endParaRPr lang="en-US"/>
          </a:p>
        </c:txPr>
        <c:crossAx val="156036480"/>
        <c:crosses val="autoZero"/>
        <c:auto val="1"/>
        <c:lblAlgn val="ctr"/>
        <c:lblOffset val="100"/>
        <c:noMultiLvlLbl val="0"/>
      </c:catAx>
      <c:valAx>
        <c:axId val="156036480"/>
        <c:scaling>
          <c:orientation val="minMax"/>
        </c:scaling>
        <c:delete val="0"/>
        <c:axPos val="l"/>
        <c:majorGridlines>
          <c:spPr>
            <a:ln w="9517" cap="flat" cmpd="sng" algn="ctr">
              <a:solidFill>
                <a:schemeClr val="dk1">
                  <a:lumMod val="15000"/>
                  <a:lumOff val="85000"/>
                </a:schemeClr>
              </a:solidFill>
              <a:round/>
            </a:ln>
            <a:effectLst/>
          </c:spPr>
        </c:majorGridlines>
        <c:title>
          <c:tx>
            <c:rich>
              <a:bodyPr/>
              <a:lstStyle/>
              <a:p>
                <a:pPr>
                  <a:defRPr/>
                </a:pPr>
                <a:r>
                  <a:rPr lang="en-US"/>
                  <a:t>Hours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en-US"/>
          </a:p>
        </c:txPr>
        <c:crossAx val="156034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0"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300 mm Insulation</c:v>
                </c:pt>
              </c:strCache>
            </c:strRef>
          </c:tx>
          <c:cat>
            <c:strRef>
              <c:f>Sheet1!$A$2:$A$5</c:f>
              <c:strCache>
                <c:ptCount val="4"/>
                <c:pt idx="0">
                  <c:v>London 2011</c:v>
                </c:pt>
                <c:pt idx="1">
                  <c:v>London 2020</c:v>
                </c:pt>
                <c:pt idx="2">
                  <c:v>London 2050</c:v>
                </c:pt>
                <c:pt idx="3">
                  <c:v>London 2080</c:v>
                </c:pt>
              </c:strCache>
            </c:strRef>
          </c:cat>
          <c:val>
            <c:numRef>
              <c:f>Sheet1!$B$2:$B$5</c:f>
              <c:numCache>
                <c:formatCode>General</c:formatCode>
                <c:ptCount val="4"/>
                <c:pt idx="0">
                  <c:v>2284</c:v>
                </c:pt>
                <c:pt idx="1">
                  <c:v>2500</c:v>
                </c:pt>
                <c:pt idx="2">
                  <c:v>2552</c:v>
                </c:pt>
                <c:pt idx="3">
                  <c:v>2648</c:v>
                </c:pt>
              </c:numCache>
            </c:numRef>
          </c:val>
          <c:smooth val="0"/>
          <c:extLst>
            <c:ext xmlns:c16="http://schemas.microsoft.com/office/drawing/2014/chart" uri="{C3380CC4-5D6E-409C-BE32-E72D297353CC}">
              <c16:uniqueId val="{00000000-700D-4099-B90F-30B910A554AB}"/>
            </c:ext>
          </c:extLst>
        </c:ser>
        <c:ser>
          <c:idx val="1"/>
          <c:order val="1"/>
          <c:tx>
            <c:strRef>
              <c:f>Sheet1!$C$1</c:f>
              <c:strCache>
                <c:ptCount val="1"/>
                <c:pt idx="0">
                  <c:v>200 mm Insulation</c:v>
                </c:pt>
              </c:strCache>
            </c:strRef>
          </c:tx>
          <c:cat>
            <c:strRef>
              <c:f>Sheet1!$A$2:$A$5</c:f>
              <c:strCache>
                <c:ptCount val="4"/>
                <c:pt idx="0">
                  <c:v>London 2011</c:v>
                </c:pt>
                <c:pt idx="1">
                  <c:v>London 2020</c:v>
                </c:pt>
                <c:pt idx="2">
                  <c:v>London 2050</c:v>
                </c:pt>
                <c:pt idx="3">
                  <c:v>London 2080</c:v>
                </c:pt>
              </c:strCache>
            </c:strRef>
          </c:cat>
          <c:val>
            <c:numRef>
              <c:f>Sheet1!$C$2:$C$5</c:f>
              <c:numCache>
                <c:formatCode>General</c:formatCode>
                <c:ptCount val="4"/>
                <c:pt idx="0">
                  <c:v>2306.5</c:v>
                </c:pt>
                <c:pt idx="1">
                  <c:v>2507.5</c:v>
                </c:pt>
                <c:pt idx="2">
                  <c:v>2550</c:v>
                </c:pt>
                <c:pt idx="3">
                  <c:v>2650</c:v>
                </c:pt>
              </c:numCache>
            </c:numRef>
          </c:val>
          <c:smooth val="0"/>
          <c:extLst>
            <c:ext xmlns:c16="http://schemas.microsoft.com/office/drawing/2014/chart" uri="{C3380CC4-5D6E-409C-BE32-E72D297353CC}">
              <c16:uniqueId val="{00000001-700D-4099-B90F-30B910A554AB}"/>
            </c:ext>
          </c:extLst>
        </c:ser>
        <c:ser>
          <c:idx val="2"/>
          <c:order val="2"/>
          <c:tx>
            <c:strRef>
              <c:f>Sheet1!$D$1</c:f>
              <c:strCache>
                <c:ptCount val="1"/>
                <c:pt idx="0">
                  <c:v>100 mm Insulation</c:v>
                </c:pt>
              </c:strCache>
            </c:strRef>
          </c:tx>
          <c:cat>
            <c:strRef>
              <c:f>Sheet1!$A$2:$A$5</c:f>
              <c:strCache>
                <c:ptCount val="4"/>
                <c:pt idx="0">
                  <c:v>London 2011</c:v>
                </c:pt>
                <c:pt idx="1">
                  <c:v>London 2020</c:v>
                </c:pt>
                <c:pt idx="2">
                  <c:v>London 2050</c:v>
                </c:pt>
                <c:pt idx="3">
                  <c:v>London 2080</c:v>
                </c:pt>
              </c:strCache>
            </c:strRef>
          </c:cat>
          <c:val>
            <c:numRef>
              <c:f>Sheet1!$D$2:$D$5</c:f>
              <c:numCache>
                <c:formatCode>General</c:formatCode>
                <c:ptCount val="4"/>
                <c:pt idx="0">
                  <c:v>2323</c:v>
                </c:pt>
                <c:pt idx="1">
                  <c:v>2525</c:v>
                </c:pt>
                <c:pt idx="2">
                  <c:v>2555</c:v>
                </c:pt>
                <c:pt idx="3">
                  <c:v>2654</c:v>
                </c:pt>
              </c:numCache>
            </c:numRef>
          </c:val>
          <c:smooth val="0"/>
          <c:extLst>
            <c:ext xmlns:c16="http://schemas.microsoft.com/office/drawing/2014/chart" uri="{C3380CC4-5D6E-409C-BE32-E72D297353CC}">
              <c16:uniqueId val="{00000002-700D-4099-B90F-30B910A554AB}"/>
            </c:ext>
          </c:extLst>
        </c:ser>
        <c:dLbls>
          <c:showLegendKey val="0"/>
          <c:showVal val="0"/>
          <c:showCatName val="0"/>
          <c:showSerName val="0"/>
          <c:showPercent val="0"/>
          <c:showBubbleSize val="0"/>
        </c:dLbls>
        <c:marker val="1"/>
        <c:smooth val="0"/>
        <c:axId val="206409088"/>
        <c:axId val="206410880"/>
      </c:lineChart>
      <c:catAx>
        <c:axId val="206409088"/>
        <c:scaling>
          <c:orientation val="minMax"/>
        </c:scaling>
        <c:delete val="0"/>
        <c:axPos val="b"/>
        <c:numFmt formatCode="General" sourceLinked="1"/>
        <c:majorTickMark val="none"/>
        <c:minorTickMark val="none"/>
        <c:tickLblPos val="nextTo"/>
        <c:crossAx val="206410880"/>
        <c:crosses val="autoZero"/>
        <c:auto val="1"/>
        <c:lblAlgn val="ctr"/>
        <c:lblOffset val="100"/>
        <c:noMultiLvlLbl val="0"/>
      </c:catAx>
      <c:valAx>
        <c:axId val="206410880"/>
        <c:scaling>
          <c:orientation val="minMax"/>
        </c:scaling>
        <c:delete val="0"/>
        <c:axPos val="l"/>
        <c:majorGridlines/>
        <c:title>
          <c:tx>
            <c:rich>
              <a:bodyPr/>
              <a:lstStyle/>
              <a:p>
                <a:pPr>
                  <a:defRPr sz="998" b="1" i="0" u="none" strike="noStrike" baseline="0">
                    <a:solidFill>
                      <a:srgbClr val="000000"/>
                    </a:solidFill>
                    <a:latin typeface="Cambria"/>
                    <a:ea typeface="Cambria"/>
                    <a:cs typeface="Cambria"/>
                  </a:defRPr>
                </a:pPr>
                <a:r>
                  <a:rPr lang="en-GB"/>
                  <a:t>Total Discomfort Hours</a:t>
                </a:r>
              </a:p>
            </c:rich>
          </c:tx>
          <c:overlay val="0"/>
        </c:title>
        <c:numFmt formatCode="General" sourceLinked="1"/>
        <c:majorTickMark val="none"/>
        <c:minorTickMark val="none"/>
        <c:tickLblPos val="nextTo"/>
        <c:crossAx val="206409088"/>
        <c:crosses val="autoZero"/>
        <c:crossBetween val="between"/>
        <c:majorUnit val="50"/>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320 mm Insulation</c:v>
                </c:pt>
              </c:strCache>
            </c:strRef>
          </c:tx>
          <c:cat>
            <c:strRef>
              <c:f>Sheet1!$A$2:$A$5</c:f>
              <c:strCache>
                <c:ptCount val="4"/>
                <c:pt idx="0">
                  <c:v>London 2011</c:v>
                </c:pt>
                <c:pt idx="1">
                  <c:v>London 2020</c:v>
                </c:pt>
                <c:pt idx="2">
                  <c:v>London 2050</c:v>
                </c:pt>
                <c:pt idx="3">
                  <c:v>London 2080</c:v>
                </c:pt>
              </c:strCache>
            </c:strRef>
          </c:cat>
          <c:val>
            <c:numRef>
              <c:f>Sheet1!$B$2:$B$5</c:f>
              <c:numCache>
                <c:formatCode>General</c:formatCode>
                <c:ptCount val="4"/>
                <c:pt idx="0">
                  <c:v>2289.5</c:v>
                </c:pt>
                <c:pt idx="1">
                  <c:v>2503</c:v>
                </c:pt>
                <c:pt idx="2">
                  <c:v>2546</c:v>
                </c:pt>
                <c:pt idx="3">
                  <c:v>2646</c:v>
                </c:pt>
              </c:numCache>
            </c:numRef>
          </c:val>
          <c:smooth val="0"/>
          <c:extLst>
            <c:ext xmlns:c16="http://schemas.microsoft.com/office/drawing/2014/chart" uri="{C3380CC4-5D6E-409C-BE32-E72D297353CC}">
              <c16:uniqueId val="{00000000-FA18-470B-A958-DE7ACDE10880}"/>
            </c:ext>
          </c:extLst>
        </c:ser>
        <c:ser>
          <c:idx val="1"/>
          <c:order val="1"/>
          <c:tx>
            <c:strRef>
              <c:f>Sheet1!$C$1</c:f>
              <c:strCache>
                <c:ptCount val="1"/>
                <c:pt idx="0">
                  <c:v>200 mm Insulation</c:v>
                </c:pt>
              </c:strCache>
            </c:strRef>
          </c:tx>
          <c:cat>
            <c:strRef>
              <c:f>Sheet1!$A$2:$A$5</c:f>
              <c:strCache>
                <c:ptCount val="4"/>
                <c:pt idx="0">
                  <c:v>London 2011</c:v>
                </c:pt>
                <c:pt idx="1">
                  <c:v>London 2020</c:v>
                </c:pt>
                <c:pt idx="2">
                  <c:v>London 2050</c:v>
                </c:pt>
                <c:pt idx="3">
                  <c:v>London 2080</c:v>
                </c:pt>
              </c:strCache>
            </c:strRef>
          </c:cat>
          <c:val>
            <c:numRef>
              <c:f>Sheet1!$C$2:$C$5</c:f>
              <c:numCache>
                <c:formatCode>General</c:formatCode>
                <c:ptCount val="4"/>
                <c:pt idx="0">
                  <c:v>2315</c:v>
                </c:pt>
                <c:pt idx="1">
                  <c:v>2513</c:v>
                </c:pt>
                <c:pt idx="2">
                  <c:v>2547.5</c:v>
                </c:pt>
                <c:pt idx="3">
                  <c:v>2645</c:v>
                </c:pt>
              </c:numCache>
            </c:numRef>
          </c:val>
          <c:smooth val="0"/>
          <c:extLst>
            <c:ext xmlns:c16="http://schemas.microsoft.com/office/drawing/2014/chart" uri="{C3380CC4-5D6E-409C-BE32-E72D297353CC}">
              <c16:uniqueId val="{00000001-FA18-470B-A958-DE7ACDE10880}"/>
            </c:ext>
          </c:extLst>
        </c:ser>
        <c:ser>
          <c:idx val="2"/>
          <c:order val="2"/>
          <c:tx>
            <c:strRef>
              <c:f>Sheet1!$D$1</c:f>
              <c:strCache>
                <c:ptCount val="1"/>
                <c:pt idx="0">
                  <c:v>100 mm Insulation</c:v>
                </c:pt>
              </c:strCache>
            </c:strRef>
          </c:tx>
          <c:cat>
            <c:strRef>
              <c:f>Sheet1!$A$2:$A$5</c:f>
              <c:strCache>
                <c:ptCount val="4"/>
                <c:pt idx="0">
                  <c:v>London 2011</c:v>
                </c:pt>
                <c:pt idx="1">
                  <c:v>London 2020</c:v>
                </c:pt>
                <c:pt idx="2">
                  <c:v>London 2050</c:v>
                </c:pt>
                <c:pt idx="3">
                  <c:v>London 2080</c:v>
                </c:pt>
              </c:strCache>
            </c:strRef>
          </c:cat>
          <c:val>
            <c:numRef>
              <c:f>Sheet1!$D$2:$D$5</c:f>
              <c:numCache>
                <c:formatCode>General</c:formatCode>
                <c:ptCount val="4"/>
                <c:pt idx="0">
                  <c:v>2382</c:v>
                </c:pt>
                <c:pt idx="1">
                  <c:v>2543</c:v>
                </c:pt>
                <c:pt idx="2">
                  <c:v>2553</c:v>
                </c:pt>
                <c:pt idx="3">
                  <c:v>2646</c:v>
                </c:pt>
              </c:numCache>
            </c:numRef>
          </c:val>
          <c:smooth val="0"/>
          <c:extLst>
            <c:ext xmlns:c16="http://schemas.microsoft.com/office/drawing/2014/chart" uri="{C3380CC4-5D6E-409C-BE32-E72D297353CC}">
              <c16:uniqueId val="{00000002-FA18-470B-A958-DE7ACDE10880}"/>
            </c:ext>
          </c:extLst>
        </c:ser>
        <c:dLbls>
          <c:showLegendKey val="0"/>
          <c:showVal val="0"/>
          <c:showCatName val="0"/>
          <c:showSerName val="0"/>
          <c:showPercent val="0"/>
          <c:showBubbleSize val="0"/>
        </c:dLbls>
        <c:marker val="1"/>
        <c:smooth val="0"/>
        <c:axId val="215912448"/>
        <c:axId val="215913984"/>
      </c:lineChart>
      <c:catAx>
        <c:axId val="215912448"/>
        <c:scaling>
          <c:orientation val="minMax"/>
        </c:scaling>
        <c:delete val="0"/>
        <c:axPos val="b"/>
        <c:numFmt formatCode="General" sourceLinked="1"/>
        <c:majorTickMark val="none"/>
        <c:minorTickMark val="none"/>
        <c:tickLblPos val="nextTo"/>
        <c:crossAx val="215913984"/>
        <c:crosses val="autoZero"/>
        <c:auto val="1"/>
        <c:lblAlgn val="ctr"/>
        <c:lblOffset val="100"/>
        <c:noMultiLvlLbl val="0"/>
      </c:catAx>
      <c:valAx>
        <c:axId val="215913984"/>
        <c:scaling>
          <c:orientation val="minMax"/>
        </c:scaling>
        <c:delete val="0"/>
        <c:axPos val="l"/>
        <c:majorGridlines/>
        <c:title>
          <c:tx>
            <c:rich>
              <a:bodyPr/>
              <a:lstStyle/>
              <a:p>
                <a:pPr>
                  <a:defRPr sz="995" b="1" i="0" u="none" strike="noStrike" baseline="0">
                    <a:solidFill>
                      <a:srgbClr val="000000"/>
                    </a:solidFill>
                    <a:latin typeface="Cambria"/>
                    <a:ea typeface="Cambria"/>
                    <a:cs typeface="Cambria"/>
                  </a:defRPr>
                </a:pPr>
                <a:r>
                  <a:rPr lang="en-GB"/>
                  <a:t>Total Discomfort Hours</a:t>
                </a:r>
              </a:p>
            </c:rich>
          </c:tx>
          <c:overlay val="0"/>
        </c:title>
        <c:numFmt formatCode="General" sourceLinked="1"/>
        <c:majorTickMark val="none"/>
        <c:minorTickMark val="none"/>
        <c:tickLblPos val="nextTo"/>
        <c:crossAx val="2159124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300 mm Insulation</c:v>
                </c:pt>
              </c:strCache>
            </c:strRef>
          </c:tx>
          <c:cat>
            <c:strRef>
              <c:f>Sheet1!$A$2:$A$5</c:f>
              <c:strCache>
                <c:ptCount val="4"/>
                <c:pt idx="0">
                  <c:v>London 2011</c:v>
                </c:pt>
                <c:pt idx="1">
                  <c:v>London 2020</c:v>
                </c:pt>
                <c:pt idx="2">
                  <c:v>London 2050</c:v>
                </c:pt>
                <c:pt idx="3">
                  <c:v>London 2080</c:v>
                </c:pt>
              </c:strCache>
            </c:strRef>
          </c:cat>
          <c:val>
            <c:numRef>
              <c:f>Sheet1!$B$2:$B$5</c:f>
              <c:numCache>
                <c:formatCode>General</c:formatCode>
                <c:ptCount val="4"/>
                <c:pt idx="0">
                  <c:v>2260</c:v>
                </c:pt>
                <c:pt idx="1">
                  <c:v>2493</c:v>
                </c:pt>
                <c:pt idx="2">
                  <c:v>2540</c:v>
                </c:pt>
                <c:pt idx="3">
                  <c:v>2623</c:v>
                </c:pt>
              </c:numCache>
            </c:numRef>
          </c:val>
          <c:smooth val="0"/>
          <c:extLst>
            <c:ext xmlns:c16="http://schemas.microsoft.com/office/drawing/2014/chart" uri="{C3380CC4-5D6E-409C-BE32-E72D297353CC}">
              <c16:uniqueId val="{00000000-0204-43AD-8584-F464E1B4FF0E}"/>
            </c:ext>
          </c:extLst>
        </c:ser>
        <c:ser>
          <c:idx val="1"/>
          <c:order val="1"/>
          <c:tx>
            <c:strRef>
              <c:f>Sheet1!$C$1</c:f>
              <c:strCache>
                <c:ptCount val="1"/>
                <c:pt idx="0">
                  <c:v>200 mm Insulation</c:v>
                </c:pt>
              </c:strCache>
            </c:strRef>
          </c:tx>
          <c:cat>
            <c:strRef>
              <c:f>Sheet1!$A$2:$A$5</c:f>
              <c:strCache>
                <c:ptCount val="4"/>
                <c:pt idx="0">
                  <c:v>London 2011</c:v>
                </c:pt>
                <c:pt idx="1">
                  <c:v>London 2020</c:v>
                </c:pt>
                <c:pt idx="2">
                  <c:v>London 2050</c:v>
                </c:pt>
                <c:pt idx="3">
                  <c:v>London 2080</c:v>
                </c:pt>
              </c:strCache>
            </c:strRef>
          </c:cat>
          <c:val>
            <c:numRef>
              <c:f>Sheet1!$C$2:$C$5</c:f>
              <c:numCache>
                <c:formatCode>General</c:formatCode>
                <c:ptCount val="4"/>
                <c:pt idx="0">
                  <c:v>2290.5</c:v>
                </c:pt>
                <c:pt idx="1">
                  <c:v>2504</c:v>
                </c:pt>
                <c:pt idx="2">
                  <c:v>2544</c:v>
                </c:pt>
                <c:pt idx="3">
                  <c:v>2630</c:v>
                </c:pt>
              </c:numCache>
            </c:numRef>
          </c:val>
          <c:smooth val="0"/>
          <c:extLst>
            <c:ext xmlns:c16="http://schemas.microsoft.com/office/drawing/2014/chart" uri="{C3380CC4-5D6E-409C-BE32-E72D297353CC}">
              <c16:uniqueId val="{00000001-0204-43AD-8584-F464E1B4FF0E}"/>
            </c:ext>
          </c:extLst>
        </c:ser>
        <c:ser>
          <c:idx val="2"/>
          <c:order val="2"/>
          <c:tx>
            <c:strRef>
              <c:f>Sheet1!$D$1</c:f>
              <c:strCache>
                <c:ptCount val="1"/>
                <c:pt idx="0">
                  <c:v>100 mm Insulation</c:v>
                </c:pt>
              </c:strCache>
            </c:strRef>
          </c:tx>
          <c:cat>
            <c:strRef>
              <c:f>Sheet1!$A$2:$A$5</c:f>
              <c:strCache>
                <c:ptCount val="4"/>
                <c:pt idx="0">
                  <c:v>London 2011</c:v>
                </c:pt>
                <c:pt idx="1">
                  <c:v>London 2020</c:v>
                </c:pt>
                <c:pt idx="2">
                  <c:v>London 2050</c:v>
                </c:pt>
                <c:pt idx="3">
                  <c:v>London 2080</c:v>
                </c:pt>
              </c:strCache>
            </c:strRef>
          </c:cat>
          <c:val>
            <c:numRef>
              <c:f>Sheet1!$D$2:$D$5</c:f>
              <c:numCache>
                <c:formatCode>General</c:formatCode>
                <c:ptCount val="4"/>
                <c:pt idx="0">
                  <c:v>2356.5</c:v>
                </c:pt>
                <c:pt idx="1">
                  <c:v>2512</c:v>
                </c:pt>
                <c:pt idx="2">
                  <c:v>2550.5</c:v>
                </c:pt>
                <c:pt idx="3">
                  <c:v>2634</c:v>
                </c:pt>
              </c:numCache>
            </c:numRef>
          </c:val>
          <c:smooth val="0"/>
          <c:extLst>
            <c:ext xmlns:c16="http://schemas.microsoft.com/office/drawing/2014/chart" uri="{C3380CC4-5D6E-409C-BE32-E72D297353CC}">
              <c16:uniqueId val="{00000002-0204-43AD-8584-F464E1B4FF0E}"/>
            </c:ext>
          </c:extLst>
        </c:ser>
        <c:dLbls>
          <c:showLegendKey val="0"/>
          <c:showVal val="0"/>
          <c:showCatName val="0"/>
          <c:showSerName val="0"/>
          <c:showPercent val="0"/>
          <c:showBubbleSize val="0"/>
        </c:dLbls>
        <c:marker val="1"/>
        <c:smooth val="0"/>
        <c:axId val="216318336"/>
        <c:axId val="216319872"/>
      </c:lineChart>
      <c:catAx>
        <c:axId val="216318336"/>
        <c:scaling>
          <c:orientation val="minMax"/>
        </c:scaling>
        <c:delete val="0"/>
        <c:axPos val="b"/>
        <c:numFmt formatCode="General" sourceLinked="1"/>
        <c:majorTickMark val="none"/>
        <c:minorTickMark val="none"/>
        <c:tickLblPos val="nextTo"/>
        <c:crossAx val="216319872"/>
        <c:crosses val="autoZero"/>
        <c:auto val="1"/>
        <c:lblAlgn val="ctr"/>
        <c:lblOffset val="100"/>
        <c:noMultiLvlLbl val="0"/>
      </c:catAx>
      <c:valAx>
        <c:axId val="216319872"/>
        <c:scaling>
          <c:orientation val="minMax"/>
          <c:min val="2100"/>
        </c:scaling>
        <c:delete val="0"/>
        <c:axPos val="l"/>
        <c:majorGridlines/>
        <c:title>
          <c:tx>
            <c:rich>
              <a:bodyPr/>
              <a:lstStyle/>
              <a:p>
                <a:pPr>
                  <a:defRPr sz="998" b="1" i="0" u="none" strike="noStrike" baseline="0">
                    <a:solidFill>
                      <a:srgbClr val="000000"/>
                    </a:solidFill>
                    <a:latin typeface="Cambria"/>
                    <a:ea typeface="Cambria"/>
                    <a:cs typeface="Cambria"/>
                  </a:defRPr>
                </a:pPr>
                <a:r>
                  <a:rPr lang="en-GB"/>
                  <a:t>Total Discomfort Hours</a:t>
                </a:r>
              </a:p>
            </c:rich>
          </c:tx>
          <c:overlay val="0"/>
        </c:title>
        <c:numFmt formatCode="General" sourceLinked="1"/>
        <c:majorTickMark val="none"/>
        <c:minorTickMark val="none"/>
        <c:tickLblPos val="nextTo"/>
        <c:crossAx val="216318336"/>
        <c:crosses val="autoZero"/>
        <c:crossBetween val="between"/>
        <c:majorUnit val="50"/>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200 mm Insulation</c:v>
                </c:pt>
              </c:strCache>
            </c:strRef>
          </c:tx>
          <c:cat>
            <c:strRef>
              <c:f>Sheet1!$A$2:$A$5</c:f>
              <c:strCache>
                <c:ptCount val="4"/>
                <c:pt idx="0">
                  <c:v>London 2011</c:v>
                </c:pt>
                <c:pt idx="1">
                  <c:v>London 2020</c:v>
                </c:pt>
                <c:pt idx="2">
                  <c:v>London 2050</c:v>
                </c:pt>
                <c:pt idx="3">
                  <c:v>London 2080</c:v>
                </c:pt>
              </c:strCache>
            </c:strRef>
          </c:cat>
          <c:val>
            <c:numRef>
              <c:f>Sheet1!$B$2:$B$5</c:f>
              <c:numCache>
                <c:formatCode>General</c:formatCode>
                <c:ptCount val="4"/>
                <c:pt idx="0">
                  <c:v>2284</c:v>
                </c:pt>
                <c:pt idx="1">
                  <c:v>2502</c:v>
                </c:pt>
                <c:pt idx="2">
                  <c:v>2551.5</c:v>
                </c:pt>
                <c:pt idx="3">
                  <c:v>2645.5</c:v>
                </c:pt>
              </c:numCache>
            </c:numRef>
          </c:val>
          <c:smooth val="0"/>
          <c:extLst>
            <c:ext xmlns:c16="http://schemas.microsoft.com/office/drawing/2014/chart" uri="{C3380CC4-5D6E-409C-BE32-E72D297353CC}">
              <c16:uniqueId val="{00000000-98D5-47AB-B121-837F30257565}"/>
            </c:ext>
          </c:extLst>
        </c:ser>
        <c:ser>
          <c:idx val="1"/>
          <c:order val="1"/>
          <c:tx>
            <c:strRef>
              <c:f>Sheet1!$C$1</c:f>
              <c:strCache>
                <c:ptCount val="1"/>
                <c:pt idx="0">
                  <c:v>100 mm Insulation2</c:v>
                </c:pt>
              </c:strCache>
            </c:strRef>
          </c:tx>
          <c:cat>
            <c:strRef>
              <c:f>Sheet1!$A$2:$A$5</c:f>
              <c:strCache>
                <c:ptCount val="4"/>
                <c:pt idx="0">
                  <c:v>London 2011</c:v>
                </c:pt>
                <c:pt idx="1">
                  <c:v>London 2020</c:v>
                </c:pt>
                <c:pt idx="2">
                  <c:v>London 2050</c:v>
                </c:pt>
                <c:pt idx="3">
                  <c:v>London 2080</c:v>
                </c:pt>
              </c:strCache>
            </c:strRef>
          </c:cat>
          <c:val>
            <c:numRef>
              <c:f>Sheet1!$C$2:$C$5</c:f>
              <c:numCache>
                <c:formatCode>General</c:formatCode>
                <c:ptCount val="4"/>
                <c:pt idx="0">
                  <c:v>2310.5</c:v>
                </c:pt>
                <c:pt idx="1">
                  <c:v>2511</c:v>
                </c:pt>
                <c:pt idx="2">
                  <c:v>2550.5</c:v>
                </c:pt>
                <c:pt idx="3">
                  <c:v>2650</c:v>
                </c:pt>
              </c:numCache>
            </c:numRef>
          </c:val>
          <c:smooth val="0"/>
          <c:extLst>
            <c:ext xmlns:c16="http://schemas.microsoft.com/office/drawing/2014/chart" uri="{C3380CC4-5D6E-409C-BE32-E72D297353CC}">
              <c16:uniqueId val="{00000001-98D5-47AB-B121-837F30257565}"/>
            </c:ext>
          </c:extLst>
        </c:ser>
        <c:dLbls>
          <c:showLegendKey val="0"/>
          <c:showVal val="0"/>
          <c:showCatName val="0"/>
          <c:showSerName val="0"/>
          <c:showPercent val="0"/>
          <c:showBubbleSize val="0"/>
        </c:dLbls>
        <c:marker val="1"/>
        <c:smooth val="0"/>
        <c:axId val="215936384"/>
        <c:axId val="247727232"/>
      </c:lineChart>
      <c:catAx>
        <c:axId val="215936384"/>
        <c:scaling>
          <c:orientation val="minMax"/>
        </c:scaling>
        <c:delete val="0"/>
        <c:axPos val="b"/>
        <c:numFmt formatCode="General" sourceLinked="1"/>
        <c:majorTickMark val="none"/>
        <c:minorTickMark val="none"/>
        <c:tickLblPos val="nextTo"/>
        <c:crossAx val="247727232"/>
        <c:crosses val="autoZero"/>
        <c:auto val="1"/>
        <c:lblAlgn val="ctr"/>
        <c:lblOffset val="100"/>
        <c:noMultiLvlLbl val="0"/>
      </c:catAx>
      <c:valAx>
        <c:axId val="247727232"/>
        <c:scaling>
          <c:orientation val="minMax"/>
        </c:scaling>
        <c:delete val="0"/>
        <c:axPos val="l"/>
        <c:majorGridlines/>
        <c:title>
          <c:tx>
            <c:rich>
              <a:bodyPr/>
              <a:lstStyle/>
              <a:p>
                <a:pPr>
                  <a:defRPr sz="998" b="1" i="0" u="none" strike="noStrike" baseline="0">
                    <a:solidFill>
                      <a:srgbClr val="000000"/>
                    </a:solidFill>
                    <a:latin typeface="Cambria"/>
                    <a:ea typeface="Cambria"/>
                    <a:cs typeface="Cambria"/>
                  </a:defRPr>
                </a:pPr>
                <a:r>
                  <a:rPr lang="en-GB"/>
                  <a:t>Total Discomfort Hours</a:t>
                </a:r>
              </a:p>
            </c:rich>
          </c:tx>
          <c:overlay val="0"/>
        </c:title>
        <c:numFmt formatCode="General" sourceLinked="1"/>
        <c:majorTickMark val="none"/>
        <c:minorTickMark val="none"/>
        <c:tickLblPos val="nextTo"/>
        <c:crossAx val="215936384"/>
        <c:crosses val="autoZero"/>
        <c:crossBetween val="between"/>
        <c:majorUnit val="50"/>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200 mm Insulation</c:v>
                </c:pt>
              </c:strCache>
            </c:strRef>
          </c:tx>
          <c:cat>
            <c:strRef>
              <c:f>Sheet1!$A$2:$A$5</c:f>
              <c:strCache>
                <c:ptCount val="4"/>
                <c:pt idx="0">
                  <c:v>London 2011</c:v>
                </c:pt>
                <c:pt idx="1">
                  <c:v>London 2020</c:v>
                </c:pt>
                <c:pt idx="2">
                  <c:v>London 2050</c:v>
                </c:pt>
                <c:pt idx="3">
                  <c:v>London 2080</c:v>
                </c:pt>
              </c:strCache>
            </c:strRef>
          </c:cat>
          <c:val>
            <c:numRef>
              <c:f>Sheet1!$B$2:$B$5</c:f>
              <c:numCache>
                <c:formatCode>General</c:formatCode>
                <c:ptCount val="4"/>
                <c:pt idx="0">
                  <c:v>2284</c:v>
                </c:pt>
                <c:pt idx="1">
                  <c:v>2498</c:v>
                </c:pt>
                <c:pt idx="2">
                  <c:v>2545</c:v>
                </c:pt>
                <c:pt idx="3">
                  <c:v>2638</c:v>
                </c:pt>
              </c:numCache>
            </c:numRef>
          </c:val>
          <c:smooth val="0"/>
          <c:extLst>
            <c:ext xmlns:c16="http://schemas.microsoft.com/office/drawing/2014/chart" uri="{C3380CC4-5D6E-409C-BE32-E72D297353CC}">
              <c16:uniqueId val="{00000000-9E8B-42B7-8E62-617F183C0060}"/>
            </c:ext>
          </c:extLst>
        </c:ser>
        <c:ser>
          <c:idx val="1"/>
          <c:order val="1"/>
          <c:tx>
            <c:strRef>
              <c:f>Sheet1!$C$1</c:f>
              <c:strCache>
                <c:ptCount val="1"/>
                <c:pt idx="0">
                  <c:v>100 mm Insulation2</c:v>
                </c:pt>
              </c:strCache>
            </c:strRef>
          </c:tx>
          <c:cat>
            <c:strRef>
              <c:f>Sheet1!$A$2:$A$5</c:f>
              <c:strCache>
                <c:ptCount val="4"/>
                <c:pt idx="0">
                  <c:v>London 2011</c:v>
                </c:pt>
                <c:pt idx="1">
                  <c:v>London 2020</c:v>
                </c:pt>
                <c:pt idx="2">
                  <c:v>London 2050</c:v>
                </c:pt>
                <c:pt idx="3">
                  <c:v>London 2080</c:v>
                </c:pt>
              </c:strCache>
            </c:strRef>
          </c:cat>
          <c:val>
            <c:numRef>
              <c:f>Sheet1!$C$2:$C$5</c:f>
              <c:numCache>
                <c:formatCode>General</c:formatCode>
                <c:ptCount val="4"/>
                <c:pt idx="0">
                  <c:v>2286</c:v>
                </c:pt>
                <c:pt idx="1">
                  <c:v>2501</c:v>
                </c:pt>
                <c:pt idx="2">
                  <c:v>2548</c:v>
                </c:pt>
                <c:pt idx="3">
                  <c:v>2642</c:v>
                </c:pt>
              </c:numCache>
            </c:numRef>
          </c:val>
          <c:smooth val="0"/>
          <c:extLst>
            <c:ext xmlns:c16="http://schemas.microsoft.com/office/drawing/2014/chart" uri="{C3380CC4-5D6E-409C-BE32-E72D297353CC}">
              <c16:uniqueId val="{00000001-9E8B-42B7-8E62-617F183C0060}"/>
            </c:ext>
          </c:extLst>
        </c:ser>
        <c:dLbls>
          <c:showLegendKey val="0"/>
          <c:showVal val="0"/>
          <c:showCatName val="0"/>
          <c:showSerName val="0"/>
          <c:showPercent val="0"/>
          <c:showBubbleSize val="0"/>
        </c:dLbls>
        <c:marker val="1"/>
        <c:smooth val="0"/>
        <c:axId val="247753728"/>
        <c:axId val="247755520"/>
      </c:lineChart>
      <c:catAx>
        <c:axId val="247753728"/>
        <c:scaling>
          <c:orientation val="minMax"/>
        </c:scaling>
        <c:delete val="0"/>
        <c:axPos val="b"/>
        <c:numFmt formatCode="General" sourceLinked="1"/>
        <c:majorTickMark val="none"/>
        <c:minorTickMark val="none"/>
        <c:tickLblPos val="nextTo"/>
        <c:crossAx val="247755520"/>
        <c:crosses val="autoZero"/>
        <c:auto val="1"/>
        <c:lblAlgn val="ctr"/>
        <c:lblOffset val="100"/>
        <c:noMultiLvlLbl val="0"/>
      </c:catAx>
      <c:valAx>
        <c:axId val="247755520"/>
        <c:scaling>
          <c:orientation val="minMax"/>
          <c:min val="2200"/>
        </c:scaling>
        <c:delete val="0"/>
        <c:axPos val="l"/>
        <c:majorGridlines/>
        <c:title>
          <c:tx>
            <c:rich>
              <a:bodyPr/>
              <a:lstStyle/>
              <a:p>
                <a:pPr>
                  <a:defRPr sz="998" b="1" i="0" u="none" strike="noStrike" baseline="0">
                    <a:solidFill>
                      <a:srgbClr val="000000"/>
                    </a:solidFill>
                    <a:latin typeface="Cambria"/>
                    <a:ea typeface="Cambria"/>
                    <a:cs typeface="Cambria"/>
                  </a:defRPr>
                </a:pPr>
                <a:r>
                  <a:rPr lang="en-GB"/>
                  <a:t>Total Discomfort Hours</a:t>
                </a:r>
              </a:p>
            </c:rich>
          </c:tx>
          <c:overlay val="0"/>
        </c:title>
        <c:numFmt formatCode="General" sourceLinked="1"/>
        <c:majorTickMark val="none"/>
        <c:minorTickMark val="none"/>
        <c:tickLblPos val="nextTo"/>
        <c:crossAx val="247753728"/>
        <c:crosses val="autoZero"/>
        <c:crossBetween val="between"/>
        <c:majorUnit val="50"/>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ICF 100mm</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Sheet1!$B$2:$B$23</c:f>
              <c:numCache>
                <c:formatCode>General</c:formatCode>
                <c:ptCount val="22"/>
                <c:pt idx="0">
                  <c:v>124</c:v>
                </c:pt>
                <c:pt idx="1">
                  <c:v>314.5</c:v>
                </c:pt>
                <c:pt idx="2">
                  <c:v>465.5</c:v>
                </c:pt>
                <c:pt idx="3">
                  <c:v>553.5</c:v>
                </c:pt>
                <c:pt idx="4">
                  <c:v>542</c:v>
                </c:pt>
                <c:pt idx="5">
                  <c:v>676.5</c:v>
                </c:pt>
                <c:pt idx="6">
                  <c:v>563.5</c:v>
                </c:pt>
                <c:pt idx="7">
                  <c:v>297.5</c:v>
                </c:pt>
                <c:pt idx="8">
                  <c:v>24.5</c:v>
                </c:pt>
                <c:pt idx="9">
                  <c:v>375.5</c:v>
                </c:pt>
                <c:pt idx="10">
                  <c:v>270.5</c:v>
                </c:pt>
                <c:pt idx="11">
                  <c:v>305</c:v>
                </c:pt>
                <c:pt idx="12">
                  <c:v>373</c:v>
                </c:pt>
                <c:pt idx="13">
                  <c:v>397.5</c:v>
                </c:pt>
                <c:pt idx="14">
                  <c:v>487</c:v>
                </c:pt>
                <c:pt idx="15">
                  <c:v>354</c:v>
                </c:pt>
                <c:pt idx="16">
                  <c:v>304</c:v>
                </c:pt>
                <c:pt idx="17">
                  <c:v>480.5</c:v>
                </c:pt>
                <c:pt idx="18">
                  <c:v>719.5</c:v>
                </c:pt>
                <c:pt idx="19">
                  <c:v>492.5</c:v>
                </c:pt>
                <c:pt idx="20">
                  <c:v>234</c:v>
                </c:pt>
                <c:pt idx="21">
                  <c:v>205.5</c:v>
                </c:pt>
              </c:numCache>
            </c:numRef>
          </c:val>
          <c:smooth val="0"/>
          <c:extLst>
            <c:ext xmlns:c16="http://schemas.microsoft.com/office/drawing/2014/chart" uri="{C3380CC4-5D6E-409C-BE32-E72D297353CC}">
              <c16:uniqueId val="{00000000-2B48-4A08-BFA8-CFB163AD41DE}"/>
            </c:ext>
          </c:extLst>
        </c:ser>
        <c:ser>
          <c:idx val="1"/>
          <c:order val="1"/>
          <c:tx>
            <c:strRef>
              <c:f>Sheet1!$C$1</c:f>
              <c:strCache>
                <c:ptCount val="1"/>
                <c:pt idx="0">
                  <c:v>Column1</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Sheet1!$C$2:$C$23</c:f>
            </c:numRef>
          </c:val>
          <c:smooth val="0"/>
          <c:extLst>
            <c:ext xmlns:c16="http://schemas.microsoft.com/office/drawing/2014/chart" uri="{C3380CC4-5D6E-409C-BE32-E72D297353CC}">
              <c16:uniqueId val="{00000001-2B48-4A08-BFA8-CFB163AD41DE}"/>
            </c:ext>
          </c:extLst>
        </c:ser>
        <c:ser>
          <c:idx val="2"/>
          <c:order val="2"/>
          <c:tx>
            <c:strRef>
              <c:f>Sheet1!$D$1</c:f>
              <c:strCache>
                <c:ptCount val="1"/>
                <c:pt idx="0">
                  <c:v>Column4</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Sheet1!$D$2:$D$23</c:f>
            </c:numRef>
          </c:val>
          <c:smooth val="0"/>
          <c:extLst>
            <c:ext xmlns:c16="http://schemas.microsoft.com/office/drawing/2014/chart" uri="{C3380CC4-5D6E-409C-BE32-E72D297353CC}">
              <c16:uniqueId val="{00000002-2B48-4A08-BFA8-CFB163AD41DE}"/>
            </c:ext>
          </c:extLst>
        </c:ser>
        <c:ser>
          <c:idx val="3"/>
          <c:order val="3"/>
          <c:tx>
            <c:strRef>
              <c:f>Sheet1!$E$1</c:f>
              <c:strCache>
                <c:ptCount val="1"/>
                <c:pt idx="0">
                  <c:v>Column3</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Sheet1!$E$2:$E$23</c:f>
            </c:numRef>
          </c:val>
          <c:smooth val="0"/>
          <c:extLst>
            <c:ext xmlns:c16="http://schemas.microsoft.com/office/drawing/2014/chart" uri="{C3380CC4-5D6E-409C-BE32-E72D297353CC}">
              <c16:uniqueId val="{00000003-2B48-4A08-BFA8-CFB163AD41DE}"/>
            </c:ext>
          </c:extLst>
        </c:ser>
        <c:ser>
          <c:idx val="4"/>
          <c:order val="4"/>
          <c:tx>
            <c:strRef>
              <c:f>Sheet1!$F$1</c:f>
              <c:strCache>
                <c:ptCount val="1"/>
                <c:pt idx="0">
                  <c:v>Column2</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Sheet1!$F$2:$F$23</c:f>
            </c:numRef>
          </c:val>
          <c:smooth val="0"/>
          <c:extLst>
            <c:ext xmlns:c16="http://schemas.microsoft.com/office/drawing/2014/chart" uri="{C3380CC4-5D6E-409C-BE32-E72D297353CC}">
              <c16:uniqueId val="{00000004-2B48-4A08-BFA8-CFB163AD41DE}"/>
            </c:ext>
          </c:extLst>
        </c:ser>
        <c:ser>
          <c:idx val="5"/>
          <c:order val="5"/>
          <c:tx>
            <c:strRef>
              <c:f>Sheet1!$G$1</c:f>
              <c:strCache>
                <c:ptCount val="1"/>
                <c:pt idx="0">
                  <c:v>ICF 300mm</c:v>
                </c:pt>
              </c:strCache>
            </c:strRef>
          </c:tx>
          <c:cat>
            <c:numRef>
              <c:f>Sheet1!$A$2:$A$23</c:f>
              <c:numCache>
                <c:formatCode>General</c:formatCode>
                <c:ptCount val="22"/>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numCache>
            </c:numRef>
          </c:cat>
          <c:val>
            <c:numRef>
              <c:f>Sheet1!$G$2:$G$23</c:f>
              <c:numCache>
                <c:formatCode>General</c:formatCode>
                <c:ptCount val="22"/>
                <c:pt idx="0">
                  <c:v>1.5</c:v>
                </c:pt>
                <c:pt idx="1">
                  <c:v>125.5</c:v>
                </c:pt>
                <c:pt idx="2">
                  <c:v>359</c:v>
                </c:pt>
                <c:pt idx="3">
                  <c:v>550</c:v>
                </c:pt>
                <c:pt idx="4">
                  <c:v>544.5</c:v>
                </c:pt>
                <c:pt idx="5">
                  <c:v>611.5</c:v>
                </c:pt>
                <c:pt idx="6">
                  <c:v>633</c:v>
                </c:pt>
                <c:pt idx="7">
                  <c:v>516.5</c:v>
                </c:pt>
                <c:pt idx="8">
                  <c:v>244</c:v>
                </c:pt>
                <c:pt idx="9">
                  <c:v>286</c:v>
                </c:pt>
                <c:pt idx="10">
                  <c:v>363</c:v>
                </c:pt>
                <c:pt idx="11">
                  <c:v>258.5</c:v>
                </c:pt>
                <c:pt idx="12">
                  <c:v>318</c:v>
                </c:pt>
                <c:pt idx="13">
                  <c:v>363.5</c:v>
                </c:pt>
                <c:pt idx="14">
                  <c:v>482.5</c:v>
                </c:pt>
                <c:pt idx="15">
                  <c:v>462.5</c:v>
                </c:pt>
                <c:pt idx="16">
                  <c:v>325.5</c:v>
                </c:pt>
                <c:pt idx="17">
                  <c:v>383.5</c:v>
                </c:pt>
                <c:pt idx="18">
                  <c:v>747</c:v>
                </c:pt>
                <c:pt idx="19">
                  <c:v>610</c:v>
                </c:pt>
                <c:pt idx="20">
                  <c:v>324</c:v>
                </c:pt>
                <c:pt idx="21">
                  <c:v>250.5</c:v>
                </c:pt>
              </c:numCache>
            </c:numRef>
          </c:val>
          <c:smooth val="0"/>
          <c:extLst>
            <c:ext xmlns:c16="http://schemas.microsoft.com/office/drawing/2014/chart" uri="{C3380CC4-5D6E-409C-BE32-E72D297353CC}">
              <c16:uniqueId val="{00000005-2B48-4A08-BFA8-CFB163AD41DE}"/>
            </c:ext>
          </c:extLst>
        </c:ser>
        <c:dLbls>
          <c:showLegendKey val="0"/>
          <c:showVal val="0"/>
          <c:showCatName val="0"/>
          <c:showSerName val="0"/>
          <c:showPercent val="0"/>
          <c:showBubbleSize val="0"/>
        </c:dLbls>
        <c:marker val="1"/>
        <c:smooth val="0"/>
        <c:axId val="248424704"/>
        <c:axId val="248508800"/>
      </c:lineChart>
      <c:catAx>
        <c:axId val="248424704"/>
        <c:scaling>
          <c:orientation val="minMax"/>
        </c:scaling>
        <c:delete val="0"/>
        <c:axPos val="b"/>
        <c:title>
          <c:tx>
            <c:rich>
              <a:bodyPr/>
              <a:lstStyle/>
              <a:p>
                <a:pPr>
                  <a:defRPr/>
                </a:pPr>
                <a:r>
                  <a:rPr lang="en-GB" sz="1000" b="1" i="0" u="none" strike="noStrike" baseline="0">
                    <a:effectLst/>
                  </a:rPr>
                  <a:t>°C </a:t>
                </a:r>
                <a:endParaRPr lang="en-US"/>
              </a:p>
            </c:rich>
          </c:tx>
          <c:overlay val="0"/>
        </c:title>
        <c:numFmt formatCode="General" sourceLinked="1"/>
        <c:majorTickMark val="out"/>
        <c:minorTickMark val="none"/>
        <c:tickLblPos val="nextTo"/>
        <c:crossAx val="248508800"/>
        <c:crosses val="autoZero"/>
        <c:auto val="1"/>
        <c:lblAlgn val="ctr"/>
        <c:lblOffset val="100"/>
        <c:noMultiLvlLbl val="0"/>
      </c:catAx>
      <c:valAx>
        <c:axId val="248508800"/>
        <c:scaling>
          <c:orientation val="minMax"/>
        </c:scaling>
        <c:delete val="0"/>
        <c:axPos val="l"/>
        <c:majorGridlines/>
        <c:title>
          <c:tx>
            <c:rich>
              <a:bodyPr/>
              <a:lstStyle/>
              <a:p>
                <a:pPr>
                  <a:defRPr/>
                </a:pPr>
                <a:r>
                  <a:rPr lang="en-US"/>
                  <a:t>Hours</a:t>
                </a:r>
              </a:p>
            </c:rich>
          </c:tx>
          <c:overlay val="0"/>
        </c:title>
        <c:numFmt formatCode="General" sourceLinked="1"/>
        <c:majorTickMark val="out"/>
        <c:minorTickMark val="none"/>
        <c:tickLblPos val="nextTo"/>
        <c:crossAx val="248424704"/>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D01815C-99AB-4EBB-99B7-1F7148DA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8</Pages>
  <Words>2379</Words>
  <Characters>13563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PLEA2017 Paper Template</vt:lpstr>
    </vt:vector>
  </TitlesOfParts>
  <Company>Hewlett-Packard</Company>
  <LinksUpToDate>false</LinksUpToDate>
  <CharactersWithSpaces>15911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PLEA2017 Paper Template</dc:title>
  <dc:creator>Mohsen</dc:creator>
  <cp:lastModifiedBy>Sharples, Stephen</cp:lastModifiedBy>
  <cp:revision>4</cp:revision>
  <cp:lastPrinted>2017-03-15T12:56:00Z</cp:lastPrinted>
  <dcterms:created xsi:type="dcterms:W3CDTF">2017-03-15T15:22:00Z</dcterms:created>
  <dcterms:modified xsi:type="dcterms:W3CDTF">2017-07-26T12:21:00Z</dcterms:modified>
</cp:coreProperties>
</file>