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31516" w14:textId="07E66987" w:rsidR="00331584" w:rsidRDefault="00E428C7">
      <w:r>
        <w:t>Lancet HIV Comment on: ‘Efficacy of oral PrEP for HIV prevention among women with abnormal vaginal microbiota: a randomized,</w:t>
      </w:r>
      <w:r w:rsidR="00C64D36">
        <w:t xml:space="preserve"> placebo controlled comparison.’</w:t>
      </w:r>
    </w:p>
    <w:p w14:paraId="519C9D05" w14:textId="77777777" w:rsidR="00E428C7" w:rsidRDefault="00E428C7"/>
    <w:p w14:paraId="0040B338" w14:textId="329D56FA" w:rsidR="00E428C7" w:rsidRDefault="00E428C7">
      <w:r w:rsidRPr="00944B33">
        <w:rPr>
          <w:b/>
        </w:rPr>
        <w:t>Title:</w:t>
      </w:r>
      <w:r>
        <w:t xml:space="preserve"> </w:t>
      </w:r>
      <w:r w:rsidR="00714DDC">
        <w:t xml:space="preserve">Does </w:t>
      </w:r>
      <w:r w:rsidR="00B75653">
        <w:t xml:space="preserve">vaginal dysbiosis modulate </w:t>
      </w:r>
      <w:r w:rsidR="00714DDC">
        <w:t>HIV PrEP efficacy in women?</w:t>
      </w:r>
    </w:p>
    <w:p w14:paraId="4D281C1F" w14:textId="77777777" w:rsidR="00E428C7" w:rsidRDefault="00E428C7"/>
    <w:p w14:paraId="16CBB49F" w14:textId="3E863D43" w:rsidR="00E428C7" w:rsidRDefault="00E428C7">
      <w:r w:rsidRPr="00944B33">
        <w:rPr>
          <w:b/>
        </w:rPr>
        <w:t>Authors:</w:t>
      </w:r>
      <w:r>
        <w:t xml:space="preserve"> Janneke van de Wijgert</w:t>
      </w:r>
      <w:r w:rsidRPr="00E428C7">
        <w:rPr>
          <w:vertAlign w:val="superscript"/>
        </w:rPr>
        <w:t>1</w:t>
      </w:r>
      <w:r>
        <w:rPr>
          <w:vertAlign w:val="superscript"/>
        </w:rPr>
        <w:t>,2</w:t>
      </w:r>
      <w:r>
        <w:t xml:space="preserve"> and Sheena McCormack</w:t>
      </w:r>
      <w:r w:rsidR="000B2FA4">
        <w:rPr>
          <w:vertAlign w:val="superscript"/>
        </w:rPr>
        <w:t>3</w:t>
      </w:r>
    </w:p>
    <w:p w14:paraId="1FDCF415" w14:textId="77777777" w:rsidR="00E428C7" w:rsidRDefault="00E428C7"/>
    <w:p w14:paraId="7A8C8591" w14:textId="77777777" w:rsidR="00E428C7" w:rsidRPr="00944B33" w:rsidRDefault="00E428C7">
      <w:pPr>
        <w:rPr>
          <w:b/>
        </w:rPr>
      </w:pPr>
      <w:r w:rsidRPr="00944B33">
        <w:rPr>
          <w:b/>
        </w:rPr>
        <w:t>Affiliations:</w:t>
      </w:r>
    </w:p>
    <w:p w14:paraId="7BED17DD" w14:textId="77777777" w:rsidR="00E428C7" w:rsidRDefault="00E428C7" w:rsidP="00E428C7">
      <w:pPr>
        <w:pStyle w:val="ListParagraph"/>
        <w:numPr>
          <w:ilvl w:val="0"/>
          <w:numId w:val="1"/>
        </w:numPr>
        <w:ind w:left="426" w:hanging="426"/>
      </w:pPr>
      <w:r>
        <w:t>Julius Center for Health Sciences and Primary Care, University Medical Center Utrecht, Utrecht, The Netherlands</w:t>
      </w:r>
    </w:p>
    <w:p w14:paraId="51B973CB" w14:textId="77777777" w:rsidR="00E428C7" w:rsidRDefault="00E428C7" w:rsidP="00E428C7">
      <w:pPr>
        <w:pStyle w:val="ListParagraph"/>
        <w:numPr>
          <w:ilvl w:val="0"/>
          <w:numId w:val="1"/>
        </w:numPr>
        <w:ind w:left="426" w:hanging="426"/>
      </w:pPr>
      <w:r>
        <w:t>Institute of Infection and Global Health, University of Liverpool, Liverpool, UK</w:t>
      </w:r>
    </w:p>
    <w:p w14:paraId="529C0BFC" w14:textId="5FD08F9C" w:rsidR="00E428C7" w:rsidRDefault="00E428C7" w:rsidP="00E428C7">
      <w:pPr>
        <w:pStyle w:val="ListParagraph"/>
        <w:numPr>
          <w:ilvl w:val="0"/>
          <w:numId w:val="1"/>
        </w:numPr>
        <w:ind w:left="426" w:hanging="426"/>
      </w:pPr>
      <w:r>
        <w:t>Medical Resear</w:t>
      </w:r>
      <w:r w:rsidR="000B2FA4">
        <w:t>ch Council Clinical Trials Unit at</w:t>
      </w:r>
      <w:r>
        <w:t xml:space="preserve"> University College London, London, UK</w:t>
      </w:r>
    </w:p>
    <w:p w14:paraId="2A4E28E9" w14:textId="77777777" w:rsidR="00AB7353" w:rsidRDefault="00AB7353"/>
    <w:p w14:paraId="74666153" w14:textId="0F38D6BA" w:rsidR="00211549" w:rsidRPr="005C4FE0" w:rsidRDefault="00E428C7">
      <w:r w:rsidRPr="005C4FE0">
        <w:t>In The Lancet HIV</w:t>
      </w:r>
      <w:r w:rsidR="00575BE5" w:rsidRPr="005C4FE0">
        <w:t xml:space="preserve"> </w:t>
      </w:r>
      <w:r w:rsidR="00123AB0" w:rsidRPr="005C4FE0">
        <w:t>Heffron and colleagues report that the efficacy of daily oral tenofovir</w:t>
      </w:r>
      <w:r w:rsidR="002145B1">
        <w:t xml:space="preserve"> </w:t>
      </w:r>
      <w:r w:rsidR="007255D0" w:rsidRPr="005C4FE0">
        <w:t>disoproxil fumarate (TDF)</w:t>
      </w:r>
      <w:r w:rsidR="00123AB0" w:rsidRPr="005C4FE0">
        <w:t xml:space="preserve">-based pre-exposure prophylaxis (PrEP) for HIV prevention among </w:t>
      </w:r>
      <w:r w:rsidR="00575BE5" w:rsidRPr="005C4FE0">
        <w:t xml:space="preserve">African </w:t>
      </w:r>
      <w:r w:rsidR="00123AB0" w:rsidRPr="005C4FE0">
        <w:t xml:space="preserve">women </w:t>
      </w:r>
      <w:r w:rsidR="00575BE5" w:rsidRPr="005C4FE0">
        <w:t xml:space="preserve">who participated in the Partners PrEP Study did not differ by vaginal microbiota status </w:t>
      </w:r>
      <w:r w:rsidR="00123AB0" w:rsidRPr="005C4FE0">
        <w:t>(1</w:t>
      </w:r>
      <w:r w:rsidR="00575BE5" w:rsidRPr="005C4FE0">
        <w:t>, 2</w:t>
      </w:r>
      <w:r w:rsidR="00123AB0" w:rsidRPr="005C4FE0">
        <w:t>)</w:t>
      </w:r>
      <w:r w:rsidR="00575BE5" w:rsidRPr="005C4FE0">
        <w:t xml:space="preserve">: the </w:t>
      </w:r>
      <w:r w:rsidR="003A387D" w:rsidRPr="005C4FE0">
        <w:t>efficacies were 77%, 63%, and 73% for Nugent score categories 0-3 (normal microbiota), 0-6 (intermediate microbiota) and 7-10 (bacterial vaginosis), respectively</w:t>
      </w:r>
      <w:r w:rsidR="004B5F26" w:rsidRPr="005C4FE0">
        <w:t xml:space="preserve"> (Table 1)</w:t>
      </w:r>
      <w:r w:rsidR="00461732" w:rsidRPr="005C4FE0">
        <w:t xml:space="preserve">. This </w:t>
      </w:r>
      <w:r w:rsidR="00575BE5" w:rsidRPr="005C4FE0">
        <w:t>analysis was p</w:t>
      </w:r>
      <w:r w:rsidR="00944B33">
        <w:t xml:space="preserve">rompted by a </w:t>
      </w:r>
      <w:r w:rsidR="00575BE5" w:rsidRPr="005C4FE0">
        <w:t xml:space="preserve">report in Science by Klatt and colleagues </w:t>
      </w:r>
      <w:r w:rsidR="00C84AB4" w:rsidRPr="005C4FE0">
        <w:t xml:space="preserve">reporting </w:t>
      </w:r>
      <w:r w:rsidR="003A387D" w:rsidRPr="005C4FE0">
        <w:t xml:space="preserve">a large difference </w:t>
      </w:r>
      <w:r w:rsidR="00101E36" w:rsidRPr="005C4FE0">
        <w:t>of</w:t>
      </w:r>
      <w:r w:rsidR="002145B1">
        <w:t xml:space="preserve"> 1% tenofovir (TFV)</w:t>
      </w:r>
      <w:r w:rsidR="000541C9" w:rsidRPr="005C4FE0">
        <w:t xml:space="preserve"> vaginal gel </w:t>
      </w:r>
      <w:r w:rsidR="00C84AB4" w:rsidRPr="005C4FE0">
        <w:t xml:space="preserve">efficacy against HIV </w:t>
      </w:r>
      <w:r w:rsidR="000541C9" w:rsidRPr="005C4FE0">
        <w:t>by vaginal microbiota status in the CAPRISA 004 trial (3, 4): the efficac</w:t>
      </w:r>
      <w:r w:rsidR="00C84AB4" w:rsidRPr="005C4FE0">
        <w:t>i</w:t>
      </w:r>
      <w:r w:rsidR="000541C9" w:rsidRPr="005C4FE0">
        <w:t xml:space="preserve">es were 61% in women with &gt;50% </w:t>
      </w:r>
      <w:r w:rsidR="000541C9" w:rsidRPr="005C4FE0">
        <w:rPr>
          <w:i/>
        </w:rPr>
        <w:t>Lactobacillus</w:t>
      </w:r>
      <w:r w:rsidR="000541C9" w:rsidRPr="005C4FE0">
        <w:t xml:space="preserve"> (determined by mass spectometry proteomics) compared to only </w:t>
      </w:r>
      <w:r w:rsidR="004B5F26" w:rsidRPr="005C4FE0">
        <w:t xml:space="preserve">18% </w:t>
      </w:r>
      <w:r w:rsidR="000541C9" w:rsidRPr="005C4FE0">
        <w:t>in women</w:t>
      </w:r>
      <w:r w:rsidR="00C84AB4" w:rsidRPr="005C4FE0">
        <w:t xml:space="preserve"> with ≤</w:t>
      </w:r>
      <w:r w:rsidR="00FD0F12" w:rsidRPr="005C4FE0">
        <w:t xml:space="preserve">50% </w:t>
      </w:r>
      <w:r w:rsidR="00FD0F12" w:rsidRPr="005C4FE0">
        <w:rPr>
          <w:i/>
        </w:rPr>
        <w:t>Lactobacillus</w:t>
      </w:r>
      <w:r w:rsidR="00101E36" w:rsidRPr="005C4FE0">
        <w:t xml:space="preserve"> (Table 1).</w:t>
      </w:r>
      <w:r w:rsidR="00386597" w:rsidRPr="005C4FE0">
        <w:t xml:space="preserve"> However, </w:t>
      </w:r>
      <w:r w:rsidR="00C84AB4" w:rsidRPr="005C4FE0">
        <w:t xml:space="preserve">1% </w:t>
      </w:r>
      <w:r w:rsidR="002145B1">
        <w:t>TFV</w:t>
      </w:r>
      <w:r w:rsidR="007255D0" w:rsidRPr="005C4FE0">
        <w:t xml:space="preserve"> </w:t>
      </w:r>
      <w:r w:rsidR="002A06F7" w:rsidRPr="005C4FE0">
        <w:t xml:space="preserve">gel was </w:t>
      </w:r>
      <w:r w:rsidR="00386597" w:rsidRPr="005C4FE0">
        <w:t>efficacious against herpes simplex virus</w:t>
      </w:r>
      <w:r w:rsidR="00537DF1" w:rsidRPr="005C4FE0">
        <w:t xml:space="preserve"> type 2 (HSV-2) in both groups</w:t>
      </w:r>
      <w:r w:rsidR="00386597" w:rsidRPr="005C4FE0">
        <w:t xml:space="preserve">. </w:t>
      </w:r>
    </w:p>
    <w:p w14:paraId="1059EDAF" w14:textId="77777777" w:rsidR="00101E36" w:rsidRPr="005C4FE0" w:rsidRDefault="00101E36"/>
    <w:p w14:paraId="547CC54E" w14:textId="342289C2" w:rsidR="001E0B3C" w:rsidRPr="005C4FE0" w:rsidRDefault="000E14C4">
      <w:r w:rsidRPr="005C4FE0">
        <w:t>Prospective cohort studies have previously shown that s</w:t>
      </w:r>
      <w:r w:rsidR="00DA0D50" w:rsidRPr="005C4FE0">
        <w:t>exually transmitted infections</w:t>
      </w:r>
      <w:r w:rsidR="00DA4A4B" w:rsidRPr="005C4FE0">
        <w:t xml:space="preserve"> (STIs)</w:t>
      </w:r>
      <w:r w:rsidR="00E44D3B" w:rsidRPr="005C4FE0">
        <w:t>, bacterial vaginosis by Nugent scoring</w:t>
      </w:r>
      <w:r w:rsidR="00DA0D50" w:rsidRPr="005C4FE0">
        <w:t>, and vaginal candidiasis</w:t>
      </w:r>
      <w:r w:rsidRPr="005C4FE0">
        <w:t xml:space="preserve"> </w:t>
      </w:r>
      <w:r w:rsidR="00101E36" w:rsidRPr="005C4FE0">
        <w:t xml:space="preserve">increase the risk of HIV </w:t>
      </w:r>
      <w:r w:rsidR="004836E7" w:rsidRPr="005C4FE0">
        <w:t>acquisition</w:t>
      </w:r>
      <w:r w:rsidR="00101E36" w:rsidRPr="005C4FE0">
        <w:t xml:space="preserve"> in women (5, 6</w:t>
      </w:r>
      <w:r w:rsidRPr="005C4FE0">
        <w:t xml:space="preserve">). In </w:t>
      </w:r>
      <w:r w:rsidR="00101E36" w:rsidRPr="005C4FE0">
        <w:t>recent years, in-depth studies of the vaginal</w:t>
      </w:r>
      <w:r w:rsidR="00DA0D50" w:rsidRPr="005C4FE0">
        <w:t xml:space="preserve"> microenvironment </w:t>
      </w:r>
      <w:r w:rsidR="001E0B3C" w:rsidRPr="005C4FE0">
        <w:t xml:space="preserve">suggest </w:t>
      </w:r>
      <w:r w:rsidR="00101E36" w:rsidRPr="005C4FE0">
        <w:t>that</w:t>
      </w:r>
      <w:r w:rsidR="00C84AB4" w:rsidRPr="005C4FE0">
        <w:t xml:space="preserve"> </w:t>
      </w:r>
      <w:r w:rsidR="00E44D3B" w:rsidRPr="005C4FE0">
        <w:t xml:space="preserve">STIs, </w:t>
      </w:r>
      <w:r w:rsidR="00C84AB4" w:rsidRPr="005C4FE0">
        <w:t>anaerobic vaginal dysbiosis</w:t>
      </w:r>
      <w:r w:rsidR="00E44D3B" w:rsidRPr="005C4FE0">
        <w:t xml:space="preserve"> (defined here as vaginal microbiota not dominated by lactobacilli)</w:t>
      </w:r>
      <w:r w:rsidR="00DA0D50" w:rsidRPr="005C4FE0">
        <w:t xml:space="preserve">, </w:t>
      </w:r>
      <w:r w:rsidR="005911BF" w:rsidRPr="005C4FE0">
        <w:t xml:space="preserve">vaginal </w:t>
      </w:r>
      <w:r w:rsidR="00DA0D50" w:rsidRPr="005C4FE0">
        <w:t xml:space="preserve">colonisation </w:t>
      </w:r>
      <w:r w:rsidR="005911BF" w:rsidRPr="005C4FE0">
        <w:t xml:space="preserve">by </w:t>
      </w:r>
      <w:r w:rsidR="00DA0D50" w:rsidRPr="005C4FE0">
        <w:t xml:space="preserve">bacterial pathobionts (such as streptococci, staphylococci, and </w:t>
      </w:r>
      <w:r w:rsidR="00DA0D50" w:rsidRPr="005C4FE0">
        <w:rPr>
          <w:i/>
        </w:rPr>
        <w:t>Enter</w:t>
      </w:r>
      <w:r w:rsidR="001E0B3C" w:rsidRPr="005C4FE0">
        <w:rPr>
          <w:i/>
        </w:rPr>
        <w:t>o</w:t>
      </w:r>
      <w:r w:rsidR="00DA0D50" w:rsidRPr="005C4FE0">
        <w:rPr>
          <w:i/>
        </w:rPr>
        <w:t>bacteriaceae</w:t>
      </w:r>
      <w:r w:rsidR="000D1A16" w:rsidRPr="005C4FE0">
        <w:t xml:space="preserve">) </w:t>
      </w:r>
      <w:r w:rsidR="0078453E">
        <w:t>and/</w:t>
      </w:r>
      <w:r w:rsidR="000D1A16" w:rsidRPr="005C4FE0">
        <w:t xml:space="preserve">or </w:t>
      </w:r>
      <w:r w:rsidR="000D1A16" w:rsidRPr="005C4FE0">
        <w:rPr>
          <w:i/>
        </w:rPr>
        <w:t xml:space="preserve">Candida </w:t>
      </w:r>
      <w:r w:rsidR="000D1A16" w:rsidRPr="005C4FE0">
        <w:t>species</w:t>
      </w:r>
      <w:r w:rsidR="00E44D3B" w:rsidRPr="005C4FE0">
        <w:t>,</w:t>
      </w:r>
      <w:r w:rsidR="00DA0D50" w:rsidRPr="005C4FE0">
        <w:t xml:space="preserve"> and </w:t>
      </w:r>
      <w:r w:rsidRPr="005C4FE0">
        <w:t xml:space="preserve">exposure to semen </w:t>
      </w:r>
      <w:r w:rsidR="00DA0D50" w:rsidRPr="005C4FE0">
        <w:t>all cause immune activation</w:t>
      </w:r>
      <w:r w:rsidRPr="005C4FE0">
        <w:t>, leading to</w:t>
      </w:r>
      <w:r w:rsidR="00DA0D50" w:rsidRPr="005C4FE0">
        <w:t xml:space="preserve"> </w:t>
      </w:r>
      <w:r w:rsidRPr="005C4FE0">
        <w:t xml:space="preserve">migration of </w:t>
      </w:r>
      <w:r w:rsidR="00420F9E" w:rsidRPr="005C4FE0">
        <w:t xml:space="preserve">CD4+ </w:t>
      </w:r>
      <w:r w:rsidRPr="005C4FE0">
        <w:t>HIV target cells</w:t>
      </w:r>
      <w:r w:rsidR="00420F9E" w:rsidRPr="005C4FE0">
        <w:t xml:space="preserve"> </w:t>
      </w:r>
      <w:r w:rsidRPr="005C4FE0">
        <w:t>to the cervicovaginal mucosa</w:t>
      </w:r>
      <w:r w:rsidR="000D1A16" w:rsidRPr="005C4FE0">
        <w:t xml:space="preserve"> (</w:t>
      </w:r>
      <w:r w:rsidR="00C921F3" w:rsidRPr="005C4FE0">
        <w:t>7</w:t>
      </w:r>
      <w:r w:rsidR="000D1A16" w:rsidRPr="005C4FE0">
        <w:t>)</w:t>
      </w:r>
      <w:r w:rsidR="00DA0D50" w:rsidRPr="005C4FE0">
        <w:t xml:space="preserve">. </w:t>
      </w:r>
      <w:r w:rsidR="00420398" w:rsidRPr="005C4FE0">
        <w:t>In addition, v</w:t>
      </w:r>
      <w:r w:rsidRPr="005C4FE0">
        <w:t>aginal dysbiosis has</w:t>
      </w:r>
      <w:r w:rsidR="00420398" w:rsidRPr="005C4FE0">
        <w:t xml:space="preserve"> </w:t>
      </w:r>
      <w:r w:rsidRPr="005C4FE0">
        <w:t xml:space="preserve">been associated with </w:t>
      </w:r>
      <w:r w:rsidR="00C84AB4" w:rsidRPr="005C4FE0">
        <w:t xml:space="preserve">weakening </w:t>
      </w:r>
      <w:r w:rsidR="00E44D3B" w:rsidRPr="005C4FE0">
        <w:t xml:space="preserve">of </w:t>
      </w:r>
      <w:r w:rsidR="00C84AB4" w:rsidRPr="005C4FE0">
        <w:t xml:space="preserve">the cervicovaginal barrier via </w:t>
      </w:r>
      <w:r w:rsidRPr="005C4FE0">
        <w:t>changes in mucus</w:t>
      </w:r>
      <w:r w:rsidR="001E0B3C" w:rsidRPr="005C4FE0">
        <w:t xml:space="preserve"> and </w:t>
      </w:r>
      <w:r w:rsidRPr="005C4FE0">
        <w:t>epithelial layer</w:t>
      </w:r>
      <w:r w:rsidR="001E0B3C" w:rsidRPr="005C4FE0">
        <w:t xml:space="preserve"> structure</w:t>
      </w:r>
      <w:r w:rsidR="00C84AB4" w:rsidRPr="005C4FE0">
        <w:t xml:space="preserve"> </w:t>
      </w:r>
      <w:r w:rsidR="0083319F" w:rsidRPr="005C4FE0">
        <w:t xml:space="preserve">and </w:t>
      </w:r>
      <w:r w:rsidR="00420398" w:rsidRPr="005C4FE0">
        <w:t xml:space="preserve">concentrations of </w:t>
      </w:r>
      <w:r w:rsidRPr="005C4FE0">
        <w:t>proteolytic enzymes and antimicrobial peptides</w:t>
      </w:r>
      <w:r w:rsidR="00C921F3" w:rsidRPr="005C4FE0">
        <w:t xml:space="preserve"> (8</w:t>
      </w:r>
      <w:r w:rsidR="00C84AB4" w:rsidRPr="005C4FE0">
        <w:t>)</w:t>
      </w:r>
      <w:r w:rsidR="00420F9E" w:rsidRPr="005C4FE0">
        <w:t xml:space="preserve">, which might facilitate acquisition of </w:t>
      </w:r>
      <w:r w:rsidR="00821EA8">
        <w:t xml:space="preserve">both </w:t>
      </w:r>
      <w:r w:rsidR="00420F9E" w:rsidRPr="005C4FE0">
        <w:t>HIV and HSV-2</w:t>
      </w:r>
      <w:r w:rsidR="00C84AB4" w:rsidRPr="005C4FE0">
        <w:t xml:space="preserve">. </w:t>
      </w:r>
      <w:r w:rsidR="001E0B3C" w:rsidRPr="005C4FE0">
        <w:t>Oe</w:t>
      </w:r>
      <w:r w:rsidR="0083319F" w:rsidRPr="005C4FE0">
        <w:t>strogens promote</w:t>
      </w:r>
      <w:r w:rsidR="00C84AB4" w:rsidRPr="005C4FE0">
        <w:t xml:space="preserve"> lactobacilli and </w:t>
      </w:r>
      <w:r w:rsidR="004836E7" w:rsidRPr="005C4FE0">
        <w:t>strengthen</w:t>
      </w:r>
      <w:r w:rsidR="00C84AB4" w:rsidRPr="005C4FE0">
        <w:t xml:space="preserve"> this</w:t>
      </w:r>
      <w:r w:rsidR="0083319F" w:rsidRPr="005C4FE0">
        <w:t xml:space="preserve"> barrier, whereas </w:t>
      </w:r>
      <w:r w:rsidR="00025EBB" w:rsidRPr="005C4FE0">
        <w:t xml:space="preserve">use of </w:t>
      </w:r>
      <w:r w:rsidR="001E0B3C" w:rsidRPr="005C4FE0">
        <w:t xml:space="preserve">high dose </w:t>
      </w:r>
      <w:r w:rsidR="0083319F" w:rsidRPr="005C4FE0">
        <w:t>progestins</w:t>
      </w:r>
      <w:r w:rsidR="000D1A16" w:rsidRPr="005C4FE0">
        <w:t xml:space="preserve"> for contraception</w:t>
      </w:r>
      <w:r w:rsidR="0083319F" w:rsidRPr="005C4FE0">
        <w:t xml:space="preserve"> </w:t>
      </w:r>
      <w:r w:rsidR="001E0B3C" w:rsidRPr="005C4FE0">
        <w:rPr>
          <w:rFonts w:cs="Arial"/>
          <w:color w:val="222222"/>
          <w:shd w:val="clear" w:color="auto" w:fill="FFFFFF"/>
        </w:rPr>
        <w:t xml:space="preserve">may cause vaginal atrophy </w:t>
      </w:r>
      <w:r w:rsidR="00CC7BA0">
        <w:rPr>
          <w:rFonts w:cs="Arial"/>
          <w:color w:val="222222"/>
          <w:shd w:val="clear" w:color="auto" w:fill="FFFFFF"/>
        </w:rPr>
        <w:t>and associated inflammation</w:t>
      </w:r>
      <w:r w:rsidR="00420F9E" w:rsidRPr="005C4FE0">
        <w:rPr>
          <w:rFonts w:cs="Arial"/>
          <w:color w:val="222222"/>
          <w:shd w:val="clear" w:color="auto" w:fill="FFFFFF"/>
        </w:rPr>
        <w:t xml:space="preserve"> </w:t>
      </w:r>
      <w:r w:rsidR="001E0B3C" w:rsidRPr="005C4FE0">
        <w:rPr>
          <w:rFonts w:cs="Arial"/>
          <w:color w:val="222222"/>
          <w:shd w:val="clear" w:color="auto" w:fill="FFFFFF"/>
        </w:rPr>
        <w:t>due to the induction of hypo-oestrogenism (</w:t>
      </w:r>
      <w:r w:rsidR="00C921F3" w:rsidRPr="005C4FE0">
        <w:rPr>
          <w:rFonts w:cs="Arial"/>
          <w:color w:val="222222"/>
          <w:shd w:val="clear" w:color="auto" w:fill="FFFFFF"/>
        </w:rPr>
        <w:t>9</w:t>
      </w:r>
      <w:r w:rsidR="001E0B3C" w:rsidRPr="005C4FE0">
        <w:rPr>
          <w:rFonts w:cs="Arial"/>
          <w:color w:val="222222"/>
          <w:shd w:val="clear" w:color="auto" w:fill="FFFFFF"/>
        </w:rPr>
        <w:t>)</w:t>
      </w:r>
      <w:r w:rsidR="00420398" w:rsidRPr="005C4FE0">
        <w:t>.</w:t>
      </w:r>
      <w:r w:rsidR="001E0B3C" w:rsidRPr="005C4FE0">
        <w:t xml:space="preserve"> All of these factors are common in women and are in</w:t>
      </w:r>
      <w:r w:rsidR="00C84AB4" w:rsidRPr="005C4FE0">
        <w:t>tertwined.</w:t>
      </w:r>
      <w:r w:rsidR="000D1A16" w:rsidRPr="005C4FE0">
        <w:t xml:space="preserve"> </w:t>
      </w:r>
    </w:p>
    <w:p w14:paraId="2B07A91F" w14:textId="77777777" w:rsidR="007255D0" w:rsidRPr="005C4FE0" w:rsidRDefault="007255D0"/>
    <w:p w14:paraId="6C0393DD" w14:textId="443235AD" w:rsidR="0078172B" w:rsidRDefault="00EF6432" w:rsidP="0078172B">
      <w:r w:rsidRPr="005C4FE0">
        <w:t>T</w:t>
      </w:r>
      <w:r w:rsidR="006F2586">
        <w:t>FV</w:t>
      </w:r>
      <w:r w:rsidRPr="005C4FE0">
        <w:t>-based PrEP studies in women have shown discrepant results</w:t>
      </w:r>
      <w:r w:rsidR="00B03B09">
        <w:t xml:space="preserve">, with significant correlations between adherence and HIV efficacy levels in </w:t>
      </w:r>
      <w:r w:rsidR="000A1C16">
        <w:t xml:space="preserve">the context of </w:t>
      </w:r>
      <w:r w:rsidR="00B75653">
        <w:t>both vaginal and oral</w:t>
      </w:r>
      <w:r w:rsidR="00B03B09">
        <w:t xml:space="preserve"> administration</w:t>
      </w:r>
      <w:r w:rsidR="00B75653" w:rsidRPr="001861EF">
        <w:t xml:space="preserve">. The minimum </w:t>
      </w:r>
      <w:r w:rsidR="001861EF">
        <w:t xml:space="preserve">concentrations of </w:t>
      </w:r>
      <w:r w:rsidR="00B75653" w:rsidRPr="001861EF">
        <w:t xml:space="preserve">tenofovir diphosphate </w:t>
      </w:r>
      <w:r w:rsidR="001861EF">
        <w:t>(</w:t>
      </w:r>
      <w:r w:rsidR="000A1C7F">
        <w:t xml:space="preserve">TFV-DP, </w:t>
      </w:r>
      <w:r w:rsidR="001861EF">
        <w:t>the active metabolite</w:t>
      </w:r>
      <w:r w:rsidR="00C55549">
        <w:t>)</w:t>
      </w:r>
      <w:r w:rsidR="001861EF">
        <w:t xml:space="preserve"> </w:t>
      </w:r>
      <w:r w:rsidR="00B75653" w:rsidRPr="001861EF">
        <w:t>required in the cervicovaginal mucosa, and potentially also draining lymph nodes, to prevent vaginal HIV acquisition are not known, and might differ by levels of vaginal dysbiosis,</w:t>
      </w:r>
      <w:r w:rsidR="00537872">
        <w:t xml:space="preserve"> vaginal immune activation, and </w:t>
      </w:r>
      <w:r w:rsidR="00B75653" w:rsidRPr="001861EF">
        <w:t>HIV exposure.</w:t>
      </w:r>
      <w:r w:rsidR="00B75653">
        <w:t xml:space="preserve"> 1% TF</w:t>
      </w:r>
      <w:r w:rsidR="00C55549">
        <w:t>V</w:t>
      </w:r>
      <w:r w:rsidR="00B75653">
        <w:t xml:space="preserve"> gel </w:t>
      </w:r>
      <w:r w:rsidR="003D289F">
        <w:t xml:space="preserve">application results in </w:t>
      </w:r>
      <w:r w:rsidR="002145B1">
        <w:t>higher concentration</w:t>
      </w:r>
      <w:r w:rsidR="001A2C24">
        <w:t>s</w:t>
      </w:r>
      <w:r w:rsidR="00B75653">
        <w:t xml:space="preserve"> in the cervicovaginal mucosa</w:t>
      </w:r>
      <w:r w:rsidR="003D289F">
        <w:t>, b</w:t>
      </w:r>
      <w:r w:rsidR="002145B1">
        <w:t>ut lower systemic concentration</w:t>
      </w:r>
      <w:r w:rsidR="001A2C24">
        <w:t>s</w:t>
      </w:r>
      <w:r w:rsidR="003D289F">
        <w:t>,</w:t>
      </w:r>
      <w:r w:rsidR="00B75653">
        <w:t xml:space="preserve"> than </w:t>
      </w:r>
      <w:r w:rsidR="003D289F">
        <w:t xml:space="preserve">once daily </w:t>
      </w:r>
      <w:r w:rsidR="00B75653">
        <w:t xml:space="preserve">300 mg oral </w:t>
      </w:r>
      <w:r w:rsidR="003D289F">
        <w:t xml:space="preserve">TDF (reviewed in 10, 11), </w:t>
      </w:r>
      <w:r w:rsidR="00537872">
        <w:t>but cervicovaginal concentrations are reduced after vaginal sex (12). Dosing aimed at high</w:t>
      </w:r>
      <w:r w:rsidR="00DB0F40">
        <w:t xml:space="preserve"> concentration</w:t>
      </w:r>
      <w:r w:rsidR="00537872">
        <w:t>s</w:t>
      </w:r>
      <w:r w:rsidR="003D289F">
        <w:t xml:space="preserve"> might be needed to o</w:t>
      </w:r>
      <w:r w:rsidR="001861EF">
        <w:t>vercome imperfect adherence</w:t>
      </w:r>
      <w:r w:rsidR="00537872">
        <w:t xml:space="preserve"> and bioavailability</w:t>
      </w:r>
      <w:r w:rsidR="001861EF">
        <w:t xml:space="preserve">, </w:t>
      </w:r>
      <w:r w:rsidR="0078453E">
        <w:t xml:space="preserve">above-average </w:t>
      </w:r>
      <w:r w:rsidR="003D289F">
        <w:t>biological HIV vulnerability</w:t>
      </w:r>
      <w:r w:rsidR="001861EF">
        <w:t xml:space="preserve">, and to prevent </w:t>
      </w:r>
      <w:r w:rsidR="00944B33">
        <w:t>both HIV and</w:t>
      </w:r>
      <w:r w:rsidR="001861EF">
        <w:t xml:space="preserve"> HSV-2 (which has a higher </w:t>
      </w:r>
      <w:r w:rsidR="001861EF" w:rsidRPr="001861EF">
        <w:rPr>
          <w:i/>
        </w:rPr>
        <w:t>in vitro</w:t>
      </w:r>
      <w:r w:rsidR="0078453E">
        <w:t xml:space="preserve"> </w:t>
      </w:r>
      <w:r w:rsidR="00103C13">
        <w:t>T</w:t>
      </w:r>
      <w:r w:rsidR="000A1C7F">
        <w:t>FV-DP</w:t>
      </w:r>
      <w:r w:rsidR="00103C13">
        <w:t xml:space="preserve"> </w:t>
      </w:r>
      <w:r w:rsidR="0078453E">
        <w:t>h</w:t>
      </w:r>
      <w:r w:rsidR="0078453E" w:rsidRPr="0078453E">
        <w:t>alf maximal effective concentration</w:t>
      </w:r>
      <w:r w:rsidR="00103C13">
        <w:t xml:space="preserve"> </w:t>
      </w:r>
      <w:r w:rsidR="00435B88">
        <w:t>than HIV</w:t>
      </w:r>
      <w:r w:rsidR="001861EF">
        <w:t>)</w:t>
      </w:r>
      <w:r w:rsidR="00CB26A5">
        <w:t xml:space="preserve"> (13</w:t>
      </w:r>
      <w:r w:rsidR="00435B88">
        <w:t>)</w:t>
      </w:r>
      <w:r w:rsidR="003D289F">
        <w:t xml:space="preserve">. </w:t>
      </w:r>
      <w:r w:rsidR="0003140D" w:rsidRPr="005C4FE0">
        <w:t>The da</w:t>
      </w:r>
      <w:r w:rsidR="004C55BF" w:rsidRPr="005C4FE0">
        <w:t xml:space="preserve">ta </w:t>
      </w:r>
      <w:r w:rsidR="00B80CF7">
        <w:t xml:space="preserve">reported by Heffron et al </w:t>
      </w:r>
      <w:r w:rsidR="004C55BF" w:rsidRPr="005C4FE0">
        <w:t xml:space="preserve">are reassuring in that </w:t>
      </w:r>
      <w:r w:rsidR="0078172B" w:rsidRPr="005C4FE0">
        <w:t xml:space="preserve">they show that oral TDF-based PrEP can achieve high </w:t>
      </w:r>
      <w:r w:rsidR="001861EF">
        <w:t xml:space="preserve">HIV </w:t>
      </w:r>
      <w:r w:rsidR="0078172B" w:rsidRPr="005C4FE0">
        <w:t xml:space="preserve">efficacy in women, even in the context of vaginal dysbiosis, when adherence levels are high. </w:t>
      </w:r>
    </w:p>
    <w:p w14:paraId="5C84BB0C" w14:textId="678957EA" w:rsidR="00593478" w:rsidRDefault="00944B33">
      <w:r>
        <w:lastRenderedPageBreak/>
        <w:t>While the</w:t>
      </w:r>
      <w:r w:rsidR="000A1C16">
        <w:t xml:space="preserve"> </w:t>
      </w:r>
      <w:r w:rsidR="004836E7">
        <w:t>pharmacodynamics</w:t>
      </w:r>
      <w:r w:rsidR="000A1C16">
        <w:t xml:space="preserve"> data</w:t>
      </w:r>
      <w:r w:rsidR="003D289F">
        <w:t xml:space="preserve"> and recent data from the VOICE trial (</w:t>
      </w:r>
      <w:r w:rsidR="00CB26A5">
        <w:t>14, 15</w:t>
      </w:r>
      <w:r w:rsidR="003D289F">
        <w:t>)</w:t>
      </w:r>
      <w:r w:rsidR="000A1C16">
        <w:t xml:space="preserve"> favour vaginal administration, t</w:t>
      </w:r>
      <w:r w:rsidR="004C55BF">
        <w:t xml:space="preserve">he possibility of vaginal dysbiosis-associated bacteria depleting </w:t>
      </w:r>
      <w:r w:rsidR="004C55BF" w:rsidRPr="00937D8E">
        <w:t>T</w:t>
      </w:r>
      <w:r w:rsidR="000A1C7F" w:rsidRPr="00937D8E">
        <w:t>FV</w:t>
      </w:r>
      <w:r w:rsidR="004C55BF">
        <w:t xml:space="preserve"> before it is converted by host cells into </w:t>
      </w:r>
      <w:r w:rsidR="000A1C7F">
        <w:t>TFV-DP</w:t>
      </w:r>
      <w:r w:rsidR="004C55BF">
        <w:t xml:space="preserve"> is</w:t>
      </w:r>
      <w:r w:rsidR="000A1C16">
        <w:t xml:space="preserve"> </w:t>
      </w:r>
      <w:r w:rsidR="004C55BF">
        <w:t xml:space="preserve">more likely with vaginal </w:t>
      </w:r>
      <w:r w:rsidR="00B838A7">
        <w:t xml:space="preserve">than oral </w:t>
      </w:r>
      <w:r w:rsidR="004C55BF">
        <w:t>administration</w:t>
      </w:r>
      <w:r w:rsidR="001861EF">
        <w:t>. We think that this</w:t>
      </w:r>
      <w:r w:rsidR="003D289F">
        <w:t xml:space="preserve"> hypothesis is biologically plausible</w:t>
      </w:r>
      <w:r w:rsidR="004C55BF">
        <w:t xml:space="preserve"> and should be further investigated in both epidemiological as well as mechanistic studies. The </w:t>
      </w:r>
      <w:r w:rsidR="004C55BF" w:rsidRPr="000A1C16">
        <w:rPr>
          <w:i/>
        </w:rPr>
        <w:t>in vitro</w:t>
      </w:r>
      <w:r w:rsidR="004C55BF">
        <w:t xml:space="preserve"> experiments described by Klatt et al support the hypothesis</w:t>
      </w:r>
      <w:r w:rsidR="00E16696">
        <w:t>,</w:t>
      </w:r>
      <w:r w:rsidR="004C55BF">
        <w:t xml:space="preserve"> but </w:t>
      </w:r>
      <w:r w:rsidR="00DB0F40">
        <w:t>need to</w:t>
      </w:r>
      <w:r w:rsidR="004C55BF">
        <w:t xml:space="preserve"> be replicated by other laboratories</w:t>
      </w:r>
      <w:r w:rsidR="00E16696">
        <w:t>,</w:t>
      </w:r>
      <w:r w:rsidR="004C55BF">
        <w:t xml:space="preserve"> and should include </w:t>
      </w:r>
      <w:r w:rsidR="001861EF">
        <w:t xml:space="preserve">experiments with </w:t>
      </w:r>
      <w:r w:rsidR="004C55BF">
        <w:t>bacterial communi</w:t>
      </w:r>
      <w:r>
        <w:t xml:space="preserve">ties </w:t>
      </w:r>
      <w:r w:rsidR="00BC7ABB">
        <w:t xml:space="preserve">in the absence or presence of </w:t>
      </w:r>
      <w:r>
        <w:t>biofilms</w:t>
      </w:r>
      <w:r w:rsidR="004C55BF">
        <w:t xml:space="preserve">. </w:t>
      </w:r>
      <w:r w:rsidR="001861EF">
        <w:t xml:space="preserve">The </w:t>
      </w:r>
      <w:r w:rsidR="0078453E">
        <w:t xml:space="preserve">epidemiological </w:t>
      </w:r>
      <w:r w:rsidR="001861EF">
        <w:t xml:space="preserve">studies </w:t>
      </w:r>
      <w:r w:rsidR="0078453E">
        <w:t xml:space="preserve">presented by Klatt and Heffron </w:t>
      </w:r>
      <w:r w:rsidR="001861EF">
        <w:t>were not</w:t>
      </w:r>
      <w:r w:rsidR="003D289F">
        <w:t xml:space="preserve"> designed to address the research question</w:t>
      </w:r>
      <w:r w:rsidR="001861EF">
        <w:t xml:space="preserve"> and </w:t>
      </w:r>
      <w:r>
        <w:t xml:space="preserve">as a result, </w:t>
      </w:r>
      <w:r w:rsidR="001861EF">
        <w:t>many of the complexities described above were not adequately addressed</w:t>
      </w:r>
      <w:r w:rsidR="004C55BF">
        <w:t xml:space="preserve">. Women with </w:t>
      </w:r>
      <w:r w:rsidR="00EF53A4">
        <w:t xml:space="preserve">persistent </w:t>
      </w:r>
      <w:r w:rsidR="004C55BF">
        <w:t>vaginal dy</w:t>
      </w:r>
      <w:r w:rsidR="00BC7ABB">
        <w:t xml:space="preserve">sbiosis </w:t>
      </w:r>
      <w:r w:rsidR="009C5B51">
        <w:t xml:space="preserve">have increased HIV and </w:t>
      </w:r>
      <w:r w:rsidR="001861EF">
        <w:t xml:space="preserve">HSV-2 </w:t>
      </w:r>
      <w:r w:rsidR="004C55BF">
        <w:t>vuln</w:t>
      </w:r>
      <w:r w:rsidR="009C5B51">
        <w:t>erability</w:t>
      </w:r>
      <w:r w:rsidR="004C55BF">
        <w:t>, and a larger proportion of them may be exposed</w:t>
      </w:r>
      <w:r w:rsidR="001861EF">
        <w:t xml:space="preserve">: </w:t>
      </w:r>
      <w:r w:rsidR="004C55BF">
        <w:t>vaginal dysbiosis is associated with semen exposure, new sexual partners, an</w:t>
      </w:r>
      <w:r>
        <w:t>d STI</w:t>
      </w:r>
      <w:r w:rsidR="001861EF">
        <w:t>s</w:t>
      </w:r>
      <w:r w:rsidR="004C55BF">
        <w:t xml:space="preserve">. Furthermore, the factors underlying exposure (such as </w:t>
      </w:r>
      <w:r w:rsidR="00DB0F40">
        <w:t>lack of perception of</w:t>
      </w:r>
      <w:r w:rsidR="004C55BF">
        <w:t xml:space="preserve"> HIV risk or lack of male partner cooperation with condom use) may also </w:t>
      </w:r>
      <w:r w:rsidR="000A1C7F">
        <w:t>be associated with</w:t>
      </w:r>
      <w:r w:rsidR="004C55BF">
        <w:t xml:space="preserve"> poor adherence. Importantly, women who have a lactobacilli-dominated microbiota may not be inflammation-free: they may have </w:t>
      </w:r>
      <w:r w:rsidR="00EF53A4">
        <w:t xml:space="preserve">significant </w:t>
      </w:r>
      <w:r w:rsidR="004C55BF">
        <w:t xml:space="preserve">bacterial pathobiont or </w:t>
      </w:r>
      <w:r w:rsidR="004C55BF" w:rsidRPr="006550DA">
        <w:rPr>
          <w:i/>
        </w:rPr>
        <w:t>Candida</w:t>
      </w:r>
      <w:r w:rsidR="004C55BF">
        <w:t xml:space="preserve"> colonisation, both of which were not (Heffron et al) or not sufficiently (Klatt et al) taken into account. Future studies should ideally be longitudinal with frequent relevant assessments of all of these </w:t>
      </w:r>
      <w:r w:rsidR="002145B1">
        <w:t xml:space="preserve">biological </w:t>
      </w:r>
      <w:r w:rsidR="004C55BF">
        <w:t>factors in all randomised women.</w:t>
      </w:r>
    </w:p>
    <w:p w14:paraId="0BDC4535" w14:textId="77777777" w:rsidR="00D21A77" w:rsidRDefault="00D21A77" w:rsidP="00134716"/>
    <w:p w14:paraId="7F8CAF59" w14:textId="5237663C" w:rsidR="00C921F3" w:rsidRPr="00B80CF7" w:rsidRDefault="00905AF7" w:rsidP="00B80CF7">
      <w:r>
        <w:t xml:space="preserve">We </w:t>
      </w:r>
      <w:r w:rsidR="0024481A">
        <w:t xml:space="preserve">strongly </w:t>
      </w:r>
      <w:r>
        <w:t xml:space="preserve">believe that TDF-based </w:t>
      </w:r>
      <w:r w:rsidR="00F32823">
        <w:t xml:space="preserve">oral PrEP </w:t>
      </w:r>
      <w:r>
        <w:t xml:space="preserve">should continue to be </w:t>
      </w:r>
      <w:r w:rsidR="00F32823">
        <w:t>roll</w:t>
      </w:r>
      <w:r>
        <w:t>ed</w:t>
      </w:r>
      <w:r w:rsidR="00F32823">
        <w:t>-out</w:t>
      </w:r>
      <w:r w:rsidR="00D21A77">
        <w:t xml:space="preserve"> in communities with a high burden of both HIV and vaginal dysbiosis</w:t>
      </w:r>
      <w:r>
        <w:t>, and that vaginal PrEP should continue to be developed</w:t>
      </w:r>
      <w:r w:rsidR="00D21A77">
        <w:t xml:space="preserve">. </w:t>
      </w:r>
      <w:r w:rsidR="009C5B51">
        <w:t>W</w:t>
      </w:r>
      <w:r w:rsidR="00EF53A4">
        <w:t xml:space="preserve">omen with vaginal dysbiosis will still be protected if the overall adherence, dosing and timing </w:t>
      </w:r>
      <w:r w:rsidR="00EF53A4" w:rsidRPr="00937D8E">
        <w:t xml:space="preserve">of </w:t>
      </w:r>
      <w:r w:rsidR="00944B33" w:rsidRPr="00937D8E">
        <w:t>T</w:t>
      </w:r>
      <w:r w:rsidR="00FE4D3A" w:rsidRPr="00937D8E">
        <w:t>FV</w:t>
      </w:r>
      <w:r w:rsidR="00944B33" w:rsidRPr="00937D8E">
        <w:t xml:space="preserve"> </w:t>
      </w:r>
      <w:r w:rsidR="00EF53A4" w:rsidRPr="00937D8E">
        <w:t>applications</w:t>
      </w:r>
      <w:r w:rsidR="00EF53A4">
        <w:t xml:space="preserve"> are right. </w:t>
      </w:r>
      <w:r w:rsidR="00D21A77">
        <w:t>However,</w:t>
      </w:r>
      <w:r w:rsidR="00230E85">
        <w:t xml:space="preserve"> </w:t>
      </w:r>
      <w:r>
        <w:t>at the sam</w:t>
      </w:r>
      <w:r w:rsidR="00EF53A4">
        <w:t xml:space="preserve">e time, vaginal infections and dysbiosis </w:t>
      </w:r>
      <w:r>
        <w:t>deserve</w:t>
      </w:r>
      <w:r w:rsidR="00D21A77">
        <w:t xml:space="preserve"> more attention</w:t>
      </w:r>
      <w:r w:rsidR="00230E85">
        <w:t xml:space="preserve">. </w:t>
      </w:r>
      <w:r>
        <w:t>We have now known for decades that they fuel the HIV epidemic and have other important a</w:t>
      </w:r>
      <w:r w:rsidR="00944B33">
        <w:t xml:space="preserve">dverse consequences </w:t>
      </w:r>
      <w:r>
        <w:t xml:space="preserve">for women. </w:t>
      </w:r>
      <w:r w:rsidR="00D900D2">
        <w:t xml:space="preserve">Many STI </w:t>
      </w:r>
      <w:r w:rsidR="00834551">
        <w:t xml:space="preserve">control programs, especially those entirely based on syndromic management, </w:t>
      </w:r>
      <w:r w:rsidR="00F32823">
        <w:t xml:space="preserve">could be improved </w:t>
      </w:r>
      <w:r w:rsidR="00834551">
        <w:t xml:space="preserve">by </w:t>
      </w:r>
      <w:r w:rsidR="00F32823">
        <w:t>inten</w:t>
      </w:r>
      <w:r w:rsidR="00A22F6E">
        <w:t>sifying screening of</w:t>
      </w:r>
      <w:r w:rsidR="00F32823">
        <w:t xml:space="preserve"> at-risk populations and employing </w:t>
      </w:r>
      <w:r w:rsidR="005E7422">
        <w:t>point-of-c</w:t>
      </w:r>
      <w:r w:rsidR="00F32823">
        <w:t>are diagnostics. M</w:t>
      </w:r>
      <w:r w:rsidR="005E7422">
        <w:t>ore efficacious treatments for vaginal dysbiosis</w:t>
      </w:r>
      <w:r w:rsidR="00D21A77">
        <w:t xml:space="preserve"> should be developed</w:t>
      </w:r>
      <w:r w:rsidR="00F32823">
        <w:t xml:space="preserve"> as a matter of urgency</w:t>
      </w:r>
      <w:r>
        <w:t xml:space="preserve">. Another potentially very attractive </w:t>
      </w:r>
      <w:r w:rsidR="00230E85">
        <w:t xml:space="preserve">way forward </w:t>
      </w:r>
      <w:r>
        <w:t xml:space="preserve">is </w:t>
      </w:r>
      <w:r w:rsidR="00230E85">
        <w:t xml:space="preserve">the </w:t>
      </w:r>
      <w:r w:rsidR="00F32823">
        <w:t>development of multipurpose prevention products that deliver a</w:t>
      </w:r>
      <w:r w:rsidR="00230E85">
        <w:t>ntiretroviral drugs in combinat</w:t>
      </w:r>
      <w:r w:rsidR="003E50D9">
        <w:t xml:space="preserve">ion with </w:t>
      </w:r>
      <w:r>
        <w:t xml:space="preserve">contraceptive </w:t>
      </w:r>
      <w:r w:rsidR="00F32823">
        <w:t>hormones into the vagina</w:t>
      </w:r>
      <w:r w:rsidR="003E50D9">
        <w:t>. This woul</w:t>
      </w:r>
      <w:r w:rsidR="00F32823">
        <w:t xml:space="preserve">d not only prevent HIV and pregnancy, but </w:t>
      </w:r>
      <w:r w:rsidR="003E50D9">
        <w:t xml:space="preserve">would </w:t>
      </w:r>
      <w:r w:rsidR="00F32823">
        <w:t xml:space="preserve">also </w:t>
      </w:r>
      <w:r w:rsidR="003E50D9">
        <w:t xml:space="preserve">promote a lactobacilli-dominant vaginal microbiota. </w:t>
      </w:r>
    </w:p>
    <w:p w14:paraId="00792EEB" w14:textId="3610FA4A" w:rsidR="00B80CF7" w:rsidRDefault="00B80CF7">
      <w:pPr>
        <w:widowControl/>
        <w:spacing w:after="160" w:line="259" w:lineRule="auto"/>
        <w:rPr>
          <w:b/>
        </w:rPr>
      </w:pPr>
    </w:p>
    <w:p w14:paraId="027803D9" w14:textId="77777777" w:rsidR="00944B33" w:rsidRDefault="00944B33">
      <w:pPr>
        <w:widowControl/>
        <w:spacing w:after="160" w:line="259" w:lineRule="auto"/>
        <w:rPr>
          <w:b/>
        </w:rPr>
      </w:pPr>
      <w:r>
        <w:rPr>
          <w:b/>
        </w:rPr>
        <w:br w:type="page"/>
      </w:r>
    </w:p>
    <w:p w14:paraId="3C577F50" w14:textId="445EC352" w:rsidR="003A387D" w:rsidRPr="005C4FE0" w:rsidRDefault="003A387D">
      <w:pPr>
        <w:rPr>
          <w:b/>
        </w:rPr>
      </w:pPr>
      <w:r w:rsidRPr="005C4FE0">
        <w:rPr>
          <w:b/>
        </w:rPr>
        <w:lastRenderedPageBreak/>
        <w:t>References:</w:t>
      </w:r>
    </w:p>
    <w:p w14:paraId="7A40A0B3" w14:textId="66C82ACF" w:rsidR="00167BD4" w:rsidRDefault="00B80CF7" w:rsidP="00167BD4">
      <w:pPr>
        <w:pStyle w:val="ListParagraph"/>
        <w:numPr>
          <w:ilvl w:val="0"/>
          <w:numId w:val="2"/>
        </w:numPr>
        <w:ind w:left="426" w:hanging="426"/>
      </w:pPr>
      <w:r>
        <w:t>Heffron R, McClelland RS, Balkus JE, Celum C, Cohen CR, Mugo N, et al. Efficacy of oral PrEP for HIV prevention among women with abnormal vaginal microbiota: a randomized, placebo controlled comparison</w:t>
      </w:r>
      <w:r w:rsidRPr="00167BD4">
        <w:rPr>
          <w:i/>
        </w:rPr>
        <w:t xml:space="preserve">. </w:t>
      </w:r>
      <w:r w:rsidR="003A387D" w:rsidRPr="00167BD4">
        <w:rPr>
          <w:i/>
        </w:rPr>
        <w:t>Lancet HIV</w:t>
      </w:r>
      <w:r w:rsidR="00167BD4">
        <w:t>. 2017;</w:t>
      </w:r>
      <w:r>
        <w:t xml:space="preserve"> in press.</w:t>
      </w:r>
    </w:p>
    <w:p w14:paraId="3A1885B3" w14:textId="4F1F9812" w:rsidR="003A387D" w:rsidRPr="005C4FE0" w:rsidRDefault="00167BD4" w:rsidP="00167BD4">
      <w:pPr>
        <w:pStyle w:val="ListParagraph"/>
        <w:numPr>
          <w:ilvl w:val="0"/>
          <w:numId w:val="2"/>
        </w:numPr>
        <w:ind w:left="426" w:hanging="426"/>
      </w:pPr>
      <w:r>
        <w:t xml:space="preserve">Baeten JM, Donnell D, Ndase P, Mugo NR, Campbell JD, Wangisi J, et al. Antiretroviral prophylaxis for HIV prevention in heterosexual men and women. </w:t>
      </w:r>
      <w:r w:rsidRPr="00167BD4">
        <w:rPr>
          <w:i/>
        </w:rPr>
        <w:t>New Engl J Med</w:t>
      </w:r>
      <w:r>
        <w:t xml:space="preserve">. 2012; </w:t>
      </w:r>
      <w:r w:rsidRPr="00167BD4">
        <w:rPr>
          <w:b/>
        </w:rPr>
        <w:t>367</w:t>
      </w:r>
      <w:r>
        <w:t>: 399-410.</w:t>
      </w:r>
    </w:p>
    <w:p w14:paraId="2ED8C7B9" w14:textId="47AAFE82" w:rsidR="00167BD4" w:rsidRDefault="00A957BF" w:rsidP="00167BD4">
      <w:pPr>
        <w:pStyle w:val="ListParagraph"/>
        <w:numPr>
          <w:ilvl w:val="0"/>
          <w:numId w:val="2"/>
        </w:numPr>
        <w:ind w:left="426" w:hanging="426"/>
      </w:pPr>
      <w:r w:rsidRPr="005C4FE0">
        <w:t xml:space="preserve">Klatt </w:t>
      </w:r>
      <w:r w:rsidR="00167BD4">
        <w:t>NR, Cheu R, Birse K, Zevin AS, Perner M, Noël-Romas L, et al. Vaginal bacteria modify HIV tenofovir microbicide efficacy in African women.</w:t>
      </w:r>
      <w:r w:rsidRPr="005C4FE0">
        <w:t xml:space="preserve"> </w:t>
      </w:r>
      <w:r w:rsidRPr="00167BD4">
        <w:rPr>
          <w:i/>
        </w:rPr>
        <w:t>Science</w:t>
      </w:r>
      <w:r w:rsidR="00167BD4">
        <w:t xml:space="preserve">. 2017; </w:t>
      </w:r>
      <w:r w:rsidR="00167BD4" w:rsidRPr="00167BD4">
        <w:rPr>
          <w:b/>
        </w:rPr>
        <w:t>356</w:t>
      </w:r>
      <w:r w:rsidR="00167BD4">
        <w:t>: 938-945.</w:t>
      </w:r>
    </w:p>
    <w:p w14:paraId="42DF8585" w14:textId="77777777" w:rsidR="001C3E66" w:rsidRDefault="00167BD4" w:rsidP="001C3E66">
      <w:pPr>
        <w:pStyle w:val="ListParagraph"/>
        <w:numPr>
          <w:ilvl w:val="0"/>
          <w:numId w:val="2"/>
        </w:numPr>
        <w:ind w:left="426" w:hanging="426"/>
      </w:pPr>
      <w:r>
        <w:t xml:space="preserve">Abdool Karim Q, Abdool Karim SS, Frohlich JA, Grobler AC, Baxter C, Mansoor LE, et al. Effectiveness and safety of tenofovir gel, an antiretroviral microbicide, for the prevention of HIV infection in women. </w:t>
      </w:r>
      <w:r w:rsidRPr="00167BD4">
        <w:rPr>
          <w:i/>
        </w:rPr>
        <w:t>Science</w:t>
      </w:r>
      <w:r>
        <w:t xml:space="preserve">. 2010; </w:t>
      </w:r>
      <w:r w:rsidRPr="00167BD4">
        <w:rPr>
          <w:b/>
        </w:rPr>
        <w:t>329</w:t>
      </w:r>
      <w:r>
        <w:t>:1168-1177.</w:t>
      </w:r>
    </w:p>
    <w:p w14:paraId="43C222E2" w14:textId="77777777" w:rsidR="001C3E66" w:rsidRDefault="001C3E66" w:rsidP="001C3E66">
      <w:pPr>
        <w:pStyle w:val="ListParagraph"/>
        <w:numPr>
          <w:ilvl w:val="0"/>
          <w:numId w:val="2"/>
        </w:numPr>
        <w:ind w:left="426" w:hanging="426"/>
      </w:pPr>
      <w:r w:rsidRPr="001C3E66">
        <w:t xml:space="preserve">Hayes RJ, Watson-Jones D, Celum C, van de Wijgert J, Wasserheit J. Treatment of sexually transmitted infections for HIV prevention. </w:t>
      </w:r>
      <w:r w:rsidRPr="001C3E66">
        <w:rPr>
          <w:i/>
        </w:rPr>
        <w:t>AIDS</w:t>
      </w:r>
      <w:r w:rsidRPr="001C3E66">
        <w:t xml:space="preserve"> 2010; </w:t>
      </w:r>
      <w:r w:rsidRPr="001C3E66">
        <w:rPr>
          <w:b/>
        </w:rPr>
        <w:t>24(Suppl 4)</w:t>
      </w:r>
      <w:r w:rsidRPr="001C3E66">
        <w:t>:S15-26.</w:t>
      </w:r>
    </w:p>
    <w:p w14:paraId="257AF057" w14:textId="77777777" w:rsidR="006337BD" w:rsidRDefault="001C3E66" w:rsidP="006337BD">
      <w:pPr>
        <w:pStyle w:val="ListParagraph"/>
        <w:numPr>
          <w:ilvl w:val="0"/>
          <w:numId w:val="2"/>
        </w:numPr>
        <w:ind w:left="426" w:hanging="426"/>
      </w:pPr>
      <w:r w:rsidRPr="001C3E66">
        <w:t>Low N, Chersich MF, Schmidlin K, Egger M, Francis SC, van de Wijgert J,</w:t>
      </w:r>
      <w:r>
        <w:t xml:space="preserve"> et al</w:t>
      </w:r>
      <w:r w:rsidRPr="001C3E66">
        <w:t xml:space="preserve">. Intravaginal practices, bacterial vaginosis and HIV infection in women: individual person data meta-analysis. </w:t>
      </w:r>
      <w:r w:rsidRPr="001C3E66">
        <w:rPr>
          <w:i/>
        </w:rPr>
        <w:t>PloS Med</w:t>
      </w:r>
      <w:r w:rsidRPr="001C3E66">
        <w:t xml:space="preserve"> 2011; </w:t>
      </w:r>
      <w:r w:rsidRPr="001C3E66">
        <w:rPr>
          <w:b/>
        </w:rPr>
        <w:t>8(2)</w:t>
      </w:r>
      <w:r w:rsidRPr="001C3E66">
        <w:t>:e1000416.</w:t>
      </w:r>
    </w:p>
    <w:p w14:paraId="73A699C3" w14:textId="0338C2D2" w:rsidR="001C3E66" w:rsidRDefault="006337BD" w:rsidP="006337BD">
      <w:pPr>
        <w:pStyle w:val="ListParagraph"/>
        <w:numPr>
          <w:ilvl w:val="0"/>
          <w:numId w:val="2"/>
        </w:numPr>
        <w:ind w:left="426" w:hanging="426"/>
      </w:pPr>
      <w:r w:rsidRPr="006337BD">
        <w:t>Kyongo JK, Crucitti T, Menten J, Hardy L, Cools P, Michiels J,</w:t>
      </w:r>
      <w:r>
        <w:t xml:space="preserve"> et al</w:t>
      </w:r>
      <w:r w:rsidRPr="006337BD">
        <w:t xml:space="preserve">. Cross-sectional analysis of selected genital tract immunological markers and molecular vaginal microbiota in Sub-Saharan African women, with relevance to HIV risk and prevention. </w:t>
      </w:r>
      <w:r w:rsidRPr="006337BD">
        <w:rPr>
          <w:i/>
        </w:rPr>
        <w:t>Clin Vaccine Immunol</w:t>
      </w:r>
      <w:r>
        <w:t xml:space="preserve">. 2015; </w:t>
      </w:r>
      <w:r w:rsidRPr="006337BD">
        <w:rPr>
          <w:b/>
        </w:rPr>
        <w:t>22</w:t>
      </w:r>
      <w:r w:rsidRPr="006337BD">
        <w:t>:526-</w:t>
      </w:r>
      <w:r>
        <w:t>5</w:t>
      </w:r>
      <w:r w:rsidRPr="006337BD">
        <w:t>38.</w:t>
      </w:r>
    </w:p>
    <w:p w14:paraId="3EC8CF72" w14:textId="0AAA79B3" w:rsidR="00167BD4" w:rsidRDefault="001C3E66" w:rsidP="001C3E66">
      <w:pPr>
        <w:pStyle w:val="ListParagraph"/>
        <w:numPr>
          <w:ilvl w:val="0"/>
          <w:numId w:val="2"/>
        </w:numPr>
        <w:ind w:left="426" w:hanging="426"/>
      </w:pPr>
      <w:r w:rsidRPr="001C3E66">
        <w:t>Borgdorff H, Gautam R, Armstrong SD, Xia D, Ndayisaba GF, van Teijlingen NH,</w:t>
      </w:r>
      <w:r>
        <w:t xml:space="preserve"> et al</w:t>
      </w:r>
      <w:r w:rsidRPr="001C3E66">
        <w:t xml:space="preserve">. Cervicovaginal microbiome dysbiosis is associated with proteome changes related to immune activation and cell death. </w:t>
      </w:r>
      <w:r w:rsidRPr="001C3E66">
        <w:rPr>
          <w:i/>
        </w:rPr>
        <w:t>Mucosal Immunology</w:t>
      </w:r>
      <w:r>
        <w:t xml:space="preserve">. </w:t>
      </w:r>
      <w:r w:rsidRPr="001C3E66">
        <w:t>2015; doi:</w:t>
      </w:r>
      <w:r>
        <w:t xml:space="preserve"> 10.1038/mi.2015.86</w:t>
      </w:r>
      <w:r w:rsidRPr="001C3E66">
        <w:t xml:space="preserve"> [Epub ahead of print]</w:t>
      </w:r>
      <w:r>
        <w:t>.</w:t>
      </w:r>
    </w:p>
    <w:p w14:paraId="274B403B" w14:textId="77777777" w:rsidR="00711756" w:rsidRDefault="00167BD4" w:rsidP="00711756">
      <w:pPr>
        <w:pStyle w:val="ListParagraph"/>
        <w:numPr>
          <w:ilvl w:val="0"/>
          <w:numId w:val="2"/>
        </w:numPr>
        <w:ind w:left="426" w:hanging="426"/>
      </w:pPr>
      <w:r w:rsidRPr="00167BD4">
        <w:t xml:space="preserve">van de Wijgert JH, Verwijs MC, Norris Turner A, Morrison CS. Hormonal contraception decreases bacterial vaginosis but oral contraception may increase candidiasis: implications for HIV transmission. </w:t>
      </w:r>
      <w:r w:rsidRPr="001C3E66">
        <w:rPr>
          <w:i/>
        </w:rPr>
        <w:t>AIDS</w:t>
      </w:r>
      <w:r w:rsidR="001C3E66">
        <w:t>.</w:t>
      </w:r>
      <w:r w:rsidRPr="00167BD4">
        <w:t xml:space="preserve"> 2013; </w:t>
      </w:r>
      <w:r w:rsidRPr="001C3E66">
        <w:rPr>
          <w:b/>
        </w:rPr>
        <w:t>27</w:t>
      </w:r>
      <w:r w:rsidRPr="00167BD4">
        <w:t>:2141-2153.</w:t>
      </w:r>
    </w:p>
    <w:p w14:paraId="274A38DD" w14:textId="47C4529F" w:rsidR="005C4FE0" w:rsidRPr="005C4FE0" w:rsidRDefault="003369AD" w:rsidP="003D289F">
      <w:pPr>
        <w:pStyle w:val="ListParagraph"/>
        <w:numPr>
          <w:ilvl w:val="0"/>
          <w:numId w:val="2"/>
        </w:numPr>
        <w:ind w:left="426" w:hanging="426"/>
      </w:pPr>
      <w:r w:rsidRPr="003369AD">
        <w:t>Baeten J, Grant R. Use</w:t>
      </w:r>
      <w:r>
        <w:t xml:space="preserve"> of antiretrovirals for HIV prevention: what do we know and what don’t we know?</w:t>
      </w:r>
      <w:r w:rsidR="00711756">
        <w:t xml:space="preserve"> </w:t>
      </w:r>
      <w:r w:rsidR="00711756" w:rsidRPr="00711756">
        <w:rPr>
          <w:i/>
        </w:rPr>
        <w:t>Curr HIV/AIDS Rep</w:t>
      </w:r>
      <w:r w:rsidR="00711756">
        <w:t xml:space="preserve">. 2013; </w:t>
      </w:r>
      <w:r w:rsidR="00711756" w:rsidRPr="00711756">
        <w:rPr>
          <w:b/>
        </w:rPr>
        <w:t>10</w:t>
      </w:r>
      <w:r w:rsidR="00711756" w:rsidRPr="00711756">
        <w:t>: 142–151.</w:t>
      </w:r>
      <w:r w:rsidR="00156BB4" w:rsidRPr="005C4FE0">
        <w:rPr>
          <w:rFonts w:cs="Times New Roman"/>
          <w:color w:val="000000"/>
        </w:rPr>
        <w:t xml:space="preserve"> </w:t>
      </w:r>
    </w:p>
    <w:p w14:paraId="4DE3944A" w14:textId="2E95DD65" w:rsidR="005C4FE0" w:rsidRPr="00435B88" w:rsidRDefault="00156BB4" w:rsidP="005C4FE0">
      <w:pPr>
        <w:pStyle w:val="ListParagraph"/>
        <w:numPr>
          <w:ilvl w:val="0"/>
          <w:numId w:val="2"/>
        </w:numPr>
        <w:ind w:left="426" w:hanging="426"/>
      </w:pPr>
      <w:r w:rsidRPr="005C4FE0">
        <w:rPr>
          <w:rFonts w:cs="Times New Roman"/>
          <w:color w:val="000000"/>
        </w:rPr>
        <w:t xml:space="preserve">Karim SS, Kashuba AD, Werner L, Karim QA. Drug concentrations after topical and oral antiretroviral pre-exposure prophylaxis: implications for HIV prevention in women. </w:t>
      </w:r>
      <w:r w:rsidRPr="001C3E66">
        <w:rPr>
          <w:rFonts w:cs="Times New Roman"/>
          <w:i/>
          <w:color w:val="000000"/>
        </w:rPr>
        <w:t>Lancet</w:t>
      </w:r>
      <w:r w:rsidRPr="005C4FE0">
        <w:rPr>
          <w:rFonts w:cs="Times New Roman"/>
          <w:color w:val="000000"/>
        </w:rPr>
        <w:t xml:space="preserve">. 2011; </w:t>
      </w:r>
      <w:r w:rsidRPr="001C3E66">
        <w:rPr>
          <w:rFonts w:cs="Times New Roman"/>
          <w:b/>
          <w:color w:val="000000"/>
        </w:rPr>
        <w:t>378</w:t>
      </w:r>
      <w:r w:rsidR="001C3E66">
        <w:rPr>
          <w:rFonts w:cs="Times New Roman"/>
          <w:color w:val="000000"/>
        </w:rPr>
        <w:t>:279–281.</w:t>
      </w:r>
    </w:p>
    <w:p w14:paraId="6C19491D" w14:textId="77777777" w:rsidR="00CB26A5" w:rsidRDefault="00435B88" w:rsidP="00CB26A5">
      <w:pPr>
        <w:pStyle w:val="ListParagraph"/>
        <w:numPr>
          <w:ilvl w:val="0"/>
          <w:numId w:val="2"/>
        </w:numPr>
        <w:ind w:left="426" w:hanging="426"/>
      </w:pPr>
      <w:r w:rsidRPr="00831820">
        <w:t>Abdool Karim</w:t>
      </w:r>
      <w:r>
        <w:t xml:space="preserve"> SS</w:t>
      </w:r>
      <w:r w:rsidRPr="00831820">
        <w:t>, Abdool Karim</w:t>
      </w:r>
      <w:r>
        <w:t xml:space="preserve"> Q</w:t>
      </w:r>
      <w:r w:rsidRPr="00831820">
        <w:t>, Kharsany</w:t>
      </w:r>
      <w:r>
        <w:t xml:space="preserve"> ABM,</w:t>
      </w:r>
      <w:r w:rsidRPr="00831820">
        <w:t xml:space="preserve"> Baxter</w:t>
      </w:r>
      <w:r>
        <w:t xml:space="preserve"> C, </w:t>
      </w:r>
      <w:r w:rsidRPr="00831820">
        <w:t>Grobler</w:t>
      </w:r>
      <w:r>
        <w:t xml:space="preserve"> AC, Werner L</w:t>
      </w:r>
      <w:r w:rsidRPr="00831820">
        <w:t>,</w:t>
      </w:r>
      <w:r>
        <w:t xml:space="preserve"> et al. Tenofovir gel for the p</w:t>
      </w:r>
      <w:r w:rsidRPr="00831820">
        <w:t xml:space="preserve">revention </w:t>
      </w:r>
      <w:r>
        <w:t>of Herpes Simplex Virus Type 2 i</w:t>
      </w:r>
      <w:r w:rsidRPr="00831820">
        <w:t>nfection</w:t>
      </w:r>
      <w:r>
        <w:t xml:space="preserve">. </w:t>
      </w:r>
      <w:r w:rsidRPr="00831820">
        <w:rPr>
          <w:i/>
        </w:rPr>
        <w:t>N Engl J Med</w:t>
      </w:r>
      <w:r>
        <w:t xml:space="preserve">. 2015; </w:t>
      </w:r>
      <w:r w:rsidRPr="00831820">
        <w:rPr>
          <w:b/>
        </w:rPr>
        <w:t>373</w:t>
      </w:r>
      <w:r>
        <w:t>:</w:t>
      </w:r>
      <w:r w:rsidRPr="00831820">
        <w:t>530–539.</w:t>
      </w:r>
    </w:p>
    <w:p w14:paraId="435E63B5" w14:textId="2116D8DF" w:rsidR="00CB26A5" w:rsidRPr="005C4FE0" w:rsidRDefault="00CB26A5" w:rsidP="00CB26A5">
      <w:pPr>
        <w:pStyle w:val="ListParagraph"/>
        <w:numPr>
          <w:ilvl w:val="0"/>
          <w:numId w:val="2"/>
        </w:numPr>
        <w:ind w:left="426" w:hanging="426"/>
      </w:pPr>
      <w:r>
        <w:t>Herold BC, Chen BA, Salata RA, Marzinke MA, Kelly CW, Dezzutti CS</w:t>
      </w:r>
      <w:r w:rsidRPr="00CB26A5">
        <w:t>,</w:t>
      </w:r>
      <w:r>
        <w:t xml:space="preserve"> et al</w:t>
      </w:r>
      <w:r w:rsidRPr="00CB26A5">
        <w:t>.</w:t>
      </w:r>
      <w:r>
        <w:t xml:space="preserve"> Impact of sex on the pharmacokinetics and pharmacodynamics of 1% tenofovir gel. </w:t>
      </w:r>
      <w:r w:rsidRPr="00CB26A5">
        <w:rPr>
          <w:i/>
        </w:rPr>
        <w:t>Clin Infect Dis</w:t>
      </w:r>
      <w:r>
        <w:t xml:space="preserve">. </w:t>
      </w:r>
      <w:r w:rsidRPr="00CB26A5">
        <w:t>2016;</w:t>
      </w:r>
      <w:r>
        <w:t xml:space="preserve"> </w:t>
      </w:r>
      <w:r w:rsidRPr="00CB26A5">
        <w:rPr>
          <w:b/>
        </w:rPr>
        <w:t>62</w:t>
      </w:r>
      <w:r w:rsidRPr="00CB26A5">
        <w:t>:375–</w:t>
      </w:r>
      <w:r>
        <w:t>3</w:t>
      </w:r>
      <w:r w:rsidRPr="00CB26A5">
        <w:t>82</w:t>
      </w:r>
      <w:r>
        <w:t>.</w:t>
      </w:r>
    </w:p>
    <w:p w14:paraId="4C47751E" w14:textId="5ABF4D88" w:rsidR="005C4FE0" w:rsidRPr="005C4FE0" w:rsidRDefault="001C3E66" w:rsidP="005C4FE0">
      <w:pPr>
        <w:pStyle w:val="ListParagraph"/>
        <w:numPr>
          <w:ilvl w:val="0"/>
          <w:numId w:val="2"/>
        </w:numPr>
        <w:ind w:left="426" w:hanging="426"/>
      </w:pPr>
      <w:r>
        <w:t>Dai JY, Hendrix CW, Richardson BA, Kelly C, Marzinke M, Chirenje ZM</w:t>
      </w:r>
      <w:r w:rsidR="00965949" w:rsidRPr="005C4FE0">
        <w:t>,</w:t>
      </w:r>
      <w:r>
        <w:t xml:space="preserve"> et al</w:t>
      </w:r>
      <w:r w:rsidR="00965949" w:rsidRPr="005C4FE0">
        <w:t xml:space="preserve">. </w:t>
      </w:r>
      <w:r>
        <w:t>Pharmacological measures of treatment adherence and risk of HIV infection in the VOICE s</w:t>
      </w:r>
      <w:r w:rsidR="00965949" w:rsidRPr="005C4FE0">
        <w:t xml:space="preserve">tudy. </w:t>
      </w:r>
      <w:r w:rsidR="00965949" w:rsidRPr="001C3E66">
        <w:rPr>
          <w:i/>
        </w:rPr>
        <w:t>J Infect Dis</w:t>
      </w:r>
      <w:r>
        <w:t>. 2016</w:t>
      </w:r>
      <w:r w:rsidR="00965949" w:rsidRPr="005C4FE0">
        <w:t>;</w:t>
      </w:r>
      <w:r>
        <w:t xml:space="preserve"> </w:t>
      </w:r>
      <w:r w:rsidRPr="001C3E66">
        <w:rPr>
          <w:b/>
        </w:rPr>
        <w:t>213</w:t>
      </w:r>
      <w:r w:rsidR="00965949" w:rsidRPr="005C4FE0">
        <w:t>:335-</w:t>
      </w:r>
      <w:r>
        <w:t>342.</w:t>
      </w:r>
    </w:p>
    <w:p w14:paraId="4554553A" w14:textId="77777777" w:rsidR="00831820" w:rsidRDefault="00271777" w:rsidP="00831820">
      <w:pPr>
        <w:pStyle w:val="ListParagraph"/>
        <w:numPr>
          <w:ilvl w:val="0"/>
          <w:numId w:val="2"/>
        </w:numPr>
        <w:ind w:left="426" w:hanging="426"/>
      </w:pPr>
      <w:r w:rsidRPr="005C4FE0">
        <w:t xml:space="preserve">Marrazzo J, Rabe L, Kelly C, </w:t>
      </w:r>
      <w:r w:rsidR="002A24FD">
        <w:t xml:space="preserve">Edward L, Chirenje ZM, Richardson B, </w:t>
      </w:r>
      <w:r w:rsidRPr="005C4FE0">
        <w:t xml:space="preserve">et al. Association of tenofovir (TFV) detection with reduced risk </w:t>
      </w:r>
      <w:r w:rsidR="001C3E66">
        <w:t xml:space="preserve">of herpes simplex virus type-2 (HSV-2) </w:t>
      </w:r>
      <w:r w:rsidRPr="005C4FE0">
        <w:t>acquisition in the VOICE (MTN 003) study. Presented at: HIV Research for Prevention, Cape Town, South Africa, 28–31 October 2014.</w:t>
      </w:r>
    </w:p>
    <w:p w14:paraId="5EEE158D" w14:textId="1AD17A9A" w:rsidR="00537DF1" w:rsidRPr="005C4FE0" w:rsidRDefault="00537DF1" w:rsidP="00271777">
      <w:pPr>
        <w:widowControl/>
        <w:spacing w:after="160" w:line="259" w:lineRule="auto"/>
      </w:pPr>
      <w:r w:rsidRPr="005C4FE0">
        <w:br w:type="page"/>
      </w:r>
    </w:p>
    <w:p w14:paraId="0E45CD23" w14:textId="3BE3D907" w:rsidR="004105C2" w:rsidRPr="00C91DB4" w:rsidRDefault="004105C2" w:rsidP="005C4FE0">
      <w:pPr>
        <w:ind w:left="851" w:hanging="851"/>
        <w:rPr>
          <w:b/>
        </w:rPr>
      </w:pPr>
      <w:r w:rsidRPr="00C91DB4">
        <w:rPr>
          <w:b/>
        </w:rPr>
        <w:lastRenderedPageBreak/>
        <w:t>Table 1</w:t>
      </w:r>
      <w:r w:rsidR="005C4FE0">
        <w:rPr>
          <w:b/>
        </w:rPr>
        <w:t>.</w:t>
      </w:r>
      <w:r w:rsidR="005C4FE0">
        <w:rPr>
          <w:b/>
        </w:rPr>
        <w:tab/>
        <w:t>TDF PrEP HIV and HSV-2 efficacy by study and by vaginal microbiota status</w:t>
      </w:r>
    </w:p>
    <w:p w14:paraId="3D357FEF" w14:textId="77777777" w:rsidR="00C91DB4" w:rsidRDefault="00C91DB4" w:rsidP="004105C2"/>
    <w:tbl>
      <w:tblPr>
        <w:tblStyle w:val="TableGrid"/>
        <w:tblW w:w="9351" w:type="dxa"/>
        <w:tblLook w:val="04A0" w:firstRow="1" w:lastRow="0" w:firstColumn="1" w:lastColumn="0" w:noHBand="0" w:noVBand="1"/>
      </w:tblPr>
      <w:tblGrid>
        <w:gridCol w:w="2213"/>
        <w:gridCol w:w="1027"/>
        <w:gridCol w:w="2142"/>
        <w:gridCol w:w="2126"/>
        <w:gridCol w:w="1843"/>
      </w:tblGrid>
      <w:tr w:rsidR="00324BE3" w14:paraId="44F55E6B" w14:textId="77777777" w:rsidTr="005C4FE0">
        <w:tc>
          <w:tcPr>
            <w:tcW w:w="2213" w:type="dxa"/>
          </w:tcPr>
          <w:p w14:paraId="59278627" w14:textId="5D937359" w:rsidR="00324BE3" w:rsidRPr="00C91DB4" w:rsidRDefault="00324BE3" w:rsidP="004105C2">
            <w:pPr>
              <w:rPr>
                <w:b/>
              </w:rPr>
            </w:pPr>
            <w:r w:rsidRPr="00C91DB4">
              <w:rPr>
                <w:b/>
              </w:rPr>
              <w:t>Study</w:t>
            </w:r>
            <w:r w:rsidR="00272B94">
              <w:rPr>
                <w:b/>
              </w:rPr>
              <w:t xml:space="preserve"> and endpoint</w:t>
            </w:r>
          </w:p>
        </w:tc>
        <w:tc>
          <w:tcPr>
            <w:tcW w:w="1027" w:type="dxa"/>
          </w:tcPr>
          <w:p w14:paraId="5C526B65" w14:textId="703242CC" w:rsidR="00324BE3" w:rsidRPr="00C91DB4" w:rsidRDefault="00C91DB4" w:rsidP="00272B94">
            <w:pPr>
              <w:jc w:val="center"/>
              <w:rPr>
                <w:b/>
              </w:rPr>
            </w:pPr>
            <w:r w:rsidRPr="00C91DB4">
              <w:rPr>
                <w:b/>
              </w:rPr>
              <w:t xml:space="preserve">Women </w:t>
            </w:r>
            <w:r w:rsidR="00324BE3" w:rsidRPr="00C91DB4">
              <w:rPr>
                <w:b/>
              </w:rPr>
              <w:t>analysed</w:t>
            </w:r>
          </w:p>
        </w:tc>
        <w:tc>
          <w:tcPr>
            <w:tcW w:w="2142" w:type="dxa"/>
          </w:tcPr>
          <w:p w14:paraId="2763757B" w14:textId="77777777" w:rsidR="00D407DF" w:rsidRDefault="00C91DB4" w:rsidP="00272B94">
            <w:pPr>
              <w:jc w:val="center"/>
              <w:rPr>
                <w:b/>
              </w:rPr>
            </w:pPr>
            <w:r>
              <w:rPr>
                <w:b/>
              </w:rPr>
              <w:t>I</w:t>
            </w:r>
            <w:r w:rsidR="00324BE3" w:rsidRPr="00C91DB4">
              <w:rPr>
                <w:b/>
              </w:rPr>
              <w:t xml:space="preserve">nc/100 pyrs </w:t>
            </w:r>
          </w:p>
          <w:p w14:paraId="60EEEABD" w14:textId="2D9EA901" w:rsidR="00324BE3" w:rsidRPr="00C91DB4" w:rsidRDefault="00324BE3" w:rsidP="00272B94">
            <w:pPr>
              <w:jc w:val="center"/>
              <w:rPr>
                <w:b/>
              </w:rPr>
            </w:pPr>
            <w:r w:rsidRPr="00C91DB4">
              <w:rPr>
                <w:b/>
              </w:rPr>
              <w:t>control group</w:t>
            </w:r>
          </w:p>
        </w:tc>
        <w:tc>
          <w:tcPr>
            <w:tcW w:w="2126" w:type="dxa"/>
          </w:tcPr>
          <w:p w14:paraId="61CA2A52" w14:textId="5FB77FCC" w:rsidR="00324BE3" w:rsidRPr="00C91DB4" w:rsidRDefault="00C91DB4" w:rsidP="00272B94">
            <w:pPr>
              <w:jc w:val="center"/>
              <w:rPr>
                <w:b/>
              </w:rPr>
            </w:pPr>
            <w:r>
              <w:rPr>
                <w:b/>
              </w:rPr>
              <w:t>I</w:t>
            </w:r>
            <w:r w:rsidR="00324BE3" w:rsidRPr="00C91DB4">
              <w:rPr>
                <w:b/>
              </w:rPr>
              <w:t>nc/100 pyrs</w:t>
            </w:r>
            <w:r w:rsidR="005C69FD">
              <w:rPr>
                <w:b/>
              </w:rPr>
              <w:t xml:space="preserve"> TDF group</w:t>
            </w:r>
          </w:p>
        </w:tc>
        <w:tc>
          <w:tcPr>
            <w:tcW w:w="1843" w:type="dxa"/>
          </w:tcPr>
          <w:p w14:paraId="21075F60" w14:textId="32DF182F" w:rsidR="00C91DB4" w:rsidRPr="00C91DB4" w:rsidRDefault="00A33B41" w:rsidP="00272B94">
            <w:pPr>
              <w:jc w:val="center"/>
              <w:rPr>
                <w:b/>
              </w:rPr>
            </w:pPr>
            <w:r>
              <w:rPr>
                <w:b/>
              </w:rPr>
              <w:t>TDF</w:t>
            </w:r>
            <w:r w:rsidR="00324BE3" w:rsidRPr="00C91DB4">
              <w:rPr>
                <w:b/>
              </w:rPr>
              <w:t xml:space="preserve"> e</w:t>
            </w:r>
            <w:r w:rsidR="00C91DB4" w:rsidRPr="00C91DB4">
              <w:rPr>
                <w:b/>
              </w:rPr>
              <w:t>fficacy</w:t>
            </w:r>
          </w:p>
          <w:p w14:paraId="48B047D3" w14:textId="32E2ADE2" w:rsidR="00324BE3" w:rsidRPr="00C91DB4" w:rsidRDefault="00C91DB4" w:rsidP="00272B94">
            <w:pPr>
              <w:jc w:val="center"/>
              <w:rPr>
                <w:b/>
              </w:rPr>
            </w:pPr>
            <w:r w:rsidRPr="00C91DB4">
              <w:rPr>
                <w:b/>
              </w:rPr>
              <w:t>(95% CI</w:t>
            </w:r>
            <w:r w:rsidR="00324BE3" w:rsidRPr="00C91DB4">
              <w:rPr>
                <w:b/>
              </w:rPr>
              <w:t>)</w:t>
            </w:r>
          </w:p>
        </w:tc>
      </w:tr>
      <w:tr w:rsidR="00324BE3" w14:paraId="213B6A98" w14:textId="77777777" w:rsidTr="005C4FE0">
        <w:tc>
          <w:tcPr>
            <w:tcW w:w="2213" w:type="dxa"/>
            <w:vAlign w:val="center"/>
          </w:tcPr>
          <w:p w14:paraId="143408A3" w14:textId="5D56F7A4" w:rsidR="00324BE3" w:rsidRDefault="00324BE3" w:rsidP="00D407DF">
            <w:r>
              <w:t>Partners PrEP overall</w:t>
            </w:r>
            <w:r w:rsidR="00C91DB4">
              <w:t xml:space="preserve"> </w:t>
            </w:r>
            <w:r w:rsidR="005C69FD">
              <w:t>–</w:t>
            </w:r>
            <w:r w:rsidR="00C91DB4">
              <w:t xml:space="preserve"> HIV</w:t>
            </w:r>
            <w:r w:rsidR="005C69FD" w:rsidRPr="005C69FD">
              <w:rPr>
                <w:vertAlign w:val="superscript"/>
              </w:rPr>
              <w:t>1</w:t>
            </w:r>
          </w:p>
        </w:tc>
        <w:tc>
          <w:tcPr>
            <w:tcW w:w="1027" w:type="dxa"/>
            <w:vAlign w:val="center"/>
          </w:tcPr>
          <w:p w14:paraId="2B3C1FEC" w14:textId="6571678D" w:rsidR="00324BE3" w:rsidRDefault="001B4BDB" w:rsidP="00D407DF">
            <w:pPr>
              <w:jc w:val="center"/>
            </w:pPr>
            <w:r>
              <w:t>1,780</w:t>
            </w:r>
          </w:p>
        </w:tc>
        <w:tc>
          <w:tcPr>
            <w:tcW w:w="2142" w:type="dxa"/>
            <w:vAlign w:val="center"/>
          </w:tcPr>
          <w:p w14:paraId="3CA157E2" w14:textId="75A0E0EA" w:rsidR="00324BE3" w:rsidRDefault="001B4BDB" w:rsidP="00D407DF">
            <w:pPr>
              <w:jc w:val="center"/>
            </w:pPr>
            <w:r>
              <w:t>2.8</w:t>
            </w:r>
          </w:p>
        </w:tc>
        <w:tc>
          <w:tcPr>
            <w:tcW w:w="2126" w:type="dxa"/>
            <w:vAlign w:val="center"/>
          </w:tcPr>
          <w:p w14:paraId="115A5371" w14:textId="5EC0F65D" w:rsidR="00324BE3" w:rsidRDefault="001B4BDB" w:rsidP="00D407DF">
            <w:pPr>
              <w:jc w:val="center"/>
            </w:pPr>
            <w:r>
              <w:t>0.9</w:t>
            </w:r>
          </w:p>
        </w:tc>
        <w:tc>
          <w:tcPr>
            <w:tcW w:w="1843" w:type="dxa"/>
            <w:vAlign w:val="center"/>
          </w:tcPr>
          <w:p w14:paraId="14B546F4" w14:textId="23C68147" w:rsidR="00324BE3" w:rsidRDefault="00324BE3" w:rsidP="00D407DF">
            <w:pPr>
              <w:jc w:val="center"/>
            </w:pPr>
            <w:r>
              <w:t>71% (37-87%)</w:t>
            </w:r>
          </w:p>
        </w:tc>
      </w:tr>
      <w:tr w:rsidR="00324BE3" w14:paraId="556E934E" w14:textId="77777777" w:rsidTr="005C4FE0">
        <w:tc>
          <w:tcPr>
            <w:tcW w:w="2213" w:type="dxa"/>
            <w:vAlign w:val="center"/>
          </w:tcPr>
          <w:p w14:paraId="76B685A6" w14:textId="5018773E" w:rsidR="00324BE3" w:rsidRDefault="00324BE3" w:rsidP="00D407DF">
            <w:r>
              <w:t>Partners PrEP subanalysis</w:t>
            </w:r>
            <w:r w:rsidR="00B83C35">
              <w:t xml:space="preserve"> – </w:t>
            </w:r>
            <w:r w:rsidR="00C91DB4">
              <w:t>HIV</w:t>
            </w:r>
            <w:r w:rsidR="005C69FD" w:rsidRPr="005C69FD">
              <w:rPr>
                <w:vertAlign w:val="superscript"/>
              </w:rPr>
              <w:t>1</w:t>
            </w:r>
          </w:p>
        </w:tc>
        <w:tc>
          <w:tcPr>
            <w:tcW w:w="1027" w:type="dxa"/>
            <w:vAlign w:val="center"/>
          </w:tcPr>
          <w:p w14:paraId="533225BE" w14:textId="020BF5FC" w:rsidR="00324BE3" w:rsidRDefault="00324BE3" w:rsidP="00D407DF">
            <w:pPr>
              <w:jc w:val="center"/>
            </w:pPr>
            <w:r>
              <w:t>1,470</w:t>
            </w:r>
          </w:p>
        </w:tc>
        <w:tc>
          <w:tcPr>
            <w:tcW w:w="2142" w:type="dxa"/>
            <w:vAlign w:val="center"/>
          </w:tcPr>
          <w:p w14:paraId="45DECE5A" w14:textId="1127E1B9" w:rsidR="00324BE3" w:rsidRDefault="00324BE3" w:rsidP="00D407DF">
            <w:pPr>
              <w:jc w:val="center"/>
            </w:pPr>
            <w:r>
              <w:t>2.8</w:t>
            </w:r>
          </w:p>
        </w:tc>
        <w:tc>
          <w:tcPr>
            <w:tcW w:w="2126" w:type="dxa"/>
            <w:vAlign w:val="center"/>
          </w:tcPr>
          <w:p w14:paraId="19259A91" w14:textId="420B22F0" w:rsidR="00324BE3" w:rsidRDefault="00324BE3" w:rsidP="00D407DF">
            <w:pPr>
              <w:jc w:val="center"/>
            </w:pPr>
            <w:r>
              <w:t>0.9</w:t>
            </w:r>
          </w:p>
        </w:tc>
        <w:tc>
          <w:tcPr>
            <w:tcW w:w="1843" w:type="dxa"/>
            <w:vAlign w:val="center"/>
          </w:tcPr>
          <w:p w14:paraId="0F9F34DB" w14:textId="1965338C" w:rsidR="00324BE3" w:rsidRDefault="00612B18" w:rsidP="00D407DF">
            <w:pPr>
              <w:jc w:val="center"/>
            </w:pPr>
            <w:r>
              <w:t>70</w:t>
            </w:r>
            <w:r w:rsidR="00324BE3">
              <w:t>% (45-84%)</w:t>
            </w:r>
          </w:p>
        </w:tc>
      </w:tr>
      <w:tr w:rsidR="00C91DB4" w14:paraId="7D6C95CB" w14:textId="77777777" w:rsidTr="005C4FE0">
        <w:tc>
          <w:tcPr>
            <w:tcW w:w="2213" w:type="dxa"/>
            <w:vAlign w:val="center"/>
          </w:tcPr>
          <w:p w14:paraId="04077263" w14:textId="77777777" w:rsidR="005C69FD" w:rsidRDefault="00C91DB4" w:rsidP="00D407DF">
            <w:r>
              <w:t xml:space="preserve">CAPRISA 004 overall </w:t>
            </w:r>
          </w:p>
          <w:p w14:paraId="635868EE" w14:textId="2CBBF624" w:rsidR="00C91DB4" w:rsidRDefault="005C69FD" w:rsidP="00D407DF">
            <w:r>
              <w:t>–</w:t>
            </w:r>
            <w:r w:rsidR="00C91DB4">
              <w:t xml:space="preserve"> HIV</w:t>
            </w:r>
            <w:r w:rsidRPr="005C69FD">
              <w:rPr>
                <w:vertAlign w:val="superscript"/>
              </w:rPr>
              <w:t>2</w:t>
            </w:r>
          </w:p>
        </w:tc>
        <w:tc>
          <w:tcPr>
            <w:tcW w:w="1027" w:type="dxa"/>
            <w:vAlign w:val="center"/>
          </w:tcPr>
          <w:p w14:paraId="51BE63E7" w14:textId="22888772" w:rsidR="00C91DB4" w:rsidRDefault="00DB1E81" w:rsidP="00D407DF">
            <w:pPr>
              <w:jc w:val="center"/>
            </w:pPr>
            <w:r>
              <w:t>889</w:t>
            </w:r>
          </w:p>
        </w:tc>
        <w:tc>
          <w:tcPr>
            <w:tcW w:w="2142" w:type="dxa"/>
            <w:vAlign w:val="center"/>
          </w:tcPr>
          <w:p w14:paraId="100B6EE9" w14:textId="7F1F2848" w:rsidR="00C91DB4" w:rsidRDefault="00DB1E81" w:rsidP="00D407DF">
            <w:pPr>
              <w:jc w:val="center"/>
            </w:pPr>
            <w:r>
              <w:t>9.1</w:t>
            </w:r>
          </w:p>
        </w:tc>
        <w:tc>
          <w:tcPr>
            <w:tcW w:w="2126" w:type="dxa"/>
            <w:vAlign w:val="center"/>
          </w:tcPr>
          <w:p w14:paraId="21AA99E4" w14:textId="69595115" w:rsidR="00C91DB4" w:rsidRDefault="00DB1E81" w:rsidP="00D407DF">
            <w:pPr>
              <w:jc w:val="center"/>
            </w:pPr>
            <w:r>
              <w:t>5.6</w:t>
            </w:r>
          </w:p>
        </w:tc>
        <w:tc>
          <w:tcPr>
            <w:tcW w:w="1843" w:type="dxa"/>
            <w:vAlign w:val="center"/>
          </w:tcPr>
          <w:p w14:paraId="28DE90FA" w14:textId="4609F03C" w:rsidR="00C91DB4" w:rsidRDefault="007255D0" w:rsidP="00D407DF">
            <w:pPr>
              <w:jc w:val="center"/>
            </w:pPr>
            <w:r>
              <w:t>39% (6-60%)</w:t>
            </w:r>
          </w:p>
        </w:tc>
        <w:bookmarkStart w:id="0" w:name="_GoBack"/>
        <w:bookmarkEnd w:id="0"/>
      </w:tr>
      <w:tr w:rsidR="00C91DB4" w14:paraId="64E404A9" w14:textId="77777777" w:rsidTr="005C4FE0">
        <w:tc>
          <w:tcPr>
            <w:tcW w:w="2213" w:type="dxa"/>
            <w:vAlign w:val="center"/>
          </w:tcPr>
          <w:p w14:paraId="5372D353" w14:textId="74E78C1B" w:rsidR="00C91DB4" w:rsidRDefault="00C91DB4" w:rsidP="00D407DF">
            <w:r>
              <w:t xml:space="preserve">CAPRISA 004 subanalysis </w:t>
            </w:r>
            <w:r w:rsidR="005C69FD">
              <w:t>–</w:t>
            </w:r>
            <w:r>
              <w:t xml:space="preserve"> HIV</w:t>
            </w:r>
            <w:r w:rsidR="005C69FD" w:rsidRPr="005C69FD">
              <w:rPr>
                <w:vertAlign w:val="superscript"/>
              </w:rPr>
              <w:t>2</w:t>
            </w:r>
          </w:p>
        </w:tc>
        <w:tc>
          <w:tcPr>
            <w:tcW w:w="1027" w:type="dxa"/>
            <w:vAlign w:val="center"/>
          </w:tcPr>
          <w:p w14:paraId="7721FE2D" w14:textId="09DE5D42" w:rsidR="00C91DB4" w:rsidRDefault="005E2808" w:rsidP="00D407DF">
            <w:pPr>
              <w:jc w:val="center"/>
            </w:pPr>
            <w:r>
              <w:t>688</w:t>
            </w:r>
          </w:p>
        </w:tc>
        <w:tc>
          <w:tcPr>
            <w:tcW w:w="2142" w:type="dxa"/>
            <w:vAlign w:val="center"/>
          </w:tcPr>
          <w:p w14:paraId="6E20FB2E" w14:textId="67E33089" w:rsidR="00C91DB4" w:rsidRDefault="00D407DF" w:rsidP="00D407DF">
            <w:pPr>
              <w:jc w:val="center"/>
            </w:pPr>
            <w:r>
              <w:t>7.3</w:t>
            </w:r>
          </w:p>
        </w:tc>
        <w:tc>
          <w:tcPr>
            <w:tcW w:w="2126" w:type="dxa"/>
            <w:vAlign w:val="center"/>
          </w:tcPr>
          <w:p w14:paraId="02511737" w14:textId="3AC6637B" w:rsidR="00C91DB4" w:rsidRDefault="00D407DF" w:rsidP="00D407DF">
            <w:pPr>
              <w:jc w:val="center"/>
            </w:pPr>
            <w:r>
              <w:t>4.2</w:t>
            </w:r>
          </w:p>
        </w:tc>
        <w:tc>
          <w:tcPr>
            <w:tcW w:w="1843" w:type="dxa"/>
            <w:vAlign w:val="center"/>
          </w:tcPr>
          <w:p w14:paraId="7BF44410" w14:textId="11C9E338" w:rsidR="00C91DB4" w:rsidRDefault="00D407DF" w:rsidP="00D407DF">
            <w:pPr>
              <w:jc w:val="center"/>
            </w:pPr>
            <w:r>
              <w:t>57% (36-96%)</w:t>
            </w:r>
          </w:p>
        </w:tc>
      </w:tr>
      <w:tr w:rsidR="00C91DB4" w14:paraId="4848EBD9" w14:textId="77777777" w:rsidTr="005C4FE0">
        <w:tc>
          <w:tcPr>
            <w:tcW w:w="2213" w:type="dxa"/>
            <w:vAlign w:val="center"/>
          </w:tcPr>
          <w:p w14:paraId="2F341818" w14:textId="5152FCB9" w:rsidR="00C91DB4" w:rsidRDefault="00C91DB4" w:rsidP="00D407DF">
            <w:r>
              <w:t>CAPRISA 004 overall – HSV-2</w:t>
            </w:r>
            <w:r w:rsidR="00BA0C2B" w:rsidRPr="00BA0C2B">
              <w:rPr>
                <w:vertAlign w:val="superscript"/>
              </w:rPr>
              <w:t>2</w:t>
            </w:r>
          </w:p>
        </w:tc>
        <w:tc>
          <w:tcPr>
            <w:tcW w:w="1027" w:type="dxa"/>
            <w:vAlign w:val="center"/>
          </w:tcPr>
          <w:p w14:paraId="7C8D22C3" w14:textId="47B681A0" w:rsidR="00C91DB4" w:rsidRDefault="008F56DA" w:rsidP="00D407DF">
            <w:pPr>
              <w:jc w:val="center"/>
            </w:pPr>
            <w:r>
              <w:t>422</w:t>
            </w:r>
          </w:p>
        </w:tc>
        <w:tc>
          <w:tcPr>
            <w:tcW w:w="2142" w:type="dxa"/>
            <w:vAlign w:val="center"/>
          </w:tcPr>
          <w:p w14:paraId="4D7B8F12" w14:textId="521741E9" w:rsidR="00C91DB4" w:rsidRDefault="00627D65" w:rsidP="00D407DF">
            <w:pPr>
              <w:jc w:val="center"/>
            </w:pPr>
            <w:r>
              <w:t>21.0</w:t>
            </w:r>
          </w:p>
        </w:tc>
        <w:tc>
          <w:tcPr>
            <w:tcW w:w="2126" w:type="dxa"/>
            <w:vAlign w:val="center"/>
          </w:tcPr>
          <w:p w14:paraId="182C85AD" w14:textId="61486C92" w:rsidR="00C91DB4" w:rsidRDefault="00627D65" w:rsidP="0093150B">
            <w:pPr>
              <w:jc w:val="center"/>
            </w:pPr>
            <w:r>
              <w:t>10.2</w:t>
            </w:r>
          </w:p>
        </w:tc>
        <w:tc>
          <w:tcPr>
            <w:tcW w:w="1843" w:type="dxa"/>
            <w:vAlign w:val="center"/>
          </w:tcPr>
          <w:p w14:paraId="7F10F30B" w14:textId="2DEC73F6" w:rsidR="00C91DB4" w:rsidRDefault="00DB1E81" w:rsidP="00D407DF">
            <w:pPr>
              <w:jc w:val="center"/>
            </w:pPr>
            <w:r>
              <w:t>51% (</w:t>
            </w:r>
            <w:r w:rsidR="008F56DA">
              <w:t>23-70%)</w:t>
            </w:r>
          </w:p>
        </w:tc>
      </w:tr>
      <w:tr w:rsidR="00A33B41" w14:paraId="607AF6A7" w14:textId="77777777" w:rsidTr="005C4FE0">
        <w:tc>
          <w:tcPr>
            <w:tcW w:w="2213" w:type="dxa"/>
          </w:tcPr>
          <w:p w14:paraId="1521C590" w14:textId="55A37398" w:rsidR="00A33B41" w:rsidRPr="00A33B41" w:rsidRDefault="00A33B41" w:rsidP="004105C2">
            <w:pPr>
              <w:rPr>
                <w:b/>
              </w:rPr>
            </w:pPr>
            <w:r w:rsidRPr="00A33B41">
              <w:rPr>
                <w:b/>
              </w:rPr>
              <w:t>Study</w:t>
            </w:r>
            <w:r w:rsidR="00272B94">
              <w:rPr>
                <w:b/>
              </w:rPr>
              <w:t xml:space="preserve"> </w:t>
            </w:r>
            <w:r w:rsidR="00B83C35">
              <w:rPr>
                <w:b/>
              </w:rPr>
              <w:t xml:space="preserve">(subanalyses) </w:t>
            </w:r>
            <w:r w:rsidR="00272B94">
              <w:rPr>
                <w:b/>
              </w:rPr>
              <w:t>and endpoint</w:t>
            </w:r>
          </w:p>
        </w:tc>
        <w:tc>
          <w:tcPr>
            <w:tcW w:w="1027" w:type="dxa"/>
          </w:tcPr>
          <w:p w14:paraId="4BA4F2E6" w14:textId="719DE2B6" w:rsidR="00A33B41" w:rsidRPr="00A33B41" w:rsidRDefault="00A33B41" w:rsidP="00272B94">
            <w:pPr>
              <w:jc w:val="center"/>
              <w:rPr>
                <w:b/>
              </w:rPr>
            </w:pPr>
            <w:r w:rsidRPr="00A33B41">
              <w:rPr>
                <w:b/>
              </w:rPr>
              <w:t>Women analysed</w:t>
            </w:r>
          </w:p>
        </w:tc>
        <w:tc>
          <w:tcPr>
            <w:tcW w:w="2142" w:type="dxa"/>
          </w:tcPr>
          <w:p w14:paraId="120751FD" w14:textId="335FB647" w:rsidR="00A33B41" w:rsidRPr="00A33B41" w:rsidRDefault="00A33B41" w:rsidP="00272B94">
            <w:pPr>
              <w:jc w:val="center"/>
              <w:rPr>
                <w:b/>
              </w:rPr>
            </w:pPr>
            <w:r w:rsidRPr="00A33B41">
              <w:rPr>
                <w:b/>
              </w:rPr>
              <w:t xml:space="preserve">TDF efficacy </w:t>
            </w:r>
            <w:r w:rsidR="00272B94">
              <w:rPr>
                <w:b/>
              </w:rPr>
              <w:t xml:space="preserve">in </w:t>
            </w:r>
            <w:r w:rsidRPr="00A33B41">
              <w:rPr>
                <w:b/>
              </w:rPr>
              <w:t>lactobacilli-dominated (95% CI)</w:t>
            </w:r>
          </w:p>
        </w:tc>
        <w:tc>
          <w:tcPr>
            <w:tcW w:w="2126" w:type="dxa"/>
          </w:tcPr>
          <w:p w14:paraId="67D97B3B" w14:textId="79E08B25" w:rsidR="00A33B41" w:rsidRPr="00A33B41" w:rsidRDefault="00A33B41" w:rsidP="00272B94">
            <w:pPr>
              <w:jc w:val="center"/>
              <w:rPr>
                <w:b/>
              </w:rPr>
            </w:pPr>
            <w:r w:rsidRPr="00A33B41">
              <w:rPr>
                <w:b/>
              </w:rPr>
              <w:t>TDF efficacy</w:t>
            </w:r>
            <w:r w:rsidR="00272B94">
              <w:rPr>
                <w:b/>
              </w:rPr>
              <w:t xml:space="preserve"> in</w:t>
            </w:r>
          </w:p>
          <w:p w14:paraId="6130014E" w14:textId="7237D948" w:rsidR="00A33B41" w:rsidRPr="00A33B41" w:rsidRDefault="00A33B41" w:rsidP="00272B94">
            <w:pPr>
              <w:jc w:val="center"/>
              <w:rPr>
                <w:b/>
              </w:rPr>
            </w:pPr>
            <w:r w:rsidRPr="00A33B41">
              <w:rPr>
                <w:b/>
              </w:rPr>
              <w:t>intermediate</w:t>
            </w:r>
          </w:p>
          <w:p w14:paraId="3DE10C69" w14:textId="09AEF6EA" w:rsidR="00A33B41" w:rsidRPr="00A33B41" w:rsidRDefault="00A33B41" w:rsidP="00272B94">
            <w:pPr>
              <w:jc w:val="center"/>
              <w:rPr>
                <w:b/>
              </w:rPr>
            </w:pPr>
            <w:r w:rsidRPr="00A33B41">
              <w:rPr>
                <w:b/>
              </w:rPr>
              <w:t>(95% CI)</w:t>
            </w:r>
          </w:p>
        </w:tc>
        <w:tc>
          <w:tcPr>
            <w:tcW w:w="1843" w:type="dxa"/>
          </w:tcPr>
          <w:p w14:paraId="05E3B210" w14:textId="364703FA" w:rsidR="00A33B41" w:rsidRPr="00A33B41" w:rsidRDefault="00A33B41" w:rsidP="00272B94">
            <w:pPr>
              <w:jc w:val="center"/>
              <w:rPr>
                <w:b/>
              </w:rPr>
            </w:pPr>
            <w:r w:rsidRPr="00A33B41">
              <w:rPr>
                <w:b/>
              </w:rPr>
              <w:t>TDF efficacy</w:t>
            </w:r>
            <w:r w:rsidR="00272B94">
              <w:rPr>
                <w:b/>
              </w:rPr>
              <w:t xml:space="preserve"> in</w:t>
            </w:r>
          </w:p>
          <w:p w14:paraId="18431FDD" w14:textId="499E6B9E" w:rsidR="00A33B41" w:rsidRPr="00A33B41" w:rsidRDefault="00A33B41" w:rsidP="00272B94">
            <w:pPr>
              <w:jc w:val="center"/>
              <w:rPr>
                <w:b/>
              </w:rPr>
            </w:pPr>
            <w:r w:rsidRPr="00A33B41">
              <w:rPr>
                <w:b/>
              </w:rPr>
              <w:t>vaginal dysbiosis</w:t>
            </w:r>
          </w:p>
          <w:p w14:paraId="7DA5E624" w14:textId="622A253E" w:rsidR="00A33B41" w:rsidRPr="00A33B41" w:rsidRDefault="00A33B41" w:rsidP="00272B94">
            <w:pPr>
              <w:jc w:val="center"/>
              <w:rPr>
                <w:b/>
              </w:rPr>
            </w:pPr>
            <w:r w:rsidRPr="00A33B41">
              <w:rPr>
                <w:b/>
              </w:rPr>
              <w:t>(95% CI)</w:t>
            </w:r>
          </w:p>
        </w:tc>
      </w:tr>
      <w:tr w:rsidR="00A33B41" w14:paraId="0D1F3FE8" w14:textId="77777777" w:rsidTr="005C4FE0">
        <w:tc>
          <w:tcPr>
            <w:tcW w:w="2213" w:type="dxa"/>
          </w:tcPr>
          <w:p w14:paraId="648D113A" w14:textId="5C56F2A7" w:rsidR="00A33B41" w:rsidRDefault="00CE27DF" w:rsidP="004105C2">
            <w:r>
              <w:t>Partners PrEP – HIV</w:t>
            </w:r>
            <w:r w:rsidR="00BA0C2B">
              <w:rPr>
                <w:vertAlign w:val="superscript"/>
              </w:rPr>
              <w:t>3</w:t>
            </w:r>
          </w:p>
        </w:tc>
        <w:tc>
          <w:tcPr>
            <w:tcW w:w="1027" w:type="dxa"/>
            <w:vAlign w:val="center"/>
          </w:tcPr>
          <w:p w14:paraId="12DABFDB" w14:textId="54CD41D5" w:rsidR="00A33B41" w:rsidRDefault="00F80C70" w:rsidP="00D407DF">
            <w:pPr>
              <w:jc w:val="center"/>
            </w:pPr>
            <w:r>
              <w:t>1,470</w:t>
            </w:r>
          </w:p>
        </w:tc>
        <w:tc>
          <w:tcPr>
            <w:tcW w:w="2142" w:type="dxa"/>
            <w:vAlign w:val="center"/>
          </w:tcPr>
          <w:p w14:paraId="6CFEE99B" w14:textId="61637A31" w:rsidR="00A33B41" w:rsidRDefault="00CE27DF" w:rsidP="00D407DF">
            <w:pPr>
              <w:jc w:val="center"/>
            </w:pPr>
            <w:r>
              <w:t>77% (</w:t>
            </w:r>
            <w:r w:rsidR="00F80C70">
              <w:t>43-90%)</w:t>
            </w:r>
          </w:p>
        </w:tc>
        <w:tc>
          <w:tcPr>
            <w:tcW w:w="2126" w:type="dxa"/>
            <w:vAlign w:val="center"/>
          </w:tcPr>
          <w:p w14:paraId="0A54D03B" w14:textId="4053A6A2" w:rsidR="00A33B41" w:rsidRDefault="00CE27DF" w:rsidP="00D407DF">
            <w:pPr>
              <w:jc w:val="center"/>
            </w:pPr>
            <w:r>
              <w:t>63% (</w:t>
            </w:r>
            <w:r w:rsidR="00F80C70">
              <w:t>-67-92%)</w:t>
            </w:r>
          </w:p>
        </w:tc>
        <w:tc>
          <w:tcPr>
            <w:tcW w:w="1843" w:type="dxa"/>
            <w:vAlign w:val="center"/>
          </w:tcPr>
          <w:p w14:paraId="72C510B7" w14:textId="642C5FDA" w:rsidR="00A33B41" w:rsidRDefault="00CE27DF" w:rsidP="00D407DF">
            <w:pPr>
              <w:jc w:val="center"/>
            </w:pPr>
            <w:r>
              <w:t>73% (</w:t>
            </w:r>
            <w:r w:rsidR="00F80C70">
              <w:t>6-92%)</w:t>
            </w:r>
          </w:p>
        </w:tc>
      </w:tr>
      <w:tr w:rsidR="00A33B41" w14:paraId="08166975" w14:textId="77777777" w:rsidTr="005C4FE0">
        <w:tc>
          <w:tcPr>
            <w:tcW w:w="2213" w:type="dxa"/>
          </w:tcPr>
          <w:p w14:paraId="4BD2EE39" w14:textId="55B792E8" w:rsidR="00A33B41" w:rsidRDefault="00CE27DF" w:rsidP="004105C2">
            <w:r>
              <w:t xml:space="preserve">CAPRISA 004 </w:t>
            </w:r>
            <w:r w:rsidR="00E34449">
              <w:t>–</w:t>
            </w:r>
            <w:r>
              <w:t xml:space="preserve"> HIV</w:t>
            </w:r>
            <w:r w:rsidR="00BA0C2B">
              <w:rPr>
                <w:vertAlign w:val="superscript"/>
              </w:rPr>
              <w:t>4</w:t>
            </w:r>
          </w:p>
        </w:tc>
        <w:tc>
          <w:tcPr>
            <w:tcW w:w="1027" w:type="dxa"/>
            <w:vAlign w:val="center"/>
          </w:tcPr>
          <w:p w14:paraId="7609E303" w14:textId="0338EE8B" w:rsidR="00A33B41" w:rsidRDefault="0093150B" w:rsidP="00D407DF">
            <w:pPr>
              <w:jc w:val="center"/>
            </w:pPr>
            <w:r>
              <w:t>688</w:t>
            </w:r>
          </w:p>
        </w:tc>
        <w:tc>
          <w:tcPr>
            <w:tcW w:w="2142" w:type="dxa"/>
            <w:vAlign w:val="center"/>
          </w:tcPr>
          <w:p w14:paraId="7456CFEA" w14:textId="1AF72890" w:rsidR="00A33B41" w:rsidRDefault="007255D0" w:rsidP="00D407DF">
            <w:pPr>
              <w:jc w:val="center"/>
            </w:pPr>
            <w:r>
              <w:t>61% (</w:t>
            </w:r>
            <w:r w:rsidR="005E2808">
              <w:t>11-84%)</w:t>
            </w:r>
          </w:p>
        </w:tc>
        <w:tc>
          <w:tcPr>
            <w:tcW w:w="2126" w:type="dxa"/>
            <w:vAlign w:val="center"/>
          </w:tcPr>
          <w:p w14:paraId="41733E84" w14:textId="06521115" w:rsidR="00A33B41" w:rsidRDefault="007255D0" w:rsidP="00D407DF">
            <w:pPr>
              <w:jc w:val="center"/>
            </w:pPr>
            <w:r>
              <w:t>N/A</w:t>
            </w:r>
          </w:p>
        </w:tc>
        <w:tc>
          <w:tcPr>
            <w:tcW w:w="1843" w:type="dxa"/>
            <w:vAlign w:val="center"/>
          </w:tcPr>
          <w:p w14:paraId="7D322730" w14:textId="16DBE871" w:rsidR="00A33B41" w:rsidRDefault="007255D0" w:rsidP="00D407DF">
            <w:pPr>
              <w:jc w:val="center"/>
            </w:pPr>
            <w:r>
              <w:t>18% (</w:t>
            </w:r>
            <w:r w:rsidR="005E2808">
              <w:t>-77-63%)</w:t>
            </w:r>
          </w:p>
        </w:tc>
      </w:tr>
      <w:tr w:rsidR="00A33B41" w14:paraId="4EA1293A" w14:textId="77777777" w:rsidTr="00B83C35">
        <w:tc>
          <w:tcPr>
            <w:tcW w:w="2213" w:type="dxa"/>
            <w:vAlign w:val="center"/>
          </w:tcPr>
          <w:p w14:paraId="3A243490" w14:textId="509209DA" w:rsidR="000B2FA4" w:rsidRDefault="00CE27DF" w:rsidP="00B83C35">
            <w:r>
              <w:t>CAPRISA 004 – HSV-2</w:t>
            </w:r>
            <w:r w:rsidR="00BA0C2B">
              <w:rPr>
                <w:vertAlign w:val="superscript"/>
              </w:rPr>
              <w:t>4</w:t>
            </w:r>
          </w:p>
        </w:tc>
        <w:tc>
          <w:tcPr>
            <w:tcW w:w="1027" w:type="dxa"/>
            <w:vAlign w:val="center"/>
          </w:tcPr>
          <w:p w14:paraId="1A0144E4" w14:textId="7628C45F" w:rsidR="00A33B41" w:rsidRDefault="00B83C35" w:rsidP="00B83C35">
            <w:pPr>
              <w:jc w:val="center"/>
            </w:pPr>
            <w:r>
              <w:t>333</w:t>
            </w:r>
          </w:p>
        </w:tc>
        <w:tc>
          <w:tcPr>
            <w:tcW w:w="2142" w:type="dxa"/>
            <w:vAlign w:val="center"/>
          </w:tcPr>
          <w:p w14:paraId="77B97496" w14:textId="5DEAB3A9" w:rsidR="00F011EF" w:rsidRDefault="00F011EF" w:rsidP="00F011EF">
            <w:pPr>
              <w:jc w:val="center"/>
            </w:pPr>
            <w:r>
              <w:t>Cumulative inc:</w:t>
            </w:r>
          </w:p>
          <w:p w14:paraId="3DBCAABB" w14:textId="659D0961" w:rsidR="00A33B41" w:rsidRDefault="00F011EF" w:rsidP="00F011EF">
            <w:pPr>
              <w:jc w:val="center"/>
            </w:pPr>
            <w:r>
              <w:t>10.1%</w:t>
            </w:r>
          </w:p>
        </w:tc>
        <w:tc>
          <w:tcPr>
            <w:tcW w:w="2126" w:type="dxa"/>
            <w:vAlign w:val="center"/>
          </w:tcPr>
          <w:p w14:paraId="09EEA1DA" w14:textId="1565F998" w:rsidR="00A33B41" w:rsidRDefault="007255D0" w:rsidP="00D407DF">
            <w:pPr>
              <w:jc w:val="center"/>
            </w:pPr>
            <w:r>
              <w:t>N/A</w:t>
            </w:r>
          </w:p>
        </w:tc>
        <w:tc>
          <w:tcPr>
            <w:tcW w:w="1843" w:type="dxa"/>
            <w:vAlign w:val="center"/>
          </w:tcPr>
          <w:p w14:paraId="3002C846" w14:textId="6363E59A" w:rsidR="00F011EF" w:rsidRDefault="00F011EF" w:rsidP="00F011EF">
            <w:pPr>
              <w:jc w:val="center"/>
            </w:pPr>
            <w:r>
              <w:t>Cumulative inc:</w:t>
            </w:r>
          </w:p>
          <w:p w14:paraId="22C3DA79" w14:textId="7D1F5581" w:rsidR="00A33B41" w:rsidRDefault="00F011EF" w:rsidP="00F011EF">
            <w:pPr>
              <w:jc w:val="center"/>
            </w:pPr>
            <w:r>
              <w:t>9.3%</w:t>
            </w:r>
          </w:p>
        </w:tc>
      </w:tr>
    </w:tbl>
    <w:p w14:paraId="53396C77" w14:textId="715978E0" w:rsidR="00C91DB4" w:rsidRPr="00537DF1" w:rsidRDefault="00C91DB4" w:rsidP="004105C2">
      <w:pPr>
        <w:rPr>
          <w:sz w:val="20"/>
          <w:szCs w:val="20"/>
        </w:rPr>
      </w:pPr>
      <w:r w:rsidRPr="00537DF1">
        <w:rPr>
          <w:sz w:val="20"/>
          <w:szCs w:val="20"/>
        </w:rPr>
        <w:t xml:space="preserve">Abbreviations: CI=confidence interval; </w:t>
      </w:r>
      <w:r w:rsidR="00CE27DF" w:rsidRPr="00537DF1">
        <w:rPr>
          <w:sz w:val="20"/>
          <w:szCs w:val="20"/>
        </w:rPr>
        <w:t xml:space="preserve">HSV-2=herpes simplex virus type 2; </w:t>
      </w:r>
      <w:r w:rsidR="000B2FA4">
        <w:rPr>
          <w:sz w:val="20"/>
          <w:szCs w:val="20"/>
        </w:rPr>
        <w:t xml:space="preserve">inc=incidence; </w:t>
      </w:r>
      <w:r w:rsidR="004836E7">
        <w:rPr>
          <w:sz w:val="20"/>
          <w:szCs w:val="20"/>
        </w:rPr>
        <w:t xml:space="preserve">N/A=not applicable; </w:t>
      </w:r>
      <w:r w:rsidR="00CE27DF" w:rsidRPr="00537DF1">
        <w:rPr>
          <w:sz w:val="20"/>
          <w:szCs w:val="20"/>
        </w:rPr>
        <w:t>PrEP=pre-exposure prophylaxis; pyrs=personyears of follow-up</w:t>
      </w:r>
      <w:r w:rsidR="004836E7">
        <w:rPr>
          <w:sz w:val="20"/>
          <w:szCs w:val="20"/>
        </w:rPr>
        <w:t xml:space="preserve">; </w:t>
      </w:r>
      <w:r w:rsidR="004836E7" w:rsidRPr="00537DF1">
        <w:rPr>
          <w:sz w:val="20"/>
          <w:szCs w:val="20"/>
        </w:rPr>
        <w:t>TDF= tenofovir disoproxil fumarate</w:t>
      </w:r>
      <w:r w:rsidR="00CE27DF" w:rsidRPr="00537DF1">
        <w:rPr>
          <w:sz w:val="20"/>
          <w:szCs w:val="20"/>
        </w:rPr>
        <w:t>.</w:t>
      </w:r>
    </w:p>
    <w:p w14:paraId="368C0BA7" w14:textId="5AA364D2" w:rsidR="00BA0C2B" w:rsidRPr="005C4FE0" w:rsidRDefault="00CA54AA" w:rsidP="00BA0C2B">
      <w:pPr>
        <w:pStyle w:val="ListParagraph"/>
        <w:numPr>
          <w:ilvl w:val="0"/>
          <w:numId w:val="4"/>
        </w:numPr>
        <w:ind w:left="284" w:hanging="284"/>
        <w:rPr>
          <w:sz w:val="20"/>
          <w:szCs w:val="20"/>
        </w:rPr>
      </w:pPr>
      <w:r w:rsidRPr="005C4FE0">
        <w:rPr>
          <w:sz w:val="20"/>
          <w:szCs w:val="20"/>
        </w:rPr>
        <w:t>In Partners PrEP, d</w:t>
      </w:r>
      <w:r w:rsidR="005C69FD" w:rsidRPr="005C4FE0">
        <w:rPr>
          <w:sz w:val="20"/>
          <w:szCs w:val="20"/>
        </w:rPr>
        <w:t xml:space="preserve">iscordant couples </w:t>
      </w:r>
      <w:r w:rsidR="003506C3" w:rsidRPr="005C4FE0">
        <w:rPr>
          <w:sz w:val="20"/>
          <w:szCs w:val="20"/>
        </w:rPr>
        <w:t xml:space="preserve">in Kenya and Uganda </w:t>
      </w:r>
      <w:r w:rsidR="005C69FD" w:rsidRPr="005C4FE0">
        <w:rPr>
          <w:sz w:val="20"/>
          <w:szCs w:val="20"/>
        </w:rPr>
        <w:t xml:space="preserve">were </w:t>
      </w:r>
      <w:r w:rsidR="00C91DB4" w:rsidRPr="005C4FE0">
        <w:rPr>
          <w:sz w:val="20"/>
          <w:szCs w:val="20"/>
        </w:rPr>
        <w:t xml:space="preserve">randomised to </w:t>
      </w:r>
      <w:r w:rsidR="00272B94" w:rsidRPr="005C4FE0">
        <w:rPr>
          <w:sz w:val="20"/>
          <w:szCs w:val="20"/>
        </w:rPr>
        <w:t xml:space="preserve">daily oral TDF, </w:t>
      </w:r>
      <w:r w:rsidR="00C91DB4" w:rsidRPr="005C4FE0">
        <w:rPr>
          <w:sz w:val="20"/>
          <w:szCs w:val="20"/>
        </w:rPr>
        <w:t>emtricitabine/TDF</w:t>
      </w:r>
      <w:r w:rsidR="00272B94" w:rsidRPr="005C4FE0">
        <w:rPr>
          <w:sz w:val="20"/>
          <w:szCs w:val="20"/>
        </w:rPr>
        <w:t xml:space="preserve"> or placebo (</w:t>
      </w:r>
      <w:r w:rsidR="005C4FE0" w:rsidRPr="005C4FE0">
        <w:rPr>
          <w:sz w:val="20"/>
          <w:szCs w:val="20"/>
        </w:rPr>
        <w:t>2</w:t>
      </w:r>
      <w:r w:rsidR="00272B94" w:rsidRPr="005C4FE0">
        <w:rPr>
          <w:sz w:val="20"/>
          <w:szCs w:val="20"/>
        </w:rPr>
        <w:t>)</w:t>
      </w:r>
      <w:r w:rsidR="005C69FD" w:rsidRPr="005C4FE0">
        <w:rPr>
          <w:sz w:val="20"/>
          <w:szCs w:val="20"/>
        </w:rPr>
        <w:t>. 1,780 women were HIV-negative at baseline, and a baseline Nugent score was available for 1,470 of them (median age 33)</w:t>
      </w:r>
      <w:r w:rsidRPr="005C4FE0">
        <w:rPr>
          <w:sz w:val="20"/>
          <w:szCs w:val="20"/>
        </w:rPr>
        <w:t xml:space="preserve"> (</w:t>
      </w:r>
      <w:r w:rsidR="005C4FE0" w:rsidRPr="005C4FE0">
        <w:rPr>
          <w:sz w:val="20"/>
          <w:szCs w:val="20"/>
        </w:rPr>
        <w:t>1</w:t>
      </w:r>
      <w:r w:rsidRPr="005C4FE0">
        <w:rPr>
          <w:sz w:val="20"/>
          <w:szCs w:val="20"/>
        </w:rPr>
        <w:t>)</w:t>
      </w:r>
      <w:r w:rsidR="005C69FD" w:rsidRPr="005C4FE0">
        <w:rPr>
          <w:sz w:val="20"/>
          <w:szCs w:val="20"/>
        </w:rPr>
        <w:t>. T</w:t>
      </w:r>
      <w:r w:rsidR="00324BE3" w:rsidRPr="005C4FE0">
        <w:rPr>
          <w:sz w:val="20"/>
          <w:szCs w:val="20"/>
        </w:rPr>
        <w:t>he</w:t>
      </w:r>
      <w:r w:rsidR="00C91DB4" w:rsidRPr="005C4FE0">
        <w:rPr>
          <w:sz w:val="20"/>
          <w:szCs w:val="20"/>
        </w:rPr>
        <w:t xml:space="preserve"> Pr</w:t>
      </w:r>
      <w:r w:rsidR="00272B94" w:rsidRPr="005C4FE0">
        <w:rPr>
          <w:sz w:val="20"/>
          <w:szCs w:val="20"/>
        </w:rPr>
        <w:t>EP efficacies of the two drugs were</w:t>
      </w:r>
      <w:r w:rsidR="00C91DB4" w:rsidRPr="005C4FE0">
        <w:rPr>
          <w:sz w:val="20"/>
          <w:szCs w:val="20"/>
        </w:rPr>
        <w:t xml:space="preserve"> not statistically significantly different</w:t>
      </w:r>
      <w:r w:rsidR="005C69FD" w:rsidRPr="005C4FE0">
        <w:rPr>
          <w:sz w:val="20"/>
          <w:szCs w:val="20"/>
        </w:rPr>
        <w:t xml:space="preserve"> </w:t>
      </w:r>
      <w:r w:rsidR="00272B94" w:rsidRPr="005C4FE0">
        <w:rPr>
          <w:sz w:val="20"/>
          <w:szCs w:val="20"/>
        </w:rPr>
        <w:t xml:space="preserve">and </w:t>
      </w:r>
      <w:r w:rsidR="005C69FD" w:rsidRPr="005C4FE0">
        <w:rPr>
          <w:sz w:val="20"/>
          <w:szCs w:val="20"/>
        </w:rPr>
        <w:t>the two drugs were therefore combined in the TDF group</w:t>
      </w:r>
      <w:r w:rsidR="00272B94" w:rsidRPr="005C4FE0">
        <w:rPr>
          <w:sz w:val="20"/>
          <w:szCs w:val="20"/>
        </w:rPr>
        <w:t xml:space="preserve">. </w:t>
      </w:r>
    </w:p>
    <w:p w14:paraId="26DB7130" w14:textId="4553A07B" w:rsidR="004105C2" w:rsidRPr="005C4FE0" w:rsidRDefault="00CA54AA" w:rsidP="00BA0C2B">
      <w:pPr>
        <w:pStyle w:val="ListParagraph"/>
        <w:numPr>
          <w:ilvl w:val="0"/>
          <w:numId w:val="4"/>
        </w:numPr>
        <w:ind w:left="284" w:hanging="284"/>
        <w:rPr>
          <w:sz w:val="20"/>
          <w:szCs w:val="20"/>
        </w:rPr>
      </w:pPr>
      <w:r w:rsidRPr="005C4FE0">
        <w:rPr>
          <w:sz w:val="20"/>
          <w:szCs w:val="20"/>
        </w:rPr>
        <w:t xml:space="preserve">In CAPRISA 004, </w:t>
      </w:r>
      <w:r w:rsidR="005C69FD" w:rsidRPr="005C4FE0">
        <w:rPr>
          <w:sz w:val="20"/>
          <w:szCs w:val="20"/>
        </w:rPr>
        <w:t xml:space="preserve">889 individual </w:t>
      </w:r>
      <w:r w:rsidR="00272B94" w:rsidRPr="005C4FE0">
        <w:rPr>
          <w:sz w:val="20"/>
          <w:szCs w:val="20"/>
        </w:rPr>
        <w:t xml:space="preserve">women </w:t>
      </w:r>
      <w:r w:rsidR="003506C3" w:rsidRPr="005C4FE0">
        <w:rPr>
          <w:sz w:val="20"/>
          <w:szCs w:val="20"/>
        </w:rPr>
        <w:t xml:space="preserve">in South Africa </w:t>
      </w:r>
      <w:r w:rsidR="00272B94" w:rsidRPr="005C4FE0">
        <w:rPr>
          <w:sz w:val="20"/>
          <w:szCs w:val="20"/>
        </w:rPr>
        <w:t>were randomised to 1% TDF vaginal gel or placebo gel (</w:t>
      </w:r>
      <w:r w:rsidR="005C4FE0" w:rsidRPr="005C4FE0">
        <w:rPr>
          <w:sz w:val="20"/>
          <w:szCs w:val="20"/>
        </w:rPr>
        <w:t>4</w:t>
      </w:r>
      <w:r w:rsidR="00272B94" w:rsidRPr="005C4FE0">
        <w:rPr>
          <w:sz w:val="20"/>
          <w:szCs w:val="20"/>
        </w:rPr>
        <w:t>)</w:t>
      </w:r>
      <w:r w:rsidR="00324BE3" w:rsidRPr="005C4FE0">
        <w:rPr>
          <w:sz w:val="20"/>
          <w:szCs w:val="20"/>
        </w:rPr>
        <w:t xml:space="preserve">. </w:t>
      </w:r>
      <w:r w:rsidR="003506C3" w:rsidRPr="005C4FE0">
        <w:rPr>
          <w:sz w:val="20"/>
          <w:szCs w:val="20"/>
        </w:rPr>
        <w:t xml:space="preserve">Only 688 (mean age 24 and mostly not in stable partnerships) were </w:t>
      </w:r>
      <w:r w:rsidR="00BA0C2B" w:rsidRPr="005C4FE0">
        <w:rPr>
          <w:sz w:val="20"/>
          <w:szCs w:val="20"/>
        </w:rPr>
        <w:t>included in the HIV subanalysis due to unavailability of sufficient quality specimens</w:t>
      </w:r>
      <w:r w:rsidRPr="005C4FE0">
        <w:rPr>
          <w:sz w:val="20"/>
          <w:szCs w:val="20"/>
        </w:rPr>
        <w:t xml:space="preserve"> (</w:t>
      </w:r>
      <w:r w:rsidR="005C4FE0" w:rsidRPr="005C4FE0">
        <w:rPr>
          <w:sz w:val="20"/>
          <w:szCs w:val="20"/>
        </w:rPr>
        <w:t>3</w:t>
      </w:r>
      <w:r w:rsidRPr="005C4FE0">
        <w:rPr>
          <w:sz w:val="20"/>
          <w:szCs w:val="20"/>
        </w:rPr>
        <w:t>)</w:t>
      </w:r>
      <w:r w:rsidR="00BA0C2B" w:rsidRPr="005C4FE0">
        <w:rPr>
          <w:sz w:val="20"/>
          <w:szCs w:val="20"/>
        </w:rPr>
        <w:t xml:space="preserve">. The HSV-2 subanalysis only included the 422 women who were HSV-2 negative at baseline and sensored </w:t>
      </w:r>
      <w:r w:rsidR="007954B5">
        <w:rPr>
          <w:sz w:val="20"/>
          <w:szCs w:val="20"/>
        </w:rPr>
        <w:t xml:space="preserve">HIV seroconverters </w:t>
      </w:r>
      <w:r w:rsidR="00BA0C2B" w:rsidRPr="005C4FE0">
        <w:rPr>
          <w:sz w:val="20"/>
          <w:szCs w:val="20"/>
        </w:rPr>
        <w:t>at the time of their HIV diagnosis</w:t>
      </w:r>
      <w:r w:rsidRPr="005C4FE0">
        <w:rPr>
          <w:sz w:val="20"/>
          <w:szCs w:val="20"/>
        </w:rPr>
        <w:t xml:space="preserve"> (</w:t>
      </w:r>
      <w:r w:rsidR="00435B88">
        <w:rPr>
          <w:sz w:val="20"/>
          <w:szCs w:val="20"/>
        </w:rPr>
        <w:t>12</w:t>
      </w:r>
      <w:r w:rsidRPr="005C4FE0">
        <w:rPr>
          <w:sz w:val="20"/>
          <w:szCs w:val="20"/>
        </w:rPr>
        <w:t>)</w:t>
      </w:r>
      <w:r w:rsidR="00BA0C2B" w:rsidRPr="005C4FE0">
        <w:rPr>
          <w:sz w:val="20"/>
          <w:szCs w:val="20"/>
        </w:rPr>
        <w:t xml:space="preserve">. </w:t>
      </w:r>
    </w:p>
    <w:p w14:paraId="6A74D690" w14:textId="79A741B8" w:rsidR="00272B94" w:rsidRPr="005C4FE0" w:rsidRDefault="00E34449" w:rsidP="00272B94">
      <w:pPr>
        <w:pStyle w:val="ListParagraph"/>
        <w:numPr>
          <w:ilvl w:val="0"/>
          <w:numId w:val="4"/>
        </w:numPr>
        <w:ind w:left="284" w:hanging="284"/>
        <w:rPr>
          <w:sz w:val="20"/>
          <w:szCs w:val="20"/>
        </w:rPr>
      </w:pPr>
      <w:r w:rsidRPr="005C4FE0">
        <w:rPr>
          <w:sz w:val="20"/>
          <w:szCs w:val="20"/>
        </w:rPr>
        <w:t xml:space="preserve">In Partners PrEP, vaginal microbiota </w:t>
      </w:r>
      <w:r w:rsidR="00BA0C2B" w:rsidRPr="005C4FE0">
        <w:rPr>
          <w:sz w:val="20"/>
          <w:szCs w:val="20"/>
        </w:rPr>
        <w:t xml:space="preserve">were </w:t>
      </w:r>
      <w:r w:rsidRPr="005C4FE0">
        <w:rPr>
          <w:sz w:val="20"/>
          <w:szCs w:val="20"/>
        </w:rPr>
        <w:t xml:space="preserve">assessed by </w:t>
      </w:r>
      <w:r w:rsidR="00CA54AA" w:rsidRPr="005C4FE0">
        <w:rPr>
          <w:sz w:val="20"/>
          <w:szCs w:val="20"/>
        </w:rPr>
        <w:t xml:space="preserve">Gram stain </w:t>
      </w:r>
      <w:r w:rsidRPr="005C4FE0">
        <w:rPr>
          <w:sz w:val="20"/>
          <w:szCs w:val="20"/>
        </w:rPr>
        <w:t>Nugent scoring as lactobacilli-dominated (0-3), intermediate (4-6) and vaginal dysbiosis (7-10)</w:t>
      </w:r>
      <w:r w:rsidR="00CA54AA" w:rsidRPr="005C4FE0">
        <w:rPr>
          <w:sz w:val="20"/>
          <w:szCs w:val="20"/>
        </w:rPr>
        <w:t xml:space="preserve"> (</w:t>
      </w:r>
      <w:r w:rsidR="005C4FE0" w:rsidRPr="005C4FE0">
        <w:rPr>
          <w:sz w:val="20"/>
          <w:szCs w:val="20"/>
        </w:rPr>
        <w:t>1</w:t>
      </w:r>
      <w:r w:rsidR="00CA54AA" w:rsidRPr="005C4FE0">
        <w:rPr>
          <w:sz w:val="20"/>
          <w:szCs w:val="20"/>
        </w:rPr>
        <w:t>)</w:t>
      </w:r>
      <w:r w:rsidRPr="005C4FE0">
        <w:rPr>
          <w:sz w:val="20"/>
          <w:szCs w:val="20"/>
        </w:rPr>
        <w:t>.</w:t>
      </w:r>
      <w:r w:rsidR="00552D9A" w:rsidRPr="005C4FE0">
        <w:rPr>
          <w:sz w:val="20"/>
          <w:szCs w:val="20"/>
        </w:rPr>
        <w:t xml:space="preserve"> The efficacies were 84%, 64%, and 71%, respectively, after adjustment for age, hormonal contraceptive use, and STIs at </w:t>
      </w:r>
      <w:r w:rsidR="004836E7" w:rsidRPr="005C4FE0">
        <w:rPr>
          <w:sz w:val="20"/>
          <w:szCs w:val="20"/>
        </w:rPr>
        <w:t>enrolment</w:t>
      </w:r>
      <w:r w:rsidR="00552D9A" w:rsidRPr="005C4FE0">
        <w:rPr>
          <w:sz w:val="20"/>
          <w:szCs w:val="20"/>
        </w:rPr>
        <w:t>.</w:t>
      </w:r>
    </w:p>
    <w:p w14:paraId="3D5A4D1D" w14:textId="3227FE95" w:rsidR="00FA0B1E" w:rsidRPr="005C4FE0" w:rsidRDefault="00E34449" w:rsidP="00BA0C2B">
      <w:pPr>
        <w:pStyle w:val="ListParagraph"/>
        <w:numPr>
          <w:ilvl w:val="0"/>
          <w:numId w:val="4"/>
        </w:numPr>
        <w:ind w:left="284" w:hanging="284"/>
        <w:rPr>
          <w:sz w:val="20"/>
          <w:szCs w:val="20"/>
        </w:rPr>
      </w:pPr>
      <w:r w:rsidRPr="005C4FE0">
        <w:rPr>
          <w:sz w:val="20"/>
          <w:szCs w:val="20"/>
        </w:rPr>
        <w:t xml:space="preserve">In CAPRISA 004, vaginal microbiota </w:t>
      </w:r>
      <w:r w:rsidR="00BA0C2B" w:rsidRPr="005C4FE0">
        <w:rPr>
          <w:sz w:val="20"/>
          <w:szCs w:val="20"/>
        </w:rPr>
        <w:t xml:space="preserve">were </w:t>
      </w:r>
      <w:r w:rsidRPr="005C4FE0">
        <w:rPr>
          <w:sz w:val="20"/>
          <w:szCs w:val="20"/>
        </w:rPr>
        <w:t>assessed by mass spectometry as lactobacilli-dominated (&gt;50% relative abundance of lactobacilli) or vaginal dysbiosis (≤50% relative abundance of lactobacilli)</w:t>
      </w:r>
      <w:r w:rsidR="00CA54AA" w:rsidRPr="005C4FE0">
        <w:rPr>
          <w:sz w:val="20"/>
          <w:szCs w:val="20"/>
        </w:rPr>
        <w:t xml:space="preserve"> (</w:t>
      </w:r>
      <w:r w:rsidR="005C4FE0" w:rsidRPr="005C4FE0">
        <w:rPr>
          <w:sz w:val="20"/>
          <w:szCs w:val="20"/>
        </w:rPr>
        <w:t>3</w:t>
      </w:r>
      <w:r w:rsidR="00CA54AA" w:rsidRPr="005C4FE0">
        <w:rPr>
          <w:sz w:val="20"/>
          <w:szCs w:val="20"/>
        </w:rPr>
        <w:t>)</w:t>
      </w:r>
      <w:r w:rsidRPr="005C4FE0">
        <w:rPr>
          <w:sz w:val="20"/>
          <w:szCs w:val="20"/>
        </w:rPr>
        <w:t>.</w:t>
      </w:r>
      <w:r w:rsidR="00BA0C2B" w:rsidRPr="005C4FE0">
        <w:rPr>
          <w:sz w:val="20"/>
          <w:szCs w:val="20"/>
        </w:rPr>
        <w:t xml:space="preserve"> The authors state that ‘r</w:t>
      </w:r>
      <w:r w:rsidR="0057042B" w:rsidRPr="005C4FE0">
        <w:rPr>
          <w:sz w:val="20"/>
          <w:szCs w:val="20"/>
        </w:rPr>
        <w:t>esults were not affected by adjustment for STIs, antibiotics use, DMPA use, condom use, frequency of sex, and number of sexual partners</w:t>
      </w:r>
      <w:r w:rsidR="00BA0C2B" w:rsidRPr="005C4FE0">
        <w:rPr>
          <w:sz w:val="20"/>
          <w:szCs w:val="20"/>
        </w:rPr>
        <w:t>’</w:t>
      </w:r>
      <w:r w:rsidR="0057042B" w:rsidRPr="005C4FE0">
        <w:rPr>
          <w:sz w:val="20"/>
          <w:szCs w:val="20"/>
        </w:rPr>
        <w:t>.</w:t>
      </w:r>
      <w:r w:rsidR="00BA0C2B" w:rsidRPr="005C4FE0">
        <w:rPr>
          <w:sz w:val="20"/>
          <w:szCs w:val="20"/>
        </w:rPr>
        <w:t xml:space="preserve"> </w:t>
      </w:r>
      <w:r w:rsidR="007954B5">
        <w:rPr>
          <w:sz w:val="20"/>
          <w:szCs w:val="20"/>
        </w:rPr>
        <w:t>We assumed that t</w:t>
      </w:r>
      <w:r w:rsidR="007954B5" w:rsidRPr="005C4FE0">
        <w:rPr>
          <w:sz w:val="20"/>
          <w:szCs w:val="20"/>
        </w:rPr>
        <w:t>he HSV-2 s</w:t>
      </w:r>
      <w:r w:rsidR="007954B5">
        <w:rPr>
          <w:sz w:val="20"/>
          <w:szCs w:val="20"/>
        </w:rPr>
        <w:t>ubanalysis only included the 333</w:t>
      </w:r>
      <w:r w:rsidR="007954B5" w:rsidRPr="005C4FE0">
        <w:rPr>
          <w:sz w:val="20"/>
          <w:szCs w:val="20"/>
        </w:rPr>
        <w:t xml:space="preserve"> women who were HSV-2 negative at baseline </w:t>
      </w:r>
      <w:r w:rsidR="007954B5">
        <w:rPr>
          <w:sz w:val="20"/>
          <w:szCs w:val="20"/>
        </w:rPr>
        <w:t xml:space="preserve">and had an endline result available, </w:t>
      </w:r>
      <w:r w:rsidR="007954B5" w:rsidRPr="005C4FE0">
        <w:rPr>
          <w:sz w:val="20"/>
          <w:szCs w:val="20"/>
        </w:rPr>
        <w:t xml:space="preserve">and sensored </w:t>
      </w:r>
      <w:r w:rsidR="007954B5">
        <w:rPr>
          <w:sz w:val="20"/>
          <w:szCs w:val="20"/>
        </w:rPr>
        <w:t xml:space="preserve">HIV seroconverters </w:t>
      </w:r>
      <w:r w:rsidR="007954B5" w:rsidRPr="005C4FE0">
        <w:rPr>
          <w:sz w:val="20"/>
          <w:szCs w:val="20"/>
        </w:rPr>
        <w:t>at the time of their HIV diagnosis (</w:t>
      </w:r>
      <w:r w:rsidR="00CB26A5">
        <w:rPr>
          <w:sz w:val="20"/>
          <w:szCs w:val="20"/>
        </w:rPr>
        <w:t>3, 13</w:t>
      </w:r>
      <w:r w:rsidR="007954B5" w:rsidRPr="005C4FE0">
        <w:rPr>
          <w:sz w:val="20"/>
          <w:szCs w:val="20"/>
        </w:rPr>
        <w:t xml:space="preserve">). </w:t>
      </w:r>
      <w:r w:rsidR="00BA0C2B" w:rsidRPr="005C4FE0">
        <w:rPr>
          <w:sz w:val="20"/>
          <w:szCs w:val="20"/>
        </w:rPr>
        <w:t>HSV-2 efficacies could</w:t>
      </w:r>
      <w:r w:rsidR="004836E7">
        <w:rPr>
          <w:sz w:val="20"/>
          <w:szCs w:val="20"/>
        </w:rPr>
        <w:t xml:space="preserve"> not be calculated because person</w:t>
      </w:r>
      <w:r w:rsidR="00BA0C2B" w:rsidRPr="005C4FE0">
        <w:rPr>
          <w:sz w:val="20"/>
          <w:szCs w:val="20"/>
        </w:rPr>
        <w:t>years of follow-up in each group were no</w:t>
      </w:r>
      <w:r w:rsidR="007954B5">
        <w:rPr>
          <w:sz w:val="20"/>
          <w:szCs w:val="20"/>
        </w:rPr>
        <w:t xml:space="preserve">t presented. The </w:t>
      </w:r>
      <w:r w:rsidR="00BA0C2B" w:rsidRPr="005C4FE0">
        <w:rPr>
          <w:sz w:val="20"/>
          <w:szCs w:val="20"/>
        </w:rPr>
        <w:t>p value comparing the cumulative incidence proportions was 0.888</w:t>
      </w:r>
      <w:r w:rsidR="00F011EF" w:rsidRPr="005C4FE0">
        <w:rPr>
          <w:sz w:val="20"/>
          <w:szCs w:val="20"/>
        </w:rPr>
        <w:t xml:space="preserve">. </w:t>
      </w:r>
    </w:p>
    <w:sectPr w:rsidR="00FA0B1E" w:rsidRPr="005C4FE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3ED4F" w14:textId="77777777" w:rsidR="00F74C1F" w:rsidRDefault="00F74C1F" w:rsidP="00A501FE">
      <w:r>
        <w:separator/>
      </w:r>
    </w:p>
  </w:endnote>
  <w:endnote w:type="continuationSeparator" w:id="0">
    <w:p w14:paraId="6DD1085E" w14:textId="77777777" w:rsidR="00F74C1F" w:rsidRDefault="00F74C1F" w:rsidP="00A5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1803"/>
      <w:docPartObj>
        <w:docPartGallery w:val="Page Numbers (Bottom of Page)"/>
        <w:docPartUnique/>
      </w:docPartObj>
    </w:sdtPr>
    <w:sdtEndPr>
      <w:rPr>
        <w:noProof/>
      </w:rPr>
    </w:sdtEndPr>
    <w:sdtContent>
      <w:p w14:paraId="0B60EC43" w14:textId="61BE5085" w:rsidR="00A501FE" w:rsidRDefault="00A501FE">
        <w:pPr>
          <w:pStyle w:val="Footer"/>
          <w:jc w:val="right"/>
        </w:pPr>
        <w:r>
          <w:fldChar w:fldCharType="begin"/>
        </w:r>
        <w:r>
          <w:instrText xml:space="preserve"> PAGE   \* MERGEFORMAT </w:instrText>
        </w:r>
        <w:r>
          <w:fldChar w:fldCharType="separate"/>
        </w:r>
        <w:r w:rsidR="00612B18">
          <w:rPr>
            <w:noProof/>
          </w:rPr>
          <w:t>3</w:t>
        </w:r>
        <w:r>
          <w:rPr>
            <w:noProof/>
          </w:rPr>
          <w:fldChar w:fldCharType="end"/>
        </w:r>
      </w:p>
    </w:sdtContent>
  </w:sdt>
  <w:p w14:paraId="1871DB29" w14:textId="77777777" w:rsidR="00A501FE" w:rsidRDefault="00A50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32295" w14:textId="77777777" w:rsidR="00F74C1F" w:rsidRDefault="00F74C1F" w:rsidP="00A501FE">
      <w:r>
        <w:separator/>
      </w:r>
    </w:p>
  </w:footnote>
  <w:footnote w:type="continuationSeparator" w:id="0">
    <w:p w14:paraId="6886990A" w14:textId="77777777" w:rsidR="00F74C1F" w:rsidRDefault="00F74C1F" w:rsidP="00A50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B8"/>
    <w:multiLevelType w:val="hybridMultilevel"/>
    <w:tmpl w:val="604CC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2E1DE5"/>
    <w:multiLevelType w:val="hybridMultilevel"/>
    <w:tmpl w:val="53381572"/>
    <w:lvl w:ilvl="0" w:tplc="BAF6F8B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A2637"/>
    <w:multiLevelType w:val="hybridMultilevel"/>
    <w:tmpl w:val="F892B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AB042A"/>
    <w:multiLevelType w:val="hybridMultilevel"/>
    <w:tmpl w:val="C1569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C7"/>
    <w:rsid w:val="00004902"/>
    <w:rsid w:val="000076AF"/>
    <w:rsid w:val="00025EBB"/>
    <w:rsid w:val="0003140D"/>
    <w:rsid w:val="0005121F"/>
    <w:rsid w:val="000541C9"/>
    <w:rsid w:val="000562F7"/>
    <w:rsid w:val="00062B99"/>
    <w:rsid w:val="000829CB"/>
    <w:rsid w:val="00097269"/>
    <w:rsid w:val="000A1C16"/>
    <w:rsid w:val="000A1C7F"/>
    <w:rsid w:val="000B2FA4"/>
    <w:rsid w:val="000B7AC0"/>
    <w:rsid w:val="000D1A16"/>
    <w:rsid w:val="000E0DE9"/>
    <w:rsid w:val="000E14C4"/>
    <w:rsid w:val="000F7C22"/>
    <w:rsid w:val="00100D8D"/>
    <w:rsid w:val="00101E36"/>
    <w:rsid w:val="00103C13"/>
    <w:rsid w:val="00104059"/>
    <w:rsid w:val="001219E7"/>
    <w:rsid w:val="00123AB0"/>
    <w:rsid w:val="00123B37"/>
    <w:rsid w:val="00134716"/>
    <w:rsid w:val="00156BB4"/>
    <w:rsid w:val="00167BD4"/>
    <w:rsid w:val="00170C56"/>
    <w:rsid w:val="001861EF"/>
    <w:rsid w:val="001A097F"/>
    <w:rsid w:val="001A2C24"/>
    <w:rsid w:val="001B16AE"/>
    <w:rsid w:val="001B35C3"/>
    <w:rsid w:val="001B4BDB"/>
    <w:rsid w:val="001B4DBC"/>
    <w:rsid w:val="001B7BBF"/>
    <w:rsid w:val="001C3E66"/>
    <w:rsid w:val="001E0B3C"/>
    <w:rsid w:val="00211549"/>
    <w:rsid w:val="0021194B"/>
    <w:rsid w:val="002145B1"/>
    <w:rsid w:val="002163AC"/>
    <w:rsid w:val="00230E85"/>
    <w:rsid w:val="0024481A"/>
    <w:rsid w:val="00271777"/>
    <w:rsid w:val="00272B94"/>
    <w:rsid w:val="002A06F7"/>
    <w:rsid w:val="002A24FD"/>
    <w:rsid w:val="002A408B"/>
    <w:rsid w:val="002D4EC5"/>
    <w:rsid w:val="0030209A"/>
    <w:rsid w:val="00324BE3"/>
    <w:rsid w:val="003305FD"/>
    <w:rsid w:val="00331584"/>
    <w:rsid w:val="003369AD"/>
    <w:rsid w:val="00346F88"/>
    <w:rsid w:val="003506C3"/>
    <w:rsid w:val="00367F75"/>
    <w:rsid w:val="00386597"/>
    <w:rsid w:val="003A387D"/>
    <w:rsid w:val="003D289F"/>
    <w:rsid w:val="003E50D9"/>
    <w:rsid w:val="004105C2"/>
    <w:rsid w:val="00420398"/>
    <w:rsid w:val="00420F9E"/>
    <w:rsid w:val="00431276"/>
    <w:rsid w:val="00435B88"/>
    <w:rsid w:val="004451B1"/>
    <w:rsid w:val="00461732"/>
    <w:rsid w:val="00464712"/>
    <w:rsid w:val="004836E7"/>
    <w:rsid w:val="004A57FC"/>
    <w:rsid w:val="004B5F26"/>
    <w:rsid w:val="004C55BF"/>
    <w:rsid w:val="00512586"/>
    <w:rsid w:val="00537872"/>
    <w:rsid w:val="00537DF1"/>
    <w:rsid w:val="00552D9A"/>
    <w:rsid w:val="00560FD3"/>
    <w:rsid w:val="0057042B"/>
    <w:rsid w:val="00575BE5"/>
    <w:rsid w:val="005911BF"/>
    <w:rsid w:val="00593478"/>
    <w:rsid w:val="005A616A"/>
    <w:rsid w:val="005B1884"/>
    <w:rsid w:val="005B54BB"/>
    <w:rsid w:val="005B666A"/>
    <w:rsid w:val="005C4FE0"/>
    <w:rsid w:val="005C69FD"/>
    <w:rsid w:val="005E2808"/>
    <w:rsid w:val="005E7422"/>
    <w:rsid w:val="0060673D"/>
    <w:rsid w:val="00612B18"/>
    <w:rsid w:val="0061660D"/>
    <w:rsid w:val="00627D65"/>
    <w:rsid w:val="00627F74"/>
    <w:rsid w:val="006337BD"/>
    <w:rsid w:val="006550DA"/>
    <w:rsid w:val="00675183"/>
    <w:rsid w:val="00684A4A"/>
    <w:rsid w:val="0069581A"/>
    <w:rsid w:val="006F2586"/>
    <w:rsid w:val="00711756"/>
    <w:rsid w:val="00714DDC"/>
    <w:rsid w:val="007255D0"/>
    <w:rsid w:val="007430AF"/>
    <w:rsid w:val="00746231"/>
    <w:rsid w:val="0077297A"/>
    <w:rsid w:val="007746AE"/>
    <w:rsid w:val="0078172B"/>
    <w:rsid w:val="0078453E"/>
    <w:rsid w:val="007954B5"/>
    <w:rsid w:val="007D0FED"/>
    <w:rsid w:val="00815FED"/>
    <w:rsid w:val="00821EA8"/>
    <w:rsid w:val="00831820"/>
    <w:rsid w:val="0083319F"/>
    <w:rsid w:val="00834551"/>
    <w:rsid w:val="00856A6F"/>
    <w:rsid w:val="00884A84"/>
    <w:rsid w:val="00896E46"/>
    <w:rsid w:val="008F56DA"/>
    <w:rsid w:val="008F6B33"/>
    <w:rsid w:val="00905AF7"/>
    <w:rsid w:val="009267F6"/>
    <w:rsid w:val="0093150B"/>
    <w:rsid w:val="00937D8E"/>
    <w:rsid w:val="00944B33"/>
    <w:rsid w:val="00952A9A"/>
    <w:rsid w:val="00965949"/>
    <w:rsid w:val="009922A4"/>
    <w:rsid w:val="009C5B51"/>
    <w:rsid w:val="00A22F6E"/>
    <w:rsid w:val="00A33B41"/>
    <w:rsid w:val="00A501FE"/>
    <w:rsid w:val="00A82085"/>
    <w:rsid w:val="00A957BF"/>
    <w:rsid w:val="00AB7353"/>
    <w:rsid w:val="00B03B09"/>
    <w:rsid w:val="00B75653"/>
    <w:rsid w:val="00B7632A"/>
    <w:rsid w:val="00B80CF7"/>
    <w:rsid w:val="00B82365"/>
    <w:rsid w:val="00B838A7"/>
    <w:rsid w:val="00B83C35"/>
    <w:rsid w:val="00B84700"/>
    <w:rsid w:val="00BA0C2B"/>
    <w:rsid w:val="00BB141F"/>
    <w:rsid w:val="00BC156A"/>
    <w:rsid w:val="00BC7ABB"/>
    <w:rsid w:val="00BF7FB6"/>
    <w:rsid w:val="00C55549"/>
    <w:rsid w:val="00C64D36"/>
    <w:rsid w:val="00C84AB4"/>
    <w:rsid w:val="00C91DB4"/>
    <w:rsid w:val="00C921F3"/>
    <w:rsid w:val="00CA54AA"/>
    <w:rsid w:val="00CB26A5"/>
    <w:rsid w:val="00CC7BA0"/>
    <w:rsid w:val="00CE1B13"/>
    <w:rsid w:val="00CE27DF"/>
    <w:rsid w:val="00D075B5"/>
    <w:rsid w:val="00D21A77"/>
    <w:rsid w:val="00D26B9A"/>
    <w:rsid w:val="00D407DF"/>
    <w:rsid w:val="00D560FB"/>
    <w:rsid w:val="00D6252E"/>
    <w:rsid w:val="00D72698"/>
    <w:rsid w:val="00D85065"/>
    <w:rsid w:val="00D900D2"/>
    <w:rsid w:val="00DA0D50"/>
    <w:rsid w:val="00DA3F99"/>
    <w:rsid w:val="00DA4A4B"/>
    <w:rsid w:val="00DB0F40"/>
    <w:rsid w:val="00DB1E81"/>
    <w:rsid w:val="00DB5BCC"/>
    <w:rsid w:val="00DC1670"/>
    <w:rsid w:val="00E16696"/>
    <w:rsid w:val="00E2490E"/>
    <w:rsid w:val="00E26A54"/>
    <w:rsid w:val="00E34449"/>
    <w:rsid w:val="00E428C7"/>
    <w:rsid w:val="00E44D3B"/>
    <w:rsid w:val="00E50671"/>
    <w:rsid w:val="00E67768"/>
    <w:rsid w:val="00E953C4"/>
    <w:rsid w:val="00EA725F"/>
    <w:rsid w:val="00EB3522"/>
    <w:rsid w:val="00EB6A0C"/>
    <w:rsid w:val="00EC174E"/>
    <w:rsid w:val="00EF53A4"/>
    <w:rsid w:val="00EF6432"/>
    <w:rsid w:val="00F011EF"/>
    <w:rsid w:val="00F3026C"/>
    <w:rsid w:val="00F32823"/>
    <w:rsid w:val="00F74C1F"/>
    <w:rsid w:val="00F80C70"/>
    <w:rsid w:val="00FA0B1E"/>
    <w:rsid w:val="00FD0F12"/>
    <w:rsid w:val="00FE4D3A"/>
    <w:rsid w:val="00FF0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61A0"/>
  <w15:docId w15:val="{5AEA0788-AF16-4715-8093-0C950201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0F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28C7"/>
    <w:rPr>
      <w:sz w:val="16"/>
      <w:szCs w:val="16"/>
    </w:rPr>
  </w:style>
  <w:style w:type="paragraph" w:styleId="CommentText">
    <w:name w:val="annotation text"/>
    <w:basedOn w:val="Normal"/>
    <w:link w:val="CommentTextChar"/>
    <w:uiPriority w:val="99"/>
    <w:unhideWhenUsed/>
    <w:rsid w:val="00E428C7"/>
    <w:rPr>
      <w:sz w:val="20"/>
      <w:szCs w:val="20"/>
    </w:rPr>
  </w:style>
  <w:style w:type="character" w:customStyle="1" w:styleId="CommentTextChar">
    <w:name w:val="Comment Text Char"/>
    <w:basedOn w:val="DefaultParagraphFont"/>
    <w:link w:val="CommentText"/>
    <w:uiPriority w:val="99"/>
    <w:rsid w:val="00E428C7"/>
    <w:rPr>
      <w:sz w:val="20"/>
      <w:szCs w:val="20"/>
    </w:rPr>
  </w:style>
  <w:style w:type="paragraph" w:styleId="CommentSubject">
    <w:name w:val="annotation subject"/>
    <w:basedOn w:val="CommentText"/>
    <w:next w:val="CommentText"/>
    <w:link w:val="CommentSubjectChar"/>
    <w:uiPriority w:val="99"/>
    <w:semiHidden/>
    <w:unhideWhenUsed/>
    <w:rsid w:val="00E428C7"/>
    <w:rPr>
      <w:b/>
      <w:bCs/>
    </w:rPr>
  </w:style>
  <w:style w:type="character" w:customStyle="1" w:styleId="CommentSubjectChar">
    <w:name w:val="Comment Subject Char"/>
    <w:basedOn w:val="CommentTextChar"/>
    <w:link w:val="CommentSubject"/>
    <w:uiPriority w:val="99"/>
    <w:semiHidden/>
    <w:rsid w:val="00E428C7"/>
    <w:rPr>
      <w:b/>
      <w:bCs/>
      <w:sz w:val="20"/>
      <w:szCs w:val="20"/>
    </w:rPr>
  </w:style>
  <w:style w:type="paragraph" w:styleId="BalloonText">
    <w:name w:val="Balloon Text"/>
    <w:basedOn w:val="Normal"/>
    <w:link w:val="BalloonTextChar"/>
    <w:uiPriority w:val="99"/>
    <w:semiHidden/>
    <w:unhideWhenUsed/>
    <w:rsid w:val="00E42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8C7"/>
    <w:rPr>
      <w:rFonts w:ascii="Segoe UI" w:hAnsi="Segoe UI" w:cs="Segoe UI"/>
      <w:sz w:val="18"/>
      <w:szCs w:val="18"/>
    </w:rPr>
  </w:style>
  <w:style w:type="paragraph" w:styleId="ListParagraph">
    <w:name w:val="List Paragraph"/>
    <w:basedOn w:val="Normal"/>
    <w:uiPriority w:val="34"/>
    <w:qFormat/>
    <w:rsid w:val="00E428C7"/>
    <w:pPr>
      <w:ind w:left="720"/>
      <w:contextualSpacing/>
    </w:pPr>
  </w:style>
  <w:style w:type="paragraph" w:styleId="PlainText">
    <w:name w:val="Plain Text"/>
    <w:basedOn w:val="Normal"/>
    <w:link w:val="PlainTextChar"/>
    <w:uiPriority w:val="99"/>
    <w:unhideWhenUsed/>
    <w:rsid w:val="00AB7353"/>
    <w:pPr>
      <w:widowControl/>
    </w:pPr>
    <w:rPr>
      <w:rFonts w:ascii="Calibri" w:hAnsi="Calibri" w:cs="Consolas"/>
      <w:szCs w:val="21"/>
    </w:rPr>
  </w:style>
  <w:style w:type="character" w:customStyle="1" w:styleId="PlainTextChar">
    <w:name w:val="Plain Text Char"/>
    <w:basedOn w:val="DefaultParagraphFont"/>
    <w:link w:val="PlainText"/>
    <w:uiPriority w:val="99"/>
    <w:rsid w:val="00AB7353"/>
    <w:rPr>
      <w:rFonts w:ascii="Calibri" w:hAnsi="Calibri" w:cs="Consolas"/>
      <w:szCs w:val="21"/>
    </w:rPr>
  </w:style>
  <w:style w:type="table" w:styleId="TableGrid">
    <w:name w:val="Table Grid"/>
    <w:basedOn w:val="TableNormal"/>
    <w:uiPriority w:val="39"/>
    <w:rsid w:val="00410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4A4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84A4A"/>
    <w:pPr>
      <w:spacing w:after="0" w:line="240" w:lineRule="auto"/>
    </w:pPr>
  </w:style>
  <w:style w:type="paragraph" w:styleId="Header">
    <w:name w:val="header"/>
    <w:basedOn w:val="Normal"/>
    <w:link w:val="HeaderChar"/>
    <w:uiPriority w:val="99"/>
    <w:unhideWhenUsed/>
    <w:rsid w:val="00A501FE"/>
    <w:pPr>
      <w:tabs>
        <w:tab w:val="center" w:pos="4513"/>
        <w:tab w:val="right" w:pos="9026"/>
      </w:tabs>
    </w:pPr>
  </w:style>
  <w:style w:type="character" w:customStyle="1" w:styleId="HeaderChar">
    <w:name w:val="Header Char"/>
    <w:basedOn w:val="DefaultParagraphFont"/>
    <w:link w:val="Header"/>
    <w:uiPriority w:val="99"/>
    <w:rsid w:val="00A501FE"/>
  </w:style>
  <w:style w:type="paragraph" w:styleId="Footer">
    <w:name w:val="footer"/>
    <w:basedOn w:val="Normal"/>
    <w:link w:val="FooterChar"/>
    <w:uiPriority w:val="99"/>
    <w:unhideWhenUsed/>
    <w:rsid w:val="00A501FE"/>
    <w:pPr>
      <w:tabs>
        <w:tab w:val="center" w:pos="4513"/>
        <w:tab w:val="right" w:pos="9026"/>
      </w:tabs>
    </w:pPr>
  </w:style>
  <w:style w:type="character" w:customStyle="1" w:styleId="FooterChar">
    <w:name w:val="Footer Char"/>
    <w:basedOn w:val="DefaultParagraphFont"/>
    <w:link w:val="Footer"/>
    <w:uiPriority w:val="99"/>
    <w:rsid w:val="00A50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6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D017B-E146-4E4C-8647-D0D71B72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4</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Wijgert, Janneke</dc:creator>
  <cp:keywords/>
  <dc:description/>
  <cp:lastModifiedBy>van de Wijgert, Janneke</cp:lastModifiedBy>
  <cp:revision>56</cp:revision>
  <dcterms:created xsi:type="dcterms:W3CDTF">2017-06-18T11:14:00Z</dcterms:created>
  <dcterms:modified xsi:type="dcterms:W3CDTF">2017-07-27T09:08:00Z</dcterms:modified>
</cp:coreProperties>
</file>