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FA798" w14:textId="1D8B57F6" w:rsidR="001A3ABF" w:rsidRPr="00D86D5A" w:rsidRDefault="001A3ABF" w:rsidP="001A3ABF">
      <w:pPr>
        <w:tabs>
          <w:tab w:val="left" w:pos="9360"/>
        </w:tabs>
        <w:spacing w:after="0" w:line="480" w:lineRule="auto"/>
        <w:rPr>
          <w:rFonts w:ascii="Times New Roman" w:hAnsi="Times New Roman" w:cs="Times New Roman"/>
          <w:b/>
          <w:sz w:val="26"/>
          <w:szCs w:val="26"/>
        </w:rPr>
      </w:pPr>
      <w:r w:rsidRPr="00D86D5A">
        <w:rPr>
          <w:rFonts w:ascii="Times New Roman" w:hAnsi="Times New Roman" w:cs="Times New Roman"/>
          <w:b/>
          <w:sz w:val="26"/>
          <w:szCs w:val="26"/>
        </w:rPr>
        <w:t>Safety, Dosing, and Pharmaceutical Quality for Studies that Evaluate Medicinal Products (including Biological Products) in Neonates</w:t>
      </w:r>
    </w:p>
    <w:p w14:paraId="699D52E0" w14:textId="77777777" w:rsidR="001A3ABF" w:rsidRPr="00E62256" w:rsidRDefault="001A3ABF" w:rsidP="001A3ABF">
      <w:pPr>
        <w:tabs>
          <w:tab w:val="left" w:pos="9360"/>
        </w:tabs>
        <w:spacing w:after="0" w:line="480" w:lineRule="auto"/>
        <w:rPr>
          <w:rFonts w:ascii="Times New Roman" w:hAnsi="Times New Roman" w:cs="Times New Roman"/>
          <w:b/>
          <w:sz w:val="24"/>
          <w:szCs w:val="24"/>
        </w:rPr>
      </w:pPr>
      <w:r w:rsidRPr="00E62256">
        <w:rPr>
          <w:rFonts w:ascii="Times New Roman" w:hAnsi="Times New Roman" w:cs="Times New Roman"/>
          <w:b/>
          <w:sz w:val="24"/>
          <w:szCs w:val="24"/>
        </w:rPr>
        <w:t xml:space="preserve">Running Title: </w:t>
      </w:r>
      <w:r>
        <w:rPr>
          <w:rFonts w:ascii="Times New Roman" w:hAnsi="Times New Roman" w:cs="Times New Roman"/>
          <w:b/>
          <w:sz w:val="24"/>
          <w:szCs w:val="24"/>
        </w:rPr>
        <w:t>Study of Drugs in the Neonate</w:t>
      </w:r>
    </w:p>
    <w:p w14:paraId="53814180" w14:textId="77777777" w:rsidR="001A3ABF" w:rsidRPr="00E62256" w:rsidRDefault="001A3ABF" w:rsidP="001A3ABF">
      <w:pPr>
        <w:tabs>
          <w:tab w:val="left" w:pos="9360"/>
        </w:tabs>
        <w:spacing w:after="0" w:line="480" w:lineRule="auto"/>
        <w:rPr>
          <w:rFonts w:ascii="Times New Roman" w:hAnsi="Times New Roman" w:cs="Times New Roman"/>
          <w:b/>
          <w:sz w:val="24"/>
          <w:szCs w:val="24"/>
        </w:rPr>
      </w:pPr>
    </w:p>
    <w:p w14:paraId="20BABB72" w14:textId="77777777" w:rsidR="001A3ABF" w:rsidRPr="00E62256" w:rsidRDefault="001A3ABF" w:rsidP="001A3ABF">
      <w:pPr>
        <w:tabs>
          <w:tab w:val="left" w:pos="9360"/>
        </w:tabs>
        <w:spacing w:after="0" w:line="480" w:lineRule="auto"/>
        <w:rPr>
          <w:rFonts w:ascii="Times New Roman" w:hAnsi="Times New Roman" w:cs="Times New Roman"/>
          <w:sz w:val="24"/>
          <w:szCs w:val="24"/>
        </w:rPr>
      </w:pPr>
      <w:r w:rsidRPr="00E62256">
        <w:rPr>
          <w:rFonts w:ascii="Times New Roman" w:hAnsi="Times New Roman" w:cs="Times New Roman"/>
          <w:sz w:val="24"/>
          <w:szCs w:val="24"/>
        </w:rPr>
        <w:t xml:space="preserve">Robert </w:t>
      </w:r>
      <w:r>
        <w:rPr>
          <w:rFonts w:ascii="Times New Roman" w:hAnsi="Times New Roman" w:cs="Times New Roman"/>
          <w:sz w:val="24"/>
          <w:szCs w:val="24"/>
        </w:rPr>
        <w:t xml:space="preserve">M. </w:t>
      </w:r>
      <w:r w:rsidRPr="00E62256">
        <w:rPr>
          <w:rFonts w:ascii="Times New Roman" w:hAnsi="Times New Roman" w:cs="Times New Roman"/>
          <w:sz w:val="24"/>
          <w:szCs w:val="24"/>
        </w:rPr>
        <w:t>Ward</w:t>
      </w:r>
      <w:r w:rsidRPr="00E62256">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E62256">
        <w:rPr>
          <w:rFonts w:ascii="Times New Roman" w:hAnsi="Times New Roman" w:cs="Times New Roman"/>
          <w:sz w:val="24"/>
          <w:szCs w:val="24"/>
        </w:rPr>
        <w:t>, Daniel Benjamin</w:t>
      </w:r>
      <w:r w:rsidRPr="00E62256">
        <w:rPr>
          <w:rFonts w:ascii="Times New Roman" w:hAnsi="Times New Roman" w:cs="Times New Roman"/>
          <w:sz w:val="24"/>
          <w:szCs w:val="24"/>
          <w:vertAlign w:val="superscript"/>
        </w:rPr>
        <w:t>2</w:t>
      </w:r>
      <w:r w:rsidRPr="00E62256">
        <w:rPr>
          <w:rFonts w:ascii="Times New Roman" w:hAnsi="Times New Roman" w:cs="Times New Roman"/>
          <w:sz w:val="24"/>
          <w:szCs w:val="24"/>
        </w:rPr>
        <w:t xml:space="preserve">, Jeffrey </w:t>
      </w:r>
      <w:r>
        <w:rPr>
          <w:rFonts w:ascii="Times New Roman" w:hAnsi="Times New Roman" w:cs="Times New Roman"/>
          <w:sz w:val="24"/>
          <w:szCs w:val="24"/>
        </w:rPr>
        <w:t xml:space="preserve">S. </w:t>
      </w:r>
      <w:r w:rsidRPr="00E62256">
        <w:rPr>
          <w:rFonts w:ascii="Times New Roman" w:hAnsi="Times New Roman" w:cs="Times New Roman"/>
          <w:sz w:val="24"/>
          <w:szCs w:val="24"/>
        </w:rPr>
        <w:t>Barrett</w:t>
      </w:r>
      <w:r w:rsidRPr="00E62256">
        <w:rPr>
          <w:rFonts w:ascii="Times New Roman" w:hAnsi="Times New Roman" w:cs="Times New Roman"/>
          <w:sz w:val="24"/>
          <w:szCs w:val="24"/>
          <w:vertAlign w:val="superscript"/>
        </w:rPr>
        <w:t>3</w:t>
      </w:r>
      <w:r w:rsidRPr="00E62256">
        <w:rPr>
          <w:rFonts w:ascii="Times New Roman" w:hAnsi="Times New Roman" w:cs="Times New Roman"/>
          <w:sz w:val="24"/>
          <w:szCs w:val="24"/>
        </w:rPr>
        <w:t>, Karel Allegaert</w:t>
      </w:r>
      <w:r w:rsidRPr="00E62256">
        <w:rPr>
          <w:rFonts w:ascii="Times New Roman" w:hAnsi="Times New Roman" w:cs="Times New Roman"/>
          <w:sz w:val="24"/>
          <w:szCs w:val="24"/>
          <w:vertAlign w:val="superscript"/>
        </w:rPr>
        <w:t>4</w:t>
      </w:r>
      <w:r w:rsidRPr="00E62256">
        <w:rPr>
          <w:rFonts w:ascii="Times New Roman" w:hAnsi="Times New Roman" w:cs="Times New Roman"/>
          <w:sz w:val="24"/>
          <w:szCs w:val="24"/>
        </w:rPr>
        <w:t>, Ron</w:t>
      </w:r>
      <w:r>
        <w:rPr>
          <w:rFonts w:ascii="Times New Roman" w:hAnsi="Times New Roman" w:cs="Times New Roman"/>
          <w:sz w:val="24"/>
          <w:szCs w:val="24"/>
        </w:rPr>
        <w:t>ald</w:t>
      </w:r>
      <w:r w:rsidRPr="00E62256">
        <w:rPr>
          <w:rFonts w:ascii="Times New Roman" w:hAnsi="Times New Roman" w:cs="Times New Roman"/>
          <w:sz w:val="24"/>
          <w:szCs w:val="24"/>
        </w:rPr>
        <w:t xml:space="preserve"> Portman</w:t>
      </w:r>
      <w:r w:rsidRPr="00E62256">
        <w:rPr>
          <w:rFonts w:ascii="Times New Roman" w:hAnsi="Times New Roman" w:cs="Times New Roman"/>
          <w:sz w:val="24"/>
          <w:szCs w:val="24"/>
          <w:vertAlign w:val="superscript"/>
        </w:rPr>
        <w:t>5</w:t>
      </w:r>
      <w:r w:rsidRPr="00E62256">
        <w:rPr>
          <w:rFonts w:ascii="Times New Roman" w:hAnsi="Times New Roman" w:cs="Times New Roman"/>
          <w:sz w:val="24"/>
          <w:szCs w:val="24"/>
        </w:rPr>
        <w:t>, Jonathan M. Davis</w:t>
      </w:r>
      <w:r w:rsidRPr="001A538A">
        <w:rPr>
          <w:rFonts w:ascii="Times New Roman" w:hAnsi="Times New Roman" w:cs="Times New Roman"/>
          <w:sz w:val="24"/>
          <w:szCs w:val="24"/>
          <w:vertAlign w:val="superscript"/>
        </w:rPr>
        <w:t>6</w:t>
      </w:r>
      <w:r w:rsidRPr="00E62256">
        <w:rPr>
          <w:rFonts w:ascii="Times New Roman" w:hAnsi="Times New Roman" w:cs="Times New Roman"/>
          <w:sz w:val="24"/>
          <w:szCs w:val="24"/>
        </w:rPr>
        <w:t>, Mark A. Turner</w:t>
      </w:r>
      <w:r>
        <w:rPr>
          <w:rFonts w:ascii="Times New Roman" w:hAnsi="Times New Roman" w:cs="Times New Roman"/>
          <w:sz w:val="24"/>
          <w:szCs w:val="24"/>
          <w:vertAlign w:val="superscript"/>
        </w:rPr>
        <w:t>7</w:t>
      </w:r>
      <w:r w:rsidRPr="001A538A">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E62256">
        <w:rPr>
          <w:rFonts w:ascii="Times New Roman" w:hAnsi="Times New Roman" w:cs="Times New Roman"/>
          <w:sz w:val="24"/>
          <w:szCs w:val="24"/>
        </w:rPr>
        <w:t>and the International Neonatal Consortium (INC)</w:t>
      </w:r>
      <w:r w:rsidRPr="00E62256">
        <w:rPr>
          <w:rFonts w:ascii="Times New Roman" w:hAnsi="Times New Roman" w:cs="Times New Roman"/>
          <w:sz w:val="24"/>
          <w:szCs w:val="24"/>
          <w:vertAlign w:val="superscript"/>
        </w:rPr>
        <w:t>8</w:t>
      </w:r>
    </w:p>
    <w:p w14:paraId="36B5C621" w14:textId="77777777" w:rsidR="001A3ABF" w:rsidRPr="00E62256" w:rsidRDefault="001A3ABF" w:rsidP="001A3ABF">
      <w:pPr>
        <w:tabs>
          <w:tab w:val="left" w:pos="9360"/>
        </w:tabs>
        <w:spacing w:after="0" w:line="480" w:lineRule="auto"/>
        <w:rPr>
          <w:rFonts w:ascii="Times New Roman" w:hAnsi="Times New Roman" w:cs="Times New Roman"/>
          <w:sz w:val="24"/>
          <w:szCs w:val="24"/>
        </w:rPr>
      </w:pPr>
    </w:p>
    <w:p w14:paraId="767E9EED" w14:textId="77777777" w:rsidR="001A3ABF" w:rsidRPr="00474263" w:rsidRDefault="001A3ABF" w:rsidP="001A3ABF">
      <w:pPr>
        <w:tabs>
          <w:tab w:val="left" w:pos="9360"/>
        </w:tabs>
        <w:spacing w:after="0" w:line="480" w:lineRule="auto"/>
        <w:rPr>
          <w:rFonts w:ascii="Times New Roman" w:hAnsi="Times New Roman" w:cs="Times New Roman"/>
          <w:sz w:val="24"/>
          <w:szCs w:val="24"/>
        </w:rPr>
      </w:pPr>
      <w:r w:rsidRPr="001A3ABF">
        <w:rPr>
          <w:rFonts w:ascii="Times New Roman" w:hAnsi="Times New Roman" w:cs="Times New Roman"/>
          <w:sz w:val="24"/>
          <w:szCs w:val="24"/>
          <w:vertAlign w:val="superscript"/>
        </w:rPr>
        <w:t>1</w:t>
      </w:r>
      <w:r w:rsidRPr="00226501">
        <w:rPr>
          <w:rFonts w:ascii="Times New Roman" w:hAnsi="Times New Roman" w:cs="Times New Roman"/>
          <w:sz w:val="24"/>
          <w:szCs w:val="24"/>
        </w:rPr>
        <w:t>Divisions</w:t>
      </w:r>
      <w:r w:rsidRPr="00474263">
        <w:rPr>
          <w:rFonts w:ascii="Times New Roman" w:hAnsi="Times New Roman" w:cs="Times New Roman"/>
          <w:sz w:val="24"/>
          <w:szCs w:val="24"/>
        </w:rPr>
        <w:t xml:space="preserve"> of Neonatology</w:t>
      </w:r>
      <w:r>
        <w:rPr>
          <w:rFonts w:ascii="Times New Roman" w:hAnsi="Times New Roman" w:cs="Times New Roman"/>
          <w:sz w:val="24"/>
          <w:szCs w:val="24"/>
        </w:rPr>
        <w:t xml:space="preserve"> and Clinical Pharmacology,</w:t>
      </w:r>
      <w:r w:rsidRPr="00474263">
        <w:rPr>
          <w:rFonts w:ascii="Times New Roman" w:hAnsi="Times New Roman" w:cs="Times New Roman"/>
          <w:sz w:val="24"/>
          <w:szCs w:val="24"/>
        </w:rPr>
        <w:t xml:space="preserve"> Department of Pediatrics, University of Utah</w:t>
      </w:r>
      <w:r>
        <w:rPr>
          <w:rFonts w:ascii="Times New Roman" w:hAnsi="Times New Roman" w:cs="Times New Roman"/>
          <w:sz w:val="24"/>
          <w:szCs w:val="24"/>
        </w:rPr>
        <w:t xml:space="preserve">, Salt Lake City, UT, </w:t>
      </w:r>
      <w:r w:rsidRPr="00474263">
        <w:rPr>
          <w:rFonts w:ascii="Times New Roman" w:hAnsi="Times New Roman" w:cs="Times New Roman"/>
          <w:sz w:val="24"/>
          <w:szCs w:val="24"/>
        </w:rPr>
        <w:t>USA</w:t>
      </w:r>
      <w:r>
        <w:rPr>
          <w:rFonts w:ascii="Times New Roman" w:hAnsi="Times New Roman" w:cs="Times New Roman"/>
          <w:sz w:val="24"/>
          <w:szCs w:val="24"/>
        </w:rPr>
        <w:t>.</w:t>
      </w:r>
    </w:p>
    <w:p w14:paraId="72A3DA1D" w14:textId="77777777" w:rsidR="001A3ABF" w:rsidRPr="00E62256" w:rsidRDefault="001A3ABF" w:rsidP="001A3ABF">
      <w:pPr>
        <w:tabs>
          <w:tab w:val="left" w:pos="9360"/>
        </w:tabs>
        <w:spacing w:after="0" w:line="480" w:lineRule="auto"/>
        <w:rPr>
          <w:rFonts w:ascii="Times New Roman" w:hAnsi="Times New Roman" w:cs="Times New Roman"/>
          <w:sz w:val="24"/>
          <w:szCs w:val="24"/>
        </w:rPr>
      </w:pPr>
      <w:r w:rsidRPr="008E0AEB">
        <w:rPr>
          <w:rFonts w:ascii="Times New Roman" w:hAnsi="Times New Roman" w:cs="Times New Roman"/>
          <w:sz w:val="24"/>
          <w:szCs w:val="24"/>
          <w:vertAlign w:val="superscript"/>
        </w:rPr>
        <w:t>2</w:t>
      </w:r>
      <w:r>
        <w:rPr>
          <w:rFonts w:ascii="Times New Roman" w:hAnsi="Times New Roman" w:cs="Times New Roman"/>
          <w:sz w:val="24"/>
          <w:szCs w:val="24"/>
        </w:rPr>
        <w:t>Department of Pediatrics and Duke Clinical Research Institute, Duke University, Durham, NC, USA</w:t>
      </w:r>
    </w:p>
    <w:p w14:paraId="12F379A8" w14:textId="77777777" w:rsidR="001A3ABF" w:rsidRPr="00474263" w:rsidRDefault="001A3ABF" w:rsidP="001A3ABF">
      <w:pPr>
        <w:tabs>
          <w:tab w:val="left" w:pos="9360"/>
        </w:tabs>
        <w:spacing w:after="0" w:line="480" w:lineRule="auto"/>
        <w:rPr>
          <w:rFonts w:ascii="Times New Roman" w:hAnsi="Times New Roman" w:cs="Times New Roman"/>
          <w:sz w:val="24"/>
          <w:szCs w:val="24"/>
          <w:vertAlign w:val="superscript"/>
        </w:rPr>
      </w:pPr>
      <w:r w:rsidRPr="00474263">
        <w:rPr>
          <w:rFonts w:ascii="Times New Roman" w:hAnsi="Times New Roman" w:cs="Times New Roman"/>
          <w:sz w:val="24"/>
          <w:szCs w:val="24"/>
          <w:vertAlign w:val="superscript"/>
        </w:rPr>
        <w:t>3</w:t>
      </w:r>
      <w:r w:rsidRPr="00474263">
        <w:rPr>
          <w:rFonts w:ascii="Times New Roman" w:hAnsi="Times New Roman" w:cs="Times New Roman"/>
          <w:sz w:val="24"/>
          <w:szCs w:val="24"/>
        </w:rPr>
        <w:t>Translational Informatics and Pediatric Network, Sanofi Pharmaceuticals, Bridgewater, NJ, USA</w:t>
      </w:r>
    </w:p>
    <w:p w14:paraId="218EE3E5" w14:textId="77777777" w:rsidR="001A3ABF" w:rsidRPr="00125521" w:rsidRDefault="001A3ABF" w:rsidP="001A3ABF">
      <w:pPr>
        <w:tabs>
          <w:tab w:val="left" w:pos="9360"/>
        </w:tabs>
        <w:spacing w:after="0" w:line="480" w:lineRule="auto"/>
        <w:rPr>
          <w:rFonts w:ascii="Times New Roman" w:hAnsi="Times New Roman" w:cs="Times New Roman"/>
          <w:sz w:val="24"/>
          <w:szCs w:val="24"/>
        </w:rPr>
      </w:pPr>
      <w:r w:rsidRPr="008E0AEB">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Intensive Care and Department of Surgery, Erasmus MC-Sophia Children’s Hospital, Rotterdam, The Netherlands and the Neonatal Intensive Care Unit, University of Leuven, Leuven, Belgium </w:t>
      </w:r>
    </w:p>
    <w:p w14:paraId="01C99512" w14:textId="77777777" w:rsidR="001A3ABF" w:rsidRPr="00E62256" w:rsidRDefault="001A3ABF" w:rsidP="001A3ABF">
      <w:pPr>
        <w:tabs>
          <w:tab w:val="left" w:pos="9360"/>
        </w:tabs>
        <w:spacing w:after="0" w:line="480" w:lineRule="auto"/>
        <w:rPr>
          <w:rFonts w:ascii="Times New Roman" w:hAnsi="Times New Roman" w:cs="Times New Roman"/>
          <w:sz w:val="24"/>
          <w:szCs w:val="24"/>
        </w:rPr>
      </w:pPr>
      <w:r w:rsidRPr="00E62256">
        <w:rPr>
          <w:rFonts w:ascii="Times New Roman" w:hAnsi="Times New Roman" w:cs="Times New Roman"/>
          <w:sz w:val="24"/>
          <w:szCs w:val="24"/>
          <w:vertAlign w:val="superscript"/>
        </w:rPr>
        <w:t>5</w:t>
      </w:r>
      <w:r w:rsidRPr="00E62256">
        <w:rPr>
          <w:rFonts w:ascii="Times New Roman" w:hAnsi="Times New Roman" w:cs="Times New Roman"/>
          <w:sz w:val="24"/>
          <w:szCs w:val="24"/>
        </w:rPr>
        <w:t>Pediatric Therapeutic Area, Novartis Pharmaceuticals Corporation, East Hanover, NJ, USA</w:t>
      </w:r>
    </w:p>
    <w:p w14:paraId="2D6894F4" w14:textId="77777777" w:rsidR="001A3ABF" w:rsidRPr="00E62256" w:rsidRDefault="001A3ABF" w:rsidP="001A3ABF">
      <w:pPr>
        <w:tabs>
          <w:tab w:val="left" w:pos="9360"/>
        </w:tabs>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6</w:t>
      </w:r>
      <w:r w:rsidRPr="00E62256">
        <w:rPr>
          <w:rFonts w:ascii="Times New Roman" w:hAnsi="Times New Roman" w:cs="Times New Roman"/>
          <w:sz w:val="24"/>
          <w:szCs w:val="24"/>
        </w:rPr>
        <w:t xml:space="preserve">Department of Pediatrics, Floating Hospital for Children, Tufts Medical Center, and Tufts Clinical and Translational Science Institute, Tufts University, Boston, </w:t>
      </w:r>
      <w:r>
        <w:rPr>
          <w:rFonts w:ascii="Times New Roman" w:hAnsi="Times New Roman" w:cs="Times New Roman"/>
          <w:sz w:val="24"/>
          <w:szCs w:val="24"/>
        </w:rPr>
        <w:t>MA</w:t>
      </w:r>
      <w:r w:rsidRPr="00E62256">
        <w:rPr>
          <w:rFonts w:ascii="Times New Roman" w:hAnsi="Times New Roman" w:cs="Times New Roman"/>
          <w:sz w:val="24"/>
          <w:szCs w:val="24"/>
        </w:rPr>
        <w:t>, USA</w:t>
      </w:r>
    </w:p>
    <w:p w14:paraId="20271E13" w14:textId="77777777" w:rsidR="001A3ABF" w:rsidRDefault="001A3ABF" w:rsidP="001A3ABF">
      <w:pPr>
        <w:tabs>
          <w:tab w:val="left" w:pos="9360"/>
        </w:tabs>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7</w:t>
      </w:r>
      <w:r w:rsidRPr="00E62256">
        <w:rPr>
          <w:rFonts w:ascii="Times New Roman" w:hAnsi="Times New Roman" w:cs="Times New Roman"/>
          <w:sz w:val="24"/>
          <w:szCs w:val="24"/>
        </w:rPr>
        <w:t>Institute of Translational Medicine, University of Liverpool, Liverpool, UK</w:t>
      </w:r>
      <w:r w:rsidRPr="00E62256">
        <w:rPr>
          <w:rFonts w:ascii="Times New Roman" w:hAnsi="Times New Roman" w:cs="Times New Roman"/>
          <w:sz w:val="24"/>
          <w:szCs w:val="24"/>
          <w:vertAlign w:val="superscript"/>
        </w:rPr>
        <w:t xml:space="preserve"> </w:t>
      </w:r>
    </w:p>
    <w:p w14:paraId="17B989AF" w14:textId="77777777" w:rsidR="001A3ABF" w:rsidRDefault="001A3ABF" w:rsidP="001A3ABF">
      <w:pPr>
        <w:tabs>
          <w:tab w:val="left" w:pos="9360"/>
        </w:tabs>
        <w:spacing w:after="0" w:line="480" w:lineRule="auto"/>
        <w:rPr>
          <w:rFonts w:ascii="Times New Roman" w:hAnsi="Times New Roman" w:cs="Times New Roman"/>
          <w:sz w:val="24"/>
          <w:szCs w:val="24"/>
        </w:rPr>
      </w:pPr>
      <w:r w:rsidRPr="00E62256">
        <w:rPr>
          <w:rFonts w:ascii="Times New Roman" w:hAnsi="Times New Roman" w:cs="Times New Roman"/>
          <w:sz w:val="24"/>
          <w:szCs w:val="24"/>
          <w:vertAlign w:val="superscript"/>
        </w:rPr>
        <w:t>8</w:t>
      </w:r>
      <w:r w:rsidRPr="00E62256">
        <w:rPr>
          <w:rFonts w:ascii="Times New Roman" w:hAnsi="Times New Roman" w:cs="Times New Roman"/>
          <w:sz w:val="24"/>
          <w:szCs w:val="24"/>
        </w:rPr>
        <w:t xml:space="preserve">INC is headquartered at the Critical Path Institute, Tucson, </w:t>
      </w:r>
      <w:r>
        <w:rPr>
          <w:rFonts w:ascii="Times New Roman" w:hAnsi="Times New Roman" w:cs="Times New Roman"/>
          <w:sz w:val="24"/>
          <w:szCs w:val="24"/>
        </w:rPr>
        <w:t>AZ</w:t>
      </w:r>
      <w:r w:rsidRPr="00E62256">
        <w:rPr>
          <w:rFonts w:ascii="Times New Roman" w:hAnsi="Times New Roman" w:cs="Times New Roman"/>
          <w:sz w:val="24"/>
          <w:szCs w:val="24"/>
        </w:rPr>
        <w:t>, USA</w:t>
      </w:r>
    </w:p>
    <w:p w14:paraId="01D0AE8F" w14:textId="77777777" w:rsidR="001A3ABF" w:rsidRPr="00E62256" w:rsidRDefault="001A3ABF" w:rsidP="001A3ABF">
      <w:pPr>
        <w:tabs>
          <w:tab w:val="left" w:pos="9360"/>
        </w:tabs>
        <w:spacing w:after="0" w:line="480" w:lineRule="auto"/>
        <w:rPr>
          <w:rFonts w:ascii="Times New Roman" w:hAnsi="Times New Roman" w:cs="Times New Roman"/>
          <w:sz w:val="24"/>
          <w:szCs w:val="24"/>
        </w:rPr>
      </w:pPr>
    </w:p>
    <w:p w14:paraId="3DC55AA6" w14:textId="54CA53F3" w:rsidR="001A3ABF" w:rsidRPr="00E62256" w:rsidRDefault="001A3ABF" w:rsidP="001A3ABF">
      <w:pPr>
        <w:tabs>
          <w:tab w:val="left" w:pos="9360"/>
        </w:tabs>
        <w:spacing w:after="0" w:line="480" w:lineRule="auto"/>
        <w:rPr>
          <w:rFonts w:ascii="Times New Roman" w:hAnsi="Times New Roman" w:cs="Times New Roman"/>
          <w:sz w:val="24"/>
          <w:szCs w:val="24"/>
        </w:rPr>
      </w:pPr>
      <w:r w:rsidRPr="00E62256">
        <w:rPr>
          <w:rFonts w:ascii="Times New Roman" w:hAnsi="Times New Roman" w:cs="Times New Roman"/>
          <w:sz w:val="24"/>
          <w:szCs w:val="24"/>
        </w:rPr>
        <w:t xml:space="preserve">Funding:  The International Neonatal Consortium (INC) is supported in part by grant </w:t>
      </w:r>
      <w:r w:rsidRPr="00E62256">
        <w:rPr>
          <w:rFonts w:ascii="Times New Roman" w:hAnsi="Times New Roman" w:cs="Times New Roman"/>
          <w:color w:val="000000" w:themeColor="text1"/>
          <w:sz w:val="24"/>
          <w:szCs w:val="24"/>
        </w:rPr>
        <w:t>number U18FD005320-01 from</w:t>
      </w:r>
      <w:r w:rsidRPr="00E62256">
        <w:rPr>
          <w:rFonts w:ascii="Times New Roman" w:hAnsi="Times New Roman" w:cs="Times New Roman"/>
          <w:sz w:val="24"/>
          <w:szCs w:val="24"/>
        </w:rPr>
        <w:t xml:space="preserve"> the U.S. Food and Drug Administration (FDA) </w:t>
      </w:r>
      <w:r>
        <w:rPr>
          <w:rFonts w:ascii="Times New Roman" w:hAnsi="Times New Roman" w:cs="Times New Roman"/>
          <w:sz w:val="24"/>
          <w:szCs w:val="24"/>
        </w:rPr>
        <w:t xml:space="preserve">to the Critical Path Institute </w:t>
      </w:r>
      <w:r w:rsidRPr="00885561">
        <w:rPr>
          <w:rFonts w:ascii="Times New Roman" w:hAnsi="Times New Roman" w:cs="Times New Roman"/>
          <w:color w:val="000000" w:themeColor="text1"/>
          <w:sz w:val="24"/>
          <w:szCs w:val="24"/>
        </w:rPr>
        <w:t>(</w:t>
      </w:r>
      <w:hyperlink r:id="rId9" w:history="1">
        <w:r w:rsidRPr="00885561">
          <w:rPr>
            <w:rStyle w:val="Hyperlink"/>
            <w:rFonts w:ascii="Times New Roman" w:hAnsi="Times New Roman" w:cs="Times New Roman"/>
            <w:color w:val="000000" w:themeColor="text1"/>
            <w:sz w:val="24"/>
            <w:szCs w:val="24"/>
            <w:u w:val="none"/>
          </w:rPr>
          <w:t>http://c-path.org</w:t>
        </w:r>
      </w:hyperlink>
      <w:r w:rsidRPr="00885561">
        <w:rPr>
          <w:rStyle w:val="Hyperlink"/>
          <w:rFonts w:ascii="Times New Roman" w:hAnsi="Times New Roman" w:cs="Times New Roman"/>
          <w:color w:val="000000" w:themeColor="text1"/>
          <w:sz w:val="24"/>
          <w:szCs w:val="24"/>
          <w:u w:val="none"/>
        </w:rPr>
        <w:t>)</w:t>
      </w:r>
      <w:r w:rsidR="00885561">
        <w:rPr>
          <w:rFonts w:ascii="Times New Roman" w:hAnsi="Times New Roman" w:cs="Times New Roman"/>
          <w:color w:val="000000" w:themeColor="text1"/>
          <w:sz w:val="24"/>
          <w:szCs w:val="24"/>
        </w:rPr>
        <w:t xml:space="preserve"> </w:t>
      </w:r>
      <w:r w:rsidRPr="00E62256">
        <w:rPr>
          <w:rFonts w:ascii="Times New Roman" w:hAnsi="Times New Roman" w:cs="Times New Roman"/>
          <w:sz w:val="24"/>
          <w:szCs w:val="24"/>
        </w:rPr>
        <w:t xml:space="preserve">and through annual dues of member companies.  </w:t>
      </w:r>
    </w:p>
    <w:p w14:paraId="57335CB6" w14:textId="77777777" w:rsidR="001A3ABF" w:rsidRDefault="001A3ABF" w:rsidP="001A3ABF">
      <w:pPr>
        <w:tabs>
          <w:tab w:val="left" w:pos="936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Workshop:  On October 23, 2015, the Clinical Pharmacology Workgroup of INC held a workshop in Washington, D.C. to draft this document.  Co-chaired by Robert Ward, Jeffrey Barrett, and Karel Allegaert, participants at the workshop and INC members who contributed to drafting and finalizing the document included the following:  </w:t>
      </w:r>
    </w:p>
    <w:tbl>
      <w:tblPr>
        <w:tblW w:w="9465" w:type="dxa"/>
        <w:tblInd w:w="93" w:type="dxa"/>
        <w:tblLook w:val="04A0" w:firstRow="1" w:lastRow="0" w:firstColumn="1" w:lastColumn="0" w:noHBand="0" w:noVBand="1"/>
      </w:tblPr>
      <w:tblGrid>
        <w:gridCol w:w="2445"/>
        <w:gridCol w:w="7020"/>
      </w:tblGrid>
      <w:tr w:rsidR="001A3ABF" w14:paraId="2C32B2FD" w14:textId="77777777" w:rsidTr="00FA1D71">
        <w:trPr>
          <w:trHeight w:val="315"/>
        </w:trPr>
        <w:tc>
          <w:tcPr>
            <w:tcW w:w="2445" w:type="dxa"/>
            <w:shd w:val="clear" w:color="auto" w:fill="auto"/>
            <w:noWrap/>
            <w:hideMark/>
          </w:tcPr>
          <w:p w14:paraId="68788AC1"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Dina Apele Freimane</w:t>
            </w:r>
          </w:p>
        </w:tc>
        <w:tc>
          <w:tcPr>
            <w:tcW w:w="7020" w:type="dxa"/>
          </w:tcPr>
          <w:p w14:paraId="737009BE"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Pauls Stradins Clinical University Hospital, Latvia</w:t>
            </w:r>
          </w:p>
        </w:tc>
      </w:tr>
      <w:tr w:rsidR="001A3ABF" w14:paraId="5925AE35" w14:textId="77777777" w:rsidTr="00FA1D71">
        <w:trPr>
          <w:trHeight w:val="315"/>
        </w:trPr>
        <w:tc>
          <w:tcPr>
            <w:tcW w:w="2445" w:type="dxa"/>
            <w:shd w:val="clear" w:color="auto" w:fill="auto"/>
            <w:noWrap/>
            <w:hideMark/>
          </w:tcPr>
          <w:p w14:paraId="30095C38"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Jack Aranda</w:t>
            </w:r>
          </w:p>
        </w:tc>
        <w:tc>
          <w:tcPr>
            <w:tcW w:w="7020" w:type="dxa"/>
          </w:tcPr>
          <w:p w14:paraId="72238EAE"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Hospital of Brooklyn</w:t>
            </w:r>
          </w:p>
        </w:tc>
      </w:tr>
      <w:tr w:rsidR="001A3ABF" w14:paraId="5BFCD189" w14:textId="77777777" w:rsidTr="00FA1D71">
        <w:trPr>
          <w:trHeight w:val="315"/>
        </w:trPr>
        <w:tc>
          <w:tcPr>
            <w:tcW w:w="2445" w:type="dxa"/>
            <w:shd w:val="clear" w:color="auto" w:fill="auto"/>
            <w:noWrap/>
            <w:hideMark/>
          </w:tcPr>
          <w:p w14:paraId="159910FB"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Ronald Ariagno</w:t>
            </w:r>
          </w:p>
        </w:tc>
        <w:tc>
          <w:tcPr>
            <w:tcW w:w="7020" w:type="dxa"/>
          </w:tcPr>
          <w:p w14:paraId="2C2D2BFA"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Stanford University / U.S. Food and Drug Administration</w:t>
            </w:r>
          </w:p>
        </w:tc>
      </w:tr>
      <w:tr w:rsidR="001A3ABF" w14:paraId="03CF0065" w14:textId="77777777" w:rsidTr="00FA1D71">
        <w:trPr>
          <w:trHeight w:val="315"/>
        </w:trPr>
        <w:tc>
          <w:tcPr>
            <w:tcW w:w="2445" w:type="dxa"/>
            <w:shd w:val="clear" w:color="auto" w:fill="auto"/>
            <w:noWrap/>
            <w:hideMark/>
          </w:tcPr>
          <w:p w14:paraId="0CFF6C0F"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Daniel Benjamin</w:t>
            </w:r>
          </w:p>
        </w:tc>
        <w:tc>
          <w:tcPr>
            <w:tcW w:w="7020" w:type="dxa"/>
          </w:tcPr>
          <w:p w14:paraId="3DE13585"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Duke University</w:t>
            </w:r>
          </w:p>
        </w:tc>
      </w:tr>
      <w:tr w:rsidR="001A3ABF" w14:paraId="127701A9" w14:textId="77777777" w:rsidTr="00FA1D71">
        <w:trPr>
          <w:trHeight w:val="315"/>
        </w:trPr>
        <w:tc>
          <w:tcPr>
            <w:tcW w:w="2445" w:type="dxa"/>
            <w:shd w:val="clear" w:color="auto" w:fill="auto"/>
            <w:noWrap/>
            <w:hideMark/>
          </w:tcPr>
          <w:p w14:paraId="374EC456"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Raafat Bishai</w:t>
            </w:r>
          </w:p>
        </w:tc>
        <w:tc>
          <w:tcPr>
            <w:tcW w:w="7020" w:type="dxa"/>
          </w:tcPr>
          <w:p w14:paraId="63CEE012"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AstraZeneca</w:t>
            </w:r>
          </w:p>
        </w:tc>
      </w:tr>
      <w:tr w:rsidR="001A3ABF" w14:paraId="23C79B28" w14:textId="77777777" w:rsidTr="00FA1D71">
        <w:trPr>
          <w:trHeight w:val="315"/>
        </w:trPr>
        <w:tc>
          <w:tcPr>
            <w:tcW w:w="2445" w:type="dxa"/>
            <w:shd w:val="clear" w:color="auto" w:fill="auto"/>
            <w:noWrap/>
            <w:hideMark/>
          </w:tcPr>
          <w:p w14:paraId="7A87722E"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Edmund Capparelli</w:t>
            </w:r>
          </w:p>
        </w:tc>
        <w:tc>
          <w:tcPr>
            <w:tcW w:w="7020" w:type="dxa"/>
          </w:tcPr>
          <w:p w14:paraId="39343AFC"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California, San Diego</w:t>
            </w:r>
          </w:p>
        </w:tc>
      </w:tr>
      <w:tr w:rsidR="001A3ABF" w14:paraId="423569C9" w14:textId="77777777" w:rsidTr="00FA1D71">
        <w:trPr>
          <w:trHeight w:val="315"/>
        </w:trPr>
        <w:tc>
          <w:tcPr>
            <w:tcW w:w="2445" w:type="dxa"/>
            <w:shd w:val="clear" w:color="auto" w:fill="auto"/>
            <w:noWrap/>
            <w:hideMark/>
          </w:tcPr>
          <w:p w14:paraId="3B981D8E"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Edress Darsey</w:t>
            </w:r>
          </w:p>
        </w:tc>
        <w:tc>
          <w:tcPr>
            <w:tcW w:w="7020" w:type="dxa"/>
          </w:tcPr>
          <w:p w14:paraId="55B2AA20"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Pfizer Inc</w:t>
            </w:r>
          </w:p>
        </w:tc>
      </w:tr>
      <w:tr w:rsidR="001A3ABF" w14:paraId="1B5FEF36" w14:textId="77777777" w:rsidTr="00FA1D71">
        <w:trPr>
          <w:trHeight w:val="315"/>
        </w:trPr>
        <w:tc>
          <w:tcPr>
            <w:tcW w:w="2445" w:type="dxa"/>
            <w:shd w:val="clear" w:color="auto" w:fill="auto"/>
            <w:noWrap/>
            <w:hideMark/>
          </w:tcPr>
          <w:p w14:paraId="16282DE5"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Jonathan M. Davis</w:t>
            </w:r>
          </w:p>
        </w:tc>
        <w:tc>
          <w:tcPr>
            <w:tcW w:w="7020" w:type="dxa"/>
          </w:tcPr>
          <w:p w14:paraId="1E7576EC"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Tufts Medical Center and the Tufts Clinical and Translational Science Institute</w:t>
            </w:r>
          </w:p>
        </w:tc>
      </w:tr>
      <w:tr w:rsidR="001A3ABF" w14:paraId="037117A9" w14:textId="77777777" w:rsidTr="00FA1D71">
        <w:trPr>
          <w:trHeight w:val="315"/>
        </w:trPr>
        <w:tc>
          <w:tcPr>
            <w:tcW w:w="2445" w:type="dxa"/>
            <w:shd w:val="clear" w:color="auto" w:fill="auto"/>
            <w:noWrap/>
            <w:hideMark/>
          </w:tcPr>
          <w:p w14:paraId="4A68BC4A"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Walter Kraft</w:t>
            </w:r>
          </w:p>
        </w:tc>
        <w:tc>
          <w:tcPr>
            <w:tcW w:w="7020" w:type="dxa"/>
          </w:tcPr>
          <w:p w14:paraId="2F0C3C46"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Thomas Jefferson University</w:t>
            </w:r>
          </w:p>
        </w:tc>
      </w:tr>
      <w:tr w:rsidR="001A3ABF" w14:paraId="199B4486" w14:textId="77777777" w:rsidTr="00FA1D71">
        <w:trPr>
          <w:trHeight w:val="315"/>
        </w:trPr>
        <w:tc>
          <w:tcPr>
            <w:tcW w:w="2445" w:type="dxa"/>
            <w:shd w:val="clear" w:color="auto" w:fill="auto"/>
            <w:noWrap/>
            <w:hideMark/>
          </w:tcPr>
          <w:p w14:paraId="24A553C9"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Irja Lutsar</w:t>
            </w:r>
          </w:p>
        </w:tc>
        <w:tc>
          <w:tcPr>
            <w:tcW w:w="7020" w:type="dxa"/>
          </w:tcPr>
          <w:p w14:paraId="758C11FE"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Tartu, Estonia</w:t>
            </w:r>
          </w:p>
        </w:tc>
      </w:tr>
      <w:tr w:rsidR="001A3ABF" w14:paraId="26169BF0" w14:textId="77777777" w:rsidTr="00FA1D71">
        <w:trPr>
          <w:trHeight w:val="315"/>
        </w:trPr>
        <w:tc>
          <w:tcPr>
            <w:tcW w:w="2445" w:type="dxa"/>
            <w:shd w:val="clear" w:color="auto" w:fill="auto"/>
            <w:noWrap/>
            <w:hideMark/>
          </w:tcPr>
          <w:p w14:paraId="74A076E8"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Jeffrey Ming</w:t>
            </w:r>
          </w:p>
        </w:tc>
        <w:tc>
          <w:tcPr>
            <w:tcW w:w="7020" w:type="dxa"/>
          </w:tcPr>
          <w:p w14:paraId="4AFEA541"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Sanofi Pharmaceuticals</w:t>
            </w:r>
          </w:p>
        </w:tc>
      </w:tr>
      <w:tr w:rsidR="001A3ABF" w14:paraId="7055FA95" w14:textId="77777777" w:rsidTr="00FA1D71">
        <w:trPr>
          <w:trHeight w:val="315"/>
        </w:trPr>
        <w:tc>
          <w:tcPr>
            <w:tcW w:w="2445" w:type="dxa"/>
            <w:shd w:val="clear" w:color="auto" w:fill="auto"/>
            <w:noWrap/>
            <w:hideMark/>
          </w:tcPr>
          <w:p w14:paraId="4C68FA30"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Yeruk Mulugeta</w:t>
            </w:r>
          </w:p>
        </w:tc>
        <w:tc>
          <w:tcPr>
            <w:tcW w:w="7020" w:type="dxa"/>
          </w:tcPr>
          <w:p w14:paraId="7252DF86"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Food and Drug Administration</w:t>
            </w:r>
          </w:p>
        </w:tc>
      </w:tr>
      <w:tr w:rsidR="001A3ABF" w14:paraId="083EA39B" w14:textId="77777777" w:rsidTr="00FA1D71">
        <w:trPr>
          <w:trHeight w:val="315"/>
        </w:trPr>
        <w:tc>
          <w:tcPr>
            <w:tcW w:w="2445" w:type="dxa"/>
            <w:shd w:val="clear" w:color="auto" w:fill="auto"/>
            <w:noWrap/>
            <w:hideMark/>
          </w:tcPr>
          <w:p w14:paraId="2D7B1D57"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Min-Soo Park</w:t>
            </w:r>
          </w:p>
        </w:tc>
        <w:tc>
          <w:tcPr>
            <w:tcW w:w="7020" w:type="dxa"/>
          </w:tcPr>
          <w:p w14:paraId="67216C25"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Yonsei University College of Medicine</w:t>
            </w:r>
          </w:p>
        </w:tc>
      </w:tr>
      <w:tr w:rsidR="001A3ABF" w14:paraId="21FC584B" w14:textId="77777777" w:rsidTr="00FA1D71">
        <w:trPr>
          <w:trHeight w:val="315"/>
        </w:trPr>
        <w:tc>
          <w:tcPr>
            <w:tcW w:w="2445" w:type="dxa"/>
            <w:shd w:val="clear" w:color="auto" w:fill="auto"/>
            <w:noWrap/>
            <w:hideMark/>
          </w:tcPr>
          <w:p w14:paraId="661734D1"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Ronald Portman</w:t>
            </w:r>
          </w:p>
        </w:tc>
        <w:tc>
          <w:tcPr>
            <w:tcW w:w="7020" w:type="dxa"/>
          </w:tcPr>
          <w:p w14:paraId="23522905"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Novartis Pharmaceuticals</w:t>
            </w:r>
          </w:p>
        </w:tc>
      </w:tr>
      <w:tr w:rsidR="001A3ABF" w14:paraId="6EE68D10" w14:textId="77777777" w:rsidTr="00FA1D71">
        <w:trPr>
          <w:trHeight w:val="315"/>
        </w:trPr>
        <w:tc>
          <w:tcPr>
            <w:tcW w:w="2445" w:type="dxa"/>
            <w:shd w:val="clear" w:color="auto" w:fill="auto"/>
            <w:noWrap/>
            <w:hideMark/>
          </w:tcPr>
          <w:p w14:paraId="68D406EA"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Randy Prescilla</w:t>
            </w:r>
          </w:p>
        </w:tc>
        <w:tc>
          <w:tcPr>
            <w:tcW w:w="7020" w:type="dxa"/>
          </w:tcPr>
          <w:p w14:paraId="291A3EC3"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 Lilly and Company / Boston's Children Hospital</w:t>
            </w:r>
          </w:p>
        </w:tc>
      </w:tr>
      <w:tr w:rsidR="001A3ABF" w14:paraId="282E7771" w14:textId="77777777" w:rsidTr="00FA1D71">
        <w:trPr>
          <w:trHeight w:val="315"/>
        </w:trPr>
        <w:tc>
          <w:tcPr>
            <w:tcW w:w="2445" w:type="dxa"/>
            <w:shd w:val="clear" w:color="auto" w:fill="auto"/>
            <w:noWrap/>
            <w:hideMark/>
          </w:tcPr>
          <w:p w14:paraId="1DBE90EE"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Sherwin</w:t>
            </w:r>
          </w:p>
        </w:tc>
        <w:tc>
          <w:tcPr>
            <w:tcW w:w="7020" w:type="dxa"/>
          </w:tcPr>
          <w:p w14:paraId="32CAC684"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Utah</w:t>
            </w:r>
          </w:p>
        </w:tc>
      </w:tr>
      <w:tr w:rsidR="001A3ABF" w14:paraId="57DBD0AA" w14:textId="77777777" w:rsidTr="00FA1D71">
        <w:trPr>
          <w:trHeight w:val="315"/>
        </w:trPr>
        <w:tc>
          <w:tcPr>
            <w:tcW w:w="2445" w:type="dxa"/>
            <w:shd w:val="clear" w:color="auto" w:fill="auto"/>
            <w:noWrap/>
            <w:hideMark/>
          </w:tcPr>
          <w:p w14:paraId="19A8FA74"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Vikram Sinha</w:t>
            </w:r>
          </w:p>
        </w:tc>
        <w:tc>
          <w:tcPr>
            <w:tcW w:w="7020" w:type="dxa"/>
          </w:tcPr>
          <w:p w14:paraId="029CE3CD"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Food and Drug Administration</w:t>
            </w:r>
          </w:p>
        </w:tc>
      </w:tr>
      <w:tr w:rsidR="001A3ABF" w14:paraId="27C5892C" w14:textId="77777777" w:rsidTr="00FA1D71">
        <w:trPr>
          <w:trHeight w:val="315"/>
        </w:trPr>
        <w:tc>
          <w:tcPr>
            <w:tcW w:w="2445" w:type="dxa"/>
            <w:shd w:val="clear" w:color="auto" w:fill="auto"/>
            <w:noWrap/>
            <w:hideMark/>
          </w:tcPr>
          <w:p w14:paraId="26E0F582"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Ine Skottheim Rusten</w:t>
            </w:r>
          </w:p>
        </w:tc>
        <w:tc>
          <w:tcPr>
            <w:tcW w:w="7020" w:type="dxa"/>
          </w:tcPr>
          <w:p w14:paraId="1F374E5A"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Norwegian Medicines Agency</w:t>
            </w:r>
          </w:p>
        </w:tc>
      </w:tr>
      <w:tr w:rsidR="001A3ABF" w14:paraId="180BC293" w14:textId="77777777" w:rsidTr="00FA1D71">
        <w:trPr>
          <w:trHeight w:val="315"/>
        </w:trPr>
        <w:tc>
          <w:tcPr>
            <w:tcW w:w="2445" w:type="dxa"/>
            <w:shd w:val="clear" w:color="auto" w:fill="auto"/>
            <w:noWrap/>
            <w:hideMark/>
          </w:tcPr>
          <w:p w14:paraId="602C127B"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Adina Tocoian</w:t>
            </w:r>
          </w:p>
        </w:tc>
        <w:tc>
          <w:tcPr>
            <w:tcW w:w="7020" w:type="dxa"/>
          </w:tcPr>
          <w:p w14:paraId="15CDED0D"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Shire</w:t>
            </w:r>
          </w:p>
        </w:tc>
      </w:tr>
      <w:tr w:rsidR="001A3ABF" w14:paraId="0B3AE8B9" w14:textId="77777777" w:rsidTr="00FA1D71">
        <w:trPr>
          <w:trHeight w:val="315"/>
        </w:trPr>
        <w:tc>
          <w:tcPr>
            <w:tcW w:w="2445" w:type="dxa"/>
            <w:shd w:val="clear" w:color="auto" w:fill="auto"/>
            <w:noWrap/>
            <w:hideMark/>
          </w:tcPr>
          <w:p w14:paraId="16343362"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 Turner</w:t>
            </w:r>
          </w:p>
        </w:tc>
        <w:tc>
          <w:tcPr>
            <w:tcW w:w="7020" w:type="dxa"/>
          </w:tcPr>
          <w:p w14:paraId="6BA3EFFF"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Liverpool</w:t>
            </w:r>
          </w:p>
        </w:tc>
      </w:tr>
      <w:tr w:rsidR="001A3ABF" w14:paraId="1ABD5512" w14:textId="77777777" w:rsidTr="00FA1D71">
        <w:trPr>
          <w:trHeight w:val="315"/>
        </w:trPr>
        <w:tc>
          <w:tcPr>
            <w:tcW w:w="2445" w:type="dxa"/>
            <w:shd w:val="clear" w:color="auto" w:fill="auto"/>
            <w:noWrap/>
            <w:hideMark/>
          </w:tcPr>
          <w:p w14:paraId="6DFEC803"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van den Anker</w:t>
            </w:r>
          </w:p>
        </w:tc>
        <w:tc>
          <w:tcPr>
            <w:tcW w:w="7020" w:type="dxa"/>
          </w:tcPr>
          <w:p w14:paraId="624C0DE1" w14:textId="77777777" w:rsidR="001A3ABF" w:rsidRPr="00EC37B1" w:rsidRDefault="001A3ABF" w:rsidP="00FA1D71">
            <w:pPr>
              <w:tabs>
                <w:tab w:val="left" w:pos="9360"/>
              </w:tabs>
              <w:spacing w:after="320" w:line="480" w:lineRule="auto"/>
              <w:rPr>
                <w:rFonts w:ascii="Times New Roman" w:eastAsia="Times New Roman" w:hAnsi="Times New Roman" w:cs="Times New Roman"/>
                <w:sz w:val="24"/>
                <w:szCs w:val="24"/>
              </w:rPr>
            </w:pPr>
            <w:r w:rsidRPr="00EC37B1">
              <w:rPr>
                <w:rFonts w:ascii="Times New Roman" w:hAnsi="Times New Roman" w:cs="Times New Roman"/>
                <w:sz w:val="24"/>
                <w:szCs w:val="24"/>
              </w:rPr>
              <w:t>Children's National Health System, University of Basel Children's Hospital, and Sophia Children's Hospital</w:t>
            </w:r>
          </w:p>
        </w:tc>
      </w:tr>
      <w:tr w:rsidR="001A3ABF" w14:paraId="73DB2CF3" w14:textId="77777777" w:rsidTr="00FA1D71">
        <w:trPr>
          <w:trHeight w:val="315"/>
        </w:trPr>
        <w:tc>
          <w:tcPr>
            <w:tcW w:w="2445" w:type="dxa"/>
            <w:shd w:val="clear" w:color="auto" w:fill="auto"/>
            <w:noWrap/>
            <w:hideMark/>
          </w:tcPr>
          <w:p w14:paraId="6C754F54"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 Vinks</w:t>
            </w:r>
          </w:p>
        </w:tc>
        <w:tc>
          <w:tcPr>
            <w:tcW w:w="7020" w:type="dxa"/>
          </w:tcPr>
          <w:p w14:paraId="6B7147C4"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Cincinnati Children's Hospital Medical Center</w:t>
            </w:r>
          </w:p>
        </w:tc>
      </w:tr>
      <w:tr w:rsidR="001A3ABF" w14:paraId="04BA404A" w14:textId="77777777" w:rsidTr="00FA1D71">
        <w:trPr>
          <w:trHeight w:val="315"/>
        </w:trPr>
        <w:tc>
          <w:tcPr>
            <w:tcW w:w="2445" w:type="dxa"/>
            <w:shd w:val="clear" w:color="auto" w:fill="auto"/>
            <w:noWrap/>
            <w:hideMark/>
          </w:tcPr>
          <w:p w14:paraId="3A586522"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Kelly Wade</w:t>
            </w:r>
          </w:p>
        </w:tc>
        <w:tc>
          <w:tcPr>
            <w:tcW w:w="7020" w:type="dxa"/>
          </w:tcPr>
          <w:p w14:paraId="6C2C90C1"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Children’s Hospital of Philadelphia</w:t>
            </w:r>
          </w:p>
        </w:tc>
      </w:tr>
      <w:tr w:rsidR="001A3ABF" w14:paraId="1E7F4C15" w14:textId="77777777" w:rsidTr="00FA1D71">
        <w:trPr>
          <w:trHeight w:val="315"/>
        </w:trPr>
        <w:tc>
          <w:tcPr>
            <w:tcW w:w="2445" w:type="dxa"/>
            <w:shd w:val="clear" w:color="auto" w:fill="auto"/>
            <w:noWrap/>
            <w:hideMark/>
          </w:tcPr>
          <w:p w14:paraId="78411A3E"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Siri Wang</w:t>
            </w:r>
          </w:p>
        </w:tc>
        <w:tc>
          <w:tcPr>
            <w:tcW w:w="7020" w:type="dxa"/>
          </w:tcPr>
          <w:p w14:paraId="7498A1AC"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Norwegian Medicines Agency</w:t>
            </w:r>
          </w:p>
        </w:tc>
      </w:tr>
      <w:tr w:rsidR="001A3ABF" w14:paraId="45448EA3" w14:textId="77777777" w:rsidTr="00FA1D71">
        <w:trPr>
          <w:trHeight w:val="315"/>
        </w:trPr>
        <w:tc>
          <w:tcPr>
            <w:tcW w:w="2445" w:type="dxa"/>
            <w:shd w:val="clear" w:color="auto" w:fill="auto"/>
            <w:noWrap/>
            <w:hideMark/>
          </w:tcPr>
          <w:p w14:paraId="14967A34"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Anne Zajicek</w:t>
            </w:r>
          </w:p>
        </w:tc>
        <w:tc>
          <w:tcPr>
            <w:tcW w:w="7020" w:type="dxa"/>
          </w:tcPr>
          <w:p w14:paraId="6BDAD5AF" w14:textId="77777777" w:rsidR="001A3ABF" w:rsidRDefault="001A3ABF" w:rsidP="00FA1D71">
            <w:pPr>
              <w:tabs>
                <w:tab w:val="left" w:pos="9360"/>
              </w:tabs>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Institutes of Health</w:t>
            </w:r>
          </w:p>
        </w:tc>
      </w:tr>
    </w:tbl>
    <w:p w14:paraId="7220EAFD" w14:textId="77777777" w:rsidR="001A3ABF" w:rsidRPr="00E62256" w:rsidRDefault="001A3ABF" w:rsidP="001A3ABF">
      <w:pPr>
        <w:tabs>
          <w:tab w:val="left" w:pos="9360"/>
        </w:tabs>
        <w:spacing w:after="0" w:line="480" w:lineRule="auto"/>
        <w:rPr>
          <w:rFonts w:ascii="Times New Roman" w:hAnsi="Times New Roman" w:cs="Times New Roman"/>
          <w:sz w:val="24"/>
          <w:szCs w:val="24"/>
        </w:rPr>
      </w:pPr>
    </w:p>
    <w:p w14:paraId="73E3DBB3" w14:textId="08D3CBEB" w:rsidR="001A3ABF" w:rsidRPr="00E62256" w:rsidRDefault="001A3ABF" w:rsidP="001A3ABF">
      <w:pPr>
        <w:widowControl w:val="0"/>
        <w:tabs>
          <w:tab w:val="left" w:pos="9360"/>
        </w:tabs>
        <w:autoSpaceDE w:val="0"/>
        <w:autoSpaceDN w:val="0"/>
        <w:adjustRightInd w:val="0"/>
        <w:spacing w:after="0" w:line="480" w:lineRule="auto"/>
        <w:rPr>
          <w:rFonts w:ascii="Times New Roman" w:hAnsi="Times New Roman" w:cs="Times New Roman"/>
          <w:sz w:val="24"/>
          <w:szCs w:val="24"/>
        </w:rPr>
      </w:pPr>
      <w:r w:rsidRPr="00E62256">
        <w:rPr>
          <w:rFonts w:ascii="Times New Roman" w:hAnsi="Times New Roman" w:cs="Times New Roman"/>
          <w:sz w:val="24"/>
          <w:szCs w:val="24"/>
        </w:rPr>
        <w:t xml:space="preserve">Disclaimers:  The views expressed in this article are the personal views of the authors and may not be understood or quoted as being made on behalf of or reflecting the position of the </w:t>
      </w:r>
      <w:r w:rsidRPr="00E62256">
        <w:rPr>
          <w:rFonts w:ascii="Times New Roman" w:hAnsi="Times New Roman" w:cs="Times New Roman"/>
          <w:sz w:val="24"/>
          <w:szCs w:val="24"/>
        </w:rPr>
        <w:lastRenderedPageBreak/>
        <w:t xml:space="preserve">European Medicines Agency (EMA) or one of its committees or working parties or the position of the U.S. </w:t>
      </w:r>
      <w:r w:rsidR="003D5F53">
        <w:rPr>
          <w:rFonts w:ascii="Times New Roman" w:hAnsi="Times New Roman" w:cs="Times New Roman"/>
          <w:sz w:val="24"/>
          <w:szCs w:val="24"/>
        </w:rPr>
        <w:t>Food and Drug Administration (</w:t>
      </w:r>
      <w:r w:rsidRPr="00E62256">
        <w:rPr>
          <w:rFonts w:ascii="Times New Roman" w:hAnsi="Times New Roman" w:cs="Times New Roman"/>
          <w:sz w:val="24"/>
          <w:szCs w:val="24"/>
        </w:rPr>
        <w:t>FDA</w:t>
      </w:r>
      <w:r w:rsidR="003D5F53">
        <w:rPr>
          <w:rFonts w:ascii="Times New Roman" w:hAnsi="Times New Roman" w:cs="Times New Roman"/>
          <w:sz w:val="24"/>
          <w:szCs w:val="24"/>
        </w:rPr>
        <w:t>)</w:t>
      </w:r>
      <w:r w:rsidR="00292CBF">
        <w:rPr>
          <w:rFonts w:ascii="Times New Roman" w:hAnsi="Times New Roman" w:cs="Times New Roman"/>
          <w:sz w:val="24"/>
          <w:szCs w:val="24"/>
        </w:rPr>
        <w:t xml:space="preserve"> or the National Institutes of Health</w:t>
      </w:r>
      <w:r w:rsidRPr="00E62256">
        <w:rPr>
          <w:rFonts w:ascii="Times New Roman" w:hAnsi="Times New Roman" w:cs="Times New Roman"/>
          <w:sz w:val="24"/>
          <w:szCs w:val="24"/>
        </w:rPr>
        <w:t xml:space="preserve">. </w:t>
      </w:r>
    </w:p>
    <w:p w14:paraId="07706288" w14:textId="77777777" w:rsidR="001A3ABF" w:rsidRPr="00E62256" w:rsidRDefault="001A3ABF" w:rsidP="001A3ABF">
      <w:pPr>
        <w:widowControl w:val="0"/>
        <w:tabs>
          <w:tab w:val="left" w:pos="9360"/>
        </w:tabs>
        <w:autoSpaceDE w:val="0"/>
        <w:autoSpaceDN w:val="0"/>
        <w:adjustRightInd w:val="0"/>
        <w:spacing w:after="0" w:line="480" w:lineRule="auto"/>
        <w:rPr>
          <w:rFonts w:ascii="Times New Roman" w:hAnsi="Times New Roman" w:cs="Times New Roman"/>
          <w:sz w:val="24"/>
          <w:szCs w:val="24"/>
        </w:rPr>
      </w:pPr>
    </w:p>
    <w:p w14:paraId="7D80C2A9" w14:textId="77777777" w:rsidR="001A3ABF" w:rsidRPr="00E62256" w:rsidRDefault="001A3ABF" w:rsidP="001A3ABF">
      <w:pPr>
        <w:tabs>
          <w:tab w:val="left" w:pos="9360"/>
        </w:tabs>
        <w:spacing w:after="0" w:line="480" w:lineRule="auto"/>
        <w:rPr>
          <w:rFonts w:ascii="Times New Roman" w:hAnsi="Times New Roman" w:cs="Times New Roman"/>
          <w:sz w:val="24"/>
          <w:szCs w:val="24"/>
        </w:rPr>
      </w:pPr>
      <w:r w:rsidRPr="00E62256">
        <w:rPr>
          <w:rFonts w:ascii="Times New Roman" w:hAnsi="Times New Roman" w:cs="Times New Roman"/>
          <w:sz w:val="24"/>
          <w:szCs w:val="24"/>
        </w:rPr>
        <w:t>Perceived/potential conflicts of interest:  The authors declared no potential conflicts of interest with respect to the authorship and/or publication of this article.  Two coauthors are employees of a pharmaceutical company, as noted in the list of affiliations.  No products are discussed in this article.  The consortium aims to improve methods that can be applied to evaluating the safety and effectiveness of any medical product for neonates and is consequently drug agnostic.</w:t>
      </w:r>
    </w:p>
    <w:p w14:paraId="4FB8C3A1" w14:textId="77777777" w:rsidR="001A3ABF" w:rsidRPr="00E62256" w:rsidRDefault="001A3ABF" w:rsidP="001A3ABF">
      <w:pPr>
        <w:tabs>
          <w:tab w:val="left" w:pos="9360"/>
        </w:tabs>
        <w:spacing w:after="0" w:line="480" w:lineRule="auto"/>
        <w:rPr>
          <w:rFonts w:ascii="Times New Roman" w:hAnsi="Times New Roman" w:cs="Times New Roman"/>
          <w:sz w:val="24"/>
          <w:szCs w:val="24"/>
        </w:rPr>
      </w:pPr>
    </w:p>
    <w:p w14:paraId="3D5E03D0" w14:textId="77777777" w:rsidR="002F1DA0" w:rsidRPr="00E62256" w:rsidRDefault="002F1DA0" w:rsidP="003A2BBD">
      <w:pPr>
        <w:tabs>
          <w:tab w:val="left" w:pos="9000"/>
        </w:tabs>
        <w:spacing w:after="240" w:line="480" w:lineRule="auto"/>
        <w:rPr>
          <w:rFonts w:ascii="Times New Roman" w:hAnsi="Times New Roman" w:cs="Times New Roman"/>
          <w:sz w:val="24"/>
          <w:szCs w:val="24"/>
        </w:rPr>
      </w:pPr>
    </w:p>
    <w:p w14:paraId="6C4C27E7" w14:textId="77777777" w:rsidR="001A3ABF" w:rsidRDefault="001A3ABF">
      <w:pPr>
        <w:rPr>
          <w:rFonts w:ascii="Times New Roman" w:hAnsi="Times New Roman" w:cs="Times New Roman"/>
          <w:sz w:val="24"/>
          <w:szCs w:val="24"/>
        </w:rPr>
      </w:pPr>
      <w:r>
        <w:rPr>
          <w:rFonts w:ascii="Times New Roman" w:hAnsi="Times New Roman" w:cs="Times New Roman"/>
          <w:sz w:val="24"/>
          <w:szCs w:val="24"/>
        </w:rPr>
        <w:br w:type="page"/>
      </w:r>
    </w:p>
    <w:p w14:paraId="56C2AE62" w14:textId="461D477C" w:rsidR="002F1DA0" w:rsidRPr="00E62256" w:rsidRDefault="002F1DA0" w:rsidP="003A2BBD">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Pr="00E62256">
        <w:rPr>
          <w:rFonts w:ascii="Times New Roman" w:hAnsi="Times New Roman" w:cs="Times New Roman"/>
          <w:sz w:val="24"/>
          <w:szCs w:val="24"/>
        </w:rPr>
        <w:t>Details of corresponding author:</w:t>
      </w:r>
    </w:p>
    <w:p w14:paraId="05A8C1D8" w14:textId="77777777" w:rsidR="002F1DA0" w:rsidRDefault="002F1DA0" w:rsidP="009E4580">
      <w:pPr>
        <w:tabs>
          <w:tab w:val="left" w:pos="9000"/>
        </w:tabs>
        <w:spacing w:after="0" w:line="480" w:lineRule="auto"/>
        <w:rPr>
          <w:rFonts w:ascii="Times New Roman" w:hAnsi="Times New Roman" w:cs="Times New Roman"/>
          <w:sz w:val="24"/>
          <w:szCs w:val="24"/>
        </w:rPr>
      </w:pPr>
      <w:r w:rsidRPr="00E62256">
        <w:rPr>
          <w:rFonts w:ascii="Times New Roman" w:hAnsi="Times New Roman" w:cs="Times New Roman"/>
          <w:sz w:val="24"/>
          <w:szCs w:val="24"/>
        </w:rPr>
        <w:t xml:space="preserve">Dr. Robert </w:t>
      </w:r>
      <w:r>
        <w:rPr>
          <w:rFonts w:ascii="Times New Roman" w:hAnsi="Times New Roman" w:cs="Times New Roman"/>
          <w:sz w:val="24"/>
          <w:szCs w:val="24"/>
        </w:rPr>
        <w:t xml:space="preserve">M. </w:t>
      </w:r>
      <w:r w:rsidRPr="00E62256">
        <w:rPr>
          <w:rFonts w:ascii="Times New Roman" w:hAnsi="Times New Roman" w:cs="Times New Roman"/>
          <w:sz w:val="24"/>
          <w:szCs w:val="24"/>
        </w:rPr>
        <w:t>Ward</w:t>
      </w:r>
    </w:p>
    <w:p w14:paraId="36211F96" w14:textId="77777777" w:rsidR="002F1DA0" w:rsidRDefault="002F1DA0" w:rsidP="009E4580">
      <w:pPr>
        <w:tabs>
          <w:tab w:val="left" w:pos="9000"/>
        </w:tabs>
        <w:spacing w:after="0" w:line="480" w:lineRule="auto"/>
        <w:rPr>
          <w:rFonts w:ascii="Times New Roman" w:hAnsi="Times New Roman" w:cs="Times New Roman"/>
          <w:sz w:val="24"/>
          <w:szCs w:val="24"/>
        </w:rPr>
      </w:pPr>
      <w:r>
        <w:rPr>
          <w:rFonts w:ascii="Times New Roman" w:hAnsi="Times New Roman" w:cs="Times New Roman"/>
          <w:sz w:val="24"/>
          <w:szCs w:val="24"/>
        </w:rPr>
        <w:t>Division of Neonatolo</w:t>
      </w:r>
      <w:r w:rsidRPr="005F338E">
        <w:rPr>
          <w:rFonts w:ascii="Times New Roman" w:hAnsi="Times New Roman" w:cs="Times New Roman"/>
          <w:sz w:val="24"/>
          <w:szCs w:val="24"/>
        </w:rPr>
        <w:t xml:space="preserve">gy </w:t>
      </w:r>
      <w:r>
        <w:rPr>
          <w:rFonts w:ascii="Times New Roman" w:hAnsi="Times New Roman" w:cs="Times New Roman"/>
          <w:sz w:val="24"/>
          <w:szCs w:val="24"/>
        </w:rPr>
        <w:t>&amp;</w:t>
      </w:r>
    </w:p>
    <w:p w14:paraId="2FC58619" w14:textId="77777777" w:rsidR="002F1DA0" w:rsidRPr="00474263" w:rsidRDefault="002F1DA0" w:rsidP="009E4580">
      <w:pPr>
        <w:tabs>
          <w:tab w:val="left" w:pos="9000"/>
        </w:tabs>
        <w:spacing w:after="0" w:line="480" w:lineRule="auto"/>
        <w:rPr>
          <w:rFonts w:ascii="Times New Roman" w:hAnsi="Times New Roman" w:cs="Times New Roman"/>
          <w:sz w:val="24"/>
          <w:szCs w:val="24"/>
        </w:rPr>
      </w:pPr>
      <w:r w:rsidRPr="00474263">
        <w:rPr>
          <w:rFonts w:ascii="Times New Roman" w:hAnsi="Times New Roman" w:cs="Times New Roman"/>
          <w:iCs/>
          <w:sz w:val="24"/>
          <w:szCs w:val="24"/>
        </w:rPr>
        <w:t>Division of Clinical Pharmacology</w:t>
      </w:r>
    </w:p>
    <w:p w14:paraId="47B6474C" w14:textId="77777777" w:rsidR="002F1DA0" w:rsidRPr="00474263" w:rsidRDefault="002F1DA0" w:rsidP="009E4580">
      <w:pPr>
        <w:tabs>
          <w:tab w:val="left" w:pos="9000"/>
        </w:tabs>
        <w:spacing w:after="0" w:line="480" w:lineRule="auto"/>
        <w:rPr>
          <w:rFonts w:ascii="Times New Roman" w:hAnsi="Times New Roman" w:cs="Times New Roman"/>
          <w:sz w:val="24"/>
          <w:szCs w:val="24"/>
        </w:rPr>
      </w:pPr>
      <w:r w:rsidRPr="00FC1C59">
        <w:rPr>
          <w:rFonts w:ascii="Times New Roman" w:hAnsi="Times New Roman" w:cs="Times New Roman"/>
          <w:iCs/>
          <w:sz w:val="24"/>
          <w:szCs w:val="24"/>
        </w:rPr>
        <w:t>Department of Pediatrics</w:t>
      </w:r>
    </w:p>
    <w:p w14:paraId="36D9FCC3" w14:textId="77777777" w:rsidR="002F1DA0" w:rsidRPr="00474263" w:rsidRDefault="002F1DA0" w:rsidP="009E4580">
      <w:pPr>
        <w:tabs>
          <w:tab w:val="left" w:pos="9000"/>
        </w:tabs>
        <w:spacing w:after="0" w:line="480" w:lineRule="auto"/>
        <w:rPr>
          <w:rFonts w:ascii="Times New Roman" w:hAnsi="Times New Roman" w:cs="Times New Roman"/>
          <w:sz w:val="24"/>
          <w:szCs w:val="24"/>
        </w:rPr>
      </w:pPr>
      <w:r w:rsidRPr="00474263">
        <w:rPr>
          <w:rFonts w:ascii="Times New Roman" w:hAnsi="Times New Roman" w:cs="Times New Roman"/>
          <w:iCs/>
          <w:sz w:val="24"/>
          <w:szCs w:val="24"/>
        </w:rPr>
        <w:t>University of Utah School of Medicine</w:t>
      </w:r>
    </w:p>
    <w:p w14:paraId="63C2899F" w14:textId="77777777" w:rsidR="002F1DA0" w:rsidRPr="00474263" w:rsidRDefault="002F1DA0" w:rsidP="009E4580">
      <w:pPr>
        <w:tabs>
          <w:tab w:val="left" w:pos="9000"/>
        </w:tabs>
        <w:spacing w:after="0" w:line="480" w:lineRule="auto"/>
        <w:rPr>
          <w:rFonts w:ascii="Times New Roman" w:hAnsi="Times New Roman" w:cs="Times New Roman"/>
          <w:sz w:val="24"/>
          <w:szCs w:val="24"/>
        </w:rPr>
      </w:pPr>
      <w:r w:rsidRPr="00474263">
        <w:rPr>
          <w:rFonts w:ascii="Times New Roman" w:hAnsi="Times New Roman" w:cs="Times New Roman"/>
          <w:iCs/>
          <w:sz w:val="24"/>
          <w:szCs w:val="24"/>
        </w:rPr>
        <w:t>295 Chipeta Way</w:t>
      </w:r>
    </w:p>
    <w:p w14:paraId="39268F39" w14:textId="77777777" w:rsidR="002F1DA0" w:rsidRDefault="002F1DA0" w:rsidP="009E4580">
      <w:pPr>
        <w:tabs>
          <w:tab w:val="left" w:pos="9000"/>
        </w:tabs>
        <w:spacing w:after="0" w:line="480" w:lineRule="auto"/>
        <w:rPr>
          <w:rFonts w:ascii="Times New Roman" w:hAnsi="Times New Roman" w:cs="Times New Roman"/>
          <w:iCs/>
          <w:sz w:val="24"/>
          <w:szCs w:val="24"/>
        </w:rPr>
      </w:pPr>
      <w:r w:rsidRPr="00474263">
        <w:rPr>
          <w:rFonts w:ascii="Times New Roman" w:hAnsi="Times New Roman" w:cs="Times New Roman"/>
          <w:iCs/>
          <w:sz w:val="24"/>
          <w:szCs w:val="24"/>
        </w:rPr>
        <w:t>Salt Lake City, UT USA</w:t>
      </w:r>
      <w:r>
        <w:rPr>
          <w:rFonts w:ascii="Times New Roman" w:hAnsi="Times New Roman" w:cs="Times New Roman"/>
          <w:iCs/>
          <w:sz w:val="24"/>
          <w:szCs w:val="24"/>
        </w:rPr>
        <w:t xml:space="preserve"> 84132</w:t>
      </w:r>
    </w:p>
    <w:p w14:paraId="17515E38" w14:textId="03DFB1A1" w:rsidR="002F1DA0" w:rsidRDefault="002F1DA0" w:rsidP="009E4580">
      <w:pPr>
        <w:tabs>
          <w:tab w:val="left" w:pos="900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Mail: </w:t>
      </w:r>
      <w:r w:rsidR="009776AD">
        <w:rPr>
          <w:rFonts w:ascii="Times New Roman" w:hAnsi="Times New Roman" w:cs="Times New Roman"/>
          <w:sz w:val="24"/>
          <w:szCs w:val="24"/>
        </w:rPr>
        <w:t>Clinical Pharmacology</w:t>
      </w:r>
      <w:r>
        <w:rPr>
          <w:rFonts w:ascii="Times New Roman" w:hAnsi="Times New Roman" w:cs="Times New Roman"/>
          <w:sz w:val="24"/>
          <w:szCs w:val="24"/>
        </w:rPr>
        <w:t xml:space="preserve">, 295 Chipeta Way, Salt Lake City UT USA 84132. </w:t>
      </w:r>
    </w:p>
    <w:p w14:paraId="27983C06" w14:textId="77777777" w:rsidR="002F1DA0" w:rsidRDefault="002F1DA0" w:rsidP="009E4580">
      <w:pPr>
        <w:tabs>
          <w:tab w:val="left" w:pos="900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Contact: Phone: 1-801 581 4178. </w:t>
      </w:r>
    </w:p>
    <w:p w14:paraId="16437611" w14:textId="77777777" w:rsidR="002F1DA0" w:rsidRPr="005F338E" w:rsidRDefault="002F1DA0" w:rsidP="009E4580">
      <w:pPr>
        <w:tabs>
          <w:tab w:val="left" w:pos="9000"/>
        </w:tabs>
        <w:spacing w:after="0" w:line="480" w:lineRule="auto"/>
        <w:rPr>
          <w:rFonts w:ascii="Times New Roman" w:hAnsi="Times New Roman" w:cs="Times New Roman"/>
          <w:sz w:val="24"/>
          <w:szCs w:val="24"/>
        </w:rPr>
      </w:pPr>
      <w:r>
        <w:rPr>
          <w:rFonts w:ascii="Times New Roman" w:hAnsi="Times New Roman" w:cs="Times New Roman"/>
          <w:iCs/>
          <w:sz w:val="24"/>
          <w:szCs w:val="24"/>
        </w:rPr>
        <w:t>Email: robert.ward@hsc.utah.edu</w:t>
      </w:r>
    </w:p>
    <w:p w14:paraId="35153362" w14:textId="77777777" w:rsidR="002F1DA0" w:rsidRDefault="002F1DA0" w:rsidP="009E4580">
      <w:pPr>
        <w:tabs>
          <w:tab w:val="left" w:pos="9000"/>
        </w:tabs>
        <w:spacing w:after="0" w:line="480" w:lineRule="auto"/>
        <w:rPr>
          <w:rFonts w:ascii="Times New Roman" w:hAnsi="Times New Roman" w:cs="Times New Roman"/>
          <w:sz w:val="24"/>
          <w:szCs w:val="24"/>
        </w:rPr>
      </w:pPr>
    </w:p>
    <w:p w14:paraId="68AA1449" w14:textId="4DA28DBD" w:rsidR="002F1DA0" w:rsidRDefault="002F1DA0" w:rsidP="009E4580">
      <w:pPr>
        <w:tabs>
          <w:tab w:val="left" w:pos="9000"/>
        </w:tabs>
        <w:spacing w:after="0" w:line="480" w:lineRule="auto"/>
        <w:rPr>
          <w:rFonts w:ascii="Times New Roman" w:eastAsiaTheme="majorEastAsia" w:hAnsi="Times New Roman" w:cs="Times New Roman"/>
          <w:b/>
          <w:bCs/>
          <w:sz w:val="28"/>
          <w:szCs w:val="28"/>
        </w:rPr>
      </w:pPr>
      <w:r>
        <w:br w:type="page"/>
      </w:r>
    </w:p>
    <w:p w14:paraId="5FD922AA" w14:textId="77777777" w:rsidR="002F1DA0" w:rsidRPr="00474263" w:rsidRDefault="002F1DA0" w:rsidP="00BE7C50">
      <w:pPr>
        <w:pStyle w:val="Heading1"/>
        <w:numPr>
          <w:ilvl w:val="0"/>
          <w:numId w:val="0"/>
        </w:numPr>
        <w:tabs>
          <w:tab w:val="left" w:pos="9000"/>
        </w:tabs>
        <w:spacing w:before="0" w:after="0" w:line="480" w:lineRule="auto"/>
        <w:ind w:right="288" w:hanging="18"/>
      </w:pPr>
      <w:r>
        <w:lastRenderedPageBreak/>
        <w:t>ABSTRACT</w:t>
      </w:r>
    </w:p>
    <w:p w14:paraId="2813AE0C" w14:textId="50C4574B" w:rsidR="002F1DA0" w:rsidRPr="00474263" w:rsidRDefault="002F1DA0" w:rsidP="00BE7C50">
      <w:pPr>
        <w:tabs>
          <w:tab w:val="left" w:pos="9000"/>
        </w:tabs>
        <w:spacing w:after="0" w:line="480" w:lineRule="auto"/>
        <w:ind w:right="288"/>
        <w:rPr>
          <w:rFonts w:ascii="Times New Roman" w:hAnsi="Times New Roman" w:cs="Times New Roman"/>
          <w:sz w:val="24"/>
          <w:szCs w:val="24"/>
        </w:rPr>
      </w:pPr>
      <w:r w:rsidRPr="00474263">
        <w:rPr>
          <w:rFonts w:ascii="Times New Roman" w:hAnsi="Times New Roman" w:cs="Times New Roman"/>
          <w:sz w:val="24"/>
          <w:szCs w:val="24"/>
        </w:rPr>
        <w:t xml:space="preserve">The study of medications among pediatric patients has increased worldwide since 1997 in response to new legislation and regulations, but these studies have not yet adequately addressed the therapeutic needs of neonates. Additionally, extant guidance developed by regulatory agencies worldwide does not fully address the specificities of neonatal drug development, especially </w:t>
      </w:r>
      <w:r>
        <w:rPr>
          <w:rFonts w:ascii="Times New Roman" w:hAnsi="Times New Roman" w:cs="Times New Roman"/>
          <w:sz w:val="24"/>
          <w:szCs w:val="24"/>
        </w:rPr>
        <w:t xml:space="preserve">among </w:t>
      </w:r>
      <w:r w:rsidRPr="00474263">
        <w:rPr>
          <w:rFonts w:ascii="Times New Roman" w:hAnsi="Times New Roman" w:cs="Times New Roman"/>
          <w:sz w:val="24"/>
          <w:szCs w:val="24"/>
        </w:rPr>
        <w:t xml:space="preserve">extremely premature newborns who currently survive. Consequently, an international </w:t>
      </w:r>
      <w:r>
        <w:rPr>
          <w:rFonts w:ascii="Times New Roman" w:hAnsi="Times New Roman" w:cs="Times New Roman"/>
          <w:sz w:val="24"/>
          <w:szCs w:val="24"/>
        </w:rPr>
        <w:t>consortium</w:t>
      </w:r>
      <w:r w:rsidRPr="00474263">
        <w:rPr>
          <w:rFonts w:ascii="Times New Roman" w:hAnsi="Times New Roman" w:cs="Times New Roman"/>
          <w:sz w:val="24"/>
          <w:szCs w:val="24"/>
        </w:rPr>
        <w:t xml:space="preserve"> from Canada, Europe, Japan and the United States was organized by the Critical Path Institute to address the content of guidance. This group included neonatologists, neonatal nurses, parents, regulators, ethicists, clinical pharmacologists, specialists in pharmacokinetics, specialists in clinical trials and pediatricians working in the pharmaceutical industry.  </w:t>
      </w:r>
      <w:r>
        <w:rPr>
          <w:rFonts w:ascii="Times New Roman" w:hAnsi="Times New Roman" w:cs="Times New Roman"/>
          <w:sz w:val="24"/>
          <w:szCs w:val="24"/>
        </w:rPr>
        <w:t>This group has</w:t>
      </w:r>
      <w:r w:rsidRPr="00474263">
        <w:rPr>
          <w:rFonts w:ascii="Times New Roman" w:hAnsi="Times New Roman" w:cs="Times New Roman"/>
          <w:sz w:val="24"/>
          <w:szCs w:val="24"/>
        </w:rPr>
        <w:t xml:space="preserve"> developed a comprehensive</w:t>
      </w:r>
      <w:r w:rsidR="00167E61">
        <w:rPr>
          <w:rFonts w:ascii="Times New Roman" w:hAnsi="Times New Roman" w:cs="Times New Roman"/>
          <w:sz w:val="24"/>
          <w:szCs w:val="24"/>
        </w:rPr>
        <w:t xml:space="preserve"> </w:t>
      </w:r>
      <w:r w:rsidRPr="00474263">
        <w:rPr>
          <w:rFonts w:ascii="Times New Roman" w:hAnsi="Times New Roman" w:cs="Times New Roman"/>
          <w:sz w:val="24"/>
          <w:szCs w:val="24"/>
        </w:rPr>
        <w:t>White Paper to guide neonatal clinical trials of medicines – particularly early phase studies</w:t>
      </w:r>
      <w:r w:rsidR="00493534">
        <w:rPr>
          <w:rFonts w:ascii="Times New Roman" w:hAnsi="Times New Roman" w:cs="Times New Roman"/>
          <w:sz w:val="24"/>
          <w:szCs w:val="24"/>
        </w:rPr>
        <w:t xml:space="preserve"> (available online)</w:t>
      </w:r>
      <w:r w:rsidRPr="00474263">
        <w:rPr>
          <w:rFonts w:ascii="Times New Roman" w:hAnsi="Times New Roman" w:cs="Times New Roman"/>
          <w:sz w:val="24"/>
          <w:szCs w:val="24"/>
        </w:rPr>
        <w:t xml:space="preserve">. Key points include: the need to base product development on neonatal physiology and pharmacology while making the most of knowledge acquired in other settings; the central role of families in research; </w:t>
      </w:r>
      <w:r>
        <w:rPr>
          <w:rFonts w:ascii="Times New Roman" w:hAnsi="Times New Roman" w:cs="Times New Roman"/>
          <w:sz w:val="24"/>
          <w:szCs w:val="24"/>
        </w:rPr>
        <w:t xml:space="preserve">and </w:t>
      </w:r>
      <w:r w:rsidRPr="00474263">
        <w:rPr>
          <w:rFonts w:ascii="Times New Roman" w:hAnsi="Times New Roman" w:cs="Times New Roman"/>
          <w:sz w:val="24"/>
          <w:szCs w:val="24"/>
        </w:rPr>
        <w:t xml:space="preserve">the value of the whole neonatal team in the design, implementation and interpretation of studies. This </w:t>
      </w:r>
      <w:r w:rsidR="000B1213">
        <w:rPr>
          <w:rFonts w:ascii="Times New Roman" w:hAnsi="Times New Roman" w:cs="Times New Roman"/>
          <w:sz w:val="24"/>
          <w:szCs w:val="24"/>
        </w:rPr>
        <w:t>paper</w:t>
      </w:r>
      <w:r w:rsidRPr="00474263">
        <w:rPr>
          <w:rFonts w:ascii="Times New Roman" w:hAnsi="Times New Roman" w:cs="Times New Roman"/>
          <w:sz w:val="24"/>
          <w:szCs w:val="24"/>
        </w:rPr>
        <w:t xml:space="preserve"> should </w:t>
      </w:r>
      <w:r>
        <w:rPr>
          <w:rFonts w:ascii="Times New Roman" w:hAnsi="Times New Roman" w:cs="Times New Roman"/>
          <w:sz w:val="24"/>
          <w:szCs w:val="24"/>
        </w:rPr>
        <w:t>facilitate</w:t>
      </w:r>
      <w:r w:rsidRPr="00474263">
        <w:rPr>
          <w:rFonts w:ascii="Times New Roman" w:hAnsi="Times New Roman" w:cs="Times New Roman"/>
          <w:sz w:val="24"/>
          <w:szCs w:val="24"/>
        </w:rPr>
        <w:t xml:space="preserve"> successful clinical trials of medicines in neonates by informing regulators, sponsors and the neonatal community of existing good practice. </w:t>
      </w:r>
    </w:p>
    <w:p w14:paraId="1608D77B" w14:textId="77777777" w:rsidR="002F1DA0" w:rsidRDefault="002F1DA0" w:rsidP="009E4580">
      <w:pPr>
        <w:tabs>
          <w:tab w:val="left" w:pos="9000"/>
        </w:tabs>
        <w:spacing w:after="0" w:line="480" w:lineRule="auto"/>
        <w:ind w:right="360"/>
        <w:rPr>
          <w:rFonts w:ascii="Times New Roman" w:hAnsi="Times New Roman" w:cs="Times New Roman"/>
          <w:sz w:val="24"/>
          <w:szCs w:val="24"/>
        </w:rPr>
      </w:pPr>
      <w:r>
        <w:rPr>
          <w:rFonts w:ascii="Times New Roman" w:hAnsi="Times New Roman" w:cs="Times New Roman"/>
          <w:sz w:val="24"/>
          <w:szCs w:val="24"/>
        </w:rPr>
        <w:br w:type="page"/>
      </w:r>
    </w:p>
    <w:p w14:paraId="6C3F4A58" w14:textId="77777777" w:rsidR="002F1DA0" w:rsidRDefault="002F1DA0" w:rsidP="00BE7C50">
      <w:pPr>
        <w:pStyle w:val="Heading1"/>
        <w:numPr>
          <w:ilvl w:val="0"/>
          <w:numId w:val="0"/>
        </w:numPr>
        <w:spacing w:before="0" w:after="0" w:line="480" w:lineRule="auto"/>
        <w:ind w:right="288"/>
      </w:pPr>
      <w:r>
        <w:lastRenderedPageBreak/>
        <w:t>PURPOSE</w:t>
      </w:r>
    </w:p>
    <w:p w14:paraId="531408CE" w14:textId="2532BA0C" w:rsidR="002F1DA0" w:rsidRDefault="002F1DA0" w:rsidP="00BE7C50">
      <w:pPr>
        <w:pStyle w:val="Default"/>
        <w:spacing w:line="480" w:lineRule="auto"/>
        <w:ind w:right="288"/>
        <w:jc w:val="both"/>
      </w:pPr>
      <w:r>
        <w:t xml:space="preserve">This is </w:t>
      </w:r>
      <w:r w:rsidR="005E4742">
        <w:t xml:space="preserve">a </w:t>
      </w:r>
      <w:r w:rsidR="000B1213">
        <w:t>s</w:t>
      </w:r>
      <w:r>
        <w:t xml:space="preserve">ummary of a </w:t>
      </w:r>
      <w:r w:rsidR="005E4742">
        <w:t xml:space="preserve">comprehensive </w:t>
      </w:r>
      <w:r>
        <w:t xml:space="preserve">document intended to assist investigators and sponsors of studies that evaluate medicinal products </w:t>
      </w:r>
      <w:r w:rsidR="00EA29BF">
        <w:t xml:space="preserve">and biologics </w:t>
      </w:r>
      <w:r>
        <w:t xml:space="preserve">in neonates. The full document (with extensive references and illustrative figures) can be found </w:t>
      </w:r>
      <w:r w:rsidR="000B1213">
        <w:t>online</w:t>
      </w:r>
      <w:r w:rsidR="006A5FBB">
        <w:t xml:space="preserve"> (Supplemental material, online)</w:t>
      </w:r>
      <w:r w:rsidR="000B1213">
        <w:t xml:space="preserve">. </w:t>
      </w:r>
      <w:r>
        <w:t xml:space="preserve">The focus of the document is on studies that will contribute to applications to regulatory authorities, </w:t>
      </w:r>
      <w:r w:rsidR="000B1213">
        <w:t xml:space="preserve">but </w:t>
      </w:r>
      <w:r>
        <w:t>the same principles apply to other studies involving neonates. In addition, this document may be useful for regulators who will be reviewing these studies, because this document expands upon previous draft guidances (</w:t>
      </w:r>
      <w:r w:rsidR="006A5FBB">
        <w:t>1</w:t>
      </w:r>
      <w:r>
        <w:t xml:space="preserve"> – 1</w:t>
      </w:r>
      <w:r w:rsidR="006A5FBB">
        <w:t>0</w:t>
      </w:r>
      <w:r>
        <w:t xml:space="preserve">). One goal of this document is to support the standardization and harmonization of approaches to studies in neonates worldwide in order to facilitate global development of new and existing medicinal products for this vulnerable population. </w:t>
      </w:r>
    </w:p>
    <w:p w14:paraId="42A2A3F9" w14:textId="49A3EA18" w:rsidR="002F1DA0" w:rsidRDefault="002F1DA0" w:rsidP="0034462E">
      <w:pPr>
        <w:pStyle w:val="Default"/>
        <w:spacing w:after="240" w:line="480" w:lineRule="auto"/>
        <w:ind w:right="288"/>
        <w:jc w:val="both"/>
      </w:pPr>
      <w:r>
        <w:t xml:space="preserve">The scope of this document is clinical pharmacology information (e.g., </w:t>
      </w:r>
      <w:r w:rsidR="00EA29BF">
        <w:t>pharmacokinetics (</w:t>
      </w:r>
      <w:r>
        <w:t>PK</w:t>
      </w:r>
      <w:r w:rsidR="00EA29BF">
        <w:t>)</w:t>
      </w:r>
      <w:r>
        <w:t xml:space="preserve">, </w:t>
      </w:r>
      <w:r w:rsidR="00EA29BF">
        <w:t>pharmacodynamics (</w:t>
      </w:r>
      <w:r>
        <w:t>PD</w:t>
      </w:r>
      <w:r w:rsidR="00EA29BF">
        <w:t>)</w:t>
      </w:r>
      <w:r>
        <w:t xml:space="preserve">, and exposure-response (E-R) relationships) that supports findings of effect, efficacy, and safety and helps to identify appropriate dosages in term and preterm neonates. Because consideration of pharmaceutical quality and ethics influence most aspects of the design and implementation of clinical pharmacology studies, this document also discusses pharmaceutical quality, ethics and participant welfare during studies. The use of quantitative approaches (i.e., pharmacometrics) to employ knowledge about disease and E-R from relevant prior clinical studies is also described in order to design and evaluate future studies in term and preterm neonates. </w:t>
      </w:r>
    </w:p>
    <w:p w14:paraId="747958D4" w14:textId="77777777" w:rsidR="002F1DA0" w:rsidRDefault="002F1DA0" w:rsidP="0034462E">
      <w:pPr>
        <w:pStyle w:val="Heading1"/>
        <w:numPr>
          <w:ilvl w:val="0"/>
          <w:numId w:val="0"/>
        </w:numPr>
        <w:spacing w:before="0" w:line="480" w:lineRule="auto"/>
        <w:ind w:right="288"/>
      </w:pPr>
      <w:r>
        <w:t>BACKGROUND</w:t>
      </w:r>
    </w:p>
    <w:p w14:paraId="6E51A0E4" w14:textId="0978D67B" w:rsidR="002F1DA0" w:rsidRDefault="002F1DA0" w:rsidP="000712EA">
      <w:pPr>
        <w:spacing w:after="0" w:line="480" w:lineRule="auto"/>
        <w:ind w:right="288"/>
        <w:jc w:val="both"/>
        <w:rPr>
          <w:rFonts w:ascii="Times New Roman" w:hAnsi="Times New Roman" w:cs="Times New Roman"/>
          <w:sz w:val="24"/>
          <w:szCs w:val="24"/>
        </w:rPr>
      </w:pPr>
      <w:r>
        <w:rPr>
          <w:rFonts w:ascii="Times New Roman" w:hAnsi="Times New Roman" w:cs="Times New Roman"/>
          <w:sz w:val="24"/>
          <w:szCs w:val="24"/>
        </w:rPr>
        <w:t>Worldwide efforts during the past two decades have dramatically increased the study of medicinal products</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in children, but not in the neonate. Off label use of medicinal products for </w:t>
      </w:r>
      <w:r>
        <w:rPr>
          <w:rFonts w:ascii="Times New Roman" w:hAnsi="Times New Roman" w:cs="Times New Roman"/>
          <w:sz w:val="24"/>
          <w:szCs w:val="24"/>
        </w:rPr>
        <w:lastRenderedPageBreak/>
        <w:t xml:space="preserve">neonates is a universal problem. A review of submissions to the </w:t>
      </w:r>
      <w:r w:rsidR="003D5F53">
        <w:rPr>
          <w:rFonts w:ascii="Times New Roman" w:hAnsi="Times New Roman" w:cs="Times New Roman"/>
          <w:sz w:val="24"/>
          <w:szCs w:val="24"/>
        </w:rPr>
        <w:t>U.S. Food and Drug Administration (</w:t>
      </w:r>
      <w:r>
        <w:rPr>
          <w:rFonts w:ascii="Times New Roman" w:hAnsi="Times New Roman" w:cs="Times New Roman"/>
          <w:sz w:val="24"/>
          <w:szCs w:val="24"/>
        </w:rPr>
        <w:t>FDA</w:t>
      </w:r>
      <w:r w:rsidR="003D5F53">
        <w:rPr>
          <w:rFonts w:ascii="Times New Roman" w:hAnsi="Times New Roman" w:cs="Times New Roman"/>
          <w:sz w:val="24"/>
          <w:szCs w:val="24"/>
        </w:rPr>
        <w:t>)</w:t>
      </w:r>
      <w:r>
        <w:rPr>
          <w:rFonts w:ascii="Times New Roman" w:hAnsi="Times New Roman" w:cs="Times New Roman"/>
          <w:sz w:val="24"/>
          <w:szCs w:val="24"/>
        </w:rPr>
        <w:t xml:space="preserve"> illustrates the omission</w:t>
      </w:r>
      <w:r w:rsidR="00EA29BF">
        <w:rPr>
          <w:rFonts w:ascii="Times New Roman" w:hAnsi="Times New Roman" w:cs="Times New Roman"/>
          <w:sz w:val="24"/>
          <w:szCs w:val="24"/>
        </w:rPr>
        <w:t xml:space="preserve"> </w:t>
      </w:r>
      <w:r w:rsidR="000712EA">
        <w:rPr>
          <w:rFonts w:ascii="Times New Roman" w:hAnsi="Times New Roman" w:cs="Times New Roman"/>
          <w:sz w:val="24"/>
          <w:szCs w:val="24"/>
        </w:rPr>
        <w:t>o</w:t>
      </w:r>
      <w:r>
        <w:rPr>
          <w:rFonts w:ascii="Times New Roman" w:hAnsi="Times New Roman" w:cs="Times New Roman"/>
          <w:sz w:val="24"/>
          <w:szCs w:val="24"/>
        </w:rPr>
        <w:t xml:space="preserve">f neonates from studies. From a total of 428 medicinal products studied in pediatric patients, only 28 (7%) were studied in the neonate. But even worse, in a population of 290 </w:t>
      </w:r>
      <w:r w:rsidR="00B73E76">
        <w:rPr>
          <w:rFonts w:ascii="Times New Roman" w:hAnsi="Times New Roman" w:cs="Times New Roman"/>
          <w:sz w:val="24"/>
          <w:szCs w:val="24"/>
        </w:rPr>
        <w:t>Newborn Intensive Care Unit</w:t>
      </w:r>
      <w:r w:rsidR="006A67A4">
        <w:rPr>
          <w:rFonts w:ascii="Times New Roman" w:hAnsi="Times New Roman" w:cs="Times New Roman"/>
          <w:sz w:val="24"/>
          <w:szCs w:val="24"/>
        </w:rPr>
        <w:t>s (</w:t>
      </w:r>
      <w:r>
        <w:rPr>
          <w:rFonts w:ascii="Times New Roman" w:hAnsi="Times New Roman" w:cs="Times New Roman"/>
          <w:sz w:val="24"/>
          <w:szCs w:val="24"/>
        </w:rPr>
        <w:t>NICUs</w:t>
      </w:r>
      <w:r w:rsidR="006A67A4">
        <w:rPr>
          <w:rFonts w:ascii="Times New Roman" w:hAnsi="Times New Roman" w:cs="Times New Roman"/>
          <w:sz w:val="24"/>
          <w:szCs w:val="24"/>
        </w:rPr>
        <w:t>)</w:t>
      </w:r>
      <w:r>
        <w:rPr>
          <w:rFonts w:ascii="Times New Roman" w:hAnsi="Times New Roman" w:cs="Times New Roman"/>
          <w:sz w:val="24"/>
          <w:szCs w:val="24"/>
        </w:rPr>
        <w:t xml:space="preserve"> and 445,335 patients only 7 of these 428 medicines (1.6%) were actually used routinely (1</w:t>
      </w:r>
      <w:r w:rsidR="006A5FBB">
        <w:rPr>
          <w:rFonts w:ascii="Times New Roman" w:hAnsi="Times New Roman" w:cs="Times New Roman"/>
          <w:sz w:val="24"/>
          <w:szCs w:val="24"/>
        </w:rPr>
        <w:t>1</w:t>
      </w:r>
      <w:r>
        <w:rPr>
          <w:rFonts w:ascii="Times New Roman" w:hAnsi="Times New Roman" w:cs="Times New Roman"/>
          <w:sz w:val="24"/>
          <w:szCs w:val="24"/>
        </w:rPr>
        <w:t>).</w:t>
      </w:r>
    </w:p>
    <w:p w14:paraId="4C964FFA" w14:textId="77777777" w:rsidR="002F1DA0" w:rsidRDefault="002F1DA0" w:rsidP="00BE7C50">
      <w:pPr>
        <w:tabs>
          <w:tab w:val="left" w:pos="8910"/>
        </w:tabs>
        <w:spacing w:after="0" w:line="480" w:lineRule="auto"/>
        <w:ind w:right="198"/>
        <w:jc w:val="both"/>
        <w:rPr>
          <w:rFonts w:ascii="Times New Roman" w:hAnsi="Times New Roman" w:cs="Times New Roman"/>
          <w:sz w:val="24"/>
          <w:szCs w:val="24"/>
        </w:rPr>
      </w:pPr>
      <w:r>
        <w:rPr>
          <w:rFonts w:ascii="Times New Roman" w:hAnsi="Times New Roman" w:cs="Times New Roman"/>
          <w:sz w:val="24"/>
          <w:szCs w:val="24"/>
        </w:rPr>
        <w:t xml:space="preserve">To address the need for study of medicinal products in neonates worldwide, a group of individuals with a broad range of expertise described the issues that need to be addressed in such studies. </w:t>
      </w:r>
    </w:p>
    <w:p w14:paraId="3D86FB1E" w14:textId="63831F9E" w:rsidR="002F1DA0" w:rsidRDefault="002F1DA0" w:rsidP="00BE7C50">
      <w:pPr>
        <w:tabs>
          <w:tab w:val="left" w:pos="8910"/>
        </w:tabs>
        <w:spacing w:after="0" w:line="480" w:lineRule="auto"/>
        <w:ind w:right="198"/>
        <w:jc w:val="both"/>
        <w:rPr>
          <w:rFonts w:ascii="Times New Roman" w:hAnsi="Times New Roman" w:cs="Times New Roman"/>
          <w:sz w:val="24"/>
          <w:szCs w:val="24"/>
        </w:rPr>
      </w:pPr>
      <w:r>
        <w:rPr>
          <w:rFonts w:ascii="Times New Roman" w:hAnsi="Times New Roman" w:cs="Times New Roman"/>
          <w:sz w:val="24"/>
          <w:szCs w:val="24"/>
        </w:rPr>
        <w:t>Neonates deserve particular attention because the immaturity, small size and rapid developmental changes in this high risk pediatric population complicate the measurement of beneficial and adverse effects of medications, especially with increasing survival of neonates at the borderline of viabi</w:t>
      </w:r>
      <w:r w:rsidR="006A5FBB">
        <w:rPr>
          <w:rFonts w:ascii="Times New Roman" w:hAnsi="Times New Roman" w:cs="Times New Roman"/>
          <w:sz w:val="24"/>
          <w:szCs w:val="24"/>
        </w:rPr>
        <w:t>lity (22-23 weeks gestation) (12-13</w:t>
      </w:r>
      <w:r>
        <w:rPr>
          <w:rFonts w:ascii="Times New Roman" w:hAnsi="Times New Roman" w:cs="Times New Roman"/>
          <w:sz w:val="24"/>
          <w:szCs w:val="24"/>
        </w:rPr>
        <w:t xml:space="preserve">). </w:t>
      </w:r>
    </w:p>
    <w:p w14:paraId="7E5C8ACE" w14:textId="77777777" w:rsidR="002F1DA0" w:rsidRDefault="002F1DA0" w:rsidP="00BE7C50">
      <w:pPr>
        <w:pStyle w:val="Heading2"/>
        <w:numPr>
          <w:ilvl w:val="0"/>
          <w:numId w:val="0"/>
        </w:numPr>
        <w:tabs>
          <w:tab w:val="left" w:pos="8910"/>
        </w:tabs>
        <w:spacing w:after="0" w:line="480" w:lineRule="auto"/>
        <w:ind w:right="198"/>
      </w:pPr>
      <w:r>
        <w:t>Definitions of the Neonate</w:t>
      </w:r>
    </w:p>
    <w:p w14:paraId="3F460A08" w14:textId="7726B634" w:rsidR="002F1DA0" w:rsidRDefault="002F1DA0" w:rsidP="00BE7C50">
      <w:pPr>
        <w:tabs>
          <w:tab w:val="left" w:pos="360"/>
          <w:tab w:val="left" w:pos="8910"/>
        </w:tabs>
        <w:spacing w:after="0" w:line="480" w:lineRule="auto"/>
        <w:ind w:right="198"/>
        <w:jc w:val="both"/>
        <w:rPr>
          <w:rFonts w:ascii="Times New Roman" w:hAnsi="Times New Roman" w:cs="Times New Roman"/>
          <w:sz w:val="24"/>
          <w:szCs w:val="24"/>
        </w:rPr>
      </w:pPr>
      <w:r>
        <w:rPr>
          <w:rFonts w:ascii="Times New Roman" w:hAnsi="Times New Roman" w:cs="Times New Roman"/>
          <w:sz w:val="24"/>
          <w:szCs w:val="24"/>
        </w:rPr>
        <w:t xml:space="preserve">Defining and classifying neonates is complex because different terms are used to reflect maturational ages </w:t>
      </w:r>
      <w:r w:rsidR="00FE4862">
        <w:rPr>
          <w:rFonts w:ascii="Times New Roman" w:hAnsi="Times New Roman" w:cs="Times New Roman"/>
          <w:sz w:val="24"/>
          <w:szCs w:val="24"/>
        </w:rPr>
        <w:t xml:space="preserve">(see Table) </w:t>
      </w:r>
      <w:r>
        <w:rPr>
          <w:rFonts w:ascii="Times New Roman" w:hAnsi="Times New Roman" w:cs="Times New Roman"/>
          <w:sz w:val="24"/>
          <w:szCs w:val="24"/>
        </w:rPr>
        <w:t xml:space="preserve">(14). As has been adopted by the </w:t>
      </w:r>
      <w:r w:rsidR="00EA29BF">
        <w:rPr>
          <w:rFonts w:ascii="Times New Roman" w:hAnsi="Times New Roman" w:cs="Times New Roman"/>
          <w:sz w:val="24"/>
          <w:szCs w:val="24"/>
        </w:rPr>
        <w:t>European Medicines Agency (</w:t>
      </w:r>
      <w:r>
        <w:rPr>
          <w:rFonts w:ascii="Times New Roman" w:hAnsi="Times New Roman" w:cs="Times New Roman"/>
          <w:sz w:val="24"/>
          <w:szCs w:val="24"/>
        </w:rPr>
        <w:t>EMA</w:t>
      </w:r>
      <w:r w:rsidR="00EA29BF">
        <w:rPr>
          <w:rFonts w:ascii="Times New Roman" w:hAnsi="Times New Roman" w:cs="Times New Roman"/>
          <w:sz w:val="24"/>
          <w:szCs w:val="24"/>
        </w:rPr>
        <w:t>)</w:t>
      </w:r>
      <w:r>
        <w:rPr>
          <w:rFonts w:ascii="Times New Roman" w:hAnsi="Times New Roman" w:cs="Times New Roman"/>
          <w:sz w:val="24"/>
          <w:szCs w:val="24"/>
        </w:rPr>
        <w:t xml:space="preserve">, the optimal definition of a neonate is up to 44 completed weeks </w:t>
      </w:r>
      <w:r w:rsidR="003D5F53">
        <w:rPr>
          <w:rFonts w:ascii="Times New Roman" w:hAnsi="Times New Roman" w:cs="Times New Roman"/>
          <w:sz w:val="24"/>
          <w:szCs w:val="24"/>
        </w:rPr>
        <w:t>postmenstrual age (</w:t>
      </w:r>
      <w:r>
        <w:rPr>
          <w:rFonts w:ascii="Times New Roman" w:hAnsi="Times New Roman" w:cs="Times New Roman"/>
          <w:sz w:val="24"/>
          <w:szCs w:val="24"/>
        </w:rPr>
        <w:t>PMA</w:t>
      </w:r>
      <w:r w:rsidR="003D5F53">
        <w:rPr>
          <w:rFonts w:ascii="Times New Roman" w:hAnsi="Times New Roman" w:cs="Times New Roman"/>
          <w:sz w:val="24"/>
          <w:szCs w:val="24"/>
        </w:rPr>
        <w:t>)</w:t>
      </w:r>
      <w:r>
        <w:rPr>
          <w:rFonts w:ascii="Times New Roman" w:hAnsi="Times New Roman" w:cs="Times New Roman"/>
          <w:sz w:val="24"/>
          <w:szCs w:val="24"/>
        </w:rPr>
        <w:t>. Infancy is from 44 completed weeks PMA to 1 year after the expected date of delivery (</w:t>
      </w:r>
      <w:r w:rsidR="006A5FBB">
        <w:rPr>
          <w:rFonts w:ascii="Times New Roman" w:hAnsi="Times New Roman" w:cs="Times New Roman"/>
          <w:sz w:val="24"/>
          <w:szCs w:val="24"/>
        </w:rPr>
        <w:t>2</w:t>
      </w:r>
      <w:r>
        <w:rPr>
          <w:rFonts w:ascii="Times New Roman" w:hAnsi="Times New Roman" w:cs="Times New Roman"/>
          <w:sz w:val="24"/>
          <w:szCs w:val="24"/>
        </w:rPr>
        <w:t xml:space="preserve">). </w:t>
      </w:r>
    </w:p>
    <w:p w14:paraId="7CFB9EDB" w14:textId="77777777" w:rsidR="002F1DA0" w:rsidRDefault="002F1DA0" w:rsidP="006C1A14">
      <w:pPr>
        <w:tabs>
          <w:tab w:val="left" w:pos="8910"/>
        </w:tabs>
        <w:spacing w:after="240" w:line="480" w:lineRule="auto"/>
        <w:ind w:right="198"/>
        <w:jc w:val="both"/>
        <w:rPr>
          <w:rFonts w:ascii="Times New Roman" w:hAnsi="Times New Roman" w:cs="Times New Roman"/>
          <w:sz w:val="24"/>
          <w:szCs w:val="24"/>
        </w:rPr>
      </w:pPr>
      <w:r>
        <w:rPr>
          <w:rFonts w:ascii="Times New Roman" w:hAnsi="Times New Roman" w:cs="Times New Roman"/>
          <w:sz w:val="24"/>
          <w:szCs w:val="24"/>
        </w:rPr>
        <w:t xml:space="preserve">A further complexity is that growth abnormalities, either large for gestational age (LGA, weight &gt;90th centile) or small for gestational age or growth restricted (SGA, weight &lt;10th centile), can affect neonatal developmental physiology and pharmacology (15). Trials that exclusively use birth weight as an inclusion criterion generally include a larger proportion of growth-restricted, more mature neonates compared to those that use gestational age. Trials should specify whether or not neonates born outside the normal growth range will be </w:t>
      </w:r>
      <w:r>
        <w:rPr>
          <w:rFonts w:ascii="Times New Roman" w:hAnsi="Times New Roman" w:cs="Times New Roman"/>
          <w:sz w:val="24"/>
          <w:szCs w:val="24"/>
        </w:rPr>
        <w:lastRenderedPageBreak/>
        <w:t>included. The assessment of growth should be based on growth charts or standards such as standard deviation scores that have been validated for the population under study. This means that a given study may have to use different growth charts or standards in different locations and for different populations within a single study.</w:t>
      </w:r>
    </w:p>
    <w:p w14:paraId="5C0A4279" w14:textId="77777777" w:rsidR="002F1DA0" w:rsidRDefault="002F1DA0" w:rsidP="006C1A14">
      <w:pPr>
        <w:tabs>
          <w:tab w:val="left" w:pos="9000"/>
        </w:tabs>
        <w:spacing w:after="240" w:line="480" w:lineRule="auto"/>
        <w:ind w:right="288"/>
        <w:jc w:val="both"/>
        <w:rPr>
          <w:rFonts w:ascii="Times New Roman" w:hAnsi="Times New Roman" w:cs="Times New Roman"/>
          <w:sz w:val="24"/>
          <w:szCs w:val="24"/>
        </w:rPr>
      </w:pPr>
      <w:r>
        <w:rPr>
          <w:rFonts w:ascii="Times New Roman" w:hAnsi="Times New Roman" w:cs="Times New Roman"/>
          <w:sz w:val="24"/>
          <w:szCs w:val="24"/>
        </w:rPr>
        <w:t>During long-term follow-up it is important to account for expected developmental status. This can be done using Corrected Gestational Age (CGA). During studies that are conducted over relatively short time periods (i.e. up to 3 months after the expected date of delivery), it may be more convenient to refer to PMA than CGA</w:t>
      </w:r>
    </w:p>
    <w:p w14:paraId="10A5132C" w14:textId="77777777" w:rsidR="002F1DA0" w:rsidRDefault="002F1DA0" w:rsidP="006C1A14">
      <w:pPr>
        <w:spacing w:after="240" w:line="480" w:lineRule="auto"/>
        <w:ind w:right="198"/>
        <w:jc w:val="both"/>
        <w:rPr>
          <w:rFonts w:ascii="Times New Roman" w:hAnsi="Times New Roman" w:cs="Times New Roman"/>
          <w:sz w:val="24"/>
          <w:szCs w:val="24"/>
        </w:rPr>
      </w:pPr>
      <w:r>
        <w:rPr>
          <w:rFonts w:ascii="Times New Roman" w:hAnsi="Times New Roman" w:cs="Times New Roman"/>
          <w:sz w:val="24"/>
          <w:szCs w:val="24"/>
        </w:rPr>
        <w:t>Inclusion of specific age groups should reflect the aims of the study and may benefit from a narrow population to generate a clear signal of efficacy (or lack thereof). In contrast, detailed understanding of PK and PD will benefit by recruiting a broader population, since the thorough assessment of PK/PD relationships hinges on the identification and quantification of sources of variability. It should be noted that the results of clinical pharmacology studies may suggest that age-stratifications for dosage used in prescribing information (e.g. the label) or the summary of a medical product’s characteristics are not the same as the stratifications used in a study.</w:t>
      </w:r>
    </w:p>
    <w:p w14:paraId="27DD3216" w14:textId="77777777" w:rsidR="002F1DA0" w:rsidRDefault="002F1DA0" w:rsidP="006C1A14">
      <w:pPr>
        <w:pStyle w:val="Heading1"/>
        <w:numPr>
          <w:ilvl w:val="0"/>
          <w:numId w:val="0"/>
        </w:numPr>
        <w:tabs>
          <w:tab w:val="left" w:pos="9000"/>
        </w:tabs>
        <w:spacing w:before="0" w:line="480" w:lineRule="auto"/>
      </w:pPr>
      <w:r>
        <w:t>CLINICAL PHARMACOLOGY CONSIDERATIONS</w:t>
      </w:r>
    </w:p>
    <w:p w14:paraId="6BD74B2F" w14:textId="77777777" w:rsidR="002F1DA0" w:rsidRPr="005824A6" w:rsidRDefault="002F1DA0" w:rsidP="009E4580">
      <w:pPr>
        <w:pStyle w:val="Heading2"/>
        <w:numPr>
          <w:ilvl w:val="0"/>
          <w:numId w:val="0"/>
        </w:numPr>
        <w:tabs>
          <w:tab w:val="left" w:pos="9000"/>
        </w:tabs>
        <w:spacing w:after="0" w:line="480" w:lineRule="auto"/>
      </w:pPr>
      <w:r>
        <w:t>General Considerations</w:t>
      </w:r>
    </w:p>
    <w:p w14:paraId="3D6C3812" w14:textId="4C159B5F" w:rsidR="00767160" w:rsidRDefault="002F1DA0" w:rsidP="009E4580">
      <w:pPr>
        <w:tabs>
          <w:tab w:val="left" w:pos="810"/>
          <w:tab w:val="left" w:pos="90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The team should develop a clear concept of the treatment goal, identify knowledge gaps required to attain the treatment goal, design studies to fill the information gaps, conduct the studies and review the information continuously. When possible, information gaps should be filled from other sources, or at least narrowed before clinical studies are conducted.</w:t>
      </w:r>
    </w:p>
    <w:p w14:paraId="73F66C2B" w14:textId="77777777" w:rsidR="00767160" w:rsidRDefault="00767160">
      <w:pPr>
        <w:rPr>
          <w:rFonts w:ascii="Times New Roman" w:hAnsi="Times New Roman" w:cs="Times New Roman"/>
          <w:sz w:val="24"/>
          <w:szCs w:val="24"/>
        </w:rPr>
      </w:pPr>
      <w:r>
        <w:rPr>
          <w:rFonts w:ascii="Times New Roman" w:hAnsi="Times New Roman" w:cs="Times New Roman"/>
          <w:sz w:val="24"/>
          <w:szCs w:val="24"/>
        </w:rPr>
        <w:br w:type="page"/>
      </w:r>
    </w:p>
    <w:p w14:paraId="7BAFD6E3" w14:textId="09DF858E" w:rsidR="002F1DA0" w:rsidRDefault="002F1DA0" w:rsidP="0034462E">
      <w:pPr>
        <w:tabs>
          <w:tab w:val="left" w:pos="810"/>
          <w:tab w:val="left" w:pos="9000"/>
        </w:tabs>
        <w:spacing w:after="240" w:line="480" w:lineRule="auto"/>
        <w:ind w:right="288"/>
        <w:jc w:val="both"/>
        <w:rPr>
          <w:rFonts w:ascii="Times New Roman" w:hAnsi="Times New Roman" w:cs="Times New Roman"/>
          <w:sz w:val="24"/>
          <w:szCs w:val="24"/>
        </w:rPr>
      </w:pPr>
      <w:r>
        <w:rPr>
          <w:rFonts w:ascii="Times New Roman" w:hAnsi="Times New Roman" w:cs="Times New Roman"/>
          <w:sz w:val="24"/>
          <w:szCs w:val="24"/>
        </w:rPr>
        <w:lastRenderedPageBreak/>
        <w:t>Early in the planning for a neonatal clinical trial, it is wise to involve neonatal nurses.  They can provide valuable advice about the practicality of a study design and are pivotal in communication with families. Another important aspect of planning clinical trials involves input from parents/guardians and children (potentially former preterm neonates) (16).</w:t>
      </w:r>
      <w:r w:rsidR="00D16163">
        <w:rPr>
          <w:rFonts w:ascii="Times New Roman" w:hAnsi="Times New Roman" w:cs="Times New Roman"/>
          <w:sz w:val="24"/>
          <w:szCs w:val="24"/>
        </w:rPr>
        <w:t xml:space="preserve">  </w:t>
      </w:r>
      <w:r>
        <w:rPr>
          <w:rFonts w:ascii="Times New Roman" w:hAnsi="Times New Roman" w:cs="Times New Roman"/>
          <w:sz w:val="24"/>
          <w:szCs w:val="24"/>
        </w:rPr>
        <w:t>They often provide valuable input not previously considered by investigators and their perspective on acceptable levels of risk may differ from that of investigators or even Ethics Committees (16 – 18).</w:t>
      </w:r>
      <w:r>
        <w:rPr>
          <w:rFonts w:ascii="Times New Roman" w:hAnsi="Times New Roman" w:cs="Times New Roman"/>
          <w:iCs/>
          <w:sz w:val="24"/>
          <w:szCs w:val="24"/>
        </w:rPr>
        <w:t xml:space="preserve"> </w:t>
      </w:r>
    </w:p>
    <w:p w14:paraId="23D3C631" w14:textId="77777777" w:rsidR="002F1DA0" w:rsidRDefault="002F1DA0" w:rsidP="0034462E">
      <w:pPr>
        <w:pStyle w:val="ListParagraph"/>
        <w:tabs>
          <w:tab w:val="left" w:pos="9000"/>
        </w:tabs>
        <w:spacing w:after="240" w:line="480" w:lineRule="auto"/>
        <w:ind w:left="0" w:right="288"/>
        <w:jc w:val="both"/>
        <w:rPr>
          <w:rFonts w:ascii="Times New Roman" w:hAnsi="Times New Roman" w:cs="Times New Roman"/>
          <w:sz w:val="24"/>
          <w:szCs w:val="24"/>
        </w:rPr>
      </w:pPr>
      <w:r>
        <w:rPr>
          <w:rFonts w:ascii="Times New Roman" w:hAnsi="Times New Roman" w:cs="Times New Roman"/>
          <w:sz w:val="24"/>
          <w:szCs w:val="24"/>
        </w:rPr>
        <w:t xml:space="preserve">Modeling and simulation through pharmacometrics, physiologically-based PK/PD modeling, as well as systems pharmacology modeling provide an ideal framework for knowledge synthesis, study design (including trial simulation) and analysis. Pharmacometric methods can inform decisions about the number of participants, times of sample collection, covariates, phenotypic analyses and population analyses. </w:t>
      </w:r>
    </w:p>
    <w:p w14:paraId="2158D4BE" w14:textId="6484ABC1" w:rsidR="002F1DA0" w:rsidRPr="00767160" w:rsidRDefault="002F1DA0" w:rsidP="0034462E">
      <w:pPr>
        <w:pStyle w:val="ListParagraph"/>
        <w:tabs>
          <w:tab w:val="left" w:pos="9000"/>
        </w:tabs>
        <w:spacing w:after="240" w:line="480" w:lineRule="auto"/>
        <w:ind w:left="0" w:right="288"/>
        <w:jc w:val="both"/>
        <w:rPr>
          <w:rFonts w:ascii="Times New Roman" w:hAnsi="Times New Roman" w:cs="Times New Roman"/>
          <w:sz w:val="24"/>
          <w:szCs w:val="24"/>
          <w:vertAlign w:val="superscript"/>
        </w:rPr>
      </w:pPr>
      <w:r>
        <w:rPr>
          <w:rFonts w:ascii="Times New Roman" w:hAnsi="Times New Roman" w:cs="Times New Roman"/>
          <w:sz w:val="24"/>
          <w:szCs w:val="24"/>
        </w:rPr>
        <w:t>Traditionally, there is an expectation that each application for licensing/marketing authorization contains a self-sufficient body of data about the product ranging from pre-clinical data through a sequence of phases or exploratory/confirmatory studies. This approach is difficult to apply to neonates because of the issues identified in the Background. Instead, information about a medicinal product may come from a number of sources including bridging from pre-clinical and extrapolation from other clinical populations (19 – 25).</w:t>
      </w:r>
    </w:p>
    <w:p w14:paraId="67E62E40" w14:textId="3689A306" w:rsidR="002F1DA0" w:rsidRPr="009A7466" w:rsidRDefault="002F1DA0" w:rsidP="0034462E">
      <w:pPr>
        <w:pStyle w:val="ListParagraph"/>
        <w:spacing w:after="240" w:line="480" w:lineRule="auto"/>
        <w:ind w:left="0" w:right="115"/>
        <w:jc w:val="both"/>
        <w:rPr>
          <w:rFonts w:ascii="Times New Roman" w:hAnsi="Times New Roman" w:cs="Times New Roman"/>
          <w:sz w:val="24"/>
          <w:szCs w:val="24"/>
        </w:rPr>
      </w:pPr>
      <w:r>
        <w:rPr>
          <w:rFonts w:ascii="Times New Roman" w:hAnsi="Times New Roman" w:cs="Times New Roman"/>
          <w:sz w:val="24"/>
          <w:szCs w:val="24"/>
        </w:rPr>
        <w:t xml:space="preserve">The timing of clinical studies in neonates should be appropriate to the condition and the medicinal product. The traditional approach has been to wait until Phase III clinical trials have been completed in adults. This approach is not appropriate in most situations. As increasingly required by regulatory authorities, pediatric medicinal </w:t>
      </w:r>
      <w:r w:rsidRPr="00B25165">
        <w:rPr>
          <w:rFonts w:ascii="Times New Roman" w:hAnsi="Times New Roman" w:cs="Times New Roman"/>
          <w:sz w:val="24"/>
          <w:szCs w:val="24"/>
        </w:rPr>
        <w:t>product development should proceed as soon as “proof of concept” for the likelihood of direct benefit for neonates</w:t>
      </w:r>
      <w:r w:rsidR="00767160">
        <w:rPr>
          <w:rFonts w:ascii="Times New Roman" w:hAnsi="Times New Roman" w:cs="Times New Roman"/>
          <w:sz w:val="24"/>
          <w:szCs w:val="24"/>
        </w:rPr>
        <w:t xml:space="preserve"> </w:t>
      </w:r>
      <w:r w:rsidRPr="00B25165">
        <w:rPr>
          <w:rFonts w:ascii="Times New Roman" w:hAnsi="Times New Roman" w:cs="Times New Roman"/>
          <w:sz w:val="24"/>
          <w:szCs w:val="24"/>
        </w:rPr>
        <w:t xml:space="preserve">is established in adult studies, unless the disease is unique to newborns (in which case product development </w:t>
      </w:r>
      <w:r w:rsidRPr="00B25165">
        <w:rPr>
          <w:rFonts w:ascii="Times New Roman" w:hAnsi="Times New Roman" w:cs="Times New Roman"/>
          <w:sz w:val="24"/>
          <w:szCs w:val="24"/>
        </w:rPr>
        <w:lastRenderedPageBreak/>
        <w:t>usually involves neonates from the early stages</w:t>
      </w:r>
      <w:r>
        <w:rPr>
          <w:rFonts w:ascii="Times New Roman" w:hAnsi="Times New Roman" w:cs="Times New Roman"/>
          <w:sz w:val="24"/>
          <w:szCs w:val="24"/>
        </w:rPr>
        <w:t>) (26)</w:t>
      </w:r>
      <w:r w:rsidRPr="00B25165">
        <w:rPr>
          <w:rFonts w:ascii="Times New Roman" w:hAnsi="Times New Roman" w:cs="Times New Roman"/>
          <w:sz w:val="24"/>
          <w:szCs w:val="24"/>
        </w:rPr>
        <w:t>.</w:t>
      </w:r>
      <w:r>
        <w:rPr>
          <w:rFonts w:ascii="Times New Roman" w:hAnsi="Times New Roman" w:cs="Times New Roman"/>
          <w:sz w:val="24"/>
          <w:szCs w:val="24"/>
        </w:rPr>
        <w:t xml:space="preserve"> Delay in the initiation of neonatal studies will deprive this population of a new and potentially more beneficial therapy. </w:t>
      </w:r>
    </w:p>
    <w:p w14:paraId="0489340E" w14:textId="77777777" w:rsidR="002F1DA0" w:rsidRDefault="002F1DA0" w:rsidP="003564A7">
      <w:pPr>
        <w:pStyle w:val="Heading2"/>
        <w:numPr>
          <w:ilvl w:val="0"/>
          <w:numId w:val="0"/>
        </w:numPr>
        <w:spacing w:after="120" w:line="480" w:lineRule="auto"/>
        <w:ind w:right="115"/>
      </w:pPr>
      <w:r>
        <w:t>Pharmacokinetics (PK)</w:t>
      </w:r>
    </w:p>
    <w:p w14:paraId="1E9EB8A8" w14:textId="6D80CA9F" w:rsidR="002F1DA0" w:rsidRDefault="002F1DA0" w:rsidP="003564A7">
      <w:pPr>
        <w:tabs>
          <w:tab w:val="left" w:pos="5760"/>
        </w:tabs>
        <w:spacing w:after="120" w:line="480" w:lineRule="auto"/>
        <w:ind w:right="115"/>
        <w:jc w:val="both"/>
        <w:rPr>
          <w:rFonts w:ascii="Times New Roman" w:hAnsi="Times New Roman" w:cs="Times New Roman"/>
          <w:sz w:val="24"/>
          <w:szCs w:val="24"/>
        </w:rPr>
      </w:pPr>
      <w:r>
        <w:rPr>
          <w:rFonts w:ascii="Times New Roman" w:hAnsi="Times New Roman" w:cs="Times New Roman"/>
          <w:sz w:val="24"/>
          <w:szCs w:val="24"/>
        </w:rPr>
        <w:t>In the neonate, body weight and maturation (gestational and postnatal age (PNA)) are important determinants of medicinal product absorption, distribution, metabolism, and excretion (ADME) and explain a substantial amount of exposure variability and changes in PK parameters.</w:t>
      </w:r>
      <w:r w:rsidR="00896807">
        <w:rPr>
          <w:rFonts w:ascii="Times New Roman" w:hAnsi="Times New Roman" w:cs="Times New Roman"/>
          <w:sz w:val="24"/>
          <w:szCs w:val="24"/>
        </w:rPr>
        <w:t xml:space="preserve"> </w:t>
      </w:r>
      <w:r>
        <w:rPr>
          <w:rFonts w:ascii="Times New Roman" w:hAnsi="Times New Roman" w:cs="Times New Roman"/>
          <w:sz w:val="24"/>
          <w:szCs w:val="24"/>
        </w:rPr>
        <w:t>These determinants are described in detail in the full document (27 – 43). In addition, other factors such as physiologic derangements (e.g. organ dysfunction, body cooling); concomitant or prior medication exposure; feeding status and type of feedings; and pharmacogenomics influence ADME in term and preterm neonates. Therefore, the PK of a medicinal product is typically evaluated over a wide gestational age and PNA spectrum in which the agents will be used.</w:t>
      </w:r>
      <w:r w:rsidR="00896807">
        <w:rPr>
          <w:rFonts w:ascii="Times New Roman" w:hAnsi="Times New Roman" w:cs="Times New Roman"/>
          <w:sz w:val="24"/>
          <w:szCs w:val="24"/>
        </w:rPr>
        <w:t xml:space="preserve"> </w:t>
      </w:r>
    </w:p>
    <w:p w14:paraId="4A1EC804" w14:textId="77777777" w:rsidR="002F1DA0" w:rsidRPr="00885561" w:rsidRDefault="002F1DA0" w:rsidP="003564A7">
      <w:pPr>
        <w:pStyle w:val="ListParagraph"/>
        <w:spacing w:after="120" w:line="480" w:lineRule="auto"/>
        <w:ind w:left="0" w:right="115"/>
        <w:rPr>
          <w:rFonts w:ascii="Times New Roman" w:hAnsi="Times New Roman" w:cs="Times New Roman"/>
          <w:i/>
          <w:sz w:val="24"/>
          <w:szCs w:val="24"/>
        </w:rPr>
      </w:pPr>
      <w:r w:rsidRPr="00885561">
        <w:rPr>
          <w:rFonts w:ascii="Times New Roman" w:hAnsi="Times New Roman" w:cs="Times New Roman"/>
          <w:i/>
          <w:sz w:val="24"/>
          <w:szCs w:val="24"/>
        </w:rPr>
        <w:t xml:space="preserve">Physiologically Based Pharmacokinetics (PBPK) </w:t>
      </w:r>
    </w:p>
    <w:p w14:paraId="19EC2A21" w14:textId="593FDF0A" w:rsidR="002F1DA0" w:rsidRDefault="002F1DA0" w:rsidP="003564A7">
      <w:pPr>
        <w:spacing w:after="120" w:line="480" w:lineRule="auto"/>
        <w:ind w:right="115"/>
        <w:jc w:val="both"/>
        <w:rPr>
          <w:rFonts w:ascii="Times New Roman" w:hAnsi="Times New Roman" w:cs="Times New Roman"/>
          <w:sz w:val="24"/>
          <w:szCs w:val="24"/>
        </w:rPr>
      </w:pPr>
      <w:r w:rsidRPr="00503000">
        <w:rPr>
          <w:rFonts w:ascii="Times New Roman" w:hAnsi="Times New Roman" w:cs="Times New Roman"/>
          <w:sz w:val="24"/>
          <w:szCs w:val="24"/>
        </w:rPr>
        <w:t>When data are available to describe the developmental changes in pathways of medicinal product disposition, physiologically based PK (PBPK) may be a useful approach for integration of developmental changes in specific processes that determine ADME.</w:t>
      </w:r>
      <w:r>
        <w:rPr>
          <w:rFonts w:ascii="Times New Roman" w:hAnsi="Times New Roman" w:cs="Times New Roman"/>
          <w:sz w:val="24"/>
          <w:szCs w:val="24"/>
        </w:rPr>
        <w:t xml:space="preserve"> Unanticipated differences in medicinal product clearance in neonates must be identified based on a careful PK study.  For example, the clearance of daptomycin and micafungin is faster in the neonate than older infants and adults, thus requiring higher dosages (44, 45). Although this is unusual in neonates, it emphasizes how inadequate PK studies could lead to inappropriate dosing of therapeutics in the neonate thereby limiting their efficacy. </w:t>
      </w:r>
    </w:p>
    <w:p w14:paraId="14190450" w14:textId="77777777" w:rsidR="002F1DA0" w:rsidRDefault="002F1DA0" w:rsidP="003564A7">
      <w:pPr>
        <w:pStyle w:val="Heading2"/>
        <w:numPr>
          <w:ilvl w:val="0"/>
          <w:numId w:val="0"/>
        </w:numPr>
        <w:spacing w:after="120" w:line="480" w:lineRule="auto"/>
        <w:ind w:right="115"/>
      </w:pPr>
      <w:r>
        <w:t xml:space="preserve">Pharmacodynamics </w:t>
      </w:r>
    </w:p>
    <w:p w14:paraId="1EC7401D" w14:textId="77777777" w:rsidR="002F1DA0" w:rsidRPr="009A7466" w:rsidRDefault="002F1DA0" w:rsidP="003564A7">
      <w:pPr>
        <w:tabs>
          <w:tab w:val="left" w:pos="9000"/>
        </w:tabs>
        <w:autoSpaceDE w:val="0"/>
        <w:autoSpaceDN w:val="0"/>
        <w:adjustRightInd w:val="0"/>
        <w:spacing w:after="240" w:line="480" w:lineRule="auto"/>
        <w:ind w:right="198"/>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Investigators should collect and analyze both PK and whenever possible PD data in neonatal studies to determine how the two are linked (i.e., the PK-PD or exposure-response relationship). PD may include the effect of the medicinal product on biomarkers or clinical endpoints for both safety and effectiveness provided that the biomarkers have been validated. These measurements may allow a better understanding of whether the PK-PD relationships of the medicinal product in neonates are similar to those observed in older children or adults and may aid in deriving rational dosing strategies. </w:t>
      </w:r>
    </w:p>
    <w:p w14:paraId="5CF36436" w14:textId="77777777" w:rsidR="002F1DA0" w:rsidRPr="00885561" w:rsidRDefault="002F1DA0" w:rsidP="003564A7">
      <w:pPr>
        <w:tabs>
          <w:tab w:val="left" w:pos="9000"/>
        </w:tabs>
        <w:autoSpaceDE w:val="0"/>
        <w:autoSpaceDN w:val="0"/>
        <w:adjustRightInd w:val="0"/>
        <w:spacing w:after="240" w:line="480" w:lineRule="auto"/>
        <w:ind w:right="198"/>
        <w:jc w:val="both"/>
        <w:rPr>
          <w:rFonts w:ascii="Times New Roman" w:hAnsi="Times New Roman" w:cs="Times New Roman"/>
          <w:sz w:val="24"/>
          <w:szCs w:val="24"/>
        </w:rPr>
      </w:pPr>
      <w:r w:rsidRPr="00885561">
        <w:rPr>
          <w:rFonts w:ascii="Times New Roman" w:hAnsi="Times New Roman" w:cs="Times New Roman"/>
          <w:b/>
          <w:color w:val="000000"/>
          <w:sz w:val="24"/>
          <w:szCs w:val="24"/>
        </w:rPr>
        <w:t>Biomarkers</w:t>
      </w:r>
    </w:p>
    <w:p w14:paraId="005856FE" w14:textId="77777777" w:rsidR="002F1DA0" w:rsidRDefault="002F1DA0" w:rsidP="003564A7">
      <w:pPr>
        <w:autoSpaceDE w:val="0"/>
        <w:autoSpaceDN w:val="0"/>
        <w:adjustRightInd w:val="0"/>
        <w:spacing w:after="240" w:line="480" w:lineRule="auto"/>
        <w:ind w:right="288"/>
        <w:jc w:val="both"/>
        <w:rPr>
          <w:rFonts w:ascii="Times New Roman" w:hAnsi="Times New Roman" w:cs="Times New Roman"/>
          <w:color w:val="000000"/>
          <w:sz w:val="24"/>
          <w:szCs w:val="24"/>
        </w:rPr>
      </w:pPr>
      <w:r>
        <w:rPr>
          <w:rFonts w:ascii="Times New Roman" w:hAnsi="Times New Roman" w:cs="Times New Roman"/>
          <w:sz w:val="24"/>
          <w:szCs w:val="24"/>
        </w:rPr>
        <w:t xml:space="preserve">A large number of neonatal biomarkers and clinically important outcomes have been described in several systematic reviews (46, 47). Biomarkers may have some utility in </w:t>
      </w:r>
      <w:r w:rsidRPr="008045A3">
        <w:rPr>
          <w:rFonts w:ascii="Times New Roman" w:hAnsi="Times New Roman" w:cs="Times New Roman"/>
          <w:sz w:val="24"/>
          <w:szCs w:val="24"/>
        </w:rPr>
        <w:t xml:space="preserve">clinical </w:t>
      </w:r>
      <w:r w:rsidRPr="007122E0">
        <w:rPr>
          <w:rFonts w:ascii="Times New Roman" w:hAnsi="Times New Roman" w:cs="Times New Roman"/>
          <w:sz w:val="24"/>
          <w:szCs w:val="24"/>
        </w:rPr>
        <w:t>practice, but</w:t>
      </w:r>
      <w:r>
        <w:rPr>
          <w:rFonts w:ascii="Times New Roman" w:hAnsi="Times New Roman" w:cs="Times New Roman"/>
          <w:sz w:val="24"/>
          <w:szCs w:val="24"/>
        </w:rPr>
        <w:t xml:space="preserve"> insufficient high-quality data are available to support their use in most neonatal medicinal product development. </w:t>
      </w:r>
      <w:r>
        <w:rPr>
          <w:rFonts w:ascii="Times New Roman" w:hAnsi="Times New Roman" w:cs="Times New Roman"/>
          <w:color w:val="000000"/>
          <w:sz w:val="24"/>
          <w:szCs w:val="24"/>
        </w:rPr>
        <w:t xml:space="preserve">In many cases, biomarkers are first evaluated in adults. The use of a biomarker in a neonate requires evidence to support a neonatal </w:t>
      </w:r>
      <w:r w:rsidRPr="008045A3">
        <w:rPr>
          <w:rFonts w:ascii="Times New Roman" w:hAnsi="Times New Roman" w:cs="Times New Roman"/>
          <w:color w:val="000000"/>
          <w:sz w:val="24"/>
          <w:szCs w:val="24"/>
        </w:rPr>
        <w:t xml:space="preserve">use. This may be relatively easy if the disease pathophysiology and pharmacologic response in </w:t>
      </w:r>
      <w:r>
        <w:rPr>
          <w:rFonts w:ascii="Times New Roman" w:hAnsi="Times New Roman" w:cs="Times New Roman"/>
          <w:color w:val="000000"/>
          <w:sz w:val="24"/>
          <w:szCs w:val="24"/>
        </w:rPr>
        <w:t>children</w:t>
      </w:r>
      <w:r w:rsidRPr="008045A3">
        <w:rPr>
          <w:rFonts w:ascii="Times New Roman" w:hAnsi="Times New Roman" w:cs="Times New Roman"/>
          <w:color w:val="000000"/>
          <w:sz w:val="24"/>
          <w:szCs w:val="24"/>
        </w:rPr>
        <w:t xml:space="preserve"> are similar to adults. Sufficient similarities are not always present</w:t>
      </w:r>
      <w:r>
        <w:rPr>
          <w:rFonts w:ascii="Times New Roman" w:hAnsi="Times New Roman" w:cs="Times New Roman"/>
          <w:color w:val="000000"/>
          <w:sz w:val="24"/>
          <w:szCs w:val="24"/>
        </w:rPr>
        <w:t xml:space="preserve">: e.g., </w:t>
      </w:r>
      <w:r w:rsidRPr="008045A3">
        <w:rPr>
          <w:rFonts w:ascii="Times New Roman" w:hAnsi="Times New Roman" w:cs="Times New Roman"/>
          <w:color w:val="000000"/>
          <w:sz w:val="24"/>
          <w:szCs w:val="24"/>
        </w:rPr>
        <w:t>low blood pressure is a useful biomarker in adults for systemic underperfusion and shock</w:t>
      </w:r>
      <w:r>
        <w:rPr>
          <w:rFonts w:ascii="Times New Roman" w:hAnsi="Times New Roman" w:cs="Times New Roman"/>
          <w:color w:val="000000"/>
          <w:sz w:val="24"/>
          <w:szCs w:val="24"/>
        </w:rPr>
        <w:t>; but</w:t>
      </w:r>
      <w:r w:rsidRPr="008045A3">
        <w:rPr>
          <w:rFonts w:ascii="Times New Roman" w:hAnsi="Times New Roman" w:cs="Times New Roman"/>
          <w:color w:val="000000"/>
          <w:sz w:val="24"/>
          <w:szCs w:val="24"/>
        </w:rPr>
        <w:t xml:space="preserve"> it has not been a useful biomarker in neonates for evaluation of organ perfusion. </w:t>
      </w:r>
      <w:r w:rsidRPr="008045A3">
        <w:rPr>
          <w:rFonts w:ascii="Times New Roman" w:hAnsi="Times New Roman" w:cs="Times New Roman"/>
          <w:sz w:val="24"/>
          <w:szCs w:val="24"/>
        </w:rPr>
        <w:t>In neonates, clinically meaningful surrogate outcomes or biochemical biomarkers borrowed from older age groups or therapeutic contexts may not reflect biological events (the combination of disease and ontogeny) with sufficient precision to predict a lasting effect for a medicinal product.</w:t>
      </w:r>
      <w:r w:rsidRPr="008045A3">
        <w:rPr>
          <w:rFonts w:ascii="Times New Roman" w:hAnsi="Times New Roman" w:cs="Times New Roman"/>
          <w:color w:val="000000"/>
          <w:sz w:val="24"/>
          <w:szCs w:val="24"/>
        </w:rPr>
        <w:t xml:space="preserve"> If sufficient evidence to support the use of a biomarker in neonates is not available, then the medicinal product development program should include work to develop evidence that supports the use of that biomarker in neonates.</w:t>
      </w:r>
      <w:r>
        <w:rPr>
          <w:rFonts w:ascii="Times New Roman" w:hAnsi="Times New Roman" w:cs="Times New Roman"/>
          <w:color w:val="000000"/>
          <w:sz w:val="24"/>
          <w:szCs w:val="24"/>
        </w:rPr>
        <w:t xml:space="preserve"> </w:t>
      </w:r>
    </w:p>
    <w:p w14:paraId="580E0CEA" w14:textId="77777777" w:rsidR="002F1DA0" w:rsidRPr="009A7466" w:rsidRDefault="002F1DA0" w:rsidP="0034462E">
      <w:pPr>
        <w:tabs>
          <w:tab w:val="left" w:pos="9000"/>
        </w:tabs>
        <w:autoSpaceDE w:val="0"/>
        <w:autoSpaceDN w:val="0"/>
        <w:adjustRightInd w:val="0"/>
        <w:spacing w:after="240" w:line="480" w:lineRule="auto"/>
        <w:ind w:right="288"/>
        <w:jc w:val="both"/>
        <w:rPr>
          <w:rFonts w:ascii="Times New Roman" w:hAnsi="Times New Roman" w:cs="Times New Roman"/>
          <w:sz w:val="24"/>
          <w:szCs w:val="24"/>
        </w:rPr>
      </w:pPr>
      <w:r>
        <w:rPr>
          <w:rFonts w:ascii="Times New Roman" w:hAnsi="Times New Roman" w:cs="Times New Roman"/>
          <w:sz w:val="24"/>
          <w:szCs w:val="24"/>
        </w:rPr>
        <w:lastRenderedPageBreak/>
        <w:t xml:space="preserve">The pathophysiology of many neonatal conditions frequently involves multiple organ systems, so analysis of a single biomarker may not be sufficient. Despite these limitations, biomarkers can have utility in medicinal product development (e.g., population enrichment strategies). </w:t>
      </w:r>
    </w:p>
    <w:p w14:paraId="2E124128" w14:textId="77777777" w:rsidR="002F1DA0" w:rsidRPr="00885561" w:rsidRDefault="002F1DA0" w:rsidP="0034462E">
      <w:pPr>
        <w:tabs>
          <w:tab w:val="left" w:pos="9000"/>
        </w:tabs>
        <w:autoSpaceDE w:val="0"/>
        <w:autoSpaceDN w:val="0"/>
        <w:adjustRightInd w:val="0"/>
        <w:spacing w:after="240" w:line="480" w:lineRule="auto"/>
        <w:ind w:right="202"/>
        <w:jc w:val="both"/>
        <w:rPr>
          <w:rFonts w:ascii="Times New Roman" w:hAnsi="Times New Roman" w:cs="Times New Roman"/>
          <w:color w:val="000000"/>
          <w:sz w:val="24"/>
          <w:szCs w:val="24"/>
        </w:rPr>
      </w:pPr>
      <w:r w:rsidRPr="00885561">
        <w:rPr>
          <w:rFonts w:ascii="Times New Roman" w:hAnsi="Times New Roman" w:cs="Times New Roman"/>
          <w:b/>
          <w:sz w:val="24"/>
          <w:szCs w:val="24"/>
        </w:rPr>
        <w:t>Outcomes</w:t>
      </w:r>
    </w:p>
    <w:p w14:paraId="0D5A5CB9" w14:textId="77777777" w:rsidR="002F1DA0" w:rsidRDefault="002F1DA0" w:rsidP="0034462E">
      <w:pPr>
        <w:tabs>
          <w:tab w:val="left" w:pos="9000"/>
        </w:tabs>
        <w:autoSpaceDE w:val="0"/>
        <w:autoSpaceDN w:val="0"/>
        <w:adjustRightInd w:val="0"/>
        <w:spacing w:after="240" w:line="480" w:lineRule="auto"/>
        <w:ind w:right="202"/>
        <w:jc w:val="both"/>
        <w:rPr>
          <w:rFonts w:ascii="Times New Roman" w:hAnsi="Times New Roman" w:cs="Times New Roman"/>
          <w:sz w:val="24"/>
          <w:szCs w:val="24"/>
        </w:rPr>
      </w:pPr>
      <w:r>
        <w:rPr>
          <w:rFonts w:ascii="Times New Roman" w:hAnsi="Times New Roman" w:cs="Times New Roman"/>
          <w:color w:val="000000"/>
          <w:sz w:val="24"/>
          <w:szCs w:val="24"/>
        </w:rPr>
        <w:t>When selecting outcomes, it is important to note that neonates may be uniquely susceptible to medicinal products that cross the blood brain barrier and to other physiologic changes that may impact neurologic development (e.g. hypoxemia and/or acidosis). In addition, t</w:t>
      </w:r>
      <w:r w:rsidRPr="009C7AC5">
        <w:rPr>
          <w:rFonts w:ascii="Times New Roman" w:hAnsi="Times New Roman" w:cs="Times New Roman"/>
          <w:color w:val="000000"/>
          <w:sz w:val="24"/>
          <w:szCs w:val="24"/>
        </w:rPr>
        <w:t>he immaturity of organ systems in neonates</w:t>
      </w:r>
      <w:r>
        <w:rPr>
          <w:rFonts w:ascii="Times New Roman" w:hAnsi="Times New Roman" w:cs="Times New Roman"/>
          <w:color w:val="000000"/>
          <w:sz w:val="24"/>
          <w:szCs w:val="24"/>
        </w:rPr>
        <w:t xml:space="preserve"> mean that safety signals may not manifest until long after the product is administered</w:t>
      </w:r>
      <w:r w:rsidRPr="009C7A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is necessary to include the assessment of safety in the study objectives and it is usually necessary to follow neonates beyond the period of safety surveillance of 30-90 days that is typically used in adults. </w:t>
      </w:r>
      <w:r>
        <w:rPr>
          <w:rFonts w:ascii="Times New Roman" w:hAnsi="Times New Roman" w:cs="Times New Roman"/>
          <w:sz w:val="24"/>
          <w:szCs w:val="24"/>
        </w:rPr>
        <w:t xml:space="preserve">While longer-term surveillance of safety and efficacy may help define more accurate endpoints, surrogate outcomes such as reduced length of hospital stay, the incidence of co-morbidities, biomarkers, and health care costs should be important factors in neonatal medicinal product development. </w:t>
      </w:r>
    </w:p>
    <w:p w14:paraId="460A0F05" w14:textId="77777777" w:rsidR="003564A7" w:rsidRDefault="002F1DA0" w:rsidP="0034462E">
      <w:pPr>
        <w:tabs>
          <w:tab w:val="left" w:pos="9000"/>
        </w:tabs>
        <w:spacing w:after="240" w:line="480" w:lineRule="auto"/>
        <w:ind w:right="202"/>
        <w:jc w:val="both"/>
        <w:rPr>
          <w:rFonts w:ascii="Times New Roman" w:hAnsi="Times New Roman" w:cs="Times New Roman"/>
          <w:sz w:val="24"/>
          <w:szCs w:val="24"/>
        </w:rPr>
      </w:pPr>
      <w:r w:rsidRPr="008761C5">
        <w:rPr>
          <w:rFonts w:ascii="Times New Roman" w:hAnsi="Times New Roman" w:cs="Times New Roman"/>
          <w:sz w:val="24"/>
          <w:szCs w:val="24"/>
        </w:rPr>
        <w:t>Long-term outcome studies currently pose major challenges due to problems with patient dropout and relocation, quality control</w:t>
      </w:r>
      <w:r>
        <w:rPr>
          <w:rFonts w:ascii="Times New Roman" w:hAnsi="Times New Roman" w:cs="Times New Roman"/>
          <w:sz w:val="24"/>
          <w:szCs w:val="24"/>
        </w:rPr>
        <w:t xml:space="preserve"> (including validation of testing instruments)</w:t>
      </w:r>
      <w:r w:rsidRPr="008761C5">
        <w:rPr>
          <w:rFonts w:ascii="Times New Roman" w:hAnsi="Times New Roman" w:cs="Times New Roman"/>
          <w:sz w:val="24"/>
          <w:szCs w:val="24"/>
        </w:rPr>
        <w:t xml:space="preserve">, diagnostic accuracy, interpretation of the measures themselves, underlying medical conditions, and potential environmental effects post-discharge. Parental socioeconomic status and education must be measured in the assessment of developmental outcomes. Short-term outcomes do not always correlate with long-term outcomes. </w:t>
      </w:r>
    </w:p>
    <w:p w14:paraId="4EE4C16F" w14:textId="0AEF12F4" w:rsidR="002F1DA0" w:rsidRPr="003564A7" w:rsidRDefault="002F1DA0" w:rsidP="0034462E">
      <w:pPr>
        <w:tabs>
          <w:tab w:val="left" w:pos="9000"/>
        </w:tabs>
        <w:spacing w:after="240" w:line="480" w:lineRule="auto"/>
        <w:ind w:right="202"/>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Long-term outcomes studies may be best conducted as part of a post-marketing risk management plan rather than as part of the initial dossier that leads to the availability of the product on the market. </w:t>
      </w:r>
    </w:p>
    <w:p w14:paraId="38DDABBF" w14:textId="77777777" w:rsidR="002F1DA0" w:rsidRDefault="002F1DA0" w:rsidP="003564A7">
      <w:pPr>
        <w:pStyle w:val="Heading2"/>
        <w:numPr>
          <w:ilvl w:val="0"/>
          <w:numId w:val="0"/>
        </w:numPr>
        <w:tabs>
          <w:tab w:val="left" w:pos="9000"/>
        </w:tabs>
        <w:spacing w:after="240" w:line="480" w:lineRule="auto"/>
        <w:ind w:right="202"/>
      </w:pPr>
      <w:r>
        <w:t xml:space="preserve">Pharmacogenetics </w:t>
      </w:r>
    </w:p>
    <w:p w14:paraId="027265BD" w14:textId="41A4AC44" w:rsidR="002F1DA0" w:rsidRPr="0034462E" w:rsidRDefault="002F1DA0" w:rsidP="0034462E">
      <w:pPr>
        <w:tabs>
          <w:tab w:val="left" w:pos="9000"/>
        </w:tabs>
        <w:spacing w:after="240" w:line="480" w:lineRule="auto"/>
        <w:ind w:right="202"/>
        <w:jc w:val="both"/>
        <w:rPr>
          <w:rFonts w:ascii="Times New Roman" w:hAnsi="Times New Roman" w:cs="Times New Roman"/>
          <w:sz w:val="24"/>
          <w:szCs w:val="24"/>
        </w:rPr>
      </w:pPr>
      <w:r>
        <w:rPr>
          <w:rFonts w:ascii="Times New Roman" w:hAnsi="Times New Roman" w:cs="Times New Roman"/>
          <w:sz w:val="24"/>
          <w:szCs w:val="24"/>
        </w:rPr>
        <w:t xml:space="preserve">Genetic differences that clinically affect both exposure and response have been increasingly documented, but the relationship between genomic profiles and developmentally regulated gene expression has not been extensively studied in neonates. Some of the difficulties in obtaining specific pharmacogenetic information in pediatric patients, including neonates have been reviewed (48, 49). Nevertheless, if medicinal product exposure in a neonatal clinical pharmacology study is dependent on a well-known pharmacogenetic biomarker (e.g., </w:t>
      </w:r>
      <w:r w:rsidR="003D5F53">
        <w:rPr>
          <w:rFonts w:ascii="Times New Roman" w:hAnsi="Times New Roman" w:cs="Times New Roman"/>
          <w:sz w:val="24"/>
          <w:szCs w:val="24"/>
        </w:rPr>
        <w:t>Cytochrome P450 2D6 (</w:t>
      </w:r>
      <w:r>
        <w:rPr>
          <w:rFonts w:ascii="Times New Roman" w:hAnsi="Times New Roman" w:cs="Times New Roman"/>
          <w:sz w:val="24"/>
          <w:szCs w:val="24"/>
        </w:rPr>
        <w:t>CYP2D6</w:t>
      </w:r>
      <w:r w:rsidR="003D5F53">
        <w:rPr>
          <w:rFonts w:ascii="Times New Roman" w:hAnsi="Times New Roman" w:cs="Times New Roman"/>
          <w:sz w:val="24"/>
          <w:szCs w:val="24"/>
        </w:rPr>
        <w:t>)</w:t>
      </w:r>
      <w:r>
        <w:rPr>
          <w:rFonts w:ascii="Times New Roman" w:hAnsi="Times New Roman" w:cs="Times New Roman"/>
          <w:sz w:val="24"/>
          <w:szCs w:val="24"/>
        </w:rPr>
        <w:t>) (50), obtaining DNA may provide additional information for the interpretation of the PK and PD results. In particular, if there are important pharmacogenetic differences affecting PK, efficacy and safety of a medicinal product in the adult population, pharmacogenetic analysis of the target genes is recommended in neonates, given that the relationship between phenotype and genotype may be completely different in the neonate compared to other patient groups (51, 52).  DNA collection may be performed on scavenged blood samples after PK analyses are</w:t>
      </w:r>
      <w:r w:rsidR="0034462E">
        <w:rPr>
          <w:rFonts w:ascii="Times New Roman" w:hAnsi="Times New Roman" w:cs="Times New Roman"/>
          <w:sz w:val="24"/>
          <w:szCs w:val="24"/>
        </w:rPr>
        <w:t xml:space="preserve"> performed or on buccal swabs. </w:t>
      </w:r>
    </w:p>
    <w:p w14:paraId="79B5BBB4" w14:textId="77777777" w:rsidR="002F1DA0" w:rsidRDefault="002F1DA0" w:rsidP="009E4580">
      <w:pPr>
        <w:pStyle w:val="Heading1"/>
        <w:numPr>
          <w:ilvl w:val="0"/>
          <w:numId w:val="0"/>
        </w:numPr>
        <w:tabs>
          <w:tab w:val="left" w:pos="9000"/>
        </w:tabs>
        <w:spacing w:before="0" w:after="0" w:line="480" w:lineRule="auto"/>
      </w:pPr>
      <w:r>
        <w:t>POINTS TO CONSIDER FOR NEONATAL CLINICAL TRIALS</w:t>
      </w:r>
    </w:p>
    <w:p w14:paraId="4BEEE380" w14:textId="77777777" w:rsidR="002F1DA0" w:rsidRDefault="002F1DA0" w:rsidP="009E4580">
      <w:pPr>
        <w:tabs>
          <w:tab w:val="left" w:pos="9000"/>
        </w:tabs>
        <w:autoSpaceDE w:val="0"/>
        <w:autoSpaceDN w:val="0"/>
        <w:adjustRightInd w:val="0"/>
        <w:spacing w:after="0" w:line="480" w:lineRule="auto"/>
        <w:jc w:val="both"/>
        <w:rPr>
          <w:rFonts w:ascii="Times New Roman" w:eastAsia="TimesNewRoman" w:hAnsi="Times New Roman" w:cs="Times New Roman"/>
          <w:sz w:val="24"/>
          <w:szCs w:val="24"/>
        </w:rPr>
      </w:pPr>
      <w:r>
        <w:rPr>
          <w:rFonts w:ascii="Times New Roman" w:hAnsi="Times New Roman" w:cs="Times New Roman"/>
          <w:color w:val="000000"/>
          <w:sz w:val="24"/>
          <w:szCs w:val="24"/>
        </w:rPr>
        <w:t>The pediatric plan should outline the neonatal study or studies that the applicant plans to conduct unless a waiver is granted (53, 54).</w:t>
      </w: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 xml:space="preserve">The submission of the initial neonatal plan is intended to encourage sponsors and investigators to consider neonatal studies early in product development and begin planning for these studies when appropriate. </w:t>
      </w:r>
    </w:p>
    <w:p w14:paraId="269A80B1" w14:textId="77777777" w:rsidR="002F1DA0" w:rsidRDefault="002F1DA0" w:rsidP="0034462E">
      <w:pPr>
        <w:tabs>
          <w:tab w:val="left" w:pos="9000"/>
        </w:tabs>
        <w:autoSpaceDE w:val="0"/>
        <w:autoSpaceDN w:val="0"/>
        <w:adjustRightInd w:val="0"/>
        <w:spacing w:after="240" w:line="480" w:lineRule="auto"/>
        <w:ind w:right="1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The neonatal plan is a living document and it is expected that the plan will evolve with time. The plan is useful for directing the process for the sponsor as well as meeting regulatory requirements. Early and frequent discussion of the neonatal plan between sponsors and regulators is extremely valuable and highly recommended. Families, investigators and networks can add considerable value at all stages of the development and implementation of a plan.</w:t>
      </w:r>
    </w:p>
    <w:p w14:paraId="1047BBF4" w14:textId="77777777" w:rsidR="002F1DA0" w:rsidRDefault="002F1DA0" w:rsidP="0034462E">
      <w:pPr>
        <w:pStyle w:val="Heading2"/>
        <w:numPr>
          <w:ilvl w:val="0"/>
          <w:numId w:val="0"/>
        </w:numPr>
        <w:tabs>
          <w:tab w:val="left" w:pos="9000"/>
        </w:tabs>
        <w:spacing w:after="240" w:line="480" w:lineRule="auto"/>
        <w:ind w:right="108"/>
      </w:pPr>
      <w:r>
        <w:t xml:space="preserve">Approaches to Neonatal Studies </w:t>
      </w:r>
    </w:p>
    <w:p w14:paraId="2B023537" w14:textId="00EA2C14" w:rsidR="002F1DA0" w:rsidRPr="009A7466" w:rsidRDefault="002F1DA0" w:rsidP="0034462E">
      <w:pPr>
        <w:tabs>
          <w:tab w:val="left" w:pos="9000"/>
        </w:tabs>
        <w:autoSpaceDE w:val="0"/>
        <w:autoSpaceDN w:val="0"/>
        <w:adjustRightInd w:val="0"/>
        <w:spacing w:after="240" w:line="480" w:lineRule="auto"/>
        <w:ind w:right="1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Clinical pharmacology studies assess PK (i.e., medicinal product exposure), PD (i.e., effect on biomarker or clinical endpoint), and E-R relationships. It is essential to study these topics in neonates because neonates </w:t>
      </w:r>
      <w:r w:rsidR="003D5F53">
        <w:rPr>
          <w:rFonts w:ascii="Times New Roman" w:eastAsia="TimesNewRoman" w:hAnsi="Times New Roman" w:cs="Times New Roman"/>
          <w:sz w:val="24"/>
          <w:szCs w:val="24"/>
        </w:rPr>
        <w:t xml:space="preserve">often </w:t>
      </w:r>
      <w:r>
        <w:rPr>
          <w:rFonts w:ascii="Times New Roman" w:eastAsia="TimesNewRoman" w:hAnsi="Times New Roman" w:cs="Times New Roman"/>
          <w:sz w:val="24"/>
          <w:szCs w:val="24"/>
        </w:rPr>
        <w:t>differ from adults. For example, it is not unusual to make incorrect estimates of key parameters such as clearance. For this reason it is important to include early assessments of clearance after 5 or 10 patients are studied in each neonatal age group. If an inaccurate initial estimate of clearance is not identified early in the study, then conclusions of the study may be erroneous.</w:t>
      </w:r>
    </w:p>
    <w:p w14:paraId="0EC053F4" w14:textId="77777777" w:rsidR="002F1DA0" w:rsidRPr="00FB36CE" w:rsidRDefault="002F1DA0" w:rsidP="0034462E">
      <w:pPr>
        <w:pStyle w:val="Heading2"/>
        <w:numPr>
          <w:ilvl w:val="0"/>
          <w:numId w:val="0"/>
        </w:numPr>
        <w:tabs>
          <w:tab w:val="left" w:pos="9000"/>
        </w:tabs>
        <w:spacing w:after="240" w:line="480" w:lineRule="auto"/>
        <w:ind w:right="108"/>
      </w:pPr>
      <w:r w:rsidRPr="00D6188F">
        <w:t>Extrapolation</w:t>
      </w:r>
    </w:p>
    <w:p w14:paraId="03616A5F" w14:textId="77777777" w:rsidR="002F1DA0" w:rsidRPr="0077071B" w:rsidRDefault="002F1DA0" w:rsidP="0034462E">
      <w:pPr>
        <w:tabs>
          <w:tab w:val="left" w:pos="9000"/>
        </w:tabs>
        <w:autoSpaceDE w:val="0"/>
        <w:autoSpaceDN w:val="0"/>
        <w:adjustRightInd w:val="0"/>
        <w:spacing w:after="240" w:line="480" w:lineRule="auto"/>
        <w:ind w:right="288"/>
        <w:jc w:val="both"/>
        <w:rPr>
          <w:rFonts w:ascii="Times New Roman" w:eastAsia="TimesNewRoman" w:hAnsi="Times New Roman" w:cs="Times New Roman"/>
          <w:sz w:val="24"/>
          <w:szCs w:val="24"/>
        </w:rPr>
      </w:pPr>
      <w:r>
        <w:rPr>
          <w:rFonts w:ascii="Times New Roman" w:hAnsi="Times New Roman" w:cs="Times New Roman"/>
          <w:sz w:val="24"/>
          <w:szCs w:val="24"/>
        </w:rPr>
        <w:t>Extrapolation is a well-recognized approach to providing sufficient evidence to support the safe and effective use of medicinal products in pediatric populations (55 – 58)</w:t>
      </w:r>
      <w:r>
        <w:rPr>
          <w:rFonts w:ascii="Times New Roman" w:hAnsi="Times New Roman" w:cs="Times New Roman"/>
          <w:sz w:val="24"/>
          <w:szCs w:val="24"/>
          <w:vertAlign w:val="superscript"/>
        </w:rPr>
        <w:t>.</w:t>
      </w:r>
      <w:r>
        <w:rPr>
          <w:rFonts w:ascii="Times New Roman" w:hAnsi="Times New Roman" w:cs="Times New Roman"/>
          <w:sz w:val="24"/>
          <w:szCs w:val="24"/>
        </w:rPr>
        <w:t xml:space="preserve"> As described by Dunne and associates at the FDA (24) and the EMA </w:t>
      </w:r>
      <w:r>
        <w:rPr>
          <w:rFonts w:ascii="Times New Roman" w:hAnsi="Times New Roman" w:cs="Times New Roman"/>
          <w:color w:val="000000"/>
          <w:sz w:val="24"/>
          <w:szCs w:val="24"/>
        </w:rPr>
        <w:t>Committee for Medicinal Products for Human Use (</w:t>
      </w:r>
      <w:r w:rsidRPr="000446A5">
        <w:rPr>
          <w:rFonts w:ascii="Times New Roman" w:hAnsi="Times New Roman" w:cs="Times New Roman"/>
          <w:sz w:val="24"/>
          <w:szCs w:val="24"/>
        </w:rPr>
        <w:t>CHMP</w:t>
      </w:r>
      <w:r>
        <w:rPr>
          <w:rFonts w:ascii="Times New Roman" w:hAnsi="Times New Roman" w:cs="Times New Roman"/>
          <w:sz w:val="24"/>
          <w:szCs w:val="24"/>
        </w:rPr>
        <w:t xml:space="preserve">) (25), extrapolation of efficacy findings from studies in older populations can be successful. This means that a development program can be devised for neonates that minimizes the burden of the research on the participants and allows development of medicinal products for rare conditions. Note that minimizing the burden on the neonate does not make the development program “easier” for the Sponsor. </w:t>
      </w:r>
      <w:r w:rsidRPr="00065368">
        <w:rPr>
          <w:rFonts w:ascii="Times New Roman" w:hAnsi="Times New Roman" w:cs="Times New Roman"/>
          <w:sz w:val="24"/>
          <w:szCs w:val="24"/>
        </w:rPr>
        <w:t xml:space="preserve">The </w:t>
      </w:r>
      <w:r w:rsidRPr="00065368">
        <w:rPr>
          <w:rFonts w:ascii="Times New Roman" w:hAnsi="Times New Roman" w:cs="Times New Roman"/>
          <w:sz w:val="24"/>
          <w:szCs w:val="24"/>
        </w:rPr>
        <w:lastRenderedPageBreak/>
        <w:t xml:space="preserve">prerequisite for extrapolation is a well-justified case that reasonable similarity can be assumed between source and target </w:t>
      </w:r>
      <w:r w:rsidRPr="000446A5">
        <w:rPr>
          <w:rFonts w:ascii="Times New Roman" w:hAnsi="Times New Roman" w:cs="Times New Roman"/>
          <w:sz w:val="24"/>
          <w:szCs w:val="24"/>
        </w:rPr>
        <w:t xml:space="preserve">population of both disease progression and response to intervention. </w:t>
      </w:r>
      <w:r w:rsidRPr="000446A5">
        <w:rPr>
          <w:rFonts w:ascii="Times New Roman" w:eastAsia="TimesNewRoman" w:hAnsi="Times New Roman" w:cs="Times New Roman"/>
          <w:sz w:val="24"/>
          <w:szCs w:val="24"/>
        </w:rPr>
        <w:t xml:space="preserve">It is important to use extant data systematically although regulatory agencies have different ways to structure the case for extrapolation </w:t>
      </w:r>
      <w:r>
        <w:rPr>
          <w:rFonts w:ascii="Times New Roman" w:eastAsia="TimesNewRoman" w:hAnsi="Times New Roman" w:cs="Times New Roman"/>
          <w:sz w:val="24"/>
          <w:szCs w:val="24"/>
        </w:rPr>
        <w:t>(24, 25)</w:t>
      </w:r>
      <w:r w:rsidRPr="000446A5">
        <w:rPr>
          <w:rFonts w:ascii="Times New Roman" w:eastAsia="TimesNewRoman" w:hAnsi="Times New Roman" w:cs="Times New Roman"/>
          <w:sz w:val="24"/>
          <w:szCs w:val="24"/>
        </w:rPr>
        <w:t>.</w:t>
      </w:r>
      <w:r>
        <w:rPr>
          <w:rFonts w:ascii="Times New Roman" w:eastAsia="TimesNewRoman" w:hAnsi="Times New Roman" w:cs="Times New Roman"/>
          <w:sz w:val="24"/>
          <w:szCs w:val="24"/>
          <w:vertAlign w:val="superscript"/>
        </w:rPr>
        <w:t xml:space="preserve"> </w:t>
      </w:r>
    </w:p>
    <w:p w14:paraId="4B3A70DD" w14:textId="77777777" w:rsidR="002F1DA0" w:rsidRDefault="002F1DA0" w:rsidP="0034462E">
      <w:pPr>
        <w:pStyle w:val="Heading2"/>
        <w:numPr>
          <w:ilvl w:val="0"/>
          <w:numId w:val="0"/>
        </w:numPr>
        <w:tabs>
          <w:tab w:val="left" w:pos="9000"/>
          <w:tab w:val="left" w:pos="9090"/>
        </w:tabs>
        <w:spacing w:after="240" w:line="480" w:lineRule="auto"/>
        <w:ind w:right="288"/>
      </w:pPr>
      <w:r>
        <w:t>PK Sampling Procedures</w:t>
      </w:r>
    </w:p>
    <w:p w14:paraId="1C08AA86" w14:textId="77777777" w:rsidR="002F1DA0" w:rsidRDefault="002F1DA0" w:rsidP="0034462E">
      <w:pPr>
        <w:pStyle w:val="Heading2"/>
        <w:numPr>
          <w:ilvl w:val="0"/>
          <w:numId w:val="0"/>
        </w:numPr>
        <w:tabs>
          <w:tab w:val="left" w:pos="9000"/>
          <w:tab w:val="left" w:pos="9090"/>
        </w:tabs>
        <w:spacing w:after="240" w:line="480" w:lineRule="auto"/>
        <w:ind w:right="288"/>
      </w:pPr>
      <w:r w:rsidRPr="009A7466">
        <w:rPr>
          <w:b w:val="0"/>
          <w:color w:val="000000"/>
        </w:rPr>
        <w:t>Conventional PK studies with intensive blood sampling are rarely performed in neonates because of the limited circulating blood volume</w:t>
      </w:r>
      <w:r>
        <w:rPr>
          <w:b w:val="0"/>
          <w:color w:val="000000"/>
        </w:rPr>
        <w:t xml:space="preserve"> (59)</w:t>
      </w:r>
      <w:r w:rsidRPr="009A7466">
        <w:rPr>
          <w:b w:val="0"/>
          <w:color w:val="000000"/>
        </w:rPr>
        <w:t>. Conducting PK sampling during times of routine laboratory sampling (opportunistic sampling) is an approach that reduces the number of blood draws for PK sampling only. This approach can yield similar PK models to study-specific samples taken at optimized time points</w:t>
      </w:r>
      <w:r>
        <w:rPr>
          <w:b w:val="0"/>
          <w:color w:val="000000"/>
        </w:rPr>
        <w:t xml:space="preserve"> (60)</w:t>
      </w:r>
      <w:r w:rsidRPr="009A7466">
        <w:rPr>
          <w:b w:val="0"/>
          <w:color w:val="000000"/>
        </w:rPr>
        <w:t>. Scavenged sampling, by using blood or other fluid leftover in the laboratory after clinical studies have been completed, is another non-invasive approach as is the use of residual dried blood spots</w:t>
      </w:r>
      <w:r>
        <w:rPr>
          <w:b w:val="0"/>
          <w:color w:val="000000"/>
        </w:rPr>
        <w:t>.</w:t>
      </w:r>
    </w:p>
    <w:p w14:paraId="1382A129" w14:textId="77777777" w:rsidR="002F1DA0" w:rsidRDefault="002F1DA0" w:rsidP="0034462E">
      <w:pPr>
        <w:pStyle w:val="Heading2"/>
        <w:numPr>
          <w:ilvl w:val="0"/>
          <w:numId w:val="0"/>
        </w:numPr>
        <w:tabs>
          <w:tab w:val="left" w:pos="9000"/>
          <w:tab w:val="left" w:pos="9090"/>
        </w:tabs>
        <w:spacing w:after="240" w:line="480" w:lineRule="auto"/>
        <w:ind w:right="288"/>
      </w:pPr>
      <w:r>
        <w:t xml:space="preserve">Neonatal Dose Selection for Clinical Pharmacology Studies </w:t>
      </w:r>
    </w:p>
    <w:p w14:paraId="156D6A81" w14:textId="77777777" w:rsidR="002F1DA0" w:rsidRDefault="002F1DA0" w:rsidP="0034462E">
      <w:pPr>
        <w:tabs>
          <w:tab w:val="left" w:pos="9000"/>
          <w:tab w:val="left" w:pos="9090"/>
        </w:tabs>
        <w:autoSpaceDE w:val="0"/>
        <w:autoSpaceDN w:val="0"/>
        <w:adjustRightInd w:val="0"/>
        <w:spacing w:after="240" w:line="480" w:lineRule="auto"/>
        <w:ind w:right="28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w:t>
      </w:r>
      <w:r w:rsidRPr="000446A5">
        <w:rPr>
          <w:rFonts w:ascii="Times New Roman" w:hAnsi="Times New Roman" w:cs="Times New Roman"/>
          <w:color w:val="000000"/>
          <w:sz w:val="24"/>
          <w:szCs w:val="24"/>
        </w:rPr>
        <w:t>section presents some general principles, acknowledging that experts in this field must be included in the study team: the full document provide</w:t>
      </w:r>
      <w:r>
        <w:rPr>
          <w:rFonts w:ascii="Times New Roman" w:hAnsi="Times New Roman" w:cs="Times New Roman"/>
          <w:color w:val="000000"/>
          <w:sz w:val="24"/>
          <w:szCs w:val="24"/>
        </w:rPr>
        <w:t>s</w:t>
      </w:r>
      <w:r w:rsidRPr="000446A5">
        <w:rPr>
          <w:rFonts w:ascii="Times New Roman" w:hAnsi="Times New Roman" w:cs="Times New Roman"/>
          <w:color w:val="000000"/>
          <w:sz w:val="24"/>
          <w:szCs w:val="24"/>
        </w:rPr>
        <w:t xml:space="preserve"> a more detailed discussion.</w:t>
      </w:r>
      <w:r>
        <w:rPr>
          <w:rFonts w:ascii="Times New Roman" w:hAnsi="Times New Roman" w:cs="Times New Roman"/>
          <w:color w:val="000000"/>
          <w:sz w:val="24"/>
          <w:szCs w:val="24"/>
        </w:rPr>
        <w:t xml:space="preserve"> Since there may be limited information on the safety of the dose of medicinal product to be administered, the dose range in first-in-age group studies requires careful consideration. W</w:t>
      </w:r>
      <w:r w:rsidRPr="00D52291">
        <w:rPr>
          <w:rFonts w:ascii="Times New Roman" w:hAnsi="Times New Roman" w:cs="Times New Roman"/>
          <w:color w:val="000000"/>
          <w:sz w:val="24"/>
          <w:szCs w:val="24"/>
        </w:rPr>
        <w:t xml:space="preserve">hen </w:t>
      </w:r>
      <w:r>
        <w:rPr>
          <w:rFonts w:ascii="Times New Roman" w:hAnsi="Times New Roman" w:cs="Times New Roman"/>
          <w:color w:val="000000"/>
          <w:sz w:val="24"/>
          <w:szCs w:val="24"/>
        </w:rPr>
        <w:t xml:space="preserve">there is significant </w:t>
      </w:r>
      <w:r w:rsidRPr="00D52291">
        <w:rPr>
          <w:rFonts w:ascii="Times New Roman" w:hAnsi="Times New Roman" w:cs="Times New Roman"/>
          <w:color w:val="000000"/>
          <w:sz w:val="24"/>
          <w:szCs w:val="24"/>
        </w:rPr>
        <w:t>uncertainty</w:t>
      </w:r>
      <w:r>
        <w:rPr>
          <w:rFonts w:ascii="Times New Roman" w:hAnsi="Times New Roman" w:cs="Times New Roman"/>
          <w:color w:val="000000"/>
          <w:sz w:val="24"/>
          <w:szCs w:val="24"/>
        </w:rPr>
        <w:t xml:space="preserve"> about the dose, cautious approaches will often be appropriate, including </w:t>
      </w:r>
      <w:r w:rsidRPr="00D52291">
        <w:rPr>
          <w:rFonts w:ascii="Times New Roman" w:hAnsi="Times New Roman" w:cs="Times New Roman"/>
          <w:color w:val="000000"/>
          <w:sz w:val="24"/>
          <w:szCs w:val="24"/>
        </w:rPr>
        <w:t>initial titration of an intentional</w:t>
      </w:r>
      <w:r>
        <w:rPr>
          <w:rFonts w:ascii="Times New Roman" w:hAnsi="Times New Roman" w:cs="Times New Roman"/>
          <w:color w:val="000000"/>
          <w:sz w:val="24"/>
          <w:szCs w:val="24"/>
        </w:rPr>
        <w:t>ly</w:t>
      </w:r>
      <w:r w:rsidRPr="00D52291">
        <w:rPr>
          <w:rFonts w:ascii="Times New Roman" w:hAnsi="Times New Roman" w:cs="Times New Roman"/>
          <w:color w:val="000000"/>
          <w:sz w:val="24"/>
          <w:szCs w:val="24"/>
        </w:rPr>
        <w:t xml:space="preserve"> low dose </w:t>
      </w:r>
      <w:r>
        <w:rPr>
          <w:rFonts w:ascii="Times New Roman" w:hAnsi="Times New Roman" w:cs="Times New Roman"/>
          <w:color w:val="000000"/>
          <w:sz w:val="24"/>
          <w:szCs w:val="24"/>
        </w:rPr>
        <w:t xml:space="preserve">or use of therapeutic drug monitoring during </w:t>
      </w:r>
      <w:r w:rsidRPr="00D52291">
        <w:rPr>
          <w:rFonts w:ascii="Times New Roman" w:hAnsi="Times New Roman" w:cs="Times New Roman"/>
          <w:color w:val="000000"/>
          <w:sz w:val="24"/>
          <w:szCs w:val="24"/>
        </w:rPr>
        <w:t>the trial</w:t>
      </w:r>
      <w:r>
        <w:rPr>
          <w:rFonts w:ascii="Times New Roman" w:hAnsi="Times New Roman" w:cs="Times New Roman"/>
          <w:color w:val="000000"/>
          <w:sz w:val="24"/>
          <w:szCs w:val="24"/>
        </w:rPr>
        <w:t xml:space="preserve">. </w:t>
      </w:r>
    </w:p>
    <w:p w14:paraId="219B8AB7" w14:textId="77777777" w:rsidR="002F1DA0" w:rsidRDefault="002F1DA0" w:rsidP="0034462E">
      <w:pPr>
        <w:tabs>
          <w:tab w:val="left" w:pos="9000"/>
          <w:tab w:val="left" w:pos="9090"/>
        </w:tabs>
        <w:spacing w:after="240" w:line="480" w:lineRule="auto"/>
        <w:ind w:right="28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neonates, clinical trial simulations can be particularly helpful to assess sample size considerations and design a trial that’s both feasible and can adequately evaluate medicinal product exposure, safety and effectiveness. </w:t>
      </w:r>
    </w:p>
    <w:p w14:paraId="67255CA1" w14:textId="77777777" w:rsidR="002F1DA0" w:rsidRPr="009A7466" w:rsidRDefault="002F1DA0" w:rsidP="0034462E">
      <w:pPr>
        <w:autoSpaceDE w:val="0"/>
        <w:autoSpaceDN w:val="0"/>
        <w:adjustRightInd w:val="0"/>
        <w:spacing w:after="240" w:line="480" w:lineRule="auto"/>
        <w:ind w:right="288"/>
        <w:jc w:val="both"/>
        <w:rPr>
          <w:rFonts w:ascii="Times New Roman" w:hAnsi="Times New Roman" w:cs="Times New Roman"/>
          <w:color w:val="000000"/>
          <w:sz w:val="24"/>
          <w:szCs w:val="24"/>
        </w:rPr>
      </w:pPr>
      <w:r w:rsidRPr="000D5768">
        <w:rPr>
          <w:rFonts w:ascii="Times New Roman" w:hAnsi="Times New Roman" w:cs="Times New Roman"/>
          <w:color w:val="000000"/>
          <w:sz w:val="24"/>
          <w:szCs w:val="24"/>
        </w:rPr>
        <w:lastRenderedPageBreak/>
        <w:t>Where PK/PD studies are designed, the dose range should account for observed differences in response between older children and adults with the neonatal population, both in terms of exposure and response</w:t>
      </w:r>
      <w:r>
        <w:rPr>
          <w:rFonts w:ascii="Times New Roman" w:hAnsi="Times New Roman" w:cs="Times New Roman"/>
          <w:color w:val="000000"/>
          <w:sz w:val="24"/>
          <w:szCs w:val="24"/>
        </w:rPr>
        <w:t xml:space="preserve"> (61)</w:t>
      </w:r>
      <w:r w:rsidRPr="000D5768">
        <w:rPr>
          <w:rFonts w:ascii="Times New Roman" w:hAnsi="Times New Roman" w:cs="Times New Roman"/>
          <w:color w:val="000000"/>
          <w:sz w:val="24"/>
          <w:szCs w:val="24"/>
        </w:rPr>
        <w:t>. For example</w:t>
      </w:r>
      <w:r>
        <w:rPr>
          <w:rFonts w:ascii="Times New Roman" w:hAnsi="Times New Roman" w:cs="Times New Roman"/>
          <w:color w:val="000000"/>
          <w:sz w:val="24"/>
          <w:szCs w:val="24"/>
        </w:rPr>
        <w:t xml:space="preserve">, there is evidence that pediatric populations are on average less sensitive to antihypertensive medicinal products than the adult population. Therefore, neonatal studies may include exposures greater than the highest medicinal product exposure associated with the approved adult dose, provided that prior data about the E-R relationship and safety information justify such an exposure. </w:t>
      </w:r>
    </w:p>
    <w:p w14:paraId="1F5F77A3" w14:textId="77777777" w:rsidR="002F1DA0" w:rsidRPr="00FB36CE" w:rsidRDefault="002F1DA0" w:rsidP="0034462E">
      <w:pPr>
        <w:pStyle w:val="Heading2"/>
        <w:numPr>
          <w:ilvl w:val="0"/>
          <w:numId w:val="0"/>
        </w:numPr>
        <w:spacing w:after="240" w:line="480" w:lineRule="auto"/>
        <w:ind w:right="288"/>
      </w:pPr>
      <w:r w:rsidRPr="00FB36CE">
        <w:t xml:space="preserve">Neonatal Dosage Forms and Formulations </w:t>
      </w:r>
    </w:p>
    <w:p w14:paraId="2C7D7851" w14:textId="77777777" w:rsidR="002F1DA0" w:rsidRDefault="002F1DA0" w:rsidP="0034462E">
      <w:pPr>
        <w:autoSpaceDE w:val="0"/>
        <w:autoSpaceDN w:val="0"/>
        <w:adjustRightInd w:val="0"/>
        <w:spacing w:after="240" w:line="480" w:lineRule="auto"/>
        <w:ind w:right="288"/>
        <w:jc w:val="both"/>
        <w:rPr>
          <w:rFonts w:ascii="Times New Roman" w:hAnsi="Times New Roman" w:cs="Times New Roman"/>
          <w:color w:val="000000"/>
          <w:sz w:val="24"/>
          <w:szCs w:val="24"/>
        </w:rPr>
      </w:pPr>
      <w:r>
        <w:rPr>
          <w:rFonts w:ascii="Times New Roman" w:hAnsi="Times New Roman" w:cs="Times New Roman"/>
          <w:color w:val="000000"/>
          <w:sz w:val="24"/>
          <w:szCs w:val="24"/>
        </w:rPr>
        <w:t>There are challenges associated with any route of administration in neonates, as recently summarized by the EMA CHMP (62).  Formulations that permit accurate dosing and enhance adherence or accuracy in dosing (i.e., dose accuracy without manipulation) in neonates are a crucial part of clinical pharmacology studies and subsequent pharmacotherapy. If there is a neonatal indication, an age-appropriate dosage formulation must be made available on the market (62).</w:t>
      </w:r>
    </w:p>
    <w:p w14:paraId="647D7591" w14:textId="73D94B95" w:rsidR="002F1DA0" w:rsidRDefault="002F1DA0" w:rsidP="0034462E">
      <w:pPr>
        <w:tabs>
          <w:tab w:val="left" w:pos="9000"/>
        </w:tabs>
        <w:autoSpaceDE w:val="0"/>
        <w:autoSpaceDN w:val="0"/>
        <w:adjustRightInd w:val="0"/>
        <w:spacing w:after="240" w:line="480" w:lineRule="auto"/>
        <w:ind w:right="288"/>
        <w:jc w:val="both"/>
        <w:rPr>
          <w:rFonts w:ascii="Times New Roman" w:hAnsi="Times New Roman" w:cs="Times New Roman"/>
          <w:sz w:val="24"/>
          <w:szCs w:val="24"/>
        </w:rPr>
      </w:pPr>
      <w:r>
        <w:rPr>
          <w:rFonts w:ascii="Times New Roman" w:hAnsi="Times New Roman" w:cs="Times New Roman"/>
          <w:color w:val="000000"/>
          <w:sz w:val="24"/>
          <w:szCs w:val="24"/>
        </w:rPr>
        <w:t>Excipients with known toxicity in neonates should be avoided (e.g. ethanol, propylene glycol or benzyl alcohol), if possible (63 – 66). I</w:t>
      </w:r>
      <w:r>
        <w:rPr>
          <w:rFonts w:ascii="Times New Roman" w:hAnsi="Times New Roman" w:cs="Times New Roman"/>
          <w:sz w:val="24"/>
          <w:szCs w:val="24"/>
        </w:rPr>
        <w:t>ntravenous administration has specific issues (e.g. dead space, flow rate, flush volume, medicinal product volume) as recen</w:t>
      </w:r>
      <w:r w:rsidR="006A5FBB">
        <w:rPr>
          <w:rFonts w:ascii="Times New Roman" w:hAnsi="Times New Roman" w:cs="Times New Roman"/>
          <w:sz w:val="24"/>
          <w:szCs w:val="24"/>
        </w:rPr>
        <w:t xml:space="preserve">tly summarized by Sherwin et al </w:t>
      </w:r>
      <w:r>
        <w:rPr>
          <w:rFonts w:ascii="Times New Roman" w:hAnsi="Times New Roman" w:cs="Times New Roman"/>
          <w:sz w:val="24"/>
          <w:szCs w:val="24"/>
        </w:rPr>
        <w:t xml:space="preserve">(67). Study medicinal products should be administered separately from other medicinal products if possible. If the medicinal product is administered as a prolonged, continuous infusion then co-administration with other products will be necessary when the product is used in clinical practice, due to limited vascular access. Prior to co-administration, compatibility of the medicinal product with total parenteral nutrition and other relevant intravenous medicinal products needs to be examined. </w:t>
      </w:r>
    </w:p>
    <w:p w14:paraId="3C143A15" w14:textId="77777777" w:rsidR="002F1DA0" w:rsidRPr="009A7466" w:rsidRDefault="002F1DA0" w:rsidP="0034462E">
      <w:pPr>
        <w:tabs>
          <w:tab w:val="left" w:pos="9000"/>
        </w:tabs>
        <w:autoSpaceDE w:val="0"/>
        <w:autoSpaceDN w:val="0"/>
        <w:adjustRightInd w:val="0"/>
        <w:spacing w:after="240" w:line="480" w:lineRule="auto"/>
        <w:ind w:right="28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If the sponsor demonstrates that all reasonable attempts to develop a stable, specific and safe formulation have failed, the sponsor should develop and validate an age-appropriate formulation that can be prepared by a pharmacist in a licensed pharmacy using an approved medicinal product and commercially available ingredients. If the sponsor conducts the neonatal studies using such a formulation,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the information listed in the full document should be provided in the study report. </w:t>
      </w:r>
    </w:p>
    <w:p w14:paraId="6F04FB83" w14:textId="77777777" w:rsidR="002F1DA0" w:rsidRPr="00FB36CE" w:rsidRDefault="002F1DA0" w:rsidP="0034462E">
      <w:pPr>
        <w:pStyle w:val="Heading2"/>
        <w:numPr>
          <w:ilvl w:val="0"/>
          <w:numId w:val="0"/>
        </w:numPr>
        <w:tabs>
          <w:tab w:val="left" w:pos="9000"/>
        </w:tabs>
        <w:spacing w:after="240" w:line="480" w:lineRule="auto"/>
        <w:ind w:right="288"/>
      </w:pPr>
      <w:r w:rsidRPr="00FB36CE">
        <w:t>Study Design including Sample Size</w:t>
      </w:r>
      <w:r w:rsidRPr="00FB36CE">
        <w:tab/>
      </w:r>
    </w:p>
    <w:p w14:paraId="2D31C029" w14:textId="77777777" w:rsidR="002F1DA0" w:rsidRDefault="002F1DA0" w:rsidP="0034462E">
      <w:pPr>
        <w:tabs>
          <w:tab w:val="left" w:pos="9000"/>
        </w:tabs>
        <w:autoSpaceDE w:val="0"/>
        <w:autoSpaceDN w:val="0"/>
        <w:adjustRightInd w:val="0"/>
        <w:spacing w:after="240" w:line="480" w:lineRule="auto"/>
        <w:ind w:right="288"/>
        <w:rPr>
          <w:rFonts w:ascii="Times New Roman" w:hAnsi="Times New Roman" w:cs="Times New Roman"/>
          <w:color w:val="000000"/>
          <w:sz w:val="24"/>
          <w:szCs w:val="24"/>
        </w:rPr>
      </w:pPr>
      <w:r>
        <w:rPr>
          <w:rFonts w:ascii="Times New Roman" w:hAnsi="Times New Roman" w:cs="Times New Roman"/>
          <w:sz w:val="24"/>
          <w:szCs w:val="24"/>
        </w:rPr>
        <w:t xml:space="preserve">For clinical investigators working to improve the treatment of neonatal diseases with low incidence rates (e.g. rare diseases), traditional sample size requirements for clinical research may impede the conduct of the trial. Innovative trial designs that have been used in rare disease populations may be applicable to neonates, including adaptive designs. </w:t>
      </w:r>
      <w:r>
        <w:rPr>
          <w:rFonts w:ascii="Times New Roman" w:hAnsi="Times New Roman" w:cs="Times New Roman"/>
          <w:color w:val="000000"/>
          <w:sz w:val="24"/>
          <w:szCs w:val="24"/>
        </w:rPr>
        <w:t xml:space="preserve">Prior knowledge of the disease, exposure, and response from adult and other relevant pediatric data, such as that related to variability, can be used to derive sample size for ensuring precise parameter estimation. </w:t>
      </w:r>
    </w:p>
    <w:p w14:paraId="68A5AA33" w14:textId="77777777" w:rsidR="002F1DA0" w:rsidRPr="00885561" w:rsidRDefault="002F1DA0" w:rsidP="0034462E">
      <w:pPr>
        <w:tabs>
          <w:tab w:val="left" w:pos="9000"/>
        </w:tabs>
        <w:autoSpaceDE w:val="0"/>
        <w:autoSpaceDN w:val="0"/>
        <w:adjustRightInd w:val="0"/>
        <w:spacing w:after="240" w:line="480" w:lineRule="auto"/>
        <w:ind w:right="288"/>
        <w:rPr>
          <w:rFonts w:ascii="Times New Roman" w:hAnsi="Times New Roman" w:cs="Times New Roman"/>
          <w:b/>
          <w:color w:val="000000"/>
          <w:sz w:val="24"/>
          <w:szCs w:val="24"/>
        </w:rPr>
      </w:pPr>
      <w:r w:rsidRPr="00885561">
        <w:rPr>
          <w:rFonts w:ascii="Times New Roman" w:hAnsi="Times New Roman" w:cs="Times New Roman"/>
          <w:b/>
          <w:iCs/>
          <w:color w:val="000000"/>
          <w:sz w:val="24"/>
          <w:szCs w:val="24"/>
        </w:rPr>
        <w:t xml:space="preserve">Number of Patients </w:t>
      </w:r>
    </w:p>
    <w:p w14:paraId="367F6768" w14:textId="77777777" w:rsidR="002F1DA0" w:rsidRDefault="002F1DA0" w:rsidP="0034462E">
      <w:pPr>
        <w:tabs>
          <w:tab w:val="left" w:pos="9000"/>
        </w:tabs>
        <w:autoSpaceDE w:val="0"/>
        <w:autoSpaceDN w:val="0"/>
        <w:adjustRightInd w:val="0"/>
        <w:spacing w:after="240" w:line="480" w:lineRule="auto"/>
        <w:ind w:right="288"/>
        <w:jc w:val="both"/>
        <w:rPr>
          <w:rFonts w:ascii="Times New Roman" w:hAnsi="Times New Roman" w:cs="Times New Roman"/>
          <w:color w:val="000000"/>
          <w:sz w:val="24"/>
          <w:szCs w:val="24"/>
        </w:rPr>
      </w:pPr>
      <w:r>
        <w:rPr>
          <w:rFonts w:ascii="Times New Roman" w:hAnsi="Times New Roman" w:cs="Times New Roman"/>
          <w:color w:val="000000"/>
          <w:sz w:val="24"/>
          <w:szCs w:val="24"/>
        </w:rPr>
        <w:t>Precision of PK and E-R parameters in the sample size calculation is critical for neonatal studies. Prior knowledge of the disease, exposure, and response from adult and other relevant pediatric data, such as that related to variability, can be used to derive sample size for ensuring precise parameter estimation. The sponsor should account for potential sources of variability, including inter-subject and intra-subject variability, and differences between adults and older children in the final selection of the sample size for each age group.</w:t>
      </w:r>
    </w:p>
    <w:p w14:paraId="50AEC471" w14:textId="77777777" w:rsidR="002F1DA0" w:rsidRPr="00885561" w:rsidRDefault="002F1DA0" w:rsidP="0034462E">
      <w:pPr>
        <w:tabs>
          <w:tab w:val="left" w:pos="9000"/>
        </w:tabs>
        <w:autoSpaceDE w:val="0"/>
        <w:autoSpaceDN w:val="0"/>
        <w:adjustRightInd w:val="0"/>
        <w:spacing w:after="240" w:line="480" w:lineRule="auto"/>
        <w:ind w:right="288"/>
        <w:rPr>
          <w:rFonts w:ascii="Times New Roman" w:hAnsi="Times New Roman" w:cs="Times New Roman"/>
          <w:color w:val="000000"/>
          <w:sz w:val="24"/>
          <w:szCs w:val="24"/>
        </w:rPr>
      </w:pPr>
      <w:r w:rsidRPr="00885561">
        <w:rPr>
          <w:rFonts w:ascii="Times New Roman" w:hAnsi="Times New Roman" w:cs="Times New Roman"/>
          <w:i/>
          <w:iCs/>
          <w:color w:val="000000"/>
          <w:sz w:val="24"/>
          <w:szCs w:val="24"/>
        </w:rPr>
        <w:t xml:space="preserve">Number of Samples Per Patient </w:t>
      </w:r>
    </w:p>
    <w:p w14:paraId="5BB2FDB6" w14:textId="77777777" w:rsidR="002F1DA0" w:rsidRPr="009A7466" w:rsidRDefault="002F1DA0" w:rsidP="0034462E">
      <w:pPr>
        <w:tabs>
          <w:tab w:val="left" w:pos="9000"/>
        </w:tabs>
        <w:autoSpaceDE w:val="0"/>
        <w:autoSpaceDN w:val="0"/>
        <w:adjustRightInd w:val="0"/>
        <w:spacing w:after="240" w:line="480" w:lineRule="auto"/>
        <w:ind w:right="28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number of blood samples collected in a clinical pharmacology study to estimate PK measures and parameters for each patient in the study should be carefully considered. The number of samples is often very limited in neonates. Blood volume limitations for PK sampling will vary by gestational and PNA and this can affect the number of PK samples for medicinal products requiring &gt;0.5 mL of whole blood per sample. Newer microsampling techniques can provide measurements of multiple analytes (e.g. electrolytes, blood glucose, blood gases) on a single 0.3 mL sample of blood.</w:t>
      </w:r>
      <w:r>
        <w:rPr>
          <w:rFonts w:ascii="Times New Roman" w:hAnsi="Times New Roman" w:cs="Times New Roman"/>
          <w:bCs/>
          <w:color w:val="000000"/>
          <w:sz w:val="24"/>
          <w:szCs w:val="24"/>
          <w:lang w:val="en"/>
        </w:rPr>
        <w:t xml:space="preserve"> Accelerator mass spectrometry</w:t>
      </w:r>
      <w:r>
        <w:rPr>
          <w:rFonts w:ascii="Times New Roman" w:hAnsi="Times New Roman" w:cs="Times New Roman"/>
          <w:color w:val="000000"/>
          <w:sz w:val="24"/>
          <w:szCs w:val="24"/>
        </w:rPr>
        <w:t xml:space="preserve"> can use samples as small as 7 microlitres. </w:t>
      </w:r>
    </w:p>
    <w:p w14:paraId="7CBC2713" w14:textId="77777777" w:rsidR="002F1DA0" w:rsidRPr="00FB36CE" w:rsidRDefault="002F1DA0" w:rsidP="0034462E">
      <w:pPr>
        <w:pStyle w:val="Heading2"/>
        <w:numPr>
          <w:ilvl w:val="0"/>
          <w:numId w:val="0"/>
        </w:numPr>
        <w:tabs>
          <w:tab w:val="left" w:pos="9000"/>
        </w:tabs>
        <w:spacing w:after="240" w:line="480" w:lineRule="auto"/>
        <w:ind w:right="288"/>
      </w:pPr>
      <w:r>
        <w:t xml:space="preserve">PK </w:t>
      </w:r>
      <w:r w:rsidRPr="00FB36CE">
        <w:t>Sample Collection</w:t>
      </w:r>
    </w:p>
    <w:p w14:paraId="5933FCAF" w14:textId="77777777" w:rsidR="002F1DA0" w:rsidRDefault="002F1DA0" w:rsidP="0034462E">
      <w:pPr>
        <w:tabs>
          <w:tab w:val="left" w:pos="9000"/>
        </w:tabs>
        <w:spacing w:after="240" w:line="480" w:lineRule="auto"/>
        <w:ind w:right="288"/>
        <w:jc w:val="both"/>
        <w:rPr>
          <w:rFonts w:ascii="Times New Roman" w:hAnsi="Times New Roman" w:cs="Times New Roman"/>
          <w:sz w:val="24"/>
          <w:szCs w:val="24"/>
        </w:rPr>
      </w:pPr>
      <w:r>
        <w:rPr>
          <w:rFonts w:ascii="Times New Roman" w:hAnsi="Times New Roman" w:cs="Times New Roman"/>
          <w:sz w:val="24"/>
          <w:szCs w:val="24"/>
        </w:rPr>
        <w:t xml:space="preserve">Given the difficulty in collecting blood samples in neonates, special approaches to allow optimal times of sample collection may be useful. Sampling windows may need to be wider than is typical for an adult study to account for difficulty in sampling. The sampling scheme should be planned carefully to obtain the maximum information using the minimum number of samples. </w:t>
      </w:r>
    </w:p>
    <w:p w14:paraId="3A71BE49" w14:textId="77777777" w:rsidR="002F1DA0" w:rsidRDefault="002F1DA0" w:rsidP="0034462E">
      <w:pPr>
        <w:tabs>
          <w:tab w:val="left" w:pos="9000"/>
        </w:tabs>
        <w:spacing w:after="240" w:line="480" w:lineRule="auto"/>
        <w:ind w:right="288"/>
        <w:jc w:val="both"/>
        <w:rPr>
          <w:rFonts w:ascii="Times New Roman" w:hAnsi="Times New Roman" w:cs="Times New Roman"/>
          <w:sz w:val="24"/>
          <w:szCs w:val="24"/>
        </w:rPr>
      </w:pPr>
      <w:r>
        <w:rPr>
          <w:rFonts w:ascii="Times New Roman" w:hAnsi="Times New Roman" w:cs="Times New Roman"/>
          <w:sz w:val="24"/>
          <w:szCs w:val="24"/>
        </w:rPr>
        <w:t>Participant welfare is of paramount importance during clinical trials. Trial planning needs to account for the availability of experienced staff, techniques for analgesia (e.g. topical anesthetics), pacifiers or oral sucrose, and applicability across different units. The pros and cons of sampling routes have been summarized (68).</w:t>
      </w:r>
    </w:p>
    <w:p w14:paraId="389DC1E6" w14:textId="77777777" w:rsidR="002F1DA0" w:rsidRPr="00FB36CE" w:rsidRDefault="002F1DA0" w:rsidP="0034462E">
      <w:pPr>
        <w:pStyle w:val="Heading2"/>
        <w:numPr>
          <w:ilvl w:val="0"/>
          <w:numId w:val="0"/>
        </w:numPr>
        <w:tabs>
          <w:tab w:val="left" w:pos="9000"/>
        </w:tabs>
        <w:spacing w:after="240" w:line="480" w:lineRule="auto"/>
        <w:ind w:right="288"/>
      </w:pPr>
      <w:r w:rsidRPr="00FB36CE">
        <w:t>Covariates and Phenotype Data</w:t>
      </w:r>
    </w:p>
    <w:p w14:paraId="1724640E" w14:textId="77777777" w:rsidR="002F1DA0" w:rsidRDefault="002F1DA0" w:rsidP="0034462E">
      <w:pPr>
        <w:tabs>
          <w:tab w:val="left" w:pos="9000"/>
        </w:tabs>
        <w:spacing w:after="240" w:line="480" w:lineRule="auto"/>
        <w:ind w:right="288"/>
        <w:jc w:val="both"/>
        <w:rPr>
          <w:rFonts w:ascii="Times New Roman" w:hAnsi="Times New Roman" w:cs="Times New Roman"/>
          <w:sz w:val="24"/>
          <w:szCs w:val="24"/>
        </w:rPr>
      </w:pPr>
      <w:r>
        <w:rPr>
          <w:rFonts w:ascii="Times New Roman" w:hAnsi="Times New Roman" w:cs="Times New Roman"/>
          <w:sz w:val="24"/>
          <w:szCs w:val="24"/>
        </w:rPr>
        <w:t xml:space="preserve">The sponsor should obtain, at a minimum, the following covariates for each neonate: gestational age at birth, birth weight, length and head circumference, PNA, current weight, race, ethnicity, sex, diagnoses, concomitant and recent medications or intravenous fluids </w:t>
      </w:r>
      <w:r>
        <w:rPr>
          <w:rFonts w:ascii="Times New Roman" w:hAnsi="Times New Roman" w:cs="Times New Roman"/>
          <w:sz w:val="24"/>
          <w:szCs w:val="24"/>
        </w:rPr>
        <w:lastRenderedPageBreak/>
        <w:t xml:space="preserve">(including blood transfusions), and relevant laboratory tests that reflect the function of the organs responsible for medicinal product elimination. The sponsor should examine the relationship between the covariates and the PK of the medicinal product of interest. </w:t>
      </w:r>
    </w:p>
    <w:p w14:paraId="6A1F3C35" w14:textId="77777777" w:rsidR="002F1DA0" w:rsidRPr="00885561" w:rsidRDefault="002F1DA0" w:rsidP="0034462E">
      <w:pPr>
        <w:pStyle w:val="Heading2"/>
        <w:numPr>
          <w:ilvl w:val="0"/>
          <w:numId w:val="0"/>
        </w:numPr>
        <w:tabs>
          <w:tab w:val="left" w:pos="9000"/>
        </w:tabs>
        <w:spacing w:after="240" w:line="480" w:lineRule="auto"/>
        <w:ind w:right="288"/>
      </w:pPr>
      <w:r w:rsidRPr="00885561">
        <w:t xml:space="preserve">Analysis </w:t>
      </w:r>
    </w:p>
    <w:p w14:paraId="4B55B643" w14:textId="77777777" w:rsidR="002F1DA0" w:rsidRDefault="002F1DA0" w:rsidP="0034462E">
      <w:pPr>
        <w:tabs>
          <w:tab w:val="left" w:pos="9000"/>
        </w:tabs>
        <w:spacing w:after="240" w:line="480" w:lineRule="auto"/>
        <w:ind w:right="288"/>
        <w:jc w:val="both"/>
        <w:rPr>
          <w:rFonts w:ascii="Times New Roman" w:hAnsi="Times New Roman" w:cs="Times New Roman"/>
          <w:sz w:val="24"/>
          <w:szCs w:val="24"/>
        </w:rPr>
      </w:pPr>
      <w:r>
        <w:rPr>
          <w:rFonts w:ascii="Times New Roman" w:hAnsi="Times New Roman" w:cs="Times New Roman"/>
          <w:sz w:val="24"/>
          <w:szCs w:val="24"/>
        </w:rPr>
        <w:t xml:space="preserve">An analytic method that is readily adaptable and that uses only minimum sample volumes should be chosen. </w:t>
      </w:r>
    </w:p>
    <w:p w14:paraId="323E0F98" w14:textId="77777777" w:rsidR="002F1DA0" w:rsidRDefault="002F1DA0" w:rsidP="0034462E">
      <w:pPr>
        <w:spacing w:after="240" w:line="480" w:lineRule="auto"/>
        <w:ind w:right="198"/>
        <w:jc w:val="both"/>
        <w:rPr>
          <w:rFonts w:ascii="Times New Roman" w:hAnsi="Times New Roman" w:cs="Times New Roman"/>
          <w:sz w:val="24"/>
          <w:szCs w:val="24"/>
        </w:rPr>
      </w:pPr>
      <w:r>
        <w:rPr>
          <w:rFonts w:ascii="Times New Roman" w:hAnsi="Times New Roman" w:cs="Times New Roman"/>
          <w:sz w:val="24"/>
          <w:szCs w:val="24"/>
        </w:rPr>
        <w:t xml:space="preserve">Two basic approaches for performing the PK analysis in neonates can be used; a non-compartmental PK approach and a population PK approach. </w:t>
      </w:r>
    </w:p>
    <w:p w14:paraId="11E8F93D" w14:textId="77777777" w:rsidR="002F1DA0" w:rsidRPr="00885561" w:rsidRDefault="002F1DA0" w:rsidP="0034462E">
      <w:pPr>
        <w:spacing w:after="240" w:line="480" w:lineRule="auto"/>
        <w:ind w:right="198"/>
        <w:rPr>
          <w:rFonts w:ascii="Times New Roman" w:hAnsi="Times New Roman" w:cs="Times New Roman"/>
          <w:b/>
          <w:sz w:val="24"/>
          <w:szCs w:val="24"/>
        </w:rPr>
      </w:pPr>
      <w:r w:rsidRPr="00885561">
        <w:rPr>
          <w:rFonts w:ascii="Times New Roman" w:hAnsi="Times New Roman" w:cs="Times New Roman"/>
          <w:b/>
          <w:sz w:val="24"/>
          <w:szCs w:val="24"/>
        </w:rPr>
        <w:t xml:space="preserve">Non-compartmental Analysis </w:t>
      </w:r>
    </w:p>
    <w:p w14:paraId="31AE436C" w14:textId="77777777" w:rsidR="002F1DA0" w:rsidRDefault="002F1DA0" w:rsidP="0034462E">
      <w:pPr>
        <w:spacing w:after="240" w:line="480" w:lineRule="auto"/>
        <w:ind w:right="198"/>
        <w:jc w:val="both"/>
        <w:rPr>
          <w:rFonts w:ascii="Times New Roman" w:hAnsi="Times New Roman" w:cs="Times New Roman"/>
          <w:sz w:val="24"/>
          <w:szCs w:val="24"/>
        </w:rPr>
      </w:pPr>
      <w:r>
        <w:rPr>
          <w:rFonts w:ascii="Times New Roman" w:hAnsi="Times New Roman" w:cs="Times New Roman"/>
          <w:sz w:val="24"/>
          <w:szCs w:val="24"/>
        </w:rPr>
        <w:t>The non-compartmental analysis PK approach involves administering either single or multiple doses of a medicinal product to a relatively small group of patients with relatively frequent blood and urine sample collection. Samples are collected over specified time intervals chosen on the basis of absorption and disposition half-lives (predicted from other studies with modification based on known maturation of the route(s) of disposition). Data are usually expressed as the means of the relevant measure or parameter and inter-individual variances. This approach should include a sufficient number of neonates to give a precise estimate of the mean: standard approaches can be applied to neonates. If medicinal product administration and sampling are repeated within a PK study, some understanding of intra-individual variability in PK parameters can be obtained. A non-compartmental approach is often not feasible in neonates.</w:t>
      </w:r>
    </w:p>
    <w:p w14:paraId="055D4ACC" w14:textId="77777777" w:rsidR="002F1DA0" w:rsidRPr="00885561" w:rsidRDefault="002F1DA0" w:rsidP="0034462E">
      <w:pPr>
        <w:autoSpaceDE w:val="0"/>
        <w:autoSpaceDN w:val="0"/>
        <w:adjustRightInd w:val="0"/>
        <w:spacing w:after="240" w:line="480" w:lineRule="auto"/>
        <w:ind w:right="198"/>
        <w:rPr>
          <w:rFonts w:ascii="Times New Roman" w:hAnsi="Times New Roman" w:cs="Times New Roman"/>
          <w:b/>
          <w:color w:val="000000"/>
          <w:sz w:val="24"/>
          <w:szCs w:val="24"/>
        </w:rPr>
      </w:pPr>
      <w:bookmarkStart w:id="0" w:name="_GoBack"/>
      <w:r w:rsidRPr="00885561">
        <w:rPr>
          <w:rFonts w:ascii="Times New Roman" w:hAnsi="Times New Roman" w:cs="Times New Roman"/>
          <w:b/>
          <w:iCs/>
          <w:color w:val="000000"/>
          <w:sz w:val="24"/>
          <w:szCs w:val="24"/>
        </w:rPr>
        <w:t xml:space="preserve">Population Analysis </w:t>
      </w:r>
    </w:p>
    <w:bookmarkEnd w:id="0"/>
    <w:p w14:paraId="670B2F4D" w14:textId="77777777" w:rsidR="002F1DA0" w:rsidRDefault="002F1DA0" w:rsidP="0034462E">
      <w:pPr>
        <w:autoSpaceDE w:val="0"/>
        <w:autoSpaceDN w:val="0"/>
        <w:adjustRightInd w:val="0"/>
        <w:spacing w:after="240" w:line="480" w:lineRule="auto"/>
        <w:ind w:right="19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An alternative approach for analysis in pediatric clinical pharmacology studies is the population approach to PK analysis. Population PK accommodates infrequent (sparse), but informative, sampling of blood or plasma from a larger patient population than would be used in a compartmental or non-compartmental analysis PK approach to determine PK parameters. Sparse sampling of blood or plasma is considered more acceptable for neonatal studies, because the total volume of blood sampled can be minimized. Sampling can often be performed concurrently with clinically necessary blood or urine sampling. Because relatively large numbers of patients are studied and samples can be collected at various times of the day and repeated over time in a given patient, estimates of both population and individual means, as well as estimates of intra- and inter-subject variability, can be obtained if the population PK study is properly designed. </w:t>
      </w:r>
    </w:p>
    <w:p w14:paraId="332289D8" w14:textId="77777777" w:rsidR="002F1DA0" w:rsidRDefault="002F1DA0" w:rsidP="0034462E">
      <w:pPr>
        <w:pStyle w:val="Heading2"/>
        <w:numPr>
          <w:ilvl w:val="0"/>
          <w:numId w:val="0"/>
        </w:numPr>
        <w:spacing w:after="240" w:line="480" w:lineRule="auto"/>
        <w:ind w:right="198"/>
      </w:pPr>
      <w:r>
        <w:t>Adverse and Serious Adverse Event Reporting</w:t>
      </w:r>
    </w:p>
    <w:p w14:paraId="4F0EFA63" w14:textId="77777777" w:rsidR="002F1DA0" w:rsidRDefault="002F1DA0" w:rsidP="0034462E">
      <w:pPr>
        <w:autoSpaceDE w:val="0"/>
        <w:autoSpaceDN w:val="0"/>
        <w:adjustRightInd w:val="0"/>
        <w:spacing w:after="240" w:line="480" w:lineRule="auto"/>
        <w:ind w:right="1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crucial to capture safety data in all neonatal clinical pharmacology studies (69, 70). This need is particularly acute in neonates because of the limited number of participants in clinical studies – particularly if an extrapolation approach is used. Safety must be included in the objectives of all studies of medicinal products in neonates. Maturing organs may be damaged in the neonatal period, but that damage may only become manifest as the child develops. </w:t>
      </w:r>
    </w:p>
    <w:p w14:paraId="0CA8766B" w14:textId="77777777" w:rsidR="002F1DA0" w:rsidRDefault="002F1DA0" w:rsidP="0034462E">
      <w:pPr>
        <w:pStyle w:val="Heading1"/>
        <w:numPr>
          <w:ilvl w:val="0"/>
          <w:numId w:val="0"/>
        </w:numPr>
        <w:spacing w:before="0" w:line="480" w:lineRule="auto"/>
        <w:ind w:right="198"/>
      </w:pPr>
      <w:r>
        <w:t>ETHICAL CONSIDERATIONS</w:t>
      </w:r>
    </w:p>
    <w:p w14:paraId="35D3A12B" w14:textId="17B73DFF" w:rsidR="002F1DA0" w:rsidRDefault="002F1DA0" w:rsidP="0034462E">
      <w:pPr>
        <w:spacing w:after="240" w:line="480" w:lineRule="auto"/>
        <w:ind w:right="198"/>
        <w:jc w:val="both"/>
        <w:rPr>
          <w:rFonts w:ascii="Times New Roman" w:hAnsi="Times New Roman" w:cs="Times New Roman"/>
          <w:sz w:val="24"/>
          <w:szCs w:val="24"/>
        </w:rPr>
      </w:pPr>
      <w:r>
        <w:rPr>
          <w:rFonts w:ascii="Times New Roman" w:hAnsi="Times New Roman" w:cs="Times New Roman"/>
          <w:sz w:val="24"/>
          <w:szCs w:val="24"/>
        </w:rPr>
        <w:t xml:space="preserve">Treatment of neonates with medical products without the benefit of comparable evidence provided for adults through appropriate clinical trials is unethical (71, 72). Not only do clinical trials in neonates present special medical and pharmacologic challenges that have been outlined above, they also present ethical challenges (73). Neonates are a vulnerable population for a variety of reasons such as the inability to comprehend the risks of a study, to </w:t>
      </w:r>
      <w:r>
        <w:rPr>
          <w:rFonts w:ascii="Times New Roman" w:hAnsi="Times New Roman" w:cs="Times New Roman"/>
          <w:sz w:val="24"/>
          <w:szCs w:val="24"/>
        </w:rPr>
        <w:lastRenderedPageBreak/>
        <w:t>express their views about those risks or to choose whether or not to participate (26, 74). Uncertainties about the effects of medicinal products, the optimal dose and the long-term consequences of administering medicinal products to neonates make a benefit-risk balance more difficult. Variations among nations and among local</w:t>
      </w:r>
      <w:r w:rsidR="007119E7">
        <w:rPr>
          <w:rFonts w:ascii="Times New Roman" w:hAnsi="Times New Roman" w:cs="Times New Roman"/>
          <w:sz w:val="24"/>
          <w:szCs w:val="24"/>
        </w:rPr>
        <w:t xml:space="preserve"> Institutional Review Boardsor Ethics Committees</w:t>
      </w:r>
      <w:r>
        <w:rPr>
          <w:rFonts w:ascii="Times New Roman" w:hAnsi="Times New Roman" w:cs="Times New Roman"/>
          <w:sz w:val="24"/>
          <w:szCs w:val="24"/>
        </w:rPr>
        <w:t xml:space="preserve"> within countries in the interpretation and implementation of guidelines for studies in neonates can present challenges to any international clinical trial.  </w:t>
      </w:r>
    </w:p>
    <w:p w14:paraId="12DAAE3D" w14:textId="04EFC557" w:rsidR="002F1DA0" w:rsidRDefault="002F1DA0" w:rsidP="0034462E">
      <w:pPr>
        <w:spacing w:after="240" w:line="480" w:lineRule="auto"/>
        <w:ind w:right="198"/>
        <w:jc w:val="both"/>
        <w:rPr>
          <w:rFonts w:ascii="Times New Roman" w:hAnsi="Times New Roman" w:cs="Times New Roman"/>
          <w:sz w:val="24"/>
          <w:szCs w:val="24"/>
        </w:rPr>
      </w:pPr>
      <w:r>
        <w:rPr>
          <w:rFonts w:ascii="Times New Roman" w:hAnsi="Times New Roman" w:cs="Times New Roman"/>
          <w:sz w:val="24"/>
          <w:szCs w:val="24"/>
        </w:rPr>
        <w:t xml:space="preserve">International guidelines such as </w:t>
      </w:r>
      <w:r w:rsidR="007119E7">
        <w:rPr>
          <w:rFonts w:ascii="Times New Roman" w:hAnsi="Times New Roman" w:cs="Times New Roman"/>
          <w:sz w:val="24"/>
          <w:szCs w:val="24"/>
        </w:rPr>
        <w:t>the Int</w:t>
      </w:r>
      <w:r w:rsidR="001A6D60">
        <w:rPr>
          <w:rFonts w:ascii="Times New Roman" w:hAnsi="Times New Roman" w:cs="Times New Roman"/>
          <w:sz w:val="24"/>
          <w:szCs w:val="24"/>
        </w:rPr>
        <w:t>ernational Conference on Harmonis</w:t>
      </w:r>
      <w:r w:rsidR="007119E7">
        <w:rPr>
          <w:rFonts w:ascii="Times New Roman" w:hAnsi="Times New Roman" w:cs="Times New Roman"/>
          <w:sz w:val="24"/>
          <w:szCs w:val="24"/>
        </w:rPr>
        <w:t>ation (</w:t>
      </w:r>
      <w:r>
        <w:rPr>
          <w:rFonts w:ascii="Times New Roman" w:hAnsi="Times New Roman" w:cs="Times New Roman"/>
          <w:sz w:val="24"/>
          <w:szCs w:val="24"/>
        </w:rPr>
        <w:t>ICH</w:t>
      </w:r>
      <w:r w:rsidR="007119E7">
        <w:rPr>
          <w:rFonts w:ascii="Times New Roman" w:hAnsi="Times New Roman" w:cs="Times New Roman"/>
          <w:sz w:val="24"/>
          <w:szCs w:val="24"/>
        </w:rPr>
        <w:t>)</w:t>
      </w:r>
      <w:r>
        <w:rPr>
          <w:rFonts w:ascii="Times New Roman" w:hAnsi="Times New Roman" w:cs="Times New Roman"/>
          <w:sz w:val="24"/>
          <w:szCs w:val="24"/>
        </w:rPr>
        <w:t xml:space="preserve"> E6 state that “b</w:t>
      </w:r>
      <w:r w:rsidRPr="0092497B">
        <w:rPr>
          <w:rFonts w:ascii="Times New Roman" w:hAnsi="Times New Roman" w:cs="Times New Roman"/>
          <w:sz w:val="24"/>
          <w:szCs w:val="24"/>
        </w:rPr>
        <w:t>efore a trial is initiated, foreseeable risks and inconveniences should be weighed against the anticipated benefit for the individual trial subject and society. A trial should be initiated and continued only if the anticipated benefits justify the risks</w:t>
      </w:r>
      <w:r>
        <w:rPr>
          <w:rFonts w:ascii="Times New Roman" w:hAnsi="Times New Roman" w:cs="Times New Roman"/>
          <w:sz w:val="24"/>
          <w:szCs w:val="24"/>
        </w:rPr>
        <w:t>”</w:t>
      </w:r>
      <w:r w:rsidRPr="0092497B">
        <w:rPr>
          <w:rFonts w:ascii="Times New Roman" w:hAnsi="Times New Roman" w:cs="Times New Roman"/>
          <w:sz w:val="24"/>
          <w:szCs w:val="24"/>
        </w:rPr>
        <w:t xml:space="preserve">. </w:t>
      </w:r>
      <w:r>
        <w:rPr>
          <w:rFonts w:ascii="Times New Roman" w:hAnsi="Times New Roman" w:cs="Times New Roman"/>
          <w:sz w:val="24"/>
          <w:szCs w:val="24"/>
        </w:rPr>
        <w:t xml:space="preserve">In most guidelines, the level of acceptable risk is indexed to the likelihood of direct benefit (75). It is essential to recognize that neonates face significant risks because of exposure to medicinal products that have not been adequately evaluated (76, 77). Once new, improved medicinal products are approved for adults and older children, they will be used in neonates even if they have not been studied adequately in this population. In this context, the risks and potential harms arising from research studies may not add substantively to the burdens borne by neonates. For each study the recognition of acceptable risks and burdens should be based on an explicit balance with the benefits of research in a way that takes into account the views of families. </w:t>
      </w:r>
    </w:p>
    <w:p w14:paraId="6A5B15CD" w14:textId="77777777" w:rsidR="002F1DA0" w:rsidRDefault="002F1DA0" w:rsidP="0034462E">
      <w:pPr>
        <w:spacing w:after="240" w:line="480" w:lineRule="auto"/>
        <w:ind w:right="198"/>
        <w:jc w:val="both"/>
        <w:rPr>
          <w:rFonts w:ascii="Times New Roman" w:hAnsi="Times New Roman" w:cs="Times New Roman"/>
          <w:sz w:val="24"/>
          <w:szCs w:val="24"/>
        </w:rPr>
      </w:pPr>
      <w:r>
        <w:rPr>
          <w:rFonts w:ascii="Times New Roman" w:hAnsi="Times New Roman" w:cs="Times New Roman"/>
          <w:sz w:val="24"/>
          <w:szCs w:val="24"/>
        </w:rPr>
        <w:t xml:space="preserve">Before initiation of a clinical trial, a duly appointed, independent Ethics Committee must approve the proposed trial. The Ethics Committee must have access to sufficient expertise in neonatal research. Given the limited number of relevant experts and the need for consistent decision-making arrangements, federated Ethics Committees or a single Ethics Committee for each country will work particularly well for neonatal clinical trials (similar to current models for cancer trials) as long as it includes appropriate expertise. </w:t>
      </w:r>
    </w:p>
    <w:p w14:paraId="436049CA" w14:textId="77777777" w:rsidR="002F1DA0" w:rsidRDefault="002F1DA0" w:rsidP="0034462E">
      <w:pPr>
        <w:pStyle w:val="CommentText"/>
        <w:spacing w:after="240" w:line="480" w:lineRule="auto"/>
        <w:ind w:right="198"/>
        <w:jc w:val="both"/>
      </w:pPr>
      <w:r>
        <w:rPr>
          <w:rFonts w:ascii="Times New Roman" w:hAnsi="Times New Roman" w:cs="Times New Roman"/>
          <w:iCs/>
          <w:sz w:val="24"/>
          <w:szCs w:val="24"/>
        </w:rPr>
        <w:lastRenderedPageBreak/>
        <w:t>An Independent Data, Safety and Monitoring Board (separate from the local Ethics Committee) may be needed to oversee the trial (78, 79).</w:t>
      </w:r>
      <w:r>
        <w:rPr>
          <w:rFonts w:ascii="Times New Roman" w:hAnsi="Times New Roman" w:cs="Times New Roman"/>
          <w:sz w:val="24"/>
          <w:szCs w:val="24"/>
        </w:rPr>
        <w:t xml:space="preserve"> </w:t>
      </w:r>
      <w:r>
        <w:rPr>
          <w:rFonts w:ascii="Times New Roman" w:hAnsi="Times New Roman" w:cs="Times New Roman"/>
          <w:iCs/>
          <w:sz w:val="24"/>
          <w:szCs w:val="24"/>
        </w:rPr>
        <w:t xml:space="preserve">This committee should be comprised of Pediatricians and/or Neonatologists, Biostatisticians, community members, and other appropriate personnel with sufficient expertise to be able to examine the safety and efficacy of the trial and stop a trial if there are significant concerns about safety or if it becomes apparent (through interim analyses) that the medicinal product is not efficacious. </w:t>
      </w:r>
    </w:p>
    <w:p w14:paraId="5FFBAEEF" w14:textId="77777777" w:rsidR="002F1DA0" w:rsidRDefault="002F1DA0" w:rsidP="0034462E">
      <w:pPr>
        <w:spacing w:after="240" w:line="480" w:lineRule="auto"/>
        <w:ind w:right="202"/>
        <w:jc w:val="both"/>
        <w:rPr>
          <w:rFonts w:ascii="Times New Roman" w:hAnsi="Times New Roman" w:cs="Times New Roman"/>
          <w:sz w:val="24"/>
          <w:szCs w:val="24"/>
        </w:rPr>
      </w:pPr>
      <w:r>
        <w:rPr>
          <w:rFonts w:ascii="Times New Roman" w:hAnsi="Times New Roman" w:cs="Times New Roman"/>
          <w:sz w:val="24"/>
          <w:szCs w:val="24"/>
        </w:rPr>
        <w:t>Permission for the participation of a neonate in a clinical trial can be challenging. This permission must be free of undue influence and coercion, although the parents or legally appointed guardian(s) of a sick neonate are likely to be in a state of heightened anxiety. When it is appropriate for the study, the process of continuous consent allows families to extend the decision-making process (80).</w:t>
      </w:r>
      <w:r w:rsidDel="00476169">
        <w:rPr>
          <w:rFonts w:ascii="Times New Roman" w:hAnsi="Times New Roman" w:cs="Times New Roman"/>
          <w:sz w:val="24"/>
          <w:szCs w:val="24"/>
        </w:rPr>
        <w:t xml:space="preserve"> </w:t>
      </w:r>
    </w:p>
    <w:p w14:paraId="5572FDE2" w14:textId="77777777" w:rsidR="002F1DA0" w:rsidRDefault="002F1DA0" w:rsidP="0034462E">
      <w:pPr>
        <w:spacing w:after="240" w:line="480" w:lineRule="auto"/>
        <w:ind w:right="288"/>
        <w:jc w:val="both"/>
        <w:rPr>
          <w:rFonts w:ascii="Times New Roman" w:hAnsi="Times New Roman" w:cs="Times New Roman"/>
          <w:sz w:val="24"/>
          <w:szCs w:val="24"/>
        </w:rPr>
      </w:pPr>
      <w:r>
        <w:rPr>
          <w:rFonts w:ascii="Times New Roman" w:hAnsi="Times New Roman" w:cs="Times New Roman"/>
          <w:color w:val="000000"/>
          <w:sz w:val="24"/>
          <w:szCs w:val="24"/>
        </w:rPr>
        <w:t xml:space="preserve">Sponsors and investigators need to be mindful of variation in ethical approaches while aiming to develop a consistent global approach and avoid </w:t>
      </w:r>
      <w:r>
        <w:rPr>
          <w:rFonts w:ascii="Times New Roman" w:hAnsi="Times New Roman" w:cs="Times New Roman"/>
          <w:sz w:val="24"/>
          <w:szCs w:val="24"/>
        </w:rPr>
        <w:t xml:space="preserve">locating studies in outside countries where the regulatory agencies will be most flexible and provide limited oversight. </w:t>
      </w:r>
    </w:p>
    <w:p w14:paraId="3782B8FE" w14:textId="77777777" w:rsidR="002F1DA0" w:rsidRDefault="002F1DA0" w:rsidP="0034462E">
      <w:pPr>
        <w:pStyle w:val="Heading1"/>
        <w:numPr>
          <w:ilvl w:val="0"/>
          <w:numId w:val="0"/>
        </w:numPr>
        <w:spacing w:before="0" w:line="480" w:lineRule="auto"/>
        <w:ind w:right="288"/>
      </w:pPr>
      <w:r>
        <w:t>CONCLUSIONS</w:t>
      </w:r>
    </w:p>
    <w:p w14:paraId="2CFFC5B6" w14:textId="77777777" w:rsidR="002F1DA0" w:rsidRDefault="002F1DA0" w:rsidP="00240840">
      <w:pPr>
        <w:spacing w:after="120" w:line="480" w:lineRule="auto"/>
        <w:ind w:right="288"/>
        <w:jc w:val="both"/>
        <w:rPr>
          <w:rFonts w:ascii="Times New Roman" w:hAnsi="Times New Roman" w:cs="Times New Roman"/>
          <w:sz w:val="24"/>
          <w:szCs w:val="24"/>
        </w:rPr>
      </w:pPr>
      <w:r>
        <w:rPr>
          <w:rFonts w:ascii="Times New Roman" w:hAnsi="Times New Roman" w:cs="Times New Roman"/>
          <w:sz w:val="24"/>
          <w:szCs w:val="24"/>
        </w:rPr>
        <w:t>Neonatal clinical pharmacology studies are unique. There is an ethical imperative to minimize the number of participants in neonatal clinical studies and a need to study new and existing medicinal products as efficiently as possible. These drivers promote an approach to clinical pharmacology that starts with a broad search for existing knowledge and uses pharmacometric tools to integrate existing knowledge in order to plan and analyze clinical studies.</w:t>
      </w:r>
    </w:p>
    <w:p w14:paraId="6B509DFF" w14:textId="77777777" w:rsidR="002F1DA0" w:rsidRDefault="002F1DA0" w:rsidP="0034462E">
      <w:pPr>
        <w:spacing w:after="240" w:line="480" w:lineRule="auto"/>
        <w:ind w:right="288"/>
        <w:jc w:val="both"/>
        <w:rPr>
          <w:rFonts w:ascii="Times New Roman" w:hAnsi="Times New Roman" w:cs="Times New Roman"/>
          <w:sz w:val="24"/>
          <w:szCs w:val="24"/>
        </w:rPr>
      </w:pPr>
      <w:r>
        <w:rPr>
          <w:rFonts w:ascii="Times New Roman" w:hAnsi="Times New Roman" w:cs="Times New Roman"/>
          <w:sz w:val="24"/>
          <w:szCs w:val="24"/>
        </w:rPr>
        <w:lastRenderedPageBreak/>
        <w:t>It is important to plan neonatal studies early in the medicinal product development process. Important data to support the application of a medicinal product to neonates may need to be gathered during the adult phases of clinical medicinal product development. Pre-clinical studies may need to include juvenile animal studies.</w:t>
      </w:r>
    </w:p>
    <w:p w14:paraId="0ECA3966" w14:textId="77777777" w:rsidR="002F1DA0" w:rsidRDefault="002F1DA0" w:rsidP="0034462E">
      <w:pPr>
        <w:spacing w:after="240" w:line="480" w:lineRule="auto"/>
        <w:ind w:right="288"/>
        <w:jc w:val="both"/>
        <w:rPr>
          <w:rFonts w:ascii="Times New Roman" w:hAnsi="Times New Roman" w:cs="Times New Roman"/>
          <w:sz w:val="24"/>
          <w:szCs w:val="24"/>
        </w:rPr>
      </w:pPr>
      <w:r>
        <w:rPr>
          <w:rFonts w:ascii="Times New Roman" w:hAnsi="Times New Roman" w:cs="Times New Roman"/>
          <w:sz w:val="24"/>
          <w:szCs w:val="24"/>
        </w:rPr>
        <w:t xml:space="preserve">Multiple stakeholders must work well together to insure the successful development and regulation of neonatal medicinal products, and the International Neonatal Consortium (INC) was established to help promote that collaborative process. Establishing and maintaining relationships among the key stakeholders of a neonatal development plan need special attention. Teams including regulators need to be open-minded about study design and focused on filling information gaps using the most appropriate approach. Sponsors and investigators need to develop better ways to share information relevant to all neonatal studies in a pre-competitive way. For example, pooling adverse event rates in the placebo arms of neonatal trials will inform all clinical development programs by identifying the rates of anticipated adverse events in neonates in different parts of the world who have not been exposed to novel treatments. </w:t>
      </w:r>
    </w:p>
    <w:p w14:paraId="7F08B7F9" w14:textId="77777777" w:rsidR="002F1DA0" w:rsidRPr="009A7466" w:rsidRDefault="002F1DA0" w:rsidP="0034462E">
      <w:pPr>
        <w:spacing w:after="240" w:line="480" w:lineRule="auto"/>
        <w:ind w:right="202"/>
        <w:jc w:val="both"/>
        <w:rPr>
          <w:rFonts w:ascii="Times New Roman" w:hAnsi="Times New Roman" w:cs="Times New Roman"/>
          <w:sz w:val="24"/>
          <w:szCs w:val="24"/>
        </w:rPr>
      </w:pPr>
      <w:r>
        <w:rPr>
          <w:rFonts w:ascii="Times New Roman" w:hAnsi="Times New Roman" w:cs="Times New Roman"/>
          <w:sz w:val="24"/>
          <w:szCs w:val="24"/>
        </w:rPr>
        <w:t>Many neonatal conditions have a major public health impact but involve rare diseases and have relatively few patients. This means that a global development pathway is needed for most medicinal products used in neonates. While sponsors need to work closely with multiple regulatory agencies and investigators, regulators need to develop processes to reach agreement as often as possible during the development and implementation of neonatal programs to develop medicinal products.</w:t>
      </w:r>
    </w:p>
    <w:p w14:paraId="5383064B" w14:textId="77777777" w:rsidR="0034462E" w:rsidRDefault="0034462E">
      <w:pPr>
        <w:rPr>
          <w:rFonts w:ascii="Times New Roman" w:hAnsi="Times New Roman" w:cs="Times New Roman"/>
          <w:b/>
          <w:sz w:val="24"/>
          <w:szCs w:val="24"/>
        </w:rPr>
      </w:pPr>
      <w:r>
        <w:rPr>
          <w:rFonts w:ascii="Times New Roman" w:hAnsi="Times New Roman" w:cs="Times New Roman"/>
          <w:b/>
          <w:sz w:val="24"/>
          <w:szCs w:val="24"/>
        </w:rPr>
        <w:br w:type="page"/>
      </w:r>
    </w:p>
    <w:p w14:paraId="0C86B4F6" w14:textId="64955E69" w:rsidR="002F1DA0" w:rsidRPr="0057034E" w:rsidRDefault="002F1DA0" w:rsidP="0034462E">
      <w:pPr>
        <w:spacing w:after="240" w:line="480" w:lineRule="auto"/>
        <w:ind w:right="202"/>
        <w:rPr>
          <w:rFonts w:ascii="Times New Roman" w:hAnsi="Times New Roman" w:cs="Times New Roman"/>
          <w:b/>
          <w:sz w:val="24"/>
          <w:szCs w:val="24"/>
        </w:rPr>
      </w:pPr>
      <w:r w:rsidRPr="0057034E">
        <w:rPr>
          <w:rFonts w:ascii="Times New Roman" w:hAnsi="Times New Roman" w:cs="Times New Roman"/>
          <w:b/>
          <w:sz w:val="24"/>
          <w:szCs w:val="24"/>
        </w:rPr>
        <w:lastRenderedPageBreak/>
        <w:t>Acknowledg</w:t>
      </w:r>
      <w:r w:rsidR="0034462E">
        <w:rPr>
          <w:rFonts w:ascii="Times New Roman" w:hAnsi="Times New Roman" w:cs="Times New Roman"/>
          <w:b/>
          <w:sz w:val="24"/>
          <w:szCs w:val="24"/>
        </w:rPr>
        <w:t>e</w:t>
      </w:r>
      <w:r w:rsidRPr="0057034E">
        <w:rPr>
          <w:rFonts w:ascii="Times New Roman" w:hAnsi="Times New Roman" w:cs="Times New Roman"/>
          <w:b/>
          <w:sz w:val="24"/>
          <w:szCs w:val="24"/>
        </w:rPr>
        <w:t>ments</w:t>
      </w:r>
    </w:p>
    <w:p w14:paraId="1CDB2995" w14:textId="2493FBF9" w:rsidR="000B1213" w:rsidRPr="001B00A8" w:rsidRDefault="002F1DA0" w:rsidP="001B00A8">
      <w:pPr>
        <w:pStyle w:val="EndNoteBibliography"/>
        <w:spacing w:after="240" w:line="480" w:lineRule="auto"/>
        <w:ind w:right="202"/>
        <w:rPr>
          <w:rFonts w:ascii="Times New Roman" w:hAnsi="Times New Roman" w:cs="Times New Roman"/>
          <w:b/>
          <w:sz w:val="24"/>
          <w:szCs w:val="24"/>
        </w:rPr>
      </w:pPr>
      <w:r w:rsidRPr="0057034E">
        <w:rPr>
          <w:rFonts w:ascii="Times New Roman" w:hAnsi="Times New Roman" w:cs="Times New Roman"/>
          <w:sz w:val="24"/>
          <w:szCs w:val="24"/>
        </w:rPr>
        <w:t>The authors gratefully acknowledge the review</w:t>
      </w:r>
      <w:r>
        <w:rPr>
          <w:rFonts w:ascii="Times New Roman" w:hAnsi="Times New Roman" w:cs="Times New Roman"/>
          <w:sz w:val="24"/>
          <w:szCs w:val="24"/>
        </w:rPr>
        <w:t xml:space="preserve"> by Dr. Ralph Bax (EMA), Dr. Robert “Skip” Nelson (FDA), Dr. Agnes Klein (Health Canada), Dr. Christine Gleason (March of Dimes) and N</w:t>
      </w:r>
      <w:r w:rsidR="001B00A8">
        <w:rPr>
          <w:rFonts w:ascii="Times New Roman" w:hAnsi="Times New Roman" w:cs="Times New Roman"/>
          <w:sz w:val="24"/>
          <w:szCs w:val="24"/>
        </w:rPr>
        <w:t>ick Hall (Graham’s Foundation)</w:t>
      </w:r>
    </w:p>
    <w:p w14:paraId="181EE216" w14:textId="336E6AF5" w:rsidR="001B00A8" w:rsidRPr="00831F12" w:rsidRDefault="000B1213" w:rsidP="00167E61">
      <w:pPr>
        <w:pStyle w:val="EndNoteBibliography"/>
        <w:spacing w:after="0"/>
        <w:ind w:left="720" w:hanging="720"/>
      </w:pPr>
      <w:r w:rsidRPr="000C0606">
        <w:rPr>
          <w:rFonts w:ascii="Times New Roman" w:hAnsi="Times New Roman" w:cs="Times New Roman"/>
          <w:sz w:val="24"/>
          <w:szCs w:val="24"/>
        </w:rPr>
        <w:fldChar w:fldCharType="begin"/>
      </w:r>
      <w:r w:rsidRPr="000C0606">
        <w:rPr>
          <w:rFonts w:ascii="Times New Roman" w:hAnsi="Times New Roman" w:cs="Times New Roman"/>
          <w:sz w:val="24"/>
          <w:szCs w:val="24"/>
        </w:rPr>
        <w:instrText xml:space="preserve"> ADDIN EN.REFLIST </w:instrText>
      </w:r>
      <w:r w:rsidRPr="000C0606">
        <w:rPr>
          <w:rFonts w:ascii="Times New Roman" w:hAnsi="Times New Roman" w:cs="Times New Roman"/>
          <w:sz w:val="24"/>
          <w:szCs w:val="24"/>
        </w:rPr>
        <w:fldChar w:fldCharType="separate"/>
      </w:r>
      <w:r w:rsidR="001B00A8" w:rsidRPr="00831F12">
        <w:br w:type="page"/>
      </w:r>
    </w:p>
    <w:p w14:paraId="3E94AAF1" w14:textId="77777777" w:rsidR="00167E61" w:rsidRPr="00831F12" w:rsidRDefault="00167E61" w:rsidP="00167E61">
      <w:pPr>
        <w:pStyle w:val="Heading1"/>
        <w:numPr>
          <w:ilvl w:val="0"/>
          <w:numId w:val="0"/>
        </w:numPr>
        <w:tabs>
          <w:tab w:val="left" w:pos="9000"/>
        </w:tabs>
        <w:spacing w:before="0" w:after="0" w:line="480" w:lineRule="auto"/>
        <w:ind w:right="198"/>
        <w:rPr>
          <w:sz w:val="24"/>
          <w:szCs w:val="24"/>
        </w:rPr>
      </w:pPr>
      <w:r w:rsidRPr="00831F12">
        <w:rPr>
          <w:sz w:val="24"/>
          <w:szCs w:val="24"/>
        </w:rPr>
        <w:lastRenderedPageBreak/>
        <w:t>REFERENCES</w:t>
      </w:r>
    </w:p>
    <w:p w14:paraId="686EB44B" w14:textId="0C14590C"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fldChar w:fldCharType="begin"/>
      </w:r>
      <w:r w:rsidRPr="00831F12">
        <w:rPr>
          <w:rFonts w:ascii="Times New Roman" w:hAnsi="Times New Roman" w:cs="Times New Roman"/>
          <w:sz w:val="24"/>
          <w:szCs w:val="24"/>
        </w:rPr>
        <w:instrText xml:space="preserve"> ADDIN EN.REFLIST </w:instrText>
      </w:r>
      <w:r w:rsidRPr="00831F12">
        <w:rPr>
          <w:rFonts w:ascii="Times New Roman" w:hAnsi="Times New Roman" w:cs="Times New Roman"/>
          <w:sz w:val="24"/>
          <w:szCs w:val="24"/>
        </w:rPr>
        <w:fldChar w:fldCharType="separate"/>
      </w:r>
      <w:r w:rsidR="006A5FBB" w:rsidRPr="00831F12">
        <w:rPr>
          <w:rFonts w:ascii="Times New Roman" w:hAnsi="Times New Roman" w:cs="Times New Roman"/>
          <w:sz w:val="24"/>
          <w:szCs w:val="24"/>
        </w:rPr>
        <w:t>1</w:t>
      </w:r>
      <w:r w:rsidRPr="00831F12">
        <w:rPr>
          <w:rFonts w:ascii="Times New Roman" w:hAnsi="Times New Roman" w:cs="Times New Roman"/>
          <w:sz w:val="24"/>
          <w:szCs w:val="24"/>
        </w:rPr>
        <w:t>.</w:t>
      </w:r>
      <w:r w:rsidRPr="00831F12">
        <w:rPr>
          <w:rFonts w:ascii="Times New Roman" w:hAnsi="Times New Roman" w:cs="Times New Roman"/>
          <w:sz w:val="24"/>
          <w:szCs w:val="24"/>
        </w:rPr>
        <w:tab/>
        <w:t xml:space="preserve">General Clinical Pharmacology Considerations for Pediatric Studies for Drugs and Biological Products. Draft Guidance for Industry. 2014. </w:t>
      </w:r>
      <w:hyperlink r:id="rId10" w:history="1">
        <w:r w:rsidRPr="00831F12">
          <w:rPr>
            <w:rStyle w:val="Hyperlink"/>
            <w:rFonts w:ascii="Times New Roman" w:hAnsi="Times New Roman" w:cs="Times New Roman"/>
            <w:color w:val="auto"/>
            <w:sz w:val="24"/>
            <w:szCs w:val="24"/>
            <w:u w:val="none"/>
          </w:rPr>
          <w:t>http://www.fda.gov/downloads/drugs/guidancecomplianceregulatoryinformation/guidances/ucm425885.pdf</w:t>
        </w:r>
      </w:hyperlink>
      <w:r w:rsidRPr="00831F12">
        <w:rPr>
          <w:rFonts w:ascii="Times New Roman" w:hAnsi="Times New Roman" w:cs="Times New Roman"/>
          <w:sz w:val="24"/>
          <w:szCs w:val="24"/>
        </w:rPr>
        <w:t>.</w:t>
      </w:r>
    </w:p>
    <w:p w14:paraId="7A078BCA" w14:textId="7E58EEA7" w:rsidR="00167E61" w:rsidRPr="00831F12" w:rsidRDefault="006A5FBB"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2</w:t>
      </w:r>
      <w:r w:rsidR="00167E61" w:rsidRPr="00831F12">
        <w:rPr>
          <w:rFonts w:ascii="Times New Roman" w:hAnsi="Times New Roman" w:cs="Times New Roman"/>
          <w:sz w:val="24"/>
          <w:szCs w:val="24"/>
        </w:rPr>
        <w:t>.</w:t>
      </w:r>
      <w:r w:rsidR="00167E61" w:rsidRPr="00831F12">
        <w:rPr>
          <w:rFonts w:ascii="Times New Roman" w:hAnsi="Times New Roman" w:cs="Times New Roman"/>
          <w:sz w:val="24"/>
          <w:szCs w:val="24"/>
        </w:rPr>
        <w:tab/>
        <w:t xml:space="preserve">Guideline on the Investigation of Medicinal Products in the Term and Preterm Neonate. 2007.  </w:t>
      </w:r>
      <w:hyperlink r:id="rId11" w:history="1">
        <w:r w:rsidR="00167E61" w:rsidRPr="00831F12">
          <w:rPr>
            <w:rStyle w:val="Hyperlink"/>
            <w:rFonts w:ascii="Times New Roman" w:hAnsi="Times New Roman" w:cs="Times New Roman"/>
            <w:color w:val="auto"/>
            <w:sz w:val="24"/>
            <w:szCs w:val="24"/>
            <w:u w:val="none"/>
          </w:rPr>
          <w:t>http://www.ema.europa.eu/docs/en_GB/document_library/Scientific_guideline/2009/09/WC500003754.pdf</w:t>
        </w:r>
      </w:hyperlink>
      <w:r w:rsidR="00167E61" w:rsidRPr="00831F12">
        <w:rPr>
          <w:rFonts w:ascii="Times New Roman" w:hAnsi="Times New Roman" w:cs="Times New Roman"/>
          <w:sz w:val="24"/>
          <w:szCs w:val="24"/>
        </w:rPr>
        <w:t xml:space="preserve">. </w:t>
      </w:r>
    </w:p>
    <w:p w14:paraId="0E8ACFD4" w14:textId="0A710881" w:rsidR="00167E61" w:rsidRPr="00831F12" w:rsidRDefault="006A5FBB"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3</w:t>
      </w:r>
      <w:r w:rsidR="00167E61" w:rsidRPr="00831F12">
        <w:rPr>
          <w:rFonts w:ascii="Times New Roman" w:hAnsi="Times New Roman" w:cs="Times New Roman"/>
          <w:sz w:val="24"/>
          <w:szCs w:val="24"/>
        </w:rPr>
        <w:t>.</w:t>
      </w:r>
      <w:r w:rsidR="00167E61" w:rsidRPr="00831F12">
        <w:rPr>
          <w:rFonts w:ascii="Times New Roman" w:hAnsi="Times New Roman" w:cs="Times New Roman"/>
          <w:sz w:val="24"/>
          <w:szCs w:val="24"/>
        </w:rPr>
        <w:tab/>
        <w:t xml:space="preserve">International Congress on Harmonization: Clinical Investigation of Medicinal Products in the Pediatric Population E11. 2000.  </w:t>
      </w:r>
      <w:hyperlink r:id="rId12" w:history="1">
        <w:r w:rsidR="00167E61" w:rsidRPr="00831F12">
          <w:rPr>
            <w:rStyle w:val="Hyperlink"/>
            <w:rFonts w:ascii="Times New Roman" w:hAnsi="Times New Roman" w:cs="Times New Roman"/>
            <w:color w:val="auto"/>
            <w:sz w:val="24"/>
            <w:szCs w:val="24"/>
            <w:u w:val="none"/>
          </w:rPr>
          <w:t>http://www.ich.org/fileadmin/Public_Web_Site/ICH_Products/Guidelines/Efficacy/E11/Step4/E11_Guideline.pdf</w:t>
        </w:r>
      </w:hyperlink>
      <w:r w:rsidR="00167E61" w:rsidRPr="00831F12">
        <w:rPr>
          <w:rFonts w:ascii="Times New Roman" w:hAnsi="Times New Roman" w:cs="Times New Roman"/>
          <w:sz w:val="24"/>
          <w:szCs w:val="24"/>
        </w:rPr>
        <w:t>.</w:t>
      </w:r>
    </w:p>
    <w:p w14:paraId="7E53ACD6" w14:textId="5451EE40" w:rsidR="00167E61" w:rsidRPr="00831F12" w:rsidRDefault="006A5FBB"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4</w:t>
      </w:r>
      <w:r w:rsidR="00167E61" w:rsidRPr="00831F12">
        <w:rPr>
          <w:rFonts w:ascii="Times New Roman" w:hAnsi="Times New Roman" w:cs="Times New Roman"/>
          <w:sz w:val="24"/>
          <w:szCs w:val="24"/>
        </w:rPr>
        <w:t>.</w:t>
      </w:r>
      <w:r w:rsidR="00167E61" w:rsidRPr="00831F12">
        <w:rPr>
          <w:rFonts w:ascii="Times New Roman" w:hAnsi="Times New Roman" w:cs="Times New Roman"/>
          <w:sz w:val="24"/>
          <w:szCs w:val="24"/>
        </w:rPr>
        <w:tab/>
        <w:t xml:space="preserve">Tri-Council policy statement 2: ethical conduct for research involving humans. 2014.  </w:t>
      </w:r>
      <w:hyperlink r:id="rId13" w:history="1">
        <w:r w:rsidR="00167E61" w:rsidRPr="00831F12">
          <w:rPr>
            <w:rStyle w:val="Hyperlink"/>
            <w:rFonts w:ascii="Times New Roman" w:hAnsi="Times New Roman" w:cs="Times New Roman"/>
            <w:color w:val="auto"/>
            <w:sz w:val="24"/>
            <w:szCs w:val="24"/>
            <w:u w:val="none"/>
          </w:rPr>
          <w:t>http://www.pre.ethics.gc.ca/pdf/eng/tcps2-2014/TCPS_2_FINAL_Web.pdf</w:t>
        </w:r>
      </w:hyperlink>
      <w:r w:rsidR="00167E61" w:rsidRPr="00831F12">
        <w:rPr>
          <w:rFonts w:ascii="Times New Roman" w:hAnsi="Times New Roman" w:cs="Times New Roman"/>
          <w:sz w:val="24"/>
          <w:szCs w:val="24"/>
        </w:rPr>
        <w:t xml:space="preserve">. </w:t>
      </w:r>
    </w:p>
    <w:p w14:paraId="6B1A901D" w14:textId="0CAAB0A4" w:rsidR="00167E61" w:rsidRPr="00831F12" w:rsidRDefault="006A5FBB"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5</w:t>
      </w:r>
      <w:r w:rsidR="00167E61" w:rsidRPr="00831F12">
        <w:rPr>
          <w:rFonts w:ascii="Times New Roman" w:hAnsi="Times New Roman" w:cs="Times New Roman"/>
          <w:sz w:val="24"/>
          <w:szCs w:val="24"/>
        </w:rPr>
        <w:t>.</w:t>
      </w:r>
      <w:r w:rsidR="00167E61" w:rsidRPr="00831F12">
        <w:rPr>
          <w:rFonts w:ascii="Times New Roman" w:hAnsi="Times New Roman" w:cs="Times New Roman"/>
          <w:sz w:val="24"/>
          <w:szCs w:val="24"/>
        </w:rPr>
        <w:tab/>
        <w:t xml:space="preserve">SURVEY OF CURRENT GUIDANCE FOR CHILD HEALTH CLINICAL TRIALS. The StaR Child Health Project: Standards for Research with Children. </w:t>
      </w:r>
      <w:hyperlink r:id="rId14" w:history="1">
        <w:r w:rsidR="00167E61" w:rsidRPr="00831F12">
          <w:rPr>
            <w:rStyle w:val="Hyperlink"/>
            <w:rFonts w:ascii="Times New Roman" w:hAnsi="Times New Roman" w:cs="Times New Roman"/>
            <w:color w:val="auto"/>
            <w:sz w:val="24"/>
            <w:szCs w:val="24"/>
            <w:u w:val="none"/>
          </w:rPr>
          <w:t>http://www.who.int/childmedicines/publications/GUIDANCECHILDHEALTH.pdf</w:t>
        </w:r>
      </w:hyperlink>
      <w:r w:rsidR="00167E61" w:rsidRPr="00831F12">
        <w:rPr>
          <w:rFonts w:ascii="Times New Roman" w:hAnsi="Times New Roman" w:cs="Times New Roman"/>
          <w:sz w:val="24"/>
          <w:szCs w:val="24"/>
        </w:rPr>
        <w:t xml:space="preserve">. </w:t>
      </w:r>
    </w:p>
    <w:p w14:paraId="7517AAD5" w14:textId="449F56B3" w:rsidR="00167E61" w:rsidRPr="00831F12" w:rsidRDefault="006A5FBB"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6</w:t>
      </w:r>
      <w:r w:rsidR="00167E61" w:rsidRPr="00831F12">
        <w:rPr>
          <w:rFonts w:ascii="Times New Roman" w:hAnsi="Times New Roman" w:cs="Times New Roman"/>
          <w:sz w:val="24"/>
          <w:szCs w:val="24"/>
        </w:rPr>
        <w:t>.</w:t>
      </w:r>
      <w:r w:rsidR="00167E61" w:rsidRPr="00831F12">
        <w:rPr>
          <w:rFonts w:ascii="Times New Roman" w:hAnsi="Times New Roman" w:cs="Times New Roman"/>
          <w:sz w:val="24"/>
          <w:szCs w:val="24"/>
        </w:rPr>
        <w:tab/>
        <w:t xml:space="preserve">REGULATION (EC) No 1901/2006 OF THE EUROPEAN PARLIAMENT AND OF THE COUNCIL of 12 December 2006 on medicinal products for paediatric use and amending Regulation (EEC) No 1768/92, Directive 2001/20/EC, Directive 2001/83/EC </w:t>
      </w:r>
      <w:r w:rsidR="00167E61" w:rsidRPr="00831F12">
        <w:rPr>
          <w:rFonts w:ascii="Times New Roman" w:hAnsi="Times New Roman" w:cs="Times New Roman"/>
          <w:sz w:val="24"/>
          <w:szCs w:val="24"/>
        </w:rPr>
        <w:lastRenderedPageBreak/>
        <w:t xml:space="preserve">and Regulation (EC) No 726/2004. 2006. </w:t>
      </w:r>
      <w:hyperlink r:id="rId15" w:history="1">
        <w:r w:rsidR="00167E61" w:rsidRPr="00831F12">
          <w:rPr>
            <w:rStyle w:val="Hyperlink"/>
            <w:rFonts w:ascii="Times New Roman" w:hAnsi="Times New Roman" w:cs="Times New Roman"/>
            <w:color w:val="auto"/>
            <w:sz w:val="24"/>
            <w:szCs w:val="24"/>
            <w:u w:val="none"/>
          </w:rPr>
          <w:t>http://ec.europa.eu/health/files/eudralex/vol-1/reg_2006_1901/reg_2006_1901_en.pdf</w:t>
        </w:r>
      </w:hyperlink>
      <w:r w:rsidR="00167E61" w:rsidRPr="00831F12">
        <w:rPr>
          <w:rFonts w:ascii="Times New Roman" w:hAnsi="Times New Roman" w:cs="Times New Roman"/>
          <w:sz w:val="24"/>
          <w:szCs w:val="24"/>
        </w:rPr>
        <w:t xml:space="preserve">. </w:t>
      </w:r>
    </w:p>
    <w:p w14:paraId="2801A8CA" w14:textId="0A113451" w:rsidR="00167E61" w:rsidRPr="00831F12" w:rsidRDefault="006A5FBB"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7</w:t>
      </w:r>
      <w:r w:rsidR="00167E61" w:rsidRPr="00831F12">
        <w:rPr>
          <w:rFonts w:ascii="Times New Roman" w:hAnsi="Times New Roman" w:cs="Times New Roman"/>
          <w:sz w:val="24"/>
          <w:szCs w:val="24"/>
        </w:rPr>
        <w:t>.</w:t>
      </w:r>
      <w:r w:rsidR="00167E61" w:rsidRPr="00831F12">
        <w:rPr>
          <w:rFonts w:ascii="Times New Roman" w:hAnsi="Times New Roman" w:cs="Times New Roman"/>
          <w:sz w:val="24"/>
          <w:szCs w:val="24"/>
        </w:rPr>
        <w:tab/>
        <w:t>U. S. Food and Drug Administration Modernization Act of 1997, 21 USC 301, Public Law.  1997 .</w:t>
      </w:r>
      <w:hyperlink r:id="rId16" w:history="1">
        <w:r w:rsidR="00167E61" w:rsidRPr="00831F12">
          <w:rPr>
            <w:rStyle w:val="Hyperlink"/>
            <w:rFonts w:ascii="Times New Roman" w:hAnsi="Times New Roman" w:cs="Times New Roman"/>
            <w:color w:val="auto"/>
            <w:sz w:val="24"/>
            <w:szCs w:val="24"/>
            <w:u w:val="none"/>
          </w:rPr>
          <w:t>http://www.fda.gov/RegulatoryInformation/Legislation/SignificantAmendmentstotheFDCAct/FDAMA/FullTextofFDAMAlaw/default.htm</w:t>
        </w:r>
      </w:hyperlink>
      <w:r w:rsidR="00167E61" w:rsidRPr="00831F12">
        <w:rPr>
          <w:rFonts w:ascii="Times New Roman" w:hAnsi="Times New Roman" w:cs="Times New Roman"/>
          <w:sz w:val="24"/>
          <w:szCs w:val="24"/>
        </w:rPr>
        <w:t>.</w:t>
      </w:r>
    </w:p>
    <w:p w14:paraId="62B50727" w14:textId="07E7F83A" w:rsidR="00167E61" w:rsidRPr="00831F12" w:rsidRDefault="006A5FBB"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8</w:t>
      </w:r>
      <w:r w:rsidR="00167E61" w:rsidRPr="00831F12">
        <w:rPr>
          <w:rFonts w:ascii="Times New Roman" w:hAnsi="Times New Roman" w:cs="Times New Roman"/>
          <w:sz w:val="24"/>
          <w:szCs w:val="24"/>
        </w:rPr>
        <w:t>.</w:t>
      </w:r>
      <w:r w:rsidR="00167E61" w:rsidRPr="00831F12">
        <w:rPr>
          <w:rFonts w:ascii="Times New Roman" w:hAnsi="Times New Roman" w:cs="Times New Roman"/>
          <w:sz w:val="24"/>
          <w:szCs w:val="24"/>
        </w:rPr>
        <w:tab/>
        <w:t xml:space="preserve">Best Pharmaceuticals for Children Act Page, 21 USC 301, Public Law.  2002. </w:t>
      </w:r>
      <w:hyperlink r:id="rId17" w:history="1">
        <w:r w:rsidR="00167E61" w:rsidRPr="00831F12">
          <w:rPr>
            <w:rStyle w:val="Hyperlink"/>
            <w:rFonts w:ascii="Times New Roman" w:hAnsi="Times New Roman" w:cs="Times New Roman"/>
            <w:color w:val="auto"/>
            <w:sz w:val="24"/>
            <w:szCs w:val="24"/>
            <w:u w:val="none"/>
          </w:rPr>
          <w:t>http://frwebgate.access.gpo.gov/cgi-bin/getdoc.cgi?dbname=107_cong_public_laws&amp;docid=f:publ109.107</w:t>
        </w:r>
      </w:hyperlink>
      <w:r w:rsidR="00167E61" w:rsidRPr="00831F12">
        <w:rPr>
          <w:rFonts w:ascii="Times New Roman" w:hAnsi="Times New Roman" w:cs="Times New Roman"/>
          <w:sz w:val="24"/>
          <w:szCs w:val="24"/>
        </w:rPr>
        <w:t xml:space="preserve">. </w:t>
      </w:r>
    </w:p>
    <w:p w14:paraId="55E03EBB" w14:textId="1CBF86A1" w:rsidR="00167E61" w:rsidRPr="00831F12" w:rsidRDefault="006A5FBB"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9</w:t>
      </w:r>
      <w:r w:rsidR="00167E61" w:rsidRPr="00831F12">
        <w:rPr>
          <w:rFonts w:ascii="Times New Roman" w:hAnsi="Times New Roman" w:cs="Times New Roman"/>
          <w:sz w:val="24"/>
          <w:szCs w:val="24"/>
        </w:rPr>
        <w:t>.</w:t>
      </w:r>
      <w:r w:rsidR="00167E61" w:rsidRPr="00831F12">
        <w:rPr>
          <w:rFonts w:ascii="Times New Roman" w:hAnsi="Times New Roman" w:cs="Times New Roman"/>
          <w:sz w:val="24"/>
          <w:szCs w:val="24"/>
        </w:rPr>
        <w:tab/>
        <w:t xml:space="preserve">Pediatric Research Equity Act of 2003, Public Law.  2003. </w:t>
      </w:r>
      <w:hyperlink r:id="rId18" w:history="1">
        <w:r w:rsidR="00167E61" w:rsidRPr="00831F12">
          <w:rPr>
            <w:rStyle w:val="Hyperlink"/>
            <w:rFonts w:ascii="Times New Roman" w:hAnsi="Times New Roman" w:cs="Times New Roman"/>
            <w:color w:val="auto"/>
            <w:sz w:val="24"/>
            <w:szCs w:val="24"/>
            <w:u w:val="none"/>
          </w:rPr>
          <w:t>http://www.gpo.gov/fdsys/pkg/PLAW-108publ155/pdf/PLAW-108publ155.pdf</w:t>
        </w:r>
      </w:hyperlink>
      <w:r w:rsidR="00167E61" w:rsidRPr="00831F12">
        <w:rPr>
          <w:rFonts w:ascii="Times New Roman" w:hAnsi="Times New Roman" w:cs="Times New Roman"/>
          <w:sz w:val="24"/>
          <w:szCs w:val="24"/>
        </w:rPr>
        <w:t xml:space="preserve">. </w:t>
      </w:r>
    </w:p>
    <w:p w14:paraId="16D3646D" w14:textId="6534E43B" w:rsidR="00167E61" w:rsidRPr="00831F12" w:rsidRDefault="006A5FBB"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10</w:t>
      </w:r>
      <w:r w:rsidR="00167E61" w:rsidRPr="00831F12">
        <w:rPr>
          <w:rFonts w:ascii="Times New Roman" w:hAnsi="Times New Roman" w:cs="Times New Roman"/>
          <w:sz w:val="24"/>
          <w:szCs w:val="24"/>
        </w:rPr>
        <w:t>.</w:t>
      </w:r>
      <w:r w:rsidR="00167E61" w:rsidRPr="00831F12">
        <w:rPr>
          <w:rFonts w:ascii="Times New Roman" w:hAnsi="Times New Roman" w:cs="Times New Roman"/>
          <w:sz w:val="24"/>
          <w:szCs w:val="24"/>
        </w:rPr>
        <w:tab/>
        <w:t xml:space="preserve">U. S. Food and Drug Administration Safety and Innovation Act, Public Law.  2012. </w:t>
      </w:r>
      <w:hyperlink r:id="rId19" w:history="1">
        <w:r w:rsidR="00167E61" w:rsidRPr="00831F12">
          <w:rPr>
            <w:rStyle w:val="Hyperlink"/>
            <w:rFonts w:ascii="Times New Roman" w:hAnsi="Times New Roman" w:cs="Times New Roman"/>
            <w:color w:val="auto"/>
            <w:sz w:val="24"/>
            <w:szCs w:val="24"/>
            <w:u w:val="none"/>
          </w:rPr>
          <w:t>http://www.gpo.gov/fdsys/pkg/PLAW-112publ144/pdf/PLAW-112publ144.pdf</w:t>
        </w:r>
      </w:hyperlink>
      <w:r w:rsidR="00167E61" w:rsidRPr="00831F12">
        <w:rPr>
          <w:rFonts w:ascii="Times New Roman" w:hAnsi="Times New Roman" w:cs="Times New Roman"/>
          <w:sz w:val="24"/>
          <w:szCs w:val="24"/>
        </w:rPr>
        <w:t xml:space="preserve">. </w:t>
      </w:r>
    </w:p>
    <w:p w14:paraId="46C070EE" w14:textId="4CC875AF" w:rsidR="00167E61" w:rsidRPr="00831F12" w:rsidRDefault="006A5FBB"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11</w:t>
      </w:r>
      <w:r w:rsidR="00167E61" w:rsidRPr="00831F12">
        <w:rPr>
          <w:rFonts w:ascii="Times New Roman" w:hAnsi="Times New Roman" w:cs="Times New Roman"/>
          <w:sz w:val="24"/>
          <w:szCs w:val="24"/>
        </w:rPr>
        <w:t>.</w:t>
      </w:r>
      <w:r w:rsidR="00167E61" w:rsidRPr="00831F12">
        <w:rPr>
          <w:rFonts w:ascii="Times New Roman" w:hAnsi="Times New Roman" w:cs="Times New Roman"/>
          <w:sz w:val="24"/>
          <w:szCs w:val="24"/>
        </w:rPr>
        <w:tab/>
        <w:t>Laughon MM, Avant D, Tripathi N, et al. Drug labeling and exposure in neonates. JAMA Pediatr 2014;168:130-6.</w:t>
      </w:r>
    </w:p>
    <w:p w14:paraId="5FB9314D" w14:textId="567B4879" w:rsidR="00167E61" w:rsidRPr="00831F12" w:rsidRDefault="006A5FBB"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12</w:t>
      </w:r>
      <w:r w:rsidR="00167E61" w:rsidRPr="00831F12">
        <w:rPr>
          <w:rFonts w:ascii="Times New Roman" w:hAnsi="Times New Roman" w:cs="Times New Roman"/>
          <w:sz w:val="24"/>
          <w:szCs w:val="24"/>
        </w:rPr>
        <w:t>.</w:t>
      </w:r>
      <w:r w:rsidR="00167E61" w:rsidRPr="00831F12">
        <w:rPr>
          <w:rFonts w:ascii="Times New Roman" w:hAnsi="Times New Roman" w:cs="Times New Roman"/>
          <w:sz w:val="24"/>
          <w:szCs w:val="24"/>
        </w:rPr>
        <w:tab/>
        <w:t>Stiers JL, Ward RM. Newborns, one of the last therapeutic orphans to be adopted. JAMA Pediatr 2014;168:106-8.</w:t>
      </w:r>
    </w:p>
    <w:p w14:paraId="0544BB37" w14:textId="77777777" w:rsidR="000C0606" w:rsidRPr="00831F12" w:rsidRDefault="000C0606"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13.</w:t>
      </w:r>
      <w:r w:rsidRPr="00831F12">
        <w:rPr>
          <w:rFonts w:ascii="Times New Roman" w:hAnsi="Times New Roman" w:cs="Times New Roman"/>
          <w:sz w:val="24"/>
          <w:szCs w:val="24"/>
        </w:rPr>
        <w:tab/>
        <w:t>Turner MA. Clinical trials of medicines in neonates: the influence of ethical and practical issues on design and conduct. Br J Clin Pharmacol 2015;79:370-8</w:t>
      </w:r>
    </w:p>
    <w:p w14:paraId="054DEAB5" w14:textId="38CEDBD0"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14.</w:t>
      </w:r>
      <w:r w:rsidRPr="00831F12">
        <w:rPr>
          <w:rFonts w:ascii="Times New Roman" w:hAnsi="Times New Roman" w:cs="Times New Roman"/>
          <w:sz w:val="24"/>
          <w:szCs w:val="24"/>
        </w:rPr>
        <w:tab/>
        <w:t>Engle WA, American Academy of Pediatrics Committee on F, Newborn. Age terminology during the perinatal period. Pediatrics 2004;114:1362-4.</w:t>
      </w:r>
    </w:p>
    <w:p w14:paraId="1931E0FF"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lastRenderedPageBreak/>
        <w:t>15.</w:t>
      </w:r>
      <w:r w:rsidRPr="00831F12">
        <w:rPr>
          <w:rFonts w:ascii="Times New Roman" w:hAnsi="Times New Roman" w:cs="Times New Roman"/>
          <w:sz w:val="24"/>
          <w:szCs w:val="24"/>
        </w:rPr>
        <w:tab/>
        <w:t>Allegaert K, Anderson BJ, van den Anker JN, Vanhaesebrouck S, de Zegher F. Renal drug clearance in preterm neonates: relation to prenatal growth. Ther Drug Monit 2007;29:284-91</w:t>
      </w:r>
    </w:p>
    <w:p w14:paraId="299155CE"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16.</w:t>
      </w:r>
      <w:r w:rsidRPr="00831F12">
        <w:rPr>
          <w:rFonts w:ascii="Times New Roman" w:hAnsi="Times New Roman" w:cs="Times New Roman"/>
          <w:sz w:val="24"/>
          <w:szCs w:val="24"/>
        </w:rPr>
        <w:tab/>
        <w:t xml:space="preserve">Thompson H, Frederico N, Smith SR, et al. iCAN: Providing a voice for children and families in pediatric research. </w:t>
      </w:r>
      <w:r w:rsidRPr="00831F12">
        <w:rPr>
          <w:rStyle w:val="jrnl"/>
          <w:rFonts w:ascii="Times New Roman" w:hAnsi="Times New Roman" w:cs="Times New Roman"/>
          <w:sz w:val="24"/>
          <w:szCs w:val="24"/>
        </w:rPr>
        <w:t>Ther Innov Regul Sci</w:t>
      </w:r>
      <w:r w:rsidRPr="00831F12">
        <w:rPr>
          <w:rFonts w:ascii="Times New Roman" w:hAnsi="Times New Roman" w:cs="Times New Roman"/>
          <w:sz w:val="24"/>
          <w:szCs w:val="24"/>
        </w:rPr>
        <w:t xml:space="preserve"> 2015;49:673-9.</w:t>
      </w:r>
    </w:p>
    <w:p w14:paraId="47957808"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17.</w:t>
      </w:r>
      <w:r w:rsidRPr="00831F12">
        <w:rPr>
          <w:rFonts w:ascii="Times New Roman" w:hAnsi="Times New Roman" w:cs="Times New Roman"/>
          <w:sz w:val="24"/>
          <w:szCs w:val="24"/>
        </w:rPr>
        <w:tab/>
        <w:t xml:space="preserve">Concept paper on the involvement of children and young people at the Paediatric Committee (PDCO). 2012. </w:t>
      </w:r>
      <w:hyperlink r:id="rId20" w:history="1">
        <w:r w:rsidRPr="00831F12">
          <w:rPr>
            <w:rStyle w:val="Hyperlink"/>
            <w:rFonts w:ascii="Times New Roman" w:hAnsi="Times New Roman" w:cs="Times New Roman"/>
            <w:color w:val="auto"/>
            <w:sz w:val="24"/>
            <w:szCs w:val="24"/>
            <w:u w:val="none"/>
          </w:rPr>
          <w:t>http://www.ema.europa.eu/docs/en_GB/document_library/Scientific_guideline/2012/09/WC500132555.pdf</w:t>
        </w:r>
      </w:hyperlink>
      <w:r w:rsidRPr="00831F12">
        <w:rPr>
          <w:rFonts w:ascii="Times New Roman" w:hAnsi="Times New Roman" w:cs="Times New Roman"/>
          <w:sz w:val="24"/>
          <w:szCs w:val="24"/>
        </w:rPr>
        <w:t>.</w:t>
      </w:r>
    </w:p>
    <w:p w14:paraId="4C2AAD96"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18.</w:t>
      </w:r>
      <w:r w:rsidRPr="00831F12">
        <w:rPr>
          <w:rFonts w:ascii="Times New Roman" w:hAnsi="Times New Roman" w:cs="Times New Roman"/>
          <w:sz w:val="24"/>
          <w:szCs w:val="24"/>
        </w:rPr>
        <w:tab/>
        <w:t xml:space="preserve">International Children's Advisory Network. 2016.  </w:t>
      </w:r>
      <w:hyperlink r:id="rId21" w:history="1">
        <w:r w:rsidRPr="00831F12">
          <w:rPr>
            <w:rStyle w:val="Hyperlink"/>
            <w:rFonts w:ascii="Times New Roman" w:hAnsi="Times New Roman" w:cs="Times New Roman"/>
            <w:color w:val="auto"/>
            <w:sz w:val="24"/>
            <w:szCs w:val="24"/>
            <w:u w:val="none"/>
          </w:rPr>
          <w:t>http://www.icanresearch.org/</w:t>
        </w:r>
      </w:hyperlink>
      <w:r w:rsidRPr="00831F12">
        <w:rPr>
          <w:rFonts w:ascii="Times New Roman" w:hAnsi="Times New Roman" w:cs="Times New Roman"/>
          <w:sz w:val="24"/>
          <w:szCs w:val="24"/>
        </w:rPr>
        <w:t xml:space="preserve">. </w:t>
      </w:r>
    </w:p>
    <w:p w14:paraId="1C5235CD"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19.</w:t>
      </w:r>
      <w:r w:rsidRPr="00831F12">
        <w:rPr>
          <w:rFonts w:ascii="Times New Roman" w:hAnsi="Times New Roman" w:cs="Times New Roman"/>
          <w:sz w:val="24"/>
          <w:szCs w:val="24"/>
        </w:rPr>
        <w:tab/>
        <w:t>Gauda EB. Knowledge Gained from Animal Studies of the Fetus and Newborn: Application to the Human Premature Infant. ILAR J 2006;47:1-4.</w:t>
      </w:r>
    </w:p>
    <w:p w14:paraId="18E6B8F1"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20.</w:t>
      </w:r>
      <w:r w:rsidRPr="00831F12">
        <w:rPr>
          <w:rFonts w:ascii="Times New Roman" w:hAnsi="Times New Roman" w:cs="Times New Roman"/>
          <w:sz w:val="24"/>
          <w:szCs w:val="24"/>
        </w:rPr>
        <w:tab/>
        <w:t>Nathanielsz PW. Animal models that elucidate basic principles of the developmental origins of adult diseases. ILAR J 2006;47:73-82.</w:t>
      </w:r>
    </w:p>
    <w:p w14:paraId="6651A341"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21.</w:t>
      </w:r>
      <w:r w:rsidRPr="00831F12">
        <w:rPr>
          <w:rFonts w:ascii="Times New Roman" w:hAnsi="Times New Roman" w:cs="Times New Roman"/>
          <w:sz w:val="24"/>
          <w:szCs w:val="24"/>
        </w:rPr>
        <w:tab/>
        <w:t>Festing MF. Design and statistical methods in studies using animal models of development. ILAR J2006;47:5-14.</w:t>
      </w:r>
    </w:p>
    <w:p w14:paraId="64F0ED2C"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22.</w:t>
      </w:r>
      <w:r w:rsidRPr="00831F12">
        <w:rPr>
          <w:rFonts w:ascii="Times New Roman" w:hAnsi="Times New Roman" w:cs="Times New Roman"/>
          <w:sz w:val="24"/>
          <w:szCs w:val="24"/>
        </w:rPr>
        <w:tab/>
        <w:t>Inder T, Neil J, Yoder B, Rees S. Patterns of cerebral injury in a primate model of preterm birth and neonatal intensive care. J Child Neurol 2005;20:965-7.</w:t>
      </w:r>
    </w:p>
    <w:p w14:paraId="09C794CB"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23.</w:t>
      </w:r>
      <w:r w:rsidRPr="00831F12">
        <w:rPr>
          <w:rFonts w:ascii="Times New Roman" w:hAnsi="Times New Roman" w:cs="Times New Roman"/>
          <w:sz w:val="24"/>
          <w:szCs w:val="24"/>
        </w:rPr>
        <w:tab/>
        <w:t xml:space="preserve">Bourgeois T, Delezoide AL, Zhao W, et al. Safety study of Ciprofloxacin in newborn mice. </w:t>
      </w:r>
      <w:hyperlink r:id="rId22" w:tooltip="Regulatory toxicology and pharmacology : RTP." w:history="1">
        <w:r w:rsidRPr="00831F12">
          <w:rPr>
            <w:rStyle w:val="Hyperlink"/>
            <w:rFonts w:ascii="Times New Roman" w:hAnsi="Times New Roman" w:cs="Times New Roman"/>
            <w:color w:val="auto"/>
            <w:sz w:val="24"/>
            <w:szCs w:val="24"/>
            <w:u w:val="none"/>
          </w:rPr>
          <w:t>Regul Toxicol Pharmacol.</w:t>
        </w:r>
      </w:hyperlink>
      <w:r w:rsidRPr="00831F12">
        <w:rPr>
          <w:rFonts w:ascii="Times New Roman" w:hAnsi="Times New Roman" w:cs="Times New Roman"/>
          <w:sz w:val="24"/>
          <w:szCs w:val="24"/>
        </w:rPr>
        <w:t xml:space="preserve"> 2016;74:161-9.</w:t>
      </w:r>
    </w:p>
    <w:p w14:paraId="48A3E120"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lastRenderedPageBreak/>
        <w:t>24.</w:t>
      </w:r>
      <w:r w:rsidRPr="00831F12">
        <w:rPr>
          <w:rFonts w:ascii="Times New Roman" w:hAnsi="Times New Roman" w:cs="Times New Roman"/>
          <w:sz w:val="24"/>
          <w:szCs w:val="24"/>
        </w:rPr>
        <w:tab/>
        <w:t>Dunne J, Rodriguez WJ, Murphy MD, et al. Extrapolation of adult data and other data in pediatric drug-development programs. Pediatrics 2011;128:e1242-9.</w:t>
      </w:r>
    </w:p>
    <w:p w14:paraId="52005700"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25.</w:t>
      </w:r>
      <w:r w:rsidRPr="00831F12">
        <w:rPr>
          <w:rFonts w:ascii="Times New Roman" w:hAnsi="Times New Roman" w:cs="Times New Roman"/>
          <w:sz w:val="24"/>
          <w:szCs w:val="24"/>
        </w:rPr>
        <w:tab/>
        <w:t xml:space="preserve">Concept paper on extrapolation of efficacy and safety in medicine development. 2012. </w:t>
      </w:r>
      <w:hyperlink r:id="rId23" w:history="1">
        <w:r w:rsidRPr="00831F12">
          <w:rPr>
            <w:rStyle w:val="Hyperlink"/>
            <w:rFonts w:ascii="Times New Roman" w:hAnsi="Times New Roman" w:cs="Times New Roman"/>
            <w:color w:val="auto"/>
            <w:sz w:val="24"/>
            <w:szCs w:val="24"/>
            <w:u w:val="none"/>
          </w:rPr>
          <w:t>http://www.ema.europa.eu/docs/en_GB/document_library/Scientific_guideline/2013/04/WC500142358.pdf</w:t>
        </w:r>
      </w:hyperlink>
      <w:r w:rsidRPr="00831F12">
        <w:rPr>
          <w:rFonts w:ascii="Times New Roman" w:hAnsi="Times New Roman" w:cs="Times New Roman"/>
          <w:sz w:val="24"/>
          <w:szCs w:val="24"/>
        </w:rPr>
        <w:t xml:space="preserve">. </w:t>
      </w:r>
    </w:p>
    <w:p w14:paraId="721674B0"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26.</w:t>
      </w:r>
      <w:r w:rsidRPr="00831F12">
        <w:rPr>
          <w:rFonts w:ascii="Times New Roman" w:hAnsi="Times New Roman" w:cs="Times New Roman"/>
          <w:sz w:val="24"/>
          <w:szCs w:val="24"/>
        </w:rPr>
        <w:tab/>
        <w:t>Roth-Cline M, Nelson RM. Ethical Considerations in Conducting Pediatric and Neonatal Research in Clinical Pharmacology. Curr Pharmaceut Design 2015;21:5619-35.</w:t>
      </w:r>
    </w:p>
    <w:p w14:paraId="62876E09"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27.</w:t>
      </w:r>
      <w:r w:rsidRPr="00831F12">
        <w:rPr>
          <w:rFonts w:ascii="Times New Roman" w:hAnsi="Times New Roman" w:cs="Times New Roman"/>
          <w:sz w:val="24"/>
          <w:szCs w:val="24"/>
        </w:rPr>
        <w:tab/>
        <w:t>Kauffman R, Kearns G. Pharmacokinetic studies in paediatric patients. Clinical and ethical considerations. Clin Pharmacokinet 1992;23:1-9.</w:t>
      </w:r>
    </w:p>
    <w:p w14:paraId="009530E8"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28.</w:t>
      </w:r>
      <w:r w:rsidRPr="00831F12">
        <w:rPr>
          <w:rFonts w:ascii="Times New Roman" w:hAnsi="Times New Roman" w:cs="Times New Roman"/>
          <w:sz w:val="24"/>
          <w:szCs w:val="24"/>
        </w:rPr>
        <w:tab/>
        <w:t>Kearns GL. Impact of developmental pharmacology on pediatric study design: overcoming the challenges. J Allergy Clin Immunol 2000;106(3 Suppl):S128-38.</w:t>
      </w:r>
    </w:p>
    <w:p w14:paraId="7681DB64"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29.</w:t>
      </w:r>
      <w:r w:rsidRPr="00831F12">
        <w:rPr>
          <w:rFonts w:ascii="Times New Roman" w:hAnsi="Times New Roman" w:cs="Times New Roman"/>
          <w:sz w:val="24"/>
          <w:szCs w:val="24"/>
        </w:rPr>
        <w:tab/>
        <w:t>Ward RM, Tammara B, Sullivan SE, et al. Single-dose, multiple-dose, and population pharmacokinetics of pantoprazole in neonates and preterm infants with a clinical diagnosis of gastroesophageal reflux disease (GERD). Eur J Clin Pharmacol  2010;66:555-61.</w:t>
      </w:r>
    </w:p>
    <w:p w14:paraId="6ECA847C"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30.</w:t>
      </w:r>
      <w:r w:rsidRPr="00831F12">
        <w:rPr>
          <w:rFonts w:ascii="Times New Roman" w:hAnsi="Times New Roman" w:cs="Times New Roman"/>
          <w:sz w:val="24"/>
          <w:szCs w:val="24"/>
        </w:rPr>
        <w:tab/>
        <w:t>Anderson BJ, Woollard GA, Holford NH. A model for size and age changes in the pharmacokinetics of paracetamol in neonates, infants and children. Br J Clin Pharmacol 2000;50:125-34.</w:t>
      </w:r>
    </w:p>
    <w:p w14:paraId="6A4989D9"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31.</w:t>
      </w:r>
      <w:r w:rsidRPr="00831F12">
        <w:rPr>
          <w:rFonts w:ascii="Times New Roman" w:hAnsi="Times New Roman" w:cs="Times New Roman"/>
          <w:sz w:val="24"/>
          <w:szCs w:val="24"/>
        </w:rPr>
        <w:tab/>
        <w:t>Friis-Hansen B. Body composition during growth. In vivo measurements and biochemical data correlated to differential anatomical growth. Pediatrics 1971;47:Suppl 2:264-74.</w:t>
      </w:r>
    </w:p>
    <w:p w14:paraId="223A2CF7"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lastRenderedPageBreak/>
        <w:t>32.</w:t>
      </w:r>
      <w:r w:rsidRPr="00831F12">
        <w:rPr>
          <w:rFonts w:ascii="Times New Roman" w:hAnsi="Times New Roman" w:cs="Times New Roman"/>
          <w:sz w:val="24"/>
          <w:szCs w:val="24"/>
        </w:rPr>
        <w:tab/>
        <w:t>Kearns GL, Abdel-Rahman SM, Alander SW, Blowey DL, Leeder JS, Kauffman RE. Developmental pharmacology--drug disposition, action, and therapy in infants and children. N Engl J Med 2003;349:1157-67.</w:t>
      </w:r>
    </w:p>
    <w:p w14:paraId="2CDBBF1F"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33.</w:t>
      </w:r>
      <w:r w:rsidRPr="00831F12">
        <w:rPr>
          <w:rFonts w:ascii="Times New Roman" w:hAnsi="Times New Roman" w:cs="Times New Roman"/>
          <w:sz w:val="24"/>
          <w:szCs w:val="24"/>
        </w:rPr>
        <w:tab/>
        <w:t>McNamara PJ, Alcorn J. Protein binding predictions in infants. AAPS Pharm Sci 2002;4:E4.</w:t>
      </w:r>
    </w:p>
    <w:p w14:paraId="053FD55E"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34.</w:t>
      </w:r>
      <w:r w:rsidRPr="00831F12">
        <w:rPr>
          <w:rFonts w:ascii="Times New Roman" w:hAnsi="Times New Roman" w:cs="Times New Roman"/>
          <w:sz w:val="24"/>
          <w:szCs w:val="24"/>
        </w:rPr>
        <w:tab/>
        <w:t>Brodersen R, Honore B. Drug binding properties of neonatal albumin. Acta Paediatr Scand 1989;78:342-6.</w:t>
      </w:r>
    </w:p>
    <w:p w14:paraId="7CE92719"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35.</w:t>
      </w:r>
      <w:r w:rsidRPr="00831F12">
        <w:rPr>
          <w:rFonts w:ascii="Times New Roman" w:hAnsi="Times New Roman" w:cs="Times New Roman"/>
          <w:sz w:val="24"/>
          <w:szCs w:val="24"/>
        </w:rPr>
        <w:tab/>
        <w:t>Odell GB. The distribution and toxicity of bilirubin. E. Mead Johnson address 1969. Pediatrics 1970;46:16-24.</w:t>
      </w:r>
    </w:p>
    <w:p w14:paraId="178DF3E1"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36.</w:t>
      </w:r>
      <w:r w:rsidRPr="00831F12">
        <w:rPr>
          <w:rFonts w:ascii="Times New Roman" w:hAnsi="Times New Roman" w:cs="Times New Roman"/>
          <w:sz w:val="24"/>
          <w:szCs w:val="24"/>
        </w:rPr>
        <w:tab/>
        <w:t>Wennberg RP, Ahlfors CE, Rasmussen LF. The pathochemistry of kernicterus. Early Hum Dev 1979;3:353-72.</w:t>
      </w:r>
    </w:p>
    <w:p w14:paraId="3BD1B3B7"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37.</w:t>
      </w:r>
      <w:r w:rsidRPr="00831F12">
        <w:rPr>
          <w:rFonts w:ascii="Times New Roman" w:hAnsi="Times New Roman" w:cs="Times New Roman"/>
          <w:sz w:val="24"/>
          <w:szCs w:val="24"/>
        </w:rPr>
        <w:tab/>
        <w:t>Robertson A, Karp W, Brodersen R. Bilirubin Displacing Effect of Drugs Used in Neonatology. Acta Paediatr Scand 1991;80:1119-27.</w:t>
      </w:r>
    </w:p>
    <w:p w14:paraId="76E83710"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38.</w:t>
      </w:r>
      <w:r w:rsidRPr="00831F12">
        <w:rPr>
          <w:rFonts w:ascii="Times New Roman" w:hAnsi="Times New Roman" w:cs="Times New Roman"/>
          <w:sz w:val="24"/>
          <w:szCs w:val="24"/>
        </w:rPr>
        <w:tab/>
        <w:t>Fink S, Karp W, Robertson A. Ceftriaxone effect on bilirubin-albumin binding. Pediatrics 1987;80:873-5.</w:t>
      </w:r>
    </w:p>
    <w:p w14:paraId="45955ADF"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39.</w:t>
      </w:r>
      <w:r w:rsidRPr="00831F12">
        <w:rPr>
          <w:rFonts w:ascii="Times New Roman" w:hAnsi="Times New Roman" w:cs="Times New Roman"/>
          <w:sz w:val="24"/>
          <w:szCs w:val="24"/>
        </w:rPr>
        <w:tab/>
        <w:t>Aperia A, Broberger O, Elinder G, Herin P, Zetterstrom R. Postnatal development of renal function in pre-term and full-term infants. Acta Paediatr Scand 1981;70:183-7.</w:t>
      </w:r>
    </w:p>
    <w:p w14:paraId="0DCBF2CF"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40.</w:t>
      </w:r>
      <w:r w:rsidRPr="00831F12">
        <w:rPr>
          <w:rFonts w:ascii="Times New Roman" w:hAnsi="Times New Roman" w:cs="Times New Roman"/>
          <w:sz w:val="24"/>
          <w:szCs w:val="24"/>
        </w:rPr>
        <w:tab/>
        <w:t>Rhodin MM, Anderson BJ, Peters AM, et al. Human renal function maturation: a quantitative description using weight and postmenstrual age. Pediatr Nephrol (Berlin, Ger) 2009;24:67-76.</w:t>
      </w:r>
    </w:p>
    <w:p w14:paraId="642EA1D9"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lastRenderedPageBreak/>
        <w:t>41.</w:t>
      </w:r>
      <w:r w:rsidRPr="00831F12">
        <w:rPr>
          <w:rFonts w:ascii="Times New Roman" w:hAnsi="Times New Roman" w:cs="Times New Roman"/>
          <w:sz w:val="24"/>
          <w:szCs w:val="24"/>
        </w:rPr>
        <w:tab/>
        <w:t>Rodriguez W, Selen A, Avant D, et al. Improving pediatric dosing through pediatric initiatives: what we have learned. Pediatrics 2008;121:530-9.</w:t>
      </w:r>
    </w:p>
    <w:p w14:paraId="6C03F9F1"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42.</w:t>
      </w:r>
      <w:r w:rsidRPr="00831F12">
        <w:rPr>
          <w:rFonts w:ascii="Times New Roman" w:hAnsi="Times New Roman" w:cs="Times New Roman"/>
          <w:sz w:val="24"/>
          <w:szCs w:val="24"/>
        </w:rPr>
        <w:tab/>
        <w:t>Anderson BJ, Holford NH. Mechanistic basis of using body size and maturation to predict clearance in humans. Drug Metab Pharmacokinet 2009;24:25-36.</w:t>
      </w:r>
    </w:p>
    <w:p w14:paraId="6F9872E8"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43.</w:t>
      </w:r>
      <w:r w:rsidRPr="00831F12">
        <w:rPr>
          <w:rFonts w:ascii="Times New Roman" w:hAnsi="Times New Roman" w:cs="Times New Roman"/>
          <w:sz w:val="24"/>
          <w:szCs w:val="24"/>
        </w:rPr>
        <w:tab/>
        <w:t>Blake MJ, Castro L, Leeder JS, Kearns GL. Ontogeny of drug metabolizing enzymes in the neonate. Semin Fet Neonat Med 2005;10:123-38.</w:t>
      </w:r>
    </w:p>
    <w:p w14:paraId="467D1EE6"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44.</w:t>
      </w:r>
      <w:r w:rsidRPr="00831F12">
        <w:rPr>
          <w:rFonts w:ascii="Times New Roman" w:hAnsi="Times New Roman" w:cs="Times New Roman"/>
          <w:sz w:val="24"/>
          <w:szCs w:val="24"/>
        </w:rPr>
        <w:tab/>
        <w:t>Cohen-Wolkowiez M, Watt KM, Hornik CP, Benjamin DK, Jr., Smith PB. Pharmacokinetics and tolerability of single-dose daptomycin in young infants. Pediatr Infect Dis J 2012;31:935-7.</w:t>
      </w:r>
    </w:p>
    <w:p w14:paraId="491737B1"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45.</w:t>
      </w:r>
      <w:r w:rsidRPr="00831F12">
        <w:rPr>
          <w:rFonts w:ascii="Times New Roman" w:hAnsi="Times New Roman" w:cs="Times New Roman"/>
          <w:sz w:val="24"/>
          <w:szCs w:val="24"/>
        </w:rPr>
        <w:tab/>
        <w:t>Yanni SB, Smith PB, Benjamin DK, Jr., Augustijns PF, Thakker DR, Annaert PP. Higher clearance of micafungin in neonates compared with adults: role of age-dependent micafungin serum binding. Biopharm Drug Dispos 2011;32:222-32.</w:t>
      </w:r>
    </w:p>
    <w:p w14:paraId="1AC06ED9"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46.</w:t>
      </w:r>
      <w:r w:rsidRPr="00831F12">
        <w:rPr>
          <w:rFonts w:ascii="Times New Roman" w:hAnsi="Times New Roman" w:cs="Times New Roman"/>
          <w:sz w:val="24"/>
          <w:szCs w:val="24"/>
        </w:rPr>
        <w:tab/>
        <w:t>Amur S, Frueh FW, Lesko LJ, Huang SM. Integration and use of biomarkers in drug development, regulation and clinical practice: a US regulatory perspective. Biomarkers  Med 2008;2:305-11.</w:t>
      </w:r>
    </w:p>
    <w:p w14:paraId="636943BC"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47.</w:t>
      </w:r>
      <w:r w:rsidRPr="00831F12">
        <w:rPr>
          <w:rFonts w:ascii="Times New Roman" w:hAnsi="Times New Roman" w:cs="Times New Roman"/>
          <w:sz w:val="24"/>
          <w:szCs w:val="24"/>
        </w:rPr>
        <w:tab/>
        <w:t>Bai JP, Barrett JS, Burckart GJ, Meibohm B, Sachs HC, Yao L. Strategic biomarkers for drug development in treating rare diseases and diseases in neonates and infants. The AAPS J 2013;15:447-54.</w:t>
      </w:r>
    </w:p>
    <w:p w14:paraId="58587962"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48.</w:t>
      </w:r>
      <w:r w:rsidRPr="00831F12">
        <w:rPr>
          <w:rFonts w:ascii="Times New Roman" w:hAnsi="Times New Roman" w:cs="Times New Roman"/>
          <w:sz w:val="24"/>
          <w:szCs w:val="24"/>
        </w:rPr>
        <w:tab/>
        <w:t>Leeder JS. Translating pharmacogenetics and pharmacogenomics into drug development for clinical pediatrics and beyond. Drug Discov Today 2004;9:567-73.</w:t>
      </w:r>
    </w:p>
    <w:p w14:paraId="553588A1"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lastRenderedPageBreak/>
        <w:t>49.</w:t>
      </w:r>
      <w:r w:rsidRPr="00831F12">
        <w:rPr>
          <w:rFonts w:ascii="Times New Roman" w:hAnsi="Times New Roman" w:cs="Times New Roman"/>
          <w:sz w:val="24"/>
          <w:szCs w:val="24"/>
        </w:rPr>
        <w:tab/>
        <w:t>Leeder JS, Kearns GL, Spielberg SP, van den Anker J. Understanding the relative roles of pharmacogenetics and ontogeny in pediatric drug development and regulatory science. J Clin Pharmacol 2010;50:1377-87.</w:t>
      </w:r>
    </w:p>
    <w:p w14:paraId="01C77523"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50.</w:t>
      </w:r>
      <w:r w:rsidRPr="00831F12">
        <w:rPr>
          <w:rFonts w:ascii="Times New Roman" w:hAnsi="Times New Roman" w:cs="Times New Roman"/>
          <w:sz w:val="24"/>
          <w:szCs w:val="24"/>
        </w:rPr>
        <w:tab/>
        <w:t>Koukouritaki SB, Manro JR, Marsh SA, et al. Developmental expression of human hepatic CYP2C9 and CYP2C19. J Pharmacol Exp Ther 2004;308:965-74.</w:t>
      </w:r>
    </w:p>
    <w:p w14:paraId="5BE581BA"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51.</w:t>
      </w:r>
      <w:r w:rsidRPr="00831F12">
        <w:rPr>
          <w:rFonts w:ascii="Times New Roman" w:hAnsi="Times New Roman" w:cs="Times New Roman"/>
          <w:sz w:val="24"/>
          <w:szCs w:val="24"/>
        </w:rPr>
        <w:tab/>
        <w:t>Leeder JS. Developmental pharmacogenetics: a general paradigm for application to neonatal pharmacology and toxicology. Clin Pharmacol Ther 2009;86:678-82.</w:t>
      </w:r>
    </w:p>
    <w:p w14:paraId="0EAE9764"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52.</w:t>
      </w:r>
      <w:r w:rsidRPr="00831F12">
        <w:rPr>
          <w:rFonts w:ascii="Times New Roman" w:hAnsi="Times New Roman" w:cs="Times New Roman"/>
          <w:sz w:val="24"/>
          <w:szCs w:val="24"/>
        </w:rPr>
        <w:tab/>
        <w:t>Guideline on key aspects for the use of pharmacogenomic methodologies in the pharmacovigilance evaluation of  medicinal products. 2014.</w:t>
      </w:r>
    </w:p>
    <w:p w14:paraId="5AF28123"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 xml:space="preserve"> </w:t>
      </w:r>
      <w:hyperlink r:id="rId24" w:history="1">
        <w:r w:rsidRPr="00831F12">
          <w:rPr>
            <w:rStyle w:val="Hyperlink"/>
            <w:rFonts w:ascii="Times New Roman" w:hAnsi="Times New Roman" w:cs="Times New Roman"/>
            <w:color w:val="auto"/>
            <w:sz w:val="24"/>
            <w:szCs w:val="24"/>
            <w:u w:val="none"/>
          </w:rPr>
          <w:t>http://www.ema.europa.eu/docs/en_GB/document_library/Scientific_guideline/2014/01/WC500160232.pdf</w:t>
        </w:r>
      </w:hyperlink>
      <w:r w:rsidRPr="00831F12">
        <w:rPr>
          <w:rFonts w:ascii="Times New Roman" w:hAnsi="Times New Roman" w:cs="Times New Roman"/>
          <w:sz w:val="24"/>
          <w:szCs w:val="24"/>
        </w:rPr>
        <w:t xml:space="preserve">. </w:t>
      </w:r>
    </w:p>
    <w:p w14:paraId="24510331"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53.</w:t>
      </w:r>
      <w:r w:rsidRPr="00831F12">
        <w:rPr>
          <w:rFonts w:ascii="Times New Roman" w:hAnsi="Times New Roman" w:cs="Times New Roman"/>
          <w:sz w:val="24"/>
          <w:szCs w:val="24"/>
        </w:rPr>
        <w:tab/>
        <w:t xml:space="preserve">European Medicines Agency: Paediatric investigation plans. 2015. </w:t>
      </w:r>
      <w:hyperlink r:id="rId25" w:history="1">
        <w:r w:rsidRPr="00831F12">
          <w:rPr>
            <w:rStyle w:val="Hyperlink"/>
            <w:rFonts w:ascii="Times New Roman" w:hAnsi="Times New Roman" w:cs="Times New Roman"/>
            <w:color w:val="auto"/>
            <w:sz w:val="24"/>
            <w:szCs w:val="24"/>
            <w:u w:val="none"/>
          </w:rPr>
          <w:t>http://www.ema.europa.eu/ema/index.jsp?curl=pages/regulation/general/general_content_000608.jsp&amp;mid=WC0b01ac0580925b1b</w:t>
        </w:r>
      </w:hyperlink>
      <w:r w:rsidRPr="00831F12">
        <w:rPr>
          <w:rFonts w:ascii="Times New Roman" w:hAnsi="Times New Roman" w:cs="Times New Roman"/>
          <w:sz w:val="24"/>
          <w:szCs w:val="24"/>
        </w:rPr>
        <w:t xml:space="preserve">. </w:t>
      </w:r>
    </w:p>
    <w:p w14:paraId="52F442B8" w14:textId="77777777" w:rsidR="00167E61" w:rsidRPr="00831F12" w:rsidRDefault="00167E61" w:rsidP="00167E61">
      <w:pPr>
        <w:pStyle w:val="NormalWeb"/>
        <w:tabs>
          <w:tab w:val="left" w:pos="9000"/>
        </w:tabs>
        <w:spacing w:before="0" w:beforeAutospacing="0" w:after="240" w:afterAutospacing="0" w:line="480" w:lineRule="auto"/>
        <w:ind w:left="446" w:right="198" w:hanging="432"/>
        <w:rPr>
          <w:rFonts w:eastAsiaTheme="minorHAnsi"/>
          <w:noProof/>
        </w:rPr>
      </w:pPr>
      <w:r w:rsidRPr="00831F12">
        <w:rPr>
          <w:rFonts w:eastAsiaTheme="minorHAnsi"/>
          <w:noProof/>
        </w:rPr>
        <w:t xml:space="preserve">54. Food and Drugs Administration: Pediatric Study Plans: Content of and Process for  Submitting Initial Pediatric  Study Plans and Amended  Initial Pediatric Study Plans Guidance for Industry. 2016.  http://www.fda.gov/downloads/drugs/guidancecomplianceregulatoryinformation/guidances/ucm360507.pdf. </w:t>
      </w:r>
    </w:p>
    <w:p w14:paraId="7FB07777"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lastRenderedPageBreak/>
        <w:t>55.</w:t>
      </w:r>
      <w:r w:rsidRPr="00831F12">
        <w:rPr>
          <w:rFonts w:ascii="Times New Roman" w:hAnsi="Times New Roman" w:cs="Times New Roman"/>
          <w:sz w:val="24"/>
          <w:szCs w:val="24"/>
        </w:rPr>
        <w:tab/>
        <w:t>Wade KC, Wu D, Kaufman DA, et al. Population pharmacokinetics of fluconazole in young infants. Antimicrob Agents Chemother 2008;52:4043-9.</w:t>
      </w:r>
    </w:p>
    <w:p w14:paraId="2FE3FC47"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56.</w:t>
      </w:r>
      <w:r w:rsidRPr="00831F12">
        <w:rPr>
          <w:rFonts w:ascii="Times New Roman" w:hAnsi="Times New Roman" w:cs="Times New Roman"/>
          <w:sz w:val="24"/>
          <w:szCs w:val="24"/>
        </w:rPr>
        <w:tab/>
        <w:t>Ascher SB, Smith PB, Watt K, et al. Antifungal therapy and outcomes in infants with invasive Candida infections. Pediatr Infect Dis J 2012;31:439-43.</w:t>
      </w:r>
    </w:p>
    <w:p w14:paraId="585206EF"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57.</w:t>
      </w:r>
      <w:r w:rsidRPr="00831F12">
        <w:rPr>
          <w:rFonts w:ascii="Times New Roman" w:hAnsi="Times New Roman" w:cs="Times New Roman"/>
          <w:sz w:val="24"/>
          <w:szCs w:val="24"/>
        </w:rPr>
        <w:tab/>
        <w:t>Benjamin DK, Jr., Hudak ML, Duara S, et al. Effect of fluconazole prophylaxis on candidiasis and mortality in premature infants: a randomized clinical trial. JAMA 2014;311:1742-9.</w:t>
      </w:r>
    </w:p>
    <w:p w14:paraId="5DE0E22D"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58.</w:t>
      </w:r>
      <w:r w:rsidRPr="00831F12">
        <w:rPr>
          <w:rFonts w:ascii="Times New Roman" w:hAnsi="Times New Roman" w:cs="Times New Roman"/>
          <w:sz w:val="24"/>
          <w:szCs w:val="24"/>
        </w:rPr>
        <w:tab/>
        <w:t>Smith PB, Cohen-Wolkowiez M, Castro LM, et al. Population pharmacokinetics of meropenem in plasma and cerebrospinal fluid of infants with suspected or complicated intra-abdominal infections. Pediatr Infect Dis J 2011;30:844-9.</w:t>
      </w:r>
    </w:p>
    <w:p w14:paraId="1751D302"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59.</w:t>
      </w:r>
      <w:r w:rsidRPr="00831F12">
        <w:rPr>
          <w:rFonts w:ascii="Times New Roman" w:hAnsi="Times New Roman" w:cs="Times New Roman"/>
          <w:sz w:val="24"/>
          <w:szCs w:val="24"/>
        </w:rPr>
        <w:tab/>
        <w:t>Howie SR. Blood sample volumes in child health research: review of safe limits. Bull World Health Organ 2011;89:46-53.</w:t>
      </w:r>
    </w:p>
    <w:p w14:paraId="3918B477"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60.</w:t>
      </w:r>
      <w:r w:rsidRPr="00831F12">
        <w:rPr>
          <w:rFonts w:ascii="Times New Roman" w:hAnsi="Times New Roman" w:cs="Times New Roman"/>
          <w:sz w:val="24"/>
          <w:szCs w:val="24"/>
        </w:rPr>
        <w:tab/>
        <w:t>Leroux S, Turner MA, Guellec CB, et al. Pharmacokinetic Studies in Neonates: The Utility of an Opportunistic Sampling Design. Clin Pharmacokinet 2015;54:1273-85</w:t>
      </w:r>
    </w:p>
    <w:p w14:paraId="03D010AD"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61.</w:t>
      </w:r>
      <w:r w:rsidRPr="00831F12">
        <w:rPr>
          <w:rFonts w:ascii="Times New Roman" w:hAnsi="Times New Roman" w:cs="Times New Roman"/>
          <w:sz w:val="24"/>
          <w:szCs w:val="24"/>
        </w:rPr>
        <w:tab/>
        <w:t>Benjamin DK, Jr., Smith PB, Jadhav P, et al. Pediatric antihypertensive trial failures: analysis of end points and dose range. Hypertension 2008;51:834-40.</w:t>
      </w:r>
    </w:p>
    <w:p w14:paraId="601C6F59" w14:textId="77777777" w:rsidR="00167E61" w:rsidRPr="00831F12" w:rsidRDefault="00167E61" w:rsidP="00167E61">
      <w:pPr>
        <w:pStyle w:val="EndNoteBibliography"/>
        <w:tabs>
          <w:tab w:val="left" w:pos="9000"/>
        </w:tabs>
        <w:spacing w:after="240" w:line="480" w:lineRule="auto"/>
        <w:ind w:left="446" w:right="202" w:hanging="432"/>
        <w:rPr>
          <w:rFonts w:ascii="Times New Roman" w:hAnsi="Times New Roman" w:cs="Times New Roman"/>
          <w:sz w:val="24"/>
          <w:szCs w:val="24"/>
        </w:rPr>
      </w:pPr>
      <w:r w:rsidRPr="00831F12">
        <w:rPr>
          <w:rFonts w:ascii="Times New Roman" w:hAnsi="Times New Roman" w:cs="Times New Roman"/>
          <w:sz w:val="24"/>
          <w:szCs w:val="24"/>
        </w:rPr>
        <w:t>62.</w:t>
      </w:r>
      <w:r w:rsidRPr="00831F12">
        <w:rPr>
          <w:rFonts w:ascii="Times New Roman" w:hAnsi="Times New Roman" w:cs="Times New Roman"/>
          <w:sz w:val="24"/>
          <w:szCs w:val="24"/>
        </w:rPr>
        <w:tab/>
        <w:t xml:space="preserve">Guideline on pharmaceutical development of medicines for paediatric use. 2013.  </w:t>
      </w:r>
      <w:hyperlink r:id="rId26" w:history="1">
        <w:r w:rsidRPr="00831F12">
          <w:rPr>
            <w:rStyle w:val="Hyperlink"/>
            <w:rFonts w:ascii="Times New Roman" w:hAnsi="Times New Roman" w:cs="Times New Roman"/>
            <w:color w:val="auto"/>
            <w:sz w:val="24"/>
            <w:szCs w:val="24"/>
            <w:u w:val="none"/>
          </w:rPr>
          <w:t>http://www.ema.europa.eu/docs/en_GB/document_library/Scientific_guideline/2013/07/WC500147002.pdf</w:t>
        </w:r>
      </w:hyperlink>
      <w:r w:rsidRPr="00831F12">
        <w:rPr>
          <w:rFonts w:ascii="Times New Roman" w:hAnsi="Times New Roman" w:cs="Times New Roman"/>
          <w:sz w:val="24"/>
          <w:szCs w:val="24"/>
        </w:rPr>
        <w:t xml:space="preserve">. </w:t>
      </w:r>
    </w:p>
    <w:p w14:paraId="3DE89382" w14:textId="77777777" w:rsidR="00167E61" w:rsidRPr="00831F12" w:rsidRDefault="00167E61" w:rsidP="00167E61">
      <w:pPr>
        <w:pStyle w:val="EndNoteBibliography"/>
        <w:tabs>
          <w:tab w:val="left" w:pos="9000"/>
        </w:tabs>
        <w:spacing w:after="240" w:line="480" w:lineRule="auto"/>
        <w:ind w:left="446" w:right="202" w:hanging="432"/>
        <w:rPr>
          <w:rFonts w:ascii="Times New Roman" w:hAnsi="Times New Roman" w:cs="Times New Roman"/>
          <w:sz w:val="24"/>
          <w:szCs w:val="24"/>
        </w:rPr>
      </w:pPr>
      <w:r w:rsidRPr="00831F12">
        <w:rPr>
          <w:rFonts w:ascii="Times New Roman" w:hAnsi="Times New Roman" w:cs="Times New Roman"/>
          <w:sz w:val="24"/>
          <w:szCs w:val="24"/>
        </w:rPr>
        <w:t>63.</w:t>
      </w:r>
      <w:r w:rsidRPr="00831F12">
        <w:rPr>
          <w:rFonts w:ascii="Times New Roman" w:hAnsi="Times New Roman" w:cs="Times New Roman"/>
          <w:sz w:val="24"/>
          <w:szCs w:val="24"/>
        </w:rPr>
        <w:tab/>
        <w:t>Gershanik J, Boecler B, Ensley H, McCloskey S, George W. The gasping syndrome and benzyl alcohol poisoning. N Engl J Med 1982;307:1384-8.</w:t>
      </w:r>
    </w:p>
    <w:p w14:paraId="1E6FA477"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lastRenderedPageBreak/>
        <w:t>64.</w:t>
      </w:r>
      <w:r w:rsidRPr="00831F12">
        <w:rPr>
          <w:rFonts w:ascii="Times New Roman" w:hAnsi="Times New Roman" w:cs="Times New Roman"/>
          <w:sz w:val="24"/>
          <w:szCs w:val="24"/>
        </w:rPr>
        <w:tab/>
        <w:t xml:space="preserve">Excipients labelling EMA. 2016. </w:t>
      </w:r>
      <w:hyperlink r:id="rId27" w:history="1">
        <w:r w:rsidRPr="00831F12">
          <w:rPr>
            <w:rStyle w:val="Hyperlink"/>
            <w:rFonts w:ascii="Times New Roman" w:hAnsi="Times New Roman" w:cs="Times New Roman"/>
            <w:color w:val="auto"/>
            <w:sz w:val="24"/>
            <w:szCs w:val="24"/>
            <w:u w:val="none"/>
          </w:rPr>
          <w:t>http://www.ema.europa.eu/ema/index.jsp?curl=pages/regulation/document_listing/document_listing_000387.jsp&amp;mid=WC0b01ac05808c01f6</w:t>
        </w:r>
      </w:hyperlink>
      <w:r w:rsidRPr="00831F12">
        <w:rPr>
          <w:rFonts w:ascii="Times New Roman" w:hAnsi="Times New Roman" w:cs="Times New Roman"/>
          <w:sz w:val="24"/>
          <w:szCs w:val="24"/>
        </w:rPr>
        <w:t xml:space="preserve">. </w:t>
      </w:r>
    </w:p>
    <w:p w14:paraId="3C053296"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65.</w:t>
      </w:r>
      <w:r w:rsidRPr="00831F12">
        <w:rPr>
          <w:rFonts w:ascii="Times New Roman" w:hAnsi="Times New Roman" w:cs="Times New Roman"/>
          <w:sz w:val="24"/>
          <w:szCs w:val="24"/>
        </w:rPr>
        <w:tab/>
        <w:t>Salunke S, Brandys B, Giacoia G, Tuleu C. The STEP (Safety and Toxicity of Excipients for Paediatrics) database: part 2 - the pilot version. Internat J Pharmaceut. 2013;457:310-22.</w:t>
      </w:r>
    </w:p>
    <w:p w14:paraId="2E7277AA"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66.</w:t>
      </w:r>
      <w:r w:rsidRPr="00831F12">
        <w:rPr>
          <w:rFonts w:ascii="Times New Roman" w:hAnsi="Times New Roman" w:cs="Times New Roman"/>
          <w:sz w:val="24"/>
          <w:szCs w:val="24"/>
        </w:rPr>
        <w:tab/>
        <w:t>Turner MA, Shah U. Why are Excipients Important to Neonates? Cur Pharmaceut Design. 2015;21:5680-7.</w:t>
      </w:r>
    </w:p>
    <w:p w14:paraId="7865800F"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67.</w:t>
      </w:r>
      <w:r w:rsidRPr="00831F12">
        <w:rPr>
          <w:rFonts w:ascii="Times New Roman" w:hAnsi="Times New Roman" w:cs="Times New Roman"/>
          <w:sz w:val="24"/>
          <w:szCs w:val="24"/>
        </w:rPr>
        <w:tab/>
        <w:t>Sherwin CM, Medlicott NJ, Reith DM, Broadbent RS. Intravenous drug delivery in neonates: lessons learnt. Arch Dis Child 2014;99:590-4.</w:t>
      </w:r>
    </w:p>
    <w:p w14:paraId="68EEAE57"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68.</w:t>
      </w:r>
      <w:r w:rsidRPr="00831F12">
        <w:rPr>
          <w:rFonts w:ascii="Times New Roman" w:hAnsi="Times New Roman" w:cs="Times New Roman"/>
          <w:sz w:val="24"/>
          <w:szCs w:val="24"/>
        </w:rPr>
        <w:tab/>
        <w:t xml:space="preserve">Hawcutt DB, Rose AC, Fuerst-Recktenwald  S, Nunn T, Turner MA. Points to consider when planning the collection of blood or tissue samples in clinical trials of investigational medicinal products in children, infants and neonates. In: Rose K, van den Anker JN, eds. </w:t>
      </w:r>
      <w:r w:rsidRPr="00831F12">
        <w:rPr>
          <w:rFonts w:ascii="Times New Roman" w:hAnsi="Times New Roman" w:cs="Times New Roman"/>
          <w:i/>
          <w:sz w:val="24"/>
          <w:szCs w:val="24"/>
        </w:rPr>
        <w:t>Guide to Paediatric Drug Development and Clinical Research</w:t>
      </w:r>
      <w:r w:rsidRPr="00831F12">
        <w:rPr>
          <w:rFonts w:ascii="Times New Roman" w:hAnsi="Times New Roman" w:cs="Times New Roman"/>
          <w:sz w:val="24"/>
          <w:szCs w:val="24"/>
        </w:rPr>
        <w:t xml:space="preserve">. Basel: Karger; 2009:99-110 </w:t>
      </w:r>
    </w:p>
    <w:p w14:paraId="27A33937"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69.</w:t>
      </w:r>
      <w:r w:rsidRPr="00831F12">
        <w:rPr>
          <w:rFonts w:ascii="Times New Roman" w:hAnsi="Times New Roman" w:cs="Times New Roman"/>
          <w:sz w:val="24"/>
          <w:szCs w:val="24"/>
        </w:rPr>
        <w:tab/>
        <w:t xml:space="preserve">Turner MA, Hill H. Pharmacovigilance in Neonatal Intensive Care. In: Mimouni FB, van den Anker JN, eds. </w:t>
      </w:r>
      <w:r w:rsidRPr="00831F12">
        <w:rPr>
          <w:rFonts w:ascii="Times New Roman" w:hAnsi="Times New Roman" w:cs="Times New Roman"/>
          <w:i/>
          <w:sz w:val="24"/>
          <w:szCs w:val="24"/>
        </w:rPr>
        <w:t>Neonatal Pharmacology</w:t>
      </w:r>
      <w:r w:rsidRPr="00831F12">
        <w:rPr>
          <w:rFonts w:ascii="Times New Roman" w:hAnsi="Times New Roman" w:cs="Times New Roman"/>
          <w:sz w:val="24"/>
          <w:szCs w:val="24"/>
        </w:rPr>
        <w:t>. Basel: Karger; 2014:28-40.</w:t>
      </w:r>
    </w:p>
    <w:p w14:paraId="3BD6C541"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70.</w:t>
      </w:r>
      <w:r w:rsidRPr="00831F12">
        <w:rPr>
          <w:rFonts w:ascii="Times New Roman" w:hAnsi="Times New Roman" w:cs="Times New Roman"/>
          <w:sz w:val="24"/>
          <w:szCs w:val="24"/>
        </w:rPr>
        <w:tab/>
        <w:t>Du W, Lehr VT, Lieh-Lai M, et al. An algorithm to detect adverse drug reactions in the neonatal intensive care unit. J Clin Pharmacol 2013;53:87-95.</w:t>
      </w:r>
    </w:p>
    <w:p w14:paraId="395A1306"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lastRenderedPageBreak/>
        <w:t>71.</w:t>
      </w:r>
      <w:r w:rsidRPr="00831F12">
        <w:rPr>
          <w:rFonts w:ascii="Times New Roman" w:hAnsi="Times New Roman" w:cs="Times New Roman"/>
          <w:sz w:val="24"/>
          <w:szCs w:val="24"/>
        </w:rPr>
        <w:tab/>
        <w:t>American Academy of Pediatrics Committee on Drugs. Guidelines for the ethical conduct of studies to evaluate drugs in pediatric populations. Committee on Drugs, Amer Acad Pediatr. Pediatrics. 1995;95:286-94.</w:t>
      </w:r>
    </w:p>
    <w:p w14:paraId="4F98A0CD"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72.</w:t>
      </w:r>
      <w:r w:rsidRPr="00831F12">
        <w:rPr>
          <w:rFonts w:ascii="Times New Roman" w:hAnsi="Times New Roman" w:cs="Times New Roman"/>
          <w:sz w:val="24"/>
          <w:szCs w:val="24"/>
        </w:rPr>
        <w:tab/>
        <w:t>Shaddy RE, Denne SC, Committee on Drugs, Committee on Pediatric Research. Clinical report--guidelines for the ethical conduct of studies to evaluate drugs in pediatric populations. Pediatrics 2010;125:850-60.</w:t>
      </w:r>
    </w:p>
    <w:p w14:paraId="2D5DA739"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73.</w:t>
      </w:r>
      <w:r w:rsidRPr="00831F12">
        <w:rPr>
          <w:rFonts w:ascii="Times New Roman" w:hAnsi="Times New Roman" w:cs="Times New Roman"/>
          <w:sz w:val="24"/>
          <w:szCs w:val="24"/>
        </w:rPr>
        <w:tab/>
        <w:t>Ward RM, Sherwin CM. Ethics of drug studies in the newborn. Paediatr Drugs. 2015;17:37-42.</w:t>
      </w:r>
    </w:p>
    <w:p w14:paraId="7CE50BDF"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74.</w:t>
      </w:r>
      <w:r w:rsidRPr="00831F12">
        <w:rPr>
          <w:rFonts w:ascii="Times New Roman" w:hAnsi="Times New Roman" w:cs="Times New Roman"/>
          <w:sz w:val="24"/>
          <w:szCs w:val="24"/>
        </w:rPr>
        <w:tab/>
        <w:t>Kipnis K. Seven vulnerabilities in the pediatric research subject. Theoret Med Bioethics 2003;24:107-20.</w:t>
      </w:r>
    </w:p>
    <w:p w14:paraId="7A0565DD"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75.</w:t>
      </w:r>
      <w:r w:rsidRPr="00831F12">
        <w:rPr>
          <w:rFonts w:ascii="Times New Roman" w:hAnsi="Times New Roman" w:cs="Times New Roman"/>
          <w:sz w:val="24"/>
          <w:szCs w:val="24"/>
        </w:rPr>
        <w:tab/>
        <w:t>21 CFR Sec. 50.53 Clinical investigations involving greater than minimal risk and no prospect of direct benefit to individual subjects, but likely to yield generalizable knowledge about the subjects' disorder or condition. 2015. https://</w:t>
      </w:r>
      <w:hyperlink r:id="rId28" w:history="1">
        <w:r w:rsidRPr="00831F12">
          <w:rPr>
            <w:rStyle w:val="Hyperlink"/>
            <w:rFonts w:ascii="Times New Roman" w:hAnsi="Times New Roman" w:cs="Times New Roman"/>
            <w:color w:val="auto"/>
            <w:sz w:val="24"/>
            <w:szCs w:val="24"/>
            <w:u w:val="none"/>
          </w:rPr>
          <w:t>www.accessdata.fda.gov/scripts/cdrh/cfdocs/cfcfr/CFRSearch.cfm?fr=50.53</w:t>
        </w:r>
      </w:hyperlink>
      <w:r w:rsidRPr="00831F12">
        <w:rPr>
          <w:rFonts w:ascii="Times New Roman" w:hAnsi="Times New Roman" w:cs="Times New Roman"/>
          <w:sz w:val="24"/>
          <w:szCs w:val="24"/>
        </w:rPr>
        <w:t xml:space="preserve">. </w:t>
      </w:r>
    </w:p>
    <w:p w14:paraId="3C21D93B"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76.</w:t>
      </w:r>
      <w:r w:rsidRPr="00831F12">
        <w:rPr>
          <w:rFonts w:ascii="Times New Roman" w:hAnsi="Times New Roman" w:cs="Times New Roman"/>
          <w:sz w:val="24"/>
          <w:szCs w:val="24"/>
        </w:rPr>
        <w:tab/>
        <w:t>Ward RM, Daniel CH, Kendig JW. Oliguria and tolazoline pharmacokinetics in the newborn. Pediatrics 1986;77:307-15.</w:t>
      </w:r>
    </w:p>
    <w:p w14:paraId="79976F57"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77.</w:t>
      </w:r>
      <w:r w:rsidRPr="00831F12">
        <w:rPr>
          <w:rFonts w:ascii="Times New Roman" w:hAnsi="Times New Roman" w:cs="Times New Roman"/>
          <w:sz w:val="24"/>
          <w:szCs w:val="24"/>
        </w:rPr>
        <w:tab/>
        <w:t>Turner S, Nunn AJ, Fielding K, Choonara I. Adverse drug reactions to unlicensed and off-label drugs on paediatric wards: a prospective study. Acta Paediatr  1999;88:965-8.</w:t>
      </w:r>
    </w:p>
    <w:p w14:paraId="419764AD"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78.</w:t>
      </w:r>
      <w:r w:rsidRPr="00831F12">
        <w:rPr>
          <w:rFonts w:ascii="Times New Roman" w:hAnsi="Times New Roman" w:cs="Times New Roman"/>
          <w:sz w:val="24"/>
          <w:szCs w:val="24"/>
        </w:rPr>
        <w:tab/>
        <w:t xml:space="preserve">Guidance for Clinical Trial Sponsors. Establishment and Operation of Clinical Trial Data Monitoring Committees. 2006. </w:t>
      </w:r>
      <w:hyperlink r:id="rId29" w:history="1">
        <w:r w:rsidRPr="00831F12">
          <w:rPr>
            <w:rStyle w:val="Hyperlink"/>
            <w:rFonts w:ascii="Times New Roman" w:hAnsi="Times New Roman" w:cs="Times New Roman"/>
            <w:color w:val="auto"/>
            <w:sz w:val="24"/>
            <w:szCs w:val="24"/>
            <w:u w:val="none"/>
          </w:rPr>
          <w:t>http://www.fda.gov/downloads/RegulatoryInformation/Guidances/ucm127073.pdf</w:t>
        </w:r>
      </w:hyperlink>
      <w:r w:rsidRPr="00831F12">
        <w:rPr>
          <w:rFonts w:ascii="Times New Roman" w:hAnsi="Times New Roman" w:cs="Times New Roman"/>
          <w:sz w:val="24"/>
          <w:szCs w:val="24"/>
        </w:rPr>
        <w:t xml:space="preserve">. </w:t>
      </w:r>
    </w:p>
    <w:p w14:paraId="67FE154A"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lastRenderedPageBreak/>
        <w:t>79. Sammons HM, Gray C, Hudson H, Cherrill J, Choonara I. Safety in paediatric clinical trials--a 7-year review. Acta Paediatr 2008;97:474-7.</w:t>
      </w:r>
    </w:p>
    <w:p w14:paraId="1983ACEC" w14:textId="77777777" w:rsidR="00167E61" w:rsidRPr="00831F12" w:rsidRDefault="00167E61" w:rsidP="00167E61">
      <w:pPr>
        <w:pStyle w:val="EndNoteBibliography"/>
        <w:tabs>
          <w:tab w:val="left" w:pos="9000"/>
        </w:tabs>
        <w:spacing w:after="240" w:line="480" w:lineRule="auto"/>
        <w:ind w:left="446" w:right="198" w:hanging="432"/>
        <w:rPr>
          <w:rFonts w:ascii="Times New Roman" w:hAnsi="Times New Roman" w:cs="Times New Roman"/>
          <w:sz w:val="24"/>
          <w:szCs w:val="24"/>
        </w:rPr>
      </w:pPr>
      <w:r w:rsidRPr="00831F12">
        <w:rPr>
          <w:rFonts w:ascii="Times New Roman" w:hAnsi="Times New Roman" w:cs="Times New Roman"/>
          <w:sz w:val="24"/>
          <w:szCs w:val="24"/>
        </w:rPr>
        <w:t>80.</w:t>
      </w:r>
      <w:r w:rsidRPr="00831F12">
        <w:rPr>
          <w:rFonts w:ascii="Times New Roman" w:hAnsi="Times New Roman" w:cs="Times New Roman"/>
          <w:sz w:val="24"/>
          <w:szCs w:val="24"/>
        </w:rPr>
        <w:tab/>
        <w:t>Allmark P, Mason S. Improving the quality of consent to randomised controlled trials by using continuous consent and clinician training in the consent process. J Med Ethics 2006;32:439-43.</w:t>
      </w:r>
    </w:p>
    <w:p w14:paraId="1DCA79A4" w14:textId="6B8DA8EE" w:rsidR="00167E61" w:rsidRPr="000C0606" w:rsidRDefault="00167E61" w:rsidP="00167E61">
      <w:pPr>
        <w:pStyle w:val="EndNoteBibliography"/>
        <w:spacing w:after="0"/>
        <w:ind w:left="720" w:hanging="720"/>
      </w:pPr>
      <w:r w:rsidRPr="00831F12">
        <w:rPr>
          <w:rFonts w:ascii="Times New Roman" w:hAnsi="Times New Roman" w:cs="Times New Roman"/>
          <w:sz w:val="24"/>
          <w:szCs w:val="24"/>
        </w:rPr>
        <w:fldChar w:fldCharType="end"/>
      </w:r>
    </w:p>
    <w:p w14:paraId="6018E4CA" w14:textId="410B24D9" w:rsidR="00167E61" w:rsidRPr="000C0606" w:rsidRDefault="00FD4310" w:rsidP="00167E61">
      <w:pPr>
        <w:pStyle w:val="EndNoteBibliography"/>
        <w:spacing w:after="0"/>
        <w:ind w:left="720" w:hanging="720"/>
      </w:pPr>
      <w:r w:rsidRPr="000C0606">
        <w:rPr>
          <w:rFonts w:ascii="Times New Roman" w:hAnsi="Times New Roman" w:cs="Times New Roman"/>
          <w:sz w:val="24"/>
          <w:szCs w:val="24"/>
        </w:rPr>
        <w:fldChar w:fldCharType="begin"/>
      </w:r>
      <w:r w:rsidRPr="000C0606">
        <w:rPr>
          <w:rFonts w:ascii="Times New Roman" w:hAnsi="Times New Roman" w:cs="Times New Roman"/>
          <w:sz w:val="24"/>
          <w:szCs w:val="24"/>
        </w:rPr>
        <w:instrText xml:space="preserve"> ADDIN EN.REFLIST </w:instrText>
      </w:r>
      <w:r w:rsidRPr="000C0606">
        <w:rPr>
          <w:rFonts w:ascii="Times New Roman" w:hAnsi="Times New Roman" w:cs="Times New Roman"/>
          <w:sz w:val="24"/>
          <w:szCs w:val="24"/>
        </w:rPr>
        <w:fldChar w:fldCharType="separate"/>
      </w:r>
    </w:p>
    <w:p w14:paraId="1A2E06D0" w14:textId="7595381C" w:rsidR="00FD4310" w:rsidRPr="000C0606" w:rsidRDefault="00FD4310" w:rsidP="00FD4310">
      <w:pPr>
        <w:pStyle w:val="EndNoteBibliography"/>
        <w:ind w:left="720" w:hanging="720"/>
      </w:pPr>
    </w:p>
    <w:p w14:paraId="5BDB4235" w14:textId="25E44A2C" w:rsidR="00FD4310" w:rsidRPr="000C0606" w:rsidRDefault="00FD4310" w:rsidP="00BD3C15">
      <w:r w:rsidRPr="000C0606">
        <w:rPr>
          <w:rFonts w:ascii="Times New Roman" w:hAnsi="Times New Roman" w:cs="Times New Roman"/>
          <w:sz w:val="24"/>
          <w:szCs w:val="24"/>
        </w:rPr>
        <w:fldChar w:fldCharType="end"/>
      </w:r>
    </w:p>
    <w:p w14:paraId="66DA0B68" w14:textId="0D198111" w:rsidR="000B1213" w:rsidRPr="000C0606" w:rsidRDefault="000B1213" w:rsidP="000B1213">
      <w:pPr>
        <w:tabs>
          <w:tab w:val="left" w:pos="9000"/>
          <w:tab w:val="left" w:pos="9360"/>
        </w:tabs>
        <w:spacing w:after="0" w:line="480" w:lineRule="auto"/>
        <w:rPr>
          <w:rFonts w:ascii="Times New Roman" w:hAnsi="Times New Roman" w:cs="Times New Roman"/>
          <w:sz w:val="24"/>
          <w:szCs w:val="24"/>
        </w:rPr>
      </w:pPr>
      <w:r w:rsidRPr="000C0606">
        <w:rPr>
          <w:rFonts w:ascii="Times New Roman" w:hAnsi="Times New Roman" w:cs="Times New Roman"/>
          <w:sz w:val="24"/>
          <w:szCs w:val="24"/>
        </w:rPr>
        <w:fldChar w:fldCharType="end"/>
      </w:r>
      <w:r w:rsidRPr="000C0606">
        <w:rPr>
          <w:rFonts w:ascii="Times New Roman" w:hAnsi="Times New Roman" w:cs="Times New Roman"/>
          <w:sz w:val="24"/>
          <w:szCs w:val="24"/>
        </w:rPr>
        <w:fldChar w:fldCharType="begin"/>
      </w:r>
      <w:r w:rsidRPr="000C0606">
        <w:rPr>
          <w:rFonts w:ascii="Times New Roman" w:hAnsi="Times New Roman" w:cs="Times New Roman"/>
          <w:sz w:val="24"/>
          <w:szCs w:val="24"/>
        </w:rPr>
        <w:instrText xml:space="preserve"> ADDIN </w:instrText>
      </w:r>
      <w:r w:rsidRPr="000C0606">
        <w:rPr>
          <w:rFonts w:ascii="Times New Roman" w:hAnsi="Times New Roman" w:cs="Times New Roman"/>
          <w:sz w:val="24"/>
          <w:szCs w:val="24"/>
        </w:rPr>
        <w:fldChar w:fldCharType="end"/>
      </w:r>
    </w:p>
    <w:p w14:paraId="4B673DF6" w14:textId="52B07823" w:rsidR="003A2BBD" w:rsidRPr="003A2BBD" w:rsidRDefault="003A2BBD" w:rsidP="003A2BBD">
      <w:pPr>
        <w:rPr>
          <w:rFonts w:ascii="Times New Roman" w:hAnsi="Times New Roman" w:cs="Times New Roman"/>
          <w:sz w:val="24"/>
          <w:szCs w:val="24"/>
        </w:rPr>
      </w:pPr>
    </w:p>
    <w:p w14:paraId="293371F3" w14:textId="4DE79CA1" w:rsidR="000116D9" w:rsidRPr="0097591D" w:rsidRDefault="000116D9" w:rsidP="0097591D">
      <w:pPr>
        <w:rPr>
          <w:rFonts w:ascii="Times New Roman" w:hAnsi="Times New Roman" w:cs="Times New Roman"/>
          <w:b/>
          <w:sz w:val="24"/>
          <w:szCs w:val="24"/>
        </w:rPr>
      </w:pPr>
    </w:p>
    <w:sectPr w:rsidR="000116D9" w:rsidRPr="0097591D" w:rsidSect="007D1C02">
      <w:headerReference w:type="even" r:id="rId30"/>
      <w:headerReference w:type="default" r:id="rId31"/>
      <w:footerReference w:type="even" r:id="rId32"/>
      <w:footerReference w:type="default" r:id="rId33"/>
      <w:headerReference w:type="first" r:id="rId34"/>
      <w:footerReference w:type="first" r:id="rId35"/>
      <w:pgSz w:w="12240" w:h="15840"/>
      <w:pgMar w:top="1440" w:right="1512" w:bottom="720" w:left="1440" w:header="288" w:footer="1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F853C" w14:textId="77777777" w:rsidR="00EC0172" w:rsidRDefault="00EC0172">
      <w:pPr>
        <w:spacing w:after="0" w:line="240" w:lineRule="auto"/>
      </w:pPr>
      <w:r>
        <w:separator/>
      </w:r>
    </w:p>
  </w:endnote>
  <w:endnote w:type="continuationSeparator" w:id="0">
    <w:p w14:paraId="59E719F4" w14:textId="77777777" w:rsidR="00EC0172" w:rsidRDefault="00EC0172">
      <w:pPr>
        <w:spacing w:after="0" w:line="240" w:lineRule="auto"/>
      </w:pPr>
      <w:r>
        <w:continuationSeparator/>
      </w:r>
    </w:p>
  </w:endnote>
  <w:endnote w:type="continuationNotice" w:id="1">
    <w:p w14:paraId="313CCF3D" w14:textId="77777777" w:rsidR="00EC0172" w:rsidRDefault="00EC0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New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A2F2" w14:textId="77777777" w:rsidR="00292CBF" w:rsidRDefault="00292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669213"/>
      <w:docPartObj>
        <w:docPartGallery w:val="Page Numbers (Bottom of Page)"/>
        <w:docPartUnique/>
      </w:docPartObj>
    </w:sdtPr>
    <w:sdtEndPr>
      <w:rPr>
        <w:noProof/>
      </w:rPr>
    </w:sdtEndPr>
    <w:sdtContent>
      <w:p w14:paraId="0DC46F1D" w14:textId="4C78D35D" w:rsidR="00292CBF" w:rsidRDefault="00292CBF" w:rsidP="002B5585">
        <w:pPr>
          <w:pStyle w:val="Footer"/>
          <w:tabs>
            <w:tab w:val="clear" w:pos="9360"/>
            <w:tab w:val="right" w:pos="9270"/>
          </w:tabs>
          <w:spacing w:line="200" w:lineRule="exact"/>
          <w:ind w:right="360"/>
          <w:jc w:val="center"/>
          <w:rPr>
            <w:noProof/>
          </w:rPr>
        </w:pPr>
        <w:r>
          <w:fldChar w:fldCharType="begin"/>
        </w:r>
        <w:r>
          <w:instrText xml:space="preserve"> PAGE   \* MERGEFORMAT </w:instrText>
        </w:r>
        <w:r>
          <w:fldChar w:fldCharType="separate"/>
        </w:r>
        <w:r w:rsidR="00885561">
          <w:rPr>
            <w:noProof/>
          </w:rPr>
          <w:t>36</w:t>
        </w:r>
        <w:r>
          <w:rPr>
            <w:noProof/>
          </w:rPr>
          <w:fldChar w:fldCharType="end"/>
        </w:r>
      </w:p>
      <w:p w14:paraId="1D4A94C4" w14:textId="17EC6077" w:rsidR="00292CBF" w:rsidRDefault="00EC0172">
        <w:pPr>
          <w:pStyle w:val="Footer"/>
          <w:jc w:val="center"/>
        </w:pPr>
      </w:p>
    </w:sdtContent>
  </w:sdt>
  <w:p w14:paraId="014583C3" w14:textId="21D5AC95" w:rsidR="00292CBF" w:rsidRPr="00D13609" w:rsidRDefault="00292CBF" w:rsidP="00D13609">
    <w:pPr>
      <w:pStyle w:val="Footer"/>
      <w:tabs>
        <w:tab w:val="clear" w:pos="4680"/>
        <w:tab w:val="clear" w:pos="9360"/>
      </w:tabs>
      <w:jc w:val="center"/>
      <w:rPr>
        <w:caps/>
        <w:noProof/>
        <w:color w:val="5B9BD5" w:themeColor="accen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36407" w14:textId="77777777" w:rsidR="00292CBF" w:rsidRDefault="00292CB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85561">
      <w:rPr>
        <w:caps/>
        <w:noProof/>
        <w:color w:val="5B9BD5" w:themeColor="accent1"/>
      </w:rPr>
      <w:t>1</w:t>
    </w:r>
    <w:r>
      <w:rPr>
        <w:caps/>
        <w:noProof/>
        <w:color w:val="5B9BD5" w:themeColor="accent1"/>
      </w:rPr>
      <w:fldChar w:fldCharType="end"/>
    </w:r>
  </w:p>
  <w:p w14:paraId="0DA3EB16" w14:textId="77777777" w:rsidR="00292CBF" w:rsidRDefault="00292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76B32" w14:textId="77777777" w:rsidR="00EC0172" w:rsidRDefault="00EC0172">
      <w:pPr>
        <w:spacing w:after="0" w:line="240" w:lineRule="auto"/>
      </w:pPr>
      <w:r>
        <w:separator/>
      </w:r>
    </w:p>
  </w:footnote>
  <w:footnote w:type="continuationSeparator" w:id="0">
    <w:p w14:paraId="0DDFBD3F" w14:textId="77777777" w:rsidR="00EC0172" w:rsidRDefault="00EC0172">
      <w:pPr>
        <w:spacing w:after="0" w:line="240" w:lineRule="auto"/>
      </w:pPr>
      <w:r>
        <w:continuationSeparator/>
      </w:r>
    </w:p>
  </w:footnote>
  <w:footnote w:type="continuationNotice" w:id="1">
    <w:p w14:paraId="536726CC" w14:textId="77777777" w:rsidR="00EC0172" w:rsidRDefault="00EC017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572B" w14:textId="1FE22560" w:rsidR="00292CBF" w:rsidRDefault="00292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93336"/>
      <w:docPartObj>
        <w:docPartGallery w:val="Page Numbers (Top of Page)"/>
        <w:docPartUnique/>
      </w:docPartObj>
    </w:sdtPr>
    <w:sdtEndPr/>
    <w:sdtContent>
      <w:p w14:paraId="6C31A994" w14:textId="77777777" w:rsidR="00292CBF" w:rsidRDefault="00292CB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5561">
          <w:rPr>
            <w:b/>
            <w:bCs/>
            <w:noProof/>
          </w:rPr>
          <w:t>36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5561">
          <w:rPr>
            <w:b/>
            <w:bCs/>
            <w:noProof/>
          </w:rPr>
          <w:t>36</w:t>
        </w:r>
        <w:r>
          <w:rPr>
            <w:b/>
            <w:bCs/>
            <w:sz w:val="24"/>
            <w:szCs w:val="24"/>
          </w:rPr>
          <w:fldChar w:fldCharType="end"/>
        </w:r>
      </w:p>
    </w:sdtContent>
  </w:sdt>
  <w:p w14:paraId="038BED53" w14:textId="41C099DC" w:rsidR="00292CBF" w:rsidRDefault="00292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DC0FA" w14:textId="2330BD7D" w:rsidR="00292CBF" w:rsidRDefault="00292CBF" w:rsidP="00C10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B17CE"/>
    <w:multiLevelType w:val="hybridMultilevel"/>
    <w:tmpl w:val="C414D806"/>
    <w:lvl w:ilvl="0" w:tplc="67E8AFAA">
      <w:start w:val="1"/>
      <w:numFmt w:val="upperLetter"/>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51113FC"/>
    <w:multiLevelType w:val="hybridMultilevel"/>
    <w:tmpl w:val="B27A830E"/>
    <w:lvl w:ilvl="0" w:tplc="427ACA5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83B3F"/>
    <w:multiLevelType w:val="multilevel"/>
    <w:tmpl w:val="360246F0"/>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E2F5654"/>
    <w:multiLevelType w:val="hybridMultilevel"/>
    <w:tmpl w:val="17600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1324B"/>
    <w:multiLevelType w:val="hybridMultilevel"/>
    <w:tmpl w:val="CB4EF42C"/>
    <w:lvl w:ilvl="0" w:tplc="4D2ACD5C">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14B21E0"/>
    <w:multiLevelType w:val="hybridMultilevel"/>
    <w:tmpl w:val="A8A42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2461C4"/>
    <w:multiLevelType w:val="hybridMultilevel"/>
    <w:tmpl w:val="5E96F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86200"/>
    <w:multiLevelType w:val="hybridMultilevel"/>
    <w:tmpl w:val="B9DA6496"/>
    <w:lvl w:ilvl="0" w:tplc="4EFA4EE8">
      <w:start w:val="1"/>
      <w:numFmt w:val="upperLetter"/>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D3114C8"/>
    <w:multiLevelType w:val="hybridMultilevel"/>
    <w:tmpl w:val="062283C2"/>
    <w:lvl w:ilvl="0" w:tplc="5BC4D0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AC79DD"/>
    <w:multiLevelType w:val="hybridMultilevel"/>
    <w:tmpl w:val="AE4E964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A7A05"/>
    <w:multiLevelType w:val="hybridMultilevel"/>
    <w:tmpl w:val="442EF89C"/>
    <w:lvl w:ilvl="0" w:tplc="12CC6BA6">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22AC5A96"/>
    <w:multiLevelType w:val="hybridMultilevel"/>
    <w:tmpl w:val="71C64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50CC9"/>
    <w:multiLevelType w:val="hybridMultilevel"/>
    <w:tmpl w:val="854E821A"/>
    <w:lvl w:ilvl="0" w:tplc="BDCCAF0A">
      <w:start w:val="9"/>
      <w:numFmt w:val="upperLetter"/>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2A8E565D"/>
    <w:multiLevelType w:val="hybridMultilevel"/>
    <w:tmpl w:val="277403CA"/>
    <w:lvl w:ilvl="0" w:tplc="B2807328">
      <w:start w:val="6"/>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BC604C3"/>
    <w:multiLevelType w:val="hybridMultilevel"/>
    <w:tmpl w:val="C21A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344DA"/>
    <w:multiLevelType w:val="multilevel"/>
    <w:tmpl w:val="83CA5F98"/>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2FFF0EB7"/>
    <w:multiLevelType w:val="hybridMultilevel"/>
    <w:tmpl w:val="AF7CD69A"/>
    <w:lvl w:ilvl="0" w:tplc="90C450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A6103"/>
    <w:multiLevelType w:val="hybridMultilevel"/>
    <w:tmpl w:val="6ADE3B7C"/>
    <w:lvl w:ilvl="0" w:tplc="6762A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1F2A77"/>
    <w:multiLevelType w:val="hybridMultilevel"/>
    <w:tmpl w:val="B3EA9B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9C2AEB"/>
    <w:multiLevelType w:val="hybridMultilevel"/>
    <w:tmpl w:val="BB7E3FE8"/>
    <w:lvl w:ilvl="0" w:tplc="0804C3B6">
      <w:start w:val="1"/>
      <w:numFmt w:val="upperRoman"/>
      <w:lvlText w:val="%1."/>
      <w:lvlJc w:val="left"/>
      <w:pPr>
        <w:ind w:left="1080" w:hanging="72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4555C"/>
    <w:multiLevelType w:val="hybridMultilevel"/>
    <w:tmpl w:val="CDA6FF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D7048E"/>
    <w:multiLevelType w:val="hybridMultilevel"/>
    <w:tmpl w:val="FB9AE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C7A40"/>
    <w:multiLevelType w:val="hybridMultilevel"/>
    <w:tmpl w:val="6DAE28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C20508"/>
    <w:multiLevelType w:val="hybridMultilevel"/>
    <w:tmpl w:val="2FF2DC86"/>
    <w:lvl w:ilvl="0" w:tplc="82CC71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5A6C20"/>
    <w:multiLevelType w:val="hybridMultilevel"/>
    <w:tmpl w:val="EFCE70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6" w15:restartNumberingAfterBreak="0">
    <w:nsid w:val="4BA71C33"/>
    <w:multiLevelType w:val="hybridMultilevel"/>
    <w:tmpl w:val="31B44A0A"/>
    <w:lvl w:ilvl="0" w:tplc="965CC54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DD7B80"/>
    <w:multiLevelType w:val="hybridMultilevel"/>
    <w:tmpl w:val="D0643BD0"/>
    <w:lvl w:ilvl="0" w:tplc="A99AE9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F0646"/>
    <w:multiLevelType w:val="hybridMultilevel"/>
    <w:tmpl w:val="33129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9854F6"/>
    <w:multiLevelType w:val="hybridMultilevel"/>
    <w:tmpl w:val="9F9A8822"/>
    <w:lvl w:ilvl="0" w:tplc="601CAF38">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52D162A6"/>
    <w:multiLevelType w:val="multilevel"/>
    <w:tmpl w:val="94DAF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58E5D82"/>
    <w:multiLevelType w:val="hybridMultilevel"/>
    <w:tmpl w:val="3BCEB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E77C6"/>
    <w:multiLevelType w:val="multilevel"/>
    <w:tmpl w:val="A502BCA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590F5D4C"/>
    <w:multiLevelType w:val="hybridMultilevel"/>
    <w:tmpl w:val="4AAE6D88"/>
    <w:lvl w:ilvl="0" w:tplc="4F20F930">
      <w:start w:val="2"/>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9A269B5"/>
    <w:multiLevelType w:val="hybridMultilevel"/>
    <w:tmpl w:val="4ED25D96"/>
    <w:lvl w:ilvl="0" w:tplc="DEF84AC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1A94"/>
    <w:multiLevelType w:val="hybridMultilevel"/>
    <w:tmpl w:val="52F01F2C"/>
    <w:lvl w:ilvl="0" w:tplc="357894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C55C9B"/>
    <w:multiLevelType w:val="hybridMultilevel"/>
    <w:tmpl w:val="2E40CC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BF80D09"/>
    <w:multiLevelType w:val="multilevel"/>
    <w:tmpl w:val="52CE37C6"/>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5C8F2489"/>
    <w:multiLevelType w:val="hybridMultilevel"/>
    <w:tmpl w:val="90C8B354"/>
    <w:lvl w:ilvl="0" w:tplc="67326CE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787E8C"/>
    <w:multiLevelType w:val="hybridMultilevel"/>
    <w:tmpl w:val="42529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8D0FD9"/>
    <w:multiLevelType w:val="hybridMultilevel"/>
    <w:tmpl w:val="F14EC00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37D74AE"/>
    <w:multiLevelType w:val="hybridMultilevel"/>
    <w:tmpl w:val="91BC5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785C9E"/>
    <w:multiLevelType w:val="hybridMultilevel"/>
    <w:tmpl w:val="E39EC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547590"/>
    <w:multiLevelType w:val="hybridMultilevel"/>
    <w:tmpl w:val="F294CBF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4" w15:restartNumberingAfterBreak="0">
    <w:nsid w:val="76306029"/>
    <w:multiLevelType w:val="hybridMultilevel"/>
    <w:tmpl w:val="6CF67A3C"/>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AB65A0A"/>
    <w:multiLevelType w:val="hybridMultilevel"/>
    <w:tmpl w:val="0B6A37B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34"/>
  </w:num>
  <w:num w:numId="2">
    <w:abstractNumId w:val="12"/>
  </w:num>
  <w:num w:numId="3">
    <w:abstractNumId w:val="9"/>
  </w:num>
  <w:num w:numId="4">
    <w:abstractNumId w:val="26"/>
  </w:num>
  <w:num w:numId="5">
    <w:abstractNumId w:val="7"/>
  </w:num>
  <w:num w:numId="6">
    <w:abstractNumId w:val="40"/>
  </w:num>
  <w:num w:numId="7">
    <w:abstractNumId w:val="24"/>
  </w:num>
  <w:num w:numId="8">
    <w:abstractNumId w:val="28"/>
  </w:num>
  <w:num w:numId="9">
    <w:abstractNumId w:val="6"/>
  </w:num>
  <w:num w:numId="10">
    <w:abstractNumId w:val="19"/>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22"/>
  </w:num>
  <w:num w:numId="14">
    <w:abstractNumId w:val="15"/>
  </w:num>
  <w:num w:numId="15">
    <w:abstractNumId w:val="18"/>
  </w:num>
  <w:num w:numId="16">
    <w:abstractNumId w:val="43"/>
  </w:num>
  <w:num w:numId="17">
    <w:abstractNumId w:val="31"/>
  </w:num>
  <w:num w:numId="18">
    <w:abstractNumId w:val="10"/>
  </w:num>
  <w:num w:numId="19">
    <w:abstractNumId w:val="21"/>
  </w:num>
  <w:num w:numId="20">
    <w:abstractNumId w:val="23"/>
  </w:num>
  <w:num w:numId="21">
    <w:abstractNumId w:val="39"/>
  </w:num>
  <w:num w:numId="22">
    <w:abstractNumId w:val="45"/>
  </w:num>
  <w:num w:numId="23">
    <w:abstractNumId w:val="41"/>
  </w:num>
  <w:num w:numId="24">
    <w:abstractNumId w:val="11"/>
  </w:num>
  <w:num w:numId="25">
    <w:abstractNumId w:val="5"/>
  </w:num>
  <w:num w:numId="26">
    <w:abstractNumId w:val="33"/>
  </w:num>
  <w:num w:numId="27">
    <w:abstractNumId w:val="36"/>
  </w:num>
  <w:num w:numId="28">
    <w:abstractNumId w:val="14"/>
  </w:num>
  <w:num w:numId="29">
    <w:abstractNumId w:val="27"/>
  </w:num>
  <w:num w:numId="30">
    <w:abstractNumId w:val="0"/>
  </w:num>
  <w:num w:numId="31">
    <w:abstractNumId w:val="37"/>
  </w:num>
  <w:num w:numId="32">
    <w:abstractNumId w:val="17"/>
  </w:num>
  <w:num w:numId="33">
    <w:abstractNumId w:val="20"/>
  </w:num>
  <w:num w:numId="34">
    <w:abstractNumId w:val="8"/>
  </w:num>
  <w:num w:numId="35">
    <w:abstractNumId w:val="35"/>
  </w:num>
  <w:num w:numId="36">
    <w:abstractNumId w:val="29"/>
  </w:num>
  <w:num w:numId="37">
    <w:abstractNumId w:val="1"/>
  </w:num>
  <w:num w:numId="38">
    <w:abstractNumId w:val="13"/>
  </w:num>
  <w:num w:numId="39">
    <w:abstractNumId w:val="38"/>
  </w:num>
  <w:num w:numId="40">
    <w:abstractNumId w:val="2"/>
  </w:num>
  <w:num w:numId="41">
    <w:abstractNumId w:val="32"/>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4"/>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30"/>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ediatric Res Copy go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2af9xth9xrsne2a9tx0dem9e5asxaa02va&quot;&gt;avery20035 Copy-Converted Copy Copy.7.5&lt;record-ids&gt;&lt;item&gt;580&lt;/item&gt;&lt;item&gt;824&lt;/item&gt;&lt;item&gt;2706&lt;/item&gt;&lt;item&gt;3126&lt;/item&gt;&lt;/record-ids&gt;&lt;/item&gt;&lt;/Libraries&gt;"/>
  </w:docVars>
  <w:rsids>
    <w:rsidRoot w:val="000116D9"/>
    <w:rsid w:val="000003C2"/>
    <w:rsid w:val="00000A40"/>
    <w:rsid w:val="0000269E"/>
    <w:rsid w:val="00010A0E"/>
    <w:rsid w:val="000116D9"/>
    <w:rsid w:val="0001292B"/>
    <w:rsid w:val="00013880"/>
    <w:rsid w:val="00025748"/>
    <w:rsid w:val="000331B4"/>
    <w:rsid w:val="00043905"/>
    <w:rsid w:val="000566EB"/>
    <w:rsid w:val="000612BC"/>
    <w:rsid w:val="000712EA"/>
    <w:rsid w:val="00085052"/>
    <w:rsid w:val="00086478"/>
    <w:rsid w:val="000A0CE6"/>
    <w:rsid w:val="000A18CB"/>
    <w:rsid w:val="000B1213"/>
    <w:rsid w:val="000B5A3D"/>
    <w:rsid w:val="000B67D9"/>
    <w:rsid w:val="000B6CAE"/>
    <w:rsid w:val="000C0606"/>
    <w:rsid w:val="000E27A0"/>
    <w:rsid w:val="000E592F"/>
    <w:rsid w:val="000F2DBF"/>
    <w:rsid w:val="000F4E37"/>
    <w:rsid w:val="0010364E"/>
    <w:rsid w:val="00104A85"/>
    <w:rsid w:val="0010512D"/>
    <w:rsid w:val="00124557"/>
    <w:rsid w:val="001317B9"/>
    <w:rsid w:val="00160A3A"/>
    <w:rsid w:val="00165266"/>
    <w:rsid w:val="00165CA9"/>
    <w:rsid w:val="00167E61"/>
    <w:rsid w:val="00174DF2"/>
    <w:rsid w:val="0018336B"/>
    <w:rsid w:val="001854E4"/>
    <w:rsid w:val="00195AD2"/>
    <w:rsid w:val="001A3ABF"/>
    <w:rsid w:val="001A4718"/>
    <w:rsid w:val="001A538A"/>
    <w:rsid w:val="001A6D60"/>
    <w:rsid w:val="001B00A8"/>
    <w:rsid w:val="001C00B5"/>
    <w:rsid w:val="001C0DE1"/>
    <w:rsid w:val="001C28B0"/>
    <w:rsid w:val="001C56A4"/>
    <w:rsid w:val="001D3F05"/>
    <w:rsid w:val="001E074C"/>
    <w:rsid w:val="001E356B"/>
    <w:rsid w:val="001E505F"/>
    <w:rsid w:val="001F140D"/>
    <w:rsid w:val="001F28AF"/>
    <w:rsid w:val="001F3777"/>
    <w:rsid w:val="00207A74"/>
    <w:rsid w:val="00226501"/>
    <w:rsid w:val="00230B9B"/>
    <w:rsid w:val="00234028"/>
    <w:rsid w:val="00240840"/>
    <w:rsid w:val="00251619"/>
    <w:rsid w:val="002569E9"/>
    <w:rsid w:val="00263866"/>
    <w:rsid w:val="00283207"/>
    <w:rsid w:val="00285EDC"/>
    <w:rsid w:val="002863DA"/>
    <w:rsid w:val="00292CBF"/>
    <w:rsid w:val="002A03FB"/>
    <w:rsid w:val="002A1E1C"/>
    <w:rsid w:val="002A50C5"/>
    <w:rsid w:val="002A5F58"/>
    <w:rsid w:val="002B2FAD"/>
    <w:rsid w:val="002B5585"/>
    <w:rsid w:val="002C4BA9"/>
    <w:rsid w:val="002C6026"/>
    <w:rsid w:val="002D48D2"/>
    <w:rsid w:val="002D57DA"/>
    <w:rsid w:val="002E5F5F"/>
    <w:rsid w:val="002E6D7E"/>
    <w:rsid w:val="002E706B"/>
    <w:rsid w:val="002F1DA0"/>
    <w:rsid w:val="00303982"/>
    <w:rsid w:val="00303BA1"/>
    <w:rsid w:val="00310BFF"/>
    <w:rsid w:val="00320874"/>
    <w:rsid w:val="00334A08"/>
    <w:rsid w:val="00336F5C"/>
    <w:rsid w:val="003422D8"/>
    <w:rsid w:val="0034462E"/>
    <w:rsid w:val="00345CFC"/>
    <w:rsid w:val="00346DFB"/>
    <w:rsid w:val="003564A7"/>
    <w:rsid w:val="003611EF"/>
    <w:rsid w:val="003655B6"/>
    <w:rsid w:val="00365D36"/>
    <w:rsid w:val="00366F7C"/>
    <w:rsid w:val="0037044A"/>
    <w:rsid w:val="00382D91"/>
    <w:rsid w:val="00383F71"/>
    <w:rsid w:val="0038469B"/>
    <w:rsid w:val="00393A4D"/>
    <w:rsid w:val="003A2BBD"/>
    <w:rsid w:val="003B06E4"/>
    <w:rsid w:val="003B146C"/>
    <w:rsid w:val="003B252A"/>
    <w:rsid w:val="003B5481"/>
    <w:rsid w:val="003C3D46"/>
    <w:rsid w:val="003C5357"/>
    <w:rsid w:val="003C7FBB"/>
    <w:rsid w:val="003D344B"/>
    <w:rsid w:val="003D3765"/>
    <w:rsid w:val="003D4176"/>
    <w:rsid w:val="003D5F53"/>
    <w:rsid w:val="003D67A6"/>
    <w:rsid w:val="003D6D05"/>
    <w:rsid w:val="003E21E2"/>
    <w:rsid w:val="003F553D"/>
    <w:rsid w:val="003F78D7"/>
    <w:rsid w:val="00401331"/>
    <w:rsid w:val="00403CFA"/>
    <w:rsid w:val="00414866"/>
    <w:rsid w:val="00421B6D"/>
    <w:rsid w:val="00422546"/>
    <w:rsid w:val="00422C28"/>
    <w:rsid w:val="00423635"/>
    <w:rsid w:val="00453D1D"/>
    <w:rsid w:val="00455A02"/>
    <w:rsid w:val="00456916"/>
    <w:rsid w:val="00457870"/>
    <w:rsid w:val="0046590D"/>
    <w:rsid w:val="00465930"/>
    <w:rsid w:val="0046600E"/>
    <w:rsid w:val="00472502"/>
    <w:rsid w:val="00473492"/>
    <w:rsid w:val="00474263"/>
    <w:rsid w:val="004767FF"/>
    <w:rsid w:val="004831E0"/>
    <w:rsid w:val="00487D04"/>
    <w:rsid w:val="00490903"/>
    <w:rsid w:val="00493534"/>
    <w:rsid w:val="004A7ACF"/>
    <w:rsid w:val="004B2B67"/>
    <w:rsid w:val="004B2FB2"/>
    <w:rsid w:val="004B3B03"/>
    <w:rsid w:val="004B4C25"/>
    <w:rsid w:val="004B6D00"/>
    <w:rsid w:val="004C4921"/>
    <w:rsid w:val="004D052A"/>
    <w:rsid w:val="004D678C"/>
    <w:rsid w:val="004E350D"/>
    <w:rsid w:val="004F7B99"/>
    <w:rsid w:val="00500A38"/>
    <w:rsid w:val="00506CBB"/>
    <w:rsid w:val="0051460B"/>
    <w:rsid w:val="00515D69"/>
    <w:rsid w:val="00532DF5"/>
    <w:rsid w:val="00535986"/>
    <w:rsid w:val="0053638E"/>
    <w:rsid w:val="00540B49"/>
    <w:rsid w:val="0054564F"/>
    <w:rsid w:val="00546F33"/>
    <w:rsid w:val="00554711"/>
    <w:rsid w:val="00555D13"/>
    <w:rsid w:val="00563876"/>
    <w:rsid w:val="0056462C"/>
    <w:rsid w:val="00566029"/>
    <w:rsid w:val="00567E17"/>
    <w:rsid w:val="0057034E"/>
    <w:rsid w:val="005824A6"/>
    <w:rsid w:val="0058424F"/>
    <w:rsid w:val="00585225"/>
    <w:rsid w:val="00590358"/>
    <w:rsid w:val="00594ED3"/>
    <w:rsid w:val="005B15A0"/>
    <w:rsid w:val="005B2DA9"/>
    <w:rsid w:val="005C42B7"/>
    <w:rsid w:val="005C5E6E"/>
    <w:rsid w:val="005D5E99"/>
    <w:rsid w:val="005E1E0C"/>
    <w:rsid w:val="005E3219"/>
    <w:rsid w:val="005E4742"/>
    <w:rsid w:val="005E71AF"/>
    <w:rsid w:val="005E7712"/>
    <w:rsid w:val="005F172F"/>
    <w:rsid w:val="005F29B5"/>
    <w:rsid w:val="005F338E"/>
    <w:rsid w:val="0060404F"/>
    <w:rsid w:val="00606817"/>
    <w:rsid w:val="00625793"/>
    <w:rsid w:val="00627294"/>
    <w:rsid w:val="00634B4C"/>
    <w:rsid w:val="0064746C"/>
    <w:rsid w:val="006503D8"/>
    <w:rsid w:val="00654CD0"/>
    <w:rsid w:val="0065784B"/>
    <w:rsid w:val="00660F4C"/>
    <w:rsid w:val="006620B1"/>
    <w:rsid w:val="00664B72"/>
    <w:rsid w:val="00666D00"/>
    <w:rsid w:val="00667131"/>
    <w:rsid w:val="0067786F"/>
    <w:rsid w:val="00680310"/>
    <w:rsid w:val="006944CA"/>
    <w:rsid w:val="006A5FBB"/>
    <w:rsid w:val="006A67A4"/>
    <w:rsid w:val="006A6F1F"/>
    <w:rsid w:val="006B4529"/>
    <w:rsid w:val="006B49FE"/>
    <w:rsid w:val="006B7CF3"/>
    <w:rsid w:val="006C1A14"/>
    <w:rsid w:val="006C2E2C"/>
    <w:rsid w:val="006C420C"/>
    <w:rsid w:val="006D5A84"/>
    <w:rsid w:val="006E1A92"/>
    <w:rsid w:val="006E7C33"/>
    <w:rsid w:val="006F45CF"/>
    <w:rsid w:val="007056B2"/>
    <w:rsid w:val="007119E7"/>
    <w:rsid w:val="00714594"/>
    <w:rsid w:val="0072000D"/>
    <w:rsid w:val="00720B1F"/>
    <w:rsid w:val="00722F92"/>
    <w:rsid w:val="00736751"/>
    <w:rsid w:val="007444A2"/>
    <w:rsid w:val="007521AC"/>
    <w:rsid w:val="00767160"/>
    <w:rsid w:val="00790A9C"/>
    <w:rsid w:val="007934A8"/>
    <w:rsid w:val="0079404D"/>
    <w:rsid w:val="00794BE2"/>
    <w:rsid w:val="007A2436"/>
    <w:rsid w:val="007B702C"/>
    <w:rsid w:val="007D1C02"/>
    <w:rsid w:val="007D6444"/>
    <w:rsid w:val="007F03B7"/>
    <w:rsid w:val="007F1EC6"/>
    <w:rsid w:val="00803C82"/>
    <w:rsid w:val="00804872"/>
    <w:rsid w:val="008065D4"/>
    <w:rsid w:val="00806F35"/>
    <w:rsid w:val="00807255"/>
    <w:rsid w:val="0081159F"/>
    <w:rsid w:val="0083183F"/>
    <w:rsid w:val="00831F12"/>
    <w:rsid w:val="0083251C"/>
    <w:rsid w:val="0084024E"/>
    <w:rsid w:val="008405AB"/>
    <w:rsid w:val="00841FDB"/>
    <w:rsid w:val="008525EC"/>
    <w:rsid w:val="00853087"/>
    <w:rsid w:val="00862C77"/>
    <w:rsid w:val="0086424F"/>
    <w:rsid w:val="0086629B"/>
    <w:rsid w:val="00872BCA"/>
    <w:rsid w:val="00885561"/>
    <w:rsid w:val="00892CE1"/>
    <w:rsid w:val="008940EC"/>
    <w:rsid w:val="00896807"/>
    <w:rsid w:val="008B2C23"/>
    <w:rsid w:val="008B4B1F"/>
    <w:rsid w:val="008B7266"/>
    <w:rsid w:val="008C24FF"/>
    <w:rsid w:val="008C72AC"/>
    <w:rsid w:val="008D03EF"/>
    <w:rsid w:val="008E0AEB"/>
    <w:rsid w:val="008E0C53"/>
    <w:rsid w:val="008E1B86"/>
    <w:rsid w:val="008F0400"/>
    <w:rsid w:val="008F2551"/>
    <w:rsid w:val="008F30A1"/>
    <w:rsid w:val="00900832"/>
    <w:rsid w:val="009011D4"/>
    <w:rsid w:val="009070DA"/>
    <w:rsid w:val="009114CD"/>
    <w:rsid w:val="00913366"/>
    <w:rsid w:val="009147E4"/>
    <w:rsid w:val="00915506"/>
    <w:rsid w:val="009175D2"/>
    <w:rsid w:val="00921A58"/>
    <w:rsid w:val="009222BB"/>
    <w:rsid w:val="00922E7F"/>
    <w:rsid w:val="0092497B"/>
    <w:rsid w:val="0092516F"/>
    <w:rsid w:val="009326C1"/>
    <w:rsid w:val="009410C2"/>
    <w:rsid w:val="00955A74"/>
    <w:rsid w:val="009639BA"/>
    <w:rsid w:val="00971401"/>
    <w:rsid w:val="009725FD"/>
    <w:rsid w:val="009758EB"/>
    <w:rsid w:val="0097591D"/>
    <w:rsid w:val="00976B6A"/>
    <w:rsid w:val="00976C59"/>
    <w:rsid w:val="009776AD"/>
    <w:rsid w:val="0098035F"/>
    <w:rsid w:val="00983CA8"/>
    <w:rsid w:val="009A71FB"/>
    <w:rsid w:val="009A760B"/>
    <w:rsid w:val="009B7173"/>
    <w:rsid w:val="009C7AC5"/>
    <w:rsid w:val="009D7305"/>
    <w:rsid w:val="009E4580"/>
    <w:rsid w:val="009F1A46"/>
    <w:rsid w:val="009F32A4"/>
    <w:rsid w:val="00A05221"/>
    <w:rsid w:val="00A242EB"/>
    <w:rsid w:val="00A303CE"/>
    <w:rsid w:val="00A3101E"/>
    <w:rsid w:val="00A31BC1"/>
    <w:rsid w:val="00A41819"/>
    <w:rsid w:val="00A43B0E"/>
    <w:rsid w:val="00A4422B"/>
    <w:rsid w:val="00A4690D"/>
    <w:rsid w:val="00A46E7E"/>
    <w:rsid w:val="00A539DD"/>
    <w:rsid w:val="00A561AF"/>
    <w:rsid w:val="00A605AA"/>
    <w:rsid w:val="00A72C5B"/>
    <w:rsid w:val="00A96468"/>
    <w:rsid w:val="00AA161F"/>
    <w:rsid w:val="00AB27FD"/>
    <w:rsid w:val="00AB4F4B"/>
    <w:rsid w:val="00AB6936"/>
    <w:rsid w:val="00AC1392"/>
    <w:rsid w:val="00AC3B6A"/>
    <w:rsid w:val="00AC462C"/>
    <w:rsid w:val="00AC6C98"/>
    <w:rsid w:val="00AD1495"/>
    <w:rsid w:val="00AD6D04"/>
    <w:rsid w:val="00AE142C"/>
    <w:rsid w:val="00AE63CA"/>
    <w:rsid w:val="00AE64C8"/>
    <w:rsid w:val="00AF5F02"/>
    <w:rsid w:val="00B00051"/>
    <w:rsid w:val="00B0443C"/>
    <w:rsid w:val="00B1661A"/>
    <w:rsid w:val="00B34281"/>
    <w:rsid w:val="00B3669E"/>
    <w:rsid w:val="00B368A1"/>
    <w:rsid w:val="00B430C1"/>
    <w:rsid w:val="00B6402A"/>
    <w:rsid w:val="00B7023C"/>
    <w:rsid w:val="00B73E76"/>
    <w:rsid w:val="00B73F8E"/>
    <w:rsid w:val="00B75E1E"/>
    <w:rsid w:val="00B7626A"/>
    <w:rsid w:val="00B81BFC"/>
    <w:rsid w:val="00B91B08"/>
    <w:rsid w:val="00B96609"/>
    <w:rsid w:val="00BB1140"/>
    <w:rsid w:val="00BC1136"/>
    <w:rsid w:val="00BC1B3A"/>
    <w:rsid w:val="00BC52E8"/>
    <w:rsid w:val="00BC60EB"/>
    <w:rsid w:val="00BD1170"/>
    <w:rsid w:val="00BD3C15"/>
    <w:rsid w:val="00BD4AAA"/>
    <w:rsid w:val="00BD7CE5"/>
    <w:rsid w:val="00BE0319"/>
    <w:rsid w:val="00BE3AFA"/>
    <w:rsid w:val="00BE472A"/>
    <w:rsid w:val="00BE7C50"/>
    <w:rsid w:val="00BF6200"/>
    <w:rsid w:val="00BF6DEF"/>
    <w:rsid w:val="00C00528"/>
    <w:rsid w:val="00C03075"/>
    <w:rsid w:val="00C03A09"/>
    <w:rsid w:val="00C077CB"/>
    <w:rsid w:val="00C07812"/>
    <w:rsid w:val="00C1049E"/>
    <w:rsid w:val="00C1298E"/>
    <w:rsid w:val="00C1363B"/>
    <w:rsid w:val="00C24299"/>
    <w:rsid w:val="00C25C0B"/>
    <w:rsid w:val="00C450FF"/>
    <w:rsid w:val="00C47DF5"/>
    <w:rsid w:val="00C514EA"/>
    <w:rsid w:val="00C61C6A"/>
    <w:rsid w:val="00C745A5"/>
    <w:rsid w:val="00C767D3"/>
    <w:rsid w:val="00C91318"/>
    <w:rsid w:val="00C934A5"/>
    <w:rsid w:val="00C97493"/>
    <w:rsid w:val="00C976CD"/>
    <w:rsid w:val="00CA46B3"/>
    <w:rsid w:val="00CC06AB"/>
    <w:rsid w:val="00CC5237"/>
    <w:rsid w:val="00CE1F57"/>
    <w:rsid w:val="00CE6300"/>
    <w:rsid w:val="00CE72B5"/>
    <w:rsid w:val="00CE7E8C"/>
    <w:rsid w:val="00D02913"/>
    <w:rsid w:val="00D05E36"/>
    <w:rsid w:val="00D11C7D"/>
    <w:rsid w:val="00D12B3B"/>
    <w:rsid w:val="00D13609"/>
    <w:rsid w:val="00D13AA5"/>
    <w:rsid w:val="00D16163"/>
    <w:rsid w:val="00D25608"/>
    <w:rsid w:val="00D45131"/>
    <w:rsid w:val="00D518FC"/>
    <w:rsid w:val="00D52291"/>
    <w:rsid w:val="00D532DD"/>
    <w:rsid w:val="00D56453"/>
    <w:rsid w:val="00D71B7B"/>
    <w:rsid w:val="00D73C9F"/>
    <w:rsid w:val="00D7580D"/>
    <w:rsid w:val="00D761EF"/>
    <w:rsid w:val="00D768CC"/>
    <w:rsid w:val="00D80A96"/>
    <w:rsid w:val="00D80D27"/>
    <w:rsid w:val="00D86D5A"/>
    <w:rsid w:val="00D92621"/>
    <w:rsid w:val="00DA5593"/>
    <w:rsid w:val="00DB491B"/>
    <w:rsid w:val="00DB5D0C"/>
    <w:rsid w:val="00DB6A43"/>
    <w:rsid w:val="00DC0EF6"/>
    <w:rsid w:val="00DC4B49"/>
    <w:rsid w:val="00DC61EF"/>
    <w:rsid w:val="00DE2010"/>
    <w:rsid w:val="00DE7A51"/>
    <w:rsid w:val="00E04F9B"/>
    <w:rsid w:val="00E05ED1"/>
    <w:rsid w:val="00E07724"/>
    <w:rsid w:val="00E10D55"/>
    <w:rsid w:val="00E1245E"/>
    <w:rsid w:val="00E13254"/>
    <w:rsid w:val="00E1338C"/>
    <w:rsid w:val="00E42F20"/>
    <w:rsid w:val="00E4437E"/>
    <w:rsid w:val="00E560AD"/>
    <w:rsid w:val="00E62256"/>
    <w:rsid w:val="00E769ED"/>
    <w:rsid w:val="00E774E7"/>
    <w:rsid w:val="00E82DA2"/>
    <w:rsid w:val="00E900D8"/>
    <w:rsid w:val="00E949DE"/>
    <w:rsid w:val="00E95CCB"/>
    <w:rsid w:val="00EA29BF"/>
    <w:rsid w:val="00EA3120"/>
    <w:rsid w:val="00EA49D0"/>
    <w:rsid w:val="00EA7F7C"/>
    <w:rsid w:val="00EB0A33"/>
    <w:rsid w:val="00EB4125"/>
    <w:rsid w:val="00EC0172"/>
    <w:rsid w:val="00EC2496"/>
    <w:rsid w:val="00EC37B1"/>
    <w:rsid w:val="00ED2518"/>
    <w:rsid w:val="00ED4AE5"/>
    <w:rsid w:val="00EE4455"/>
    <w:rsid w:val="00EE6398"/>
    <w:rsid w:val="00F0658A"/>
    <w:rsid w:val="00F0753C"/>
    <w:rsid w:val="00F13AE3"/>
    <w:rsid w:val="00F15CC7"/>
    <w:rsid w:val="00F30E58"/>
    <w:rsid w:val="00F400EF"/>
    <w:rsid w:val="00F41933"/>
    <w:rsid w:val="00F466B0"/>
    <w:rsid w:val="00F5705E"/>
    <w:rsid w:val="00F62950"/>
    <w:rsid w:val="00F67DB9"/>
    <w:rsid w:val="00F67F25"/>
    <w:rsid w:val="00F77179"/>
    <w:rsid w:val="00F77242"/>
    <w:rsid w:val="00F921AF"/>
    <w:rsid w:val="00F93C2D"/>
    <w:rsid w:val="00F95E90"/>
    <w:rsid w:val="00FA1D71"/>
    <w:rsid w:val="00FA5A16"/>
    <w:rsid w:val="00FA5E60"/>
    <w:rsid w:val="00FA6167"/>
    <w:rsid w:val="00FA6887"/>
    <w:rsid w:val="00FB2756"/>
    <w:rsid w:val="00FB275A"/>
    <w:rsid w:val="00FB2BB3"/>
    <w:rsid w:val="00FB2EEA"/>
    <w:rsid w:val="00FB36CE"/>
    <w:rsid w:val="00FB406B"/>
    <w:rsid w:val="00FC1C59"/>
    <w:rsid w:val="00FD4310"/>
    <w:rsid w:val="00FE4862"/>
    <w:rsid w:val="00FE7BBE"/>
    <w:rsid w:val="00FF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F0620"/>
  <w15:docId w15:val="{414D654D-1222-4385-B0AB-C9ADD8CF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4A6"/>
    <w:pPr>
      <w:keepNext/>
      <w:keepLines/>
      <w:numPr>
        <w:numId w:val="40"/>
      </w:numPr>
      <w:spacing w:before="480" w:after="240"/>
      <w:ind w:left="432" w:hanging="288"/>
      <w:outlineLvl w:val="0"/>
    </w:pPr>
    <w:rPr>
      <w:rFonts w:ascii="Times New Roman" w:eastAsiaTheme="majorEastAsia" w:hAnsi="Times New Roman" w:cs="Times New Roman"/>
      <w:b/>
      <w:bCs/>
      <w:sz w:val="28"/>
      <w:szCs w:val="28"/>
    </w:rPr>
  </w:style>
  <w:style w:type="paragraph" w:styleId="Heading2">
    <w:name w:val="heading 2"/>
    <w:basedOn w:val="ListParagraph"/>
    <w:next w:val="Normal"/>
    <w:link w:val="Heading2Char"/>
    <w:uiPriority w:val="9"/>
    <w:unhideWhenUsed/>
    <w:qFormat/>
    <w:rsid w:val="00FB36CE"/>
    <w:pPr>
      <w:numPr>
        <w:ilvl w:val="1"/>
        <w:numId w:val="42"/>
      </w:numPr>
      <w:tabs>
        <w:tab w:val="left" w:pos="810"/>
      </w:tabs>
      <w:spacing w:line="240" w:lineRule="auto"/>
      <w:ind w:left="432"/>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pPr>
      <w:keepNext/>
      <w:keepLines/>
      <w:numPr>
        <w:ilvl w:val="2"/>
        <w:numId w:val="4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numPr>
        <w:ilvl w:val="3"/>
        <w:numId w:val="4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4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4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4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EndNoteBibliographyTitle">
    <w:name w:val="EndNote Bibliography Title"/>
    <w:basedOn w:val="Normal"/>
    <w:link w:val="EndNoteBibliographyTitleChar"/>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Pr>
      <w:rFonts w:ascii="Calibri" w:hAnsi="Calibri"/>
      <w:noProof/>
    </w:rPr>
  </w:style>
  <w:style w:type="paragraph" w:customStyle="1" w:styleId="EndNoteBibliography">
    <w:name w:val="EndNote Bibliography"/>
    <w:basedOn w:val="Normal"/>
    <w:link w:val="EndNoteBibliographyChar"/>
    <w:pPr>
      <w:spacing w:line="240" w:lineRule="auto"/>
    </w:pPr>
    <w:rPr>
      <w:rFonts w:ascii="Calibri" w:hAnsi="Calibri"/>
      <w:noProof/>
    </w:rPr>
  </w:style>
  <w:style w:type="character" w:customStyle="1" w:styleId="EndNoteBibliographyChar">
    <w:name w:val="EndNote Bibliography Char"/>
    <w:basedOn w:val="DefaultParagraphFont"/>
    <w:link w:val="EndNoteBibliography"/>
    <w:rPr>
      <w:rFonts w:ascii="Calibri" w:hAnsi="Calibri"/>
      <w:noProof/>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pPr>
      <w:spacing w:after="0" w:line="240" w:lineRule="auto"/>
    </w:pPr>
    <w:rPr>
      <w:rFonts w:ascii="Times New Roman" w:eastAsia="Times New Roman" w:hAnsi="Times New Roman" w:cs="Times New Roman"/>
      <w:sz w:val="27"/>
      <w:szCs w:val="27"/>
      <w:lang w:val="nl-BE" w:eastAsia="nl-BE"/>
    </w:rPr>
  </w:style>
  <w:style w:type="paragraph" w:customStyle="1" w:styleId="desc2">
    <w:name w:val="desc2"/>
    <w:basedOn w:val="Normal"/>
    <w:pPr>
      <w:spacing w:after="0" w:line="240" w:lineRule="auto"/>
    </w:pPr>
    <w:rPr>
      <w:rFonts w:ascii="Times New Roman" w:eastAsia="Times New Roman" w:hAnsi="Times New Roman" w:cs="Times New Roman"/>
      <w:sz w:val="26"/>
      <w:szCs w:val="26"/>
      <w:lang w:val="nl-BE" w:eastAsia="nl-BE"/>
    </w:rPr>
  </w:style>
  <w:style w:type="paragraph" w:customStyle="1" w:styleId="details1">
    <w:name w:val="details1"/>
    <w:basedOn w:val="Normal"/>
    <w:pPr>
      <w:spacing w:after="0" w:line="240" w:lineRule="auto"/>
    </w:pPr>
    <w:rPr>
      <w:rFonts w:ascii="Times New Roman" w:eastAsia="Times New Roman" w:hAnsi="Times New Roman" w:cs="Times New Roman"/>
      <w:lang w:val="nl-BE" w:eastAsia="nl-BE"/>
    </w:rPr>
  </w:style>
  <w:style w:type="character" w:customStyle="1" w:styleId="jrnl">
    <w:name w:val="jrnl"/>
    <w:basedOn w:val="DefaultParagraphFont"/>
  </w:style>
  <w:style w:type="paragraph" w:styleId="FootnoteText">
    <w:name w:val="footnote text"/>
    <w:basedOn w:val="Normal"/>
    <w:link w:val="FootnoteTextChar"/>
    <w:uiPriority w:val="99"/>
    <w:unhideWhenUsed/>
    <w:pPr>
      <w:spacing w:after="0" w:line="240" w:lineRule="auto"/>
    </w:pPr>
    <w:rPr>
      <w:sz w:val="24"/>
      <w:szCs w:val="24"/>
    </w:rPr>
  </w:style>
  <w:style w:type="character" w:customStyle="1" w:styleId="FootnoteTextChar">
    <w:name w:val="Footnote Text Char"/>
    <w:basedOn w:val="DefaultParagraphFont"/>
    <w:link w:val="FootnoteText"/>
    <w:uiPriority w:val="99"/>
    <w:rPr>
      <w:sz w:val="24"/>
      <w:szCs w:val="24"/>
    </w:rPr>
  </w:style>
  <w:style w:type="character" w:styleId="FootnoteReference">
    <w:name w:val="footnote reference"/>
    <w:basedOn w:val="DefaultParagraphFont"/>
    <w:uiPriority w:val="99"/>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sid w:val="005824A6"/>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FB36CE"/>
    <w:rPr>
      <w:rFonts w:ascii="Times New Roman" w:hAnsi="Times New Roman" w:cs="Times New Roman"/>
      <w:b/>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spacing w:after="0" w:line="276" w:lineRule="auto"/>
      <w:outlineLvl w:val="9"/>
    </w:pPr>
    <w:rPr>
      <w:rFonts w:asciiTheme="majorHAnsi" w:hAnsiTheme="majorHAnsi" w:cstheme="majorBidi"/>
      <w:color w:val="2E74B5" w:themeColor="accent1" w:themeShade="BF"/>
      <w:lang w:eastAsia="ja-JP"/>
    </w:rPr>
  </w:style>
  <w:style w:type="paragraph" w:styleId="TOC1">
    <w:name w:val="toc 1"/>
    <w:basedOn w:val="Normal"/>
    <w:next w:val="Normal"/>
    <w:autoRedefine/>
    <w:uiPriority w:val="39"/>
    <w:unhideWhenUsed/>
    <w:rsid w:val="00D86D5A"/>
    <w:pPr>
      <w:tabs>
        <w:tab w:val="right" w:leader="dot" w:pos="9350"/>
      </w:tabs>
      <w:spacing w:after="100"/>
      <w:ind w:left="540" w:hanging="540"/>
    </w:pPr>
    <w:rPr>
      <w:rFonts w:ascii="Times New Roman" w:hAnsi="Times New Roman"/>
      <w:sz w:val="24"/>
    </w:rPr>
  </w:style>
  <w:style w:type="paragraph" w:styleId="TOC2">
    <w:name w:val="toc 2"/>
    <w:basedOn w:val="Normal"/>
    <w:next w:val="Normal"/>
    <w:autoRedefine/>
    <w:uiPriority w:val="39"/>
    <w:unhideWhenUsed/>
    <w:rsid w:val="00D86D5A"/>
    <w:pPr>
      <w:spacing w:after="100" w:line="240" w:lineRule="auto"/>
      <w:ind w:left="576"/>
    </w:pPr>
    <w:rPr>
      <w:rFonts w:ascii="Times New Roman" w:hAnsi="Times New Roman"/>
      <w:sz w:val="24"/>
    </w:rPr>
  </w:style>
  <w:style w:type="paragraph" w:styleId="PlainText">
    <w:name w:val="Plain Text"/>
    <w:basedOn w:val="Normal"/>
    <w:link w:val="PlainTextChar"/>
    <w:uiPriority w:val="99"/>
    <w:semiHidden/>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Pr>
      <w:rFonts w:ascii="Calibri" w:hAnsi="Calibri" w:cs="Consolas"/>
      <w:szCs w:val="21"/>
    </w:rPr>
  </w:style>
  <w:style w:type="paragraph" w:customStyle="1" w:styleId="Docstatus">
    <w:name w:val="Docstatus"/>
    <w:basedOn w:val="Normal"/>
    <w:pPr>
      <w:keepNext/>
      <w:spacing w:before="240" w:after="0" w:line="240" w:lineRule="auto"/>
    </w:pPr>
    <w:rPr>
      <w:rFonts w:ascii="Arial" w:eastAsia="Times New Roman" w:hAnsi="Arial" w:cs="Times New Roman"/>
      <w:sz w:val="24"/>
      <w:szCs w:val="20"/>
    </w:rPr>
  </w:style>
  <w:style w:type="paragraph" w:customStyle="1" w:styleId="Doctype">
    <w:name w:val="Doctype"/>
    <w:basedOn w:val="Normal"/>
    <w:pPr>
      <w:keepNext/>
      <w:spacing w:before="240" w:after="0" w:line="240" w:lineRule="auto"/>
    </w:pPr>
    <w:rPr>
      <w:rFonts w:ascii="Arial" w:eastAsia="Times New Roman" w:hAnsi="Arial" w:cs="Times New Roman"/>
      <w:sz w:val="24"/>
      <w:szCs w:val="20"/>
    </w:rPr>
  </w:style>
  <w:style w:type="paragraph" w:customStyle="1" w:styleId="Firstpageinfo">
    <w:name w:val="Firstpageinfo"/>
    <w:basedOn w:val="Heading5"/>
    <w:pPr>
      <w:numPr>
        <w:ilvl w:val="0"/>
        <w:numId w:val="0"/>
      </w:numPr>
      <w:spacing w:before="240" w:line="240" w:lineRule="auto"/>
      <w:outlineLvl w:val="9"/>
    </w:pPr>
    <w:rPr>
      <w:rFonts w:ascii="Arial" w:eastAsia="Times New Roman" w:hAnsi="Arial" w:cs="Times New Roman"/>
      <w:color w:val="auto"/>
      <w:sz w:val="24"/>
      <w:szCs w:val="20"/>
    </w:rPr>
  </w:style>
  <w:style w:type="paragraph" w:customStyle="1" w:styleId="Numberofpages">
    <w:name w:val="Numberofpages"/>
    <w:basedOn w:val="Normal"/>
    <w:pPr>
      <w:keepNext/>
      <w:spacing w:before="240" w:after="0" w:line="240" w:lineRule="auto"/>
    </w:pPr>
    <w:rPr>
      <w:rFonts w:ascii="Arial" w:eastAsia="Times New Roman" w:hAnsi="Arial" w:cs="Times New Roman"/>
      <w:sz w:val="24"/>
      <w:szCs w:val="20"/>
    </w:rPr>
  </w:style>
  <w:style w:type="paragraph" w:customStyle="1" w:styleId="Releasedate">
    <w:name w:val="Releasedate"/>
    <w:basedOn w:val="Docstatus"/>
  </w:style>
  <w:style w:type="table" w:styleId="TableGrid">
    <w:name w:val="Table Grid"/>
    <w:basedOn w:val="TableNormal"/>
    <w:uiPriority w:val="59"/>
    <w:rsid w:val="000B67D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D86D5A"/>
    <w:pPr>
      <w:spacing w:after="100"/>
      <w:ind w:left="44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6155">
      <w:bodyDiv w:val="1"/>
      <w:marLeft w:val="0"/>
      <w:marRight w:val="0"/>
      <w:marTop w:val="0"/>
      <w:marBottom w:val="0"/>
      <w:divBdr>
        <w:top w:val="none" w:sz="0" w:space="0" w:color="auto"/>
        <w:left w:val="none" w:sz="0" w:space="0" w:color="auto"/>
        <w:bottom w:val="none" w:sz="0" w:space="0" w:color="auto"/>
        <w:right w:val="none" w:sz="0" w:space="0" w:color="auto"/>
      </w:divBdr>
      <w:divsChild>
        <w:div w:id="1231580141">
          <w:marLeft w:val="0"/>
          <w:marRight w:val="1"/>
          <w:marTop w:val="0"/>
          <w:marBottom w:val="0"/>
          <w:divBdr>
            <w:top w:val="none" w:sz="0" w:space="0" w:color="auto"/>
            <w:left w:val="none" w:sz="0" w:space="0" w:color="auto"/>
            <w:bottom w:val="none" w:sz="0" w:space="0" w:color="auto"/>
            <w:right w:val="none" w:sz="0" w:space="0" w:color="auto"/>
          </w:divBdr>
          <w:divsChild>
            <w:div w:id="858587918">
              <w:marLeft w:val="0"/>
              <w:marRight w:val="0"/>
              <w:marTop w:val="0"/>
              <w:marBottom w:val="0"/>
              <w:divBdr>
                <w:top w:val="none" w:sz="0" w:space="0" w:color="auto"/>
                <w:left w:val="none" w:sz="0" w:space="0" w:color="auto"/>
                <w:bottom w:val="none" w:sz="0" w:space="0" w:color="auto"/>
                <w:right w:val="none" w:sz="0" w:space="0" w:color="auto"/>
              </w:divBdr>
              <w:divsChild>
                <w:div w:id="1468813462">
                  <w:marLeft w:val="0"/>
                  <w:marRight w:val="1"/>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sChild>
                        <w:div w:id="1047753624">
                          <w:marLeft w:val="0"/>
                          <w:marRight w:val="0"/>
                          <w:marTop w:val="0"/>
                          <w:marBottom w:val="0"/>
                          <w:divBdr>
                            <w:top w:val="none" w:sz="0" w:space="0" w:color="auto"/>
                            <w:left w:val="none" w:sz="0" w:space="0" w:color="auto"/>
                            <w:bottom w:val="none" w:sz="0" w:space="0" w:color="auto"/>
                            <w:right w:val="none" w:sz="0" w:space="0" w:color="auto"/>
                          </w:divBdr>
                          <w:divsChild>
                            <w:div w:id="1263610321">
                              <w:marLeft w:val="0"/>
                              <w:marRight w:val="0"/>
                              <w:marTop w:val="120"/>
                              <w:marBottom w:val="360"/>
                              <w:divBdr>
                                <w:top w:val="none" w:sz="0" w:space="0" w:color="auto"/>
                                <w:left w:val="none" w:sz="0" w:space="0" w:color="auto"/>
                                <w:bottom w:val="none" w:sz="0" w:space="0" w:color="auto"/>
                                <w:right w:val="none" w:sz="0" w:space="0" w:color="auto"/>
                              </w:divBdr>
                              <w:divsChild>
                                <w:div w:id="777917924">
                                  <w:marLeft w:val="420"/>
                                  <w:marRight w:val="0"/>
                                  <w:marTop w:val="0"/>
                                  <w:marBottom w:val="0"/>
                                  <w:divBdr>
                                    <w:top w:val="none" w:sz="0" w:space="0" w:color="auto"/>
                                    <w:left w:val="none" w:sz="0" w:space="0" w:color="auto"/>
                                    <w:bottom w:val="none" w:sz="0" w:space="0" w:color="auto"/>
                                    <w:right w:val="none" w:sz="0" w:space="0" w:color="auto"/>
                                  </w:divBdr>
                                  <w:divsChild>
                                    <w:div w:id="19190479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83898">
      <w:bodyDiv w:val="1"/>
      <w:marLeft w:val="0"/>
      <w:marRight w:val="0"/>
      <w:marTop w:val="0"/>
      <w:marBottom w:val="0"/>
      <w:divBdr>
        <w:top w:val="none" w:sz="0" w:space="0" w:color="auto"/>
        <w:left w:val="none" w:sz="0" w:space="0" w:color="auto"/>
        <w:bottom w:val="none" w:sz="0" w:space="0" w:color="auto"/>
        <w:right w:val="none" w:sz="0" w:space="0" w:color="auto"/>
      </w:divBdr>
    </w:div>
    <w:div w:id="311836684">
      <w:bodyDiv w:val="1"/>
      <w:marLeft w:val="0"/>
      <w:marRight w:val="0"/>
      <w:marTop w:val="0"/>
      <w:marBottom w:val="0"/>
      <w:divBdr>
        <w:top w:val="none" w:sz="0" w:space="0" w:color="auto"/>
        <w:left w:val="none" w:sz="0" w:space="0" w:color="auto"/>
        <w:bottom w:val="none" w:sz="0" w:space="0" w:color="auto"/>
        <w:right w:val="none" w:sz="0" w:space="0" w:color="auto"/>
      </w:divBdr>
    </w:div>
    <w:div w:id="312947499">
      <w:bodyDiv w:val="1"/>
      <w:marLeft w:val="0"/>
      <w:marRight w:val="0"/>
      <w:marTop w:val="0"/>
      <w:marBottom w:val="0"/>
      <w:divBdr>
        <w:top w:val="none" w:sz="0" w:space="0" w:color="auto"/>
        <w:left w:val="none" w:sz="0" w:space="0" w:color="auto"/>
        <w:bottom w:val="none" w:sz="0" w:space="0" w:color="auto"/>
        <w:right w:val="none" w:sz="0" w:space="0" w:color="auto"/>
      </w:divBdr>
    </w:div>
    <w:div w:id="358513987">
      <w:bodyDiv w:val="1"/>
      <w:marLeft w:val="0"/>
      <w:marRight w:val="0"/>
      <w:marTop w:val="0"/>
      <w:marBottom w:val="0"/>
      <w:divBdr>
        <w:top w:val="none" w:sz="0" w:space="0" w:color="auto"/>
        <w:left w:val="none" w:sz="0" w:space="0" w:color="auto"/>
        <w:bottom w:val="none" w:sz="0" w:space="0" w:color="auto"/>
        <w:right w:val="none" w:sz="0" w:space="0" w:color="auto"/>
      </w:divBdr>
    </w:div>
    <w:div w:id="542979244">
      <w:bodyDiv w:val="1"/>
      <w:marLeft w:val="0"/>
      <w:marRight w:val="0"/>
      <w:marTop w:val="0"/>
      <w:marBottom w:val="0"/>
      <w:divBdr>
        <w:top w:val="none" w:sz="0" w:space="0" w:color="auto"/>
        <w:left w:val="none" w:sz="0" w:space="0" w:color="auto"/>
        <w:bottom w:val="none" w:sz="0" w:space="0" w:color="auto"/>
        <w:right w:val="none" w:sz="0" w:space="0" w:color="auto"/>
      </w:divBdr>
    </w:div>
    <w:div w:id="616909312">
      <w:bodyDiv w:val="1"/>
      <w:marLeft w:val="0"/>
      <w:marRight w:val="0"/>
      <w:marTop w:val="0"/>
      <w:marBottom w:val="0"/>
      <w:divBdr>
        <w:top w:val="none" w:sz="0" w:space="0" w:color="auto"/>
        <w:left w:val="none" w:sz="0" w:space="0" w:color="auto"/>
        <w:bottom w:val="none" w:sz="0" w:space="0" w:color="auto"/>
        <w:right w:val="none" w:sz="0" w:space="0" w:color="auto"/>
      </w:divBdr>
    </w:div>
    <w:div w:id="681663645">
      <w:bodyDiv w:val="1"/>
      <w:marLeft w:val="0"/>
      <w:marRight w:val="0"/>
      <w:marTop w:val="0"/>
      <w:marBottom w:val="0"/>
      <w:divBdr>
        <w:top w:val="none" w:sz="0" w:space="0" w:color="auto"/>
        <w:left w:val="none" w:sz="0" w:space="0" w:color="auto"/>
        <w:bottom w:val="none" w:sz="0" w:space="0" w:color="auto"/>
        <w:right w:val="none" w:sz="0" w:space="0" w:color="auto"/>
      </w:divBdr>
    </w:div>
    <w:div w:id="1004475836">
      <w:bodyDiv w:val="1"/>
      <w:marLeft w:val="0"/>
      <w:marRight w:val="0"/>
      <w:marTop w:val="0"/>
      <w:marBottom w:val="0"/>
      <w:divBdr>
        <w:top w:val="none" w:sz="0" w:space="0" w:color="auto"/>
        <w:left w:val="none" w:sz="0" w:space="0" w:color="auto"/>
        <w:bottom w:val="none" w:sz="0" w:space="0" w:color="auto"/>
        <w:right w:val="none" w:sz="0" w:space="0" w:color="auto"/>
      </w:divBdr>
    </w:div>
    <w:div w:id="1044450289">
      <w:bodyDiv w:val="1"/>
      <w:marLeft w:val="0"/>
      <w:marRight w:val="0"/>
      <w:marTop w:val="0"/>
      <w:marBottom w:val="0"/>
      <w:divBdr>
        <w:top w:val="none" w:sz="0" w:space="0" w:color="auto"/>
        <w:left w:val="none" w:sz="0" w:space="0" w:color="auto"/>
        <w:bottom w:val="none" w:sz="0" w:space="0" w:color="auto"/>
        <w:right w:val="none" w:sz="0" w:space="0" w:color="auto"/>
      </w:divBdr>
    </w:div>
    <w:div w:id="1082527257">
      <w:bodyDiv w:val="1"/>
      <w:marLeft w:val="0"/>
      <w:marRight w:val="0"/>
      <w:marTop w:val="0"/>
      <w:marBottom w:val="0"/>
      <w:divBdr>
        <w:top w:val="none" w:sz="0" w:space="0" w:color="auto"/>
        <w:left w:val="none" w:sz="0" w:space="0" w:color="auto"/>
        <w:bottom w:val="none" w:sz="0" w:space="0" w:color="auto"/>
        <w:right w:val="none" w:sz="0" w:space="0" w:color="auto"/>
      </w:divBdr>
    </w:div>
    <w:div w:id="1124227209">
      <w:bodyDiv w:val="1"/>
      <w:marLeft w:val="0"/>
      <w:marRight w:val="0"/>
      <w:marTop w:val="0"/>
      <w:marBottom w:val="0"/>
      <w:divBdr>
        <w:top w:val="none" w:sz="0" w:space="0" w:color="auto"/>
        <w:left w:val="none" w:sz="0" w:space="0" w:color="auto"/>
        <w:bottom w:val="none" w:sz="0" w:space="0" w:color="auto"/>
        <w:right w:val="none" w:sz="0" w:space="0" w:color="auto"/>
      </w:divBdr>
    </w:div>
    <w:div w:id="1302691809">
      <w:bodyDiv w:val="1"/>
      <w:marLeft w:val="0"/>
      <w:marRight w:val="0"/>
      <w:marTop w:val="0"/>
      <w:marBottom w:val="0"/>
      <w:divBdr>
        <w:top w:val="none" w:sz="0" w:space="0" w:color="auto"/>
        <w:left w:val="none" w:sz="0" w:space="0" w:color="auto"/>
        <w:bottom w:val="none" w:sz="0" w:space="0" w:color="auto"/>
        <w:right w:val="none" w:sz="0" w:space="0" w:color="auto"/>
      </w:divBdr>
    </w:div>
    <w:div w:id="1426343923">
      <w:bodyDiv w:val="1"/>
      <w:marLeft w:val="0"/>
      <w:marRight w:val="0"/>
      <w:marTop w:val="0"/>
      <w:marBottom w:val="0"/>
      <w:divBdr>
        <w:top w:val="none" w:sz="0" w:space="0" w:color="auto"/>
        <w:left w:val="none" w:sz="0" w:space="0" w:color="auto"/>
        <w:bottom w:val="none" w:sz="0" w:space="0" w:color="auto"/>
        <w:right w:val="none" w:sz="0" w:space="0" w:color="auto"/>
      </w:divBdr>
    </w:div>
    <w:div w:id="1545092954">
      <w:bodyDiv w:val="1"/>
      <w:marLeft w:val="0"/>
      <w:marRight w:val="0"/>
      <w:marTop w:val="0"/>
      <w:marBottom w:val="0"/>
      <w:divBdr>
        <w:top w:val="none" w:sz="0" w:space="0" w:color="auto"/>
        <w:left w:val="none" w:sz="0" w:space="0" w:color="auto"/>
        <w:bottom w:val="none" w:sz="0" w:space="0" w:color="auto"/>
        <w:right w:val="none" w:sz="0" w:space="0" w:color="auto"/>
      </w:divBdr>
    </w:div>
    <w:div w:id="1577395811">
      <w:bodyDiv w:val="1"/>
      <w:marLeft w:val="0"/>
      <w:marRight w:val="0"/>
      <w:marTop w:val="0"/>
      <w:marBottom w:val="0"/>
      <w:divBdr>
        <w:top w:val="none" w:sz="0" w:space="0" w:color="auto"/>
        <w:left w:val="none" w:sz="0" w:space="0" w:color="auto"/>
        <w:bottom w:val="none" w:sz="0" w:space="0" w:color="auto"/>
        <w:right w:val="none" w:sz="0" w:space="0" w:color="auto"/>
      </w:divBdr>
    </w:div>
    <w:div w:id="1616137008">
      <w:bodyDiv w:val="1"/>
      <w:marLeft w:val="0"/>
      <w:marRight w:val="0"/>
      <w:marTop w:val="0"/>
      <w:marBottom w:val="0"/>
      <w:divBdr>
        <w:top w:val="none" w:sz="0" w:space="0" w:color="auto"/>
        <w:left w:val="none" w:sz="0" w:space="0" w:color="auto"/>
        <w:bottom w:val="none" w:sz="0" w:space="0" w:color="auto"/>
        <w:right w:val="none" w:sz="0" w:space="0" w:color="auto"/>
      </w:divBdr>
    </w:div>
    <w:div w:id="1740786769">
      <w:bodyDiv w:val="1"/>
      <w:marLeft w:val="0"/>
      <w:marRight w:val="0"/>
      <w:marTop w:val="0"/>
      <w:marBottom w:val="0"/>
      <w:divBdr>
        <w:top w:val="none" w:sz="0" w:space="0" w:color="auto"/>
        <w:left w:val="none" w:sz="0" w:space="0" w:color="auto"/>
        <w:bottom w:val="none" w:sz="0" w:space="0" w:color="auto"/>
        <w:right w:val="none" w:sz="0" w:space="0" w:color="auto"/>
      </w:divBdr>
    </w:div>
    <w:div w:id="2120373439">
      <w:bodyDiv w:val="1"/>
      <w:marLeft w:val="0"/>
      <w:marRight w:val="0"/>
      <w:marTop w:val="0"/>
      <w:marBottom w:val="0"/>
      <w:divBdr>
        <w:top w:val="none" w:sz="0" w:space="0" w:color="auto"/>
        <w:left w:val="none" w:sz="0" w:space="0" w:color="auto"/>
        <w:bottom w:val="none" w:sz="0" w:space="0" w:color="auto"/>
        <w:right w:val="none" w:sz="0" w:space="0" w:color="auto"/>
      </w:divBdr>
    </w:div>
    <w:div w:id="2129427746">
      <w:bodyDiv w:val="1"/>
      <w:marLeft w:val="0"/>
      <w:marRight w:val="0"/>
      <w:marTop w:val="0"/>
      <w:marBottom w:val="0"/>
      <w:divBdr>
        <w:top w:val="none" w:sz="0" w:space="0" w:color="auto"/>
        <w:left w:val="none" w:sz="0" w:space="0" w:color="auto"/>
        <w:bottom w:val="none" w:sz="0" w:space="0" w:color="auto"/>
        <w:right w:val="none" w:sz="0" w:space="0" w:color="auto"/>
      </w:divBdr>
      <w:divsChild>
        <w:div w:id="1713531608">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ethics.gc.ca/pdf/eng/tcps2-2014/TCPS_2_FINAL_Web.pdf" TargetMode="External"/><Relationship Id="rId18" Type="http://schemas.openxmlformats.org/officeDocument/2006/relationships/hyperlink" Target="http://www.gpo.gov/fdsys/pkg/PLAW-108publ155/pdf/PLAW-108publ155.pdf" TargetMode="External"/><Relationship Id="rId26" Type="http://schemas.openxmlformats.org/officeDocument/2006/relationships/hyperlink" Target="http://www.ema.europa.eu/docs/en_GB/document_library/Scientific_guideline/2013/07/WC500147002.pdf" TargetMode="External"/><Relationship Id="rId3" Type="http://schemas.openxmlformats.org/officeDocument/2006/relationships/numbering" Target="numbering.xml"/><Relationship Id="rId21" Type="http://schemas.openxmlformats.org/officeDocument/2006/relationships/hyperlink" Target="http://www.icanresearch.org/"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ch.org/fileadmin/Public_Web_Site/ICH_Products/Guidelines/Efficacy/E11/Step4/E11_Guideline.pdf" TargetMode="External"/><Relationship Id="rId17" Type="http://schemas.openxmlformats.org/officeDocument/2006/relationships/hyperlink" Target="http://frwebgate.access.gpo.gov/cgi-bin/getdoc.cgi?dbname=107_cong_public_laws&amp;docid=f:publ109.107" TargetMode="External"/><Relationship Id="rId25" Type="http://schemas.openxmlformats.org/officeDocument/2006/relationships/hyperlink" Target="http://www.ema.europa.eu/ema/index.jsp?curl=pages/regulation/general/general_content_000608.jsp&amp;mid=WC0b01ac0580925b1b"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da.gov/RegulatoryInformation/Legislation/SignificantAmendmentstotheFDCAct/FDAMA/FullTextofFDAMAlaw/default.htm" TargetMode="External"/><Relationship Id="rId20" Type="http://schemas.openxmlformats.org/officeDocument/2006/relationships/hyperlink" Target="http://www.ema.europa.eu/docs/en_GB/document_library/Scientific_guideline/2012/09/WC500132555.pdf" TargetMode="External"/><Relationship Id="rId29" Type="http://schemas.openxmlformats.org/officeDocument/2006/relationships/hyperlink" Target="http://www.fda.gov/downloads/RegulatoryInformation/Guidances/ucm12707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a.europa.eu/docs/en_GB/document_library/Scientific_guideline/2009/09/WC500003754.pdf" TargetMode="External"/><Relationship Id="rId24" Type="http://schemas.openxmlformats.org/officeDocument/2006/relationships/hyperlink" Target="http://www.ema.europa.eu/docs/en_GB/document_library/Scientific_guideline/2014/01/WC500160232.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health/files/eudralex/vol-1/reg_2006_1901/reg_2006_1901_en.pdf" TargetMode="External"/><Relationship Id="rId23" Type="http://schemas.openxmlformats.org/officeDocument/2006/relationships/hyperlink" Target="http://www.ema.europa.eu/docs/en_GB/document_library/Scientific_guideline/2013/04/WC500142358.pdf" TargetMode="External"/><Relationship Id="rId28" Type="http://schemas.openxmlformats.org/officeDocument/2006/relationships/hyperlink" Target="http://www.accessdata.fda.gov/scripts/cdrh/cfdocs/cfcfr/CFRSearch.cfm?fr=50.53" TargetMode="External"/><Relationship Id="rId36" Type="http://schemas.openxmlformats.org/officeDocument/2006/relationships/fontTable" Target="fontTable.xml"/><Relationship Id="rId10" Type="http://schemas.openxmlformats.org/officeDocument/2006/relationships/hyperlink" Target="http://www.fda.gov/downloads/drugs/guidancecomplianceregulatoryinformation/guidances/ucm425885.pdf" TargetMode="External"/><Relationship Id="rId19" Type="http://schemas.openxmlformats.org/officeDocument/2006/relationships/hyperlink" Target="http://www.gpo.gov/fdsys/pkg/PLAW-112publ144/pdf/PLAW-112publ144.pdf"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c-path.org" TargetMode="External"/><Relationship Id="rId14" Type="http://schemas.openxmlformats.org/officeDocument/2006/relationships/hyperlink" Target="http://www.who.int/childmedicines/publications/GUIDANCECHILDHEALTH.pdf" TargetMode="External"/><Relationship Id="rId22" Type="http://schemas.openxmlformats.org/officeDocument/2006/relationships/hyperlink" Target="http://www.ncbi.nlm.nih.gov/pubmed?term=((Bourgeios%20T%5BAuthor%5D)%20AND%20Delezoide%20A%5BAuthor%5D)%20AND%20Zhao%5BAuthor%5D" TargetMode="External"/><Relationship Id="rId27" Type="http://schemas.openxmlformats.org/officeDocument/2006/relationships/hyperlink" Target="http://www.ema.europa.eu/ema/index.jsp?curl=pages/regulation/document_listing/document_listing_000387.jsp&amp;mid=WC0b01ac05808c01f6"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19FA-BB06-4924-B7FF-70593EA01A11}">
  <ds:schemaRefs>
    <ds:schemaRef ds:uri="http://schemas.openxmlformats.org/officeDocument/2006/bibliography"/>
  </ds:schemaRefs>
</ds:datastoreItem>
</file>

<file path=customXml/itemProps2.xml><?xml version="1.0" encoding="utf-8"?>
<ds:datastoreItem xmlns:ds="http://schemas.openxmlformats.org/officeDocument/2006/customXml" ds:itemID="{19277A37-8691-469D-B658-BA750C6A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8158</Words>
  <Characters>46501</Characters>
  <Application>Microsoft Office Word</Application>
  <DocSecurity>0</DocSecurity>
  <Lines>387</Lines>
  <Paragraphs>109</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Lenovo</Company>
  <LinksUpToDate>false</LinksUpToDate>
  <CharactersWithSpaces>54550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Laughon, Matthew M</dc:creator>
  <cp:keywords/>
  <dc:description/>
  <cp:lastModifiedBy>Bob Ward</cp:lastModifiedBy>
  <cp:revision>2</cp:revision>
  <cp:lastPrinted>2016-07-31T22:19:00Z</cp:lastPrinted>
  <dcterms:created xsi:type="dcterms:W3CDTF">2016-08-26T21:48:00Z</dcterms:created>
  <dcterms:modified xsi:type="dcterms:W3CDTF">2016-08-26T21:48:00Z</dcterms:modified>
</cp:coreProperties>
</file>