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06A4C" w14:textId="437B6F9F" w:rsidR="00C367C7" w:rsidRPr="00631E8E" w:rsidRDefault="00E94041" w:rsidP="00075D52">
      <w:pPr>
        <w:spacing w:line="360" w:lineRule="auto"/>
        <w:jc w:val="both"/>
        <w:rPr>
          <w:rFonts w:asciiTheme="majorHAnsi" w:hAnsiTheme="majorHAnsi"/>
          <w:b/>
          <w:szCs w:val="22"/>
        </w:rPr>
      </w:pPr>
      <w:r>
        <w:rPr>
          <w:rFonts w:asciiTheme="majorHAnsi" w:hAnsiTheme="majorHAnsi"/>
          <w:b/>
          <w:szCs w:val="22"/>
        </w:rPr>
        <w:t>Using the Patients Concerns Inventory</w:t>
      </w:r>
      <w:r w:rsidRPr="00631E8E">
        <w:rPr>
          <w:rFonts w:asciiTheme="majorHAnsi" w:hAnsiTheme="majorHAnsi"/>
          <w:b/>
          <w:szCs w:val="22"/>
        </w:rPr>
        <w:t xml:space="preserve"> </w:t>
      </w:r>
      <w:r>
        <w:rPr>
          <w:rFonts w:asciiTheme="majorHAnsi" w:hAnsiTheme="majorHAnsi"/>
          <w:b/>
          <w:szCs w:val="22"/>
        </w:rPr>
        <w:t xml:space="preserve">for </w:t>
      </w:r>
      <w:r w:rsidRPr="00631E8E">
        <w:rPr>
          <w:rFonts w:asciiTheme="majorHAnsi" w:hAnsiTheme="majorHAnsi"/>
          <w:b/>
          <w:szCs w:val="22"/>
        </w:rPr>
        <w:t xml:space="preserve">Distress </w:t>
      </w:r>
      <w:r w:rsidR="00075D52" w:rsidRPr="00631E8E">
        <w:rPr>
          <w:rFonts w:asciiTheme="majorHAnsi" w:hAnsiTheme="majorHAnsi"/>
          <w:b/>
          <w:szCs w:val="22"/>
        </w:rPr>
        <w:t xml:space="preserve">Screening </w:t>
      </w:r>
      <w:r w:rsidR="00C367C7" w:rsidRPr="00631E8E">
        <w:rPr>
          <w:rFonts w:asciiTheme="majorHAnsi" w:hAnsiTheme="majorHAnsi"/>
          <w:b/>
          <w:szCs w:val="22"/>
        </w:rPr>
        <w:t>in</w:t>
      </w:r>
      <w:r w:rsidR="00341ABF" w:rsidRPr="00631E8E">
        <w:rPr>
          <w:rFonts w:asciiTheme="majorHAnsi" w:hAnsiTheme="majorHAnsi"/>
          <w:b/>
          <w:szCs w:val="22"/>
        </w:rPr>
        <w:t xml:space="preserve"> </w:t>
      </w:r>
      <w:r w:rsidR="007F73EC">
        <w:rPr>
          <w:rFonts w:asciiTheme="majorHAnsi" w:hAnsiTheme="majorHAnsi"/>
          <w:b/>
          <w:szCs w:val="22"/>
        </w:rPr>
        <w:t>Post-treatment</w:t>
      </w:r>
      <w:r w:rsidR="00341ABF" w:rsidRPr="00631E8E">
        <w:rPr>
          <w:rFonts w:asciiTheme="majorHAnsi" w:hAnsiTheme="majorHAnsi"/>
          <w:b/>
          <w:szCs w:val="22"/>
        </w:rPr>
        <w:t xml:space="preserve"> Head and Neck </w:t>
      </w:r>
      <w:r w:rsidR="007F73EC">
        <w:rPr>
          <w:rFonts w:asciiTheme="majorHAnsi" w:hAnsiTheme="majorHAnsi"/>
          <w:b/>
          <w:szCs w:val="22"/>
        </w:rPr>
        <w:t>Cancer Survivors</w:t>
      </w:r>
      <w:r w:rsidR="00CF5B55">
        <w:rPr>
          <w:rFonts w:asciiTheme="majorHAnsi" w:hAnsiTheme="majorHAnsi"/>
          <w:b/>
          <w:szCs w:val="22"/>
        </w:rPr>
        <w:t xml:space="preserve"> </w:t>
      </w:r>
    </w:p>
    <w:p w14:paraId="77CAB1F5" w14:textId="77777777" w:rsidR="00C367C7" w:rsidRPr="00075D52" w:rsidRDefault="00C367C7" w:rsidP="00075D52">
      <w:pPr>
        <w:spacing w:line="360" w:lineRule="auto"/>
        <w:jc w:val="both"/>
        <w:rPr>
          <w:rFonts w:asciiTheme="majorHAnsi" w:hAnsiTheme="majorHAnsi"/>
          <w:sz w:val="22"/>
          <w:szCs w:val="22"/>
        </w:rPr>
      </w:pPr>
    </w:p>
    <w:p w14:paraId="361A07BB" w14:textId="77777777" w:rsidR="00537E33" w:rsidRPr="00075D52" w:rsidRDefault="00537E33" w:rsidP="00075D52">
      <w:pPr>
        <w:spacing w:line="360" w:lineRule="auto"/>
        <w:jc w:val="both"/>
        <w:rPr>
          <w:rFonts w:asciiTheme="majorHAnsi" w:hAnsiTheme="majorHAnsi"/>
          <w:sz w:val="22"/>
          <w:szCs w:val="22"/>
          <w:u w:val="single"/>
        </w:rPr>
      </w:pPr>
      <w:r w:rsidRPr="00075D52">
        <w:rPr>
          <w:rFonts w:asciiTheme="majorHAnsi" w:hAnsiTheme="majorHAnsi"/>
          <w:sz w:val="22"/>
          <w:szCs w:val="22"/>
          <w:u w:val="single"/>
        </w:rPr>
        <w:t>Authors:</w:t>
      </w:r>
    </w:p>
    <w:p w14:paraId="1FA75100" w14:textId="7175FC1A" w:rsidR="00C367C7" w:rsidRPr="00075D52" w:rsidRDefault="00C367C7" w:rsidP="00075D52">
      <w:pPr>
        <w:spacing w:line="360" w:lineRule="auto"/>
        <w:jc w:val="both"/>
        <w:rPr>
          <w:rFonts w:asciiTheme="majorHAnsi" w:hAnsiTheme="majorHAnsi"/>
          <w:sz w:val="22"/>
          <w:szCs w:val="22"/>
        </w:rPr>
      </w:pPr>
      <w:r w:rsidRPr="00075D52">
        <w:rPr>
          <w:rFonts w:asciiTheme="majorHAnsi" w:hAnsiTheme="majorHAnsi"/>
          <w:sz w:val="22"/>
          <w:szCs w:val="22"/>
        </w:rPr>
        <w:t>Naseem Ghazali</w:t>
      </w:r>
      <w:r w:rsidR="00537E33" w:rsidRPr="00075D52">
        <w:rPr>
          <w:rFonts w:asciiTheme="majorHAnsi" w:hAnsiTheme="majorHAnsi"/>
          <w:sz w:val="22"/>
          <w:szCs w:val="22"/>
        </w:rPr>
        <w:t xml:space="preserve"> </w:t>
      </w:r>
      <w:r w:rsidR="00537E33" w:rsidRPr="00075D52">
        <w:rPr>
          <w:rFonts w:asciiTheme="majorHAnsi" w:hAnsiTheme="majorHAnsi"/>
          <w:sz w:val="22"/>
          <w:szCs w:val="22"/>
          <w:vertAlign w:val="superscript"/>
        </w:rPr>
        <w:t>1,2</w:t>
      </w:r>
      <w:r w:rsidRPr="00075D52">
        <w:rPr>
          <w:rFonts w:asciiTheme="majorHAnsi" w:hAnsiTheme="majorHAnsi"/>
          <w:sz w:val="22"/>
          <w:szCs w:val="22"/>
        </w:rPr>
        <w:t>, Brenda Roe</w:t>
      </w:r>
      <w:r w:rsidR="00537E33" w:rsidRPr="00075D52">
        <w:rPr>
          <w:rFonts w:asciiTheme="majorHAnsi" w:hAnsiTheme="majorHAnsi"/>
          <w:sz w:val="22"/>
          <w:szCs w:val="22"/>
        </w:rPr>
        <w:t xml:space="preserve"> </w:t>
      </w:r>
      <w:r w:rsidR="00537E33" w:rsidRPr="00075D52">
        <w:rPr>
          <w:rFonts w:asciiTheme="majorHAnsi" w:hAnsiTheme="majorHAnsi"/>
          <w:sz w:val="22"/>
          <w:szCs w:val="22"/>
          <w:vertAlign w:val="superscript"/>
        </w:rPr>
        <w:t>3</w:t>
      </w:r>
      <w:r w:rsidRPr="00075D52">
        <w:rPr>
          <w:rFonts w:asciiTheme="majorHAnsi" w:hAnsiTheme="majorHAnsi"/>
          <w:sz w:val="22"/>
          <w:szCs w:val="22"/>
        </w:rPr>
        <w:t>, Derek Lowe</w:t>
      </w:r>
      <w:r w:rsidR="00537E33" w:rsidRPr="00075D52">
        <w:rPr>
          <w:rFonts w:asciiTheme="majorHAnsi" w:hAnsiTheme="majorHAnsi"/>
          <w:sz w:val="22"/>
          <w:szCs w:val="22"/>
        </w:rPr>
        <w:t xml:space="preserve"> </w:t>
      </w:r>
      <w:r w:rsidR="00537E33" w:rsidRPr="00075D52">
        <w:rPr>
          <w:rFonts w:asciiTheme="majorHAnsi" w:hAnsiTheme="majorHAnsi"/>
          <w:sz w:val="22"/>
          <w:szCs w:val="22"/>
          <w:vertAlign w:val="superscript"/>
        </w:rPr>
        <w:t>2,3</w:t>
      </w:r>
      <w:r w:rsidRPr="00075D52">
        <w:rPr>
          <w:rFonts w:asciiTheme="majorHAnsi" w:hAnsiTheme="majorHAnsi"/>
          <w:sz w:val="22"/>
          <w:szCs w:val="22"/>
        </w:rPr>
        <w:t>, Sank Tandon</w:t>
      </w:r>
      <w:r w:rsidR="00537E33" w:rsidRPr="00075D52">
        <w:rPr>
          <w:rFonts w:asciiTheme="majorHAnsi" w:hAnsiTheme="majorHAnsi"/>
          <w:sz w:val="22"/>
          <w:szCs w:val="22"/>
        </w:rPr>
        <w:t xml:space="preserve"> </w:t>
      </w:r>
      <w:r w:rsidR="00537E33" w:rsidRPr="00075D52">
        <w:rPr>
          <w:rFonts w:asciiTheme="majorHAnsi" w:hAnsiTheme="majorHAnsi"/>
          <w:sz w:val="22"/>
          <w:szCs w:val="22"/>
          <w:vertAlign w:val="superscript"/>
        </w:rPr>
        <w:t>4</w:t>
      </w:r>
      <w:r w:rsidRPr="00075D52">
        <w:rPr>
          <w:rFonts w:asciiTheme="majorHAnsi" w:hAnsiTheme="majorHAnsi"/>
          <w:sz w:val="22"/>
          <w:szCs w:val="22"/>
        </w:rPr>
        <w:t>, Terry Jones</w:t>
      </w:r>
      <w:r w:rsidR="00537E33" w:rsidRPr="00075D52">
        <w:rPr>
          <w:rFonts w:asciiTheme="majorHAnsi" w:hAnsiTheme="majorHAnsi"/>
          <w:sz w:val="22"/>
          <w:szCs w:val="22"/>
        </w:rPr>
        <w:t xml:space="preserve"> </w:t>
      </w:r>
      <w:r w:rsidR="00537E33" w:rsidRPr="00075D52">
        <w:rPr>
          <w:rFonts w:asciiTheme="majorHAnsi" w:hAnsiTheme="majorHAnsi"/>
          <w:sz w:val="22"/>
          <w:szCs w:val="22"/>
          <w:vertAlign w:val="superscript"/>
        </w:rPr>
        <w:t>1,4</w:t>
      </w:r>
      <w:r w:rsidRPr="00075D52">
        <w:rPr>
          <w:rFonts w:asciiTheme="majorHAnsi" w:hAnsiTheme="majorHAnsi"/>
          <w:sz w:val="22"/>
          <w:szCs w:val="22"/>
        </w:rPr>
        <w:t>, Richard Shaw</w:t>
      </w:r>
      <w:r w:rsidR="00537E33" w:rsidRPr="00075D52">
        <w:rPr>
          <w:rFonts w:asciiTheme="majorHAnsi" w:hAnsiTheme="majorHAnsi"/>
          <w:sz w:val="22"/>
          <w:szCs w:val="22"/>
        </w:rPr>
        <w:t xml:space="preserve"> </w:t>
      </w:r>
      <w:r w:rsidR="00537E33" w:rsidRPr="00075D52">
        <w:rPr>
          <w:rFonts w:asciiTheme="majorHAnsi" w:hAnsiTheme="majorHAnsi"/>
          <w:sz w:val="22"/>
          <w:szCs w:val="22"/>
          <w:vertAlign w:val="superscript"/>
        </w:rPr>
        <w:t>1,2</w:t>
      </w:r>
      <w:r w:rsidRPr="00075D52">
        <w:rPr>
          <w:rFonts w:asciiTheme="majorHAnsi" w:hAnsiTheme="majorHAnsi"/>
          <w:sz w:val="22"/>
          <w:szCs w:val="22"/>
          <w:vertAlign w:val="superscript"/>
        </w:rPr>
        <w:t>,</w:t>
      </w:r>
      <w:r w:rsidR="005035CB" w:rsidRPr="00075D52">
        <w:rPr>
          <w:rFonts w:asciiTheme="majorHAnsi" w:hAnsiTheme="majorHAnsi"/>
          <w:sz w:val="22"/>
          <w:szCs w:val="22"/>
        </w:rPr>
        <w:t>, Janet Risk</w:t>
      </w:r>
      <w:r w:rsidR="005035CB" w:rsidRPr="00075D52">
        <w:rPr>
          <w:rFonts w:asciiTheme="majorHAnsi" w:hAnsiTheme="majorHAnsi"/>
          <w:sz w:val="22"/>
          <w:szCs w:val="22"/>
          <w:vertAlign w:val="superscript"/>
        </w:rPr>
        <w:t>1</w:t>
      </w:r>
      <w:r w:rsidR="005035CB" w:rsidRPr="00075D52">
        <w:rPr>
          <w:rFonts w:asciiTheme="majorHAnsi" w:hAnsiTheme="majorHAnsi"/>
          <w:sz w:val="22"/>
          <w:szCs w:val="22"/>
        </w:rPr>
        <w:t xml:space="preserve"> </w:t>
      </w:r>
      <w:r w:rsidR="00537E33" w:rsidRPr="00075D52">
        <w:rPr>
          <w:rFonts w:asciiTheme="majorHAnsi" w:hAnsiTheme="majorHAnsi"/>
          <w:sz w:val="22"/>
          <w:szCs w:val="22"/>
        </w:rPr>
        <w:t xml:space="preserve">and </w:t>
      </w:r>
      <w:r w:rsidRPr="00075D52">
        <w:rPr>
          <w:rFonts w:asciiTheme="majorHAnsi" w:hAnsiTheme="majorHAnsi"/>
          <w:sz w:val="22"/>
          <w:szCs w:val="22"/>
        </w:rPr>
        <w:t>Simon N Rogers</w:t>
      </w:r>
      <w:r w:rsidR="00537E33" w:rsidRPr="00075D52">
        <w:rPr>
          <w:rFonts w:asciiTheme="majorHAnsi" w:hAnsiTheme="majorHAnsi"/>
          <w:sz w:val="22"/>
          <w:szCs w:val="22"/>
        </w:rPr>
        <w:t xml:space="preserve"> </w:t>
      </w:r>
      <w:r w:rsidR="00537E33" w:rsidRPr="00075D52">
        <w:rPr>
          <w:rFonts w:asciiTheme="majorHAnsi" w:hAnsiTheme="majorHAnsi"/>
          <w:sz w:val="22"/>
          <w:szCs w:val="22"/>
          <w:vertAlign w:val="superscript"/>
        </w:rPr>
        <w:t>2,3</w:t>
      </w:r>
      <w:r w:rsidR="007579A0" w:rsidRPr="00075D52">
        <w:rPr>
          <w:rFonts w:asciiTheme="majorHAnsi" w:hAnsiTheme="majorHAnsi"/>
          <w:sz w:val="22"/>
          <w:szCs w:val="22"/>
        </w:rPr>
        <w:t>.</w:t>
      </w:r>
    </w:p>
    <w:p w14:paraId="70DB2C16" w14:textId="77777777" w:rsidR="00537E33" w:rsidRPr="00075D52" w:rsidRDefault="00537E33" w:rsidP="00075D52">
      <w:pPr>
        <w:spacing w:line="360" w:lineRule="auto"/>
        <w:jc w:val="both"/>
        <w:rPr>
          <w:rFonts w:asciiTheme="majorHAnsi" w:hAnsiTheme="majorHAnsi"/>
          <w:sz w:val="22"/>
          <w:szCs w:val="22"/>
        </w:rPr>
      </w:pPr>
    </w:p>
    <w:p w14:paraId="233745F3" w14:textId="77777777" w:rsidR="00537E33" w:rsidRPr="00075D52" w:rsidRDefault="00537E33" w:rsidP="00075D52">
      <w:pPr>
        <w:spacing w:line="360" w:lineRule="auto"/>
        <w:jc w:val="both"/>
        <w:rPr>
          <w:rFonts w:asciiTheme="majorHAnsi" w:hAnsiTheme="majorHAnsi"/>
          <w:sz w:val="22"/>
          <w:szCs w:val="22"/>
          <w:u w:val="single"/>
        </w:rPr>
      </w:pPr>
      <w:r w:rsidRPr="00075D52">
        <w:rPr>
          <w:rFonts w:asciiTheme="majorHAnsi" w:hAnsiTheme="majorHAnsi"/>
          <w:sz w:val="22"/>
          <w:szCs w:val="22"/>
          <w:u w:val="single"/>
        </w:rPr>
        <w:t>Institutions:</w:t>
      </w:r>
    </w:p>
    <w:p w14:paraId="1A833BCB" w14:textId="77777777" w:rsidR="00537E33" w:rsidRPr="00075D52" w:rsidRDefault="002B1990" w:rsidP="00075D52">
      <w:pPr>
        <w:spacing w:line="360" w:lineRule="auto"/>
        <w:jc w:val="both"/>
        <w:rPr>
          <w:rFonts w:asciiTheme="majorHAnsi" w:hAnsiTheme="majorHAnsi"/>
          <w:sz w:val="22"/>
          <w:szCs w:val="22"/>
          <w:lang w:val="en-GB"/>
        </w:rPr>
      </w:pPr>
      <w:r w:rsidRPr="00075D52">
        <w:rPr>
          <w:rFonts w:asciiTheme="majorHAnsi" w:hAnsiTheme="majorHAnsi"/>
          <w:bCs/>
          <w:sz w:val="22"/>
          <w:szCs w:val="22"/>
          <w:lang w:val="en-GB"/>
        </w:rPr>
        <w:t xml:space="preserve">1. </w:t>
      </w:r>
      <w:r w:rsidR="00537E33" w:rsidRPr="00075D52">
        <w:rPr>
          <w:rFonts w:asciiTheme="majorHAnsi" w:hAnsiTheme="majorHAnsi"/>
          <w:bCs/>
          <w:sz w:val="22"/>
          <w:szCs w:val="22"/>
          <w:lang w:val="en-GB"/>
        </w:rPr>
        <w:t>Department of Molecular &amp; Clinical Cancer Medicine, Instit</w:t>
      </w:r>
      <w:r w:rsidR="007E3659" w:rsidRPr="00075D52">
        <w:rPr>
          <w:rFonts w:asciiTheme="majorHAnsi" w:hAnsiTheme="majorHAnsi"/>
          <w:bCs/>
          <w:sz w:val="22"/>
          <w:szCs w:val="22"/>
          <w:lang w:val="en-GB"/>
        </w:rPr>
        <w:t xml:space="preserve">ute of Translational Medicine, </w:t>
      </w:r>
      <w:r w:rsidR="00537E33" w:rsidRPr="00075D52">
        <w:rPr>
          <w:rFonts w:asciiTheme="majorHAnsi" w:hAnsiTheme="majorHAnsi"/>
          <w:bCs/>
          <w:sz w:val="22"/>
          <w:szCs w:val="22"/>
          <w:lang w:val="en-GB"/>
        </w:rPr>
        <w:t>University of Liverpool, Liverpool.</w:t>
      </w:r>
    </w:p>
    <w:p w14:paraId="37999D49" w14:textId="77777777" w:rsidR="00537E33" w:rsidRPr="00075D52" w:rsidRDefault="002B1990" w:rsidP="00075D52">
      <w:pPr>
        <w:spacing w:line="360" w:lineRule="auto"/>
        <w:jc w:val="both"/>
        <w:rPr>
          <w:rFonts w:asciiTheme="majorHAnsi" w:hAnsiTheme="majorHAnsi"/>
          <w:bCs/>
          <w:sz w:val="22"/>
          <w:szCs w:val="22"/>
          <w:lang w:val="en-GB"/>
        </w:rPr>
      </w:pPr>
      <w:r w:rsidRPr="00075D52">
        <w:rPr>
          <w:rFonts w:asciiTheme="majorHAnsi" w:hAnsiTheme="majorHAnsi"/>
          <w:bCs/>
          <w:sz w:val="22"/>
          <w:szCs w:val="22"/>
          <w:lang w:val="en-GB"/>
        </w:rPr>
        <w:t>2.</w:t>
      </w:r>
      <w:r w:rsidRPr="00075D52">
        <w:rPr>
          <w:rFonts w:asciiTheme="majorHAnsi" w:hAnsiTheme="majorHAnsi"/>
          <w:bCs/>
          <w:sz w:val="22"/>
          <w:szCs w:val="22"/>
          <w:vertAlign w:val="superscript"/>
          <w:lang w:val="en-GB"/>
        </w:rPr>
        <w:t xml:space="preserve"> </w:t>
      </w:r>
      <w:r w:rsidR="00537E33" w:rsidRPr="00075D52">
        <w:rPr>
          <w:rFonts w:asciiTheme="majorHAnsi" w:hAnsiTheme="majorHAnsi"/>
          <w:bCs/>
          <w:sz w:val="22"/>
          <w:szCs w:val="22"/>
          <w:lang w:val="en-GB"/>
        </w:rPr>
        <w:t>Regional Maxillofacial Unit, Aintree University Hospitals NHS Trust, Liverpool.</w:t>
      </w:r>
    </w:p>
    <w:p w14:paraId="1B33B863" w14:textId="169BB4D1" w:rsidR="00537E33" w:rsidRPr="00075D52" w:rsidRDefault="002B1990" w:rsidP="00075D52">
      <w:pPr>
        <w:spacing w:line="360" w:lineRule="auto"/>
        <w:jc w:val="both"/>
        <w:rPr>
          <w:rFonts w:asciiTheme="majorHAnsi" w:hAnsiTheme="majorHAnsi"/>
          <w:sz w:val="22"/>
          <w:szCs w:val="22"/>
          <w:lang w:val="en-GB"/>
        </w:rPr>
      </w:pPr>
      <w:r w:rsidRPr="00075D52">
        <w:rPr>
          <w:rFonts w:asciiTheme="majorHAnsi" w:hAnsiTheme="majorHAnsi"/>
          <w:bCs/>
          <w:sz w:val="22"/>
          <w:szCs w:val="22"/>
          <w:lang w:val="en-GB"/>
        </w:rPr>
        <w:t>3.</w:t>
      </w:r>
      <w:r w:rsidRPr="00075D52">
        <w:rPr>
          <w:rFonts w:asciiTheme="majorHAnsi" w:hAnsiTheme="majorHAnsi"/>
          <w:bCs/>
          <w:sz w:val="22"/>
          <w:szCs w:val="22"/>
          <w:vertAlign w:val="superscript"/>
          <w:lang w:val="en-GB"/>
        </w:rPr>
        <w:t xml:space="preserve"> </w:t>
      </w:r>
      <w:r w:rsidR="00537E33" w:rsidRPr="00075D52">
        <w:rPr>
          <w:rFonts w:asciiTheme="majorHAnsi" w:hAnsiTheme="majorHAnsi"/>
          <w:bCs/>
          <w:sz w:val="22"/>
          <w:szCs w:val="22"/>
        </w:rPr>
        <w:t>Evidence-Based Practice Research Centre,</w:t>
      </w:r>
      <w:r w:rsidR="007F041D">
        <w:rPr>
          <w:rFonts w:asciiTheme="majorHAnsi" w:hAnsiTheme="majorHAnsi"/>
          <w:bCs/>
          <w:sz w:val="22"/>
          <w:szCs w:val="22"/>
        </w:rPr>
        <w:t xml:space="preserve"> </w:t>
      </w:r>
      <w:r w:rsidR="00537E33" w:rsidRPr="00075D52">
        <w:rPr>
          <w:rFonts w:asciiTheme="majorHAnsi" w:hAnsiTheme="majorHAnsi"/>
          <w:bCs/>
          <w:sz w:val="22"/>
          <w:szCs w:val="22"/>
        </w:rPr>
        <w:t>Faculty of Health</w:t>
      </w:r>
      <w:r w:rsidR="0008645A">
        <w:rPr>
          <w:rFonts w:asciiTheme="majorHAnsi" w:hAnsiTheme="majorHAnsi"/>
          <w:bCs/>
          <w:sz w:val="22"/>
          <w:szCs w:val="22"/>
        </w:rPr>
        <w:t xml:space="preserve"> &amp; Social Care</w:t>
      </w:r>
      <w:r w:rsidR="00537E33" w:rsidRPr="00075D52">
        <w:rPr>
          <w:rFonts w:asciiTheme="majorHAnsi" w:hAnsiTheme="majorHAnsi"/>
          <w:bCs/>
          <w:sz w:val="22"/>
          <w:szCs w:val="22"/>
        </w:rPr>
        <w:t>, Edge</w:t>
      </w:r>
      <w:r w:rsidR="0008645A">
        <w:rPr>
          <w:rFonts w:asciiTheme="majorHAnsi" w:hAnsiTheme="majorHAnsi"/>
          <w:bCs/>
          <w:sz w:val="22"/>
          <w:szCs w:val="22"/>
        </w:rPr>
        <w:t xml:space="preserve"> H</w:t>
      </w:r>
      <w:r w:rsidR="00537E33" w:rsidRPr="00075D52">
        <w:rPr>
          <w:rFonts w:asciiTheme="majorHAnsi" w:hAnsiTheme="majorHAnsi"/>
          <w:bCs/>
          <w:sz w:val="22"/>
          <w:szCs w:val="22"/>
        </w:rPr>
        <w:t>ill University, Omskirk.</w:t>
      </w:r>
    </w:p>
    <w:p w14:paraId="2A3570A7" w14:textId="77777777" w:rsidR="00537E33" w:rsidRPr="00075D52" w:rsidRDefault="002B1990" w:rsidP="00075D52">
      <w:pPr>
        <w:spacing w:line="360" w:lineRule="auto"/>
        <w:jc w:val="both"/>
        <w:rPr>
          <w:rFonts w:asciiTheme="majorHAnsi" w:hAnsiTheme="majorHAnsi"/>
          <w:sz w:val="22"/>
          <w:szCs w:val="22"/>
          <w:lang w:val="en-GB"/>
        </w:rPr>
      </w:pPr>
      <w:r w:rsidRPr="00075D52">
        <w:rPr>
          <w:rFonts w:asciiTheme="majorHAnsi" w:hAnsiTheme="majorHAnsi"/>
          <w:bCs/>
          <w:sz w:val="22"/>
          <w:szCs w:val="22"/>
        </w:rPr>
        <w:t>4.</w:t>
      </w:r>
      <w:r w:rsidRPr="00075D52">
        <w:rPr>
          <w:rFonts w:asciiTheme="majorHAnsi" w:hAnsiTheme="majorHAnsi"/>
          <w:bCs/>
          <w:sz w:val="22"/>
          <w:szCs w:val="22"/>
          <w:vertAlign w:val="superscript"/>
        </w:rPr>
        <w:t xml:space="preserve"> </w:t>
      </w:r>
      <w:r w:rsidR="00537E33" w:rsidRPr="00075D52">
        <w:rPr>
          <w:rFonts w:asciiTheme="majorHAnsi" w:hAnsiTheme="majorHAnsi"/>
          <w:bCs/>
          <w:sz w:val="22"/>
          <w:szCs w:val="22"/>
          <w:lang w:val="en-GB"/>
        </w:rPr>
        <w:t>ENT Unit, Aintree University Hospitals NHS Trust, Liverpool.</w:t>
      </w:r>
    </w:p>
    <w:p w14:paraId="5F2F8378" w14:textId="77777777" w:rsidR="00537E33" w:rsidRPr="00075D52" w:rsidRDefault="00537E33" w:rsidP="00075D52">
      <w:pPr>
        <w:spacing w:line="360" w:lineRule="auto"/>
        <w:jc w:val="both"/>
        <w:rPr>
          <w:rFonts w:asciiTheme="majorHAnsi" w:hAnsiTheme="majorHAnsi"/>
          <w:sz w:val="22"/>
          <w:szCs w:val="22"/>
          <w:lang w:val="en-GB"/>
        </w:rPr>
      </w:pPr>
    </w:p>
    <w:p w14:paraId="3CD37367" w14:textId="77777777" w:rsidR="00537E33" w:rsidRPr="00075D52" w:rsidRDefault="00537E33" w:rsidP="00075D52">
      <w:pPr>
        <w:spacing w:line="360" w:lineRule="auto"/>
        <w:jc w:val="both"/>
        <w:rPr>
          <w:rFonts w:asciiTheme="majorHAnsi" w:hAnsiTheme="majorHAnsi"/>
          <w:sz w:val="22"/>
          <w:szCs w:val="22"/>
          <w:u w:val="single"/>
        </w:rPr>
      </w:pPr>
      <w:r w:rsidRPr="00075D52">
        <w:rPr>
          <w:rFonts w:asciiTheme="majorHAnsi" w:hAnsiTheme="majorHAnsi"/>
          <w:sz w:val="22"/>
          <w:szCs w:val="22"/>
          <w:u w:val="single"/>
        </w:rPr>
        <w:t>Author for correspondence:</w:t>
      </w:r>
    </w:p>
    <w:p w14:paraId="16FF03F9" w14:textId="1DFA3912" w:rsidR="00537E33" w:rsidRPr="00075D52" w:rsidRDefault="00341ABF" w:rsidP="00075D52">
      <w:pPr>
        <w:spacing w:line="360" w:lineRule="auto"/>
        <w:jc w:val="both"/>
        <w:rPr>
          <w:rFonts w:asciiTheme="majorHAnsi" w:hAnsiTheme="majorHAnsi"/>
          <w:sz w:val="22"/>
          <w:szCs w:val="22"/>
        </w:rPr>
      </w:pPr>
      <w:r>
        <w:rPr>
          <w:rFonts w:asciiTheme="majorHAnsi" w:hAnsiTheme="majorHAnsi"/>
          <w:sz w:val="22"/>
          <w:szCs w:val="22"/>
        </w:rPr>
        <w:t>Miss Naseem Ghazali</w:t>
      </w:r>
    </w:p>
    <w:p w14:paraId="50481ADB" w14:textId="77777777" w:rsidR="00537E33" w:rsidRPr="00075D52" w:rsidRDefault="00537E33" w:rsidP="00075D52">
      <w:pPr>
        <w:spacing w:line="360" w:lineRule="auto"/>
        <w:jc w:val="both"/>
        <w:rPr>
          <w:rFonts w:asciiTheme="majorHAnsi" w:hAnsiTheme="majorHAnsi"/>
          <w:sz w:val="22"/>
          <w:szCs w:val="22"/>
        </w:rPr>
      </w:pPr>
    </w:p>
    <w:p w14:paraId="793B349F" w14:textId="77777777" w:rsidR="007579A0" w:rsidRPr="00075D52" w:rsidRDefault="00537E33" w:rsidP="00075D52">
      <w:pPr>
        <w:spacing w:line="360" w:lineRule="auto"/>
        <w:jc w:val="both"/>
        <w:rPr>
          <w:rFonts w:asciiTheme="majorHAnsi" w:hAnsiTheme="majorHAnsi"/>
          <w:sz w:val="22"/>
          <w:szCs w:val="22"/>
          <w:u w:val="single"/>
        </w:rPr>
      </w:pPr>
      <w:r w:rsidRPr="00075D52">
        <w:rPr>
          <w:rFonts w:asciiTheme="majorHAnsi" w:hAnsiTheme="majorHAnsi"/>
          <w:sz w:val="22"/>
          <w:szCs w:val="22"/>
          <w:u w:val="single"/>
        </w:rPr>
        <w:t>Address for correspondence:</w:t>
      </w:r>
    </w:p>
    <w:p w14:paraId="6F5EBBA2" w14:textId="77777777" w:rsidR="00537E33" w:rsidRPr="00075D52" w:rsidRDefault="00537E33" w:rsidP="00075D52">
      <w:pPr>
        <w:spacing w:line="360" w:lineRule="auto"/>
        <w:jc w:val="both"/>
        <w:rPr>
          <w:rFonts w:asciiTheme="majorHAnsi" w:hAnsiTheme="majorHAnsi"/>
          <w:sz w:val="22"/>
          <w:szCs w:val="22"/>
        </w:rPr>
      </w:pPr>
      <w:r w:rsidRPr="00075D52">
        <w:rPr>
          <w:rFonts w:asciiTheme="majorHAnsi" w:hAnsiTheme="majorHAnsi"/>
          <w:sz w:val="22"/>
          <w:szCs w:val="22"/>
        </w:rPr>
        <w:t>Regional Maxillofacial Unit</w:t>
      </w:r>
    </w:p>
    <w:p w14:paraId="20512A11" w14:textId="77777777" w:rsidR="00537E33" w:rsidRPr="00075D52" w:rsidRDefault="00537E33" w:rsidP="00075D52">
      <w:pPr>
        <w:spacing w:line="360" w:lineRule="auto"/>
        <w:jc w:val="both"/>
        <w:rPr>
          <w:rFonts w:asciiTheme="majorHAnsi" w:hAnsiTheme="majorHAnsi"/>
          <w:sz w:val="22"/>
          <w:szCs w:val="22"/>
        </w:rPr>
      </w:pPr>
      <w:r w:rsidRPr="00075D52">
        <w:rPr>
          <w:rFonts w:asciiTheme="majorHAnsi" w:hAnsiTheme="majorHAnsi"/>
          <w:sz w:val="22"/>
          <w:szCs w:val="22"/>
        </w:rPr>
        <w:t>University Hospital Aintree</w:t>
      </w:r>
    </w:p>
    <w:p w14:paraId="64C79D86" w14:textId="77777777" w:rsidR="00537E33" w:rsidRPr="00075D52" w:rsidRDefault="00537E33" w:rsidP="00075D52">
      <w:pPr>
        <w:spacing w:line="360" w:lineRule="auto"/>
        <w:jc w:val="both"/>
        <w:rPr>
          <w:rFonts w:asciiTheme="majorHAnsi" w:hAnsiTheme="majorHAnsi"/>
          <w:sz w:val="22"/>
          <w:szCs w:val="22"/>
        </w:rPr>
      </w:pPr>
      <w:r w:rsidRPr="00075D52">
        <w:rPr>
          <w:rFonts w:asciiTheme="majorHAnsi" w:hAnsiTheme="majorHAnsi"/>
          <w:sz w:val="22"/>
          <w:szCs w:val="22"/>
        </w:rPr>
        <w:t>Lower Lane</w:t>
      </w:r>
    </w:p>
    <w:p w14:paraId="58F3053B" w14:textId="77777777" w:rsidR="00537E33" w:rsidRPr="00075D52" w:rsidRDefault="00537E33" w:rsidP="00075D52">
      <w:pPr>
        <w:spacing w:line="360" w:lineRule="auto"/>
        <w:jc w:val="both"/>
        <w:rPr>
          <w:rFonts w:asciiTheme="majorHAnsi" w:hAnsiTheme="majorHAnsi"/>
          <w:sz w:val="22"/>
          <w:szCs w:val="22"/>
        </w:rPr>
      </w:pPr>
      <w:r w:rsidRPr="00075D52">
        <w:rPr>
          <w:rFonts w:asciiTheme="majorHAnsi" w:hAnsiTheme="majorHAnsi"/>
          <w:sz w:val="22"/>
          <w:szCs w:val="22"/>
        </w:rPr>
        <w:t>Liverpool L9 7AL</w:t>
      </w:r>
    </w:p>
    <w:p w14:paraId="7E1C8351" w14:textId="77777777" w:rsidR="007C5D32" w:rsidRPr="00075D52" w:rsidRDefault="007C5D32" w:rsidP="00075D52">
      <w:pPr>
        <w:spacing w:line="360" w:lineRule="auto"/>
        <w:jc w:val="both"/>
        <w:rPr>
          <w:rFonts w:asciiTheme="majorHAnsi" w:hAnsiTheme="majorHAnsi"/>
          <w:sz w:val="22"/>
          <w:szCs w:val="22"/>
        </w:rPr>
      </w:pPr>
      <w:r w:rsidRPr="00075D52">
        <w:rPr>
          <w:rFonts w:asciiTheme="majorHAnsi" w:hAnsiTheme="majorHAnsi"/>
          <w:sz w:val="22"/>
          <w:szCs w:val="22"/>
        </w:rPr>
        <w:t>UNITED KINGDOM</w:t>
      </w:r>
    </w:p>
    <w:p w14:paraId="26E6C74B" w14:textId="77777777" w:rsidR="00537E33" w:rsidRPr="00075D52" w:rsidRDefault="00537E33" w:rsidP="00075D52">
      <w:pPr>
        <w:spacing w:line="360" w:lineRule="auto"/>
        <w:jc w:val="both"/>
        <w:rPr>
          <w:rFonts w:asciiTheme="majorHAnsi" w:hAnsiTheme="majorHAnsi"/>
          <w:sz w:val="22"/>
          <w:szCs w:val="22"/>
        </w:rPr>
      </w:pPr>
    </w:p>
    <w:p w14:paraId="7E784E4D" w14:textId="77777777" w:rsidR="007E3659" w:rsidRPr="00075D52" w:rsidRDefault="007E3659" w:rsidP="00075D52">
      <w:pPr>
        <w:spacing w:line="360" w:lineRule="auto"/>
        <w:ind w:right="480"/>
        <w:jc w:val="both"/>
        <w:rPr>
          <w:rFonts w:asciiTheme="majorHAnsi" w:hAnsiTheme="majorHAnsi"/>
          <w:sz w:val="22"/>
          <w:szCs w:val="22"/>
        </w:rPr>
      </w:pPr>
      <w:r w:rsidRPr="00075D52">
        <w:rPr>
          <w:rFonts w:asciiTheme="majorHAnsi" w:hAnsiTheme="majorHAnsi"/>
          <w:sz w:val="22"/>
          <w:szCs w:val="22"/>
        </w:rPr>
        <w:t>Telephone number: 0151 529 5287</w:t>
      </w:r>
    </w:p>
    <w:p w14:paraId="6860D9CE" w14:textId="77777777" w:rsidR="007E3659" w:rsidRPr="00075D52" w:rsidRDefault="007E3659" w:rsidP="00075D52">
      <w:pPr>
        <w:spacing w:line="360" w:lineRule="auto"/>
        <w:ind w:right="480"/>
        <w:jc w:val="both"/>
        <w:rPr>
          <w:rFonts w:asciiTheme="majorHAnsi" w:hAnsiTheme="majorHAnsi"/>
          <w:sz w:val="22"/>
          <w:szCs w:val="22"/>
        </w:rPr>
      </w:pPr>
      <w:r w:rsidRPr="00075D52">
        <w:rPr>
          <w:rFonts w:asciiTheme="majorHAnsi" w:hAnsiTheme="majorHAnsi"/>
          <w:sz w:val="22"/>
          <w:szCs w:val="22"/>
        </w:rPr>
        <w:t>Fax number: 0151 529 5288</w:t>
      </w:r>
    </w:p>
    <w:p w14:paraId="66909B29" w14:textId="0809FAF6" w:rsidR="007E3659" w:rsidRPr="00075D52" w:rsidRDefault="007E3659" w:rsidP="00075D52">
      <w:pPr>
        <w:spacing w:line="360" w:lineRule="auto"/>
        <w:ind w:right="480"/>
        <w:jc w:val="both"/>
        <w:rPr>
          <w:rFonts w:asciiTheme="majorHAnsi" w:hAnsiTheme="majorHAnsi"/>
          <w:sz w:val="22"/>
          <w:szCs w:val="22"/>
        </w:rPr>
      </w:pPr>
      <w:r w:rsidRPr="00075D52">
        <w:rPr>
          <w:rFonts w:asciiTheme="majorHAnsi" w:hAnsiTheme="majorHAnsi"/>
          <w:sz w:val="22"/>
          <w:szCs w:val="22"/>
        </w:rPr>
        <w:t xml:space="preserve">Email: </w:t>
      </w:r>
      <w:r w:rsidR="00341ABF">
        <w:rPr>
          <w:rFonts w:asciiTheme="majorHAnsi" w:hAnsiTheme="majorHAnsi"/>
          <w:sz w:val="22"/>
          <w:szCs w:val="22"/>
        </w:rPr>
        <w:t>naseemghazali@doctors.org.uk</w:t>
      </w:r>
    </w:p>
    <w:p w14:paraId="549D603D" w14:textId="56556D60" w:rsidR="007579A0" w:rsidRDefault="007579A0" w:rsidP="00075D52">
      <w:pPr>
        <w:spacing w:line="360" w:lineRule="auto"/>
        <w:jc w:val="both"/>
        <w:rPr>
          <w:rFonts w:asciiTheme="majorHAnsi" w:hAnsiTheme="majorHAnsi"/>
          <w:sz w:val="22"/>
          <w:szCs w:val="22"/>
        </w:rPr>
      </w:pPr>
    </w:p>
    <w:p w14:paraId="2651E680" w14:textId="77777777" w:rsidR="00E94041" w:rsidRDefault="00E94041" w:rsidP="00075D52">
      <w:pPr>
        <w:spacing w:line="360" w:lineRule="auto"/>
        <w:jc w:val="both"/>
        <w:rPr>
          <w:rFonts w:asciiTheme="majorHAnsi" w:hAnsiTheme="majorHAnsi"/>
          <w:sz w:val="22"/>
          <w:szCs w:val="22"/>
        </w:rPr>
      </w:pPr>
    </w:p>
    <w:p w14:paraId="2F04822F" w14:textId="77777777" w:rsidR="00E94041" w:rsidRPr="00075D52" w:rsidRDefault="00E94041" w:rsidP="00075D52">
      <w:pPr>
        <w:spacing w:line="360" w:lineRule="auto"/>
        <w:jc w:val="both"/>
        <w:rPr>
          <w:rFonts w:asciiTheme="majorHAnsi" w:hAnsiTheme="majorHAnsi"/>
          <w:sz w:val="22"/>
          <w:szCs w:val="22"/>
        </w:rPr>
      </w:pPr>
    </w:p>
    <w:p w14:paraId="2AF06C6E" w14:textId="77777777" w:rsidR="00477772" w:rsidRPr="00650116" w:rsidRDefault="00477772" w:rsidP="00477772">
      <w:pPr>
        <w:spacing w:line="360" w:lineRule="auto"/>
        <w:contextualSpacing/>
        <w:jc w:val="both"/>
        <w:rPr>
          <w:rFonts w:asciiTheme="majorHAnsi" w:hAnsiTheme="majorHAnsi"/>
          <w:sz w:val="22"/>
          <w:szCs w:val="22"/>
        </w:rPr>
      </w:pPr>
      <w:r w:rsidRPr="00650116">
        <w:rPr>
          <w:rFonts w:asciiTheme="majorHAnsi" w:hAnsiTheme="majorHAnsi"/>
          <w:b/>
          <w:bCs/>
          <w:sz w:val="22"/>
          <w:szCs w:val="22"/>
        </w:rPr>
        <w:lastRenderedPageBreak/>
        <w:t xml:space="preserve">Conflict of interest: </w:t>
      </w:r>
      <w:r w:rsidRPr="00650116">
        <w:rPr>
          <w:rFonts w:asciiTheme="majorHAnsi" w:hAnsiTheme="majorHAnsi"/>
          <w:sz w:val="22"/>
          <w:szCs w:val="22"/>
        </w:rPr>
        <w:t>The authors have no conflict of interest to declare.</w:t>
      </w:r>
    </w:p>
    <w:p w14:paraId="38CC7FF5" w14:textId="2AF81DFD" w:rsidR="00477772" w:rsidRDefault="00477772">
      <w:pPr>
        <w:rPr>
          <w:rFonts w:asciiTheme="majorHAnsi" w:hAnsiTheme="majorHAnsi"/>
          <w:b/>
          <w:sz w:val="22"/>
          <w:szCs w:val="22"/>
        </w:rPr>
      </w:pPr>
      <w:r>
        <w:rPr>
          <w:rFonts w:asciiTheme="majorHAnsi" w:hAnsiTheme="majorHAnsi"/>
          <w:b/>
          <w:sz w:val="22"/>
          <w:szCs w:val="22"/>
        </w:rPr>
        <w:br w:type="page"/>
      </w:r>
    </w:p>
    <w:p w14:paraId="0BA33FDD" w14:textId="77777777" w:rsidR="00477772" w:rsidRPr="00125C17" w:rsidRDefault="00477772" w:rsidP="00477772">
      <w:pPr>
        <w:spacing w:line="360" w:lineRule="auto"/>
        <w:jc w:val="both"/>
        <w:rPr>
          <w:rFonts w:asciiTheme="majorHAnsi" w:hAnsiTheme="majorHAnsi"/>
          <w:sz w:val="22"/>
          <w:szCs w:val="22"/>
        </w:rPr>
      </w:pPr>
    </w:p>
    <w:p w14:paraId="3481F707" w14:textId="02EDBE78" w:rsidR="00537E33" w:rsidRPr="00075D52" w:rsidRDefault="00E94041" w:rsidP="00075D52">
      <w:pPr>
        <w:spacing w:line="360" w:lineRule="auto"/>
        <w:jc w:val="both"/>
        <w:rPr>
          <w:rFonts w:asciiTheme="majorHAnsi" w:hAnsiTheme="majorHAnsi"/>
          <w:b/>
          <w:sz w:val="22"/>
          <w:szCs w:val="22"/>
        </w:rPr>
      </w:pPr>
      <w:r>
        <w:rPr>
          <w:rFonts w:asciiTheme="majorHAnsi" w:hAnsiTheme="majorHAnsi"/>
          <w:b/>
          <w:sz w:val="22"/>
          <w:szCs w:val="22"/>
        </w:rPr>
        <w:t>Summary</w:t>
      </w:r>
    </w:p>
    <w:p w14:paraId="78EE8C79" w14:textId="77777777" w:rsidR="00075D52" w:rsidRPr="00075D52" w:rsidRDefault="00075D52" w:rsidP="00075D52">
      <w:pPr>
        <w:spacing w:line="360" w:lineRule="auto"/>
        <w:jc w:val="both"/>
        <w:rPr>
          <w:rFonts w:asciiTheme="majorHAnsi" w:hAnsiTheme="majorHAnsi"/>
          <w:b/>
          <w:sz w:val="22"/>
          <w:szCs w:val="22"/>
        </w:rPr>
      </w:pPr>
    </w:p>
    <w:p w14:paraId="19B73567" w14:textId="5F5AE589" w:rsidR="00717F65" w:rsidRDefault="00E94041" w:rsidP="00075D52">
      <w:pPr>
        <w:widowControl w:val="0"/>
        <w:autoSpaceDE w:val="0"/>
        <w:autoSpaceDN w:val="0"/>
        <w:adjustRightInd w:val="0"/>
        <w:spacing w:line="360" w:lineRule="auto"/>
        <w:jc w:val="both"/>
        <w:rPr>
          <w:rFonts w:asciiTheme="majorHAnsi" w:hAnsiTheme="majorHAnsi"/>
          <w:sz w:val="22"/>
          <w:szCs w:val="22"/>
        </w:rPr>
      </w:pPr>
      <w:r>
        <w:rPr>
          <w:rFonts w:asciiTheme="majorHAnsi" w:hAnsiTheme="majorHAnsi" w:cs="Times New Roman"/>
          <w:b/>
          <w:sz w:val="22"/>
          <w:szCs w:val="22"/>
        </w:rPr>
        <w:t>Purpose</w:t>
      </w:r>
      <w:r w:rsidR="009E50EB" w:rsidRPr="001E1C3E">
        <w:rPr>
          <w:rFonts w:asciiTheme="majorHAnsi" w:hAnsiTheme="majorHAnsi" w:cs="Times New Roman"/>
          <w:b/>
          <w:sz w:val="22"/>
          <w:szCs w:val="22"/>
        </w:rPr>
        <w:t>:</w:t>
      </w:r>
      <w:r w:rsidR="005F0BF0">
        <w:rPr>
          <w:rFonts w:asciiTheme="majorHAnsi" w:hAnsiTheme="majorHAnsi" w:cs="Times New Roman"/>
          <w:sz w:val="22"/>
          <w:szCs w:val="22"/>
        </w:rPr>
        <w:t xml:space="preserve"> </w:t>
      </w:r>
      <w:r>
        <w:rPr>
          <w:rFonts w:asciiTheme="majorHAnsi" w:hAnsiTheme="majorHAnsi" w:cs="Times New Roman"/>
          <w:sz w:val="22"/>
          <w:szCs w:val="22"/>
        </w:rPr>
        <w:t xml:space="preserve">Cancer patients can experience significant distress during their cancer trajectory, which impacts upon clinical outcomes and quality of life. Screening for distress using holistic assessments can help identify and address unmet concerns/needs. The purpose of this study was to </w:t>
      </w:r>
      <w:r>
        <w:rPr>
          <w:rFonts w:asciiTheme="majorHAnsi" w:hAnsiTheme="majorHAnsi"/>
          <w:sz w:val="22"/>
          <w:szCs w:val="22"/>
        </w:rPr>
        <w:t xml:space="preserve">evaluate </w:t>
      </w:r>
      <w:r w:rsidR="003C00FA">
        <w:rPr>
          <w:rFonts w:asciiTheme="majorHAnsi" w:hAnsiTheme="majorHAnsi"/>
          <w:sz w:val="22"/>
          <w:szCs w:val="22"/>
        </w:rPr>
        <w:t>t</w:t>
      </w:r>
      <w:r w:rsidR="009B45EF">
        <w:rPr>
          <w:rFonts w:asciiTheme="majorHAnsi" w:hAnsiTheme="majorHAnsi"/>
          <w:sz w:val="22"/>
          <w:szCs w:val="22"/>
        </w:rPr>
        <w:t>he relationship between</w:t>
      </w:r>
      <w:r w:rsidR="00764417">
        <w:rPr>
          <w:rFonts w:asciiTheme="majorHAnsi" w:hAnsiTheme="majorHAnsi"/>
          <w:sz w:val="22"/>
          <w:szCs w:val="22"/>
        </w:rPr>
        <w:t xml:space="preserve"> concerns and </w:t>
      </w:r>
      <w:r w:rsidR="009B45EF">
        <w:rPr>
          <w:rFonts w:asciiTheme="majorHAnsi" w:hAnsiTheme="majorHAnsi"/>
          <w:sz w:val="22"/>
          <w:szCs w:val="22"/>
        </w:rPr>
        <w:t>distress</w:t>
      </w:r>
      <w:r>
        <w:rPr>
          <w:rFonts w:asciiTheme="majorHAnsi" w:hAnsiTheme="majorHAnsi"/>
          <w:sz w:val="22"/>
          <w:szCs w:val="22"/>
        </w:rPr>
        <w:t>, and the impact of distress on clinic outcomes in post-treatment head and neck cancer patients.</w:t>
      </w:r>
      <w:r w:rsidR="00764417">
        <w:rPr>
          <w:rFonts w:asciiTheme="majorHAnsi" w:hAnsiTheme="majorHAnsi"/>
          <w:sz w:val="22"/>
          <w:szCs w:val="22"/>
        </w:rPr>
        <w:t xml:space="preserve"> </w:t>
      </w:r>
      <w:r w:rsidR="00764417" w:rsidRPr="00075D52">
        <w:rPr>
          <w:rFonts w:asciiTheme="majorHAnsi" w:hAnsiTheme="majorHAnsi"/>
          <w:sz w:val="22"/>
          <w:szCs w:val="22"/>
        </w:rPr>
        <w:t xml:space="preserve"> </w:t>
      </w:r>
    </w:p>
    <w:p w14:paraId="09F85424" w14:textId="77777777" w:rsidR="00E94041" w:rsidRDefault="00E94041" w:rsidP="00075D52">
      <w:pPr>
        <w:widowControl w:val="0"/>
        <w:autoSpaceDE w:val="0"/>
        <w:autoSpaceDN w:val="0"/>
        <w:adjustRightInd w:val="0"/>
        <w:spacing w:line="360" w:lineRule="auto"/>
        <w:jc w:val="both"/>
        <w:rPr>
          <w:rFonts w:asciiTheme="majorHAnsi" w:hAnsiTheme="majorHAnsi"/>
          <w:b/>
          <w:sz w:val="22"/>
          <w:szCs w:val="22"/>
        </w:rPr>
      </w:pPr>
    </w:p>
    <w:p w14:paraId="2D8723EE" w14:textId="250532B7" w:rsidR="009E50EB" w:rsidRDefault="009E50EB" w:rsidP="00075D52">
      <w:pPr>
        <w:widowControl w:val="0"/>
        <w:autoSpaceDE w:val="0"/>
        <w:autoSpaceDN w:val="0"/>
        <w:adjustRightInd w:val="0"/>
        <w:spacing w:line="360" w:lineRule="auto"/>
        <w:jc w:val="both"/>
        <w:rPr>
          <w:rFonts w:asciiTheme="majorHAnsi" w:hAnsiTheme="majorHAnsi" w:cs="Arial"/>
          <w:color w:val="1A1A1A"/>
          <w:sz w:val="22"/>
          <w:szCs w:val="22"/>
        </w:rPr>
      </w:pPr>
      <w:r w:rsidRPr="001E1C3E">
        <w:rPr>
          <w:rFonts w:asciiTheme="majorHAnsi" w:hAnsiTheme="majorHAnsi" w:cs="Arial"/>
          <w:b/>
          <w:color w:val="1A1A1A"/>
          <w:sz w:val="22"/>
          <w:szCs w:val="22"/>
        </w:rPr>
        <w:t>M</w:t>
      </w:r>
      <w:r w:rsidR="00E94041">
        <w:rPr>
          <w:rFonts w:asciiTheme="majorHAnsi" w:hAnsiTheme="majorHAnsi" w:cs="Arial"/>
          <w:b/>
          <w:color w:val="1A1A1A"/>
          <w:sz w:val="22"/>
          <w:szCs w:val="22"/>
        </w:rPr>
        <w:t>ethods</w:t>
      </w:r>
      <w:r w:rsidRPr="001E1C3E">
        <w:rPr>
          <w:rFonts w:asciiTheme="majorHAnsi" w:hAnsiTheme="majorHAnsi" w:cs="Arial"/>
          <w:b/>
          <w:color w:val="1A1A1A"/>
          <w:sz w:val="22"/>
          <w:szCs w:val="22"/>
        </w:rPr>
        <w:t>:</w:t>
      </w:r>
      <w:r>
        <w:rPr>
          <w:rFonts w:asciiTheme="majorHAnsi" w:hAnsiTheme="majorHAnsi" w:cs="Arial"/>
          <w:color w:val="1A1A1A"/>
          <w:sz w:val="22"/>
          <w:szCs w:val="22"/>
        </w:rPr>
        <w:t xml:space="preserve"> </w:t>
      </w:r>
      <w:r w:rsidR="003C00FA">
        <w:rPr>
          <w:rFonts w:asciiTheme="majorHAnsi" w:hAnsiTheme="majorHAnsi" w:cs="Arial"/>
          <w:color w:val="1A1A1A"/>
          <w:sz w:val="22"/>
          <w:szCs w:val="22"/>
        </w:rPr>
        <w:t xml:space="preserve">170 </w:t>
      </w:r>
      <w:r>
        <w:rPr>
          <w:rFonts w:asciiTheme="majorHAnsi" w:hAnsiTheme="majorHAnsi" w:cs="Arial"/>
          <w:color w:val="1A1A1A"/>
          <w:sz w:val="22"/>
          <w:szCs w:val="22"/>
        </w:rPr>
        <w:t>patients attending routine follow-up clinics were pros</w:t>
      </w:r>
      <w:r w:rsidR="003C00FA">
        <w:rPr>
          <w:rFonts w:asciiTheme="majorHAnsi" w:hAnsiTheme="majorHAnsi" w:cs="Arial"/>
          <w:color w:val="1A1A1A"/>
          <w:sz w:val="22"/>
          <w:szCs w:val="22"/>
        </w:rPr>
        <w:t>pectively recruited</w:t>
      </w:r>
      <w:r>
        <w:rPr>
          <w:rFonts w:asciiTheme="majorHAnsi" w:hAnsiTheme="majorHAnsi" w:cs="Arial"/>
          <w:color w:val="1A1A1A"/>
          <w:sz w:val="22"/>
          <w:szCs w:val="22"/>
        </w:rPr>
        <w:t xml:space="preserve">. All </w:t>
      </w:r>
      <w:r w:rsidR="005B27B1">
        <w:rPr>
          <w:rFonts w:asciiTheme="majorHAnsi" w:hAnsiTheme="majorHAnsi" w:cs="Arial"/>
          <w:color w:val="1A1A1A"/>
          <w:sz w:val="22"/>
          <w:szCs w:val="22"/>
        </w:rPr>
        <w:t xml:space="preserve">completed </w:t>
      </w:r>
      <w:r w:rsidR="009B45EF">
        <w:rPr>
          <w:rFonts w:asciiTheme="majorHAnsi" w:hAnsiTheme="majorHAnsi" w:cs="Arial"/>
          <w:color w:val="1A1A1A"/>
          <w:sz w:val="22"/>
          <w:szCs w:val="22"/>
        </w:rPr>
        <w:t>the Patient Concerns Inventory (PCI)</w:t>
      </w:r>
      <w:r w:rsidR="00E94041">
        <w:rPr>
          <w:rFonts w:asciiTheme="majorHAnsi" w:hAnsiTheme="majorHAnsi" w:cs="Arial"/>
          <w:color w:val="1A1A1A"/>
          <w:sz w:val="22"/>
          <w:szCs w:val="22"/>
        </w:rPr>
        <w:t xml:space="preserve"> and the </w:t>
      </w:r>
      <w:r w:rsidR="00651CDB">
        <w:rPr>
          <w:rFonts w:asciiTheme="majorHAnsi" w:hAnsiTheme="majorHAnsi" w:cs="Arial"/>
          <w:color w:val="1A1A1A"/>
          <w:sz w:val="22"/>
          <w:szCs w:val="22"/>
        </w:rPr>
        <w:t xml:space="preserve">Distress thermometer (DT) </w:t>
      </w:r>
      <w:r w:rsidR="00E94041">
        <w:rPr>
          <w:rFonts w:asciiTheme="majorHAnsi" w:hAnsiTheme="majorHAnsi" w:cs="Arial"/>
          <w:color w:val="1A1A1A"/>
          <w:sz w:val="22"/>
          <w:szCs w:val="22"/>
        </w:rPr>
        <w:t>at preconsultation.</w:t>
      </w:r>
      <w:r w:rsidR="009B45EF">
        <w:rPr>
          <w:rFonts w:asciiTheme="majorHAnsi" w:hAnsiTheme="majorHAnsi" w:cs="Arial"/>
          <w:color w:val="1A1A1A"/>
          <w:sz w:val="22"/>
          <w:szCs w:val="22"/>
        </w:rPr>
        <w:t xml:space="preserve"> </w:t>
      </w:r>
    </w:p>
    <w:p w14:paraId="16C08C86" w14:textId="77777777" w:rsidR="00E94041" w:rsidRPr="00075D52" w:rsidRDefault="00E94041" w:rsidP="00075D52">
      <w:pPr>
        <w:widowControl w:val="0"/>
        <w:autoSpaceDE w:val="0"/>
        <w:autoSpaceDN w:val="0"/>
        <w:adjustRightInd w:val="0"/>
        <w:spacing w:line="360" w:lineRule="auto"/>
        <w:jc w:val="both"/>
        <w:rPr>
          <w:rFonts w:asciiTheme="majorHAnsi" w:hAnsiTheme="majorHAnsi" w:cs="Arial"/>
          <w:color w:val="1A1A1A"/>
          <w:sz w:val="22"/>
          <w:szCs w:val="22"/>
        </w:rPr>
      </w:pPr>
    </w:p>
    <w:p w14:paraId="347A274C" w14:textId="2487D4B8" w:rsidR="001E1C3E" w:rsidRDefault="009E50EB" w:rsidP="001E1C3E">
      <w:pPr>
        <w:widowControl w:val="0"/>
        <w:autoSpaceDE w:val="0"/>
        <w:autoSpaceDN w:val="0"/>
        <w:adjustRightInd w:val="0"/>
        <w:spacing w:line="360" w:lineRule="auto"/>
        <w:jc w:val="both"/>
        <w:rPr>
          <w:rFonts w:ascii="Calibri" w:hAnsi="Calibri" w:cs="Times New Roman"/>
          <w:sz w:val="22"/>
          <w:szCs w:val="22"/>
        </w:rPr>
      </w:pPr>
      <w:r w:rsidRPr="001E1C3E">
        <w:rPr>
          <w:rFonts w:asciiTheme="majorHAnsi" w:hAnsiTheme="majorHAnsi" w:cs="Calibri"/>
          <w:b/>
          <w:color w:val="1A1A1A"/>
          <w:sz w:val="22"/>
          <w:szCs w:val="22"/>
        </w:rPr>
        <w:t>R</w:t>
      </w:r>
      <w:r w:rsidR="00E94041">
        <w:rPr>
          <w:rFonts w:asciiTheme="majorHAnsi" w:hAnsiTheme="majorHAnsi" w:cs="Calibri"/>
          <w:b/>
          <w:color w:val="1A1A1A"/>
          <w:sz w:val="22"/>
          <w:szCs w:val="22"/>
        </w:rPr>
        <w:t>esults</w:t>
      </w:r>
      <w:r w:rsidRPr="001E1C3E">
        <w:rPr>
          <w:rFonts w:asciiTheme="majorHAnsi" w:hAnsiTheme="majorHAnsi" w:cs="Calibri"/>
          <w:b/>
          <w:color w:val="1A1A1A"/>
          <w:sz w:val="22"/>
          <w:szCs w:val="22"/>
        </w:rPr>
        <w:t>:</w:t>
      </w:r>
      <w:r w:rsidRPr="001E1C3E">
        <w:rPr>
          <w:rFonts w:asciiTheme="majorHAnsi" w:hAnsiTheme="majorHAnsi" w:cs="Calibri"/>
          <w:color w:val="1A1A1A"/>
          <w:sz w:val="22"/>
          <w:szCs w:val="22"/>
        </w:rPr>
        <w:t xml:space="preserve"> </w:t>
      </w:r>
      <w:r w:rsidR="00651CDB" w:rsidRPr="001E1C3E">
        <w:rPr>
          <w:rFonts w:asciiTheme="majorHAnsi" w:hAnsiTheme="majorHAnsi" w:cs="Times New Roman"/>
          <w:sz w:val="22"/>
          <w:szCs w:val="22"/>
        </w:rPr>
        <w:t xml:space="preserve">The </w:t>
      </w:r>
      <w:r w:rsidR="004E5AF8">
        <w:rPr>
          <w:rFonts w:asciiTheme="majorHAnsi" w:hAnsiTheme="majorHAnsi" w:cs="Times New Roman"/>
          <w:sz w:val="22"/>
          <w:szCs w:val="22"/>
        </w:rPr>
        <w:t>r</w:t>
      </w:r>
      <w:r w:rsidR="00651CDB" w:rsidRPr="001E1C3E">
        <w:rPr>
          <w:rFonts w:asciiTheme="majorHAnsi" w:hAnsiTheme="majorHAnsi" w:cs="Times New Roman"/>
          <w:sz w:val="22"/>
          <w:szCs w:val="22"/>
        </w:rPr>
        <w:t>ate of significant distress (i.e. DT cut-off score</w:t>
      </w:r>
      <w:r w:rsidR="00547921">
        <w:rPr>
          <w:rFonts w:asciiTheme="majorHAnsi" w:hAnsiTheme="majorHAnsi"/>
          <w:sz w:val="22"/>
          <w:szCs w:val="22"/>
        </w:rPr>
        <w:t xml:space="preserve"> </w:t>
      </w:r>
      <w:r w:rsidR="00651CDB" w:rsidRPr="001E1C3E">
        <w:rPr>
          <w:rFonts w:asciiTheme="majorHAnsi" w:hAnsiTheme="majorHAnsi"/>
          <w:sz w:val="22"/>
          <w:szCs w:val="22"/>
          <w:lang w:val="en-GB"/>
        </w:rPr>
        <w:t>≥4</w:t>
      </w:r>
      <w:r w:rsidR="00651CDB" w:rsidRPr="001E1C3E">
        <w:rPr>
          <w:rFonts w:asciiTheme="majorHAnsi" w:hAnsiTheme="majorHAnsi" w:cs="Times New Roman"/>
          <w:sz w:val="22"/>
          <w:szCs w:val="22"/>
        </w:rPr>
        <w:t>) was 36%</w:t>
      </w:r>
      <w:r w:rsidR="00651CDB">
        <w:rPr>
          <w:rFonts w:asciiTheme="majorHAnsi" w:hAnsiTheme="majorHAnsi" w:cs="Times New Roman"/>
          <w:sz w:val="22"/>
          <w:szCs w:val="22"/>
        </w:rPr>
        <w:t xml:space="preserve"> (62/170</w:t>
      </w:r>
      <w:r w:rsidR="00651CDB" w:rsidRPr="00075D52">
        <w:rPr>
          <w:rFonts w:asciiTheme="majorHAnsi" w:hAnsiTheme="majorHAnsi" w:cs="Times New Roman"/>
          <w:sz w:val="22"/>
          <w:szCs w:val="22"/>
        </w:rPr>
        <w:t xml:space="preserve">). </w:t>
      </w:r>
      <w:r w:rsidR="004E5AF8">
        <w:rPr>
          <w:rFonts w:asciiTheme="majorHAnsi" w:hAnsiTheme="majorHAnsi" w:cs="Calibri"/>
          <w:color w:val="1A1A1A"/>
          <w:sz w:val="22"/>
          <w:szCs w:val="22"/>
        </w:rPr>
        <w:t>S</w:t>
      </w:r>
      <w:r w:rsidR="00651CDB">
        <w:rPr>
          <w:rFonts w:asciiTheme="majorHAnsi" w:hAnsiTheme="majorHAnsi" w:cs="Calibri"/>
          <w:color w:val="1A1A1A"/>
          <w:sz w:val="22"/>
          <w:szCs w:val="22"/>
        </w:rPr>
        <w:t>ignificant</w:t>
      </w:r>
      <w:r w:rsidR="004E5AF8">
        <w:rPr>
          <w:rFonts w:asciiTheme="majorHAnsi" w:hAnsiTheme="majorHAnsi" w:cs="Calibri"/>
          <w:color w:val="1A1A1A"/>
          <w:sz w:val="22"/>
          <w:szCs w:val="22"/>
        </w:rPr>
        <w:t>ly</w:t>
      </w:r>
      <w:r w:rsidR="00075D52" w:rsidRPr="00075D52">
        <w:rPr>
          <w:rFonts w:asciiTheme="majorHAnsi" w:hAnsiTheme="majorHAnsi" w:cs="Calibri"/>
          <w:color w:val="1A1A1A"/>
          <w:sz w:val="22"/>
          <w:szCs w:val="22"/>
        </w:rPr>
        <w:t xml:space="preserve"> distress</w:t>
      </w:r>
      <w:r w:rsidR="00B7767E">
        <w:rPr>
          <w:rFonts w:asciiTheme="majorHAnsi" w:hAnsiTheme="majorHAnsi" w:cs="Calibri"/>
          <w:color w:val="1A1A1A"/>
          <w:sz w:val="22"/>
          <w:szCs w:val="22"/>
        </w:rPr>
        <w:t>ed</w:t>
      </w:r>
      <w:r w:rsidR="00075D52" w:rsidRPr="00075D52">
        <w:rPr>
          <w:rFonts w:asciiTheme="majorHAnsi" w:hAnsiTheme="majorHAnsi" w:cs="Calibri"/>
          <w:color w:val="1A1A1A"/>
          <w:sz w:val="22"/>
          <w:szCs w:val="22"/>
        </w:rPr>
        <w:t xml:space="preserve"> </w:t>
      </w:r>
      <w:r w:rsidR="004E5AF8">
        <w:rPr>
          <w:rFonts w:asciiTheme="majorHAnsi" w:hAnsiTheme="majorHAnsi" w:cs="Calibri"/>
          <w:color w:val="1A1A1A"/>
          <w:sz w:val="22"/>
          <w:szCs w:val="22"/>
        </w:rPr>
        <w:t xml:space="preserve">patients </w:t>
      </w:r>
      <w:r w:rsidR="00075D52" w:rsidRPr="00075D52">
        <w:rPr>
          <w:rFonts w:asciiTheme="majorHAnsi" w:hAnsiTheme="majorHAnsi" w:cs="Calibri"/>
          <w:color w:val="1A1A1A"/>
          <w:sz w:val="22"/>
          <w:szCs w:val="22"/>
        </w:rPr>
        <w:t>selected more items overall than patients without distress (mean, median (QR) of 5.40, 5 (2-8) Vs 2.61, 2 (</w:t>
      </w:r>
      <w:r w:rsidR="00651CDB">
        <w:rPr>
          <w:rFonts w:asciiTheme="majorHAnsi" w:hAnsiTheme="majorHAnsi" w:cs="Calibri"/>
          <w:color w:val="1A1A1A"/>
          <w:sz w:val="22"/>
          <w:szCs w:val="22"/>
        </w:rPr>
        <w:t>0-4), p&lt;0.001</w:t>
      </w:r>
      <w:r w:rsidR="00075D52" w:rsidRPr="00075D52">
        <w:rPr>
          <w:rFonts w:asciiTheme="majorHAnsi" w:hAnsiTheme="majorHAnsi" w:cs="Calibri"/>
          <w:color w:val="1A1A1A"/>
          <w:sz w:val="22"/>
          <w:szCs w:val="22"/>
        </w:rPr>
        <w:t>). </w:t>
      </w:r>
      <w:r w:rsidR="00717F65">
        <w:rPr>
          <w:rFonts w:asciiTheme="majorHAnsi" w:hAnsiTheme="majorHAnsi" w:cs="Times New Roman"/>
          <w:sz w:val="22"/>
          <w:szCs w:val="22"/>
        </w:rPr>
        <w:t xml:space="preserve"> </w:t>
      </w:r>
      <w:r w:rsidR="005B27B1">
        <w:rPr>
          <w:rFonts w:asciiTheme="majorHAnsi" w:hAnsiTheme="majorHAnsi" w:cs="Times New Roman"/>
          <w:sz w:val="22"/>
          <w:szCs w:val="22"/>
        </w:rPr>
        <w:t>Significant distress was most strongly associated with</w:t>
      </w:r>
      <w:r w:rsidR="00651CDB" w:rsidRPr="00075D52">
        <w:rPr>
          <w:rFonts w:asciiTheme="majorHAnsi" w:hAnsiTheme="majorHAnsi"/>
          <w:sz w:val="22"/>
          <w:szCs w:val="22"/>
        </w:rPr>
        <w:t xml:space="preserve"> Physical and Functional well</w:t>
      </w:r>
      <w:r w:rsidR="00651CDB">
        <w:rPr>
          <w:rFonts w:asciiTheme="majorHAnsi" w:hAnsiTheme="majorHAnsi"/>
          <w:sz w:val="22"/>
          <w:szCs w:val="22"/>
        </w:rPr>
        <w:t xml:space="preserve">-being (p&lt;0.001) </w:t>
      </w:r>
      <w:r w:rsidR="00717F65">
        <w:rPr>
          <w:rFonts w:asciiTheme="majorHAnsi" w:hAnsiTheme="majorHAnsi"/>
          <w:sz w:val="22"/>
          <w:szCs w:val="22"/>
        </w:rPr>
        <w:t>and</w:t>
      </w:r>
      <w:r w:rsidR="00651CDB" w:rsidRPr="00075D52">
        <w:rPr>
          <w:rFonts w:asciiTheme="majorHAnsi" w:hAnsiTheme="majorHAnsi"/>
          <w:sz w:val="22"/>
          <w:szCs w:val="22"/>
        </w:rPr>
        <w:t xml:space="preserve"> Psychological and Emotional well-being </w:t>
      </w:r>
      <w:r w:rsidR="00651CDB">
        <w:rPr>
          <w:rFonts w:asciiTheme="majorHAnsi" w:hAnsiTheme="majorHAnsi"/>
          <w:sz w:val="22"/>
          <w:szCs w:val="22"/>
        </w:rPr>
        <w:t xml:space="preserve">domains (p=0.001). </w:t>
      </w:r>
      <w:r w:rsidR="00651CDB">
        <w:rPr>
          <w:rFonts w:asciiTheme="majorHAnsi" w:hAnsiTheme="majorHAnsi" w:cs="Times New Roman"/>
          <w:sz w:val="22"/>
          <w:szCs w:val="22"/>
        </w:rPr>
        <w:t xml:space="preserve">On </w:t>
      </w:r>
      <w:r w:rsidR="00651CDB" w:rsidRPr="00547921">
        <w:rPr>
          <w:rFonts w:asciiTheme="majorHAnsi" w:hAnsiTheme="majorHAnsi" w:cs="Times New Roman"/>
          <w:sz w:val="22"/>
          <w:szCs w:val="22"/>
        </w:rPr>
        <w:t xml:space="preserve">balance, </w:t>
      </w:r>
      <w:r w:rsidR="00547921">
        <w:rPr>
          <w:rFonts w:asciiTheme="majorHAnsi" w:hAnsiTheme="majorHAnsi" w:cs="Times New Roman"/>
          <w:sz w:val="22"/>
          <w:szCs w:val="22"/>
        </w:rPr>
        <w:t xml:space="preserve">there was very little difference noted between </w:t>
      </w:r>
      <w:r w:rsidR="00651CDB" w:rsidRPr="00547921">
        <w:rPr>
          <w:rFonts w:asciiTheme="majorHAnsi" w:hAnsiTheme="majorHAnsi" w:cs="Times New Roman"/>
          <w:sz w:val="22"/>
          <w:szCs w:val="22"/>
        </w:rPr>
        <w:t>cut-off point</w:t>
      </w:r>
      <w:r w:rsidR="00547921">
        <w:rPr>
          <w:rFonts w:asciiTheme="majorHAnsi" w:hAnsiTheme="majorHAnsi" w:cs="Times New Roman"/>
          <w:sz w:val="22"/>
          <w:szCs w:val="22"/>
        </w:rPr>
        <w:t>s</w:t>
      </w:r>
      <w:r w:rsidR="00651CDB" w:rsidRPr="00547921">
        <w:rPr>
          <w:rFonts w:asciiTheme="majorHAnsi" w:hAnsiTheme="majorHAnsi" w:cs="Times New Roman"/>
          <w:sz w:val="22"/>
          <w:szCs w:val="22"/>
        </w:rPr>
        <w:t xml:space="preserve"> of </w:t>
      </w:r>
      <w:r w:rsidR="00547921" w:rsidRPr="00547921">
        <w:rPr>
          <w:rFonts w:asciiTheme="majorHAnsi" w:hAnsiTheme="majorHAnsi" w:cs="Calibri"/>
          <w:color w:val="1A1A1A"/>
          <w:sz w:val="22"/>
          <w:szCs w:val="22"/>
        </w:rPr>
        <w:t xml:space="preserve">either </w:t>
      </w:r>
      <w:r w:rsidR="00547921" w:rsidRPr="00547921">
        <w:rPr>
          <w:rFonts w:asciiTheme="majorHAnsi" w:hAnsiTheme="majorHAnsi"/>
          <w:sz w:val="22"/>
          <w:szCs w:val="22"/>
        </w:rPr>
        <w:t xml:space="preserve">≥4 or </w:t>
      </w:r>
      <w:r w:rsidR="00547921" w:rsidRPr="00547921">
        <w:rPr>
          <w:rFonts w:asciiTheme="majorHAnsi" w:hAnsiTheme="majorHAnsi" w:cs="Times New Roman"/>
          <w:sz w:val="22"/>
          <w:szCs w:val="22"/>
        </w:rPr>
        <w:t xml:space="preserve">≥ 5 </w:t>
      </w:r>
      <w:r w:rsidR="00717F65" w:rsidRPr="00547921">
        <w:rPr>
          <w:rFonts w:ascii="Calibri" w:hAnsi="Calibri" w:cs="Times New Roman"/>
          <w:sz w:val="22"/>
          <w:szCs w:val="22"/>
        </w:rPr>
        <w:t xml:space="preserve">PCI </w:t>
      </w:r>
      <w:r w:rsidR="00651CDB" w:rsidRPr="00547921">
        <w:rPr>
          <w:rFonts w:ascii="Calibri" w:hAnsi="Calibri" w:cs="Times New Roman"/>
          <w:sz w:val="22"/>
          <w:szCs w:val="22"/>
        </w:rPr>
        <w:t>items of concern selected</w:t>
      </w:r>
      <w:r w:rsidR="00547921">
        <w:rPr>
          <w:rFonts w:ascii="Calibri" w:hAnsi="Calibri" w:cs="Times New Roman"/>
          <w:sz w:val="22"/>
          <w:szCs w:val="22"/>
        </w:rPr>
        <w:t xml:space="preserve">. </w:t>
      </w:r>
      <w:r w:rsidR="004E5AF8">
        <w:rPr>
          <w:rFonts w:ascii="Calibri" w:hAnsi="Calibri" w:cs="Times New Roman"/>
          <w:sz w:val="22"/>
          <w:szCs w:val="22"/>
        </w:rPr>
        <w:t>Both</w:t>
      </w:r>
      <w:r w:rsidR="00547921">
        <w:rPr>
          <w:rFonts w:ascii="Calibri" w:hAnsi="Calibri" w:cs="Times New Roman"/>
          <w:sz w:val="22"/>
          <w:szCs w:val="22"/>
        </w:rPr>
        <w:t xml:space="preserve"> cut-off points </w:t>
      </w:r>
      <w:r w:rsidR="00651CDB" w:rsidRPr="00547921">
        <w:rPr>
          <w:rFonts w:ascii="Calibri" w:hAnsi="Calibri" w:cs="Times New Roman"/>
          <w:sz w:val="22"/>
          <w:szCs w:val="22"/>
        </w:rPr>
        <w:t>demonstrated an</w:t>
      </w:r>
      <w:r w:rsidR="00651CDB">
        <w:rPr>
          <w:rFonts w:ascii="Calibri" w:hAnsi="Calibri" w:cs="Times New Roman"/>
          <w:sz w:val="22"/>
          <w:szCs w:val="22"/>
        </w:rPr>
        <w:t xml:space="preserve"> acceptable level of sensitivity</w:t>
      </w:r>
      <w:r w:rsidR="004E5AF8">
        <w:rPr>
          <w:rFonts w:ascii="Calibri" w:hAnsi="Calibri" w:cs="Times New Roman"/>
          <w:sz w:val="22"/>
          <w:szCs w:val="22"/>
        </w:rPr>
        <w:t>,</w:t>
      </w:r>
      <w:r w:rsidR="00E85202">
        <w:rPr>
          <w:rFonts w:ascii="Calibri" w:hAnsi="Calibri" w:cs="Times New Roman"/>
          <w:sz w:val="22"/>
          <w:szCs w:val="22"/>
        </w:rPr>
        <w:t xml:space="preserve"> </w:t>
      </w:r>
      <w:r w:rsidR="00651CDB">
        <w:rPr>
          <w:rFonts w:ascii="Calibri" w:hAnsi="Calibri" w:cs="Times New Roman"/>
          <w:sz w:val="22"/>
          <w:szCs w:val="22"/>
        </w:rPr>
        <w:t>specificity and predictive values</w:t>
      </w:r>
      <w:r w:rsidR="00216F26">
        <w:rPr>
          <w:rFonts w:ascii="Calibri" w:hAnsi="Calibri" w:cs="Times New Roman"/>
          <w:sz w:val="22"/>
          <w:szCs w:val="22"/>
        </w:rPr>
        <w:t xml:space="preserve"> </w:t>
      </w:r>
      <w:r w:rsidR="00281DE4">
        <w:rPr>
          <w:rFonts w:ascii="Calibri" w:hAnsi="Calibri" w:cs="Times New Roman"/>
          <w:sz w:val="22"/>
          <w:szCs w:val="22"/>
        </w:rPr>
        <w:t>for significant distress</w:t>
      </w:r>
      <w:r w:rsidR="00651CDB">
        <w:rPr>
          <w:rFonts w:ascii="Calibri" w:hAnsi="Calibri" w:cs="Times New Roman"/>
          <w:sz w:val="22"/>
          <w:szCs w:val="22"/>
        </w:rPr>
        <w:t xml:space="preserve">. </w:t>
      </w:r>
      <w:r w:rsidR="00216F26">
        <w:rPr>
          <w:rFonts w:ascii="Calibri" w:hAnsi="Calibri" w:cs="Times New Roman"/>
          <w:sz w:val="22"/>
          <w:szCs w:val="22"/>
        </w:rPr>
        <w:t>Consultations were longer with increasing numbers of concerns</w:t>
      </w:r>
      <w:r w:rsidR="00547921">
        <w:rPr>
          <w:rFonts w:ascii="Calibri" w:hAnsi="Calibri" w:cs="Times New Roman"/>
          <w:sz w:val="22"/>
          <w:szCs w:val="22"/>
        </w:rPr>
        <w:t>.</w:t>
      </w:r>
      <w:r w:rsidR="00882339">
        <w:rPr>
          <w:rFonts w:ascii="Calibri" w:hAnsi="Calibri" w:cs="Times New Roman"/>
          <w:sz w:val="22"/>
          <w:szCs w:val="22"/>
        </w:rPr>
        <w:t xml:space="preserve"> </w:t>
      </w:r>
    </w:p>
    <w:p w14:paraId="73DBA0EE" w14:textId="77777777" w:rsidR="00E94041" w:rsidRPr="001E1C3E" w:rsidRDefault="00E94041" w:rsidP="001E1C3E">
      <w:pPr>
        <w:widowControl w:val="0"/>
        <w:autoSpaceDE w:val="0"/>
        <w:autoSpaceDN w:val="0"/>
        <w:adjustRightInd w:val="0"/>
        <w:spacing w:line="360" w:lineRule="auto"/>
        <w:jc w:val="both"/>
        <w:rPr>
          <w:rFonts w:asciiTheme="majorHAnsi" w:hAnsiTheme="majorHAnsi" w:cs="Calibri"/>
          <w:color w:val="1A1A1A"/>
          <w:sz w:val="22"/>
          <w:szCs w:val="22"/>
        </w:rPr>
      </w:pPr>
    </w:p>
    <w:p w14:paraId="4D424D2D" w14:textId="47643D17" w:rsidR="00075D52" w:rsidRPr="001E1C3E" w:rsidRDefault="00E94041" w:rsidP="001E1C3E">
      <w:pPr>
        <w:widowControl w:val="0"/>
        <w:autoSpaceDE w:val="0"/>
        <w:autoSpaceDN w:val="0"/>
        <w:adjustRightInd w:val="0"/>
        <w:spacing w:line="360" w:lineRule="auto"/>
        <w:jc w:val="both"/>
        <w:rPr>
          <w:rFonts w:ascii="Calibri" w:hAnsi="Calibri" w:cs="Times New Roman"/>
          <w:sz w:val="22"/>
          <w:szCs w:val="22"/>
        </w:rPr>
      </w:pPr>
      <w:r>
        <w:rPr>
          <w:rFonts w:asciiTheme="majorHAnsi" w:hAnsiTheme="majorHAnsi"/>
          <w:b/>
          <w:sz w:val="22"/>
          <w:szCs w:val="22"/>
        </w:rPr>
        <w:t>Conclusions</w:t>
      </w:r>
      <w:r w:rsidR="001E1C3E" w:rsidRPr="001E1C3E">
        <w:rPr>
          <w:rFonts w:asciiTheme="majorHAnsi" w:hAnsiTheme="majorHAnsi"/>
          <w:b/>
          <w:sz w:val="22"/>
          <w:szCs w:val="22"/>
        </w:rPr>
        <w:t>:</w:t>
      </w:r>
      <w:r w:rsidR="001E1C3E">
        <w:rPr>
          <w:rFonts w:asciiTheme="majorHAnsi" w:hAnsiTheme="majorHAnsi"/>
          <w:sz w:val="22"/>
          <w:szCs w:val="22"/>
        </w:rPr>
        <w:t xml:space="preserve"> </w:t>
      </w:r>
      <w:r w:rsidR="004E5AF8">
        <w:rPr>
          <w:rFonts w:asciiTheme="majorHAnsi" w:hAnsiTheme="majorHAnsi" w:cs="Calibri"/>
          <w:color w:val="1A1A1A"/>
          <w:sz w:val="22"/>
          <w:szCs w:val="22"/>
        </w:rPr>
        <w:t xml:space="preserve">Just over </w:t>
      </w:r>
      <w:r w:rsidR="00075D52" w:rsidRPr="00075D52">
        <w:rPr>
          <w:rFonts w:asciiTheme="majorHAnsi" w:hAnsiTheme="majorHAnsi" w:cs="Calibri"/>
          <w:color w:val="1A1A1A"/>
          <w:sz w:val="22"/>
          <w:szCs w:val="22"/>
        </w:rPr>
        <w:t>one</w:t>
      </w:r>
      <w:r w:rsidR="004E5AF8">
        <w:rPr>
          <w:rFonts w:asciiTheme="majorHAnsi" w:hAnsiTheme="majorHAnsi" w:cs="Calibri"/>
          <w:color w:val="1A1A1A"/>
          <w:sz w:val="22"/>
          <w:szCs w:val="22"/>
        </w:rPr>
        <w:t>-</w:t>
      </w:r>
      <w:r w:rsidR="00075D52" w:rsidRPr="00075D52">
        <w:rPr>
          <w:rFonts w:asciiTheme="majorHAnsi" w:hAnsiTheme="majorHAnsi" w:cs="Calibri"/>
          <w:color w:val="1A1A1A"/>
          <w:sz w:val="22"/>
          <w:szCs w:val="22"/>
        </w:rPr>
        <w:t>third of patients</w:t>
      </w:r>
      <w:r w:rsidR="004E5AF8">
        <w:rPr>
          <w:rFonts w:asciiTheme="majorHAnsi" w:hAnsiTheme="majorHAnsi" w:cs="Calibri"/>
          <w:color w:val="1A1A1A"/>
          <w:sz w:val="22"/>
          <w:szCs w:val="22"/>
        </w:rPr>
        <w:t xml:space="preserve"> are significantly distressed</w:t>
      </w:r>
      <w:r>
        <w:rPr>
          <w:rFonts w:asciiTheme="majorHAnsi" w:hAnsiTheme="majorHAnsi" w:cs="Calibri"/>
          <w:color w:val="1A1A1A"/>
          <w:sz w:val="22"/>
          <w:szCs w:val="22"/>
        </w:rPr>
        <w:t>. T</w:t>
      </w:r>
      <w:r w:rsidR="004E5AF8" w:rsidRPr="00A5781E">
        <w:rPr>
          <w:rFonts w:asciiTheme="majorHAnsi" w:hAnsiTheme="majorHAnsi" w:cs="Calibri"/>
          <w:color w:val="1A1A1A"/>
          <w:sz w:val="22"/>
          <w:szCs w:val="22"/>
        </w:rPr>
        <w:t xml:space="preserve">hey </w:t>
      </w:r>
      <w:r w:rsidR="001E1C3E" w:rsidRPr="00A5781E">
        <w:rPr>
          <w:rFonts w:asciiTheme="majorHAnsi" w:hAnsiTheme="majorHAnsi" w:cs="Calibri"/>
          <w:color w:val="1A1A1A"/>
          <w:sz w:val="22"/>
          <w:szCs w:val="22"/>
        </w:rPr>
        <w:t>were more likely to expres</w:t>
      </w:r>
      <w:r w:rsidR="005F0BF0" w:rsidRPr="00A5781E">
        <w:rPr>
          <w:rFonts w:asciiTheme="majorHAnsi" w:hAnsiTheme="majorHAnsi" w:cs="Calibri"/>
          <w:color w:val="1A1A1A"/>
          <w:sz w:val="22"/>
          <w:szCs w:val="22"/>
        </w:rPr>
        <w:t>s</w:t>
      </w:r>
      <w:r w:rsidR="001E1C3E" w:rsidRPr="00985F89">
        <w:rPr>
          <w:rFonts w:asciiTheme="majorHAnsi" w:hAnsiTheme="majorHAnsi" w:cs="Calibri"/>
          <w:color w:val="1A1A1A"/>
          <w:sz w:val="22"/>
          <w:szCs w:val="22"/>
        </w:rPr>
        <w:t xml:space="preserve"> a higher number of concerns</w:t>
      </w:r>
      <w:r w:rsidR="00075D52" w:rsidRPr="00985F89">
        <w:rPr>
          <w:rFonts w:asciiTheme="majorHAnsi" w:hAnsiTheme="majorHAnsi" w:cs="Calibri"/>
          <w:color w:val="1A1A1A"/>
          <w:sz w:val="22"/>
          <w:szCs w:val="22"/>
        </w:rPr>
        <w:t>.</w:t>
      </w:r>
      <w:r w:rsidR="001E1C3E" w:rsidRPr="006B269E">
        <w:rPr>
          <w:rFonts w:asciiTheme="majorHAnsi" w:hAnsiTheme="majorHAnsi" w:cs="Calibri"/>
          <w:color w:val="1A1A1A"/>
          <w:sz w:val="22"/>
          <w:szCs w:val="22"/>
        </w:rPr>
        <w:t xml:space="preserve"> </w:t>
      </w:r>
      <w:r w:rsidR="005F0BF0" w:rsidRPr="00A5781E">
        <w:rPr>
          <w:rFonts w:asciiTheme="majorHAnsi" w:hAnsiTheme="majorHAnsi" w:cs="Calibri"/>
          <w:color w:val="1A1A1A"/>
          <w:sz w:val="22"/>
          <w:szCs w:val="22"/>
        </w:rPr>
        <w:t>A cut-off</w:t>
      </w:r>
      <w:r w:rsidR="001E1C3E" w:rsidRPr="00A5781E">
        <w:rPr>
          <w:rFonts w:asciiTheme="majorHAnsi" w:hAnsiTheme="majorHAnsi" w:cs="Calibri"/>
          <w:color w:val="1A1A1A"/>
          <w:sz w:val="22"/>
          <w:szCs w:val="22"/>
        </w:rPr>
        <w:t xml:space="preserve"> </w:t>
      </w:r>
      <w:r w:rsidR="00547921" w:rsidRPr="00A5781E">
        <w:rPr>
          <w:rFonts w:asciiTheme="majorHAnsi" w:hAnsiTheme="majorHAnsi" w:cs="Calibri"/>
          <w:color w:val="1A1A1A"/>
          <w:sz w:val="22"/>
          <w:szCs w:val="22"/>
        </w:rPr>
        <w:t xml:space="preserve">score </w:t>
      </w:r>
      <w:r w:rsidR="00882339" w:rsidRPr="00A5781E">
        <w:rPr>
          <w:rFonts w:asciiTheme="majorHAnsi" w:hAnsiTheme="majorHAnsi"/>
          <w:sz w:val="22"/>
          <w:szCs w:val="22"/>
        </w:rPr>
        <w:t xml:space="preserve">≥4 or </w:t>
      </w:r>
      <w:r w:rsidR="001E1C3E" w:rsidRPr="00A5781E">
        <w:rPr>
          <w:rFonts w:asciiTheme="majorHAnsi" w:hAnsiTheme="majorHAnsi" w:cs="Times New Roman"/>
          <w:sz w:val="22"/>
          <w:szCs w:val="22"/>
        </w:rPr>
        <w:t>≥ 5 PCI items</w:t>
      </w:r>
      <w:r w:rsidR="004E5AF8" w:rsidRPr="00A5781E">
        <w:rPr>
          <w:rFonts w:asciiTheme="majorHAnsi" w:hAnsiTheme="majorHAnsi" w:cs="Times New Roman"/>
          <w:sz w:val="22"/>
          <w:szCs w:val="22"/>
        </w:rPr>
        <w:t xml:space="preserve"> selected</w:t>
      </w:r>
      <w:r w:rsidR="001E1C3E" w:rsidRPr="00A5781E">
        <w:rPr>
          <w:rFonts w:asciiTheme="majorHAnsi" w:hAnsiTheme="majorHAnsi" w:cs="Times New Roman"/>
          <w:sz w:val="22"/>
          <w:szCs w:val="22"/>
        </w:rPr>
        <w:t xml:space="preserve"> </w:t>
      </w:r>
      <w:r w:rsidR="004E5AF8" w:rsidRPr="00A5781E">
        <w:rPr>
          <w:rFonts w:asciiTheme="majorHAnsi" w:hAnsiTheme="majorHAnsi" w:cs="Times New Roman"/>
          <w:sz w:val="22"/>
          <w:szCs w:val="22"/>
        </w:rPr>
        <w:t xml:space="preserve">can identify </w:t>
      </w:r>
      <w:r w:rsidR="001E1C3E" w:rsidRPr="00A5781E">
        <w:rPr>
          <w:rFonts w:asciiTheme="majorHAnsi" w:hAnsiTheme="majorHAnsi" w:cs="Calibri"/>
          <w:color w:val="1A1A1A"/>
          <w:sz w:val="22"/>
          <w:szCs w:val="22"/>
        </w:rPr>
        <w:t xml:space="preserve">those </w:t>
      </w:r>
      <w:r w:rsidR="004E5AF8" w:rsidRPr="00A5781E">
        <w:rPr>
          <w:rFonts w:asciiTheme="majorHAnsi" w:hAnsiTheme="majorHAnsi" w:cs="Calibri"/>
          <w:color w:val="1A1A1A"/>
          <w:sz w:val="22"/>
          <w:szCs w:val="22"/>
        </w:rPr>
        <w:t xml:space="preserve">at risk of </w:t>
      </w:r>
      <w:r w:rsidR="001E1C3E" w:rsidRPr="00A5781E">
        <w:rPr>
          <w:rFonts w:asciiTheme="majorHAnsi" w:hAnsiTheme="majorHAnsi" w:cs="Calibri"/>
          <w:color w:val="1A1A1A"/>
          <w:sz w:val="22"/>
          <w:szCs w:val="22"/>
        </w:rPr>
        <w:t>significant distress</w:t>
      </w:r>
      <w:r w:rsidR="005F0BF0" w:rsidRPr="00A5781E">
        <w:rPr>
          <w:rFonts w:asciiTheme="majorHAnsi" w:hAnsiTheme="majorHAnsi" w:cs="Calibri"/>
          <w:color w:val="1A1A1A"/>
          <w:sz w:val="22"/>
          <w:szCs w:val="22"/>
        </w:rPr>
        <w:t>. C</w:t>
      </w:r>
      <w:r w:rsidR="001E1C3E" w:rsidRPr="00A5781E">
        <w:rPr>
          <w:rFonts w:asciiTheme="majorHAnsi" w:hAnsiTheme="majorHAnsi" w:cs="Calibri"/>
          <w:color w:val="1A1A1A"/>
          <w:sz w:val="22"/>
          <w:szCs w:val="22"/>
        </w:rPr>
        <w:t>oncerns causing significant</w:t>
      </w:r>
      <w:r w:rsidR="001E1C3E">
        <w:rPr>
          <w:rFonts w:asciiTheme="majorHAnsi" w:hAnsiTheme="majorHAnsi" w:cs="Calibri"/>
          <w:color w:val="1A1A1A"/>
          <w:sz w:val="22"/>
          <w:szCs w:val="22"/>
        </w:rPr>
        <w:t xml:space="preserve"> </w:t>
      </w:r>
      <w:r w:rsidR="00075D52" w:rsidRPr="00075D52">
        <w:rPr>
          <w:rFonts w:asciiTheme="majorHAnsi" w:hAnsiTheme="majorHAnsi" w:cs="Calibri"/>
          <w:color w:val="1A1A1A"/>
          <w:sz w:val="22"/>
          <w:szCs w:val="22"/>
        </w:rPr>
        <w:t xml:space="preserve">distress </w:t>
      </w:r>
      <w:r w:rsidR="001E1C3E">
        <w:rPr>
          <w:rFonts w:asciiTheme="majorHAnsi" w:hAnsiTheme="majorHAnsi" w:cs="Calibri"/>
          <w:color w:val="1A1A1A"/>
          <w:sz w:val="22"/>
          <w:szCs w:val="22"/>
        </w:rPr>
        <w:t>were related to</w:t>
      </w:r>
      <w:r w:rsidR="00075D52" w:rsidRPr="00075D52">
        <w:rPr>
          <w:rFonts w:asciiTheme="majorHAnsi" w:hAnsiTheme="majorHAnsi" w:cs="Calibri"/>
          <w:color w:val="1A1A1A"/>
          <w:sz w:val="22"/>
          <w:szCs w:val="22"/>
        </w:rPr>
        <w:t xml:space="preserve"> emotional</w:t>
      </w:r>
      <w:r w:rsidR="001E1C3E">
        <w:rPr>
          <w:rFonts w:asciiTheme="majorHAnsi" w:hAnsiTheme="majorHAnsi" w:cs="Calibri"/>
          <w:color w:val="1A1A1A"/>
          <w:sz w:val="22"/>
          <w:szCs w:val="22"/>
        </w:rPr>
        <w:t>/psychological</w:t>
      </w:r>
      <w:r w:rsidR="00075D52" w:rsidRPr="00075D52">
        <w:rPr>
          <w:rFonts w:asciiTheme="majorHAnsi" w:hAnsiTheme="majorHAnsi" w:cs="Calibri"/>
          <w:color w:val="1A1A1A"/>
          <w:sz w:val="22"/>
          <w:szCs w:val="22"/>
        </w:rPr>
        <w:t xml:space="preserve"> </w:t>
      </w:r>
      <w:r w:rsidR="004E5AF8">
        <w:rPr>
          <w:rFonts w:asciiTheme="majorHAnsi" w:hAnsiTheme="majorHAnsi" w:cs="Calibri"/>
          <w:color w:val="1A1A1A"/>
          <w:sz w:val="22"/>
          <w:szCs w:val="22"/>
        </w:rPr>
        <w:t xml:space="preserve">issues and </w:t>
      </w:r>
      <w:r w:rsidR="00075D52" w:rsidRPr="00075D52">
        <w:rPr>
          <w:rFonts w:asciiTheme="majorHAnsi" w:hAnsiTheme="majorHAnsi" w:cs="Calibri"/>
          <w:color w:val="1A1A1A"/>
          <w:sz w:val="22"/>
          <w:szCs w:val="22"/>
        </w:rPr>
        <w:t xml:space="preserve">physical function. </w:t>
      </w:r>
    </w:p>
    <w:p w14:paraId="03978487" w14:textId="77777777" w:rsidR="001E1C3E" w:rsidRDefault="001E1C3E" w:rsidP="00075D52">
      <w:pPr>
        <w:spacing w:line="360" w:lineRule="auto"/>
        <w:jc w:val="both"/>
        <w:rPr>
          <w:rFonts w:asciiTheme="majorHAnsi" w:hAnsiTheme="majorHAnsi"/>
          <w:b/>
          <w:sz w:val="22"/>
          <w:szCs w:val="22"/>
        </w:rPr>
      </w:pPr>
    </w:p>
    <w:p w14:paraId="66C3E5F7" w14:textId="507EC2CC" w:rsidR="00537E33" w:rsidRPr="00075D52" w:rsidRDefault="00537E33" w:rsidP="00075D52">
      <w:pPr>
        <w:spacing w:line="360" w:lineRule="auto"/>
        <w:jc w:val="both"/>
        <w:rPr>
          <w:rFonts w:asciiTheme="majorHAnsi" w:hAnsiTheme="majorHAnsi"/>
          <w:b/>
          <w:sz w:val="22"/>
          <w:szCs w:val="22"/>
        </w:rPr>
      </w:pPr>
      <w:r w:rsidRPr="00075D52">
        <w:rPr>
          <w:rFonts w:asciiTheme="majorHAnsi" w:hAnsiTheme="majorHAnsi"/>
          <w:b/>
          <w:sz w:val="22"/>
          <w:szCs w:val="22"/>
        </w:rPr>
        <w:t>Keywords:</w:t>
      </w:r>
      <w:r w:rsidR="00282A01">
        <w:rPr>
          <w:rFonts w:asciiTheme="majorHAnsi" w:hAnsiTheme="majorHAnsi"/>
          <w:b/>
          <w:sz w:val="22"/>
          <w:szCs w:val="22"/>
        </w:rPr>
        <w:t xml:space="preserve"> Distress - Head and N</w:t>
      </w:r>
      <w:r w:rsidR="001E1C3E">
        <w:rPr>
          <w:rFonts w:asciiTheme="majorHAnsi" w:hAnsiTheme="majorHAnsi"/>
          <w:b/>
          <w:sz w:val="22"/>
          <w:szCs w:val="22"/>
        </w:rPr>
        <w:t>eck</w:t>
      </w:r>
      <w:r w:rsidR="00282A01">
        <w:rPr>
          <w:rFonts w:asciiTheme="majorHAnsi" w:hAnsiTheme="majorHAnsi"/>
          <w:b/>
          <w:sz w:val="22"/>
          <w:szCs w:val="22"/>
        </w:rPr>
        <w:t xml:space="preserve"> -  C</w:t>
      </w:r>
      <w:r w:rsidR="001E1C3E">
        <w:rPr>
          <w:rFonts w:asciiTheme="majorHAnsi" w:hAnsiTheme="majorHAnsi"/>
          <w:b/>
          <w:sz w:val="22"/>
          <w:szCs w:val="22"/>
        </w:rPr>
        <w:t>ancer –</w:t>
      </w:r>
      <w:r w:rsidR="00282A01">
        <w:rPr>
          <w:rFonts w:asciiTheme="majorHAnsi" w:hAnsiTheme="majorHAnsi"/>
          <w:b/>
          <w:sz w:val="22"/>
          <w:szCs w:val="22"/>
        </w:rPr>
        <w:t xml:space="preserve"> Patient Concerns Inventory </w:t>
      </w:r>
    </w:p>
    <w:p w14:paraId="045A140B" w14:textId="77777777" w:rsidR="00537E33" w:rsidRPr="00075D52" w:rsidRDefault="00537E33" w:rsidP="00075D52">
      <w:pPr>
        <w:spacing w:line="360" w:lineRule="auto"/>
        <w:jc w:val="both"/>
        <w:rPr>
          <w:rFonts w:asciiTheme="majorHAnsi" w:hAnsiTheme="majorHAnsi"/>
          <w:b/>
          <w:sz w:val="22"/>
          <w:szCs w:val="22"/>
        </w:rPr>
      </w:pPr>
    </w:p>
    <w:p w14:paraId="0EBF9F46" w14:textId="77777777" w:rsidR="00537E33" w:rsidRPr="00075D52" w:rsidRDefault="00537E33" w:rsidP="00075D52">
      <w:pPr>
        <w:spacing w:line="360" w:lineRule="auto"/>
        <w:jc w:val="both"/>
        <w:rPr>
          <w:rFonts w:asciiTheme="majorHAnsi" w:hAnsiTheme="majorHAnsi"/>
          <w:b/>
          <w:sz w:val="22"/>
          <w:szCs w:val="22"/>
        </w:rPr>
      </w:pPr>
      <w:r w:rsidRPr="00075D52">
        <w:rPr>
          <w:rFonts w:asciiTheme="majorHAnsi" w:hAnsiTheme="majorHAnsi"/>
          <w:b/>
          <w:sz w:val="22"/>
          <w:szCs w:val="22"/>
        </w:rPr>
        <w:br w:type="page"/>
      </w:r>
    </w:p>
    <w:p w14:paraId="684DF986" w14:textId="77777777" w:rsidR="00C367C7" w:rsidRPr="00075D52" w:rsidRDefault="00C367C7" w:rsidP="00075D52">
      <w:pPr>
        <w:spacing w:line="360" w:lineRule="auto"/>
        <w:jc w:val="both"/>
        <w:rPr>
          <w:rFonts w:asciiTheme="majorHAnsi" w:hAnsiTheme="majorHAnsi"/>
          <w:b/>
          <w:sz w:val="22"/>
          <w:szCs w:val="22"/>
        </w:rPr>
      </w:pPr>
      <w:r w:rsidRPr="00075D52">
        <w:rPr>
          <w:rFonts w:asciiTheme="majorHAnsi" w:hAnsiTheme="majorHAnsi"/>
          <w:b/>
          <w:sz w:val="22"/>
          <w:szCs w:val="22"/>
        </w:rPr>
        <w:t>Introduction</w:t>
      </w:r>
    </w:p>
    <w:p w14:paraId="126A7342" w14:textId="77777777" w:rsidR="00B9561D" w:rsidRDefault="00B9561D" w:rsidP="00075D52">
      <w:pPr>
        <w:widowControl w:val="0"/>
        <w:autoSpaceDE w:val="0"/>
        <w:autoSpaceDN w:val="0"/>
        <w:adjustRightInd w:val="0"/>
        <w:spacing w:line="360" w:lineRule="auto"/>
        <w:jc w:val="both"/>
        <w:rPr>
          <w:rFonts w:asciiTheme="majorHAnsi" w:hAnsiTheme="majorHAnsi" w:cs="Times New Roman"/>
          <w:sz w:val="22"/>
          <w:szCs w:val="22"/>
        </w:rPr>
      </w:pPr>
    </w:p>
    <w:p w14:paraId="18D45BD5" w14:textId="6E08B9AA" w:rsidR="005E6991" w:rsidRDefault="008C66DC" w:rsidP="00DA61C2">
      <w:pPr>
        <w:widowControl w:val="0"/>
        <w:autoSpaceDE w:val="0"/>
        <w:autoSpaceDN w:val="0"/>
        <w:adjustRightInd w:val="0"/>
        <w:spacing w:line="360" w:lineRule="auto"/>
        <w:jc w:val="both"/>
        <w:rPr>
          <w:rFonts w:asciiTheme="majorHAnsi" w:hAnsiTheme="majorHAnsi" w:cs="Times New Roman"/>
          <w:sz w:val="22"/>
          <w:szCs w:val="22"/>
        </w:rPr>
      </w:pPr>
      <w:r>
        <w:rPr>
          <w:rFonts w:asciiTheme="majorHAnsi" w:hAnsiTheme="majorHAnsi" w:cs="Times New Roman"/>
          <w:sz w:val="22"/>
          <w:szCs w:val="22"/>
        </w:rPr>
        <w:t>D</w:t>
      </w:r>
      <w:r w:rsidR="00B9561D">
        <w:rPr>
          <w:rFonts w:asciiTheme="majorHAnsi" w:hAnsiTheme="majorHAnsi" w:cs="Times New Roman"/>
          <w:sz w:val="22"/>
          <w:szCs w:val="22"/>
        </w:rPr>
        <w:t xml:space="preserve">istress is </w:t>
      </w:r>
      <w:r w:rsidR="00126DAD">
        <w:rPr>
          <w:rFonts w:asciiTheme="majorHAnsi" w:hAnsiTheme="majorHAnsi" w:cs="Times New Roman"/>
          <w:sz w:val="22"/>
          <w:szCs w:val="22"/>
        </w:rPr>
        <w:t>commonly experienced during</w:t>
      </w:r>
      <w:r w:rsidR="00B9561D">
        <w:rPr>
          <w:rFonts w:asciiTheme="majorHAnsi" w:hAnsiTheme="majorHAnsi" w:cs="Times New Roman"/>
          <w:sz w:val="22"/>
          <w:szCs w:val="22"/>
        </w:rPr>
        <w:t xml:space="preserve"> </w:t>
      </w:r>
      <w:r>
        <w:rPr>
          <w:rFonts w:asciiTheme="majorHAnsi" w:hAnsiTheme="majorHAnsi" w:cs="Times New Roman"/>
          <w:sz w:val="22"/>
          <w:szCs w:val="22"/>
        </w:rPr>
        <w:t xml:space="preserve">the cancer trajectory </w:t>
      </w:r>
      <w:r w:rsidR="00126DAD" w:rsidRPr="00E85202">
        <w:rPr>
          <w:rFonts w:asciiTheme="majorHAnsi" w:hAnsiTheme="majorHAnsi" w:cs="Times New Roman"/>
          <w:sz w:val="22"/>
          <w:szCs w:val="22"/>
        </w:rPr>
        <w:t xml:space="preserve">and </w:t>
      </w:r>
      <w:r w:rsidR="00B9561D" w:rsidRPr="00E85202">
        <w:rPr>
          <w:rFonts w:asciiTheme="majorHAnsi" w:hAnsiTheme="majorHAnsi" w:cs="Times New Roman"/>
          <w:sz w:val="22"/>
          <w:szCs w:val="22"/>
        </w:rPr>
        <w:t>significant</w:t>
      </w:r>
      <w:r w:rsidR="00126DAD" w:rsidRPr="00E85202">
        <w:rPr>
          <w:rFonts w:asciiTheme="majorHAnsi" w:hAnsiTheme="majorHAnsi" w:cs="Times New Roman"/>
          <w:sz w:val="22"/>
          <w:szCs w:val="22"/>
        </w:rPr>
        <w:t>ly</w:t>
      </w:r>
      <w:r w:rsidR="00B9561D" w:rsidRPr="00E85202">
        <w:rPr>
          <w:rFonts w:asciiTheme="majorHAnsi" w:hAnsiTheme="majorHAnsi" w:cs="Times New Roman"/>
          <w:sz w:val="22"/>
          <w:szCs w:val="22"/>
        </w:rPr>
        <w:t xml:space="preserve"> impact</w:t>
      </w:r>
      <w:r w:rsidR="002E25CF" w:rsidRPr="00E85202">
        <w:rPr>
          <w:rFonts w:asciiTheme="majorHAnsi" w:hAnsiTheme="majorHAnsi" w:cs="Times New Roman"/>
          <w:sz w:val="22"/>
          <w:szCs w:val="22"/>
        </w:rPr>
        <w:t>s</w:t>
      </w:r>
      <w:r w:rsidR="00B9561D" w:rsidRPr="00E85202">
        <w:rPr>
          <w:rFonts w:asciiTheme="majorHAnsi" w:hAnsiTheme="majorHAnsi" w:cs="Times New Roman"/>
          <w:sz w:val="22"/>
          <w:szCs w:val="22"/>
        </w:rPr>
        <w:t xml:space="preserve"> </w:t>
      </w:r>
      <w:r w:rsidR="009619B7" w:rsidRPr="00E85202">
        <w:rPr>
          <w:rFonts w:asciiTheme="majorHAnsi" w:hAnsiTheme="majorHAnsi" w:cs="Times New Roman"/>
          <w:sz w:val="22"/>
          <w:szCs w:val="22"/>
        </w:rPr>
        <w:t>up</w:t>
      </w:r>
      <w:r w:rsidR="00B9561D" w:rsidRPr="00E85202">
        <w:rPr>
          <w:rFonts w:asciiTheme="majorHAnsi" w:hAnsiTheme="majorHAnsi" w:cs="Times New Roman"/>
          <w:sz w:val="22"/>
          <w:szCs w:val="22"/>
        </w:rPr>
        <w:t>on cancer care and its outcomes, justifying calls for its screening</w:t>
      </w:r>
      <w:r w:rsidR="00E85202" w:rsidRPr="00E85202">
        <w:rPr>
          <w:rFonts w:asciiTheme="majorHAnsi" w:hAnsiTheme="majorHAnsi" w:cs="Times New Roman"/>
          <w:sz w:val="22"/>
          <w:szCs w:val="22"/>
        </w:rPr>
        <w:t xml:space="preserve"> </w:t>
      </w:r>
      <w:r w:rsidR="00717F65" w:rsidRPr="00E85202">
        <w:rPr>
          <w:rFonts w:asciiTheme="majorHAnsi" w:hAnsiTheme="majorHAnsi" w:cs="Times New Roman"/>
          <w:sz w:val="22"/>
          <w:szCs w:val="22"/>
          <w:vertAlign w:val="superscript"/>
        </w:rPr>
        <w:t>1</w:t>
      </w:r>
      <w:r w:rsidR="00E85202" w:rsidRPr="00E85202">
        <w:rPr>
          <w:rFonts w:asciiTheme="majorHAnsi" w:hAnsiTheme="majorHAnsi" w:cs="Times New Roman"/>
          <w:sz w:val="22"/>
          <w:szCs w:val="22"/>
        </w:rPr>
        <w:t>.</w:t>
      </w:r>
      <w:r w:rsidR="00B9561D" w:rsidRPr="00E85202">
        <w:rPr>
          <w:rFonts w:asciiTheme="majorHAnsi" w:hAnsiTheme="majorHAnsi" w:cs="Times New Roman"/>
          <w:sz w:val="22"/>
          <w:szCs w:val="22"/>
        </w:rPr>
        <w:t xml:space="preserve"> Screening for distress is re</w:t>
      </w:r>
      <w:r w:rsidR="004335DE" w:rsidRPr="00E85202">
        <w:rPr>
          <w:rFonts w:asciiTheme="majorHAnsi" w:hAnsiTheme="majorHAnsi" w:cs="Times New Roman"/>
          <w:sz w:val="22"/>
          <w:szCs w:val="22"/>
        </w:rPr>
        <w:t>garded as the primary step in managing cancer-related distress. This process</w:t>
      </w:r>
      <w:r w:rsidR="00B9561D" w:rsidRPr="00C02D2C">
        <w:rPr>
          <w:rFonts w:asciiTheme="majorHAnsi" w:hAnsiTheme="majorHAnsi" w:cs="Times New Roman"/>
          <w:sz w:val="22"/>
          <w:szCs w:val="22"/>
        </w:rPr>
        <w:t xml:space="preserve"> involves identifying </w:t>
      </w:r>
      <w:r w:rsidR="004942FC" w:rsidRPr="003F437A">
        <w:rPr>
          <w:rFonts w:asciiTheme="majorHAnsi" w:hAnsiTheme="majorHAnsi" w:cs="Times New Roman"/>
          <w:sz w:val="22"/>
          <w:szCs w:val="22"/>
        </w:rPr>
        <w:t xml:space="preserve">contributing </w:t>
      </w:r>
      <w:r w:rsidR="00B9561D" w:rsidRPr="003F437A">
        <w:rPr>
          <w:rFonts w:asciiTheme="majorHAnsi" w:hAnsiTheme="majorHAnsi" w:cs="Times New Roman"/>
          <w:sz w:val="22"/>
          <w:szCs w:val="22"/>
        </w:rPr>
        <w:t>causes, rang</w:t>
      </w:r>
      <w:r w:rsidR="00C262E9" w:rsidRPr="003F437A">
        <w:rPr>
          <w:rFonts w:asciiTheme="majorHAnsi" w:hAnsiTheme="majorHAnsi" w:cs="Times New Roman"/>
          <w:sz w:val="22"/>
          <w:szCs w:val="22"/>
        </w:rPr>
        <w:t>ing</w:t>
      </w:r>
      <w:r w:rsidR="00B9561D" w:rsidRPr="003F437A">
        <w:rPr>
          <w:rFonts w:asciiTheme="majorHAnsi" w:hAnsiTheme="majorHAnsi" w:cs="Times New Roman"/>
          <w:sz w:val="22"/>
          <w:szCs w:val="22"/>
        </w:rPr>
        <w:t xml:space="preserve"> from common practical, physical, and psychological problems/concerns by way of holistic assessment</w:t>
      </w:r>
      <w:r w:rsidR="001115D8" w:rsidRPr="003F437A">
        <w:rPr>
          <w:rFonts w:asciiTheme="majorHAnsi" w:hAnsiTheme="majorHAnsi" w:cs="Times New Roman"/>
          <w:sz w:val="22"/>
          <w:szCs w:val="22"/>
        </w:rPr>
        <w:t>s</w:t>
      </w:r>
      <w:r w:rsidR="00E85202" w:rsidRPr="003F437A">
        <w:rPr>
          <w:rFonts w:asciiTheme="majorHAnsi" w:hAnsiTheme="majorHAnsi" w:cs="Times New Roman"/>
          <w:sz w:val="22"/>
          <w:szCs w:val="22"/>
        </w:rPr>
        <w:t xml:space="preserve"> </w:t>
      </w:r>
      <w:r w:rsidR="00985F89" w:rsidRPr="00E85202">
        <w:rPr>
          <w:rFonts w:asciiTheme="majorHAnsi" w:hAnsiTheme="majorHAnsi" w:cs="Times New Roman"/>
          <w:sz w:val="22"/>
          <w:szCs w:val="22"/>
          <w:vertAlign w:val="superscript"/>
        </w:rPr>
        <w:t>1,</w:t>
      </w:r>
      <w:r w:rsidR="00717F65" w:rsidRPr="00E85202">
        <w:rPr>
          <w:rFonts w:asciiTheme="majorHAnsi" w:hAnsiTheme="majorHAnsi" w:cs="Times New Roman"/>
          <w:sz w:val="22"/>
          <w:szCs w:val="22"/>
          <w:vertAlign w:val="superscript"/>
        </w:rPr>
        <w:t>2</w:t>
      </w:r>
      <w:r w:rsidR="00B9561D" w:rsidRPr="00E85202">
        <w:rPr>
          <w:rFonts w:asciiTheme="majorHAnsi" w:hAnsiTheme="majorHAnsi" w:cs="Times New Roman"/>
          <w:sz w:val="22"/>
          <w:szCs w:val="22"/>
        </w:rPr>
        <w:t>; and develop</w:t>
      </w:r>
      <w:r w:rsidR="00BD33BB" w:rsidRPr="00E85202">
        <w:rPr>
          <w:rFonts w:asciiTheme="majorHAnsi" w:hAnsiTheme="majorHAnsi" w:cs="Times New Roman"/>
          <w:sz w:val="22"/>
          <w:szCs w:val="22"/>
        </w:rPr>
        <w:t>ing</w:t>
      </w:r>
      <w:r w:rsidR="00E85202">
        <w:rPr>
          <w:rFonts w:asciiTheme="majorHAnsi" w:hAnsiTheme="majorHAnsi" w:cs="Times New Roman"/>
          <w:sz w:val="22"/>
          <w:szCs w:val="22"/>
        </w:rPr>
        <w:t xml:space="preserve"> </w:t>
      </w:r>
      <w:r w:rsidR="00B9561D" w:rsidRPr="00E85202">
        <w:rPr>
          <w:rFonts w:asciiTheme="majorHAnsi" w:hAnsiTheme="majorHAnsi" w:cs="Times New Roman"/>
          <w:sz w:val="22"/>
          <w:szCs w:val="22"/>
        </w:rPr>
        <w:t>individuali</w:t>
      </w:r>
      <w:r w:rsidR="00E85202">
        <w:rPr>
          <w:rFonts w:asciiTheme="majorHAnsi" w:hAnsiTheme="majorHAnsi" w:cs="Times New Roman"/>
          <w:sz w:val="22"/>
          <w:szCs w:val="22"/>
        </w:rPr>
        <w:t>s</w:t>
      </w:r>
      <w:r w:rsidR="00B9561D" w:rsidRPr="00E85202">
        <w:rPr>
          <w:rFonts w:asciiTheme="majorHAnsi" w:hAnsiTheme="majorHAnsi" w:cs="Times New Roman"/>
          <w:sz w:val="22"/>
          <w:szCs w:val="22"/>
        </w:rPr>
        <w:t xml:space="preserve">ed supportive care plan to meet these issues. </w:t>
      </w:r>
      <w:r w:rsidR="004335DE" w:rsidRPr="00C02D2C">
        <w:rPr>
          <w:rFonts w:asciiTheme="majorHAnsi" w:hAnsiTheme="majorHAnsi" w:cs="Times New Roman"/>
          <w:sz w:val="22"/>
          <w:szCs w:val="22"/>
        </w:rPr>
        <w:t>It is suggested that t</w:t>
      </w:r>
      <w:r w:rsidR="00DA61C2" w:rsidRPr="003F437A">
        <w:rPr>
          <w:rFonts w:asciiTheme="majorHAnsi" w:hAnsiTheme="majorHAnsi"/>
          <w:sz w:val="22"/>
          <w:szCs w:val="22"/>
        </w:rPr>
        <w:t xml:space="preserve">he number and severity of cancer patients’ concerns is associated with development of distress </w:t>
      </w:r>
      <w:r w:rsidR="00717F65" w:rsidRPr="00E85202">
        <w:rPr>
          <w:rFonts w:asciiTheme="majorHAnsi" w:hAnsiTheme="majorHAnsi"/>
          <w:sz w:val="22"/>
          <w:szCs w:val="22"/>
          <w:vertAlign w:val="superscript"/>
        </w:rPr>
        <w:t>3</w:t>
      </w:r>
      <w:r w:rsidR="00985F89" w:rsidRPr="00E85202">
        <w:rPr>
          <w:rFonts w:asciiTheme="majorHAnsi" w:hAnsiTheme="majorHAnsi"/>
          <w:sz w:val="22"/>
          <w:szCs w:val="22"/>
          <w:vertAlign w:val="superscript"/>
        </w:rPr>
        <w:t>,4</w:t>
      </w:r>
      <w:r w:rsidR="00DA61C2" w:rsidRPr="00E85202">
        <w:rPr>
          <w:rFonts w:asciiTheme="majorHAnsi" w:hAnsiTheme="majorHAnsi"/>
          <w:sz w:val="22"/>
          <w:szCs w:val="22"/>
        </w:rPr>
        <w:t>.</w:t>
      </w:r>
      <w:r w:rsidR="00DA61C2" w:rsidRPr="00075D52">
        <w:rPr>
          <w:rFonts w:asciiTheme="majorHAnsi" w:hAnsiTheme="majorHAnsi" w:cs="Times New Roman"/>
          <w:sz w:val="22"/>
          <w:szCs w:val="22"/>
        </w:rPr>
        <w:t xml:space="preserve"> </w:t>
      </w:r>
    </w:p>
    <w:p w14:paraId="25D3BE57" w14:textId="77777777" w:rsidR="005E6991" w:rsidRDefault="005E6991" w:rsidP="00DA61C2">
      <w:pPr>
        <w:widowControl w:val="0"/>
        <w:autoSpaceDE w:val="0"/>
        <w:autoSpaceDN w:val="0"/>
        <w:adjustRightInd w:val="0"/>
        <w:spacing w:line="360" w:lineRule="auto"/>
        <w:jc w:val="both"/>
        <w:rPr>
          <w:rFonts w:asciiTheme="majorHAnsi" w:hAnsiTheme="majorHAnsi" w:cs="Times New Roman"/>
          <w:sz w:val="22"/>
          <w:szCs w:val="22"/>
        </w:rPr>
      </w:pPr>
    </w:p>
    <w:p w14:paraId="4739DFC7" w14:textId="41274B05" w:rsidR="006A6C49" w:rsidRPr="003F437A" w:rsidRDefault="00DE424F" w:rsidP="00DA61C2">
      <w:pPr>
        <w:widowControl w:val="0"/>
        <w:autoSpaceDE w:val="0"/>
        <w:autoSpaceDN w:val="0"/>
        <w:adjustRightInd w:val="0"/>
        <w:spacing w:line="360" w:lineRule="auto"/>
        <w:jc w:val="both"/>
        <w:rPr>
          <w:rFonts w:asciiTheme="majorHAnsi" w:hAnsiTheme="majorHAnsi" w:cs="Times New Roman"/>
          <w:sz w:val="22"/>
          <w:szCs w:val="22"/>
        </w:rPr>
      </w:pPr>
      <w:r w:rsidRPr="00E85202">
        <w:rPr>
          <w:rFonts w:asciiTheme="majorHAnsi" w:hAnsiTheme="majorHAnsi" w:cs="Times New Roman"/>
          <w:sz w:val="22"/>
          <w:szCs w:val="22"/>
        </w:rPr>
        <w:t>There is a</w:t>
      </w:r>
      <w:r w:rsidR="004335DE" w:rsidRPr="00E85202">
        <w:rPr>
          <w:rFonts w:asciiTheme="majorHAnsi" w:hAnsiTheme="majorHAnsi" w:cs="Times New Roman"/>
          <w:sz w:val="22"/>
          <w:szCs w:val="22"/>
        </w:rPr>
        <w:t>n accumulating</w:t>
      </w:r>
      <w:r w:rsidRPr="00E85202">
        <w:rPr>
          <w:rFonts w:asciiTheme="majorHAnsi" w:hAnsiTheme="majorHAnsi" w:cs="Times New Roman"/>
          <w:sz w:val="22"/>
          <w:szCs w:val="22"/>
        </w:rPr>
        <w:t xml:space="preserve"> body of </w:t>
      </w:r>
      <w:r w:rsidR="00F26359" w:rsidRPr="00E85202">
        <w:rPr>
          <w:rFonts w:asciiTheme="majorHAnsi" w:hAnsiTheme="majorHAnsi" w:cs="Times New Roman"/>
          <w:sz w:val="22"/>
          <w:szCs w:val="22"/>
        </w:rPr>
        <w:t>work</w:t>
      </w:r>
      <w:r w:rsidR="004335DE" w:rsidRPr="00E85202">
        <w:rPr>
          <w:rFonts w:asciiTheme="majorHAnsi" w:hAnsiTheme="majorHAnsi" w:cs="Times New Roman"/>
          <w:sz w:val="22"/>
          <w:szCs w:val="22"/>
        </w:rPr>
        <w:t xml:space="preserve"> surrounding </w:t>
      </w:r>
      <w:r w:rsidRPr="00E85202">
        <w:rPr>
          <w:rFonts w:asciiTheme="majorHAnsi" w:hAnsiTheme="majorHAnsi" w:cs="Times New Roman"/>
          <w:sz w:val="22"/>
          <w:szCs w:val="22"/>
        </w:rPr>
        <w:t xml:space="preserve">patient’s concerns in the head and neck cancer </w:t>
      </w:r>
      <w:r w:rsidR="00302132" w:rsidRPr="00C02D2C">
        <w:rPr>
          <w:rFonts w:asciiTheme="majorHAnsi" w:hAnsiTheme="majorHAnsi" w:cs="Times New Roman"/>
          <w:sz w:val="22"/>
          <w:szCs w:val="22"/>
        </w:rPr>
        <w:t xml:space="preserve">(HNC) </w:t>
      </w:r>
      <w:r w:rsidRPr="003F437A">
        <w:rPr>
          <w:rFonts w:asciiTheme="majorHAnsi" w:hAnsiTheme="majorHAnsi" w:cs="Times New Roman"/>
          <w:sz w:val="22"/>
          <w:szCs w:val="22"/>
        </w:rPr>
        <w:t>population</w:t>
      </w:r>
      <w:r w:rsidR="004335DE" w:rsidRPr="003F437A">
        <w:rPr>
          <w:rFonts w:asciiTheme="majorHAnsi" w:hAnsiTheme="majorHAnsi" w:cs="Times New Roman"/>
          <w:sz w:val="22"/>
          <w:szCs w:val="22"/>
        </w:rPr>
        <w:t xml:space="preserve"> based </w:t>
      </w:r>
      <w:r w:rsidR="00F26359" w:rsidRPr="003F437A">
        <w:rPr>
          <w:rFonts w:asciiTheme="majorHAnsi" w:hAnsiTheme="majorHAnsi" w:cs="Times New Roman"/>
          <w:sz w:val="22"/>
          <w:szCs w:val="22"/>
        </w:rPr>
        <w:t>on the</w:t>
      </w:r>
      <w:r w:rsidR="00DA61C2" w:rsidRPr="003F437A">
        <w:rPr>
          <w:rFonts w:asciiTheme="majorHAnsi" w:hAnsiTheme="majorHAnsi" w:cs="Times New Roman"/>
          <w:sz w:val="22"/>
          <w:szCs w:val="22"/>
        </w:rPr>
        <w:t xml:space="preserve"> </w:t>
      </w:r>
      <w:r w:rsidR="00DA61C2" w:rsidRPr="003F437A">
        <w:rPr>
          <w:rFonts w:asciiTheme="majorHAnsi" w:hAnsiTheme="majorHAnsi"/>
          <w:sz w:val="22"/>
          <w:szCs w:val="22"/>
        </w:rPr>
        <w:t>Patients Concerns Inventory (PCI)</w:t>
      </w:r>
      <w:r w:rsidR="00F26359" w:rsidRPr="003F437A">
        <w:rPr>
          <w:rFonts w:asciiTheme="majorHAnsi" w:hAnsiTheme="majorHAnsi"/>
          <w:sz w:val="22"/>
          <w:szCs w:val="22"/>
        </w:rPr>
        <w:t xml:space="preserve">. </w:t>
      </w:r>
      <w:r w:rsidR="00DA61C2" w:rsidRPr="003F437A">
        <w:rPr>
          <w:rFonts w:asciiTheme="majorHAnsi" w:hAnsiTheme="majorHAnsi"/>
          <w:sz w:val="22"/>
          <w:szCs w:val="22"/>
        </w:rPr>
        <w:t xml:space="preserve"> </w:t>
      </w:r>
      <w:r w:rsidR="00F26359" w:rsidRPr="003F437A">
        <w:rPr>
          <w:rFonts w:asciiTheme="majorHAnsi" w:hAnsiTheme="majorHAnsi"/>
          <w:sz w:val="22"/>
          <w:szCs w:val="22"/>
        </w:rPr>
        <w:t xml:space="preserve">The PCI </w:t>
      </w:r>
      <w:r w:rsidR="00DA61C2" w:rsidRPr="003F437A">
        <w:rPr>
          <w:rFonts w:asciiTheme="majorHAnsi" w:hAnsiTheme="majorHAnsi"/>
          <w:sz w:val="22"/>
          <w:szCs w:val="22"/>
        </w:rPr>
        <w:t xml:space="preserve">is a holistic tool </w:t>
      </w:r>
      <w:r w:rsidR="004335DE" w:rsidRPr="003F437A">
        <w:rPr>
          <w:rFonts w:asciiTheme="majorHAnsi" w:hAnsiTheme="majorHAnsi"/>
          <w:sz w:val="22"/>
          <w:szCs w:val="22"/>
        </w:rPr>
        <w:t>that</w:t>
      </w:r>
      <w:r w:rsidR="00DA61C2" w:rsidRPr="003F437A">
        <w:rPr>
          <w:rFonts w:asciiTheme="majorHAnsi" w:hAnsiTheme="majorHAnsi"/>
          <w:sz w:val="22"/>
          <w:szCs w:val="22"/>
        </w:rPr>
        <w:t xml:space="preserve"> help</w:t>
      </w:r>
      <w:r w:rsidR="004335DE" w:rsidRPr="003F437A">
        <w:rPr>
          <w:rFonts w:asciiTheme="majorHAnsi" w:hAnsiTheme="majorHAnsi"/>
          <w:sz w:val="22"/>
          <w:szCs w:val="22"/>
        </w:rPr>
        <w:t>s</w:t>
      </w:r>
      <w:r w:rsidR="00DA61C2" w:rsidRPr="003F437A">
        <w:rPr>
          <w:rFonts w:asciiTheme="majorHAnsi" w:hAnsiTheme="majorHAnsi"/>
          <w:sz w:val="22"/>
          <w:szCs w:val="22"/>
        </w:rPr>
        <w:t xml:space="preserve"> HNC patients disclose items of concern during routine clinical consultations, and also assists patients in indicatin</w:t>
      </w:r>
      <w:r w:rsidR="006B269E" w:rsidRPr="003F437A">
        <w:rPr>
          <w:rFonts w:asciiTheme="majorHAnsi" w:hAnsiTheme="majorHAnsi"/>
          <w:sz w:val="22"/>
          <w:szCs w:val="22"/>
        </w:rPr>
        <w:t>g</w:t>
      </w:r>
      <w:r w:rsidR="00DA61C2" w:rsidRPr="003F437A">
        <w:rPr>
          <w:rFonts w:asciiTheme="majorHAnsi" w:hAnsiTheme="majorHAnsi"/>
          <w:sz w:val="22"/>
          <w:szCs w:val="22"/>
        </w:rPr>
        <w:t xml:space="preserve"> professionals with whom they wish to see or be referred to </w:t>
      </w:r>
      <w:r w:rsidR="00717F65" w:rsidRPr="00DF0C7C">
        <w:rPr>
          <w:rFonts w:asciiTheme="majorHAnsi" w:hAnsiTheme="majorHAnsi"/>
          <w:sz w:val="22"/>
          <w:szCs w:val="22"/>
          <w:vertAlign w:val="superscript"/>
        </w:rPr>
        <w:t>5</w:t>
      </w:r>
      <w:r w:rsidR="00DA61C2" w:rsidRPr="00E85202">
        <w:rPr>
          <w:rFonts w:asciiTheme="majorHAnsi" w:hAnsiTheme="majorHAnsi"/>
          <w:sz w:val="22"/>
          <w:szCs w:val="22"/>
        </w:rPr>
        <w:t xml:space="preserve">. </w:t>
      </w:r>
      <w:r w:rsidR="006A6C49" w:rsidRPr="00E85202">
        <w:rPr>
          <w:rFonts w:asciiTheme="majorHAnsi" w:hAnsiTheme="majorHAnsi"/>
          <w:sz w:val="22"/>
          <w:szCs w:val="22"/>
        </w:rPr>
        <w:t xml:space="preserve">The PCI has been successfully rolled out </w:t>
      </w:r>
      <w:r w:rsidR="004512C8" w:rsidRPr="00E85202">
        <w:rPr>
          <w:rFonts w:asciiTheme="majorHAnsi" w:hAnsiTheme="majorHAnsi"/>
          <w:sz w:val="22"/>
          <w:szCs w:val="22"/>
        </w:rPr>
        <w:t xml:space="preserve">as a sign-posting tool for supportive care </w:t>
      </w:r>
      <w:r w:rsidR="006A6C49" w:rsidRPr="00E85202">
        <w:rPr>
          <w:rFonts w:asciiTheme="majorHAnsi" w:hAnsiTheme="majorHAnsi"/>
          <w:sz w:val="22"/>
          <w:szCs w:val="22"/>
        </w:rPr>
        <w:t xml:space="preserve">across a </w:t>
      </w:r>
      <w:r w:rsidR="00F26359" w:rsidRPr="00C02D2C">
        <w:rPr>
          <w:rFonts w:asciiTheme="majorHAnsi" w:hAnsiTheme="majorHAnsi"/>
          <w:sz w:val="22"/>
          <w:szCs w:val="22"/>
        </w:rPr>
        <w:t xml:space="preserve">regional </w:t>
      </w:r>
      <w:r w:rsidR="006A6C49" w:rsidRPr="003F437A">
        <w:rPr>
          <w:rFonts w:asciiTheme="majorHAnsi" w:hAnsiTheme="majorHAnsi"/>
          <w:sz w:val="22"/>
          <w:szCs w:val="22"/>
        </w:rPr>
        <w:t>HNC network</w:t>
      </w:r>
      <w:r w:rsidR="005E6991" w:rsidRPr="003F437A">
        <w:rPr>
          <w:rFonts w:asciiTheme="majorHAnsi" w:hAnsiTheme="majorHAnsi"/>
          <w:sz w:val="22"/>
          <w:szCs w:val="22"/>
        </w:rPr>
        <w:t xml:space="preserve"> in the United Kingdom</w:t>
      </w:r>
      <w:r w:rsidR="006B269E" w:rsidRPr="003F437A">
        <w:rPr>
          <w:rFonts w:asciiTheme="majorHAnsi" w:hAnsiTheme="majorHAnsi"/>
          <w:sz w:val="22"/>
          <w:szCs w:val="22"/>
        </w:rPr>
        <w:t xml:space="preserve"> (UK)</w:t>
      </w:r>
      <w:r w:rsidR="006A6C49" w:rsidRPr="003F437A">
        <w:rPr>
          <w:rFonts w:asciiTheme="majorHAnsi" w:hAnsiTheme="majorHAnsi"/>
          <w:sz w:val="22"/>
          <w:szCs w:val="22"/>
        </w:rPr>
        <w:t xml:space="preserve">. </w:t>
      </w:r>
    </w:p>
    <w:p w14:paraId="124ABCC6" w14:textId="77777777" w:rsidR="006A6C49" w:rsidRPr="00A52AAA" w:rsidRDefault="006A6C49" w:rsidP="00DA61C2">
      <w:pPr>
        <w:widowControl w:val="0"/>
        <w:autoSpaceDE w:val="0"/>
        <w:autoSpaceDN w:val="0"/>
        <w:adjustRightInd w:val="0"/>
        <w:spacing w:line="360" w:lineRule="auto"/>
        <w:jc w:val="both"/>
        <w:rPr>
          <w:rFonts w:asciiTheme="majorHAnsi" w:hAnsiTheme="majorHAnsi"/>
          <w:sz w:val="22"/>
          <w:szCs w:val="22"/>
        </w:rPr>
      </w:pPr>
    </w:p>
    <w:p w14:paraId="0F7A4C8B" w14:textId="4AC07A0F" w:rsidR="006E6E3D" w:rsidRDefault="004328E2" w:rsidP="00DA61C2">
      <w:pPr>
        <w:widowControl w:val="0"/>
        <w:autoSpaceDE w:val="0"/>
        <w:autoSpaceDN w:val="0"/>
        <w:adjustRightInd w:val="0"/>
        <w:spacing w:line="360" w:lineRule="auto"/>
        <w:jc w:val="both"/>
        <w:rPr>
          <w:rFonts w:asciiTheme="majorHAnsi" w:hAnsiTheme="majorHAnsi"/>
          <w:sz w:val="22"/>
          <w:szCs w:val="22"/>
        </w:rPr>
      </w:pPr>
      <w:r w:rsidRPr="00A52AAA">
        <w:rPr>
          <w:rFonts w:asciiTheme="majorHAnsi" w:hAnsiTheme="majorHAnsi"/>
          <w:sz w:val="22"/>
          <w:szCs w:val="22"/>
        </w:rPr>
        <w:t>There is a</w:t>
      </w:r>
      <w:r w:rsidR="00302132" w:rsidRPr="00A52AAA">
        <w:rPr>
          <w:rFonts w:asciiTheme="majorHAnsi" w:hAnsiTheme="majorHAnsi"/>
          <w:sz w:val="22"/>
          <w:szCs w:val="22"/>
        </w:rPr>
        <w:t xml:space="preserve"> wide range of reported HNC patient concerns</w:t>
      </w:r>
      <w:r w:rsidR="00A52AAA">
        <w:rPr>
          <w:rFonts w:asciiTheme="majorHAnsi" w:hAnsiTheme="majorHAnsi"/>
          <w:sz w:val="22"/>
          <w:szCs w:val="22"/>
        </w:rPr>
        <w:t xml:space="preserve"> </w:t>
      </w:r>
      <w:r w:rsidR="00A52AAA" w:rsidRPr="00DF0C7C">
        <w:rPr>
          <w:rFonts w:asciiTheme="majorHAnsi" w:hAnsiTheme="majorHAnsi"/>
          <w:sz w:val="22"/>
          <w:szCs w:val="22"/>
          <w:vertAlign w:val="superscript"/>
        </w:rPr>
        <w:t>5</w:t>
      </w:r>
      <w:r w:rsidR="00A52AAA">
        <w:rPr>
          <w:rFonts w:asciiTheme="majorHAnsi" w:hAnsiTheme="majorHAnsi"/>
          <w:sz w:val="22"/>
          <w:szCs w:val="22"/>
        </w:rPr>
        <w:t>. P</w:t>
      </w:r>
      <w:r w:rsidR="00D71ECA" w:rsidRPr="00A52AAA">
        <w:rPr>
          <w:rFonts w:asciiTheme="majorHAnsi" w:hAnsiTheme="majorHAnsi"/>
          <w:sz w:val="22"/>
          <w:szCs w:val="22"/>
        </w:rPr>
        <w:t xml:space="preserve">reliminary analysis of this dataset identified </w:t>
      </w:r>
      <w:r w:rsidR="00C262E9" w:rsidRPr="00A52AAA">
        <w:rPr>
          <w:rFonts w:asciiTheme="majorHAnsi" w:hAnsiTheme="majorHAnsi"/>
          <w:sz w:val="22"/>
          <w:szCs w:val="22"/>
        </w:rPr>
        <w:t>t</w:t>
      </w:r>
      <w:r w:rsidR="00DE424F" w:rsidRPr="00A52AAA">
        <w:rPr>
          <w:rFonts w:asciiTheme="majorHAnsi" w:hAnsiTheme="majorHAnsi"/>
          <w:sz w:val="22"/>
          <w:szCs w:val="22"/>
        </w:rPr>
        <w:t>he</w:t>
      </w:r>
      <w:r w:rsidR="00DE424F" w:rsidRPr="003F437A">
        <w:rPr>
          <w:rFonts w:asciiTheme="majorHAnsi" w:hAnsiTheme="majorHAnsi"/>
          <w:sz w:val="22"/>
          <w:szCs w:val="22"/>
        </w:rPr>
        <w:t xml:space="preserve"> most common patient con</w:t>
      </w:r>
      <w:r w:rsidR="00F8579B" w:rsidRPr="003F437A">
        <w:rPr>
          <w:rFonts w:asciiTheme="majorHAnsi" w:hAnsiTheme="majorHAnsi"/>
          <w:sz w:val="22"/>
          <w:szCs w:val="22"/>
        </w:rPr>
        <w:t xml:space="preserve">cerns were </w:t>
      </w:r>
      <w:r w:rsidR="00F8579B" w:rsidRPr="003F437A">
        <w:rPr>
          <w:rFonts w:asciiTheme="majorHAnsi" w:hAnsiTheme="majorHAnsi" w:cs="Times New Roman"/>
          <w:sz w:val="22"/>
          <w:szCs w:val="22"/>
        </w:rPr>
        <w:t>fear of recurrence (</w:t>
      </w:r>
      <w:r w:rsidR="00E01761" w:rsidRPr="003F437A">
        <w:rPr>
          <w:rFonts w:asciiTheme="majorHAnsi" w:hAnsiTheme="majorHAnsi" w:cs="Times New Roman"/>
          <w:sz w:val="22"/>
          <w:szCs w:val="22"/>
        </w:rPr>
        <w:t xml:space="preserve">FoR, </w:t>
      </w:r>
      <w:r w:rsidR="00F8579B" w:rsidRPr="003F437A">
        <w:rPr>
          <w:rFonts w:asciiTheme="majorHAnsi" w:hAnsiTheme="majorHAnsi" w:cs="Times New Roman"/>
          <w:sz w:val="22"/>
          <w:szCs w:val="22"/>
        </w:rPr>
        <w:t>37%), dental health/teeth (27%), chewing (24%),</w:t>
      </w:r>
      <w:r w:rsidR="00F8579B" w:rsidRPr="003F437A">
        <w:rPr>
          <w:rFonts w:asciiTheme="majorHAnsi" w:hAnsiTheme="majorHAnsi"/>
          <w:sz w:val="22"/>
          <w:szCs w:val="22"/>
        </w:rPr>
        <w:t xml:space="preserve"> </w:t>
      </w:r>
      <w:r w:rsidR="006A6C49" w:rsidRPr="003F437A">
        <w:rPr>
          <w:rFonts w:asciiTheme="majorHAnsi" w:hAnsiTheme="majorHAnsi" w:cs="Times New Roman"/>
          <w:sz w:val="22"/>
          <w:szCs w:val="22"/>
        </w:rPr>
        <w:t xml:space="preserve">pain </w:t>
      </w:r>
      <w:r w:rsidR="00E01761" w:rsidRPr="003F437A">
        <w:rPr>
          <w:rFonts w:asciiTheme="majorHAnsi" w:hAnsiTheme="majorHAnsi" w:cs="Times New Roman"/>
          <w:sz w:val="22"/>
          <w:szCs w:val="22"/>
        </w:rPr>
        <w:t xml:space="preserve">in head/neck (20%), </w:t>
      </w:r>
      <w:r w:rsidR="00F8579B" w:rsidRPr="003F437A">
        <w:rPr>
          <w:rFonts w:asciiTheme="majorHAnsi" w:hAnsiTheme="majorHAnsi" w:cs="Times New Roman"/>
          <w:sz w:val="22"/>
          <w:szCs w:val="22"/>
        </w:rPr>
        <w:t>fatigue/tiredness (19</w:t>
      </w:r>
      <w:r w:rsidR="00E01761" w:rsidRPr="003F437A">
        <w:rPr>
          <w:rFonts w:asciiTheme="majorHAnsi" w:hAnsiTheme="majorHAnsi" w:cs="Times New Roman"/>
          <w:sz w:val="22"/>
          <w:szCs w:val="22"/>
        </w:rPr>
        <w:t xml:space="preserve">%), saliva (18%) and swallowing </w:t>
      </w:r>
      <w:r w:rsidR="00F8579B" w:rsidRPr="003F437A">
        <w:rPr>
          <w:rFonts w:asciiTheme="majorHAnsi" w:hAnsiTheme="majorHAnsi" w:cs="Times New Roman"/>
          <w:sz w:val="22"/>
          <w:szCs w:val="22"/>
        </w:rPr>
        <w:t>(18%)</w:t>
      </w:r>
      <w:r w:rsidR="00E85202" w:rsidRPr="003F437A">
        <w:rPr>
          <w:rFonts w:asciiTheme="majorHAnsi" w:hAnsiTheme="majorHAnsi" w:cs="Times New Roman"/>
          <w:sz w:val="22"/>
          <w:szCs w:val="22"/>
        </w:rPr>
        <w:t xml:space="preserve"> </w:t>
      </w:r>
      <w:r w:rsidR="00717F65" w:rsidRPr="00DF0C7C">
        <w:rPr>
          <w:rFonts w:asciiTheme="majorHAnsi" w:hAnsiTheme="majorHAnsi"/>
          <w:sz w:val="22"/>
          <w:szCs w:val="22"/>
          <w:vertAlign w:val="superscript"/>
        </w:rPr>
        <w:t>5</w:t>
      </w:r>
      <w:r w:rsidR="00F8579B" w:rsidRPr="00E85202">
        <w:rPr>
          <w:rFonts w:asciiTheme="majorHAnsi" w:hAnsiTheme="majorHAnsi"/>
          <w:sz w:val="22"/>
          <w:szCs w:val="22"/>
        </w:rPr>
        <w:t xml:space="preserve">. </w:t>
      </w:r>
      <w:r w:rsidR="00A52AAA">
        <w:rPr>
          <w:rFonts w:asciiTheme="majorHAnsi" w:hAnsiTheme="majorHAnsi"/>
          <w:sz w:val="22"/>
          <w:szCs w:val="22"/>
        </w:rPr>
        <w:t xml:space="preserve">When </w:t>
      </w:r>
      <w:r w:rsidR="002A6867">
        <w:rPr>
          <w:rFonts w:asciiTheme="majorHAnsi" w:hAnsiTheme="majorHAnsi"/>
          <w:sz w:val="22"/>
          <w:szCs w:val="22"/>
        </w:rPr>
        <w:t xml:space="preserve">the PCI </w:t>
      </w:r>
      <w:r w:rsidR="006E6E3D">
        <w:rPr>
          <w:rFonts w:asciiTheme="majorHAnsi" w:hAnsiTheme="majorHAnsi"/>
          <w:sz w:val="22"/>
          <w:szCs w:val="22"/>
        </w:rPr>
        <w:t xml:space="preserve">is used </w:t>
      </w:r>
      <w:r w:rsidR="002A6867">
        <w:rPr>
          <w:rFonts w:asciiTheme="majorHAnsi" w:hAnsiTheme="majorHAnsi"/>
          <w:sz w:val="22"/>
          <w:szCs w:val="22"/>
        </w:rPr>
        <w:t xml:space="preserve">in conjunction with other </w:t>
      </w:r>
      <w:r w:rsidR="00A52AAA">
        <w:rPr>
          <w:rFonts w:asciiTheme="majorHAnsi" w:hAnsiTheme="majorHAnsi"/>
          <w:sz w:val="22"/>
          <w:szCs w:val="22"/>
        </w:rPr>
        <w:t>measures</w:t>
      </w:r>
      <w:r w:rsidR="002A6867">
        <w:rPr>
          <w:rFonts w:asciiTheme="majorHAnsi" w:hAnsiTheme="majorHAnsi"/>
          <w:sz w:val="22"/>
          <w:szCs w:val="22"/>
        </w:rPr>
        <w:t>, i</w:t>
      </w:r>
      <w:r w:rsidR="00E01761" w:rsidRPr="00E85202">
        <w:rPr>
          <w:rFonts w:asciiTheme="majorHAnsi" w:hAnsiTheme="majorHAnsi"/>
          <w:sz w:val="22"/>
          <w:szCs w:val="22"/>
        </w:rPr>
        <w:t xml:space="preserve">t is </w:t>
      </w:r>
      <w:r w:rsidR="00893AB8" w:rsidRPr="003F437A">
        <w:rPr>
          <w:rFonts w:asciiTheme="majorHAnsi" w:hAnsiTheme="majorHAnsi"/>
          <w:sz w:val="22"/>
          <w:szCs w:val="22"/>
        </w:rPr>
        <w:t xml:space="preserve">possible to identify </w:t>
      </w:r>
      <w:r w:rsidR="002A6867">
        <w:rPr>
          <w:rFonts w:asciiTheme="majorHAnsi" w:hAnsiTheme="majorHAnsi"/>
          <w:sz w:val="22"/>
          <w:szCs w:val="22"/>
        </w:rPr>
        <w:t>individuals</w:t>
      </w:r>
      <w:r w:rsidR="002A6867" w:rsidRPr="003F437A">
        <w:rPr>
          <w:rFonts w:asciiTheme="majorHAnsi" w:hAnsiTheme="majorHAnsi"/>
          <w:sz w:val="22"/>
          <w:szCs w:val="22"/>
        </w:rPr>
        <w:t xml:space="preserve"> </w:t>
      </w:r>
      <w:r w:rsidR="004512C8" w:rsidRPr="003F437A">
        <w:rPr>
          <w:rFonts w:asciiTheme="majorHAnsi" w:hAnsiTheme="majorHAnsi"/>
          <w:sz w:val="22"/>
          <w:szCs w:val="22"/>
        </w:rPr>
        <w:t xml:space="preserve">with significant problems i.e. requiring attention/support in </w:t>
      </w:r>
      <w:r w:rsidR="002A6867">
        <w:rPr>
          <w:rFonts w:asciiTheme="majorHAnsi" w:hAnsiTheme="majorHAnsi"/>
          <w:sz w:val="22"/>
          <w:szCs w:val="22"/>
        </w:rPr>
        <w:t>specific</w:t>
      </w:r>
      <w:r w:rsidR="002A6867" w:rsidRPr="003F437A">
        <w:rPr>
          <w:rFonts w:asciiTheme="majorHAnsi" w:hAnsiTheme="majorHAnsi"/>
          <w:sz w:val="22"/>
          <w:szCs w:val="22"/>
        </w:rPr>
        <w:t xml:space="preserve"> </w:t>
      </w:r>
      <w:r w:rsidR="004512C8" w:rsidRPr="003F437A">
        <w:rPr>
          <w:rFonts w:asciiTheme="majorHAnsi" w:hAnsiTheme="majorHAnsi"/>
          <w:sz w:val="22"/>
          <w:szCs w:val="22"/>
        </w:rPr>
        <w:t xml:space="preserve">areas. For example, </w:t>
      </w:r>
      <w:r w:rsidR="00357C22" w:rsidRPr="003F437A">
        <w:rPr>
          <w:rFonts w:asciiTheme="majorHAnsi" w:hAnsiTheme="majorHAnsi"/>
          <w:sz w:val="22"/>
          <w:szCs w:val="22"/>
        </w:rPr>
        <w:t xml:space="preserve">those with significant problems </w:t>
      </w:r>
      <w:r w:rsidR="00357C22">
        <w:rPr>
          <w:rFonts w:asciiTheme="majorHAnsi" w:hAnsiTheme="majorHAnsi"/>
          <w:sz w:val="22"/>
          <w:szCs w:val="22"/>
        </w:rPr>
        <w:t>from FoR</w:t>
      </w:r>
      <w:r w:rsidR="00357C22" w:rsidRPr="003F437A">
        <w:rPr>
          <w:rFonts w:asciiTheme="majorHAnsi" w:hAnsiTheme="majorHAnsi"/>
          <w:sz w:val="22"/>
          <w:szCs w:val="22"/>
        </w:rPr>
        <w:t xml:space="preserve"> </w:t>
      </w:r>
      <w:r w:rsidR="00357C22">
        <w:rPr>
          <w:rFonts w:asciiTheme="majorHAnsi" w:hAnsiTheme="majorHAnsi"/>
          <w:sz w:val="22"/>
          <w:szCs w:val="22"/>
        </w:rPr>
        <w:t xml:space="preserve">can be identified </w:t>
      </w:r>
      <w:r w:rsidR="006E6E3D" w:rsidRPr="003F437A">
        <w:rPr>
          <w:rFonts w:asciiTheme="majorHAnsi" w:hAnsiTheme="majorHAnsi"/>
          <w:sz w:val="22"/>
          <w:szCs w:val="22"/>
        </w:rPr>
        <w:t>when the PCI is used in conjunction with the FoR questionnaire</w:t>
      </w:r>
      <w:r w:rsidR="006E6E3D">
        <w:rPr>
          <w:rFonts w:asciiTheme="majorHAnsi" w:hAnsiTheme="majorHAnsi"/>
          <w:sz w:val="22"/>
          <w:szCs w:val="22"/>
        </w:rPr>
        <w:t xml:space="preserve"> </w:t>
      </w:r>
      <w:r w:rsidR="00717F65" w:rsidRPr="00DF0C7C">
        <w:rPr>
          <w:rFonts w:asciiTheme="majorHAnsi" w:hAnsiTheme="majorHAnsi"/>
          <w:sz w:val="22"/>
          <w:szCs w:val="22"/>
          <w:vertAlign w:val="superscript"/>
        </w:rPr>
        <w:t>6</w:t>
      </w:r>
      <w:r w:rsidR="00985F89" w:rsidRPr="00DF0C7C">
        <w:rPr>
          <w:rFonts w:asciiTheme="majorHAnsi" w:hAnsiTheme="majorHAnsi"/>
          <w:sz w:val="22"/>
          <w:szCs w:val="22"/>
          <w:vertAlign w:val="superscript"/>
        </w:rPr>
        <w:t>,7</w:t>
      </w:r>
      <w:r w:rsidR="00A52AAA">
        <w:rPr>
          <w:rFonts w:asciiTheme="majorHAnsi" w:hAnsiTheme="majorHAnsi"/>
          <w:sz w:val="22"/>
          <w:szCs w:val="22"/>
        </w:rPr>
        <w:t xml:space="preserve">. </w:t>
      </w:r>
      <w:r w:rsidR="00357C22">
        <w:rPr>
          <w:rFonts w:asciiTheme="majorHAnsi" w:hAnsiTheme="majorHAnsi"/>
          <w:sz w:val="22"/>
          <w:szCs w:val="22"/>
        </w:rPr>
        <w:t>Also,</w:t>
      </w:r>
      <w:r w:rsidR="00A52AAA">
        <w:rPr>
          <w:rFonts w:asciiTheme="majorHAnsi" w:hAnsiTheme="majorHAnsi"/>
          <w:sz w:val="22"/>
          <w:szCs w:val="22"/>
        </w:rPr>
        <w:t xml:space="preserve"> </w:t>
      </w:r>
      <w:r w:rsidR="002A6867">
        <w:rPr>
          <w:rFonts w:asciiTheme="majorHAnsi" w:hAnsiTheme="majorHAnsi"/>
          <w:sz w:val="22"/>
          <w:szCs w:val="22"/>
        </w:rPr>
        <w:t>patients</w:t>
      </w:r>
      <w:r w:rsidR="002A6867" w:rsidRPr="00C02D2C">
        <w:rPr>
          <w:rFonts w:asciiTheme="majorHAnsi" w:hAnsiTheme="majorHAnsi"/>
          <w:sz w:val="22"/>
          <w:szCs w:val="22"/>
        </w:rPr>
        <w:t xml:space="preserve"> </w:t>
      </w:r>
      <w:r w:rsidR="004512C8" w:rsidRPr="00C02D2C">
        <w:rPr>
          <w:rFonts w:asciiTheme="majorHAnsi" w:hAnsiTheme="majorHAnsi"/>
          <w:sz w:val="22"/>
          <w:szCs w:val="22"/>
        </w:rPr>
        <w:t xml:space="preserve">with significant problems </w:t>
      </w:r>
      <w:r w:rsidR="00E01761" w:rsidRPr="003F437A">
        <w:rPr>
          <w:rFonts w:asciiTheme="majorHAnsi" w:hAnsiTheme="majorHAnsi"/>
          <w:sz w:val="22"/>
          <w:szCs w:val="22"/>
        </w:rPr>
        <w:t xml:space="preserve">in </w:t>
      </w:r>
      <w:r w:rsidR="00F8579B" w:rsidRPr="003F437A">
        <w:rPr>
          <w:rFonts w:asciiTheme="majorHAnsi" w:hAnsiTheme="majorHAnsi"/>
          <w:sz w:val="22"/>
          <w:szCs w:val="22"/>
        </w:rPr>
        <w:t xml:space="preserve">areas of mood and anxiety </w:t>
      </w:r>
      <w:r w:rsidR="00717F65" w:rsidRPr="00DF0C7C">
        <w:rPr>
          <w:rFonts w:asciiTheme="majorHAnsi" w:hAnsiTheme="majorHAnsi"/>
          <w:sz w:val="22"/>
          <w:szCs w:val="22"/>
          <w:vertAlign w:val="superscript"/>
        </w:rPr>
        <w:t>8</w:t>
      </w:r>
      <w:r w:rsidR="00F8579B" w:rsidRPr="00E85202">
        <w:rPr>
          <w:rFonts w:asciiTheme="majorHAnsi" w:hAnsiTheme="majorHAnsi"/>
          <w:sz w:val="22"/>
          <w:szCs w:val="22"/>
        </w:rPr>
        <w:t xml:space="preserve">, pain </w:t>
      </w:r>
      <w:r w:rsidR="00717F65" w:rsidRPr="00DF0C7C">
        <w:rPr>
          <w:rFonts w:asciiTheme="majorHAnsi" w:hAnsiTheme="majorHAnsi"/>
          <w:sz w:val="22"/>
          <w:szCs w:val="22"/>
          <w:vertAlign w:val="superscript"/>
        </w:rPr>
        <w:t>9</w:t>
      </w:r>
      <w:r w:rsidR="00F8579B" w:rsidRPr="00E85202">
        <w:rPr>
          <w:rFonts w:asciiTheme="majorHAnsi" w:hAnsiTheme="majorHAnsi"/>
          <w:sz w:val="22"/>
          <w:szCs w:val="22"/>
        </w:rPr>
        <w:t xml:space="preserve">, appearance </w:t>
      </w:r>
      <w:r w:rsidR="00717F65" w:rsidRPr="00DF0C7C">
        <w:rPr>
          <w:rFonts w:asciiTheme="majorHAnsi" w:hAnsiTheme="majorHAnsi"/>
          <w:sz w:val="22"/>
          <w:szCs w:val="22"/>
          <w:vertAlign w:val="superscript"/>
        </w:rPr>
        <w:t>10</w:t>
      </w:r>
      <w:r w:rsidR="00F8579B" w:rsidRPr="00E85202">
        <w:rPr>
          <w:rFonts w:asciiTheme="majorHAnsi" w:hAnsiTheme="majorHAnsi"/>
          <w:sz w:val="22"/>
          <w:szCs w:val="22"/>
        </w:rPr>
        <w:t xml:space="preserve">, and speech and swallowing </w:t>
      </w:r>
      <w:r w:rsidR="00717F65" w:rsidRPr="00DF0C7C">
        <w:rPr>
          <w:rFonts w:asciiTheme="majorHAnsi" w:hAnsiTheme="majorHAnsi"/>
          <w:sz w:val="22"/>
          <w:szCs w:val="22"/>
          <w:vertAlign w:val="superscript"/>
        </w:rPr>
        <w:t>11</w:t>
      </w:r>
      <w:r w:rsidR="002A6867" w:rsidRPr="002A6867">
        <w:rPr>
          <w:rFonts w:asciiTheme="majorHAnsi" w:hAnsiTheme="majorHAnsi"/>
          <w:sz w:val="22"/>
          <w:szCs w:val="22"/>
        </w:rPr>
        <w:t xml:space="preserve"> </w:t>
      </w:r>
      <w:r w:rsidR="00A52AAA">
        <w:rPr>
          <w:rFonts w:asciiTheme="majorHAnsi" w:hAnsiTheme="majorHAnsi"/>
          <w:sz w:val="22"/>
          <w:szCs w:val="22"/>
        </w:rPr>
        <w:t xml:space="preserve">can be identified </w:t>
      </w:r>
      <w:r w:rsidR="002A6867">
        <w:rPr>
          <w:rFonts w:asciiTheme="majorHAnsi" w:hAnsiTheme="majorHAnsi"/>
          <w:sz w:val="22"/>
          <w:szCs w:val="22"/>
        </w:rPr>
        <w:t>w</w:t>
      </w:r>
      <w:r w:rsidR="002A6867" w:rsidRPr="00E85202">
        <w:rPr>
          <w:rFonts w:asciiTheme="majorHAnsi" w:hAnsiTheme="majorHAnsi"/>
          <w:sz w:val="22"/>
          <w:szCs w:val="22"/>
        </w:rPr>
        <w:t xml:space="preserve">hen the PCI is used in conjunction with the </w:t>
      </w:r>
      <w:r w:rsidR="002A6867" w:rsidRPr="00C02D2C">
        <w:rPr>
          <w:rFonts w:asciiTheme="majorHAnsi" w:hAnsiTheme="majorHAnsi"/>
          <w:sz w:val="22"/>
          <w:szCs w:val="22"/>
        </w:rPr>
        <w:t>University of Washington Quality of Life version 4 (UWQOL)</w:t>
      </w:r>
      <w:r w:rsidR="00304488" w:rsidRPr="00E85202">
        <w:rPr>
          <w:rFonts w:asciiTheme="majorHAnsi" w:hAnsiTheme="majorHAnsi"/>
          <w:sz w:val="22"/>
          <w:szCs w:val="22"/>
        </w:rPr>
        <w:t xml:space="preserve">. </w:t>
      </w:r>
    </w:p>
    <w:p w14:paraId="14836508" w14:textId="77777777" w:rsidR="006E6E3D" w:rsidRDefault="006E6E3D" w:rsidP="00DA61C2">
      <w:pPr>
        <w:widowControl w:val="0"/>
        <w:autoSpaceDE w:val="0"/>
        <w:autoSpaceDN w:val="0"/>
        <w:adjustRightInd w:val="0"/>
        <w:spacing w:line="360" w:lineRule="auto"/>
        <w:jc w:val="both"/>
        <w:rPr>
          <w:rFonts w:asciiTheme="majorHAnsi" w:hAnsiTheme="majorHAnsi"/>
          <w:sz w:val="22"/>
          <w:szCs w:val="22"/>
        </w:rPr>
      </w:pPr>
    </w:p>
    <w:p w14:paraId="5838A57C" w14:textId="6CE875D3" w:rsidR="00DA61C2" w:rsidRPr="003F437A" w:rsidRDefault="00304488" w:rsidP="00DA61C2">
      <w:pPr>
        <w:widowControl w:val="0"/>
        <w:autoSpaceDE w:val="0"/>
        <w:autoSpaceDN w:val="0"/>
        <w:adjustRightInd w:val="0"/>
        <w:spacing w:line="360" w:lineRule="auto"/>
        <w:jc w:val="both"/>
        <w:rPr>
          <w:rFonts w:asciiTheme="majorHAnsi" w:hAnsiTheme="majorHAnsi"/>
          <w:sz w:val="22"/>
          <w:szCs w:val="22"/>
        </w:rPr>
      </w:pPr>
      <w:r w:rsidRPr="00E85202">
        <w:rPr>
          <w:rFonts w:asciiTheme="majorHAnsi" w:hAnsiTheme="majorHAnsi"/>
          <w:sz w:val="22"/>
          <w:szCs w:val="22"/>
        </w:rPr>
        <w:t>D</w:t>
      </w:r>
      <w:r w:rsidR="00302132" w:rsidRPr="00E85202">
        <w:rPr>
          <w:rFonts w:asciiTheme="majorHAnsi" w:hAnsiTheme="majorHAnsi"/>
          <w:sz w:val="22"/>
          <w:szCs w:val="22"/>
        </w:rPr>
        <w:t xml:space="preserve">ifferent factors related </w:t>
      </w:r>
      <w:r w:rsidRPr="00E85202">
        <w:rPr>
          <w:rFonts w:asciiTheme="majorHAnsi" w:hAnsiTheme="majorHAnsi"/>
          <w:sz w:val="22"/>
          <w:szCs w:val="22"/>
        </w:rPr>
        <w:t xml:space="preserve">the expression of </w:t>
      </w:r>
      <w:r w:rsidR="00302132" w:rsidRPr="00E85202">
        <w:rPr>
          <w:rFonts w:asciiTheme="majorHAnsi" w:hAnsiTheme="majorHAnsi"/>
          <w:sz w:val="22"/>
          <w:szCs w:val="22"/>
        </w:rPr>
        <w:t xml:space="preserve">specific concerns. For example, predictors of those experiencing significant FoR </w:t>
      </w:r>
      <w:r w:rsidRPr="00C02D2C">
        <w:rPr>
          <w:rFonts w:asciiTheme="majorHAnsi" w:hAnsiTheme="majorHAnsi"/>
          <w:sz w:val="22"/>
          <w:szCs w:val="22"/>
        </w:rPr>
        <w:t xml:space="preserve">concerns </w:t>
      </w:r>
      <w:r w:rsidR="00302132" w:rsidRPr="003F437A">
        <w:rPr>
          <w:rFonts w:asciiTheme="majorHAnsi" w:hAnsiTheme="majorHAnsi"/>
          <w:sz w:val="22"/>
          <w:szCs w:val="22"/>
        </w:rPr>
        <w:t xml:space="preserve">over time (35%) were related to patient-related characteristics </w:t>
      </w:r>
      <w:r w:rsidR="00EB71A6" w:rsidRPr="003F437A">
        <w:rPr>
          <w:rFonts w:asciiTheme="majorHAnsi" w:hAnsiTheme="majorHAnsi"/>
          <w:sz w:val="22"/>
          <w:szCs w:val="22"/>
        </w:rPr>
        <w:t>(i.e.</w:t>
      </w:r>
      <w:r w:rsidR="00302132" w:rsidRPr="003F437A">
        <w:rPr>
          <w:rFonts w:asciiTheme="majorHAnsi" w:hAnsiTheme="majorHAnsi"/>
          <w:sz w:val="22"/>
          <w:szCs w:val="22"/>
        </w:rPr>
        <w:t xml:space="preserve"> female gender</w:t>
      </w:r>
      <w:r w:rsidR="006B269E" w:rsidRPr="003F437A">
        <w:rPr>
          <w:rFonts w:asciiTheme="majorHAnsi" w:hAnsiTheme="majorHAnsi"/>
          <w:sz w:val="22"/>
          <w:szCs w:val="22"/>
        </w:rPr>
        <w:t>,</w:t>
      </w:r>
      <w:r w:rsidR="00302132" w:rsidRPr="003F437A">
        <w:rPr>
          <w:rFonts w:asciiTheme="majorHAnsi" w:hAnsiTheme="majorHAnsi"/>
          <w:sz w:val="22"/>
          <w:szCs w:val="22"/>
        </w:rPr>
        <w:t xml:space="preserve"> those experiencing anxiety and mood disorders</w:t>
      </w:r>
      <w:r w:rsidR="00EB71A6" w:rsidRPr="003F437A">
        <w:rPr>
          <w:rFonts w:asciiTheme="majorHAnsi" w:hAnsiTheme="majorHAnsi"/>
          <w:sz w:val="22"/>
          <w:szCs w:val="22"/>
        </w:rPr>
        <w:t>)</w:t>
      </w:r>
      <w:r w:rsidR="00302132" w:rsidRPr="003F437A">
        <w:rPr>
          <w:rFonts w:asciiTheme="majorHAnsi" w:hAnsiTheme="majorHAnsi"/>
          <w:sz w:val="22"/>
          <w:szCs w:val="22"/>
        </w:rPr>
        <w:t xml:space="preserve"> rather than clinicopathological characteristics</w:t>
      </w:r>
      <w:r w:rsidR="00717F65" w:rsidRPr="00DF0C7C">
        <w:rPr>
          <w:rFonts w:asciiTheme="majorHAnsi" w:hAnsiTheme="majorHAnsi"/>
          <w:sz w:val="22"/>
          <w:szCs w:val="22"/>
          <w:vertAlign w:val="superscript"/>
        </w:rPr>
        <w:t>7</w:t>
      </w:r>
      <w:r w:rsidR="00302132" w:rsidRPr="00E85202">
        <w:rPr>
          <w:rFonts w:asciiTheme="majorHAnsi" w:hAnsiTheme="majorHAnsi"/>
          <w:sz w:val="22"/>
          <w:szCs w:val="22"/>
        </w:rPr>
        <w:t xml:space="preserve">. On the other hand, clinicopathological factors </w:t>
      </w:r>
      <w:r w:rsidR="00EB71A6" w:rsidRPr="00E85202">
        <w:rPr>
          <w:rFonts w:asciiTheme="majorHAnsi" w:hAnsiTheme="majorHAnsi"/>
          <w:sz w:val="22"/>
          <w:szCs w:val="22"/>
        </w:rPr>
        <w:t>were important predictors</w:t>
      </w:r>
      <w:r w:rsidR="00302132" w:rsidRPr="00E85202">
        <w:rPr>
          <w:rFonts w:asciiTheme="majorHAnsi" w:hAnsiTheme="majorHAnsi"/>
          <w:sz w:val="22"/>
          <w:szCs w:val="22"/>
        </w:rPr>
        <w:t xml:space="preserve"> for </w:t>
      </w:r>
      <w:r w:rsidR="00EB71A6" w:rsidRPr="00E85202">
        <w:rPr>
          <w:rFonts w:asciiTheme="majorHAnsi" w:hAnsiTheme="majorHAnsi"/>
          <w:sz w:val="22"/>
          <w:szCs w:val="22"/>
        </w:rPr>
        <w:t>those citing pain concerns with significant problems</w:t>
      </w:r>
      <w:r w:rsidR="00302132" w:rsidRPr="00C02D2C">
        <w:rPr>
          <w:rFonts w:asciiTheme="majorHAnsi" w:hAnsiTheme="majorHAnsi"/>
          <w:sz w:val="22"/>
          <w:szCs w:val="22"/>
        </w:rPr>
        <w:t xml:space="preserve"> (i.e. received radiothe</w:t>
      </w:r>
      <w:r w:rsidR="00302132" w:rsidRPr="003F437A">
        <w:rPr>
          <w:rFonts w:asciiTheme="majorHAnsi" w:hAnsiTheme="majorHAnsi"/>
          <w:sz w:val="22"/>
          <w:szCs w:val="22"/>
        </w:rPr>
        <w:t>rapy</w:t>
      </w:r>
      <w:r w:rsidR="006B269E" w:rsidRPr="003F437A">
        <w:rPr>
          <w:rFonts w:asciiTheme="majorHAnsi" w:hAnsiTheme="majorHAnsi"/>
          <w:sz w:val="22"/>
          <w:szCs w:val="22"/>
        </w:rPr>
        <w:t xml:space="preserve"> (</w:t>
      </w:r>
      <w:r w:rsidR="00302132" w:rsidRPr="003F437A">
        <w:rPr>
          <w:rFonts w:asciiTheme="majorHAnsi" w:hAnsiTheme="majorHAnsi"/>
          <w:sz w:val="22"/>
          <w:szCs w:val="22"/>
        </w:rPr>
        <w:t>RT</w:t>
      </w:r>
      <w:r w:rsidR="006B269E" w:rsidRPr="003F437A">
        <w:rPr>
          <w:rFonts w:asciiTheme="majorHAnsi" w:hAnsiTheme="majorHAnsi"/>
          <w:sz w:val="22"/>
          <w:szCs w:val="22"/>
        </w:rPr>
        <w:t>),</w:t>
      </w:r>
      <w:r w:rsidR="00EB71A6" w:rsidRPr="003F437A">
        <w:rPr>
          <w:rFonts w:asciiTheme="majorHAnsi" w:hAnsiTheme="majorHAnsi"/>
          <w:sz w:val="22"/>
          <w:szCs w:val="22"/>
        </w:rPr>
        <w:t xml:space="preserve"> age &lt; 65 years</w:t>
      </w:r>
      <w:r w:rsidR="00302132" w:rsidRPr="003F437A">
        <w:rPr>
          <w:rFonts w:asciiTheme="majorHAnsi" w:hAnsiTheme="majorHAnsi"/>
          <w:sz w:val="22"/>
          <w:szCs w:val="22"/>
        </w:rPr>
        <w:t xml:space="preserve">) </w:t>
      </w:r>
      <w:r w:rsidR="00717F65" w:rsidRPr="00E85202">
        <w:rPr>
          <w:rFonts w:asciiTheme="majorHAnsi" w:hAnsiTheme="majorHAnsi"/>
          <w:sz w:val="22"/>
          <w:szCs w:val="22"/>
          <w:vertAlign w:val="superscript"/>
        </w:rPr>
        <w:t>9</w:t>
      </w:r>
      <w:r w:rsidR="00985F89" w:rsidRPr="00E85202">
        <w:rPr>
          <w:rFonts w:asciiTheme="majorHAnsi" w:hAnsiTheme="majorHAnsi"/>
          <w:sz w:val="22"/>
          <w:szCs w:val="22"/>
          <w:vertAlign w:val="superscript"/>
        </w:rPr>
        <w:t xml:space="preserve"> </w:t>
      </w:r>
      <w:r w:rsidR="00302132" w:rsidRPr="00E85202">
        <w:rPr>
          <w:rFonts w:asciiTheme="majorHAnsi" w:hAnsiTheme="majorHAnsi"/>
          <w:sz w:val="22"/>
          <w:szCs w:val="22"/>
        </w:rPr>
        <w:t xml:space="preserve">and </w:t>
      </w:r>
      <w:r w:rsidR="000E13DC" w:rsidRPr="00E85202">
        <w:rPr>
          <w:rFonts w:asciiTheme="majorHAnsi" w:hAnsiTheme="majorHAnsi"/>
          <w:sz w:val="22"/>
          <w:szCs w:val="22"/>
        </w:rPr>
        <w:t xml:space="preserve">in </w:t>
      </w:r>
      <w:r w:rsidR="00EB71A6" w:rsidRPr="00E85202">
        <w:rPr>
          <w:rFonts w:asciiTheme="majorHAnsi" w:hAnsiTheme="majorHAnsi"/>
          <w:sz w:val="22"/>
          <w:szCs w:val="22"/>
        </w:rPr>
        <w:t xml:space="preserve">those citing appearance concerns with significant </w:t>
      </w:r>
      <w:r w:rsidR="0048046A" w:rsidRPr="00E85202">
        <w:rPr>
          <w:rFonts w:asciiTheme="majorHAnsi" w:hAnsiTheme="majorHAnsi"/>
          <w:sz w:val="22"/>
          <w:szCs w:val="22"/>
        </w:rPr>
        <w:t xml:space="preserve">appearance </w:t>
      </w:r>
      <w:r w:rsidR="00EB71A6" w:rsidRPr="00E85202">
        <w:rPr>
          <w:rFonts w:asciiTheme="majorHAnsi" w:hAnsiTheme="majorHAnsi"/>
          <w:sz w:val="22"/>
          <w:szCs w:val="22"/>
        </w:rPr>
        <w:t xml:space="preserve">issues (i.e. oropharyngeal tumours, large </w:t>
      </w:r>
      <w:r w:rsidR="006B269E" w:rsidRPr="00E85202">
        <w:rPr>
          <w:rFonts w:asciiTheme="majorHAnsi" w:hAnsiTheme="majorHAnsi"/>
          <w:sz w:val="22"/>
          <w:szCs w:val="22"/>
        </w:rPr>
        <w:t xml:space="preserve">primary </w:t>
      </w:r>
      <w:r w:rsidR="00EB71A6" w:rsidRPr="00E85202">
        <w:rPr>
          <w:rFonts w:asciiTheme="majorHAnsi" w:hAnsiTheme="majorHAnsi"/>
          <w:sz w:val="22"/>
          <w:szCs w:val="22"/>
        </w:rPr>
        <w:t>tumours</w:t>
      </w:r>
      <w:r w:rsidR="006B269E" w:rsidRPr="00E85202">
        <w:rPr>
          <w:rFonts w:asciiTheme="majorHAnsi" w:hAnsiTheme="majorHAnsi"/>
          <w:sz w:val="22"/>
          <w:szCs w:val="22"/>
        </w:rPr>
        <w:t xml:space="preserve">, </w:t>
      </w:r>
      <w:r w:rsidR="00EB71A6" w:rsidRPr="00E85202">
        <w:rPr>
          <w:rFonts w:asciiTheme="majorHAnsi" w:hAnsiTheme="majorHAnsi"/>
          <w:sz w:val="22"/>
          <w:szCs w:val="22"/>
        </w:rPr>
        <w:t xml:space="preserve">and age &lt; 65 years) </w:t>
      </w:r>
      <w:r w:rsidR="00717F65" w:rsidRPr="00E85202">
        <w:rPr>
          <w:rFonts w:asciiTheme="majorHAnsi" w:hAnsiTheme="majorHAnsi"/>
          <w:sz w:val="22"/>
          <w:szCs w:val="22"/>
          <w:vertAlign w:val="superscript"/>
        </w:rPr>
        <w:t>10</w:t>
      </w:r>
      <w:r w:rsidR="00EB71A6" w:rsidRPr="00E85202">
        <w:rPr>
          <w:rFonts w:asciiTheme="majorHAnsi" w:hAnsiTheme="majorHAnsi"/>
          <w:sz w:val="22"/>
          <w:szCs w:val="22"/>
        </w:rPr>
        <w:t xml:space="preserve">. </w:t>
      </w:r>
      <w:r w:rsidRPr="00E85202">
        <w:rPr>
          <w:rFonts w:asciiTheme="majorHAnsi" w:hAnsiTheme="majorHAnsi"/>
          <w:sz w:val="22"/>
          <w:szCs w:val="22"/>
        </w:rPr>
        <w:t>However,</w:t>
      </w:r>
      <w:r w:rsidR="00FF14FE" w:rsidRPr="00E85202">
        <w:rPr>
          <w:rFonts w:asciiTheme="majorHAnsi" w:hAnsiTheme="majorHAnsi"/>
          <w:sz w:val="22"/>
          <w:szCs w:val="22"/>
        </w:rPr>
        <w:t xml:space="preserve"> </w:t>
      </w:r>
      <w:r w:rsidRPr="00E85202">
        <w:rPr>
          <w:rFonts w:asciiTheme="majorHAnsi" w:hAnsiTheme="majorHAnsi"/>
          <w:sz w:val="22"/>
          <w:szCs w:val="22"/>
        </w:rPr>
        <w:t>the relationship between patient concerns and distress in HNC has n</w:t>
      </w:r>
      <w:r w:rsidRPr="003F437A">
        <w:rPr>
          <w:rFonts w:asciiTheme="majorHAnsi" w:hAnsiTheme="majorHAnsi"/>
          <w:sz w:val="22"/>
          <w:szCs w:val="22"/>
        </w:rPr>
        <w:t xml:space="preserve"> been explored. </w:t>
      </w:r>
    </w:p>
    <w:p w14:paraId="103170AC" w14:textId="77777777" w:rsidR="00DA61C2" w:rsidRPr="003F437A" w:rsidRDefault="00DA61C2" w:rsidP="00DA61C2">
      <w:pPr>
        <w:widowControl w:val="0"/>
        <w:autoSpaceDE w:val="0"/>
        <w:autoSpaceDN w:val="0"/>
        <w:adjustRightInd w:val="0"/>
        <w:spacing w:line="360" w:lineRule="auto"/>
        <w:jc w:val="both"/>
        <w:rPr>
          <w:rFonts w:asciiTheme="majorHAnsi" w:hAnsiTheme="majorHAnsi" w:cs="Times New Roman"/>
          <w:sz w:val="22"/>
          <w:szCs w:val="22"/>
        </w:rPr>
      </w:pPr>
    </w:p>
    <w:p w14:paraId="53BC3C2B" w14:textId="2CFD087B" w:rsidR="00B22F94" w:rsidRDefault="00DC220F" w:rsidP="00075D52">
      <w:pPr>
        <w:widowControl w:val="0"/>
        <w:autoSpaceDE w:val="0"/>
        <w:autoSpaceDN w:val="0"/>
        <w:adjustRightInd w:val="0"/>
        <w:spacing w:line="360" w:lineRule="auto"/>
        <w:jc w:val="both"/>
        <w:rPr>
          <w:rFonts w:asciiTheme="majorHAnsi" w:hAnsiTheme="majorHAnsi" w:cs="Times New Roman"/>
          <w:sz w:val="22"/>
          <w:szCs w:val="22"/>
        </w:rPr>
      </w:pPr>
      <w:r w:rsidRPr="003F437A">
        <w:rPr>
          <w:rFonts w:asciiTheme="majorHAnsi" w:hAnsiTheme="majorHAnsi" w:cs="Times New Roman"/>
          <w:sz w:val="22"/>
          <w:szCs w:val="22"/>
        </w:rPr>
        <w:t>The</w:t>
      </w:r>
      <w:r w:rsidR="004D16F6" w:rsidRPr="003F437A">
        <w:rPr>
          <w:rFonts w:asciiTheme="majorHAnsi" w:hAnsiTheme="majorHAnsi" w:cs="Times New Roman"/>
          <w:sz w:val="22"/>
          <w:szCs w:val="22"/>
        </w:rPr>
        <w:t xml:space="preserve"> Distress thermometer</w:t>
      </w:r>
      <w:r w:rsidR="00A74B91" w:rsidRPr="003F437A">
        <w:rPr>
          <w:rFonts w:asciiTheme="majorHAnsi" w:hAnsiTheme="majorHAnsi" w:cs="Times New Roman"/>
          <w:sz w:val="22"/>
          <w:szCs w:val="22"/>
        </w:rPr>
        <w:t xml:space="preserve"> (DT) is </w:t>
      </w:r>
      <w:r w:rsidR="00E1787C" w:rsidRPr="003F437A">
        <w:rPr>
          <w:rFonts w:asciiTheme="majorHAnsi" w:hAnsiTheme="majorHAnsi" w:cs="Times New Roman"/>
          <w:sz w:val="22"/>
          <w:szCs w:val="22"/>
        </w:rPr>
        <w:t xml:space="preserve">a </w:t>
      </w:r>
      <w:r w:rsidR="004D16F6" w:rsidRPr="003F437A">
        <w:rPr>
          <w:rFonts w:asciiTheme="majorHAnsi" w:hAnsiTheme="majorHAnsi" w:cs="Times New Roman"/>
          <w:sz w:val="22"/>
          <w:szCs w:val="22"/>
        </w:rPr>
        <w:t>rapid</w:t>
      </w:r>
      <w:r w:rsidR="006B269E" w:rsidRPr="003F437A">
        <w:rPr>
          <w:rFonts w:asciiTheme="majorHAnsi" w:hAnsiTheme="majorHAnsi" w:cs="Times New Roman"/>
          <w:sz w:val="22"/>
          <w:szCs w:val="22"/>
        </w:rPr>
        <w:t xml:space="preserve">, validated </w:t>
      </w:r>
      <w:r w:rsidR="004D16F6" w:rsidRPr="003F437A">
        <w:rPr>
          <w:rFonts w:asciiTheme="majorHAnsi" w:hAnsiTheme="majorHAnsi" w:cs="Times New Roman"/>
          <w:sz w:val="22"/>
          <w:szCs w:val="22"/>
        </w:rPr>
        <w:t>screening instrument</w:t>
      </w:r>
      <w:r w:rsidRPr="003F437A">
        <w:rPr>
          <w:rFonts w:asciiTheme="majorHAnsi" w:hAnsiTheme="majorHAnsi" w:cs="Times New Roman"/>
          <w:sz w:val="22"/>
          <w:szCs w:val="22"/>
        </w:rPr>
        <w:t xml:space="preserve"> </w:t>
      </w:r>
      <w:r w:rsidR="004D16F6" w:rsidRPr="003F437A">
        <w:rPr>
          <w:rFonts w:asciiTheme="majorHAnsi" w:hAnsiTheme="majorHAnsi" w:cs="Times New Roman"/>
          <w:sz w:val="22"/>
          <w:szCs w:val="22"/>
        </w:rPr>
        <w:t xml:space="preserve">for cancer-related distress </w:t>
      </w:r>
      <w:r w:rsidR="00A74B91" w:rsidRPr="003F437A">
        <w:rPr>
          <w:rFonts w:asciiTheme="majorHAnsi" w:hAnsiTheme="majorHAnsi" w:cs="Times New Roman"/>
          <w:sz w:val="22"/>
          <w:szCs w:val="22"/>
        </w:rPr>
        <w:t xml:space="preserve">for </w:t>
      </w:r>
      <w:r w:rsidR="00BD33BB" w:rsidRPr="003F437A">
        <w:rPr>
          <w:rFonts w:asciiTheme="majorHAnsi" w:hAnsiTheme="majorHAnsi" w:cs="Times New Roman"/>
          <w:sz w:val="22"/>
          <w:szCs w:val="22"/>
        </w:rPr>
        <w:t xml:space="preserve">patients with </w:t>
      </w:r>
      <w:r w:rsidR="00A1779E" w:rsidRPr="003F437A">
        <w:rPr>
          <w:rFonts w:asciiTheme="majorHAnsi" w:hAnsiTheme="majorHAnsi" w:cs="Times New Roman"/>
          <w:sz w:val="22"/>
          <w:szCs w:val="22"/>
        </w:rPr>
        <w:t xml:space="preserve">various </w:t>
      </w:r>
      <w:r w:rsidR="00BD33BB" w:rsidRPr="003F437A">
        <w:rPr>
          <w:rFonts w:asciiTheme="majorHAnsi" w:hAnsiTheme="majorHAnsi" w:cs="Times New Roman"/>
          <w:sz w:val="22"/>
          <w:szCs w:val="22"/>
        </w:rPr>
        <w:t xml:space="preserve">cancer </w:t>
      </w:r>
      <w:r w:rsidR="00A1779E" w:rsidRPr="003F437A">
        <w:rPr>
          <w:rFonts w:asciiTheme="majorHAnsi" w:hAnsiTheme="majorHAnsi" w:cs="Times New Roman"/>
          <w:sz w:val="22"/>
          <w:szCs w:val="22"/>
        </w:rPr>
        <w:t xml:space="preserve">types </w:t>
      </w:r>
      <w:r w:rsidR="00717F65" w:rsidRPr="003F437A">
        <w:rPr>
          <w:rFonts w:asciiTheme="majorHAnsi" w:hAnsiTheme="majorHAnsi" w:cs="Times New Roman"/>
          <w:sz w:val="22"/>
          <w:szCs w:val="22"/>
        </w:rPr>
        <w:t xml:space="preserve">in </w:t>
      </w:r>
      <w:r w:rsidR="00227128">
        <w:rPr>
          <w:rFonts w:asciiTheme="majorHAnsi" w:hAnsiTheme="majorHAnsi" w:cs="Times New Roman"/>
          <w:sz w:val="22"/>
          <w:szCs w:val="22"/>
        </w:rPr>
        <w:t xml:space="preserve">America and </w:t>
      </w:r>
      <w:r w:rsidR="00717F65" w:rsidRPr="003F437A">
        <w:rPr>
          <w:rFonts w:asciiTheme="majorHAnsi" w:hAnsiTheme="majorHAnsi" w:cs="Times New Roman"/>
          <w:sz w:val="22"/>
          <w:szCs w:val="22"/>
        </w:rPr>
        <w:t xml:space="preserve">the </w:t>
      </w:r>
      <w:r w:rsidR="006B269E" w:rsidRPr="003F437A">
        <w:rPr>
          <w:rFonts w:asciiTheme="majorHAnsi" w:hAnsiTheme="majorHAnsi" w:cs="Times New Roman"/>
          <w:sz w:val="22"/>
          <w:szCs w:val="22"/>
        </w:rPr>
        <w:t>UK</w:t>
      </w:r>
      <w:r w:rsidR="00717F65" w:rsidRPr="003F437A">
        <w:rPr>
          <w:rFonts w:asciiTheme="majorHAnsi" w:hAnsiTheme="majorHAnsi" w:cs="Times New Roman"/>
          <w:sz w:val="22"/>
          <w:szCs w:val="22"/>
        </w:rPr>
        <w:t xml:space="preserve"> </w:t>
      </w:r>
      <w:r w:rsidR="00717F65" w:rsidRPr="00E85202">
        <w:rPr>
          <w:rFonts w:asciiTheme="majorHAnsi" w:hAnsiTheme="majorHAnsi" w:cs="Times New Roman"/>
          <w:sz w:val="22"/>
          <w:szCs w:val="22"/>
          <w:vertAlign w:val="superscript"/>
        </w:rPr>
        <w:t>12</w:t>
      </w:r>
      <w:r w:rsidR="00DD4C9A" w:rsidRPr="00E85202">
        <w:rPr>
          <w:rFonts w:asciiTheme="majorHAnsi" w:hAnsiTheme="majorHAnsi" w:cs="Times New Roman"/>
          <w:sz w:val="22"/>
          <w:szCs w:val="22"/>
        </w:rPr>
        <w:t xml:space="preserve">. </w:t>
      </w:r>
      <w:r w:rsidR="00E1787C" w:rsidRPr="00E85202">
        <w:rPr>
          <w:rFonts w:asciiTheme="majorHAnsi" w:hAnsiTheme="majorHAnsi" w:cs="Times New Roman"/>
          <w:sz w:val="22"/>
          <w:szCs w:val="22"/>
        </w:rPr>
        <w:t xml:space="preserve">However, there was paucity in the literature regarding </w:t>
      </w:r>
      <w:r w:rsidR="00BD33BB" w:rsidRPr="00C02D2C">
        <w:rPr>
          <w:rFonts w:asciiTheme="majorHAnsi" w:hAnsiTheme="majorHAnsi" w:cs="Times New Roman"/>
          <w:sz w:val="22"/>
          <w:szCs w:val="22"/>
        </w:rPr>
        <w:t xml:space="preserve">patient </w:t>
      </w:r>
      <w:r w:rsidR="00BD33BB" w:rsidRPr="003F437A">
        <w:rPr>
          <w:rFonts w:asciiTheme="majorHAnsi" w:hAnsiTheme="majorHAnsi" w:cs="Times New Roman"/>
          <w:sz w:val="22"/>
          <w:szCs w:val="22"/>
        </w:rPr>
        <w:t xml:space="preserve">concerns </w:t>
      </w:r>
      <w:r w:rsidR="00856189" w:rsidRPr="003F437A">
        <w:rPr>
          <w:rFonts w:asciiTheme="majorHAnsi" w:hAnsiTheme="majorHAnsi" w:cs="Times New Roman"/>
          <w:sz w:val="22"/>
          <w:szCs w:val="22"/>
        </w:rPr>
        <w:t>related</w:t>
      </w:r>
      <w:r w:rsidR="00DA61C2" w:rsidRPr="003F437A">
        <w:rPr>
          <w:rFonts w:asciiTheme="majorHAnsi" w:hAnsiTheme="majorHAnsi" w:cs="Times New Roman"/>
          <w:sz w:val="22"/>
          <w:szCs w:val="22"/>
        </w:rPr>
        <w:t xml:space="preserve"> to distress and </w:t>
      </w:r>
      <w:r w:rsidR="00E1787C" w:rsidRPr="003F437A">
        <w:rPr>
          <w:rFonts w:asciiTheme="majorHAnsi" w:hAnsiTheme="majorHAnsi" w:cs="Times New Roman"/>
          <w:sz w:val="22"/>
          <w:szCs w:val="22"/>
        </w:rPr>
        <w:t xml:space="preserve">the use of DT in </w:t>
      </w:r>
      <w:r w:rsidR="00BD33BB" w:rsidRPr="003F437A">
        <w:rPr>
          <w:rFonts w:asciiTheme="majorHAnsi" w:hAnsiTheme="majorHAnsi" w:cs="Times New Roman"/>
          <w:sz w:val="22"/>
          <w:szCs w:val="22"/>
        </w:rPr>
        <w:t xml:space="preserve">distress </w:t>
      </w:r>
      <w:r w:rsidR="00E1787C" w:rsidRPr="003F437A">
        <w:rPr>
          <w:rFonts w:asciiTheme="majorHAnsi" w:hAnsiTheme="majorHAnsi" w:cs="Times New Roman"/>
          <w:sz w:val="22"/>
          <w:szCs w:val="22"/>
        </w:rPr>
        <w:t xml:space="preserve">screening </w:t>
      </w:r>
      <w:r w:rsidR="00304488" w:rsidRPr="003F437A">
        <w:rPr>
          <w:rFonts w:asciiTheme="majorHAnsi" w:hAnsiTheme="majorHAnsi" w:cs="Times New Roman"/>
          <w:sz w:val="22"/>
          <w:szCs w:val="22"/>
        </w:rPr>
        <w:t>in HNC</w:t>
      </w:r>
      <w:r w:rsidR="00E1787C" w:rsidRPr="003F437A">
        <w:rPr>
          <w:rFonts w:asciiTheme="majorHAnsi" w:hAnsiTheme="majorHAnsi" w:cs="Times New Roman"/>
          <w:sz w:val="22"/>
          <w:szCs w:val="22"/>
        </w:rPr>
        <w:t xml:space="preserve"> population. </w:t>
      </w:r>
      <w:r w:rsidR="00B22F94" w:rsidRPr="003F437A">
        <w:rPr>
          <w:rFonts w:asciiTheme="majorHAnsi" w:hAnsiTheme="majorHAnsi" w:cs="Times New Roman"/>
          <w:sz w:val="22"/>
          <w:szCs w:val="22"/>
          <w:lang w:eastAsia="en-GB"/>
        </w:rPr>
        <w:t xml:space="preserve">A DT score </w:t>
      </w:r>
      <w:r w:rsidR="00B22F94" w:rsidRPr="003F437A">
        <w:rPr>
          <w:rFonts w:asciiTheme="majorHAnsi" w:hAnsiTheme="majorHAnsi"/>
          <w:sz w:val="22"/>
          <w:szCs w:val="22"/>
        </w:rPr>
        <w:t xml:space="preserve">of </w:t>
      </w:r>
      <w:r w:rsidR="00B22F94" w:rsidRPr="003F437A">
        <w:rPr>
          <w:rFonts w:asciiTheme="majorHAnsi" w:hAnsiTheme="majorHAnsi"/>
          <w:sz w:val="22"/>
          <w:szCs w:val="22"/>
          <w:lang w:val="en-GB"/>
        </w:rPr>
        <w:t xml:space="preserve">≥5 </w:t>
      </w:r>
      <w:r w:rsidR="00B22F94" w:rsidRPr="003F437A">
        <w:rPr>
          <w:rFonts w:asciiTheme="majorHAnsi" w:hAnsiTheme="majorHAnsi" w:cs="Times New Roman"/>
          <w:sz w:val="22"/>
          <w:szCs w:val="22"/>
          <w:lang w:eastAsia="en-GB"/>
        </w:rPr>
        <w:t xml:space="preserve">was originally recommended as denoting significant distress necessitating psychosocial referral </w:t>
      </w:r>
      <w:r w:rsidR="00717F65" w:rsidRPr="00E85202">
        <w:rPr>
          <w:rFonts w:asciiTheme="majorHAnsi" w:hAnsiTheme="majorHAnsi" w:cs="Times New Roman"/>
          <w:sz w:val="22"/>
          <w:szCs w:val="22"/>
          <w:vertAlign w:val="superscript"/>
          <w:lang w:eastAsia="en-GB"/>
        </w:rPr>
        <w:t>1</w:t>
      </w:r>
      <w:r w:rsidR="00985F89" w:rsidRPr="00E85202">
        <w:rPr>
          <w:rFonts w:asciiTheme="majorHAnsi" w:hAnsiTheme="majorHAnsi" w:cs="Times New Roman"/>
          <w:sz w:val="22"/>
          <w:szCs w:val="22"/>
          <w:vertAlign w:val="superscript"/>
          <w:lang w:eastAsia="en-GB"/>
        </w:rPr>
        <w:t>3</w:t>
      </w:r>
      <w:r w:rsidR="00304488" w:rsidRPr="00E85202">
        <w:rPr>
          <w:rFonts w:asciiTheme="majorHAnsi" w:hAnsiTheme="majorHAnsi" w:cs="Times New Roman"/>
          <w:sz w:val="22"/>
          <w:szCs w:val="22"/>
          <w:lang w:eastAsia="en-GB"/>
        </w:rPr>
        <w:t xml:space="preserve"> but</w:t>
      </w:r>
      <w:r w:rsidR="00B22F94" w:rsidRPr="00E85202">
        <w:rPr>
          <w:rFonts w:asciiTheme="majorHAnsi" w:hAnsiTheme="majorHAnsi" w:cs="Times New Roman"/>
          <w:sz w:val="22"/>
          <w:szCs w:val="22"/>
          <w:lang w:eastAsia="en-GB"/>
        </w:rPr>
        <w:t xml:space="preserve"> a DT score </w:t>
      </w:r>
      <w:r w:rsidR="00B22F94" w:rsidRPr="00E85202">
        <w:rPr>
          <w:rFonts w:asciiTheme="majorHAnsi" w:hAnsiTheme="majorHAnsi"/>
          <w:sz w:val="22"/>
          <w:szCs w:val="22"/>
        </w:rPr>
        <w:t xml:space="preserve">of </w:t>
      </w:r>
      <w:r w:rsidR="00B22F94" w:rsidRPr="00E85202">
        <w:rPr>
          <w:rFonts w:asciiTheme="majorHAnsi" w:hAnsiTheme="majorHAnsi"/>
          <w:sz w:val="22"/>
          <w:szCs w:val="22"/>
          <w:lang w:val="en-GB"/>
        </w:rPr>
        <w:t xml:space="preserve">≥4 </w:t>
      </w:r>
      <w:r w:rsidR="00B22F94" w:rsidRPr="00E85202">
        <w:rPr>
          <w:rFonts w:asciiTheme="majorHAnsi" w:hAnsiTheme="majorHAnsi" w:cs="Times New Roman"/>
          <w:sz w:val="22"/>
          <w:szCs w:val="22"/>
          <w:lang w:eastAsia="en-GB"/>
        </w:rPr>
        <w:t xml:space="preserve">has been shown to correlate with optimal sensitivity and specificity to the Hospital Anxiety Depression Scale (HADS) in various cross cultural studies </w:t>
      </w:r>
      <w:r w:rsidR="00773B63" w:rsidRPr="00E85202">
        <w:rPr>
          <w:rFonts w:asciiTheme="majorHAnsi" w:hAnsiTheme="majorHAnsi" w:cs="Times New Roman"/>
          <w:sz w:val="22"/>
          <w:szCs w:val="22"/>
          <w:lang w:eastAsia="en-GB"/>
        </w:rPr>
        <w:t xml:space="preserve">in identifying significant distress </w:t>
      </w:r>
      <w:r w:rsidR="00717F65" w:rsidRPr="00E85202">
        <w:rPr>
          <w:rFonts w:asciiTheme="majorHAnsi" w:hAnsiTheme="majorHAnsi" w:cs="Times New Roman"/>
          <w:sz w:val="22"/>
          <w:szCs w:val="22"/>
          <w:vertAlign w:val="superscript"/>
          <w:lang w:eastAsia="en-GB"/>
        </w:rPr>
        <w:t>14,15,16</w:t>
      </w:r>
      <w:r w:rsidR="00985F89" w:rsidRPr="00E85202">
        <w:rPr>
          <w:rFonts w:asciiTheme="majorHAnsi" w:hAnsiTheme="majorHAnsi" w:cs="Times New Roman"/>
          <w:sz w:val="22"/>
          <w:szCs w:val="22"/>
          <w:lang w:eastAsia="en-GB"/>
        </w:rPr>
        <w:t xml:space="preserve">. </w:t>
      </w:r>
      <w:r w:rsidR="00B22F94" w:rsidRPr="00E85202">
        <w:rPr>
          <w:rFonts w:asciiTheme="majorHAnsi" w:hAnsiTheme="majorHAnsi" w:cs="Times New Roman"/>
          <w:sz w:val="22"/>
          <w:szCs w:val="22"/>
          <w:lang w:eastAsia="en-GB"/>
        </w:rPr>
        <w:t xml:space="preserve">Recently, </w:t>
      </w:r>
      <w:r w:rsidR="006E6E3D">
        <w:rPr>
          <w:rFonts w:asciiTheme="majorHAnsi" w:hAnsiTheme="majorHAnsi" w:cs="Times New Roman"/>
          <w:sz w:val="22"/>
          <w:szCs w:val="22"/>
          <w:lang w:eastAsia="en-GB"/>
        </w:rPr>
        <w:t xml:space="preserve">we found that </w:t>
      </w:r>
      <w:r w:rsidR="00B22F94" w:rsidRPr="00E85202">
        <w:rPr>
          <w:rFonts w:asciiTheme="majorHAnsi" w:hAnsiTheme="majorHAnsi" w:cs="Times New Roman"/>
          <w:sz w:val="22"/>
          <w:szCs w:val="22"/>
          <w:lang w:eastAsia="en-GB"/>
        </w:rPr>
        <w:t xml:space="preserve">a DT cut-off score of </w:t>
      </w:r>
      <w:r w:rsidR="00B22F94" w:rsidRPr="00E85202">
        <w:rPr>
          <w:rFonts w:asciiTheme="majorHAnsi" w:hAnsiTheme="majorHAnsi"/>
          <w:sz w:val="22"/>
          <w:szCs w:val="22"/>
          <w:lang w:val="en-GB"/>
        </w:rPr>
        <w:t xml:space="preserve">≥4 was </w:t>
      </w:r>
      <w:r w:rsidR="000B4934" w:rsidRPr="00E85202">
        <w:rPr>
          <w:rFonts w:asciiTheme="majorHAnsi" w:hAnsiTheme="majorHAnsi"/>
          <w:sz w:val="22"/>
          <w:szCs w:val="22"/>
          <w:lang w:val="en-GB"/>
        </w:rPr>
        <w:t xml:space="preserve">effective in </w:t>
      </w:r>
      <w:r w:rsidR="00773B63" w:rsidRPr="00E85202">
        <w:rPr>
          <w:rFonts w:asciiTheme="majorHAnsi" w:hAnsiTheme="majorHAnsi"/>
          <w:sz w:val="22"/>
          <w:szCs w:val="22"/>
        </w:rPr>
        <w:t>in screening for significant anxiety and mood problems against the UWQOL in</w:t>
      </w:r>
      <w:r w:rsidR="00B22F94" w:rsidRPr="00C02D2C">
        <w:rPr>
          <w:rFonts w:asciiTheme="majorHAnsi" w:hAnsiTheme="majorHAnsi"/>
          <w:sz w:val="22"/>
          <w:szCs w:val="22"/>
          <w:lang w:val="en-GB"/>
        </w:rPr>
        <w:t xml:space="preserve"> </w:t>
      </w:r>
      <w:r w:rsidR="002D04F9" w:rsidRPr="003F437A">
        <w:rPr>
          <w:rFonts w:asciiTheme="majorHAnsi" w:hAnsiTheme="majorHAnsi"/>
          <w:sz w:val="22"/>
          <w:szCs w:val="22"/>
          <w:lang w:val="en-GB"/>
        </w:rPr>
        <w:t>disease-free</w:t>
      </w:r>
      <w:r w:rsidR="00F81734" w:rsidRPr="003F437A">
        <w:rPr>
          <w:rFonts w:asciiTheme="majorHAnsi" w:hAnsiTheme="majorHAnsi"/>
          <w:sz w:val="22"/>
          <w:szCs w:val="22"/>
          <w:lang w:val="en-GB"/>
        </w:rPr>
        <w:t>,</w:t>
      </w:r>
      <w:r w:rsidR="002D04F9" w:rsidRPr="003F437A">
        <w:rPr>
          <w:rFonts w:asciiTheme="majorHAnsi" w:hAnsiTheme="majorHAnsi"/>
          <w:sz w:val="22"/>
          <w:szCs w:val="22"/>
          <w:lang w:val="en-GB"/>
        </w:rPr>
        <w:t xml:space="preserve"> post-treatment </w:t>
      </w:r>
      <w:r w:rsidR="00B22F94" w:rsidRPr="003F437A">
        <w:rPr>
          <w:rFonts w:asciiTheme="majorHAnsi" w:hAnsiTheme="majorHAnsi"/>
          <w:sz w:val="22"/>
          <w:szCs w:val="22"/>
          <w:lang w:val="en-GB"/>
        </w:rPr>
        <w:t xml:space="preserve">HNC </w:t>
      </w:r>
      <w:r w:rsidR="00F81734" w:rsidRPr="003F437A">
        <w:rPr>
          <w:rFonts w:asciiTheme="majorHAnsi" w:hAnsiTheme="majorHAnsi"/>
          <w:sz w:val="22"/>
          <w:szCs w:val="22"/>
          <w:lang w:val="en-GB"/>
        </w:rPr>
        <w:t>survivors attending out-patient clinics</w:t>
      </w:r>
      <w:r w:rsidR="00E0269C" w:rsidRPr="003F437A">
        <w:rPr>
          <w:rFonts w:asciiTheme="majorHAnsi" w:hAnsiTheme="majorHAnsi"/>
          <w:sz w:val="22"/>
          <w:szCs w:val="22"/>
          <w:lang w:val="en-GB"/>
        </w:rPr>
        <w:t xml:space="preserve"> </w:t>
      </w:r>
      <w:r w:rsidR="00045083" w:rsidRPr="00E85202">
        <w:rPr>
          <w:rFonts w:asciiTheme="majorHAnsi" w:hAnsiTheme="majorHAnsi" w:cs="Times New Roman"/>
          <w:sz w:val="22"/>
          <w:szCs w:val="22"/>
          <w:vertAlign w:val="superscript"/>
        </w:rPr>
        <w:t>18</w:t>
      </w:r>
      <w:r w:rsidR="000B4934" w:rsidRPr="00E85202">
        <w:rPr>
          <w:rFonts w:asciiTheme="majorHAnsi" w:hAnsiTheme="majorHAnsi" w:cs="Times New Roman"/>
          <w:sz w:val="22"/>
          <w:szCs w:val="22"/>
        </w:rPr>
        <w:t xml:space="preserve">, where </w:t>
      </w:r>
      <w:r w:rsidR="00B22F94" w:rsidRPr="00E85202">
        <w:rPr>
          <w:rFonts w:asciiTheme="majorHAnsi" w:hAnsiTheme="majorHAnsi"/>
          <w:sz w:val="22"/>
          <w:szCs w:val="22"/>
          <w:lang w:val="en-GB"/>
        </w:rPr>
        <w:t xml:space="preserve">just over one-third of </w:t>
      </w:r>
      <w:r w:rsidR="002D04F9" w:rsidRPr="00E85202">
        <w:rPr>
          <w:rFonts w:asciiTheme="majorHAnsi" w:hAnsiTheme="majorHAnsi"/>
          <w:sz w:val="22"/>
          <w:szCs w:val="22"/>
          <w:lang w:val="en-GB"/>
        </w:rPr>
        <w:t xml:space="preserve">HNC </w:t>
      </w:r>
      <w:r w:rsidR="00B22F94" w:rsidRPr="00E85202">
        <w:rPr>
          <w:rFonts w:asciiTheme="majorHAnsi" w:hAnsiTheme="majorHAnsi"/>
          <w:sz w:val="22"/>
          <w:szCs w:val="22"/>
          <w:lang w:val="en-GB"/>
        </w:rPr>
        <w:t xml:space="preserve">patients </w:t>
      </w:r>
      <w:r w:rsidR="000B4934" w:rsidRPr="00E85202">
        <w:rPr>
          <w:rFonts w:asciiTheme="majorHAnsi" w:hAnsiTheme="majorHAnsi" w:cs="Times New Roman"/>
          <w:sz w:val="22"/>
          <w:szCs w:val="22"/>
        </w:rPr>
        <w:t>(36%,</w:t>
      </w:r>
      <w:r w:rsidR="00F81734" w:rsidRPr="00E85202">
        <w:rPr>
          <w:rFonts w:asciiTheme="majorHAnsi" w:hAnsiTheme="majorHAnsi" w:cs="Times New Roman"/>
          <w:sz w:val="22"/>
          <w:szCs w:val="22"/>
        </w:rPr>
        <w:t xml:space="preserve"> 94/261) reported</w:t>
      </w:r>
      <w:r w:rsidR="00B22F94" w:rsidRPr="00E85202">
        <w:rPr>
          <w:rFonts w:asciiTheme="majorHAnsi" w:hAnsiTheme="majorHAnsi" w:cs="Times New Roman"/>
          <w:sz w:val="22"/>
          <w:szCs w:val="22"/>
        </w:rPr>
        <w:t xml:space="preserve"> significant distress</w:t>
      </w:r>
      <w:r w:rsidR="00E0269C" w:rsidRPr="00C02D2C">
        <w:rPr>
          <w:rFonts w:asciiTheme="majorHAnsi" w:hAnsiTheme="majorHAnsi" w:cs="Times New Roman"/>
          <w:sz w:val="22"/>
          <w:szCs w:val="22"/>
        </w:rPr>
        <w:t>.</w:t>
      </w:r>
      <w:r w:rsidR="00B22F94">
        <w:rPr>
          <w:rFonts w:asciiTheme="majorHAnsi" w:hAnsiTheme="majorHAnsi" w:cs="Times New Roman"/>
          <w:sz w:val="22"/>
          <w:szCs w:val="22"/>
        </w:rPr>
        <w:t xml:space="preserve"> </w:t>
      </w:r>
    </w:p>
    <w:p w14:paraId="775D149C" w14:textId="77777777" w:rsidR="00B22F94" w:rsidRDefault="00B22F94" w:rsidP="00075D52">
      <w:pPr>
        <w:widowControl w:val="0"/>
        <w:autoSpaceDE w:val="0"/>
        <w:autoSpaceDN w:val="0"/>
        <w:adjustRightInd w:val="0"/>
        <w:spacing w:line="360" w:lineRule="auto"/>
        <w:jc w:val="both"/>
        <w:rPr>
          <w:rFonts w:asciiTheme="majorHAnsi" w:hAnsiTheme="majorHAnsi" w:cs="Times New Roman"/>
          <w:sz w:val="22"/>
          <w:szCs w:val="22"/>
        </w:rPr>
      </w:pPr>
    </w:p>
    <w:p w14:paraId="48ECA074" w14:textId="6AF5301B" w:rsidR="001D6C0D" w:rsidRPr="004B5CEF" w:rsidRDefault="00F30554" w:rsidP="004B5CEF">
      <w:pPr>
        <w:spacing w:line="360" w:lineRule="auto"/>
        <w:jc w:val="both"/>
        <w:rPr>
          <w:rFonts w:asciiTheme="majorHAnsi" w:hAnsiTheme="majorHAnsi"/>
          <w:sz w:val="22"/>
          <w:szCs w:val="22"/>
        </w:rPr>
      </w:pPr>
      <w:r w:rsidRPr="00403370">
        <w:rPr>
          <w:rFonts w:asciiTheme="majorHAnsi" w:hAnsiTheme="majorHAnsi"/>
          <w:sz w:val="22"/>
          <w:szCs w:val="22"/>
        </w:rPr>
        <w:t xml:space="preserve">The primary objective of this study was to </w:t>
      </w:r>
      <w:r w:rsidR="006D27F0" w:rsidRPr="00403370">
        <w:rPr>
          <w:rFonts w:asciiTheme="majorHAnsi" w:hAnsiTheme="majorHAnsi"/>
          <w:sz w:val="22"/>
          <w:szCs w:val="22"/>
        </w:rPr>
        <w:t xml:space="preserve">determine the relationship between </w:t>
      </w:r>
      <w:r w:rsidR="00403370" w:rsidRPr="00403370">
        <w:rPr>
          <w:rFonts w:asciiTheme="majorHAnsi" w:hAnsiTheme="majorHAnsi"/>
          <w:sz w:val="22"/>
          <w:szCs w:val="22"/>
        </w:rPr>
        <w:t xml:space="preserve">distress and </w:t>
      </w:r>
      <w:r w:rsidR="006D27F0" w:rsidRPr="004B5CEF">
        <w:rPr>
          <w:rFonts w:asciiTheme="majorHAnsi" w:hAnsiTheme="majorHAnsi"/>
          <w:sz w:val="22"/>
          <w:szCs w:val="22"/>
        </w:rPr>
        <w:t xml:space="preserve">patient concerns </w:t>
      </w:r>
      <w:r w:rsidR="001D6C0D" w:rsidRPr="004B5CEF">
        <w:rPr>
          <w:rFonts w:asciiTheme="majorHAnsi" w:hAnsiTheme="majorHAnsi"/>
          <w:sz w:val="22"/>
          <w:szCs w:val="22"/>
        </w:rPr>
        <w:t xml:space="preserve">in </w:t>
      </w:r>
      <w:r w:rsidR="008B277C">
        <w:rPr>
          <w:rFonts w:asciiTheme="majorHAnsi" w:hAnsiTheme="majorHAnsi"/>
          <w:sz w:val="22"/>
          <w:szCs w:val="22"/>
        </w:rPr>
        <w:t xml:space="preserve">a cohort of </w:t>
      </w:r>
      <w:r w:rsidR="00304488" w:rsidRPr="004B5CEF">
        <w:rPr>
          <w:rFonts w:asciiTheme="majorHAnsi" w:hAnsiTheme="majorHAnsi"/>
          <w:sz w:val="22"/>
          <w:szCs w:val="22"/>
        </w:rPr>
        <w:t xml:space="preserve">disease-free, </w:t>
      </w:r>
      <w:r w:rsidR="001D6C0D" w:rsidRPr="004B5CEF">
        <w:rPr>
          <w:rFonts w:asciiTheme="majorHAnsi" w:hAnsiTheme="majorHAnsi"/>
          <w:sz w:val="22"/>
          <w:szCs w:val="22"/>
        </w:rPr>
        <w:t>post-treatment HNC patient</w:t>
      </w:r>
      <w:r w:rsidR="008B277C">
        <w:rPr>
          <w:rFonts w:asciiTheme="majorHAnsi" w:hAnsiTheme="majorHAnsi"/>
          <w:sz w:val="22"/>
          <w:szCs w:val="22"/>
        </w:rPr>
        <w:t>s attending routine follow-</w:t>
      </w:r>
      <w:r w:rsidR="00304488" w:rsidRPr="004B5CEF">
        <w:rPr>
          <w:rFonts w:asciiTheme="majorHAnsi" w:hAnsiTheme="majorHAnsi"/>
          <w:sz w:val="22"/>
          <w:szCs w:val="22"/>
        </w:rPr>
        <w:t>up</w:t>
      </w:r>
      <w:r w:rsidR="006D27F0" w:rsidRPr="004B5CEF">
        <w:rPr>
          <w:rFonts w:asciiTheme="majorHAnsi" w:hAnsiTheme="majorHAnsi"/>
          <w:sz w:val="22"/>
          <w:szCs w:val="22"/>
        </w:rPr>
        <w:t>.</w:t>
      </w:r>
      <w:r w:rsidR="00304488" w:rsidRPr="004B5CEF">
        <w:rPr>
          <w:rFonts w:asciiTheme="majorHAnsi" w:hAnsiTheme="majorHAnsi"/>
          <w:sz w:val="22"/>
          <w:szCs w:val="22"/>
        </w:rPr>
        <w:t xml:space="preserve"> </w:t>
      </w:r>
      <w:r w:rsidR="008B277C">
        <w:rPr>
          <w:rFonts w:asciiTheme="majorHAnsi" w:hAnsiTheme="majorHAnsi"/>
          <w:sz w:val="22"/>
          <w:szCs w:val="22"/>
        </w:rPr>
        <w:t>A specific objective was</w:t>
      </w:r>
      <w:r w:rsidR="004B5CEF" w:rsidRPr="004B5CEF">
        <w:rPr>
          <w:rFonts w:asciiTheme="majorHAnsi" w:hAnsiTheme="majorHAnsi"/>
          <w:sz w:val="22"/>
          <w:szCs w:val="22"/>
        </w:rPr>
        <w:t xml:space="preserve"> to evaluate the relationship between the number of co</w:t>
      </w:r>
      <w:r w:rsidR="008B277C">
        <w:rPr>
          <w:rFonts w:asciiTheme="majorHAnsi" w:hAnsiTheme="majorHAnsi"/>
          <w:sz w:val="22"/>
          <w:szCs w:val="22"/>
        </w:rPr>
        <w:t>ncern</w:t>
      </w:r>
      <w:r w:rsidR="00D358F2">
        <w:rPr>
          <w:rFonts w:asciiTheme="majorHAnsi" w:hAnsiTheme="majorHAnsi"/>
          <w:sz w:val="22"/>
          <w:szCs w:val="22"/>
        </w:rPr>
        <w:t>s</w:t>
      </w:r>
      <w:r w:rsidR="008B277C">
        <w:rPr>
          <w:rFonts w:asciiTheme="majorHAnsi" w:hAnsiTheme="majorHAnsi"/>
          <w:sz w:val="22"/>
          <w:szCs w:val="22"/>
        </w:rPr>
        <w:t xml:space="preserve"> with significant distress, </w:t>
      </w:r>
      <w:r w:rsidR="00D4483F">
        <w:rPr>
          <w:rFonts w:asciiTheme="majorHAnsi" w:hAnsiTheme="majorHAnsi"/>
          <w:sz w:val="22"/>
          <w:szCs w:val="22"/>
        </w:rPr>
        <w:t>so as to</w:t>
      </w:r>
      <w:r w:rsidR="008B277C">
        <w:rPr>
          <w:rFonts w:asciiTheme="majorHAnsi" w:hAnsiTheme="majorHAnsi"/>
          <w:sz w:val="22"/>
          <w:szCs w:val="22"/>
        </w:rPr>
        <w:t xml:space="preserve"> iden</w:t>
      </w:r>
      <w:r w:rsidR="00D4483F">
        <w:rPr>
          <w:rFonts w:asciiTheme="majorHAnsi" w:hAnsiTheme="majorHAnsi"/>
          <w:sz w:val="22"/>
          <w:szCs w:val="22"/>
        </w:rPr>
        <w:t xml:space="preserve">tify </w:t>
      </w:r>
      <w:r w:rsidR="00BD33BB">
        <w:rPr>
          <w:rFonts w:asciiTheme="majorHAnsi" w:hAnsiTheme="majorHAnsi"/>
          <w:sz w:val="22"/>
          <w:szCs w:val="22"/>
        </w:rPr>
        <w:t xml:space="preserve">suitable </w:t>
      </w:r>
      <w:r w:rsidR="00D4483F">
        <w:rPr>
          <w:rFonts w:asciiTheme="majorHAnsi" w:hAnsiTheme="majorHAnsi"/>
          <w:sz w:val="22"/>
          <w:szCs w:val="22"/>
        </w:rPr>
        <w:t>cut-</w:t>
      </w:r>
      <w:r w:rsidR="004B5CEF" w:rsidRPr="004B5CEF">
        <w:rPr>
          <w:rFonts w:asciiTheme="majorHAnsi" w:hAnsiTheme="majorHAnsi"/>
          <w:sz w:val="22"/>
          <w:szCs w:val="22"/>
        </w:rPr>
        <w:t>off point</w:t>
      </w:r>
      <w:r w:rsidR="00D4483F">
        <w:rPr>
          <w:rFonts w:asciiTheme="majorHAnsi" w:hAnsiTheme="majorHAnsi"/>
          <w:sz w:val="22"/>
          <w:szCs w:val="22"/>
        </w:rPr>
        <w:t xml:space="preserve"> </w:t>
      </w:r>
      <w:r w:rsidR="00BD33BB">
        <w:rPr>
          <w:rFonts w:asciiTheme="majorHAnsi" w:hAnsiTheme="majorHAnsi"/>
          <w:sz w:val="22"/>
          <w:szCs w:val="22"/>
        </w:rPr>
        <w:t xml:space="preserve">based on the number of items selected on the PCI that could be used as </w:t>
      </w:r>
      <w:r w:rsidR="00D4483F">
        <w:rPr>
          <w:rFonts w:asciiTheme="majorHAnsi" w:hAnsiTheme="majorHAnsi"/>
          <w:sz w:val="22"/>
          <w:szCs w:val="22"/>
        </w:rPr>
        <w:t xml:space="preserve">a simple </w:t>
      </w:r>
      <w:r w:rsidR="00BD33BB">
        <w:rPr>
          <w:rFonts w:asciiTheme="majorHAnsi" w:hAnsiTheme="majorHAnsi"/>
          <w:sz w:val="22"/>
          <w:szCs w:val="22"/>
        </w:rPr>
        <w:t xml:space="preserve">indicator </w:t>
      </w:r>
      <w:r w:rsidR="00D4483F">
        <w:rPr>
          <w:rFonts w:asciiTheme="majorHAnsi" w:hAnsiTheme="majorHAnsi"/>
          <w:sz w:val="22"/>
          <w:szCs w:val="22"/>
        </w:rPr>
        <w:t xml:space="preserve">for clinicians </w:t>
      </w:r>
      <w:r w:rsidR="00BD33BB">
        <w:rPr>
          <w:rFonts w:asciiTheme="majorHAnsi" w:hAnsiTheme="majorHAnsi"/>
          <w:sz w:val="22"/>
          <w:szCs w:val="22"/>
        </w:rPr>
        <w:t>in</w:t>
      </w:r>
      <w:r w:rsidR="00D4483F">
        <w:rPr>
          <w:rFonts w:asciiTheme="majorHAnsi" w:hAnsiTheme="majorHAnsi"/>
          <w:sz w:val="22"/>
          <w:szCs w:val="22"/>
        </w:rPr>
        <w:t xml:space="preserve"> </w:t>
      </w:r>
      <w:r w:rsidR="00BD33BB">
        <w:rPr>
          <w:rFonts w:asciiTheme="majorHAnsi" w:hAnsiTheme="majorHAnsi"/>
          <w:sz w:val="22"/>
          <w:szCs w:val="22"/>
        </w:rPr>
        <w:t xml:space="preserve">risk assessing </w:t>
      </w:r>
      <w:r w:rsidR="00D4483F" w:rsidRPr="004B5CEF">
        <w:rPr>
          <w:rFonts w:asciiTheme="majorHAnsi" w:hAnsiTheme="majorHAnsi"/>
          <w:sz w:val="22"/>
          <w:szCs w:val="22"/>
        </w:rPr>
        <w:t>significant distress</w:t>
      </w:r>
      <w:r w:rsidR="00D4483F">
        <w:rPr>
          <w:rFonts w:asciiTheme="majorHAnsi" w:hAnsiTheme="majorHAnsi"/>
          <w:sz w:val="22"/>
          <w:szCs w:val="22"/>
        </w:rPr>
        <w:t xml:space="preserve"> in clinic</w:t>
      </w:r>
      <w:r w:rsidR="004B5CEF" w:rsidRPr="004B5CEF">
        <w:rPr>
          <w:rFonts w:asciiTheme="majorHAnsi" w:hAnsiTheme="majorHAnsi"/>
          <w:sz w:val="22"/>
          <w:szCs w:val="22"/>
        </w:rPr>
        <w:t xml:space="preserve">. </w:t>
      </w:r>
      <w:r w:rsidR="00DD4C9A" w:rsidRPr="004B5CEF">
        <w:rPr>
          <w:rFonts w:asciiTheme="majorHAnsi" w:hAnsiTheme="majorHAnsi"/>
          <w:sz w:val="22"/>
          <w:szCs w:val="22"/>
          <w:lang w:val="en-GB"/>
        </w:rPr>
        <w:t xml:space="preserve">The secondary aims were to </w:t>
      </w:r>
      <w:r w:rsidR="00F25C5A" w:rsidRPr="004B5CEF">
        <w:rPr>
          <w:rFonts w:asciiTheme="majorHAnsi" w:hAnsiTheme="majorHAnsi"/>
          <w:sz w:val="22"/>
          <w:szCs w:val="22"/>
          <w:lang w:val="en-GB"/>
        </w:rPr>
        <w:t>determine th</w:t>
      </w:r>
      <w:r w:rsidR="007056F7">
        <w:rPr>
          <w:rFonts w:asciiTheme="majorHAnsi" w:hAnsiTheme="majorHAnsi"/>
          <w:sz w:val="22"/>
          <w:szCs w:val="22"/>
          <w:lang w:val="en-GB"/>
        </w:rPr>
        <w:t>e</w:t>
      </w:r>
      <w:r w:rsidR="00A12797" w:rsidRPr="004B5CEF">
        <w:rPr>
          <w:rFonts w:asciiTheme="majorHAnsi" w:hAnsiTheme="majorHAnsi"/>
          <w:sz w:val="22"/>
          <w:szCs w:val="22"/>
          <w:lang w:val="en-GB"/>
        </w:rPr>
        <w:t xml:space="preserve"> signi</w:t>
      </w:r>
      <w:r w:rsidR="00403370" w:rsidRPr="004B5CEF">
        <w:rPr>
          <w:rFonts w:asciiTheme="majorHAnsi" w:hAnsiTheme="majorHAnsi"/>
          <w:sz w:val="22"/>
          <w:szCs w:val="22"/>
          <w:lang w:val="en-GB"/>
        </w:rPr>
        <w:t>fican</w:t>
      </w:r>
      <w:r w:rsidR="007056F7">
        <w:rPr>
          <w:rFonts w:asciiTheme="majorHAnsi" w:hAnsiTheme="majorHAnsi"/>
          <w:sz w:val="22"/>
          <w:szCs w:val="22"/>
          <w:lang w:val="en-GB"/>
        </w:rPr>
        <w:t xml:space="preserve">ce of </w:t>
      </w:r>
      <w:r w:rsidR="00403370" w:rsidRPr="004B5CEF">
        <w:rPr>
          <w:rFonts w:asciiTheme="majorHAnsi" w:hAnsiTheme="majorHAnsi"/>
          <w:sz w:val="22"/>
          <w:szCs w:val="22"/>
          <w:lang w:val="en-GB"/>
        </w:rPr>
        <w:t>distress on</w:t>
      </w:r>
      <w:r w:rsidR="00627544">
        <w:rPr>
          <w:rFonts w:asciiTheme="majorHAnsi" w:hAnsiTheme="majorHAnsi"/>
          <w:sz w:val="22"/>
          <w:szCs w:val="22"/>
        </w:rPr>
        <w:t xml:space="preserve"> </w:t>
      </w:r>
      <w:r w:rsidR="006D27F0" w:rsidRPr="00A12797">
        <w:rPr>
          <w:rFonts w:asciiTheme="majorHAnsi" w:hAnsiTheme="majorHAnsi"/>
          <w:sz w:val="22"/>
          <w:szCs w:val="22"/>
        </w:rPr>
        <w:t>outcomes of clinic consultation</w:t>
      </w:r>
      <w:r w:rsidR="00627544">
        <w:rPr>
          <w:rFonts w:asciiTheme="majorHAnsi" w:hAnsiTheme="majorHAnsi"/>
          <w:sz w:val="22"/>
          <w:szCs w:val="22"/>
        </w:rPr>
        <w:t>s</w:t>
      </w:r>
      <w:r w:rsidR="006D27F0" w:rsidRPr="00A12797">
        <w:rPr>
          <w:rFonts w:asciiTheme="majorHAnsi" w:hAnsiTheme="majorHAnsi"/>
          <w:sz w:val="22"/>
          <w:szCs w:val="22"/>
        </w:rPr>
        <w:t xml:space="preserve"> in relation to patient’s concerns.</w:t>
      </w:r>
    </w:p>
    <w:p w14:paraId="38D45EAE" w14:textId="77777777" w:rsidR="008816FF" w:rsidRPr="00075D52" w:rsidRDefault="008816FF" w:rsidP="00075D52">
      <w:pPr>
        <w:spacing w:line="360" w:lineRule="auto"/>
        <w:jc w:val="both"/>
        <w:rPr>
          <w:rFonts w:asciiTheme="majorHAnsi" w:hAnsiTheme="majorHAnsi"/>
          <w:sz w:val="22"/>
          <w:szCs w:val="22"/>
        </w:rPr>
      </w:pPr>
    </w:p>
    <w:p w14:paraId="4640F933" w14:textId="023B0EA9" w:rsidR="00B9231B" w:rsidRDefault="00C367C7" w:rsidP="00075D52">
      <w:pPr>
        <w:spacing w:line="360" w:lineRule="auto"/>
        <w:jc w:val="both"/>
        <w:rPr>
          <w:rFonts w:asciiTheme="majorHAnsi" w:hAnsiTheme="majorHAnsi"/>
          <w:b/>
          <w:sz w:val="22"/>
          <w:szCs w:val="22"/>
        </w:rPr>
      </w:pPr>
      <w:r w:rsidRPr="00075D52">
        <w:rPr>
          <w:rFonts w:asciiTheme="majorHAnsi" w:hAnsiTheme="majorHAnsi"/>
          <w:b/>
          <w:sz w:val="22"/>
          <w:szCs w:val="22"/>
        </w:rPr>
        <w:t>Methods</w:t>
      </w:r>
    </w:p>
    <w:p w14:paraId="45A4F803" w14:textId="77777777" w:rsidR="00FC3A70" w:rsidRPr="00075D52" w:rsidRDefault="00FC3A70" w:rsidP="00075D52">
      <w:pPr>
        <w:spacing w:line="360" w:lineRule="auto"/>
        <w:jc w:val="both"/>
        <w:rPr>
          <w:rFonts w:asciiTheme="majorHAnsi" w:hAnsiTheme="majorHAnsi"/>
          <w:b/>
          <w:sz w:val="22"/>
          <w:szCs w:val="22"/>
        </w:rPr>
      </w:pPr>
    </w:p>
    <w:p w14:paraId="64CB66CD" w14:textId="77777777" w:rsidR="00D21FAB" w:rsidRPr="00075D52" w:rsidRDefault="00D21FAB" w:rsidP="00075D52">
      <w:pPr>
        <w:spacing w:line="360" w:lineRule="auto"/>
        <w:jc w:val="both"/>
        <w:rPr>
          <w:rFonts w:asciiTheme="majorHAnsi" w:hAnsiTheme="majorHAnsi"/>
          <w:sz w:val="22"/>
          <w:szCs w:val="22"/>
        </w:rPr>
      </w:pPr>
      <w:r w:rsidRPr="00075D52">
        <w:rPr>
          <w:rFonts w:asciiTheme="majorHAnsi" w:hAnsiTheme="majorHAnsi"/>
          <w:bCs/>
          <w:sz w:val="22"/>
          <w:szCs w:val="22"/>
        </w:rPr>
        <w:t xml:space="preserve">This </w:t>
      </w:r>
      <w:r w:rsidR="00145F02" w:rsidRPr="00075D52">
        <w:rPr>
          <w:rFonts w:asciiTheme="majorHAnsi" w:hAnsiTheme="majorHAnsi"/>
          <w:bCs/>
          <w:sz w:val="22"/>
          <w:szCs w:val="22"/>
        </w:rPr>
        <w:t xml:space="preserve">study </w:t>
      </w:r>
      <w:r w:rsidRPr="00075D52">
        <w:rPr>
          <w:rFonts w:asciiTheme="majorHAnsi" w:hAnsiTheme="majorHAnsi"/>
          <w:bCs/>
          <w:sz w:val="22"/>
          <w:szCs w:val="22"/>
        </w:rPr>
        <w:t xml:space="preserve">obtained research ethics approval from the North West Research ethics committee (study </w:t>
      </w:r>
      <w:r w:rsidRPr="00075D52">
        <w:rPr>
          <w:rFonts w:asciiTheme="majorHAnsi" w:hAnsiTheme="majorHAnsi" w:cs="Times New Roman"/>
          <w:sz w:val="22"/>
          <w:szCs w:val="22"/>
        </w:rPr>
        <w:t xml:space="preserve">reference: </w:t>
      </w:r>
      <w:r w:rsidRPr="00075D52">
        <w:rPr>
          <w:rFonts w:asciiTheme="majorHAnsi" w:hAnsiTheme="majorHAnsi" w:cs="Times New Roman"/>
          <w:sz w:val="22"/>
          <w:szCs w:val="22"/>
          <w:lang w:eastAsia="en-GB"/>
        </w:rPr>
        <w:t xml:space="preserve">11/H1002/7) and </w:t>
      </w:r>
      <w:r w:rsidRPr="00075D52">
        <w:rPr>
          <w:rFonts w:asciiTheme="majorHAnsi" w:hAnsiTheme="majorHAnsi"/>
          <w:sz w:val="22"/>
          <w:szCs w:val="22"/>
        </w:rPr>
        <w:t xml:space="preserve">was conducted in two HNC outpatient clinics within the Merseyside region. </w:t>
      </w:r>
    </w:p>
    <w:p w14:paraId="6A33ACE6" w14:textId="77777777" w:rsidR="00D21FAB" w:rsidRPr="00075D52" w:rsidRDefault="00D21FAB" w:rsidP="00075D52">
      <w:pPr>
        <w:spacing w:line="360" w:lineRule="auto"/>
        <w:jc w:val="both"/>
        <w:rPr>
          <w:rFonts w:asciiTheme="majorHAnsi" w:hAnsiTheme="majorHAnsi"/>
          <w:bCs/>
          <w:i/>
          <w:sz w:val="22"/>
          <w:szCs w:val="22"/>
        </w:rPr>
      </w:pPr>
    </w:p>
    <w:p w14:paraId="5B7CD902" w14:textId="77777777" w:rsidR="00C367C7" w:rsidRDefault="00C367C7" w:rsidP="00075D52">
      <w:pPr>
        <w:spacing w:line="360" w:lineRule="auto"/>
        <w:jc w:val="both"/>
        <w:rPr>
          <w:rFonts w:asciiTheme="majorHAnsi" w:hAnsiTheme="majorHAnsi"/>
          <w:bCs/>
          <w:i/>
          <w:sz w:val="22"/>
          <w:szCs w:val="22"/>
        </w:rPr>
      </w:pPr>
      <w:r w:rsidRPr="00075D52">
        <w:rPr>
          <w:rFonts w:asciiTheme="majorHAnsi" w:hAnsiTheme="majorHAnsi"/>
          <w:bCs/>
          <w:i/>
          <w:sz w:val="22"/>
          <w:szCs w:val="22"/>
        </w:rPr>
        <w:t>Subjects</w:t>
      </w:r>
    </w:p>
    <w:p w14:paraId="5F9DF951" w14:textId="77777777" w:rsidR="00FC3A70" w:rsidRPr="00075D52" w:rsidRDefault="00FC3A70" w:rsidP="00075D52">
      <w:pPr>
        <w:spacing w:line="360" w:lineRule="auto"/>
        <w:jc w:val="both"/>
        <w:rPr>
          <w:rFonts w:asciiTheme="majorHAnsi" w:hAnsiTheme="majorHAnsi"/>
          <w:bCs/>
          <w:i/>
          <w:sz w:val="22"/>
          <w:szCs w:val="22"/>
        </w:rPr>
      </w:pPr>
    </w:p>
    <w:p w14:paraId="4A727F3A" w14:textId="101E6DF2" w:rsidR="00C367C7" w:rsidRPr="00075D52" w:rsidRDefault="00357B08" w:rsidP="00075D52">
      <w:pPr>
        <w:spacing w:line="360" w:lineRule="auto"/>
        <w:jc w:val="both"/>
        <w:rPr>
          <w:rFonts w:asciiTheme="majorHAnsi" w:hAnsiTheme="majorHAnsi"/>
          <w:bCs/>
          <w:sz w:val="22"/>
          <w:szCs w:val="22"/>
        </w:rPr>
      </w:pPr>
      <w:r w:rsidRPr="00075D52">
        <w:rPr>
          <w:rFonts w:asciiTheme="majorHAnsi" w:hAnsiTheme="majorHAnsi"/>
          <w:bCs/>
          <w:sz w:val="22"/>
          <w:szCs w:val="22"/>
        </w:rPr>
        <w:t>S</w:t>
      </w:r>
      <w:r w:rsidR="00C367C7" w:rsidRPr="00075D52">
        <w:rPr>
          <w:rFonts w:asciiTheme="majorHAnsi" w:hAnsiTheme="majorHAnsi"/>
          <w:bCs/>
          <w:sz w:val="22"/>
          <w:szCs w:val="22"/>
        </w:rPr>
        <w:t xml:space="preserve">tudy participants comprised surgeons and patients. </w:t>
      </w:r>
      <w:r w:rsidR="00711081" w:rsidRPr="00075D52">
        <w:rPr>
          <w:rFonts w:asciiTheme="majorHAnsi" w:hAnsiTheme="majorHAnsi"/>
          <w:sz w:val="22"/>
          <w:szCs w:val="22"/>
        </w:rPr>
        <w:t>F</w:t>
      </w:r>
      <w:r w:rsidR="00C367C7" w:rsidRPr="00075D52">
        <w:rPr>
          <w:rFonts w:asciiTheme="majorHAnsi" w:hAnsiTheme="majorHAnsi"/>
          <w:sz w:val="22"/>
          <w:szCs w:val="22"/>
        </w:rPr>
        <w:t>our consultant surgeons</w:t>
      </w:r>
      <w:r w:rsidR="00711081" w:rsidRPr="00075D52">
        <w:rPr>
          <w:rFonts w:asciiTheme="majorHAnsi" w:hAnsiTheme="majorHAnsi"/>
          <w:sz w:val="22"/>
          <w:szCs w:val="22"/>
        </w:rPr>
        <w:t xml:space="preserve"> comprising  two</w:t>
      </w:r>
      <w:r w:rsidR="00C367C7" w:rsidRPr="00075D52">
        <w:rPr>
          <w:rFonts w:asciiTheme="majorHAnsi" w:hAnsiTheme="majorHAnsi"/>
          <w:sz w:val="22"/>
          <w:szCs w:val="22"/>
        </w:rPr>
        <w:t xml:space="preserve"> Oral &amp; Max</w:t>
      </w:r>
      <w:r w:rsidR="00711081" w:rsidRPr="00075D52">
        <w:rPr>
          <w:rFonts w:asciiTheme="majorHAnsi" w:hAnsiTheme="majorHAnsi"/>
          <w:sz w:val="22"/>
          <w:szCs w:val="22"/>
        </w:rPr>
        <w:t xml:space="preserve">illofacial surgeons and two </w:t>
      </w:r>
      <w:r w:rsidR="00C367C7" w:rsidRPr="00075D52">
        <w:rPr>
          <w:rFonts w:asciiTheme="majorHAnsi" w:hAnsiTheme="majorHAnsi"/>
          <w:sz w:val="22"/>
          <w:szCs w:val="22"/>
        </w:rPr>
        <w:t>Otolaryngology, Head and Neck</w:t>
      </w:r>
      <w:r w:rsidR="00627544">
        <w:rPr>
          <w:rFonts w:asciiTheme="majorHAnsi" w:hAnsiTheme="majorHAnsi"/>
          <w:sz w:val="22"/>
          <w:szCs w:val="22"/>
        </w:rPr>
        <w:t xml:space="preserve"> </w:t>
      </w:r>
      <w:r w:rsidR="00C367C7" w:rsidRPr="00075D52">
        <w:rPr>
          <w:rFonts w:asciiTheme="majorHAnsi" w:hAnsiTheme="majorHAnsi"/>
          <w:sz w:val="22"/>
          <w:szCs w:val="22"/>
        </w:rPr>
        <w:t xml:space="preserve">surgeons, without prior </w:t>
      </w:r>
      <w:r w:rsidR="00711081" w:rsidRPr="00075D52">
        <w:rPr>
          <w:rFonts w:asciiTheme="majorHAnsi" w:hAnsiTheme="majorHAnsi"/>
          <w:sz w:val="22"/>
          <w:szCs w:val="22"/>
        </w:rPr>
        <w:t>experience of using the PCI were</w:t>
      </w:r>
      <w:r w:rsidR="00C367C7" w:rsidRPr="00075D52">
        <w:rPr>
          <w:rFonts w:asciiTheme="majorHAnsi" w:hAnsiTheme="majorHAnsi"/>
          <w:sz w:val="22"/>
          <w:szCs w:val="22"/>
        </w:rPr>
        <w:t xml:space="preserve"> invited to participate in this study</w:t>
      </w:r>
      <w:r w:rsidR="00711081" w:rsidRPr="00075D52">
        <w:rPr>
          <w:rFonts w:asciiTheme="majorHAnsi" w:hAnsiTheme="majorHAnsi"/>
          <w:sz w:val="22"/>
          <w:szCs w:val="22"/>
        </w:rPr>
        <w:t xml:space="preserve"> and formed a convenience sample</w:t>
      </w:r>
      <w:r w:rsidR="00DD5CE0" w:rsidRPr="00075D52">
        <w:rPr>
          <w:rFonts w:asciiTheme="majorHAnsi" w:hAnsiTheme="majorHAnsi"/>
          <w:sz w:val="22"/>
          <w:szCs w:val="22"/>
        </w:rPr>
        <w:t>.</w:t>
      </w:r>
      <w:r w:rsidR="00DD5CE0" w:rsidRPr="00075D52">
        <w:rPr>
          <w:rFonts w:asciiTheme="majorHAnsi" w:hAnsiTheme="majorHAnsi"/>
          <w:bCs/>
          <w:sz w:val="22"/>
          <w:szCs w:val="22"/>
        </w:rPr>
        <w:t xml:space="preserve"> </w:t>
      </w:r>
      <w:r w:rsidRPr="00075D52">
        <w:rPr>
          <w:rFonts w:asciiTheme="majorHAnsi" w:hAnsiTheme="majorHAnsi"/>
          <w:iCs/>
          <w:sz w:val="22"/>
          <w:szCs w:val="22"/>
        </w:rPr>
        <w:t>The inclusion criteria for patient recruitment were d</w:t>
      </w:r>
      <w:r w:rsidR="00C367C7" w:rsidRPr="00075D52">
        <w:rPr>
          <w:rFonts w:asciiTheme="majorHAnsi" w:hAnsiTheme="majorHAnsi"/>
          <w:sz w:val="22"/>
          <w:szCs w:val="22"/>
        </w:rPr>
        <w:t xml:space="preserve">isease-free </w:t>
      </w:r>
      <w:r w:rsidRPr="00075D52">
        <w:rPr>
          <w:rFonts w:asciiTheme="majorHAnsi" w:hAnsiTheme="majorHAnsi"/>
          <w:sz w:val="22"/>
          <w:szCs w:val="22"/>
        </w:rPr>
        <w:t xml:space="preserve">HNC survivors who </w:t>
      </w:r>
      <w:r w:rsidR="000A7D12" w:rsidRPr="00075D52">
        <w:rPr>
          <w:rFonts w:asciiTheme="majorHAnsi" w:hAnsiTheme="majorHAnsi"/>
          <w:sz w:val="22"/>
          <w:szCs w:val="22"/>
        </w:rPr>
        <w:t xml:space="preserve">had </w:t>
      </w:r>
      <w:r w:rsidRPr="00075D52">
        <w:rPr>
          <w:rFonts w:asciiTheme="majorHAnsi" w:hAnsiTheme="majorHAnsi"/>
          <w:sz w:val="22"/>
          <w:szCs w:val="22"/>
        </w:rPr>
        <w:t xml:space="preserve">completed primary treatment </w:t>
      </w:r>
      <w:r w:rsidR="00C367C7" w:rsidRPr="00075D52">
        <w:rPr>
          <w:rFonts w:asciiTheme="majorHAnsi" w:hAnsiTheme="majorHAnsi"/>
          <w:sz w:val="22"/>
          <w:szCs w:val="22"/>
        </w:rPr>
        <w:t>of at least 6 weeks</w:t>
      </w:r>
      <w:r w:rsidRPr="00075D52">
        <w:rPr>
          <w:rFonts w:asciiTheme="majorHAnsi" w:hAnsiTheme="majorHAnsi"/>
          <w:bCs/>
          <w:sz w:val="22"/>
          <w:szCs w:val="22"/>
        </w:rPr>
        <w:t xml:space="preserve"> and h</w:t>
      </w:r>
      <w:r w:rsidR="00AA2EF8">
        <w:rPr>
          <w:rFonts w:asciiTheme="majorHAnsi" w:hAnsiTheme="majorHAnsi"/>
          <w:sz w:val="22"/>
          <w:szCs w:val="22"/>
        </w:rPr>
        <w:t>ad</w:t>
      </w:r>
      <w:r w:rsidR="00C367C7" w:rsidRPr="00075D52">
        <w:rPr>
          <w:rFonts w:asciiTheme="majorHAnsi" w:hAnsiTheme="majorHAnsi"/>
          <w:sz w:val="22"/>
          <w:szCs w:val="22"/>
        </w:rPr>
        <w:t xml:space="preserve"> not used the PCI before. </w:t>
      </w:r>
      <w:r w:rsidR="00C367C7" w:rsidRPr="00075D52">
        <w:rPr>
          <w:rFonts w:asciiTheme="majorHAnsi" w:hAnsiTheme="majorHAnsi"/>
          <w:bCs/>
          <w:sz w:val="22"/>
          <w:szCs w:val="22"/>
        </w:rPr>
        <w:t xml:space="preserve">The </w:t>
      </w:r>
      <w:r w:rsidR="00C367C7" w:rsidRPr="00075D52">
        <w:rPr>
          <w:rFonts w:asciiTheme="majorHAnsi" w:hAnsiTheme="majorHAnsi"/>
          <w:sz w:val="22"/>
          <w:szCs w:val="22"/>
        </w:rPr>
        <w:t xml:space="preserve">exclusion criteria </w:t>
      </w:r>
      <w:r w:rsidRPr="00075D52">
        <w:rPr>
          <w:rFonts w:asciiTheme="majorHAnsi" w:hAnsiTheme="majorHAnsi"/>
          <w:sz w:val="22"/>
          <w:szCs w:val="22"/>
        </w:rPr>
        <w:t>include</w:t>
      </w:r>
      <w:r w:rsidR="000A7D12" w:rsidRPr="00075D52">
        <w:rPr>
          <w:rFonts w:asciiTheme="majorHAnsi" w:hAnsiTheme="majorHAnsi"/>
          <w:sz w:val="22"/>
          <w:szCs w:val="22"/>
        </w:rPr>
        <w:t>d</w:t>
      </w:r>
      <w:r w:rsidRPr="00075D52">
        <w:rPr>
          <w:rFonts w:asciiTheme="majorHAnsi" w:hAnsiTheme="majorHAnsi"/>
          <w:sz w:val="22"/>
          <w:szCs w:val="22"/>
        </w:rPr>
        <w:t xml:space="preserve"> HNC</w:t>
      </w:r>
      <w:r w:rsidR="00C367C7" w:rsidRPr="00075D52">
        <w:rPr>
          <w:rFonts w:asciiTheme="majorHAnsi" w:hAnsiTheme="majorHAnsi"/>
          <w:sz w:val="22"/>
          <w:szCs w:val="22"/>
        </w:rPr>
        <w:t xml:space="preserve"> patients</w:t>
      </w:r>
      <w:r w:rsidRPr="00075D52">
        <w:rPr>
          <w:rFonts w:asciiTheme="majorHAnsi" w:hAnsiTheme="majorHAnsi"/>
          <w:sz w:val="22"/>
          <w:szCs w:val="22"/>
        </w:rPr>
        <w:t xml:space="preserve"> who </w:t>
      </w:r>
      <w:r w:rsidR="000A7D12" w:rsidRPr="00075D52">
        <w:rPr>
          <w:rFonts w:asciiTheme="majorHAnsi" w:hAnsiTheme="majorHAnsi"/>
          <w:sz w:val="22"/>
          <w:szCs w:val="22"/>
        </w:rPr>
        <w:t xml:space="preserve">were </w:t>
      </w:r>
      <w:r w:rsidRPr="00075D52">
        <w:rPr>
          <w:rFonts w:asciiTheme="majorHAnsi" w:hAnsiTheme="majorHAnsi"/>
          <w:sz w:val="22"/>
          <w:szCs w:val="22"/>
        </w:rPr>
        <w:t>at pre</w:t>
      </w:r>
      <w:r w:rsidR="00DD5CE0" w:rsidRPr="00075D52">
        <w:rPr>
          <w:rFonts w:asciiTheme="majorHAnsi" w:hAnsiTheme="majorHAnsi"/>
          <w:sz w:val="22"/>
          <w:szCs w:val="22"/>
        </w:rPr>
        <w:t>-</w:t>
      </w:r>
      <w:r w:rsidRPr="00075D52">
        <w:rPr>
          <w:rFonts w:asciiTheme="majorHAnsi" w:hAnsiTheme="majorHAnsi"/>
          <w:sz w:val="22"/>
          <w:szCs w:val="22"/>
        </w:rPr>
        <w:t>treatment or palliative stage of survivorship.</w:t>
      </w:r>
      <w:r w:rsidR="00C367C7" w:rsidRPr="00075D52">
        <w:rPr>
          <w:rFonts w:asciiTheme="majorHAnsi" w:hAnsiTheme="majorHAnsi"/>
          <w:sz w:val="22"/>
          <w:szCs w:val="22"/>
        </w:rPr>
        <w:t xml:space="preserve"> </w:t>
      </w:r>
      <w:r w:rsidR="00731D23">
        <w:rPr>
          <w:rFonts w:asciiTheme="majorHAnsi" w:hAnsiTheme="majorHAnsi"/>
          <w:sz w:val="22"/>
          <w:szCs w:val="22"/>
        </w:rPr>
        <w:t>In addition, patients who were unable to speak or read English were excluded.</w:t>
      </w:r>
    </w:p>
    <w:p w14:paraId="2587B601" w14:textId="77777777" w:rsidR="00DD4C9A" w:rsidRPr="00075D52" w:rsidRDefault="00DD4C9A" w:rsidP="00075D52">
      <w:pPr>
        <w:spacing w:line="360" w:lineRule="auto"/>
        <w:jc w:val="both"/>
        <w:rPr>
          <w:rFonts w:asciiTheme="majorHAnsi" w:hAnsiTheme="majorHAnsi"/>
          <w:b/>
          <w:sz w:val="22"/>
          <w:szCs w:val="22"/>
        </w:rPr>
      </w:pPr>
    </w:p>
    <w:p w14:paraId="625E0759" w14:textId="77777777" w:rsidR="00C367C7" w:rsidRPr="00075D52" w:rsidRDefault="00DD4C9A" w:rsidP="00075D52">
      <w:pPr>
        <w:spacing w:line="360" w:lineRule="auto"/>
        <w:jc w:val="both"/>
        <w:rPr>
          <w:rFonts w:asciiTheme="majorHAnsi" w:hAnsiTheme="majorHAnsi"/>
          <w:i/>
          <w:sz w:val="22"/>
          <w:szCs w:val="22"/>
        </w:rPr>
      </w:pPr>
      <w:r w:rsidRPr="00075D52">
        <w:rPr>
          <w:rFonts w:asciiTheme="majorHAnsi" w:hAnsiTheme="majorHAnsi"/>
          <w:i/>
          <w:sz w:val="22"/>
          <w:szCs w:val="22"/>
        </w:rPr>
        <w:t>Measures</w:t>
      </w:r>
    </w:p>
    <w:p w14:paraId="4C4CCA02" w14:textId="77777777" w:rsidR="00731D23" w:rsidRDefault="00731D23" w:rsidP="00075D52">
      <w:pPr>
        <w:spacing w:line="360" w:lineRule="auto"/>
        <w:jc w:val="both"/>
        <w:rPr>
          <w:rFonts w:asciiTheme="majorHAnsi" w:hAnsiTheme="majorHAnsi"/>
          <w:sz w:val="22"/>
          <w:szCs w:val="22"/>
        </w:rPr>
      </w:pPr>
    </w:p>
    <w:p w14:paraId="38EE7F0D" w14:textId="77777777" w:rsidR="00731D23" w:rsidRPr="00075D52" w:rsidRDefault="00731D23" w:rsidP="00731D23">
      <w:pPr>
        <w:spacing w:line="360" w:lineRule="auto"/>
        <w:jc w:val="both"/>
        <w:rPr>
          <w:rFonts w:asciiTheme="majorHAnsi" w:hAnsiTheme="majorHAnsi"/>
          <w:sz w:val="22"/>
          <w:szCs w:val="22"/>
        </w:rPr>
      </w:pPr>
      <w:r w:rsidRPr="00075D52">
        <w:rPr>
          <w:rFonts w:asciiTheme="majorHAnsi" w:hAnsiTheme="majorHAnsi"/>
          <w:sz w:val="22"/>
          <w:szCs w:val="22"/>
        </w:rPr>
        <w:t>Distress thermometer (DT)</w:t>
      </w:r>
    </w:p>
    <w:p w14:paraId="308CE4C6" w14:textId="77777777" w:rsidR="00731D23" w:rsidRDefault="00731D23" w:rsidP="00731D23">
      <w:pPr>
        <w:widowControl w:val="0"/>
        <w:autoSpaceDE w:val="0"/>
        <w:autoSpaceDN w:val="0"/>
        <w:adjustRightInd w:val="0"/>
        <w:spacing w:line="360" w:lineRule="auto"/>
        <w:jc w:val="both"/>
        <w:rPr>
          <w:rFonts w:asciiTheme="majorHAnsi" w:hAnsiTheme="majorHAnsi"/>
          <w:sz w:val="22"/>
          <w:szCs w:val="22"/>
        </w:rPr>
      </w:pPr>
    </w:p>
    <w:p w14:paraId="28314B9C" w14:textId="389BE96A" w:rsidR="00731D23" w:rsidRPr="00636FC3" w:rsidRDefault="00731D23" w:rsidP="00636FC3">
      <w:pPr>
        <w:widowControl w:val="0"/>
        <w:autoSpaceDE w:val="0"/>
        <w:autoSpaceDN w:val="0"/>
        <w:adjustRightInd w:val="0"/>
        <w:spacing w:line="360" w:lineRule="auto"/>
        <w:jc w:val="both"/>
        <w:rPr>
          <w:rFonts w:asciiTheme="majorHAnsi" w:hAnsiTheme="majorHAnsi" w:cs="Times New Roman"/>
          <w:sz w:val="22"/>
          <w:szCs w:val="22"/>
          <w:lang w:eastAsia="en-GB"/>
        </w:rPr>
      </w:pPr>
      <w:r w:rsidRPr="00075D52">
        <w:rPr>
          <w:rFonts w:asciiTheme="majorHAnsi" w:hAnsiTheme="majorHAnsi"/>
          <w:sz w:val="22"/>
          <w:szCs w:val="22"/>
        </w:rPr>
        <w:t>The DT is a</w:t>
      </w:r>
      <w:r w:rsidRPr="00075D52">
        <w:rPr>
          <w:rFonts w:asciiTheme="majorHAnsi" w:hAnsiTheme="majorHAnsi" w:cs="Times New Roman"/>
          <w:sz w:val="22"/>
          <w:szCs w:val="22"/>
          <w:lang w:eastAsia="en-GB"/>
        </w:rPr>
        <w:t xml:space="preserve"> single item self-report measure of distress. This instrument is scaled from 0 (no distress) to 10 (severe distress) in a thermometer layout to rate the level of distress </w:t>
      </w:r>
      <w:r w:rsidRPr="00636FC3">
        <w:rPr>
          <w:rFonts w:asciiTheme="majorHAnsi" w:hAnsiTheme="majorHAnsi" w:cs="Times New Roman"/>
          <w:sz w:val="22"/>
          <w:szCs w:val="22"/>
          <w:lang w:eastAsia="en-GB"/>
        </w:rPr>
        <w:t xml:space="preserve">experienced.  A DT </w:t>
      </w:r>
      <w:r w:rsidR="00C327F9" w:rsidRPr="00636FC3">
        <w:rPr>
          <w:rFonts w:asciiTheme="majorHAnsi" w:hAnsiTheme="majorHAnsi" w:cs="Times New Roman"/>
          <w:sz w:val="22"/>
          <w:szCs w:val="22"/>
          <w:lang w:eastAsia="en-GB"/>
        </w:rPr>
        <w:t xml:space="preserve">cut-off </w:t>
      </w:r>
      <w:r w:rsidRPr="00636FC3">
        <w:rPr>
          <w:rFonts w:asciiTheme="majorHAnsi" w:hAnsiTheme="majorHAnsi" w:cs="Times New Roman"/>
          <w:sz w:val="22"/>
          <w:szCs w:val="22"/>
          <w:lang w:eastAsia="en-GB"/>
        </w:rPr>
        <w:t xml:space="preserve">score </w:t>
      </w:r>
      <w:r w:rsidRPr="00636FC3">
        <w:rPr>
          <w:rFonts w:asciiTheme="majorHAnsi" w:hAnsiTheme="majorHAnsi"/>
          <w:sz w:val="22"/>
          <w:szCs w:val="22"/>
        </w:rPr>
        <w:t xml:space="preserve">of </w:t>
      </w:r>
      <w:r w:rsidRPr="00636FC3">
        <w:rPr>
          <w:rFonts w:asciiTheme="majorHAnsi" w:hAnsiTheme="majorHAnsi"/>
          <w:sz w:val="22"/>
          <w:szCs w:val="22"/>
          <w:lang w:val="en-GB"/>
        </w:rPr>
        <w:t xml:space="preserve">≥4 </w:t>
      </w:r>
      <w:r w:rsidR="00636FC3">
        <w:rPr>
          <w:rFonts w:asciiTheme="majorHAnsi" w:hAnsiTheme="majorHAnsi" w:cs="Times New Roman"/>
          <w:sz w:val="22"/>
          <w:szCs w:val="22"/>
          <w:lang w:eastAsia="en-GB"/>
        </w:rPr>
        <w:t xml:space="preserve">correlates </w:t>
      </w:r>
      <w:r w:rsidR="00636FC3" w:rsidRPr="00636FC3">
        <w:rPr>
          <w:rFonts w:asciiTheme="majorHAnsi" w:hAnsiTheme="majorHAnsi" w:cs="Times New Roman"/>
          <w:sz w:val="22"/>
          <w:szCs w:val="22"/>
          <w:lang w:eastAsia="en-GB"/>
        </w:rPr>
        <w:t xml:space="preserve">with optimal sensitivity and specificity to </w:t>
      </w:r>
      <w:r w:rsidRPr="00636FC3">
        <w:rPr>
          <w:rFonts w:asciiTheme="majorHAnsi" w:hAnsiTheme="majorHAnsi" w:cs="Times New Roman"/>
          <w:sz w:val="22"/>
          <w:szCs w:val="22"/>
          <w:lang w:eastAsia="en-GB"/>
        </w:rPr>
        <w:t xml:space="preserve">the HADS in various cross cultural studies </w:t>
      </w:r>
      <w:r w:rsidR="00045083" w:rsidRPr="00DF0C7C">
        <w:rPr>
          <w:rFonts w:asciiTheme="majorHAnsi" w:hAnsiTheme="majorHAnsi" w:cs="Times New Roman"/>
          <w:sz w:val="22"/>
          <w:szCs w:val="22"/>
          <w:vertAlign w:val="superscript"/>
          <w:lang w:eastAsia="en-GB"/>
        </w:rPr>
        <w:t>14-16</w:t>
      </w:r>
      <w:r w:rsidR="00636FC3" w:rsidRPr="00636FC3">
        <w:rPr>
          <w:rFonts w:asciiTheme="majorHAnsi" w:hAnsiTheme="majorHAnsi" w:cs="Times New Roman"/>
          <w:sz w:val="22"/>
          <w:szCs w:val="22"/>
          <w:lang w:eastAsia="en-GB"/>
        </w:rPr>
        <w:t xml:space="preserve">, and </w:t>
      </w:r>
      <w:r w:rsidR="00636FC3">
        <w:rPr>
          <w:rFonts w:asciiTheme="majorHAnsi" w:hAnsiTheme="majorHAnsi" w:cs="Times New Roman"/>
          <w:sz w:val="22"/>
          <w:szCs w:val="22"/>
          <w:lang w:eastAsia="en-GB"/>
        </w:rPr>
        <w:t>is</w:t>
      </w:r>
      <w:r w:rsidR="00636FC3" w:rsidRPr="00636FC3">
        <w:rPr>
          <w:rFonts w:asciiTheme="majorHAnsi" w:hAnsiTheme="majorHAnsi" w:cs="Times New Roman"/>
          <w:sz w:val="22"/>
          <w:szCs w:val="22"/>
          <w:lang w:eastAsia="en-GB"/>
        </w:rPr>
        <w:t xml:space="preserve"> effective in identifying significant anxiety and mood problems with</w:t>
      </w:r>
      <w:r w:rsidR="00636FC3">
        <w:rPr>
          <w:rFonts w:asciiTheme="majorHAnsi" w:hAnsiTheme="majorHAnsi" w:cs="Times New Roman"/>
          <w:sz w:val="22"/>
          <w:szCs w:val="22"/>
          <w:lang w:eastAsia="en-GB"/>
        </w:rPr>
        <w:t xml:space="preserve"> good </w:t>
      </w:r>
      <w:r w:rsidR="00636FC3" w:rsidRPr="00075D52">
        <w:rPr>
          <w:rFonts w:asciiTheme="majorHAnsi" w:hAnsiTheme="majorHAnsi" w:cs="Times New Roman"/>
          <w:sz w:val="22"/>
          <w:szCs w:val="22"/>
          <w:lang w:eastAsia="en-GB"/>
        </w:rPr>
        <w:t xml:space="preserve">sensitivity and specificity to the </w:t>
      </w:r>
      <w:r w:rsidR="00636FC3">
        <w:rPr>
          <w:rFonts w:asciiTheme="majorHAnsi" w:hAnsiTheme="majorHAnsi" w:cs="Times New Roman"/>
          <w:sz w:val="22"/>
          <w:szCs w:val="22"/>
          <w:lang w:eastAsia="en-GB"/>
        </w:rPr>
        <w:t xml:space="preserve">UWQOL in </w:t>
      </w:r>
      <w:r w:rsidR="00636FC3" w:rsidRPr="00E85202">
        <w:rPr>
          <w:rFonts w:asciiTheme="majorHAnsi" w:hAnsiTheme="majorHAnsi" w:cs="Times New Roman"/>
          <w:sz w:val="22"/>
          <w:szCs w:val="22"/>
          <w:lang w:eastAsia="en-GB"/>
        </w:rPr>
        <w:t xml:space="preserve">HNC </w:t>
      </w:r>
      <w:r w:rsidR="00045083" w:rsidRPr="00DF0C7C">
        <w:rPr>
          <w:rFonts w:asciiTheme="majorHAnsi" w:hAnsiTheme="majorHAnsi" w:cs="Times New Roman"/>
          <w:sz w:val="22"/>
          <w:szCs w:val="22"/>
          <w:vertAlign w:val="superscript"/>
          <w:lang w:eastAsia="en-GB"/>
        </w:rPr>
        <w:t>18</w:t>
      </w:r>
      <w:r w:rsidR="00636FC3" w:rsidRPr="00E85202">
        <w:rPr>
          <w:rFonts w:asciiTheme="majorHAnsi" w:hAnsiTheme="majorHAnsi" w:cs="Times New Roman"/>
          <w:sz w:val="22"/>
          <w:szCs w:val="22"/>
          <w:lang w:eastAsia="en-GB"/>
        </w:rPr>
        <w:t>.</w:t>
      </w:r>
      <w:r w:rsidR="00636FC3">
        <w:rPr>
          <w:rFonts w:asciiTheme="majorHAnsi" w:hAnsiTheme="majorHAnsi" w:cs="Times New Roman"/>
          <w:sz w:val="22"/>
          <w:szCs w:val="22"/>
          <w:lang w:eastAsia="en-GB"/>
        </w:rPr>
        <w:t xml:space="preserve"> </w:t>
      </w:r>
    </w:p>
    <w:p w14:paraId="062E64AF" w14:textId="77777777" w:rsidR="00FC3A70" w:rsidRDefault="00FC3A70" w:rsidP="00075D52">
      <w:pPr>
        <w:spacing w:line="360" w:lineRule="auto"/>
        <w:jc w:val="both"/>
        <w:rPr>
          <w:rFonts w:asciiTheme="majorHAnsi" w:hAnsiTheme="majorHAnsi"/>
          <w:sz w:val="22"/>
          <w:szCs w:val="22"/>
        </w:rPr>
      </w:pPr>
    </w:p>
    <w:p w14:paraId="3CD94C37" w14:textId="77777777" w:rsidR="00C367C7" w:rsidRPr="00075D52" w:rsidRDefault="00C367C7" w:rsidP="00075D52">
      <w:pPr>
        <w:spacing w:line="360" w:lineRule="auto"/>
        <w:jc w:val="both"/>
        <w:rPr>
          <w:rFonts w:asciiTheme="majorHAnsi" w:hAnsiTheme="majorHAnsi"/>
          <w:sz w:val="22"/>
          <w:szCs w:val="22"/>
        </w:rPr>
      </w:pPr>
      <w:r w:rsidRPr="00075D52">
        <w:rPr>
          <w:rFonts w:asciiTheme="majorHAnsi" w:hAnsiTheme="majorHAnsi"/>
          <w:sz w:val="22"/>
          <w:szCs w:val="22"/>
        </w:rPr>
        <w:t>Patient Concerns Inventory (PCI)</w:t>
      </w:r>
    </w:p>
    <w:p w14:paraId="774DAE1F" w14:textId="77777777" w:rsidR="00731D23" w:rsidRDefault="00731D23" w:rsidP="00075D52">
      <w:pPr>
        <w:spacing w:line="360" w:lineRule="auto"/>
        <w:jc w:val="both"/>
        <w:rPr>
          <w:rFonts w:asciiTheme="majorHAnsi" w:hAnsiTheme="majorHAnsi"/>
          <w:sz w:val="22"/>
          <w:szCs w:val="22"/>
        </w:rPr>
      </w:pPr>
    </w:p>
    <w:p w14:paraId="7A1DDAC9" w14:textId="35BA9229" w:rsidR="00C367C7" w:rsidRPr="003F437A" w:rsidRDefault="00BF3007" w:rsidP="00075D52">
      <w:pPr>
        <w:spacing w:line="360" w:lineRule="auto"/>
        <w:jc w:val="both"/>
        <w:rPr>
          <w:rFonts w:asciiTheme="majorHAnsi" w:hAnsiTheme="majorHAnsi"/>
          <w:sz w:val="22"/>
          <w:szCs w:val="22"/>
        </w:rPr>
      </w:pPr>
      <w:r w:rsidRPr="00075D52">
        <w:rPr>
          <w:rFonts w:asciiTheme="majorHAnsi" w:hAnsiTheme="majorHAnsi"/>
          <w:sz w:val="22"/>
          <w:szCs w:val="22"/>
        </w:rPr>
        <w:t>The PCI</w:t>
      </w:r>
      <w:r w:rsidR="0078711F" w:rsidRPr="00075D52">
        <w:rPr>
          <w:rFonts w:asciiTheme="majorHAnsi" w:hAnsiTheme="majorHAnsi"/>
          <w:sz w:val="22"/>
          <w:szCs w:val="22"/>
        </w:rPr>
        <w:t xml:space="preserve"> is a </w:t>
      </w:r>
      <w:r w:rsidR="00A1779E" w:rsidRPr="00075D52">
        <w:rPr>
          <w:rFonts w:asciiTheme="majorHAnsi" w:hAnsiTheme="majorHAnsi"/>
          <w:sz w:val="22"/>
          <w:szCs w:val="22"/>
        </w:rPr>
        <w:t xml:space="preserve">checklist comprising </w:t>
      </w:r>
      <w:r w:rsidR="0078711F" w:rsidRPr="00075D52">
        <w:rPr>
          <w:rFonts w:asciiTheme="majorHAnsi" w:hAnsiTheme="majorHAnsi"/>
          <w:sz w:val="22"/>
          <w:szCs w:val="22"/>
        </w:rPr>
        <w:t>57</w:t>
      </w:r>
      <w:r w:rsidR="002A6867">
        <w:rPr>
          <w:rFonts w:asciiTheme="majorHAnsi" w:hAnsiTheme="majorHAnsi"/>
          <w:sz w:val="22"/>
          <w:szCs w:val="22"/>
        </w:rPr>
        <w:t xml:space="preserve"> </w:t>
      </w:r>
      <w:r w:rsidR="0078711F" w:rsidRPr="00075D52">
        <w:rPr>
          <w:rFonts w:asciiTheme="majorHAnsi" w:hAnsiTheme="majorHAnsi"/>
          <w:sz w:val="22"/>
          <w:szCs w:val="22"/>
        </w:rPr>
        <w:t>item</w:t>
      </w:r>
      <w:r w:rsidR="00AD365C" w:rsidRPr="00075D52">
        <w:rPr>
          <w:rFonts w:asciiTheme="majorHAnsi" w:hAnsiTheme="majorHAnsi"/>
          <w:sz w:val="22"/>
          <w:szCs w:val="22"/>
        </w:rPr>
        <w:t>s</w:t>
      </w:r>
      <w:r w:rsidR="0078711F" w:rsidRPr="00075D52">
        <w:rPr>
          <w:rFonts w:asciiTheme="majorHAnsi" w:hAnsiTheme="majorHAnsi"/>
          <w:sz w:val="22"/>
          <w:szCs w:val="22"/>
        </w:rPr>
        <w:t xml:space="preserve"> </w:t>
      </w:r>
      <w:r w:rsidR="00C367C7" w:rsidRPr="00075D52">
        <w:rPr>
          <w:rFonts w:asciiTheme="majorHAnsi" w:hAnsiTheme="majorHAnsi"/>
          <w:sz w:val="22"/>
          <w:szCs w:val="22"/>
        </w:rPr>
        <w:t xml:space="preserve">of </w:t>
      </w:r>
      <w:r w:rsidR="0078711F" w:rsidRPr="00075D52">
        <w:rPr>
          <w:rFonts w:asciiTheme="majorHAnsi" w:hAnsiTheme="majorHAnsi"/>
          <w:sz w:val="22"/>
          <w:szCs w:val="22"/>
        </w:rPr>
        <w:t xml:space="preserve">patient </w:t>
      </w:r>
      <w:r w:rsidRPr="00075D52">
        <w:rPr>
          <w:rFonts w:asciiTheme="majorHAnsi" w:hAnsiTheme="majorHAnsi"/>
          <w:sz w:val="22"/>
          <w:szCs w:val="22"/>
        </w:rPr>
        <w:t>concern and 18</w:t>
      </w:r>
      <w:r w:rsidR="002A6867">
        <w:rPr>
          <w:rFonts w:asciiTheme="majorHAnsi" w:hAnsiTheme="majorHAnsi"/>
          <w:sz w:val="22"/>
          <w:szCs w:val="22"/>
        </w:rPr>
        <w:t xml:space="preserve"> </w:t>
      </w:r>
      <w:r w:rsidRPr="00075D52">
        <w:rPr>
          <w:rFonts w:asciiTheme="majorHAnsi" w:hAnsiTheme="majorHAnsi"/>
          <w:sz w:val="22"/>
          <w:szCs w:val="22"/>
        </w:rPr>
        <w:t>professional</w:t>
      </w:r>
      <w:r w:rsidR="00AD365C" w:rsidRPr="00075D52">
        <w:rPr>
          <w:rFonts w:asciiTheme="majorHAnsi" w:hAnsiTheme="majorHAnsi"/>
          <w:sz w:val="22"/>
          <w:szCs w:val="22"/>
        </w:rPr>
        <w:t>s</w:t>
      </w:r>
      <w:r w:rsidRPr="00075D52">
        <w:rPr>
          <w:rFonts w:asciiTheme="majorHAnsi" w:hAnsiTheme="majorHAnsi"/>
          <w:sz w:val="22"/>
          <w:szCs w:val="22"/>
        </w:rPr>
        <w:t xml:space="preserve"> </w:t>
      </w:r>
      <w:r w:rsidR="00C367C7" w:rsidRPr="00075D52">
        <w:rPr>
          <w:rFonts w:asciiTheme="majorHAnsi" w:hAnsiTheme="majorHAnsi"/>
          <w:sz w:val="22"/>
          <w:szCs w:val="22"/>
        </w:rPr>
        <w:t xml:space="preserve">tiled </w:t>
      </w:r>
      <w:r w:rsidR="0056333C" w:rsidRPr="00075D52">
        <w:rPr>
          <w:rFonts w:asciiTheme="majorHAnsi" w:hAnsiTheme="majorHAnsi"/>
          <w:sz w:val="22"/>
          <w:szCs w:val="22"/>
        </w:rPr>
        <w:t xml:space="preserve">alphabetically </w:t>
      </w:r>
      <w:r w:rsidR="00045083" w:rsidRPr="00DF0C7C">
        <w:rPr>
          <w:rFonts w:asciiTheme="majorHAnsi" w:hAnsiTheme="majorHAnsi"/>
          <w:sz w:val="22"/>
          <w:szCs w:val="22"/>
          <w:vertAlign w:val="superscript"/>
        </w:rPr>
        <w:t>19</w:t>
      </w:r>
      <w:r w:rsidR="00C367C7" w:rsidRPr="00075D52">
        <w:rPr>
          <w:rFonts w:asciiTheme="majorHAnsi" w:hAnsiTheme="majorHAnsi"/>
          <w:sz w:val="22"/>
          <w:szCs w:val="22"/>
        </w:rPr>
        <w:t xml:space="preserve">. </w:t>
      </w:r>
      <w:r w:rsidR="00C2083B" w:rsidRPr="00075D52">
        <w:rPr>
          <w:rFonts w:asciiTheme="majorHAnsi" w:hAnsiTheme="majorHAnsi"/>
          <w:sz w:val="22"/>
          <w:szCs w:val="22"/>
        </w:rPr>
        <w:t>These items have been grouped into 5 domains: (A) Physical and Functional well-bein</w:t>
      </w:r>
      <w:r w:rsidR="00C2083B" w:rsidRPr="00FC2C08">
        <w:rPr>
          <w:rFonts w:asciiTheme="majorHAnsi" w:hAnsiTheme="majorHAnsi"/>
          <w:sz w:val="22"/>
          <w:szCs w:val="22"/>
        </w:rPr>
        <w:t>g</w:t>
      </w:r>
      <w:r w:rsidR="003E175F" w:rsidRPr="00FC2C08">
        <w:rPr>
          <w:rFonts w:asciiTheme="majorHAnsi" w:hAnsiTheme="majorHAnsi"/>
          <w:sz w:val="22"/>
          <w:szCs w:val="22"/>
        </w:rPr>
        <w:t xml:space="preserve"> (</w:t>
      </w:r>
      <w:r w:rsidR="00FC2C08" w:rsidRPr="00FC2C08">
        <w:rPr>
          <w:rFonts w:asciiTheme="majorHAnsi" w:hAnsiTheme="majorHAnsi"/>
          <w:sz w:val="22"/>
          <w:szCs w:val="22"/>
        </w:rPr>
        <w:t>29</w:t>
      </w:r>
      <w:r w:rsidR="003E175F" w:rsidRPr="00FC2C08">
        <w:rPr>
          <w:rFonts w:asciiTheme="majorHAnsi" w:hAnsiTheme="majorHAnsi"/>
          <w:sz w:val="22"/>
          <w:szCs w:val="22"/>
        </w:rPr>
        <w:t xml:space="preserve"> items)</w:t>
      </w:r>
      <w:r w:rsidR="00C2083B" w:rsidRPr="00FC2C08">
        <w:rPr>
          <w:rFonts w:asciiTheme="majorHAnsi" w:hAnsiTheme="majorHAnsi"/>
          <w:sz w:val="22"/>
          <w:szCs w:val="22"/>
        </w:rPr>
        <w:t>; (B) Psychological and Emotional well-being/Spiritual</w:t>
      </w:r>
      <w:r w:rsidR="003E175F" w:rsidRPr="00FC2C08">
        <w:rPr>
          <w:rFonts w:asciiTheme="majorHAnsi" w:hAnsiTheme="majorHAnsi"/>
          <w:sz w:val="22"/>
          <w:szCs w:val="22"/>
        </w:rPr>
        <w:t xml:space="preserve"> (</w:t>
      </w:r>
      <w:r w:rsidR="00FC2C08" w:rsidRPr="00FC2C08">
        <w:rPr>
          <w:rFonts w:asciiTheme="majorHAnsi" w:hAnsiTheme="majorHAnsi"/>
          <w:sz w:val="22"/>
          <w:szCs w:val="22"/>
        </w:rPr>
        <w:t xml:space="preserve">14 </w:t>
      </w:r>
      <w:r w:rsidR="003E175F" w:rsidRPr="00FC2C08">
        <w:rPr>
          <w:rFonts w:asciiTheme="majorHAnsi" w:hAnsiTheme="majorHAnsi"/>
          <w:sz w:val="22"/>
          <w:szCs w:val="22"/>
        </w:rPr>
        <w:t>items)</w:t>
      </w:r>
      <w:r w:rsidR="00C2083B" w:rsidRPr="00FC2C08">
        <w:rPr>
          <w:rFonts w:asciiTheme="majorHAnsi" w:hAnsiTheme="majorHAnsi"/>
          <w:sz w:val="22"/>
          <w:szCs w:val="22"/>
        </w:rPr>
        <w:t>; (C) Social care/Social well-being</w:t>
      </w:r>
      <w:r w:rsidR="003E175F" w:rsidRPr="00FC2C08">
        <w:rPr>
          <w:rFonts w:asciiTheme="majorHAnsi" w:hAnsiTheme="majorHAnsi"/>
          <w:sz w:val="22"/>
          <w:szCs w:val="22"/>
        </w:rPr>
        <w:t xml:space="preserve"> (</w:t>
      </w:r>
      <w:r w:rsidR="00FC2C08" w:rsidRPr="00FC2C08">
        <w:rPr>
          <w:rFonts w:asciiTheme="majorHAnsi" w:hAnsiTheme="majorHAnsi"/>
          <w:sz w:val="22"/>
          <w:szCs w:val="22"/>
        </w:rPr>
        <w:t>9</w:t>
      </w:r>
      <w:r w:rsidR="003E175F" w:rsidRPr="00FC2C08">
        <w:rPr>
          <w:rFonts w:asciiTheme="majorHAnsi" w:hAnsiTheme="majorHAnsi"/>
          <w:sz w:val="22"/>
          <w:szCs w:val="22"/>
        </w:rPr>
        <w:t xml:space="preserve"> items)</w:t>
      </w:r>
      <w:r w:rsidR="00C2083B" w:rsidRPr="00FC2C08">
        <w:rPr>
          <w:rFonts w:asciiTheme="majorHAnsi" w:hAnsiTheme="majorHAnsi"/>
          <w:sz w:val="22"/>
          <w:szCs w:val="22"/>
        </w:rPr>
        <w:t xml:space="preserve">; (D) Treatment-related </w:t>
      </w:r>
      <w:r w:rsidR="003E175F" w:rsidRPr="00FC2C08">
        <w:rPr>
          <w:rFonts w:asciiTheme="majorHAnsi" w:hAnsiTheme="majorHAnsi"/>
          <w:sz w:val="22"/>
          <w:szCs w:val="22"/>
        </w:rPr>
        <w:t xml:space="preserve"> (</w:t>
      </w:r>
      <w:r w:rsidR="00FC2C08" w:rsidRPr="00FC2C08">
        <w:rPr>
          <w:rFonts w:asciiTheme="majorHAnsi" w:hAnsiTheme="majorHAnsi"/>
          <w:sz w:val="22"/>
          <w:szCs w:val="22"/>
        </w:rPr>
        <w:t>4</w:t>
      </w:r>
      <w:r w:rsidR="003E175F" w:rsidRPr="00FC2C08">
        <w:rPr>
          <w:rFonts w:asciiTheme="majorHAnsi" w:hAnsiTheme="majorHAnsi"/>
          <w:sz w:val="22"/>
          <w:szCs w:val="22"/>
        </w:rPr>
        <w:t xml:space="preserve"> items) </w:t>
      </w:r>
      <w:r w:rsidR="00C2083B" w:rsidRPr="00FC2C08">
        <w:rPr>
          <w:rFonts w:asciiTheme="majorHAnsi" w:hAnsiTheme="majorHAnsi"/>
          <w:sz w:val="22"/>
          <w:szCs w:val="22"/>
        </w:rPr>
        <w:t>and (E) Other</w:t>
      </w:r>
      <w:r w:rsidR="003E175F" w:rsidRPr="00FC2C08">
        <w:rPr>
          <w:rFonts w:asciiTheme="majorHAnsi" w:hAnsiTheme="majorHAnsi"/>
          <w:sz w:val="22"/>
          <w:szCs w:val="22"/>
        </w:rPr>
        <w:t xml:space="preserve"> (</w:t>
      </w:r>
      <w:r w:rsidR="00FC2C08" w:rsidRPr="00FC2C08">
        <w:rPr>
          <w:rFonts w:asciiTheme="majorHAnsi" w:hAnsiTheme="majorHAnsi"/>
          <w:sz w:val="22"/>
          <w:szCs w:val="22"/>
        </w:rPr>
        <w:t>1</w:t>
      </w:r>
      <w:r w:rsidR="003E175F" w:rsidRPr="00FC2C08">
        <w:rPr>
          <w:rFonts w:asciiTheme="majorHAnsi" w:hAnsiTheme="majorHAnsi"/>
          <w:sz w:val="22"/>
          <w:szCs w:val="22"/>
        </w:rPr>
        <w:t xml:space="preserve"> </w:t>
      </w:r>
      <w:r w:rsidR="003E175F" w:rsidRPr="00E85202">
        <w:rPr>
          <w:rFonts w:asciiTheme="majorHAnsi" w:hAnsiTheme="majorHAnsi"/>
          <w:sz w:val="22"/>
          <w:szCs w:val="22"/>
        </w:rPr>
        <w:t>items)</w:t>
      </w:r>
      <w:r w:rsidR="00FC2C08" w:rsidRPr="00DF0C7C">
        <w:rPr>
          <w:rFonts w:asciiTheme="majorHAnsi" w:hAnsiTheme="majorHAnsi"/>
          <w:sz w:val="22"/>
          <w:szCs w:val="22"/>
        </w:rPr>
        <w:t xml:space="preserve"> </w:t>
      </w:r>
      <w:r w:rsidR="00045083" w:rsidRPr="00DF0C7C">
        <w:rPr>
          <w:rFonts w:asciiTheme="majorHAnsi" w:hAnsiTheme="majorHAnsi"/>
          <w:sz w:val="22"/>
          <w:szCs w:val="22"/>
          <w:vertAlign w:val="superscript"/>
        </w:rPr>
        <w:t>20</w:t>
      </w:r>
      <w:r w:rsidR="00C2083B" w:rsidRPr="00DF0C7C">
        <w:rPr>
          <w:rFonts w:asciiTheme="majorHAnsi" w:hAnsiTheme="majorHAnsi"/>
          <w:sz w:val="22"/>
          <w:szCs w:val="22"/>
        </w:rPr>
        <w:t xml:space="preserve">. </w:t>
      </w:r>
      <w:r w:rsidR="00C367C7" w:rsidRPr="00DF0C7C">
        <w:rPr>
          <w:rFonts w:asciiTheme="majorHAnsi" w:hAnsiTheme="majorHAnsi"/>
          <w:sz w:val="22"/>
          <w:szCs w:val="22"/>
        </w:rPr>
        <w:t>The PCI asks r</w:t>
      </w:r>
      <w:r w:rsidR="00357B08" w:rsidRPr="00DF0C7C">
        <w:rPr>
          <w:rFonts w:asciiTheme="majorHAnsi" w:hAnsiTheme="majorHAnsi"/>
          <w:sz w:val="22"/>
          <w:szCs w:val="22"/>
        </w:rPr>
        <w:t xml:space="preserve">espondents to indicate items from the checklist </w:t>
      </w:r>
      <w:r w:rsidR="00C367C7" w:rsidRPr="00DF0C7C">
        <w:rPr>
          <w:rFonts w:asciiTheme="majorHAnsi" w:hAnsiTheme="majorHAnsi"/>
          <w:sz w:val="22"/>
          <w:szCs w:val="22"/>
        </w:rPr>
        <w:t>they were concerned about and wanted to discus</w:t>
      </w:r>
      <w:r w:rsidR="00C367C7" w:rsidRPr="00C02D2C">
        <w:rPr>
          <w:rFonts w:asciiTheme="majorHAnsi" w:hAnsiTheme="majorHAnsi"/>
          <w:sz w:val="22"/>
          <w:szCs w:val="22"/>
        </w:rPr>
        <w:t>s with the doctor during their consultation.</w:t>
      </w:r>
      <w:r w:rsidR="00E5315D" w:rsidRPr="003F437A">
        <w:rPr>
          <w:rFonts w:asciiTheme="majorHAnsi" w:hAnsiTheme="majorHAnsi"/>
          <w:sz w:val="22"/>
          <w:szCs w:val="22"/>
        </w:rPr>
        <w:t xml:space="preserve"> P</w:t>
      </w:r>
      <w:r w:rsidR="00357B08" w:rsidRPr="003F437A">
        <w:rPr>
          <w:rFonts w:asciiTheme="majorHAnsi" w:hAnsiTheme="majorHAnsi"/>
          <w:sz w:val="22"/>
          <w:szCs w:val="22"/>
        </w:rPr>
        <w:t xml:space="preserve">atients were </w:t>
      </w:r>
      <w:r w:rsidR="00E5315D" w:rsidRPr="003F437A">
        <w:rPr>
          <w:rFonts w:asciiTheme="majorHAnsi" w:hAnsiTheme="majorHAnsi"/>
          <w:sz w:val="22"/>
          <w:szCs w:val="22"/>
        </w:rPr>
        <w:t xml:space="preserve">also </w:t>
      </w:r>
      <w:r w:rsidR="00357B08" w:rsidRPr="003F437A">
        <w:rPr>
          <w:rFonts w:asciiTheme="majorHAnsi" w:hAnsiTheme="majorHAnsi"/>
          <w:sz w:val="22"/>
          <w:szCs w:val="22"/>
        </w:rPr>
        <w:t>asked to indicate professional</w:t>
      </w:r>
      <w:r w:rsidR="00AD365C" w:rsidRPr="003F437A">
        <w:rPr>
          <w:rFonts w:asciiTheme="majorHAnsi" w:hAnsiTheme="majorHAnsi"/>
          <w:sz w:val="22"/>
          <w:szCs w:val="22"/>
        </w:rPr>
        <w:t>s</w:t>
      </w:r>
      <w:r w:rsidR="00357B08" w:rsidRPr="003F437A">
        <w:rPr>
          <w:rFonts w:asciiTheme="majorHAnsi" w:hAnsiTheme="majorHAnsi"/>
          <w:sz w:val="22"/>
          <w:szCs w:val="22"/>
        </w:rPr>
        <w:t xml:space="preserve"> from the checklist they would like to speak or be referred to. </w:t>
      </w:r>
    </w:p>
    <w:p w14:paraId="665F5737" w14:textId="77777777" w:rsidR="008816FF" w:rsidRPr="003F437A" w:rsidRDefault="008816FF" w:rsidP="00075D52">
      <w:pPr>
        <w:spacing w:line="360" w:lineRule="auto"/>
        <w:jc w:val="both"/>
        <w:rPr>
          <w:rFonts w:asciiTheme="majorHAnsi" w:hAnsiTheme="majorHAnsi"/>
          <w:sz w:val="22"/>
          <w:szCs w:val="22"/>
        </w:rPr>
      </w:pPr>
    </w:p>
    <w:p w14:paraId="648EE6D2" w14:textId="77777777" w:rsidR="002E2CDA" w:rsidRDefault="002E2CDA" w:rsidP="00731D23">
      <w:pPr>
        <w:spacing w:line="360" w:lineRule="auto"/>
        <w:jc w:val="both"/>
        <w:rPr>
          <w:rFonts w:asciiTheme="majorHAnsi" w:hAnsiTheme="majorHAnsi"/>
          <w:i/>
          <w:sz w:val="22"/>
          <w:szCs w:val="22"/>
        </w:rPr>
      </w:pPr>
    </w:p>
    <w:p w14:paraId="5939F3D6" w14:textId="77777777" w:rsidR="00731D23" w:rsidRDefault="00731D23" w:rsidP="00731D23">
      <w:pPr>
        <w:spacing w:line="360" w:lineRule="auto"/>
        <w:jc w:val="both"/>
        <w:rPr>
          <w:rFonts w:asciiTheme="majorHAnsi" w:hAnsiTheme="majorHAnsi"/>
          <w:i/>
          <w:sz w:val="22"/>
          <w:szCs w:val="22"/>
        </w:rPr>
      </w:pPr>
      <w:r w:rsidRPr="00075D52">
        <w:rPr>
          <w:rFonts w:asciiTheme="majorHAnsi" w:hAnsiTheme="majorHAnsi"/>
          <w:i/>
          <w:sz w:val="22"/>
          <w:szCs w:val="22"/>
        </w:rPr>
        <w:t>Study design</w:t>
      </w:r>
    </w:p>
    <w:p w14:paraId="1F4C2D1D" w14:textId="77777777" w:rsidR="00731D23" w:rsidRPr="00075D52" w:rsidRDefault="00731D23" w:rsidP="00731D23">
      <w:pPr>
        <w:spacing w:line="360" w:lineRule="auto"/>
        <w:jc w:val="both"/>
        <w:rPr>
          <w:rFonts w:asciiTheme="majorHAnsi" w:hAnsiTheme="majorHAnsi"/>
          <w:i/>
          <w:sz w:val="22"/>
          <w:szCs w:val="22"/>
        </w:rPr>
      </w:pPr>
    </w:p>
    <w:p w14:paraId="486B793E" w14:textId="77777777" w:rsidR="00731D23" w:rsidRDefault="00764417" w:rsidP="00731D23">
      <w:pPr>
        <w:spacing w:line="360" w:lineRule="auto"/>
        <w:jc w:val="both"/>
        <w:rPr>
          <w:rFonts w:asciiTheme="majorHAnsi" w:hAnsiTheme="majorHAnsi"/>
          <w:sz w:val="22"/>
          <w:szCs w:val="22"/>
        </w:rPr>
      </w:pPr>
      <w:r>
        <w:rPr>
          <w:rFonts w:asciiTheme="majorHAnsi" w:hAnsiTheme="majorHAnsi"/>
          <w:sz w:val="22"/>
          <w:szCs w:val="22"/>
        </w:rPr>
        <w:t>This work is part of</w:t>
      </w:r>
      <w:r w:rsidR="006957E3">
        <w:rPr>
          <w:rFonts w:asciiTheme="majorHAnsi" w:hAnsiTheme="majorHAnsi"/>
          <w:sz w:val="22"/>
          <w:szCs w:val="22"/>
        </w:rPr>
        <w:t xml:space="preserve"> a wider prospective project</w:t>
      </w:r>
      <w:r w:rsidR="009C281B" w:rsidRPr="007E3659">
        <w:rPr>
          <w:rFonts w:asciiTheme="majorHAnsi" w:hAnsiTheme="majorHAnsi"/>
          <w:sz w:val="22"/>
          <w:szCs w:val="22"/>
        </w:rPr>
        <w:t xml:space="preserve"> evaluating the PCI intervention</w:t>
      </w:r>
      <w:r w:rsidR="00AA2EF8">
        <w:rPr>
          <w:rFonts w:asciiTheme="majorHAnsi" w:hAnsiTheme="majorHAnsi"/>
          <w:sz w:val="22"/>
          <w:szCs w:val="22"/>
        </w:rPr>
        <w:t xml:space="preserve"> </w:t>
      </w:r>
      <w:r w:rsidR="00731D23" w:rsidRPr="00075D52">
        <w:rPr>
          <w:rFonts w:asciiTheme="majorHAnsi" w:hAnsiTheme="majorHAnsi"/>
          <w:sz w:val="22"/>
          <w:szCs w:val="22"/>
        </w:rPr>
        <w:t>set up into three study blocks organised sequentially</w:t>
      </w:r>
      <w:r w:rsidR="00AA2EF8">
        <w:rPr>
          <w:rFonts w:asciiTheme="majorHAnsi" w:hAnsiTheme="majorHAnsi"/>
          <w:sz w:val="22"/>
          <w:szCs w:val="22"/>
        </w:rPr>
        <w:t xml:space="preserve">. In </w:t>
      </w:r>
      <w:r w:rsidR="00731D23" w:rsidRPr="00075D52">
        <w:rPr>
          <w:rFonts w:asciiTheme="majorHAnsi" w:hAnsiTheme="majorHAnsi"/>
          <w:sz w:val="22"/>
          <w:szCs w:val="22"/>
        </w:rPr>
        <w:t>Block 1</w:t>
      </w:r>
      <w:r>
        <w:rPr>
          <w:rFonts w:asciiTheme="majorHAnsi" w:hAnsiTheme="majorHAnsi"/>
          <w:sz w:val="22"/>
          <w:szCs w:val="22"/>
        </w:rPr>
        <w:t>,</w:t>
      </w:r>
      <w:r w:rsidR="00731D23" w:rsidRPr="00075D52">
        <w:rPr>
          <w:rFonts w:asciiTheme="majorHAnsi" w:hAnsiTheme="majorHAnsi"/>
          <w:sz w:val="22"/>
          <w:szCs w:val="22"/>
        </w:rPr>
        <w:t xml:space="preserve"> patients did not complete the PCI before their cons</w:t>
      </w:r>
      <w:r w:rsidR="00AA2EF8">
        <w:rPr>
          <w:rFonts w:asciiTheme="majorHAnsi" w:hAnsiTheme="majorHAnsi"/>
          <w:sz w:val="22"/>
          <w:szCs w:val="22"/>
        </w:rPr>
        <w:t>ultation</w:t>
      </w:r>
      <w:r w:rsidR="009F18BE">
        <w:rPr>
          <w:rFonts w:asciiTheme="majorHAnsi" w:hAnsiTheme="majorHAnsi"/>
          <w:sz w:val="22"/>
          <w:szCs w:val="22"/>
        </w:rPr>
        <w:t>, representing usual practice and the control group</w:t>
      </w:r>
      <w:r w:rsidR="00AA2EF8">
        <w:rPr>
          <w:rFonts w:asciiTheme="majorHAnsi" w:hAnsiTheme="majorHAnsi"/>
          <w:sz w:val="22"/>
          <w:szCs w:val="22"/>
        </w:rPr>
        <w:t xml:space="preserve">. </w:t>
      </w:r>
      <w:r w:rsidR="00731D23" w:rsidRPr="00075D52">
        <w:rPr>
          <w:rFonts w:asciiTheme="majorHAnsi" w:hAnsiTheme="majorHAnsi"/>
          <w:sz w:val="22"/>
          <w:szCs w:val="22"/>
        </w:rPr>
        <w:t xml:space="preserve"> In Block 2, patients completed the PCI at the pre-consultation stage but the PCI was withheld from clinicians during consultation</w:t>
      </w:r>
      <w:r w:rsidR="009F18BE">
        <w:rPr>
          <w:rFonts w:asciiTheme="majorHAnsi" w:hAnsiTheme="majorHAnsi"/>
          <w:sz w:val="22"/>
          <w:szCs w:val="22"/>
        </w:rPr>
        <w:t>, representing the ‘control in attention’ group</w:t>
      </w:r>
      <w:r w:rsidR="00AA2EF8">
        <w:rPr>
          <w:rFonts w:asciiTheme="majorHAnsi" w:hAnsiTheme="majorHAnsi"/>
          <w:sz w:val="22"/>
          <w:szCs w:val="22"/>
        </w:rPr>
        <w:t xml:space="preserve">. </w:t>
      </w:r>
      <w:r w:rsidR="00731D23" w:rsidRPr="00075D52">
        <w:rPr>
          <w:rFonts w:asciiTheme="majorHAnsi" w:hAnsiTheme="majorHAnsi"/>
          <w:sz w:val="22"/>
          <w:szCs w:val="22"/>
        </w:rPr>
        <w:t>In Block 3, patients complete</w:t>
      </w:r>
      <w:r w:rsidR="00AA2EF8">
        <w:rPr>
          <w:rFonts w:asciiTheme="majorHAnsi" w:hAnsiTheme="majorHAnsi"/>
          <w:sz w:val="22"/>
          <w:szCs w:val="22"/>
        </w:rPr>
        <w:t>d</w:t>
      </w:r>
      <w:r w:rsidR="00731D23" w:rsidRPr="00075D52">
        <w:rPr>
          <w:rFonts w:asciiTheme="majorHAnsi" w:hAnsiTheme="majorHAnsi"/>
          <w:sz w:val="22"/>
          <w:szCs w:val="22"/>
        </w:rPr>
        <w:t xml:space="preserve"> the PCI a</w:t>
      </w:r>
      <w:r w:rsidR="009F18BE">
        <w:rPr>
          <w:rFonts w:asciiTheme="majorHAnsi" w:hAnsiTheme="majorHAnsi"/>
          <w:sz w:val="22"/>
          <w:szCs w:val="22"/>
        </w:rPr>
        <w:t>t the pre-consultation stage,</w:t>
      </w:r>
      <w:r w:rsidR="00731D23" w:rsidRPr="00075D52">
        <w:rPr>
          <w:rFonts w:asciiTheme="majorHAnsi" w:hAnsiTheme="majorHAnsi"/>
          <w:sz w:val="22"/>
          <w:szCs w:val="22"/>
        </w:rPr>
        <w:t xml:space="preserve"> the completed PCI was passed on to the clinicians and was available for use during the consulta</w:t>
      </w:r>
      <w:r w:rsidR="00AA2EF8">
        <w:rPr>
          <w:rFonts w:asciiTheme="majorHAnsi" w:hAnsiTheme="majorHAnsi"/>
          <w:sz w:val="22"/>
          <w:szCs w:val="22"/>
        </w:rPr>
        <w:t>tion</w:t>
      </w:r>
      <w:r w:rsidR="009F18BE">
        <w:rPr>
          <w:rFonts w:asciiTheme="majorHAnsi" w:hAnsiTheme="majorHAnsi"/>
          <w:sz w:val="22"/>
          <w:szCs w:val="22"/>
        </w:rPr>
        <w:t xml:space="preserve">, representing the intervention group. </w:t>
      </w:r>
      <w:r w:rsidR="00731D23" w:rsidRPr="00075D52">
        <w:rPr>
          <w:rFonts w:asciiTheme="majorHAnsi" w:hAnsiTheme="majorHAnsi"/>
          <w:sz w:val="22"/>
          <w:szCs w:val="22"/>
        </w:rPr>
        <w:t xml:space="preserve"> </w:t>
      </w:r>
      <w:r w:rsidR="006957E3">
        <w:rPr>
          <w:rFonts w:asciiTheme="majorHAnsi" w:hAnsiTheme="majorHAnsi"/>
          <w:sz w:val="22"/>
          <w:szCs w:val="22"/>
        </w:rPr>
        <w:t>For th</w:t>
      </w:r>
      <w:r>
        <w:rPr>
          <w:rFonts w:asciiTheme="majorHAnsi" w:hAnsiTheme="majorHAnsi"/>
          <w:sz w:val="22"/>
          <w:szCs w:val="22"/>
        </w:rPr>
        <w:t>e purpose of th</w:t>
      </w:r>
      <w:r w:rsidR="006957E3">
        <w:rPr>
          <w:rFonts w:asciiTheme="majorHAnsi" w:hAnsiTheme="majorHAnsi"/>
          <w:sz w:val="22"/>
          <w:szCs w:val="22"/>
        </w:rPr>
        <w:t xml:space="preserve">is study </w:t>
      </w:r>
      <w:r>
        <w:rPr>
          <w:rFonts w:asciiTheme="majorHAnsi" w:hAnsiTheme="majorHAnsi"/>
          <w:sz w:val="22"/>
          <w:szCs w:val="22"/>
        </w:rPr>
        <w:t xml:space="preserve">only </w:t>
      </w:r>
      <w:r w:rsidR="006957E3">
        <w:rPr>
          <w:rFonts w:asciiTheme="majorHAnsi" w:hAnsiTheme="majorHAnsi"/>
          <w:sz w:val="22"/>
          <w:szCs w:val="22"/>
        </w:rPr>
        <w:t>patients from Blocks 2 and 3 were selected, a</w:t>
      </w:r>
      <w:r>
        <w:rPr>
          <w:rFonts w:asciiTheme="majorHAnsi" w:hAnsiTheme="majorHAnsi"/>
          <w:sz w:val="22"/>
          <w:szCs w:val="22"/>
        </w:rPr>
        <w:t xml:space="preserve">nd the PCI data acquired was derived from </w:t>
      </w:r>
      <w:r w:rsidR="006957E3">
        <w:rPr>
          <w:rFonts w:asciiTheme="majorHAnsi" w:hAnsiTheme="majorHAnsi"/>
          <w:sz w:val="22"/>
          <w:szCs w:val="22"/>
        </w:rPr>
        <w:t xml:space="preserve">the clinic they </w:t>
      </w:r>
      <w:r>
        <w:rPr>
          <w:rFonts w:asciiTheme="majorHAnsi" w:hAnsiTheme="majorHAnsi"/>
          <w:sz w:val="22"/>
          <w:szCs w:val="22"/>
        </w:rPr>
        <w:t>had first experienced using the</w:t>
      </w:r>
      <w:r w:rsidR="006957E3">
        <w:rPr>
          <w:rFonts w:asciiTheme="majorHAnsi" w:hAnsiTheme="majorHAnsi"/>
          <w:sz w:val="22"/>
          <w:szCs w:val="22"/>
        </w:rPr>
        <w:t xml:space="preserve"> PCI.</w:t>
      </w:r>
    </w:p>
    <w:p w14:paraId="5E1712D8" w14:textId="77777777" w:rsidR="00731D23" w:rsidRDefault="00731D23" w:rsidP="00731D23">
      <w:pPr>
        <w:spacing w:line="360" w:lineRule="auto"/>
        <w:jc w:val="both"/>
        <w:rPr>
          <w:rFonts w:asciiTheme="majorHAnsi" w:hAnsiTheme="majorHAnsi"/>
          <w:sz w:val="22"/>
          <w:szCs w:val="22"/>
        </w:rPr>
      </w:pPr>
    </w:p>
    <w:p w14:paraId="363AC1B6" w14:textId="50C123C8" w:rsidR="00731D23" w:rsidRPr="00731D23" w:rsidRDefault="00731D23" w:rsidP="00731D23">
      <w:pPr>
        <w:spacing w:line="360" w:lineRule="auto"/>
        <w:jc w:val="both"/>
        <w:rPr>
          <w:rFonts w:asciiTheme="majorHAnsi" w:hAnsiTheme="majorHAnsi"/>
          <w:sz w:val="22"/>
          <w:szCs w:val="22"/>
        </w:rPr>
      </w:pPr>
      <w:r w:rsidRPr="00075D52">
        <w:rPr>
          <w:rFonts w:asciiTheme="majorHAnsi" w:hAnsiTheme="majorHAnsi"/>
          <w:sz w:val="22"/>
          <w:szCs w:val="22"/>
        </w:rPr>
        <w:t xml:space="preserve">All recruited patients </w:t>
      </w:r>
      <w:r w:rsidR="00764417">
        <w:rPr>
          <w:rFonts w:asciiTheme="majorHAnsi" w:hAnsiTheme="majorHAnsi"/>
          <w:sz w:val="22"/>
          <w:szCs w:val="22"/>
        </w:rPr>
        <w:t xml:space="preserve">also </w:t>
      </w:r>
      <w:r w:rsidRPr="00075D52">
        <w:rPr>
          <w:rFonts w:asciiTheme="majorHAnsi" w:hAnsiTheme="majorHAnsi"/>
          <w:sz w:val="22"/>
          <w:szCs w:val="22"/>
        </w:rPr>
        <w:t xml:space="preserve">completed DT at pre-consultation. </w:t>
      </w:r>
      <w:r w:rsidR="00227128">
        <w:rPr>
          <w:rFonts w:asciiTheme="majorHAnsi" w:hAnsiTheme="majorHAnsi"/>
          <w:sz w:val="22"/>
          <w:szCs w:val="22"/>
        </w:rPr>
        <w:t>Q</w:t>
      </w:r>
      <w:r w:rsidRPr="00075D52">
        <w:rPr>
          <w:rFonts w:asciiTheme="majorHAnsi" w:hAnsiTheme="majorHAnsi"/>
          <w:sz w:val="22"/>
          <w:szCs w:val="22"/>
        </w:rPr>
        <w:t>uestionnaires were administered in a paper format. The length of consultation was determined from the start to the end of consult</w:t>
      </w:r>
      <w:r w:rsidR="0018512A">
        <w:rPr>
          <w:rFonts w:asciiTheme="majorHAnsi" w:hAnsiTheme="majorHAnsi"/>
          <w:sz w:val="22"/>
          <w:szCs w:val="22"/>
        </w:rPr>
        <w:t>ation, which was audio</w:t>
      </w:r>
      <w:r w:rsidR="004B3686">
        <w:rPr>
          <w:rFonts w:asciiTheme="majorHAnsi" w:hAnsiTheme="majorHAnsi"/>
          <w:sz w:val="22"/>
          <w:szCs w:val="22"/>
        </w:rPr>
        <w:t>-</w:t>
      </w:r>
      <w:r w:rsidR="0018512A">
        <w:rPr>
          <w:rFonts w:asciiTheme="majorHAnsi" w:hAnsiTheme="majorHAnsi"/>
          <w:sz w:val="22"/>
          <w:szCs w:val="22"/>
        </w:rPr>
        <w:t xml:space="preserve">recorded and </w:t>
      </w:r>
      <w:r w:rsidR="00514B1E">
        <w:rPr>
          <w:rFonts w:asciiTheme="majorHAnsi" w:hAnsiTheme="majorHAnsi"/>
          <w:sz w:val="22"/>
          <w:szCs w:val="22"/>
        </w:rPr>
        <w:t xml:space="preserve">subsequently </w:t>
      </w:r>
      <w:r>
        <w:rPr>
          <w:rFonts w:asciiTheme="majorHAnsi" w:hAnsiTheme="majorHAnsi"/>
          <w:sz w:val="22"/>
          <w:szCs w:val="22"/>
        </w:rPr>
        <w:t>transcribed</w:t>
      </w:r>
      <w:r w:rsidR="0018512A">
        <w:rPr>
          <w:rFonts w:asciiTheme="majorHAnsi" w:hAnsiTheme="majorHAnsi"/>
          <w:sz w:val="22"/>
          <w:szCs w:val="22"/>
        </w:rPr>
        <w:t xml:space="preserve">.  </w:t>
      </w:r>
      <w:r w:rsidR="00514B1E" w:rsidRPr="00E85202">
        <w:rPr>
          <w:rFonts w:asciiTheme="majorHAnsi" w:hAnsiTheme="majorHAnsi"/>
          <w:sz w:val="22"/>
          <w:szCs w:val="22"/>
        </w:rPr>
        <w:t xml:space="preserve">Thematic content </w:t>
      </w:r>
      <w:r w:rsidR="004B3686" w:rsidRPr="00DF0C7C">
        <w:rPr>
          <w:rFonts w:asciiTheme="majorHAnsi" w:hAnsiTheme="majorHAnsi"/>
          <w:sz w:val="22"/>
          <w:szCs w:val="22"/>
        </w:rPr>
        <w:t>analyse</w:t>
      </w:r>
      <w:r w:rsidRPr="00DF0C7C">
        <w:rPr>
          <w:rFonts w:asciiTheme="majorHAnsi" w:hAnsiTheme="majorHAnsi"/>
          <w:sz w:val="22"/>
          <w:szCs w:val="22"/>
        </w:rPr>
        <w:t xml:space="preserve">s </w:t>
      </w:r>
      <w:r w:rsidR="0018512A" w:rsidRPr="00DF0C7C">
        <w:rPr>
          <w:rFonts w:asciiTheme="majorHAnsi" w:hAnsiTheme="majorHAnsi"/>
          <w:sz w:val="22"/>
          <w:szCs w:val="22"/>
        </w:rPr>
        <w:t xml:space="preserve">of the </w:t>
      </w:r>
      <w:r w:rsidR="004B3686" w:rsidRPr="00DF0C7C">
        <w:rPr>
          <w:rFonts w:asciiTheme="majorHAnsi" w:hAnsiTheme="majorHAnsi"/>
          <w:sz w:val="22"/>
          <w:szCs w:val="22"/>
        </w:rPr>
        <w:t xml:space="preserve">audio-recorded </w:t>
      </w:r>
      <w:r w:rsidR="0018512A" w:rsidRPr="00DF0C7C">
        <w:rPr>
          <w:rFonts w:asciiTheme="majorHAnsi" w:hAnsiTheme="majorHAnsi"/>
          <w:sz w:val="22"/>
          <w:szCs w:val="22"/>
        </w:rPr>
        <w:t>transcription</w:t>
      </w:r>
      <w:r w:rsidR="004B3686" w:rsidRPr="00DF0C7C">
        <w:rPr>
          <w:rFonts w:asciiTheme="majorHAnsi" w:hAnsiTheme="majorHAnsi"/>
          <w:sz w:val="22"/>
          <w:szCs w:val="22"/>
        </w:rPr>
        <w:t>s were</w:t>
      </w:r>
      <w:r w:rsidR="0018512A" w:rsidRPr="00DF0C7C">
        <w:rPr>
          <w:rFonts w:asciiTheme="majorHAnsi" w:hAnsiTheme="majorHAnsi"/>
          <w:sz w:val="22"/>
          <w:szCs w:val="22"/>
        </w:rPr>
        <w:t xml:space="preserve"> carried out by two assessors</w:t>
      </w:r>
      <w:r w:rsidR="004B3686" w:rsidRPr="006B3CC7">
        <w:rPr>
          <w:rFonts w:asciiTheme="majorHAnsi" w:hAnsiTheme="majorHAnsi"/>
          <w:sz w:val="22"/>
          <w:szCs w:val="22"/>
        </w:rPr>
        <w:t xml:space="preserve"> (NG, BR)</w:t>
      </w:r>
      <w:r w:rsidR="0018512A" w:rsidRPr="00C02D2C">
        <w:rPr>
          <w:rFonts w:asciiTheme="majorHAnsi" w:hAnsiTheme="majorHAnsi"/>
          <w:sz w:val="22"/>
          <w:szCs w:val="22"/>
        </w:rPr>
        <w:t xml:space="preserve"> </w:t>
      </w:r>
      <w:r w:rsidR="00514B1E" w:rsidRPr="003F437A">
        <w:rPr>
          <w:rFonts w:asciiTheme="majorHAnsi" w:hAnsiTheme="majorHAnsi"/>
          <w:sz w:val="22"/>
          <w:szCs w:val="22"/>
        </w:rPr>
        <w:t xml:space="preserve">based on a thematic </w:t>
      </w:r>
      <w:r w:rsidRPr="003F437A">
        <w:rPr>
          <w:rFonts w:asciiTheme="majorHAnsi" w:hAnsiTheme="majorHAnsi"/>
          <w:sz w:val="22"/>
          <w:szCs w:val="22"/>
        </w:rPr>
        <w:t>framework approach</w:t>
      </w:r>
      <w:r w:rsidR="00CC20B6" w:rsidRPr="00DF0C7C">
        <w:rPr>
          <w:rFonts w:asciiTheme="majorHAnsi" w:hAnsiTheme="majorHAnsi"/>
          <w:sz w:val="22"/>
          <w:szCs w:val="22"/>
          <w:vertAlign w:val="superscript"/>
        </w:rPr>
        <w:t>19</w:t>
      </w:r>
      <w:r w:rsidR="00C262E9" w:rsidRPr="00DF0C7C">
        <w:rPr>
          <w:rFonts w:asciiTheme="majorHAnsi" w:hAnsiTheme="majorHAnsi"/>
          <w:sz w:val="22"/>
          <w:szCs w:val="22"/>
        </w:rPr>
        <w:t xml:space="preserve">. </w:t>
      </w:r>
      <w:r w:rsidRPr="00DF0C7C">
        <w:rPr>
          <w:rFonts w:asciiTheme="majorHAnsi" w:hAnsiTheme="majorHAnsi"/>
          <w:sz w:val="22"/>
          <w:szCs w:val="22"/>
        </w:rPr>
        <w:t>Clinic outcomes were</w:t>
      </w:r>
      <w:r w:rsidRPr="00731D23">
        <w:rPr>
          <w:rFonts w:asciiTheme="majorHAnsi" w:hAnsiTheme="majorHAnsi"/>
          <w:sz w:val="22"/>
          <w:szCs w:val="22"/>
        </w:rPr>
        <w:t xml:space="preserve"> classified as medical </w:t>
      </w:r>
      <w:r w:rsidR="00627544">
        <w:rPr>
          <w:rFonts w:asciiTheme="majorHAnsi" w:hAnsiTheme="majorHAnsi"/>
          <w:sz w:val="22"/>
          <w:szCs w:val="22"/>
        </w:rPr>
        <w:t xml:space="preserve">(e.g. </w:t>
      </w:r>
      <w:r w:rsidR="00627544" w:rsidRPr="00731D23">
        <w:rPr>
          <w:rFonts w:asciiTheme="majorHAnsi" w:hAnsiTheme="majorHAnsi"/>
          <w:sz w:val="22"/>
          <w:szCs w:val="22"/>
        </w:rPr>
        <w:t>place</w:t>
      </w:r>
      <w:r w:rsidR="00627544">
        <w:rPr>
          <w:rFonts w:asciiTheme="majorHAnsi" w:hAnsiTheme="majorHAnsi"/>
          <w:sz w:val="22"/>
          <w:szCs w:val="22"/>
        </w:rPr>
        <w:t xml:space="preserve">ment </w:t>
      </w:r>
      <w:r w:rsidR="00627544" w:rsidRPr="00731D23">
        <w:rPr>
          <w:rFonts w:asciiTheme="majorHAnsi" w:hAnsiTheme="majorHAnsi"/>
          <w:sz w:val="22"/>
          <w:szCs w:val="22"/>
        </w:rPr>
        <w:t xml:space="preserve">on </w:t>
      </w:r>
      <w:r w:rsidR="00627544">
        <w:rPr>
          <w:rFonts w:asciiTheme="majorHAnsi" w:hAnsiTheme="majorHAnsi"/>
          <w:sz w:val="22"/>
          <w:szCs w:val="22"/>
        </w:rPr>
        <w:t xml:space="preserve">surgical </w:t>
      </w:r>
      <w:r w:rsidR="00627544" w:rsidRPr="00731D23">
        <w:rPr>
          <w:rFonts w:asciiTheme="majorHAnsi" w:hAnsiTheme="majorHAnsi"/>
          <w:sz w:val="22"/>
          <w:szCs w:val="22"/>
        </w:rPr>
        <w:t xml:space="preserve">waiting list to aid rehabilitation, </w:t>
      </w:r>
      <w:r w:rsidR="00627544">
        <w:rPr>
          <w:rFonts w:asciiTheme="majorHAnsi" w:hAnsiTheme="majorHAnsi"/>
          <w:sz w:val="22"/>
          <w:szCs w:val="22"/>
        </w:rPr>
        <w:t xml:space="preserve">institution of </w:t>
      </w:r>
      <w:r w:rsidR="00627544" w:rsidRPr="00731D23">
        <w:rPr>
          <w:rFonts w:asciiTheme="majorHAnsi" w:hAnsiTheme="majorHAnsi"/>
          <w:sz w:val="22"/>
          <w:szCs w:val="22"/>
        </w:rPr>
        <w:t xml:space="preserve">symptomatic or supportive medical treatment, </w:t>
      </w:r>
      <w:r w:rsidR="00627544">
        <w:rPr>
          <w:rFonts w:asciiTheme="majorHAnsi" w:hAnsiTheme="majorHAnsi"/>
          <w:sz w:val="22"/>
          <w:szCs w:val="22"/>
        </w:rPr>
        <w:t xml:space="preserve">request for </w:t>
      </w:r>
      <w:r w:rsidR="00627544" w:rsidRPr="00731D23">
        <w:rPr>
          <w:rFonts w:asciiTheme="majorHAnsi" w:hAnsiTheme="majorHAnsi"/>
          <w:sz w:val="22"/>
          <w:szCs w:val="22"/>
        </w:rPr>
        <w:t xml:space="preserve">investigations, and </w:t>
      </w:r>
      <w:r w:rsidR="00627544">
        <w:rPr>
          <w:rFonts w:asciiTheme="majorHAnsi" w:hAnsiTheme="majorHAnsi"/>
          <w:sz w:val="22"/>
          <w:szCs w:val="22"/>
        </w:rPr>
        <w:t xml:space="preserve">onward </w:t>
      </w:r>
      <w:r w:rsidR="00627544" w:rsidRPr="00731D23">
        <w:rPr>
          <w:rFonts w:asciiTheme="majorHAnsi" w:hAnsiTheme="majorHAnsi"/>
          <w:sz w:val="22"/>
          <w:szCs w:val="22"/>
        </w:rPr>
        <w:t>referrals</w:t>
      </w:r>
      <w:r w:rsidR="00627544">
        <w:rPr>
          <w:rFonts w:asciiTheme="majorHAnsi" w:hAnsiTheme="majorHAnsi"/>
          <w:sz w:val="22"/>
          <w:szCs w:val="22"/>
        </w:rPr>
        <w:t>)</w:t>
      </w:r>
      <w:r w:rsidR="00627544" w:rsidRPr="00731D23">
        <w:rPr>
          <w:rFonts w:asciiTheme="majorHAnsi" w:hAnsiTheme="majorHAnsi"/>
          <w:sz w:val="22"/>
          <w:szCs w:val="22"/>
        </w:rPr>
        <w:t xml:space="preserve"> </w:t>
      </w:r>
      <w:r w:rsidRPr="00731D23">
        <w:rPr>
          <w:rFonts w:asciiTheme="majorHAnsi" w:hAnsiTheme="majorHAnsi"/>
          <w:sz w:val="22"/>
          <w:szCs w:val="22"/>
        </w:rPr>
        <w:t xml:space="preserve">or non-medical actions </w:t>
      </w:r>
      <w:r w:rsidR="00627544">
        <w:rPr>
          <w:rFonts w:asciiTheme="majorHAnsi" w:hAnsiTheme="majorHAnsi"/>
          <w:sz w:val="22"/>
          <w:szCs w:val="22"/>
        </w:rPr>
        <w:t xml:space="preserve">(e.g. </w:t>
      </w:r>
      <w:r w:rsidRPr="00731D23">
        <w:rPr>
          <w:rFonts w:asciiTheme="majorHAnsi" w:hAnsiTheme="majorHAnsi"/>
          <w:sz w:val="22"/>
          <w:szCs w:val="22"/>
        </w:rPr>
        <w:t>prov</w:t>
      </w:r>
      <w:r w:rsidR="00627544">
        <w:rPr>
          <w:rFonts w:asciiTheme="majorHAnsi" w:hAnsiTheme="majorHAnsi"/>
          <w:sz w:val="22"/>
          <w:szCs w:val="22"/>
        </w:rPr>
        <w:t xml:space="preserve">ide </w:t>
      </w:r>
      <w:r w:rsidRPr="00731D23">
        <w:rPr>
          <w:rFonts w:asciiTheme="majorHAnsi" w:hAnsiTheme="majorHAnsi"/>
          <w:sz w:val="22"/>
          <w:szCs w:val="22"/>
        </w:rPr>
        <w:t>information, advice on lifestyle, strategies for coping, and reassurance</w:t>
      </w:r>
      <w:r w:rsidR="00627544">
        <w:rPr>
          <w:rFonts w:asciiTheme="majorHAnsi" w:hAnsiTheme="majorHAnsi"/>
          <w:sz w:val="22"/>
          <w:szCs w:val="22"/>
        </w:rPr>
        <w:t>)</w:t>
      </w:r>
      <w:r w:rsidRPr="00731D23">
        <w:rPr>
          <w:rFonts w:asciiTheme="majorHAnsi" w:hAnsiTheme="majorHAnsi"/>
          <w:sz w:val="22"/>
          <w:szCs w:val="22"/>
        </w:rPr>
        <w:t xml:space="preserve">. </w:t>
      </w:r>
    </w:p>
    <w:p w14:paraId="07262369" w14:textId="77777777" w:rsidR="00731D23" w:rsidRPr="00075D52" w:rsidRDefault="00731D23" w:rsidP="00075D52">
      <w:pPr>
        <w:spacing w:line="360" w:lineRule="auto"/>
        <w:jc w:val="both"/>
        <w:rPr>
          <w:rFonts w:asciiTheme="majorHAnsi" w:hAnsiTheme="majorHAnsi"/>
          <w:sz w:val="22"/>
          <w:szCs w:val="22"/>
        </w:rPr>
      </w:pPr>
    </w:p>
    <w:p w14:paraId="5D2920C6" w14:textId="77777777" w:rsidR="0018512A" w:rsidRDefault="008E3B20" w:rsidP="00075D52">
      <w:pPr>
        <w:spacing w:line="360" w:lineRule="auto"/>
        <w:jc w:val="both"/>
        <w:rPr>
          <w:rFonts w:asciiTheme="majorHAnsi" w:hAnsiTheme="majorHAnsi"/>
          <w:bCs/>
          <w:i/>
          <w:sz w:val="22"/>
          <w:szCs w:val="22"/>
        </w:rPr>
      </w:pPr>
      <w:r w:rsidRPr="00075D52">
        <w:rPr>
          <w:rFonts w:asciiTheme="majorHAnsi" w:hAnsiTheme="majorHAnsi"/>
          <w:bCs/>
          <w:i/>
          <w:sz w:val="22"/>
          <w:szCs w:val="22"/>
        </w:rPr>
        <w:t>Data</w:t>
      </w:r>
      <w:r w:rsidR="00C367C7" w:rsidRPr="00075D52">
        <w:rPr>
          <w:rFonts w:asciiTheme="majorHAnsi" w:hAnsiTheme="majorHAnsi"/>
          <w:bCs/>
          <w:i/>
          <w:sz w:val="22"/>
          <w:szCs w:val="22"/>
        </w:rPr>
        <w:t xml:space="preserve"> analysis</w:t>
      </w:r>
      <w:r w:rsidR="00C367C7" w:rsidRPr="00075D52">
        <w:rPr>
          <w:rFonts w:asciiTheme="majorHAnsi" w:hAnsiTheme="majorHAnsi"/>
          <w:bCs/>
          <w:i/>
          <w:sz w:val="22"/>
          <w:szCs w:val="22"/>
        </w:rPr>
        <w:tab/>
      </w:r>
    </w:p>
    <w:p w14:paraId="0DDB3D86" w14:textId="77777777" w:rsidR="00C367C7" w:rsidRPr="00075D52" w:rsidRDefault="00C367C7" w:rsidP="00075D52">
      <w:pPr>
        <w:spacing w:line="360" w:lineRule="auto"/>
        <w:jc w:val="both"/>
        <w:rPr>
          <w:rFonts w:asciiTheme="majorHAnsi" w:hAnsiTheme="majorHAnsi"/>
          <w:bCs/>
          <w:i/>
          <w:sz w:val="22"/>
          <w:szCs w:val="22"/>
        </w:rPr>
      </w:pPr>
      <w:r w:rsidRPr="00075D52">
        <w:rPr>
          <w:rFonts w:asciiTheme="majorHAnsi" w:hAnsiTheme="majorHAnsi"/>
          <w:bCs/>
          <w:i/>
          <w:sz w:val="22"/>
          <w:szCs w:val="22"/>
        </w:rPr>
        <w:t xml:space="preserve"> </w:t>
      </w:r>
    </w:p>
    <w:p w14:paraId="2ED3FF3E" w14:textId="543D30D1" w:rsidR="008E3B20" w:rsidRPr="00075D52" w:rsidRDefault="002D62EC" w:rsidP="00075D52">
      <w:pPr>
        <w:widowControl w:val="0"/>
        <w:autoSpaceDE w:val="0"/>
        <w:autoSpaceDN w:val="0"/>
        <w:adjustRightInd w:val="0"/>
        <w:spacing w:line="360" w:lineRule="auto"/>
        <w:jc w:val="both"/>
        <w:rPr>
          <w:rFonts w:asciiTheme="majorHAnsi" w:hAnsiTheme="majorHAnsi" w:cs="Times New Roman"/>
          <w:sz w:val="22"/>
          <w:szCs w:val="22"/>
        </w:rPr>
      </w:pPr>
      <w:r w:rsidRPr="00075D52">
        <w:rPr>
          <w:rFonts w:asciiTheme="majorHAnsi" w:hAnsiTheme="majorHAnsi" w:cs="Times New Roman"/>
          <w:sz w:val="22"/>
          <w:szCs w:val="22"/>
        </w:rPr>
        <w:t xml:space="preserve">To examine the relationship between distress and </w:t>
      </w:r>
      <w:r w:rsidR="000E611B" w:rsidRPr="00075D52">
        <w:rPr>
          <w:rFonts w:asciiTheme="majorHAnsi" w:hAnsiTheme="majorHAnsi" w:cs="Times New Roman"/>
          <w:sz w:val="22"/>
          <w:szCs w:val="22"/>
        </w:rPr>
        <w:t xml:space="preserve">other </w:t>
      </w:r>
      <w:r w:rsidRPr="00075D52">
        <w:rPr>
          <w:rFonts w:asciiTheme="majorHAnsi" w:hAnsiTheme="majorHAnsi" w:cs="Times New Roman"/>
          <w:sz w:val="22"/>
          <w:szCs w:val="22"/>
        </w:rPr>
        <w:t>variables,</w:t>
      </w:r>
      <w:r w:rsidR="000E611B" w:rsidRPr="00075D52">
        <w:rPr>
          <w:rFonts w:asciiTheme="majorHAnsi" w:hAnsiTheme="majorHAnsi" w:cs="Times New Roman"/>
          <w:sz w:val="22"/>
          <w:szCs w:val="22"/>
        </w:rPr>
        <w:t xml:space="preserve"> </w:t>
      </w:r>
      <w:r w:rsidRPr="00075D52">
        <w:rPr>
          <w:rFonts w:asciiTheme="majorHAnsi" w:hAnsiTheme="majorHAnsi"/>
          <w:sz w:val="22"/>
          <w:szCs w:val="22"/>
        </w:rPr>
        <w:t xml:space="preserve">Fishers Exact test, Pearson’s chi-squared test or </w:t>
      </w:r>
      <w:r w:rsidR="00840D97">
        <w:rPr>
          <w:rFonts w:asciiTheme="majorHAnsi" w:hAnsiTheme="majorHAnsi"/>
          <w:sz w:val="22"/>
          <w:szCs w:val="22"/>
        </w:rPr>
        <w:t>M</w:t>
      </w:r>
      <w:r w:rsidR="00C4206B">
        <w:rPr>
          <w:rFonts w:asciiTheme="majorHAnsi" w:hAnsiTheme="majorHAnsi"/>
          <w:sz w:val="22"/>
          <w:szCs w:val="22"/>
        </w:rPr>
        <w:t>ann-Whitney</w:t>
      </w:r>
      <w:r w:rsidRPr="00075D52">
        <w:rPr>
          <w:rFonts w:asciiTheme="majorHAnsi" w:hAnsiTheme="majorHAnsi"/>
          <w:sz w:val="22"/>
          <w:szCs w:val="22"/>
        </w:rPr>
        <w:t xml:space="preserve"> analysis were applied as appropriate.  Statistical significance was regarded as p</w:t>
      </w:r>
      <w:r w:rsidR="00840D97">
        <w:rPr>
          <w:rFonts w:asciiTheme="majorHAnsi" w:hAnsiTheme="majorHAnsi"/>
          <w:sz w:val="22"/>
          <w:szCs w:val="22"/>
        </w:rPr>
        <w:t>≤</w:t>
      </w:r>
      <w:r w:rsidRPr="00075D52">
        <w:rPr>
          <w:rFonts w:asciiTheme="majorHAnsi" w:hAnsiTheme="majorHAnsi"/>
          <w:sz w:val="22"/>
          <w:szCs w:val="22"/>
        </w:rPr>
        <w:t>0.01</w:t>
      </w:r>
      <w:r w:rsidR="00F40A3C" w:rsidRPr="00075D52">
        <w:rPr>
          <w:rFonts w:asciiTheme="majorHAnsi" w:hAnsiTheme="majorHAnsi"/>
          <w:sz w:val="22"/>
          <w:szCs w:val="22"/>
        </w:rPr>
        <w:t>.</w:t>
      </w:r>
      <w:r w:rsidR="000E611B" w:rsidRPr="00075D52">
        <w:rPr>
          <w:rFonts w:asciiTheme="majorHAnsi" w:hAnsiTheme="majorHAnsi"/>
          <w:sz w:val="22"/>
          <w:szCs w:val="22"/>
        </w:rPr>
        <w:t xml:space="preserve"> </w:t>
      </w:r>
      <w:r w:rsidR="003B6E74" w:rsidRPr="00075D52">
        <w:rPr>
          <w:rFonts w:asciiTheme="majorHAnsi" w:hAnsiTheme="majorHAnsi" w:cs="Times New Roman"/>
          <w:sz w:val="22"/>
          <w:szCs w:val="22"/>
        </w:rPr>
        <w:t xml:space="preserve">All statistical analysis was performed using SPSS version </w:t>
      </w:r>
      <w:r w:rsidR="0038686F" w:rsidRPr="00075D52">
        <w:rPr>
          <w:rFonts w:asciiTheme="majorHAnsi" w:hAnsiTheme="majorHAnsi" w:cs="Times New Roman"/>
          <w:sz w:val="22"/>
          <w:szCs w:val="22"/>
        </w:rPr>
        <w:t>19</w:t>
      </w:r>
      <w:r w:rsidR="003B6E74" w:rsidRPr="00075D52">
        <w:rPr>
          <w:rFonts w:asciiTheme="majorHAnsi" w:hAnsiTheme="majorHAnsi" w:cs="Times New Roman"/>
          <w:sz w:val="22"/>
          <w:szCs w:val="22"/>
        </w:rPr>
        <w:t>.0 (SPSS Inc.).</w:t>
      </w:r>
    </w:p>
    <w:p w14:paraId="15F3C4E5" w14:textId="77777777" w:rsidR="00BF3007" w:rsidRDefault="00BF3007" w:rsidP="00075D52">
      <w:pPr>
        <w:spacing w:line="360" w:lineRule="auto"/>
        <w:jc w:val="both"/>
        <w:rPr>
          <w:rFonts w:asciiTheme="majorHAnsi" w:hAnsiTheme="majorHAnsi"/>
          <w:b/>
          <w:sz w:val="22"/>
          <w:szCs w:val="22"/>
        </w:rPr>
      </w:pPr>
    </w:p>
    <w:p w14:paraId="43D530BA" w14:textId="77777777" w:rsidR="002E2CDA" w:rsidRPr="00075D52" w:rsidRDefault="002E2CDA" w:rsidP="00075D52">
      <w:pPr>
        <w:spacing w:line="360" w:lineRule="auto"/>
        <w:jc w:val="both"/>
        <w:rPr>
          <w:rFonts w:asciiTheme="majorHAnsi" w:hAnsiTheme="majorHAnsi"/>
          <w:b/>
          <w:sz w:val="22"/>
          <w:szCs w:val="22"/>
        </w:rPr>
      </w:pPr>
    </w:p>
    <w:p w14:paraId="64BB1780" w14:textId="77777777" w:rsidR="0011743E" w:rsidRPr="00075D52" w:rsidRDefault="00C367C7" w:rsidP="003C00FA">
      <w:pPr>
        <w:rPr>
          <w:rFonts w:asciiTheme="majorHAnsi" w:hAnsiTheme="majorHAnsi"/>
          <w:b/>
          <w:sz w:val="22"/>
          <w:szCs w:val="22"/>
        </w:rPr>
      </w:pPr>
      <w:r w:rsidRPr="00075D52">
        <w:rPr>
          <w:rFonts w:asciiTheme="majorHAnsi" w:hAnsiTheme="majorHAnsi"/>
          <w:b/>
          <w:sz w:val="22"/>
          <w:szCs w:val="22"/>
        </w:rPr>
        <w:t>Results</w:t>
      </w:r>
    </w:p>
    <w:p w14:paraId="788171B9" w14:textId="77777777" w:rsidR="00DE575F" w:rsidRDefault="00DE575F" w:rsidP="00DE575F">
      <w:pPr>
        <w:spacing w:line="360" w:lineRule="auto"/>
        <w:jc w:val="both"/>
        <w:rPr>
          <w:rFonts w:asciiTheme="majorHAnsi" w:hAnsiTheme="majorHAnsi"/>
          <w:sz w:val="22"/>
          <w:szCs w:val="22"/>
        </w:rPr>
      </w:pPr>
    </w:p>
    <w:p w14:paraId="18F4B973" w14:textId="77777777" w:rsidR="00DE575F" w:rsidRPr="003F437A" w:rsidRDefault="00764417" w:rsidP="00DE575F">
      <w:pPr>
        <w:spacing w:line="360" w:lineRule="auto"/>
        <w:jc w:val="both"/>
        <w:rPr>
          <w:rFonts w:asciiTheme="majorHAnsi" w:hAnsiTheme="majorHAnsi"/>
          <w:sz w:val="22"/>
          <w:szCs w:val="22"/>
          <w:lang w:val="en-GB"/>
        </w:rPr>
      </w:pPr>
      <w:r>
        <w:rPr>
          <w:rFonts w:asciiTheme="majorHAnsi" w:hAnsiTheme="majorHAnsi"/>
          <w:sz w:val="22"/>
          <w:szCs w:val="22"/>
        </w:rPr>
        <w:t>One-hundred and seventy patients (n=</w:t>
      </w:r>
      <w:r w:rsidR="00430FB1">
        <w:rPr>
          <w:rFonts w:asciiTheme="majorHAnsi" w:hAnsiTheme="majorHAnsi"/>
          <w:sz w:val="22"/>
          <w:szCs w:val="22"/>
        </w:rPr>
        <w:t>170</w:t>
      </w:r>
      <w:r>
        <w:rPr>
          <w:rFonts w:asciiTheme="majorHAnsi" w:hAnsiTheme="majorHAnsi"/>
          <w:sz w:val="22"/>
          <w:szCs w:val="22"/>
        </w:rPr>
        <w:t>)</w:t>
      </w:r>
      <w:r w:rsidR="00844430">
        <w:rPr>
          <w:rFonts w:asciiTheme="majorHAnsi" w:hAnsiTheme="majorHAnsi"/>
          <w:sz w:val="22"/>
          <w:szCs w:val="22"/>
        </w:rPr>
        <w:t xml:space="preserve"> </w:t>
      </w:r>
      <w:r>
        <w:rPr>
          <w:rFonts w:asciiTheme="majorHAnsi" w:hAnsiTheme="majorHAnsi"/>
          <w:sz w:val="22"/>
          <w:szCs w:val="22"/>
        </w:rPr>
        <w:t>were</w:t>
      </w:r>
      <w:r w:rsidR="00F42325" w:rsidRPr="00075D52">
        <w:rPr>
          <w:rFonts w:asciiTheme="majorHAnsi" w:hAnsiTheme="majorHAnsi"/>
          <w:sz w:val="22"/>
          <w:szCs w:val="22"/>
        </w:rPr>
        <w:t xml:space="preserve"> recruited at </w:t>
      </w:r>
      <w:r w:rsidR="00844430">
        <w:rPr>
          <w:rFonts w:asciiTheme="majorHAnsi" w:hAnsiTheme="majorHAnsi"/>
          <w:sz w:val="22"/>
          <w:szCs w:val="22"/>
        </w:rPr>
        <w:t xml:space="preserve">first </w:t>
      </w:r>
      <w:r w:rsidR="00844430" w:rsidRPr="00E85202">
        <w:rPr>
          <w:rFonts w:asciiTheme="majorHAnsi" w:hAnsiTheme="majorHAnsi"/>
          <w:sz w:val="22"/>
          <w:szCs w:val="22"/>
        </w:rPr>
        <w:t xml:space="preserve">attendance </w:t>
      </w:r>
      <w:r w:rsidR="00C4206B" w:rsidRPr="00E85202">
        <w:rPr>
          <w:rFonts w:asciiTheme="majorHAnsi" w:hAnsiTheme="majorHAnsi"/>
          <w:sz w:val="22"/>
          <w:szCs w:val="22"/>
        </w:rPr>
        <w:t xml:space="preserve">at clinics </w:t>
      </w:r>
      <w:r w:rsidRPr="00C02D2C">
        <w:rPr>
          <w:rFonts w:asciiTheme="majorHAnsi" w:hAnsiTheme="majorHAnsi"/>
          <w:sz w:val="22"/>
          <w:szCs w:val="22"/>
        </w:rPr>
        <w:t>within study Blocks 2 and 3</w:t>
      </w:r>
      <w:r w:rsidR="00844430" w:rsidRPr="003F437A">
        <w:rPr>
          <w:rFonts w:asciiTheme="majorHAnsi" w:hAnsiTheme="majorHAnsi"/>
          <w:sz w:val="22"/>
          <w:szCs w:val="22"/>
        </w:rPr>
        <w:t xml:space="preserve"> during which the</w:t>
      </w:r>
      <w:r w:rsidR="00C4206B" w:rsidRPr="003F437A">
        <w:rPr>
          <w:rFonts w:asciiTheme="majorHAnsi" w:hAnsiTheme="majorHAnsi"/>
          <w:sz w:val="22"/>
          <w:szCs w:val="22"/>
        </w:rPr>
        <w:t>y first used the PCI.</w:t>
      </w:r>
      <w:r w:rsidR="00F42325" w:rsidRPr="003F437A">
        <w:rPr>
          <w:rFonts w:asciiTheme="majorHAnsi" w:hAnsiTheme="majorHAnsi"/>
          <w:sz w:val="22"/>
          <w:szCs w:val="22"/>
        </w:rPr>
        <w:t xml:space="preserve"> </w:t>
      </w:r>
      <w:r w:rsidR="0038686F" w:rsidRPr="003F437A">
        <w:rPr>
          <w:rFonts w:asciiTheme="majorHAnsi" w:hAnsiTheme="majorHAnsi"/>
          <w:sz w:val="22"/>
          <w:szCs w:val="22"/>
        </w:rPr>
        <w:t>C</w:t>
      </w:r>
      <w:r w:rsidR="0092317F" w:rsidRPr="003F437A">
        <w:rPr>
          <w:rFonts w:asciiTheme="majorHAnsi" w:hAnsiTheme="majorHAnsi"/>
          <w:sz w:val="22"/>
          <w:szCs w:val="22"/>
        </w:rPr>
        <w:t>linico</w:t>
      </w:r>
      <w:r w:rsidR="003B267B" w:rsidRPr="003F437A">
        <w:rPr>
          <w:rFonts w:asciiTheme="majorHAnsi" w:hAnsiTheme="majorHAnsi"/>
          <w:sz w:val="22"/>
          <w:szCs w:val="22"/>
        </w:rPr>
        <w:t>-</w:t>
      </w:r>
      <w:r w:rsidR="0092317F" w:rsidRPr="003F437A">
        <w:rPr>
          <w:rFonts w:asciiTheme="majorHAnsi" w:hAnsiTheme="majorHAnsi"/>
          <w:sz w:val="22"/>
          <w:szCs w:val="22"/>
        </w:rPr>
        <w:t xml:space="preserve">pathological </w:t>
      </w:r>
      <w:r w:rsidR="0038686F" w:rsidRPr="003F437A">
        <w:rPr>
          <w:rFonts w:asciiTheme="majorHAnsi" w:hAnsiTheme="majorHAnsi"/>
          <w:sz w:val="22"/>
          <w:szCs w:val="22"/>
        </w:rPr>
        <w:t xml:space="preserve">characteristics </w:t>
      </w:r>
      <w:r w:rsidR="0092317F" w:rsidRPr="003F437A">
        <w:rPr>
          <w:rFonts w:asciiTheme="majorHAnsi" w:hAnsiTheme="majorHAnsi"/>
          <w:sz w:val="22"/>
          <w:szCs w:val="22"/>
        </w:rPr>
        <w:t>of the</w:t>
      </w:r>
      <w:r w:rsidR="00844430" w:rsidRPr="003F437A">
        <w:rPr>
          <w:rFonts w:asciiTheme="majorHAnsi" w:hAnsiTheme="majorHAnsi"/>
          <w:sz w:val="22"/>
          <w:szCs w:val="22"/>
        </w:rPr>
        <w:t>se</w:t>
      </w:r>
      <w:r w:rsidR="0092317F" w:rsidRPr="003F437A">
        <w:rPr>
          <w:rFonts w:asciiTheme="majorHAnsi" w:hAnsiTheme="majorHAnsi"/>
          <w:sz w:val="22"/>
          <w:szCs w:val="22"/>
        </w:rPr>
        <w:t xml:space="preserve"> patients </w:t>
      </w:r>
      <w:r w:rsidR="0038686F" w:rsidRPr="003F437A">
        <w:rPr>
          <w:rFonts w:asciiTheme="majorHAnsi" w:hAnsiTheme="majorHAnsi"/>
          <w:sz w:val="22"/>
          <w:szCs w:val="22"/>
        </w:rPr>
        <w:t xml:space="preserve">are </w:t>
      </w:r>
      <w:r w:rsidR="0092317F" w:rsidRPr="003F437A">
        <w:rPr>
          <w:rFonts w:asciiTheme="majorHAnsi" w:hAnsiTheme="majorHAnsi"/>
          <w:sz w:val="22"/>
          <w:szCs w:val="22"/>
        </w:rPr>
        <w:t xml:space="preserve">shown in </w:t>
      </w:r>
      <w:r w:rsidR="0092317F" w:rsidRPr="00DF0C7C">
        <w:rPr>
          <w:rFonts w:asciiTheme="majorHAnsi" w:hAnsiTheme="majorHAnsi"/>
          <w:sz w:val="22"/>
          <w:szCs w:val="22"/>
        </w:rPr>
        <w:t>Table 1</w:t>
      </w:r>
      <w:r w:rsidR="0092317F" w:rsidRPr="00E85202">
        <w:rPr>
          <w:rFonts w:asciiTheme="majorHAnsi" w:hAnsiTheme="majorHAnsi"/>
          <w:sz w:val="22"/>
          <w:szCs w:val="22"/>
        </w:rPr>
        <w:t xml:space="preserve">. </w:t>
      </w:r>
      <w:r w:rsidR="00F42325" w:rsidRPr="00E85202">
        <w:rPr>
          <w:rFonts w:asciiTheme="majorHAnsi" w:hAnsiTheme="majorHAnsi"/>
          <w:sz w:val="22"/>
          <w:szCs w:val="22"/>
        </w:rPr>
        <w:t xml:space="preserve">Overall </w:t>
      </w:r>
      <w:r w:rsidR="003B267B" w:rsidRPr="00E85202">
        <w:rPr>
          <w:rFonts w:asciiTheme="majorHAnsi" w:hAnsiTheme="majorHAnsi"/>
          <w:sz w:val="22"/>
          <w:szCs w:val="22"/>
        </w:rPr>
        <w:t>t</w:t>
      </w:r>
      <w:r w:rsidR="008D065D" w:rsidRPr="00E85202">
        <w:rPr>
          <w:rFonts w:asciiTheme="majorHAnsi" w:hAnsiTheme="majorHAnsi"/>
          <w:sz w:val="22"/>
          <w:szCs w:val="22"/>
        </w:rPr>
        <w:t xml:space="preserve">he median </w:t>
      </w:r>
      <w:r w:rsidR="00F42325" w:rsidRPr="00E85202">
        <w:rPr>
          <w:rFonts w:asciiTheme="majorHAnsi" w:hAnsiTheme="majorHAnsi"/>
          <w:sz w:val="22"/>
          <w:szCs w:val="22"/>
        </w:rPr>
        <w:t xml:space="preserve">(IQR) </w:t>
      </w:r>
      <w:r w:rsidR="008D065D" w:rsidRPr="00DF0C7C">
        <w:rPr>
          <w:rFonts w:asciiTheme="majorHAnsi" w:hAnsiTheme="majorHAnsi"/>
          <w:sz w:val="22"/>
          <w:szCs w:val="22"/>
        </w:rPr>
        <w:t xml:space="preserve">time from primary surgery (or from primary diagnosis if no surgery) to clinic attendance was </w:t>
      </w:r>
      <w:r w:rsidR="00EC7D8A" w:rsidRPr="00C02D2C">
        <w:rPr>
          <w:rFonts w:asciiTheme="majorHAnsi" w:hAnsiTheme="majorHAnsi"/>
          <w:sz w:val="22"/>
          <w:szCs w:val="22"/>
          <w:lang w:val="en-GB"/>
        </w:rPr>
        <w:t>2.2 (</w:t>
      </w:r>
      <w:r w:rsidR="00844430" w:rsidRPr="003F437A">
        <w:rPr>
          <w:rFonts w:asciiTheme="majorHAnsi" w:hAnsiTheme="majorHAnsi"/>
          <w:sz w:val="22"/>
          <w:szCs w:val="22"/>
          <w:lang w:val="en-GB"/>
        </w:rPr>
        <w:t>1.2-3.9</w:t>
      </w:r>
      <w:r w:rsidR="003B267B" w:rsidRPr="003F437A">
        <w:rPr>
          <w:rFonts w:asciiTheme="majorHAnsi" w:hAnsiTheme="majorHAnsi"/>
          <w:sz w:val="22"/>
          <w:szCs w:val="22"/>
          <w:lang w:val="en-GB"/>
        </w:rPr>
        <w:t>) years</w:t>
      </w:r>
      <w:r w:rsidR="00844430" w:rsidRPr="003F437A">
        <w:rPr>
          <w:rFonts w:asciiTheme="majorHAnsi" w:hAnsiTheme="majorHAnsi"/>
          <w:sz w:val="22"/>
          <w:szCs w:val="22"/>
          <w:lang w:val="en-GB"/>
        </w:rPr>
        <w:t>, n=167</w:t>
      </w:r>
      <w:r w:rsidR="008D065D" w:rsidRPr="003F437A">
        <w:rPr>
          <w:rFonts w:asciiTheme="majorHAnsi" w:hAnsiTheme="majorHAnsi"/>
          <w:sz w:val="22"/>
          <w:szCs w:val="22"/>
          <w:lang w:val="en-GB"/>
        </w:rPr>
        <w:t xml:space="preserve">. The median </w:t>
      </w:r>
      <w:r w:rsidR="003B267B" w:rsidRPr="003F437A">
        <w:rPr>
          <w:rFonts w:asciiTheme="majorHAnsi" w:hAnsiTheme="majorHAnsi"/>
          <w:sz w:val="22"/>
          <w:szCs w:val="22"/>
          <w:lang w:val="en-GB"/>
        </w:rPr>
        <w:t xml:space="preserve">(IQR) </w:t>
      </w:r>
      <w:r w:rsidR="008D065D" w:rsidRPr="003F437A">
        <w:rPr>
          <w:rFonts w:asciiTheme="majorHAnsi" w:hAnsiTheme="majorHAnsi"/>
          <w:sz w:val="22"/>
          <w:szCs w:val="22"/>
          <w:lang w:val="en-GB"/>
        </w:rPr>
        <w:t xml:space="preserve">length of consultation was </w:t>
      </w:r>
      <w:r w:rsidR="00844430" w:rsidRPr="003F437A">
        <w:rPr>
          <w:rFonts w:asciiTheme="majorHAnsi" w:hAnsiTheme="majorHAnsi"/>
          <w:sz w:val="22"/>
          <w:szCs w:val="22"/>
          <w:lang w:val="en-GB"/>
        </w:rPr>
        <w:t>5.2</w:t>
      </w:r>
      <w:r w:rsidR="003B267B" w:rsidRPr="003F437A">
        <w:rPr>
          <w:rFonts w:asciiTheme="majorHAnsi" w:hAnsiTheme="majorHAnsi"/>
          <w:sz w:val="22"/>
          <w:szCs w:val="22"/>
          <w:lang w:val="en-GB"/>
        </w:rPr>
        <w:t xml:space="preserve"> (3.2-7.</w:t>
      </w:r>
      <w:r w:rsidR="00844430" w:rsidRPr="003F437A">
        <w:rPr>
          <w:rFonts w:asciiTheme="majorHAnsi" w:hAnsiTheme="majorHAnsi"/>
          <w:sz w:val="22"/>
          <w:szCs w:val="22"/>
          <w:lang w:val="en-GB"/>
        </w:rPr>
        <w:t>9</w:t>
      </w:r>
      <w:r w:rsidR="003B267B" w:rsidRPr="003F437A">
        <w:rPr>
          <w:rFonts w:asciiTheme="majorHAnsi" w:hAnsiTheme="majorHAnsi"/>
          <w:sz w:val="22"/>
          <w:szCs w:val="22"/>
          <w:lang w:val="en-GB"/>
        </w:rPr>
        <w:t>) minutes</w:t>
      </w:r>
      <w:r w:rsidR="00EC7D8A" w:rsidRPr="003F437A">
        <w:rPr>
          <w:rFonts w:asciiTheme="majorHAnsi" w:hAnsiTheme="majorHAnsi"/>
          <w:sz w:val="22"/>
          <w:szCs w:val="22"/>
          <w:lang w:val="en-GB"/>
        </w:rPr>
        <w:t>, n=</w:t>
      </w:r>
      <w:r w:rsidR="00844430" w:rsidRPr="003F437A">
        <w:rPr>
          <w:rFonts w:asciiTheme="majorHAnsi" w:hAnsiTheme="majorHAnsi"/>
          <w:sz w:val="22"/>
          <w:szCs w:val="22"/>
          <w:lang w:val="en-GB"/>
        </w:rPr>
        <w:t>141</w:t>
      </w:r>
      <w:r w:rsidR="008D065D" w:rsidRPr="003F437A">
        <w:rPr>
          <w:rFonts w:asciiTheme="majorHAnsi" w:hAnsiTheme="majorHAnsi"/>
          <w:sz w:val="22"/>
          <w:szCs w:val="22"/>
          <w:lang w:val="en-GB"/>
        </w:rPr>
        <w:t>.</w:t>
      </w:r>
      <w:r w:rsidR="00DE575F" w:rsidRPr="003F437A">
        <w:rPr>
          <w:rFonts w:asciiTheme="majorHAnsi" w:hAnsiTheme="majorHAnsi"/>
          <w:sz w:val="22"/>
          <w:szCs w:val="22"/>
          <w:lang w:val="en-GB"/>
        </w:rPr>
        <w:t xml:space="preserve"> </w:t>
      </w:r>
    </w:p>
    <w:p w14:paraId="7F7B3256" w14:textId="77777777" w:rsidR="0092317F" w:rsidRPr="003F437A" w:rsidRDefault="0092317F" w:rsidP="00075D52">
      <w:pPr>
        <w:spacing w:line="360" w:lineRule="auto"/>
        <w:jc w:val="both"/>
        <w:rPr>
          <w:rFonts w:asciiTheme="majorHAnsi" w:hAnsiTheme="majorHAnsi"/>
          <w:b/>
          <w:sz w:val="22"/>
          <w:szCs w:val="22"/>
        </w:rPr>
      </w:pPr>
    </w:p>
    <w:p w14:paraId="34470AF9" w14:textId="77777777" w:rsidR="0092317F" w:rsidRPr="003F437A" w:rsidRDefault="0092317F" w:rsidP="00075D52">
      <w:pPr>
        <w:spacing w:line="360" w:lineRule="auto"/>
        <w:jc w:val="both"/>
        <w:rPr>
          <w:rFonts w:asciiTheme="majorHAnsi" w:hAnsiTheme="majorHAnsi"/>
          <w:i/>
          <w:sz w:val="22"/>
          <w:szCs w:val="22"/>
        </w:rPr>
      </w:pPr>
      <w:r w:rsidRPr="003F437A">
        <w:rPr>
          <w:rFonts w:asciiTheme="majorHAnsi" w:hAnsiTheme="majorHAnsi"/>
          <w:i/>
          <w:sz w:val="22"/>
          <w:szCs w:val="22"/>
        </w:rPr>
        <w:t>Distress and patient concerns</w:t>
      </w:r>
    </w:p>
    <w:p w14:paraId="247CC481" w14:textId="77777777" w:rsidR="00DE575F" w:rsidRPr="003F437A" w:rsidRDefault="00DE575F" w:rsidP="00DE575F">
      <w:pPr>
        <w:spacing w:line="360" w:lineRule="auto"/>
        <w:jc w:val="both"/>
        <w:rPr>
          <w:rFonts w:asciiTheme="majorHAnsi" w:hAnsiTheme="majorHAnsi" w:cs="Times New Roman"/>
          <w:sz w:val="22"/>
          <w:szCs w:val="22"/>
        </w:rPr>
      </w:pPr>
    </w:p>
    <w:p w14:paraId="618B5EBB" w14:textId="5AA8E572" w:rsidR="00E93421" w:rsidRPr="003F437A" w:rsidRDefault="00DE575F" w:rsidP="00E93421">
      <w:pPr>
        <w:spacing w:line="360" w:lineRule="auto"/>
        <w:jc w:val="both"/>
        <w:rPr>
          <w:rFonts w:asciiTheme="majorHAnsi" w:hAnsiTheme="majorHAnsi"/>
          <w:sz w:val="22"/>
          <w:szCs w:val="22"/>
          <w:lang w:val="en-GB"/>
        </w:rPr>
      </w:pPr>
      <w:r w:rsidRPr="003F437A">
        <w:rPr>
          <w:rFonts w:asciiTheme="majorHAnsi" w:hAnsiTheme="majorHAnsi" w:cs="Times New Roman"/>
          <w:sz w:val="22"/>
          <w:szCs w:val="22"/>
        </w:rPr>
        <w:t xml:space="preserve">The mean DT score overall was 2.9 </w:t>
      </w:r>
      <w:r w:rsidRPr="003F437A">
        <w:rPr>
          <w:rFonts w:asciiTheme="majorHAnsi" w:hAnsiTheme="majorHAnsi"/>
          <w:sz w:val="22"/>
          <w:szCs w:val="22"/>
        </w:rPr>
        <w:t xml:space="preserve">and the median (IQR) was 2 (0-5). </w:t>
      </w:r>
      <w:r w:rsidRPr="003F437A">
        <w:rPr>
          <w:rFonts w:asciiTheme="majorHAnsi" w:hAnsiTheme="majorHAnsi" w:cs="Times New Roman"/>
          <w:sz w:val="22"/>
          <w:szCs w:val="22"/>
        </w:rPr>
        <w:t xml:space="preserve"> The overall rate of significant distress (</w:t>
      </w:r>
      <w:r w:rsidR="00812C0A" w:rsidRPr="003F437A">
        <w:rPr>
          <w:rFonts w:asciiTheme="majorHAnsi" w:hAnsiTheme="majorHAnsi" w:cs="Times New Roman"/>
          <w:sz w:val="22"/>
          <w:szCs w:val="22"/>
        </w:rPr>
        <w:t xml:space="preserve">i.e. </w:t>
      </w:r>
      <w:r w:rsidRPr="003F437A">
        <w:rPr>
          <w:rFonts w:asciiTheme="majorHAnsi" w:hAnsiTheme="majorHAnsi" w:cs="Times New Roman"/>
          <w:sz w:val="22"/>
          <w:szCs w:val="22"/>
        </w:rPr>
        <w:t xml:space="preserve">DT cut-off score </w:t>
      </w:r>
      <w:r w:rsidRPr="003F437A">
        <w:rPr>
          <w:rFonts w:asciiTheme="majorHAnsi" w:hAnsiTheme="majorHAnsi"/>
          <w:sz w:val="22"/>
          <w:szCs w:val="22"/>
        </w:rPr>
        <w:t xml:space="preserve">of </w:t>
      </w:r>
      <w:r w:rsidRPr="003F437A">
        <w:rPr>
          <w:rFonts w:asciiTheme="majorHAnsi" w:hAnsiTheme="majorHAnsi"/>
          <w:sz w:val="22"/>
          <w:szCs w:val="22"/>
          <w:lang w:val="en-GB"/>
        </w:rPr>
        <w:t>≥4</w:t>
      </w:r>
      <w:r w:rsidR="003A1A87" w:rsidRPr="003F437A">
        <w:rPr>
          <w:rFonts w:asciiTheme="majorHAnsi" w:hAnsiTheme="majorHAnsi" w:cs="Times New Roman"/>
          <w:sz w:val="22"/>
          <w:szCs w:val="22"/>
        </w:rPr>
        <w:t>) was 36% (62/170</w:t>
      </w:r>
      <w:r w:rsidRPr="003F437A">
        <w:rPr>
          <w:rFonts w:asciiTheme="majorHAnsi" w:hAnsiTheme="majorHAnsi" w:cs="Times New Roman"/>
          <w:sz w:val="22"/>
          <w:szCs w:val="22"/>
        </w:rPr>
        <w:t xml:space="preserve">). </w:t>
      </w:r>
      <w:r w:rsidRPr="003F437A">
        <w:rPr>
          <w:rFonts w:asciiTheme="majorHAnsi" w:hAnsiTheme="majorHAnsi"/>
          <w:sz w:val="22"/>
          <w:szCs w:val="22"/>
          <w:lang w:val="en-GB"/>
        </w:rPr>
        <w:t xml:space="preserve">Thus, about two-thirds </w:t>
      </w:r>
      <w:r w:rsidR="00764417" w:rsidRPr="003F437A">
        <w:rPr>
          <w:rFonts w:asciiTheme="majorHAnsi" w:hAnsiTheme="majorHAnsi"/>
          <w:sz w:val="22"/>
          <w:szCs w:val="22"/>
          <w:lang w:val="en-GB"/>
        </w:rPr>
        <w:t>(</w:t>
      </w:r>
      <w:r w:rsidR="00D358F2" w:rsidRPr="003F437A">
        <w:rPr>
          <w:rFonts w:asciiTheme="majorHAnsi" w:hAnsiTheme="majorHAnsi"/>
          <w:sz w:val="22"/>
          <w:szCs w:val="22"/>
          <w:lang w:val="en-GB"/>
        </w:rPr>
        <w:t>64</w:t>
      </w:r>
      <w:r w:rsidR="00764417" w:rsidRPr="003F437A">
        <w:rPr>
          <w:rFonts w:asciiTheme="majorHAnsi" w:hAnsiTheme="majorHAnsi"/>
          <w:sz w:val="22"/>
          <w:szCs w:val="22"/>
          <w:lang w:val="en-GB"/>
        </w:rPr>
        <w:t xml:space="preserve">%, 108/170) </w:t>
      </w:r>
      <w:r w:rsidRPr="003F437A">
        <w:rPr>
          <w:rFonts w:asciiTheme="majorHAnsi" w:hAnsiTheme="majorHAnsi"/>
          <w:sz w:val="22"/>
          <w:szCs w:val="22"/>
          <w:lang w:val="en-GB"/>
        </w:rPr>
        <w:t xml:space="preserve">of this cohort at clinic did not report significant distress.  </w:t>
      </w:r>
    </w:p>
    <w:p w14:paraId="3ABE0BEB" w14:textId="77777777" w:rsidR="00E93421" w:rsidRPr="003F437A" w:rsidRDefault="00E93421" w:rsidP="00E93421">
      <w:pPr>
        <w:spacing w:line="360" w:lineRule="auto"/>
        <w:jc w:val="both"/>
        <w:rPr>
          <w:rFonts w:asciiTheme="majorHAnsi" w:hAnsiTheme="majorHAnsi"/>
          <w:sz w:val="22"/>
          <w:szCs w:val="22"/>
          <w:lang w:val="en-GB"/>
        </w:rPr>
      </w:pPr>
    </w:p>
    <w:p w14:paraId="27DC0400" w14:textId="1BAE4240" w:rsidR="003B6E74" w:rsidRPr="00E85202" w:rsidRDefault="00113CD6" w:rsidP="00075D52">
      <w:pPr>
        <w:spacing w:line="360" w:lineRule="auto"/>
        <w:jc w:val="both"/>
        <w:rPr>
          <w:rFonts w:asciiTheme="majorHAnsi" w:hAnsiTheme="majorHAnsi"/>
          <w:sz w:val="22"/>
          <w:szCs w:val="22"/>
          <w:lang w:val="en-GB"/>
        </w:rPr>
      </w:pPr>
      <w:r w:rsidRPr="003F437A">
        <w:rPr>
          <w:rFonts w:asciiTheme="majorHAnsi" w:hAnsiTheme="majorHAnsi"/>
          <w:sz w:val="22"/>
          <w:szCs w:val="22"/>
        </w:rPr>
        <w:t>Overall, the number of PCI items selected ranged from 0-18</w:t>
      </w:r>
      <w:r w:rsidR="00C1296D" w:rsidRPr="003F437A">
        <w:rPr>
          <w:rFonts w:asciiTheme="majorHAnsi" w:hAnsiTheme="majorHAnsi"/>
          <w:sz w:val="22"/>
          <w:szCs w:val="22"/>
        </w:rPr>
        <w:t xml:space="preserve">, </w:t>
      </w:r>
      <w:r w:rsidR="007C5D32" w:rsidRPr="003F437A">
        <w:rPr>
          <w:rFonts w:asciiTheme="majorHAnsi" w:hAnsiTheme="majorHAnsi"/>
          <w:sz w:val="22"/>
          <w:szCs w:val="22"/>
        </w:rPr>
        <w:t>mean</w:t>
      </w:r>
      <w:r w:rsidR="00C1296D" w:rsidRPr="003F437A">
        <w:rPr>
          <w:rFonts w:asciiTheme="majorHAnsi" w:hAnsiTheme="majorHAnsi"/>
          <w:sz w:val="22"/>
          <w:szCs w:val="22"/>
        </w:rPr>
        <w:t xml:space="preserve"> </w:t>
      </w:r>
      <w:r w:rsidR="000A323F" w:rsidRPr="003F437A">
        <w:rPr>
          <w:rFonts w:asciiTheme="majorHAnsi" w:hAnsiTheme="majorHAnsi"/>
          <w:sz w:val="22"/>
          <w:szCs w:val="22"/>
        </w:rPr>
        <w:t>3.63</w:t>
      </w:r>
      <w:r w:rsidR="007C5D32" w:rsidRPr="003F437A">
        <w:rPr>
          <w:rFonts w:asciiTheme="majorHAnsi" w:hAnsiTheme="majorHAnsi"/>
          <w:sz w:val="22"/>
          <w:szCs w:val="22"/>
        </w:rPr>
        <w:t>, median</w:t>
      </w:r>
      <w:r w:rsidR="00C1296D" w:rsidRPr="003F437A">
        <w:rPr>
          <w:rFonts w:asciiTheme="majorHAnsi" w:hAnsiTheme="majorHAnsi"/>
          <w:sz w:val="22"/>
          <w:szCs w:val="22"/>
        </w:rPr>
        <w:t xml:space="preserve"> (</w:t>
      </w:r>
      <w:r w:rsidR="007C5D32" w:rsidRPr="003F437A">
        <w:rPr>
          <w:rFonts w:asciiTheme="majorHAnsi" w:hAnsiTheme="majorHAnsi"/>
          <w:sz w:val="22"/>
          <w:szCs w:val="22"/>
        </w:rPr>
        <w:t>IQR)</w:t>
      </w:r>
      <w:r w:rsidR="00C1296D" w:rsidRPr="003F437A">
        <w:rPr>
          <w:rFonts w:asciiTheme="majorHAnsi" w:hAnsiTheme="majorHAnsi"/>
          <w:sz w:val="22"/>
          <w:szCs w:val="22"/>
        </w:rPr>
        <w:t xml:space="preserve"> </w:t>
      </w:r>
      <w:r w:rsidR="00E93421" w:rsidRPr="003F437A">
        <w:rPr>
          <w:rFonts w:asciiTheme="majorHAnsi" w:hAnsiTheme="majorHAnsi"/>
          <w:sz w:val="22"/>
          <w:szCs w:val="22"/>
        </w:rPr>
        <w:t>2 (1-</w:t>
      </w:r>
      <w:r w:rsidR="000A323F" w:rsidRPr="003F437A">
        <w:rPr>
          <w:rFonts w:asciiTheme="majorHAnsi" w:hAnsiTheme="majorHAnsi"/>
          <w:sz w:val="22"/>
          <w:szCs w:val="22"/>
        </w:rPr>
        <w:t>5</w:t>
      </w:r>
      <w:r w:rsidR="00C1296D" w:rsidRPr="003F437A">
        <w:rPr>
          <w:rFonts w:asciiTheme="majorHAnsi" w:hAnsiTheme="majorHAnsi"/>
          <w:sz w:val="22"/>
          <w:szCs w:val="22"/>
        </w:rPr>
        <w:t>)</w:t>
      </w:r>
      <w:r w:rsidRPr="003F437A">
        <w:rPr>
          <w:rFonts w:asciiTheme="majorHAnsi" w:hAnsiTheme="majorHAnsi"/>
          <w:sz w:val="22"/>
          <w:szCs w:val="22"/>
        </w:rPr>
        <w:t xml:space="preserve">. </w:t>
      </w:r>
      <w:r w:rsidR="00DE575F" w:rsidRPr="003F437A">
        <w:rPr>
          <w:rFonts w:asciiTheme="majorHAnsi" w:hAnsiTheme="majorHAnsi"/>
          <w:sz w:val="22"/>
          <w:szCs w:val="22"/>
        </w:rPr>
        <w:t>Patients with significant</w:t>
      </w:r>
      <w:r w:rsidR="00C1296D" w:rsidRPr="003F437A">
        <w:rPr>
          <w:rFonts w:asciiTheme="majorHAnsi" w:hAnsiTheme="majorHAnsi"/>
          <w:sz w:val="22"/>
          <w:szCs w:val="22"/>
        </w:rPr>
        <w:t xml:space="preserve"> distress selected more items overall than patients without distress (mean, median (QR) of </w:t>
      </w:r>
      <w:r w:rsidR="000A323F" w:rsidRPr="003F437A">
        <w:rPr>
          <w:rFonts w:asciiTheme="majorHAnsi" w:hAnsiTheme="majorHAnsi"/>
          <w:sz w:val="22"/>
          <w:szCs w:val="22"/>
        </w:rPr>
        <w:t>5.40</w:t>
      </w:r>
      <w:r w:rsidR="00C1296D" w:rsidRPr="003F437A">
        <w:rPr>
          <w:rFonts w:asciiTheme="majorHAnsi" w:hAnsiTheme="majorHAnsi"/>
          <w:sz w:val="22"/>
          <w:szCs w:val="22"/>
        </w:rPr>
        <w:t xml:space="preserve">, </w:t>
      </w:r>
      <w:r w:rsidR="00BF5394" w:rsidRPr="003F437A">
        <w:rPr>
          <w:rFonts w:asciiTheme="majorHAnsi" w:hAnsiTheme="majorHAnsi"/>
          <w:sz w:val="22"/>
          <w:szCs w:val="22"/>
        </w:rPr>
        <w:t>5 (2-8</w:t>
      </w:r>
      <w:r w:rsidR="00DE575F" w:rsidRPr="003F437A">
        <w:rPr>
          <w:rFonts w:asciiTheme="majorHAnsi" w:hAnsiTheme="majorHAnsi"/>
          <w:sz w:val="22"/>
          <w:szCs w:val="22"/>
        </w:rPr>
        <w:t>) versu</w:t>
      </w:r>
      <w:r w:rsidR="00C1296D" w:rsidRPr="003F437A">
        <w:rPr>
          <w:rFonts w:asciiTheme="majorHAnsi" w:hAnsiTheme="majorHAnsi"/>
          <w:sz w:val="22"/>
          <w:szCs w:val="22"/>
        </w:rPr>
        <w:t xml:space="preserve">s </w:t>
      </w:r>
      <w:r w:rsidR="000A323F" w:rsidRPr="003F437A">
        <w:rPr>
          <w:rFonts w:asciiTheme="majorHAnsi" w:hAnsiTheme="majorHAnsi"/>
          <w:sz w:val="22"/>
          <w:szCs w:val="22"/>
        </w:rPr>
        <w:t>2.61</w:t>
      </w:r>
      <w:r w:rsidR="00BF5394" w:rsidRPr="003F437A">
        <w:rPr>
          <w:rFonts w:asciiTheme="majorHAnsi" w:hAnsiTheme="majorHAnsi"/>
          <w:sz w:val="22"/>
          <w:szCs w:val="22"/>
        </w:rPr>
        <w:t>, 2 (0-4</w:t>
      </w:r>
      <w:r w:rsidR="00C1296D" w:rsidRPr="003F437A">
        <w:rPr>
          <w:rFonts w:asciiTheme="majorHAnsi" w:hAnsiTheme="majorHAnsi"/>
          <w:sz w:val="22"/>
          <w:szCs w:val="22"/>
        </w:rPr>
        <w:t>), Mann-Wh</w:t>
      </w:r>
      <w:r w:rsidR="009017D1" w:rsidRPr="003F437A">
        <w:rPr>
          <w:rFonts w:asciiTheme="majorHAnsi" w:hAnsiTheme="majorHAnsi"/>
          <w:sz w:val="22"/>
          <w:szCs w:val="22"/>
        </w:rPr>
        <w:t>itney test p&lt;0.001</w:t>
      </w:r>
      <w:r w:rsidR="00C1296D" w:rsidRPr="003F437A">
        <w:rPr>
          <w:rFonts w:asciiTheme="majorHAnsi" w:hAnsiTheme="majorHAnsi"/>
          <w:sz w:val="22"/>
          <w:szCs w:val="22"/>
        </w:rPr>
        <w:t>).  More specifically</w:t>
      </w:r>
      <w:r w:rsidR="00764417" w:rsidRPr="003F437A">
        <w:rPr>
          <w:rFonts w:asciiTheme="majorHAnsi" w:hAnsiTheme="majorHAnsi"/>
          <w:sz w:val="22"/>
          <w:szCs w:val="22"/>
        </w:rPr>
        <w:t>,</w:t>
      </w:r>
      <w:r w:rsidR="00C1296D" w:rsidRPr="003F437A">
        <w:rPr>
          <w:rFonts w:asciiTheme="majorHAnsi" w:hAnsiTheme="majorHAnsi"/>
          <w:sz w:val="22"/>
          <w:szCs w:val="22"/>
        </w:rPr>
        <w:t xml:space="preserve"> they selected more items from </w:t>
      </w:r>
      <w:r w:rsidR="00C0726B" w:rsidRPr="003F437A">
        <w:rPr>
          <w:rFonts w:asciiTheme="majorHAnsi" w:hAnsiTheme="majorHAnsi"/>
          <w:sz w:val="22"/>
          <w:szCs w:val="22"/>
        </w:rPr>
        <w:t>within the Physical and Functi</w:t>
      </w:r>
      <w:r w:rsidR="00BF5394" w:rsidRPr="003F437A">
        <w:rPr>
          <w:rFonts w:asciiTheme="majorHAnsi" w:hAnsiTheme="majorHAnsi"/>
          <w:sz w:val="22"/>
          <w:szCs w:val="22"/>
        </w:rPr>
        <w:t>onal well</w:t>
      </w:r>
      <w:r w:rsidR="002E2CDA" w:rsidRPr="003F437A">
        <w:rPr>
          <w:rFonts w:asciiTheme="majorHAnsi" w:hAnsiTheme="majorHAnsi"/>
          <w:sz w:val="22"/>
          <w:szCs w:val="22"/>
        </w:rPr>
        <w:t>-being domain (mean 3.87 versu</w:t>
      </w:r>
      <w:r w:rsidR="000A323F" w:rsidRPr="003F437A">
        <w:rPr>
          <w:rFonts w:asciiTheme="majorHAnsi" w:hAnsiTheme="majorHAnsi"/>
          <w:sz w:val="22"/>
          <w:szCs w:val="22"/>
        </w:rPr>
        <w:t>s 1.96</w:t>
      </w:r>
      <w:r w:rsidR="00857703" w:rsidRPr="003F437A">
        <w:rPr>
          <w:rFonts w:asciiTheme="majorHAnsi" w:hAnsiTheme="majorHAnsi"/>
          <w:sz w:val="22"/>
          <w:szCs w:val="22"/>
        </w:rPr>
        <w:t>)</w:t>
      </w:r>
      <w:r w:rsidR="000A323F" w:rsidRPr="003F437A">
        <w:rPr>
          <w:rFonts w:asciiTheme="majorHAnsi" w:hAnsiTheme="majorHAnsi"/>
          <w:sz w:val="22"/>
          <w:szCs w:val="22"/>
        </w:rPr>
        <w:t xml:space="preserve"> and</w:t>
      </w:r>
      <w:r w:rsidR="00E04C84" w:rsidRPr="003F437A">
        <w:rPr>
          <w:rFonts w:asciiTheme="majorHAnsi" w:hAnsiTheme="majorHAnsi"/>
          <w:sz w:val="22"/>
          <w:szCs w:val="22"/>
        </w:rPr>
        <w:t xml:space="preserve"> the</w:t>
      </w:r>
      <w:r w:rsidR="00C0726B" w:rsidRPr="003F437A">
        <w:rPr>
          <w:rFonts w:asciiTheme="majorHAnsi" w:hAnsiTheme="majorHAnsi"/>
          <w:sz w:val="22"/>
          <w:szCs w:val="22"/>
        </w:rPr>
        <w:t xml:space="preserve"> Psycholog</w:t>
      </w:r>
      <w:r w:rsidR="00BF5394" w:rsidRPr="003F437A">
        <w:rPr>
          <w:rFonts w:asciiTheme="majorHAnsi" w:hAnsiTheme="majorHAnsi"/>
          <w:sz w:val="22"/>
          <w:szCs w:val="22"/>
        </w:rPr>
        <w:t xml:space="preserve">ical and Emotional well-being </w:t>
      </w:r>
      <w:r w:rsidR="002E2CDA" w:rsidRPr="003F437A">
        <w:rPr>
          <w:rFonts w:asciiTheme="majorHAnsi" w:hAnsiTheme="majorHAnsi"/>
          <w:sz w:val="22"/>
          <w:szCs w:val="22"/>
        </w:rPr>
        <w:t>domain (1.16 versu</w:t>
      </w:r>
      <w:r w:rsidR="000A323F" w:rsidRPr="003F437A">
        <w:rPr>
          <w:rFonts w:asciiTheme="majorHAnsi" w:hAnsiTheme="majorHAnsi"/>
          <w:sz w:val="22"/>
          <w:szCs w:val="22"/>
        </w:rPr>
        <w:t>s 0.46</w:t>
      </w:r>
      <w:r w:rsidR="00857703" w:rsidRPr="003F437A">
        <w:rPr>
          <w:rFonts w:asciiTheme="majorHAnsi" w:hAnsiTheme="majorHAnsi"/>
          <w:sz w:val="22"/>
          <w:szCs w:val="22"/>
        </w:rPr>
        <w:t xml:space="preserve">) </w:t>
      </w:r>
      <w:r w:rsidR="000A323F" w:rsidRPr="003F437A">
        <w:rPr>
          <w:rFonts w:asciiTheme="majorHAnsi" w:hAnsiTheme="majorHAnsi"/>
          <w:sz w:val="22"/>
          <w:szCs w:val="22"/>
        </w:rPr>
        <w:t>than from t</w:t>
      </w:r>
      <w:r w:rsidR="00857703" w:rsidRPr="003F437A">
        <w:rPr>
          <w:rFonts w:asciiTheme="majorHAnsi" w:hAnsiTheme="majorHAnsi"/>
          <w:sz w:val="22"/>
          <w:szCs w:val="22"/>
        </w:rPr>
        <w:t>he Social care/</w:t>
      </w:r>
      <w:r w:rsidR="00C0726B" w:rsidRPr="003F437A">
        <w:rPr>
          <w:rFonts w:asciiTheme="majorHAnsi" w:hAnsiTheme="majorHAnsi"/>
          <w:sz w:val="22"/>
          <w:szCs w:val="22"/>
        </w:rPr>
        <w:t>S</w:t>
      </w:r>
      <w:r w:rsidR="002E2CDA" w:rsidRPr="003F437A">
        <w:rPr>
          <w:rFonts w:asciiTheme="majorHAnsi" w:hAnsiTheme="majorHAnsi"/>
          <w:sz w:val="22"/>
          <w:szCs w:val="22"/>
        </w:rPr>
        <w:t>ocial well-being domain (0.21 versu</w:t>
      </w:r>
      <w:r w:rsidR="000A323F" w:rsidRPr="003F437A">
        <w:rPr>
          <w:rFonts w:asciiTheme="majorHAnsi" w:hAnsiTheme="majorHAnsi"/>
          <w:sz w:val="22"/>
          <w:szCs w:val="22"/>
        </w:rPr>
        <w:t>s 0.10</w:t>
      </w:r>
      <w:r w:rsidR="00C0726B" w:rsidRPr="003F437A">
        <w:rPr>
          <w:rFonts w:asciiTheme="majorHAnsi" w:hAnsiTheme="majorHAnsi"/>
          <w:sz w:val="22"/>
          <w:szCs w:val="22"/>
        </w:rPr>
        <w:t>)</w:t>
      </w:r>
      <w:r w:rsidR="00C1296D" w:rsidRPr="003F437A">
        <w:rPr>
          <w:rFonts w:asciiTheme="majorHAnsi" w:hAnsiTheme="majorHAnsi"/>
          <w:sz w:val="22"/>
          <w:szCs w:val="22"/>
        </w:rPr>
        <w:t xml:space="preserve"> </w:t>
      </w:r>
      <w:r w:rsidR="00BF5394" w:rsidRPr="003F437A">
        <w:rPr>
          <w:rFonts w:asciiTheme="majorHAnsi" w:hAnsiTheme="majorHAnsi"/>
          <w:sz w:val="22"/>
          <w:szCs w:val="22"/>
        </w:rPr>
        <w:t>and</w:t>
      </w:r>
      <w:r w:rsidR="00C0726B" w:rsidRPr="003F437A">
        <w:rPr>
          <w:rFonts w:asciiTheme="majorHAnsi" w:hAnsiTheme="majorHAnsi"/>
          <w:sz w:val="22"/>
          <w:szCs w:val="22"/>
        </w:rPr>
        <w:t xml:space="preserve"> Treatm</w:t>
      </w:r>
      <w:r w:rsidR="002E2CDA" w:rsidRPr="003F437A">
        <w:rPr>
          <w:rFonts w:asciiTheme="majorHAnsi" w:hAnsiTheme="majorHAnsi"/>
          <w:sz w:val="22"/>
          <w:szCs w:val="22"/>
        </w:rPr>
        <w:t>ent-related domain (0.16 versu</w:t>
      </w:r>
      <w:r w:rsidR="000A323F" w:rsidRPr="003F437A">
        <w:rPr>
          <w:rFonts w:asciiTheme="majorHAnsi" w:hAnsiTheme="majorHAnsi"/>
          <w:sz w:val="22"/>
          <w:szCs w:val="22"/>
        </w:rPr>
        <w:t>s 0.08</w:t>
      </w:r>
      <w:r w:rsidR="00C0726B" w:rsidRPr="003F437A">
        <w:rPr>
          <w:rFonts w:asciiTheme="majorHAnsi" w:hAnsiTheme="majorHAnsi"/>
          <w:sz w:val="22"/>
          <w:szCs w:val="22"/>
        </w:rPr>
        <w:t>).</w:t>
      </w:r>
      <w:r w:rsidR="00C1296D" w:rsidRPr="003F437A">
        <w:rPr>
          <w:rFonts w:asciiTheme="majorHAnsi" w:hAnsiTheme="majorHAnsi"/>
          <w:sz w:val="22"/>
          <w:szCs w:val="22"/>
        </w:rPr>
        <w:t xml:space="preserve"> </w:t>
      </w:r>
      <w:r w:rsidR="001E0D7B" w:rsidRPr="003F437A">
        <w:rPr>
          <w:rFonts w:asciiTheme="majorHAnsi" w:hAnsiTheme="majorHAnsi"/>
          <w:sz w:val="22"/>
          <w:szCs w:val="22"/>
        </w:rPr>
        <w:t xml:space="preserve">The association between PCI items and significant distress is also summarised in </w:t>
      </w:r>
      <w:r w:rsidR="001E0D7B" w:rsidRPr="00E85202">
        <w:rPr>
          <w:rFonts w:asciiTheme="majorHAnsi" w:hAnsiTheme="majorHAnsi"/>
          <w:sz w:val="22"/>
          <w:szCs w:val="22"/>
        </w:rPr>
        <w:t xml:space="preserve">Table 2. There were trends within each domain for </w:t>
      </w:r>
      <w:r w:rsidR="008A1A70" w:rsidRPr="00C02D2C">
        <w:rPr>
          <w:rFonts w:asciiTheme="majorHAnsi" w:hAnsiTheme="majorHAnsi"/>
          <w:sz w:val="22"/>
          <w:szCs w:val="22"/>
        </w:rPr>
        <w:t>the likelihood of significant distress to increase with the numbe</w:t>
      </w:r>
      <w:r w:rsidR="008A1A70" w:rsidRPr="003F437A">
        <w:rPr>
          <w:rFonts w:asciiTheme="majorHAnsi" w:hAnsiTheme="majorHAnsi"/>
          <w:sz w:val="22"/>
          <w:szCs w:val="22"/>
        </w:rPr>
        <w:t xml:space="preserve">r of items selected and for this to be compounded within the total score. In stepwise logistic regression to predict significant distress using the category variables within </w:t>
      </w:r>
      <w:r w:rsidR="008A1A70" w:rsidRPr="00E85202">
        <w:rPr>
          <w:rFonts w:asciiTheme="majorHAnsi" w:hAnsiTheme="majorHAnsi"/>
          <w:sz w:val="22"/>
          <w:szCs w:val="22"/>
        </w:rPr>
        <w:t>Table 2</w:t>
      </w:r>
      <w:r w:rsidR="006A7C9A">
        <w:rPr>
          <w:rFonts w:asciiTheme="majorHAnsi" w:hAnsiTheme="majorHAnsi"/>
          <w:sz w:val="22"/>
          <w:szCs w:val="22"/>
        </w:rPr>
        <w:t>,</w:t>
      </w:r>
      <w:r w:rsidR="008A1A70" w:rsidRPr="00E85202">
        <w:rPr>
          <w:rFonts w:asciiTheme="majorHAnsi" w:hAnsiTheme="majorHAnsi"/>
          <w:sz w:val="22"/>
          <w:szCs w:val="22"/>
        </w:rPr>
        <w:t xml:space="preserve"> the total number of items was the only variable selected (at p&lt;0.001) in regression modeling with p&lt;0.01 inclusion criter</w:t>
      </w:r>
      <w:r w:rsidR="008A1A70" w:rsidRPr="00C02D2C">
        <w:rPr>
          <w:rFonts w:asciiTheme="majorHAnsi" w:hAnsiTheme="majorHAnsi"/>
          <w:sz w:val="22"/>
          <w:szCs w:val="22"/>
        </w:rPr>
        <w:t>ia. Three distinct predictive groups were apparent:  2</w:t>
      </w:r>
      <w:r w:rsidR="00227128">
        <w:rPr>
          <w:rFonts w:asciiTheme="majorHAnsi" w:hAnsiTheme="majorHAnsi"/>
          <w:sz w:val="22"/>
          <w:szCs w:val="22"/>
        </w:rPr>
        <w:t>1</w:t>
      </w:r>
      <w:r w:rsidR="008A1A70" w:rsidRPr="00C02D2C">
        <w:rPr>
          <w:rFonts w:asciiTheme="majorHAnsi" w:hAnsiTheme="majorHAnsi"/>
          <w:sz w:val="22"/>
          <w:szCs w:val="22"/>
        </w:rPr>
        <w:t xml:space="preserve">% of patients </w:t>
      </w:r>
      <w:r w:rsidR="00F15FCD" w:rsidRPr="003F437A">
        <w:rPr>
          <w:rFonts w:asciiTheme="majorHAnsi" w:hAnsiTheme="majorHAnsi"/>
          <w:sz w:val="22"/>
          <w:szCs w:val="22"/>
        </w:rPr>
        <w:t>selecting zero</w:t>
      </w:r>
      <w:r w:rsidR="008A1A70" w:rsidRPr="003F437A">
        <w:rPr>
          <w:rFonts w:asciiTheme="majorHAnsi" w:hAnsiTheme="majorHAnsi"/>
          <w:sz w:val="22"/>
          <w:szCs w:val="22"/>
        </w:rPr>
        <w:t xml:space="preserve"> items - </w:t>
      </w:r>
      <w:r w:rsidR="00F15FCD" w:rsidRPr="003F437A">
        <w:rPr>
          <w:rFonts w:asciiTheme="majorHAnsi" w:hAnsiTheme="majorHAnsi"/>
          <w:sz w:val="22"/>
          <w:szCs w:val="22"/>
        </w:rPr>
        <w:t>9% (3/35) distressed, 47% selecting 1-4 items - 30% (24/80)</w:t>
      </w:r>
      <w:r w:rsidR="00840D97" w:rsidRPr="003F437A">
        <w:rPr>
          <w:rFonts w:asciiTheme="majorHAnsi" w:hAnsiTheme="majorHAnsi"/>
          <w:sz w:val="22"/>
          <w:szCs w:val="22"/>
        </w:rPr>
        <w:t xml:space="preserve"> distressed</w:t>
      </w:r>
      <w:r w:rsidR="00F15FCD" w:rsidRPr="003F437A">
        <w:rPr>
          <w:rFonts w:asciiTheme="majorHAnsi" w:hAnsiTheme="majorHAnsi"/>
          <w:sz w:val="22"/>
          <w:szCs w:val="22"/>
        </w:rPr>
        <w:t xml:space="preserve">, and 32% selecting 5 or more items - 64% (35/55) distressed. </w:t>
      </w:r>
      <w:r w:rsidR="00E93421" w:rsidRPr="003F437A">
        <w:rPr>
          <w:rFonts w:asciiTheme="majorHAnsi" w:hAnsiTheme="majorHAnsi"/>
          <w:sz w:val="22"/>
          <w:szCs w:val="22"/>
        </w:rPr>
        <w:t xml:space="preserve"> </w:t>
      </w:r>
      <w:r w:rsidR="00B60EF4" w:rsidRPr="003F437A">
        <w:rPr>
          <w:rFonts w:asciiTheme="majorHAnsi" w:hAnsiTheme="majorHAnsi"/>
          <w:sz w:val="22"/>
          <w:szCs w:val="22"/>
        </w:rPr>
        <w:t>Possible cut-offs in the</w:t>
      </w:r>
      <w:r w:rsidR="00E93421" w:rsidRPr="003F437A">
        <w:rPr>
          <w:rFonts w:asciiTheme="majorHAnsi" w:hAnsiTheme="majorHAnsi"/>
          <w:sz w:val="22"/>
          <w:szCs w:val="22"/>
        </w:rPr>
        <w:t xml:space="preserve"> number of PCI </w:t>
      </w:r>
      <w:r w:rsidR="00E93421" w:rsidRPr="003F437A">
        <w:rPr>
          <w:rFonts w:asciiTheme="majorHAnsi" w:hAnsiTheme="majorHAnsi"/>
          <w:sz w:val="22"/>
          <w:szCs w:val="22"/>
        </w:rPr>
        <w:t xml:space="preserve">items </w:t>
      </w:r>
      <w:r w:rsidR="006A7C9A">
        <w:rPr>
          <w:rFonts w:asciiTheme="majorHAnsi" w:hAnsiTheme="majorHAnsi"/>
          <w:sz w:val="22"/>
          <w:szCs w:val="22"/>
        </w:rPr>
        <w:t xml:space="preserve">selected </w:t>
      </w:r>
      <w:r w:rsidR="00E93421" w:rsidRPr="003F437A">
        <w:rPr>
          <w:rFonts w:asciiTheme="majorHAnsi" w:hAnsiTheme="majorHAnsi"/>
          <w:sz w:val="22"/>
          <w:szCs w:val="22"/>
        </w:rPr>
        <w:t xml:space="preserve">in </w:t>
      </w:r>
      <w:r w:rsidR="00E93421" w:rsidRPr="003F437A">
        <w:rPr>
          <w:rFonts w:asciiTheme="majorHAnsi" w:hAnsiTheme="majorHAnsi"/>
          <w:sz w:val="22"/>
          <w:szCs w:val="22"/>
        </w:rPr>
        <w:t>relation to significant distress</w:t>
      </w:r>
      <w:r w:rsidR="00B60EF4" w:rsidRPr="003F437A">
        <w:rPr>
          <w:rFonts w:asciiTheme="majorHAnsi" w:hAnsiTheme="majorHAnsi"/>
          <w:sz w:val="22"/>
          <w:szCs w:val="22"/>
        </w:rPr>
        <w:t xml:space="preserve"> are explored in </w:t>
      </w:r>
      <w:r w:rsidR="00B60EF4" w:rsidRPr="00E85202">
        <w:rPr>
          <w:rFonts w:asciiTheme="majorHAnsi" w:hAnsiTheme="majorHAnsi"/>
          <w:sz w:val="22"/>
          <w:szCs w:val="22"/>
        </w:rPr>
        <w:t>Table 3.</w:t>
      </w:r>
      <w:r w:rsidR="00840D97" w:rsidRPr="00E85202">
        <w:rPr>
          <w:rFonts w:asciiTheme="majorHAnsi" w:hAnsiTheme="majorHAnsi"/>
          <w:sz w:val="22"/>
          <w:szCs w:val="22"/>
        </w:rPr>
        <w:t xml:space="preserve"> </w:t>
      </w:r>
      <w:r w:rsidR="00C1296D" w:rsidRPr="00E85202">
        <w:rPr>
          <w:rFonts w:asciiTheme="majorHAnsi" w:hAnsiTheme="majorHAnsi"/>
          <w:sz w:val="22"/>
          <w:szCs w:val="22"/>
        </w:rPr>
        <w:t>Specific</w:t>
      </w:r>
      <w:r w:rsidR="00C0726B" w:rsidRPr="00E85202">
        <w:rPr>
          <w:rFonts w:asciiTheme="majorHAnsi" w:hAnsiTheme="majorHAnsi"/>
          <w:sz w:val="22"/>
          <w:szCs w:val="22"/>
        </w:rPr>
        <w:t xml:space="preserve"> PCI items </w:t>
      </w:r>
      <w:r w:rsidR="00C1296D" w:rsidRPr="00E85202">
        <w:rPr>
          <w:rFonts w:asciiTheme="majorHAnsi" w:hAnsiTheme="majorHAnsi"/>
          <w:sz w:val="22"/>
          <w:szCs w:val="22"/>
        </w:rPr>
        <w:t>associated</w:t>
      </w:r>
      <w:r w:rsidR="00C0726B" w:rsidRPr="00E85202">
        <w:rPr>
          <w:rFonts w:asciiTheme="majorHAnsi" w:hAnsiTheme="majorHAnsi"/>
          <w:sz w:val="22"/>
          <w:szCs w:val="22"/>
        </w:rPr>
        <w:t xml:space="preserve"> with significant di</w:t>
      </w:r>
      <w:r w:rsidR="002E2CDA" w:rsidRPr="00DF0C7C">
        <w:rPr>
          <w:rFonts w:asciiTheme="majorHAnsi" w:hAnsiTheme="majorHAnsi"/>
          <w:sz w:val="22"/>
          <w:szCs w:val="22"/>
        </w:rPr>
        <w:t>stress are s</w:t>
      </w:r>
      <w:r w:rsidR="00771FD7" w:rsidRPr="00DF0C7C">
        <w:rPr>
          <w:rFonts w:asciiTheme="majorHAnsi" w:hAnsiTheme="majorHAnsi"/>
          <w:sz w:val="22"/>
          <w:szCs w:val="22"/>
        </w:rPr>
        <w:t>hown</w:t>
      </w:r>
      <w:r w:rsidR="002E2CDA" w:rsidRPr="006B3CC7">
        <w:rPr>
          <w:rFonts w:asciiTheme="majorHAnsi" w:hAnsiTheme="majorHAnsi"/>
          <w:sz w:val="22"/>
          <w:szCs w:val="22"/>
        </w:rPr>
        <w:t xml:space="preserve"> in </w:t>
      </w:r>
      <w:r w:rsidR="00F77AAD" w:rsidRPr="00E85202">
        <w:rPr>
          <w:rFonts w:asciiTheme="majorHAnsi" w:hAnsiTheme="majorHAnsi"/>
          <w:sz w:val="22"/>
          <w:szCs w:val="22"/>
        </w:rPr>
        <w:t>Table 4</w:t>
      </w:r>
      <w:r w:rsidR="00771FD7" w:rsidRPr="00E85202">
        <w:rPr>
          <w:rFonts w:asciiTheme="majorHAnsi" w:hAnsiTheme="majorHAnsi"/>
          <w:sz w:val="22"/>
          <w:szCs w:val="22"/>
        </w:rPr>
        <w:t>.</w:t>
      </w:r>
    </w:p>
    <w:p w14:paraId="3E922E5F" w14:textId="77777777" w:rsidR="0092317F" w:rsidRPr="00C02D2C" w:rsidRDefault="0092317F" w:rsidP="00075D52">
      <w:pPr>
        <w:spacing w:line="360" w:lineRule="auto"/>
        <w:jc w:val="both"/>
        <w:rPr>
          <w:rFonts w:asciiTheme="majorHAnsi" w:hAnsiTheme="majorHAnsi"/>
          <w:b/>
          <w:sz w:val="22"/>
          <w:szCs w:val="22"/>
        </w:rPr>
      </w:pPr>
    </w:p>
    <w:p w14:paraId="0909B919" w14:textId="77777777" w:rsidR="000569D4" w:rsidRPr="003F437A" w:rsidRDefault="000569D4" w:rsidP="000569D4">
      <w:pPr>
        <w:spacing w:line="360" w:lineRule="auto"/>
        <w:jc w:val="both"/>
        <w:rPr>
          <w:rFonts w:asciiTheme="majorHAnsi" w:hAnsiTheme="majorHAnsi"/>
          <w:i/>
          <w:sz w:val="22"/>
          <w:szCs w:val="22"/>
        </w:rPr>
      </w:pPr>
      <w:r w:rsidRPr="003F437A">
        <w:rPr>
          <w:rFonts w:asciiTheme="majorHAnsi" w:hAnsiTheme="majorHAnsi"/>
          <w:i/>
          <w:sz w:val="22"/>
          <w:szCs w:val="22"/>
        </w:rPr>
        <w:t>Distress and patient concerns and length of consultation</w:t>
      </w:r>
    </w:p>
    <w:p w14:paraId="550EAB9A" w14:textId="77777777" w:rsidR="00764417" w:rsidRPr="003F437A" w:rsidRDefault="00764417" w:rsidP="00075D52">
      <w:pPr>
        <w:spacing w:line="360" w:lineRule="auto"/>
        <w:jc w:val="both"/>
        <w:rPr>
          <w:rFonts w:asciiTheme="majorHAnsi" w:hAnsiTheme="majorHAnsi"/>
          <w:sz w:val="22"/>
          <w:szCs w:val="22"/>
        </w:rPr>
      </w:pPr>
    </w:p>
    <w:p w14:paraId="2EDA23A4" w14:textId="3386608F" w:rsidR="00F7341B" w:rsidRPr="003F437A" w:rsidRDefault="000569D4" w:rsidP="00075D52">
      <w:pPr>
        <w:spacing w:line="360" w:lineRule="auto"/>
        <w:jc w:val="both"/>
        <w:rPr>
          <w:rFonts w:asciiTheme="majorHAnsi" w:hAnsiTheme="majorHAnsi"/>
          <w:sz w:val="22"/>
          <w:szCs w:val="22"/>
        </w:rPr>
      </w:pPr>
      <w:r w:rsidRPr="003F437A">
        <w:rPr>
          <w:rFonts w:asciiTheme="majorHAnsi" w:hAnsiTheme="majorHAnsi"/>
          <w:sz w:val="22"/>
          <w:szCs w:val="22"/>
        </w:rPr>
        <w:t>The median (IQR)</w:t>
      </w:r>
      <w:r w:rsidR="002F396E" w:rsidRPr="003F437A">
        <w:rPr>
          <w:rFonts w:asciiTheme="majorHAnsi" w:hAnsiTheme="majorHAnsi"/>
          <w:sz w:val="22"/>
          <w:szCs w:val="22"/>
        </w:rPr>
        <w:t xml:space="preserve"> number of items actually discussed </w:t>
      </w:r>
      <w:r w:rsidR="00F7341B" w:rsidRPr="003F437A">
        <w:rPr>
          <w:rFonts w:asciiTheme="majorHAnsi" w:hAnsiTheme="majorHAnsi"/>
          <w:sz w:val="22"/>
          <w:szCs w:val="22"/>
        </w:rPr>
        <w:t xml:space="preserve">in the </w:t>
      </w:r>
      <w:r w:rsidR="00E5315D" w:rsidRPr="003F437A">
        <w:rPr>
          <w:rFonts w:asciiTheme="majorHAnsi" w:hAnsiTheme="majorHAnsi"/>
          <w:sz w:val="22"/>
          <w:szCs w:val="22"/>
        </w:rPr>
        <w:t xml:space="preserve">audiorecorded </w:t>
      </w:r>
      <w:r w:rsidR="00F7341B" w:rsidRPr="003F437A">
        <w:rPr>
          <w:rFonts w:asciiTheme="majorHAnsi" w:hAnsiTheme="majorHAnsi"/>
          <w:sz w:val="22"/>
          <w:szCs w:val="22"/>
        </w:rPr>
        <w:t>consultation</w:t>
      </w:r>
      <w:r w:rsidR="00E5315D" w:rsidRPr="003F437A">
        <w:rPr>
          <w:rFonts w:asciiTheme="majorHAnsi" w:hAnsiTheme="majorHAnsi"/>
          <w:sz w:val="22"/>
          <w:szCs w:val="22"/>
        </w:rPr>
        <w:t>s</w:t>
      </w:r>
      <w:r w:rsidR="00F7341B" w:rsidRPr="003F437A">
        <w:rPr>
          <w:rFonts w:asciiTheme="majorHAnsi" w:hAnsiTheme="majorHAnsi"/>
          <w:sz w:val="22"/>
          <w:szCs w:val="22"/>
        </w:rPr>
        <w:t xml:space="preserve"> was 3 (2-5) items</w:t>
      </w:r>
      <w:r w:rsidR="00840D97" w:rsidRPr="003F437A">
        <w:rPr>
          <w:rFonts w:asciiTheme="majorHAnsi" w:hAnsiTheme="majorHAnsi"/>
          <w:sz w:val="22"/>
          <w:szCs w:val="22"/>
        </w:rPr>
        <w:t>, n=141</w:t>
      </w:r>
      <w:r w:rsidR="00F7341B" w:rsidRPr="003F437A">
        <w:rPr>
          <w:rFonts w:asciiTheme="majorHAnsi" w:hAnsiTheme="majorHAnsi"/>
          <w:sz w:val="22"/>
          <w:szCs w:val="22"/>
        </w:rPr>
        <w:t>.  When patients were distressed and three or fewer items were discussed (19 patients)</w:t>
      </w:r>
      <w:r w:rsidR="003C00FA" w:rsidRPr="003F437A">
        <w:rPr>
          <w:rFonts w:asciiTheme="majorHAnsi" w:hAnsiTheme="majorHAnsi"/>
          <w:sz w:val="22"/>
          <w:szCs w:val="22"/>
        </w:rPr>
        <w:t>,</w:t>
      </w:r>
      <w:r w:rsidR="00F7341B" w:rsidRPr="003F437A">
        <w:rPr>
          <w:rFonts w:asciiTheme="majorHAnsi" w:hAnsiTheme="majorHAnsi"/>
          <w:sz w:val="22"/>
          <w:szCs w:val="22"/>
        </w:rPr>
        <w:t xml:space="preserve"> the median (IQR) length of consultation was 4.2 (3.1-6.0) minutes; when four or more items were discussed (33 patients)</w:t>
      </w:r>
      <w:r w:rsidR="003C00FA" w:rsidRPr="003F437A">
        <w:rPr>
          <w:rFonts w:asciiTheme="majorHAnsi" w:hAnsiTheme="majorHAnsi"/>
          <w:sz w:val="22"/>
          <w:szCs w:val="22"/>
        </w:rPr>
        <w:t>,</w:t>
      </w:r>
      <w:r w:rsidR="00F7341B" w:rsidRPr="003F437A">
        <w:rPr>
          <w:rFonts w:asciiTheme="majorHAnsi" w:hAnsiTheme="majorHAnsi"/>
          <w:sz w:val="22"/>
          <w:szCs w:val="22"/>
        </w:rPr>
        <w:t xml:space="preserve"> the median (IQR) consultation len</w:t>
      </w:r>
      <w:r w:rsidR="00743AEF" w:rsidRPr="003F437A">
        <w:rPr>
          <w:rFonts w:asciiTheme="majorHAnsi" w:hAnsiTheme="majorHAnsi"/>
          <w:sz w:val="22"/>
          <w:szCs w:val="22"/>
        </w:rPr>
        <w:t>gth was 8.4 (5.5-12.1) minutes (</w:t>
      </w:r>
      <w:r w:rsidR="00F7341B" w:rsidRPr="003F437A">
        <w:rPr>
          <w:rFonts w:asciiTheme="majorHAnsi" w:hAnsiTheme="majorHAnsi"/>
          <w:sz w:val="22"/>
          <w:szCs w:val="22"/>
        </w:rPr>
        <w:t>Mann-Whitney test</w:t>
      </w:r>
      <w:r w:rsidR="00743AEF" w:rsidRPr="003F437A">
        <w:rPr>
          <w:rFonts w:asciiTheme="majorHAnsi" w:hAnsiTheme="majorHAnsi"/>
          <w:sz w:val="22"/>
          <w:szCs w:val="22"/>
        </w:rPr>
        <w:t>, p&lt;0.001)</w:t>
      </w:r>
      <w:r w:rsidR="00F7341B" w:rsidRPr="003F437A">
        <w:rPr>
          <w:rFonts w:asciiTheme="majorHAnsi" w:hAnsiTheme="majorHAnsi"/>
          <w:sz w:val="22"/>
          <w:szCs w:val="22"/>
        </w:rPr>
        <w:t>. In the absence of distress and three or fewer items were discussed (63 patients)</w:t>
      </w:r>
      <w:r w:rsidR="003C00FA" w:rsidRPr="003F437A">
        <w:rPr>
          <w:rFonts w:asciiTheme="majorHAnsi" w:hAnsiTheme="majorHAnsi"/>
          <w:sz w:val="22"/>
          <w:szCs w:val="22"/>
        </w:rPr>
        <w:t>,</w:t>
      </w:r>
      <w:r w:rsidR="00F7341B" w:rsidRPr="003F437A">
        <w:rPr>
          <w:rFonts w:asciiTheme="majorHAnsi" w:hAnsiTheme="majorHAnsi"/>
          <w:sz w:val="22"/>
          <w:szCs w:val="22"/>
        </w:rPr>
        <w:t xml:space="preserve"> the median (IQR) length of consultation was 3.3 (2.6-6.2) minutes; when four or more items were discussed (26 patients) the median (IQR) consultation length was 6.4 (</w:t>
      </w:r>
      <w:r w:rsidRPr="003F437A">
        <w:rPr>
          <w:rFonts w:asciiTheme="majorHAnsi" w:hAnsiTheme="majorHAnsi"/>
          <w:sz w:val="22"/>
          <w:szCs w:val="22"/>
        </w:rPr>
        <w:t>4.3-8.9</w:t>
      </w:r>
      <w:r w:rsidR="00F7341B" w:rsidRPr="003F437A">
        <w:rPr>
          <w:rFonts w:asciiTheme="majorHAnsi" w:hAnsiTheme="majorHAnsi"/>
          <w:sz w:val="22"/>
          <w:szCs w:val="22"/>
        </w:rPr>
        <w:t>) minutes</w:t>
      </w:r>
      <w:r w:rsidR="00743AEF" w:rsidRPr="003F437A">
        <w:rPr>
          <w:rFonts w:asciiTheme="majorHAnsi" w:hAnsiTheme="majorHAnsi"/>
          <w:sz w:val="22"/>
          <w:szCs w:val="22"/>
        </w:rPr>
        <w:t xml:space="preserve"> (Mann-Whitney test, p&lt;0.001).</w:t>
      </w:r>
    </w:p>
    <w:p w14:paraId="01960540" w14:textId="77777777" w:rsidR="00743AEF" w:rsidRPr="003F437A" w:rsidRDefault="00743AEF" w:rsidP="00075D52">
      <w:pPr>
        <w:spacing w:line="360" w:lineRule="auto"/>
        <w:jc w:val="both"/>
        <w:rPr>
          <w:rFonts w:asciiTheme="majorHAnsi" w:hAnsiTheme="majorHAnsi"/>
          <w:sz w:val="22"/>
          <w:szCs w:val="22"/>
        </w:rPr>
      </w:pPr>
    </w:p>
    <w:p w14:paraId="73542457" w14:textId="77777777" w:rsidR="0092317F" w:rsidRPr="003F437A" w:rsidRDefault="0092317F" w:rsidP="00075D52">
      <w:pPr>
        <w:spacing w:line="360" w:lineRule="auto"/>
        <w:jc w:val="both"/>
        <w:rPr>
          <w:rFonts w:asciiTheme="majorHAnsi" w:hAnsiTheme="majorHAnsi"/>
          <w:i/>
          <w:sz w:val="22"/>
          <w:szCs w:val="22"/>
        </w:rPr>
      </w:pPr>
      <w:r w:rsidRPr="003F437A">
        <w:rPr>
          <w:rFonts w:asciiTheme="majorHAnsi" w:hAnsiTheme="majorHAnsi"/>
          <w:i/>
          <w:sz w:val="22"/>
          <w:szCs w:val="22"/>
        </w:rPr>
        <w:t>Distress and perceived need for services</w:t>
      </w:r>
    </w:p>
    <w:p w14:paraId="7E03115E" w14:textId="77777777" w:rsidR="00DE575F" w:rsidRPr="003F437A" w:rsidRDefault="00DE575F" w:rsidP="00075D52">
      <w:pPr>
        <w:spacing w:line="360" w:lineRule="auto"/>
        <w:jc w:val="both"/>
        <w:rPr>
          <w:rFonts w:asciiTheme="majorHAnsi" w:hAnsiTheme="majorHAnsi"/>
          <w:sz w:val="22"/>
          <w:szCs w:val="22"/>
        </w:rPr>
      </w:pPr>
    </w:p>
    <w:p w14:paraId="56BE40F4" w14:textId="77777777" w:rsidR="00085C70" w:rsidRPr="003F437A" w:rsidRDefault="00237F0F" w:rsidP="00075D52">
      <w:pPr>
        <w:spacing w:line="360" w:lineRule="auto"/>
        <w:jc w:val="both"/>
        <w:rPr>
          <w:rFonts w:asciiTheme="majorHAnsi" w:hAnsiTheme="majorHAnsi"/>
          <w:sz w:val="22"/>
          <w:szCs w:val="22"/>
        </w:rPr>
      </w:pPr>
      <w:r w:rsidRPr="003F437A">
        <w:rPr>
          <w:rFonts w:asciiTheme="majorHAnsi" w:hAnsiTheme="majorHAnsi"/>
          <w:sz w:val="22"/>
          <w:szCs w:val="22"/>
        </w:rPr>
        <w:t>Overall, the number of professional</w:t>
      </w:r>
      <w:r w:rsidR="00E04C84" w:rsidRPr="003F437A">
        <w:rPr>
          <w:rFonts w:asciiTheme="majorHAnsi" w:hAnsiTheme="majorHAnsi"/>
          <w:sz w:val="22"/>
          <w:szCs w:val="22"/>
        </w:rPr>
        <w:t>s</w:t>
      </w:r>
      <w:r w:rsidRPr="003F437A">
        <w:rPr>
          <w:rFonts w:asciiTheme="majorHAnsi" w:hAnsiTheme="majorHAnsi"/>
          <w:sz w:val="22"/>
          <w:szCs w:val="22"/>
        </w:rPr>
        <w:t xml:space="preserve"> selected ranged from 0-4, mean </w:t>
      </w:r>
      <w:r w:rsidR="000A323F" w:rsidRPr="003F437A">
        <w:rPr>
          <w:rFonts w:asciiTheme="majorHAnsi" w:hAnsiTheme="majorHAnsi"/>
          <w:sz w:val="22"/>
          <w:szCs w:val="22"/>
        </w:rPr>
        <w:t>0.38</w:t>
      </w:r>
      <w:r w:rsidRPr="003F437A">
        <w:rPr>
          <w:rFonts w:asciiTheme="majorHAnsi" w:hAnsiTheme="majorHAnsi"/>
          <w:sz w:val="22"/>
          <w:szCs w:val="22"/>
        </w:rPr>
        <w:t>, median (IQR) 0 (0-1)</w:t>
      </w:r>
      <w:r w:rsidR="000A323F" w:rsidRPr="003F437A">
        <w:rPr>
          <w:rFonts w:asciiTheme="majorHAnsi" w:hAnsiTheme="majorHAnsi"/>
          <w:sz w:val="22"/>
          <w:szCs w:val="22"/>
        </w:rPr>
        <w:t xml:space="preserve">, n=170, with a mean 0.53 selected in those with </w:t>
      </w:r>
      <w:r w:rsidR="000A323F" w:rsidRPr="003F437A">
        <w:rPr>
          <w:rFonts w:asciiTheme="majorHAnsi" w:hAnsiTheme="majorHAnsi"/>
          <w:sz w:val="22"/>
          <w:szCs w:val="22"/>
          <w:lang w:val="en-GB"/>
        </w:rPr>
        <w:t>significant</w:t>
      </w:r>
      <w:r w:rsidRPr="003F437A">
        <w:rPr>
          <w:rFonts w:asciiTheme="majorHAnsi" w:hAnsiTheme="majorHAnsi"/>
          <w:sz w:val="22"/>
          <w:szCs w:val="22"/>
          <w:lang w:val="en-GB"/>
        </w:rPr>
        <w:t xml:space="preserve"> distress </w:t>
      </w:r>
      <w:r w:rsidR="000A323F" w:rsidRPr="003F437A">
        <w:rPr>
          <w:rFonts w:asciiTheme="majorHAnsi" w:hAnsiTheme="majorHAnsi"/>
          <w:sz w:val="22"/>
          <w:szCs w:val="22"/>
          <w:lang w:val="en-GB"/>
        </w:rPr>
        <w:t xml:space="preserve">and a mean 0.30 without significant distress. </w:t>
      </w:r>
      <w:r w:rsidRPr="003F437A">
        <w:rPr>
          <w:rFonts w:asciiTheme="majorHAnsi" w:hAnsiTheme="majorHAnsi"/>
          <w:sz w:val="22"/>
          <w:szCs w:val="22"/>
          <w:lang w:val="en-GB"/>
        </w:rPr>
        <w:t xml:space="preserve"> </w:t>
      </w:r>
      <w:r w:rsidR="000A323F" w:rsidRPr="003F437A">
        <w:rPr>
          <w:rFonts w:asciiTheme="majorHAnsi" w:hAnsiTheme="majorHAnsi"/>
          <w:sz w:val="22"/>
          <w:szCs w:val="22"/>
          <w:lang w:val="en-GB"/>
        </w:rPr>
        <w:t>No</w:t>
      </w:r>
      <w:r w:rsidRPr="003F437A">
        <w:rPr>
          <w:rFonts w:asciiTheme="majorHAnsi" w:hAnsiTheme="majorHAnsi"/>
          <w:sz w:val="22"/>
          <w:szCs w:val="22"/>
        </w:rPr>
        <w:t xml:space="preserve"> strong associations were found with type of professional selected</w:t>
      </w:r>
      <w:r w:rsidR="000A323F" w:rsidRPr="003F437A">
        <w:rPr>
          <w:rFonts w:asciiTheme="majorHAnsi" w:hAnsiTheme="majorHAnsi"/>
          <w:sz w:val="22"/>
          <w:szCs w:val="22"/>
        </w:rPr>
        <w:t xml:space="preserve">, though it was noted </w:t>
      </w:r>
      <w:r w:rsidRPr="003F437A">
        <w:rPr>
          <w:rFonts w:asciiTheme="majorHAnsi" w:hAnsiTheme="majorHAnsi"/>
          <w:sz w:val="22"/>
          <w:szCs w:val="22"/>
        </w:rPr>
        <w:t>that 52% (</w:t>
      </w:r>
      <w:r w:rsidR="000A323F" w:rsidRPr="003F437A">
        <w:rPr>
          <w:rFonts w:asciiTheme="majorHAnsi" w:hAnsiTheme="majorHAnsi"/>
          <w:sz w:val="22"/>
          <w:szCs w:val="22"/>
        </w:rPr>
        <w:t>11/21</w:t>
      </w:r>
      <w:r w:rsidRPr="003F437A">
        <w:rPr>
          <w:rFonts w:asciiTheme="majorHAnsi" w:hAnsiTheme="majorHAnsi"/>
          <w:sz w:val="22"/>
          <w:szCs w:val="22"/>
        </w:rPr>
        <w:t xml:space="preserve">) of those wanting to see the surgeon were distressed, 83% (5/6) </w:t>
      </w:r>
      <w:r w:rsidR="00E04C84" w:rsidRPr="003F437A">
        <w:rPr>
          <w:rFonts w:asciiTheme="majorHAnsi" w:hAnsiTheme="majorHAnsi"/>
          <w:sz w:val="22"/>
          <w:szCs w:val="22"/>
        </w:rPr>
        <w:t>of those wanting to see the</w:t>
      </w:r>
      <w:r w:rsidRPr="003F437A">
        <w:rPr>
          <w:rFonts w:asciiTheme="majorHAnsi" w:hAnsiTheme="majorHAnsi"/>
          <w:sz w:val="22"/>
          <w:szCs w:val="22"/>
        </w:rPr>
        <w:t xml:space="preserve"> physiotherapist, and all those wanting to see either a psychologist (</w:t>
      </w:r>
      <w:r w:rsidR="00085C70" w:rsidRPr="003F437A">
        <w:rPr>
          <w:rFonts w:asciiTheme="majorHAnsi" w:hAnsiTheme="majorHAnsi"/>
          <w:sz w:val="22"/>
          <w:szCs w:val="22"/>
        </w:rPr>
        <w:t>2/2</w:t>
      </w:r>
      <w:r w:rsidRPr="003F437A">
        <w:rPr>
          <w:rFonts w:asciiTheme="majorHAnsi" w:hAnsiTheme="majorHAnsi"/>
          <w:sz w:val="22"/>
          <w:szCs w:val="22"/>
        </w:rPr>
        <w:t xml:space="preserve">) or Emotional Support therapist (2/2). </w:t>
      </w:r>
    </w:p>
    <w:p w14:paraId="5BCEA994" w14:textId="77777777" w:rsidR="00085C70" w:rsidRPr="003F437A" w:rsidRDefault="00085C70" w:rsidP="00075D52">
      <w:pPr>
        <w:spacing w:line="360" w:lineRule="auto"/>
        <w:jc w:val="both"/>
        <w:rPr>
          <w:rFonts w:asciiTheme="majorHAnsi" w:hAnsiTheme="majorHAnsi"/>
          <w:sz w:val="22"/>
          <w:szCs w:val="22"/>
        </w:rPr>
      </w:pPr>
    </w:p>
    <w:p w14:paraId="224C83E9" w14:textId="4A86B311" w:rsidR="0092317F" w:rsidRPr="003F437A" w:rsidRDefault="00840D97" w:rsidP="00075D52">
      <w:pPr>
        <w:spacing w:line="360" w:lineRule="auto"/>
        <w:jc w:val="both"/>
        <w:rPr>
          <w:rFonts w:asciiTheme="majorHAnsi" w:hAnsiTheme="majorHAnsi"/>
          <w:sz w:val="22"/>
          <w:szCs w:val="22"/>
        </w:rPr>
      </w:pPr>
      <w:r w:rsidRPr="003F437A">
        <w:rPr>
          <w:rFonts w:asciiTheme="majorHAnsi" w:hAnsiTheme="majorHAnsi"/>
          <w:sz w:val="22"/>
          <w:szCs w:val="22"/>
        </w:rPr>
        <w:t>The</w:t>
      </w:r>
      <w:r w:rsidR="00FC2C08" w:rsidRPr="003F437A">
        <w:rPr>
          <w:rFonts w:asciiTheme="majorHAnsi" w:hAnsiTheme="majorHAnsi"/>
          <w:sz w:val="22"/>
          <w:szCs w:val="22"/>
        </w:rPr>
        <w:t xml:space="preserve"> number of</w:t>
      </w:r>
      <w:r w:rsidR="00BF0C74" w:rsidRPr="003F437A">
        <w:rPr>
          <w:rFonts w:asciiTheme="majorHAnsi" w:hAnsiTheme="majorHAnsi"/>
          <w:sz w:val="22"/>
          <w:szCs w:val="22"/>
        </w:rPr>
        <w:t xml:space="preserve"> medical actions taken </w:t>
      </w:r>
      <w:r w:rsidR="00627544" w:rsidRPr="003F437A">
        <w:rPr>
          <w:rFonts w:asciiTheme="majorHAnsi" w:hAnsiTheme="majorHAnsi"/>
          <w:sz w:val="22"/>
          <w:szCs w:val="22"/>
        </w:rPr>
        <w:t xml:space="preserve">based on </w:t>
      </w:r>
      <w:r w:rsidR="006B269E" w:rsidRPr="003F437A">
        <w:rPr>
          <w:rFonts w:asciiTheme="majorHAnsi" w:hAnsiTheme="majorHAnsi"/>
          <w:sz w:val="22"/>
          <w:szCs w:val="22"/>
        </w:rPr>
        <w:t>audiotaped</w:t>
      </w:r>
      <w:r w:rsidR="00BF0C74" w:rsidRPr="003F437A">
        <w:rPr>
          <w:rFonts w:asciiTheme="majorHAnsi" w:hAnsiTheme="majorHAnsi"/>
          <w:sz w:val="22"/>
          <w:szCs w:val="22"/>
        </w:rPr>
        <w:t xml:space="preserve"> consultation</w:t>
      </w:r>
      <w:r w:rsidR="00E5315D" w:rsidRPr="003F437A">
        <w:rPr>
          <w:rFonts w:asciiTheme="majorHAnsi" w:hAnsiTheme="majorHAnsi"/>
          <w:sz w:val="22"/>
          <w:szCs w:val="22"/>
        </w:rPr>
        <w:t>s (</w:t>
      </w:r>
      <w:r w:rsidR="006B269E" w:rsidRPr="003F437A">
        <w:rPr>
          <w:rFonts w:asciiTheme="majorHAnsi" w:hAnsiTheme="majorHAnsi"/>
          <w:sz w:val="22"/>
          <w:szCs w:val="22"/>
        </w:rPr>
        <w:t>n=</w:t>
      </w:r>
      <w:r w:rsidR="00D358F2" w:rsidRPr="003F437A">
        <w:rPr>
          <w:rFonts w:asciiTheme="majorHAnsi" w:hAnsiTheme="majorHAnsi"/>
          <w:sz w:val="22"/>
          <w:szCs w:val="22"/>
        </w:rPr>
        <w:t xml:space="preserve">141) </w:t>
      </w:r>
      <w:r w:rsidR="00085C70" w:rsidRPr="003F437A">
        <w:rPr>
          <w:rFonts w:asciiTheme="majorHAnsi" w:hAnsiTheme="majorHAnsi"/>
          <w:sz w:val="22"/>
          <w:szCs w:val="22"/>
        </w:rPr>
        <w:t>ranged from 1 to 4, and</w:t>
      </w:r>
      <w:r w:rsidR="0074302A" w:rsidRPr="003F437A">
        <w:rPr>
          <w:rFonts w:asciiTheme="majorHAnsi" w:hAnsiTheme="majorHAnsi"/>
          <w:sz w:val="22"/>
          <w:szCs w:val="22"/>
        </w:rPr>
        <w:t xml:space="preserve"> the percentage with </w:t>
      </w:r>
      <w:r w:rsidR="00176D7F" w:rsidRPr="003F437A">
        <w:rPr>
          <w:rFonts w:asciiTheme="majorHAnsi" w:hAnsiTheme="majorHAnsi"/>
          <w:sz w:val="22"/>
          <w:szCs w:val="22"/>
        </w:rPr>
        <w:t>2 or more actions was 52% (27/52</w:t>
      </w:r>
      <w:r w:rsidR="0074302A" w:rsidRPr="003F437A">
        <w:rPr>
          <w:rFonts w:asciiTheme="majorHAnsi" w:hAnsiTheme="majorHAnsi"/>
          <w:sz w:val="22"/>
          <w:szCs w:val="22"/>
        </w:rPr>
        <w:t>) for those with signifi</w:t>
      </w:r>
      <w:r w:rsidR="00743AEF" w:rsidRPr="003F437A">
        <w:rPr>
          <w:rFonts w:asciiTheme="majorHAnsi" w:hAnsiTheme="majorHAnsi"/>
          <w:sz w:val="22"/>
          <w:szCs w:val="22"/>
        </w:rPr>
        <w:t xml:space="preserve">cant </w:t>
      </w:r>
      <w:r w:rsidR="00176D7F" w:rsidRPr="003F437A">
        <w:rPr>
          <w:rFonts w:asciiTheme="majorHAnsi" w:hAnsiTheme="majorHAnsi"/>
          <w:sz w:val="22"/>
          <w:szCs w:val="22"/>
        </w:rPr>
        <w:t xml:space="preserve">distress and 29% </w:t>
      </w:r>
      <w:r w:rsidRPr="003F437A">
        <w:rPr>
          <w:rFonts w:asciiTheme="majorHAnsi" w:hAnsiTheme="majorHAnsi"/>
          <w:sz w:val="22"/>
          <w:szCs w:val="22"/>
        </w:rPr>
        <w:t>(</w:t>
      </w:r>
      <w:r w:rsidR="00743AEF" w:rsidRPr="003F437A">
        <w:rPr>
          <w:rFonts w:asciiTheme="majorHAnsi" w:hAnsiTheme="majorHAnsi"/>
          <w:sz w:val="22"/>
          <w:szCs w:val="22"/>
        </w:rPr>
        <w:t>26/89) without distress (</w:t>
      </w:r>
      <w:r w:rsidR="0074302A" w:rsidRPr="003F437A">
        <w:rPr>
          <w:rFonts w:asciiTheme="majorHAnsi" w:hAnsiTheme="majorHAnsi"/>
          <w:sz w:val="22"/>
          <w:szCs w:val="22"/>
        </w:rPr>
        <w:t>Fishers exact test</w:t>
      </w:r>
      <w:r w:rsidR="00743AEF" w:rsidRPr="003F437A">
        <w:rPr>
          <w:rFonts w:asciiTheme="majorHAnsi" w:hAnsiTheme="majorHAnsi"/>
          <w:sz w:val="22"/>
          <w:szCs w:val="22"/>
        </w:rPr>
        <w:t>, p=0.01)</w:t>
      </w:r>
      <w:r w:rsidR="0074302A" w:rsidRPr="003F437A">
        <w:rPr>
          <w:rFonts w:asciiTheme="majorHAnsi" w:hAnsiTheme="majorHAnsi"/>
          <w:sz w:val="22"/>
          <w:szCs w:val="22"/>
        </w:rPr>
        <w:t>. In regard to non-medical actions (range 2-4)</w:t>
      </w:r>
      <w:r w:rsidR="00743AEF" w:rsidRPr="003F437A">
        <w:rPr>
          <w:rFonts w:asciiTheme="majorHAnsi" w:hAnsiTheme="majorHAnsi"/>
          <w:sz w:val="22"/>
          <w:szCs w:val="22"/>
        </w:rPr>
        <w:t>,</w:t>
      </w:r>
      <w:r w:rsidR="0074302A" w:rsidRPr="003F437A">
        <w:rPr>
          <w:rFonts w:asciiTheme="majorHAnsi" w:hAnsiTheme="majorHAnsi"/>
          <w:sz w:val="22"/>
          <w:szCs w:val="22"/>
        </w:rPr>
        <w:t xml:space="preserve"> the percentage with 3 or more actions</w:t>
      </w:r>
      <w:r w:rsidR="00FC2C08" w:rsidRPr="003F437A">
        <w:rPr>
          <w:rFonts w:asciiTheme="majorHAnsi" w:hAnsiTheme="majorHAnsi"/>
          <w:sz w:val="22"/>
          <w:szCs w:val="22"/>
        </w:rPr>
        <w:t xml:space="preserve"> was 37%</w:t>
      </w:r>
      <w:r w:rsidR="00176D7F" w:rsidRPr="003F437A">
        <w:rPr>
          <w:rFonts w:asciiTheme="majorHAnsi" w:hAnsiTheme="majorHAnsi"/>
          <w:sz w:val="22"/>
          <w:szCs w:val="22"/>
        </w:rPr>
        <w:t xml:space="preserve"> (19/52</w:t>
      </w:r>
      <w:r w:rsidR="0074302A" w:rsidRPr="003F437A">
        <w:rPr>
          <w:rFonts w:asciiTheme="majorHAnsi" w:hAnsiTheme="majorHAnsi"/>
          <w:sz w:val="22"/>
          <w:szCs w:val="22"/>
        </w:rPr>
        <w:t>) for those with signifi</w:t>
      </w:r>
      <w:r w:rsidR="00743AEF" w:rsidRPr="003F437A">
        <w:rPr>
          <w:rFonts w:asciiTheme="majorHAnsi" w:hAnsiTheme="majorHAnsi"/>
          <w:sz w:val="22"/>
          <w:szCs w:val="22"/>
        </w:rPr>
        <w:t xml:space="preserve">cant </w:t>
      </w:r>
      <w:r w:rsidR="00176D7F" w:rsidRPr="003F437A">
        <w:rPr>
          <w:rFonts w:asciiTheme="majorHAnsi" w:hAnsiTheme="majorHAnsi"/>
          <w:sz w:val="22"/>
          <w:szCs w:val="22"/>
        </w:rPr>
        <w:t>distress and 21% (19/89</w:t>
      </w:r>
      <w:r w:rsidR="00743AEF" w:rsidRPr="003F437A">
        <w:rPr>
          <w:rFonts w:asciiTheme="majorHAnsi" w:hAnsiTheme="majorHAnsi"/>
          <w:sz w:val="22"/>
          <w:szCs w:val="22"/>
        </w:rPr>
        <w:t>) without distress (</w:t>
      </w:r>
      <w:r w:rsidR="0074302A" w:rsidRPr="003F437A">
        <w:rPr>
          <w:rFonts w:asciiTheme="majorHAnsi" w:hAnsiTheme="majorHAnsi"/>
          <w:sz w:val="22"/>
          <w:szCs w:val="22"/>
        </w:rPr>
        <w:t>Fishers exact test</w:t>
      </w:r>
      <w:r w:rsidR="00743AEF" w:rsidRPr="003F437A">
        <w:rPr>
          <w:rFonts w:asciiTheme="majorHAnsi" w:hAnsiTheme="majorHAnsi"/>
          <w:sz w:val="22"/>
          <w:szCs w:val="22"/>
        </w:rPr>
        <w:t>, p=0.18)</w:t>
      </w:r>
      <w:r w:rsidR="0074302A" w:rsidRPr="003F437A">
        <w:rPr>
          <w:rFonts w:asciiTheme="majorHAnsi" w:hAnsiTheme="majorHAnsi"/>
          <w:sz w:val="22"/>
          <w:szCs w:val="22"/>
        </w:rPr>
        <w:t xml:space="preserve">. </w:t>
      </w:r>
    </w:p>
    <w:p w14:paraId="6C6D3FC2" w14:textId="77777777" w:rsidR="0092317F" w:rsidRPr="003F437A" w:rsidRDefault="0092317F" w:rsidP="00075D52">
      <w:pPr>
        <w:spacing w:line="360" w:lineRule="auto"/>
        <w:jc w:val="both"/>
        <w:rPr>
          <w:rFonts w:asciiTheme="majorHAnsi" w:hAnsiTheme="majorHAnsi"/>
          <w:b/>
          <w:sz w:val="22"/>
          <w:szCs w:val="22"/>
        </w:rPr>
      </w:pPr>
    </w:p>
    <w:p w14:paraId="3633E592" w14:textId="77777777" w:rsidR="006A763B" w:rsidRPr="003F437A" w:rsidRDefault="006A763B" w:rsidP="00075D52">
      <w:pPr>
        <w:spacing w:line="360" w:lineRule="auto"/>
        <w:jc w:val="both"/>
        <w:rPr>
          <w:rFonts w:asciiTheme="majorHAnsi" w:hAnsiTheme="majorHAnsi"/>
          <w:b/>
          <w:sz w:val="22"/>
          <w:szCs w:val="22"/>
        </w:rPr>
      </w:pPr>
      <w:r w:rsidRPr="003F437A">
        <w:rPr>
          <w:rFonts w:asciiTheme="majorHAnsi" w:hAnsiTheme="majorHAnsi"/>
          <w:b/>
          <w:sz w:val="22"/>
          <w:szCs w:val="22"/>
        </w:rPr>
        <w:t>Discussion</w:t>
      </w:r>
    </w:p>
    <w:p w14:paraId="7FFAE1AF" w14:textId="77777777" w:rsidR="00307276" w:rsidRPr="003F437A" w:rsidRDefault="00307276" w:rsidP="00075D52">
      <w:pPr>
        <w:spacing w:line="360" w:lineRule="auto"/>
        <w:jc w:val="both"/>
        <w:rPr>
          <w:rFonts w:asciiTheme="majorHAnsi" w:hAnsiTheme="majorHAnsi"/>
          <w:sz w:val="22"/>
          <w:szCs w:val="22"/>
          <w:lang w:val="en-GB"/>
        </w:rPr>
      </w:pPr>
    </w:p>
    <w:p w14:paraId="56B0F9FF" w14:textId="127AB5F1" w:rsidR="00E06CB8" w:rsidRPr="003F437A" w:rsidRDefault="00BC73CB" w:rsidP="00075D52">
      <w:pPr>
        <w:widowControl w:val="0"/>
        <w:autoSpaceDE w:val="0"/>
        <w:autoSpaceDN w:val="0"/>
        <w:adjustRightInd w:val="0"/>
        <w:spacing w:line="360" w:lineRule="auto"/>
        <w:jc w:val="both"/>
        <w:rPr>
          <w:rFonts w:asciiTheme="majorHAnsi" w:hAnsiTheme="majorHAnsi" w:cs="Times New Roman"/>
          <w:sz w:val="22"/>
          <w:szCs w:val="22"/>
        </w:rPr>
      </w:pPr>
      <w:r w:rsidRPr="003F437A">
        <w:rPr>
          <w:rFonts w:asciiTheme="majorHAnsi" w:hAnsiTheme="majorHAnsi"/>
          <w:sz w:val="22"/>
          <w:szCs w:val="22"/>
        </w:rPr>
        <w:t xml:space="preserve">This </w:t>
      </w:r>
      <w:r w:rsidR="00EB7806" w:rsidRPr="003F437A">
        <w:rPr>
          <w:rFonts w:asciiTheme="majorHAnsi" w:hAnsiTheme="majorHAnsi"/>
          <w:sz w:val="22"/>
          <w:szCs w:val="22"/>
        </w:rPr>
        <w:t>seminal work</w:t>
      </w:r>
      <w:r w:rsidRPr="003F437A">
        <w:rPr>
          <w:rFonts w:asciiTheme="majorHAnsi" w:hAnsiTheme="majorHAnsi"/>
          <w:sz w:val="22"/>
          <w:szCs w:val="22"/>
        </w:rPr>
        <w:t xml:space="preserve"> </w:t>
      </w:r>
      <w:r w:rsidR="00EB7806" w:rsidRPr="003F437A">
        <w:rPr>
          <w:rFonts w:asciiTheme="majorHAnsi" w:hAnsiTheme="majorHAnsi"/>
          <w:sz w:val="22"/>
          <w:szCs w:val="22"/>
        </w:rPr>
        <w:t>evaluated</w:t>
      </w:r>
      <w:r w:rsidR="00DF67FB" w:rsidRPr="003F437A">
        <w:rPr>
          <w:rFonts w:asciiTheme="majorHAnsi" w:hAnsiTheme="majorHAnsi"/>
          <w:sz w:val="22"/>
          <w:szCs w:val="22"/>
        </w:rPr>
        <w:t xml:space="preserve"> </w:t>
      </w:r>
      <w:r w:rsidR="009F18BE" w:rsidRPr="003F437A">
        <w:rPr>
          <w:rFonts w:asciiTheme="majorHAnsi" w:hAnsiTheme="majorHAnsi"/>
          <w:sz w:val="22"/>
          <w:szCs w:val="22"/>
        </w:rPr>
        <w:t>the relationship between patient concerns</w:t>
      </w:r>
      <w:r w:rsidR="00DF67FB" w:rsidRPr="003F437A">
        <w:rPr>
          <w:rFonts w:asciiTheme="majorHAnsi" w:hAnsiTheme="majorHAnsi"/>
          <w:sz w:val="22"/>
          <w:szCs w:val="22"/>
        </w:rPr>
        <w:t xml:space="preserve"> and distress</w:t>
      </w:r>
      <w:r w:rsidR="009F18BE" w:rsidRPr="003F437A">
        <w:rPr>
          <w:rFonts w:asciiTheme="majorHAnsi" w:hAnsiTheme="majorHAnsi"/>
          <w:sz w:val="22"/>
          <w:szCs w:val="22"/>
        </w:rPr>
        <w:t xml:space="preserve"> in post-treatment HNC survivors using PCI</w:t>
      </w:r>
      <w:r w:rsidR="00DF67FB" w:rsidRPr="003F437A">
        <w:rPr>
          <w:rFonts w:asciiTheme="majorHAnsi" w:hAnsiTheme="majorHAnsi"/>
          <w:sz w:val="22"/>
          <w:szCs w:val="22"/>
        </w:rPr>
        <w:t xml:space="preserve">. </w:t>
      </w:r>
      <w:r w:rsidR="00E123D1" w:rsidRPr="003F437A">
        <w:rPr>
          <w:rFonts w:asciiTheme="majorHAnsi" w:hAnsiTheme="majorHAnsi"/>
          <w:sz w:val="22"/>
          <w:szCs w:val="22"/>
        </w:rPr>
        <w:t xml:space="preserve">We found </w:t>
      </w:r>
      <w:r w:rsidR="00E012D3" w:rsidRPr="003F437A">
        <w:rPr>
          <w:rFonts w:asciiTheme="majorHAnsi" w:hAnsiTheme="majorHAnsi"/>
          <w:sz w:val="22"/>
          <w:szCs w:val="22"/>
        </w:rPr>
        <w:t xml:space="preserve">a very strong association between level of distress and number of reported concerns. </w:t>
      </w:r>
      <w:r w:rsidR="00A54DA7">
        <w:rPr>
          <w:rFonts w:asciiTheme="majorHAnsi" w:hAnsiTheme="majorHAnsi"/>
          <w:sz w:val="22"/>
          <w:szCs w:val="22"/>
        </w:rPr>
        <w:t xml:space="preserve">Distress levels were associated with the number of items of concern selected, </w:t>
      </w:r>
      <w:r w:rsidR="00EB7806" w:rsidRPr="003F437A">
        <w:rPr>
          <w:rFonts w:asciiTheme="majorHAnsi" w:hAnsiTheme="majorHAnsi" w:cs="Times New Roman"/>
          <w:sz w:val="22"/>
          <w:szCs w:val="22"/>
        </w:rPr>
        <w:t xml:space="preserve">suggesting that the number of PCI items selected could </w:t>
      </w:r>
      <w:r w:rsidR="00733EF6" w:rsidRPr="003F437A">
        <w:rPr>
          <w:rFonts w:asciiTheme="majorHAnsi" w:hAnsiTheme="majorHAnsi" w:cs="Times New Roman"/>
          <w:sz w:val="22"/>
          <w:szCs w:val="22"/>
        </w:rPr>
        <w:t xml:space="preserve">potentially </w:t>
      </w:r>
      <w:r w:rsidR="00EB7806" w:rsidRPr="003F437A">
        <w:rPr>
          <w:rFonts w:asciiTheme="majorHAnsi" w:hAnsiTheme="majorHAnsi" w:cs="Times New Roman"/>
          <w:sz w:val="22"/>
          <w:szCs w:val="22"/>
        </w:rPr>
        <w:t xml:space="preserve">be a surrogate marker of significant distress.  </w:t>
      </w:r>
      <w:r w:rsidR="00C262E9" w:rsidRPr="003F437A">
        <w:rPr>
          <w:rFonts w:asciiTheme="majorHAnsi" w:hAnsiTheme="majorHAnsi" w:cs="Times New Roman"/>
          <w:sz w:val="22"/>
          <w:szCs w:val="22"/>
        </w:rPr>
        <w:t>C</w:t>
      </w:r>
      <w:r w:rsidR="00C86347" w:rsidRPr="003F437A">
        <w:rPr>
          <w:rFonts w:asciiTheme="majorHAnsi" w:hAnsiTheme="majorHAnsi" w:cs="Times New Roman"/>
          <w:sz w:val="22"/>
          <w:szCs w:val="22"/>
        </w:rPr>
        <w:t xml:space="preserve">oncerns relating to the </w:t>
      </w:r>
      <w:r w:rsidR="00C86347" w:rsidRPr="003F437A">
        <w:rPr>
          <w:rFonts w:asciiTheme="majorHAnsi" w:hAnsiTheme="majorHAnsi"/>
          <w:sz w:val="22"/>
          <w:szCs w:val="22"/>
        </w:rPr>
        <w:t xml:space="preserve">Psychological and Emotional well-being </w:t>
      </w:r>
      <w:r w:rsidR="00C262E9" w:rsidRPr="003F437A">
        <w:rPr>
          <w:rFonts w:asciiTheme="majorHAnsi" w:hAnsiTheme="majorHAnsi"/>
          <w:sz w:val="22"/>
          <w:szCs w:val="22"/>
        </w:rPr>
        <w:t>and the</w:t>
      </w:r>
      <w:r w:rsidR="00C86347" w:rsidRPr="003F437A">
        <w:rPr>
          <w:rFonts w:asciiTheme="majorHAnsi" w:hAnsiTheme="majorHAnsi"/>
          <w:sz w:val="22"/>
          <w:szCs w:val="22"/>
        </w:rPr>
        <w:t xml:space="preserve"> </w:t>
      </w:r>
      <w:r w:rsidR="00E06CB8" w:rsidRPr="003F437A">
        <w:rPr>
          <w:rFonts w:asciiTheme="majorHAnsi" w:hAnsiTheme="majorHAnsi"/>
          <w:sz w:val="22"/>
          <w:szCs w:val="22"/>
        </w:rPr>
        <w:t>Physical and Functional well-being</w:t>
      </w:r>
      <w:r w:rsidR="00C86347" w:rsidRPr="003F437A">
        <w:rPr>
          <w:rFonts w:asciiTheme="majorHAnsi" w:hAnsiTheme="majorHAnsi"/>
          <w:sz w:val="22"/>
          <w:szCs w:val="22"/>
        </w:rPr>
        <w:t xml:space="preserve"> </w:t>
      </w:r>
      <w:r w:rsidR="00D358F2" w:rsidRPr="003F437A">
        <w:rPr>
          <w:rFonts w:asciiTheme="majorHAnsi" w:hAnsiTheme="majorHAnsi"/>
          <w:sz w:val="22"/>
          <w:szCs w:val="22"/>
        </w:rPr>
        <w:t>domain</w:t>
      </w:r>
      <w:r w:rsidR="00C262E9" w:rsidRPr="003F437A">
        <w:rPr>
          <w:rFonts w:asciiTheme="majorHAnsi" w:hAnsiTheme="majorHAnsi"/>
          <w:sz w:val="22"/>
          <w:szCs w:val="22"/>
        </w:rPr>
        <w:t>s were related to significant distress</w:t>
      </w:r>
      <w:r w:rsidR="00E06CB8" w:rsidRPr="003F437A">
        <w:rPr>
          <w:rFonts w:asciiTheme="majorHAnsi" w:hAnsiTheme="majorHAnsi"/>
          <w:sz w:val="22"/>
          <w:szCs w:val="22"/>
        </w:rPr>
        <w:t xml:space="preserve">. </w:t>
      </w:r>
      <w:r w:rsidR="00FD7B56" w:rsidRPr="003F437A">
        <w:rPr>
          <w:rFonts w:asciiTheme="majorHAnsi" w:hAnsiTheme="majorHAnsi"/>
          <w:sz w:val="22"/>
          <w:szCs w:val="22"/>
        </w:rPr>
        <w:t xml:space="preserve">The study </w:t>
      </w:r>
      <w:r w:rsidR="00E123D1" w:rsidRPr="003F437A">
        <w:rPr>
          <w:rFonts w:asciiTheme="majorHAnsi" w:hAnsiTheme="majorHAnsi"/>
          <w:sz w:val="22"/>
          <w:szCs w:val="22"/>
        </w:rPr>
        <w:t xml:space="preserve">also </w:t>
      </w:r>
      <w:r w:rsidR="00FD7B56" w:rsidRPr="003F437A">
        <w:rPr>
          <w:rFonts w:asciiTheme="majorHAnsi" w:hAnsiTheme="majorHAnsi"/>
          <w:sz w:val="22"/>
          <w:szCs w:val="22"/>
        </w:rPr>
        <w:t xml:space="preserve">demonstrated </w:t>
      </w:r>
      <w:r w:rsidR="00E123D1" w:rsidRPr="003F437A">
        <w:rPr>
          <w:rFonts w:asciiTheme="majorHAnsi" w:hAnsiTheme="majorHAnsi"/>
          <w:sz w:val="22"/>
          <w:szCs w:val="22"/>
        </w:rPr>
        <w:t>that e</w:t>
      </w:r>
      <w:r w:rsidR="00743AEF" w:rsidRPr="003F437A">
        <w:rPr>
          <w:rFonts w:asciiTheme="majorHAnsi" w:hAnsiTheme="majorHAnsi"/>
          <w:sz w:val="22"/>
          <w:szCs w:val="22"/>
        </w:rPr>
        <w:t xml:space="preserve">xperiencing significant distress and having numerous concerns impacts upon the length of consultations and </w:t>
      </w:r>
      <w:r w:rsidR="00E123D1" w:rsidRPr="003F437A">
        <w:rPr>
          <w:rFonts w:asciiTheme="majorHAnsi" w:hAnsiTheme="majorHAnsi"/>
          <w:sz w:val="22"/>
          <w:szCs w:val="22"/>
        </w:rPr>
        <w:t>t</w:t>
      </w:r>
      <w:r w:rsidR="00743AEF" w:rsidRPr="003F437A">
        <w:rPr>
          <w:rFonts w:asciiTheme="majorHAnsi" w:hAnsiTheme="majorHAnsi"/>
          <w:sz w:val="22"/>
          <w:szCs w:val="22"/>
        </w:rPr>
        <w:t>he outcomes of these consultations.</w:t>
      </w:r>
      <w:r w:rsidR="00FD7B56" w:rsidRPr="003F437A">
        <w:rPr>
          <w:rFonts w:asciiTheme="majorHAnsi" w:hAnsiTheme="majorHAnsi"/>
          <w:sz w:val="22"/>
          <w:szCs w:val="22"/>
        </w:rPr>
        <w:t xml:space="preserve"> Furthermore, the </w:t>
      </w:r>
      <w:r w:rsidR="00A46729" w:rsidRPr="003F437A">
        <w:rPr>
          <w:rFonts w:asciiTheme="majorHAnsi" w:hAnsiTheme="majorHAnsi"/>
          <w:sz w:val="22"/>
          <w:szCs w:val="22"/>
        </w:rPr>
        <w:t xml:space="preserve">study findings also suggest </w:t>
      </w:r>
      <w:r w:rsidR="004F1284" w:rsidRPr="003F437A">
        <w:rPr>
          <w:rFonts w:asciiTheme="majorHAnsi" w:hAnsiTheme="majorHAnsi"/>
          <w:sz w:val="22"/>
          <w:szCs w:val="22"/>
        </w:rPr>
        <w:t xml:space="preserve">that </w:t>
      </w:r>
      <w:r w:rsidR="00FD7B56" w:rsidRPr="003F437A">
        <w:rPr>
          <w:rFonts w:asciiTheme="majorHAnsi" w:hAnsiTheme="majorHAnsi"/>
          <w:sz w:val="22"/>
          <w:szCs w:val="22"/>
        </w:rPr>
        <w:t xml:space="preserve">when the PCI is used </w:t>
      </w:r>
      <w:r w:rsidR="004F1284" w:rsidRPr="003F437A">
        <w:rPr>
          <w:rFonts w:asciiTheme="majorHAnsi" w:hAnsiTheme="majorHAnsi"/>
          <w:sz w:val="22"/>
          <w:szCs w:val="22"/>
        </w:rPr>
        <w:t xml:space="preserve">as a single tool, </w:t>
      </w:r>
      <w:r w:rsidR="00FD7B56" w:rsidRPr="003F437A">
        <w:rPr>
          <w:rFonts w:asciiTheme="majorHAnsi" w:hAnsiTheme="majorHAnsi"/>
          <w:sz w:val="22"/>
          <w:szCs w:val="22"/>
        </w:rPr>
        <w:t xml:space="preserve">it </w:t>
      </w:r>
      <w:r w:rsidR="004F1284" w:rsidRPr="003F437A">
        <w:rPr>
          <w:rFonts w:asciiTheme="majorHAnsi" w:hAnsiTheme="majorHAnsi"/>
          <w:sz w:val="22"/>
          <w:szCs w:val="22"/>
        </w:rPr>
        <w:t>can potentially undertake multiple</w:t>
      </w:r>
      <w:r w:rsidR="009E44F3" w:rsidRPr="003F437A">
        <w:rPr>
          <w:rFonts w:asciiTheme="majorHAnsi" w:hAnsiTheme="majorHAnsi"/>
          <w:sz w:val="22"/>
          <w:szCs w:val="22"/>
        </w:rPr>
        <w:t xml:space="preserve"> tasks simultaneously </w:t>
      </w:r>
      <w:r w:rsidR="00A46729" w:rsidRPr="003F437A">
        <w:rPr>
          <w:rFonts w:asciiTheme="majorHAnsi" w:hAnsiTheme="majorHAnsi"/>
          <w:sz w:val="22"/>
          <w:szCs w:val="22"/>
        </w:rPr>
        <w:t>i.e.</w:t>
      </w:r>
      <w:r w:rsidR="004F1284" w:rsidRPr="003F437A">
        <w:rPr>
          <w:rFonts w:asciiTheme="majorHAnsi" w:hAnsiTheme="majorHAnsi"/>
          <w:sz w:val="22"/>
          <w:szCs w:val="22"/>
        </w:rPr>
        <w:t xml:space="preserve"> enabl</w:t>
      </w:r>
      <w:r w:rsidR="00C262E9" w:rsidRPr="003F437A">
        <w:rPr>
          <w:rFonts w:asciiTheme="majorHAnsi" w:hAnsiTheme="majorHAnsi"/>
          <w:sz w:val="22"/>
          <w:szCs w:val="22"/>
        </w:rPr>
        <w:t>e</w:t>
      </w:r>
      <w:r w:rsidR="004F1284" w:rsidRPr="003F437A">
        <w:rPr>
          <w:rFonts w:asciiTheme="majorHAnsi" w:hAnsiTheme="majorHAnsi"/>
          <w:sz w:val="22"/>
          <w:szCs w:val="22"/>
        </w:rPr>
        <w:t xml:space="preserve"> patients to voice their concerns, </w:t>
      </w:r>
      <w:r w:rsidR="00743AEF" w:rsidRPr="003F437A">
        <w:rPr>
          <w:rFonts w:asciiTheme="majorHAnsi" w:hAnsiTheme="majorHAnsi"/>
          <w:sz w:val="22"/>
          <w:szCs w:val="22"/>
        </w:rPr>
        <w:t xml:space="preserve">identify those </w:t>
      </w:r>
      <w:r w:rsidR="00882339" w:rsidRPr="003F437A">
        <w:rPr>
          <w:rFonts w:asciiTheme="majorHAnsi" w:hAnsiTheme="majorHAnsi"/>
          <w:sz w:val="22"/>
          <w:szCs w:val="22"/>
        </w:rPr>
        <w:t xml:space="preserve">at risk of </w:t>
      </w:r>
      <w:r w:rsidR="004F1284" w:rsidRPr="003F437A">
        <w:rPr>
          <w:rFonts w:asciiTheme="majorHAnsi" w:hAnsiTheme="majorHAnsi"/>
          <w:sz w:val="22"/>
          <w:szCs w:val="22"/>
        </w:rPr>
        <w:t xml:space="preserve">significant distress, sign-post supportive services required by patients and </w:t>
      </w:r>
      <w:r w:rsidR="00A46729" w:rsidRPr="003F437A">
        <w:rPr>
          <w:rFonts w:asciiTheme="majorHAnsi" w:hAnsiTheme="majorHAnsi"/>
          <w:sz w:val="22"/>
          <w:szCs w:val="22"/>
        </w:rPr>
        <w:t xml:space="preserve">may </w:t>
      </w:r>
      <w:r w:rsidR="004F1284" w:rsidRPr="003F437A">
        <w:rPr>
          <w:rFonts w:asciiTheme="majorHAnsi" w:hAnsiTheme="majorHAnsi"/>
          <w:sz w:val="22"/>
          <w:szCs w:val="22"/>
        </w:rPr>
        <w:t>facilitate the running of outpatient clinics by indicating which patients may require longer appointments</w:t>
      </w:r>
      <w:r w:rsidR="00A46729" w:rsidRPr="003F437A">
        <w:rPr>
          <w:rFonts w:asciiTheme="majorHAnsi" w:hAnsiTheme="majorHAnsi"/>
          <w:sz w:val="22"/>
          <w:szCs w:val="22"/>
        </w:rPr>
        <w:t xml:space="preserve"> based on</w:t>
      </w:r>
      <w:r w:rsidR="004F1284" w:rsidRPr="003F437A">
        <w:rPr>
          <w:rFonts w:asciiTheme="majorHAnsi" w:hAnsiTheme="majorHAnsi"/>
          <w:sz w:val="22"/>
          <w:szCs w:val="22"/>
        </w:rPr>
        <w:t xml:space="preserve"> their profile of concerns. </w:t>
      </w:r>
    </w:p>
    <w:p w14:paraId="5E739C8D" w14:textId="77777777" w:rsidR="00E06CB8" w:rsidRPr="003F437A" w:rsidRDefault="00E06CB8" w:rsidP="00075D52">
      <w:pPr>
        <w:widowControl w:val="0"/>
        <w:autoSpaceDE w:val="0"/>
        <w:autoSpaceDN w:val="0"/>
        <w:adjustRightInd w:val="0"/>
        <w:spacing w:line="360" w:lineRule="auto"/>
        <w:jc w:val="both"/>
        <w:rPr>
          <w:rFonts w:asciiTheme="majorHAnsi" w:hAnsiTheme="majorHAnsi" w:cs="Times New Roman"/>
          <w:sz w:val="22"/>
          <w:szCs w:val="22"/>
        </w:rPr>
      </w:pPr>
    </w:p>
    <w:p w14:paraId="1449C32A" w14:textId="5FB7A8FD" w:rsidR="004F1284" w:rsidRPr="00E85202" w:rsidRDefault="004F1284" w:rsidP="004F1284">
      <w:pPr>
        <w:widowControl w:val="0"/>
        <w:autoSpaceDE w:val="0"/>
        <w:autoSpaceDN w:val="0"/>
        <w:adjustRightInd w:val="0"/>
        <w:spacing w:line="360" w:lineRule="auto"/>
        <w:jc w:val="both"/>
        <w:rPr>
          <w:rFonts w:asciiTheme="majorHAnsi" w:hAnsiTheme="majorHAnsi"/>
          <w:sz w:val="22"/>
          <w:szCs w:val="22"/>
        </w:rPr>
      </w:pPr>
      <w:r w:rsidRPr="003F437A">
        <w:rPr>
          <w:rFonts w:asciiTheme="majorHAnsi" w:hAnsiTheme="majorHAnsi" w:cs="Times New Roman"/>
          <w:sz w:val="22"/>
          <w:szCs w:val="22"/>
        </w:rPr>
        <w:t xml:space="preserve">The </w:t>
      </w:r>
      <w:r w:rsidR="001543A4" w:rsidRPr="003F437A">
        <w:rPr>
          <w:rFonts w:asciiTheme="majorHAnsi" w:hAnsiTheme="majorHAnsi"/>
          <w:sz w:val="22"/>
          <w:szCs w:val="22"/>
        </w:rPr>
        <w:t xml:space="preserve">study design allowed a </w:t>
      </w:r>
      <w:r w:rsidRPr="003F437A">
        <w:rPr>
          <w:rFonts w:asciiTheme="majorHAnsi" w:hAnsiTheme="majorHAnsi"/>
          <w:sz w:val="22"/>
          <w:szCs w:val="22"/>
        </w:rPr>
        <w:t>prospective, multicenter</w:t>
      </w:r>
      <w:r w:rsidR="004F3DEF" w:rsidRPr="003F437A">
        <w:rPr>
          <w:rFonts w:asciiTheme="majorHAnsi" w:hAnsiTheme="majorHAnsi"/>
          <w:sz w:val="22"/>
          <w:szCs w:val="22"/>
        </w:rPr>
        <w:t xml:space="preserve"> recruitment of a</w:t>
      </w:r>
      <w:r w:rsidR="00C01A7F" w:rsidRPr="003F437A">
        <w:rPr>
          <w:rFonts w:asciiTheme="majorHAnsi" w:hAnsiTheme="majorHAnsi"/>
          <w:sz w:val="22"/>
          <w:szCs w:val="22"/>
        </w:rPr>
        <w:t xml:space="preserve"> </w:t>
      </w:r>
      <w:r w:rsidRPr="003F437A">
        <w:rPr>
          <w:rFonts w:asciiTheme="majorHAnsi" w:hAnsiTheme="majorHAnsi"/>
          <w:sz w:val="22"/>
          <w:szCs w:val="22"/>
        </w:rPr>
        <w:t xml:space="preserve">cohort representing </w:t>
      </w:r>
      <w:r w:rsidR="004F3DEF" w:rsidRPr="003F437A">
        <w:rPr>
          <w:rFonts w:asciiTheme="majorHAnsi" w:hAnsiTheme="majorHAnsi"/>
          <w:sz w:val="22"/>
          <w:szCs w:val="22"/>
        </w:rPr>
        <w:t xml:space="preserve">the breadth of HNC </w:t>
      </w:r>
      <w:r w:rsidRPr="003F437A">
        <w:rPr>
          <w:rFonts w:asciiTheme="majorHAnsi" w:hAnsiTheme="majorHAnsi"/>
          <w:sz w:val="22"/>
          <w:szCs w:val="22"/>
        </w:rPr>
        <w:t>subsites attending routine follow-up clinics run by multiple clinicians</w:t>
      </w:r>
      <w:r w:rsidR="00A54DA7">
        <w:rPr>
          <w:rFonts w:asciiTheme="majorHAnsi" w:hAnsiTheme="majorHAnsi"/>
          <w:sz w:val="22"/>
          <w:szCs w:val="22"/>
        </w:rPr>
        <w:t xml:space="preserve"> of different speciali</w:t>
      </w:r>
      <w:r w:rsidR="001543A4" w:rsidRPr="003F437A">
        <w:rPr>
          <w:rFonts w:asciiTheme="majorHAnsi" w:hAnsiTheme="majorHAnsi"/>
          <w:sz w:val="22"/>
          <w:szCs w:val="22"/>
        </w:rPr>
        <w:t>ties</w:t>
      </w:r>
      <w:r w:rsidR="007D686D" w:rsidRPr="003F437A">
        <w:rPr>
          <w:rFonts w:asciiTheme="majorHAnsi" w:hAnsiTheme="majorHAnsi"/>
          <w:sz w:val="22"/>
          <w:szCs w:val="22"/>
        </w:rPr>
        <w:t>. T</w:t>
      </w:r>
      <w:r w:rsidR="00E012D3" w:rsidRPr="003F437A">
        <w:rPr>
          <w:rFonts w:asciiTheme="majorHAnsi" w:hAnsiTheme="majorHAnsi"/>
          <w:sz w:val="22"/>
          <w:szCs w:val="22"/>
        </w:rPr>
        <w:t>he data acquired wa</w:t>
      </w:r>
      <w:r w:rsidR="00043478" w:rsidRPr="003F437A">
        <w:rPr>
          <w:rFonts w:asciiTheme="majorHAnsi" w:hAnsiTheme="majorHAnsi"/>
          <w:sz w:val="22"/>
          <w:szCs w:val="22"/>
        </w:rPr>
        <w:t>s cross-sectional</w:t>
      </w:r>
      <w:r w:rsidR="007D686D" w:rsidRPr="003F437A">
        <w:rPr>
          <w:rFonts w:asciiTheme="majorHAnsi" w:hAnsiTheme="majorHAnsi"/>
          <w:sz w:val="22"/>
          <w:szCs w:val="22"/>
        </w:rPr>
        <w:t xml:space="preserve"> and this must be considered in relation to the nature of distress, which can be experienced at </w:t>
      </w:r>
      <w:r w:rsidR="008F2AC3" w:rsidRPr="003F437A">
        <w:rPr>
          <w:rFonts w:asciiTheme="majorHAnsi" w:hAnsiTheme="majorHAnsi"/>
          <w:sz w:val="22"/>
          <w:szCs w:val="22"/>
        </w:rPr>
        <w:t>anytime during the cancer journey</w:t>
      </w:r>
      <w:r w:rsidR="007D686D" w:rsidRPr="003F437A">
        <w:rPr>
          <w:rFonts w:asciiTheme="majorHAnsi" w:hAnsiTheme="majorHAnsi"/>
          <w:sz w:val="22"/>
          <w:szCs w:val="22"/>
        </w:rPr>
        <w:t>. Furthermore, patient</w:t>
      </w:r>
      <w:r w:rsidR="00B04255" w:rsidRPr="003F437A">
        <w:rPr>
          <w:rFonts w:asciiTheme="majorHAnsi" w:hAnsiTheme="majorHAnsi"/>
          <w:sz w:val="22"/>
          <w:szCs w:val="22"/>
        </w:rPr>
        <w:t xml:space="preserve"> </w:t>
      </w:r>
      <w:r w:rsidR="00FD7B56" w:rsidRPr="003F437A">
        <w:rPr>
          <w:rFonts w:asciiTheme="majorHAnsi" w:hAnsiTheme="majorHAnsi"/>
          <w:sz w:val="22"/>
          <w:szCs w:val="22"/>
        </w:rPr>
        <w:t xml:space="preserve">concerns </w:t>
      </w:r>
      <w:r w:rsidR="00B04255" w:rsidRPr="003F437A">
        <w:rPr>
          <w:rFonts w:asciiTheme="majorHAnsi" w:hAnsiTheme="majorHAnsi"/>
          <w:sz w:val="22"/>
          <w:szCs w:val="22"/>
        </w:rPr>
        <w:t xml:space="preserve">also </w:t>
      </w:r>
      <w:r w:rsidR="00FD7B56" w:rsidRPr="003F437A">
        <w:rPr>
          <w:rFonts w:asciiTheme="majorHAnsi" w:hAnsiTheme="majorHAnsi"/>
          <w:sz w:val="22"/>
          <w:szCs w:val="22"/>
        </w:rPr>
        <w:t>var</w:t>
      </w:r>
      <w:r w:rsidR="00D00349" w:rsidRPr="003F437A">
        <w:rPr>
          <w:rFonts w:asciiTheme="majorHAnsi" w:hAnsiTheme="majorHAnsi"/>
          <w:sz w:val="22"/>
          <w:szCs w:val="22"/>
        </w:rPr>
        <w:t>y</w:t>
      </w:r>
      <w:r w:rsidR="00FD7B56" w:rsidRPr="003F437A">
        <w:rPr>
          <w:rFonts w:asciiTheme="majorHAnsi" w:hAnsiTheme="majorHAnsi"/>
          <w:sz w:val="22"/>
          <w:szCs w:val="22"/>
        </w:rPr>
        <w:t xml:space="preserve"> at d</w:t>
      </w:r>
      <w:r w:rsidR="00A27E18" w:rsidRPr="003F437A">
        <w:rPr>
          <w:rFonts w:asciiTheme="majorHAnsi" w:hAnsiTheme="majorHAnsi"/>
          <w:sz w:val="22"/>
          <w:szCs w:val="22"/>
        </w:rPr>
        <w:t>ifferent time-points along the</w:t>
      </w:r>
      <w:r w:rsidR="00FD7B56" w:rsidRPr="003F437A">
        <w:rPr>
          <w:rFonts w:asciiTheme="majorHAnsi" w:hAnsiTheme="majorHAnsi"/>
          <w:sz w:val="22"/>
          <w:szCs w:val="22"/>
        </w:rPr>
        <w:t xml:space="preserve"> cancer journey </w:t>
      </w:r>
      <w:r w:rsidR="00CC20B6" w:rsidRPr="00E85202">
        <w:rPr>
          <w:rFonts w:asciiTheme="majorHAnsi" w:hAnsiTheme="majorHAnsi"/>
          <w:sz w:val="22"/>
          <w:szCs w:val="22"/>
          <w:vertAlign w:val="superscript"/>
        </w:rPr>
        <w:t>2</w:t>
      </w:r>
      <w:r w:rsidR="00C01A7F" w:rsidRPr="00E85202">
        <w:rPr>
          <w:rFonts w:asciiTheme="majorHAnsi" w:hAnsiTheme="majorHAnsi"/>
          <w:sz w:val="22"/>
          <w:szCs w:val="22"/>
        </w:rPr>
        <w:t xml:space="preserve">. </w:t>
      </w:r>
      <w:r w:rsidR="00812817" w:rsidRPr="00E85202">
        <w:rPr>
          <w:rFonts w:asciiTheme="majorHAnsi" w:hAnsiTheme="majorHAnsi"/>
          <w:sz w:val="22"/>
          <w:szCs w:val="22"/>
        </w:rPr>
        <w:t>The degree</w:t>
      </w:r>
      <w:r w:rsidR="0097350B" w:rsidRPr="00E85202">
        <w:rPr>
          <w:rFonts w:asciiTheme="majorHAnsi" w:hAnsiTheme="majorHAnsi"/>
          <w:sz w:val="22"/>
          <w:szCs w:val="22"/>
        </w:rPr>
        <w:t xml:space="preserve"> of concern </w:t>
      </w:r>
      <w:r w:rsidR="00812817" w:rsidRPr="00E85202">
        <w:rPr>
          <w:rFonts w:asciiTheme="majorHAnsi" w:hAnsiTheme="majorHAnsi"/>
          <w:sz w:val="22"/>
          <w:szCs w:val="22"/>
        </w:rPr>
        <w:t>expressed</w:t>
      </w:r>
      <w:r w:rsidR="0097350B" w:rsidRPr="00E85202">
        <w:rPr>
          <w:rFonts w:asciiTheme="majorHAnsi" w:hAnsiTheme="majorHAnsi"/>
          <w:sz w:val="22"/>
          <w:szCs w:val="22"/>
        </w:rPr>
        <w:t xml:space="preserve"> </w:t>
      </w:r>
      <w:r w:rsidR="00D00349" w:rsidRPr="00E85202">
        <w:rPr>
          <w:rFonts w:asciiTheme="majorHAnsi" w:hAnsiTheme="majorHAnsi"/>
          <w:sz w:val="22"/>
          <w:szCs w:val="22"/>
        </w:rPr>
        <w:t xml:space="preserve">may fluctuate </w:t>
      </w:r>
      <w:r w:rsidR="0097350B" w:rsidRPr="00E85202">
        <w:rPr>
          <w:rFonts w:asciiTheme="majorHAnsi" w:hAnsiTheme="majorHAnsi"/>
          <w:sz w:val="22"/>
          <w:szCs w:val="22"/>
        </w:rPr>
        <w:t xml:space="preserve">and </w:t>
      </w:r>
      <w:r w:rsidR="00D00349" w:rsidRPr="00E85202">
        <w:rPr>
          <w:rFonts w:asciiTheme="majorHAnsi" w:hAnsiTheme="majorHAnsi"/>
          <w:sz w:val="22"/>
          <w:szCs w:val="22"/>
        </w:rPr>
        <w:t>could</w:t>
      </w:r>
      <w:r w:rsidR="0097350B" w:rsidRPr="00E85202">
        <w:rPr>
          <w:rFonts w:asciiTheme="majorHAnsi" w:hAnsiTheme="majorHAnsi"/>
          <w:sz w:val="22"/>
          <w:szCs w:val="22"/>
        </w:rPr>
        <w:t xml:space="preserve"> contribute differently </w:t>
      </w:r>
      <w:r w:rsidR="00D00349" w:rsidRPr="00C02D2C">
        <w:rPr>
          <w:rFonts w:asciiTheme="majorHAnsi" w:hAnsiTheme="majorHAnsi"/>
          <w:sz w:val="22"/>
          <w:szCs w:val="22"/>
        </w:rPr>
        <w:t>toward</w:t>
      </w:r>
      <w:r w:rsidR="0097350B" w:rsidRPr="003F437A">
        <w:rPr>
          <w:rFonts w:asciiTheme="majorHAnsi" w:hAnsiTheme="majorHAnsi"/>
          <w:sz w:val="22"/>
          <w:szCs w:val="22"/>
        </w:rPr>
        <w:t xml:space="preserve"> the overall experience of cancer-related distress. W</w:t>
      </w:r>
      <w:r w:rsidR="001543A4" w:rsidRPr="003F437A">
        <w:rPr>
          <w:rFonts w:asciiTheme="majorHAnsi" w:hAnsiTheme="majorHAnsi"/>
          <w:sz w:val="22"/>
          <w:szCs w:val="22"/>
        </w:rPr>
        <w:t xml:space="preserve">e have not </w:t>
      </w:r>
      <w:r w:rsidR="0097350B" w:rsidRPr="003F437A">
        <w:rPr>
          <w:rFonts w:asciiTheme="majorHAnsi" w:hAnsiTheme="majorHAnsi"/>
          <w:sz w:val="22"/>
          <w:szCs w:val="22"/>
        </w:rPr>
        <w:t xml:space="preserve">specifically </w:t>
      </w:r>
      <w:r w:rsidR="001543A4" w:rsidRPr="003F437A">
        <w:rPr>
          <w:rFonts w:asciiTheme="majorHAnsi" w:hAnsiTheme="majorHAnsi"/>
          <w:sz w:val="22"/>
          <w:szCs w:val="22"/>
        </w:rPr>
        <w:t>attempted to quantify the degree of concern per item</w:t>
      </w:r>
      <w:r w:rsidR="00FD7B56" w:rsidRPr="003F437A">
        <w:rPr>
          <w:rFonts w:asciiTheme="majorHAnsi" w:hAnsiTheme="majorHAnsi"/>
          <w:sz w:val="22"/>
          <w:szCs w:val="22"/>
        </w:rPr>
        <w:t xml:space="preserve"> selected</w:t>
      </w:r>
      <w:r w:rsidR="0097350B" w:rsidRPr="003F437A">
        <w:rPr>
          <w:rFonts w:asciiTheme="majorHAnsi" w:hAnsiTheme="majorHAnsi"/>
          <w:sz w:val="22"/>
          <w:szCs w:val="22"/>
        </w:rPr>
        <w:t xml:space="preserve"> other than establishing the presence of a significant problem for the item of concern </w:t>
      </w:r>
      <w:r w:rsidR="00A12797" w:rsidRPr="003F437A">
        <w:rPr>
          <w:rFonts w:asciiTheme="majorHAnsi" w:hAnsiTheme="majorHAnsi"/>
          <w:sz w:val="22"/>
          <w:szCs w:val="22"/>
        </w:rPr>
        <w:t xml:space="preserve">as described previously </w:t>
      </w:r>
      <w:r w:rsidR="00734AFD" w:rsidRPr="00E85202">
        <w:rPr>
          <w:rFonts w:asciiTheme="majorHAnsi" w:hAnsiTheme="majorHAnsi"/>
          <w:sz w:val="22"/>
          <w:szCs w:val="22"/>
          <w:vertAlign w:val="superscript"/>
        </w:rPr>
        <w:t>5</w:t>
      </w:r>
      <w:r w:rsidR="00985F89" w:rsidRPr="00E85202">
        <w:rPr>
          <w:rFonts w:asciiTheme="majorHAnsi" w:hAnsiTheme="majorHAnsi"/>
          <w:sz w:val="22"/>
          <w:szCs w:val="22"/>
          <w:vertAlign w:val="superscript"/>
        </w:rPr>
        <w:t>-11</w:t>
      </w:r>
      <w:r w:rsidR="0097350B" w:rsidRPr="00E85202">
        <w:rPr>
          <w:rFonts w:asciiTheme="majorHAnsi" w:hAnsiTheme="majorHAnsi"/>
          <w:sz w:val="22"/>
          <w:szCs w:val="22"/>
        </w:rPr>
        <w:t>.</w:t>
      </w:r>
      <w:r w:rsidR="00FD7B56" w:rsidRPr="00E85202">
        <w:rPr>
          <w:rFonts w:asciiTheme="majorHAnsi" w:hAnsiTheme="majorHAnsi"/>
          <w:sz w:val="22"/>
          <w:szCs w:val="22"/>
        </w:rPr>
        <w:t xml:space="preserve"> </w:t>
      </w:r>
    </w:p>
    <w:p w14:paraId="6CD0D1FC" w14:textId="77777777" w:rsidR="00E06CB8" w:rsidRPr="00C02D2C" w:rsidRDefault="00E06CB8" w:rsidP="00075D52">
      <w:pPr>
        <w:widowControl w:val="0"/>
        <w:autoSpaceDE w:val="0"/>
        <w:autoSpaceDN w:val="0"/>
        <w:adjustRightInd w:val="0"/>
        <w:spacing w:line="360" w:lineRule="auto"/>
        <w:jc w:val="both"/>
        <w:rPr>
          <w:rFonts w:asciiTheme="majorHAnsi" w:hAnsiTheme="majorHAnsi" w:cs="Times New Roman"/>
          <w:sz w:val="22"/>
          <w:szCs w:val="22"/>
        </w:rPr>
      </w:pPr>
    </w:p>
    <w:p w14:paraId="2214A570" w14:textId="47713F2F" w:rsidR="00182EE0" w:rsidRPr="00BE1CF2" w:rsidRDefault="00182EE0" w:rsidP="00BE1CF2">
      <w:pPr>
        <w:widowControl w:val="0"/>
        <w:autoSpaceDE w:val="0"/>
        <w:autoSpaceDN w:val="0"/>
        <w:adjustRightInd w:val="0"/>
        <w:spacing w:line="360" w:lineRule="auto"/>
        <w:jc w:val="both"/>
        <w:rPr>
          <w:rFonts w:asciiTheme="majorHAnsi" w:hAnsiTheme="majorHAnsi"/>
          <w:sz w:val="22"/>
          <w:szCs w:val="22"/>
          <w:lang w:val="en-GB"/>
        </w:rPr>
      </w:pPr>
      <w:r w:rsidRPr="003F437A">
        <w:rPr>
          <w:rFonts w:asciiTheme="majorHAnsi" w:hAnsiTheme="majorHAnsi"/>
          <w:sz w:val="22"/>
          <w:szCs w:val="22"/>
        </w:rPr>
        <w:t xml:space="preserve">The majority of patients in this cohort did not experience significant distress </w:t>
      </w:r>
      <w:r w:rsidRPr="003F437A">
        <w:rPr>
          <w:rFonts w:asciiTheme="majorHAnsi" w:hAnsiTheme="majorHAnsi"/>
          <w:sz w:val="22"/>
          <w:szCs w:val="22"/>
          <w:lang w:val="en-GB"/>
        </w:rPr>
        <w:t>(</w:t>
      </w:r>
      <w:r w:rsidR="00D358F2" w:rsidRPr="003F437A">
        <w:rPr>
          <w:rFonts w:asciiTheme="majorHAnsi" w:hAnsiTheme="majorHAnsi"/>
          <w:sz w:val="22"/>
          <w:szCs w:val="22"/>
          <w:lang w:val="en-GB"/>
        </w:rPr>
        <w:t>64</w:t>
      </w:r>
      <w:r w:rsidRPr="003F437A">
        <w:rPr>
          <w:rFonts w:asciiTheme="majorHAnsi" w:hAnsiTheme="majorHAnsi"/>
          <w:sz w:val="22"/>
          <w:szCs w:val="22"/>
          <w:lang w:val="en-GB"/>
        </w:rPr>
        <w:t>%, 108/170)</w:t>
      </w:r>
      <w:r w:rsidR="003C3638" w:rsidRPr="003F437A">
        <w:rPr>
          <w:rFonts w:asciiTheme="majorHAnsi" w:hAnsiTheme="majorHAnsi"/>
          <w:sz w:val="22"/>
          <w:szCs w:val="22"/>
          <w:lang w:val="en-GB"/>
        </w:rPr>
        <w:t>.</w:t>
      </w:r>
      <w:r w:rsidR="00C86347" w:rsidRPr="003F437A">
        <w:rPr>
          <w:rFonts w:asciiTheme="majorHAnsi" w:hAnsiTheme="majorHAnsi"/>
          <w:sz w:val="22"/>
          <w:szCs w:val="22"/>
          <w:lang w:val="en-GB"/>
        </w:rPr>
        <w:t xml:space="preserve"> </w:t>
      </w:r>
      <w:r w:rsidR="00E012D3" w:rsidRPr="003F437A">
        <w:rPr>
          <w:rFonts w:asciiTheme="majorHAnsi" w:hAnsiTheme="majorHAnsi" w:cs="Calibri"/>
          <w:color w:val="1A1A1A"/>
          <w:sz w:val="22"/>
          <w:szCs w:val="22"/>
        </w:rPr>
        <w:t>Patients wi</w:t>
      </w:r>
      <w:r w:rsidR="00A46729" w:rsidRPr="003F437A">
        <w:rPr>
          <w:rFonts w:asciiTheme="majorHAnsi" w:hAnsiTheme="majorHAnsi" w:cs="Calibri"/>
          <w:color w:val="1A1A1A"/>
          <w:sz w:val="22"/>
          <w:szCs w:val="22"/>
        </w:rPr>
        <w:t>th significant</w:t>
      </w:r>
      <w:r w:rsidR="00E012D3" w:rsidRPr="003F437A">
        <w:rPr>
          <w:rFonts w:asciiTheme="majorHAnsi" w:hAnsiTheme="majorHAnsi" w:cs="Calibri"/>
          <w:color w:val="1A1A1A"/>
          <w:sz w:val="22"/>
          <w:szCs w:val="22"/>
        </w:rPr>
        <w:t xml:space="preserve"> distress selected more items overall than patients without distress (mean, median (QR) of </w:t>
      </w:r>
      <w:r w:rsidR="00EB4D99" w:rsidRPr="003F437A">
        <w:rPr>
          <w:rFonts w:asciiTheme="majorHAnsi" w:hAnsiTheme="majorHAnsi" w:cs="Calibri"/>
          <w:color w:val="1A1A1A"/>
          <w:sz w:val="22"/>
          <w:szCs w:val="22"/>
        </w:rPr>
        <w:t xml:space="preserve">5.40, 5 (2-8) </w:t>
      </w:r>
      <w:r w:rsidR="00EB4D99" w:rsidRPr="003F437A">
        <w:rPr>
          <w:rFonts w:asciiTheme="majorHAnsi" w:hAnsiTheme="majorHAnsi" w:cs="Calibri"/>
          <w:i/>
          <w:color w:val="1A1A1A"/>
          <w:sz w:val="22"/>
          <w:szCs w:val="22"/>
        </w:rPr>
        <w:t>v</w:t>
      </w:r>
      <w:r w:rsidR="00C86347" w:rsidRPr="003F437A">
        <w:rPr>
          <w:rFonts w:asciiTheme="majorHAnsi" w:hAnsiTheme="majorHAnsi" w:cs="Calibri"/>
          <w:i/>
          <w:color w:val="1A1A1A"/>
          <w:sz w:val="22"/>
          <w:szCs w:val="22"/>
        </w:rPr>
        <w:t>ersu</w:t>
      </w:r>
      <w:r w:rsidR="00A46729" w:rsidRPr="003F437A">
        <w:rPr>
          <w:rFonts w:asciiTheme="majorHAnsi" w:hAnsiTheme="majorHAnsi" w:cs="Calibri"/>
          <w:i/>
          <w:color w:val="1A1A1A"/>
          <w:sz w:val="22"/>
          <w:szCs w:val="22"/>
        </w:rPr>
        <w:t>s</w:t>
      </w:r>
      <w:r w:rsidR="00A46729" w:rsidRPr="003F437A">
        <w:rPr>
          <w:rFonts w:asciiTheme="majorHAnsi" w:hAnsiTheme="majorHAnsi" w:cs="Calibri"/>
          <w:color w:val="1A1A1A"/>
          <w:sz w:val="22"/>
          <w:szCs w:val="22"/>
        </w:rPr>
        <w:t xml:space="preserve"> 2.61, 2 (0-4); </w:t>
      </w:r>
      <w:r w:rsidR="00E012D3" w:rsidRPr="003F437A">
        <w:rPr>
          <w:rFonts w:asciiTheme="majorHAnsi" w:hAnsiTheme="majorHAnsi" w:cs="Calibri"/>
          <w:color w:val="1A1A1A"/>
          <w:sz w:val="22"/>
          <w:szCs w:val="22"/>
        </w:rPr>
        <w:t>Mann-Whitney test, p&lt;0.001). </w:t>
      </w:r>
      <w:r w:rsidR="00EB4D99" w:rsidRPr="003F437A">
        <w:rPr>
          <w:rFonts w:asciiTheme="majorHAnsi" w:hAnsiTheme="majorHAnsi" w:cs="Calibri"/>
          <w:color w:val="1A1A1A"/>
          <w:sz w:val="22"/>
          <w:szCs w:val="22"/>
        </w:rPr>
        <w:t xml:space="preserve">This corresponds to other studies </w:t>
      </w:r>
      <w:r w:rsidR="00CC20B6" w:rsidRPr="00D71ECA">
        <w:rPr>
          <w:rFonts w:asciiTheme="majorHAnsi" w:hAnsiTheme="majorHAnsi"/>
          <w:sz w:val="22"/>
          <w:szCs w:val="22"/>
          <w:vertAlign w:val="superscript"/>
        </w:rPr>
        <w:t>3</w:t>
      </w:r>
      <w:r w:rsidR="00985F89" w:rsidRPr="00D71ECA">
        <w:rPr>
          <w:rFonts w:asciiTheme="majorHAnsi" w:hAnsiTheme="majorHAnsi"/>
          <w:sz w:val="22"/>
          <w:szCs w:val="22"/>
          <w:vertAlign w:val="superscript"/>
        </w:rPr>
        <w:t>,4</w:t>
      </w:r>
      <w:r w:rsidR="00EB4D99" w:rsidRPr="00E85202">
        <w:rPr>
          <w:rFonts w:asciiTheme="majorHAnsi" w:hAnsiTheme="majorHAnsi"/>
          <w:sz w:val="22"/>
          <w:szCs w:val="22"/>
        </w:rPr>
        <w:t>, where patient concerns were related with the development of distress</w:t>
      </w:r>
      <w:r w:rsidR="00EB4D99" w:rsidRPr="00C02D2C">
        <w:rPr>
          <w:rFonts w:asciiTheme="majorHAnsi" w:hAnsiTheme="majorHAnsi"/>
          <w:sz w:val="22"/>
          <w:szCs w:val="22"/>
        </w:rPr>
        <w:t>.</w:t>
      </w:r>
      <w:r w:rsidR="00EB4D99" w:rsidRPr="003F437A">
        <w:rPr>
          <w:rFonts w:asciiTheme="majorHAnsi" w:hAnsiTheme="majorHAnsi" w:cs="Times New Roman"/>
          <w:sz w:val="22"/>
          <w:szCs w:val="22"/>
        </w:rPr>
        <w:t xml:space="preserve"> </w:t>
      </w:r>
      <w:r w:rsidR="0097350B" w:rsidRPr="003F437A">
        <w:rPr>
          <w:rFonts w:asciiTheme="majorHAnsi" w:hAnsiTheme="majorHAnsi" w:cs="Times New Roman"/>
          <w:sz w:val="22"/>
          <w:szCs w:val="22"/>
        </w:rPr>
        <w:t xml:space="preserve">The potential relationship between </w:t>
      </w:r>
      <w:r w:rsidR="00A12797" w:rsidRPr="003F437A">
        <w:rPr>
          <w:rFonts w:asciiTheme="majorHAnsi" w:hAnsiTheme="majorHAnsi" w:cs="Times New Roman"/>
          <w:sz w:val="22"/>
          <w:szCs w:val="22"/>
        </w:rPr>
        <w:t xml:space="preserve">the </w:t>
      </w:r>
      <w:r w:rsidR="0097350B" w:rsidRPr="003F437A">
        <w:rPr>
          <w:rFonts w:asciiTheme="majorHAnsi" w:hAnsiTheme="majorHAnsi" w:cs="Times New Roman"/>
          <w:sz w:val="22"/>
          <w:szCs w:val="22"/>
        </w:rPr>
        <w:t xml:space="preserve">number </w:t>
      </w:r>
      <w:r w:rsidR="00672510" w:rsidRPr="003F437A">
        <w:rPr>
          <w:rFonts w:asciiTheme="majorHAnsi" w:hAnsiTheme="majorHAnsi" w:cs="Times New Roman"/>
          <w:sz w:val="22"/>
          <w:szCs w:val="22"/>
        </w:rPr>
        <w:t xml:space="preserve">of </w:t>
      </w:r>
      <w:r w:rsidR="0097350B" w:rsidRPr="003F437A">
        <w:rPr>
          <w:rFonts w:asciiTheme="majorHAnsi" w:hAnsiTheme="majorHAnsi" w:cs="Times New Roman"/>
          <w:sz w:val="22"/>
          <w:szCs w:val="22"/>
        </w:rPr>
        <w:t>concern</w:t>
      </w:r>
      <w:r w:rsidR="00D00349" w:rsidRPr="003F437A">
        <w:rPr>
          <w:rFonts w:asciiTheme="majorHAnsi" w:hAnsiTheme="majorHAnsi" w:cs="Times New Roman"/>
          <w:sz w:val="22"/>
          <w:szCs w:val="22"/>
        </w:rPr>
        <w:t>s</w:t>
      </w:r>
      <w:r w:rsidR="00672510" w:rsidRPr="003F437A">
        <w:rPr>
          <w:rFonts w:asciiTheme="majorHAnsi" w:hAnsiTheme="majorHAnsi" w:cs="Times New Roman"/>
          <w:sz w:val="22"/>
          <w:szCs w:val="22"/>
        </w:rPr>
        <w:t xml:space="preserve"> </w:t>
      </w:r>
      <w:r w:rsidR="0097350B" w:rsidRPr="003F437A">
        <w:rPr>
          <w:rFonts w:asciiTheme="majorHAnsi" w:hAnsiTheme="majorHAnsi" w:cs="Times New Roman"/>
          <w:sz w:val="22"/>
          <w:szCs w:val="22"/>
        </w:rPr>
        <w:t xml:space="preserve">with the </w:t>
      </w:r>
      <w:r w:rsidR="00B309E0" w:rsidRPr="003F437A">
        <w:rPr>
          <w:rFonts w:asciiTheme="majorHAnsi" w:hAnsiTheme="majorHAnsi" w:cs="Times New Roman"/>
          <w:sz w:val="22"/>
          <w:szCs w:val="22"/>
        </w:rPr>
        <w:t xml:space="preserve">likelihood of experiencing </w:t>
      </w:r>
      <w:r w:rsidR="0097350B" w:rsidRPr="003F437A">
        <w:rPr>
          <w:rFonts w:asciiTheme="majorHAnsi" w:hAnsiTheme="majorHAnsi" w:cs="Times New Roman"/>
          <w:sz w:val="22"/>
          <w:szCs w:val="22"/>
        </w:rPr>
        <w:t xml:space="preserve">significant distress </w:t>
      </w:r>
      <w:r w:rsidR="00B309E0" w:rsidRPr="003F437A">
        <w:rPr>
          <w:rFonts w:asciiTheme="majorHAnsi" w:hAnsiTheme="majorHAnsi" w:cs="Times New Roman"/>
          <w:sz w:val="22"/>
          <w:szCs w:val="22"/>
        </w:rPr>
        <w:t>was further evaluated</w:t>
      </w:r>
      <w:r w:rsidR="00D00349" w:rsidRPr="003F437A">
        <w:rPr>
          <w:rFonts w:asciiTheme="majorHAnsi" w:hAnsiTheme="majorHAnsi" w:cs="Times New Roman"/>
          <w:sz w:val="22"/>
          <w:szCs w:val="22"/>
        </w:rPr>
        <w:t>, where i</w:t>
      </w:r>
      <w:r w:rsidR="0097350B" w:rsidRPr="003F437A">
        <w:rPr>
          <w:rFonts w:asciiTheme="majorHAnsi" w:hAnsiTheme="majorHAnsi" w:cs="Times New Roman"/>
          <w:sz w:val="22"/>
          <w:szCs w:val="22"/>
        </w:rPr>
        <w:t>t was poss</w:t>
      </w:r>
      <w:r w:rsidR="00B309E0" w:rsidRPr="003F437A">
        <w:rPr>
          <w:rFonts w:asciiTheme="majorHAnsi" w:hAnsiTheme="majorHAnsi" w:cs="Times New Roman"/>
          <w:sz w:val="22"/>
          <w:szCs w:val="22"/>
        </w:rPr>
        <w:t>ible to suggest a cut-off point</w:t>
      </w:r>
      <w:r w:rsidR="00D00349" w:rsidRPr="003F437A">
        <w:rPr>
          <w:rFonts w:asciiTheme="majorHAnsi" w:hAnsiTheme="majorHAnsi" w:cs="Times New Roman"/>
          <w:sz w:val="22"/>
          <w:szCs w:val="22"/>
        </w:rPr>
        <w:t xml:space="preserve"> indicating </w:t>
      </w:r>
      <w:r w:rsidR="00B309E0" w:rsidRPr="003F437A">
        <w:rPr>
          <w:rFonts w:asciiTheme="majorHAnsi" w:hAnsiTheme="majorHAnsi" w:cs="Times New Roman"/>
          <w:sz w:val="22"/>
          <w:szCs w:val="22"/>
        </w:rPr>
        <w:t xml:space="preserve">significant distress with a </w:t>
      </w:r>
      <w:r w:rsidR="00D00349" w:rsidRPr="003F437A">
        <w:rPr>
          <w:rFonts w:asciiTheme="majorHAnsi" w:hAnsiTheme="majorHAnsi" w:cs="Times New Roman"/>
          <w:sz w:val="22"/>
          <w:szCs w:val="22"/>
        </w:rPr>
        <w:t xml:space="preserve">reasonable </w:t>
      </w:r>
      <w:r w:rsidR="00B309E0" w:rsidRPr="003F437A">
        <w:rPr>
          <w:rFonts w:asciiTheme="majorHAnsi" w:hAnsiTheme="majorHAnsi" w:cs="Times New Roman"/>
          <w:sz w:val="22"/>
          <w:szCs w:val="22"/>
        </w:rPr>
        <w:t>degree of sensitivity a</w:t>
      </w:r>
      <w:r w:rsidR="00A12797" w:rsidRPr="003F437A">
        <w:rPr>
          <w:rFonts w:asciiTheme="majorHAnsi" w:hAnsiTheme="majorHAnsi" w:cs="Times New Roman"/>
          <w:sz w:val="22"/>
          <w:szCs w:val="22"/>
        </w:rPr>
        <w:t xml:space="preserve">nd specificity. On balance, </w:t>
      </w:r>
      <w:r w:rsidR="00DB6AF8" w:rsidRPr="003F437A">
        <w:rPr>
          <w:rFonts w:asciiTheme="majorHAnsi" w:hAnsiTheme="majorHAnsi" w:cs="Times New Roman"/>
          <w:sz w:val="22"/>
          <w:szCs w:val="22"/>
        </w:rPr>
        <w:t xml:space="preserve">cut-off </w:t>
      </w:r>
      <w:r w:rsidR="00A12797" w:rsidRPr="003F437A">
        <w:rPr>
          <w:rFonts w:asciiTheme="majorHAnsi" w:hAnsiTheme="majorHAnsi" w:cs="Times New Roman"/>
          <w:sz w:val="22"/>
          <w:szCs w:val="22"/>
        </w:rPr>
        <w:t>point</w:t>
      </w:r>
      <w:r w:rsidR="00985F89" w:rsidRPr="003F437A">
        <w:rPr>
          <w:rFonts w:asciiTheme="majorHAnsi" w:hAnsiTheme="majorHAnsi" w:cs="Times New Roman"/>
          <w:sz w:val="22"/>
          <w:szCs w:val="22"/>
        </w:rPr>
        <w:t>s</w:t>
      </w:r>
      <w:r w:rsidR="00A12797" w:rsidRPr="003F437A">
        <w:rPr>
          <w:rFonts w:asciiTheme="majorHAnsi" w:hAnsiTheme="majorHAnsi" w:cs="Times New Roman"/>
          <w:sz w:val="22"/>
          <w:szCs w:val="22"/>
        </w:rPr>
        <w:t xml:space="preserve"> of </w:t>
      </w:r>
      <w:r w:rsidR="00985F89" w:rsidRPr="003F437A">
        <w:rPr>
          <w:rFonts w:asciiTheme="majorHAnsi" w:hAnsiTheme="majorHAnsi" w:cs="Times New Roman"/>
          <w:sz w:val="22"/>
          <w:szCs w:val="22"/>
        </w:rPr>
        <w:t xml:space="preserve">either </w:t>
      </w:r>
      <w:r w:rsidR="00A12797" w:rsidRPr="003F437A">
        <w:rPr>
          <w:rFonts w:ascii="Calibri" w:hAnsi="Calibri" w:cs="Times New Roman"/>
          <w:sz w:val="22"/>
          <w:szCs w:val="22"/>
        </w:rPr>
        <w:t>≥</w:t>
      </w:r>
      <w:r w:rsidR="00985F89" w:rsidRPr="003F437A">
        <w:rPr>
          <w:rFonts w:ascii="Calibri" w:hAnsi="Calibri" w:cs="Times New Roman"/>
          <w:sz w:val="22"/>
          <w:szCs w:val="22"/>
        </w:rPr>
        <w:t>4 or ≥</w:t>
      </w:r>
      <w:r w:rsidR="00A12797" w:rsidRPr="003F437A">
        <w:rPr>
          <w:rFonts w:ascii="Calibri" w:hAnsi="Calibri" w:cs="Times New Roman"/>
          <w:sz w:val="22"/>
          <w:szCs w:val="22"/>
        </w:rPr>
        <w:t>5 items of concern selected on the PCI demonstrated an acceptable level of sensitivity, specificity and predictive values (</w:t>
      </w:r>
      <w:r w:rsidR="00A12797" w:rsidRPr="00E85202">
        <w:rPr>
          <w:rFonts w:ascii="Calibri" w:hAnsi="Calibri" w:cs="Times New Roman"/>
          <w:sz w:val="22"/>
          <w:szCs w:val="22"/>
        </w:rPr>
        <w:t xml:space="preserve">Table 3) for likelihood of experiencing significant distress.  From a clinical perspective, </w:t>
      </w:r>
      <w:r w:rsidR="00D00349" w:rsidRPr="00E85202">
        <w:rPr>
          <w:rFonts w:ascii="Calibri" w:hAnsi="Calibri" w:cs="Times New Roman"/>
          <w:sz w:val="22"/>
          <w:szCs w:val="22"/>
        </w:rPr>
        <w:t>using either ≥4 or ≥</w:t>
      </w:r>
      <w:r w:rsidR="00985F89" w:rsidRPr="00C02D2C">
        <w:rPr>
          <w:rFonts w:ascii="Calibri" w:hAnsi="Calibri" w:cs="Times New Roman"/>
          <w:sz w:val="22"/>
          <w:szCs w:val="22"/>
        </w:rPr>
        <w:t xml:space="preserve">5 </w:t>
      </w:r>
      <w:r w:rsidR="00A12797" w:rsidRPr="003F437A">
        <w:rPr>
          <w:rFonts w:ascii="Calibri" w:hAnsi="Calibri" w:cs="Times New Roman"/>
          <w:sz w:val="22"/>
          <w:szCs w:val="22"/>
        </w:rPr>
        <w:t xml:space="preserve">cut-off </w:t>
      </w:r>
      <w:r w:rsidR="00985F89" w:rsidRPr="003F437A">
        <w:rPr>
          <w:rFonts w:ascii="Calibri" w:hAnsi="Calibri" w:cs="Times New Roman"/>
          <w:sz w:val="22"/>
          <w:szCs w:val="22"/>
        </w:rPr>
        <w:t xml:space="preserve">score </w:t>
      </w:r>
      <w:r w:rsidR="00A12797" w:rsidRPr="003F437A">
        <w:rPr>
          <w:rFonts w:ascii="Calibri" w:hAnsi="Calibri" w:cs="Times New Roman"/>
          <w:sz w:val="22"/>
          <w:szCs w:val="22"/>
        </w:rPr>
        <w:t xml:space="preserve">can help </w:t>
      </w:r>
      <w:r w:rsidR="00DD5CAB" w:rsidRPr="003F437A">
        <w:rPr>
          <w:rFonts w:ascii="Calibri" w:hAnsi="Calibri" w:cs="Times New Roman"/>
          <w:sz w:val="22"/>
          <w:szCs w:val="22"/>
        </w:rPr>
        <w:t xml:space="preserve">guide </w:t>
      </w:r>
      <w:r w:rsidR="00A12797" w:rsidRPr="003F437A">
        <w:rPr>
          <w:rFonts w:ascii="Calibri" w:hAnsi="Calibri" w:cs="Times New Roman"/>
          <w:sz w:val="22"/>
          <w:szCs w:val="22"/>
        </w:rPr>
        <w:t xml:space="preserve">clinicians </w:t>
      </w:r>
      <w:r w:rsidR="00D00349" w:rsidRPr="003F437A">
        <w:rPr>
          <w:rFonts w:ascii="Calibri" w:hAnsi="Calibri" w:cs="Times New Roman"/>
          <w:sz w:val="22"/>
          <w:szCs w:val="22"/>
        </w:rPr>
        <w:t xml:space="preserve">in risk </w:t>
      </w:r>
      <w:r w:rsidR="00DD5CAB" w:rsidRPr="003F437A">
        <w:rPr>
          <w:rFonts w:ascii="Calibri" w:hAnsi="Calibri" w:cs="Times New Roman"/>
          <w:sz w:val="22"/>
          <w:szCs w:val="22"/>
        </w:rPr>
        <w:t xml:space="preserve">assessing </w:t>
      </w:r>
      <w:r w:rsidR="00A12797" w:rsidRPr="003F437A">
        <w:rPr>
          <w:rFonts w:ascii="Calibri" w:hAnsi="Calibri" w:cs="Times New Roman"/>
          <w:sz w:val="22"/>
          <w:szCs w:val="22"/>
        </w:rPr>
        <w:t xml:space="preserve">patients </w:t>
      </w:r>
      <w:r w:rsidR="00D00349" w:rsidRPr="003F437A">
        <w:rPr>
          <w:rFonts w:ascii="Calibri" w:hAnsi="Calibri" w:cs="Times New Roman"/>
          <w:sz w:val="22"/>
          <w:szCs w:val="22"/>
        </w:rPr>
        <w:t>for</w:t>
      </w:r>
      <w:r w:rsidR="00A12797" w:rsidRPr="003F437A">
        <w:rPr>
          <w:rFonts w:ascii="Calibri" w:hAnsi="Calibri" w:cs="Times New Roman"/>
          <w:sz w:val="22"/>
          <w:szCs w:val="22"/>
        </w:rPr>
        <w:t xml:space="preserve"> significant distress, who may benefit from more in depth evaluation and </w:t>
      </w:r>
      <w:r w:rsidR="00A12797" w:rsidRPr="003F437A">
        <w:rPr>
          <w:rFonts w:asciiTheme="majorHAnsi" w:hAnsiTheme="majorHAnsi" w:cs="Times New Roman"/>
          <w:sz w:val="22"/>
          <w:szCs w:val="22"/>
        </w:rPr>
        <w:t>interventi</w:t>
      </w:r>
      <w:r w:rsidR="00620303" w:rsidRPr="003F437A">
        <w:rPr>
          <w:rFonts w:asciiTheme="majorHAnsi" w:hAnsiTheme="majorHAnsi" w:cs="Times New Roman"/>
          <w:sz w:val="22"/>
          <w:szCs w:val="22"/>
        </w:rPr>
        <w:t>on</w:t>
      </w:r>
      <w:r w:rsidR="00DD5CAB" w:rsidRPr="003F437A">
        <w:rPr>
          <w:rFonts w:asciiTheme="majorHAnsi" w:hAnsiTheme="majorHAnsi" w:cs="Times New Roman"/>
          <w:sz w:val="22"/>
          <w:szCs w:val="22"/>
        </w:rPr>
        <w:t xml:space="preserve">, </w:t>
      </w:r>
      <w:r w:rsidR="00D00349" w:rsidRPr="003F437A">
        <w:rPr>
          <w:rFonts w:asciiTheme="majorHAnsi" w:hAnsiTheme="majorHAnsi" w:cs="Times New Roman"/>
          <w:sz w:val="22"/>
          <w:szCs w:val="22"/>
        </w:rPr>
        <w:t>at pre-consultation.</w:t>
      </w:r>
      <w:r w:rsidR="00D00349">
        <w:rPr>
          <w:rFonts w:asciiTheme="majorHAnsi" w:hAnsiTheme="majorHAnsi" w:cs="Times New Roman"/>
          <w:sz w:val="22"/>
          <w:szCs w:val="22"/>
        </w:rPr>
        <w:t xml:space="preserve"> </w:t>
      </w:r>
    </w:p>
    <w:p w14:paraId="0D1B7AF4" w14:textId="77777777" w:rsidR="00182EE0" w:rsidRPr="00BE1CF2" w:rsidRDefault="00182EE0" w:rsidP="00BE1CF2">
      <w:pPr>
        <w:widowControl w:val="0"/>
        <w:autoSpaceDE w:val="0"/>
        <w:autoSpaceDN w:val="0"/>
        <w:adjustRightInd w:val="0"/>
        <w:spacing w:line="360" w:lineRule="auto"/>
        <w:jc w:val="both"/>
        <w:rPr>
          <w:rFonts w:asciiTheme="majorHAnsi" w:hAnsiTheme="majorHAnsi" w:cs="Times New Roman"/>
          <w:sz w:val="22"/>
          <w:szCs w:val="22"/>
        </w:rPr>
      </w:pPr>
    </w:p>
    <w:p w14:paraId="72489E22" w14:textId="72095938" w:rsidR="00182EE0" w:rsidRPr="00E85202" w:rsidRDefault="00DD5CAB" w:rsidP="00182EE0">
      <w:pPr>
        <w:widowControl w:val="0"/>
        <w:autoSpaceDE w:val="0"/>
        <w:autoSpaceDN w:val="0"/>
        <w:adjustRightInd w:val="0"/>
        <w:spacing w:line="360" w:lineRule="auto"/>
        <w:jc w:val="both"/>
        <w:rPr>
          <w:rFonts w:asciiTheme="majorHAnsi" w:hAnsiTheme="majorHAnsi"/>
          <w:sz w:val="22"/>
          <w:szCs w:val="22"/>
        </w:rPr>
      </w:pPr>
      <w:r w:rsidRPr="00E85202">
        <w:rPr>
          <w:rFonts w:asciiTheme="majorHAnsi" w:hAnsiTheme="majorHAnsi" w:cs="Times New Roman"/>
          <w:sz w:val="22"/>
          <w:szCs w:val="22"/>
        </w:rPr>
        <w:t>T</w:t>
      </w:r>
      <w:r w:rsidR="00A12797" w:rsidRPr="00E85202">
        <w:rPr>
          <w:rFonts w:asciiTheme="majorHAnsi" w:hAnsiTheme="majorHAnsi" w:cs="Times New Roman"/>
          <w:sz w:val="22"/>
          <w:szCs w:val="22"/>
        </w:rPr>
        <w:t>hose experiencing si</w:t>
      </w:r>
      <w:r w:rsidR="00182EE0" w:rsidRPr="00E85202">
        <w:rPr>
          <w:rFonts w:asciiTheme="majorHAnsi" w:hAnsiTheme="majorHAnsi" w:cs="Times New Roman"/>
          <w:sz w:val="22"/>
          <w:szCs w:val="22"/>
        </w:rPr>
        <w:t>gnificant distress</w:t>
      </w:r>
      <w:r w:rsidR="00A12797" w:rsidRPr="00E85202">
        <w:rPr>
          <w:rFonts w:asciiTheme="majorHAnsi" w:hAnsiTheme="majorHAnsi" w:cs="Times New Roman"/>
          <w:sz w:val="22"/>
          <w:szCs w:val="22"/>
        </w:rPr>
        <w:t xml:space="preserve"> were more likely to select items from the </w:t>
      </w:r>
      <w:r w:rsidR="00A12797" w:rsidRPr="00E85202">
        <w:rPr>
          <w:rFonts w:asciiTheme="majorHAnsi" w:hAnsiTheme="majorHAnsi"/>
          <w:sz w:val="22"/>
          <w:szCs w:val="22"/>
        </w:rPr>
        <w:t xml:space="preserve">Physical and Functional well-being domain </w:t>
      </w:r>
      <w:r w:rsidR="009017D1" w:rsidRPr="00C02D2C">
        <w:rPr>
          <w:rFonts w:asciiTheme="majorHAnsi" w:hAnsiTheme="majorHAnsi"/>
          <w:sz w:val="22"/>
          <w:szCs w:val="22"/>
        </w:rPr>
        <w:t xml:space="preserve">(p&lt;0.001) </w:t>
      </w:r>
      <w:r w:rsidR="00A12797" w:rsidRPr="003F437A">
        <w:rPr>
          <w:rFonts w:asciiTheme="majorHAnsi" w:hAnsiTheme="majorHAnsi"/>
          <w:sz w:val="22"/>
          <w:szCs w:val="22"/>
        </w:rPr>
        <w:t>and the Psychological and Emotional well-being domain</w:t>
      </w:r>
      <w:r w:rsidR="009017D1" w:rsidRPr="003F437A">
        <w:rPr>
          <w:rFonts w:asciiTheme="majorHAnsi" w:hAnsiTheme="majorHAnsi"/>
          <w:sz w:val="22"/>
          <w:szCs w:val="22"/>
        </w:rPr>
        <w:t xml:space="preserve"> (p=0.001)</w:t>
      </w:r>
      <w:r w:rsidR="00216F26" w:rsidRPr="003F437A">
        <w:rPr>
          <w:rFonts w:asciiTheme="majorHAnsi" w:hAnsiTheme="majorHAnsi"/>
          <w:sz w:val="22"/>
          <w:szCs w:val="22"/>
        </w:rPr>
        <w:t>.</w:t>
      </w:r>
      <w:r w:rsidR="00A12797" w:rsidRPr="003F437A">
        <w:rPr>
          <w:rFonts w:asciiTheme="majorHAnsi" w:hAnsiTheme="majorHAnsi"/>
          <w:sz w:val="22"/>
          <w:szCs w:val="22"/>
        </w:rPr>
        <w:t xml:space="preserve"> </w:t>
      </w:r>
      <w:r w:rsidRPr="003F437A">
        <w:rPr>
          <w:rFonts w:asciiTheme="majorHAnsi" w:hAnsiTheme="majorHAnsi"/>
          <w:sz w:val="22"/>
          <w:szCs w:val="22"/>
        </w:rPr>
        <w:t>T</w:t>
      </w:r>
      <w:r w:rsidR="00216F26" w:rsidRPr="003F437A">
        <w:rPr>
          <w:rFonts w:asciiTheme="majorHAnsi" w:hAnsiTheme="majorHAnsi"/>
          <w:sz w:val="22"/>
          <w:szCs w:val="22"/>
        </w:rPr>
        <w:t>his</w:t>
      </w:r>
      <w:r w:rsidR="00651CDB" w:rsidRPr="003F437A">
        <w:rPr>
          <w:rFonts w:asciiTheme="majorHAnsi" w:hAnsiTheme="majorHAnsi"/>
          <w:sz w:val="22"/>
          <w:szCs w:val="22"/>
        </w:rPr>
        <w:t xml:space="preserve"> </w:t>
      </w:r>
      <w:r w:rsidR="00620303" w:rsidRPr="003F437A">
        <w:rPr>
          <w:rFonts w:asciiTheme="majorHAnsi" w:hAnsiTheme="majorHAnsi"/>
          <w:sz w:val="22"/>
          <w:szCs w:val="22"/>
        </w:rPr>
        <w:t xml:space="preserve">finding </w:t>
      </w:r>
      <w:r w:rsidR="00651CDB" w:rsidRPr="003F437A">
        <w:rPr>
          <w:rFonts w:asciiTheme="majorHAnsi" w:hAnsiTheme="majorHAnsi"/>
          <w:sz w:val="22"/>
          <w:szCs w:val="22"/>
        </w:rPr>
        <w:t xml:space="preserve">demonstrates that emotional distress is not the only significant </w:t>
      </w:r>
      <w:r w:rsidRPr="003F437A">
        <w:rPr>
          <w:rFonts w:asciiTheme="majorHAnsi" w:hAnsiTheme="majorHAnsi"/>
          <w:sz w:val="22"/>
          <w:szCs w:val="22"/>
        </w:rPr>
        <w:t>contributing factor</w:t>
      </w:r>
      <w:r w:rsidR="00620303" w:rsidRPr="003F437A">
        <w:rPr>
          <w:rFonts w:asciiTheme="majorHAnsi" w:hAnsiTheme="majorHAnsi"/>
          <w:sz w:val="22"/>
          <w:szCs w:val="22"/>
        </w:rPr>
        <w:t xml:space="preserve"> in</w:t>
      </w:r>
      <w:r w:rsidR="00FA6CF4" w:rsidRPr="003F437A">
        <w:rPr>
          <w:rFonts w:asciiTheme="majorHAnsi" w:hAnsiTheme="majorHAnsi"/>
          <w:sz w:val="22"/>
          <w:szCs w:val="22"/>
        </w:rPr>
        <w:t xml:space="preserve"> cancer-related distress in a</w:t>
      </w:r>
      <w:r w:rsidR="00216F26" w:rsidRPr="003F437A">
        <w:rPr>
          <w:rFonts w:asciiTheme="majorHAnsi" w:hAnsiTheme="majorHAnsi"/>
          <w:sz w:val="22"/>
          <w:szCs w:val="22"/>
        </w:rPr>
        <w:t xml:space="preserve"> HNC populati</w:t>
      </w:r>
      <w:r w:rsidR="00620303" w:rsidRPr="003F437A">
        <w:rPr>
          <w:rFonts w:asciiTheme="majorHAnsi" w:hAnsiTheme="majorHAnsi"/>
          <w:sz w:val="22"/>
          <w:szCs w:val="22"/>
        </w:rPr>
        <w:t>on</w:t>
      </w:r>
      <w:r w:rsidR="00672510" w:rsidRPr="003F437A">
        <w:rPr>
          <w:rFonts w:asciiTheme="majorHAnsi" w:hAnsiTheme="majorHAnsi"/>
          <w:sz w:val="22"/>
          <w:szCs w:val="22"/>
        </w:rPr>
        <w:t xml:space="preserve"> predominantly treated with surgery (84%, 142/170)</w:t>
      </w:r>
      <w:r w:rsidR="00620303" w:rsidRPr="003F437A">
        <w:rPr>
          <w:rFonts w:asciiTheme="majorHAnsi" w:hAnsiTheme="majorHAnsi"/>
          <w:sz w:val="22"/>
          <w:szCs w:val="22"/>
        </w:rPr>
        <w:t>.</w:t>
      </w:r>
      <w:r w:rsidR="003C3638" w:rsidRPr="003F437A">
        <w:rPr>
          <w:rFonts w:asciiTheme="majorHAnsi" w:hAnsiTheme="majorHAnsi"/>
          <w:sz w:val="22"/>
          <w:szCs w:val="22"/>
        </w:rPr>
        <w:t xml:space="preserve"> </w:t>
      </w:r>
      <w:r w:rsidR="00BE1CF2" w:rsidRPr="003F437A">
        <w:rPr>
          <w:rFonts w:asciiTheme="majorHAnsi" w:hAnsiTheme="majorHAnsi"/>
          <w:sz w:val="22"/>
          <w:szCs w:val="22"/>
        </w:rPr>
        <w:t>Severe distress, in particular physical distress</w:t>
      </w:r>
      <w:r w:rsidR="00FA6CF4" w:rsidRPr="003F437A">
        <w:rPr>
          <w:rFonts w:asciiTheme="majorHAnsi" w:hAnsiTheme="majorHAnsi"/>
          <w:sz w:val="22"/>
          <w:szCs w:val="22"/>
        </w:rPr>
        <w:t xml:space="preserve"> related to oral cavity dysfunction</w:t>
      </w:r>
      <w:r w:rsidR="00BE1CF2" w:rsidRPr="003F437A">
        <w:rPr>
          <w:rFonts w:asciiTheme="majorHAnsi" w:hAnsiTheme="majorHAnsi"/>
          <w:sz w:val="22"/>
          <w:szCs w:val="22"/>
        </w:rPr>
        <w:t xml:space="preserve">, </w:t>
      </w:r>
      <w:r w:rsidR="00856189" w:rsidRPr="003F437A">
        <w:rPr>
          <w:rFonts w:asciiTheme="majorHAnsi" w:hAnsiTheme="majorHAnsi"/>
          <w:sz w:val="22"/>
          <w:szCs w:val="22"/>
        </w:rPr>
        <w:t xml:space="preserve">has been </w:t>
      </w:r>
      <w:r w:rsidR="00672510" w:rsidRPr="003F437A">
        <w:rPr>
          <w:rFonts w:asciiTheme="majorHAnsi" w:hAnsiTheme="majorHAnsi"/>
          <w:sz w:val="22"/>
          <w:szCs w:val="22"/>
        </w:rPr>
        <w:t>reported in</w:t>
      </w:r>
      <w:r w:rsidR="00856189" w:rsidRPr="003F437A">
        <w:rPr>
          <w:rFonts w:asciiTheme="majorHAnsi" w:hAnsiTheme="majorHAnsi"/>
          <w:sz w:val="22"/>
          <w:szCs w:val="22"/>
        </w:rPr>
        <w:t xml:space="preserve"> another</w:t>
      </w:r>
      <w:r w:rsidR="00672510" w:rsidRPr="003F437A">
        <w:rPr>
          <w:rFonts w:asciiTheme="majorHAnsi" w:hAnsiTheme="majorHAnsi"/>
          <w:sz w:val="22"/>
          <w:szCs w:val="22"/>
        </w:rPr>
        <w:t xml:space="preserve"> HNC</w:t>
      </w:r>
      <w:r w:rsidR="00BE1CF2" w:rsidRPr="003F437A">
        <w:rPr>
          <w:rFonts w:asciiTheme="majorHAnsi" w:hAnsiTheme="majorHAnsi"/>
          <w:sz w:val="22"/>
          <w:szCs w:val="22"/>
        </w:rPr>
        <w:t xml:space="preserve"> cohort treated by ablative surgery and immediate reconstruction </w:t>
      </w:r>
      <w:r w:rsidR="00B04255" w:rsidRPr="00E85202">
        <w:rPr>
          <w:rFonts w:asciiTheme="majorHAnsi" w:hAnsiTheme="majorHAnsi"/>
          <w:sz w:val="22"/>
          <w:szCs w:val="22"/>
          <w:vertAlign w:val="superscript"/>
        </w:rPr>
        <w:t>24</w:t>
      </w:r>
      <w:r w:rsidR="00BE1CF2" w:rsidRPr="00E85202">
        <w:rPr>
          <w:rFonts w:asciiTheme="majorHAnsi" w:hAnsiTheme="majorHAnsi"/>
          <w:sz w:val="22"/>
          <w:szCs w:val="22"/>
        </w:rPr>
        <w:t xml:space="preserve">. </w:t>
      </w:r>
      <w:r w:rsidR="00856189" w:rsidRPr="00E85202">
        <w:rPr>
          <w:rFonts w:asciiTheme="majorHAnsi" w:hAnsiTheme="majorHAnsi"/>
          <w:sz w:val="22"/>
          <w:szCs w:val="22"/>
        </w:rPr>
        <w:t xml:space="preserve">Furthermore, </w:t>
      </w:r>
      <w:r w:rsidR="00FA6CF4" w:rsidRPr="00E85202">
        <w:rPr>
          <w:rFonts w:asciiTheme="majorHAnsi" w:hAnsiTheme="majorHAnsi"/>
          <w:sz w:val="22"/>
          <w:szCs w:val="22"/>
        </w:rPr>
        <w:t xml:space="preserve">the use of </w:t>
      </w:r>
      <w:r w:rsidR="00E85202" w:rsidRPr="00E85202">
        <w:rPr>
          <w:rFonts w:asciiTheme="majorHAnsi" w:hAnsiTheme="majorHAnsi"/>
          <w:sz w:val="22"/>
          <w:szCs w:val="22"/>
        </w:rPr>
        <w:t>RT</w:t>
      </w:r>
      <w:r w:rsidR="00FA6CF4" w:rsidRPr="00E85202">
        <w:rPr>
          <w:rFonts w:asciiTheme="majorHAnsi" w:hAnsiTheme="majorHAnsi"/>
          <w:sz w:val="22"/>
          <w:szCs w:val="22"/>
        </w:rPr>
        <w:t xml:space="preserve"> </w:t>
      </w:r>
      <w:r w:rsidR="008F2AC3" w:rsidRPr="00E85202">
        <w:rPr>
          <w:rFonts w:asciiTheme="majorHAnsi" w:hAnsiTheme="majorHAnsi"/>
          <w:sz w:val="22"/>
          <w:szCs w:val="22"/>
          <w:vertAlign w:val="superscript"/>
        </w:rPr>
        <w:t>18</w:t>
      </w:r>
      <w:r w:rsidR="00985F89" w:rsidRPr="00E85202">
        <w:rPr>
          <w:rFonts w:asciiTheme="majorHAnsi" w:hAnsiTheme="majorHAnsi"/>
          <w:sz w:val="22"/>
          <w:szCs w:val="22"/>
          <w:vertAlign w:val="superscript"/>
        </w:rPr>
        <w:t>,25</w:t>
      </w:r>
      <w:r w:rsidR="008F2AC3" w:rsidRPr="00E85202">
        <w:rPr>
          <w:rFonts w:asciiTheme="majorHAnsi" w:hAnsiTheme="majorHAnsi"/>
          <w:sz w:val="22"/>
          <w:szCs w:val="22"/>
        </w:rPr>
        <w:t xml:space="preserve"> and chemo</w:t>
      </w:r>
      <w:bookmarkStart w:id="0" w:name="_GoBack"/>
      <w:r w:rsidR="00C068B3">
        <w:rPr>
          <w:rFonts w:asciiTheme="majorHAnsi" w:hAnsiTheme="majorHAnsi"/>
          <w:sz w:val="22"/>
          <w:szCs w:val="22"/>
        </w:rPr>
        <w:t>RT</w:t>
      </w:r>
      <w:bookmarkEnd w:id="0"/>
      <w:r w:rsidR="008F2AC3" w:rsidRPr="00E85202">
        <w:rPr>
          <w:rFonts w:asciiTheme="majorHAnsi" w:hAnsiTheme="majorHAnsi"/>
          <w:sz w:val="22"/>
          <w:szCs w:val="22"/>
        </w:rPr>
        <w:t xml:space="preserve"> </w:t>
      </w:r>
      <w:r w:rsidR="00B04255" w:rsidRPr="00E85202">
        <w:rPr>
          <w:rFonts w:asciiTheme="majorHAnsi" w:hAnsiTheme="majorHAnsi"/>
          <w:sz w:val="22"/>
          <w:szCs w:val="22"/>
          <w:vertAlign w:val="superscript"/>
        </w:rPr>
        <w:t>26</w:t>
      </w:r>
      <w:r w:rsidR="00E85202" w:rsidRPr="00E85202">
        <w:rPr>
          <w:rFonts w:asciiTheme="majorHAnsi" w:hAnsiTheme="majorHAnsi"/>
          <w:sz w:val="22"/>
          <w:szCs w:val="22"/>
        </w:rPr>
        <w:t xml:space="preserve"> </w:t>
      </w:r>
      <w:r w:rsidR="00956A45" w:rsidRPr="00E85202">
        <w:rPr>
          <w:rFonts w:asciiTheme="majorHAnsi" w:hAnsiTheme="majorHAnsi"/>
          <w:sz w:val="22"/>
          <w:szCs w:val="22"/>
        </w:rPr>
        <w:t>are</w:t>
      </w:r>
      <w:r w:rsidR="003C3638" w:rsidRPr="00E85202">
        <w:rPr>
          <w:rFonts w:asciiTheme="majorHAnsi" w:hAnsiTheme="majorHAnsi"/>
          <w:sz w:val="22"/>
          <w:szCs w:val="22"/>
        </w:rPr>
        <w:t xml:space="preserve"> </w:t>
      </w:r>
      <w:r w:rsidR="00FA6CF4" w:rsidRPr="00E85202">
        <w:rPr>
          <w:rFonts w:asciiTheme="majorHAnsi" w:hAnsiTheme="majorHAnsi"/>
          <w:sz w:val="22"/>
          <w:szCs w:val="22"/>
        </w:rPr>
        <w:t xml:space="preserve">also </w:t>
      </w:r>
      <w:r w:rsidR="003C3638" w:rsidRPr="00E85202">
        <w:rPr>
          <w:rFonts w:asciiTheme="majorHAnsi" w:hAnsiTheme="majorHAnsi"/>
          <w:sz w:val="22"/>
          <w:szCs w:val="22"/>
        </w:rPr>
        <w:t xml:space="preserve">strongly associated with significant distress in </w:t>
      </w:r>
      <w:r w:rsidRPr="00E85202">
        <w:rPr>
          <w:rFonts w:asciiTheme="majorHAnsi" w:hAnsiTheme="majorHAnsi"/>
          <w:sz w:val="22"/>
          <w:szCs w:val="22"/>
        </w:rPr>
        <w:t xml:space="preserve">this population. </w:t>
      </w:r>
      <w:r w:rsidR="003C3638" w:rsidRPr="00C02D2C">
        <w:rPr>
          <w:rFonts w:asciiTheme="majorHAnsi" w:hAnsiTheme="majorHAnsi"/>
          <w:sz w:val="22"/>
          <w:szCs w:val="22"/>
        </w:rPr>
        <w:t>HNC survivors</w:t>
      </w:r>
      <w:r w:rsidR="00FA6CF4" w:rsidRPr="003F437A">
        <w:rPr>
          <w:rFonts w:asciiTheme="majorHAnsi" w:hAnsiTheme="majorHAnsi"/>
          <w:sz w:val="22"/>
          <w:szCs w:val="22"/>
        </w:rPr>
        <w:t xml:space="preserve"> struggl</w:t>
      </w:r>
      <w:r w:rsidRPr="003F437A">
        <w:rPr>
          <w:rFonts w:asciiTheme="majorHAnsi" w:hAnsiTheme="majorHAnsi"/>
          <w:sz w:val="22"/>
          <w:szCs w:val="22"/>
        </w:rPr>
        <w:t>ing to</w:t>
      </w:r>
      <w:r w:rsidR="00FA6CF4" w:rsidRPr="003F437A">
        <w:rPr>
          <w:rFonts w:asciiTheme="majorHAnsi" w:hAnsiTheme="majorHAnsi"/>
          <w:sz w:val="22"/>
          <w:szCs w:val="22"/>
        </w:rPr>
        <w:t xml:space="preserve"> cop</w:t>
      </w:r>
      <w:r w:rsidRPr="003F437A">
        <w:rPr>
          <w:rFonts w:asciiTheme="majorHAnsi" w:hAnsiTheme="majorHAnsi"/>
          <w:sz w:val="22"/>
          <w:szCs w:val="22"/>
        </w:rPr>
        <w:t>e</w:t>
      </w:r>
      <w:r w:rsidR="00FA6CF4" w:rsidRPr="003F437A">
        <w:rPr>
          <w:rFonts w:asciiTheme="majorHAnsi" w:hAnsiTheme="majorHAnsi"/>
          <w:sz w:val="22"/>
          <w:szCs w:val="22"/>
        </w:rPr>
        <w:t xml:space="preserve"> with the after-effects of HNC treatment are likely to express significant distress and require </w:t>
      </w:r>
      <w:r w:rsidR="00B04255" w:rsidRPr="003F437A">
        <w:rPr>
          <w:rFonts w:asciiTheme="majorHAnsi" w:hAnsiTheme="majorHAnsi"/>
          <w:sz w:val="22"/>
          <w:szCs w:val="22"/>
        </w:rPr>
        <w:t xml:space="preserve">physical </w:t>
      </w:r>
      <w:r w:rsidR="00FA6CF4" w:rsidRPr="003F437A">
        <w:rPr>
          <w:rFonts w:asciiTheme="majorHAnsi" w:hAnsiTheme="majorHAnsi"/>
          <w:sz w:val="22"/>
          <w:szCs w:val="22"/>
        </w:rPr>
        <w:t>support</w:t>
      </w:r>
      <w:r w:rsidR="00B04255" w:rsidRPr="003F437A">
        <w:rPr>
          <w:rFonts w:asciiTheme="majorHAnsi" w:hAnsiTheme="majorHAnsi"/>
          <w:sz w:val="22"/>
          <w:szCs w:val="22"/>
        </w:rPr>
        <w:t xml:space="preserve"> more than </w:t>
      </w:r>
      <w:r w:rsidR="00856189" w:rsidRPr="003F437A">
        <w:rPr>
          <w:rFonts w:asciiTheme="majorHAnsi" w:hAnsiTheme="majorHAnsi"/>
          <w:sz w:val="22"/>
          <w:szCs w:val="22"/>
        </w:rPr>
        <w:t xml:space="preserve">any </w:t>
      </w:r>
      <w:r w:rsidR="00B04255" w:rsidRPr="003F437A">
        <w:rPr>
          <w:rFonts w:asciiTheme="majorHAnsi" w:hAnsiTheme="majorHAnsi"/>
          <w:sz w:val="22"/>
          <w:szCs w:val="22"/>
        </w:rPr>
        <w:t xml:space="preserve">other cancer types </w:t>
      </w:r>
      <w:r w:rsidR="00B04255" w:rsidRPr="00E85202">
        <w:rPr>
          <w:rFonts w:asciiTheme="majorHAnsi" w:hAnsiTheme="majorHAnsi"/>
          <w:sz w:val="22"/>
          <w:szCs w:val="22"/>
          <w:vertAlign w:val="superscript"/>
        </w:rPr>
        <w:t>24</w:t>
      </w:r>
      <w:r w:rsidR="00985F89" w:rsidRPr="00E85202">
        <w:rPr>
          <w:rFonts w:asciiTheme="majorHAnsi" w:hAnsiTheme="majorHAnsi"/>
          <w:sz w:val="22"/>
          <w:szCs w:val="22"/>
          <w:vertAlign w:val="superscript"/>
        </w:rPr>
        <w:t>,26</w:t>
      </w:r>
      <w:r w:rsidR="00FA6CF4" w:rsidRPr="00E85202">
        <w:rPr>
          <w:rFonts w:asciiTheme="majorHAnsi" w:hAnsiTheme="majorHAnsi"/>
          <w:sz w:val="22"/>
          <w:szCs w:val="22"/>
        </w:rPr>
        <w:t>.  Addressing significant distress related to physical</w:t>
      </w:r>
      <w:r w:rsidR="00E967A6" w:rsidRPr="00E85202">
        <w:rPr>
          <w:rFonts w:asciiTheme="majorHAnsi" w:hAnsiTheme="majorHAnsi"/>
          <w:sz w:val="22"/>
          <w:szCs w:val="22"/>
        </w:rPr>
        <w:t xml:space="preserve"> concerns can </w:t>
      </w:r>
      <w:r w:rsidRPr="00E85202">
        <w:rPr>
          <w:rFonts w:asciiTheme="majorHAnsi" w:hAnsiTheme="majorHAnsi"/>
          <w:sz w:val="22"/>
          <w:szCs w:val="22"/>
        </w:rPr>
        <w:t xml:space="preserve">be initiated in clinic. This </w:t>
      </w:r>
      <w:r w:rsidR="00E967A6" w:rsidRPr="00E85202">
        <w:rPr>
          <w:rFonts w:asciiTheme="majorHAnsi" w:hAnsiTheme="majorHAnsi"/>
          <w:sz w:val="22"/>
          <w:szCs w:val="22"/>
        </w:rPr>
        <w:t>includ</w:t>
      </w:r>
      <w:r w:rsidRPr="00C02D2C">
        <w:rPr>
          <w:rFonts w:asciiTheme="majorHAnsi" w:hAnsiTheme="majorHAnsi"/>
          <w:sz w:val="22"/>
          <w:szCs w:val="22"/>
        </w:rPr>
        <w:t>es both</w:t>
      </w:r>
      <w:r w:rsidR="00E967A6" w:rsidRPr="003F437A">
        <w:rPr>
          <w:rFonts w:asciiTheme="majorHAnsi" w:hAnsiTheme="majorHAnsi"/>
          <w:sz w:val="22"/>
          <w:szCs w:val="22"/>
        </w:rPr>
        <w:t xml:space="preserve"> </w:t>
      </w:r>
      <w:r w:rsidR="00216F26" w:rsidRPr="003F437A">
        <w:rPr>
          <w:rFonts w:asciiTheme="majorHAnsi" w:hAnsiTheme="majorHAnsi"/>
          <w:sz w:val="22"/>
          <w:szCs w:val="22"/>
        </w:rPr>
        <w:t xml:space="preserve">non-medical (e.g. education, advice, reassurances) and medical actions (e.g. investigations, surgery, medications, referrals). </w:t>
      </w:r>
      <w:r w:rsidR="00BD33BB" w:rsidRPr="003F437A">
        <w:rPr>
          <w:rFonts w:asciiTheme="majorHAnsi" w:hAnsiTheme="majorHAnsi"/>
          <w:sz w:val="22"/>
          <w:szCs w:val="22"/>
        </w:rPr>
        <w:t xml:space="preserve">Treatment-related domain was not associated </w:t>
      </w:r>
      <w:r w:rsidR="00BD33BB" w:rsidRPr="00E85202">
        <w:rPr>
          <w:rFonts w:asciiTheme="majorHAnsi" w:hAnsiTheme="majorHAnsi"/>
          <w:sz w:val="22"/>
          <w:szCs w:val="22"/>
        </w:rPr>
        <w:t>with significant distress (p=0.3)</w:t>
      </w:r>
      <w:r w:rsidR="00AA4A5E" w:rsidRPr="00E85202">
        <w:rPr>
          <w:rFonts w:asciiTheme="majorHAnsi" w:hAnsiTheme="majorHAnsi"/>
          <w:sz w:val="22"/>
          <w:szCs w:val="22"/>
        </w:rPr>
        <w:t>. It is possible that</w:t>
      </w:r>
      <w:r w:rsidRPr="00E85202">
        <w:rPr>
          <w:rFonts w:asciiTheme="majorHAnsi" w:hAnsiTheme="majorHAnsi"/>
          <w:sz w:val="22"/>
          <w:szCs w:val="22"/>
        </w:rPr>
        <w:t xml:space="preserve"> disease</w:t>
      </w:r>
      <w:r w:rsidR="00E967A6" w:rsidRPr="00E85202">
        <w:rPr>
          <w:rFonts w:asciiTheme="majorHAnsi" w:hAnsiTheme="majorHAnsi"/>
          <w:sz w:val="22"/>
          <w:szCs w:val="22"/>
        </w:rPr>
        <w:t xml:space="preserve">-free, post-treatment HNC patients were less likely to be significantly distressed about these issues following </w:t>
      </w:r>
      <w:r w:rsidRPr="00C02D2C">
        <w:rPr>
          <w:rFonts w:asciiTheme="majorHAnsi" w:hAnsiTheme="majorHAnsi"/>
          <w:sz w:val="22"/>
          <w:szCs w:val="22"/>
        </w:rPr>
        <w:t xml:space="preserve">treatment </w:t>
      </w:r>
      <w:r w:rsidR="00E967A6" w:rsidRPr="003F437A">
        <w:rPr>
          <w:rFonts w:asciiTheme="majorHAnsi" w:hAnsiTheme="majorHAnsi"/>
          <w:sz w:val="22"/>
          <w:szCs w:val="22"/>
        </w:rPr>
        <w:t>completion</w:t>
      </w:r>
      <w:r w:rsidR="00BD33BB" w:rsidRPr="003F437A">
        <w:rPr>
          <w:rFonts w:asciiTheme="majorHAnsi" w:hAnsiTheme="majorHAnsi"/>
          <w:sz w:val="22"/>
          <w:szCs w:val="22"/>
        </w:rPr>
        <w:t>. C</w:t>
      </w:r>
      <w:r w:rsidR="003D6A0E" w:rsidRPr="003F437A">
        <w:rPr>
          <w:rFonts w:asciiTheme="majorHAnsi" w:hAnsiTheme="majorHAnsi"/>
          <w:sz w:val="22"/>
          <w:szCs w:val="22"/>
        </w:rPr>
        <w:t xml:space="preserve">omparisons with other studies </w:t>
      </w:r>
      <w:r w:rsidR="00BD33BB" w:rsidRPr="003F437A">
        <w:rPr>
          <w:rFonts w:asciiTheme="majorHAnsi" w:hAnsiTheme="majorHAnsi"/>
          <w:sz w:val="22"/>
          <w:szCs w:val="22"/>
        </w:rPr>
        <w:t>are</w:t>
      </w:r>
      <w:r w:rsidR="00D71ECA">
        <w:rPr>
          <w:rFonts w:asciiTheme="majorHAnsi" w:hAnsiTheme="majorHAnsi"/>
          <w:sz w:val="22"/>
          <w:szCs w:val="22"/>
        </w:rPr>
        <w:t xml:space="preserve"> </w:t>
      </w:r>
      <w:r w:rsidR="00A81566">
        <w:rPr>
          <w:rFonts w:asciiTheme="majorHAnsi" w:hAnsiTheme="majorHAnsi"/>
          <w:sz w:val="22"/>
          <w:szCs w:val="22"/>
        </w:rPr>
        <w:t xml:space="preserve">not </w:t>
      </w:r>
      <w:r w:rsidR="00BD33BB" w:rsidRPr="003F437A">
        <w:rPr>
          <w:rFonts w:asciiTheme="majorHAnsi" w:hAnsiTheme="majorHAnsi"/>
          <w:sz w:val="22"/>
          <w:szCs w:val="22"/>
        </w:rPr>
        <w:t xml:space="preserve">possible </w:t>
      </w:r>
      <w:r w:rsidR="003D6A0E" w:rsidRPr="003F437A">
        <w:rPr>
          <w:rFonts w:asciiTheme="majorHAnsi" w:hAnsiTheme="majorHAnsi"/>
          <w:sz w:val="22"/>
          <w:szCs w:val="22"/>
        </w:rPr>
        <w:t>due to methodological differences in assessing concerns</w:t>
      </w:r>
      <w:r w:rsidR="00E85202" w:rsidRPr="003F437A">
        <w:rPr>
          <w:rFonts w:asciiTheme="majorHAnsi" w:hAnsiTheme="majorHAnsi"/>
          <w:sz w:val="22"/>
          <w:szCs w:val="22"/>
        </w:rPr>
        <w:t xml:space="preserve"> </w:t>
      </w:r>
      <w:r w:rsidR="00AA4A5E" w:rsidRPr="00E85202">
        <w:rPr>
          <w:rFonts w:asciiTheme="majorHAnsi" w:hAnsiTheme="majorHAnsi"/>
          <w:sz w:val="22"/>
          <w:szCs w:val="22"/>
          <w:vertAlign w:val="superscript"/>
        </w:rPr>
        <w:t>14,17</w:t>
      </w:r>
      <w:r w:rsidR="003D6A0E" w:rsidRPr="00E85202">
        <w:rPr>
          <w:rFonts w:asciiTheme="majorHAnsi" w:hAnsiTheme="majorHAnsi"/>
          <w:sz w:val="22"/>
          <w:szCs w:val="22"/>
        </w:rPr>
        <w:t xml:space="preserve">. </w:t>
      </w:r>
    </w:p>
    <w:p w14:paraId="66E760BB" w14:textId="77777777" w:rsidR="00182EE0" w:rsidRPr="00C02D2C" w:rsidRDefault="00182EE0" w:rsidP="00182EE0">
      <w:pPr>
        <w:widowControl w:val="0"/>
        <w:autoSpaceDE w:val="0"/>
        <w:autoSpaceDN w:val="0"/>
        <w:adjustRightInd w:val="0"/>
        <w:spacing w:line="360" w:lineRule="auto"/>
        <w:jc w:val="both"/>
        <w:rPr>
          <w:rFonts w:asciiTheme="majorHAnsi" w:hAnsiTheme="majorHAnsi" w:cs="Times New Roman"/>
          <w:sz w:val="22"/>
          <w:szCs w:val="22"/>
        </w:rPr>
      </w:pPr>
    </w:p>
    <w:p w14:paraId="5576D2CE" w14:textId="1BA1A0BA" w:rsidR="00182EE0" w:rsidRPr="00E85202" w:rsidRDefault="009017D1" w:rsidP="00182EE0">
      <w:pPr>
        <w:widowControl w:val="0"/>
        <w:autoSpaceDE w:val="0"/>
        <w:autoSpaceDN w:val="0"/>
        <w:adjustRightInd w:val="0"/>
        <w:spacing w:line="360" w:lineRule="auto"/>
        <w:jc w:val="both"/>
        <w:rPr>
          <w:rFonts w:asciiTheme="majorHAnsi" w:hAnsiTheme="majorHAnsi"/>
          <w:sz w:val="22"/>
          <w:szCs w:val="22"/>
        </w:rPr>
      </w:pPr>
      <w:r w:rsidRPr="003F437A">
        <w:rPr>
          <w:rFonts w:asciiTheme="majorHAnsi" w:hAnsiTheme="majorHAnsi"/>
          <w:sz w:val="22"/>
          <w:szCs w:val="22"/>
        </w:rPr>
        <w:t>When individual</w:t>
      </w:r>
      <w:r w:rsidR="00182EE0" w:rsidRPr="003F437A">
        <w:rPr>
          <w:rFonts w:asciiTheme="majorHAnsi" w:hAnsiTheme="majorHAnsi"/>
          <w:sz w:val="22"/>
          <w:szCs w:val="22"/>
        </w:rPr>
        <w:t xml:space="preserve"> PCI items of concern were evaluated, Anxiety (p=0.00</w:t>
      </w:r>
      <w:r w:rsidR="007056F7" w:rsidRPr="003F437A">
        <w:rPr>
          <w:rFonts w:asciiTheme="majorHAnsi" w:hAnsiTheme="majorHAnsi"/>
          <w:sz w:val="22"/>
          <w:szCs w:val="22"/>
        </w:rPr>
        <w:t>5</w:t>
      </w:r>
      <w:r w:rsidR="00182EE0" w:rsidRPr="003F437A">
        <w:rPr>
          <w:rFonts w:asciiTheme="majorHAnsi" w:hAnsiTheme="majorHAnsi"/>
          <w:sz w:val="22"/>
          <w:szCs w:val="22"/>
        </w:rPr>
        <w:t>), Depression (p=0.00</w:t>
      </w:r>
      <w:r w:rsidR="007056F7" w:rsidRPr="003F437A">
        <w:rPr>
          <w:rFonts w:asciiTheme="majorHAnsi" w:hAnsiTheme="majorHAnsi"/>
          <w:sz w:val="22"/>
          <w:szCs w:val="22"/>
        </w:rPr>
        <w:t>4</w:t>
      </w:r>
      <w:r w:rsidR="00182EE0" w:rsidRPr="003F437A">
        <w:rPr>
          <w:rFonts w:asciiTheme="majorHAnsi" w:hAnsiTheme="majorHAnsi"/>
          <w:sz w:val="22"/>
          <w:szCs w:val="22"/>
        </w:rPr>
        <w:t>), Mood (p=0.0</w:t>
      </w:r>
      <w:r w:rsidR="007056F7" w:rsidRPr="003F437A">
        <w:rPr>
          <w:rFonts w:asciiTheme="majorHAnsi" w:hAnsiTheme="majorHAnsi"/>
          <w:sz w:val="22"/>
          <w:szCs w:val="22"/>
        </w:rPr>
        <w:t>1</w:t>
      </w:r>
      <w:r w:rsidR="00182EE0" w:rsidRPr="003F437A">
        <w:rPr>
          <w:rFonts w:asciiTheme="majorHAnsi" w:hAnsiTheme="majorHAnsi"/>
          <w:sz w:val="22"/>
          <w:szCs w:val="22"/>
        </w:rPr>
        <w:t>), Pain</w:t>
      </w:r>
      <w:r w:rsidR="007056F7" w:rsidRPr="003F437A">
        <w:rPr>
          <w:rFonts w:asciiTheme="majorHAnsi" w:hAnsiTheme="majorHAnsi"/>
          <w:sz w:val="22"/>
          <w:szCs w:val="22"/>
        </w:rPr>
        <w:t xml:space="preserve"> in head/neck</w:t>
      </w:r>
      <w:r w:rsidR="00182EE0" w:rsidRPr="003F437A">
        <w:rPr>
          <w:rFonts w:asciiTheme="majorHAnsi" w:hAnsiTheme="majorHAnsi"/>
          <w:sz w:val="22"/>
          <w:szCs w:val="22"/>
        </w:rPr>
        <w:t xml:space="preserve"> (p</w:t>
      </w:r>
      <w:r w:rsidR="007056F7" w:rsidRPr="003F437A">
        <w:rPr>
          <w:rFonts w:asciiTheme="majorHAnsi" w:hAnsiTheme="majorHAnsi"/>
          <w:sz w:val="22"/>
          <w:szCs w:val="22"/>
        </w:rPr>
        <w:t>=</w:t>
      </w:r>
      <w:r w:rsidR="00182EE0" w:rsidRPr="003F437A">
        <w:rPr>
          <w:rFonts w:asciiTheme="majorHAnsi" w:hAnsiTheme="majorHAnsi"/>
          <w:sz w:val="22"/>
          <w:szCs w:val="22"/>
        </w:rPr>
        <w:t>0.00</w:t>
      </w:r>
      <w:r w:rsidR="007056F7" w:rsidRPr="003F437A">
        <w:rPr>
          <w:rFonts w:asciiTheme="majorHAnsi" w:hAnsiTheme="majorHAnsi"/>
          <w:sz w:val="22"/>
          <w:szCs w:val="22"/>
        </w:rPr>
        <w:t>2</w:t>
      </w:r>
      <w:r w:rsidR="00182EE0" w:rsidRPr="003F437A">
        <w:rPr>
          <w:rFonts w:asciiTheme="majorHAnsi" w:hAnsiTheme="majorHAnsi"/>
          <w:sz w:val="22"/>
          <w:szCs w:val="22"/>
        </w:rPr>
        <w:t>), Sleeping (p=0.00</w:t>
      </w:r>
      <w:r w:rsidR="00D71ECA">
        <w:rPr>
          <w:rFonts w:asciiTheme="majorHAnsi" w:hAnsiTheme="majorHAnsi"/>
          <w:sz w:val="22"/>
          <w:szCs w:val="22"/>
        </w:rPr>
        <w:t>7</w:t>
      </w:r>
      <w:r w:rsidR="00182EE0" w:rsidRPr="003F437A">
        <w:rPr>
          <w:rFonts w:asciiTheme="majorHAnsi" w:hAnsiTheme="majorHAnsi"/>
          <w:sz w:val="22"/>
          <w:szCs w:val="22"/>
        </w:rPr>
        <w:t>), Fatigue (p</w:t>
      </w:r>
      <w:r w:rsidR="007056F7" w:rsidRPr="003F437A">
        <w:rPr>
          <w:rFonts w:asciiTheme="majorHAnsi" w:hAnsiTheme="majorHAnsi"/>
          <w:sz w:val="22"/>
          <w:szCs w:val="22"/>
        </w:rPr>
        <w:t>=</w:t>
      </w:r>
      <w:r w:rsidR="00182EE0" w:rsidRPr="003F437A">
        <w:rPr>
          <w:rFonts w:asciiTheme="majorHAnsi" w:hAnsiTheme="majorHAnsi"/>
          <w:sz w:val="22"/>
          <w:szCs w:val="22"/>
        </w:rPr>
        <w:t xml:space="preserve">0.001), Swallowing (p&lt;0.001) and Bowel habit (p=0.01) </w:t>
      </w:r>
      <w:r w:rsidR="00182EE0" w:rsidRPr="00E85202">
        <w:rPr>
          <w:rFonts w:asciiTheme="majorHAnsi" w:hAnsiTheme="majorHAnsi"/>
          <w:sz w:val="22"/>
          <w:szCs w:val="22"/>
        </w:rPr>
        <w:t>were related to significant distress.</w:t>
      </w:r>
      <w:r w:rsidR="00A85CF9" w:rsidRPr="00E85202">
        <w:rPr>
          <w:rFonts w:asciiTheme="majorHAnsi" w:hAnsiTheme="majorHAnsi"/>
          <w:sz w:val="22"/>
          <w:szCs w:val="22"/>
        </w:rPr>
        <w:t xml:space="preserve"> </w:t>
      </w:r>
      <w:r w:rsidR="00D43A46" w:rsidRPr="00E85202">
        <w:rPr>
          <w:rFonts w:asciiTheme="majorHAnsi" w:hAnsiTheme="majorHAnsi"/>
          <w:sz w:val="22"/>
          <w:szCs w:val="22"/>
        </w:rPr>
        <w:t xml:space="preserve">Apart from bowel habit, the other concerns </w:t>
      </w:r>
      <w:r w:rsidR="00734AFD" w:rsidRPr="00C02D2C">
        <w:rPr>
          <w:rFonts w:asciiTheme="majorHAnsi" w:hAnsiTheme="majorHAnsi"/>
          <w:sz w:val="22"/>
          <w:szCs w:val="22"/>
        </w:rPr>
        <w:t xml:space="preserve">associated with significant distress in this study </w:t>
      </w:r>
      <w:r w:rsidR="00D43A46" w:rsidRPr="003F437A">
        <w:rPr>
          <w:rFonts w:asciiTheme="majorHAnsi" w:hAnsiTheme="majorHAnsi"/>
          <w:sz w:val="22"/>
          <w:szCs w:val="22"/>
        </w:rPr>
        <w:t xml:space="preserve">have been consistently </w:t>
      </w:r>
      <w:r w:rsidR="00734AFD" w:rsidRPr="003F437A">
        <w:rPr>
          <w:rFonts w:asciiTheme="majorHAnsi" w:hAnsiTheme="majorHAnsi"/>
          <w:sz w:val="22"/>
          <w:szCs w:val="22"/>
        </w:rPr>
        <w:t xml:space="preserve">been </w:t>
      </w:r>
      <w:r w:rsidR="00D43A46" w:rsidRPr="003F437A">
        <w:rPr>
          <w:rFonts w:asciiTheme="majorHAnsi" w:hAnsiTheme="majorHAnsi"/>
          <w:sz w:val="22"/>
          <w:szCs w:val="22"/>
        </w:rPr>
        <w:t>reported by HNC patients</w:t>
      </w:r>
      <w:r w:rsidR="00626B92" w:rsidRPr="003F437A">
        <w:rPr>
          <w:rFonts w:asciiTheme="majorHAnsi" w:hAnsiTheme="majorHAnsi"/>
          <w:sz w:val="22"/>
          <w:szCs w:val="22"/>
        </w:rPr>
        <w:t xml:space="preserve"> </w:t>
      </w:r>
      <w:r w:rsidR="00D43A46" w:rsidRPr="003F437A">
        <w:rPr>
          <w:rFonts w:asciiTheme="majorHAnsi" w:hAnsiTheme="majorHAnsi"/>
          <w:sz w:val="22"/>
          <w:szCs w:val="22"/>
        </w:rPr>
        <w:t>previous</w:t>
      </w:r>
      <w:r w:rsidR="00734AFD" w:rsidRPr="003F437A">
        <w:rPr>
          <w:rFonts w:asciiTheme="majorHAnsi" w:hAnsiTheme="majorHAnsi"/>
          <w:sz w:val="22"/>
          <w:szCs w:val="22"/>
        </w:rPr>
        <w:t>ly</w:t>
      </w:r>
      <w:r w:rsidR="00D43A46" w:rsidRPr="003F437A">
        <w:rPr>
          <w:rFonts w:asciiTheme="majorHAnsi" w:hAnsiTheme="majorHAnsi"/>
          <w:sz w:val="22"/>
          <w:szCs w:val="22"/>
        </w:rPr>
        <w:t xml:space="preserve"> </w:t>
      </w:r>
      <w:r w:rsidR="00734AFD" w:rsidRPr="00E85202">
        <w:rPr>
          <w:rFonts w:asciiTheme="majorHAnsi" w:hAnsiTheme="majorHAnsi"/>
          <w:sz w:val="22"/>
          <w:szCs w:val="22"/>
          <w:vertAlign w:val="superscript"/>
        </w:rPr>
        <w:t>5</w:t>
      </w:r>
      <w:r w:rsidR="00E85202" w:rsidRPr="00E85202">
        <w:rPr>
          <w:rFonts w:asciiTheme="majorHAnsi" w:hAnsiTheme="majorHAnsi"/>
          <w:sz w:val="22"/>
          <w:szCs w:val="22"/>
          <w:vertAlign w:val="superscript"/>
        </w:rPr>
        <w:t>,8,11</w:t>
      </w:r>
      <w:r w:rsidR="00985F89" w:rsidRPr="00E85202">
        <w:rPr>
          <w:rFonts w:asciiTheme="majorHAnsi" w:hAnsiTheme="majorHAnsi"/>
          <w:sz w:val="22"/>
          <w:szCs w:val="22"/>
        </w:rPr>
        <w:t xml:space="preserve">. </w:t>
      </w:r>
      <w:r w:rsidR="00A85CF9" w:rsidRPr="00E85202">
        <w:rPr>
          <w:rFonts w:asciiTheme="majorHAnsi" w:hAnsiTheme="majorHAnsi"/>
          <w:sz w:val="22"/>
          <w:szCs w:val="22"/>
        </w:rPr>
        <w:t>It is recognised that</w:t>
      </w:r>
      <w:r w:rsidR="00182EE0" w:rsidRPr="00C02D2C">
        <w:rPr>
          <w:rFonts w:asciiTheme="majorHAnsi" w:hAnsiTheme="majorHAnsi"/>
          <w:sz w:val="22"/>
          <w:szCs w:val="22"/>
        </w:rPr>
        <w:t xml:space="preserve"> Anxiety, Mood and Depression are essential </w:t>
      </w:r>
      <w:r w:rsidR="00A85CF9" w:rsidRPr="003F437A">
        <w:rPr>
          <w:rFonts w:asciiTheme="majorHAnsi" w:hAnsiTheme="majorHAnsi"/>
          <w:sz w:val="22"/>
          <w:szCs w:val="22"/>
        </w:rPr>
        <w:t xml:space="preserve">components of, </w:t>
      </w:r>
      <w:r w:rsidR="00182EE0" w:rsidRPr="003F437A">
        <w:rPr>
          <w:rFonts w:asciiTheme="majorHAnsi" w:hAnsiTheme="majorHAnsi"/>
          <w:sz w:val="22"/>
          <w:szCs w:val="22"/>
        </w:rPr>
        <w:t>and possible overlapping elements of emotional distress</w:t>
      </w:r>
      <w:r w:rsidR="00A85CF9" w:rsidRPr="003F437A">
        <w:rPr>
          <w:rFonts w:asciiTheme="majorHAnsi" w:hAnsiTheme="majorHAnsi"/>
          <w:sz w:val="22"/>
          <w:szCs w:val="22"/>
        </w:rPr>
        <w:t xml:space="preserve"> in cancer</w:t>
      </w:r>
      <w:r w:rsidR="00182EE0" w:rsidRPr="003F437A">
        <w:rPr>
          <w:rFonts w:asciiTheme="majorHAnsi" w:hAnsiTheme="majorHAnsi"/>
          <w:sz w:val="22"/>
          <w:szCs w:val="22"/>
        </w:rPr>
        <w:t xml:space="preserve"> </w:t>
      </w:r>
      <w:r w:rsidR="00B04255" w:rsidRPr="00E85202">
        <w:rPr>
          <w:rFonts w:asciiTheme="majorHAnsi" w:hAnsiTheme="majorHAnsi"/>
          <w:sz w:val="22"/>
          <w:szCs w:val="22"/>
          <w:vertAlign w:val="superscript"/>
        </w:rPr>
        <w:t>27</w:t>
      </w:r>
      <w:r w:rsidR="00985F89" w:rsidRPr="00E85202">
        <w:rPr>
          <w:rFonts w:asciiTheme="majorHAnsi" w:hAnsiTheme="majorHAnsi"/>
          <w:sz w:val="22"/>
          <w:szCs w:val="22"/>
          <w:vertAlign w:val="superscript"/>
        </w:rPr>
        <w:t>,28</w:t>
      </w:r>
      <w:r w:rsidR="00182EE0" w:rsidRPr="00E85202">
        <w:rPr>
          <w:rFonts w:asciiTheme="majorHAnsi" w:hAnsiTheme="majorHAnsi"/>
          <w:sz w:val="22"/>
          <w:szCs w:val="22"/>
        </w:rPr>
        <w:t>.</w:t>
      </w:r>
      <w:r w:rsidR="007E46D1" w:rsidRPr="00E85202">
        <w:rPr>
          <w:rFonts w:asciiTheme="majorHAnsi" w:hAnsiTheme="majorHAnsi"/>
          <w:sz w:val="22"/>
          <w:szCs w:val="22"/>
        </w:rPr>
        <w:t xml:space="preserve"> P</w:t>
      </w:r>
      <w:r w:rsidR="00AD6E1A" w:rsidRPr="00E85202">
        <w:rPr>
          <w:rFonts w:asciiTheme="majorHAnsi" w:hAnsiTheme="majorHAnsi"/>
          <w:sz w:val="22"/>
          <w:szCs w:val="22"/>
        </w:rPr>
        <w:t>ost-treatment dysphagia is related to weight loss, progressive reduc</w:t>
      </w:r>
      <w:r w:rsidR="00A81566">
        <w:rPr>
          <w:rFonts w:asciiTheme="majorHAnsi" w:hAnsiTheme="majorHAnsi"/>
          <w:sz w:val="22"/>
          <w:szCs w:val="22"/>
        </w:rPr>
        <w:t xml:space="preserve">tion in </w:t>
      </w:r>
      <w:r w:rsidR="00AD6E1A" w:rsidRPr="00E85202">
        <w:rPr>
          <w:rFonts w:asciiTheme="majorHAnsi" w:hAnsiTheme="majorHAnsi"/>
          <w:sz w:val="22"/>
          <w:szCs w:val="22"/>
        </w:rPr>
        <w:t xml:space="preserve">swallowing function, narrowing </w:t>
      </w:r>
      <w:r w:rsidR="007E46D1" w:rsidRPr="00C02D2C">
        <w:rPr>
          <w:rFonts w:asciiTheme="majorHAnsi" w:hAnsiTheme="majorHAnsi"/>
          <w:sz w:val="22"/>
          <w:szCs w:val="22"/>
        </w:rPr>
        <w:t xml:space="preserve">range of </w:t>
      </w:r>
      <w:r w:rsidR="00AD6E1A" w:rsidRPr="003F437A">
        <w:rPr>
          <w:rFonts w:asciiTheme="majorHAnsi" w:hAnsiTheme="majorHAnsi"/>
          <w:sz w:val="22"/>
          <w:szCs w:val="22"/>
        </w:rPr>
        <w:t xml:space="preserve">oral dietary intake </w:t>
      </w:r>
      <w:r w:rsidR="00B67FC1" w:rsidRPr="003F437A">
        <w:rPr>
          <w:rFonts w:asciiTheme="majorHAnsi" w:hAnsiTheme="majorHAnsi"/>
          <w:sz w:val="22"/>
          <w:szCs w:val="22"/>
        </w:rPr>
        <w:t xml:space="preserve">and </w:t>
      </w:r>
      <w:r w:rsidR="00182EE0" w:rsidRPr="003F437A">
        <w:rPr>
          <w:rFonts w:asciiTheme="majorHAnsi" w:hAnsiTheme="majorHAnsi"/>
          <w:sz w:val="22"/>
          <w:szCs w:val="22"/>
        </w:rPr>
        <w:t xml:space="preserve">reliance on gastrostomy tube feeding </w:t>
      </w:r>
      <w:r w:rsidR="007E46D1" w:rsidRPr="00E85202">
        <w:rPr>
          <w:rFonts w:asciiTheme="majorHAnsi" w:hAnsiTheme="majorHAnsi"/>
          <w:sz w:val="22"/>
          <w:szCs w:val="22"/>
          <w:vertAlign w:val="superscript"/>
        </w:rPr>
        <w:t>29</w:t>
      </w:r>
      <w:r w:rsidR="007E46D1" w:rsidRPr="00E85202">
        <w:rPr>
          <w:rFonts w:asciiTheme="majorHAnsi" w:hAnsiTheme="majorHAnsi"/>
          <w:sz w:val="22"/>
          <w:szCs w:val="22"/>
        </w:rPr>
        <w:t>, and these confer</w:t>
      </w:r>
      <w:r w:rsidR="00B67FC1" w:rsidRPr="00E85202">
        <w:rPr>
          <w:rFonts w:asciiTheme="majorHAnsi" w:hAnsiTheme="majorHAnsi"/>
          <w:sz w:val="22"/>
          <w:szCs w:val="22"/>
        </w:rPr>
        <w:t xml:space="preserve"> a global impact on the long-term </w:t>
      </w:r>
      <w:r w:rsidR="00B67FC1" w:rsidRPr="00E85202">
        <w:rPr>
          <w:rFonts w:asciiTheme="majorHAnsi" w:hAnsiTheme="majorHAnsi" w:cs="Times New Roman"/>
          <w:sz w:val="22"/>
          <w:szCs w:val="22"/>
        </w:rPr>
        <w:t xml:space="preserve">day-to-day functioning and QOL </w:t>
      </w:r>
      <w:r w:rsidR="007E46D1" w:rsidRPr="00E85202">
        <w:rPr>
          <w:rFonts w:asciiTheme="majorHAnsi" w:hAnsiTheme="majorHAnsi" w:cs="Times New Roman"/>
          <w:sz w:val="22"/>
          <w:szCs w:val="22"/>
          <w:vertAlign w:val="superscript"/>
        </w:rPr>
        <w:t>30</w:t>
      </w:r>
      <w:r w:rsidR="00B67FC1" w:rsidRPr="00E85202">
        <w:rPr>
          <w:rFonts w:asciiTheme="majorHAnsi" w:hAnsiTheme="majorHAnsi"/>
          <w:sz w:val="22"/>
          <w:szCs w:val="22"/>
        </w:rPr>
        <w:t xml:space="preserve">. </w:t>
      </w:r>
      <w:r w:rsidR="00182EE0" w:rsidRPr="00E85202">
        <w:rPr>
          <w:rFonts w:asciiTheme="majorHAnsi" w:hAnsiTheme="majorHAnsi"/>
          <w:sz w:val="22"/>
          <w:szCs w:val="22"/>
        </w:rPr>
        <w:t>Altered bowel function is related to distress in colorectal, urological and g</w:t>
      </w:r>
      <w:r w:rsidR="00786D37" w:rsidRPr="00C02D2C">
        <w:rPr>
          <w:rFonts w:asciiTheme="majorHAnsi" w:hAnsiTheme="majorHAnsi"/>
          <w:sz w:val="22"/>
          <w:szCs w:val="22"/>
        </w:rPr>
        <w:t xml:space="preserve">ynaecological cancer survivors </w:t>
      </w:r>
      <w:r w:rsidR="00182EE0" w:rsidRPr="003F437A">
        <w:rPr>
          <w:rFonts w:asciiTheme="majorHAnsi" w:hAnsiTheme="majorHAnsi"/>
          <w:sz w:val="22"/>
          <w:szCs w:val="22"/>
        </w:rPr>
        <w:t>but this has never been reported</w:t>
      </w:r>
      <w:r w:rsidR="00A81566">
        <w:rPr>
          <w:rFonts w:asciiTheme="majorHAnsi" w:hAnsiTheme="majorHAnsi"/>
          <w:sz w:val="22"/>
          <w:szCs w:val="22"/>
        </w:rPr>
        <w:t xml:space="preserve"> previously</w:t>
      </w:r>
      <w:r w:rsidR="00182EE0" w:rsidRPr="003F437A">
        <w:rPr>
          <w:rFonts w:asciiTheme="majorHAnsi" w:hAnsiTheme="majorHAnsi"/>
          <w:sz w:val="22"/>
          <w:szCs w:val="22"/>
        </w:rPr>
        <w:t xml:space="preserve"> in HNC cohorts. This finding may be related to complications of opiate analgesia use, </w:t>
      </w:r>
      <w:r w:rsidR="004B5CEF" w:rsidRPr="003F437A">
        <w:rPr>
          <w:rFonts w:asciiTheme="majorHAnsi" w:hAnsiTheme="majorHAnsi"/>
          <w:sz w:val="22"/>
          <w:szCs w:val="22"/>
        </w:rPr>
        <w:t xml:space="preserve">alterations to bowel function due to </w:t>
      </w:r>
      <w:r w:rsidR="00182EE0" w:rsidRPr="003F437A">
        <w:rPr>
          <w:rFonts w:asciiTheme="majorHAnsi" w:hAnsiTheme="majorHAnsi"/>
          <w:sz w:val="22"/>
          <w:szCs w:val="22"/>
        </w:rPr>
        <w:t xml:space="preserve">full reliance on enteral feeding and </w:t>
      </w:r>
      <w:r w:rsidR="00A85CF9" w:rsidRPr="003F437A">
        <w:rPr>
          <w:rFonts w:asciiTheme="majorHAnsi" w:hAnsiTheme="majorHAnsi"/>
          <w:sz w:val="22"/>
          <w:szCs w:val="22"/>
        </w:rPr>
        <w:t>also</w:t>
      </w:r>
      <w:r w:rsidR="00182EE0" w:rsidRPr="003F437A">
        <w:rPr>
          <w:rFonts w:asciiTheme="majorHAnsi" w:hAnsiTheme="majorHAnsi"/>
          <w:sz w:val="22"/>
          <w:szCs w:val="22"/>
        </w:rPr>
        <w:t xml:space="preserve"> secondary to hormonal imbalances in a subgroup of thyroid cancers included within this study cohort. Pain is highly correlated to significant distress in HNC patients throughout the survivorship trajectory </w:t>
      </w:r>
      <w:r w:rsidR="0070706F" w:rsidRPr="00E85202">
        <w:rPr>
          <w:rFonts w:asciiTheme="majorHAnsi" w:hAnsiTheme="majorHAnsi"/>
          <w:sz w:val="22"/>
          <w:szCs w:val="22"/>
          <w:vertAlign w:val="superscript"/>
        </w:rPr>
        <w:t>25</w:t>
      </w:r>
      <w:r w:rsidR="00985F89" w:rsidRPr="00E85202">
        <w:rPr>
          <w:rFonts w:asciiTheme="majorHAnsi" w:hAnsiTheme="majorHAnsi"/>
          <w:sz w:val="22"/>
          <w:szCs w:val="22"/>
          <w:vertAlign w:val="superscript"/>
        </w:rPr>
        <w:t>,31</w:t>
      </w:r>
      <w:r w:rsidR="00182EE0" w:rsidRPr="00E85202">
        <w:rPr>
          <w:rFonts w:asciiTheme="majorHAnsi" w:hAnsiTheme="majorHAnsi"/>
          <w:sz w:val="22"/>
          <w:szCs w:val="22"/>
        </w:rPr>
        <w:t xml:space="preserve">. Cancer-related </w:t>
      </w:r>
      <w:r w:rsidR="00182EE0" w:rsidRPr="00E85202">
        <w:rPr>
          <w:rFonts w:asciiTheme="majorHAnsi" w:hAnsiTheme="majorHAnsi" w:cs="Times New Roman"/>
          <w:sz w:val="22"/>
          <w:szCs w:val="22"/>
        </w:rPr>
        <w:t xml:space="preserve">fatigue is a common problem in cancer survivors </w:t>
      </w:r>
      <w:r w:rsidR="007E46D1" w:rsidRPr="00E85202">
        <w:rPr>
          <w:rFonts w:asciiTheme="majorHAnsi" w:hAnsiTheme="majorHAnsi" w:cs="Times New Roman"/>
          <w:sz w:val="22"/>
          <w:szCs w:val="22"/>
          <w:vertAlign w:val="superscript"/>
        </w:rPr>
        <w:t>32</w:t>
      </w:r>
      <w:r w:rsidR="006B269E" w:rsidRPr="00E85202">
        <w:rPr>
          <w:rFonts w:asciiTheme="majorHAnsi" w:hAnsiTheme="majorHAnsi" w:cs="Times New Roman"/>
          <w:sz w:val="22"/>
          <w:szCs w:val="22"/>
          <w:vertAlign w:val="superscript"/>
        </w:rPr>
        <w:t>,33</w:t>
      </w:r>
      <w:r w:rsidR="00182EE0" w:rsidRPr="00E85202">
        <w:rPr>
          <w:rFonts w:asciiTheme="majorHAnsi" w:hAnsiTheme="majorHAnsi" w:cs="Times New Roman"/>
          <w:sz w:val="22"/>
          <w:szCs w:val="22"/>
        </w:rPr>
        <w:t xml:space="preserve"> and is linked to emotional reactivity </w:t>
      </w:r>
      <w:r w:rsidR="007E46D1" w:rsidRPr="00DF0C7C">
        <w:rPr>
          <w:rFonts w:asciiTheme="majorHAnsi" w:hAnsiTheme="majorHAnsi" w:cs="Times New Roman"/>
          <w:sz w:val="22"/>
          <w:szCs w:val="22"/>
          <w:vertAlign w:val="superscript"/>
        </w:rPr>
        <w:t>3</w:t>
      </w:r>
      <w:r w:rsidR="00B528E0" w:rsidRPr="00DF0C7C">
        <w:rPr>
          <w:rFonts w:asciiTheme="majorHAnsi" w:hAnsiTheme="majorHAnsi" w:cs="Times New Roman"/>
          <w:sz w:val="22"/>
          <w:szCs w:val="22"/>
          <w:vertAlign w:val="superscript"/>
        </w:rPr>
        <w:t>4</w:t>
      </w:r>
      <w:r w:rsidR="006B269E" w:rsidRPr="00DF0C7C">
        <w:rPr>
          <w:rFonts w:asciiTheme="majorHAnsi" w:hAnsiTheme="majorHAnsi" w:cs="Times New Roman"/>
          <w:sz w:val="22"/>
          <w:szCs w:val="22"/>
          <w:vertAlign w:val="superscript"/>
        </w:rPr>
        <w:t>,35</w:t>
      </w:r>
      <w:r w:rsidR="00182EE0" w:rsidRPr="00E85202">
        <w:rPr>
          <w:rFonts w:asciiTheme="majorHAnsi" w:hAnsiTheme="majorHAnsi" w:cs="Times New Roman"/>
          <w:sz w:val="22"/>
          <w:szCs w:val="22"/>
        </w:rPr>
        <w:t xml:space="preserve">. Like pain, </w:t>
      </w:r>
      <w:r w:rsidR="00182EE0" w:rsidRPr="00E85202">
        <w:rPr>
          <w:rFonts w:asciiTheme="majorHAnsi" w:hAnsiTheme="majorHAnsi" w:cs="Times"/>
          <w:color w:val="141413"/>
          <w:sz w:val="22"/>
          <w:szCs w:val="22"/>
        </w:rPr>
        <w:t xml:space="preserve">sleep disturbances and insomnia can occur throughout the survivorship trajectory in HNC survivors </w:t>
      </w:r>
      <w:r w:rsidR="00B528E0" w:rsidRPr="00DF0C7C">
        <w:rPr>
          <w:rFonts w:asciiTheme="majorHAnsi" w:hAnsiTheme="majorHAnsi" w:cs="Times"/>
          <w:color w:val="141413"/>
          <w:sz w:val="22"/>
          <w:szCs w:val="22"/>
          <w:vertAlign w:val="superscript"/>
        </w:rPr>
        <w:t>36</w:t>
      </w:r>
      <w:r w:rsidR="006B269E" w:rsidRPr="00DF0C7C">
        <w:rPr>
          <w:rFonts w:asciiTheme="majorHAnsi" w:hAnsiTheme="majorHAnsi" w:cs="Times"/>
          <w:color w:val="141413"/>
          <w:sz w:val="22"/>
          <w:szCs w:val="22"/>
          <w:vertAlign w:val="superscript"/>
        </w:rPr>
        <w:t>,37</w:t>
      </w:r>
      <w:r w:rsidR="00182EE0" w:rsidRPr="00E85202">
        <w:rPr>
          <w:rFonts w:asciiTheme="majorHAnsi" w:hAnsiTheme="majorHAnsi" w:cs="Times"/>
          <w:color w:val="141413"/>
          <w:sz w:val="22"/>
          <w:szCs w:val="22"/>
        </w:rPr>
        <w:t>. While individual symptom/concern was related to significant distress in its own right, there is increasing interest in the prevalence of symptoms that frequently co-occur in symptom cl</w:t>
      </w:r>
      <w:r w:rsidR="00182EE0" w:rsidRPr="00C02D2C">
        <w:rPr>
          <w:rFonts w:asciiTheme="majorHAnsi" w:hAnsiTheme="majorHAnsi" w:cs="Times"/>
          <w:color w:val="141413"/>
          <w:sz w:val="22"/>
          <w:szCs w:val="22"/>
        </w:rPr>
        <w:t>usters with distress. For example, sleep disturbances and insomnia occ</w:t>
      </w:r>
      <w:r w:rsidR="00182EE0" w:rsidRPr="003F437A">
        <w:rPr>
          <w:rFonts w:asciiTheme="majorHAnsi" w:hAnsiTheme="majorHAnsi" w:cs="Times"/>
          <w:color w:val="141413"/>
          <w:sz w:val="22"/>
          <w:szCs w:val="22"/>
        </w:rPr>
        <w:t xml:space="preserve">ur commonly with other frequently reported side effects of cancer and/or its treatment, namely pain, fatigue, depression and distress </w:t>
      </w:r>
      <w:r w:rsidR="00B528E0" w:rsidRPr="00DF0C7C">
        <w:rPr>
          <w:rFonts w:asciiTheme="majorHAnsi" w:hAnsiTheme="majorHAnsi" w:cs="Times"/>
          <w:color w:val="141413"/>
          <w:sz w:val="22"/>
          <w:szCs w:val="22"/>
          <w:vertAlign w:val="superscript"/>
        </w:rPr>
        <w:t>38</w:t>
      </w:r>
      <w:r w:rsidR="006B269E" w:rsidRPr="00DF0C7C">
        <w:rPr>
          <w:rFonts w:asciiTheme="majorHAnsi" w:hAnsiTheme="majorHAnsi" w:cs="Times"/>
          <w:color w:val="141413"/>
          <w:sz w:val="22"/>
          <w:szCs w:val="22"/>
          <w:vertAlign w:val="superscript"/>
        </w:rPr>
        <w:t>,</w:t>
      </w:r>
      <w:r w:rsidR="00B528E0" w:rsidRPr="00DF0C7C">
        <w:rPr>
          <w:rFonts w:asciiTheme="majorHAnsi" w:hAnsiTheme="majorHAnsi" w:cs="Times"/>
          <w:color w:val="141413"/>
          <w:sz w:val="22"/>
          <w:szCs w:val="22"/>
          <w:vertAlign w:val="superscript"/>
        </w:rPr>
        <w:t>39</w:t>
      </w:r>
      <w:r w:rsidR="00182EE0" w:rsidRPr="00E85202">
        <w:rPr>
          <w:rFonts w:asciiTheme="majorHAnsi" w:hAnsiTheme="majorHAnsi" w:cs="Times"/>
          <w:color w:val="141413"/>
          <w:sz w:val="22"/>
          <w:szCs w:val="22"/>
        </w:rPr>
        <w:t>. It is postulated that the clustering of co-occur</w:t>
      </w:r>
      <w:r w:rsidR="00DF0C7C">
        <w:rPr>
          <w:rFonts w:asciiTheme="majorHAnsi" w:hAnsiTheme="majorHAnsi" w:cs="Times"/>
          <w:color w:val="141413"/>
          <w:sz w:val="22"/>
          <w:szCs w:val="22"/>
        </w:rPr>
        <w:t>r</w:t>
      </w:r>
      <w:r w:rsidR="00182EE0" w:rsidRPr="00E85202">
        <w:rPr>
          <w:rFonts w:asciiTheme="majorHAnsi" w:hAnsiTheme="majorHAnsi" w:cs="Times"/>
          <w:color w:val="141413"/>
          <w:sz w:val="22"/>
          <w:szCs w:val="22"/>
        </w:rPr>
        <w:t>ing symptoms</w:t>
      </w:r>
      <w:r w:rsidR="00BD33BB" w:rsidRPr="00E85202">
        <w:rPr>
          <w:rFonts w:asciiTheme="majorHAnsi" w:hAnsiTheme="majorHAnsi" w:cs="Times"/>
          <w:color w:val="141413"/>
          <w:sz w:val="22"/>
          <w:szCs w:val="22"/>
        </w:rPr>
        <w:t xml:space="preserve"> </w:t>
      </w:r>
      <w:r w:rsidR="00182EE0" w:rsidRPr="00DF0C7C">
        <w:rPr>
          <w:rFonts w:asciiTheme="majorHAnsi" w:hAnsiTheme="majorHAnsi" w:cs="Times"/>
          <w:color w:val="141413"/>
          <w:sz w:val="22"/>
          <w:szCs w:val="22"/>
        </w:rPr>
        <w:t xml:space="preserve">might be related to underlying inflammatory processes common to these concerns </w:t>
      </w:r>
      <w:r w:rsidR="00B528E0" w:rsidRPr="00DF0C7C">
        <w:rPr>
          <w:rFonts w:asciiTheme="majorHAnsi" w:hAnsiTheme="majorHAnsi" w:cs="Times"/>
          <w:color w:val="141413"/>
          <w:sz w:val="22"/>
          <w:szCs w:val="22"/>
          <w:vertAlign w:val="superscript"/>
        </w:rPr>
        <w:t>39</w:t>
      </w:r>
      <w:r w:rsidR="00182EE0" w:rsidRPr="00E85202">
        <w:rPr>
          <w:rFonts w:asciiTheme="majorHAnsi" w:hAnsiTheme="majorHAnsi" w:cs="Times"/>
          <w:color w:val="141413"/>
          <w:sz w:val="22"/>
          <w:szCs w:val="22"/>
        </w:rPr>
        <w:t xml:space="preserve">. </w:t>
      </w:r>
    </w:p>
    <w:p w14:paraId="4A81FFC1" w14:textId="77777777" w:rsidR="00182EE0" w:rsidRPr="00C02D2C" w:rsidRDefault="00182EE0" w:rsidP="00EB4D99">
      <w:pPr>
        <w:widowControl w:val="0"/>
        <w:autoSpaceDE w:val="0"/>
        <w:autoSpaceDN w:val="0"/>
        <w:adjustRightInd w:val="0"/>
        <w:spacing w:line="360" w:lineRule="auto"/>
        <w:jc w:val="both"/>
        <w:rPr>
          <w:rFonts w:asciiTheme="majorHAnsi" w:hAnsiTheme="majorHAnsi" w:cs="Times New Roman"/>
          <w:sz w:val="22"/>
          <w:szCs w:val="22"/>
        </w:rPr>
      </w:pPr>
    </w:p>
    <w:p w14:paraId="783D5D8F" w14:textId="0FCC7EA3" w:rsidR="009F18BE" w:rsidRPr="003F437A" w:rsidRDefault="00100541" w:rsidP="009F18BE">
      <w:pPr>
        <w:widowControl w:val="0"/>
        <w:autoSpaceDE w:val="0"/>
        <w:autoSpaceDN w:val="0"/>
        <w:adjustRightInd w:val="0"/>
        <w:spacing w:line="360" w:lineRule="auto"/>
        <w:jc w:val="both"/>
        <w:rPr>
          <w:rFonts w:asciiTheme="majorHAnsi" w:hAnsiTheme="majorHAnsi" w:cs="Calibri"/>
          <w:color w:val="1A1A1A"/>
          <w:sz w:val="22"/>
          <w:szCs w:val="22"/>
        </w:rPr>
      </w:pPr>
      <w:r w:rsidRPr="003F437A">
        <w:rPr>
          <w:rFonts w:asciiTheme="majorHAnsi" w:hAnsiTheme="majorHAnsi" w:cs="Calibri"/>
          <w:color w:val="1A1A1A"/>
          <w:sz w:val="22"/>
          <w:szCs w:val="22"/>
        </w:rPr>
        <w:t xml:space="preserve">Overall, the number of professionals selected ranged from 0-4, mean 0.38, median (IQR) 0 (0-1), n=170. </w:t>
      </w:r>
      <w:r w:rsidR="00A85CF9" w:rsidRPr="003F437A">
        <w:rPr>
          <w:rFonts w:asciiTheme="majorHAnsi" w:hAnsiTheme="majorHAnsi" w:cs="Times New Roman"/>
          <w:sz w:val="22"/>
          <w:szCs w:val="22"/>
        </w:rPr>
        <w:t xml:space="preserve">From the patent’s perspectives, </w:t>
      </w:r>
      <w:r w:rsidR="006B1F58" w:rsidRPr="00DF0C7C">
        <w:rPr>
          <w:rFonts w:asciiTheme="majorHAnsi" w:hAnsiTheme="majorHAnsi" w:cs="Times New Roman"/>
          <w:sz w:val="22"/>
          <w:szCs w:val="22"/>
        </w:rPr>
        <w:t>the attending doctor</w:t>
      </w:r>
      <w:r w:rsidR="00A85CF9" w:rsidRPr="00E85202">
        <w:rPr>
          <w:rFonts w:asciiTheme="majorHAnsi" w:hAnsiTheme="majorHAnsi" w:cs="Times New Roman"/>
          <w:sz w:val="22"/>
          <w:szCs w:val="22"/>
        </w:rPr>
        <w:t xml:space="preserve"> in clinic is </w:t>
      </w:r>
      <w:r w:rsidR="004B5CEF" w:rsidRPr="00E85202">
        <w:rPr>
          <w:rFonts w:asciiTheme="majorHAnsi" w:hAnsiTheme="majorHAnsi" w:cs="Times New Roman"/>
          <w:sz w:val="22"/>
          <w:szCs w:val="22"/>
        </w:rPr>
        <w:t xml:space="preserve">often </w:t>
      </w:r>
      <w:r w:rsidR="00A85CF9" w:rsidRPr="00E85202">
        <w:rPr>
          <w:rFonts w:asciiTheme="majorHAnsi" w:hAnsiTheme="majorHAnsi" w:cs="Times New Roman"/>
          <w:sz w:val="22"/>
          <w:szCs w:val="22"/>
        </w:rPr>
        <w:t xml:space="preserve">seen as the main clinician managing their cancer care. Thus, it is unsurprising that patients have indicated </w:t>
      </w:r>
      <w:r w:rsidR="006B1F58" w:rsidRPr="00DF0C7C">
        <w:rPr>
          <w:rFonts w:asciiTheme="majorHAnsi" w:hAnsiTheme="majorHAnsi" w:cs="Times New Roman"/>
          <w:sz w:val="22"/>
          <w:szCs w:val="22"/>
        </w:rPr>
        <w:t xml:space="preserve">this professional </w:t>
      </w:r>
      <w:r w:rsidR="00A85CF9" w:rsidRPr="00E85202">
        <w:rPr>
          <w:rFonts w:asciiTheme="majorHAnsi" w:hAnsiTheme="majorHAnsi" w:cs="Times New Roman"/>
          <w:sz w:val="22"/>
          <w:szCs w:val="22"/>
        </w:rPr>
        <w:t>as the one they would like to see or</w:t>
      </w:r>
      <w:r w:rsidRPr="00E85202">
        <w:rPr>
          <w:rFonts w:asciiTheme="majorHAnsi" w:hAnsiTheme="majorHAnsi" w:cs="Times New Roman"/>
          <w:sz w:val="22"/>
          <w:szCs w:val="22"/>
        </w:rPr>
        <w:t xml:space="preserve"> meet during their appointment, particularly those experiencing </w:t>
      </w:r>
      <w:r w:rsidRPr="00C02D2C">
        <w:rPr>
          <w:rFonts w:asciiTheme="majorHAnsi" w:hAnsiTheme="majorHAnsi" w:cs="Times New Roman"/>
          <w:sz w:val="22"/>
          <w:szCs w:val="22"/>
        </w:rPr>
        <w:t>signific</w:t>
      </w:r>
      <w:r w:rsidRPr="003F437A">
        <w:rPr>
          <w:rFonts w:asciiTheme="majorHAnsi" w:hAnsiTheme="majorHAnsi" w:cs="Times New Roman"/>
          <w:sz w:val="22"/>
          <w:szCs w:val="22"/>
        </w:rPr>
        <w:t>ant distress (</w:t>
      </w:r>
      <w:r w:rsidRPr="003F437A">
        <w:rPr>
          <w:rFonts w:asciiTheme="majorHAnsi" w:hAnsiTheme="majorHAnsi"/>
          <w:sz w:val="22"/>
          <w:szCs w:val="22"/>
        </w:rPr>
        <w:t>52%, 11/21). Furthermore, th</w:t>
      </w:r>
      <w:r w:rsidR="007056F7" w:rsidRPr="003F437A">
        <w:rPr>
          <w:rFonts w:asciiTheme="majorHAnsi" w:hAnsiTheme="majorHAnsi"/>
          <w:sz w:val="22"/>
          <w:szCs w:val="22"/>
        </w:rPr>
        <w:t>ose who were significantly distressed</w:t>
      </w:r>
      <w:r w:rsidRPr="003F437A">
        <w:rPr>
          <w:rFonts w:asciiTheme="majorHAnsi" w:hAnsiTheme="majorHAnsi"/>
          <w:sz w:val="22"/>
          <w:szCs w:val="22"/>
        </w:rPr>
        <w:t xml:space="preserve"> were more likely to select other professionals compared</w:t>
      </w:r>
      <w:r w:rsidRPr="00E85202">
        <w:rPr>
          <w:rFonts w:asciiTheme="majorHAnsi" w:hAnsiTheme="majorHAnsi"/>
          <w:sz w:val="22"/>
          <w:szCs w:val="22"/>
        </w:rPr>
        <w:t xml:space="preserve"> with those not experiencing significant distress (</w:t>
      </w:r>
      <w:r w:rsidR="009F18BE" w:rsidRPr="00E85202">
        <w:rPr>
          <w:rFonts w:asciiTheme="majorHAnsi" w:hAnsiTheme="majorHAnsi" w:cs="Calibri"/>
          <w:color w:val="1A1A1A"/>
          <w:sz w:val="22"/>
          <w:szCs w:val="22"/>
        </w:rPr>
        <w:t>mean 0.53</w:t>
      </w:r>
      <w:r w:rsidRPr="00E85202">
        <w:rPr>
          <w:rFonts w:asciiTheme="majorHAnsi" w:hAnsiTheme="majorHAnsi" w:cs="Calibri"/>
          <w:color w:val="1A1A1A"/>
          <w:sz w:val="22"/>
          <w:szCs w:val="22"/>
        </w:rPr>
        <w:t xml:space="preserve"> vs 0</w:t>
      </w:r>
      <w:r w:rsidR="009F18BE" w:rsidRPr="00E85202">
        <w:rPr>
          <w:rFonts w:asciiTheme="majorHAnsi" w:hAnsiTheme="majorHAnsi" w:cs="Calibri"/>
          <w:color w:val="1A1A1A"/>
          <w:sz w:val="22"/>
          <w:szCs w:val="22"/>
        </w:rPr>
        <w:t>.30</w:t>
      </w:r>
      <w:r w:rsidRPr="00DF0C7C">
        <w:rPr>
          <w:rFonts w:asciiTheme="majorHAnsi" w:hAnsiTheme="majorHAnsi" w:cs="Calibri"/>
          <w:color w:val="1A1A1A"/>
          <w:sz w:val="22"/>
          <w:szCs w:val="22"/>
        </w:rPr>
        <w:t xml:space="preserve">). In this scenario, </w:t>
      </w:r>
      <w:r w:rsidR="009F18BE" w:rsidRPr="00DF0C7C">
        <w:rPr>
          <w:rFonts w:asciiTheme="majorHAnsi" w:hAnsiTheme="majorHAnsi" w:cs="Calibri"/>
          <w:color w:val="1A1A1A"/>
          <w:sz w:val="22"/>
          <w:szCs w:val="22"/>
        </w:rPr>
        <w:t xml:space="preserve">perhaps the </w:t>
      </w:r>
      <w:r w:rsidRPr="00C02D2C">
        <w:rPr>
          <w:rFonts w:asciiTheme="majorHAnsi" w:hAnsiTheme="majorHAnsi" w:cs="Calibri"/>
          <w:color w:val="1A1A1A"/>
          <w:sz w:val="22"/>
          <w:szCs w:val="22"/>
        </w:rPr>
        <w:t xml:space="preserve">attending </w:t>
      </w:r>
      <w:r w:rsidR="00E967A6" w:rsidRPr="003F437A">
        <w:rPr>
          <w:rFonts w:asciiTheme="majorHAnsi" w:hAnsiTheme="majorHAnsi" w:cs="Calibri"/>
          <w:color w:val="1A1A1A"/>
          <w:sz w:val="22"/>
          <w:szCs w:val="22"/>
        </w:rPr>
        <w:t>clinician needs to b</w:t>
      </w:r>
      <w:r w:rsidR="009F18BE" w:rsidRPr="003F437A">
        <w:rPr>
          <w:rFonts w:asciiTheme="majorHAnsi" w:hAnsiTheme="majorHAnsi" w:cs="Calibri"/>
          <w:color w:val="1A1A1A"/>
          <w:sz w:val="22"/>
          <w:szCs w:val="22"/>
        </w:rPr>
        <w:t xml:space="preserve">e more proactive in suggesting onward referral or having </w:t>
      </w:r>
      <w:r w:rsidR="00882339" w:rsidRPr="003F437A">
        <w:rPr>
          <w:rFonts w:asciiTheme="majorHAnsi" w:hAnsiTheme="majorHAnsi" w:cs="Calibri"/>
          <w:color w:val="1A1A1A"/>
          <w:sz w:val="22"/>
          <w:szCs w:val="22"/>
        </w:rPr>
        <w:t xml:space="preserve">direct access to </w:t>
      </w:r>
      <w:r w:rsidR="009F18BE" w:rsidRPr="003F437A">
        <w:rPr>
          <w:rFonts w:asciiTheme="majorHAnsi" w:hAnsiTheme="majorHAnsi" w:cs="Calibri"/>
          <w:color w:val="1A1A1A"/>
          <w:sz w:val="22"/>
          <w:szCs w:val="22"/>
        </w:rPr>
        <w:t>th</w:t>
      </w:r>
      <w:r w:rsidR="00882339" w:rsidRPr="003F437A">
        <w:rPr>
          <w:rFonts w:asciiTheme="majorHAnsi" w:hAnsiTheme="majorHAnsi" w:cs="Calibri"/>
          <w:color w:val="1A1A1A"/>
          <w:sz w:val="22"/>
          <w:szCs w:val="22"/>
        </w:rPr>
        <w:t xml:space="preserve">e other professionals’ </w:t>
      </w:r>
      <w:r w:rsidR="009F18BE" w:rsidRPr="003F437A">
        <w:rPr>
          <w:rFonts w:asciiTheme="majorHAnsi" w:hAnsiTheme="majorHAnsi" w:cs="Calibri"/>
          <w:color w:val="1A1A1A"/>
          <w:sz w:val="22"/>
          <w:szCs w:val="22"/>
        </w:rPr>
        <w:t>support in clinic</w:t>
      </w:r>
      <w:r w:rsidRPr="003F437A">
        <w:rPr>
          <w:rFonts w:asciiTheme="majorHAnsi" w:hAnsiTheme="majorHAnsi" w:cs="Calibri"/>
          <w:color w:val="1A1A1A"/>
          <w:sz w:val="22"/>
          <w:szCs w:val="22"/>
        </w:rPr>
        <w:t xml:space="preserve">. </w:t>
      </w:r>
      <w:r w:rsidR="00543324" w:rsidRPr="003F437A">
        <w:rPr>
          <w:rFonts w:asciiTheme="majorHAnsi" w:hAnsiTheme="majorHAnsi" w:cs="Calibri"/>
          <w:color w:val="1A1A1A"/>
          <w:sz w:val="22"/>
          <w:szCs w:val="22"/>
        </w:rPr>
        <w:t>However, i</w:t>
      </w:r>
      <w:r w:rsidRPr="003F437A">
        <w:rPr>
          <w:rFonts w:asciiTheme="majorHAnsi" w:hAnsiTheme="majorHAnsi" w:cs="Calibri"/>
          <w:color w:val="1A1A1A"/>
          <w:sz w:val="22"/>
          <w:szCs w:val="22"/>
        </w:rPr>
        <w:t xml:space="preserve">t remains unclear why </w:t>
      </w:r>
      <w:r w:rsidR="00543324" w:rsidRPr="003F437A">
        <w:rPr>
          <w:rFonts w:asciiTheme="majorHAnsi" w:hAnsiTheme="majorHAnsi" w:cs="Calibri"/>
          <w:color w:val="1A1A1A"/>
          <w:sz w:val="22"/>
          <w:szCs w:val="22"/>
        </w:rPr>
        <w:t>so few additional HNC multidisciplinary personnel</w:t>
      </w:r>
      <w:r w:rsidR="009F18BE" w:rsidRPr="003F437A">
        <w:rPr>
          <w:rFonts w:asciiTheme="majorHAnsi" w:hAnsiTheme="majorHAnsi" w:cs="Calibri"/>
          <w:color w:val="1A1A1A"/>
          <w:sz w:val="22"/>
          <w:szCs w:val="22"/>
        </w:rPr>
        <w:t xml:space="preserve"> are</w:t>
      </w:r>
      <w:r w:rsidRPr="003F437A">
        <w:rPr>
          <w:rFonts w:asciiTheme="majorHAnsi" w:hAnsiTheme="majorHAnsi" w:cs="Calibri"/>
          <w:color w:val="1A1A1A"/>
          <w:sz w:val="22"/>
          <w:szCs w:val="22"/>
        </w:rPr>
        <w:t xml:space="preserve"> ticked generally on the PCI and this is a subject of future research. </w:t>
      </w:r>
    </w:p>
    <w:p w14:paraId="653B3DF8" w14:textId="77777777" w:rsidR="009F18BE" w:rsidRPr="003F437A" w:rsidRDefault="009F18BE" w:rsidP="00075D52">
      <w:pPr>
        <w:widowControl w:val="0"/>
        <w:autoSpaceDE w:val="0"/>
        <w:autoSpaceDN w:val="0"/>
        <w:adjustRightInd w:val="0"/>
        <w:spacing w:line="360" w:lineRule="auto"/>
        <w:jc w:val="both"/>
        <w:rPr>
          <w:rFonts w:asciiTheme="majorHAnsi" w:hAnsiTheme="majorHAnsi"/>
          <w:sz w:val="22"/>
          <w:szCs w:val="22"/>
        </w:rPr>
      </w:pPr>
    </w:p>
    <w:p w14:paraId="2CC53939" w14:textId="7950E68C" w:rsidR="00B438DA" w:rsidRPr="003F437A" w:rsidRDefault="004B5CEF" w:rsidP="00624938">
      <w:pPr>
        <w:widowControl w:val="0"/>
        <w:autoSpaceDE w:val="0"/>
        <w:autoSpaceDN w:val="0"/>
        <w:adjustRightInd w:val="0"/>
        <w:spacing w:line="360" w:lineRule="auto"/>
        <w:jc w:val="both"/>
        <w:rPr>
          <w:rFonts w:asciiTheme="majorHAnsi" w:hAnsiTheme="majorHAnsi"/>
          <w:sz w:val="22"/>
          <w:szCs w:val="22"/>
        </w:rPr>
      </w:pPr>
      <w:r w:rsidRPr="003F437A">
        <w:rPr>
          <w:rFonts w:asciiTheme="majorHAnsi" w:hAnsiTheme="majorHAnsi"/>
          <w:sz w:val="22"/>
          <w:szCs w:val="22"/>
        </w:rPr>
        <w:t>T</w:t>
      </w:r>
      <w:r w:rsidR="003E1327" w:rsidRPr="003F437A">
        <w:rPr>
          <w:rFonts w:asciiTheme="majorHAnsi" w:hAnsiTheme="majorHAnsi"/>
          <w:sz w:val="22"/>
          <w:szCs w:val="22"/>
        </w:rPr>
        <w:t xml:space="preserve">hose </w:t>
      </w:r>
      <w:r w:rsidRPr="003F437A">
        <w:rPr>
          <w:rFonts w:asciiTheme="majorHAnsi" w:hAnsiTheme="majorHAnsi"/>
          <w:sz w:val="22"/>
          <w:szCs w:val="22"/>
        </w:rPr>
        <w:t>significantly</w:t>
      </w:r>
      <w:r w:rsidR="003E1327" w:rsidRPr="003F437A">
        <w:rPr>
          <w:rFonts w:asciiTheme="majorHAnsi" w:hAnsiTheme="majorHAnsi"/>
          <w:sz w:val="22"/>
          <w:szCs w:val="22"/>
        </w:rPr>
        <w:t xml:space="preserve"> distressed </w:t>
      </w:r>
      <w:r w:rsidR="00543324" w:rsidRPr="003F437A">
        <w:rPr>
          <w:rFonts w:asciiTheme="majorHAnsi" w:hAnsiTheme="majorHAnsi"/>
          <w:sz w:val="22"/>
          <w:szCs w:val="22"/>
        </w:rPr>
        <w:t>with</w:t>
      </w:r>
      <w:r w:rsidR="00086A13" w:rsidRPr="003F437A">
        <w:rPr>
          <w:rFonts w:asciiTheme="majorHAnsi" w:hAnsiTheme="majorHAnsi"/>
          <w:sz w:val="22"/>
          <w:szCs w:val="22"/>
        </w:rPr>
        <w:t xml:space="preserve"> larger numbers of concerns were more likely to have </w:t>
      </w:r>
      <w:r w:rsidR="003E1327" w:rsidRPr="003F437A">
        <w:rPr>
          <w:rFonts w:asciiTheme="majorHAnsi" w:hAnsiTheme="majorHAnsi"/>
          <w:sz w:val="22"/>
          <w:szCs w:val="22"/>
        </w:rPr>
        <w:t>had</w:t>
      </w:r>
      <w:r w:rsidR="00E202C3" w:rsidRPr="003F437A">
        <w:rPr>
          <w:rFonts w:asciiTheme="majorHAnsi" w:hAnsiTheme="majorHAnsi"/>
          <w:sz w:val="22"/>
          <w:szCs w:val="22"/>
        </w:rPr>
        <w:t xml:space="preserve"> </w:t>
      </w:r>
      <w:r w:rsidR="003E1327" w:rsidRPr="003F437A">
        <w:rPr>
          <w:rFonts w:asciiTheme="majorHAnsi" w:hAnsiTheme="majorHAnsi"/>
          <w:sz w:val="22"/>
          <w:szCs w:val="22"/>
        </w:rPr>
        <w:t>longer consultations</w:t>
      </w:r>
      <w:r w:rsidRPr="003F437A">
        <w:rPr>
          <w:rFonts w:asciiTheme="majorHAnsi" w:hAnsiTheme="majorHAnsi"/>
          <w:sz w:val="22"/>
          <w:szCs w:val="22"/>
        </w:rPr>
        <w:t xml:space="preserve"> compared with </w:t>
      </w:r>
      <w:r w:rsidR="00086A13" w:rsidRPr="003F437A">
        <w:rPr>
          <w:rFonts w:asciiTheme="majorHAnsi" w:hAnsiTheme="majorHAnsi"/>
          <w:sz w:val="22"/>
          <w:szCs w:val="22"/>
        </w:rPr>
        <w:t xml:space="preserve">patients not reporting significant distress </w:t>
      </w:r>
      <w:r w:rsidR="00543324" w:rsidRPr="003F437A">
        <w:rPr>
          <w:rFonts w:asciiTheme="majorHAnsi" w:hAnsiTheme="majorHAnsi"/>
          <w:sz w:val="22"/>
          <w:szCs w:val="22"/>
        </w:rPr>
        <w:t>with</w:t>
      </w:r>
      <w:r w:rsidR="00086A13" w:rsidRPr="003F437A">
        <w:rPr>
          <w:rFonts w:asciiTheme="majorHAnsi" w:hAnsiTheme="majorHAnsi"/>
          <w:sz w:val="22"/>
          <w:szCs w:val="22"/>
        </w:rPr>
        <w:t xml:space="preserve"> fewer concerns</w:t>
      </w:r>
      <w:r w:rsidR="00E202C3" w:rsidRPr="003F437A">
        <w:rPr>
          <w:rFonts w:asciiTheme="majorHAnsi" w:hAnsiTheme="majorHAnsi"/>
          <w:sz w:val="22"/>
          <w:szCs w:val="22"/>
        </w:rPr>
        <w:t xml:space="preserve">. </w:t>
      </w:r>
      <w:r w:rsidR="003E1327" w:rsidRPr="003F437A">
        <w:rPr>
          <w:rFonts w:asciiTheme="majorHAnsi" w:hAnsiTheme="majorHAnsi"/>
          <w:sz w:val="22"/>
          <w:szCs w:val="22"/>
        </w:rPr>
        <w:t xml:space="preserve"> </w:t>
      </w:r>
      <w:r w:rsidR="00FC2C08" w:rsidRPr="003F437A">
        <w:rPr>
          <w:rFonts w:asciiTheme="majorHAnsi" w:hAnsiTheme="majorHAnsi"/>
          <w:sz w:val="22"/>
          <w:szCs w:val="22"/>
        </w:rPr>
        <w:t>Apart fro</w:t>
      </w:r>
      <w:r w:rsidR="00543324" w:rsidRPr="003F437A">
        <w:rPr>
          <w:rFonts w:asciiTheme="majorHAnsi" w:hAnsiTheme="majorHAnsi"/>
          <w:sz w:val="22"/>
          <w:szCs w:val="22"/>
        </w:rPr>
        <w:t>m increasing</w:t>
      </w:r>
      <w:r w:rsidR="00FC2C08" w:rsidRPr="003F437A">
        <w:rPr>
          <w:rFonts w:asciiTheme="majorHAnsi" w:hAnsiTheme="majorHAnsi"/>
          <w:sz w:val="22"/>
          <w:szCs w:val="22"/>
        </w:rPr>
        <w:t xml:space="preserve"> </w:t>
      </w:r>
      <w:r w:rsidR="00543324" w:rsidRPr="003F437A">
        <w:rPr>
          <w:rFonts w:asciiTheme="majorHAnsi" w:hAnsiTheme="majorHAnsi"/>
          <w:sz w:val="22"/>
          <w:szCs w:val="22"/>
        </w:rPr>
        <w:t xml:space="preserve">the </w:t>
      </w:r>
      <w:r w:rsidR="00FC2C08" w:rsidRPr="003F437A">
        <w:rPr>
          <w:rFonts w:asciiTheme="majorHAnsi" w:hAnsiTheme="majorHAnsi"/>
          <w:sz w:val="22"/>
          <w:szCs w:val="22"/>
        </w:rPr>
        <w:t>length of consultation, significant distress impacts upon the individual management of these patients.</w:t>
      </w:r>
      <w:r w:rsidR="00FC2C08" w:rsidRPr="003F437A">
        <w:rPr>
          <w:rFonts w:asciiTheme="majorHAnsi" w:hAnsiTheme="majorHAnsi" w:cs="Calibri"/>
          <w:color w:val="1A1A1A"/>
          <w:sz w:val="22"/>
          <w:szCs w:val="22"/>
        </w:rPr>
        <w:t xml:space="preserve"> </w:t>
      </w:r>
      <w:r w:rsidR="00624938" w:rsidRPr="003F437A">
        <w:rPr>
          <w:rFonts w:asciiTheme="majorHAnsi" w:hAnsiTheme="majorHAnsi" w:cs="Calibri"/>
          <w:color w:val="1A1A1A"/>
          <w:sz w:val="22"/>
          <w:szCs w:val="22"/>
        </w:rPr>
        <w:t>Overall, those with significant</w:t>
      </w:r>
      <w:r w:rsidR="00FC2C08" w:rsidRPr="003F437A">
        <w:rPr>
          <w:rFonts w:asciiTheme="majorHAnsi" w:hAnsiTheme="majorHAnsi" w:cs="Calibri"/>
          <w:color w:val="1A1A1A"/>
          <w:sz w:val="22"/>
          <w:szCs w:val="22"/>
        </w:rPr>
        <w:t xml:space="preserve"> distress </w:t>
      </w:r>
      <w:r w:rsidR="00624938" w:rsidRPr="003F437A">
        <w:rPr>
          <w:rFonts w:asciiTheme="majorHAnsi" w:hAnsiTheme="majorHAnsi" w:cs="Calibri"/>
          <w:color w:val="1A1A1A"/>
          <w:sz w:val="22"/>
          <w:szCs w:val="22"/>
        </w:rPr>
        <w:t xml:space="preserve">were more likely to receive both medical and non-medical actions related to their consultation compared to those without distress. </w:t>
      </w:r>
      <w:r w:rsidR="00B438DA" w:rsidRPr="003F437A">
        <w:rPr>
          <w:rFonts w:asciiTheme="majorHAnsi" w:hAnsiTheme="majorHAnsi"/>
          <w:sz w:val="22"/>
          <w:szCs w:val="22"/>
        </w:rPr>
        <w:t>While t</w:t>
      </w:r>
      <w:r w:rsidR="00086A13" w:rsidRPr="003F437A">
        <w:rPr>
          <w:rFonts w:asciiTheme="majorHAnsi" w:hAnsiTheme="majorHAnsi"/>
          <w:sz w:val="22"/>
          <w:szCs w:val="22"/>
        </w:rPr>
        <w:t>his finding is unsurprising</w:t>
      </w:r>
      <w:r w:rsidR="00B438DA" w:rsidRPr="003F437A">
        <w:rPr>
          <w:rFonts w:asciiTheme="majorHAnsi" w:hAnsiTheme="majorHAnsi"/>
          <w:sz w:val="22"/>
          <w:szCs w:val="22"/>
        </w:rPr>
        <w:t>, it places huge demand upon resources and outpatient clinic management. A different approach may be required to meet the concerns of significantly distressed patients in clinic</w:t>
      </w:r>
      <w:r w:rsidR="00A81566">
        <w:rPr>
          <w:rFonts w:asciiTheme="majorHAnsi" w:hAnsiTheme="majorHAnsi"/>
          <w:sz w:val="22"/>
          <w:szCs w:val="22"/>
        </w:rPr>
        <w:t>s</w:t>
      </w:r>
      <w:r w:rsidR="00543324" w:rsidRPr="003F437A">
        <w:rPr>
          <w:rFonts w:asciiTheme="majorHAnsi" w:hAnsiTheme="majorHAnsi"/>
          <w:sz w:val="22"/>
          <w:szCs w:val="22"/>
        </w:rPr>
        <w:t xml:space="preserve"> where the PCI is used</w:t>
      </w:r>
      <w:r w:rsidR="00B438DA" w:rsidRPr="003F437A">
        <w:rPr>
          <w:rFonts w:asciiTheme="majorHAnsi" w:hAnsiTheme="majorHAnsi"/>
          <w:sz w:val="22"/>
          <w:szCs w:val="22"/>
        </w:rPr>
        <w:t>. Suggestions include asking patients to prioritise their list of concerns for discussion</w:t>
      </w:r>
      <w:r w:rsidR="00543324" w:rsidRPr="003F437A">
        <w:rPr>
          <w:rFonts w:asciiTheme="majorHAnsi" w:hAnsiTheme="majorHAnsi"/>
          <w:sz w:val="22"/>
          <w:szCs w:val="22"/>
        </w:rPr>
        <w:t xml:space="preserve"> during clinic</w:t>
      </w:r>
      <w:r w:rsidR="00B438DA" w:rsidRPr="003F437A">
        <w:rPr>
          <w:rFonts w:asciiTheme="majorHAnsi" w:hAnsiTheme="majorHAnsi"/>
          <w:sz w:val="22"/>
          <w:szCs w:val="22"/>
        </w:rPr>
        <w:t>, referral to the most appropriate professional who may be present at the c</w:t>
      </w:r>
      <w:r w:rsidR="00543324" w:rsidRPr="003F437A">
        <w:rPr>
          <w:rFonts w:asciiTheme="majorHAnsi" w:hAnsiTheme="majorHAnsi"/>
          <w:sz w:val="22"/>
          <w:szCs w:val="22"/>
        </w:rPr>
        <w:t>linic or at</w:t>
      </w:r>
      <w:r w:rsidR="00624938" w:rsidRPr="003F437A">
        <w:rPr>
          <w:rFonts w:asciiTheme="majorHAnsi" w:hAnsiTheme="majorHAnsi"/>
          <w:sz w:val="22"/>
          <w:szCs w:val="22"/>
        </w:rPr>
        <w:t xml:space="preserve"> another appointment and </w:t>
      </w:r>
      <w:r w:rsidR="00543324" w:rsidRPr="003F437A">
        <w:rPr>
          <w:rFonts w:asciiTheme="majorHAnsi" w:hAnsiTheme="majorHAnsi"/>
          <w:sz w:val="22"/>
          <w:szCs w:val="22"/>
        </w:rPr>
        <w:t>self-referral through a web-based PCI application</w:t>
      </w:r>
      <w:r w:rsidR="00624938" w:rsidRPr="003F437A">
        <w:rPr>
          <w:rFonts w:asciiTheme="majorHAnsi" w:hAnsiTheme="majorHAnsi"/>
          <w:sz w:val="22"/>
          <w:szCs w:val="22"/>
        </w:rPr>
        <w:t>.</w:t>
      </w:r>
      <w:r w:rsidR="00543324" w:rsidRPr="003F437A">
        <w:rPr>
          <w:rFonts w:asciiTheme="majorHAnsi" w:hAnsiTheme="majorHAnsi"/>
          <w:sz w:val="22"/>
          <w:szCs w:val="22"/>
        </w:rPr>
        <w:t xml:space="preserve"> Future work should focus on the imp</w:t>
      </w:r>
      <w:r w:rsidR="009F7B29" w:rsidRPr="003F437A">
        <w:rPr>
          <w:rFonts w:asciiTheme="majorHAnsi" w:hAnsiTheme="majorHAnsi"/>
          <w:sz w:val="22"/>
          <w:szCs w:val="22"/>
        </w:rPr>
        <w:t>act of PCI-directed pathway</w:t>
      </w:r>
      <w:r w:rsidR="00543324" w:rsidRPr="003F437A">
        <w:rPr>
          <w:rFonts w:asciiTheme="majorHAnsi" w:hAnsiTheme="majorHAnsi"/>
          <w:sz w:val="22"/>
          <w:szCs w:val="22"/>
        </w:rPr>
        <w:t xml:space="preserve">s in managing distress. </w:t>
      </w:r>
    </w:p>
    <w:p w14:paraId="2531094A" w14:textId="77777777" w:rsidR="00DF67FB" w:rsidRPr="003F437A" w:rsidRDefault="00DF67FB" w:rsidP="00075D52">
      <w:pPr>
        <w:spacing w:line="360" w:lineRule="auto"/>
        <w:jc w:val="both"/>
        <w:rPr>
          <w:rFonts w:asciiTheme="majorHAnsi" w:hAnsiTheme="majorHAnsi"/>
          <w:sz w:val="22"/>
          <w:szCs w:val="22"/>
        </w:rPr>
      </w:pPr>
    </w:p>
    <w:p w14:paraId="653E1D98" w14:textId="77777777" w:rsidR="007E6374" w:rsidRPr="00075D52" w:rsidRDefault="007E6374" w:rsidP="00075D52">
      <w:pPr>
        <w:spacing w:line="360" w:lineRule="auto"/>
        <w:jc w:val="both"/>
        <w:rPr>
          <w:rFonts w:asciiTheme="majorHAnsi" w:hAnsiTheme="majorHAnsi"/>
          <w:b/>
          <w:sz w:val="22"/>
          <w:szCs w:val="22"/>
        </w:rPr>
      </w:pPr>
      <w:r w:rsidRPr="003F437A">
        <w:rPr>
          <w:rFonts w:asciiTheme="majorHAnsi" w:hAnsiTheme="majorHAnsi"/>
          <w:b/>
          <w:sz w:val="22"/>
          <w:szCs w:val="22"/>
        </w:rPr>
        <w:t>Conclusions</w:t>
      </w:r>
    </w:p>
    <w:p w14:paraId="1B023586" w14:textId="77777777" w:rsidR="007E6374" w:rsidRPr="00075D52" w:rsidRDefault="007E6374" w:rsidP="00075D52">
      <w:pPr>
        <w:spacing w:line="360" w:lineRule="auto"/>
        <w:jc w:val="both"/>
        <w:rPr>
          <w:rFonts w:asciiTheme="majorHAnsi" w:hAnsiTheme="majorHAnsi"/>
          <w:sz w:val="22"/>
          <w:szCs w:val="22"/>
        </w:rPr>
      </w:pPr>
    </w:p>
    <w:p w14:paraId="3ECC1F56" w14:textId="0B12EDCE" w:rsidR="009916E8" w:rsidRDefault="00624938" w:rsidP="00075D52">
      <w:pPr>
        <w:spacing w:line="360" w:lineRule="auto"/>
        <w:jc w:val="both"/>
        <w:rPr>
          <w:rFonts w:asciiTheme="majorHAnsi" w:hAnsiTheme="majorHAnsi"/>
          <w:sz w:val="22"/>
          <w:szCs w:val="22"/>
        </w:rPr>
      </w:pPr>
      <w:r>
        <w:rPr>
          <w:rFonts w:asciiTheme="majorHAnsi" w:hAnsiTheme="majorHAnsi"/>
          <w:sz w:val="22"/>
          <w:szCs w:val="22"/>
        </w:rPr>
        <w:t xml:space="preserve">Significant distress is experienced in just over one-third of post-treatment HNC patients attending clinic. </w:t>
      </w:r>
      <w:r w:rsidR="00882339">
        <w:rPr>
          <w:rFonts w:asciiTheme="majorHAnsi" w:hAnsiTheme="majorHAnsi"/>
          <w:sz w:val="22"/>
          <w:szCs w:val="22"/>
        </w:rPr>
        <w:t xml:space="preserve">The PCI has the potential to be a risk assessment tool for significant distress. </w:t>
      </w:r>
      <w:r>
        <w:rPr>
          <w:rFonts w:asciiTheme="majorHAnsi" w:hAnsiTheme="majorHAnsi"/>
          <w:sz w:val="22"/>
          <w:szCs w:val="22"/>
        </w:rPr>
        <w:t>Using the PCI</w:t>
      </w:r>
      <w:r w:rsidR="00A93D7D">
        <w:rPr>
          <w:rFonts w:asciiTheme="majorHAnsi" w:hAnsiTheme="majorHAnsi"/>
          <w:sz w:val="22"/>
          <w:szCs w:val="22"/>
        </w:rPr>
        <w:t xml:space="preserve"> with a cut-off point </w:t>
      </w:r>
      <w:r w:rsidR="00A93D7D">
        <w:rPr>
          <w:rFonts w:ascii="Calibri" w:hAnsi="Calibri"/>
          <w:sz w:val="22"/>
          <w:szCs w:val="22"/>
        </w:rPr>
        <w:t>≥</w:t>
      </w:r>
      <w:r w:rsidR="00A93D7D">
        <w:rPr>
          <w:rFonts w:asciiTheme="majorHAnsi" w:hAnsiTheme="majorHAnsi"/>
          <w:sz w:val="22"/>
          <w:szCs w:val="22"/>
        </w:rPr>
        <w:t xml:space="preserve"> </w:t>
      </w:r>
      <w:r w:rsidR="00AA4A5E">
        <w:rPr>
          <w:rFonts w:asciiTheme="majorHAnsi" w:hAnsiTheme="majorHAnsi"/>
          <w:sz w:val="22"/>
          <w:szCs w:val="22"/>
        </w:rPr>
        <w:t xml:space="preserve">4 or </w:t>
      </w:r>
      <w:r w:rsidR="00AA4A5E">
        <w:rPr>
          <w:rFonts w:ascii="Calibri" w:hAnsi="Calibri"/>
          <w:sz w:val="22"/>
          <w:szCs w:val="22"/>
        </w:rPr>
        <w:t>≥</w:t>
      </w:r>
      <w:r w:rsidR="00A93D7D">
        <w:rPr>
          <w:rFonts w:asciiTheme="majorHAnsi" w:hAnsiTheme="majorHAnsi"/>
          <w:sz w:val="22"/>
          <w:szCs w:val="22"/>
        </w:rPr>
        <w:t>5</w:t>
      </w:r>
      <w:r w:rsidR="007A7000">
        <w:rPr>
          <w:rFonts w:asciiTheme="majorHAnsi" w:hAnsiTheme="majorHAnsi"/>
          <w:sz w:val="22"/>
          <w:szCs w:val="22"/>
        </w:rPr>
        <w:t xml:space="preserve"> of items selected</w:t>
      </w:r>
      <w:r w:rsidR="00A93D7D">
        <w:rPr>
          <w:rFonts w:asciiTheme="majorHAnsi" w:hAnsiTheme="majorHAnsi"/>
          <w:sz w:val="22"/>
          <w:szCs w:val="22"/>
        </w:rPr>
        <w:t xml:space="preserve">, it was possible to identify </w:t>
      </w:r>
      <w:r w:rsidR="00AA4A5E">
        <w:rPr>
          <w:rFonts w:asciiTheme="majorHAnsi" w:hAnsiTheme="majorHAnsi"/>
          <w:sz w:val="22"/>
          <w:szCs w:val="22"/>
        </w:rPr>
        <w:t>th</w:t>
      </w:r>
      <w:r w:rsidR="007A7000">
        <w:rPr>
          <w:rFonts w:asciiTheme="majorHAnsi" w:hAnsiTheme="majorHAnsi"/>
          <w:sz w:val="22"/>
          <w:szCs w:val="22"/>
        </w:rPr>
        <w:t>os</w:t>
      </w:r>
      <w:r w:rsidR="00AA4A5E">
        <w:rPr>
          <w:rFonts w:asciiTheme="majorHAnsi" w:hAnsiTheme="majorHAnsi"/>
          <w:sz w:val="22"/>
          <w:szCs w:val="22"/>
        </w:rPr>
        <w:t>e</w:t>
      </w:r>
      <w:r w:rsidR="007A7000">
        <w:rPr>
          <w:rFonts w:asciiTheme="majorHAnsi" w:hAnsiTheme="majorHAnsi"/>
          <w:sz w:val="22"/>
          <w:szCs w:val="22"/>
        </w:rPr>
        <w:t xml:space="preserve"> at risk of</w:t>
      </w:r>
      <w:r w:rsidR="00A93D7D">
        <w:rPr>
          <w:rFonts w:asciiTheme="majorHAnsi" w:hAnsiTheme="majorHAnsi"/>
          <w:sz w:val="22"/>
          <w:szCs w:val="22"/>
        </w:rPr>
        <w:t xml:space="preserve"> significant distress. The</w:t>
      </w:r>
      <w:r w:rsidR="00282A01">
        <w:rPr>
          <w:rFonts w:asciiTheme="majorHAnsi" w:hAnsiTheme="majorHAnsi"/>
          <w:sz w:val="22"/>
          <w:szCs w:val="22"/>
        </w:rPr>
        <w:t xml:space="preserve"> </w:t>
      </w:r>
      <w:r w:rsidR="00A93D7D">
        <w:rPr>
          <w:rFonts w:asciiTheme="majorHAnsi" w:hAnsiTheme="majorHAnsi"/>
          <w:sz w:val="22"/>
          <w:szCs w:val="22"/>
        </w:rPr>
        <w:t xml:space="preserve">concerns </w:t>
      </w:r>
      <w:r w:rsidR="00A81566">
        <w:rPr>
          <w:rFonts w:asciiTheme="majorHAnsi" w:hAnsiTheme="majorHAnsi"/>
          <w:sz w:val="22"/>
          <w:szCs w:val="22"/>
        </w:rPr>
        <w:t xml:space="preserve">of patients with significant distress </w:t>
      </w:r>
      <w:r w:rsidR="00282A01">
        <w:rPr>
          <w:rFonts w:asciiTheme="majorHAnsi" w:hAnsiTheme="majorHAnsi"/>
          <w:sz w:val="22"/>
          <w:szCs w:val="22"/>
        </w:rPr>
        <w:t xml:space="preserve">were </w:t>
      </w:r>
      <w:r w:rsidR="00A93D7D">
        <w:rPr>
          <w:rFonts w:asciiTheme="majorHAnsi" w:hAnsiTheme="majorHAnsi"/>
          <w:sz w:val="22"/>
          <w:szCs w:val="22"/>
        </w:rPr>
        <w:t xml:space="preserve">related to </w:t>
      </w:r>
      <w:r w:rsidR="00282A01" w:rsidRPr="00075D52">
        <w:rPr>
          <w:rFonts w:asciiTheme="majorHAnsi" w:hAnsiTheme="majorHAnsi"/>
          <w:sz w:val="22"/>
          <w:szCs w:val="22"/>
        </w:rPr>
        <w:t xml:space="preserve">Psychological and </w:t>
      </w:r>
      <w:r w:rsidR="00282A01">
        <w:rPr>
          <w:rFonts w:asciiTheme="majorHAnsi" w:hAnsiTheme="majorHAnsi"/>
          <w:sz w:val="22"/>
          <w:szCs w:val="22"/>
        </w:rPr>
        <w:t>Emotional/Spiritual well-being</w:t>
      </w:r>
      <w:r w:rsidR="00AA4A5E">
        <w:rPr>
          <w:rFonts w:asciiTheme="majorHAnsi" w:hAnsiTheme="majorHAnsi"/>
          <w:sz w:val="22"/>
          <w:szCs w:val="22"/>
        </w:rPr>
        <w:t>, and</w:t>
      </w:r>
      <w:r w:rsidR="00282A01">
        <w:rPr>
          <w:rFonts w:asciiTheme="majorHAnsi" w:hAnsiTheme="majorHAnsi"/>
          <w:sz w:val="22"/>
          <w:szCs w:val="22"/>
        </w:rPr>
        <w:t xml:space="preserve"> </w:t>
      </w:r>
      <w:r w:rsidR="00AA4A5E">
        <w:rPr>
          <w:rFonts w:asciiTheme="majorHAnsi" w:hAnsiTheme="majorHAnsi"/>
          <w:sz w:val="22"/>
          <w:szCs w:val="22"/>
        </w:rPr>
        <w:t>to</w:t>
      </w:r>
      <w:r w:rsidR="00A93D7D">
        <w:rPr>
          <w:rFonts w:asciiTheme="majorHAnsi" w:hAnsiTheme="majorHAnsi"/>
          <w:sz w:val="22"/>
          <w:szCs w:val="22"/>
        </w:rPr>
        <w:t xml:space="preserve"> </w:t>
      </w:r>
      <w:r w:rsidR="00A93D7D" w:rsidRPr="00075D52">
        <w:rPr>
          <w:rFonts w:asciiTheme="majorHAnsi" w:hAnsiTheme="majorHAnsi"/>
          <w:sz w:val="22"/>
          <w:szCs w:val="22"/>
        </w:rPr>
        <w:t>Physical and</w:t>
      </w:r>
      <w:r w:rsidR="00A93D7D">
        <w:rPr>
          <w:rFonts w:asciiTheme="majorHAnsi" w:hAnsiTheme="majorHAnsi"/>
          <w:sz w:val="22"/>
          <w:szCs w:val="22"/>
        </w:rPr>
        <w:t xml:space="preserve"> Functional well-being</w:t>
      </w:r>
      <w:r w:rsidR="00282A01">
        <w:rPr>
          <w:rFonts w:asciiTheme="majorHAnsi" w:hAnsiTheme="majorHAnsi"/>
          <w:sz w:val="22"/>
          <w:szCs w:val="22"/>
        </w:rPr>
        <w:t>. Treatment that</w:t>
      </w:r>
      <w:r w:rsidR="007A7000">
        <w:rPr>
          <w:rFonts w:asciiTheme="majorHAnsi" w:hAnsiTheme="majorHAnsi"/>
          <w:sz w:val="22"/>
          <w:szCs w:val="22"/>
        </w:rPr>
        <w:t xml:space="preserve"> </w:t>
      </w:r>
      <w:r w:rsidR="00282A01">
        <w:rPr>
          <w:rFonts w:asciiTheme="majorHAnsi" w:hAnsiTheme="majorHAnsi"/>
          <w:sz w:val="22"/>
          <w:szCs w:val="22"/>
        </w:rPr>
        <w:t>maximi</w:t>
      </w:r>
      <w:r w:rsidR="00DF0C7C">
        <w:rPr>
          <w:rFonts w:asciiTheme="majorHAnsi" w:hAnsiTheme="majorHAnsi"/>
          <w:sz w:val="22"/>
          <w:szCs w:val="22"/>
        </w:rPr>
        <w:t>s</w:t>
      </w:r>
      <w:r w:rsidR="00282A01">
        <w:rPr>
          <w:rFonts w:asciiTheme="majorHAnsi" w:hAnsiTheme="majorHAnsi"/>
          <w:sz w:val="22"/>
          <w:szCs w:val="22"/>
        </w:rPr>
        <w:t>e</w:t>
      </w:r>
      <w:r w:rsidR="00A81566">
        <w:rPr>
          <w:rFonts w:asciiTheme="majorHAnsi" w:hAnsiTheme="majorHAnsi"/>
          <w:sz w:val="22"/>
          <w:szCs w:val="22"/>
        </w:rPr>
        <w:t>s</w:t>
      </w:r>
      <w:r w:rsidR="00282A01">
        <w:rPr>
          <w:rFonts w:asciiTheme="majorHAnsi" w:hAnsiTheme="majorHAnsi"/>
          <w:sz w:val="22"/>
          <w:szCs w:val="22"/>
        </w:rPr>
        <w:t xml:space="preserve"> functional outcomes without compromising cure should be considered at the outset to address this </w:t>
      </w:r>
      <w:r w:rsidR="007A7000">
        <w:rPr>
          <w:rFonts w:asciiTheme="majorHAnsi" w:hAnsiTheme="majorHAnsi"/>
          <w:sz w:val="22"/>
          <w:szCs w:val="22"/>
        </w:rPr>
        <w:t xml:space="preserve">upfront. A </w:t>
      </w:r>
      <w:r w:rsidR="00543324">
        <w:rPr>
          <w:rFonts w:asciiTheme="majorHAnsi" w:hAnsiTheme="majorHAnsi"/>
          <w:sz w:val="22"/>
          <w:szCs w:val="22"/>
        </w:rPr>
        <w:t>shift of</w:t>
      </w:r>
      <w:r w:rsidR="00282A01">
        <w:rPr>
          <w:rFonts w:asciiTheme="majorHAnsi" w:hAnsiTheme="majorHAnsi"/>
          <w:sz w:val="22"/>
          <w:szCs w:val="22"/>
        </w:rPr>
        <w:t xml:space="preserve"> emphasis </w:t>
      </w:r>
      <w:r w:rsidR="007A7000">
        <w:rPr>
          <w:rFonts w:asciiTheme="majorHAnsi" w:hAnsiTheme="majorHAnsi"/>
          <w:sz w:val="22"/>
          <w:szCs w:val="22"/>
        </w:rPr>
        <w:t>toward</w:t>
      </w:r>
      <w:r w:rsidR="00282A01">
        <w:rPr>
          <w:rFonts w:asciiTheme="majorHAnsi" w:hAnsiTheme="majorHAnsi"/>
          <w:sz w:val="22"/>
          <w:szCs w:val="22"/>
        </w:rPr>
        <w:t xml:space="preserve"> </w:t>
      </w:r>
      <w:r w:rsidR="00543324">
        <w:rPr>
          <w:rFonts w:asciiTheme="majorHAnsi" w:hAnsiTheme="majorHAnsi"/>
          <w:sz w:val="22"/>
          <w:szCs w:val="22"/>
        </w:rPr>
        <w:t xml:space="preserve">supportive rehabilitation </w:t>
      </w:r>
      <w:r w:rsidR="007A7000">
        <w:rPr>
          <w:rFonts w:asciiTheme="majorHAnsi" w:hAnsiTheme="majorHAnsi"/>
          <w:sz w:val="22"/>
          <w:szCs w:val="22"/>
        </w:rPr>
        <w:t xml:space="preserve">is paramount </w:t>
      </w:r>
      <w:r w:rsidR="00543324">
        <w:rPr>
          <w:rFonts w:asciiTheme="majorHAnsi" w:hAnsiTheme="majorHAnsi"/>
          <w:sz w:val="22"/>
          <w:szCs w:val="22"/>
        </w:rPr>
        <w:t>in the post-treatment period</w:t>
      </w:r>
      <w:r w:rsidR="007A7000">
        <w:rPr>
          <w:rFonts w:asciiTheme="majorHAnsi" w:hAnsiTheme="majorHAnsi"/>
          <w:sz w:val="22"/>
          <w:szCs w:val="22"/>
        </w:rPr>
        <w:t>, where m</w:t>
      </w:r>
      <w:r w:rsidR="00282A01">
        <w:rPr>
          <w:rFonts w:asciiTheme="majorHAnsi" w:hAnsiTheme="majorHAnsi"/>
          <w:sz w:val="22"/>
          <w:szCs w:val="22"/>
        </w:rPr>
        <w:t>anag</w:t>
      </w:r>
      <w:r w:rsidR="00C262E9">
        <w:rPr>
          <w:rFonts w:asciiTheme="majorHAnsi" w:hAnsiTheme="majorHAnsi"/>
          <w:sz w:val="22"/>
          <w:szCs w:val="22"/>
        </w:rPr>
        <w:t xml:space="preserve">ing </w:t>
      </w:r>
      <w:r w:rsidR="00AA4A5E">
        <w:rPr>
          <w:rFonts w:asciiTheme="majorHAnsi" w:hAnsiTheme="majorHAnsi"/>
          <w:sz w:val="22"/>
          <w:szCs w:val="22"/>
        </w:rPr>
        <w:t>physical and psychological</w:t>
      </w:r>
      <w:r w:rsidR="007A7000">
        <w:rPr>
          <w:rFonts w:asciiTheme="majorHAnsi" w:hAnsiTheme="majorHAnsi"/>
          <w:sz w:val="22"/>
          <w:szCs w:val="22"/>
        </w:rPr>
        <w:t xml:space="preserve"> </w:t>
      </w:r>
      <w:r w:rsidR="00C262E9">
        <w:rPr>
          <w:rFonts w:asciiTheme="majorHAnsi" w:hAnsiTheme="majorHAnsi"/>
          <w:sz w:val="22"/>
          <w:szCs w:val="22"/>
        </w:rPr>
        <w:t xml:space="preserve">concerns </w:t>
      </w:r>
      <w:r w:rsidR="007A7000">
        <w:rPr>
          <w:rFonts w:asciiTheme="majorHAnsi" w:hAnsiTheme="majorHAnsi"/>
          <w:sz w:val="22"/>
          <w:szCs w:val="22"/>
        </w:rPr>
        <w:t>with c</w:t>
      </w:r>
      <w:r w:rsidR="00543324">
        <w:rPr>
          <w:rFonts w:asciiTheme="majorHAnsi" w:hAnsiTheme="majorHAnsi"/>
          <w:sz w:val="22"/>
          <w:szCs w:val="22"/>
        </w:rPr>
        <w:t>lose involvement of other personnel within a multidisciplinary team</w:t>
      </w:r>
      <w:r w:rsidR="007A7000">
        <w:rPr>
          <w:rFonts w:asciiTheme="majorHAnsi" w:hAnsiTheme="majorHAnsi"/>
          <w:sz w:val="22"/>
          <w:szCs w:val="22"/>
        </w:rPr>
        <w:t xml:space="preserve"> is required</w:t>
      </w:r>
      <w:r w:rsidR="00282A01">
        <w:rPr>
          <w:rFonts w:asciiTheme="majorHAnsi" w:hAnsiTheme="majorHAnsi"/>
          <w:sz w:val="22"/>
          <w:szCs w:val="22"/>
        </w:rPr>
        <w:t xml:space="preserve">. </w:t>
      </w:r>
      <w:r w:rsidR="00A93D7D">
        <w:rPr>
          <w:rFonts w:asciiTheme="majorHAnsi" w:hAnsiTheme="majorHAnsi"/>
          <w:sz w:val="22"/>
          <w:szCs w:val="22"/>
        </w:rPr>
        <w:t>Addressing concerns and distress</w:t>
      </w:r>
      <w:r w:rsidR="009F7B29">
        <w:rPr>
          <w:rFonts w:asciiTheme="majorHAnsi" w:hAnsiTheme="majorHAnsi"/>
          <w:sz w:val="22"/>
          <w:szCs w:val="22"/>
        </w:rPr>
        <w:t xml:space="preserve"> can result</w:t>
      </w:r>
      <w:r w:rsidR="00A93D7D">
        <w:rPr>
          <w:rFonts w:asciiTheme="majorHAnsi" w:hAnsiTheme="majorHAnsi"/>
          <w:sz w:val="22"/>
          <w:szCs w:val="22"/>
        </w:rPr>
        <w:t xml:space="preserve"> in longer consultations and a higher number of both medical and non-medical actions. Further work is required in understanding the impact of distress screening and </w:t>
      </w:r>
      <w:r w:rsidR="009F7B29">
        <w:rPr>
          <w:rFonts w:asciiTheme="majorHAnsi" w:hAnsiTheme="majorHAnsi"/>
          <w:sz w:val="22"/>
          <w:szCs w:val="22"/>
        </w:rPr>
        <w:t xml:space="preserve">PCI-directed pathways in the </w:t>
      </w:r>
      <w:r w:rsidR="00A93D7D">
        <w:rPr>
          <w:rFonts w:asciiTheme="majorHAnsi" w:hAnsiTheme="majorHAnsi"/>
          <w:sz w:val="22"/>
          <w:szCs w:val="22"/>
        </w:rPr>
        <w:t xml:space="preserve">management of patient concerns. </w:t>
      </w:r>
    </w:p>
    <w:p w14:paraId="33856567" w14:textId="77777777" w:rsidR="007E3659" w:rsidRPr="00075D52" w:rsidRDefault="007E3659" w:rsidP="00075D52">
      <w:pPr>
        <w:spacing w:line="360" w:lineRule="auto"/>
        <w:jc w:val="both"/>
        <w:rPr>
          <w:rFonts w:asciiTheme="majorHAnsi" w:hAnsiTheme="majorHAnsi"/>
          <w:b/>
          <w:sz w:val="22"/>
          <w:szCs w:val="22"/>
        </w:rPr>
      </w:pPr>
    </w:p>
    <w:p w14:paraId="1F8FE594" w14:textId="17C7A274" w:rsidR="007E3659" w:rsidRPr="00075D52" w:rsidRDefault="00631E8E" w:rsidP="00A54DA7">
      <w:pPr>
        <w:autoSpaceDE w:val="0"/>
        <w:autoSpaceDN w:val="0"/>
        <w:adjustRightInd w:val="0"/>
        <w:spacing w:line="360" w:lineRule="auto"/>
        <w:rPr>
          <w:rFonts w:asciiTheme="majorHAnsi" w:hAnsiTheme="majorHAnsi"/>
          <w:sz w:val="22"/>
          <w:szCs w:val="22"/>
        </w:rPr>
      </w:pPr>
      <w:r>
        <w:rPr>
          <w:rFonts w:asciiTheme="majorHAnsi" w:hAnsiTheme="majorHAnsi"/>
          <w:b/>
          <w:sz w:val="22"/>
          <w:szCs w:val="22"/>
        </w:rPr>
        <w:t xml:space="preserve">Acknowledgement: </w:t>
      </w:r>
      <w:r w:rsidR="00A54DA7" w:rsidRPr="00A54DA7">
        <w:rPr>
          <w:rFonts w:asciiTheme="majorHAnsi" w:hAnsiTheme="majorHAnsi" w:cs="Times New Roman"/>
          <w:color w:val="000000"/>
          <w:sz w:val="22"/>
          <w:szCs w:val="22"/>
          <w:lang w:val="en-GB"/>
        </w:rPr>
        <w:t xml:space="preserve">The authors would like to acknowledge </w:t>
      </w:r>
      <w:r w:rsidR="00A54DA7" w:rsidRPr="00A54DA7">
        <w:rPr>
          <w:rFonts w:asciiTheme="majorHAnsi" w:hAnsiTheme="majorHAnsi" w:cs="Times New Roman"/>
          <w:color w:val="535353"/>
          <w:sz w:val="22"/>
          <w:szCs w:val="22"/>
          <w:lang w:val="en-GB"/>
        </w:rPr>
        <w:t xml:space="preserve">Professor </w:t>
      </w:r>
      <w:r w:rsidR="00A54DA7" w:rsidRPr="00A54DA7">
        <w:rPr>
          <w:rFonts w:asciiTheme="majorHAnsi" w:hAnsiTheme="majorHAnsi" w:cs="Times New Roman"/>
          <w:color w:val="000000"/>
          <w:sz w:val="22"/>
          <w:szCs w:val="22"/>
          <w:lang w:val="en-GB"/>
        </w:rPr>
        <w:t>James Brown, FDSRCS, FRCS</w:t>
      </w:r>
      <w:r w:rsidR="00A54DA7">
        <w:rPr>
          <w:rFonts w:asciiTheme="majorHAnsi" w:hAnsiTheme="majorHAnsi" w:cs="Times New Roman"/>
          <w:color w:val="000000"/>
          <w:sz w:val="22"/>
          <w:szCs w:val="22"/>
          <w:lang w:val="en-GB"/>
        </w:rPr>
        <w:t xml:space="preserve"> </w:t>
      </w:r>
      <w:r w:rsidR="00A54DA7" w:rsidRPr="00A54DA7">
        <w:rPr>
          <w:rFonts w:asciiTheme="majorHAnsi" w:hAnsiTheme="majorHAnsi" w:cs="Times New Roman"/>
          <w:color w:val="000000"/>
          <w:sz w:val="22"/>
          <w:szCs w:val="22"/>
          <w:lang w:val="en-GB"/>
        </w:rPr>
        <w:t>(OMFS) for his contr</w:t>
      </w:r>
      <w:r w:rsidR="00A54DA7" w:rsidRPr="00A54DA7">
        <w:rPr>
          <w:rFonts w:asciiTheme="majorHAnsi" w:hAnsiTheme="majorHAnsi" w:cs="Times New Roman"/>
          <w:color w:val="000000"/>
          <w:sz w:val="22"/>
          <w:szCs w:val="22"/>
          <w:lang w:val="en-GB"/>
        </w:rPr>
        <w:t>ibutions toward data collection</w:t>
      </w:r>
      <w:r w:rsidR="00A54DA7">
        <w:rPr>
          <w:rFonts w:ascii="Times New Roman" w:hAnsi="Times New Roman" w:cs="Times New Roman"/>
          <w:color w:val="000000"/>
          <w:sz w:val="22"/>
          <w:szCs w:val="22"/>
          <w:lang w:val="en-GB"/>
        </w:rPr>
        <w:t xml:space="preserve">. </w:t>
      </w:r>
      <w:r w:rsidR="007E3659" w:rsidRPr="00075D52">
        <w:rPr>
          <w:rFonts w:asciiTheme="majorHAnsi" w:hAnsiTheme="majorHAnsi"/>
          <w:sz w:val="22"/>
          <w:szCs w:val="22"/>
        </w:rPr>
        <w:t xml:space="preserve">This study was funded by the British Association of Oral &amp; Maxillofacial Surgeons’ Endowment funds. </w:t>
      </w:r>
    </w:p>
    <w:p w14:paraId="6E672B57" w14:textId="77777777" w:rsidR="00A445E4" w:rsidRPr="00075D52" w:rsidRDefault="00A445E4" w:rsidP="00075D52">
      <w:pPr>
        <w:spacing w:line="360" w:lineRule="auto"/>
        <w:jc w:val="both"/>
        <w:rPr>
          <w:rFonts w:asciiTheme="majorHAnsi" w:hAnsiTheme="majorHAnsi"/>
          <w:sz w:val="22"/>
          <w:szCs w:val="22"/>
        </w:rPr>
      </w:pPr>
      <w:r w:rsidRPr="00075D52">
        <w:rPr>
          <w:rFonts w:asciiTheme="majorHAnsi" w:hAnsiTheme="majorHAnsi"/>
          <w:sz w:val="22"/>
          <w:szCs w:val="22"/>
        </w:rPr>
        <w:br w:type="page"/>
      </w:r>
    </w:p>
    <w:p w14:paraId="06F69AE0" w14:textId="77777777" w:rsidR="00953BF6" w:rsidRPr="00631E8E" w:rsidRDefault="00953BF6" w:rsidP="00953BF6">
      <w:pPr>
        <w:spacing w:line="360" w:lineRule="auto"/>
        <w:contextualSpacing/>
        <w:jc w:val="both"/>
        <w:rPr>
          <w:rFonts w:asciiTheme="majorHAnsi" w:hAnsiTheme="majorHAnsi"/>
          <w:b/>
          <w:sz w:val="22"/>
          <w:szCs w:val="22"/>
        </w:rPr>
      </w:pPr>
      <w:r w:rsidRPr="00631E8E">
        <w:rPr>
          <w:rFonts w:asciiTheme="majorHAnsi" w:hAnsiTheme="majorHAnsi"/>
          <w:b/>
          <w:sz w:val="22"/>
          <w:szCs w:val="22"/>
        </w:rPr>
        <w:t>References:</w:t>
      </w:r>
    </w:p>
    <w:p w14:paraId="3DA03700" w14:textId="77777777" w:rsidR="00953BF6" w:rsidRPr="00AF0277" w:rsidRDefault="00953BF6" w:rsidP="00953BF6">
      <w:pPr>
        <w:pStyle w:val="ListParagraph"/>
        <w:widowControl w:val="0"/>
        <w:numPr>
          <w:ilvl w:val="0"/>
          <w:numId w:val="12"/>
        </w:numPr>
        <w:autoSpaceDE w:val="0"/>
        <w:autoSpaceDN w:val="0"/>
        <w:adjustRightInd w:val="0"/>
        <w:spacing w:line="360" w:lineRule="auto"/>
        <w:contextualSpacing/>
        <w:jc w:val="both"/>
        <w:rPr>
          <w:rFonts w:asciiTheme="majorHAnsi" w:hAnsiTheme="majorHAnsi" w:cs="Courier"/>
        </w:rPr>
      </w:pPr>
      <w:r w:rsidRPr="00AF0277">
        <w:rPr>
          <w:rFonts w:asciiTheme="majorHAnsi" w:hAnsiTheme="majorHAnsi" w:cs="Courier"/>
        </w:rPr>
        <w:t>Carlson LE, Waller A, Mitchell AJ. Screening for distress and unmet needs in patients with cancer: review and recommendations.</w:t>
      </w:r>
      <w:r w:rsidRPr="006831AA">
        <w:rPr>
          <w:rFonts w:asciiTheme="majorHAnsi" w:hAnsiTheme="majorHAnsi" w:cs="Courier"/>
          <w:i/>
        </w:rPr>
        <w:t xml:space="preserve"> J Clin Oncol. </w:t>
      </w:r>
      <w:r w:rsidRPr="00AF0277">
        <w:rPr>
          <w:rFonts w:asciiTheme="majorHAnsi" w:hAnsiTheme="majorHAnsi" w:cs="Courier"/>
        </w:rPr>
        <w:t xml:space="preserve">2012; </w:t>
      </w:r>
      <w:r w:rsidRPr="00DF0C7C">
        <w:rPr>
          <w:rFonts w:asciiTheme="majorHAnsi" w:hAnsiTheme="majorHAnsi" w:cs="Courier"/>
          <w:b/>
        </w:rPr>
        <w:t>30</w:t>
      </w:r>
      <w:r w:rsidRPr="00AF0277">
        <w:rPr>
          <w:rFonts w:asciiTheme="majorHAnsi" w:hAnsiTheme="majorHAnsi" w:cs="Courier"/>
        </w:rPr>
        <w:t>:1160-77.</w:t>
      </w:r>
    </w:p>
    <w:p w14:paraId="466ADA9C" w14:textId="77777777" w:rsidR="00953BF6" w:rsidRPr="00AF0277" w:rsidRDefault="00953BF6" w:rsidP="00953BF6">
      <w:pPr>
        <w:pStyle w:val="ListParagraph"/>
        <w:widowControl w:val="0"/>
        <w:numPr>
          <w:ilvl w:val="0"/>
          <w:numId w:val="12"/>
        </w:numPr>
        <w:autoSpaceDE w:val="0"/>
        <w:autoSpaceDN w:val="0"/>
        <w:adjustRightInd w:val="0"/>
        <w:spacing w:after="0" w:line="360" w:lineRule="auto"/>
        <w:contextualSpacing/>
        <w:jc w:val="both"/>
        <w:rPr>
          <w:rFonts w:asciiTheme="majorHAnsi" w:hAnsiTheme="majorHAnsi" w:cs="Courier"/>
        </w:rPr>
      </w:pPr>
      <w:r w:rsidRPr="00AF0277">
        <w:rPr>
          <w:rFonts w:asciiTheme="majorHAnsi" w:hAnsiTheme="majorHAnsi" w:cs="Times New Roman"/>
        </w:rPr>
        <w:t xml:space="preserve">Richardson A, Medina J, Brown V, Sitzia J. Patients' needs assessment in cancer care: a review of assessment tools. </w:t>
      </w:r>
      <w:r w:rsidRPr="006831AA">
        <w:rPr>
          <w:rFonts w:asciiTheme="majorHAnsi" w:hAnsiTheme="majorHAnsi" w:cs="Times New Roman"/>
          <w:i/>
        </w:rPr>
        <w:t>Support Care Cancer</w:t>
      </w:r>
      <w:r w:rsidR="006831AA">
        <w:rPr>
          <w:rFonts w:asciiTheme="majorHAnsi" w:hAnsiTheme="majorHAnsi" w:cs="Times New Roman"/>
          <w:i/>
        </w:rPr>
        <w:t>.</w:t>
      </w:r>
      <w:r w:rsidRPr="00AF0277">
        <w:rPr>
          <w:rFonts w:asciiTheme="majorHAnsi" w:hAnsiTheme="majorHAnsi" w:cs="Times New Roman"/>
        </w:rPr>
        <w:t xml:space="preserve"> 2007; </w:t>
      </w:r>
      <w:r w:rsidRPr="00DF0C7C">
        <w:rPr>
          <w:rFonts w:asciiTheme="majorHAnsi" w:hAnsiTheme="majorHAnsi" w:cs="Times New Roman"/>
          <w:b/>
        </w:rPr>
        <w:t>15</w:t>
      </w:r>
      <w:r w:rsidRPr="00AF0277">
        <w:rPr>
          <w:rFonts w:asciiTheme="majorHAnsi" w:hAnsiTheme="majorHAnsi" w:cs="Times New Roman"/>
        </w:rPr>
        <w:t>:1125-44.</w:t>
      </w:r>
    </w:p>
    <w:p w14:paraId="0C5163D3" w14:textId="77777777" w:rsidR="00953BF6" w:rsidRPr="00AF0277" w:rsidRDefault="00953BF6" w:rsidP="00953BF6">
      <w:pPr>
        <w:pStyle w:val="ListParagraph"/>
        <w:widowControl w:val="0"/>
        <w:numPr>
          <w:ilvl w:val="0"/>
          <w:numId w:val="12"/>
        </w:numPr>
        <w:autoSpaceDE w:val="0"/>
        <w:autoSpaceDN w:val="0"/>
        <w:adjustRightInd w:val="0"/>
        <w:spacing w:after="0" w:line="360" w:lineRule="auto"/>
        <w:contextualSpacing/>
        <w:jc w:val="both"/>
        <w:rPr>
          <w:rFonts w:asciiTheme="majorHAnsi" w:hAnsiTheme="majorHAnsi" w:cs="Courier"/>
        </w:rPr>
      </w:pPr>
      <w:r w:rsidRPr="00AF0277">
        <w:rPr>
          <w:rFonts w:asciiTheme="majorHAnsi" w:hAnsiTheme="majorHAnsi" w:cs="Courier"/>
        </w:rPr>
        <w:t xml:space="preserve">Maguire P. Improving the recognition of concerns and affective disorders in cancer patients. </w:t>
      </w:r>
      <w:r w:rsidRPr="006831AA">
        <w:rPr>
          <w:rFonts w:asciiTheme="majorHAnsi" w:hAnsiTheme="majorHAnsi" w:cs="Courier"/>
          <w:i/>
        </w:rPr>
        <w:t xml:space="preserve">Ann Oncol. </w:t>
      </w:r>
      <w:r w:rsidRPr="00AF0277">
        <w:rPr>
          <w:rFonts w:asciiTheme="majorHAnsi" w:hAnsiTheme="majorHAnsi" w:cs="Courier"/>
        </w:rPr>
        <w:t>2002;</w:t>
      </w:r>
      <w:r w:rsidRPr="00DF0C7C">
        <w:rPr>
          <w:rFonts w:asciiTheme="majorHAnsi" w:hAnsiTheme="majorHAnsi" w:cs="Courier"/>
          <w:b/>
        </w:rPr>
        <w:t>13</w:t>
      </w:r>
      <w:r w:rsidRPr="00AF0277">
        <w:rPr>
          <w:rFonts w:asciiTheme="majorHAnsi" w:hAnsiTheme="majorHAnsi" w:cs="Courier"/>
        </w:rPr>
        <w:t xml:space="preserve"> Suppl 4:177-81.</w:t>
      </w:r>
    </w:p>
    <w:p w14:paraId="296F3E44" w14:textId="35D0ECA6" w:rsidR="00953BF6" w:rsidRPr="00AF0277" w:rsidRDefault="00953BF6" w:rsidP="00953BF6">
      <w:pPr>
        <w:pStyle w:val="ListParagraph"/>
        <w:widowControl w:val="0"/>
        <w:numPr>
          <w:ilvl w:val="0"/>
          <w:numId w:val="12"/>
        </w:numPr>
        <w:autoSpaceDE w:val="0"/>
        <w:autoSpaceDN w:val="0"/>
        <w:adjustRightInd w:val="0"/>
        <w:spacing w:after="0" w:line="360" w:lineRule="auto"/>
        <w:contextualSpacing/>
        <w:jc w:val="both"/>
        <w:rPr>
          <w:rFonts w:asciiTheme="majorHAnsi" w:hAnsiTheme="majorHAnsi" w:cs="Courier"/>
        </w:rPr>
      </w:pPr>
      <w:r w:rsidRPr="00AF0277">
        <w:rPr>
          <w:rFonts w:asciiTheme="majorHAnsi" w:hAnsiTheme="majorHAnsi" w:cs="Times New Roman"/>
        </w:rPr>
        <w:t xml:space="preserve">Chaturvedi SK, Shenoy A, Prasad KM, Senthilnathan SM, Premlatha BS. Concerns, coping and quality of life in head and neck cancer patients. </w:t>
      </w:r>
      <w:r w:rsidRPr="006831AA">
        <w:rPr>
          <w:rFonts w:asciiTheme="majorHAnsi" w:hAnsiTheme="majorHAnsi" w:cs="Times New Roman"/>
          <w:i/>
        </w:rPr>
        <w:t>Support Care Cancer</w:t>
      </w:r>
      <w:r w:rsidR="006831AA">
        <w:rPr>
          <w:rFonts w:asciiTheme="majorHAnsi" w:hAnsiTheme="majorHAnsi" w:cs="Times New Roman"/>
          <w:i/>
        </w:rPr>
        <w:t>.</w:t>
      </w:r>
      <w:r w:rsidRPr="00AF0277">
        <w:rPr>
          <w:rFonts w:asciiTheme="majorHAnsi" w:hAnsiTheme="majorHAnsi" w:cs="Times New Roman"/>
        </w:rPr>
        <w:t xml:space="preserve"> 1996;</w:t>
      </w:r>
      <w:r w:rsidR="00DF0C7C">
        <w:rPr>
          <w:rFonts w:asciiTheme="majorHAnsi" w:hAnsiTheme="majorHAnsi" w:cs="Times New Roman"/>
        </w:rPr>
        <w:t xml:space="preserve"> </w:t>
      </w:r>
      <w:r w:rsidRPr="00DF0C7C">
        <w:rPr>
          <w:rFonts w:asciiTheme="majorHAnsi" w:hAnsiTheme="majorHAnsi" w:cs="Times New Roman"/>
          <w:b/>
        </w:rPr>
        <w:t>4</w:t>
      </w:r>
      <w:r w:rsidRPr="00AF0277">
        <w:rPr>
          <w:rFonts w:asciiTheme="majorHAnsi" w:hAnsiTheme="majorHAnsi" w:cs="Times New Roman"/>
        </w:rPr>
        <w:t>:186–90</w:t>
      </w:r>
      <w:r w:rsidR="00DF0C7C">
        <w:rPr>
          <w:rFonts w:asciiTheme="majorHAnsi" w:hAnsiTheme="majorHAnsi" w:cs="Times New Roman"/>
        </w:rPr>
        <w:t>.</w:t>
      </w:r>
    </w:p>
    <w:p w14:paraId="2BB47B6A" w14:textId="77777777" w:rsidR="00953BF6" w:rsidRPr="00AF0277" w:rsidRDefault="00953BF6" w:rsidP="00953BF6">
      <w:pPr>
        <w:pStyle w:val="ListParagraph"/>
        <w:numPr>
          <w:ilvl w:val="0"/>
          <w:numId w:val="12"/>
        </w:numPr>
        <w:spacing w:line="360" w:lineRule="auto"/>
        <w:contextualSpacing/>
        <w:jc w:val="both"/>
        <w:rPr>
          <w:rFonts w:asciiTheme="majorHAnsi" w:hAnsiTheme="majorHAnsi" w:cs="Times New Roman"/>
        </w:rPr>
      </w:pPr>
      <w:r w:rsidRPr="00AF0277">
        <w:rPr>
          <w:rFonts w:asciiTheme="majorHAnsi" w:hAnsiTheme="majorHAnsi" w:cs="Times New Roman"/>
        </w:rPr>
        <w:t xml:space="preserve">Rogers SN, El-Sheikha J, Lowe D. The development of a Patients Concerns Inventory (PCI) to help reveal patients concerns in the head and neck clinic. </w:t>
      </w:r>
      <w:r w:rsidRPr="00AF0277">
        <w:rPr>
          <w:rFonts w:asciiTheme="majorHAnsi" w:hAnsiTheme="majorHAnsi" w:cs="Times New Roman"/>
          <w:i/>
        </w:rPr>
        <w:t>Oral Oncol.</w:t>
      </w:r>
      <w:r w:rsidRPr="00AF0277">
        <w:rPr>
          <w:rFonts w:asciiTheme="majorHAnsi" w:hAnsiTheme="majorHAnsi" w:cs="Times New Roman"/>
        </w:rPr>
        <w:t xml:space="preserve"> 2009; </w:t>
      </w:r>
      <w:r w:rsidRPr="00AF0277">
        <w:rPr>
          <w:rFonts w:asciiTheme="majorHAnsi" w:hAnsiTheme="majorHAnsi" w:cs="Times New Roman"/>
          <w:b/>
        </w:rPr>
        <w:t>45</w:t>
      </w:r>
      <w:r w:rsidRPr="00AF0277">
        <w:rPr>
          <w:rFonts w:asciiTheme="majorHAnsi" w:hAnsiTheme="majorHAnsi" w:cs="Times New Roman"/>
        </w:rPr>
        <w:t>: 555-61.</w:t>
      </w:r>
    </w:p>
    <w:p w14:paraId="45EF5AA3" w14:textId="77777777" w:rsidR="00953BF6" w:rsidRPr="00AF0277" w:rsidRDefault="00953BF6" w:rsidP="00953BF6">
      <w:pPr>
        <w:pStyle w:val="ListParagraph"/>
        <w:numPr>
          <w:ilvl w:val="0"/>
          <w:numId w:val="12"/>
        </w:numPr>
        <w:spacing w:line="360" w:lineRule="auto"/>
        <w:contextualSpacing/>
        <w:jc w:val="both"/>
        <w:rPr>
          <w:rFonts w:asciiTheme="majorHAnsi" w:hAnsiTheme="majorHAnsi" w:cstheme="minorBidi"/>
        </w:rPr>
      </w:pPr>
      <w:r w:rsidRPr="00AF0277">
        <w:rPr>
          <w:rFonts w:asciiTheme="majorHAnsi" w:hAnsiTheme="majorHAnsi"/>
        </w:rPr>
        <w:t>Rogers SN, Scott B, Lowe D, Ozakinci G, Humphris GM.</w:t>
      </w:r>
      <w:r w:rsidRPr="00AF0277">
        <w:rPr>
          <w:rFonts w:asciiTheme="majorHAnsi" w:hAnsiTheme="majorHAnsi" w:cs="Courier"/>
        </w:rPr>
        <w:t xml:space="preserve"> </w:t>
      </w:r>
      <w:r w:rsidRPr="00AF0277">
        <w:rPr>
          <w:rFonts w:asciiTheme="majorHAnsi" w:hAnsiTheme="majorHAnsi"/>
        </w:rPr>
        <w:t xml:space="preserve">Fear of recurrence following head and neck cancer in the outpatient clinic. </w:t>
      </w:r>
      <w:r w:rsidRPr="00AF0277">
        <w:rPr>
          <w:rFonts w:asciiTheme="majorHAnsi" w:hAnsiTheme="majorHAnsi"/>
          <w:i/>
        </w:rPr>
        <w:t xml:space="preserve">Eur Arch Otorhinolaryngol </w:t>
      </w:r>
      <w:r w:rsidRPr="00AF0277">
        <w:rPr>
          <w:rFonts w:asciiTheme="majorHAnsi" w:hAnsiTheme="majorHAnsi"/>
        </w:rPr>
        <w:t xml:space="preserve">2010; </w:t>
      </w:r>
      <w:r w:rsidRPr="00AF0277">
        <w:rPr>
          <w:rFonts w:asciiTheme="majorHAnsi" w:hAnsiTheme="majorHAnsi"/>
          <w:b/>
        </w:rPr>
        <w:t>267</w:t>
      </w:r>
      <w:r w:rsidRPr="00AF0277">
        <w:rPr>
          <w:rFonts w:asciiTheme="majorHAnsi" w:hAnsiTheme="majorHAnsi"/>
        </w:rPr>
        <w:t>:1943–1949.</w:t>
      </w:r>
    </w:p>
    <w:p w14:paraId="0A7503D9" w14:textId="24633E38" w:rsidR="00953BF6" w:rsidRPr="00AF0277" w:rsidRDefault="00953BF6" w:rsidP="00953BF6">
      <w:pPr>
        <w:pStyle w:val="ListParagraph"/>
        <w:numPr>
          <w:ilvl w:val="0"/>
          <w:numId w:val="12"/>
        </w:numPr>
        <w:spacing w:line="360" w:lineRule="auto"/>
        <w:contextualSpacing/>
        <w:jc w:val="both"/>
        <w:rPr>
          <w:rFonts w:asciiTheme="majorHAnsi" w:hAnsiTheme="majorHAnsi" w:cs="Times New Roman"/>
        </w:rPr>
      </w:pPr>
      <w:r w:rsidRPr="00AF0277">
        <w:rPr>
          <w:rFonts w:asciiTheme="majorHAnsi" w:hAnsiTheme="majorHAnsi" w:cs="Courier"/>
        </w:rPr>
        <w:t xml:space="preserve">Ghazali N, Cadwallader E, Lowe D, Humphris G, Ozakinci G, Rogers SN. Fear of recurrence among head and neck cancer survivors: longitudinal trends. </w:t>
      </w:r>
      <w:r w:rsidRPr="006831AA">
        <w:rPr>
          <w:rFonts w:asciiTheme="majorHAnsi" w:hAnsiTheme="majorHAnsi" w:cs="Courier"/>
          <w:i/>
        </w:rPr>
        <w:t>Psychooncology</w:t>
      </w:r>
      <w:r w:rsidR="006831AA">
        <w:rPr>
          <w:rFonts w:asciiTheme="majorHAnsi" w:hAnsiTheme="majorHAnsi" w:cs="Courier"/>
          <w:i/>
        </w:rPr>
        <w:t>.</w:t>
      </w:r>
      <w:r w:rsidR="00DF0C7C">
        <w:rPr>
          <w:rFonts w:asciiTheme="majorHAnsi" w:hAnsiTheme="majorHAnsi" w:cs="Courier"/>
        </w:rPr>
        <w:t xml:space="preserve"> 2013; </w:t>
      </w:r>
      <w:r w:rsidR="00DF0C7C" w:rsidRPr="00DF0C7C">
        <w:rPr>
          <w:rFonts w:asciiTheme="majorHAnsi" w:hAnsiTheme="majorHAnsi" w:cs="Courier"/>
          <w:b/>
        </w:rPr>
        <w:t>22</w:t>
      </w:r>
      <w:r w:rsidRPr="00AF0277">
        <w:rPr>
          <w:rFonts w:asciiTheme="majorHAnsi" w:hAnsiTheme="majorHAnsi" w:cs="Courier"/>
        </w:rPr>
        <w:t>:807-13.</w:t>
      </w:r>
    </w:p>
    <w:p w14:paraId="46214D23" w14:textId="77777777" w:rsidR="00953BF6" w:rsidRPr="00AF0277" w:rsidRDefault="00953BF6" w:rsidP="00953BF6">
      <w:pPr>
        <w:pStyle w:val="ListParagraph"/>
        <w:widowControl w:val="0"/>
        <w:numPr>
          <w:ilvl w:val="0"/>
          <w:numId w:val="12"/>
        </w:numPr>
        <w:autoSpaceDE w:val="0"/>
        <w:autoSpaceDN w:val="0"/>
        <w:adjustRightInd w:val="0"/>
        <w:spacing w:line="360" w:lineRule="auto"/>
        <w:contextualSpacing/>
        <w:jc w:val="both"/>
        <w:rPr>
          <w:rFonts w:asciiTheme="majorHAnsi" w:hAnsiTheme="majorHAnsi" w:cs="Times New Roman"/>
        </w:rPr>
      </w:pPr>
      <w:r w:rsidRPr="00AF0277">
        <w:rPr>
          <w:rFonts w:asciiTheme="majorHAnsi" w:hAnsiTheme="majorHAnsi" w:cs="Times New Roman"/>
        </w:rPr>
        <w:t xml:space="preserve">Kanatas A, Ghazali N, Lowe D, Rogers SN. The identification of mood and anxiety concerns using the patients concerns inventory following head and neck cancer. Int. </w:t>
      </w:r>
      <w:r w:rsidRPr="006831AA">
        <w:rPr>
          <w:rFonts w:asciiTheme="majorHAnsi" w:hAnsiTheme="majorHAnsi" w:cs="Times New Roman"/>
          <w:i/>
        </w:rPr>
        <w:t>J. Oral Maxillofac. Surg.</w:t>
      </w:r>
      <w:r w:rsidRPr="00AF0277">
        <w:rPr>
          <w:rFonts w:asciiTheme="majorHAnsi" w:hAnsiTheme="majorHAnsi" w:cs="Times New Roman"/>
        </w:rPr>
        <w:t xml:space="preserve"> 2012; </w:t>
      </w:r>
      <w:r w:rsidRPr="00DF0C7C">
        <w:rPr>
          <w:rFonts w:asciiTheme="majorHAnsi" w:hAnsiTheme="majorHAnsi" w:cs="Times New Roman"/>
          <w:b/>
        </w:rPr>
        <w:t>41</w:t>
      </w:r>
      <w:r w:rsidRPr="00AF0277">
        <w:rPr>
          <w:rFonts w:asciiTheme="majorHAnsi" w:hAnsiTheme="majorHAnsi" w:cs="Times New Roman"/>
        </w:rPr>
        <w:t>: 429–436.</w:t>
      </w:r>
      <w:r w:rsidRPr="00AF0277">
        <w:rPr>
          <w:rFonts w:asciiTheme="majorHAnsi" w:hAnsiTheme="majorHAnsi" w:cs="Courier"/>
        </w:rPr>
        <w:t xml:space="preserve"> </w:t>
      </w:r>
    </w:p>
    <w:p w14:paraId="0698FF20" w14:textId="77777777" w:rsidR="00953BF6" w:rsidRPr="00AF0277" w:rsidRDefault="00953BF6" w:rsidP="00953BF6">
      <w:pPr>
        <w:pStyle w:val="ListParagraph"/>
        <w:widowControl w:val="0"/>
        <w:numPr>
          <w:ilvl w:val="0"/>
          <w:numId w:val="12"/>
        </w:numPr>
        <w:autoSpaceDE w:val="0"/>
        <w:autoSpaceDN w:val="0"/>
        <w:adjustRightInd w:val="0"/>
        <w:spacing w:line="360" w:lineRule="auto"/>
        <w:contextualSpacing/>
        <w:jc w:val="both"/>
        <w:rPr>
          <w:rFonts w:asciiTheme="majorHAnsi" w:hAnsiTheme="majorHAnsi" w:cs="Times New Roman"/>
        </w:rPr>
      </w:pPr>
      <w:r w:rsidRPr="00AF0277">
        <w:rPr>
          <w:rFonts w:asciiTheme="majorHAnsi" w:hAnsiTheme="majorHAnsi" w:cs="Courier"/>
        </w:rPr>
        <w:t xml:space="preserve">Rogers SN, Cleator AJ, Lowe D, Ghazali N. Identifying pain-related concerns in routine follow-up clinics following oral and oropharyngeal cancer. </w:t>
      </w:r>
      <w:r w:rsidRPr="00AF0277">
        <w:rPr>
          <w:rFonts w:asciiTheme="majorHAnsi" w:hAnsiTheme="majorHAnsi" w:cs="Courier"/>
          <w:i/>
        </w:rPr>
        <w:t xml:space="preserve">World J Clin Oncol. </w:t>
      </w:r>
      <w:r w:rsidRPr="00AF0277">
        <w:rPr>
          <w:rFonts w:asciiTheme="majorHAnsi" w:hAnsiTheme="majorHAnsi" w:cs="Courier"/>
        </w:rPr>
        <w:t xml:space="preserve">2012; </w:t>
      </w:r>
      <w:r w:rsidRPr="00DF0C7C">
        <w:rPr>
          <w:rFonts w:asciiTheme="majorHAnsi" w:hAnsiTheme="majorHAnsi" w:cs="Courier"/>
          <w:b/>
        </w:rPr>
        <w:t>3</w:t>
      </w:r>
      <w:r w:rsidRPr="00AF0277">
        <w:rPr>
          <w:rFonts w:asciiTheme="majorHAnsi" w:hAnsiTheme="majorHAnsi" w:cs="Courier"/>
        </w:rPr>
        <w:t>:116-25.</w:t>
      </w:r>
    </w:p>
    <w:p w14:paraId="36802613" w14:textId="77777777" w:rsidR="00953BF6" w:rsidRPr="00AF0277" w:rsidRDefault="00953BF6" w:rsidP="00953BF6">
      <w:pPr>
        <w:pStyle w:val="ListParagraph"/>
        <w:numPr>
          <w:ilvl w:val="0"/>
          <w:numId w:val="12"/>
        </w:numPr>
        <w:spacing w:line="360" w:lineRule="auto"/>
        <w:contextualSpacing/>
        <w:jc w:val="both"/>
        <w:rPr>
          <w:rFonts w:asciiTheme="majorHAnsi" w:hAnsiTheme="majorHAnsi" w:cs="Times New Roman"/>
        </w:rPr>
      </w:pPr>
      <w:r w:rsidRPr="00AF0277">
        <w:rPr>
          <w:rFonts w:asciiTheme="majorHAnsi" w:hAnsiTheme="majorHAnsi" w:cs="Courier"/>
          <w:lang w:val="en-US"/>
        </w:rPr>
        <w:t>Flexen J, Ghazali N, Lowe D, Rogers SN. Identifying appearance-related concerns in routine follow-up clinics following treatment for oral and oropharyngeal cancer</w:t>
      </w:r>
      <w:r w:rsidRPr="00AF0277">
        <w:rPr>
          <w:rFonts w:asciiTheme="majorHAnsi" w:hAnsiTheme="majorHAnsi" w:cs="Courier"/>
          <w:i/>
          <w:lang w:val="en-US"/>
        </w:rPr>
        <w:t xml:space="preserve">. Br J Oral Maxfac Surg. </w:t>
      </w:r>
      <w:r w:rsidRPr="00AF0277">
        <w:rPr>
          <w:rFonts w:asciiTheme="majorHAnsi" w:hAnsiTheme="majorHAnsi" w:cs="Courier"/>
          <w:lang w:val="en-US"/>
        </w:rPr>
        <w:t xml:space="preserve">2012; </w:t>
      </w:r>
      <w:r w:rsidRPr="00AF0277">
        <w:rPr>
          <w:rFonts w:asciiTheme="majorHAnsi" w:hAnsiTheme="majorHAnsi" w:cs="Courier"/>
          <w:b/>
          <w:lang w:val="en-US"/>
        </w:rPr>
        <w:t>50</w:t>
      </w:r>
      <w:r w:rsidRPr="00AF0277">
        <w:rPr>
          <w:rFonts w:asciiTheme="majorHAnsi" w:hAnsiTheme="majorHAnsi" w:cs="Courier"/>
          <w:lang w:val="en-US"/>
        </w:rPr>
        <w:t>: 314-20.</w:t>
      </w:r>
    </w:p>
    <w:p w14:paraId="6D416A43" w14:textId="77777777" w:rsidR="00953BF6" w:rsidRPr="00AF0277" w:rsidRDefault="00953BF6" w:rsidP="00953BF6">
      <w:pPr>
        <w:pStyle w:val="ListParagraph"/>
        <w:widowControl w:val="0"/>
        <w:numPr>
          <w:ilvl w:val="0"/>
          <w:numId w:val="12"/>
        </w:numPr>
        <w:autoSpaceDE w:val="0"/>
        <w:autoSpaceDN w:val="0"/>
        <w:adjustRightInd w:val="0"/>
        <w:spacing w:line="360" w:lineRule="auto"/>
        <w:contextualSpacing/>
        <w:jc w:val="both"/>
        <w:rPr>
          <w:rFonts w:asciiTheme="majorHAnsi" w:hAnsiTheme="majorHAnsi" w:cs="Times New Roman"/>
        </w:rPr>
      </w:pPr>
      <w:r w:rsidRPr="00AF0277">
        <w:rPr>
          <w:rFonts w:asciiTheme="majorHAnsi" w:hAnsiTheme="majorHAnsi" w:cs="Times New Roman"/>
          <w:lang w:eastAsia="en-GB"/>
        </w:rPr>
        <w:t xml:space="preserve">Ghazali N, Kanatas A, Scott B, Lowe D, </w:t>
      </w:r>
      <w:r w:rsidRPr="00AF0277">
        <w:rPr>
          <w:rFonts w:asciiTheme="majorHAnsi" w:hAnsiTheme="majorHAnsi"/>
        </w:rPr>
        <w:t xml:space="preserve">Zuydam AC, Rogers SN. </w:t>
      </w:r>
      <w:r w:rsidRPr="00AF0277">
        <w:rPr>
          <w:rFonts w:asciiTheme="majorHAnsi" w:hAnsiTheme="majorHAnsi" w:cs="Times New Roman"/>
        </w:rPr>
        <w:t>Use of the Patient Concerns Inventory to identify speech and swallowing concerns following treatment for oral and oropharyngeal cancer.</w:t>
      </w:r>
      <w:r w:rsidRPr="00AF0277">
        <w:rPr>
          <w:rFonts w:asciiTheme="majorHAnsi" w:hAnsiTheme="majorHAnsi" w:cs="Times New Roman"/>
          <w:i/>
        </w:rPr>
        <w:t xml:space="preserve"> J Laryngol Otol. </w:t>
      </w:r>
      <w:r w:rsidRPr="00AF0277">
        <w:rPr>
          <w:rFonts w:asciiTheme="majorHAnsi" w:hAnsiTheme="majorHAnsi" w:cs="Arial"/>
          <w:u w:color="262626"/>
        </w:rPr>
        <w:t xml:space="preserve">2012; </w:t>
      </w:r>
      <w:r w:rsidRPr="00DF0C7C">
        <w:rPr>
          <w:rFonts w:asciiTheme="majorHAnsi" w:hAnsiTheme="majorHAnsi" w:cs="Arial"/>
          <w:b/>
          <w:u w:color="262626"/>
        </w:rPr>
        <w:t>126</w:t>
      </w:r>
      <w:r w:rsidRPr="00AF0277">
        <w:rPr>
          <w:rFonts w:asciiTheme="majorHAnsi" w:hAnsiTheme="majorHAnsi" w:cs="Arial"/>
          <w:u w:color="262626"/>
        </w:rPr>
        <w:t>:800-8.</w:t>
      </w:r>
    </w:p>
    <w:p w14:paraId="0196717F" w14:textId="2F32ED75" w:rsidR="00953BF6" w:rsidRPr="00AF0277" w:rsidRDefault="00953BF6" w:rsidP="00953BF6">
      <w:pPr>
        <w:pStyle w:val="ListParagraph"/>
        <w:widowControl w:val="0"/>
        <w:numPr>
          <w:ilvl w:val="0"/>
          <w:numId w:val="12"/>
        </w:numPr>
        <w:autoSpaceDE w:val="0"/>
        <w:autoSpaceDN w:val="0"/>
        <w:adjustRightInd w:val="0"/>
        <w:spacing w:line="360" w:lineRule="auto"/>
        <w:contextualSpacing/>
        <w:jc w:val="both"/>
        <w:rPr>
          <w:rFonts w:asciiTheme="majorHAnsi" w:hAnsiTheme="majorHAnsi" w:cs="Times New Roman"/>
        </w:rPr>
      </w:pPr>
      <w:r w:rsidRPr="00AF0277">
        <w:rPr>
          <w:rFonts w:asciiTheme="majorHAnsi" w:hAnsiTheme="majorHAnsi" w:cs="Courier"/>
        </w:rPr>
        <w:t xml:space="preserve">Gessler S, Low J, Daniells E, Williams R, Brough V, Tookman A, Jones L. Screening for distress in cancer patients: is the distress thermometer a valid measure in the UK and does it measure change over time? A prospective validation study. </w:t>
      </w:r>
      <w:r w:rsidRPr="006831AA">
        <w:rPr>
          <w:rFonts w:asciiTheme="majorHAnsi" w:hAnsiTheme="majorHAnsi" w:cs="Courier"/>
          <w:i/>
        </w:rPr>
        <w:t>Psychooncology.</w:t>
      </w:r>
      <w:r w:rsidRPr="00AF0277">
        <w:rPr>
          <w:rFonts w:asciiTheme="majorHAnsi" w:hAnsiTheme="majorHAnsi" w:cs="Courier"/>
        </w:rPr>
        <w:t xml:space="preserve"> 2008;</w:t>
      </w:r>
      <w:r w:rsidR="006831AA">
        <w:rPr>
          <w:rFonts w:asciiTheme="majorHAnsi" w:hAnsiTheme="majorHAnsi" w:cs="Courier"/>
        </w:rPr>
        <w:t xml:space="preserve"> </w:t>
      </w:r>
      <w:r w:rsidR="00DF0C7C" w:rsidRPr="00DF0C7C">
        <w:rPr>
          <w:rFonts w:asciiTheme="majorHAnsi" w:hAnsiTheme="majorHAnsi" w:cs="Courier"/>
          <w:b/>
        </w:rPr>
        <w:t>17</w:t>
      </w:r>
      <w:r w:rsidRPr="00AF0277">
        <w:rPr>
          <w:rFonts w:asciiTheme="majorHAnsi" w:hAnsiTheme="majorHAnsi" w:cs="Courier"/>
        </w:rPr>
        <w:t>:538-47.</w:t>
      </w:r>
    </w:p>
    <w:p w14:paraId="038CD102" w14:textId="77777777" w:rsidR="00953BF6" w:rsidRPr="00AF0277" w:rsidRDefault="00953BF6" w:rsidP="00953BF6">
      <w:pPr>
        <w:pStyle w:val="ListParagraph"/>
        <w:widowControl w:val="0"/>
        <w:numPr>
          <w:ilvl w:val="0"/>
          <w:numId w:val="12"/>
        </w:numPr>
        <w:autoSpaceDE w:val="0"/>
        <w:autoSpaceDN w:val="0"/>
        <w:adjustRightInd w:val="0"/>
        <w:spacing w:line="360" w:lineRule="auto"/>
        <w:contextualSpacing/>
        <w:jc w:val="both"/>
        <w:rPr>
          <w:rFonts w:asciiTheme="majorHAnsi" w:hAnsiTheme="majorHAnsi" w:cs="Times New Roman"/>
        </w:rPr>
      </w:pPr>
      <w:r w:rsidRPr="00AF0277">
        <w:rPr>
          <w:rFonts w:asciiTheme="majorHAnsi" w:hAnsiTheme="majorHAnsi" w:cs="Times New Roman"/>
        </w:rPr>
        <w:t>National Comprehensive Cancer Network. Clinical practice guidelines in oncology-v.1.2005. Distress management: version1.2005.</w:t>
      </w:r>
    </w:p>
    <w:p w14:paraId="4C3AF239" w14:textId="03FE9E28" w:rsidR="00953BF6" w:rsidRPr="00AF0277" w:rsidRDefault="00953BF6" w:rsidP="00953BF6">
      <w:pPr>
        <w:pStyle w:val="ListParagraph"/>
        <w:widowControl w:val="0"/>
        <w:numPr>
          <w:ilvl w:val="0"/>
          <w:numId w:val="12"/>
        </w:numPr>
        <w:autoSpaceDE w:val="0"/>
        <w:autoSpaceDN w:val="0"/>
        <w:adjustRightInd w:val="0"/>
        <w:spacing w:line="360" w:lineRule="auto"/>
        <w:contextualSpacing/>
        <w:jc w:val="both"/>
        <w:rPr>
          <w:rFonts w:asciiTheme="majorHAnsi" w:hAnsiTheme="majorHAnsi" w:cs="Courier"/>
        </w:rPr>
      </w:pPr>
      <w:r w:rsidRPr="00AF0277">
        <w:rPr>
          <w:rFonts w:asciiTheme="majorHAnsi" w:hAnsiTheme="majorHAnsi" w:cs="Courier"/>
        </w:rPr>
        <w:t xml:space="preserve">Jacobsen PB, Donovan KA, Trask PC, Fleishman SB, Zabora J, Baker F, Holland JC. Screening for psychologic distress in ambulatory cancer patients. </w:t>
      </w:r>
      <w:r w:rsidRPr="006831AA">
        <w:rPr>
          <w:rFonts w:asciiTheme="majorHAnsi" w:hAnsiTheme="majorHAnsi" w:cs="Courier"/>
          <w:i/>
        </w:rPr>
        <w:t>Cancer.</w:t>
      </w:r>
      <w:r w:rsidR="00DF0C7C">
        <w:rPr>
          <w:rFonts w:asciiTheme="majorHAnsi" w:hAnsiTheme="majorHAnsi" w:cs="Courier"/>
        </w:rPr>
        <w:t xml:space="preserve"> 2005; </w:t>
      </w:r>
      <w:r w:rsidR="00DF0C7C" w:rsidRPr="00DF0C7C">
        <w:rPr>
          <w:rFonts w:asciiTheme="majorHAnsi" w:hAnsiTheme="majorHAnsi" w:cs="Courier"/>
          <w:b/>
        </w:rPr>
        <w:t>103</w:t>
      </w:r>
      <w:r w:rsidRPr="00AF0277">
        <w:rPr>
          <w:rFonts w:asciiTheme="majorHAnsi" w:hAnsiTheme="majorHAnsi" w:cs="Courier"/>
        </w:rPr>
        <w:t>:</w:t>
      </w:r>
      <w:r w:rsidR="00DF0C7C">
        <w:rPr>
          <w:rFonts w:asciiTheme="majorHAnsi" w:hAnsiTheme="majorHAnsi" w:cs="Courier"/>
        </w:rPr>
        <w:t xml:space="preserve"> </w:t>
      </w:r>
      <w:r w:rsidRPr="00AF0277">
        <w:rPr>
          <w:rFonts w:asciiTheme="majorHAnsi" w:hAnsiTheme="majorHAnsi" w:cs="Courier"/>
        </w:rPr>
        <w:t xml:space="preserve">1494-502. </w:t>
      </w:r>
    </w:p>
    <w:p w14:paraId="0C6B5866" w14:textId="36219E6B" w:rsidR="00953BF6" w:rsidRPr="00AF0277" w:rsidRDefault="00953BF6" w:rsidP="00953BF6">
      <w:pPr>
        <w:pStyle w:val="ListParagraph"/>
        <w:widowControl w:val="0"/>
        <w:numPr>
          <w:ilvl w:val="0"/>
          <w:numId w:val="12"/>
        </w:numPr>
        <w:autoSpaceDE w:val="0"/>
        <w:autoSpaceDN w:val="0"/>
        <w:adjustRightInd w:val="0"/>
        <w:spacing w:line="360" w:lineRule="auto"/>
        <w:contextualSpacing/>
        <w:jc w:val="both"/>
        <w:rPr>
          <w:rFonts w:asciiTheme="majorHAnsi" w:hAnsiTheme="majorHAnsi" w:cs="Times New Roman"/>
        </w:rPr>
      </w:pPr>
      <w:r w:rsidRPr="00AF0277">
        <w:rPr>
          <w:rFonts w:asciiTheme="majorHAnsi" w:hAnsiTheme="majorHAnsi" w:cs="Times New Roman"/>
        </w:rPr>
        <w:t>Onzalp E, Cankurtaran ES, Soygur H, Ozdemir Geyik P, Jacobsen PB. Screening for psychological distress in Turkish cancer patie</w:t>
      </w:r>
      <w:r w:rsidR="00DF0C7C">
        <w:rPr>
          <w:rFonts w:asciiTheme="majorHAnsi" w:hAnsiTheme="majorHAnsi" w:cs="Times New Roman"/>
        </w:rPr>
        <w:t xml:space="preserve">nts. Psycho-Oncology 2007; </w:t>
      </w:r>
      <w:r w:rsidR="00DF0C7C" w:rsidRPr="00DF0C7C">
        <w:rPr>
          <w:rFonts w:asciiTheme="majorHAnsi" w:hAnsiTheme="majorHAnsi" w:cs="Times New Roman"/>
          <w:b/>
        </w:rPr>
        <w:t>16</w:t>
      </w:r>
      <w:r w:rsidRPr="00AF0277">
        <w:rPr>
          <w:rFonts w:asciiTheme="majorHAnsi" w:hAnsiTheme="majorHAnsi" w:cs="Times New Roman"/>
        </w:rPr>
        <w:t>: 304–311.</w:t>
      </w:r>
      <w:r w:rsidRPr="00AF0277">
        <w:rPr>
          <w:rFonts w:asciiTheme="majorHAnsi" w:hAnsiTheme="majorHAnsi"/>
        </w:rPr>
        <w:t xml:space="preserve"> </w:t>
      </w:r>
    </w:p>
    <w:p w14:paraId="0D2AF38F" w14:textId="77777777" w:rsidR="00953BF6" w:rsidRPr="00AF0277" w:rsidRDefault="00953BF6" w:rsidP="00953BF6">
      <w:pPr>
        <w:pStyle w:val="ListParagraph"/>
        <w:widowControl w:val="0"/>
        <w:numPr>
          <w:ilvl w:val="0"/>
          <w:numId w:val="12"/>
        </w:numPr>
        <w:autoSpaceDE w:val="0"/>
        <w:autoSpaceDN w:val="0"/>
        <w:adjustRightInd w:val="0"/>
        <w:spacing w:line="360" w:lineRule="auto"/>
        <w:contextualSpacing/>
        <w:jc w:val="both"/>
        <w:rPr>
          <w:rFonts w:asciiTheme="majorHAnsi" w:hAnsiTheme="majorHAnsi" w:cs="Times New Roman"/>
        </w:rPr>
      </w:pPr>
      <w:r w:rsidRPr="00AF0277">
        <w:rPr>
          <w:rFonts w:asciiTheme="majorHAnsi" w:hAnsiTheme="majorHAnsi" w:cs="Times New Roman"/>
        </w:rPr>
        <w:t xml:space="preserve">Shim EJ, Mehnert A, Koyama A et al. Health-related quality of life in breast cancer: cross-cultural survey of German, Japanese, and South Korean patients. </w:t>
      </w:r>
      <w:r w:rsidRPr="006831AA">
        <w:rPr>
          <w:rFonts w:asciiTheme="majorHAnsi" w:hAnsiTheme="majorHAnsi" w:cs="Times New Roman"/>
          <w:i/>
        </w:rPr>
        <w:t>Breast Cancer Res Treat</w:t>
      </w:r>
      <w:r w:rsidR="006831AA" w:rsidRPr="006831AA">
        <w:rPr>
          <w:rFonts w:asciiTheme="majorHAnsi" w:hAnsiTheme="majorHAnsi" w:cs="Times New Roman"/>
          <w:i/>
        </w:rPr>
        <w:t>.</w:t>
      </w:r>
      <w:r w:rsidRPr="006831AA">
        <w:rPr>
          <w:rFonts w:asciiTheme="majorHAnsi" w:hAnsiTheme="majorHAnsi" w:cs="Times New Roman"/>
          <w:i/>
        </w:rPr>
        <w:t xml:space="preserve"> </w:t>
      </w:r>
      <w:r w:rsidRPr="00AF0277">
        <w:rPr>
          <w:rFonts w:asciiTheme="majorHAnsi" w:hAnsiTheme="majorHAnsi" w:cs="Times New Roman"/>
        </w:rPr>
        <w:t xml:space="preserve">2006; </w:t>
      </w:r>
      <w:r w:rsidRPr="00DF0C7C">
        <w:rPr>
          <w:rFonts w:asciiTheme="majorHAnsi" w:hAnsiTheme="majorHAnsi" w:cs="Times New Roman"/>
          <w:b/>
        </w:rPr>
        <w:t>99</w:t>
      </w:r>
      <w:r w:rsidRPr="00AF0277">
        <w:rPr>
          <w:rFonts w:asciiTheme="majorHAnsi" w:hAnsiTheme="majorHAnsi" w:cs="Times New Roman"/>
        </w:rPr>
        <w:t>:341–350.</w:t>
      </w:r>
    </w:p>
    <w:p w14:paraId="43CE78C2" w14:textId="29428D74" w:rsidR="00953BF6" w:rsidRPr="00DF4FC7" w:rsidRDefault="00953BF6" w:rsidP="00953BF6">
      <w:pPr>
        <w:pStyle w:val="ListParagraph"/>
        <w:widowControl w:val="0"/>
        <w:numPr>
          <w:ilvl w:val="0"/>
          <w:numId w:val="12"/>
        </w:numPr>
        <w:autoSpaceDE w:val="0"/>
        <w:autoSpaceDN w:val="0"/>
        <w:adjustRightInd w:val="0"/>
        <w:spacing w:line="360" w:lineRule="auto"/>
        <w:contextualSpacing/>
        <w:jc w:val="both"/>
        <w:rPr>
          <w:rFonts w:asciiTheme="majorHAnsi" w:hAnsiTheme="majorHAnsi" w:cs="Times New Roman"/>
        </w:rPr>
      </w:pPr>
      <w:r w:rsidRPr="00AF0277">
        <w:rPr>
          <w:rFonts w:asciiTheme="majorHAnsi" w:hAnsiTheme="majorHAnsi" w:cs="Courier"/>
        </w:rPr>
        <w:t xml:space="preserve">Grassi L, Johansen C, Annunziata MA, Capovilla E, Costantini A, Gritti P, Torta R, Bellani M; Italian Society of Psycho-Oncology Distress Thermometer Study Group. Screening for distress in cancer patients: a multicenter, nationwide study in Italy. </w:t>
      </w:r>
      <w:r w:rsidRPr="006831AA">
        <w:rPr>
          <w:rFonts w:asciiTheme="majorHAnsi" w:hAnsiTheme="majorHAnsi" w:cs="Courier"/>
          <w:i/>
        </w:rPr>
        <w:t>Cancer.</w:t>
      </w:r>
      <w:r w:rsidR="00DF0C7C">
        <w:rPr>
          <w:rFonts w:asciiTheme="majorHAnsi" w:hAnsiTheme="majorHAnsi" w:cs="Courier"/>
        </w:rPr>
        <w:t xml:space="preserve"> 2013; </w:t>
      </w:r>
      <w:r w:rsidR="00DF0C7C" w:rsidRPr="00DF0C7C">
        <w:rPr>
          <w:rFonts w:asciiTheme="majorHAnsi" w:hAnsiTheme="majorHAnsi" w:cs="Courier"/>
          <w:b/>
        </w:rPr>
        <w:t>119</w:t>
      </w:r>
      <w:r w:rsidRPr="00DF4FC7">
        <w:rPr>
          <w:rFonts w:asciiTheme="majorHAnsi" w:hAnsiTheme="majorHAnsi" w:cs="Courier"/>
        </w:rPr>
        <w:t>:</w:t>
      </w:r>
      <w:r w:rsidR="00DF0C7C">
        <w:rPr>
          <w:rFonts w:asciiTheme="majorHAnsi" w:hAnsiTheme="majorHAnsi" w:cs="Courier"/>
        </w:rPr>
        <w:t xml:space="preserve"> </w:t>
      </w:r>
      <w:r w:rsidRPr="00DF4FC7">
        <w:rPr>
          <w:rFonts w:asciiTheme="majorHAnsi" w:hAnsiTheme="majorHAnsi" w:cs="Courier"/>
        </w:rPr>
        <w:t xml:space="preserve">1714-21. </w:t>
      </w:r>
    </w:p>
    <w:p w14:paraId="62FB9313" w14:textId="77777777" w:rsidR="00953BF6" w:rsidRPr="00DF4FC7" w:rsidRDefault="00953BF6" w:rsidP="00953BF6">
      <w:pPr>
        <w:pStyle w:val="ListParagraph"/>
        <w:widowControl w:val="0"/>
        <w:numPr>
          <w:ilvl w:val="0"/>
          <w:numId w:val="12"/>
        </w:numPr>
        <w:autoSpaceDE w:val="0"/>
        <w:autoSpaceDN w:val="0"/>
        <w:adjustRightInd w:val="0"/>
        <w:spacing w:line="360" w:lineRule="auto"/>
        <w:contextualSpacing/>
        <w:jc w:val="both"/>
        <w:rPr>
          <w:rFonts w:asciiTheme="majorHAnsi" w:hAnsiTheme="majorHAnsi" w:cs="Times New Roman"/>
        </w:rPr>
      </w:pPr>
      <w:r w:rsidRPr="00DF4FC7">
        <w:rPr>
          <w:rFonts w:asciiTheme="majorHAnsi" w:hAnsiTheme="majorHAnsi"/>
        </w:rPr>
        <w:t>Ghazali N, Roe, B, Lowe D, Tandon S, Jones TM, Brown JS, Shaw RJ, Risk JM and Rogers SN.</w:t>
      </w:r>
      <w:r>
        <w:rPr>
          <w:rFonts w:asciiTheme="majorHAnsi" w:hAnsiTheme="majorHAnsi"/>
        </w:rPr>
        <w:t xml:space="preserve"> </w:t>
      </w:r>
      <w:r w:rsidRPr="00DF4FC7">
        <w:rPr>
          <w:rFonts w:asciiTheme="majorHAnsi" w:hAnsiTheme="majorHAnsi"/>
        </w:rPr>
        <w:t xml:space="preserve">Screening for Distress in Ambulatory Post-treatment Head &amp; Neck Cancer Survivors. </w:t>
      </w:r>
      <w:r w:rsidR="006831AA">
        <w:rPr>
          <w:rFonts w:asciiTheme="majorHAnsi" w:hAnsiTheme="majorHAnsi"/>
        </w:rPr>
        <w:t>(</w:t>
      </w:r>
      <w:r>
        <w:rPr>
          <w:rFonts w:asciiTheme="majorHAnsi" w:hAnsiTheme="majorHAnsi"/>
        </w:rPr>
        <w:t>In press</w:t>
      </w:r>
      <w:r w:rsidR="006831AA">
        <w:rPr>
          <w:rFonts w:asciiTheme="majorHAnsi" w:hAnsiTheme="majorHAnsi"/>
        </w:rPr>
        <w:t>)</w:t>
      </w:r>
      <w:r>
        <w:rPr>
          <w:rFonts w:asciiTheme="majorHAnsi" w:hAnsiTheme="majorHAnsi"/>
        </w:rPr>
        <w:t>.</w:t>
      </w:r>
    </w:p>
    <w:p w14:paraId="68462F9E" w14:textId="77777777" w:rsidR="00953BF6" w:rsidRPr="006831AA" w:rsidRDefault="00953BF6" w:rsidP="00953BF6">
      <w:pPr>
        <w:pStyle w:val="ListParagraph"/>
        <w:numPr>
          <w:ilvl w:val="0"/>
          <w:numId w:val="12"/>
        </w:numPr>
        <w:spacing w:line="360" w:lineRule="auto"/>
        <w:contextualSpacing/>
        <w:jc w:val="both"/>
        <w:rPr>
          <w:rFonts w:asciiTheme="majorHAnsi" w:hAnsiTheme="majorHAnsi" w:cs="Times New Roman"/>
        </w:rPr>
      </w:pPr>
      <w:r w:rsidRPr="00DF4FC7">
        <w:rPr>
          <w:rFonts w:asciiTheme="majorHAnsi" w:hAnsiTheme="majorHAnsi" w:cs="Times New Roman"/>
        </w:rPr>
        <w:t xml:space="preserve">Ghazali N, Roe B, Lowe D, Rogers SN. </w:t>
      </w:r>
      <w:r w:rsidRPr="00DF4FC7">
        <w:rPr>
          <w:rFonts w:asciiTheme="majorHAnsi" w:hAnsiTheme="majorHAnsi" w:cs="Times New Roman"/>
          <w:bCs/>
        </w:rPr>
        <w:t>Uncovering Patient Agendas in Routine Head</w:t>
      </w:r>
      <w:r w:rsidRPr="00AF0277">
        <w:rPr>
          <w:rFonts w:asciiTheme="majorHAnsi" w:hAnsiTheme="majorHAnsi" w:cs="Times New Roman"/>
          <w:bCs/>
        </w:rPr>
        <w:t xml:space="preserve"> and Neck Oncology Follow up Clinics: An Exploratory Study. </w:t>
      </w:r>
      <w:r w:rsidRPr="00AF0277">
        <w:rPr>
          <w:rFonts w:asciiTheme="majorHAnsi" w:hAnsiTheme="majorHAnsi" w:cs="Times New Roman"/>
          <w:bCs/>
          <w:i/>
        </w:rPr>
        <w:t>Br J Oral Maxfac Surg.</w:t>
      </w:r>
      <w:r w:rsidRPr="00AF0277">
        <w:rPr>
          <w:rFonts w:asciiTheme="majorHAnsi" w:hAnsiTheme="majorHAnsi" w:cs="Times New Roman"/>
          <w:bCs/>
        </w:rPr>
        <w:t xml:space="preserve"> </w:t>
      </w:r>
      <w:r w:rsidRPr="006831AA">
        <w:rPr>
          <w:rFonts w:asciiTheme="majorHAnsi" w:hAnsiTheme="majorHAnsi" w:cs="Times New Roman"/>
          <w:bCs/>
        </w:rPr>
        <w:t xml:space="preserve">2012; </w:t>
      </w:r>
      <w:r w:rsidRPr="006831AA">
        <w:rPr>
          <w:rFonts w:asciiTheme="majorHAnsi" w:hAnsiTheme="majorHAnsi" w:cs="Courier"/>
          <w:b/>
          <w:lang w:val="en-US"/>
        </w:rPr>
        <w:t>51</w:t>
      </w:r>
      <w:r w:rsidRPr="006831AA">
        <w:rPr>
          <w:rFonts w:asciiTheme="majorHAnsi" w:hAnsiTheme="majorHAnsi" w:cs="Courier"/>
          <w:lang w:val="en-US"/>
        </w:rPr>
        <w:t>:294-300.</w:t>
      </w:r>
      <w:r w:rsidRPr="006831AA">
        <w:rPr>
          <w:rFonts w:asciiTheme="majorHAnsi" w:hAnsiTheme="majorHAnsi" w:cs="Arial"/>
          <w:color w:val="000000"/>
        </w:rPr>
        <w:t xml:space="preserve"> </w:t>
      </w:r>
    </w:p>
    <w:p w14:paraId="679DB9EE" w14:textId="77777777" w:rsidR="00953BF6" w:rsidRPr="006831AA" w:rsidRDefault="00953BF6" w:rsidP="00953BF6">
      <w:pPr>
        <w:pStyle w:val="ListParagraph"/>
        <w:numPr>
          <w:ilvl w:val="0"/>
          <w:numId w:val="12"/>
        </w:numPr>
        <w:spacing w:line="360" w:lineRule="auto"/>
        <w:contextualSpacing/>
        <w:jc w:val="both"/>
        <w:rPr>
          <w:rFonts w:asciiTheme="majorHAnsi" w:hAnsiTheme="majorHAnsi" w:cs="Times New Roman"/>
        </w:rPr>
      </w:pPr>
      <w:r w:rsidRPr="006831AA">
        <w:rPr>
          <w:rFonts w:asciiTheme="majorHAnsi" w:hAnsiTheme="majorHAnsi" w:cs="Times New Roman"/>
        </w:rPr>
        <w:t xml:space="preserve">Ghazali N, Roe B, Lowe D, Rogers SN. </w:t>
      </w:r>
      <w:r w:rsidRPr="006831AA">
        <w:rPr>
          <w:rFonts w:asciiTheme="majorHAnsi" w:hAnsiTheme="majorHAnsi"/>
        </w:rPr>
        <w:t>Patients Concerns Inventory Highlights Perceived Needs and Concerns in Head and Neck Cancer Survivors and its Impact on Health-related Quality</w:t>
      </w:r>
      <w:r w:rsidR="006831AA">
        <w:rPr>
          <w:rFonts w:asciiTheme="majorHAnsi" w:hAnsiTheme="majorHAnsi"/>
        </w:rPr>
        <w:t xml:space="preserve"> of Life. </w:t>
      </w:r>
      <w:r w:rsidR="006831AA" w:rsidRPr="006831AA">
        <w:rPr>
          <w:rFonts w:asciiTheme="majorHAnsi" w:hAnsiTheme="majorHAnsi" w:cs="Times New Roman"/>
          <w:bCs/>
          <w:i/>
        </w:rPr>
        <w:t>Br J Oral Maxfac Surg.</w:t>
      </w:r>
      <w:r w:rsidR="006831AA" w:rsidRPr="006831AA">
        <w:rPr>
          <w:rFonts w:asciiTheme="majorHAnsi" w:hAnsiTheme="majorHAnsi" w:cs="Times New Roman"/>
          <w:bCs/>
        </w:rPr>
        <w:t xml:space="preserve"> </w:t>
      </w:r>
      <w:r w:rsidR="006831AA">
        <w:rPr>
          <w:rFonts w:asciiTheme="majorHAnsi" w:hAnsiTheme="majorHAnsi" w:cs="Times New Roman"/>
          <w:bCs/>
        </w:rPr>
        <w:t>2014 (in press).</w:t>
      </w:r>
    </w:p>
    <w:p w14:paraId="28F2D121" w14:textId="77777777" w:rsidR="00953BF6" w:rsidRPr="00AF0277" w:rsidRDefault="00953BF6" w:rsidP="00953BF6">
      <w:pPr>
        <w:pStyle w:val="ListParagraph"/>
        <w:numPr>
          <w:ilvl w:val="0"/>
          <w:numId w:val="12"/>
        </w:numPr>
        <w:spacing w:line="360" w:lineRule="auto"/>
        <w:contextualSpacing/>
        <w:jc w:val="both"/>
        <w:rPr>
          <w:rFonts w:asciiTheme="majorHAnsi" w:hAnsiTheme="majorHAnsi" w:cs="Times New Roman"/>
        </w:rPr>
      </w:pPr>
      <w:r w:rsidRPr="006831AA">
        <w:rPr>
          <w:rFonts w:asciiTheme="majorHAnsi" w:hAnsiTheme="majorHAnsi" w:cs="Times New Roman"/>
        </w:rPr>
        <w:t xml:space="preserve">Rogers SN, Gwane S, Lowe D, </w:t>
      </w:r>
      <w:r w:rsidRPr="006831AA">
        <w:rPr>
          <w:rFonts w:asciiTheme="majorHAnsi" w:hAnsiTheme="majorHAnsi" w:cs="Arial"/>
        </w:rPr>
        <w:t>Humphris G, Yueh B, Weymuller EA Jr.</w:t>
      </w:r>
      <w:r w:rsidRPr="006831AA">
        <w:rPr>
          <w:rFonts w:asciiTheme="majorHAnsi" w:hAnsiTheme="majorHAnsi" w:cs="Times New Roman"/>
        </w:rPr>
        <w:t xml:space="preserve"> The addition of</w:t>
      </w:r>
      <w:r w:rsidRPr="00AF0277">
        <w:rPr>
          <w:rFonts w:asciiTheme="majorHAnsi" w:hAnsiTheme="majorHAnsi" w:cs="Times New Roman"/>
        </w:rPr>
        <w:t xml:space="preserve"> mood and anxiety domains to the University of Washington Quality of Life Scale. </w:t>
      </w:r>
      <w:r w:rsidRPr="00AF0277">
        <w:rPr>
          <w:rFonts w:asciiTheme="majorHAnsi" w:hAnsiTheme="majorHAnsi" w:cs="Times New Roman"/>
          <w:i/>
        </w:rPr>
        <w:t>Head Neck.</w:t>
      </w:r>
      <w:r w:rsidRPr="00AF0277">
        <w:rPr>
          <w:rFonts w:asciiTheme="majorHAnsi" w:hAnsiTheme="majorHAnsi" w:cs="Times New Roman"/>
        </w:rPr>
        <w:t xml:space="preserve"> 2002; </w:t>
      </w:r>
      <w:r w:rsidRPr="00AF0277">
        <w:rPr>
          <w:rFonts w:asciiTheme="majorHAnsi" w:hAnsiTheme="majorHAnsi" w:cs="Times New Roman"/>
          <w:b/>
        </w:rPr>
        <w:t>24</w:t>
      </w:r>
      <w:r w:rsidRPr="00AF0277">
        <w:rPr>
          <w:rFonts w:asciiTheme="majorHAnsi" w:hAnsiTheme="majorHAnsi" w:cs="Times New Roman"/>
        </w:rPr>
        <w:t>: 521-29.</w:t>
      </w:r>
    </w:p>
    <w:p w14:paraId="064DA786" w14:textId="77777777" w:rsidR="006831AA" w:rsidRPr="001C5065" w:rsidRDefault="006831AA" w:rsidP="006831AA">
      <w:pPr>
        <w:pStyle w:val="ListParagraph"/>
        <w:numPr>
          <w:ilvl w:val="0"/>
          <w:numId w:val="12"/>
        </w:numPr>
        <w:spacing w:line="360" w:lineRule="auto"/>
        <w:contextualSpacing/>
        <w:jc w:val="both"/>
        <w:rPr>
          <w:rFonts w:asciiTheme="majorHAnsi" w:hAnsiTheme="majorHAnsi" w:cs="Times New Roman"/>
        </w:rPr>
      </w:pPr>
      <w:r w:rsidRPr="001C5065">
        <w:rPr>
          <w:rFonts w:asciiTheme="majorHAnsi" w:hAnsiTheme="majorHAnsi" w:cs="Courier"/>
        </w:rPr>
        <w:t xml:space="preserve">Rogers SN, Lowe D, Yueh B, Weymuller EA Jr. The physical function and social-emotional function subscales of the University of Washington Quality of Life Questionnaire. </w:t>
      </w:r>
      <w:r w:rsidRPr="001C5065">
        <w:rPr>
          <w:rFonts w:asciiTheme="majorHAnsi" w:hAnsiTheme="majorHAnsi" w:cs="Courier"/>
          <w:i/>
        </w:rPr>
        <w:t>Arch Otolaryngol Head Neck Surg.</w:t>
      </w:r>
      <w:r w:rsidRPr="001C5065">
        <w:rPr>
          <w:rFonts w:asciiTheme="majorHAnsi" w:hAnsiTheme="majorHAnsi" w:cs="Courier"/>
        </w:rPr>
        <w:t xml:space="preserve"> 2010; </w:t>
      </w:r>
      <w:r w:rsidRPr="001C5065">
        <w:rPr>
          <w:rFonts w:asciiTheme="majorHAnsi" w:hAnsiTheme="majorHAnsi" w:cs="Courier"/>
          <w:b/>
        </w:rPr>
        <w:t>136</w:t>
      </w:r>
      <w:r w:rsidRPr="001C5065">
        <w:rPr>
          <w:rFonts w:asciiTheme="majorHAnsi" w:hAnsiTheme="majorHAnsi" w:cs="Courier"/>
        </w:rPr>
        <w:t>: 352-7.</w:t>
      </w:r>
    </w:p>
    <w:p w14:paraId="6C206C8F" w14:textId="77777777" w:rsidR="00953BF6" w:rsidRPr="00AF0277" w:rsidRDefault="00953BF6" w:rsidP="00953BF6">
      <w:pPr>
        <w:pStyle w:val="ListParagraph"/>
        <w:numPr>
          <w:ilvl w:val="0"/>
          <w:numId w:val="12"/>
        </w:numPr>
        <w:spacing w:line="360" w:lineRule="auto"/>
        <w:contextualSpacing/>
        <w:jc w:val="both"/>
        <w:rPr>
          <w:rFonts w:asciiTheme="majorHAnsi" w:hAnsiTheme="majorHAnsi" w:cs="Times New Roman"/>
        </w:rPr>
      </w:pPr>
      <w:r w:rsidRPr="00AF0277">
        <w:rPr>
          <w:rFonts w:asciiTheme="majorHAnsi" w:hAnsiTheme="majorHAnsi" w:cs="Times New Roman"/>
        </w:rPr>
        <w:t xml:space="preserve">Rogers SN, Lowe D. Screening for dysfunction to promote multidisciplinary intervention by using the University of Washington Quality of Life questionnaire. </w:t>
      </w:r>
      <w:r w:rsidRPr="00AF0277">
        <w:rPr>
          <w:rFonts w:asciiTheme="majorHAnsi" w:hAnsiTheme="majorHAnsi" w:cs="Times New Roman"/>
          <w:i/>
        </w:rPr>
        <w:t xml:space="preserve">Arch Otolaryngol Head Neck Surg. </w:t>
      </w:r>
      <w:r w:rsidRPr="00AF0277">
        <w:rPr>
          <w:rFonts w:asciiTheme="majorHAnsi" w:hAnsiTheme="majorHAnsi" w:cs="Times New Roman"/>
        </w:rPr>
        <w:t xml:space="preserve">2009; </w:t>
      </w:r>
      <w:r w:rsidRPr="00AF0277">
        <w:rPr>
          <w:rFonts w:asciiTheme="majorHAnsi" w:hAnsiTheme="majorHAnsi" w:cs="Times New Roman"/>
          <w:b/>
        </w:rPr>
        <w:t>135</w:t>
      </w:r>
      <w:r w:rsidRPr="00AF0277">
        <w:rPr>
          <w:rFonts w:asciiTheme="majorHAnsi" w:hAnsiTheme="majorHAnsi" w:cs="Times New Roman"/>
        </w:rPr>
        <w:t>: 369-75</w:t>
      </w:r>
      <w:r w:rsidRPr="00AF0277">
        <w:rPr>
          <w:rFonts w:asciiTheme="majorHAnsi" w:hAnsiTheme="majorHAnsi" w:cs="Courier"/>
        </w:rPr>
        <w:t>.</w:t>
      </w:r>
      <w:r w:rsidRPr="00AF0277">
        <w:rPr>
          <w:rFonts w:asciiTheme="majorHAnsi" w:hAnsiTheme="majorHAnsi" w:cs="Times New Roman"/>
        </w:rPr>
        <w:t xml:space="preserve"> </w:t>
      </w:r>
    </w:p>
    <w:p w14:paraId="32F1A296" w14:textId="6EE8850B" w:rsidR="00953BF6" w:rsidRPr="00414ED8" w:rsidRDefault="00953BF6" w:rsidP="00953BF6">
      <w:pPr>
        <w:pStyle w:val="ListParagraph"/>
        <w:widowControl w:val="0"/>
        <w:numPr>
          <w:ilvl w:val="0"/>
          <w:numId w:val="12"/>
        </w:numPr>
        <w:autoSpaceDE w:val="0"/>
        <w:autoSpaceDN w:val="0"/>
        <w:adjustRightInd w:val="0"/>
        <w:spacing w:line="360" w:lineRule="auto"/>
        <w:ind w:left="714" w:hanging="357"/>
        <w:contextualSpacing/>
        <w:jc w:val="both"/>
        <w:rPr>
          <w:rFonts w:asciiTheme="majorHAnsi" w:hAnsiTheme="majorHAnsi" w:cs="Courier"/>
        </w:rPr>
      </w:pPr>
      <w:r w:rsidRPr="00C077EB">
        <w:rPr>
          <w:rFonts w:asciiTheme="majorHAnsi" w:hAnsiTheme="majorHAnsi" w:cs="Courier"/>
        </w:rPr>
        <w:t xml:space="preserve">Chen SC, Liao CT, Lin CC, Chang JT, Lai YH. Distress and care needs in newly diagnosed oral cavity cancer patients receiving surgery. </w:t>
      </w:r>
      <w:r w:rsidRPr="006831AA">
        <w:rPr>
          <w:rFonts w:asciiTheme="majorHAnsi" w:hAnsiTheme="majorHAnsi" w:cs="Courier"/>
          <w:i/>
        </w:rPr>
        <w:t>Oral Oncol.</w:t>
      </w:r>
      <w:r w:rsidRPr="00C077EB">
        <w:rPr>
          <w:rFonts w:asciiTheme="majorHAnsi" w:hAnsiTheme="majorHAnsi" w:cs="Courier"/>
        </w:rPr>
        <w:t xml:space="preserve"> 2009;</w:t>
      </w:r>
      <w:r w:rsidR="00DF0C7C">
        <w:rPr>
          <w:rFonts w:asciiTheme="majorHAnsi" w:hAnsiTheme="majorHAnsi" w:cs="Courier"/>
        </w:rPr>
        <w:t xml:space="preserve"> </w:t>
      </w:r>
      <w:r w:rsidR="00DF0C7C" w:rsidRPr="00DF0C7C">
        <w:rPr>
          <w:rFonts w:asciiTheme="majorHAnsi" w:hAnsiTheme="majorHAnsi" w:cs="Courier"/>
          <w:b/>
        </w:rPr>
        <w:t>45</w:t>
      </w:r>
      <w:r w:rsidRPr="00C077EB">
        <w:rPr>
          <w:rFonts w:asciiTheme="majorHAnsi" w:hAnsiTheme="majorHAnsi" w:cs="Courier"/>
        </w:rPr>
        <w:t>:815-</w:t>
      </w:r>
      <w:r w:rsidRPr="00414ED8">
        <w:rPr>
          <w:rFonts w:asciiTheme="majorHAnsi" w:hAnsiTheme="majorHAnsi" w:cs="Courier"/>
        </w:rPr>
        <w:t>20</w:t>
      </w:r>
      <w:r>
        <w:rPr>
          <w:rFonts w:asciiTheme="majorHAnsi" w:hAnsiTheme="majorHAnsi" w:cs="Courier"/>
        </w:rPr>
        <w:t>.</w:t>
      </w:r>
    </w:p>
    <w:p w14:paraId="7AF7190C" w14:textId="15FD0F01" w:rsidR="00953BF6" w:rsidRPr="0043020F" w:rsidRDefault="00953BF6" w:rsidP="00953BF6">
      <w:pPr>
        <w:pStyle w:val="ListParagraph"/>
        <w:widowControl w:val="0"/>
        <w:numPr>
          <w:ilvl w:val="0"/>
          <w:numId w:val="12"/>
        </w:numPr>
        <w:autoSpaceDE w:val="0"/>
        <w:autoSpaceDN w:val="0"/>
        <w:adjustRightInd w:val="0"/>
        <w:spacing w:line="360" w:lineRule="auto"/>
        <w:contextualSpacing/>
        <w:jc w:val="both"/>
        <w:rPr>
          <w:rFonts w:asciiTheme="majorHAnsi" w:hAnsiTheme="majorHAnsi" w:cs="Courier"/>
        </w:rPr>
      </w:pPr>
      <w:r w:rsidRPr="0043020F">
        <w:rPr>
          <w:rFonts w:asciiTheme="majorHAnsi" w:hAnsiTheme="majorHAnsi" w:cs="Courier"/>
        </w:rPr>
        <w:t xml:space="preserve">Lewis S, Salins N, Kadam A, Rao R. Distress screening using distress thermometer in head and neck cancer patients undergoing radiotherapy and evaluation of causal factors predicting occurrence of distress. </w:t>
      </w:r>
      <w:r w:rsidRPr="006831AA">
        <w:rPr>
          <w:rFonts w:asciiTheme="majorHAnsi" w:hAnsiTheme="majorHAnsi" w:cs="Courier"/>
          <w:i/>
        </w:rPr>
        <w:t xml:space="preserve">Indian J Palliat  Care. </w:t>
      </w:r>
      <w:r w:rsidRPr="0043020F">
        <w:rPr>
          <w:rFonts w:asciiTheme="majorHAnsi" w:hAnsiTheme="majorHAnsi" w:cs="Courier"/>
        </w:rPr>
        <w:t>2013;</w:t>
      </w:r>
      <w:r w:rsidR="00DF0C7C">
        <w:rPr>
          <w:rFonts w:asciiTheme="majorHAnsi" w:hAnsiTheme="majorHAnsi" w:cs="Courier"/>
        </w:rPr>
        <w:t xml:space="preserve"> </w:t>
      </w:r>
      <w:r w:rsidRPr="00DF0C7C">
        <w:rPr>
          <w:rFonts w:asciiTheme="majorHAnsi" w:hAnsiTheme="majorHAnsi" w:cs="Courier"/>
          <w:b/>
        </w:rPr>
        <w:t>19</w:t>
      </w:r>
      <w:r w:rsidRPr="0043020F">
        <w:rPr>
          <w:rFonts w:asciiTheme="majorHAnsi" w:hAnsiTheme="majorHAnsi" w:cs="Courier"/>
        </w:rPr>
        <w:t>:88-92.</w:t>
      </w:r>
    </w:p>
    <w:p w14:paraId="7488E947" w14:textId="20C03B0C" w:rsidR="00953BF6" w:rsidRPr="0043020F" w:rsidRDefault="00953BF6" w:rsidP="00953BF6">
      <w:pPr>
        <w:pStyle w:val="ListParagraph"/>
        <w:widowControl w:val="0"/>
        <w:numPr>
          <w:ilvl w:val="0"/>
          <w:numId w:val="12"/>
        </w:numPr>
        <w:autoSpaceDE w:val="0"/>
        <w:autoSpaceDN w:val="0"/>
        <w:adjustRightInd w:val="0"/>
        <w:spacing w:line="360" w:lineRule="auto"/>
        <w:contextualSpacing/>
        <w:jc w:val="both"/>
        <w:rPr>
          <w:rFonts w:asciiTheme="majorHAnsi" w:hAnsiTheme="majorHAnsi" w:cs="Courier"/>
        </w:rPr>
      </w:pPr>
      <w:r w:rsidRPr="0043020F">
        <w:rPr>
          <w:rFonts w:asciiTheme="majorHAnsi" w:hAnsiTheme="majorHAnsi" w:cs="Courier"/>
        </w:rPr>
        <w:t xml:space="preserve">Chen SC, Lai YH, Liao CT, Chang JT, Lin CY, Fan KH, Huang BS. Supportive care needs in newly diagnosed oral cavity cancer patients receiving radiation therapy. </w:t>
      </w:r>
      <w:r w:rsidRPr="006831AA">
        <w:rPr>
          <w:rFonts w:asciiTheme="majorHAnsi" w:hAnsiTheme="majorHAnsi" w:cs="Courier"/>
          <w:i/>
        </w:rPr>
        <w:t>Psychooncology.</w:t>
      </w:r>
      <w:r w:rsidR="00DF0C7C">
        <w:rPr>
          <w:rFonts w:asciiTheme="majorHAnsi" w:hAnsiTheme="majorHAnsi" w:cs="Courier"/>
        </w:rPr>
        <w:t xml:space="preserve"> 2013; </w:t>
      </w:r>
      <w:r w:rsidR="00DF0C7C" w:rsidRPr="00DF0C7C">
        <w:rPr>
          <w:rFonts w:asciiTheme="majorHAnsi" w:hAnsiTheme="majorHAnsi" w:cs="Courier"/>
          <w:b/>
        </w:rPr>
        <w:t>22</w:t>
      </w:r>
      <w:r w:rsidRPr="0043020F">
        <w:rPr>
          <w:rFonts w:asciiTheme="majorHAnsi" w:hAnsiTheme="majorHAnsi" w:cs="Courier"/>
        </w:rPr>
        <w:t>:1220-8.</w:t>
      </w:r>
    </w:p>
    <w:p w14:paraId="436A35D0" w14:textId="77777777" w:rsidR="00953BF6" w:rsidRPr="00414ED8" w:rsidRDefault="006831AA" w:rsidP="00953BF6">
      <w:pPr>
        <w:pStyle w:val="ListParagraph"/>
        <w:widowControl w:val="0"/>
        <w:numPr>
          <w:ilvl w:val="0"/>
          <w:numId w:val="12"/>
        </w:numPr>
        <w:autoSpaceDE w:val="0"/>
        <w:autoSpaceDN w:val="0"/>
        <w:adjustRightInd w:val="0"/>
        <w:spacing w:after="0" w:line="360" w:lineRule="auto"/>
        <w:ind w:left="714" w:hanging="357"/>
        <w:contextualSpacing/>
        <w:jc w:val="both"/>
        <w:rPr>
          <w:rFonts w:asciiTheme="majorHAnsi" w:hAnsiTheme="majorHAnsi" w:cs="Courier"/>
        </w:rPr>
      </w:pPr>
      <w:r>
        <w:rPr>
          <w:rFonts w:asciiTheme="majorHAnsi" w:hAnsiTheme="majorHAnsi" w:cs="Times New Roman"/>
        </w:rPr>
        <w:t>Holland JC, Bultz BD.</w:t>
      </w:r>
      <w:r w:rsidR="00953BF6" w:rsidRPr="00414ED8">
        <w:rPr>
          <w:rFonts w:asciiTheme="majorHAnsi" w:hAnsiTheme="majorHAnsi" w:cs="Times New Roman"/>
        </w:rPr>
        <w:t xml:space="preserve"> The NCCN guideline for distress management: A case for making distress the sixth vital sign. </w:t>
      </w:r>
      <w:r w:rsidR="00953BF6" w:rsidRPr="006831AA">
        <w:rPr>
          <w:rFonts w:asciiTheme="majorHAnsi" w:hAnsiTheme="majorHAnsi" w:cs="Times New Roman"/>
          <w:i/>
        </w:rPr>
        <w:t>J Natl Compr Canc Netw</w:t>
      </w:r>
      <w:r>
        <w:rPr>
          <w:rFonts w:asciiTheme="majorHAnsi" w:hAnsiTheme="majorHAnsi" w:cs="Times New Roman"/>
          <w:i/>
        </w:rPr>
        <w:t>.</w:t>
      </w:r>
      <w:r w:rsidR="00953BF6" w:rsidRPr="00414ED8">
        <w:rPr>
          <w:rFonts w:asciiTheme="majorHAnsi" w:hAnsiTheme="majorHAnsi" w:cs="Times New Roman"/>
        </w:rPr>
        <w:t xml:space="preserve"> 2007; </w:t>
      </w:r>
      <w:r w:rsidR="00953BF6" w:rsidRPr="00DF0C7C">
        <w:rPr>
          <w:rFonts w:asciiTheme="majorHAnsi" w:hAnsiTheme="majorHAnsi" w:cs="Times New Roman"/>
          <w:b/>
        </w:rPr>
        <w:t>5</w:t>
      </w:r>
      <w:r w:rsidR="00953BF6" w:rsidRPr="00414ED8">
        <w:rPr>
          <w:rFonts w:asciiTheme="majorHAnsi" w:hAnsiTheme="majorHAnsi" w:cs="Times New Roman"/>
        </w:rPr>
        <w:t xml:space="preserve">:3-7. </w:t>
      </w:r>
    </w:p>
    <w:p w14:paraId="5C9F517D" w14:textId="77777777" w:rsidR="00B528E0" w:rsidRPr="00B528E0" w:rsidRDefault="00953BF6" w:rsidP="00B528E0">
      <w:pPr>
        <w:pStyle w:val="ListParagraph"/>
        <w:widowControl w:val="0"/>
        <w:numPr>
          <w:ilvl w:val="0"/>
          <w:numId w:val="12"/>
        </w:numPr>
        <w:autoSpaceDE w:val="0"/>
        <w:autoSpaceDN w:val="0"/>
        <w:adjustRightInd w:val="0"/>
        <w:spacing w:after="0" w:line="360" w:lineRule="auto"/>
        <w:ind w:left="714" w:hanging="357"/>
        <w:contextualSpacing/>
        <w:jc w:val="both"/>
        <w:rPr>
          <w:rFonts w:asciiTheme="majorHAnsi" w:hAnsiTheme="majorHAnsi" w:cs="Courier"/>
        </w:rPr>
      </w:pPr>
      <w:r w:rsidRPr="00414ED8">
        <w:rPr>
          <w:rFonts w:asciiTheme="majorHAnsi" w:hAnsiTheme="majorHAnsi" w:cs="Times New Roman"/>
        </w:rPr>
        <w:t xml:space="preserve">Pandey M, Srita GP, Devi N, Thomas BC, Hussain BM, Krishnan R. Distress anxiety and depression in cancer patients undergoing chemotherapy. </w:t>
      </w:r>
      <w:r w:rsidRPr="006831AA">
        <w:rPr>
          <w:rFonts w:asciiTheme="majorHAnsi" w:hAnsiTheme="majorHAnsi" w:cs="Times New Roman"/>
          <w:i/>
        </w:rPr>
        <w:t>World J Surg Oncol</w:t>
      </w:r>
      <w:r w:rsidR="006831AA" w:rsidRPr="006831AA">
        <w:rPr>
          <w:rFonts w:asciiTheme="majorHAnsi" w:hAnsiTheme="majorHAnsi" w:cs="Times New Roman"/>
          <w:i/>
        </w:rPr>
        <w:t>.</w:t>
      </w:r>
      <w:r w:rsidRPr="00414ED8">
        <w:rPr>
          <w:rFonts w:asciiTheme="majorHAnsi" w:hAnsiTheme="majorHAnsi" w:cs="Times New Roman"/>
        </w:rPr>
        <w:t xml:space="preserve"> 2006;</w:t>
      </w:r>
      <w:r>
        <w:rPr>
          <w:rFonts w:asciiTheme="majorHAnsi" w:hAnsiTheme="majorHAnsi" w:cs="Times New Roman"/>
        </w:rPr>
        <w:t xml:space="preserve"> </w:t>
      </w:r>
      <w:r w:rsidRPr="00DF0C7C">
        <w:rPr>
          <w:rFonts w:asciiTheme="majorHAnsi" w:hAnsiTheme="majorHAnsi" w:cs="Times New Roman"/>
          <w:b/>
        </w:rPr>
        <w:t>4</w:t>
      </w:r>
      <w:r w:rsidRPr="00414ED8">
        <w:rPr>
          <w:rFonts w:asciiTheme="majorHAnsi" w:hAnsiTheme="majorHAnsi" w:cs="Times New Roman"/>
        </w:rPr>
        <w:t>:68.</w:t>
      </w:r>
    </w:p>
    <w:p w14:paraId="67061BF3" w14:textId="3E32B4A1" w:rsidR="00B528E0" w:rsidRPr="00B528E0" w:rsidRDefault="00B528E0" w:rsidP="00B528E0">
      <w:pPr>
        <w:pStyle w:val="ListParagraph"/>
        <w:widowControl w:val="0"/>
        <w:numPr>
          <w:ilvl w:val="0"/>
          <w:numId w:val="12"/>
        </w:numPr>
        <w:autoSpaceDE w:val="0"/>
        <w:autoSpaceDN w:val="0"/>
        <w:adjustRightInd w:val="0"/>
        <w:spacing w:after="0" w:line="360" w:lineRule="auto"/>
        <w:ind w:left="714" w:hanging="357"/>
        <w:contextualSpacing/>
        <w:jc w:val="both"/>
        <w:rPr>
          <w:rFonts w:asciiTheme="majorHAnsi" w:hAnsiTheme="majorHAnsi" w:cs="Courier"/>
        </w:rPr>
      </w:pPr>
      <w:r w:rsidRPr="00B528E0">
        <w:rPr>
          <w:rFonts w:asciiTheme="majorHAnsi" w:hAnsiTheme="majorHAnsi" w:cs="Courier"/>
          <w:szCs w:val="26"/>
        </w:rPr>
        <w:t xml:space="preserve">Oozeer NB, Corsar K, Glore RJ, Penney S, Patterson J, Paleri V. The impact of enteral feeding route on patient-reported long term swallowing outcome after chemoradiation for head and neck cancer. </w:t>
      </w:r>
      <w:r w:rsidRPr="006831AA">
        <w:rPr>
          <w:rFonts w:asciiTheme="majorHAnsi" w:hAnsiTheme="majorHAnsi" w:cs="Courier"/>
          <w:i/>
          <w:szCs w:val="26"/>
        </w:rPr>
        <w:t xml:space="preserve">Oral Oncol. </w:t>
      </w:r>
      <w:r w:rsidR="00DF0C7C">
        <w:rPr>
          <w:rFonts w:asciiTheme="majorHAnsi" w:hAnsiTheme="majorHAnsi" w:cs="Courier"/>
          <w:szCs w:val="26"/>
        </w:rPr>
        <w:t xml:space="preserve">2011; </w:t>
      </w:r>
      <w:r w:rsidR="00DF0C7C" w:rsidRPr="00DF0C7C">
        <w:rPr>
          <w:rFonts w:asciiTheme="majorHAnsi" w:hAnsiTheme="majorHAnsi" w:cs="Courier"/>
          <w:b/>
          <w:szCs w:val="26"/>
        </w:rPr>
        <w:t>47</w:t>
      </w:r>
      <w:r w:rsidRPr="00B528E0">
        <w:rPr>
          <w:rFonts w:asciiTheme="majorHAnsi" w:hAnsiTheme="majorHAnsi" w:cs="Courier"/>
          <w:szCs w:val="26"/>
        </w:rPr>
        <w:t>:980-3.</w:t>
      </w:r>
      <w:r w:rsidRPr="00B528E0">
        <w:rPr>
          <w:rFonts w:asciiTheme="majorHAnsi" w:hAnsiTheme="majorHAnsi" w:cs="Times New Roman"/>
        </w:rPr>
        <w:t xml:space="preserve"> </w:t>
      </w:r>
    </w:p>
    <w:p w14:paraId="706B168F" w14:textId="056BAD49" w:rsidR="00B528E0" w:rsidRDefault="00953BF6" w:rsidP="00B528E0">
      <w:pPr>
        <w:pStyle w:val="ListParagraph"/>
        <w:widowControl w:val="0"/>
        <w:numPr>
          <w:ilvl w:val="0"/>
          <w:numId w:val="12"/>
        </w:numPr>
        <w:autoSpaceDE w:val="0"/>
        <w:autoSpaceDN w:val="0"/>
        <w:adjustRightInd w:val="0"/>
        <w:spacing w:after="0" w:line="360" w:lineRule="auto"/>
        <w:ind w:left="714" w:hanging="357"/>
        <w:contextualSpacing/>
        <w:jc w:val="both"/>
        <w:rPr>
          <w:rFonts w:asciiTheme="majorHAnsi" w:hAnsiTheme="majorHAnsi" w:cs="Courier"/>
        </w:rPr>
      </w:pPr>
      <w:r w:rsidRPr="00B528E0">
        <w:rPr>
          <w:rFonts w:asciiTheme="majorHAnsi" w:hAnsiTheme="majorHAnsi" w:cs="Courier"/>
        </w:rPr>
        <w:t>Cartmill B, Cornwell P, Ward E, Davidson W, Porceddu S. Long-term functional outcomes and patient perspective following altered fractionation radiotherapy with concomitant boost for oropharyngea</w:t>
      </w:r>
      <w:r w:rsidR="00DF0C7C">
        <w:rPr>
          <w:rFonts w:asciiTheme="majorHAnsi" w:hAnsiTheme="majorHAnsi" w:cs="Courier"/>
        </w:rPr>
        <w:t xml:space="preserve">l cancer. </w:t>
      </w:r>
      <w:r w:rsidR="00DF0C7C" w:rsidRPr="00DF0C7C">
        <w:rPr>
          <w:rFonts w:asciiTheme="majorHAnsi" w:hAnsiTheme="majorHAnsi" w:cs="Courier"/>
          <w:i/>
        </w:rPr>
        <w:t>Dysphagia</w:t>
      </w:r>
      <w:r w:rsidR="00DF0C7C">
        <w:rPr>
          <w:rFonts w:asciiTheme="majorHAnsi" w:hAnsiTheme="majorHAnsi" w:cs="Courier"/>
        </w:rPr>
        <w:t xml:space="preserve">. 2012; </w:t>
      </w:r>
      <w:r w:rsidR="00DF0C7C" w:rsidRPr="00DF0C7C">
        <w:rPr>
          <w:rFonts w:asciiTheme="majorHAnsi" w:hAnsiTheme="majorHAnsi" w:cs="Courier"/>
          <w:b/>
        </w:rPr>
        <w:t>27</w:t>
      </w:r>
      <w:r w:rsidRPr="00B528E0">
        <w:rPr>
          <w:rFonts w:asciiTheme="majorHAnsi" w:hAnsiTheme="majorHAnsi" w:cs="Courier"/>
        </w:rPr>
        <w:t>:481-90.</w:t>
      </w:r>
    </w:p>
    <w:p w14:paraId="574D719F" w14:textId="46E33FE9" w:rsidR="00B528E0" w:rsidRPr="00B528E0" w:rsidRDefault="00953BF6" w:rsidP="00B528E0">
      <w:pPr>
        <w:pStyle w:val="ListParagraph"/>
        <w:widowControl w:val="0"/>
        <w:numPr>
          <w:ilvl w:val="0"/>
          <w:numId w:val="12"/>
        </w:numPr>
        <w:autoSpaceDE w:val="0"/>
        <w:autoSpaceDN w:val="0"/>
        <w:adjustRightInd w:val="0"/>
        <w:spacing w:after="0" w:line="360" w:lineRule="auto"/>
        <w:ind w:left="714" w:hanging="357"/>
        <w:contextualSpacing/>
        <w:jc w:val="both"/>
        <w:rPr>
          <w:rFonts w:asciiTheme="majorHAnsi" w:hAnsiTheme="majorHAnsi" w:cs="Courier"/>
        </w:rPr>
      </w:pPr>
      <w:r w:rsidRPr="00B528E0">
        <w:rPr>
          <w:rFonts w:asciiTheme="majorHAnsi" w:hAnsiTheme="majorHAnsi" w:cs="Courier"/>
          <w:szCs w:val="26"/>
        </w:rPr>
        <w:t xml:space="preserve">Maher NG, Britton B, Hoffman GR. Early screening in patients with head and neck cancer identified high levels of pain and distress. </w:t>
      </w:r>
      <w:r w:rsidRPr="006831AA">
        <w:rPr>
          <w:rFonts w:asciiTheme="majorHAnsi" w:hAnsiTheme="majorHAnsi" w:cs="Courier"/>
          <w:i/>
          <w:szCs w:val="26"/>
        </w:rPr>
        <w:t>J Oral Maxillo</w:t>
      </w:r>
      <w:r w:rsidR="00B528E0" w:rsidRPr="006831AA">
        <w:rPr>
          <w:rFonts w:asciiTheme="majorHAnsi" w:hAnsiTheme="majorHAnsi" w:cs="Courier"/>
          <w:i/>
          <w:szCs w:val="26"/>
        </w:rPr>
        <w:t>fac Surg.</w:t>
      </w:r>
      <w:r w:rsidR="00B528E0">
        <w:rPr>
          <w:rFonts w:asciiTheme="majorHAnsi" w:hAnsiTheme="majorHAnsi" w:cs="Courier"/>
          <w:szCs w:val="26"/>
        </w:rPr>
        <w:t xml:space="preserve"> 2013;</w:t>
      </w:r>
      <w:r w:rsidR="00426384">
        <w:rPr>
          <w:rFonts w:asciiTheme="majorHAnsi" w:hAnsiTheme="majorHAnsi" w:cs="Courier"/>
          <w:szCs w:val="26"/>
        </w:rPr>
        <w:t xml:space="preserve"> </w:t>
      </w:r>
      <w:r w:rsidR="00426384" w:rsidRPr="00426384">
        <w:rPr>
          <w:rFonts w:asciiTheme="majorHAnsi" w:hAnsiTheme="majorHAnsi" w:cs="Courier"/>
          <w:b/>
          <w:szCs w:val="26"/>
        </w:rPr>
        <w:t>71</w:t>
      </w:r>
      <w:r w:rsidR="00B528E0">
        <w:rPr>
          <w:rFonts w:asciiTheme="majorHAnsi" w:hAnsiTheme="majorHAnsi" w:cs="Courier"/>
          <w:szCs w:val="26"/>
        </w:rPr>
        <w:t>:1458-64.</w:t>
      </w:r>
    </w:p>
    <w:p w14:paraId="510CBC66" w14:textId="75E58589" w:rsidR="00B528E0" w:rsidRDefault="00953BF6" w:rsidP="00B528E0">
      <w:pPr>
        <w:pStyle w:val="ListParagraph"/>
        <w:widowControl w:val="0"/>
        <w:numPr>
          <w:ilvl w:val="0"/>
          <w:numId w:val="12"/>
        </w:numPr>
        <w:autoSpaceDE w:val="0"/>
        <w:autoSpaceDN w:val="0"/>
        <w:adjustRightInd w:val="0"/>
        <w:spacing w:after="0" w:line="360" w:lineRule="auto"/>
        <w:ind w:left="714" w:hanging="357"/>
        <w:contextualSpacing/>
        <w:jc w:val="both"/>
        <w:rPr>
          <w:rFonts w:asciiTheme="majorHAnsi" w:hAnsiTheme="majorHAnsi" w:cs="Courier"/>
        </w:rPr>
      </w:pPr>
      <w:r w:rsidRPr="00B528E0">
        <w:rPr>
          <w:rFonts w:asciiTheme="majorHAnsi" w:hAnsiTheme="majorHAnsi" w:cs="Courier"/>
        </w:rPr>
        <w:t>Carlson LE, Angen M, Cullum J, Goodey E, Koopmans J, Lamont L, MacRae JH, Martin M, Pelletier G, Robinson J, Simpson JS, Speca M, Tillotson L, Bultz BD.</w:t>
      </w:r>
      <w:r w:rsidR="00B528E0">
        <w:rPr>
          <w:rFonts w:asciiTheme="majorHAnsi" w:hAnsiTheme="majorHAnsi" w:cs="Courier"/>
        </w:rPr>
        <w:t xml:space="preserve"> </w:t>
      </w:r>
      <w:r w:rsidRPr="00B528E0">
        <w:rPr>
          <w:rFonts w:asciiTheme="majorHAnsi" w:hAnsiTheme="majorHAnsi" w:cs="Courier"/>
        </w:rPr>
        <w:t xml:space="preserve">High levels of untreated distress and fatigue in cancer patients. </w:t>
      </w:r>
      <w:r w:rsidRPr="006831AA">
        <w:rPr>
          <w:rFonts w:asciiTheme="majorHAnsi" w:hAnsiTheme="majorHAnsi" w:cs="Courier"/>
          <w:i/>
        </w:rPr>
        <w:t>Br J Cancer.</w:t>
      </w:r>
      <w:r w:rsidRPr="00B528E0">
        <w:rPr>
          <w:rFonts w:asciiTheme="majorHAnsi" w:hAnsiTheme="majorHAnsi" w:cs="Courier"/>
        </w:rPr>
        <w:t xml:space="preserve"> 2004;</w:t>
      </w:r>
      <w:r w:rsidR="00426384">
        <w:rPr>
          <w:rFonts w:asciiTheme="majorHAnsi" w:hAnsiTheme="majorHAnsi" w:cs="Courier"/>
        </w:rPr>
        <w:t xml:space="preserve"> </w:t>
      </w:r>
      <w:r w:rsidR="00426384" w:rsidRPr="00426384">
        <w:rPr>
          <w:rFonts w:asciiTheme="majorHAnsi" w:hAnsiTheme="majorHAnsi" w:cs="Courier"/>
          <w:b/>
        </w:rPr>
        <w:t>90</w:t>
      </w:r>
      <w:r w:rsidRPr="00B528E0">
        <w:rPr>
          <w:rFonts w:asciiTheme="majorHAnsi" w:hAnsiTheme="majorHAnsi" w:cs="Courier"/>
        </w:rPr>
        <w:t>:2297-304.</w:t>
      </w:r>
    </w:p>
    <w:p w14:paraId="70A47483" w14:textId="2EFEC3B9" w:rsidR="00B528E0" w:rsidRPr="00B528E0" w:rsidRDefault="00953BF6" w:rsidP="00B528E0">
      <w:pPr>
        <w:pStyle w:val="ListParagraph"/>
        <w:widowControl w:val="0"/>
        <w:numPr>
          <w:ilvl w:val="0"/>
          <w:numId w:val="12"/>
        </w:numPr>
        <w:autoSpaceDE w:val="0"/>
        <w:autoSpaceDN w:val="0"/>
        <w:adjustRightInd w:val="0"/>
        <w:spacing w:after="0" w:line="360" w:lineRule="auto"/>
        <w:ind w:left="714" w:hanging="357"/>
        <w:contextualSpacing/>
        <w:jc w:val="both"/>
        <w:rPr>
          <w:rFonts w:asciiTheme="majorHAnsi" w:hAnsiTheme="majorHAnsi" w:cs="Courier"/>
        </w:rPr>
      </w:pPr>
      <w:r w:rsidRPr="00B528E0">
        <w:rPr>
          <w:rFonts w:asciiTheme="majorHAnsi" w:hAnsiTheme="majorHAnsi" w:cs="Courier"/>
          <w:szCs w:val="26"/>
        </w:rPr>
        <w:t xml:space="preserve">Brown LF, Kroenke K. Cancer-related fatigue and its associations with depression and anxiety: a systematic review. </w:t>
      </w:r>
      <w:r w:rsidRPr="006831AA">
        <w:rPr>
          <w:rFonts w:asciiTheme="majorHAnsi" w:hAnsiTheme="majorHAnsi" w:cs="Courier"/>
          <w:i/>
          <w:szCs w:val="26"/>
        </w:rPr>
        <w:t>Psychosomatics.</w:t>
      </w:r>
      <w:r w:rsidR="00426384">
        <w:rPr>
          <w:rFonts w:asciiTheme="majorHAnsi" w:hAnsiTheme="majorHAnsi" w:cs="Courier"/>
          <w:szCs w:val="26"/>
        </w:rPr>
        <w:t xml:space="preserve"> 2009; </w:t>
      </w:r>
      <w:r w:rsidR="00426384" w:rsidRPr="00426384">
        <w:rPr>
          <w:rFonts w:asciiTheme="majorHAnsi" w:hAnsiTheme="majorHAnsi" w:cs="Courier"/>
          <w:b/>
          <w:szCs w:val="26"/>
        </w:rPr>
        <w:t>50</w:t>
      </w:r>
      <w:r w:rsidRPr="00B528E0">
        <w:rPr>
          <w:rFonts w:asciiTheme="majorHAnsi" w:hAnsiTheme="majorHAnsi" w:cs="Courier"/>
          <w:szCs w:val="26"/>
        </w:rPr>
        <w:t>:440-7.</w:t>
      </w:r>
    </w:p>
    <w:p w14:paraId="7016AF29" w14:textId="72F900F1" w:rsidR="00B528E0" w:rsidRDefault="00953BF6" w:rsidP="00B528E0">
      <w:pPr>
        <w:pStyle w:val="ListParagraph"/>
        <w:widowControl w:val="0"/>
        <w:numPr>
          <w:ilvl w:val="0"/>
          <w:numId w:val="12"/>
        </w:numPr>
        <w:autoSpaceDE w:val="0"/>
        <w:autoSpaceDN w:val="0"/>
        <w:adjustRightInd w:val="0"/>
        <w:spacing w:after="0" w:line="360" w:lineRule="auto"/>
        <w:ind w:left="714" w:hanging="357"/>
        <w:contextualSpacing/>
        <w:jc w:val="both"/>
        <w:rPr>
          <w:rFonts w:asciiTheme="majorHAnsi" w:hAnsiTheme="majorHAnsi" w:cs="Courier"/>
        </w:rPr>
      </w:pPr>
      <w:r w:rsidRPr="00B528E0">
        <w:rPr>
          <w:rFonts w:asciiTheme="majorHAnsi" w:hAnsiTheme="majorHAnsi" w:cs="Courier"/>
        </w:rPr>
        <w:t xml:space="preserve">Rissanen R, Arving C, Ahlgren J, Nordin K. Group versus individual stress management intervention in breast cancer patients for fatigue and emotional reactivity: A randomised intervention study. </w:t>
      </w:r>
      <w:r w:rsidRPr="006831AA">
        <w:rPr>
          <w:rFonts w:asciiTheme="majorHAnsi" w:hAnsiTheme="majorHAnsi" w:cs="Courier"/>
          <w:i/>
        </w:rPr>
        <w:t>Acta Oncol.</w:t>
      </w:r>
      <w:r w:rsidR="00426384">
        <w:rPr>
          <w:rFonts w:asciiTheme="majorHAnsi" w:hAnsiTheme="majorHAnsi" w:cs="Courier"/>
        </w:rPr>
        <w:t xml:space="preserve"> 2014; </w:t>
      </w:r>
      <w:r w:rsidR="00426384" w:rsidRPr="00426384">
        <w:rPr>
          <w:rFonts w:asciiTheme="majorHAnsi" w:hAnsiTheme="majorHAnsi" w:cs="Courier"/>
          <w:b/>
        </w:rPr>
        <w:t>53</w:t>
      </w:r>
      <w:r w:rsidRPr="00B528E0">
        <w:rPr>
          <w:rFonts w:asciiTheme="majorHAnsi" w:hAnsiTheme="majorHAnsi" w:cs="Courier"/>
        </w:rPr>
        <w:t>:1221-9.</w:t>
      </w:r>
    </w:p>
    <w:p w14:paraId="314AB58D" w14:textId="5F4F1830" w:rsidR="00B528E0" w:rsidRPr="00B528E0" w:rsidRDefault="00953BF6" w:rsidP="00B528E0">
      <w:pPr>
        <w:pStyle w:val="ListParagraph"/>
        <w:widowControl w:val="0"/>
        <w:numPr>
          <w:ilvl w:val="0"/>
          <w:numId w:val="12"/>
        </w:numPr>
        <w:autoSpaceDE w:val="0"/>
        <w:autoSpaceDN w:val="0"/>
        <w:adjustRightInd w:val="0"/>
        <w:spacing w:after="0" w:line="360" w:lineRule="auto"/>
        <w:ind w:left="714" w:hanging="357"/>
        <w:contextualSpacing/>
        <w:jc w:val="both"/>
        <w:rPr>
          <w:rFonts w:asciiTheme="majorHAnsi" w:hAnsiTheme="majorHAnsi" w:cs="Courier"/>
        </w:rPr>
      </w:pPr>
      <w:r w:rsidRPr="00B528E0">
        <w:rPr>
          <w:rFonts w:asciiTheme="majorHAnsi" w:hAnsiTheme="majorHAnsi" w:cs="Courier"/>
          <w:szCs w:val="26"/>
        </w:rPr>
        <w:t xml:space="preserve">Bower JE. Cancer-related fatigue-mechanisms, risk factors, and treatments. </w:t>
      </w:r>
      <w:r w:rsidRPr="006831AA">
        <w:rPr>
          <w:rFonts w:asciiTheme="majorHAnsi" w:hAnsiTheme="majorHAnsi" w:cs="Courier"/>
          <w:i/>
          <w:szCs w:val="26"/>
        </w:rPr>
        <w:t>Nat Rev Clin Oncol. 2014</w:t>
      </w:r>
      <w:r w:rsidR="00426384">
        <w:rPr>
          <w:rFonts w:asciiTheme="majorHAnsi" w:hAnsiTheme="majorHAnsi" w:cs="Courier"/>
          <w:szCs w:val="26"/>
        </w:rPr>
        <w:t xml:space="preserve">; </w:t>
      </w:r>
      <w:r w:rsidR="00426384" w:rsidRPr="00426384">
        <w:rPr>
          <w:rFonts w:asciiTheme="majorHAnsi" w:hAnsiTheme="majorHAnsi" w:cs="Courier"/>
          <w:b/>
          <w:szCs w:val="26"/>
        </w:rPr>
        <w:t>11</w:t>
      </w:r>
      <w:r w:rsidRPr="00B528E0">
        <w:rPr>
          <w:rFonts w:asciiTheme="majorHAnsi" w:hAnsiTheme="majorHAnsi" w:cs="Courier"/>
          <w:szCs w:val="26"/>
        </w:rPr>
        <w:t>:597-609.</w:t>
      </w:r>
    </w:p>
    <w:p w14:paraId="1A23AD3A" w14:textId="77777777" w:rsidR="00B528E0" w:rsidRPr="00B528E0" w:rsidRDefault="00953BF6" w:rsidP="00B528E0">
      <w:pPr>
        <w:pStyle w:val="ListParagraph"/>
        <w:widowControl w:val="0"/>
        <w:numPr>
          <w:ilvl w:val="0"/>
          <w:numId w:val="12"/>
        </w:numPr>
        <w:autoSpaceDE w:val="0"/>
        <w:autoSpaceDN w:val="0"/>
        <w:adjustRightInd w:val="0"/>
        <w:spacing w:after="0" w:line="360" w:lineRule="auto"/>
        <w:ind w:left="714" w:hanging="357"/>
        <w:contextualSpacing/>
        <w:jc w:val="both"/>
        <w:rPr>
          <w:rFonts w:asciiTheme="majorHAnsi" w:hAnsiTheme="majorHAnsi" w:cs="Courier"/>
        </w:rPr>
      </w:pPr>
      <w:r w:rsidRPr="00B528E0">
        <w:rPr>
          <w:rFonts w:asciiTheme="majorHAnsi" w:hAnsiTheme="majorHAnsi" w:cs="Courier"/>
          <w:szCs w:val="26"/>
        </w:rPr>
        <w:t xml:space="preserve">Scarpa M, Pinto E, Saadeh LM, Parotto M, Da Roit A, Pizzolato E, Alfieri R, Cagol M, Saraceni E, Baratto F, Castoro C. Sleep disturbances and quality of life in postoperative management after esophagectomy for esophageal cancer. </w:t>
      </w:r>
      <w:r w:rsidRPr="006831AA">
        <w:rPr>
          <w:rFonts w:asciiTheme="majorHAnsi" w:hAnsiTheme="majorHAnsi" w:cs="Courier"/>
          <w:i/>
          <w:szCs w:val="26"/>
        </w:rPr>
        <w:t>World J Surg Oncol.</w:t>
      </w:r>
      <w:r w:rsidRPr="00B528E0">
        <w:rPr>
          <w:rFonts w:asciiTheme="majorHAnsi" w:hAnsiTheme="majorHAnsi" w:cs="Courier"/>
          <w:szCs w:val="26"/>
        </w:rPr>
        <w:t xml:space="preserve"> 2014;</w:t>
      </w:r>
      <w:r w:rsidR="006831AA">
        <w:rPr>
          <w:rFonts w:asciiTheme="majorHAnsi" w:hAnsiTheme="majorHAnsi" w:cs="Courier"/>
          <w:szCs w:val="26"/>
        </w:rPr>
        <w:t xml:space="preserve"> </w:t>
      </w:r>
      <w:r w:rsidRPr="00426384">
        <w:rPr>
          <w:rFonts w:asciiTheme="majorHAnsi" w:hAnsiTheme="majorHAnsi" w:cs="Courier"/>
          <w:b/>
          <w:szCs w:val="26"/>
        </w:rPr>
        <w:t>12</w:t>
      </w:r>
      <w:r w:rsidRPr="00B528E0">
        <w:rPr>
          <w:rFonts w:asciiTheme="majorHAnsi" w:hAnsiTheme="majorHAnsi" w:cs="Courier"/>
          <w:szCs w:val="26"/>
        </w:rPr>
        <w:t>:156.</w:t>
      </w:r>
    </w:p>
    <w:p w14:paraId="65B95D17" w14:textId="77777777" w:rsidR="00B528E0" w:rsidRPr="00B528E0" w:rsidRDefault="00953BF6" w:rsidP="00B528E0">
      <w:pPr>
        <w:pStyle w:val="ListParagraph"/>
        <w:widowControl w:val="0"/>
        <w:numPr>
          <w:ilvl w:val="0"/>
          <w:numId w:val="12"/>
        </w:numPr>
        <w:autoSpaceDE w:val="0"/>
        <w:autoSpaceDN w:val="0"/>
        <w:adjustRightInd w:val="0"/>
        <w:spacing w:after="0" w:line="360" w:lineRule="auto"/>
        <w:ind w:left="714" w:hanging="357"/>
        <w:contextualSpacing/>
        <w:jc w:val="both"/>
        <w:rPr>
          <w:rFonts w:asciiTheme="majorHAnsi" w:hAnsiTheme="majorHAnsi" w:cs="Courier"/>
        </w:rPr>
      </w:pPr>
      <w:r w:rsidRPr="00B528E0">
        <w:rPr>
          <w:rFonts w:asciiTheme="majorHAnsi" w:hAnsiTheme="majorHAnsi" w:cs="Courier"/>
          <w:szCs w:val="26"/>
        </w:rPr>
        <w:t xml:space="preserve">Zhou J, Jolly S. Obstructive Sleep Apnea and Fatigue in Head and Neck Cancer Patients. </w:t>
      </w:r>
      <w:r w:rsidRPr="006831AA">
        <w:rPr>
          <w:rFonts w:asciiTheme="majorHAnsi" w:hAnsiTheme="majorHAnsi" w:cs="Courier"/>
          <w:i/>
          <w:szCs w:val="26"/>
        </w:rPr>
        <w:t>Am J Clin Oncol.</w:t>
      </w:r>
      <w:r w:rsidR="006831AA">
        <w:rPr>
          <w:rFonts w:asciiTheme="majorHAnsi" w:hAnsiTheme="majorHAnsi" w:cs="Courier"/>
          <w:szCs w:val="26"/>
        </w:rPr>
        <w:t xml:space="preserve"> 2014. </w:t>
      </w:r>
      <w:r w:rsidRPr="00B528E0">
        <w:rPr>
          <w:rFonts w:asciiTheme="majorHAnsi" w:hAnsiTheme="majorHAnsi" w:cs="Courier"/>
          <w:szCs w:val="26"/>
        </w:rPr>
        <w:t>(In press).</w:t>
      </w:r>
    </w:p>
    <w:p w14:paraId="13351F17" w14:textId="1EA6D519" w:rsidR="00B528E0" w:rsidRPr="00B528E0" w:rsidRDefault="00953BF6" w:rsidP="00B528E0">
      <w:pPr>
        <w:pStyle w:val="ListParagraph"/>
        <w:widowControl w:val="0"/>
        <w:numPr>
          <w:ilvl w:val="0"/>
          <w:numId w:val="12"/>
        </w:numPr>
        <w:autoSpaceDE w:val="0"/>
        <w:autoSpaceDN w:val="0"/>
        <w:adjustRightInd w:val="0"/>
        <w:spacing w:after="0" w:line="360" w:lineRule="auto"/>
        <w:ind w:left="714" w:hanging="357"/>
        <w:contextualSpacing/>
        <w:jc w:val="both"/>
        <w:rPr>
          <w:rFonts w:asciiTheme="majorHAnsi" w:hAnsiTheme="majorHAnsi" w:cs="Courier"/>
        </w:rPr>
      </w:pPr>
      <w:r w:rsidRPr="00B528E0">
        <w:rPr>
          <w:rFonts w:asciiTheme="majorHAnsi" w:hAnsiTheme="majorHAnsi" w:cs="Courier"/>
          <w:szCs w:val="26"/>
        </w:rPr>
        <w:t xml:space="preserve">Butt Z, Wagner LI, Beaumont JL, Paice JA, Straus JL, Peterman AH, Carro G, Von Roenn JH, Shevrin D, Cella D. Longitudinal screening and management of fatigue, pain, and emotional distress associated with cancer therapy. </w:t>
      </w:r>
      <w:r w:rsidRPr="006831AA">
        <w:rPr>
          <w:rFonts w:asciiTheme="majorHAnsi" w:hAnsiTheme="majorHAnsi" w:cs="Courier"/>
          <w:i/>
          <w:szCs w:val="26"/>
        </w:rPr>
        <w:t>Support Care Cancer.</w:t>
      </w:r>
      <w:r w:rsidR="00426384">
        <w:rPr>
          <w:rFonts w:asciiTheme="majorHAnsi" w:hAnsiTheme="majorHAnsi" w:cs="Courier"/>
          <w:i/>
          <w:szCs w:val="26"/>
        </w:rPr>
        <w:t xml:space="preserve"> </w:t>
      </w:r>
      <w:r w:rsidRPr="00B528E0">
        <w:rPr>
          <w:rFonts w:asciiTheme="majorHAnsi" w:hAnsiTheme="majorHAnsi" w:cs="Courier"/>
          <w:szCs w:val="26"/>
        </w:rPr>
        <w:t>2008;</w:t>
      </w:r>
      <w:r w:rsidR="006831AA">
        <w:rPr>
          <w:rFonts w:asciiTheme="majorHAnsi" w:hAnsiTheme="majorHAnsi" w:cs="Courier"/>
          <w:szCs w:val="26"/>
        </w:rPr>
        <w:t xml:space="preserve"> </w:t>
      </w:r>
      <w:r w:rsidR="00426384" w:rsidRPr="00426384">
        <w:rPr>
          <w:rFonts w:asciiTheme="majorHAnsi" w:hAnsiTheme="majorHAnsi" w:cs="Courier"/>
          <w:b/>
          <w:szCs w:val="26"/>
        </w:rPr>
        <w:t>16</w:t>
      </w:r>
      <w:r w:rsidRPr="00B528E0">
        <w:rPr>
          <w:rFonts w:asciiTheme="majorHAnsi" w:hAnsiTheme="majorHAnsi" w:cs="Courier"/>
          <w:szCs w:val="26"/>
        </w:rPr>
        <w:t xml:space="preserve">:151-9. </w:t>
      </w:r>
    </w:p>
    <w:p w14:paraId="77F65FC3" w14:textId="7991FFD9" w:rsidR="00953BF6" w:rsidRPr="00B528E0" w:rsidRDefault="00953BF6" w:rsidP="00B528E0">
      <w:pPr>
        <w:pStyle w:val="ListParagraph"/>
        <w:widowControl w:val="0"/>
        <w:numPr>
          <w:ilvl w:val="0"/>
          <w:numId w:val="12"/>
        </w:numPr>
        <w:autoSpaceDE w:val="0"/>
        <w:autoSpaceDN w:val="0"/>
        <w:adjustRightInd w:val="0"/>
        <w:spacing w:after="0" w:line="360" w:lineRule="auto"/>
        <w:ind w:left="714" w:hanging="357"/>
        <w:contextualSpacing/>
        <w:jc w:val="both"/>
        <w:rPr>
          <w:rFonts w:asciiTheme="majorHAnsi" w:hAnsiTheme="majorHAnsi" w:cs="Courier"/>
        </w:rPr>
      </w:pPr>
      <w:r w:rsidRPr="00B528E0">
        <w:rPr>
          <w:rFonts w:asciiTheme="majorHAnsi" w:hAnsiTheme="majorHAnsi" w:cs="Courier"/>
          <w:szCs w:val="26"/>
        </w:rPr>
        <w:t xml:space="preserve">Garland SN, Johnson JA, Savard J, Gehrman P, Perlis M, Carlson L, Campbell T.  Sleeping well with cancer: a systematic review of cognitive </w:t>
      </w:r>
      <w:r w:rsidR="006B3CC7" w:rsidRPr="00B528E0">
        <w:rPr>
          <w:rFonts w:asciiTheme="majorHAnsi" w:hAnsiTheme="majorHAnsi" w:cs="Courier"/>
          <w:szCs w:val="26"/>
        </w:rPr>
        <w:t>behavioural</w:t>
      </w:r>
      <w:r w:rsidRPr="00B528E0">
        <w:rPr>
          <w:rFonts w:asciiTheme="majorHAnsi" w:hAnsiTheme="majorHAnsi" w:cs="Courier"/>
          <w:szCs w:val="26"/>
        </w:rPr>
        <w:t xml:space="preserve"> therapy for insomnia in cancer patients. </w:t>
      </w:r>
      <w:r w:rsidRPr="006831AA">
        <w:rPr>
          <w:rFonts w:asciiTheme="majorHAnsi" w:hAnsiTheme="majorHAnsi" w:cs="Courier"/>
          <w:i/>
          <w:szCs w:val="26"/>
        </w:rPr>
        <w:t>Neuropsychiatr Dis Treat.</w:t>
      </w:r>
      <w:r w:rsidRPr="00B528E0">
        <w:rPr>
          <w:rFonts w:asciiTheme="majorHAnsi" w:hAnsiTheme="majorHAnsi" w:cs="Courier"/>
          <w:szCs w:val="26"/>
        </w:rPr>
        <w:t xml:space="preserve"> 2014;</w:t>
      </w:r>
      <w:r w:rsidR="006831AA">
        <w:rPr>
          <w:rFonts w:asciiTheme="majorHAnsi" w:hAnsiTheme="majorHAnsi" w:cs="Courier"/>
          <w:szCs w:val="26"/>
        </w:rPr>
        <w:t xml:space="preserve"> </w:t>
      </w:r>
      <w:r w:rsidRPr="00426384">
        <w:rPr>
          <w:rFonts w:asciiTheme="majorHAnsi" w:hAnsiTheme="majorHAnsi" w:cs="Courier"/>
          <w:b/>
          <w:szCs w:val="26"/>
        </w:rPr>
        <w:t>10</w:t>
      </w:r>
      <w:r w:rsidRPr="00B528E0">
        <w:rPr>
          <w:rFonts w:asciiTheme="majorHAnsi" w:hAnsiTheme="majorHAnsi" w:cs="Courier"/>
          <w:szCs w:val="26"/>
        </w:rPr>
        <w:t>:1113-24.</w:t>
      </w:r>
    </w:p>
    <w:p w14:paraId="41C4B4B3" w14:textId="77777777" w:rsidR="00953BF6" w:rsidRDefault="00953BF6" w:rsidP="00953BF6">
      <w:pPr>
        <w:widowControl w:val="0"/>
        <w:autoSpaceDE w:val="0"/>
        <w:autoSpaceDN w:val="0"/>
        <w:adjustRightInd w:val="0"/>
        <w:ind w:left="360"/>
        <w:rPr>
          <w:rFonts w:ascii="Courier" w:hAnsi="Courier" w:cs="Courier"/>
          <w:sz w:val="26"/>
          <w:szCs w:val="26"/>
        </w:rPr>
      </w:pPr>
    </w:p>
    <w:p w14:paraId="3255106B" w14:textId="77777777" w:rsidR="00953BF6" w:rsidRDefault="00953BF6" w:rsidP="00953BF6"/>
    <w:p w14:paraId="0463A71A" w14:textId="77777777" w:rsidR="00CC14ED" w:rsidRDefault="00CC14ED" w:rsidP="00CC14ED"/>
    <w:p w14:paraId="7E0E35D5" w14:textId="77777777" w:rsidR="002D70A2" w:rsidRDefault="002D70A2">
      <w:pPr>
        <w:rPr>
          <w:rFonts w:asciiTheme="majorHAnsi" w:hAnsiTheme="majorHAnsi"/>
          <w:b/>
          <w:sz w:val="22"/>
          <w:szCs w:val="22"/>
        </w:rPr>
      </w:pPr>
      <w:r>
        <w:rPr>
          <w:rFonts w:asciiTheme="majorHAnsi" w:hAnsiTheme="majorHAnsi"/>
          <w:b/>
          <w:sz w:val="22"/>
          <w:szCs w:val="22"/>
        </w:rPr>
        <w:br w:type="page"/>
      </w:r>
    </w:p>
    <w:p w14:paraId="02341EB9" w14:textId="77777777" w:rsidR="00F319AC" w:rsidRPr="00075D52" w:rsidRDefault="00F319AC" w:rsidP="00075D52">
      <w:pPr>
        <w:spacing w:line="360" w:lineRule="auto"/>
        <w:jc w:val="both"/>
        <w:rPr>
          <w:rFonts w:asciiTheme="majorHAnsi" w:hAnsiTheme="majorHAnsi"/>
          <w:sz w:val="22"/>
          <w:szCs w:val="22"/>
        </w:rPr>
      </w:pPr>
      <w:r w:rsidRPr="00075D52">
        <w:rPr>
          <w:rFonts w:asciiTheme="majorHAnsi" w:hAnsiTheme="majorHAnsi"/>
          <w:b/>
          <w:sz w:val="22"/>
          <w:szCs w:val="22"/>
        </w:rPr>
        <w:t xml:space="preserve">Table 1: Clinicopathological characteristics </w:t>
      </w:r>
      <w:r w:rsidR="0023405A">
        <w:rPr>
          <w:rFonts w:asciiTheme="majorHAnsi" w:hAnsiTheme="majorHAnsi"/>
          <w:b/>
          <w:sz w:val="22"/>
          <w:szCs w:val="22"/>
        </w:rPr>
        <w:t>of the study sample</w:t>
      </w:r>
    </w:p>
    <w:p w14:paraId="1103C8D6" w14:textId="77777777" w:rsidR="00F319AC" w:rsidRPr="00075D52" w:rsidRDefault="00F319AC" w:rsidP="00075D52">
      <w:pPr>
        <w:spacing w:line="360" w:lineRule="auto"/>
        <w:jc w:val="both"/>
        <w:rPr>
          <w:rFonts w:asciiTheme="majorHAnsi" w:hAnsiTheme="majorHAnsi"/>
          <w:sz w:val="22"/>
          <w:szCs w:val="22"/>
        </w:rPr>
      </w:pPr>
      <w:r w:rsidRPr="00075D52">
        <w:rPr>
          <w:rFonts w:asciiTheme="majorHAnsi" w:hAnsiTheme="majorHAnsi"/>
          <w:sz w:val="22"/>
          <w:szCs w:val="22"/>
        </w:rPr>
        <w:t xml:space="preserve"> </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1331"/>
        <w:gridCol w:w="2310"/>
        <w:gridCol w:w="1984"/>
      </w:tblGrid>
      <w:tr w:rsidR="00F319AC" w:rsidRPr="001C3F58" w14:paraId="7437602F" w14:textId="77777777" w:rsidTr="001C3F58">
        <w:tc>
          <w:tcPr>
            <w:tcW w:w="1331" w:type="dxa"/>
            <w:tcBorders>
              <w:bottom w:val="single" w:sz="4" w:space="0" w:color="auto"/>
            </w:tcBorders>
          </w:tcPr>
          <w:p w14:paraId="593C77C8"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Borders>
              <w:bottom w:val="single" w:sz="4" w:space="0" w:color="auto"/>
            </w:tcBorders>
          </w:tcPr>
          <w:p w14:paraId="7FCC1CC7" w14:textId="77777777" w:rsidR="00F319AC" w:rsidRPr="001C3F58" w:rsidRDefault="00F319AC" w:rsidP="002E2CDA">
            <w:pPr>
              <w:pStyle w:val="ListParagraph"/>
              <w:spacing w:after="0"/>
              <w:ind w:left="0"/>
              <w:jc w:val="both"/>
              <w:rPr>
                <w:rFonts w:asciiTheme="majorHAnsi" w:hAnsiTheme="majorHAnsi"/>
                <w:sz w:val="18"/>
                <w:szCs w:val="18"/>
              </w:rPr>
            </w:pPr>
          </w:p>
        </w:tc>
        <w:tc>
          <w:tcPr>
            <w:tcW w:w="1984" w:type="dxa"/>
            <w:tcBorders>
              <w:bottom w:val="single" w:sz="4" w:space="0" w:color="auto"/>
            </w:tcBorders>
          </w:tcPr>
          <w:p w14:paraId="5478F86D" w14:textId="77777777" w:rsidR="00F319AC" w:rsidRPr="001C3F58" w:rsidRDefault="00F319AC" w:rsidP="002E2CDA">
            <w:pPr>
              <w:spacing w:line="276" w:lineRule="auto"/>
              <w:jc w:val="both"/>
              <w:rPr>
                <w:rFonts w:asciiTheme="majorHAnsi" w:hAnsiTheme="majorHAnsi"/>
                <w:sz w:val="18"/>
                <w:szCs w:val="18"/>
              </w:rPr>
            </w:pPr>
            <w:r w:rsidRPr="001C3F58">
              <w:rPr>
                <w:rFonts w:asciiTheme="majorHAnsi" w:hAnsiTheme="majorHAnsi"/>
                <w:sz w:val="18"/>
                <w:szCs w:val="18"/>
              </w:rPr>
              <w:t>All patients</w:t>
            </w:r>
          </w:p>
          <w:p w14:paraId="3FDF4A6F" w14:textId="77777777" w:rsidR="00F319AC" w:rsidRPr="001C3F58" w:rsidRDefault="00EC7A8B" w:rsidP="00EC7A8B">
            <w:pPr>
              <w:spacing w:line="276" w:lineRule="auto"/>
              <w:jc w:val="both"/>
              <w:rPr>
                <w:rFonts w:asciiTheme="majorHAnsi" w:hAnsiTheme="majorHAnsi"/>
                <w:sz w:val="18"/>
                <w:szCs w:val="18"/>
              </w:rPr>
            </w:pPr>
            <w:r w:rsidRPr="001C3F58">
              <w:rPr>
                <w:rFonts w:asciiTheme="majorHAnsi" w:hAnsiTheme="majorHAnsi"/>
                <w:sz w:val="18"/>
                <w:szCs w:val="18"/>
              </w:rPr>
              <w:t>(n=170</w:t>
            </w:r>
            <w:r w:rsidR="00F319AC" w:rsidRPr="001C3F58">
              <w:rPr>
                <w:rFonts w:asciiTheme="majorHAnsi" w:hAnsiTheme="majorHAnsi"/>
                <w:sz w:val="18"/>
                <w:szCs w:val="18"/>
              </w:rPr>
              <w:t>)</w:t>
            </w:r>
          </w:p>
        </w:tc>
      </w:tr>
      <w:tr w:rsidR="00F319AC" w:rsidRPr="001C3F58" w14:paraId="33E835D7" w14:textId="77777777" w:rsidTr="001C3F58">
        <w:tc>
          <w:tcPr>
            <w:tcW w:w="1331" w:type="dxa"/>
            <w:tcBorders>
              <w:top w:val="single" w:sz="4" w:space="0" w:color="auto"/>
              <w:bottom w:val="nil"/>
            </w:tcBorders>
          </w:tcPr>
          <w:p w14:paraId="0B71DF71" w14:textId="62187193" w:rsidR="00F319AC" w:rsidRPr="001C3F58" w:rsidRDefault="00A81566" w:rsidP="002E2CDA">
            <w:pPr>
              <w:pStyle w:val="ListParagraph"/>
              <w:spacing w:after="0"/>
              <w:ind w:left="0"/>
              <w:jc w:val="both"/>
              <w:rPr>
                <w:rFonts w:asciiTheme="majorHAnsi" w:hAnsiTheme="majorHAnsi"/>
                <w:sz w:val="18"/>
                <w:szCs w:val="18"/>
              </w:rPr>
            </w:pPr>
            <w:r>
              <w:rPr>
                <w:rFonts w:asciiTheme="majorHAnsi" w:hAnsiTheme="majorHAnsi"/>
                <w:sz w:val="18"/>
                <w:szCs w:val="18"/>
              </w:rPr>
              <w:t>Gender</w:t>
            </w:r>
          </w:p>
        </w:tc>
        <w:tc>
          <w:tcPr>
            <w:tcW w:w="2310" w:type="dxa"/>
            <w:tcBorders>
              <w:top w:val="single" w:sz="4" w:space="0" w:color="auto"/>
              <w:bottom w:val="nil"/>
            </w:tcBorders>
          </w:tcPr>
          <w:p w14:paraId="2A95A8FA"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Male</w:t>
            </w:r>
          </w:p>
        </w:tc>
        <w:tc>
          <w:tcPr>
            <w:tcW w:w="1984" w:type="dxa"/>
            <w:tcBorders>
              <w:top w:val="single" w:sz="4" w:space="0" w:color="auto"/>
              <w:bottom w:val="nil"/>
            </w:tcBorders>
          </w:tcPr>
          <w:p w14:paraId="4A8037C4" w14:textId="77777777" w:rsidR="00F319AC" w:rsidRPr="001C3F58" w:rsidRDefault="00EC7A8B"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66% (113</w:t>
            </w:r>
            <w:r w:rsidR="00F319AC" w:rsidRPr="001C3F58">
              <w:rPr>
                <w:rFonts w:asciiTheme="majorHAnsi" w:hAnsiTheme="majorHAnsi"/>
                <w:sz w:val="18"/>
                <w:szCs w:val="18"/>
              </w:rPr>
              <w:t>)</w:t>
            </w:r>
          </w:p>
        </w:tc>
      </w:tr>
      <w:tr w:rsidR="00F319AC" w:rsidRPr="001C3F58" w14:paraId="1BCE4968" w14:textId="77777777" w:rsidTr="001C3F58">
        <w:tc>
          <w:tcPr>
            <w:tcW w:w="1331" w:type="dxa"/>
            <w:tcBorders>
              <w:top w:val="nil"/>
            </w:tcBorders>
          </w:tcPr>
          <w:p w14:paraId="6E665890"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Borders>
              <w:top w:val="nil"/>
            </w:tcBorders>
          </w:tcPr>
          <w:p w14:paraId="676075E2"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Female</w:t>
            </w:r>
          </w:p>
        </w:tc>
        <w:tc>
          <w:tcPr>
            <w:tcW w:w="1984" w:type="dxa"/>
            <w:tcBorders>
              <w:top w:val="nil"/>
            </w:tcBorders>
          </w:tcPr>
          <w:p w14:paraId="7A975CC1" w14:textId="77777777" w:rsidR="00F319AC" w:rsidRPr="001C3F58" w:rsidRDefault="00EC7A8B"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33% (56</w:t>
            </w:r>
            <w:r w:rsidR="00F319AC" w:rsidRPr="001C3F58">
              <w:rPr>
                <w:rFonts w:asciiTheme="majorHAnsi" w:hAnsiTheme="majorHAnsi"/>
                <w:sz w:val="18"/>
                <w:szCs w:val="18"/>
              </w:rPr>
              <w:t>)</w:t>
            </w:r>
          </w:p>
        </w:tc>
      </w:tr>
      <w:tr w:rsidR="00F319AC" w:rsidRPr="001C3F58" w14:paraId="7CEB9565" w14:textId="77777777" w:rsidTr="001C3F58">
        <w:tc>
          <w:tcPr>
            <w:tcW w:w="1331" w:type="dxa"/>
            <w:tcBorders>
              <w:bottom w:val="single" w:sz="4" w:space="0" w:color="auto"/>
            </w:tcBorders>
          </w:tcPr>
          <w:p w14:paraId="53E2E6D5"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Borders>
              <w:bottom w:val="single" w:sz="4" w:space="0" w:color="auto"/>
            </w:tcBorders>
          </w:tcPr>
          <w:p w14:paraId="42BE613B"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Not known</w:t>
            </w:r>
          </w:p>
        </w:tc>
        <w:tc>
          <w:tcPr>
            <w:tcW w:w="1984" w:type="dxa"/>
            <w:tcBorders>
              <w:bottom w:val="single" w:sz="4" w:space="0" w:color="auto"/>
            </w:tcBorders>
          </w:tcPr>
          <w:p w14:paraId="1CA4E4D6" w14:textId="77777777" w:rsidR="00F319AC" w:rsidRPr="001C3F58" w:rsidRDefault="00EC7A8B"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0.6% (1</w:t>
            </w:r>
            <w:r w:rsidR="00F319AC" w:rsidRPr="001C3F58">
              <w:rPr>
                <w:rFonts w:asciiTheme="majorHAnsi" w:hAnsiTheme="majorHAnsi"/>
                <w:sz w:val="18"/>
                <w:szCs w:val="18"/>
              </w:rPr>
              <w:t>)</w:t>
            </w:r>
          </w:p>
        </w:tc>
      </w:tr>
      <w:tr w:rsidR="00F319AC" w:rsidRPr="001C3F58" w14:paraId="06904F5D" w14:textId="77777777" w:rsidTr="001C3F58">
        <w:tc>
          <w:tcPr>
            <w:tcW w:w="1331" w:type="dxa"/>
            <w:tcBorders>
              <w:top w:val="single" w:sz="4" w:space="0" w:color="auto"/>
              <w:bottom w:val="nil"/>
            </w:tcBorders>
          </w:tcPr>
          <w:p w14:paraId="74CF319C"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Age</w:t>
            </w:r>
          </w:p>
        </w:tc>
        <w:tc>
          <w:tcPr>
            <w:tcW w:w="2310" w:type="dxa"/>
            <w:tcBorders>
              <w:top w:val="single" w:sz="4" w:space="0" w:color="auto"/>
              <w:bottom w:val="nil"/>
            </w:tcBorders>
          </w:tcPr>
          <w:p w14:paraId="4BAF197E"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Mean (SD)</w:t>
            </w:r>
          </w:p>
        </w:tc>
        <w:tc>
          <w:tcPr>
            <w:tcW w:w="1984" w:type="dxa"/>
            <w:tcBorders>
              <w:top w:val="single" w:sz="4" w:space="0" w:color="auto"/>
              <w:bottom w:val="nil"/>
            </w:tcBorders>
          </w:tcPr>
          <w:p w14:paraId="1771DF4D" w14:textId="77777777" w:rsidR="00F319AC" w:rsidRPr="001C3F58" w:rsidRDefault="00EC7A8B" w:rsidP="00EC7A8B">
            <w:pPr>
              <w:pStyle w:val="ListParagraph"/>
              <w:spacing w:after="0"/>
              <w:ind w:left="0"/>
              <w:jc w:val="both"/>
              <w:rPr>
                <w:rFonts w:asciiTheme="majorHAnsi" w:hAnsiTheme="majorHAnsi"/>
                <w:sz w:val="18"/>
                <w:szCs w:val="18"/>
              </w:rPr>
            </w:pPr>
            <w:r w:rsidRPr="001C3F58">
              <w:rPr>
                <w:rFonts w:asciiTheme="majorHAnsi" w:hAnsiTheme="majorHAnsi"/>
                <w:sz w:val="18"/>
                <w:szCs w:val="18"/>
              </w:rPr>
              <w:t>64.2</w:t>
            </w:r>
            <w:r w:rsidR="006627ED" w:rsidRPr="001C3F58">
              <w:rPr>
                <w:rFonts w:asciiTheme="majorHAnsi" w:hAnsiTheme="majorHAnsi"/>
                <w:sz w:val="18"/>
                <w:szCs w:val="18"/>
              </w:rPr>
              <w:t xml:space="preserve"> (1</w:t>
            </w:r>
            <w:r w:rsidRPr="001C3F58">
              <w:rPr>
                <w:rFonts w:asciiTheme="majorHAnsi" w:hAnsiTheme="majorHAnsi"/>
                <w:sz w:val="18"/>
                <w:szCs w:val="18"/>
              </w:rPr>
              <w:t>1</w:t>
            </w:r>
            <w:r w:rsidR="006627ED" w:rsidRPr="001C3F58">
              <w:rPr>
                <w:rFonts w:asciiTheme="majorHAnsi" w:hAnsiTheme="majorHAnsi"/>
                <w:sz w:val="18"/>
                <w:szCs w:val="18"/>
              </w:rPr>
              <w:t>.4</w:t>
            </w:r>
            <w:r w:rsidR="00F319AC" w:rsidRPr="001C3F58">
              <w:rPr>
                <w:rFonts w:asciiTheme="majorHAnsi" w:hAnsiTheme="majorHAnsi"/>
                <w:sz w:val="18"/>
                <w:szCs w:val="18"/>
              </w:rPr>
              <w:t>)</w:t>
            </w:r>
          </w:p>
        </w:tc>
      </w:tr>
      <w:tr w:rsidR="00F319AC" w:rsidRPr="001C3F58" w14:paraId="3CEE9C04" w14:textId="77777777" w:rsidTr="001C3F58">
        <w:tc>
          <w:tcPr>
            <w:tcW w:w="1331" w:type="dxa"/>
            <w:tcBorders>
              <w:top w:val="nil"/>
              <w:bottom w:val="nil"/>
            </w:tcBorders>
          </w:tcPr>
          <w:p w14:paraId="694153B6"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Borders>
              <w:top w:val="nil"/>
              <w:bottom w:val="single" w:sz="4" w:space="0" w:color="auto"/>
            </w:tcBorders>
          </w:tcPr>
          <w:p w14:paraId="0A355E6A"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Median (IQR)</w:t>
            </w:r>
          </w:p>
        </w:tc>
        <w:tc>
          <w:tcPr>
            <w:tcW w:w="1984" w:type="dxa"/>
            <w:tcBorders>
              <w:top w:val="nil"/>
              <w:bottom w:val="single" w:sz="4" w:space="0" w:color="auto"/>
            </w:tcBorders>
          </w:tcPr>
          <w:p w14:paraId="3C73AE33" w14:textId="77777777" w:rsidR="00F319AC" w:rsidRPr="001C3F58" w:rsidRDefault="00F319AC" w:rsidP="00EC7A8B">
            <w:pPr>
              <w:pStyle w:val="ListParagraph"/>
              <w:spacing w:after="0"/>
              <w:ind w:left="0"/>
              <w:jc w:val="both"/>
              <w:rPr>
                <w:rFonts w:asciiTheme="majorHAnsi" w:hAnsiTheme="majorHAnsi"/>
                <w:sz w:val="18"/>
                <w:szCs w:val="18"/>
              </w:rPr>
            </w:pPr>
            <w:r w:rsidRPr="001C3F58">
              <w:rPr>
                <w:rFonts w:asciiTheme="majorHAnsi" w:hAnsiTheme="majorHAnsi"/>
                <w:sz w:val="18"/>
                <w:szCs w:val="18"/>
              </w:rPr>
              <w:t>6</w:t>
            </w:r>
            <w:r w:rsidR="00EC7A8B" w:rsidRPr="001C3F58">
              <w:rPr>
                <w:rFonts w:asciiTheme="majorHAnsi" w:hAnsiTheme="majorHAnsi"/>
                <w:sz w:val="18"/>
                <w:szCs w:val="18"/>
              </w:rPr>
              <w:t>4</w:t>
            </w:r>
            <w:r w:rsidRPr="001C3F58">
              <w:rPr>
                <w:rFonts w:asciiTheme="majorHAnsi" w:hAnsiTheme="majorHAnsi"/>
                <w:sz w:val="18"/>
                <w:szCs w:val="18"/>
              </w:rPr>
              <w:t xml:space="preserve"> (</w:t>
            </w:r>
            <w:r w:rsidR="00EC7A8B" w:rsidRPr="001C3F58">
              <w:rPr>
                <w:rFonts w:asciiTheme="majorHAnsi" w:hAnsiTheme="majorHAnsi"/>
                <w:sz w:val="18"/>
                <w:szCs w:val="18"/>
              </w:rPr>
              <w:t>58-73</w:t>
            </w:r>
            <w:r w:rsidRPr="001C3F58">
              <w:rPr>
                <w:rFonts w:asciiTheme="majorHAnsi" w:hAnsiTheme="majorHAnsi"/>
                <w:sz w:val="18"/>
                <w:szCs w:val="18"/>
              </w:rPr>
              <w:t>)</w:t>
            </w:r>
          </w:p>
        </w:tc>
      </w:tr>
      <w:tr w:rsidR="00F319AC" w:rsidRPr="001C3F58" w14:paraId="0A55F685" w14:textId="77777777" w:rsidTr="001C3F58">
        <w:tc>
          <w:tcPr>
            <w:tcW w:w="1331" w:type="dxa"/>
            <w:tcBorders>
              <w:top w:val="nil"/>
            </w:tcBorders>
          </w:tcPr>
          <w:p w14:paraId="28E415DA"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Borders>
              <w:top w:val="single" w:sz="4" w:space="0" w:color="auto"/>
              <w:bottom w:val="nil"/>
            </w:tcBorders>
          </w:tcPr>
          <w:p w14:paraId="51272236"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&lt;55</w:t>
            </w:r>
          </w:p>
        </w:tc>
        <w:tc>
          <w:tcPr>
            <w:tcW w:w="1984" w:type="dxa"/>
            <w:tcBorders>
              <w:top w:val="single" w:sz="4" w:space="0" w:color="auto"/>
              <w:bottom w:val="nil"/>
            </w:tcBorders>
          </w:tcPr>
          <w:p w14:paraId="65585F89" w14:textId="77777777" w:rsidR="00F319AC" w:rsidRPr="001C3F58" w:rsidRDefault="00EC7A8B" w:rsidP="00EC7A8B">
            <w:pPr>
              <w:pStyle w:val="ListParagraph"/>
              <w:spacing w:after="0"/>
              <w:ind w:left="0"/>
              <w:jc w:val="both"/>
              <w:rPr>
                <w:rFonts w:asciiTheme="majorHAnsi" w:hAnsiTheme="majorHAnsi"/>
                <w:sz w:val="18"/>
                <w:szCs w:val="18"/>
              </w:rPr>
            </w:pPr>
            <w:r w:rsidRPr="001C3F58">
              <w:rPr>
                <w:rFonts w:asciiTheme="majorHAnsi" w:hAnsiTheme="majorHAnsi"/>
                <w:sz w:val="18"/>
                <w:szCs w:val="18"/>
              </w:rPr>
              <w:t>16% (27</w:t>
            </w:r>
            <w:r w:rsidR="00F319AC" w:rsidRPr="001C3F58">
              <w:rPr>
                <w:rFonts w:asciiTheme="majorHAnsi" w:hAnsiTheme="majorHAnsi"/>
                <w:sz w:val="18"/>
                <w:szCs w:val="18"/>
              </w:rPr>
              <w:t>)</w:t>
            </w:r>
          </w:p>
        </w:tc>
      </w:tr>
      <w:tr w:rsidR="00F319AC" w:rsidRPr="001C3F58" w14:paraId="5117C752" w14:textId="77777777" w:rsidTr="001C3F58">
        <w:tc>
          <w:tcPr>
            <w:tcW w:w="1331" w:type="dxa"/>
          </w:tcPr>
          <w:p w14:paraId="1EDF0770"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Borders>
              <w:top w:val="nil"/>
            </w:tcBorders>
          </w:tcPr>
          <w:p w14:paraId="6D2D1339"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55-64</w:t>
            </w:r>
          </w:p>
        </w:tc>
        <w:tc>
          <w:tcPr>
            <w:tcW w:w="1984" w:type="dxa"/>
            <w:tcBorders>
              <w:top w:val="nil"/>
            </w:tcBorders>
          </w:tcPr>
          <w:p w14:paraId="7547731B" w14:textId="77777777" w:rsidR="00F319AC" w:rsidRPr="001C3F58" w:rsidRDefault="006627ED"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3</w:t>
            </w:r>
            <w:r w:rsidR="00EC7A8B" w:rsidRPr="001C3F58">
              <w:rPr>
                <w:rFonts w:asciiTheme="majorHAnsi" w:hAnsiTheme="majorHAnsi"/>
                <w:sz w:val="18"/>
                <w:szCs w:val="18"/>
              </w:rPr>
              <w:t>6% (62</w:t>
            </w:r>
            <w:r w:rsidR="00F319AC" w:rsidRPr="001C3F58">
              <w:rPr>
                <w:rFonts w:asciiTheme="majorHAnsi" w:hAnsiTheme="majorHAnsi"/>
                <w:sz w:val="18"/>
                <w:szCs w:val="18"/>
              </w:rPr>
              <w:t>)</w:t>
            </w:r>
          </w:p>
        </w:tc>
      </w:tr>
      <w:tr w:rsidR="00F319AC" w:rsidRPr="001C3F58" w14:paraId="0DD6DBCA" w14:textId="77777777" w:rsidTr="001C3F58">
        <w:tc>
          <w:tcPr>
            <w:tcW w:w="1331" w:type="dxa"/>
          </w:tcPr>
          <w:p w14:paraId="18468004"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Pr>
          <w:p w14:paraId="63A9CA28"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65-74</w:t>
            </w:r>
          </w:p>
        </w:tc>
        <w:tc>
          <w:tcPr>
            <w:tcW w:w="1984" w:type="dxa"/>
          </w:tcPr>
          <w:p w14:paraId="03BD3CEC" w14:textId="77777777" w:rsidR="00F319AC" w:rsidRPr="001C3F58" w:rsidRDefault="00EC7A8B"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30% (51</w:t>
            </w:r>
            <w:r w:rsidR="00F319AC" w:rsidRPr="001C3F58">
              <w:rPr>
                <w:rFonts w:asciiTheme="majorHAnsi" w:hAnsiTheme="majorHAnsi"/>
                <w:sz w:val="18"/>
                <w:szCs w:val="18"/>
              </w:rPr>
              <w:t>)</w:t>
            </w:r>
          </w:p>
        </w:tc>
      </w:tr>
      <w:tr w:rsidR="00F319AC" w:rsidRPr="001C3F58" w14:paraId="338FA5C6" w14:textId="77777777" w:rsidTr="001C3F58">
        <w:tc>
          <w:tcPr>
            <w:tcW w:w="1331" w:type="dxa"/>
          </w:tcPr>
          <w:p w14:paraId="06BA94C0"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Pr>
          <w:p w14:paraId="3EE93E5A"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75+</w:t>
            </w:r>
          </w:p>
        </w:tc>
        <w:tc>
          <w:tcPr>
            <w:tcW w:w="1984" w:type="dxa"/>
          </w:tcPr>
          <w:p w14:paraId="1509C9CE" w14:textId="77777777" w:rsidR="00F319AC" w:rsidRPr="001C3F58" w:rsidRDefault="00EC7A8B" w:rsidP="00EC7A8B">
            <w:pPr>
              <w:pStyle w:val="ListParagraph"/>
              <w:spacing w:after="0"/>
              <w:ind w:left="0"/>
              <w:jc w:val="both"/>
              <w:rPr>
                <w:rFonts w:asciiTheme="majorHAnsi" w:hAnsiTheme="majorHAnsi"/>
                <w:sz w:val="18"/>
                <w:szCs w:val="18"/>
              </w:rPr>
            </w:pPr>
            <w:r w:rsidRPr="001C3F58">
              <w:rPr>
                <w:rFonts w:asciiTheme="majorHAnsi" w:hAnsiTheme="majorHAnsi"/>
                <w:sz w:val="18"/>
                <w:szCs w:val="18"/>
              </w:rPr>
              <w:t>15% (26</w:t>
            </w:r>
            <w:r w:rsidR="00F319AC" w:rsidRPr="001C3F58">
              <w:rPr>
                <w:rFonts w:asciiTheme="majorHAnsi" w:hAnsiTheme="majorHAnsi"/>
                <w:sz w:val="18"/>
                <w:szCs w:val="18"/>
              </w:rPr>
              <w:t>)</w:t>
            </w:r>
          </w:p>
        </w:tc>
      </w:tr>
      <w:tr w:rsidR="00F319AC" w:rsidRPr="001C3F58" w14:paraId="0FB2654E" w14:textId="77777777" w:rsidTr="001C3F58">
        <w:tc>
          <w:tcPr>
            <w:tcW w:w="1331" w:type="dxa"/>
            <w:tcBorders>
              <w:bottom w:val="single" w:sz="4" w:space="0" w:color="auto"/>
            </w:tcBorders>
          </w:tcPr>
          <w:p w14:paraId="28D770C7"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Borders>
              <w:bottom w:val="single" w:sz="4" w:space="0" w:color="auto"/>
            </w:tcBorders>
          </w:tcPr>
          <w:p w14:paraId="6C0E3F95"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Not known</w:t>
            </w:r>
          </w:p>
        </w:tc>
        <w:tc>
          <w:tcPr>
            <w:tcW w:w="1984" w:type="dxa"/>
            <w:tcBorders>
              <w:bottom w:val="single" w:sz="4" w:space="0" w:color="auto"/>
            </w:tcBorders>
          </w:tcPr>
          <w:p w14:paraId="79AA274B" w14:textId="77777777" w:rsidR="00F319AC" w:rsidRPr="001C3F58" w:rsidRDefault="006627ED" w:rsidP="00EC7A8B">
            <w:pPr>
              <w:pStyle w:val="ListParagraph"/>
              <w:spacing w:after="0"/>
              <w:ind w:left="0"/>
              <w:jc w:val="both"/>
              <w:rPr>
                <w:rFonts w:asciiTheme="majorHAnsi" w:hAnsiTheme="majorHAnsi"/>
                <w:sz w:val="18"/>
                <w:szCs w:val="18"/>
              </w:rPr>
            </w:pPr>
            <w:r w:rsidRPr="001C3F58">
              <w:rPr>
                <w:rFonts w:asciiTheme="majorHAnsi" w:hAnsiTheme="majorHAnsi"/>
                <w:sz w:val="18"/>
                <w:szCs w:val="18"/>
              </w:rPr>
              <w:t>2% (</w:t>
            </w:r>
            <w:r w:rsidR="00EC7A8B" w:rsidRPr="001C3F58">
              <w:rPr>
                <w:rFonts w:asciiTheme="majorHAnsi" w:hAnsiTheme="majorHAnsi"/>
                <w:sz w:val="18"/>
                <w:szCs w:val="18"/>
              </w:rPr>
              <w:t>4</w:t>
            </w:r>
            <w:r w:rsidR="00F319AC" w:rsidRPr="001C3F58">
              <w:rPr>
                <w:rFonts w:asciiTheme="majorHAnsi" w:hAnsiTheme="majorHAnsi"/>
                <w:sz w:val="18"/>
                <w:szCs w:val="18"/>
              </w:rPr>
              <w:t>)</w:t>
            </w:r>
          </w:p>
        </w:tc>
      </w:tr>
      <w:tr w:rsidR="00F319AC" w:rsidRPr="001C3F58" w14:paraId="35CAD45E" w14:textId="77777777" w:rsidTr="001C3F58">
        <w:tc>
          <w:tcPr>
            <w:tcW w:w="1331" w:type="dxa"/>
            <w:tcBorders>
              <w:top w:val="single" w:sz="4" w:space="0" w:color="auto"/>
              <w:bottom w:val="nil"/>
            </w:tcBorders>
          </w:tcPr>
          <w:p w14:paraId="49E51AF5"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Specialty</w:t>
            </w:r>
          </w:p>
        </w:tc>
        <w:tc>
          <w:tcPr>
            <w:tcW w:w="2310" w:type="dxa"/>
            <w:tcBorders>
              <w:top w:val="single" w:sz="4" w:space="0" w:color="auto"/>
              <w:bottom w:val="nil"/>
            </w:tcBorders>
          </w:tcPr>
          <w:p w14:paraId="7547F6A0"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MFU</w:t>
            </w:r>
          </w:p>
        </w:tc>
        <w:tc>
          <w:tcPr>
            <w:tcW w:w="1984" w:type="dxa"/>
            <w:tcBorders>
              <w:top w:val="single" w:sz="4" w:space="0" w:color="auto"/>
              <w:bottom w:val="nil"/>
            </w:tcBorders>
          </w:tcPr>
          <w:p w14:paraId="64CD5F38" w14:textId="77777777" w:rsidR="00F319AC" w:rsidRPr="001C3F58" w:rsidRDefault="00EC7A8B"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53% (90</w:t>
            </w:r>
            <w:r w:rsidR="00F319AC" w:rsidRPr="001C3F58">
              <w:rPr>
                <w:rFonts w:asciiTheme="majorHAnsi" w:hAnsiTheme="majorHAnsi"/>
                <w:sz w:val="18"/>
                <w:szCs w:val="18"/>
              </w:rPr>
              <w:t>)</w:t>
            </w:r>
          </w:p>
        </w:tc>
      </w:tr>
      <w:tr w:rsidR="00F319AC" w:rsidRPr="001C3F58" w14:paraId="64CD4D88" w14:textId="77777777" w:rsidTr="001C3F58">
        <w:tc>
          <w:tcPr>
            <w:tcW w:w="1331" w:type="dxa"/>
            <w:tcBorders>
              <w:top w:val="nil"/>
            </w:tcBorders>
          </w:tcPr>
          <w:p w14:paraId="4141D8A4"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Borders>
              <w:top w:val="nil"/>
            </w:tcBorders>
          </w:tcPr>
          <w:p w14:paraId="1620D1CA"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ENT</w:t>
            </w:r>
          </w:p>
        </w:tc>
        <w:tc>
          <w:tcPr>
            <w:tcW w:w="1984" w:type="dxa"/>
            <w:tcBorders>
              <w:top w:val="nil"/>
            </w:tcBorders>
          </w:tcPr>
          <w:p w14:paraId="041CED6E" w14:textId="77777777" w:rsidR="00F319AC" w:rsidRPr="001C3F58" w:rsidRDefault="00EC7A8B"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46% (79</w:t>
            </w:r>
            <w:r w:rsidR="00F319AC" w:rsidRPr="001C3F58">
              <w:rPr>
                <w:rFonts w:asciiTheme="majorHAnsi" w:hAnsiTheme="majorHAnsi"/>
                <w:sz w:val="18"/>
                <w:szCs w:val="18"/>
              </w:rPr>
              <w:t>)</w:t>
            </w:r>
          </w:p>
        </w:tc>
      </w:tr>
      <w:tr w:rsidR="00F319AC" w:rsidRPr="001C3F58" w14:paraId="0CCAB73B" w14:textId="77777777" w:rsidTr="001C3F58">
        <w:tc>
          <w:tcPr>
            <w:tcW w:w="1331" w:type="dxa"/>
            <w:tcBorders>
              <w:bottom w:val="single" w:sz="4" w:space="0" w:color="auto"/>
            </w:tcBorders>
          </w:tcPr>
          <w:p w14:paraId="33243991"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Borders>
              <w:bottom w:val="single" w:sz="4" w:space="0" w:color="auto"/>
            </w:tcBorders>
          </w:tcPr>
          <w:p w14:paraId="0FC13D61"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Not known</w:t>
            </w:r>
          </w:p>
        </w:tc>
        <w:tc>
          <w:tcPr>
            <w:tcW w:w="1984" w:type="dxa"/>
            <w:tcBorders>
              <w:bottom w:val="single" w:sz="4" w:space="0" w:color="auto"/>
            </w:tcBorders>
          </w:tcPr>
          <w:p w14:paraId="035C7394" w14:textId="77777777" w:rsidR="00F319AC" w:rsidRPr="001C3F58" w:rsidRDefault="00EC7A8B"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0.6</w:t>
            </w:r>
            <w:r w:rsidR="006627ED" w:rsidRPr="001C3F58">
              <w:rPr>
                <w:rFonts w:asciiTheme="majorHAnsi" w:hAnsiTheme="majorHAnsi"/>
                <w:sz w:val="18"/>
                <w:szCs w:val="18"/>
              </w:rPr>
              <w:t>% (1)</w:t>
            </w:r>
          </w:p>
        </w:tc>
      </w:tr>
      <w:tr w:rsidR="00F319AC" w:rsidRPr="001C3F58" w14:paraId="3FE0DD1D" w14:textId="77777777" w:rsidTr="001C3F58">
        <w:tc>
          <w:tcPr>
            <w:tcW w:w="1331" w:type="dxa"/>
            <w:tcBorders>
              <w:top w:val="single" w:sz="4" w:space="0" w:color="auto"/>
              <w:bottom w:val="nil"/>
            </w:tcBorders>
          </w:tcPr>
          <w:p w14:paraId="57E40A54"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Tumour site</w:t>
            </w:r>
          </w:p>
        </w:tc>
        <w:tc>
          <w:tcPr>
            <w:tcW w:w="2310" w:type="dxa"/>
            <w:tcBorders>
              <w:top w:val="single" w:sz="4" w:space="0" w:color="auto"/>
              <w:bottom w:val="nil"/>
            </w:tcBorders>
          </w:tcPr>
          <w:p w14:paraId="626D25AF"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Oral</w:t>
            </w:r>
          </w:p>
        </w:tc>
        <w:tc>
          <w:tcPr>
            <w:tcW w:w="1984" w:type="dxa"/>
            <w:tcBorders>
              <w:top w:val="single" w:sz="4" w:space="0" w:color="auto"/>
              <w:bottom w:val="nil"/>
            </w:tcBorders>
          </w:tcPr>
          <w:p w14:paraId="104B9D5E" w14:textId="77777777" w:rsidR="00F319AC" w:rsidRPr="001C3F58" w:rsidRDefault="00EC7A8B"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37% (63</w:t>
            </w:r>
            <w:r w:rsidR="00F319AC" w:rsidRPr="001C3F58">
              <w:rPr>
                <w:rFonts w:asciiTheme="majorHAnsi" w:hAnsiTheme="majorHAnsi"/>
                <w:sz w:val="18"/>
                <w:szCs w:val="18"/>
              </w:rPr>
              <w:t>)</w:t>
            </w:r>
          </w:p>
        </w:tc>
      </w:tr>
      <w:tr w:rsidR="00F319AC" w:rsidRPr="001C3F58" w14:paraId="7F946AFB" w14:textId="77777777" w:rsidTr="001C3F58">
        <w:tc>
          <w:tcPr>
            <w:tcW w:w="1331" w:type="dxa"/>
            <w:tcBorders>
              <w:top w:val="nil"/>
            </w:tcBorders>
          </w:tcPr>
          <w:p w14:paraId="308F83B1"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Borders>
              <w:top w:val="nil"/>
            </w:tcBorders>
          </w:tcPr>
          <w:p w14:paraId="0CBBF532"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Oro-pharyngeal</w:t>
            </w:r>
          </w:p>
        </w:tc>
        <w:tc>
          <w:tcPr>
            <w:tcW w:w="1984" w:type="dxa"/>
            <w:tcBorders>
              <w:top w:val="nil"/>
            </w:tcBorders>
          </w:tcPr>
          <w:p w14:paraId="21BA351D" w14:textId="77777777" w:rsidR="00F319AC" w:rsidRPr="001C3F58" w:rsidRDefault="00EC7A8B"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21% (3</w:t>
            </w:r>
            <w:r w:rsidR="006627ED" w:rsidRPr="001C3F58">
              <w:rPr>
                <w:rFonts w:asciiTheme="majorHAnsi" w:hAnsiTheme="majorHAnsi"/>
                <w:sz w:val="18"/>
                <w:szCs w:val="18"/>
              </w:rPr>
              <w:t>5</w:t>
            </w:r>
            <w:r w:rsidR="00F319AC" w:rsidRPr="001C3F58">
              <w:rPr>
                <w:rFonts w:asciiTheme="majorHAnsi" w:hAnsiTheme="majorHAnsi"/>
                <w:sz w:val="18"/>
                <w:szCs w:val="18"/>
              </w:rPr>
              <w:t>)</w:t>
            </w:r>
          </w:p>
        </w:tc>
      </w:tr>
      <w:tr w:rsidR="00F319AC" w:rsidRPr="001C3F58" w14:paraId="15239A66" w14:textId="77777777" w:rsidTr="001C3F58">
        <w:tc>
          <w:tcPr>
            <w:tcW w:w="1331" w:type="dxa"/>
          </w:tcPr>
          <w:p w14:paraId="7BD90A07"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Pr>
          <w:p w14:paraId="5062AFA5"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Laryngeal</w:t>
            </w:r>
          </w:p>
        </w:tc>
        <w:tc>
          <w:tcPr>
            <w:tcW w:w="1984" w:type="dxa"/>
          </w:tcPr>
          <w:p w14:paraId="74F92594" w14:textId="77777777" w:rsidR="00F319AC" w:rsidRPr="001C3F58" w:rsidRDefault="00EC7A8B"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21% (36</w:t>
            </w:r>
            <w:r w:rsidR="00F319AC" w:rsidRPr="001C3F58">
              <w:rPr>
                <w:rFonts w:asciiTheme="majorHAnsi" w:hAnsiTheme="majorHAnsi"/>
                <w:sz w:val="18"/>
                <w:szCs w:val="18"/>
              </w:rPr>
              <w:t>)</w:t>
            </w:r>
          </w:p>
        </w:tc>
      </w:tr>
      <w:tr w:rsidR="00F319AC" w:rsidRPr="001C3F58" w14:paraId="44A42E10" w14:textId="77777777" w:rsidTr="001C3F58">
        <w:tc>
          <w:tcPr>
            <w:tcW w:w="1331" w:type="dxa"/>
            <w:tcBorders>
              <w:bottom w:val="single" w:sz="4" w:space="0" w:color="auto"/>
            </w:tcBorders>
          </w:tcPr>
          <w:p w14:paraId="11E709CF"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Borders>
              <w:bottom w:val="single" w:sz="4" w:space="0" w:color="auto"/>
            </w:tcBorders>
          </w:tcPr>
          <w:p w14:paraId="676FFA00"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Other</w:t>
            </w:r>
          </w:p>
        </w:tc>
        <w:tc>
          <w:tcPr>
            <w:tcW w:w="1984" w:type="dxa"/>
            <w:tcBorders>
              <w:bottom w:val="single" w:sz="4" w:space="0" w:color="auto"/>
            </w:tcBorders>
          </w:tcPr>
          <w:p w14:paraId="4DD6CDDB" w14:textId="77777777" w:rsidR="00F319AC" w:rsidRPr="001C3F58" w:rsidRDefault="00EC7A8B"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21% (36</w:t>
            </w:r>
            <w:r w:rsidR="00F319AC" w:rsidRPr="001C3F58">
              <w:rPr>
                <w:rFonts w:asciiTheme="majorHAnsi" w:hAnsiTheme="majorHAnsi"/>
                <w:sz w:val="18"/>
                <w:szCs w:val="18"/>
              </w:rPr>
              <w:t>)</w:t>
            </w:r>
          </w:p>
        </w:tc>
      </w:tr>
      <w:tr w:rsidR="00F319AC" w:rsidRPr="001C3F58" w14:paraId="5BC79692" w14:textId="77777777" w:rsidTr="001C3F58">
        <w:tc>
          <w:tcPr>
            <w:tcW w:w="1331" w:type="dxa"/>
            <w:tcBorders>
              <w:top w:val="single" w:sz="4" w:space="0" w:color="auto"/>
              <w:bottom w:val="nil"/>
            </w:tcBorders>
          </w:tcPr>
          <w:p w14:paraId="6987FE0B"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Histology</w:t>
            </w:r>
          </w:p>
        </w:tc>
        <w:tc>
          <w:tcPr>
            <w:tcW w:w="2310" w:type="dxa"/>
            <w:tcBorders>
              <w:top w:val="single" w:sz="4" w:space="0" w:color="auto"/>
              <w:bottom w:val="nil"/>
            </w:tcBorders>
          </w:tcPr>
          <w:p w14:paraId="2129CADC"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SCC</w:t>
            </w:r>
          </w:p>
        </w:tc>
        <w:tc>
          <w:tcPr>
            <w:tcW w:w="1984" w:type="dxa"/>
            <w:tcBorders>
              <w:top w:val="single" w:sz="4" w:space="0" w:color="auto"/>
              <w:bottom w:val="nil"/>
            </w:tcBorders>
          </w:tcPr>
          <w:p w14:paraId="5B580BBF" w14:textId="77777777" w:rsidR="00F319AC" w:rsidRPr="001C3F58" w:rsidRDefault="00EC7A8B"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84% (143</w:t>
            </w:r>
            <w:r w:rsidR="00F319AC" w:rsidRPr="001C3F58">
              <w:rPr>
                <w:rFonts w:asciiTheme="majorHAnsi" w:hAnsiTheme="majorHAnsi"/>
                <w:sz w:val="18"/>
                <w:szCs w:val="18"/>
              </w:rPr>
              <w:t>)</w:t>
            </w:r>
          </w:p>
        </w:tc>
      </w:tr>
      <w:tr w:rsidR="00F319AC" w:rsidRPr="001C3F58" w14:paraId="60418491" w14:textId="77777777" w:rsidTr="001C3F58">
        <w:tc>
          <w:tcPr>
            <w:tcW w:w="1331" w:type="dxa"/>
            <w:tcBorders>
              <w:top w:val="nil"/>
            </w:tcBorders>
          </w:tcPr>
          <w:p w14:paraId="12E8465E"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Borders>
              <w:top w:val="nil"/>
            </w:tcBorders>
          </w:tcPr>
          <w:p w14:paraId="73E04A21"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Not SCC</w:t>
            </w:r>
          </w:p>
        </w:tc>
        <w:tc>
          <w:tcPr>
            <w:tcW w:w="1984" w:type="dxa"/>
            <w:tcBorders>
              <w:top w:val="nil"/>
            </w:tcBorders>
          </w:tcPr>
          <w:p w14:paraId="7E88C6DA" w14:textId="77777777" w:rsidR="00F319AC" w:rsidRPr="001C3F58" w:rsidRDefault="00EC7A8B"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15% (26</w:t>
            </w:r>
            <w:r w:rsidR="00F319AC" w:rsidRPr="001C3F58">
              <w:rPr>
                <w:rFonts w:asciiTheme="majorHAnsi" w:hAnsiTheme="majorHAnsi"/>
                <w:sz w:val="18"/>
                <w:szCs w:val="18"/>
              </w:rPr>
              <w:t>)</w:t>
            </w:r>
          </w:p>
        </w:tc>
      </w:tr>
      <w:tr w:rsidR="00F319AC" w:rsidRPr="001C3F58" w14:paraId="5AFD0498" w14:textId="77777777" w:rsidTr="001C3F58">
        <w:tc>
          <w:tcPr>
            <w:tcW w:w="1331" w:type="dxa"/>
            <w:tcBorders>
              <w:bottom w:val="single" w:sz="4" w:space="0" w:color="auto"/>
            </w:tcBorders>
          </w:tcPr>
          <w:p w14:paraId="4C8793C1"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Borders>
              <w:bottom w:val="single" w:sz="4" w:space="0" w:color="auto"/>
            </w:tcBorders>
          </w:tcPr>
          <w:p w14:paraId="083C2E3B"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Not known</w:t>
            </w:r>
          </w:p>
        </w:tc>
        <w:tc>
          <w:tcPr>
            <w:tcW w:w="1984" w:type="dxa"/>
            <w:tcBorders>
              <w:bottom w:val="single" w:sz="4" w:space="0" w:color="auto"/>
            </w:tcBorders>
          </w:tcPr>
          <w:p w14:paraId="07C63C1E" w14:textId="77777777" w:rsidR="00F319AC" w:rsidRPr="001C3F58" w:rsidRDefault="006627ED" w:rsidP="00EC7A8B">
            <w:pPr>
              <w:pStyle w:val="ListParagraph"/>
              <w:spacing w:after="0"/>
              <w:ind w:left="0"/>
              <w:jc w:val="both"/>
              <w:rPr>
                <w:rFonts w:asciiTheme="majorHAnsi" w:hAnsiTheme="majorHAnsi"/>
                <w:sz w:val="18"/>
                <w:szCs w:val="18"/>
              </w:rPr>
            </w:pPr>
            <w:r w:rsidRPr="001C3F58">
              <w:rPr>
                <w:rFonts w:asciiTheme="majorHAnsi" w:hAnsiTheme="majorHAnsi"/>
                <w:sz w:val="18"/>
                <w:szCs w:val="18"/>
              </w:rPr>
              <w:t>0.</w:t>
            </w:r>
            <w:r w:rsidR="00EC7A8B" w:rsidRPr="001C3F58">
              <w:rPr>
                <w:rFonts w:asciiTheme="majorHAnsi" w:hAnsiTheme="majorHAnsi"/>
                <w:sz w:val="18"/>
                <w:szCs w:val="18"/>
              </w:rPr>
              <w:t>6</w:t>
            </w:r>
            <w:r w:rsidRPr="001C3F58">
              <w:rPr>
                <w:rFonts w:asciiTheme="majorHAnsi" w:hAnsiTheme="majorHAnsi"/>
                <w:sz w:val="18"/>
                <w:szCs w:val="18"/>
              </w:rPr>
              <w:t>% (1)</w:t>
            </w:r>
          </w:p>
        </w:tc>
      </w:tr>
      <w:tr w:rsidR="00F319AC" w:rsidRPr="001C3F58" w14:paraId="555E6EC6" w14:textId="77777777" w:rsidTr="001C3F58">
        <w:tc>
          <w:tcPr>
            <w:tcW w:w="1331" w:type="dxa"/>
            <w:tcBorders>
              <w:top w:val="single" w:sz="4" w:space="0" w:color="auto"/>
              <w:bottom w:val="nil"/>
            </w:tcBorders>
          </w:tcPr>
          <w:p w14:paraId="37A60FD0"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 xml:space="preserve">Overall </w:t>
            </w:r>
          </w:p>
        </w:tc>
        <w:tc>
          <w:tcPr>
            <w:tcW w:w="2310" w:type="dxa"/>
            <w:tcBorders>
              <w:top w:val="single" w:sz="4" w:space="0" w:color="auto"/>
              <w:bottom w:val="nil"/>
            </w:tcBorders>
          </w:tcPr>
          <w:p w14:paraId="78B97B2C"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1</w:t>
            </w:r>
          </w:p>
        </w:tc>
        <w:tc>
          <w:tcPr>
            <w:tcW w:w="1984" w:type="dxa"/>
            <w:tcBorders>
              <w:top w:val="single" w:sz="4" w:space="0" w:color="auto"/>
              <w:bottom w:val="nil"/>
            </w:tcBorders>
          </w:tcPr>
          <w:p w14:paraId="7EB7344D" w14:textId="77777777" w:rsidR="00F319AC" w:rsidRPr="001C3F58" w:rsidRDefault="0041249D"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29</w:t>
            </w:r>
            <w:r w:rsidR="00EC7A8B" w:rsidRPr="001C3F58">
              <w:rPr>
                <w:rFonts w:asciiTheme="majorHAnsi" w:hAnsiTheme="majorHAnsi"/>
                <w:sz w:val="18"/>
                <w:szCs w:val="18"/>
              </w:rPr>
              <w:t>% (50</w:t>
            </w:r>
            <w:r w:rsidR="00F319AC" w:rsidRPr="001C3F58">
              <w:rPr>
                <w:rFonts w:asciiTheme="majorHAnsi" w:hAnsiTheme="majorHAnsi"/>
                <w:sz w:val="18"/>
                <w:szCs w:val="18"/>
              </w:rPr>
              <w:t>)</w:t>
            </w:r>
          </w:p>
        </w:tc>
      </w:tr>
      <w:tr w:rsidR="00F319AC" w:rsidRPr="001C3F58" w14:paraId="1D336798" w14:textId="77777777" w:rsidTr="001C3F58">
        <w:tc>
          <w:tcPr>
            <w:tcW w:w="1331" w:type="dxa"/>
            <w:tcBorders>
              <w:top w:val="nil"/>
            </w:tcBorders>
          </w:tcPr>
          <w:p w14:paraId="22CC8510"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P stage</w:t>
            </w:r>
          </w:p>
        </w:tc>
        <w:tc>
          <w:tcPr>
            <w:tcW w:w="2310" w:type="dxa"/>
            <w:tcBorders>
              <w:top w:val="nil"/>
            </w:tcBorders>
          </w:tcPr>
          <w:p w14:paraId="1B197634"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2</w:t>
            </w:r>
          </w:p>
        </w:tc>
        <w:tc>
          <w:tcPr>
            <w:tcW w:w="1984" w:type="dxa"/>
            <w:tcBorders>
              <w:top w:val="nil"/>
            </w:tcBorders>
          </w:tcPr>
          <w:p w14:paraId="3AD875FE" w14:textId="77777777" w:rsidR="00F319AC" w:rsidRPr="001C3F58" w:rsidRDefault="0041249D"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18</w:t>
            </w:r>
            <w:r w:rsidR="00EC7A8B" w:rsidRPr="001C3F58">
              <w:rPr>
                <w:rFonts w:asciiTheme="majorHAnsi" w:hAnsiTheme="majorHAnsi"/>
                <w:sz w:val="18"/>
                <w:szCs w:val="18"/>
              </w:rPr>
              <w:t>% (31</w:t>
            </w:r>
            <w:r w:rsidR="00F319AC" w:rsidRPr="001C3F58">
              <w:rPr>
                <w:rFonts w:asciiTheme="majorHAnsi" w:hAnsiTheme="majorHAnsi"/>
                <w:sz w:val="18"/>
                <w:szCs w:val="18"/>
              </w:rPr>
              <w:t>)</w:t>
            </w:r>
          </w:p>
        </w:tc>
      </w:tr>
      <w:tr w:rsidR="00F319AC" w:rsidRPr="001C3F58" w14:paraId="19FFE21C" w14:textId="77777777" w:rsidTr="001C3F58">
        <w:tc>
          <w:tcPr>
            <w:tcW w:w="1331" w:type="dxa"/>
          </w:tcPr>
          <w:p w14:paraId="5819EF49"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Pr>
          <w:p w14:paraId="75FD9EC7"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3</w:t>
            </w:r>
          </w:p>
        </w:tc>
        <w:tc>
          <w:tcPr>
            <w:tcW w:w="1984" w:type="dxa"/>
          </w:tcPr>
          <w:p w14:paraId="1DC141A4" w14:textId="77777777" w:rsidR="00F319AC" w:rsidRPr="001C3F58" w:rsidRDefault="00EC7A8B"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11% (18</w:t>
            </w:r>
            <w:r w:rsidR="00F319AC" w:rsidRPr="001C3F58">
              <w:rPr>
                <w:rFonts w:asciiTheme="majorHAnsi" w:hAnsiTheme="majorHAnsi"/>
                <w:sz w:val="18"/>
                <w:szCs w:val="18"/>
              </w:rPr>
              <w:t>)</w:t>
            </w:r>
          </w:p>
        </w:tc>
      </w:tr>
      <w:tr w:rsidR="00F319AC" w:rsidRPr="001C3F58" w14:paraId="7B694088" w14:textId="77777777" w:rsidTr="001C3F58">
        <w:tc>
          <w:tcPr>
            <w:tcW w:w="1331" w:type="dxa"/>
          </w:tcPr>
          <w:p w14:paraId="08920220"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Pr>
          <w:p w14:paraId="646830B5"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4</w:t>
            </w:r>
          </w:p>
        </w:tc>
        <w:tc>
          <w:tcPr>
            <w:tcW w:w="1984" w:type="dxa"/>
          </w:tcPr>
          <w:p w14:paraId="0C217A9B" w14:textId="77777777" w:rsidR="00F319AC" w:rsidRPr="001C3F58" w:rsidRDefault="0041249D" w:rsidP="0041249D">
            <w:pPr>
              <w:pStyle w:val="ListParagraph"/>
              <w:spacing w:after="0"/>
              <w:ind w:left="0"/>
              <w:jc w:val="both"/>
              <w:rPr>
                <w:rFonts w:asciiTheme="majorHAnsi" w:hAnsiTheme="majorHAnsi"/>
                <w:sz w:val="18"/>
                <w:szCs w:val="18"/>
              </w:rPr>
            </w:pPr>
            <w:r w:rsidRPr="001C3F58">
              <w:rPr>
                <w:rFonts w:asciiTheme="majorHAnsi" w:hAnsiTheme="majorHAnsi"/>
                <w:sz w:val="18"/>
                <w:szCs w:val="18"/>
              </w:rPr>
              <w:t>29</w:t>
            </w:r>
            <w:r w:rsidR="006627ED" w:rsidRPr="001C3F58">
              <w:rPr>
                <w:rFonts w:asciiTheme="majorHAnsi" w:hAnsiTheme="majorHAnsi"/>
                <w:sz w:val="18"/>
                <w:szCs w:val="18"/>
              </w:rPr>
              <w:t>% (5</w:t>
            </w:r>
            <w:r w:rsidRPr="001C3F58">
              <w:rPr>
                <w:rFonts w:asciiTheme="majorHAnsi" w:hAnsiTheme="majorHAnsi"/>
                <w:sz w:val="18"/>
                <w:szCs w:val="18"/>
              </w:rPr>
              <w:t>0</w:t>
            </w:r>
            <w:r w:rsidR="00F319AC" w:rsidRPr="001C3F58">
              <w:rPr>
                <w:rFonts w:asciiTheme="majorHAnsi" w:hAnsiTheme="majorHAnsi"/>
                <w:sz w:val="18"/>
                <w:szCs w:val="18"/>
              </w:rPr>
              <w:t>)</w:t>
            </w:r>
          </w:p>
        </w:tc>
      </w:tr>
      <w:tr w:rsidR="00F319AC" w:rsidRPr="001C3F58" w14:paraId="31D3AA7D" w14:textId="77777777" w:rsidTr="001C3F58">
        <w:tc>
          <w:tcPr>
            <w:tcW w:w="1331" w:type="dxa"/>
            <w:tcBorders>
              <w:bottom w:val="single" w:sz="4" w:space="0" w:color="auto"/>
            </w:tcBorders>
          </w:tcPr>
          <w:p w14:paraId="0FDD9267"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Borders>
              <w:bottom w:val="single" w:sz="4" w:space="0" w:color="auto"/>
            </w:tcBorders>
          </w:tcPr>
          <w:p w14:paraId="42462999"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Not known</w:t>
            </w:r>
          </w:p>
        </w:tc>
        <w:tc>
          <w:tcPr>
            <w:tcW w:w="1984" w:type="dxa"/>
            <w:tcBorders>
              <w:bottom w:val="single" w:sz="4" w:space="0" w:color="auto"/>
            </w:tcBorders>
          </w:tcPr>
          <w:p w14:paraId="18B6A48E" w14:textId="77777777" w:rsidR="00F319AC" w:rsidRPr="001C3F58" w:rsidRDefault="0041249D" w:rsidP="0041249D">
            <w:pPr>
              <w:pStyle w:val="ListParagraph"/>
              <w:spacing w:after="0"/>
              <w:ind w:left="0"/>
              <w:jc w:val="both"/>
              <w:rPr>
                <w:rFonts w:asciiTheme="majorHAnsi" w:hAnsiTheme="majorHAnsi"/>
                <w:sz w:val="18"/>
                <w:szCs w:val="18"/>
              </w:rPr>
            </w:pPr>
            <w:r w:rsidRPr="001C3F58">
              <w:rPr>
                <w:rFonts w:asciiTheme="majorHAnsi" w:hAnsiTheme="majorHAnsi"/>
                <w:sz w:val="18"/>
                <w:szCs w:val="18"/>
              </w:rPr>
              <w:t>12% (2</w:t>
            </w:r>
            <w:r w:rsidR="006627ED" w:rsidRPr="001C3F58">
              <w:rPr>
                <w:rFonts w:asciiTheme="majorHAnsi" w:hAnsiTheme="majorHAnsi"/>
                <w:sz w:val="18"/>
                <w:szCs w:val="18"/>
              </w:rPr>
              <w:t>1</w:t>
            </w:r>
            <w:r w:rsidR="00F319AC" w:rsidRPr="001C3F58">
              <w:rPr>
                <w:rFonts w:asciiTheme="majorHAnsi" w:hAnsiTheme="majorHAnsi"/>
                <w:sz w:val="18"/>
                <w:szCs w:val="18"/>
              </w:rPr>
              <w:t>)</w:t>
            </w:r>
          </w:p>
        </w:tc>
      </w:tr>
      <w:tr w:rsidR="00F319AC" w:rsidRPr="001C3F58" w14:paraId="508F73D0" w14:textId="77777777" w:rsidTr="001C3F58">
        <w:tc>
          <w:tcPr>
            <w:tcW w:w="1331" w:type="dxa"/>
            <w:tcBorders>
              <w:top w:val="single" w:sz="4" w:space="0" w:color="auto"/>
              <w:bottom w:val="nil"/>
            </w:tcBorders>
          </w:tcPr>
          <w:p w14:paraId="20403B27"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Primary</w:t>
            </w:r>
          </w:p>
        </w:tc>
        <w:tc>
          <w:tcPr>
            <w:tcW w:w="2310" w:type="dxa"/>
            <w:tcBorders>
              <w:top w:val="single" w:sz="4" w:space="0" w:color="auto"/>
              <w:bottom w:val="nil"/>
            </w:tcBorders>
          </w:tcPr>
          <w:p w14:paraId="5B2A146B"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Surgery only</w:t>
            </w:r>
          </w:p>
        </w:tc>
        <w:tc>
          <w:tcPr>
            <w:tcW w:w="1984" w:type="dxa"/>
            <w:tcBorders>
              <w:top w:val="single" w:sz="4" w:space="0" w:color="auto"/>
              <w:bottom w:val="nil"/>
            </w:tcBorders>
          </w:tcPr>
          <w:p w14:paraId="785E311F" w14:textId="77777777" w:rsidR="00F319AC" w:rsidRPr="001C3F58" w:rsidRDefault="0041249D"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46% (78</w:t>
            </w:r>
            <w:r w:rsidR="00F319AC" w:rsidRPr="001C3F58">
              <w:rPr>
                <w:rFonts w:asciiTheme="majorHAnsi" w:hAnsiTheme="majorHAnsi"/>
                <w:sz w:val="18"/>
                <w:szCs w:val="18"/>
              </w:rPr>
              <w:t>)</w:t>
            </w:r>
          </w:p>
        </w:tc>
      </w:tr>
      <w:tr w:rsidR="00F319AC" w:rsidRPr="001C3F58" w14:paraId="497A17C5" w14:textId="77777777" w:rsidTr="001C3F58">
        <w:tc>
          <w:tcPr>
            <w:tcW w:w="1331" w:type="dxa"/>
            <w:tcBorders>
              <w:top w:val="nil"/>
            </w:tcBorders>
          </w:tcPr>
          <w:p w14:paraId="2A5ACEA7"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Treatment</w:t>
            </w:r>
          </w:p>
        </w:tc>
        <w:tc>
          <w:tcPr>
            <w:tcW w:w="2310" w:type="dxa"/>
            <w:tcBorders>
              <w:top w:val="nil"/>
            </w:tcBorders>
          </w:tcPr>
          <w:p w14:paraId="78B69935"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Surgery + RT/CRT</w:t>
            </w:r>
          </w:p>
        </w:tc>
        <w:tc>
          <w:tcPr>
            <w:tcW w:w="1984" w:type="dxa"/>
            <w:tcBorders>
              <w:top w:val="nil"/>
            </w:tcBorders>
          </w:tcPr>
          <w:p w14:paraId="10207D78" w14:textId="77777777" w:rsidR="00F319AC" w:rsidRPr="001C3F58" w:rsidRDefault="0041249D"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38% (64</w:t>
            </w:r>
            <w:r w:rsidR="00F319AC" w:rsidRPr="001C3F58">
              <w:rPr>
                <w:rFonts w:asciiTheme="majorHAnsi" w:hAnsiTheme="majorHAnsi"/>
                <w:sz w:val="18"/>
                <w:szCs w:val="18"/>
              </w:rPr>
              <w:t>)</w:t>
            </w:r>
          </w:p>
        </w:tc>
      </w:tr>
      <w:tr w:rsidR="00F319AC" w:rsidRPr="001C3F58" w14:paraId="5D70B5C9" w14:textId="77777777" w:rsidTr="001C3F58">
        <w:tc>
          <w:tcPr>
            <w:tcW w:w="1331" w:type="dxa"/>
          </w:tcPr>
          <w:p w14:paraId="6BEEBCBA"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Pr>
          <w:p w14:paraId="40CB1572"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RT/CRT only</w:t>
            </w:r>
          </w:p>
        </w:tc>
        <w:tc>
          <w:tcPr>
            <w:tcW w:w="1984" w:type="dxa"/>
          </w:tcPr>
          <w:p w14:paraId="4A028337" w14:textId="77777777" w:rsidR="00F319AC" w:rsidRPr="001C3F58" w:rsidRDefault="0041249D" w:rsidP="0041249D">
            <w:pPr>
              <w:pStyle w:val="ListParagraph"/>
              <w:spacing w:after="0"/>
              <w:ind w:left="0"/>
              <w:jc w:val="both"/>
              <w:rPr>
                <w:rFonts w:asciiTheme="majorHAnsi" w:hAnsiTheme="majorHAnsi"/>
                <w:sz w:val="18"/>
                <w:szCs w:val="18"/>
              </w:rPr>
            </w:pPr>
            <w:r w:rsidRPr="001C3F58">
              <w:rPr>
                <w:rFonts w:asciiTheme="majorHAnsi" w:hAnsiTheme="majorHAnsi"/>
                <w:sz w:val="18"/>
                <w:szCs w:val="18"/>
              </w:rPr>
              <w:t>14% (23</w:t>
            </w:r>
            <w:r w:rsidR="00F319AC" w:rsidRPr="001C3F58">
              <w:rPr>
                <w:rFonts w:asciiTheme="majorHAnsi" w:hAnsiTheme="majorHAnsi"/>
                <w:sz w:val="18"/>
                <w:szCs w:val="18"/>
              </w:rPr>
              <w:t>)</w:t>
            </w:r>
          </w:p>
        </w:tc>
      </w:tr>
      <w:tr w:rsidR="00F319AC" w:rsidRPr="001C3F58" w14:paraId="1B57C38A" w14:textId="77777777" w:rsidTr="001C3F58">
        <w:tc>
          <w:tcPr>
            <w:tcW w:w="1331" w:type="dxa"/>
            <w:tcBorders>
              <w:bottom w:val="single" w:sz="4" w:space="0" w:color="auto"/>
            </w:tcBorders>
          </w:tcPr>
          <w:p w14:paraId="47FAD3EF" w14:textId="77777777" w:rsidR="00F319AC" w:rsidRPr="001C3F58" w:rsidRDefault="00F319AC" w:rsidP="002E2CDA">
            <w:pPr>
              <w:pStyle w:val="ListParagraph"/>
              <w:spacing w:after="0"/>
              <w:ind w:left="0"/>
              <w:jc w:val="both"/>
              <w:rPr>
                <w:rFonts w:asciiTheme="majorHAnsi" w:hAnsiTheme="majorHAnsi"/>
                <w:sz w:val="18"/>
                <w:szCs w:val="18"/>
              </w:rPr>
            </w:pPr>
          </w:p>
        </w:tc>
        <w:tc>
          <w:tcPr>
            <w:tcW w:w="2310" w:type="dxa"/>
            <w:tcBorders>
              <w:bottom w:val="single" w:sz="4" w:space="0" w:color="auto"/>
            </w:tcBorders>
          </w:tcPr>
          <w:p w14:paraId="7CA15196" w14:textId="77777777" w:rsidR="00F319AC" w:rsidRPr="001C3F58" w:rsidRDefault="00F319A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Not known</w:t>
            </w:r>
          </w:p>
        </w:tc>
        <w:tc>
          <w:tcPr>
            <w:tcW w:w="1984" w:type="dxa"/>
            <w:tcBorders>
              <w:bottom w:val="single" w:sz="4" w:space="0" w:color="auto"/>
            </w:tcBorders>
          </w:tcPr>
          <w:p w14:paraId="53C3D88F" w14:textId="77777777" w:rsidR="00F319AC" w:rsidRPr="001C3F58" w:rsidRDefault="006627ED" w:rsidP="0041249D">
            <w:pPr>
              <w:pStyle w:val="ListParagraph"/>
              <w:spacing w:after="0"/>
              <w:ind w:left="0"/>
              <w:jc w:val="both"/>
              <w:rPr>
                <w:rFonts w:asciiTheme="majorHAnsi" w:hAnsiTheme="majorHAnsi"/>
                <w:sz w:val="18"/>
                <w:szCs w:val="18"/>
              </w:rPr>
            </w:pPr>
            <w:r w:rsidRPr="001C3F58">
              <w:rPr>
                <w:rFonts w:asciiTheme="majorHAnsi" w:hAnsiTheme="majorHAnsi"/>
                <w:sz w:val="18"/>
                <w:szCs w:val="18"/>
              </w:rPr>
              <w:t>3% (</w:t>
            </w:r>
            <w:r w:rsidR="0041249D" w:rsidRPr="001C3F58">
              <w:rPr>
                <w:rFonts w:asciiTheme="majorHAnsi" w:hAnsiTheme="majorHAnsi"/>
                <w:sz w:val="18"/>
                <w:szCs w:val="18"/>
              </w:rPr>
              <w:t>5</w:t>
            </w:r>
            <w:r w:rsidR="00F319AC" w:rsidRPr="001C3F58">
              <w:rPr>
                <w:rFonts w:asciiTheme="majorHAnsi" w:hAnsiTheme="majorHAnsi"/>
                <w:sz w:val="18"/>
                <w:szCs w:val="18"/>
              </w:rPr>
              <w:t>)</w:t>
            </w:r>
          </w:p>
        </w:tc>
      </w:tr>
      <w:tr w:rsidR="004C56CC" w:rsidRPr="001C3F58" w14:paraId="67B5EC55" w14:textId="77777777" w:rsidTr="001C3F58">
        <w:tc>
          <w:tcPr>
            <w:tcW w:w="1331" w:type="dxa"/>
            <w:vMerge w:val="restart"/>
            <w:tcBorders>
              <w:top w:val="single" w:sz="4" w:space="0" w:color="auto"/>
            </w:tcBorders>
          </w:tcPr>
          <w:p w14:paraId="10F53397" w14:textId="77777777" w:rsidR="004C56CC" w:rsidRPr="001C3F58" w:rsidRDefault="004C56C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Free-flap</w:t>
            </w:r>
          </w:p>
          <w:p w14:paraId="29C8F303" w14:textId="77777777" w:rsidR="004C56CC" w:rsidRPr="001C3F58" w:rsidRDefault="004C56CC" w:rsidP="004C56CC">
            <w:pPr>
              <w:pStyle w:val="ListParagraph"/>
              <w:spacing w:after="0"/>
              <w:ind w:left="0"/>
              <w:rPr>
                <w:rFonts w:asciiTheme="majorHAnsi" w:hAnsiTheme="majorHAnsi"/>
                <w:sz w:val="18"/>
                <w:szCs w:val="18"/>
              </w:rPr>
            </w:pPr>
            <w:r w:rsidRPr="001C3F58">
              <w:rPr>
                <w:rFonts w:asciiTheme="majorHAnsi" w:hAnsiTheme="majorHAnsi"/>
                <w:sz w:val="18"/>
                <w:szCs w:val="18"/>
              </w:rPr>
              <w:t>(142 with surgery)</w:t>
            </w:r>
          </w:p>
        </w:tc>
        <w:tc>
          <w:tcPr>
            <w:tcW w:w="2310" w:type="dxa"/>
            <w:tcBorders>
              <w:top w:val="single" w:sz="4" w:space="0" w:color="auto"/>
              <w:bottom w:val="nil"/>
            </w:tcBorders>
          </w:tcPr>
          <w:p w14:paraId="1D1F74B0" w14:textId="77777777" w:rsidR="004C56CC" w:rsidRPr="001C3F58" w:rsidRDefault="004C56C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Surgery without FF</w:t>
            </w:r>
          </w:p>
        </w:tc>
        <w:tc>
          <w:tcPr>
            <w:tcW w:w="1984" w:type="dxa"/>
            <w:tcBorders>
              <w:top w:val="single" w:sz="4" w:space="0" w:color="auto"/>
              <w:bottom w:val="nil"/>
            </w:tcBorders>
          </w:tcPr>
          <w:p w14:paraId="5ACC390F" w14:textId="77777777" w:rsidR="004C56CC" w:rsidRPr="001C3F58" w:rsidRDefault="004C56C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72% (102)</w:t>
            </w:r>
          </w:p>
        </w:tc>
      </w:tr>
      <w:tr w:rsidR="004C56CC" w:rsidRPr="001C3F58" w14:paraId="31F2DA15" w14:textId="77777777" w:rsidTr="001C3F58">
        <w:tc>
          <w:tcPr>
            <w:tcW w:w="1331" w:type="dxa"/>
            <w:vMerge/>
          </w:tcPr>
          <w:p w14:paraId="49386AB2" w14:textId="77777777" w:rsidR="004C56CC" w:rsidRPr="001C3F58" w:rsidRDefault="004C56CC" w:rsidP="002E2CDA">
            <w:pPr>
              <w:pStyle w:val="ListParagraph"/>
              <w:spacing w:after="0"/>
              <w:ind w:left="0"/>
              <w:jc w:val="both"/>
              <w:rPr>
                <w:rFonts w:asciiTheme="majorHAnsi" w:hAnsiTheme="majorHAnsi"/>
                <w:sz w:val="18"/>
                <w:szCs w:val="18"/>
              </w:rPr>
            </w:pPr>
          </w:p>
        </w:tc>
        <w:tc>
          <w:tcPr>
            <w:tcW w:w="2310" w:type="dxa"/>
            <w:tcBorders>
              <w:top w:val="nil"/>
            </w:tcBorders>
          </w:tcPr>
          <w:p w14:paraId="14620522" w14:textId="77777777" w:rsidR="004C56CC" w:rsidRPr="001C3F58" w:rsidRDefault="004C56C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Surgery with FF</w:t>
            </w:r>
          </w:p>
        </w:tc>
        <w:tc>
          <w:tcPr>
            <w:tcW w:w="1984" w:type="dxa"/>
            <w:tcBorders>
              <w:top w:val="nil"/>
            </w:tcBorders>
          </w:tcPr>
          <w:p w14:paraId="0F6BB45C" w14:textId="77777777" w:rsidR="004C56CC" w:rsidRPr="001C3F58" w:rsidRDefault="004C56C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27% (38)</w:t>
            </w:r>
          </w:p>
        </w:tc>
      </w:tr>
      <w:tr w:rsidR="004C56CC" w:rsidRPr="001C3F58" w14:paraId="64ADE5F7" w14:textId="77777777" w:rsidTr="001C3F58">
        <w:tc>
          <w:tcPr>
            <w:tcW w:w="1331" w:type="dxa"/>
            <w:vMerge/>
          </w:tcPr>
          <w:p w14:paraId="4CA514FF" w14:textId="77777777" w:rsidR="004C56CC" w:rsidRPr="001C3F58" w:rsidRDefault="004C56CC" w:rsidP="002E2CDA">
            <w:pPr>
              <w:pStyle w:val="ListParagraph"/>
              <w:spacing w:after="0"/>
              <w:ind w:left="0"/>
              <w:jc w:val="both"/>
              <w:rPr>
                <w:rFonts w:asciiTheme="majorHAnsi" w:hAnsiTheme="majorHAnsi"/>
                <w:sz w:val="18"/>
                <w:szCs w:val="18"/>
              </w:rPr>
            </w:pPr>
          </w:p>
        </w:tc>
        <w:tc>
          <w:tcPr>
            <w:tcW w:w="2310" w:type="dxa"/>
          </w:tcPr>
          <w:p w14:paraId="74234B68" w14:textId="77777777" w:rsidR="004C56CC" w:rsidRPr="001C3F58" w:rsidRDefault="004C56C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Not known</w:t>
            </w:r>
          </w:p>
        </w:tc>
        <w:tc>
          <w:tcPr>
            <w:tcW w:w="1984" w:type="dxa"/>
          </w:tcPr>
          <w:p w14:paraId="0910CDA5" w14:textId="77777777" w:rsidR="004C56CC" w:rsidRPr="001C3F58" w:rsidRDefault="004C56CC" w:rsidP="002E2CDA">
            <w:pPr>
              <w:pStyle w:val="ListParagraph"/>
              <w:spacing w:after="0"/>
              <w:ind w:left="0"/>
              <w:jc w:val="both"/>
              <w:rPr>
                <w:rFonts w:asciiTheme="majorHAnsi" w:hAnsiTheme="majorHAnsi"/>
                <w:sz w:val="18"/>
                <w:szCs w:val="18"/>
              </w:rPr>
            </w:pPr>
            <w:r w:rsidRPr="001C3F58">
              <w:rPr>
                <w:rFonts w:asciiTheme="majorHAnsi" w:hAnsiTheme="majorHAnsi"/>
                <w:sz w:val="18"/>
                <w:szCs w:val="18"/>
              </w:rPr>
              <w:t>1% (2)</w:t>
            </w:r>
          </w:p>
        </w:tc>
      </w:tr>
    </w:tbl>
    <w:p w14:paraId="7E5C2951" w14:textId="77777777" w:rsidR="00F319AC" w:rsidRPr="00075D52" w:rsidRDefault="00F319AC" w:rsidP="00075D52">
      <w:pPr>
        <w:widowControl w:val="0"/>
        <w:autoSpaceDE w:val="0"/>
        <w:autoSpaceDN w:val="0"/>
        <w:adjustRightInd w:val="0"/>
        <w:spacing w:line="360" w:lineRule="auto"/>
        <w:jc w:val="both"/>
        <w:rPr>
          <w:rFonts w:asciiTheme="majorHAnsi" w:hAnsiTheme="majorHAnsi" w:cs="Times New Roman"/>
          <w:b/>
          <w:sz w:val="22"/>
          <w:szCs w:val="22"/>
        </w:rPr>
      </w:pPr>
    </w:p>
    <w:p w14:paraId="30A9FA8B" w14:textId="3365A3B2" w:rsidR="00F319AC" w:rsidRPr="003E6982" w:rsidRDefault="003E6982" w:rsidP="003E6982">
      <w:pPr>
        <w:autoSpaceDE w:val="0"/>
        <w:autoSpaceDN w:val="0"/>
        <w:adjustRightInd w:val="0"/>
        <w:spacing w:line="360" w:lineRule="auto"/>
        <w:rPr>
          <w:rFonts w:asciiTheme="majorHAnsi" w:hAnsiTheme="majorHAnsi" w:cs="Times New Roman"/>
          <w:b/>
          <w:sz w:val="22"/>
          <w:szCs w:val="22"/>
        </w:rPr>
      </w:pPr>
      <w:r w:rsidRPr="003E6982">
        <w:rPr>
          <w:rFonts w:asciiTheme="majorHAnsi" w:hAnsiTheme="majorHAnsi" w:cs="Times New Roman"/>
          <w:b/>
          <w:bCs/>
          <w:sz w:val="22"/>
          <w:szCs w:val="22"/>
          <w:lang w:val="en-GB"/>
        </w:rPr>
        <w:t>Abbreviation</w:t>
      </w:r>
      <w:r w:rsidRPr="003E6982">
        <w:rPr>
          <w:rFonts w:asciiTheme="majorHAnsi" w:hAnsiTheme="majorHAnsi" w:cs="Times New Roman"/>
          <w:sz w:val="22"/>
          <w:szCs w:val="22"/>
          <w:lang w:val="en-GB"/>
        </w:rPr>
        <w:t>: MFU, maxillofacial unit; ENT, otorhinolaryngology</w:t>
      </w:r>
      <w:r w:rsidRPr="003E6982">
        <w:rPr>
          <w:rFonts w:asciiTheme="majorHAnsi" w:hAnsiTheme="majorHAnsi" w:cs="Times New Roman"/>
          <w:sz w:val="22"/>
          <w:szCs w:val="22"/>
          <w:lang w:val="en-GB"/>
        </w:rPr>
        <w:t xml:space="preserve">; </w:t>
      </w:r>
      <w:r w:rsidRPr="003E6982">
        <w:rPr>
          <w:rFonts w:asciiTheme="majorHAnsi" w:hAnsiTheme="majorHAnsi" w:cs="Times New Roman"/>
          <w:sz w:val="22"/>
          <w:szCs w:val="22"/>
          <w:lang w:val="en-GB"/>
        </w:rPr>
        <w:t>SCC, squamous cell carcinoma</w:t>
      </w:r>
      <w:r w:rsidRPr="003E6982">
        <w:rPr>
          <w:rFonts w:asciiTheme="majorHAnsi" w:hAnsiTheme="majorHAnsi" w:cs="Times New Roman"/>
          <w:sz w:val="22"/>
          <w:szCs w:val="22"/>
          <w:lang w:val="en-GB"/>
        </w:rPr>
        <w:t xml:space="preserve">; </w:t>
      </w:r>
      <w:r w:rsidRPr="003E6982">
        <w:rPr>
          <w:rFonts w:asciiTheme="majorHAnsi" w:hAnsiTheme="majorHAnsi" w:cs="Times New Roman"/>
          <w:sz w:val="22"/>
          <w:szCs w:val="22"/>
          <w:lang w:val="en-GB"/>
        </w:rPr>
        <w:t>RT, radiotherapy; CRT, chemoradiotherapy</w:t>
      </w:r>
      <w:r w:rsidRPr="003E6982">
        <w:rPr>
          <w:rFonts w:asciiTheme="majorHAnsi" w:hAnsiTheme="majorHAnsi" w:cs="Times New Roman"/>
          <w:sz w:val="22"/>
          <w:szCs w:val="22"/>
          <w:lang w:val="en-GB"/>
        </w:rPr>
        <w:t xml:space="preserve">; </w:t>
      </w:r>
      <w:r w:rsidRPr="003E6982">
        <w:rPr>
          <w:rFonts w:asciiTheme="majorHAnsi" w:hAnsiTheme="majorHAnsi" w:cs="Times New Roman"/>
          <w:sz w:val="22"/>
          <w:szCs w:val="22"/>
          <w:lang w:val="en-GB"/>
        </w:rPr>
        <w:t>FF, free flap</w:t>
      </w:r>
    </w:p>
    <w:p w14:paraId="03FD728D" w14:textId="77777777" w:rsidR="006627ED" w:rsidRPr="00075D52" w:rsidRDefault="006627ED" w:rsidP="00075D52">
      <w:pPr>
        <w:spacing w:line="360" w:lineRule="auto"/>
        <w:jc w:val="both"/>
        <w:rPr>
          <w:rFonts w:asciiTheme="majorHAnsi" w:hAnsiTheme="majorHAnsi" w:cs="Times New Roman"/>
          <w:b/>
          <w:sz w:val="22"/>
          <w:szCs w:val="22"/>
        </w:rPr>
      </w:pPr>
      <w:r w:rsidRPr="00075D52">
        <w:rPr>
          <w:rFonts w:asciiTheme="majorHAnsi" w:hAnsiTheme="majorHAnsi" w:cs="Times New Roman"/>
          <w:b/>
          <w:sz w:val="22"/>
          <w:szCs w:val="22"/>
        </w:rPr>
        <w:br w:type="page"/>
      </w:r>
    </w:p>
    <w:p w14:paraId="2D204CB6" w14:textId="77777777" w:rsidR="00A06360" w:rsidRPr="00075D52" w:rsidRDefault="00A06360" w:rsidP="00075D52">
      <w:pPr>
        <w:spacing w:line="360" w:lineRule="auto"/>
        <w:jc w:val="both"/>
        <w:rPr>
          <w:rFonts w:asciiTheme="majorHAnsi" w:hAnsiTheme="majorHAnsi"/>
          <w:sz w:val="22"/>
          <w:szCs w:val="22"/>
        </w:rPr>
      </w:pPr>
    </w:p>
    <w:p w14:paraId="4B2BB284" w14:textId="77777777" w:rsidR="00160808" w:rsidRPr="0023405A" w:rsidRDefault="00160808" w:rsidP="00075D52">
      <w:pPr>
        <w:spacing w:line="360" w:lineRule="auto"/>
        <w:jc w:val="both"/>
        <w:rPr>
          <w:rFonts w:asciiTheme="majorHAnsi" w:hAnsiTheme="majorHAnsi"/>
          <w:b/>
          <w:sz w:val="22"/>
          <w:szCs w:val="22"/>
        </w:rPr>
      </w:pPr>
      <w:r w:rsidRPr="0023405A">
        <w:rPr>
          <w:rFonts w:asciiTheme="majorHAnsi" w:hAnsiTheme="majorHAnsi"/>
          <w:b/>
          <w:sz w:val="22"/>
          <w:szCs w:val="22"/>
        </w:rPr>
        <w:t>Table 2. Number of PCI items selected and significant distress (DT≥4)</w:t>
      </w:r>
    </w:p>
    <w:p w14:paraId="666C47F8" w14:textId="77777777" w:rsidR="00160808" w:rsidRDefault="00160808" w:rsidP="00075D52">
      <w:pPr>
        <w:spacing w:line="360" w:lineRule="auto"/>
        <w:jc w:val="both"/>
        <w:rPr>
          <w:rFonts w:asciiTheme="majorHAnsi" w:eastAsiaTheme="minorHAnsi" w:hAnsiTheme="majorHAnsi"/>
          <w:sz w:val="22"/>
          <w:szCs w:val="22"/>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802"/>
        <w:gridCol w:w="850"/>
        <w:gridCol w:w="1460"/>
        <w:gridCol w:w="1233"/>
      </w:tblGrid>
      <w:tr w:rsidR="001C5130" w:rsidRPr="00160808" w14:paraId="6611F49C" w14:textId="77777777" w:rsidTr="001C5130">
        <w:tc>
          <w:tcPr>
            <w:tcW w:w="2802" w:type="dxa"/>
            <w:vAlign w:val="center"/>
          </w:tcPr>
          <w:p w14:paraId="6311E303" w14:textId="77777777" w:rsidR="001C5130" w:rsidRPr="00160808" w:rsidRDefault="001C5130" w:rsidP="00160808">
            <w:pPr>
              <w:rPr>
                <w:rFonts w:asciiTheme="majorHAnsi" w:hAnsiTheme="majorHAnsi"/>
                <w:sz w:val="18"/>
                <w:szCs w:val="18"/>
              </w:rPr>
            </w:pPr>
          </w:p>
        </w:tc>
        <w:tc>
          <w:tcPr>
            <w:tcW w:w="2310" w:type="dxa"/>
            <w:gridSpan w:val="2"/>
            <w:vAlign w:val="center"/>
          </w:tcPr>
          <w:p w14:paraId="403ED5D6" w14:textId="77777777" w:rsidR="001C5130" w:rsidRPr="00160808" w:rsidRDefault="001C5130" w:rsidP="001C5130">
            <w:pPr>
              <w:jc w:val="center"/>
              <w:rPr>
                <w:rFonts w:asciiTheme="majorHAnsi" w:hAnsiTheme="majorHAnsi"/>
                <w:sz w:val="18"/>
                <w:szCs w:val="18"/>
              </w:rPr>
            </w:pPr>
            <w:r>
              <w:rPr>
                <w:rFonts w:asciiTheme="majorHAnsi" w:hAnsiTheme="majorHAnsi"/>
                <w:sz w:val="18"/>
                <w:szCs w:val="18"/>
              </w:rPr>
              <w:t>S</w:t>
            </w:r>
            <w:r w:rsidRPr="001C5130">
              <w:rPr>
                <w:rFonts w:asciiTheme="majorHAnsi" w:hAnsiTheme="majorHAnsi"/>
                <w:sz w:val="18"/>
                <w:szCs w:val="18"/>
              </w:rPr>
              <w:t>ignificant distress (DT≥4)</w:t>
            </w:r>
          </w:p>
        </w:tc>
        <w:tc>
          <w:tcPr>
            <w:tcW w:w="1233" w:type="dxa"/>
            <w:vAlign w:val="center"/>
          </w:tcPr>
          <w:p w14:paraId="459E5439" w14:textId="77777777" w:rsidR="001C5130" w:rsidRPr="00160808" w:rsidRDefault="001C5130" w:rsidP="00160808">
            <w:pPr>
              <w:jc w:val="center"/>
              <w:rPr>
                <w:rFonts w:asciiTheme="majorHAnsi" w:hAnsiTheme="majorHAnsi"/>
                <w:sz w:val="18"/>
                <w:szCs w:val="18"/>
              </w:rPr>
            </w:pPr>
          </w:p>
        </w:tc>
      </w:tr>
      <w:tr w:rsidR="001C5130" w:rsidRPr="00160808" w14:paraId="262F228E" w14:textId="77777777" w:rsidTr="001C5130">
        <w:tc>
          <w:tcPr>
            <w:tcW w:w="2802" w:type="dxa"/>
            <w:tcBorders>
              <w:bottom w:val="single" w:sz="4" w:space="0" w:color="auto"/>
            </w:tcBorders>
            <w:vAlign w:val="center"/>
          </w:tcPr>
          <w:p w14:paraId="59E1DFB5" w14:textId="77777777" w:rsidR="001C5130" w:rsidRPr="00160808" w:rsidRDefault="001C5130" w:rsidP="00160808">
            <w:pPr>
              <w:rPr>
                <w:rFonts w:asciiTheme="majorHAnsi" w:hAnsiTheme="majorHAnsi"/>
                <w:sz w:val="18"/>
                <w:szCs w:val="18"/>
              </w:rPr>
            </w:pPr>
          </w:p>
        </w:tc>
        <w:tc>
          <w:tcPr>
            <w:tcW w:w="850" w:type="dxa"/>
            <w:tcBorders>
              <w:bottom w:val="single" w:sz="4" w:space="0" w:color="auto"/>
            </w:tcBorders>
            <w:vAlign w:val="center"/>
          </w:tcPr>
          <w:p w14:paraId="49501731"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w:t>
            </w:r>
          </w:p>
        </w:tc>
        <w:tc>
          <w:tcPr>
            <w:tcW w:w="1460" w:type="dxa"/>
            <w:tcBorders>
              <w:bottom w:val="single" w:sz="4" w:space="0" w:color="auto"/>
            </w:tcBorders>
            <w:vAlign w:val="center"/>
          </w:tcPr>
          <w:p w14:paraId="209696FB"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n</w:t>
            </w:r>
          </w:p>
        </w:tc>
        <w:tc>
          <w:tcPr>
            <w:tcW w:w="1233" w:type="dxa"/>
            <w:tcBorders>
              <w:bottom w:val="single" w:sz="4" w:space="0" w:color="auto"/>
            </w:tcBorders>
            <w:vAlign w:val="center"/>
          </w:tcPr>
          <w:p w14:paraId="4C2AEF67"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P value*</w:t>
            </w:r>
          </w:p>
        </w:tc>
      </w:tr>
      <w:tr w:rsidR="001C5130" w:rsidRPr="00160808" w14:paraId="7669F423" w14:textId="77777777" w:rsidTr="001C5130">
        <w:tc>
          <w:tcPr>
            <w:tcW w:w="2802" w:type="dxa"/>
            <w:tcBorders>
              <w:top w:val="single" w:sz="4" w:space="0" w:color="auto"/>
              <w:bottom w:val="nil"/>
            </w:tcBorders>
            <w:vAlign w:val="center"/>
          </w:tcPr>
          <w:p w14:paraId="794D56C8" w14:textId="77777777" w:rsidR="001C5130" w:rsidRPr="00160808" w:rsidRDefault="001C5130" w:rsidP="00160808">
            <w:pPr>
              <w:rPr>
                <w:rFonts w:asciiTheme="majorHAnsi" w:hAnsiTheme="majorHAnsi"/>
                <w:sz w:val="18"/>
                <w:szCs w:val="18"/>
              </w:rPr>
            </w:pPr>
            <w:r>
              <w:rPr>
                <w:rFonts w:asciiTheme="majorHAnsi" w:hAnsiTheme="majorHAnsi"/>
                <w:sz w:val="18"/>
                <w:szCs w:val="18"/>
              </w:rPr>
              <w:t>Physical &amp; functional well-being</w:t>
            </w:r>
          </w:p>
        </w:tc>
        <w:tc>
          <w:tcPr>
            <w:tcW w:w="850" w:type="dxa"/>
            <w:tcBorders>
              <w:top w:val="single" w:sz="4" w:space="0" w:color="auto"/>
              <w:bottom w:val="nil"/>
            </w:tcBorders>
            <w:vAlign w:val="center"/>
          </w:tcPr>
          <w:p w14:paraId="27073583" w14:textId="77777777" w:rsidR="001C5130" w:rsidRPr="00160808" w:rsidRDefault="001C5130" w:rsidP="00160808">
            <w:pPr>
              <w:jc w:val="center"/>
              <w:rPr>
                <w:rFonts w:asciiTheme="majorHAnsi" w:hAnsiTheme="majorHAnsi"/>
                <w:sz w:val="18"/>
                <w:szCs w:val="18"/>
              </w:rPr>
            </w:pPr>
          </w:p>
        </w:tc>
        <w:tc>
          <w:tcPr>
            <w:tcW w:w="1460" w:type="dxa"/>
            <w:tcBorders>
              <w:top w:val="single" w:sz="4" w:space="0" w:color="auto"/>
              <w:bottom w:val="nil"/>
            </w:tcBorders>
            <w:vAlign w:val="center"/>
          </w:tcPr>
          <w:p w14:paraId="5A9CA9FF" w14:textId="77777777" w:rsidR="001C5130" w:rsidRPr="00160808" w:rsidRDefault="001C5130" w:rsidP="00160808">
            <w:pPr>
              <w:jc w:val="center"/>
              <w:rPr>
                <w:rFonts w:asciiTheme="majorHAnsi" w:hAnsiTheme="majorHAnsi"/>
                <w:sz w:val="18"/>
                <w:szCs w:val="18"/>
              </w:rPr>
            </w:pPr>
          </w:p>
        </w:tc>
        <w:tc>
          <w:tcPr>
            <w:tcW w:w="1233" w:type="dxa"/>
            <w:tcBorders>
              <w:top w:val="single" w:sz="4" w:space="0" w:color="auto"/>
              <w:bottom w:val="nil"/>
            </w:tcBorders>
            <w:vAlign w:val="center"/>
          </w:tcPr>
          <w:p w14:paraId="47327972" w14:textId="77777777" w:rsidR="001C5130" w:rsidRPr="00160808" w:rsidRDefault="001C5130" w:rsidP="00160808">
            <w:pPr>
              <w:jc w:val="center"/>
              <w:rPr>
                <w:rFonts w:asciiTheme="majorHAnsi" w:hAnsiTheme="majorHAnsi"/>
                <w:sz w:val="18"/>
                <w:szCs w:val="18"/>
              </w:rPr>
            </w:pPr>
          </w:p>
        </w:tc>
      </w:tr>
      <w:tr w:rsidR="001C5130" w:rsidRPr="00160808" w14:paraId="617A09C0" w14:textId="77777777" w:rsidTr="001C5130">
        <w:tc>
          <w:tcPr>
            <w:tcW w:w="2802" w:type="dxa"/>
            <w:tcBorders>
              <w:top w:val="nil"/>
            </w:tcBorders>
            <w:vAlign w:val="center"/>
          </w:tcPr>
          <w:p w14:paraId="59C7C7DE" w14:textId="77777777" w:rsidR="001C5130" w:rsidRPr="00160808" w:rsidRDefault="001C5130" w:rsidP="00160808">
            <w:pPr>
              <w:rPr>
                <w:rFonts w:asciiTheme="majorHAnsi" w:hAnsiTheme="majorHAnsi"/>
                <w:sz w:val="18"/>
                <w:szCs w:val="18"/>
              </w:rPr>
            </w:pPr>
            <w:r>
              <w:rPr>
                <w:rFonts w:asciiTheme="majorHAnsi" w:hAnsiTheme="majorHAnsi"/>
                <w:sz w:val="18"/>
                <w:szCs w:val="18"/>
              </w:rPr>
              <w:t>0</w:t>
            </w:r>
          </w:p>
        </w:tc>
        <w:tc>
          <w:tcPr>
            <w:tcW w:w="850" w:type="dxa"/>
            <w:tcBorders>
              <w:top w:val="nil"/>
            </w:tcBorders>
            <w:vAlign w:val="center"/>
          </w:tcPr>
          <w:p w14:paraId="604B71E1"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20%</w:t>
            </w:r>
          </w:p>
        </w:tc>
        <w:tc>
          <w:tcPr>
            <w:tcW w:w="1460" w:type="dxa"/>
            <w:tcBorders>
              <w:top w:val="nil"/>
            </w:tcBorders>
            <w:vAlign w:val="center"/>
          </w:tcPr>
          <w:p w14:paraId="495CA399"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11/56</w:t>
            </w:r>
          </w:p>
        </w:tc>
        <w:tc>
          <w:tcPr>
            <w:tcW w:w="1233" w:type="dxa"/>
            <w:tcBorders>
              <w:top w:val="nil"/>
            </w:tcBorders>
            <w:vAlign w:val="center"/>
          </w:tcPr>
          <w:p w14:paraId="01FCFCC7" w14:textId="77777777" w:rsidR="001C5130" w:rsidRPr="00160808" w:rsidRDefault="001C5130" w:rsidP="00160808">
            <w:pPr>
              <w:jc w:val="center"/>
              <w:rPr>
                <w:rFonts w:asciiTheme="majorHAnsi" w:hAnsiTheme="majorHAnsi"/>
                <w:sz w:val="18"/>
                <w:szCs w:val="18"/>
              </w:rPr>
            </w:pPr>
          </w:p>
        </w:tc>
      </w:tr>
      <w:tr w:rsidR="001C5130" w:rsidRPr="00160808" w14:paraId="0B175726" w14:textId="77777777" w:rsidTr="001C5130">
        <w:tc>
          <w:tcPr>
            <w:tcW w:w="2802" w:type="dxa"/>
            <w:vAlign w:val="center"/>
          </w:tcPr>
          <w:p w14:paraId="21D4F215" w14:textId="77777777" w:rsidR="001C5130" w:rsidRPr="00160808" w:rsidRDefault="001C5130" w:rsidP="00160808">
            <w:pPr>
              <w:rPr>
                <w:rFonts w:asciiTheme="majorHAnsi" w:hAnsiTheme="majorHAnsi"/>
                <w:sz w:val="18"/>
                <w:szCs w:val="18"/>
              </w:rPr>
            </w:pPr>
            <w:r>
              <w:rPr>
                <w:rFonts w:asciiTheme="majorHAnsi" w:hAnsiTheme="majorHAnsi"/>
                <w:sz w:val="18"/>
                <w:szCs w:val="18"/>
              </w:rPr>
              <w:t>1-2</w:t>
            </w:r>
          </w:p>
        </w:tc>
        <w:tc>
          <w:tcPr>
            <w:tcW w:w="850" w:type="dxa"/>
            <w:vAlign w:val="center"/>
          </w:tcPr>
          <w:p w14:paraId="0157C641"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32%</w:t>
            </w:r>
          </w:p>
        </w:tc>
        <w:tc>
          <w:tcPr>
            <w:tcW w:w="1460" w:type="dxa"/>
            <w:vAlign w:val="center"/>
          </w:tcPr>
          <w:p w14:paraId="1F5D6F0D"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16/50</w:t>
            </w:r>
          </w:p>
        </w:tc>
        <w:tc>
          <w:tcPr>
            <w:tcW w:w="1233" w:type="dxa"/>
            <w:vAlign w:val="center"/>
          </w:tcPr>
          <w:p w14:paraId="5E7A0B7B" w14:textId="77777777" w:rsidR="001C5130" w:rsidRPr="00160808" w:rsidRDefault="001C5130" w:rsidP="00160808">
            <w:pPr>
              <w:jc w:val="center"/>
              <w:rPr>
                <w:rFonts w:asciiTheme="majorHAnsi" w:hAnsiTheme="majorHAnsi"/>
                <w:sz w:val="18"/>
                <w:szCs w:val="18"/>
              </w:rPr>
            </w:pPr>
          </w:p>
        </w:tc>
      </w:tr>
      <w:tr w:rsidR="001C5130" w:rsidRPr="00160808" w14:paraId="517CA65E" w14:textId="77777777" w:rsidTr="001C5130">
        <w:tc>
          <w:tcPr>
            <w:tcW w:w="2802" w:type="dxa"/>
            <w:vAlign w:val="center"/>
          </w:tcPr>
          <w:p w14:paraId="1977065A" w14:textId="77777777" w:rsidR="001C5130" w:rsidRPr="00160808" w:rsidRDefault="001C5130" w:rsidP="00160808">
            <w:pPr>
              <w:rPr>
                <w:rFonts w:asciiTheme="majorHAnsi" w:hAnsiTheme="majorHAnsi"/>
                <w:sz w:val="18"/>
                <w:szCs w:val="18"/>
              </w:rPr>
            </w:pPr>
            <w:r>
              <w:rPr>
                <w:rFonts w:asciiTheme="majorHAnsi" w:hAnsiTheme="majorHAnsi"/>
                <w:sz w:val="18"/>
                <w:szCs w:val="18"/>
              </w:rPr>
              <w:t>3-4</w:t>
            </w:r>
          </w:p>
        </w:tc>
        <w:tc>
          <w:tcPr>
            <w:tcW w:w="850" w:type="dxa"/>
            <w:vAlign w:val="center"/>
          </w:tcPr>
          <w:p w14:paraId="063B715B"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42%</w:t>
            </w:r>
          </w:p>
        </w:tc>
        <w:tc>
          <w:tcPr>
            <w:tcW w:w="1460" w:type="dxa"/>
            <w:vAlign w:val="center"/>
          </w:tcPr>
          <w:p w14:paraId="31786E8D"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13/31</w:t>
            </w:r>
          </w:p>
        </w:tc>
        <w:tc>
          <w:tcPr>
            <w:tcW w:w="1233" w:type="dxa"/>
            <w:vAlign w:val="center"/>
          </w:tcPr>
          <w:p w14:paraId="7435DD6D"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&lt;0.001</w:t>
            </w:r>
          </w:p>
        </w:tc>
      </w:tr>
      <w:tr w:rsidR="001C5130" w:rsidRPr="00160808" w14:paraId="5F07EA57" w14:textId="77777777" w:rsidTr="001C5130">
        <w:tc>
          <w:tcPr>
            <w:tcW w:w="2802" w:type="dxa"/>
            <w:vAlign w:val="center"/>
          </w:tcPr>
          <w:p w14:paraId="36074315" w14:textId="77777777" w:rsidR="001C5130" w:rsidRPr="00160808" w:rsidRDefault="001C5130" w:rsidP="00160808">
            <w:pPr>
              <w:rPr>
                <w:rFonts w:asciiTheme="majorHAnsi" w:hAnsiTheme="majorHAnsi"/>
                <w:sz w:val="18"/>
                <w:szCs w:val="18"/>
              </w:rPr>
            </w:pPr>
            <w:r>
              <w:rPr>
                <w:rFonts w:asciiTheme="majorHAnsi" w:hAnsiTheme="majorHAnsi"/>
                <w:sz w:val="18"/>
                <w:szCs w:val="18"/>
              </w:rPr>
              <w:t>5-9</w:t>
            </w:r>
          </w:p>
        </w:tc>
        <w:tc>
          <w:tcPr>
            <w:tcW w:w="850" w:type="dxa"/>
            <w:vAlign w:val="center"/>
          </w:tcPr>
          <w:p w14:paraId="4FA55BCA"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71%</w:t>
            </w:r>
          </w:p>
        </w:tc>
        <w:tc>
          <w:tcPr>
            <w:tcW w:w="1460" w:type="dxa"/>
            <w:vAlign w:val="center"/>
          </w:tcPr>
          <w:p w14:paraId="15BF2216"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17/24</w:t>
            </w:r>
          </w:p>
        </w:tc>
        <w:tc>
          <w:tcPr>
            <w:tcW w:w="1233" w:type="dxa"/>
            <w:vAlign w:val="center"/>
          </w:tcPr>
          <w:p w14:paraId="608B6754" w14:textId="77777777" w:rsidR="001C5130" w:rsidRPr="00160808" w:rsidRDefault="001C5130" w:rsidP="00160808">
            <w:pPr>
              <w:jc w:val="center"/>
              <w:rPr>
                <w:rFonts w:asciiTheme="majorHAnsi" w:hAnsiTheme="majorHAnsi"/>
                <w:sz w:val="18"/>
                <w:szCs w:val="18"/>
              </w:rPr>
            </w:pPr>
          </w:p>
        </w:tc>
      </w:tr>
      <w:tr w:rsidR="001C5130" w:rsidRPr="00160808" w14:paraId="5F77219D" w14:textId="77777777" w:rsidTr="001C5130">
        <w:tc>
          <w:tcPr>
            <w:tcW w:w="2802" w:type="dxa"/>
            <w:tcBorders>
              <w:bottom w:val="single" w:sz="4" w:space="0" w:color="auto"/>
            </w:tcBorders>
            <w:vAlign w:val="center"/>
          </w:tcPr>
          <w:p w14:paraId="4DB5E9DD" w14:textId="77777777" w:rsidR="001C5130" w:rsidRPr="00160808" w:rsidRDefault="001C5130" w:rsidP="00160808">
            <w:pPr>
              <w:rPr>
                <w:rFonts w:asciiTheme="majorHAnsi" w:hAnsiTheme="majorHAnsi"/>
                <w:sz w:val="18"/>
                <w:szCs w:val="18"/>
              </w:rPr>
            </w:pPr>
            <w:r>
              <w:rPr>
                <w:rFonts w:asciiTheme="majorHAnsi" w:hAnsiTheme="majorHAnsi"/>
                <w:sz w:val="18"/>
                <w:szCs w:val="18"/>
              </w:rPr>
              <w:t>≥10 (range 10-15)</w:t>
            </w:r>
          </w:p>
        </w:tc>
        <w:tc>
          <w:tcPr>
            <w:tcW w:w="850" w:type="dxa"/>
            <w:tcBorders>
              <w:bottom w:val="single" w:sz="4" w:space="0" w:color="auto"/>
            </w:tcBorders>
            <w:vAlign w:val="center"/>
          </w:tcPr>
          <w:p w14:paraId="56D9B074"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56%</w:t>
            </w:r>
          </w:p>
        </w:tc>
        <w:tc>
          <w:tcPr>
            <w:tcW w:w="1460" w:type="dxa"/>
            <w:tcBorders>
              <w:bottom w:val="single" w:sz="4" w:space="0" w:color="auto"/>
            </w:tcBorders>
            <w:vAlign w:val="center"/>
          </w:tcPr>
          <w:p w14:paraId="785344ED"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5/9</w:t>
            </w:r>
          </w:p>
        </w:tc>
        <w:tc>
          <w:tcPr>
            <w:tcW w:w="1233" w:type="dxa"/>
            <w:tcBorders>
              <w:bottom w:val="single" w:sz="4" w:space="0" w:color="auto"/>
            </w:tcBorders>
            <w:vAlign w:val="center"/>
          </w:tcPr>
          <w:p w14:paraId="2D8842CB" w14:textId="77777777" w:rsidR="001C5130" w:rsidRPr="00160808" w:rsidRDefault="001C5130" w:rsidP="00160808">
            <w:pPr>
              <w:jc w:val="center"/>
              <w:rPr>
                <w:rFonts w:asciiTheme="majorHAnsi" w:hAnsiTheme="majorHAnsi"/>
                <w:sz w:val="18"/>
                <w:szCs w:val="18"/>
              </w:rPr>
            </w:pPr>
          </w:p>
        </w:tc>
      </w:tr>
      <w:tr w:rsidR="001C5130" w:rsidRPr="00160808" w14:paraId="6DE5DA2F" w14:textId="77777777" w:rsidTr="001C5130">
        <w:tc>
          <w:tcPr>
            <w:tcW w:w="2802" w:type="dxa"/>
            <w:tcBorders>
              <w:top w:val="single" w:sz="4" w:space="0" w:color="auto"/>
              <w:bottom w:val="nil"/>
            </w:tcBorders>
            <w:vAlign w:val="center"/>
          </w:tcPr>
          <w:p w14:paraId="785162E4" w14:textId="77777777" w:rsidR="001C5130" w:rsidRPr="00160808" w:rsidRDefault="001C5130" w:rsidP="00160808">
            <w:pPr>
              <w:rPr>
                <w:rFonts w:asciiTheme="majorHAnsi" w:hAnsiTheme="majorHAnsi"/>
                <w:sz w:val="18"/>
                <w:szCs w:val="18"/>
              </w:rPr>
            </w:pPr>
            <w:r>
              <w:rPr>
                <w:rFonts w:asciiTheme="majorHAnsi" w:hAnsiTheme="majorHAnsi"/>
                <w:sz w:val="18"/>
                <w:szCs w:val="18"/>
              </w:rPr>
              <w:t xml:space="preserve">Treatment related </w:t>
            </w:r>
          </w:p>
        </w:tc>
        <w:tc>
          <w:tcPr>
            <w:tcW w:w="850" w:type="dxa"/>
            <w:tcBorders>
              <w:top w:val="single" w:sz="4" w:space="0" w:color="auto"/>
              <w:bottom w:val="nil"/>
            </w:tcBorders>
            <w:vAlign w:val="center"/>
          </w:tcPr>
          <w:p w14:paraId="654BC361" w14:textId="77777777" w:rsidR="001C5130" w:rsidRPr="00160808" w:rsidRDefault="001C5130" w:rsidP="00160808">
            <w:pPr>
              <w:jc w:val="center"/>
              <w:rPr>
                <w:rFonts w:asciiTheme="majorHAnsi" w:hAnsiTheme="majorHAnsi"/>
                <w:sz w:val="18"/>
                <w:szCs w:val="18"/>
              </w:rPr>
            </w:pPr>
          </w:p>
        </w:tc>
        <w:tc>
          <w:tcPr>
            <w:tcW w:w="1460" w:type="dxa"/>
            <w:tcBorders>
              <w:top w:val="single" w:sz="4" w:space="0" w:color="auto"/>
              <w:bottom w:val="nil"/>
            </w:tcBorders>
            <w:vAlign w:val="center"/>
          </w:tcPr>
          <w:p w14:paraId="26935880" w14:textId="77777777" w:rsidR="001C5130" w:rsidRPr="00160808" w:rsidRDefault="001C5130" w:rsidP="00160808">
            <w:pPr>
              <w:jc w:val="center"/>
              <w:rPr>
                <w:rFonts w:asciiTheme="majorHAnsi" w:hAnsiTheme="majorHAnsi"/>
                <w:sz w:val="18"/>
                <w:szCs w:val="18"/>
              </w:rPr>
            </w:pPr>
          </w:p>
        </w:tc>
        <w:tc>
          <w:tcPr>
            <w:tcW w:w="1233" w:type="dxa"/>
            <w:tcBorders>
              <w:top w:val="single" w:sz="4" w:space="0" w:color="auto"/>
              <w:bottom w:val="nil"/>
            </w:tcBorders>
            <w:vAlign w:val="center"/>
          </w:tcPr>
          <w:p w14:paraId="7DB6EE6D" w14:textId="77777777" w:rsidR="001C5130" w:rsidRPr="00160808" w:rsidRDefault="001C5130" w:rsidP="00160808">
            <w:pPr>
              <w:jc w:val="center"/>
              <w:rPr>
                <w:rFonts w:asciiTheme="majorHAnsi" w:hAnsiTheme="majorHAnsi"/>
                <w:sz w:val="18"/>
                <w:szCs w:val="18"/>
              </w:rPr>
            </w:pPr>
          </w:p>
        </w:tc>
      </w:tr>
      <w:tr w:rsidR="00F807EE" w:rsidRPr="00160808" w14:paraId="45B98366" w14:textId="77777777" w:rsidTr="001C5130">
        <w:tc>
          <w:tcPr>
            <w:tcW w:w="2802" w:type="dxa"/>
            <w:tcBorders>
              <w:top w:val="nil"/>
            </w:tcBorders>
            <w:vAlign w:val="center"/>
          </w:tcPr>
          <w:p w14:paraId="25F03064" w14:textId="77777777" w:rsidR="00F807EE" w:rsidRPr="00160808" w:rsidRDefault="00F807EE" w:rsidP="00160808">
            <w:pPr>
              <w:rPr>
                <w:rFonts w:asciiTheme="majorHAnsi" w:hAnsiTheme="majorHAnsi"/>
                <w:sz w:val="18"/>
                <w:szCs w:val="18"/>
              </w:rPr>
            </w:pPr>
            <w:r>
              <w:rPr>
                <w:rFonts w:asciiTheme="majorHAnsi" w:hAnsiTheme="majorHAnsi"/>
                <w:sz w:val="18"/>
                <w:szCs w:val="18"/>
              </w:rPr>
              <w:t>0</w:t>
            </w:r>
          </w:p>
        </w:tc>
        <w:tc>
          <w:tcPr>
            <w:tcW w:w="850" w:type="dxa"/>
            <w:tcBorders>
              <w:top w:val="nil"/>
            </w:tcBorders>
            <w:vAlign w:val="center"/>
          </w:tcPr>
          <w:p w14:paraId="0A7D34CA" w14:textId="77777777" w:rsidR="00F807EE" w:rsidRPr="00160808" w:rsidRDefault="00F807EE" w:rsidP="00160808">
            <w:pPr>
              <w:jc w:val="center"/>
              <w:rPr>
                <w:rFonts w:asciiTheme="majorHAnsi" w:hAnsiTheme="majorHAnsi"/>
                <w:sz w:val="18"/>
                <w:szCs w:val="18"/>
              </w:rPr>
            </w:pPr>
            <w:r>
              <w:rPr>
                <w:rFonts w:asciiTheme="majorHAnsi" w:hAnsiTheme="majorHAnsi"/>
                <w:sz w:val="18"/>
                <w:szCs w:val="18"/>
              </w:rPr>
              <w:t>35%</w:t>
            </w:r>
          </w:p>
        </w:tc>
        <w:tc>
          <w:tcPr>
            <w:tcW w:w="1460" w:type="dxa"/>
            <w:tcBorders>
              <w:top w:val="nil"/>
            </w:tcBorders>
            <w:vAlign w:val="center"/>
          </w:tcPr>
          <w:p w14:paraId="005ECF4D" w14:textId="77777777" w:rsidR="00F807EE" w:rsidRPr="00160808" w:rsidRDefault="00F807EE" w:rsidP="00160808">
            <w:pPr>
              <w:jc w:val="center"/>
              <w:rPr>
                <w:rFonts w:asciiTheme="majorHAnsi" w:hAnsiTheme="majorHAnsi"/>
                <w:sz w:val="18"/>
                <w:szCs w:val="18"/>
              </w:rPr>
            </w:pPr>
            <w:r>
              <w:rPr>
                <w:rFonts w:asciiTheme="majorHAnsi" w:hAnsiTheme="majorHAnsi"/>
                <w:sz w:val="18"/>
                <w:szCs w:val="18"/>
              </w:rPr>
              <w:t>53/152</w:t>
            </w:r>
          </w:p>
        </w:tc>
        <w:tc>
          <w:tcPr>
            <w:tcW w:w="1233" w:type="dxa"/>
            <w:vMerge w:val="restart"/>
            <w:tcBorders>
              <w:top w:val="nil"/>
            </w:tcBorders>
            <w:vAlign w:val="center"/>
          </w:tcPr>
          <w:p w14:paraId="50436D00" w14:textId="77777777" w:rsidR="00F807EE" w:rsidRPr="00160808" w:rsidRDefault="00F807EE" w:rsidP="00160808">
            <w:pPr>
              <w:jc w:val="center"/>
              <w:rPr>
                <w:rFonts w:asciiTheme="majorHAnsi" w:hAnsiTheme="majorHAnsi"/>
                <w:sz w:val="18"/>
                <w:szCs w:val="18"/>
              </w:rPr>
            </w:pPr>
            <w:r>
              <w:rPr>
                <w:rFonts w:asciiTheme="majorHAnsi" w:hAnsiTheme="majorHAnsi"/>
                <w:sz w:val="18"/>
                <w:szCs w:val="18"/>
              </w:rPr>
              <w:t>0.30</w:t>
            </w:r>
          </w:p>
        </w:tc>
      </w:tr>
      <w:tr w:rsidR="00F807EE" w:rsidRPr="00160808" w14:paraId="14F94701" w14:textId="77777777" w:rsidTr="00F807EE">
        <w:tc>
          <w:tcPr>
            <w:tcW w:w="2802" w:type="dxa"/>
            <w:tcBorders>
              <w:bottom w:val="single" w:sz="4" w:space="0" w:color="auto"/>
            </w:tcBorders>
            <w:vAlign w:val="center"/>
          </w:tcPr>
          <w:p w14:paraId="78F2C594" w14:textId="77777777" w:rsidR="00F807EE" w:rsidRPr="00160808" w:rsidRDefault="00F807EE" w:rsidP="00160808">
            <w:pPr>
              <w:rPr>
                <w:rFonts w:asciiTheme="majorHAnsi" w:hAnsiTheme="majorHAnsi"/>
                <w:sz w:val="18"/>
                <w:szCs w:val="18"/>
              </w:rPr>
            </w:pPr>
            <w:r>
              <w:rPr>
                <w:rFonts w:asciiTheme="majorHAnsi" w:hAnsiTheme="majorHAnsi"/>
                <w:sz w:val="18"/>
                <w:szCs w:val="18"/>
              </w:rPr>
              <w:t>≥1 (range 1-2)</w:t>
            </w:r>
          </w:p>
        </w:tc>
        <w:tc>
          <w:tcPr>
            <w:tcW w:w="850" w:type="dxa"/>
            <w:tcBorders>
              <w:bottom w:val="single" w:sz="4" w:space="0" w:color="auto"/>
            </w:tcBorders>
            <w:vAlign w:val="center"/>
          </w:tcPr>
          <w:p w14:paraId="1492C3B1" w14:textId="77777777" w:rsidR="00F807EE" w:rsidRPr="00160808" w:rsidRDefault="00F807EE" w:rsidP="00160808">
            <w:pPr>
              <w:jc w:val="center"/>
              <w:rPr>
                <w:rFonts w:asciiTheme="majorHAnsi" w:hAnsiTheme="majorHAnsi"/>
                <w:sz w:val="18"/>
                <w:szCs w:val="18"/>
              </w:rPr>
            </w:pPr>
            <w:r>
              <w:rPr>
                <w:rFonts w:asciiTheme="majorHAnsi" w:hAnsiTheme="majorHAnsi"/>
                <w:sz w:val="18"/>
                <w:szCs w:val="18"/>
              </w:rPr>
              <w:t>50%</w:t>
            </w:r>
          </w:p>
        </w:tc>
        <w:tc>
          <w:tcPr>
            <w:tcW w:w="1460" w:type="dxa"/>
            <w:tcBorders>
              <w:bottom w:val="single" w:sz="4" w:space="0" w:color="auto"/>
            </w:tcBorders>
            <w:vAlign w:val="center"/>
          </w:tcPr>
          <w:p w14:paraId="5D6A19C4" w14:textId="77777777" w:rsidR="00F807EE" w:rsidRPr="00160808" w:rsidRDefault="00F807EE" w:rsidP="00160808">
            <w:pPr>
              <w:jc w:val="center"/>
              <w:rPr>
                <w:rFonts w:asciiTheme="majorHAnsi" w:hAnsiTheme="majorHAnsi"/>
                <w:sz w:val="18"/>
                <w:szCs w:val="18"/>
              </w:rPr>
            </w:pPr>
            <w:r>
              <w:rPr>
                <w:rFonts w:asciiTheme="majorHAnsi" w:hAnsiTheme="majorHAnsi"/>
                <w:sz w:val="18"/>
                <w:szCs w:val="18"/>
              </w:rPr>
              <w:t>9/18</w:t>
            </w:r>
          </w:p>
        </w:tc>
        <w:tc>
          <w:tcPr>
            <w:tcW w:w="1233" w:type="dxa"/>
            <w:vMerge/>
            <w:tcBorders>
              <w:bottom w:val="single" w:sz="4" w:space="0" w:color="auto"/>
            </w:tcBorders>
            <w:vAlign w:val="center"/>
          </w:tcPr>
          <w:p w14:paraId="4A6B6472" w14:textId="77777777" w:rsidR="00F807EE" w:rsidRPr="00160808" w:rsidRDefault="00F807EE" w:rsidP="00160808">
            <w:pPr>
              <w:jc w:val="center"/>
              <w:rPr>
                <w:rFonts w:asciiTheme="majorHAnsi" w:hAnsiTheme="majorHAnsi"/>
                <w:sz w:val="18"/>
                <w:szCs w:val="18"/>
              </w:rPr>
            </w:pPr>
          </w:p>
        </w:tc>
      </w:tr>
      <w:tr w:rsidR="001C5130" w:rsidRPr="00160808" w14:paraId="30AA0581" w14:textId="77777777" w:rsidTr="00F807EE">
        <w:tc>
          <w:tcPr>
            <w:tcW w:w="2802" w:type="dxa"/>
            <w:tcBorders>
              <w:top w:val="single" w:sz="4" w:space="0" w:color="auto"/>
              <w:bottom w:val="nil"/>
            </w:tcBorders>
            <w:vAlign w:val="center"/>
          </w:tcPr>
          <w:p w14:paraId="3A259FD2" w14:textId="77777777" w:rsidR="001C5130" w:rsidRPr="00160808" w:rsidRDefault="001C5130" w:rsidP="00160808">
            <w:pPr>
              <w:rPr>
                <w:rFonts w:asciiTheme="majorHAnsi" w:hAnsiTheme="majorHAnsi"/>
                <w:sz w:val="18"/>
                <w:szCs w:val="18"/>
              </w:rPr>
            </w:pPr>
            <w:r>
              <w:rPr>
                <w:rFonts w:asciiTheme="majorHAnsi" w:hAnsiTheme="majorHAnsi"/>
                <w:sz w:val="18"/>
                <w:szCs w:val="18"/>
              </w:rPr>
              <w:t>Social care &amp; social well-being</w:t>
            </w:r>
          </w:p>
        </w:tc>
        <w:tc>
          <w:tcPr>
            <w:tcW w:w="850" w:type="dxa"/>
            <w:tcBorders>
              <w:top w:val="single" w:sz="4" w:space="0" w:color="auto"/>
              <w:bottom w:val="nil"/>
            </w:tcBorders>
            <w:vAlign w:val="center"/>
          </w:tcPr>
          <w:p w14:paraId="50710671" w14:textId="77777777" w:rsidR="001C5130" w:rsidRPr="00160808" w:rsidRDefault="001C5130" w:rsidP="00160808">
            <w:pPr>
              <w:jc w:val="center"/>
              <w:rPr>
                <w:rFonts w:asciiTheme="majorHAnsi" w:hAnsiTheme="majorHAnsi"/>
                <w:sz w:val="18"/>
                <w:szCs w:val="18"/>
              </w:rPr>
            </w:pPr>
          </w:p>
        </w:tc>
        <w:tc>
          <w:tcPr>
            <w:tcW w:w="1460" w:type="dxa"/>
            <w:tcBorders>
              <w:top w:val="single" w:sz="4" w:space="0" w:color="auto"/>
              <w:bottom w:val="nil"/>
            </w:tcBorders>
            <w:vAlign w:val="center"/>
          </w:tcPr>
          <w:p w14:paraId="1B10FE03" w14:textId="77777777" w:rsidR="001C5130" w:rsidRPr="00160808" w:rsidRDefault="001C5130" w:rsidP="00160808">
            <w:pPr>
              <w:jc w:val="center"/>
              <w:rPr>
                <w:rFonts w:asciiTheme="majorHAnsi" w:hAnsiTheme="majorHAnsi"/>
                <w:sz w:val="18"/>
                <w:szCs w:val="18"/>
              </w:rPr>
            </w:pPr>
          </w:p>
        </w:tc>
        <w:tc>
          <w:tcPr>
            <w:tcW w:w="1233" w:type="dxa"/>
            <w:tcBorders>
              <w:top w:val="single" w:sz="4" w:space="0" w:color="auto"/>
              <w:bottom w:val="nil"/>
            </w:tcBorders>
            <w:vAlign w:val="center"/>
          </w:tcPr>
          <w:p w14:paraId="75ED6E36" w14:textId="77777777" w:rsidR="001C5130" w:rsidRPr="00160808" w:rsidRDefault="001C5130" w:rsidP="00160808">
            <w:pPr>
              <w:jc w:val="center"/>
              <w:rPr>
                <w:rFonts w:asciiTheme="majorHAnsi" w:hAnsiTheme="majorHAnsi"/>
                <w:sz w:val="18"/>
                <w:szCs w:val="18"/>
              </w:rPr>
            </w:pPr>
          </w:p>
        </w:tc>
      </w:tr>
      <w:tr w:rsidR="00F807EE" w:rsidRPr="00160808" w14:paraId="1F55F5CE" w14:textId="77777777" w:rsidTr="00F807EE">
        <w:tc>
          <w:tcPr>
            <w:tcW w:w="2802" w:type="dxa"/>
            <w:tcBorders>
              <w:top w:val="nil"/>
              <w:bottom w:val="nil"/>
            </w:tcBorders>
            <w:vAlign w:val="center"/>
          </w:tcPr>
          <w:p w14:paraId="05A1F152" w14:textId="77777777" w:rsidR="00F807EE" w:rsidRPr="00160808" w:rsidRDefault="00F807EE" w:rsidP="00E93421">
            <w:pPr>
              <w:rPr>
                <w:rFonts w:asciiTheme="majorHAnsi" w:hAnsiTheme="majorHAnsi"/>
                <w:sz w:val="18"/>
                <w:szCs w:val="18"/>
              </w:rPr>
            </w:pPr>
            <w:r>
              <w:rPr>
                <w:rFonts w:asciiTheme="majorHAnsi" w:hAnsiTheme="majorHAnsi"/>
                <w:sz w:val="18"/>
                <w:szCs w:val="18"/>
              </w:rPr>
              <w:t>0</w:t>
            </w:r>
          </w:p>
        </w:tc>
        <w:tc>
          <w:tcPr>
            <w:tcW w:w="850" w:type="dxa"/>
            <w:tcBorders>
              <w:top w:val="nil"/>
              <w:bottom w:val="nil"/>
            </w:tcBorders>
            <w:vAlign w:val="center"/>
          </w:tcPr>
          <w:p w14:paraId="30B386E5" w14:textId="77777777" w:rsidR="00F807EE" w:rsidRPr="00160808" w:rsidRDefault="00F807EE" w:rsidP="00160808">
            <w:pPr>
              <w:jc w:val="center"/>
              <w:rPr>
                <w:rFonts w:asciiTheme="majorHAnsi" w:hAnsiTheme="majorHAnsi"/>
                <w:sz w:val="18"/>
                <w:szCs w:val="18"/>
              </w:rPr>
            </w:pPr>
            <w:r>
              <w:rPr>
                <w:rFonts w:asciiTheme="majorHAnsi" w:hAnsiTheme="majorHAnsi"/>
                <w:sz w:val="18"/>
                <w:szCs w:val="18"/>
              </w:rPr>
              <w:t>33%</w:t>
            </w:r>
          </w:p>
        </w:tc>
        <w:tc>
          <w:tcPr>
            <w:tcW w:w="1460" w:type="dxa"/>
            <w:tcBorders>
              <w:top w:val="nil"/>
              <w:bottom w:val="nil"/>
            </w:tcBorders>
            <w:vAlign w:val="center"/>
          </w:tcPr>
          <w:p w14:paraId="724ACA31" w14:textId="77777777" w:rsidR="00F807EE" w:rsidRPr="00160808" w:rsidRDefault="00F807EE" w:rsidP="00160808">
            <w:pPr>
              <w:jc w:val="center"/>
              <w:rPr>
                <w:rFonts w:asciiTheme="majorHAnsi" w:hAnsiTheme="majorHAnsi"/>
                <w:sz w:val="18"/>
                <w:szCs w:val="18"/>
              </w:rPr>
            </w:pPr>
            <w:r>
              <w:rPr>
                <w:rFonts w:asciiTheme="majorHAnsi" w:hAnsiTheme="majorHAnsi"/>
                <w:sz w:val="18"/>
                <w:szCs w:val="18"/>
              </w:rPr>
              <w:t>50/150</w:t>
            </w:r>
          </w:p>
        </w:tc>
        <w:tc>
          <w:tcPr>
            <w:tcW w:w="1233" w:type="dxa"/>
            <w:vMerge w:val="restart"/>
            <w:tcBorders>
              <w:top w:val="nil"/>
              <w:bottom w:val="nil"/>
            </w:tcBorders>
            <w:vAlign w:val="center"/>
          </w:tcPr>
          <w:p w14:paraId="3A3BB32F" w14:textId="77777777" w:rsidR="00F807EE" w:rsidRPr="00160808" w:rsidRDefault="00F807EE" w:rsidP="00160808">
            <w:pPr>
              <w:jc w:val="center"/>
              <w:rPr>
                <w:rFonts w:asciiTheme="majorHAnsi" w:hAnsiTheme="majorHAnsi"/>
                <w:sz w:val="18"/>
                <w:szCs w:val="18"/>
              </w:rPr>
            </w:pPr>
            <w:r>
              <w:rPr>
                <w:rFonts w:asciiTheme="majorHAnsi" w:hAnsiTheme="majorHAnsi"/>
                <w:sz w:val="18"/>
                <w:szCs w:val="18"/>
              </w:rPr>
              <w:t>0.03</w:t>
            </w:r>
          </w:p>
        </w:tc>
      </w:tr>
      <w:tr w:rsidR="00F807EE" w:rsidRPr="00160808" w14:paraId="10EDB44A" w14:textId="77777777" w:rsidTr="00F807EE">
        <w:tc>
          <w:tcPr>
            <w:tcW w:w="2802" w:type="dxa"/>
            <w:tcBorders>
              <w:top w:val="nil"/>
              <w:bottom w:val="single" w:sz="4" w:space="0" w:color="auto"/>
            </w:tcBorders>
            <w:vAlign w:val="center"/>
          </w:tcPr>
          <w:p w14:paraId="3FC3B09C" w14:textId="77777777" w:rsidR="00F807EE" w:rsidRPr="00160808" w:rsidRDefault="00F807EE" w:rsidP="00E93421">
            <w:pPr>
              <w:rPr>
                <w:rFonts w:asciiTheme="majorHAnsi" w:hAnsiTheme="majorHAnsi"/>
                <w:sz w:val="18"/>
                <w:szCs w:val="18"/>
              </w:rPr>
            </w:pPr>
            <w:r>
              <w:rPr>
                <w:rFonts w:asciiTheme="majorHAnsi" w:hAnsiTheme="majorHAnsi"/>
                <w:sz w:val="18"/>
                <w:szCs w:val="18"/>
              </w:rPr>
              <w:t>≥1 (range 1-3)</w:t>
            </w:r>
          </w:p>
        </w:tc>
        <w:tc>
          <w:tcPr>
            <w:tcW w:w="850" w:type="dxa"/>
            <w:tcBorders>
              <w:top w:val="nil"/>
              <w:bottom w:val="single" w:sz="4" w:space="0" w:color="auto"/>
            </w:tcBorders>
            <w:vAlign w:val="center"/>
          </w:tcPr>
          <w:p w14:paraId="515B232B" w14:textId="77777777" w:rsidR="00F807EE" w:rsidRPr="00160808" w:rsidRDefault="00F807EE" w:rsidP="00160808">
            <w:pPr>
              <w:jc w:val="center"/>
              <w:rPr>
                <w:rFonts w:asciiTheme="majorHAnsi" w:hAnsiTheme="majorHAnsi"/>
                <w:sz w:val="18"/>
                <w:szCs w:val="18"/>
              </w:rPr>
            </w:pPr>
            <w:r>
              <w:rPr>
                <w:rFonts w:asciiTheme="majorHAnsi" w:hAnsiTheme="majorHAnsi"/>
                <w:sz w:val="18"/>
                <w:szCs w:val="18"/>
              </w:rPr>
              <w:t>60%</w:t>
            </w:r>
          </w:p>
        </w:tc>
        <w:tc>
          <w:tcPr>
            <w:tcW w:w="1460" w:type="dxa"/>
            <w:tcBorders>
              <w:top w:val="nil"/>
              <w:bottom w:val="single" w:sz="4" w:space="0" w:color="auto"/>
            </w:tcBorders>
            <w:vAlign w:val="center"/>
          </w:tcPr>
          <w:p w14:paraId="306101F0" w14:textId="77777777" w:rsidR="00F807EE" w:rsidRPr="00160808" w:rsidRDefault="00F807EE" w:rsidP="00160808">
            <w:pPr>
              <w:jc w:val="center"/>
              <w:rPr>
                <w:rFonts w:asciiTheme="majorHAnsi" w:hAnsiTheme="majorHAnsi"/>
                <w:sz w:val="18"/>
                <w:szCs w:val="18"/>
              </w:rPr>
            </w:pPr>
            <w:r>
              <w:rPr>
                <w:rFonts w:asciiTheme="majorHAnsi" w:hAnsiTheme="majorHAnsi"/>
                <w:sz w:val="18"/>
                <w:szCs w:val="18"/>
              </w:rPr>
              <w:t>12/20</w:t>
            </w:r>
          </w:p>
        </w:tc>
        <w:tc>
          <w:tcPr>
            <w:tcW w:w="1233" w:type="dxa"/>
            <w:vMerge/>
            <w:tcBorders>
              <w:top w:val="nil"/>
              <w:bottom w:val="single" w:sz="4" w:space="0" w:color="auto"/>
            </w:tcBorders>
            <w:vAlign w:val="center"/>
          </w:tcPr>
          <w:p w14:paraId="14941B73" w14:textId="77777777" w:rsidR="00F807EE" w:rsidRPr="00160808" w:rsidRDefault="00F807EE" w:rsidP="00160808">
            <w:pPr>
              <w:jc w:val="center"/>
              <w:rPr>
                <w:rFonts w:asciiTheme="majorHAnsi" w:hAnsiTheme="majorHAnsi"/>
                <w:sz w:val="18"/>
                <w:szCs w:val="18"/>
              </w:rPr>
            </w:pPr>
          </w:p>
        </w:tc>
      </w:tr>
      <w:tr w:rsidR="001C5130" w:rsidRPr="00160808" w14:paraId="0C620FE8" w14:textId="77777777" w:rsidTr="001C5130">
        <w:tc>
          <w:tcPr>
            <w:tcW w:w="5112" w:type="dxa"/>
            <w:gridSpan w:val="3"/>
            <w:tcBorders>
              <w:top w:val="single" w:sz="4" w:space="0" w:color="auto"/>
              <w:bottom w:val="nil"/>
            </w:tcBorders>
            <w:vAlign w:val="center"/>
          </w:tcPr>
          <w:p w14:paraId="0A2A467D" w14:textId="77777777" w:rsidR="001C5130" w:rsidRPr="00160808" w:rsidRDefault="001C5130" w:rsidP="001C5130">
            <w:pPr>
              <w:rPr>
                <w:rFonts w:asciiTheme="majorHAnsi" w:hAnsiTheme="majorHAnsi"/>
                <w:sz w:val="18"/>
                <w:szCs w:val="18"/>
              </w:rPr>
            </w:pPr>
            <w:r>
              <w:rPr>
                <w:rFonts w:asciiTheme="majorHAnsi" w:hAnsiTheme="majorHAnsi"/>
                <w:sz w:val="18"/>
                <w:szCs w:val="18"/>
              </w:rPr>
              <w:t>Psychological, emotional &amp; spiritual wellbeing</w:t>
            </w:r>
          </w:p>
        </w:tc>
        <w:tc>
          <w:tcPr>
            <w:tcW w:w="1233" w:type="dxa"/>
            <w:tcBorders>
              <w:top w:val="single" w:sz="4" w:space="0" w:color="auto"/>
              <w:bottom w:val="nil"/>
            </w:tcBorders>
            <w:vAlign w:val="center"/>
          </w:tcPr>
          <w:p w14:paraId="12DEE774" w14:textId="77777777" w:rsidR="001C5130" w:rsidRPr="00160808" w:rsidRDefault="001C5130" w:rsidP="00160808">
            <w:pPr>
              <w:jc w:val="center"/>
              <w:rPr>
                <w:rFonts w:asciiTheme="majorHAnsi" w:hAnsiTheme="majorHAnsi"/>
                <w:sz w:val="18"/>
                <w:szCs w:val="18"/>
              </w:rPr>
            </w:pPr>
          </w:p>
        </w:tc>
      </w:tr>
      <w:tr w:rsidR="001C5130" w:rsidRPr="00160808" w14:paraId="076BE032" w14:textId="77777777" w:rsidTr="001C5130">
        <w:tc>
          <w:tcPr>
            <w:tcW w:w="2802" w:type="dxa"/>
            <w:tcBorders>
              <w:top w:val="nil"/>
            </w:tcBorders>
            <w:vAlign w:val="center"/>
          </w:tcPr>
          <w:p w14:paraId="2908E4B1" w14:textId="77777777" w:rsidR="001C5130" w:rsidRPr="00160808" w:rsidRDefault="001C5130" w:rsidP="00160808">
            <w:pPr>
              <w:rPr>
                <w:rFonts w:asciiTheme="majorHAnsi" w:hAnsiTheme="majorHAnsi"/>
                <w:sz w:val="18"/>
                <w:szCs w:val="18"/>
              </w:rPr>
            </w:pPr>
            <w:r>
              <w:rPr>
                <w:rFonts w:asciiTheme="majorHAnsi" w:hAnsiTheme="majorHAnsi"/>
                <w:sz w:val="18"/>
                <w:szCs w:val="18"/>
              </w:rPr>
              <w:t>0</w:t>
            </w:r>
          </w:p>
        </w:tc>
        <w:tc>
          <w:tcPr>
            <w:tcW w:w="850" w:type="dxa"/>
            <w:tcBorders>
              <w:top w:val="nil"/>
            </w:tcBorders>
            <w:vAlign w:val="center"/>
          </w:tcPr>
          <w:p w14:paraId="553A109F"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28%</w:t>
            </w:r>
          </w:p>
        </w:tc>
        <w:tc>
          <w:tcPr>
            <w:tcW w:w="1460" w:type="dxa"/>
            <w:tcBorders>
              <w:top w:val="nil"/>
            </w:tcBorders>
            <w:vAlign w:val="center"/>
          </w:tcPr>
          <w:p w14:paraId="2F9C980D"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28/100</w:t>
            </w:r>
          </w:p>
        </w:tc>
        <w:tc>
          <w:tcPr>
            <w:tcW w:w="1233" w:type="dxa"/>
            <w:tcBorders>
              <w:top w:val="nil"/>
            </w:tcBorders>
            <w:vAlign w:val="center"/>
          </w:tcPr>
          <w:p w14:paraId="258200F8" w14:textId="77777777" w:rsidR="001C5130" w:rsidRPr="00160808" w:rsidRDefault="001C5130" w:rsidP="00160808">
            <w:pPr>
              <w:jc w:val="center"/>
              <w:rPr>
                <w:rFonts w:asciiTheme="majorHAnsi" w:hAnsiTheme="majorHAnsi"/>
                <w:sz w:val="18"/>
                <w:szCs w:val="18"/>
              </w:rPr>
            </w:pPr>
          </w:p>
        </w:tc>
      </w:tr>
      <w:tr w:rsidR="001C5130" w:rsidRPr="00160808" w14:paraId="042672E6" w14:textId="77777777" w:rsidTr="001C5130">
        <w:tc>
          <w:tcPr>
            <w:tcW w:w="2802" w:type="dxa"/>
            <w:vAlign w:val="center"/>
          </w:tcPr>
          <w:p w14:paraId="5084972F" w14:textId="77777777" w:rsidR="001C5130" w:rsidRPr="00160808" w:rsidRDefault="001C5130" w:rsidP="00160808">
            <w:pPr>
              <w:rPr>
                <w:rFonts w:asciiTheme="majorHAnsi" w:hAnsiTheme="majorHAnsi"/>
                <w:sz w:val="18"/>
                <w:szCs w:val="18"/>
              </w:rPr>
            </w:pPr>
            <w:r>
              <w:rPr>
                <w:rFonts w:asciiTheme="majorHAnsi" w:hAnsiTheme="majorHAnsi"/>
                <w:sz w:val="18"/>
                <w:szCs w:val="18"/>
              </w:rPr>
              <w:t>1-2</w:t>
            </w:r>
          </w:p>
        </w:tc>
        <w:tc>
          <w:tcPr>
            <w:tcW w:w="850" w:type="dxa"/>
            <w:vAlign w:val="center"/>
          </w:tcPr>
          <w:p w14:paraId="09A8C8AF"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42%</w:t>
            </w:r>
          </w:p>
        </w:tc>
        <w:tc>
          <w:tcPr>
            <w:tcW w:w="1460" w:type="dxa"/>
            <w:vAlign w:val="center"/>
          </w:tcPr>
          <w:p w14:paraId="2B27968D"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24/57</w:t>
            </w:r>
          </w:p>
        </w:tc>
        <w:tc>
          <w:tcPr>
            <w:tcW w:w="1233" w:type="dxa"/>
            <w:vAlign w:val="center"/>
          </w:tcPr>
          <w:p w14:paraId="28C762CF"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0.001</w:t>
            </w:r>
          </w:p>
        </w:tc>
      </w:tr>
      <w:tr w:rsidR="001C5130" w:rsidRPr="00160808" w14:paraId="13E7ECF0" w14:textId="77777777" w:rsidTr="001C5130">
        <w:tc>
          <w:tcPr>
            <w:tcW w:w="2802" w:type="dxa"/>
            <w:tcBorders>
              <w:bottom w:val="single" w:sz="4" w:space="0" w:color="auto"/>
            </w:tcBorders>
            <w:vAlign w:val="center"/>
          </w:tcPr>
          <w:p w14:paraId="521290E9" w14:textId="77777777" w:rsidR="001C5130" w:rsidRPr="00160808" w:rsidRDefault="001C5130" w:rsidP="00160808">
            <w:pPr>
              <w:rPr>
                <w:rFonts w:asciiTheme="majorHAnsi" w:hAnsiTheme="majorHAnsi"/>
                <w:sz w:val="18"/>
                <w:szCs w:val="18"/>
              </w:rPr>
            </w:pPr>
            <w:r>
              <w:rPr>
                <w:rFonts w:asciiTheme="majorHAnsi" w:hAnsiTheme="majorHAnsi"/>
                <w:sz w:val="18"/>
                <w:szCs w:val="18"/>
              </w:rPr>
              <w:t>≥3 (range 3-6)</w:t>
            </w:r>
          </w:p>
        </w:tc>
        <w:tc>
          <w:tcPr>
            <w:tcW w:w="850" w:type="dxa"/>
            <w:tcBorders>
              <w:bottom w:val="single" w:sz="4" w:space="0" w:color="auto"/>
            </w:tcBorders>
            <w:vAlign w:val="center"/>
          </w:tcPr>
          <w:p w14:paraId="2D4E0CB1"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77%</w:t>
            </w:r>
          </w:p>
        </w:tc>
        <w:tc>
          <w:tcPr>
            <w:tcW w:w="1460" w:type="dxa"/>
            <w:tcBorders>
              <w:bottom w:val="single" w:sz="4" w:space="0" w:color="auto"/>
            </w:tcBorders>
            <w:vAlign w:val="center"/>
          </w:tcPr>
          <w:p w14:paraId="2649B82C"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10/13</w:t>
            </w:r>
          </w:p>
        </w:tc>
        <w:tc>
          <w:tcPr>
            <w:tcW w:w="1233" w:type="dxa"/>
            <w:tcBorders>
              <w:bottom w:val="single" w:sz="4" w:space="0" w:color="auto"/>
            </w:tcBorders>
            <w:vAlign w:val="center"/>
          </w:tcPr>
          <w:p w14:paraId="752B299A" w14:textId="77777777" w:rsidR="001C5130" w:rsidRPr="00160808" w:rsidRDefault="001C5130" w:rsidP="00160808">
            <w:pPr>
              <w:jc w:val="center"/>
              <w:rPr>
                <w:rFonts w:asciiTheme="majorHAnsi" w:hAnsiTheme="majorHAnsi"/>
                <w:sz w:val="18"/>
                <w:szCs w:val="18"/>
              </w:rPr>
            </w:pPr>
          </w:p>
        </w:tc>
      </w:tr>
      <w:tr w:rsidR="001C5130" w:rsidRPr="00160808" w14:paraId="0ACCEB70" w14:textId="77777777" w:rsidTr="001C5130">
        <w:tc>
          <w:tcPr>
            <w:tcW w:w="2802" w:type="dxa"/>
            <w:tcBorders>
              <w:top w:val="single" w:sz="4" w:space="0" w:color="auto"/>
              <w:bottom w:val="nil"/>
            </w:tcBorders>
            <w:vAlign w:val="center"/>
          </w:tcPr>
          <w:p w14:paraId="43796D8F" w14:textId="77777777" w:rsidR="001C5130" w:rsidRPr="00160808" w:rsidRDefault="001C5130" w:rsidP="00160808">
            <w:pPr>
              <w:rPr>
                <w:rFonts w:asciiTheme="majorHAnsi" w:hAnsiTheme="majorHAnsi"/>
                <w:sz w:val="18"/>
                <w:szCs w:val="18"/>
              </w:rPr>
            </w:pPr>
            <w:r>
              <w:rPr>
                <w:rFonts w:asciiTheme="majorHAnsi" w:hAnsiTheme="majorHAnsi"/>
                <w:sz w:val="18"/>
                <w:szCs w:val="18"/>
              </w:rPr>
              <w:t>Total number of items</w:t>
            </w:r>
          </w:p>
        </w:tc>
        <w:tc>
          <w:tcPr>
            <w:tcW w:w="850" w:type="dxa"/>
            <w:tcBorders>
              <w:top w:val="single" w:sz="4" w:space="0" w:color="auto"/>
              <w:bottom w:val="nil"/>
            </w:tcBorders>
            <w:vAlign w:val="center"/>
          </w:tcPr>
          <w:p w14:paraId="246CCD89" w14:textId="77777777" w:rsidR="001C5130" w:rsidRPr="00160808" w:rsidRDefault="001C5130" w:rsidP="00160808">
            <w:pPr>
              <w:jc w:val="center"/>
              <w:rPr>
                <w:rFonts w:asciiTheme="majorHAnsi" w:hAnsiTheme="majorHAnsi"/>
                <w:sz w:val="18"/>
                <w:szCs w:val="18"/>
              </w:rPr>
            </w:pPr>
          </w:p>
        </w:tc>
        <w:tc>
          <w:tcPr>
            <w:tcW w:w="1460" w:type="dxa"/>
            <w:tcBorders>
              <w:top w:val="single" w:sz="4" w:space="0" w:color="auto"/>
              <w:bottom w:val="nil"/>
            </w:tcBorders>
            <w:vAlign w:val="center"/>
          </w:tcPr>
          <w:p w14:paraId="7D15B84A" w14:textId="77777777" w:rsidR="001C5130" w:rsidRPr="00160808" w:rsidRDefault="001C5130" w:rsidP="00160808">
            <w:pPr>
              <w:jc w:val="center"/>
              <w:rPr>
                <w:rFonts w:asciiTheme="majorHAnsi" w:hAnsiTheme="majorHAnsi"/>
                <w:sz w:val="18"/>
                <w:szCs w:val="18"/>
              </w:rPr>
            </w:pPr>
          </w:p>
        </w:tc>
        <w:tc>
          <w:tcPr>
            <w:tcW w:w="1233" w:type="dxa"/>
            <w:tcBorders>
              <w:top w:val="single" w:sz="4" w:space="0" w:color="auto"/>
              <w:bottom w:val="nil"/>
            </w:tcBorders>
            <w:vAlign w:val="center"/>
          </w:tcPr>
          <w:p w14:paraId="454BDF93" w14:textId="77777777" w:rsidR="001C5130" w:rsidRPr="00160808" w:rsidRDefault="001C5130" w:rsidP="00160808">
            <w:pPr>
              <w:jc w:val="center"/>
              <w:rPr>
                <w:rFonts w:asciiTheme="majorHAnsi" w:hAnsiTheme="majorHAnsi"/>
                <w:sz w:val="18"/>
                <w:szCs w:val="18"/>
              </w:rPr>
            </w:pPr>
          </w:p>
        </w:tc>
      </w:tr>
      <w:tr w:rsidR="001C5130" w:rsidRPr="00160808" w14:paraId="496F2B2F" w14:textId="77777777" w:rsidTr="001C5130">
        <w:tc>
          <w:tcPr>
            <w:tcW w:w="2802" w:type="dxa"/>
            <w:tcBorders>
              <w:top w:val="nil"/>
            </w:tcBorders>
            <w:vAlign w:val="center"/>
          </w:tcPr>
          <w:p w14:paraId="7270E3C7" w14:textId="77777777" w:rsidR="001C5130" w:rsidRPr="00160808" w:rsidRDefault="001C5130" w:rsidP="00160808">
            <w:pPr>
              <w:rPr>
                <w:rFonts w:asciiTheme="majorHAnsi" w:hAnsiTheme="majorHAnsi"/>
                <w:sz w:val="18"/>
                <w:szCs w:val="18"/>
              </w:rPr>
            </w:pPr>
            <w:r>
              <w:rPr>
                <w:rFonts w:asciiTheme="majorHAnsi" w:hAnsiTheme="majorHAnsi"/>
                <w:sz w:val="18"/>
                <w:szCs w:val="18"/>
              </w:rPr>
              <w:t>0</w:t>
            </w:r>
          </w:p>
        </w:tc>
        <w:tc>
          <w:tcPr>
            <w:tcW w:w="850" w:type="dxa"/>
            <w:tcBorders>
              <w:top w:val="nil"/>
            </w:tcBorders>
            <w:vAlign w:val="center"/>
          </w:tcPr>
          <w:p w14:paraId="6FDF3D0E"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9%</w:t>
            </w:r>
          </w:p>
        </w:tc>
        <w:tc>
          <w:tcPr>
            <w:tcW w:w="1460" w:type="dxa"/>
            <w:tcBorders>
              <w:top w:val="nil"/>
            </w:tcBorders>
            <w:vAlign w:val="center"/>
          </w:tcPr>
          <w:p w14:paraId="6236345A"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3/35</w:t>
            </w:r>
          </w:p>
        </w:tc>
        <w:tc>
          <w:tcPr>
            <w:tcW w:w="1233" w:type="dxa"/>
            <w:tcBorders>
              <w:top w:val="nil"/>
            </w:tcBorders>
            <w:vAlign w:val="center"/>
          </w:tcPr>
          <w:p w14:paraId="54833AAF" w14:textId="77777777" w:rsidR="001C5130" w:rsidRPr="00160808" w:rsidRDefault="001C5130" w:rsidP="00160808">
            <w:pPr>
              <w:jc w:val="center"/>
              <w:rPr>
                <w:rFonts w:asciiTheme="majorHAnsi" w:hAnsiTheme="majorHAnsi"/>
                <w:sz w:val="18"/>
                <w:szCs w:val="18"/>
              </w:rPr>
            </w:pPr>
          </w:p>
        </w:tc>
      </w:tr>
      <w:tr w:rsidR="001C5130" w:rsidRPr="00160808" w14:paraId="17898FF0" w14:textId="77777777" w:rsidTr="001C5130">
        <w:tc>
          <w:tcPr>
            <w:tcW w:w="2802" w:type="dxa"/>
            <w:vAlign w:val="center"/>
          </w:tcPr>
          <w:p w14:paraId="48D87B39" w14:textId="77777777" w:rsidR="001C5130" w:rsidRPr="00160808" w:rsidRDefault="001C5130" w:rsidP="00160808">
            <w:pPr>
              <w:rPr>
                <w:rFonts w:asciiTheme="majorHAnsi" w:hAnsiTheme="majorHAnsi"/>
                <w:sz w:val="18"/>
                <w:szCs w:val="18"/>
              </w:rPr>
            </w:pPr>
            <w:r>
              <w:rPr>
                <w:rFonts w:asciiTheme="majorHAnsi" w:hAnsiTheme="majorHAnsi"/>
                <w:sz w:val="18"/>
                <w:szCs w:val="18"/>
              </w:rPr>
              <w:t>1-2</w:t>
            </w:r>
          </w:p>
        </w:tc>
        <w:tc>
          <w:tcPr>
            <w:tcW w:w="850" w:type="dxa"/>
            <w:vAlign w:val="center"/>
          </w:tcPr>
          <w:p w14:paraId="33FC08AF"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30%</w:t>
            </w:r>
          </w:p>
        </w:tc>
        <w:tc>
          <w:tcPr>
            <w:tcW w:w="1460" w:type="dxa"/>
            <w:vAlign w:val="center"/>
          </w:tcPr>
          <w:p w14:paraId="66E5E648"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17/56</w:t>
            </w:r>
          </w:p>
        </w:tc>
        <w:tc>
          <w:tcPr>
            <w:tcW w:w="1233" w:type="dxa"/>
            <w:vAlign w:val="center"/>
          </w:tcPr>
          <w:p w14:paraId="1CC047A7" w14:textId="77777777" w:rsidR="001C5130" w:rsidRPr="00160808" w:rsidRDefault="001C5130" w:rsidP="00160808">
            <w:pPr>
              <w:jc w:val="center"/>
              <w:rPr>
                <w:rFonts w:asciiTheme="majorHAnsi" w:hAnsiTheme="majorHAnsi"/>
                <w:sz w:val="18"/>
                <w:szCs w:val="18"/>
              </w:rPr>
            </w:pPr>
          </w:p>
        </w:tc>
      </w:tr>
      <w:tr w:rsidR="001C5130" w:rsidRPr="00160808" w14:paraId="431F06C9" w14:textId="77777777" w:rsidTr="001C5130">
        <w:tc>
          <w:tcPr>
            <w:tcW w:w="2802" w:type="dxa"/>
            <w:vAlign w:val="center"/>
          </w:tcPr>
          <w:p w14:paraId="13639B7E" w14:textId="77777777" w:rsidR="001C5130" w:rsidRPr="00160808" w:rsidRDefault="001C5130" w:rsidP="00160808">
            <w:pPr>
              <w:rPr>
                <w:rFonts w:asciiTheme="majorHAnsi" w:hAnsiTheme="majorHAnsi"/>
                <w:sz w:val="18"/>
                <w:szCs w:val="18"/>
              </w:rPr>
            </w:pPr>
            <w:r>
              <w:rPr>
                <w:rFonts w:asciiTheme="majorHAnsi" w:hAnsiTheme="majorHAnsi"/>
                <w:sz w:val="18"/>
                <w:szCs w:val="18"/>
              </w:rPr>
              <w:t>3-4</w:t>
            </w:r>
          </w:p>
        </w:tc>
        <w:tc>
          <w:tcPr>
            <w:tcW w:w="850" w:type="dxa"/>
            <w:vAlign w:val="center"/>
          </w:tcPr>
          <w:p w14:paraId="6F50F82D"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29%</w:t>
            </w:r>
          </w:p>
        </w:tc>
        <w:tc>
          <w:tcPr>
            <w:tcW w:w="1460" w:type="dxa"/>
            <w:vAlign w:val="center"/>
          </w:tcPr>
          <w:p w14:paraId="104DDA86"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7/24</w:t>
            </w:r>
          </w:p>
        </w:tc>
        <w:tc>
          <w:tcPr>
            <w:tcW w:w="1233" w:type="dxa"/>
            <w:vAlign w:val="center"/>
          </w:tcPr>
          <w:p w14:paraId="15C50A0B"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&lt;0.001</w:t>
            </w:r>
          </w:p>
        </w:tc>
      </w:tr>
      <w:tr w:rsidR="001C5130" w:rsidRPr="00160808" w14:paraId="1B49F6C5" w14:textId="77777777" w:rsidTr="001C5130">
        <w:tc>
          <w:tcPr>
            <w:tcW w:w="2802" w:type="dxa"/>
            <w:vAlign w:val="center"/>
          </w:tcPr>
          <w:p w14:paraId="18542F1A" w14:textId="77777777" w:rsidR="001C5130" w:rsidRPr="00160808" w:rsidRDefault="001C5130" w:rsidP="00160808">
            <w:pPr>
              <w:rPr>
                <w:rFonts w:asciiTheme="majorHAnsi" w:hAnsiTheme="majorHAnsi"/>
                <w:sz w:val="18"/>
                <w:szCs w:val="18"/>
              </w:rPr>
            </w:pPr>
            <w:r>
              <w:rPr>
                <w:rFonts w:asciiTheme="majorHAnsi" w:hAnsiTheme="majorHAnsi"/>
                <w:sz w:val="18"/>
                <w:szCs w:val="18"/>
              </w:rPr>
              <w:t>5-9</w:t>
            </w:r>
          </w:p>
        </w:tc>
        <w:tc>
          <w:tcPr>
            <w:tcW w:w="850" w:type="dxa"/>
            <w:vAlign w:val="center"/>
          </w:tcPr>
          <w:p w14:paraId="709FC95D"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61%</w:t>
            </w:r>
          </w:p>
        </w:tc>
        <w:tc>
          <w:tcPr>
            <w:tcW w:w="1460" w:type="dxa"/>
            <w:vAlign w:val="center"/>
          </w:tcPr>
          <w:p w14:paraId="3CFCFB95"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25/41</w:t>
            </w:r>
          </w:p>
        </w:tc>
        <w:tc>
          <w:tcPr>
            <w:tcW w:w="1233" w:type="dxa"/>
            <w:vAlign w:val="center"/>
          </w:tcPr>
          <w:p w14:paraId="504C5447" w14:textId="77777777" w:rsidR="001C5130" w:rsidRPr="00160808" w:rsidRDefault="001C5130" w:rsidP="00160808">
            <w:pPr>
              <w:jc w:val="center"/>
              <w:rPr>
                <w:rFonts w:asciiTheme="majorHAnsi" w:hAnsiTheme="majorHAnsi"/>
                <w:sz w:val="18"/>
                <w:szCs w:val="18"/>
              </w:rPr>
            </w:pPr>
          </w:p>
        </w:tc>
      </w:tr>
      <w:tr w:rsidR="001C5130" w:rsidRPr="00160808" w14:paraId="36428A8C" w14:textId="77777777" w:rsidTr="001C5130">
        <w:tc>
          <w:tcPr>
            <w:tcW w:w="2802" w:type="dxa"/>
            <w:tcBorders>
              <w:bottom w:val="single" w:sz="4" w:space="0" w:color="auto"/>
            </w:tcBorders>
            <w:vAlign w:val="center"/>
          </w:tcPr>
          <w:p w14:paraId="7F8CA846" w14:textId="77777777" w:rsidR="001C5130" w:rsidRPr="00160808" w:rsidRDefault="001C5130" w:rsidP="00160808">
            <w:pPr>
              <w:rPr>
                <w:rFonts w:asciiTheme="majorHAnsi" w:hAnsiTheme="majorHAnsi"/>
                <w:sz w:val="18"/>
                <w:szCs w:val="18"/>
              </w:rPr>
            </w:pPr>
            <w:r>
              <w:rPr>
                <w:rFonts w:asciiTheme="majorHAnsi" w:hAnsiTheme="majorHAnsi"/>
                <w:sz w:val="18"/>
                <w:szCs w:val="18"/>
              </w:rPr>
              <w:t>≥10 (range 10-18)</w:t>
            </w:r>
          </w:p>
        </w:tc>
        <w:tc>
          <w:tcPr>
            <w:tcW w:w="850" w:type="dxa"/>
            <w:tcBorders>
              <w:bottom w:val="single" w:sz="4" w:space="0" w:color="auto"/>
            </w:tcBorders>
            <w:vAlign w:val="center"/>
          </w:tcPr>
          <w:p w14:paraId="522074EC"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71%</w:t>
            </w:r>
          </w:p>
        </w:tc>
        <w:tc>
          <w:tcPr>
            <w:tcW w:w="1460" w:type="dxa"/>
            <w:tcBorders>
              <w:bottom w:val="single" w:sz="4" w:space="0" w:color="auto"/>
            </w:tcBorders>
            <w:vAlign w:val="center"/>
          </w:tcPr>
          <w:p w14:paraId="4232665D" w14:textId="77777777" w:rsidR="001C5130" w:rsidRPr="00160808" w:rsidRDefault="001C5130" w:rsidP="00160808">
            <w:pPr>
              <w:jc w:val="center"/>
              <w:rPr>
                <w:rFonts w:asciiTheme="majorHAnsi" w:hAnsiTheme="majorHAnsi"/>
                <w:sz w:val="18"/>
                <w:szCs w:val="18"/>
              </w:rPr>
            </w:pPr>
            <w:r>
              <w:rPr>
                <w:rFonts w:asciiTheme="majorHAnsi" w:hAnsiTheme="majorHAnsi"/>
                <w:sz w:val="18"/>
                <w:szCs w:val="18"/>
              </w:rPr>
              <w:t>10/14</w:t>
            </w:r>
          </w:p>
        </w:tc>
        <w:tc>
          <w:tcPr>
            <w:tcW w:w="1233" w:type="dxa"/>
            <w:tcBorders>
              <w:bottom w:val="single" w:sz="4" w:space="0" w:color="auto"/>
            </w:tcBorders>
            <w:vAlign w:val="center"/>
          </w:tcPr>
          <w:p w14:paraId="228DD574" w14:textId="77777777" w:rsidR="001C5130" w:rsidRPr="00160808" w:rsidRDefault="001C5130" w:rsidP="00160808">
            <w:pPr>
              <w:jc w:val="center"/>
              <w:rPr>
                <w:rFonts w:asciiTheme="majorHAnsi" w:hAnsiTheme="majorHAnsi"/>
                <w:sz w:val="18"/>
                <w:szCs w:val="18"/>
              </w:rPr>
            </w:pPr>
          </w:p>
        </w:tc>
      </w:tr>
      <w:tr w:rsidR="001C5130" w:rsidRPr="00160808" w14:paraId="5FA55277" w14:textId="77777777" w:rsidTr="001C5130">
        <w:tc>
          <w:tcPr>
            <w:tcW w:w="2802" w:type="dxa"/>
            <w:tcBorders>
              <w:top w:val="single" w:sz="4" w:space="0" w:color="auto"/>
              <w:bottom w:val="nil"/>
            </w:tcBorders>
            <w:vAlign w:val="center"/>
          </w:tcPr>
          <w:p w14:paraId="31C9FAAC" w14:textId="77777777" w:rsidR="001C5130" w:rsidRPr="00160808" w:rsidRDefault="001C5130" w:rsidP="00160808">
            <w:pPr>
              <w:rPr>
                <w:rFonts w:asciiTheme="majorHAnsi" w:hAnsiTheme="majorHAnsi"/>
                <w:sz w:val="18"/>
                <w:szCs w:val="18"/>
              </w:rPr>
            </w:pPr>
            <w:r>
              <w:rPr>
                <w:rFonts w:asciiTheme="majorHAnsi" w:hAnsiTheme="majorHAnsi"/>
                <w:sz w:val="18"/>
                <w:szCs w:val="18"/>
              </w:rPr>
              <w:t>Health professionals</w:t>
            </w:r>
          </w:p>
        </w:tc>
        <w:tc>
          <w:tcPr>
            <w:tcW w:w="850" w:type="dxa"/>
            <w:tcBorders>
              <w:top w:val="single" w:sz="4" w:space="0" w:color="auto"/>
              <w:bottom w:val="nil"/>
            </w:tcBorders>
            <w:vAlign w:val="center"/>
          </w:tcPr>
          <w:p w14:paraId="2CA25BD9" w14:textId="77777777" w:rsidR="001C5130" w:rsidRPr="00160808" w:rsidRDefault="001C5130" w:rsidP="00160808">
            <w:pPr>
              <w:jc w:val="center"/>
              <w:rPr>
                <w:rFonts w:asciiTheme="majorHAnsi" w:hAnsiTheme="majorHAnsi"/>
                <w:sz w:val="18"/>
                <w:szCs w:val="18"/>
              </w:rPr>
            </w:pPr>
          </w:p>
        </w:tc>
        <w:tc>
          <w:tcPr>
            <w:tcW w:w="1460" w:type="dxa"/>
            <w:tcBorders>
              <w:top w:val="single" w:sz="4" w:space="0" w:color="auto"/>
              <w:bottom w:val="nil"/>
            </w:tcBorders>
            <w:vAlign w:val="center"/>
          </w:tcPr>
          <w:p w14:paraId="6BAA529F" w14:textId="77777777" w:rsidR="001C5130" w:rsidRPr="00160808" w:rsidRDefault="001C5130" w:rsidP="00160808">
            <w:pPr>
              <w:jc w:val="center"/>
              <w:rPr>
                <w:rFonts w:asciiTheme="majorHAnsi" w:hAnsiTheme="majorHAnsi"/>
                <w:sz w:val="18"/>
                <w:szCs w:val="18"/>
              </w:rPr>
            </w:pPr>
          </w:p>
        </w:tc>
        <w:tc>
          <w:tcPr>
            <w:tcW w:w="1233" w:type="dxa"/>
            <w:tcBorders>
              <w:top w:val="single" w:sz="4" w:space="0" w:color="auto"/>
              <w:bottom w:val="nil"/>
            </w:tcBorders>
            <w:vAlign w:val="center"/>
          </w:tcPr>
          <w:p w14:paraId="00307FD9" w14:textId="77777777" w:rsidR="001C5130" w:rsidRPr="00160808" w:rsidRDefault="001C5130" w:rsidP="00160808">
            <w:pPr>
              <w:jc w:val="center"/>
              <w:rPr>
                <w:rFonts w:asciiTheme="majorHAnsi" w:hAnsiTheme="majorHAnsi"/>
                <w:sz w:val="18"/>
                <w:szCs w:val="18"/>
              </w:rPr>
            </w:pPr>
          </w:p>
        </w:tc>
      </w:tr>
      <w:tr w:rsidR="00F807EE" w:rsidRPr="00160808" w14:paraId="114AD11E" w14:textId="77777777" w:rsidTr="001C5130">
        <w:tc>
          <w:tcPr>
            <w:tcW w:w="2802" w:type="dxa"/>
            <w:tcBorders>
              <w:top w:val="nil"/>
            </w:tcBorders>
            <w:vAlign w:val="center"/>
          </w:tcPr>
          <w:p w14:paraId="645986A2" w14:textId="77777777" w:rsidR="00F807EE" w:rsidRPr="00160808" w:rsidRDefault="00F807EE" w:rsidP="00160808">
            <w:pPr>
              <w:rPr>
                <w:rFonts w:asciiTheme="majorHAnsi" w:hAnsiTheme="majorHAnsi"/>
                <w:sz w:val="18"/>
                <w:szCs w:val="18"/>
              </w:rPr>
            </w:pPr>
            <w:r>
              <w:rPr>
                <w:rFonts w:asciiTheme="majorHAnsi" w:hAnsiTheme="majorHAnsi"/>
                <w:sz w:val="18"/>
                <w:szCs w:val="18"/>
              </w:rPr>
              <w:t>0</w:t>
            </w:r>
          </w:p>
        </w:tc>
        <w:tc>
          <w:tcPr>
            <w:tcW w:w="850" w:type="dxa"/>
            <w:tcBorders>
              <w:top w:val="nil"/>
            </w:tcBorders>
            <w:vAlign w:val="center"/>
          </w:tcPr>
          <w:p w14:paraId="598ED030" w14:textId="77777777" w:rsidR="00F807EE" w:rsidRPr="00160808" w:rsidRDefault="00F807EE" w:rsidP="00160808">
            <w:pPr>
              <w:jc w:val="center"/>
              <w:rPr>
                <w:rFonts w:asciiTheme="majorHAnsi" w:hAnsiTheme="majorHAnsi"/>
                <w:sz w:val="18"/>
                <w:szCs w:val="18"/>
              </w:rPr>
            </w:pPr>
            <w:r>
              <w:rPr>
                <w:rFonts w:asciiTheme="majorHAnsi" w:hAnsiTheme="majorHAnsi"/>
                <w:sz w:val="18"/>
                <w:szCs w:val="18"/>
              </w:rPr>
              <w:t>31%</w:t>
            </w:r>
          </w:p>
        </w:tc>
        <w:tc>
          <w:tcPr>
            <w:tcW w:w="1460" w:type="dxa"/>
            <w:tcBorders>
              <w:top w:val="nil"/>
            </w:tcBorders>
            <w:vAlign w:val="center"/>
          </w:tcPr>
          <w:p w14:paraId="56D5AB63" w14:textId="77777777" w:rsidR="00F807EE" w:rsidRPr="00160808" w:rsidRDefault="00F807EE" w:rsidP="00160808">
            <w:pPr>
              <w:jc w:val="center"/>
              <w:rPr>
                <w:rFonts w:asciiTheme="majorHAnsi" w:hAnsiTheme="majorHAnsi"/>
                <w:sz w:val="18"/>
                <w:szCs w:val="18"/>
              </w:rPr>
            </w:pPr>
            <w:r>
              <w:rPr>
                <w:rFonts w:asciiTheme="majorHAnsi" w:hAnsiTheme="majorHAnsi"/>
                <w:sz w:val="18"/>
                <w:szCs w:val="18"/>
              </w:rPr>
              <w:t>37/121</w:t>
            </w:r>
          </w:p>
        </w:tc>
        <w:tc>
          <w:tcPr>
            <w:tcW w:w="1233" w:type="dxa"/>
            <w:vMerge w:val="restart"/>
            <w:tcBorders>
              <w:top w:val="nil"/>
            </w:tcBorders>
            <w:vAlign w:val="center"/>
          </w:tcPr>
          <w:p w14:paraId="5E1CC8A9" w14:textId="77777777" w:rsidR="00F807EE" w:rsidRPr="00160808" w:rsidRDefault="00F807EE" w:rsidP="00160808">
            <w:pPr>
              <w:jc w:val="center"/>
              <w:rPr>
                <w:rFonts w:asciiTheme="majorHAnsi" w:hAnsiTheme="majorHAnsi"/>
                <w:sz w:val="18"/>
                <w:szCs w:val="18"/>
              </w:rPr>
            </w:pPr>
            <w:r>
              <w:rPr>
                <w:rFonts w:asciiTheme="majorHAnsi" w:hAnsiTheme="majorHAnsi"/>
                <w:sz w:val="18"/>
                <w:szCs w:val="18"/>
              </w:rPr>
              <w:t>0.01</w:t>
            </w:r>
          </w:p>
        </w:tc>
      </w:tr>
      <w:tr w:rsidR="00F807EE" w:rsidRPr="00160808" w14:paraId="4D97E1A1" w14:textId="77777777" w:rsidTr="001C5130">
        <w:tc>
          <w:tcPr>
            <w:tcW w:w="2802" w:type="dxa"/>
            <w:vAlign w:val="center"/>
          </w:tcPr>
          <w:p w14:paraId="7E451794" w14:textId="77777777" w:rsidR="00F807EE" w:rsidRPr="00160808" w:rsidRDefault="00F807EE" w:rsidP="00160808">
            <w:pPr>
              <w:rPr>
                <w:rFonts w:asciiTheme="majorHAnsi" w:hAnsiTheme="majorHAnsi"/>
                <w:sz w:val="18"/>
                <w:szCs w:val="18"/>
              </w:rPr>
            </w:pPr>
            <w:r>
              <w:rPr>
                <w:rFonts w:asciiTheme="majorHAnsi" w:hAnsiTheme="majorHAnsi"/>
                <w:sz w:val="18"/>
                <w:szCs w:val="18"/>
              </w:rPr>
              <w:t>≥1 (range 1-4)</w:t>
            </w:r>
          </w:p>
        </w:tc>
        <w:tc>
          <w:tcPr>
            <w:tcW w:w="850" w:type="dxa"/>
            <w:vAlign w:val="center"/>
          </w:tcPr>
          <w:p w14:paraId="3BA684FF" w14:textId="77777777" w:rsidR="00F807EE" w:rsidRPr="00160808" w:rsidRDefault="00F807EE" w:rsidP="00160808">
            <w:pPr>
              <w:jc w:val="center"/>
              <w:rPr>
                <w:rFonts w:asciiTheme="majorHAnsi" w:hAnsiTheme="majorHAnsi"/>
                <w:sz w:val="18"/>
                <w:szCs w:val="18"/>
              </w:rPr>
            </w:pPr>
            <w:r>
              <w:rPr>
                <w:rFonts w:asciiTheme="majorHAnsi" w:hAnsiTheme="majorHAnsi"/>
                <w:sz w:val="18"/>
                <w:szCs w:val="18"/>
              </w:rPr>
              <w:t>51%</w:t>
            </w:r>
          </w:p>
        </w:tc>
        <w:tc>
          <w:tcPr>
            <w:tcW w:w="1460" w:type="dxa"/>
            <w:vAlign w:val="center"/>
          </w:tcPr>
          <w:p w14:paraId="7E490AC4" w14:textId="77777777" w:rsidR="00F807EE" w:rsidRPr="00160808" w:rsidRDefault="00F807EE" w:rsidP="00160808">
            <w:pPr>
              <w:jc w:val="center"/>
              <w:rPr>
                <w:rFonts w:asciiTheme="majorHAnsi" w:hAnsiTheme="majorHAnsi"/>
                <w:sz w:val="18"/>
                <w:szCs w:val="18"/>
              </w:rPr>
            </w:pPr>
            <w:r>
              <w:rPr>
                <w:rFonts w:asciiTheme="majorHAnsi" w:hAnsiTheme="majorHAnsi"/>
                <w:sz w:val="18"/>
                <w:szCs w:val="18"/>
              </w:rPr>
              <w:t>25/49</w:t>
            </w:r>
          </w:p>
        </w:tc>
        <w:tc>
          <w:tcPr>
            <w:tcW w:w="1233" w:type="dxa"/>
            <w:vMerge/>
            <w:vAlign w:val="center"/>
          </w:tcPr>
          <w:p w14:paraId="532F0321" w14:textId="77777777" w:rsidR="00F807EE" w:rsidRPr="00160808" w:rsidRDefault="00F807EE" w:rsidP="00160808">
            <w:pPr>
              <w:jc w:val="center"/>
              <w:rPr>
                <w:rFonts w:asciiTheme="majorHAnsi" w:hAnsiTheme="majorHAnsi"/>
                <w:sz w:val="18"/>
                <w:szCs w:val="18"/>
              </w:rPr>
            </w:pPr>
          </w:p>
        </w:tc>
      </w:tr>
    </w:tbl>
    <w:p w14:paraId="5D655B4C" w14:textId="77777777" w:rsidR="00631E8E" w:rsidRDefault="00631E8E" w:rsidP="001C5130">
      <w:pPr>
        <w:jc w:val="both"/>
        <w:rPr>
          <w:rFonts w:asciiTheme="majorHAnsi" w:eastAsiaTheme="minorHAnsi" w:hAnsiTheme="majorHAnsi"/>
          <w:sz w:val="22"/>
          <w:szCs w:val="22"/>
          <w:lang w:val="en-GB"/>
        </w:rPr>
      </w:pPr>
    </w:p>
    <w:p w14:paraId="56B7B2C1" w14:textId="77777777" w:rsidR="00A17BBF" w:rsidRDefault="001C5130" w:rsidP="001C5130">
      <w:pPr>
        <w:jc w:val="both"/>
        <w:rPr>
          <w:rFonts w:asciiTheme="majorHAnsi" w:eastAsiaTheme="minorHAnsi" w:hAnsiTheme="majorHAnsi"/>
          <w:sz w:val="22"/>
          <w:szCs w:val="22"/>
          <w:lang w:val="en-GB"/>
        </w:rPr>
      </w:pPr>
      <w:r>
        <w:rPr>
          <w:rFonts w:asciiTheme="majorHAnsi" w:eastAsiaTheme="minorHAnsi" w:hAnsiTheme="majorHAnsi"/>
          <w:sz w:val="22"/>
          <w:szCs w:val="22"/>
          <w:lang w:val="en-GB"/>
        </w:rPr>
        <w:t>*</w:t>
      </w:r>
      <w:r w:rsidRPr="001C5130">
        <w:rPr>
          <w:rFonts w:asciiTheme="majorHAnsi" w:eastAsiaTheme="minorHAnsi" w:hAnsiTheme="majorHAnsi"/>
          <w:sz w:val="18"/>
          <w:szCs w:val="18"/>
          <w:lang w:val="en-GB"/>
        </w:rPr>
        <w:t>chi-square test (physical &amp; functional, psychological emotional &amp; spiritual well-being, total number), otherwise Fisher's exact test.</w:t>
      </w:r>
      <w:r>
        <w:rPr>
          <w:rFonts w:asciiTheme="majorHAnsi" w:eastAsiaTheme="minorHAnsi" w:hAnsiTheme="majorHAnsi"/>
          <w:sz w:val="22"/>
          <w:szCs w:val="22"/>
          <w:lang w:val="en-GB"/>
        </w:rPr>
        <w:t xml:space="preserve"> </w:t>
      </w:r>
    </w:p>
    <w:p w14:paraId="60518B13" w14:textId="77777777" w:rsidR="00A17BBF" w:rsidRDefault="00A17BBF" w:rsidP="001C5130">
      <w:pPr>
        <w:jc w:val="both"/>
        <w:rPr>
          <w:rFonts w:asciiTheme="majorHAnsi" w:eastAsiaTheme="minorHAnsi" w:hAnsiTheme="majorHAnsi"/>
          <w:sz w:val="22"/>
          <w:szCs w:val="22"/>
          <w:lang w:val="en-GB"/>
        </w:rPr>
      </w:pPr>
    </w:p>
    <w:p w14:paraId="3351467F" w14:textId="77777777" w:rsidR="00A17BBF" w:rsidRDefault="00A17BBF">
      <w:pPr>
        <w:rPr>
          <w:rFonts w:asciiTheme="majorHAnsi" w:eastAsiaTheme="minorHAnsi" w:hAnsiTheme="majorHAnsi"/>
          <w:sz w:val="22"/>
          <w:szCs w:val="22"/>
          <w:lang w:val="en-GB"/>
        </w:rPr>
      </w:pPr>
      <w:r>
        <w:rPr>
          <w:rFonts w:asciiTheme="majorHAnsi" w:eastAsiaTheme="minorHAnsi" w:hAnsiTheme="majorHAnsi"/>
          <w:sz w:val="22"/>
          <w:szCs w:val="22"/>
          <w:lang w:val="en-GB"/>
        </w:rPr>
        <w:br w:type="page"/>
      </w:r>
    </w:p>
    <w:p w14:paraId="500A53DF" w14:textId="77777777" w:rsidR="00A17BBF" w:rsidRPr="0023405A" w:rsidRDefault="00A17BBF" w:rsidP="0023405A">
      <w:pPr>
        <w:spacing w:line="360" w:lineRule="auto"/>
        <w:jc w:val="both"/>
        <w:rPr>
          <w:rFonts w:asciiTheme="majorHAnsi" w:hAnsiTheme="majorHAnsi"/>
          <w:b/>
          <w:sz w:val="22"/>
          <w:szCs w:val="22"/>
        </w:rPr>
      </w:pPr>
      <w:r w:rsidRPr="0023405A">
        <w:rPr>
          <w:rFonts w:asciiTheme="majorHAnsi" w:hAnsiTheme="majorHAnsi"/>
          <w:b/>
          <w:sz w:val="22"/>
          <w:szCs w:val="22"/>
        </w:rPr>
        <w:t>Table 3</w:t>
      </w:r>
      <w:r w:rsidR="00382529">
        <w:rPr>
          <w:rFonts w:asciiTheme="majorHAnsi" w:hAnsiTheme="majorHAnsi"/>
          <w:b/>
          <w:sz w:val="22"/>
          <w:szCs w:val="22"/>
        </w:rPr>
        <w:t>.</w:t>
      </w:r>
      <w:r w:rsidR="00E70483" w:rsidRPr="0023405A">
        <w:rPr>
          <w:rFonts w:asciiTheme="majorHAnsi" w:hAnsiTheme="majorHAnsi"/>
          <w:b/>
          <w:sz w:val="22"/>
          <w:szCs w:val="22"/>
        </w:rPr>
        <w:t xml:space="preserve">  Possible cut-offs in the number of PCI items in relation to significant distress</w:t>
      </w:r>
    </w:p>
    <w:p w14:paraId="374074C5" w14:textId="77777777" w:rsidR="00A17BBF" w:rsidRDefault="00A17BBF" w:rsidP="001C5130">
      <w:pPr>
        <w:jc w:val="both"/>
        <w:rPr>
          <w:rFonts w:asciiTheme="majorHAnsi" w:eastAsiaTheme="minorHAnsi" w:hAnsiTheme="majorHAnsi"/>
          <w:sz w:val="22"/>
          <w:szCs w:val="22"/>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704"/>
        <w:gridCol w:w="1704"/>
        <w:gridCol w:w="1704"/>
        <w:gridCol w:w="1705"/>
        <w:gridCol w:w="1705"/>
      </w:tblGrid>
      <w:tr w:rsidR="00A17BBF" w:rsidRPr="00A17BBF" w14:paraId="5FA602EA" w14:textId="77777777" w:rsidTr="002541F7">
        <w:tc>
          <w:tcPr>
            <w:tcW w:w="1704" w:type="dxa"/>
            <w:tcBorders>
              <w:bottom w:val="single" w:sz="4" w:space="0" w:color="auto"/>
            </w:tcBorders>
          </w:tcPr>
          <w:p w14:paraId="3ECC6C7A" w14:textId="77777777" w:rsidR="00A17BBF" w:rsidRPr="00A17BBF" w:rsidRDefault="00A17BBF" w:rsidP="001C5130">
            <w:pPr>
              <w:jc w:val="both"/>
              <w:rPr>
                <w:rFonts w:asciiTheme="majorHAnsi" w:hAnsiTheme="majorHAnsi"/>
                <w:sz w:val="18"/>
                <w:szCs w:val="18"/>
              </w:rPr>
            </w:pPr>
            <w:r>
              <w:rPr>
                <w:rFonts w:asciiTheme="majorHAnsi" w:hAnsiTheme="majorHAnsi"/>
                <w:sz w:val="18"/>
                <w:szCs w:val="18"/>
              </w:rPr>
              <w:t xml:space="preserve">Number of </w:t>
            </w:r>
            <w:r w:rsidR="002541F7">
              <w:rPr>
                <w:rFonts w:asciiTheme="majorHAnsi" w:hAnsiTheme="majorHAnsi"/>
                <w:sz w:val="18"/>
                <w:szCs w:val="18"/>
              </w:rPr>
              <w:t xml:space="preserve">total </w:t>
            </w:r>
            <w:r>
              <w:rPr>
                <w:rFonts w:asciiTheme="majorHAnsi" w:hAnsiTheme="majorHAnsi"/>
                <w:sz w:val="18"/>
                <w:szCs w:val="18"/>
              </w:rPr>
              <w:t xml:space="preserve">PCI items </w:t>
            </w:r>
            <w:r w:rsidR="002541F7">
              <w:rPr>
                <w:rFonts w:asciiTheme="majorHAnsi" w:hAnsiTheme="majorHAnsi"/>
                <w:sz w:val="18"/>
                <w:szCs w:val="18"/>
              </w:rPr>
              <w:t xml:space="preserve">as </w:t>
            </w:r>
            <w:r>
              <w:rPr>
                <w:rFonts w:asciiTheme="majorHAnsi" w:hAnsiTheme="majorHAnsi"/>
                <w:sz w:val="18"/>
                <w:szCs w:val="18"/>
              </w:rPr>
              <w:t>cut-off</w:t>
            </w:r>
          </w:p>
        </w:tc>
        <w:tc>
          <w:tcPr>
            <w:tcW w:w="1704" w:type="dxa"/>
            <w:tcBorders>
              <w:bottom w:val="single" w:sz="4" w:space="0" w:color="auto"/>
            </w:tcBorders>
            <w:vAlign w:val="center"/>
          </w:tcPr>
          <w:p w14:paraId="436A6607"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Sensitivity</w:t>
            </w:r>
          </w:p>
        </w:tc>
        <w:tc>
          <w:tcPr>
            <w:tcW w:w="1704" w:type="dxa"/>
            <w:tcBorders>
              <w:bottom w:val="single" w:sz="4" w:space="0" w:color="auto"/>
            </w:tcBorders>
            <w:vAlign w:val="center"/>
          </w:tcPr>
          <w:p w14:paraId="63D8EEFC"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Specificity</w:t>
            </w:r>
          </w:p>
        </w:tc>
        <w:tc>
          <w:tcPr>
            <w:tcW w:w="1705" w:type="dxa"/>
            <w:tcBorders>
              <w:bottom w:val="single" w:sz="4" w:space="0" w:color="auto"/>
            </w:tcBorders>
            <w:vAlign w:val="center"/>
          </w:tcPr>
          <w:p w14:paraId="14552E96"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Positive Predictive Value</w:t>
            </w:r>
          </w:p>
        </w:tc>
        <w:tc>
          <w:tcPr>
            <w:tcW w:w="1705" w:type="dxa"/>
            <w:tcBorders>
              <w:bottom w:val="single" w:sz="4" w:space="0" w:color="auto"/>
            </w:tcBorders>
            <w:vAlign w:val="center"/>
          </w:tcPr>
          <w:p w14:paraId="22E8FFB2"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Negative Predictive Value</w:t>
            </w:r>
          </w:p>
        </w:tc>
      </w:tr>
      <w:tr w:rsidR="00A17BBF" w:rsidRPr="00A17BBF" w14:paraId="4CA4F6B4" w14:textId="77777777" w:rsidTr="002541F7">
        <w:tc>
          <w:tcPr>
            <w:tcW w:w="1704" w:type="dxa"/>
            <w:tcBorders>
              <w:top w:val="single" w:sz="4" w:space="0" w:color="auto"/>
              <w:bottom w:val="nil"/>
            </w:tcBorders>
            <w:vAlign w:val="center"/>
          </w:tcPr>
          <w:p w14:paraId="7ECAAE22" w14:textId="77777777" w:rsidR="00A17BBF" w:rsidRDefault="00A17BBF" w:rsidP="00A17BBF">
            <w:pPr>
              <w:jc w:val="center"/>
              <w:rPr>
                <w:rFonts w:asciiTheme="majorHAnsi" w:hAnsiTheme="majorHAnsi"/>
                <w:sz w:val="18"/>
                <w:szCs w:val="18"/>
              </w:rPr>
            </w:pPr>
            <w:r>
              <w:rPr>
                <w:rFonts w:asciiTheme="majorHAnsi" w:hAnsiTheme="majorHAnsi"/>
                <w:sz w:val="18"/>
                <w:szCs w:val="18"/>
              </w:rPr>
              <w:t>≥1</w:t>
            </w:r>
          </w:p>
        </w:tc>
        <w:tc>
          <w:tcPr>
            <w:tcW w:w="1704" w:type="dxa"/>
            <w:tcBorders>
              <w:top w:val="single" w:sz="4" w:space="0" w:color="auto"/>
              <w:bottom w:val="nil"/>
            </w:tcBorders>
            <w:vAlign w:val="center"/>
          </w:tcPr>
          <w:p w14:paraId="40875A78"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95% (59/62)</w:t>
            </w:r>
          </w:p>
        </w:tc>
        <w:tc>
          <w:tcPr>
            <w:tcW w:w="1704" w:type="dxa"/>
            <w:tcBorders>
              <w:top w:val="single" w:sz="4" w:space="0" w:color="auto"/>
              <w:bottom w:val="nil"/>
            </w:tcBorders>
            <w:vAlign w:val="center"/>
          </w:tcPr>
          <w:p w14:paraId="23A67AD9"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30% (32/108)</w:t>
            </w:r>
          </w:p>
        </w:tc>
        <w:tc>
          <w:tcPr>
            <w:tcW w:w="1705" w:type="dxa"/>
            <w:tcBorders>
              <w:top w:val="single" w:sz="4" w:space="0" w:color="auto"/>
              <w:bottom w:val="nil"/>
            </w:tcBorders>
            <w:vAlign w:val="center"/>
          </w:tcPr>
          <w:p w14:paraId="44C394B9" w14:textId="77777777" w:rsidR="00A17BBF" w:rsidRPr="00A17BBF" w:rsidRDefault="00E70483" w:rsidP="00A17BBF">
            <w:pPr>
              <w:jc w:val="center"/>
              <w:rPr>
                <w:rFonts w:asciiTheme="majorHAnsi" w:hAnsiTheme="majorHAnsi"/>
                <w:sz w:val="18"/>
                <w:szCs w:val="18"/>
              </w:rPr>
            </w:pPr>
            <w:r>
              <w:rPr>
                <w:rFonts w:asciiTheme="majorHAnsi" w:hAnsiTheme="majorHAnsi"/>
                <w:sz w:val="18"/>
                <w:szCs w:val="18"/>
              </w:rPr>
              <w:t>44% (59/135)</w:t>
            </w:r>
          </w:p>
        </w:tc>
        <w:tc>
          <w:tcPr>
            <w:tcW w:w="1705" w:type="dxa"/>
            <w:tcBorders>
              <w:top w:val="single" w:sz="4" w:space="0" w:color="auto"/>
              <w:bottom w:val="nil"/>
            </w:tcBorders>
            <w:vAlign w:val="center"/>
          </w:tcPr>
          <w:p w14:paraId="1E2D5866" w14:textId="77777777" w:rsidR="00A17BBF" w:rsidRPr="00A17BBF" w:rsidRDefault="00E70483" w:rsidP="00A17BBF">
            <w:pPr>
              <w:jc w:val="center"/>
              <w:rPr>
                <w:rFonts w:asciiTheme="majorHAnsi" w:hAnsiTheme="majorHAnsi"/>
                <w:sz w:val="18"/>
                <w:szCs w:val="18"/>
              </w:rPr>
            </w:pPr>
            <w:r>
              <w:rPr>
                <w:rFonts w:asciiTheme="majorHAnsi" w:hAnsiTheme="majorHAnsi"/>
                <w:sz w:val="18"/>
                <w:szCs w:val="18"/>
              </w:rPr>
              <w:t>91% (32/35)</w:t>
            </w:r>
          </w:p>
        </w:tc>
      </w:tr>
      <w:tr w:rsidR="00A17BBF" w:rsidRPr="00A17BBF" w14:paraId="1137DCCD" w14:textId="77777777" w:rsidTr="002541F7">
        <w:tc>
          <w:tcPr>
            <w:tcW w:w="1704" w:type="dxa"/>
            <w:tcBorders>
              <w:top w:val="nil"/>
            </w:tcBorders>
            <w:vAlign w:val="center"/>
          </w:tcPr>
          <w:p w14:paraId="6F993353"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≥2</w:t>
            </w:r>
          </w:p>
        </w:tc>
        <w:tc>
          <w:tcPr>
            <w:tcW w:w="1704" w:type="dxa"/>
            <w:tcBorders>
              <w:top w:val="nil"/>
            </w:tcBorders>
            <w:vAlign w:val="center"/>
          </w:tcPr>
          <w:p w14:paraId="6352F27C"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82% (51/62)</w:t>
            </w:r>
          </w:p>
        </w:tc>
        <w:tc>
          <w:tcPr>
            <w:tcW w:w="1704" w:type="dxa"/>
            <w:tcBorders>
              <w:top w:val="nil"/>
            </w:tcBorders>
            <w:vAlign w:val="center"/>
          </w:tcPr>
          <w:p w14:paraId="002D584A"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49% (53/108)</w:t>
            </w:r>
          </w:p>
        </w:tc>
        <w:tc>
          <w:tcPr>
            <w:tcW w:w="1705" w:type="dxa"/>
            <w:tcBorders>
              <w:top w:val="nil"/>
            </w:tcBorders>
            <w:vAlign w:val="center"/>
          </w:tcPr>
          <w:p w14:paraId="66A0CF2B" w14:textId="77777777" w:rsidR="00A17BBF" w:rsidRPr="00A17BBF" w:rsidRDefault="00E70483" w:rsidP="00A17BBF">
            <w:pPr>
              <w:jc w:val="center"/>
              <w:rPr>
                <w:rFonts w:asciiTheme="majorHAnsi" w:hAnsiTheme="majorHAnsi"/>
                <w:sz w:val="18"/>
                <w:szCs w:val="18"/>
              </w:rPr>
            </w:pPr>
            <w:r>
              <w:rPr>
                <w:rFonts w:asciiTheme="majorHAnsi" w:hAnsiTheme="majorHAnsi"/>
                <w:sz w:val="18"/>
                <w:szCs w:val="18"/>
              </w:rPr>
              <w:t>48% (51/106)</w:t>
            </w:r>
          </w:p>
        </w:tc>
        <w:tc>
          <w:tcPr>
            <w:tcW w:w="1705" w:type="dxa"/>
            <w:tcBorders>
              <w:top w:val="nil"/>
            </w:tcBorders>
            <w:vAlign w:val="center"/>
          </w:tcPr>
          <w:p w14:paraId="42389EFB" w14:textId="77777777" w:rsidR="00A17BBF" w:rsidRPr="00A17BBF" w:rsidRDefault="00E70483" w:rsidP="00A17BBF">
            <w:pPr>
              <w:jc w:val="center"/>
              <w:rPr>
                <w:rFonts w:asciiTheme="majorHAnsi" w:hAnsiTheme="majorHAnsi"/>
                <w:sz w:val="18"/>
                <w:szCs w:val="18"/>
              </w:rPr>
            </w:pPr>
            <w:r>
              <w:rPr>
                <w:rFonts w:asciiTheme="majorHAnsi" w:hAnsiTheme="majorHAnsi"/>
                <w:sz w:val="18"/>
                <w:szCs w:val="18"/>
              </w:rPr>
              <w:t>83% (53/64)</w:t>
            </w:r>
          </w:p>
        </w:tc>
      </w:tr>
      <w:tr w:rsidR="00A17BBF" w:rsidRPr="00A17BBF" w14:paraId="68BC3D5E" w14:textId="77777777" w:rsidTr="002541F7">
        <w:tc>
          <w:tcPr>
            <w:tcW w:w="1704" w:type="dxa"/>
            <w:vAlign w:val="center"/>
          </w:tcPr>
          <w:p w14:paraId="271E613E" w14:textId="77777777" w:rsidR="00A17BBF" w:rsidRDefault="00A17BBF" w:rsidP="00A17BBF">
            <w:pPr>
              <w:jc w:val="center"/>
            </w:pPr>
            <w:r w:rsidRPr="0050231D">
              <w:rPr>
                <w:rFonts w:asciiTheme="majorHAnsi" w:hAnsiTheme="majorHAnsi"/>
                <w:sz w:val="18"/>
                <w:szCs w:val="18"/>
              </w:rPr>
              <w:t>≥</w:t>
            </w:r>
            <w:r>
              <w:rPr>
                <w:rFonts w:asciiTheme="majorHAnsi" w:hAnsiTheme="majorHAnsi"/>
                <w:sz w:val="18"/>
                <w:szCs w:val="18"/>
              </w:rPr>
              <w:t>3</w:t>
            </w:r>
          </w:p>
        </w:tc>
        <w:tc>
          <w:tcPr>
            <w:tcW w:w="1704" w:type="dxa"/>
            <w:vAlign w:val="center"/>
          </w:tcPr>
          <w:p w14:paraId="538546E9"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68% (42/62)</w:t>
            </w:r>
          </w:p>
        </w:tc>
        <w:tc>
          <w:tcPr>
            <w:tcW w:w="1704" w:type="dxa"/>
            <w:vAlign w:val="center"/>
          </w:tcPr>
          <w:p w14:paraId="3AFE4C1C"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66% (71/108)</w:t>
            </w:r>
          </w:p>
        </w:tc>
        <w:tc>
          <w:tcPr>
            <w:tcW w:w="1705" w:type="dxa"/>
            <w:vAlign w:val="center"/>
          </w:tcPr>
          <w:p w14:paraId="48BAA47D" w14:textId="77777777" w:rsidR="00A17BBF" w:rsidRPr="00A17BBF" w:rsidRDefault="00E70483" w:rsidP="00A17BBF">
            <w:pPr>
              <w:jc w:val="center"/>
              <w:rPr>
                <w:rFonts w:asciiTheme="majorHAnsi" w:hAnsiTheme="majorHAnsi"/>
                <w:sz w:val="18"/>
                <w:szCs w:val="18"/>
              </w:rPr>
            </w:pPr>
            <w:r>
              <w:rPr>
                <w:rFonts w:asciiTheme="majorHAnsi" w:hAnsiTheme="majorHAnsi"/>
                <w:sz w:val="18"/>
                <w:szCs w:val="18"/>
              </w:rPr>
              <w:t>53% (42/79)</w:t>
            </w:r>
          </w:p>
        </w:tc>
        <w:tc>
          <w:tcPr>
            <w:tcW w:w="1705" w:type="dxa"/>
            <w:vAlign w:val="center"/>
          </w:tcPr>
          <w:p w14:paraId="3B4532D7" w14:textId="77777777" w:rsidR="00A17BBF" w:rsidRPr="00A17BBF" w:rsidRDefault="00E70483" w:rsidP="00A17BBF">
            <w:pPr>
              <w:jc w:val="center"/>
              <w:rPr>
                <w:rFonts w:asciiTheme="majorHAnsi" w:hAnsiTheme="majorHAnsi"/>
                <w:sz w:val="18"/>
                <w:szCs w:val="18"/>
              </w:rPr>
            </w:pPr>
            <w:r>
              <w:rPr>
                <w:rFonts w:asciiTheme="majorHAnsi" w:hAnsiTheme="majorHAnsi"/>
                <w:sz w:val="18"/>
                <w:szCs w:val="18"/>
              </w:rPr>
              <w:t>78% (71/91)</w:t>
            </w:r>
          </w:p>
        </w:tc>
      </w:tr>
      <w:tr w:rsidR="00A17BBF" w:rsidRPr="00A17BBF" w14:paraId="7633858E" w14:textId="77777777" w:rsidTr="002541F7">
        <w:tc>
          <w:tcPr>
            <w:tcW w:w="1704" w:type="dxa"/>
            <w:vAlign w:val="center"/>
          </w:tcPr>
          <w:p w14:paraId="188B2222" w14:textId="77777777" w:rsidR="00A17BBF" w:rsidRDefault="00A17BBF" w:rsidP="00A17BBF">
            <w:pPr>
              <w:jc w:val="center"/>
            </w:pPr>
            <w:r w:rsidRPr="0050231D">
              <w:rPr>
                <w:rFonts w:asciiTheme="majorHAnsi" w:hAnsiTheme="majorHAnsi"/>
                <w:sz w:val="18"/>
                <w:szCs w:val="18"/>
              </w:rPr>
              <w:t>≥</w:t>
            </w:r>
            <w:r>
              <w:rPr>
                <w:rFonts w:asciiTheme="majorHAnsi" w:hAnsiTheme="majorHAnsi"/>
                <w:sz w:val="18"/>
                <w:szCs w:val="18"/>
              </w:rPr>
              <w:t>4</w:t>
            </w:r>
          </w:p>
        </w:tc>
        <w:tc>
          <w:tcPr>
            <w:tcW w:w="1704" w:type="dxa"/>
            <w:vAlign w:val="center"/>
          </w:tcPr>
          <w:p w14:paraId="2CA923CE"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61% (38/62)</w:t>
            </w:r>
          </w:p>
        </w:tc>
        <w:tc>
          <w:tcPr>
            <w:tcW w:w="1704" w:type="dxa"/>
            <w:vAlign w:val="center"/>
          </w:tcPr>
          <w:p w14:paraId="6FCF6B2D"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72% (78/108)</w:t>
            </w:r>
          </w:p>
        </w:tc>
        <w:tc>
          <w:tcPr>
            <w:tcW w:w="1705" w:type="dxa"/>
            <w:vAlign w:val="center"/>
          </w:tcPr>
          <w:p w14:paraId="034F9948" w14:textId="77777777" w:rsidR="00A17BBF" w:rsidRPr="00A17BBF" w:rsidRDefault="00E70483" w:rsidP="00A17BBF">
            <w:pPr>
              <w:jc w:val="center"/>
              <w:rPr>
                <w:rFonts w:asciiTheme="majorHAnsi" w:hAnsiTheme="majorHAnsi"/>
                <w:sz w:val="18"/>
                <w:szCs w:val="18"/>
              </w:rPr>
            </w:pPr>
            <w:r>
              <w:rPr>
                <w:rFonts w:asciiTheme="majorHAnsi" w:hAnsiTheme="majorHAnsi"/>
                <w:sz w:val="18"/>
                <w:szCs w:val="18"/>
              </w:rPr>
              <w:t>56% (38/68)</w:t>
            </w:r>
          </w:p>
        </w:tc>
        <w:tc>
          <w:tcPr>
            <w:tcW w:w="1705" w:type="dxa"/>
            <w:vAlign w:val="center"/>
          </w:tcPr>
          <w:p w14:paraId="1FB8236B" w14:textId="77777777" w:rsidR="00A17BBF" w:rsidRPr="00A17BBF" w:rsidRDefault="00E70483" w:rsidP="00A17BBF">
            <w:pPr>
              <w:jc w:val="center"/>
              <w:rPr>
                <w:rFonts w:asciiTheme="majorHAnsi" w:hAnsiTheme="majorHAnsi"/>
                <w:sz w:val="18"/>
                <w:szCs w:val="18"/>
              </w:rPr>
            </w:pPr>
            <w:r>
              <w:rPr>
                <w:rFonts w:asciiTheme="majorHAnsi" w:hAnsiTheme="majorHAnsi"/>
                <w:sz w:val="18"/>
                <w:szCs w:val="18"/>
              </w:rPr>
              <w:t>76% (78/102)</w:t>
            </w:r>
          </w:p>
        </w:tc>
      </w:tr>
      <w:tr w:rsidR="00A17BBF" w:rsidRPr="00A17BBF" w14:paraId="05261DA0" w14:textId="77777777" w:rsidTr="002541F7">
        <w:tc>
          <w:tcPr>
            <w:tcW w:w="1704" w:type="dxa"/>
            <w:vAlign w:val="center"/>
          </w:tcPr>
          <w:p w14:paraId="31978695" w14:textId="77777777" w:rsidR="00A17BBF" w:rsidRDefault="00A17BBF" w:rsidP="00A17BBF">
            <w:pPr>
              <w:jc w:val="center"/>
            </w:pPr>
            <w:r w:rsidRPr="0050231D">
              <w:rPr>
                <w:rFonts w:asciiTheme="majorHAnsi" w:hAnsiTheme="majorHAnsi"/>
                <w:sz w:val="18"/>
                <w:szCs w:val="18"/>
              </w:rPr>
              <w:t>≥</w:t>
            </w:r>
            <w:r>
              <w:rPr>
                <w:rFonts w:asciiTheme="majorHAnsi" w:hAnsiTheme="majorHAnsi"/>
                <w:sz w:val="18"/>
                <w:szCs w:val="18"/>
              </w:rPr>
              <w:t>5</w:t>
            </w:r>
          </w:p>
        </w:tc>
        <w:tc>
          <w:tcPr>
            <w:tcW w:w="1704" w:type="dxa"/>
            <w:vAlign w:val="center"/>
          </w:tcPr>
          <w:p w14:paraId="1D12CE7C"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56% (35/62)</w:t>
            </w:r>
          </w:p>
        </w:tc>
        <w:tc>
          <w:tcPr>
            <w:tcW w:w="1704" w:type="dxa"/>
            <w:vAlign w:val="center"/>
          </w:tcPr>
          <w:p w14:paraId="7588220B"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81% (88/108)</w:t>
            </w:r>
          </w:p>
        </w:tc>
        <w:tc>
          <w:tcPr>
            <w:tcW w:w="1705" w:type="dxa"/>
            <w:vAlign w:val="center"/>
          </w:tcPr>
          <w:p w14:paraId="028EE647" w14:textId="77777777" w:rsidR="00A17BBF" w:rsidRPr="00A17BBF" w:rsidRDefault="00E70483" w:rsidP="00A17BBF">
            <w:pPr>
              <w:jc w:val="center"/>
              <w:rPr>
                <w:rFonts w:asciiTheme="majorHAnsi" w:hAnsiTheme="majorHAnsi"/>
                <w:sz w:val="18"/>
                <w:szCs w:val="18"/>
              </w:rPr>
            </w:pPr>
            <w:r>
              <w:rPr>
                <w:rFonts w:asciiTheme="majorHAnsi" w:hAnsiTheme="majorHAnsi"/>
                <w:sz w:val="18"/>
                <w:szCs w:val="18"/>
              </w:rPr>
              <w:t>64% (35/55)</w:t>
            </w:r>
          </w:p>
        </w:tc>
        <w:tc>
          <w:tcPr>
            <w:tcW w:w="1705" w:type="dxa"/>
            <w:vAlign w:val="center"/>
          </w:tcPr>
          <w:p w14:paraId="3F24E305" w14:textId="77777777" w:rsidR="00A17BBF" w:rsidRPr="00A17BBF" w:rsidRDefault="00E70483" w:rsidP="00A17BBF">
            <w:pPr>
              <w:jc w:val="center"/>
              <w:rPr>
                <w:rFonts w:asciiTheme="majorHAnsi" w:hAnsiTheme="majorHAnsi"/>
                <w:sz w:val="18"/>
                <w:szCs w:val="18"/>
              </w:rPr>
            </w:pPr>
            <w:r>
              <w:rPr>
                <w:rFonts w:asciiTheme="majorHAnsi" w:hAnsiTheme="majorHAnsi"/>
                <w:sz w:val="18"/>
                <w:szCs w:val="18"/>
              </w:rPr>
              <w:t>77% (88/115)</w:t>
            </w:r>
          </w:p>
        </w:tc>
      </w:tr>
      <w:tr w:rsidR="00A17BBF" w:rsidRPr="00A17BBF" w14:paraId="21033FA7" w14:textId="77777777" w:rsidTr="002541F7">
        <w:tc>
          <w:tcPr>
            <w:tcW w:w="1704" w:type="dxa"/>
            <w:vAlign w:val="center"/>
          </w:tcPr>
          <w:p w14:paraId="224B2F56" w14:textId="77777777" w:rsidR="00A17BBF" w:rsidRDefault="00A17BBF" w:rsidP="00A17BBF">
            <w:pPr>
              <w:jc w:val="center"/>
            </w:pPr>
            <w:r w:rsidRPr="0050231D">
              <w:rPr>
                <w:rFonts w:asciiTheme="majorHAnsi" w:hAnsiTheme="majorHAnsi"/>
                <w:sz w:val="18"/>
                <w:szCs w:val="18"/>
              </w:rPr>
              <w:t>≥</w:t>
            </w:r>
            <w:r>
              <w:rPr>
                <w:rFonts w:asciiTheme="majorHAnsi" w:hAnsiTheme="majorHAnsi"/>
                <w:sz w:val="18"/>
                <w:szCs w:val="18"/>
              </w:rPr>
              <w:t>6</w:t>
            </w:r>
          </w:p>
        </w:tc>
        <w:tc>
          <w:tcPr>
            <w:tcW w:w="1704" w:type="dxa"/>
            <w:vAlign w:val="center"/>
          </w:tcPr>
          <w:p w14:paraId="3963B02A"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42% (26/62)</w:t>
            </w:r>
          </w:p>
        </w:tc>
        <w:tc>
          <w:tcPr>
            <w:tcW w:w="1704" w:type="dxa"/>
            <w:vAlign w:val="center"/>
          </w:tcPr>
          <w:p w14:paraId="4069FE65"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88% (95/108)</w:t>
            </w:r>
          </w:p>
        </w:tc>
        <w:tc>
          <w:tcPr>
            <w:tcW w:w="1705" w:type="dxa"/>
            <w:vAlign w:val="center"/>
          </w:tcPr>
          <w:p w14:paraId="3D5138F1" w14:textId="77777777" w:rsidR="00A17BBF" w:rsidRPr="00A17BBF" w:rsidRDefault="00E70483" w:rsidP="00A17BBF">
            <w:pPr>
              <w:jc w:val="center"/>
              <w:rPr>
                <w:rFonts w:asciiTheme="majorHAnsi" w:hAnsiTheme="majorHAnsi"/>
                <w:sz w:val="18"/>
                <w:szCs w:val="18"/>
              </w:rPr>
            </w:pPr>
            <w:r>
              <w:rPr>
                <w:rFonts w:asciiTheme="majorHAnsi" w:hAnsiTheme="majorHAnsi"/>
                <w:sz w:val="18"/>
                <w:szCs w:val="18"/>
              </w:rPr>
              <w:t>67% (26/39)</w:t>
            </w:r>
          </w:p>
        </w:tc>
        <w:tc>
          <w:tcPr>
            <w:tcW w:w="1705" w:type="dxa"/>
            <w:vAlign w:val="center"/>
          </w:tcPr>
          <w:p w14:paraId="70023DA1" w14:textId="77777777" w:rsidR="00A17BBF" w:rsidRPr="00A17BBF" w:rsidRDefault="00E70483" w:rsidP="00A17BBF">
            <w:pPr>
              <w:jc w:val="center"/>
              <w:rPr>
                <w:rFonts w:asciiTheme="majorHAnsi" w:hAnsiTheme="majorHAnsi"/>
                <w:sz w:val="18"/>
                <w:szCs w:val="18"/>
              </w:rPr>
            </w:pPr>
            <w:r>
              <w:rPr>
                <w:rFonts w:asciiTheme="majorHAnsi" w:hAnsiTheme="majorHAnsi"/>
                <w:sz w:val="18"/>
                <w:szCs w:val="18"/>
              </w:rPr>
              <w:t>73% (95/131)</w:t>
            </w:r>
          </w:p>
        </w:tc>
      </w:tr>
      <w:tr w:rsidR="00A17BBF" w:rsidRPr="00A17BBF" w14:paraId="4183B8BD" w14:textId="77777777" w:rsidTr="002541F7">
        <w:tc>
          <w:tcPr>
            <w:tcW w:w="1704" w:type="dxa"/>
            <w:vAlign w:val="center"/>
          </w:tcPr>
          <w:p w14:paraId="14ADAE61" w14:textId="77777777" w:rsidR="00A17BBF" w:rsidRDefault="00A17BBF" w:rsidP="00A17BBF">
            <w:pPr>
              <w:jc w:val="center"/>
            </w:pPr>
            <w:r w:rsidRPr="0050231D">
              <w:rPr>
                <w:rFonts w:asciiTheme="majorHAnsi" w:hAnsiTheme="majorHAnsi"/>
                <w:sz w:val="18"/>
                <w:szCs w:val="18"/>
              </w:rPr>
              <w:t>≥</w:t>
            </w:r>
            <w:r>
              <w:rPr>
                <w:rFonts w:asciiTheme="majorHAnsi" w:hAnsiTheme="majorHAnsi"/>
                <w:sz w:val="18"/>
                <w:szCs w:val="18"/>
              </w:rPr>
              <w:t>7</w:t>
            </w:r>
          </w:p>
        </w:tc>
        <w:tc>
          <w:tcPr>
            <w:tcW w:w="1704" w:type="dxa"/>
            <w:vAlign w:val="center"/>
          </w:tcPr>
          <w:p w14:paraId="6607885E"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34% (21/62)</w:t>
            </w:r>
          </w:p>
        </w:tc>
        <w:tc>
          <w:tcPr>
            <w:tcW w:w="1704" w:type="dxa"/>
            <w:vAlign w:val="center"/>
          </w:tcPr>
          <w:p w14:paraId="4A0762C7" w14:textId="77777777" w:rsidR="00A17BBF" w:rsidRPr="00A17BBF" w:rsidRDefault="00A17BBF" w:rsidP="00A17BBF">
            <w:pPr>
              <w:jc w:val="center"/>
              <w:rPr>
                <w:rFonts w:asciiTheme="majorHAnsi" w:hAnsiTheme="majorHAnsi"/>
                <w:sz w:val="18"/>
                <w:szCs w:val="18"/>
              </w:rPr>
            </w:pPr>
            <w:r>
              <w:rPr>
                <w:rFonts w:asciiTheme="majorHAnsi" w:hAnsiTheme="majorHAnsi"/>
                <w:sz w:val="18"/>
                <w:szCs w:val="18"/>
              </w:rPr>
              <w:t>90% (97/108)</w:t>
            </w:r>
          </w:p>
        </w:tc>
        <w:tc>
          <w:tcPr>
            <w:tcW w:w="1705" w:type="dxa"/>
            <w:vAlign w:val="center"/>
          </w:tcPr>
          <w:p w14:paraId="186543F6" w14:textId="77777777" w:rsidR="00A17BBF" w:rsidRPr="00A17BBF" w:rsidRDefault="00E70483" w:rsidP="00A17BBF">
            <w:pPr>
              <w:jc w:val="center"/>
              <w:rPr>
                <w:rFonts w:asciiTheme="majorHAnsi" w:hAnsiTheme="majorHAnsi"/>
                <w:sz w:val="18"/>
                <w:szCs w:val="18"/>
              </w:rPr>
            </w:pPr>
            <w:r>
              <w:rPr>
                <w:rFonts w:asciiTheme="majorHAnsi" w:hAnsiTheme="majorHAnsi"/>
                <w:sz w:val="18"/>
                <w:szCs w:val="18"/>
              </w:rPr>
              <w:t>66% (21/32)</w:t>
            </w:r>
          </w:p>
        </w:tc>
        <w:tc>
          <w:tcPr>
            <w:tcW w:w="1705" w:type="dxa"/>
            <w:vAlign w:val="center"/>
          </w:tcPr>
          <w:p w14:paraId="7FECFBC5" w14:textId="77777777" w:rsidR="00A17BBF" w:rsidRPr="00A17BBF" w:rsidRDefault="00E70483" w:rsidP="00A17BBF">
            <w:pPr>
              <w:jc w:val="center"/>
              <w:rPr>
                <w:rFonts w:asciiTheme="majorHAnsi" w:hAnsiTheme="majorHAnsi"/>
                <w:sz w:val="18"/>
                <w:szCs w:val="18"/>
              </w:rPr>
            </w:pPr>
            <w:r>
              <w:rPr>
                <w:rFonts w:asciiTheme="majorHAnsi" w:hAnsiTheme="majorHAnsi"/>
                <w:sz w:val="18"/>
                <w:szCs w:val="18"/>
              </w:rPr>
              <w:t>70% (97/138)</w:t>
            </w:r>
          </w:p>
        </w:tc>
      </w:tr>
    </w:tbl>
    <w:p w14:paraId="75531462" w14:textId="77777777" w:rsidR="0023405A" w:rsidRDefault="00A06360">
      <w:pPr>
        <w:rPr>
          <w:rFonts w:asciiTheme="majorHAnsi" w:eastAsiaTheme="minorHAnsi" w:hAnsiTheme="majorHAnsi"/>
          <w:sz w:val="22"/>
          <w:szCs w:val="22"/>
          <w:lang w:val="en-GB"/>
        </w:rPr>
      </w:pPr>
      <w:r w:rsidRPr="00075D52">
        <w:rPr>
          <w:rFonts w:asciiTheme="majorHAnsi" w:eastAsiaTheme="minorHAnsi" w:hAnsiTheme="majorHAnsi"/>
          <w:sz w:val="22"/>
          <w:szCs w:val="22"/>
          <w:lang w:val="en-GB"/>
        </w:rPr>
        <w:br w:type="page"/>
      </w:r>
    </w:p>
    <w:p w14:paraId="0F41D8C2" w14:textId="77777777" w:rsidR="00A06360" w:rsidRPr="00075D52" w:rsidRDefault="00A06360" w:rsidP="001C5130">
      <w:pPr>
        <w:jc w:val="both"/>
        <w:rPr>
          <w:rFonts w:asciiTheme="majorHAnsi" w:eastAsiaTheme="minorHAnsi" w:hAnsiTheme="majorHAnsi"/>
          <w:sz w:val="22"/>
          <w:szCs w:val="22"/>
          <w:lang w:val="en-GB"/>
        </w:rPr>
      </w:pPr>
    </w:p>
    <w:p w14:paraId="6C254658" w14:textId="77777777" w:rsidR="0023405A" w:rsidRPr="00075D52" w:rsidRDefault="0023405A" w:rsidP="0023405A">
      <w:pPr>
        <w:spacing w:line="360" w:lineRule="auto"/>
        <w:jc w:val="both"/>
        <w:rPr>
          <w:rFonts w:asciiTheme="majorHAnsi" w:hAnsiTheme="majorHAnsi"/>
          <w:b/>
          <w:sz w:val="22"/>
          <w:szCs w:val="22"/>
        </w:rPr>
      </w:pPr>
      <w:r>
        <w:rPr>
          <w:rFonts w:asciiTheme="majorHAnsi" w:hAnsiTheme="majorHAnsi"/>
          <w:b/>
          <w:sz w:val="22"/>
          <w:szCs w:val="22"/>
        </w:rPr>
        <w:t>Table 4</w:t>
      </w:r>
      <w:r w:rsidRPr="00075D52">
        <w:rPr>
          <w:rFonts w:asciiTheme="majorHAnsi" w:hAnsiTheme="majorHAnsi"/>
          <w:b/>
          <w:sz w:val="22"/>
          <w:szCs w:val="22"/>
        </w:rPr>
        <w:t xml:space="preserve">. Specific PCI items associated with significant DT distress </w:t>
      </w:r>
    </w:p>
    <w:p w14:paraId="6D087CD3" w14:textId="77777777" w:rsidR="0023405A" w:rsidRPr="00075D52" w:rsidRDefault="0023405A" w:rsidP="0023405A">
      <w:pPr>
        <w:spacing w:line="360" w:lineRule="auto"/>
        <w:jc w:val="both"/>
        <w:rPr>
          <w:rFonts w:asciiTheme="majorHAnsi" w:hAnsiTheme="majorHAnsi"/>
          <w:b/>
          <w:sz w:val="22"/>
          <w:szCs w:val="22"/>
        </w:rPr>
      </w:pPr>
    </w:p>
    <w:tbl>
      <w:tblPr>
        <w:tblStyle w:val="TableGrid"/>
        <w:tblW w:w="9180" w:type="dxa"/>
        <w:tblBorders>
          <w:insideH w:val="none" w:sz="0" w:space="0" w:color="auto"/>
          <w:insideV w:val="none" w:sz="0" w:space="0" w:color="auto"/>
        </w:tblBorders>
        <w:tblLayout w:type="fixed"/>
        <w:tblLook w:val="04A0" w:firstRow="1" w:lastRow="0" w:firstColumn="1" w:lastColumn="0" w:noHBand="0" w:noVBand="1"/>
      </w:tblPr>
      <w:tblGrid>
        <w:gridCol w:w="2660"/>
        <w:gridCol w:w="850"/>
        <w:gridCol w:w="1134"/>
        <w:gridCol w:w="851"/>
        <w:gridCol w:w="1276"/>
        <w:gridCol w:w="2409"/>
      </w:tblGrid>
      <w:tr w:rsidR="0023405A" w:rsidRPr="00075D52" w14:paraId="64B20F18" w14:textId="77777777" w:rsidTr="003E6982">
        <w:tc>
          <w:tcPr>
            <w:tcW w:w="2660" w:type="dxa"/>
          </w:tcPr>
          <w:p w14:paraId="79A9A95A" w14:textId="77777777" w:rsidR="0023405A" w:rsidRPr="00075D52" w:rsidRDefault="0023405A" w:rsidP="002F396E">
            <w:pPr>
              <w:spacing w:line="360" w:lineRule="auto"/>
              <w:jc w:val="both"/>
              <w:rPr>
                <w:rFonts w:asciiTheme="majorHAnsi" w:hAnsiTheme="majorHAnsi"/>
              </w:rPr>
            </w:pPr>
          </w:p>
        </w:tc>
        <w:tc>
          <w:tcPr>
            <w:tcW w:w="1984" w:type="dxa"/>
            <w:gridSpan w:val="2"/>
            <w:vMerge w:val="restart"/>
            <w:vAlign w:val="center"/>
          </w:tcPr>
          <w:p w14:paraId="7CD2E7E3" w14:textId="77777777" w:rsidR="0023405A" w:rsidRPr="00075D52" w:rsidRDefault="0023405A" w:rsidP="0023405A">
            <w:pPr>
              <w:jc w:val="both"/>
              <w:rPr>
                <w:rFonts w:asciiTheme="majorHAnsi" w:hAnsiTheme="majorHAnsi"/>
              </w:rPr>
            </w:pPr>
            <w:r w:rsidRPr="00075D52">
              <w:rPr>
                <w:rFonts w:asciiTheme="majorHAnsi" w:hAnsiTheme="majorHAnsi"/>
              </w:rPr>
              <w:t>PCI item selected</w:t>
            </w:r>
          </w:p>
          <w:p w14:paraId="4216FBF5" w14:textId="77777777" w:rsidR="0023405A" w:rsidRPr="00075D52" w:rsidRDefault="0023405A" w:rsidP="0023405A">
            <w:pPr>
              <w:jc w:val="both"/>
              <w:rPr>
                <w:rFonts w:asciiTheme="majorHAnsi" w:hAnsiTheme="majorHAnsi"/>
              </w:rPr>
            </w:pPr>
            <w:r w:rsidRPr="00075D52">
              <w:rPr>
                <w:rFonts w:asciiTheme="majorHAnsi" w:hAnsiTheme="majorHAnsi"/>
              </w:rPr>
              <w:t>%DTscore≥4</w:t>
            </w:r>
          </w:p>
        </w:tc>
        <w:tc>
          <w:tcPr>
            <w:tcW w:w="2127" w:type="dxa"/>
            <w:gridSpan w:val="2"/>
            <w:vMerge w:val="restart"/>
            <w:vAlign w:val="center"/>
          </w:tcPr>
          <w:p w14:paraId="06CCAFAA" w14:textId="77777777" w:rsidR="0023405A" w:rsidRPr="00075D52" w:rsidRDefault="0023405A" w:rsidP="0023405A">
            <w:pPr>
              <w:jc w:val="both"/>
              <w:rPr>
                <w:rFonts w:asciiTheme="majorHAnsi" w:hAnsiTheme="majorHAnsi"/>
              </w:rPr>
            </w:pPr>
            <w:r w:rsidRPr="00075D52">
              <w:rPr>
                <w:rFonts w:asciiTheme="majorHAnsi" w:hAnsiTheme="majorHAnsi"/>
              </w:rPr>
              <w:t>PCI item not selected</w:t>
            </w:r>
          </w:p>
          <w:p w14:paraId="757BAF12" w14:textId="77777777" w:rsidR="0023405A" w:rsidRPr="00075D52" w:rsidRDefault="0023405A" w:rsidP="0023405A">
            <w:pPr>
              <w:jc w:val="both"/>
              <w:rPr>
                <w:rFonts w:asciiTheme="majorHAnsi" w:hAnsiTheme="majorHAnsi"/>
              </w:rPr>
            </w:pPr>
            <w:r w:rsidRPr="00075D52">
              <w:rPr>
                <w:rFonts w:asciiTheme="majorHAnsi" w:hAnsiTheme="majorHAnsi"/>
              </w:rPr>
              <w:t>%DTscore≥4</w:t>
            </w:r>
          </w:p>
        </w:tc>
        <w:tc>
          <w:tcPr>
            <w:tcW w:w="2409" w:type="dxa"/>
            <w:vMerge w:val="restart"/>
            <w:vAlign w:val="center"/>
          </w:tcPr>
          <w:p w14:paraId="24F84D16" w14:textId="77777777" w:rsidR="006B1F58" w:rsidRDefault="0023405A" w:rsidP="007056F7">
            <w:pPr>
              <w:jc w:val="center"/>
              <w:rPr>
                <w:rFonts w:asciiTheme="majorHAnsi" w:eastAsiaTheme="minorEastAsia" w:hAnsiTheme="majorHAnsi" w:cstheme="majorBidi"/>
                <w:b/>
                <w:bCs/>
                <w:color w:val="4F81BD" w:themeColor="accent1"/>
                <w:sz w:val="24"/>
                <w:szCs w:val="24"/>
                <w:lang w:val="en-US"/>
              </w:rPr>
            </w:pPr>
            <w:r w:rsidRPr="00075D52">
              <w:rPr>
                <w:rFonts w:asciiTheme="majorHAnsi" w:hAnsiTheme="majorHAnsi"/>
              </w:rPr>
              <w:t>P value*</w:t>
            </w:r>
          </w:p>
        </w:tc>
      </w:tr>
      <w:tr w:rsidR="0023405A" w:rsidRPr="00075D52" w14:paraId="0ACA09D9" w14:textId="77777777" w:rsidTr="003E6982">
        <w:tc>
          <w:tcPr>
            <w:tcW w:w="2660" w:type="dxa"/>
            <w:tcBorders>
              <w:bottom w:val="single" w:sz="4" w:space="0" w:color="auto"/>
            </w:tcBorders>
          </w:tcPr>
          <w:p w14:paraId="1DF9FE36" w14:textId="77777777" w:rsidR="0023405A" w:rsidRPr="00075D52" w:rsidRDefault="0023405A" w:rsidP="002F396E">
            <w:pPr>
              <w:spacing w:line="360" w:lineRule="auto"/>
              <w:jc w:val="both"/>
              <w:rPr>
                <w:rFonts w:asciiTheme="majorHAnsi" w:hAnsiTheme="majorHAnsi"/>
              </w:rPr>
            </w:pPr>
            <w:r w:rsidRPr="00075D52">
              <w:rPr>
                <w:rFonts w:asciiTheme="majorHAnsi" w:hAnsiTheme="majorHAnsi"/>
              </w:rPr>
              <w:t>PCI item</w:t>
            </w:r>
          </w:p>
        </w:tc>
        <w:tc>
          <w:tcPr>
            <w:tcW w:w="1984" w:type="dxa"/>
            <w:gridSpan w:val="2"/>
            <w:vMerge/>
            <w:tcBorders>
              <w:bottom w:val="single" w:sz="4" w:space="0" w:color="auto"/>
            </w:tcBorders>
            <w:vAlign w:val="center"/>
          </w:tcPr>
          <w:p w14:paraId="1A9A2613" w14:textId="77777777" w:rsidR="0023405A" w:rsidRPr="00075D52" w:rsidRDefault="0023405A" w:rsidP="002F396E">
            <w:pPr>
              <w:spacing w:line="360" w:lineRule="auto"/>
              <w:jc w:val="both"/>
              <w:rPr>
                <w:rFonts w:asciiTheme="majorHAnsi" w:hAnsiTheme="majorHAnsi"/>
              </w:rPr>
            </w:pPr>
          </w:p>
        </w:tc>
        <w:tc>
          <w:tcPr>
            <w:tcW w:w="2127" w:type="dxa"/>
            <w:gridSpan w:val="2"/>
            <w:vMerge/>
            <w:tcBorders>
              <w:bottom w:val="single" w:sz="4" w:space="0" w:color="auto"/>
            </w:tcBorders>
          </w:tcPr>
          <w:p w14:paraId="26B3732E" w14:textId="77777777" w:rsidR="0023405A" w:rsidRPr="00075D52" w:rsidRDefault="0023405A" w:rsidP="002F396E">
            <w:pPr>
              <w:spacing w:line="360" w:lineRule="auto"/>
              <w:jc w:val="both"/>
              <w:rPr>
                <w:rFonts w:asciiTheme="majorHAnsi" w:hAnsiTheme="majorHAnsi"/>
              </w:rPr>
            </w:pPr>
          </w:p>
        </w:tc>
        <w:tc>
          <w:tcPr>
            <w:tcW w:w="2409" w:type="dxa"/>
            <w:vMerge/>
            <w:tcBorders>
              <w:bottom w:val="single" w:sz="4" w:space="0" w:color="auto"/>
            </w:tcBorders>
          </w:tcPr>
          <w:p w14:paraId="4D56821A" w14:textId="77777777" w:rsidR="0023405A" w:rsidRPr="00075D52" w:rsidRDefault="0023405A" w:rsidP="002F396E">
            <w:pPr>
              <w:spacing w:line="360" w:lineRule="auto"/>
              <w:jc w:val="both"/>
              <w:rPr>
                <w:rFonts w:asciiTheme="majorHAnsi" w:hAnsiTheme="majorHAnsi"/>
              </w:rPr>
            </w:pPr>
          </w:p>
        </w:tc>
      </w:tr>
      <w:tr w:rsidR="0023405A" w:rsidRPr="00075D52" w14:paraId="32776F67" w14:textId="77777777" w:rsidTr="003E6982">
        <w:trPr>
          <w:trHeight w:val="340"/>
        </w:trPr>
        <w:tc>
          <w:tcPr>
            <w:tcW w:w="2660" w:type="dxa"/>
            <w:tcBorders>
              <w:top w:val="single" w:sz="4" w:space="0" w:color="auto"/>
              <w:bottom w:val="nil"/>
            </w:tcBorders>
          </w:tcPr>
          <w:p w14:paraId="03E87A9D" w14:textId="77777777" w:rsidR="0023405A" w:rsidRPr="00075D52" w:rsidRDefault="0023405A" w:rsidP="002F396E">
            <w:pPr>
              <w:spacing w:line="360" w:lineRule="auto"/>
              <w:jc w:val="both"/>
              <w:rPr>
                <w:rFonts w:asciiTheme="majorHAnsi" w:hAnsiTheme="majorHAnsi"/>
              </w:rPr>
            </w:pPr>
            <w:r w:rsidRPr="00075D52">
              <w:rPr>
                <w:rFonts w:asciiTheme="majorHAnsi" w:hAnsiTheme="majorHAnsi"/>
              </w:rPr>
              <w:t>Anxiety</w:t>
            </w:r>
          </w:p>
        </w:tc>
        <w:tc>
          <w:tcPr>
            <w:tcW w:w="850" w:type="dxa"/>
            <w:tcBorders>
              <w:top w:val="single" w:sz="4" w:space="0" w:color="auto"/>
              <w:bottom w:val="nil"/>
            </w:tcBorders>
            <w:vAlign w:val="center"/>
          </w:tcPr>
          <w:p w14:paraId="08B49608"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77</w:t>
            </w:r>
          </w:p>
        </w:tc>
        <w:tc>
          <w:tcPr>
            <w:tcW w:w="1134" w:type="dxa"/>
            <w:tcBorders>
              <w:top w:val="single" w:sz="4" w:space="0" w:color="auto"/>
              <w:bottom w:val="nil"/>
            </w:tcBorders>
            <w:vAlign w:val="center"/>
          </w:tcPr>
          <w:p w14:paraId="12EC5ED7"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10/13</w:t>
            </w:r>
          </w:p>
        </w:tc>
        <w:tc>
          <w:tcPr>
            <w:tcW w:w="851" w:type="dxa"/>
            <w:tcBorders>
              <w:top w:val="single" w:sz="4" w:space="0" w:color="auto"/>
              <w:bottom w:val="nil"/>
            </w:tcBorders>
            <w:vAlign w:val="center"/>
          </w:tcPr>
          <w:p w14:paraId="10FF1ED9"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33</w:t>
            </w:r>
          </w:p>
        </w:tc>
        <w:tc>
          <w:tcPr>
            <w:tcW w:w="1276" w:type="dxa"/>
            <w:tcBorders>
              <w:top w:val="single" w:sz="4" w:space="0" w:color="auto"/>
              <w:bottom w:val="nil"/>
            </w:tcBorders>
            <w:vAlign w:val="center"/>
          </w:tcPr>
          <w:p w14:paraId="264F1BE9"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52/157</w:t>
            </w:r>
          </w:p>
        </w:tc>
        <w:tc>
          <w:tcPr>
            <w:tcW w:w="2409" w:type="dxa"/>
            <w:tcBorders>
              <w:top w:val="single" w:sz="4" w:space="0" w:color="auto"/>
              <w:bottom w:val="nil"/>
            </w:tcBorders>
            <w:vAlign w:val="center"/>
          </w:tcPr>
          <w:p w14:paraId="43EE9282"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0.005</w:t>
            </w:r>
          </w:p>
        </w:tc>
      </w:tr>
      <w:tr w:rsidR="0023405A" w:rsidRPr="00075D52" w14:paraId="00EA910B" w14:textId="77777777" w:rsidTr="003E6982">
        <w:trPr>
          <w:trHeight w:val="340"/>
        </w:trPr>
        <w:tc>
          <w:tcPr>
            <w:tcW w:w="2660" w:type="dxa"/>
            <w:tcBorders>
              <w:top w:val="nil"/>
            </w:tcBorders>
          </w:tcPr>
          <w:p w14:paraId="2AF984A8" w14:textId="77777777" w:rsidR="0023405A" w:rsidRPr="00075D52" w:rsidRDefault="0023405A" w:rsidP="002F396E">
            <w:pPr>
              <w:spacing w:line="360" w:lineRule="auto"/>
              <w:jc w:val="both"/>
              <w:rPr>
                <w:rFonts w:asciiTheme="majorHAnsi" w:hAnsiTheme="majorHAnsi"/>
              </w:rPr>
            </w:pPr>
            <w:r w:rsidRPr="00075D52">
              <w:rPr>
                <w:rFonts w:asciiTheme="majorHAnsi" w:hAnsiTheme="majorHAnsi"/>
              </w:rPr>
              <w:t>Bowel</w:t>
            </w:r>
          </w:p>
        </w:tc>
        <w:tc>
          <w:tcPr>
            <w:tcW w:w="850" w:type="dxa"/>
            <w:tcBorders>
              <w:top w:val="nil"/>
            </w:tcBorders>
            <w:vAlign w:val="center"/>
          </w:tcPr>
          <w:p w14:paraId="4162EA63"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78</w:t>
            </w:r>
          </w:p>
        </w:tc>
        <w:tc>
          <w:tcPr>
            <w:tcW w:w="1134" w:type="dxa"/>
            <w:tcBorders>
              <w:top w:val="nil"/>
            </w:tcBorders>
            <w:vAlign w:val="center"/>
          </w:tcPr>
          <w:p w14:paraId="0AC6AB24"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7/9</w:t>
            </w:r>
          </w:p>
        </w:tc>
        <w:tc>
          <w:tcPr>
            <w:tcW w:w="851" w:type="dxa"/>
            <w:tcBorders>
              <w:top w:val="nil"/>
            </w:tcBorders>
            <w:vAlign w:val="center"/>
          </w:tcPr>
          <w:p w14:paraId="02A02906"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34</w:t>
            </w:r>
          </w:p>
        </w:tc>
        <w:tc>
          <w:tcPr>
            <w:tcW w:w="1276" w:type="dxa"/>
            <w:tcBorders>
              <w:top w:val="nil"/>
            </w:tcBorders>
            <w:vAlign w:val="center"/>
          </w:tcPr>
          <w:p w14:paraId="55526D59"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55/161</w:t>
            </w:r>
          </w:p>
        </w:tc>
        <w:tc>
          <w:tcPr>
            <w:tcW w:w="2409" w:type="dxa"/>
            <w:tcBorders>
              <w:top w:val="nil"/>
            </w:tcBorders>
            <w:vAlign w:val="center"/>
          </w:tcPr>
          <w:p w14:paraId="5639C294"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0.01</w:t>
            </w:r>
          </w:p>
        </w:tc>
      </w:tr>
      <w:tr w:rsidR="0023405A" w:rsidRPr="00075D52" w14:paraId="486981BC" w14:textId="77777777" w:rsidTr="003E6982">
        <w:trPr>
          <w:trHeight w:val="340"/>
        </w:trPr>
        <w:tc>
          <w:tcPr>
            <w:tcW w:w="2660" w:type="dxa"/>
          </w:tcPr>
          <w:p w14:paraId="41CB0E57" w14:textId="77777777" w:rsidR="0023405A" w:rsidRPr="00075D52" w:rsidRDefault="0023405A" w:rsidP="002F396E">
            <w:pPr>
              <w:spacing w:line="360" w:lineRule="auto"/>
              <w:jc w:val="both"/>
              <w:rPr>
                <w:rFonts w:asciiTheme="majorHAnsi" w:hAnsiTheme="majorHAnsi"/>
              </w:rPr>
            </w:pPr>
            <w:r w:rsidRPr="00075D52">
              <w:rPr>
                <w:rFonts w:asciiTheme="majorHAnsi" w:hAnsiTheme="majorHAnsi"/>
              </w:rPr>
              <w:t>Depression</w:t>
            </w:r>
          </w:p>
        </w:tc>
        <w:tc>
          <w:tcPr>
            <w:tcW w:w="850" w:type="dxa"/>
            <w:vAlign w:val="center"/>
          </w:tcPr>
          <w:p w14:paraId="25F1F40E"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88</w:t>
            </w:r>
          </w:p>
        </w:tc>
        <w:tc>
          <w:tcPr>
            <w:tcW w:w="1134" w:type="dxa"/>
            <w:vAlign w:val="center"/>
          </w:tcPr>
          <w:p w14:paraId="4E2C70DC"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7/8</w:t>
            </w:r>
          </w:p>
        </w:tc>
        <w:tc>
          <w:tcPr>
            <w:tcW w:w="851" w:type="dxa"/>
            <w:vAlign w:val="center"/>
          </w:tcPr>
          <w:p w14:paraId="19F29578"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34</w:t>
            </w:r>
          </w:p>
        </w:tc>
        <w:tc>
          <w:tcPr>
            <w:tcW w:w="1276" w:type="dxa"/>
            <w:vAlign w:val="center"/>
          </w:tcPr>
          <w:p w14:paraId="0A5CE581"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55/162</w:t>
            </w:r>
          </w:p>
        </w:tc>
        <w:tc>
          <w:tcPr>
            <w:tcW w:w="2409" w:type="dxa"/>
            <w:vAlign w:val="center"/>
          </w:tcPr>
          <w:p w14:paraId="28DD2F3A"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0.004</w:t>
            </w:r>
          </w:p>
        </w:tc>
      </w:tr>
      <w:tr w:rsidR="0023405A" w:rsidRPr="00075D52" w14:paraId="57157752" w14:textId="77777777" w:rsidTr="003E6982">
        <w:trPr>
          <w:trHeight w:val="340"/>
        </w:trPr>
        <w:tc>
          <w:tcPr>
            <w:tcW w:w="2660" w:type="dxa"/>
          </w:tcPr>
          <w:p w14:paraId="12A2F5F2" w14:textId="77777777" w:rsidR="0023405A" w:rsidRPr="00075D52" w:rsidRDefault="0023405A" w:rsidP="002F396E">
            <w:pPr>
              <w:spacing w:line="360" w:lineRule="auto"/>
              <w:jc w:val="both"/>
              <w:rPr>
                <w:rFonts w:asciiTheme="majorHAnsi" w:hAnsiTheme="majorHAnsi"/>
              </w:rPr>
            </w:pPr>
            <w:r w:rsidRPr="00075D52">
              <w:rPr>
                <w:rFonts w:asciiTheme="majorHAnsi" w:hAnsiTheme="majorHAnsi"/>
              </w:rPr>
              <w:t>Fatigue</w:t>
            </w:r>
          </w:p>
        </w:tc>
        <w:tc>
          <w:tcPr>
            <w:tcW w:w="850" w:type="dxa"/>
            <w:vAlign w:val="center"/>
          </w:tcPr>
          <w:p w14:paraId="10C206EE"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62</w:t>
            </w:r>
          </w:p>
        </w:tc>
        <w:tc>
          <w:tcPr>
            <w:tcW w:w="1134" w:type="dxa"/>
            <w:vAlign w:val="center"/>
          </w:tcPr>
          <w:p w14:paraId="7E908CE8"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21/34</w:t>
            </w:r>
          </w:p>
        </w:tc>
        <w:tc>
          <w:tcPr>
            <w:tcW w:w="851" w:type="dxa"/>
            <w:vAlign w:val="center"/>
          </w:tcPr>
          <w:p w14:paraId="0A7AA62F"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30</w:t>
            </w:r>
          </w:p>
        </w:tc>
        <w:tc>
          <w:tcPr>
            <w:tcW w:w="1276" w:type="dxa"/>
            <w:vAlign w:val="center"/>
          </w:tcPr>
          <w:p w14:paraId="1E45FCF8"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41/136</w:t>
            </w:r>
          </w:p>
        </w:tc>
        <w:tc>
          <w:tcPr>
            <w:tcW w:w="2409" w:type="dxa"/>
            <w:vAlign w:val="center"/>
          </w:tcPr>
          <w:p w14:paraId="7E0669CA"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0.001</w:t>
            </w:r>
          </w:p>
        </w:tc>
      </w:tr>
      <w:tr w:rsidR="0023405A" w:rsidRPr="00075D52" w14:paraId="3F16AAAA" w14:textId="77777777" w:rsidTr="003E6982">
        <w:trPr>
          <w:trHeight w:val="340"/>
        </w:trPr>
        <w:tc>
          <w:tcPr>
            <w:tcW w:w="2660" w:type="dxa"/>
          </w:tcPr>
          <w:p w14:paraId="6D8F7840" w14:textId="77777777" w:rsidR="0023405A" w:rsidRPr="00075D52" w:rsidRDefault="0023405A" w:rsidP="002F396E">
            <w:pPr>
              <w:spacing w:line="360" w:lineRule="auto"/>
              <w:jc w:val="both"/>
              <w:rPr>
                <w:rFonts w:asciiTheme="majorHAnsi" w:hAnsiTheme="majorHAnsi"/>
              </w:rPr>
            </w:pPr>
            <w:r w:rsidRPr="00075D52">
              <w:rPr>
                <w:rFonts w:asciiTheme="majorHAnsi" w:hAnsiTheme="majorHAnsi"/>
              </w:rPr>
              <w:t>Mood</w:t>
            </w:r>
          </w:p>
        </w:tc>
        <w:tc>
          <w:tcPr>
            <w:tcW w:w="850" w:type="dxa"/>
            <w:vAlign w:val="center"/>
          </w:tcPr>
          <w:p w14:paraId="34052BEF"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78</w:t>
            </w:r>
          </w:p>
        </w:tc>
        <w:tc>
          <w:tcPr>
            <w:tcW w:w="1134" w:type="dxa"/>
            <w:vAlign w:val="center"/>
          </w:tcPr>
          <w:p w14:paraId="45732CE4"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7/9</w:t>
            </w:r>
          </w:p>
        </w:tc>
        <w:tc>
          <w:tcPr>
            <w:tcW w:w="851" w:type="dxa"/>
            <w:vAlign w:val="center"/>
          </w:tcPr>
          <w:p w14:paraId="6E8E0217"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34</w:t>
            </w:r>
          </w:p>
        </w:tc>
        <w:tc>
          <w:tcPr>
            <w:tcW w:w="1276" w:type="dxa"/>
            <w:vAlign w:val="center"/>
          </w:tcPr>
          <w:p w14:paraId="58F30F56"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55/161</w:t>
            </w:r>
          </w:p>
        </w:tc>
        <w:tc>
          <w:tcPr>
            <w:tcW w:w="2409" w:type="dxa"/>
            <w:vAlign w:val="center"/>
          </w:tcPr>
          <w:p w14:paraId="7FA02E21"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0.01</w:t>
            </w:r>
          </w:p>
        </w:tc>
      </w:tr>
      <w:tr w:rsidR="0023405A" w:rsidRPr="00075D52" w14:paraId="233862E4" w14:textId="77777777" w:rsidTr="003E6982">
        <w:trPr>
          <w:trHeight w:val="340"/>
        </w:trPr>
        <w:tc>
          <w:tcPr>
            <w:tcW w:w="2660" w:type="dxa"/>
          </w:tcPr>
          <w:p w14:paraId="639E0D34" w14:textId="77777777" w:rsidR="0023405A" w:rsidRPr="00075D52" w:rsidRDefault="0023405A" w:rsidP="002F396E">
            <w:pPr>
              <w:spacing w:line="360" w:lineRule="auto"/>
              <w:jc w:val="both"/>
              <w:rPr>
                <w:rFonts w:asciiTheme="majorHAnsi" w:hAnsiTheme="majorHAnsi"/>
              </w:rPr>
            </w:pPr>
            <w:r w:rsidRPr="00075D52">
              <w:rPr>
                <w:rFonts w:asciiTheme="majorHAnsi" w:hAnsiTheme="majorHAnsi"/>
              </w:rPr>
              <w:t>Pain in head/neck</w:t>
            </w:r>
          </w:p>
        </w:tc>
        <w:tc>
          <w:tcPr>
            <w:tcW w:w="850" w:type="dxa"/>
            <w:vAlign w:val="center"/>
          </w:tcPr>
          <w:p w14:paraId="416D6EBD"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65</w:t>
            </w:r>
          </w:p>
        </w:tc>
        <w:tc>
          <w:tcPr>
            <w:tcW w:w="1134" w:type="dxa"/>
            <w:vAlign w:val="center"/>
          </w:tcPr>
          <w:p w14:paraId="1E3E2340"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17/26</w:t>
            </w:r>
          </w:p>
        </w:tc>
        <w:tc>
          <w:tcPr>
            <w:tcW w:w="851" w:type="dxa"/>
            <w:vAlign w:val="center"/>
          </w:tcPr>
          <w:p w14:paraId="50DB18E1"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31</w:t>
            </w:r>
          </w:p>
        </w:tc>
        <w:tc>
          <w:tcPr>
            <w:tcW w:w="1276" w:type="dxa"/>
            <w:vAlign w:val="center"/>
          </w:tcPr>
          <w:p w14:paraId="00564649"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45/144</w:t>
            </w:r>
          </w:p>
        </w:tc>
        <w:tc>
          <w:tcPr>
            <w:tcW w:w="2409" w:type="dxa"/>
            <w:vAlign w:val="center"/>
          </w:tcPr>
          <w:p w14:paraId="08D30A22"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0.002</w:t>
            </w:r>
          </w:p>
        </w:tc>
      </w:tr>
      <w:tr w:rsidR="0023405A" w:rsidRPr="00075D52" w14:paraId="5C6EDF56" w14:textId="77777777" w:rsidTr="003E6982">
        <w:trPr>
          <w:trHeight w:val="340"/>
        </w:trPr>
        <w:tc>
          <w:tcPr>
            <w:tcW w:w="2660" w:type="dxa"/>
          </w:tcPr>
          <w:p w14:paraId="453690F2" w14:textId="77777777" w:rsidR="0023405A" w:rsidRPr="00075D52" w:rsidRDefault="0023405A" w:rsidP="002F396E">
            <w:pPr>
              <w:spacing w:line="360" w:lineRule="auto"/>
              <w:jc w:val="both"/>
              <w:rPr>
                <w:rFonts w:asciiTheme="majorHAnsi" w:hAnsiTheme="majorHAnsi"/>
              </w:rPr>
            </w:pPr>
            <w:r w:rsidRPr="00075D52">
              <w:rPr>
                <w:rFonts w:asciiTheme="majorHAnsi" w:hAnsiTheme="majorHAnsi"/>
              </w:rPr>
              <w:t>Sleeping</w:t>
            </w:r>
          </w:p>
        </w:tc>
        <w:tc>
          <w:tcPr>
            <w:tcW w:w="850" w:type="dxa"/>
            <w:vAlign w:val="center"/>
          </w:tcPr>
          <w:p w14:paraId="5963737C"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65</w:t>
            </w:r>
          </w:p>
        </w:tc>
        <w:tc>
          <w:tcPr>
            <w:tcW w:w="1134" w:type="dxa"/>
            <w:vAlign w:val="center"/>
          </w:tcPr>
          <w:p w14:paraId="57523CDA"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13/20</w:t>
            </w:r>
          </w:p>
        </w:tc>
        <w:tc>
          <w:tcPr>
            <w:tcW w:w="851" w:type="dxa"/>
            <w:vAlign w:val="center"/>
          </w:tcPr>
          <w:p w14:paraId="08F56B1D"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33</w:t>
            </w:r>
          </w:p>
        </w:tc>
        <w:tc>
          <w:tcPr>
            <w:tcW w:w="1276" w:type="dxa"/>
            <w:vAlign w:val="center"/>
          </w:tcPr>
          <w:p w14:paraId="4A1AEAF0"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49/150</w:t>
            </w:r>
          </w:p>
        </w:tc>
        <w:tc>
          <w:tcPr>
            <w:tcW w:w="2409" w:type="dxa"/>
            <w:vAlign w:val="center"/>
          </w:tcPr>
          <w:p w14:paraId="05B3C3E5"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0.007</w:t>
            </w:r>
          </w:p>
        </w:tc>
      </w:tr>
      <w:tr w:rsidR="0023405A" w:rsidRPr="00075D52" w14:paraId="3B5210D1" w14:textId="77777777" w:rsidTr="003E6982">
        <w:trPr>
          <w:trHeight w:val="340"/>
        </w:trPr>
        <w:tc>
          <w:tcPr>
            <w:tcW w:w="2660" w:type="dxa"/>
          </w:tcPr>
          <w:p w14:paraId="247ADA75" w14:textId="77777777" w:rsidR="0023405A" w:rsidRPr="00075D52" w:rsidRDefault="0023405A" w:rsidP="002F396E">
            <w:pPr>
              <w:spacing w:line="360" w:lineRule="auto"/>
              <w:jc w:val="both"/>
              <w:rPr>
                <w:rFonts w:asciiTheme="majorHAnsi" w:hAnsiTheme="majorHAnsi"/>
              </w:rPr>
            </w:pPr>
            <w:r w:rsidRPr="00075D52">
              <w:rPr>
                <w:rFonts w:asciiTheme="majorHAnsi" w:hAnsiTheme="majorHAnsi"/>
              </w:rPr>
              <w:t>Swallowing</w:t>
            </w:r>
          </w:p>
        </w:tc>
        <w:tc>
          <w:tcPr>
            <w:tcW w:w="850" w:type="dxa"/>
            <w:vAlign w:val="center"/>
          </w:tcPr>
          <w:p w14:paraId="181B89C8"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67</w:t>
            </w:r>
          </w:p>
        </w:tc>
        <w:tc>
          <w:tcPr>
            <w:tcW w:w="1134" w:type="dxa"/>
            <w:vAlign w:val="center"/>
          </w:tcPr>
          <w:p w14:paraId="738177DF"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20/30</w:t>
            </w:r>
          </w:p>
        </w:tc>
        <w:tc>
          <w:tcPr>
            <w:tcW w:w="851" w:type="dxa"/>
            <w:vAlign w:val="center"/>
          </w:tcPr>
          <w:p w14:paraId="48E0AB62"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30</w:t>
            </w:r>
          </w:p>
        </w:tc>
        <w:tc>
          <w:tcPr>
            <w:tcW w:w="1276" w:type="dxa"/>
            <w:vAlign w:val="center"/>
          </w:tcPr>
          <w:p w14:paraId="6E1BB4BA"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42/140</w:t>
            </w:r>
          </w:p>
        </w:tc>
        <w:tc>
          <w:tcPr>
            <w:tcW w:w="2409" w:type="dxa"/>
            <w:vAlign w:val="center"/>
          </w:tcPr>
          <w:p w14:paraId="37F13384" w14:textId="77777777" w:rsidR="0023405A" w:rsidRPr="00075D52" w:rsidRDefault="0023405A" w:rsidP="0023405A">
            <w:pPr>
              <w:spacing w:line="360" w:lineRule="auto"/>
              <w:jc w:val="center"/>
              <w:rPr>
                <w:rFonts w:asciiTheme="majorHAnsi" w:hAnsiTheme="majorHAnsi"/>
              </w:rPr>
            </w:pPr>
            <w:r w:rsidRPr="00075D52">
              <w:rPr>
                <w:rFonts w:asciiTheme="majorHAnsi" w:hAnsiTheme="majorHAnsi"/>
              </w:rPr>
              <w:t>&lt;0.001</w:t>
            </w:r>
          </w:p>
        </w:tc>
      </w:tr>
    </w:tbl>
    <w:p w14:paraId="50370289" w14:textId="77777777" w:rsidR="00631E8E" w:rsidRDefault="00631E8E" w:rsidP="0023405A">
      <w:pPr>
        <w:spacing w:line="360" w:lineRule="auto"/>
        <w:jc w:val="both"/>
        <w:rPr>
          <w:rFonts w:asciiTheme="majorHAnsi" w:eastAsiaTheme="minorHAnsi" w:hAnsiTheme="majorHAnsi"/>
          <w:sz w:val="22"/>
          <w:szCs w:val="22"/>
          <w:lang w:val="en-GB"/>
        </w:rPr>
      </w:pPr>
    </w:p>
    <w:p w14:paraId="565BEECD" w14:textId="77777777" w:rsidR="0023405A" w:rsidRDefault="0023405A" w:rsidP="0023405A">
      <w:pPr>
        <w:spacing w:line="360" w:lineRule="auto"/>
        <w:jc w:val="both"/>
        <w:rPr>
          <w:rFonts w:asciiTheme="majorHAnsi" w:eastAsiaTheme="minorHAnsi" w:hAnsiTheme="majorHAnsi"/>
          <w:sz w:val="22"/>
          <w:szCs w:val="22"/>
          <w:lang w:val="en-GB"/>
        </w:rPr>
      </w:pPr>
      <w:r w:rsidRPr="00075D52">
        <w:rPr>
          <w:rFonts w:asciiTheme="majorHAnsi" w:eastAsiaTheme="minorHAnsi" w:hAnsiTheme="majorHAnsi"/>
          <w:sz w:val="22"/>
          <w:szCs w:val="22"/>
          <w:lang w:val="en-GB"/>
        </w:rPr>
        <w:t>*Fishers exact test</w:t>
      </w:r>
    </w:p>
    <w:p w14:paraId="1FE51640" w14:textId="77777777" w:rsidR="00A06360" w:rsidRPr="00075D52" w:rsidRDefault="00A06360" w:rsidP="00075D52">
      <w:pPr>
        <w:spacing w:line="360" w:lineRule="auto"/>
        <w:jc w:val="both"/>
        <w:rPr>
          <w:rFonts w:asciiTheme="majorHAnsi" w:hAnsiTheme="majorHAnsi"/>
          <w:sz w:val="22"/>
          <w:szCs w:val="22"/>
        </w:rPr>
      </w:pPr>
    </w:p>
    <w:p w14:paraId="32935EAE" w14:textId="77777777" w:rsidR="00EC417F" w:rsidRPr="00075D52" w:rsidRDefault="00EC417F" w:rsidP="00075D52">
      <w:pPr>
        <w:pStyle w:val="ListParagraph"/>
        <w:widowControl w:val="0"/>
        <w:autoSpaceDE w:val="0"/>
        <w:autoSpaceDN w:val="0"/>
        <w:adjustRightInd w:val="0"/>
        <w:spacing w:line="360" w:lineRule="auto"/>
        <w:jc w:val="both"/>
        <w:rPr>
          <w:rFonts w:asciiTheme="majorHAnsi" w:hAnsiTheme="majorHAnsi" w:cs="Times New Roman"/>
        </w:rPr>
      </w:pPr>
    </w:p>
    <w:p w14:paraId="5AA41359" w14:textId="77777777" w:rsidR="005C0A73" w:rsidRPr="00075D52" w:rsidRDefault="005C0A73" w:rsidP="00075D52">
      <w:pPr>
        <w:spacing w:line="360" w:lineRule="auto"/>
        <w:jc w:val="both"/>
        <w:rPr>
          <w:rFonts w:asciiTheme="majorHAnsi" w:hAnsiTheme="majorHAnsi"/>
          <w:sz w:val="22"/>
          <w:szCs w:val="22"/>
        </w:rPr>
      </w:pPr>
    </w:p>
    <w:p w14:paraId="63872AE0" w14:textId="77777777" w:rsidR="005C0A73" w:rsidRPr="00075D52" w:rsidRDefault="005C0A73" w:rsidP="00075D52">
      <w:pPr>
        <w:spacing w:line="360" w:lineRule="auto"/>
        <w:jc w:val="both"/>
        <w:rPr>
          <w:rFonts w:asciiTheme="majorHAnsi" w:hAnsiTheme="majorHAnsi"/>
          <w:sz w:val="22"/>
          <w:szCs w:val="22"/>
        </w:rPr>
      </w:pPr>
    </w:p>
    <w:p w14:paraId="5384C2A5" w14:textId="77777777" w:rsidR="00742D78" w:rsidRPr="00075D52" w:rsidRDefault="00742D78" w:rsidP="00075D52">
      <w:pPr>
        <w:spacing w:line="360" w:lineRule="auto"/>
        <w:jc w:val="both"/>
        <w:rPr>
          <w:rFonts w:asciiTheme="majorHAnsi" w:hAnsiTheme="majorHAnsi"/>
          <w:sz w:val="22"/>
          <w:szCs w:val="22"/>
        </w:rPr>
      </w:pPr>
    </w:p>
    <w:p w14:paraId="272C03AB" w14:textId="77777777" w:rsidR="00742D78" w:rsidRPr="00075D52" w:rsidRDefault="00742D78" w:rsidP="00075D52">
      <w:pPr>
        <w:spacing w:line="360" w:lineRule="auto"/>
        <w:jc w:val="both"/>
        <w:rPr>
          <w:rFonts w:asciiTheme="majorHAnsi" w:hAnsiTheme="majorHAnsi"/>
          <w:sz w:val="22"/>
          <w:szCs w:val="22"/>
        </w:rPr>
      </w:pPr>
    </w:p>
    <w:p w14:paraId="5E9574C9" w14:textId="77777777" w:rsidR="00742D78" w:rsidRPr="00075D52" w:rsidRDefault="00742D78" w:rsidP="00075D52">
      <w:pPr>
        <w:spacing w:line="360" w:lineRule="auto"/>
        <w:jc w:val="both"/>
        <w:rPr>
          <w:rFonts w:asciiTheme="majorHAnsi" w:hAnsiTheme="majorHAnsi"/>
          <w:sz w:val="22"/>
          <w:szCs w:val="22"/>
        </w:rPr>
      </w:pPr>
    </w:p>
    <w:p w14:paraId="26AE2FAB" w14:textId="77777777" w:rsidR="00742D78" w:rsidRPr="00075D52" w:rsidRDefault="00742D78" w:rsidP="00075D52">
      <w:pPr>
        <w:spacing w:line="360" w:lineRule="auto"/>
        <w:jc w:val="both"/>
        <w:rPr>
          <w:rFonts w:asciiTheme="majorHAnsi" w:hAnsiTheme="majorHAnsi"/>
          <w:sz w:val="22"/>
          <w:szCs w:val="22"/>
        </w:rPr>
      </w:pPr>
    </w:p>
    <w:p w14:paraId="03677523" w14:textId="77777777" w:rsidR="00742D78" w:rsidRPr="00075D52" w:rsidRDefault="00742D78" w:rsidP="00075D52">
      <w:pPr>
        <w:pStyle w:val="ListParagraph"/>
        <w:widowControl w:val="0"/>
        <w:autoSpaceDE w:val="0"/>
        <w:autoSpaceDN w:val="0"/>
        <w:adjustRightInd w:val="0"/>
        <w:spacing w:line="360" w:lineRule="auto"/>
        <w:jc w:val="both"/>
        <w:rPr>
          <w:rFonts w:asciiTheme="majorHAnsi" w:hAnsiTheme="majorHAnsi" w:cs="Times New Roman"/>
        </w:rPr>
      </w:pPr>
    </w:p>
    <w:p w14:paraId="3305742A" w14:textId="77777777" w:rsidR="00742D78" w:rsidRPr="00075D52" w:rsidRDefault="00742D78" w:rsidP="00075D52">
      <w:pPr>
        <w:spacing w:line="360" w:lineRule="auto"/>
        <w:jc w:val="both"/>
        <w:rPr>
          <w:rFonts w:asciiTheme="majorHAnsi" w:hAnsiTheme="majorHAnsi"/>
          <w:sz w:val="22"/>
          <w:szCs w:val="22"/>
        </w:rPr>
      </w:pPr>
    </w:p>
    <w:p w14:paraId="73464ECA" w14:textId="77777777" w:rsidR="00742D78" w:rsidRPr="00075D52" w:rsidRDefault="00742D78" w:rsidP="00075D52">
      <w:pPr>
        <w:spacing w:line="360" w:lineRule="auto"/>
        <w:jc w:val="both"/>
        <w:rPr>
          <w:rFonts w:asciiTheme="majorHAnsi" w:hAnsiTheme="majorHAnsi"/>
          <w:sz w:val="22"/>
          <w:szCs w:val="22"/>
        </w:rPr>
      </w:pPr>
    </w:p>
    <w:p w14:paraId="6B498BEC" w14:textId="77777777" w:rsidR="00742D78" w:rsidRPr="00075D52" w:rsidRDefault="00742D78" w:rsidP="00075D52">
      <w:pPr>
        <w:spacing w:line="360" w:lineRule="auto"/>
        <w:jc w:val="both"/>
        <w:rPr>
          <w:rFonts w:asciiTheme="majorHAnsi" w:hAnsiTheme="majorHAnsi"/>
          <w:sz w:val="22"/>
          <w:szCs w:val="22"/>
        </w:rPr>
      </w:pPr>
    </w:p>
    <w:p w14:paraId="7F89D657" w14:textId="77777777" w:rsidR="00BD62BB" w:rsidRPr="00075D52" w:rsidRDefault="00BD62BB" w:rsidP="00075D52">
      <w:pPr>
        <w:spacing w:line="360" w:lineRule="auto"/>
        <w:jc w:val="both"/>
        <w:rPr>
          <w:rFonts w:asciiTheme="majorHAnsi" w:hAnsiTheme="majorHAnsi"/>
          <w:sz w:val="22"/>
          <w:szCs w:val="22"/>
        </w:rPr>
      </w:pPr>
    </w:p>
    <w:sectPr w:rsidR="00BD62BB" w:rsidRPr="00075D52" w:rsidSect="00BF3007">
      <w:pgSz w:w="11900" w:h="16840"/>
      <w:pgMar w:top="1418" w:right="1797" w:bottom="141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30F0"/>
    <w:multiLevelType w:val="hybridMultilevel"/>
    <w:tmpl w:val="F4D06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A2E11"/>
    <w:multiLevelType w:val="hybridMultilevel"/>
    <w:tmpl w:val="A9F6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55B27"/>
    <w:multiLevelType w:val="hybridMultilevel"/>
    <w:tmpl w:val="41885A06"/>
    <w:lvl w:ilvl="0" w:tplc="237A460E">
      <w:start w:val="1"/>
      <w:numFmt w:val="bullet"/>
      <w:lvlText w:val="•"/>
      <w:lvlJc w:val="left"/>
      <w:pPr>
        <w:tabs>
          <w:tab w:val="num" w:pos="720"/>
        </w:tabs>
        <w:ind w:left="720" w:hanging="360"/>
      </w:pPr>
      <w:rPr>
        <w:rFonts w:ascii="Arial" w:hAnsi="Arial" w:hint="default"/>
      </w:rPr>
    </w:lvl>
    <w:lvl w:ilvl="1" w:tplc="EDE049D8">
      <w:start w:val="1"/>
      <w:numFmt w:val="bullet"/>
      <w:lvlText w:val="•"/>
      <w:lvlJc w:val="left"/>
      <w:pPr>
        <w:tabs>
          <w:tab w:val="num" w:pos="1440"/>
        </w:tabs>
        <w:ind w:left="1440" w:hanging="360"/>
      </w:pPr>
      <w:rPr>
        <w:rFonts w:ascii="Arial" w:hAnsi="Arial" w:hint="default"/>
      </w:rPr>
    </w:lvl>
    <w:lvl w:ilvl="2" w:tplc="63949086" w:tentative="1">
      <w:start w:val="1"/>
      <w:numFmt w:val="bullet"/>
      <w:lvlText w:val="•"/>
      <w:lvlJc w:val="left"/>
      <w:pPr>
        <w:tabs>
          <w:tab w:val="num" w:pos="2160"/>
        </w:tabs>
        <w:ind w:left="2160" w:hanging="360"/>
      </w:pPr>
      <w:rPr>
        <w:rFonts w:ascii="Arial" w:hAnsi="Arial" w:hint="default"/>
      </w:rPr>
    </w:lvl>
    <w:lvl w:ilvl="3" w:tplc="D8501BC4" w:tentative="1">
      <w:start w:val="1"/>
      <w:numFmt w:val="bullet"/>
      <w:lvlText w:val="•"/>
      <w:lvlJc w:val="left"/>
      <w:pPr>
        <w:tabs>
          <w:tab w:val="num" w:pos="2880"/>
        </w:tabs>
        <w:ind w:left="2880" w:hanging="360"/>
      </w:pPr>
      <w:rPr>
        <w:rFonts w:ascii="Arial" w:hAnsi="Arial" w:hint="default"/>
      </w:rPr>
    </w:lvl>
    <w:lvl w:ilvl="4" w:tplc="9574FB62" w:tentative="1">
      <w:start w:val="1"/>
      <w:numFmt w:val="bullet"/>
      <w:lvlText w:val="•"/>
      <w:lvlJc w:val="left"/>
      <w:pPr>
        <w:tabs>
          <w:tab w:val="num" w:pos="3600"/>
        </w:tabs>
        <w:ind w:left="3600" w:hanging="360"/>
      </w:pPr>
      <w:rPr>
        <w:rFonts w:ascii="Arial" w:hAnsi="Arial" w:hint="default"/>
      </w:rPr>
    </w:lvl>
    <w:lvl w:ilvl="5" w:tplc="A5923E0A" w:tentative="1">
      <w:start w:val="1"/>
      <w:numFmt w:val="bullet"/>
      <w:lvlText w:val="•"/>
      <w:lvlJc w:val="left"/>
      <w:pPr>
        <w:tabs>
          <w:tab w:val="num" w:pos="4320"/>
        </w:tabs>
        <w:ind w:left="4320" w:hanging="360"/>
      </w:pPr>
      <w:rPr>
        <w:rFonts w:ascii="Arial" w:hAnsi="Arial" w:hint="default"/>
      </w:rPr>
    </w:lvl>
    <w:lvl w:ilvl="6" w:tplc="89F06270" w:tentative="1">
      <w:start w:val="1"/>
      <w:numFmt w:val="bullet"/>
      <w:lvlText w:val="•"/>
      <w:lvlJc w:val="left"/>
      <w:pPr>
        <w:tabs>
          <w:tab w:val="num" w:pos="5040"/>
        </w:tabs>
        <w:ind w:left="5040" w:hanging="360"/>
      </w:pPr>
      <w:rPr>
        <w:rFonts w:ascii="Arial" w:hAnsi="Arial" w:hint="default"/>
      </w:rPr>
    </w:lvl>
    <w:lvl w:ilvl="7" w:tplc="D276ADC0" w:tentative="1">
      <w:start w:val="1"/>
      <w:numFmt w:val="bullet"/>
      <w:lvlText w:val="•"/>
      <w:lvlJc w:val="left"/>
      <w:pPr>
        <w:tabs>
          <w:tab w:val="num" w:pos="5760"/>
        </w:tabs>
        <w:ind w:left="5760" w:hanging="360"/>
      </w:pPr>
      <w:rPr>
        <w:rFonts w:ascii="Arial" w:hAnsi="Arial" w:hint="default"/>
      </w:rPr>
    </w:lvl>
    <w:lvl w:ilvl="8" w:tplc="28583D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D4477"/>
    <w:multiLevelType w:val="hybridMultilevel"/>
    <w:tmpl w:val="5DECC3B6"/>
    <w:lvl w:ilvl="0" w:tplc="5812FBE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169D2B48"/>
    <w:multiLevelType w:val="hybridMultilevel"/>
    <w:tmpl w:val="807C77F4"/>
    <w:lvl w:ilvl="0" w:tplc="68ACFB6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85195"/>
    <w:multiLevelType w:val="hybridMultilevel"/>
    <w:tmpl w:val="0F3E104C"/>
    <w:lvl w:ilvl="0" w:tplc="C9CAD604">
      <w:start w:val="1"/>
      <w:numFmt w:val="lowerLetter"/>
      <w:lvlText w:val="(%1)"/>
      <w:lvlJc w:val="left"/>
      <w:pPr>
        <w:ind w:left="1080" w:hanging="360"/>
      </w:pPr>
      <w:rPr>
        <w:rFonts w:ascii="Times New Roman" w:hAnsi="Times New Roman" w:cs="Times New Roman" w:hint="default"/>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6" w15:restartNumberingAfterBreak="0">
    <w:nsid w:val="2A36175F"/>
    <w:multiLevelType w:val="hybridMultilevel"/>
    <w:tmpl w:val="972275D2"/>
    <w:lvl w:ilvl="0" w:tplc="6316B9F8">
      <w:start w:val="1"/>
      <w:numFmt w:val="bullet"/>
      <w:lvlText w:val="•"/>
      <w:lvlJc w:val="left"/>
      <w:pPr>
        <w:tabs>
          <w:tab w:val="num" w:pos="720"/>
        </w:tabs>
        <w:ind w:left="720" w:hanging="360"/>
      </w:pPr>
      <w:rPr>
        <w:rFonts w:ascii="Arial" w:hAnsi="Arial" w:hint="default"/>
      </w:rPr>
    </w:lvl>
    <w:lvl w:ilvl="1" w:tplc="D7BCD984" w:tentative="1">
      <w:start w:val="1"/>
      <w:numFmt w:val="bullet"/>
      <w:lvlText w:val="•"/>
      <w:lvlJc w:val="left"/>
      <w:pPr>
        <w:tabs>
          <w:tab w:val="num" w:pos="1440"/>
        </w:tabs>
        <w:ind w:left="1440" w:hanging="360"/>
      </w:pPr>
      <w:rPr>
        <w:rFonts w:ascii="Arial" w:hAnsi="Arial" w:hint="default"/>
      </w:rPr>
    </w:lvl>
    <w:lvl w:ilvl="2" w:tplc="4ED4A6E2" w:tentative="1">
      <w:start w:val="1"/>
      <w:numFmt w:val="bullet"/>
      <w:lvlText w:val="•"/>
      <w:lvlJc w:val="left"/>
      <w:pPr>
        <w:tabs>
          <w:tab w:val="num" w:pos="2160"/>
        </w:tabs>
        <w:ind w:left="2160" w:hanging="360"/>
      </w:pPr>
      <w:rPr>
        <w:rFonts w:ascii="Arial" w:hAnsi="Arial" w:hint="default"/>
      </w:rPr>
    </w:lvl>
    <w:lvl w:ilvl="3" w:tplc="9AF8941C">
      <w:start w:val="1"/>
      <w:numFmt w:val="bullet"/>
      <w:lvlText w:val="•"/>
      <w:lvlJc w:val="left"/>
      <w:pPr>
        <w:tabs>
          <w:tab w:val="num" w:pos="2880"/>
        </w:tabs>
        <w:ind w:left="2880" w:hanging="360"/>
      </w:pPr>
      <w:rPr>
        <w:rFonts w:ascii="Arial" w:hAnsi="Arial" w:hint="default"/>
      </w:rPr>
    </w:lvl>
    <w:lvl w:ilvl="4" w:tplc="8644440E" w:tentative="1">
      <w:start w:val="1"/>
      <w:numFmt w:val="bullet"/>
      <w:lvlText w:val="•"/>
      <w:lvlJc w:val="left"/>
      <w:pPr>
        <w:tabs>
          <w:tab w:val="num" w:pos="3600"/>
        </w:tabs>
        <w:ind w:left="3600" w:hanging="360"/>
      </w:pPr>
      <w:rPr>
        <w:rFonts w:ascii="Arial" w:hAnsi="Arial" w:hint="default"/>
      </w:rPr>
    </w:lvl>
    <w:lvl w:ilvl="5" w:tplc="37BA3F90" w:tentative="1">
      <w:start w:val="1"/>
      <w:numFmt w:val="bullet"/>
      <w:lvlText w:val="•"/>
      <w:lvlJc w:val="left"/>
      <w:pPr>
        <w:tabs>
          <w:tab w:val="num" w:pos="4320"/>
        </w:tabs>
        <w:ind w:left="4320" w:hanging="360"/>
      </w:pPr>
      <w:rPr>
        <w:rFonts w:ascii="Arial" w:hAnsi="Arial" w:hint="default"/>
      </w:rPr>
    </w:lvl>
    <w:lvl w:ilvl="6" w:tplc="EFBA57B0" w:tentative="1">
      <w:start w:val="1"/>
      <w:numFmt w:val="bullet"/>
      <w:lvlText w:val="•"/>
      <w:lvlJc w:val="left"/>
      <w:pPr>
        <w:tabs>
          <w:tab w:val="num" w:pos="5040"/>
        </w:tabs>
        <w:ind w:left="5040" w:hanging="360"/>
      </w:pPr>
      <w:rPr>
        <w:rFonts w:ascii="Arial" w:hAnsi="Arial" w:hint="default"/>
      </w:rPr>
    </w:lvl>
    <w:lvl w:ilvl="7" w:tplc="90569586" w:tentative="1">
      <w:start w:val="1"/>
      <w:numFmt w:val="bullet"/>
      <w:lvlText w:val="•"/>
      <w:lvlJc w:val="left"/>
      <w:pPr>
        <w:tabs>
          <w:tab w:val="num" w:pos="5760"/>
        </w:tabs>
        <w:ind w:left="5760" w:hanging="360"/>
      </w:pPr>
      <w:rPr>
        <w:rFonts w:ascii="Arial" w:hAnsi="Arial" w:hint="default"/>
      </w:rPr>
    </w:lvl>
    <w:lvl w:ilvl="8" w:tplc="B2FAAD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C20664"/>
    <w:multiLevelType w:val="hybridMultilevel"/>
    <w:tmpl w:val="A9F6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C3A6D"/>
    <w:multiLevelType w:val="hybridMultilevel"/>
    <w:tmpl w:val="1CB6C0C4"/>
    <w:lvl w:ilvl="0" w:tplc="6172B6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8E7311"/>
    <w:multiLevelType w:val="hybridMultilevel"/>
    <w:tmpl w:val="25A459D6"/>
    <w:lvl w:ilvl="0" w:tplc="CFB02514">
      <w:start w:val="1"/>
      <w:numFmt w:val="bullet"/>
      <w:lvlText w:val="•"/>
      <w:lvlJc w:val="left"/>
      <w:pPr>
        <w:tabs>
          <w:tab w:val="num" w:pos="720"/>
        </w:tabs>
        <w:ind w:left="720" w:hanging="360"/>
      </w:pPr>
      <w:rPr>
        <w:rFonts w:ascii="Arial" w:hAnsi="Arial" w:hint="default"/>
      </w:rPr>
    </w:lvl>
    <w:lvl w:ilvl="1" w:tplc="C444203E" w:tentative="1">
      <w:start w:val="1"/>
      <w:numFmt w:val="bullet"/>
      <w:lvlText w:val="•"/>
      <w:lvlJc w:val="left"/>
      <w:pPr>
        <w:tabs>
          <w:tab w:val="num" w:pos="1440"/>
        </w:tabs>
        <w:ind w:left="1440" w:hanging="360"/>
      </w:pPr>
      <w:rPr>
        <w:rFonts w:ascii="Arial" w:hAnsi="Arial" w:hint="default"/>
      </w:rPr>
    </w:lvl>
    <w:lvl w:ilvl="2" w:tplc="4ECEBD52" w:tentative="1">
      <w:start w:val="1"/>
      <w:numFmt w:val="bullet"/>
      <w:lvlText w:val="•"/>
      <w:lvlJc w:val="left"/>
      <w:pPr>
        <w:tabs>
          <w:tab w:val="num" w:pos="2160"/>
        </w:tabs>
        <w:ind w:left="2160" w:hanging="360"/>
      </w:pPr>
      <w:rPr>
        <w:rFonts w:ascii="Arial" w:hAnsi="Arial" w:hint="default"/>
      </w:rPr>
    </w:lvl>
    <w:lvl w:ilvl="3" w:tplc="9DF8E496" w:tentative="1">
      <w:start w:val="1"/>
      <w:numFmt w:val="bullet"/>
      <w:lvlText w:val="•"/>
      <w:lvlJc w:val="left"/>
      <w:pPr>
        <w:tabs>
          <w:tab w:val="num" w:pos="2880"/>
        </w:tabs>
        <w:ind w:left="2880" w:hanging="360"/>
      </w:pPr>
      <w:rPr>
        <w:rFonts w:ascii="Arial" w:hAnsi="Arial" w:hint="default"/>
      </w:rPr>
    </w:lvl>
    <w:lvl w:ilvl="4" w:tplc="CD2E0F52" w:tentative="1">
      <w:start w:val="1"/>
      <w:numFmt w:val="bullet"/>
      <w:lvlText w:val="•"/>
      <w:lvlJc w:val="left"/>
      <w:pPr>
        <w:tabs>
          <w:tab w:val="num" w:pos="3600"/>
        </w:tabs>
        <w:ind w:left="3600" w:hanging="360"/>
      </w:pPr>
      <w:rPr>
        <w:rFonts w:ascii="Arial" w:hAnsi="Arial" w:hint="default"/>
      </w:rPr>
    </w:lvl>
    <w:lvl w:ilvl="5" w:tplc="051EA7F8" w:tentative="1">
      <w:start w:val="1"/>
      <w:numFmt w:val="bullet"/>
      <w:lvlText w:val="•"/>
      <w:lvlJc w:val="left"/>
      <w:pPr>
        <w:tabs>
          <w:tab w:val="num" w:pos="4320"/>
        </w:tabs>
        <w:ind w:left="4320" w:hanging="360"/>
      </w:pPr>
      <w:rPr>
        <w:rFonts w:ascii="Arial" w:hAnsi="Arial" w:hint="default"/>
      </w:rPr>
    </w:lvl>
    <w:lvl w:ilvl="6" w:tplc="694AC7C8" w:tentative="1">
      <w:start w:val="1"/>
      <w:numFmt w:val="bullet"/>
      <w:lvlText w:val="•"/>
      <w:lvlJc w:val="left"/>
      <w:pPr>
        <w:tabs>
          <w:tab w:val="num" w:pos="5040"/>
        </w:tabs>
        <w:ind w:left="5040" w:hanging="360"/>
      </w:pPr>
      <w:rPr>
        <w:rFonts w:ascii="Arial" w:hAnsi="Arial" w:hint="default"/>
      </w:rPr>
    </w:lvl>
    <w:lvl w:ilvl="7" w:tplc="00C8474C" w:tentative="1">
      <w:start w:val="1"/>
      <w:numFmt w:val="bullet"/>
      <w:lvlText w:val="•"/>
      <w:lvlJc w:val="left"/>
      <w:pPr>
        <w:tabs>
          <w:tab w:val="num" w:pos="5760"/>
        </w:tabs>
        <w:ind w:left="5760" w:hanging="360"/>
      </w:pPr>
      <w:rPr>
        <w:rFonts w:ascii="Arial" w:hAnsi="Arial" w:hint="default"/>
      </w:rPr>
    </w:lvl>
    <w:lvl w:ilvl="8" w:tplc="85FC8E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5B0290"/>
    <w:multiLevelType w:val="hybridMultilevel"/>
    <w:tmpl w:val="F282ED34"/>
    <w:lvl w:ilvl="0" w:tplc="9A426CDE">
      <w:start w:val="1"/>
      <w:numFmt w:val="bullet"/>
      <w:lvlText w:val="•"/>
      <w:lvlJc w:val="left"/>
      <w:pPr>
        <w:tabs>
          <w:tab w:val="num" w:pos="720"/>
        </w:tabs>
        <w:ind w:left="720" w:hanging="360"/>
      </w:pPr>
      <w:rPr>
        <w:rFonts w:ascii="Arial" w:hAnsi="Arial" w:hint="default"/>
      </w:rPr>
    </w:lvl>
    <w:lvl w:ilvl="1" w:tplc="E0885C88">
      <w:start w:val="1"/>
      <w:numFmt w:val="bullet"/>
      <w:lvlText w:val="•"/>
      <w:lvlJc w:val="left"/>
      <w:pPr>
        <w:tabs>
          <w:tab w:val="num" w:pos="1440"/>
        </w:tabs>
        <w:ind w:left="1440" w:hanging="360"/>
      </w:pPr>
      <w:rPr>
        <w:rFonts w:ascii="Arial" w:hAnsi="Arial" w:hint="default"/>
      </w:rPr>
    </w:lvl>
    <w:lvl w:ilvl="2" w:tplc="6A7A5C94" w:tentative="1">
      <w:start w:val="1"/>
      <w:numFmt w:val="bullet"/>
      <w:lvlText w:val="•"/>
      <w:lvlJc w:val="left"/>
      <w:pPr>
        <w:tabs>
          <w:tab w:val="num" w:pos="2160"/>
        </w:tabs>
        <w:ind w:left="2160" w:hanging="360"/>
      </w:pPr>
      <w:rPr>
        <w:rFonts w:ascii="Arial" w:hAnsi="Arial" w:hint="default"/>
      </w:rPr>
    </w:lvl>
    <w:lvl w:ilvl="3" w:tplc="29BC7760" w:tentative="1">
      <w:start w:val="1"/>
      <w:numFmt w:val="bullet"/>
      <w:lvlText w:val="•"/>
      <w:lvlJc w:val="left"/>
      <w:pPr>
        <w:tabs>
          <w:tab w:val="num" w:pos="2880"/>
        </w:tabs>
        <w:ind w:left="2880" w:hanging="360"/>
      </w:pPr>
      <w:rPr>
        <w:rFonts w:ascii="Arial" w:hAnsi="Arial" w:hint="default"/>
      </w:rPr>
    </w:lvl>
    <w:lvl w:ilvl="4" w:tplc="401A7F78" w:tentative="1">
      <w:start w:val="1"/>
      <w:numFmt w:val="bullet"/>
      <w:lvlText w:val="•"/>
      <w:lvlJc w:val="left"/>
      <w:pPr>
        <w:tabs>
          <w:tab w:val="num" w:pos="3600"/>
        </w:tabs>
        <w:ind w:left="3600" w:hanging="360"/>
      </w:pPr>
      <w:rPr>
        <w:rFonts w:ascii="Arial" w:hAnsi="Arial" w:hint="default"/>
      </w:rPr>
    </w:lvl>
    <w:lvl w:ilvl="5" w:tplc="907EDC2E" w:tentative="1">
      <w:start w:val="1"/>
      <w:numFmt w:val="bullet"/>
      <w:lvlText w:val="•"/>
      <w:lvlJc w:val="left"/>
      <w:pPr>
        <w:tabs>
          <w:tab w:val="num" w:pos="4320"/>
        </w:tabs>
        <w:ind w:left="4320" w:hanging="360"/>
      </w:pPr>
      <w:rPr>
        <w:rFonts w:ascii="Arial" w:hAnsi="Arial" w:hint="default"/>
      </w:rPr>
    </w:lvl>
    <w:lvl w:ilvl="6" w:tplc="8B66405C" w:tentative="1">
      <w:start w:val="1"/>
      <w:numFmt w:val="bullet"/>
      <w:lvlText w:val="•"/>
      <w:lvlJc w:val="left"/>
      <w:pPr>
        <w:tabs>
          <w:tab w:val="num" w:pos="5040"/>
        </w:tabs>
        <w:ind w:left="5040" w:hanging="360"/>
      </w:pPr>
      <w:rPr>
        <w:rFonts w:ascii="Arial" w:hAnsi="Arial" w:hint="default"/>
      </w:rPr>
    </w:lvl>
    <w:lvl w:ilvl="7" w:tplc="6672786C" w:tentative="1">
      <w:start w:val="1"/>
      <w:numFmt w:val="bullet"/>
      <w:lvlText w:val="•"/>
      <w:lvlJc w:val="left"/>
      <w:pPr>
        <w:tabs>
          <w:tab w:val="num" w:pos="5760"/>
        </w:tabs>
        <w:ind w:left="5760" w:hanging="360"/>
      </w:pPr>
      <w:rPr>
        <w:rFonts w:ascii="Arial" w:hAnsi="Arial" w:hint="default"/>
      </w:rPr>
    </w:lvl>
    <w:lvl w:ilvl="8" w:tplc="678004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515607"/>
    <w:multiLevelType w:val="hybridMultilevel"/>
    <w:tmpl w:val="864C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A493A"/>
    <w:multiLevelType w:val="hybridMultilevel"/>
    <w:tmpl w:val="A9F6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85D81"/>
    <w:multiLevelType w:val="hybridMultilevel"/>
    <w:tmpl w:val="A9F6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60A83"/>
    <w:multiLevelType w:val="hybridMultilevel"/>
    <w:tmpl w:val="D9E4A41A"/>
    <w:lvl w:ilvl="0" w:tplc="EC1EC866">
      <w:start w:val="1"/>
      <w:numFmt w:val="bullet"/>
      <w:lvlText w:val="•"/>
      <w:lvlJc w:val="left"/>
      <w:pPr>
        <w:tabs>
          <w:tab w:val="num" w:pos="720"/>
        </w:tabs>
        <w:ind w:left="720" w:hanging="360"/>
      </w:pPr>
      <w:rPr>
        <w:rFonts w:ascii="Arial" w:hAnsi="Arial" w:hint="default"/>
      </w:rPr>
    </w:lvl>
    <w:lvl w:ilvl="1" w:tplc="74427B04">
      <w:start w:val="1"/>
      <w:numFmt w:val="bullet"/>
      <w:lvlText w:val="•"/>
      <w:lvlJc w:val="left"/>
      <w:pPr>
        <w:tabs>
          <w:tab w:val="num" w:pos="1440"/>
        </w:tabs>
        <w:ind w:left="1440" w:hanging="360"/>
      </w:pPr>
      <w:rPr>
        <w:rFonts w:ascii="Arial" w:hAnsi="Arial" w:hint="default"/>
      </w:rPr>
    </w:lvl>
    <w:lvl w:ilvl="2" w:tplc="C3262CB4">
      <w:start w:val="1"/>
      <w:numFmt w:val="bullet"/>
      <w:lvlText w:val="•"/>
      <w:lvlJc w:val="left"/>
      <w:pPr>
        <w:tabs>
          <w:tab w:val="num" w:pos="2160"/>
        </w:tabs>
        <w:ind w:left="2160" w:hanging="360"/>
      </w:pPr>
      <w:rPr>
        <w:rFonts w:ascii="Arial" w:hAnsi="Arial" w:hint="default"/>
      </w:rPr>
    </w:lvl>
    <w:lvl w:ilvl="3" w:tplc="84042BC0" w:tentative="1">
      <w:start w:val="1"/>
      <w:numFmt w:val="bullet"/>
      <w:lvlText w:val="•"/>
      <w:lvlJc w:val="left"/>
      <w:pPr>
        <w:tabs>
          <w:tab w:val="num" w:pos="2880"/>
        </w:tabs>
        <w:ind w:left="2880" w:hanging="360"/>
      </w:pPr>
      <w:rPr>
        <w:rFonts w:ascii="Arial" w:hAnsi="Arial" w:hint="default"/>
      </w:rPr>
    </w:lvl>
    <w:lvl w:ilvl="4" w:tplc="E8C80762" w:tentative="1">
      <w:start w:val="1"/>
      <w:numFmt w:val="bullet"/>
      <w:lvlText w:val="•"/>
      <w:lvlJc w:val="left"/>
      <w:pPr>
        <w:tabs>
          <w:tab w:val="num" w:pos="3600"/>
        </w:tabs>
        <w:ind w:left="3600" w:hanging="360"/>
      </w:pPr>
      <w:rPr>
        <w:rFonts w:ascii="Arial" w:hAnsi="Arial" w:hint="default"/>
      </w:rPr>
    </w:lvl>
    <w:lvl w:ilvl="5" w:tplc="88300F8A" w:tentative="1">
      <w:start w:val="1"/>
      <w:numFmt w:val="bullet"/>
      <w:lvlText w:val="•"/>
      <w:lvlJc w:val="left"/>
      <w:pPr>
        <w:tabs>
          <w:tab w:val="num" w:pos="4320"/>
        </w:tabs>
        <w:ind w:left="4320" w:hanging="360"/>
      </w:pPr>
      <w:rPr>
        <w:rFonts w:ascii="Arial" w:hAnsi="Arial" w:hint="default"/>
      </w:rPr>
    </w:lvl>
    <w:lvl w:ilvl="6" w:tplc="70A4B804" w:tentative="1">
      <w:start w:val="1"/>
      <w:numFmt w:val="bullet"/>
      <w:lvlText w:val="•"/>
      <w:lvlJc w:val="left"/>
      <w:pPr>
        <w:tabs>
          <w:tab w:val="num" w:pos="5040"/>
        </w:tabs>
        <w:ind w:left="5040" w:hanging="360"/>
      </w:pPr>
      <w:rPr>
        <w:rFonts w:ascii="Arial" w:hAnsi="Arial" w:hint="default"/>
      </w:rPr>
    </w:lvl>
    <w:lvl w:ilvl="7" w:tplc="1C74CF18" w:tentative="1">
      <w:start w:val="1"/>
      <w:numFmt w:val="bullet"/>
      <w:lvlText w:val="•"/>
      <w:lvlJc w:val="left"/>
      <w:pPr>
        <w:tabs>
          <w:tab w:val="num" w:pos="5760"/>
        </w:tabs>
        <w:ind w:left="5760" w:hanging="360"/>
      </w:pPr>
      <w:rPr>
        <w:rFonts w:ascii="Arial" w:hAnsi="Arial" w:hint="default"/>
      </w:rPr>
    </w:lvl>
    <w:lvl w:ilvl="8" w:tplc="659C74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9F2271"/>
    <w:multiLevelType w:val="hybridMultilevel"/>
    <w:tmpl w:val="0716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22B3B"/>
    <w:multiLevelType w:val="hybridMultilevel"/>
    <w:tmpl w:val="70C8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95ED0"/>
    <w:multiLevelType w:val="hybridMultilevel"/>
    <w:tmpl w:val="2A404D6E"/>
    <w:lvl w:ilvl="0" w:tplc="CB32D3A0">
      <w:start w:val="1"/>
      <w:numFmt w:val="bullet"/>
      <w:lvlText w:val="•"/>
      <w:lvlJc w:val="left"/>
      <w:pPr>
        <w:tabs>
          <w:tab w:val="num" w:pos="720"/>
        </w:tabs>
        <w:ind w:left="720" w:hanging="360"/>
      </w:pPr>
      <w:rPr>
        <w:rFonts w:ascii="Arial" w:hAnsi="Arial" w:hint="default"/>
      </w:rPr>
    </w:lvl>
    <w:lvl w:ilvl="1" w:tplc="57D4EFC4" w:tentative="1">
      <w:start w:val="1"/>
      <w:numFmt w:val="bullet"/>
      <w:lvlText w:val="•"/>
      <w:lvlJc w:val="left"/>
      <w:pPr>
        <w:tabs>
          <w:tab w:val="num" w:pos="1440"/>
        </w:tabs>
        <w:ind w:left="1440" w:hanging="360"/>
      </w:pPr>
      <w:rPr>
        <w:rFonts w:ascii="Arial" w:hAnsi="Arial" w:hint="default"/>
      </w:rPr>
    </w:lvl>
    <w:lvl w:ilvl="2" w:tplc="B40A5256">
      <w:start w:val="1"/>
      <w:numFmt w:val="bullet"/>
      <w:lvlText w:val="•"/>
      <w:lvlJc w:val="left"/>
      <w:pPr>
        <w:tabs>
          <w:tab w:val="num" w:pos="2160"/>
        </w:tabs>
        <w:ind w:left="2160" w:hanging="360"/>
      </w:pPr>
      <w:rPr>
        <w:rFonts w:ascii="Arial" w:hAnsi="Arial" w:hint="default"/>
      </w:rPr>
    </w:lvl>
    <w:lvl w:ilvl="3" w:tplc="46662A6A" w:tentative="1">
      <w:start w:val="1"/>
      <w:numFmt w:val="bullet"/>
      <w:lvlText w:val="•"/>
      <w:lvlJc w:val="left"/>
      <w:pPr>
        <w:tabs>
          <w:tab w:val="num" w:pos="2880"/>
        </w:tabs>
        <w:ind w:left="2880" w:hanging="360"/>
      </w:pPr>
      <w:rPr>
        <w:rFonts w:ascii="Arial" w:hAnsi="Arial" w:hint="default"/>
      </w:rPr>
    </w:lvl>
    <w:lvl w:ilvl="4" w:tplc="6B1ECAA2" w:tentative="1">
      <w:start w:val="1"/>
      <w:numFmt w:val="bullet"/>
      <w:lvlText w:val="•"/>
      <w:lvlJc w:val="left"/>
      <w:pPr>
        <w:tabs>
          <w:tab w:val="num" w:pos="3600"/>
        </w:tabs>
        <w:ind w:left="3600" w:hanging="360"/>
      </w:pPr>
      <w:rPr>
        <w:rFonts w:ascii="Arial" w:hAnsi="Arial" w:hint="default"/>
      </w:rPr>
    </w:lvl>
    <w:lvl w:ilvl="5" w:tplc="2A30E5C4" w:tentative="1">
      <w:start w:val="1"/>
      <w:numFmt w:val="bullet"/>
      <w:lvlText w:val="•"/>
      <w:lvlJc w:val="left"/>
      <w:pPr>
        <w:tabs>
          <w:tab w:val="num" w:pos="4320"/>
        </w:tabs>
        <w:ind w:left="4320" w:hanging="360"/>
      </w:pPr>
      <w:rPr>
        <w:rFonts w:ascii="Arial" w:hAnsi="Arial" w:hint="default"/>
      </w:rPr>
    </w:lvl>
    <w:lvl w:ilvl="6" w:tplc="29E45354" w:tentative="1">
      <w:start w:val="1"/>
      <w:numFmt w:val="bullet"/>
      <w:lvlText w:val="•"/>
      <w:lvlJc w:val="left"/>
      <w:pPr>
        <w:tabs>
          <w:tab w:val="num" w:pos="5040"/>
        </w:tabs>
        <w:ind w:left="5040" w:hanging="360"/>
      </w:pPr>
      <w:rPr>
        <w:rFonts w:ascii="Arial" w:hAnsi="Arial" w:hint="default"/>
      </w:rPr>
    </w:lvl>
    <w:lvl w:ilvl="7" w:tplc="4DBC8208" w:tentative="1">
      <w:start w:val="1"/>
      <w:numFmt w:val="bullet"/>
      <w:lvlText w:val="•"/>
      <w:lvlJc w:val="left"/>
      <w:pPr>
        <w:tabs>
          <w:tab w:val="num" w:pos="5760"/>
        </w:tabs>
        <w:ind w:left="5760" w:hanging="360"/>
      </w:pPr>
      <w:rPr>
        <w:rFonts w:ascii="Arial" w:hAnsi="Arial" w:hint="default"/>
      </w:rPr>
    </w:lvl>
    <w:lvl w:ilvl="8" w:tplc="F0B28B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1142F5"/>
    <w:multiLevelType w:val="hybridMultilevel"/>
    <w:tmpl w:val="DA6607B8"/>
    <w:lvl w:ilvl="0" w:tplc="6E6E10B2">
      <w:start w:val="1"/>
      <w:numFmt w:val="bullet"/>
      <w:lvlText w:val="•"/>
      <w:lvlJc w:val="left"/>
      <w:pPr>
        <w:tabs>
          <w:tab w:val="num" w:pos="720"/>
        </w:tabs>
        <w:ind w:left="720" w:hanging="360"/>
      </w:pPr>
      <w:rPr>
        <w:rFonts w:ascii="Arial" w:hAnsi="Arial" w:hint="default"/>
      </w:rPr>
    </w:lvl>
    <w:lvl w:ilvl="1" w:tplc="E3781318">
      <w:start w:val="1"/>
      <w:numFmt w:val="bullet"/>
      <w:lvlText w:val="•"/>
      <w:lvlJc w:val="left"/>
      <w:pPr>
        <w:tabs>
          <w:tab w:val="num" w:pos="1440"/>
        </w:tabs>
        <w:ind w:left="1440" w:hanging="360"/>
      </w:pPr>
      <w:rPr>
        <w:rFonts w:ascii="Arial" w:hAnsi="Arial" w:hint="default"/>
      </w:rPr>
    </w:lvl>
    <w:lvl w:ilvl="2" w:tplc="E4F63BA2" w:tentative="1">
      <w:start w:val="1"/>
      <w:numFmt w:val="bullet"/>
      <w:lvlText w:val="•"/>
      <w:lvlJc w:val="left"/>
      <w:pPr>
        <w:tabs>
          <w:tab w:val="num" w:pos="2160"/>
        </w:tabs>
        <w:ind w:left="2160" w:hanging="360"/>
      </w:pPr>
      <w:rPr>
        <w:rFonts w:ascii="Arial" w:hAnsi="Arial" w:hint="default"/>
      </w:rPr>
    </w:lvl>
    <w:lvl w:ilvl="3" w:tplc="3D9006FA" w:tentative="1">
      <w:start w:val="1"/>
      <w:numFmt w:val="bullet"/>
      <w:lvlText w:val="•"/>
      <w:lvlJc w:val="left"/>
      <w:pPr>
        <w:tabs>
          <w:tab w:val="num" w:pos="2880"/>
        </w:tabs>
        <w:ind w:left="2880" w:hanging="360"/>
      </w:pPr>
      <w:rPr>
        <w:rFonts w:ascii="Arial" w:hAnsi="Arial" w:hint="default"/>
      </w:rPr>
    </w:lvl>
    <w:lvl w:ilvl="4" w:tplc="21F03D50" w:tentative="1">
      <w:start w:val="1"/>
      <w:numFmt w:val="bullet"/>
      <w:lvlText w:val="•"/>
      <w:lvlJc w:val="left"/>
      <w:pPr>
        <w:tabs>
          <w:tab w:val="num" w:pos="3600"/>
        </w:tabs>
        <w:ind w:left="3600" w:hanging="360"/>
      </w:pPr>
      <w:rPr>
        <w:rFonts w:ascii="Arial" w:hAnsi="Arial" w:hint="default"/>
      </w:rPr>
    </w:lvl>
    <w:lvl w:ilvl="5" w:tplc="B36CA40E" w:tentative="1">
      <w:start w:val="1"/>
      <w:numFmt w:val="bullet"/>
      <w:lvlText w:val="•"/>
      <w:lvlJc w:val="left"/>
      <w:pPr>
        <w:tabs>
          <w:tab w:val="num" w:pos="4320"/>
        </w:tabs>
        <w:ind w:left="4320" w:hanging="360"/>
      </w:pPr>
      <w:rPr>
        <w:rFonts w:ascii="Arial" w:hAnsi="Arial" w:hint="default"/>
      </w:rPr>
    </w:lvl>
    <w:lvl w:ilvl="6" w:tplc="1A404EBC" w:tentative="1">
      <w:start w:val="1"/>
      <w:numFmt w:val="bullet"/>
      <w:lvlText w:val="•"/>
      <w:lvlJc w:val="left"/>
      <w:pPr>
        <w:tabs>
          <w:tab w:val="num" w:pos="5040"/>
        </w:tabs>
        <w:ind w:left="5040" w:hanging="360"/>
      </w:pPr>
      <w:rPr>
        <w:rFonts w:ascii="Arial" w:hAnsi="Arial" w:hint="default"/>
      </w:rPr>
    </w:lvl>
    <w:lvl w:ilvl="7" w:tplc="1498623C" w:tentative="1">
      <w:start w:val="1"/>
      <w:numFmt w:val="bullet"/>
      <w:lvlText w:val="•"/>
      <w:lvlJc w:val="left"/>
      <w:pPr>
        <w:tabs>
          <w:tab w:val="num" w:pos="5760"/>
        </w:tabs>
        <w:ind w:left="5760" w:hanging="360"/>
      </w:pPr>
      <w:rPr>
        <w:rFonts w:ascii="Arial" w:hAnsi="Arial" w:hint="default"/>
      </w:rPr>
    </w:lvl>
    <w:lvl w:ilvl="8" w:tplc="1312FA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B73C8C"/>
    <w:multiLevelType w:val="hybridMultilevel"/>
    <w:tmpl w:val="17CAE8C2"/>
    <w:lvl w:ilvl="0" w:tplc="ECF28718">
      <w:start w:val="1"/>
      <w:numFmt w:val="bullet"/>
      <w:lvlText w:val="•"/>
      <w:lvlJc w:val="left"/>
      <w:pPr>
        <w:tabs>
          <w:tab w:val="num" w:pos="720"/>
        </w:tabs>
        <w:ind w:left="720" w:hanging="360"/>
      </w:pPr>
      <w:rPr>
        <w:rFonts w:ascii="Arial" w:hAnsi="Arial" w:hint="default"/>
      </w:rPr>
    </w:lvl>
    <w:lvl w:ilvl="1" w:tplc="2DF20060">
      <w:start w:val="1"/>
      <w:numFmt w:val="bullet"/>
      <w:lvlText w:val="•"/>
      <w:lvlJc w:val="left"/>
      <w:pPr>
        <w:tabs>
          <w:tab w:val="num" w:pos="1440"/>
        </w:tabs>
        <w:ind w:left="1440" w:hanging="360"/>
      </w:pPr>
      <w:rPr>
        <w:rFonts w:ascii="Arial" w:hAnsi="Arial" w:hint="default"/>
      </w:rPr>
    </w:lvl>
    <w:lvl w:ilvl="2" w:tplc="D840B37C" w:tentative="1">
      <w:start w:val="1"/>
      <w:numFmt w:val="bullet"/>
      <w:lvlText w:val="•"/>
      <w:lvlJc w:val="left"/>
      <w:pPr>
        <w:tabs>
          <w:tab w:val="num" w:pos="2160"/>
        </w:tabs>
        <w:ind w:left="2160" w:hanging="360"/>
      </w:pPr>
      <w:rPr>
        <w:rFonts w:ascii="Arial" w:hAnsi="Arial" w:hint="default"/>
      </w:rPr>
    </w:lvl>
    <w:lvl w:ilvl="3" w:tplc="0F76A930" w:tentative="1">
      <w:start w:val="1"/>
      <w:numFmt w:val="bullet"/>
      <w:lvlText w:val="•"/>
      <w:lvlJc w:val="left"/>
      <w:pPr>
        <w:tabs>
          <w:tab w:val="num" w:pos="2880"/>
        </w:tabs>
        <w:ind w:left="2880" w:hanging="360"/>
      </w:pPr>
      <w:rPr>
        <w:rFonts w:ascii="Arial" w:hAnsi="Arial" w:hint="default"/>
      </w:rPr>
    </w:lvl>
    <w:lvl w:ilvl="4" w:tplc="39D2900C" w:tentative="1">
      <w:start w:val="1"/>
      <w:numFmt w:val="bullet"/>
      <w:lvlText w:val="•"/>
      <w:lvlJc w:val="left"/>
      <w:pPr>
        <w:tabs>
          <w:tab w:val="num" w:pos="3600"/>
        </w:tabs>
        <w:ind w:left="3600" w:hanging="360"/>
      </w:pPr>
      <w:rPr>
        <w:rFonts w:ascii="Arial" w:hAnsi="Arial" w:hint="default"/>
      </w:rPr>
    </w:lvl>
    <w:lvl w:ilvl="5" w:tplc="BCC43268" w:tentative="1">
      <w:start w:val="1"/>
      <w:numFmt w:val="bullet"/>
      <w:lvlText w:val="•"/>
      <w:lvlJc w:val="left"/>
      <w:pPr>
        <w:tabs>
          <w:tab w:val="num" w:pos="4320"/>
        </w:tabs>
        <w:ind w:left="4320" w:hanging="360"/>
      </w:pPr>
      <w:rPr>
        <w:rFonts w:ascii="Arial" w:hAnsi="Arial" w:hint="default"/>
      </w:rPr>
    </w:lvl>
    <w:lvl w:ilvl="6" w:tplc="3C783E56" w:tentative="1">
      <w:start w:val="1"/>
      <w:numFmt w:val="bullet"/>
      <w:lvlText w:val="•"/>
      <w:lvlJc w:val="left"/>
      <w:pPr>
        <w:tabs>
          <w:tab w:val="num" w:pos="5040"/>
        </w:tabs>
        <w:ind w:left="5040" w:hanging="360"/>
      </w:pPr>
      <w:rPr>
        <w:rFonts w:ascii="Arial" w:hAnsi="Arial" w:hint="default"/>
      </w:rPr>
    </w:lvl>
    <w:lvl w:ilvl="7" w:tplc="B5AAD874" w:tentative="1">
      <w:start w:val="1"/>
      <w:numFmt w:val="bullet"/>
      <w:lvlText w:val="•"/>
      <w:lvlJc w:val="left"/>
      <w:pPr>
        <w:tabs>
          <w:tab w:val="num" w:pos="5760"/>
        </w:tabs>
        <w:ind w:left="5760" w:hanging="360"/>
      </w:pPr>
      <w:rPr>
        <w:rFonts w:ascii="Arial" w:hAnsi="Arial" w:hint="default"/>
      </w:rPr>
    </w:lvl>
    <w:lvl w:ilvl="8" w:tplc="78DC34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C7978CD"/>
    <w:multiLevelType w:val="multilevel"/>
    <w:tmpl w:val="26AA92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CD0111"/>
    <w:multiLevelType w:val="hybridMultilevel"/>
    <w:tmpl w:val="11C65AE4"/>
    <w:lvl w:ilvl="0" w:tplc="76309CA2">
      <w:start w:val="1"/>
      <w:numFmt w:val="bullet"/>
      <w:lvlText w:val="•"/>
      <w:lvlJc w:val="left"/>
      <w:pPr>
        <w:tabs>
          <w:tab w:val="num" w:pos="720"/>
        </w:tabs>
        <w:ind w:left="720" w:hanging="360"/>
      </w:pPr>
      <w:rPr>
        <w:rFonts w:ascii="Arial" w:hAnsi="Arial" w:hint="default"/>
      </w:rPr>
    </w:lvl>
    <w:lvl w:ilvl="1" w:tplc="97DAEEE6">
      <w:numFmt w:val="bullet"/>
      <w:lvlText w:val="•"/>
      <w:lvlJc w:val="left"/>
      <w:pPr>
        <w:tabs>
          <w:tab w:val="num" w:pos="1440"/>
        </w:tabs>
        <w:ind w:left="1440" w:hanging="360"/>
      </w:pPr>
      <w:rPr>
        <w:rFonts w:ascii="Arial" w:hAnsi="Arial" w:hint="default"/>
      </w:rPr>
    </w:lvl>
    <w:lvl w:ilvl="2" w:tplc="8AE890DE">
      <w:start w:val="1"/>
      <w:numFmt w:val="bullet"/>
      <w:lvlText w:val="•"/>
      <w:lvlJc w:val="left"/>
      <w:pPr>
        <w:tabs>
          <w:tab w:val="num" w:pos="2160"/>
        </w:tabs>
        <w:ind w:left="2160" w:hanging="360"/>
      </w:pPr>
      <w:rPr>
        <w:rFonts w:ascii="Arial" w:hAnsi="Arial" w:hint="default"/>
      </w:rPr>
    </w:lvl>
    <w:lvl w:ilvl="3" w:tplc="3362A004" w:tentative="1">
      <w:start w:val="1"/>
      <w:numFmt w:val="bullet"/>
      <w:lvlText w:val="•"/>
      <w:lvlJc w:val="left"/>
      <w:pPr>
        <w:tabs>
          <w:tab w:val="num" w:pos="2880"/>
        </w:tabs>
        <w:ind w:left="2880" w:hanging="360"/>
      </w:pPr>
      <w:rPr>
        <w:rFonts w:ascii="Arial" w:hAnsi="Arial" w:hint="default"/>
      </w:rPr>
    </w:lvl>
    <w:lvl w:ilvl="4" w:tplc="2F180F90">
      <w:numFmt w:val="bullet"/>
      <w:lvlText w:val="•"/>
      <w:lvlJc w:val="left"/>
      <w:pPr>
        <w:tabs>
          <w:tab w:val="num" w:pos="3600"/>
        </w:tabs>
        <w:ind w:left="3600" w:hanging="360"/>
      </w:pPr>
      <w:rPr>
        <w:rFonts w:ascii="Arial" w:hAnsi="Arial" w:hint="default"/>
      </w:rPr>
    </w:lvl>
    <w:lvl w:ilvl="5" w:tplc="5F16372C" w:tentative="1">
      <w:start w:val="1"/>
      <w:numFmt w:val="bullet"/>
      <w:lvlText w:val="•"/>
      <w:lvlJc w:val="left"/>
      <w:pPr>
        <w:tabs>
          <w:tab w:val="num" w:pos="4320"/>
        </w:tabs>
        <w:ind w:left="4320" w:hanging="360"/>
      </w:pPr>
      <w:rPr>
        <w:rFonts w:ascii="Arial" w:hAnsi="Arial" w:hint="default"/>
      </w:rPr>
    </w:lvl>
    <w:lvl w:ilvl="6" w:tplc="F4EC977A">
      <w:numFmt w:val="bullet"/>
      <w:lvlText w:val="•"/>
      <w:lvlJc w:val="left"/>
      <w:pPr>
        <w:tabs>
          <w:tab w:val="num" w:pos="5040"/>
        </w:tabs>
        <w:ind w:left="5040" w:hanging="360"/>
      </w:pPr>
      <w:rPr>
        <w:rFonts w:ascii="Arial" w:hAnsi="Arial" w:hint="default"/>
      </w:rPr>
    </w:lvl>
    <w:lvl w:ilvl="7" w:tplc="95008810" w:tentative="1">
      <w:start w:val="1"/>
      <w:numFmt w:val="bullet"/>
      <w:lvlText w:val="•"/>
      <w:lvlJc w:val="left"/>
      <w:pPr>
        <w:tabs>
          <w:tab w:val="num" w:pos="5760"/>
        </w:tabs>
        <w:ind w:left="5760" w:hanging="360"/>
      </w:pPr>
      <w:rPr>
        <w:rFonts w:ascii="Arial" w:hAnsi="Arial" w:hint="default"/>
      </w:rPr>
    </w:lvl>
    <w:lvl w:ilvl="8" w:tplc="2FBA70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5C6E36"/>
    <w:multiLevelType w:val="hybridMultilevel"/>
    <w:tmpl w:val="D1DA1078"/>
    <w:lvl w:ilvl="0" w:tplc="4E882384">
      <w:start w:val="1"/>
      <w:numFmt w:val="bullet"/>
      <w:lvlText w:val="•"/>
      <w:lvlJc w:val="left"/>
      <w:pPr>
        <w:tabs>
          <w:tab w:val="num" w:pos="720"/>
        </w:tabs>
        <w:ind w:left="720" w:hanging="360"/>
      </w:pPr>
      <w:rPr>
        <w:rFonts w:ascii="Arial" w:hAnsi="Arial" w:hint="default"/>
      </w:rPr>
    </w:lvl>
    <w:lvl w:ilvl="1" w:tplc="F6F22A7A" w:tentative="1">
      <w:start w:val="1"/>
      <w:numFmt w:val="bullet"/>
      <w:lvlText w:val="•"/>
      <w:lvlJc w:val="left"/>
      <w:pPr>
        <w:tabs>
          <w:tab w:val="num" w:pos="1440"/>
        </w:tabs>
        <w:ind w:left="1440" w:hanging="360"/>
      </w:pPr>
      <w:rPr>
        <w:rFonts w:ascii="Arial" w:hAnsi="Arial" w:hint="default"/>
      </w:rPr>
    </w:lvl>
    <w:lvl w:ilvl="2" w:tplc="13EA494C" w:tentative="1">
      <w:start w:val="1"/>
      <w:numFmt w:val="bullet"/>
      <w:lvlText w:val="•"/>
      <w:lvlJc w:val="left"/>
      <w:pPr>
        <w:tabs>
          <w:tab w:val="num" w:pos="2160"/>
        </w:tabs>
        <w:ind w:left="2160" w:hanging="360"/>
      </w:pPr>
      <w:rPr>
        <w:rFonts w:ascii="Arial" w:hAnsi="Arial" w:hint="default"/>
      </w:rPr>
    </w:lvl>
    <w:lvl w:ilvl="3" w:tplc="34E8F376" w:tentative="1">
      <w:start w:val="1"/>
      <w:numFmt w:val="bullet"/>
      <w:lvlText w:val="•"/>
      <w:lvlJc w:val="left"/>
      <w:pPr>
        <w:tabs>
          <w:tab w:val="num" w:pos="2880"/>
        </w:tabs>
        <w:ind w:left="2880" w:hanging="360"/>
      </w:pPr>
      <w:rPr>
        <w:rFonts w:ascii="Arial" w:hAnsi="Arial" w:hint="default"/>
      </w:rPr>
    </w:lvl>
    <w:lvl w:ilvl="4" w:tplc="9274EAE2" w:tentative="1">
      <w:start w:val="1"/>
      <w:numFmt w:val="bullet"/>
      <w:lvlText w:val="•"/>
      <w:lvlJc w:val="left"/>
      <w:pPr>
        <w:tabs>
          <w:tab w:val="num" w:pos="3600"/>
        </w:tabs>
        <w:ind w:left="3600" w:hanging="360"/>
      </w:pPr>
      <w:rPr>
        <w:rFonts w:ascii="Arial" w:hAnsi="Arial" w:hint="default"/>
      </w:rPr>
    </w:lvl>
    <w:lvl w:ilvl="5" w:tplc="A5D8D832" w:tentative="1">
      <w:start w:val="1"/>
      <w:numFmt w:val="bullet"/>
      <w:lvlText w:val="•"/>
      <w:lvlJc w:val="left"/>
      <w:pPr>
        <w:tabs>
          <w:tab w:val="num" w:pos="4320"/>
        </w:tabs>
        <w:ind w:left="4320" w:hanging="360"/>
      </w:pPr>
      <w:rPr>
        <w:rFonts w:ascii="Arial" w:hAnsi="Arial" w:hint="default"/>
      </w:rPr>
    </w:lvl>
    <w:lvl w:ilvl="6" w:tplc="8A9CFB0E" w:tentative="1">
      <w:start w:val="1"/>
      <w:numFmt w:val="bullet"/>
      <w:lvlText w:val="•"/>
      <w:lvlJc w:val="left"/>
      <w:pPr>
        <w:tabs>
          <w:tab w:val="num" w:pos="5040"/>
        </w:tabs>
        <w:ind w:left="5040" w:hanging="360"/>
      </w:pPr>
      <w:rPr>
        <w:rFonts w:ascii="Arial" w:hAnsi="Arial" w:hint="default"/>
      </w:rPr>
    </w:lvl>
    <w:lvl w:ilvl="7" w:tplc="D4B6E5A4" w:tentative="1">
      <w:start w:val="1"/>
      <w:numFmt w:val="bullet"/>
      <w:lvlText w:val="•"/>
      <w:lvlJc w:val="left"/>
      <w:pPr>
        <w:tabs>
          <w:tab w:val="num" w:pos="5760"/>
        </w:tabs>
        <w:ind w:left="5760" w:hanging="360"/>
      </w:pPr>
      <w:rPr>
        <w:rFonts w:ascii="Arial" w:hAnsi="Arial" w:hint="default"/>
      </w:rPr>
    </w:lvl>
    <w:lvl w:ilvl="8" w:tplc="7242AE6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5"/>
  </w:num>
  <w:num w:numId="4">
    <w:abstractNumId w:val="20"/>
  </w:num>
  <w:num w:numId="5">
    <w:abstractNumId w:val="16"/>
  </w:num>
  <w:num w:numId="6">
    <w:abstractNumId w:val="22"/>
  </w:num>
  <w:num w:numId="7">
    <w:abstractNumId w:val="19"/>
  </w:num>
  <w:num w:numId="8">
    <w:abstractNumId w:val="2"/>
  </w:num>
  <w:num w:numId="9">
    <w:abstractNumId w:val="6"/>
  </w:num>
  <w:num w:numId="10">
    <w:abstractNumId w:val="18"/>
  </w:num>
  <w:num w:numId="11">
    <w:abstractNumId w:val="10"/>
  </w:num>
  <w:num w:numId="12">
    <w:abstractNumId w:val="13"/>
  </w:num>
  <w:num w:numId="13">
    <w:abstractNumId w:val="4"/>
  </w:num>
  <w:num w:numId="14">
    <w:abstractNumId w:val="14"/>
  </w:num>
  <w:num w:numId="15">
    <w:abstractNumId w:val="17"/>
  </w:num>
  <w:num w:numId="16">
    <w:abstractNumId w:val="9"/>
  </w:num>
  <w:num w:numId="17">
    <w:abstractNumId w:val="21"/>
  </w:num>
  <w:num w:numId="18">
    <w:abstractNumId w:val="0"/>
  </w:num>
  <w:num w:numId="19">
    <w:abstractNumId w:val="11"/>
  </w:num>
  <w:num w:numId="20">
    <w:abstractNumId w:val="1"/>
  </w:num>
  <w:num w:numId="21">
    <w:abstractNumId w:val="12"/>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C7"/>
    <w:rsid w:val="0000034A"/>
    <w:rsid w:val="00006AA0"/>
    <w:rsid w:val="0002529B"/>
    <w:rsid w:val="000322A9"/>
    <w:rsid w:val="00033402"/>
    <w:rsid w:val="00043478"/>
    <w:rsid w:val="0004377C"/>
    <w:rsid w:val="0004499A"/>
    <w:rsid w:val="00044EB3"/>
    <w:rsid w:val="00045083"/>
    <w:rsid w:val="00050DE8"/>
    <w:rsid w:val="00052928"/>
    <w:rsid w:val="00052E6D"/>
    <w:rsid w:val="000569D4"/>
    <w:rsid w:val="000576C6"/>
    <w:rsid w:val="00070A7E"/>
    <w:rsid w:val="00075D52"/>
    <w:rsid w:val="00085C70"/>
    <w:rsid w:val="0008645A"/>
    <w:rsid w:val="00086A13"/>
    <w:rsid w:val="000A323F"/>
    <w:rsid w:val="000A7D12"/>
    <w:rsid w:val="000B3229"/>
    <w:rsid w:val="000B4934"/>
    <w:rsid w:val="000C08FF"/>
    <w:rsid w:val="000C2333"/>
    <w:rsid w:val="000C5124"/>
    <w:rsid w:val="000C6DDB"/>
    <w:rsid w:val="000E13DC"/>
    <w:rsid w:val="000E29FE"/>
    <w:rsid w:val="000E3CDB"/>
    <w:rsid w:val="000E4D33"/>
    <w:rsid w:val="000E513A"/>
    <w:rsid w:val="000E611B"/>
    <w:rsid w:val="000F0692"/>
    <w:rsid w:val="000F4E73"/>
    <w:rsid w:val="00100541"/>
    <w:rsid w:val="00105FA4"/>
    <w:rsid w:val="001115D8"/>
    <w:rsid w:val="00113249"/>
    <w:rsid w:val="00113CD6"/>
    <w:rsid w:val="00114A8C"/>
    <w:rsid w:val="00114AA6"/>
    <w:rsid w:val="00116E7D"/>
    <w:rsid w:val="0011743E"/>
    <w:rsid w:val="00125430"/>
    <w:rsid w:val="001262D0"/>
    <w:rsid w:val="00126DAD"/>
    <w:rsid w:val="001364DF"/>
    <w:rsid w:val="00145F02"/>
    <w:rsid w:val="0015031D"/>
    <w:rsid w:val="00150FF6"/>
    <w:rsid w:val="00151992"/>
    <w:rsid w:val="001543A4"/>
    <w:rsid w:val="00154733"/>
    <w:rsid w:val="00160808"/>
    <w:rsid w:val="00176D7F"/>
    <w:rsid w:val="00181C33"/>
    <w:rsid w:val="00182EE0"/>
    <w:rsid w:val="0018512A"/>
    <w:rsid w:val="00190F03"/>
    <w:rsid w:val="0019237E"/>
    <w:rsid w:val="001A5AD1"/>
    <w:rsid w:val="001B7ECE"/>
    <w:rsid w:val="001C3F58"/>
    <w:rsid w:val="001C5130"/>
    <w:rsid w:val="001D5B65"/>
    <w:rsid w:val="001D6C0D"/>
    <w:rsid w:val="001E0D7B"/>
    <w:rsid w:val="001E1C3E"/>
    <w:rsid w:val="001E2A7B"/>
    <w:rsid w:val="001E7FA6"/>
    <w:rsid w:val="001F47AD"/>
    <w:rsid w:val="001F535E"/>
    <w:rsid w:val="001F7195"/>
    <w:rsid w:val="0020013A"/>
    <w:rsid w:val="00201090"/>
    <w:rsid w:val="00216F26"/>
    <w:rsid w:val="00224EF6"/>
    <w:rsid w:val="00227128"/>
    <w:rsid w:val="0023405A"/>
    <w:rsid w:val="0023715F"/>
    <w:rsid w:val="00237F0F"/>
    <w:rsid w:val="00243D07"/>
    <w:rsid w:val="00251928"/>
    <w:rsid w:val="00252A99"/>
    <w:rsid w:val="00253E72"/>
    <w:rsid w:val="002541F7"/>
    <w:rsid w:val="0025520B"/>
    <w:rsid w:val="0026376B"/>
    <w:rsid w:val="002650E5"/>
    <w:rsid w:val="00266A4A"/>
    <w:rsid w:val="002810E8"/>
    <w:rsid w:val="00281DE4"/>
    <w:rsid w:val="00282743"/>
    <w:rsid w:val="00282A01"/>
    <w:rsid w:val="002840BF"/>
    <w:rsid w:val="00292E4F"/>
    <w:rsid w:val="00293D99"/>
    <w:rsid w:val="00295C41"/>
    <w:rsid w:val="00296758"/>
    <w:rsid w:val="002A6867"/>
    <w:rsid w:val="002A68B2"/>
    <w:rsid w:val="002B1990"/>
    <w:rsid w:val="002C5A88"/>
    <w:rsid w:val="002C61FB"/>
    <w:rsid w:val="002D04F9"/>
    <w:rsid w:val="002D2647"/>
    <w:rsid w:val="002D6039"/>
    <w:rsid w:val="002D62EC"/>
    <w:rsid w:val="002D70A2"/>
    <w:rsid w:val="002E1805"/>
    <w:rsid w:val="002E25CF"/>
    <w:rsid w:val="002E2CDA"/>
    <w:rsid w:val="002E2E90"/>
    <w:rsid w:val="002E7159"/>
    <w:rsid w:val="002F396E"/>
    <w:rsid w:val="002F60A6"/>
    <w:rsid w:val="003017A2"/>
    <w:rsid w:val="00302132"/>
    <w:rsid w:val="00304488"/>
    <w:rsid w:val="00306A7D"/>
    <w:rsid w:val="00307276"/>
    <w:rsid w:val="003167F1"/>
    <w:rsid w:val="003173C2"/>
    <w:rsid w:val="00334D37"/>
    <w:rsid w:val="00335215"/>
    <w:rsid w:val="00335630"/>
    <w:rsid w:val="00341ABF"/>
    <w:rsid w:val="00357B08"/>
    <w:rsid w:val="00357C22"/>
    <w:rsid w:val="003776AF"/>
    <w:rsid w:val="00377772"/>
    <w:rsid w:val="00377D39"/>
    <w:rsid w:val="003816A5"/>
    <w:rsid w:val="00382529"/>
    <w:rsid w:val="0038686F"/>
    <w:rsid w:val="00391CDA"/>
    <w:rsid w:val="003A1A87"/>
    <w:rsid w:val="003A7088"/>
    <w:rsid w:val="003B12B5"/>
    <w:rsid w:val="003B267B"/>
    <w:rsid w:val="003B6E74"/>
    <w:rsid w:val="003B7EBD"/>
    <w:rsid w:val="003C00FA"/>
    <w:rsid w:val="003C20F0"/>
    <w:rsid w:val="003C3638"/>
    <w:rsid w:val="003D567A"/>
    <w:rsid w:val="003D6A0E"/>
    <w:rsid w:val="003E1327"/>
    <w:rsid w:val="003E175F"/>
    <w:rsid w:val="003E4B40"/>
    <w:rsid w:val="003E6982"/>
    <w:rsid w:val="003E6F04"/>
    <w:rsid w:val="003F172B"/>
    <w:rsid w:val="003F437A"/>
    <w:rsid w:val="00401929"/>
    <w:rsid w:val="004032FB"/>
    <w:rsid w:val="00403370"/>
    <w:rsid w:val="0041249D"/>
    <w:rsid w:val="00413EBC"/>
    <w:rsid w:val="00424F62"/>
    <w:rsid w:val="00426384"/>
    <w:rsid w:val="00430FB1"/>
    <w:rsid w:val="004328E2"/>
    <w:rsid w:val="004335DE"/>
    <w:rsid w:val="00434980"/>
    <w:rsid w:val="00441259"/>
    <w:rsid w:val="00442ADF"/>
    <w:rsid w:val="00444621"/>
    <w:rsid w:val="004452A3"/>
    <w:rsid w:val="0045057C"/>
    <w:rsid w:val="004512C8"/>
    <w:rsid w:val="004542DB"/>
    <w:rsid w:val="00455D2F"/>
    <w:rsid w:val="00460ED7"/>
    <w:rsid w:val="00472A84"/>
    <w:rsid w:val="00477772"/>
    <w:rsid w:val="0048046A"/>
    <w:rsid w:val="004857FB"/>
    <w:rsid w:val="004874B9"/>
    <w:rsid w:val="004942FC"/>
    <w:rsid w:val="004A4733"/>
    <w:rsid w:val="004B3686"/>
    <w:rsid w:val="004B5CEF"/>
    <w:rsid w:val="004C041F"/>
    <w:rsid w:val="004C0629"/>
    <w:rsid w:val="004C56CC"/>
    <w:rsid w:val="004D16F6"/>
    <w:rsid w:val="004D704F"/>
    <w:rsid w:val="004E5AF8"/>
    <w:rsid w:val="004E7D64"/>
    <w:rsid w:val="004F1284"/>
    <w:rsid w:val="004F3DEF"/>
    <w:rsid w:val="005035CB"/>
    <w:rsid w:val="0050589F"/>
    <w:rsid w:val="00512BE2"/>
    <w:rsid w:val="00514B1E"/>
    <w:rsid w:val="005152B3"/>
    <w:rsid w:val="0053668E"/>
    <w:rsid w:val="00537DFA"/>
    <w:rsid w:val="00537E33"/>
    <w:rsid w:val="00543324"/>
    <w:rsid w:val="00547921"/>
    <w:rsid w:val="0056333C"/>
    <w:rsid w:val="00567943"/>
    <w:rsid w:val="00572591"/>
    <w:rsid w:val="0057329F"/>
    <w:rsid w:val="00584212"/>
    <w:rsid w:val="00586A86"/>
    <w:rsid w:val="00592ACF"/>
    <w:rsid w:val="00595B76"/>
    <w:rsid w:val="005B27B1"/>
    <w:rsid w:val="005B7220"/>
    <w:rsid w:val="005B7B41"/>
    <w:rsid w:val="005C0233"/>
    <w:rsid w:val="005C0744"/>
    <w:rsid w:val="005C0A73"/>
    <w:rsid w:val="005C1B52"/>
    <w:rsid w:val="005C2A0F"/>
    <w:rsid w:val="005D34AE"/>
    <w:rsid w:val="005D4AB0"/>
    <w:rsid w:val="005E6991"/>
    <w:rsid w:val="005F0BF0"/>
    <w:rsid w:val="005F2B06"/>
    <w:rsid w:val="005F2B5E"/>
    <w:rsid w:val="005F3B49"/>
    <w:rsid w:val="00600401"/>
    <w:rsid w:val="00607ECC"/>
    <w:rsid w:val="00612B15"/>
    <w:rsid w:val="0061744B"/>
    <w:rsid w:val="00620303"/>
    <w:rsid w:val="00624938"/>
    <w:rsid w:val="00626B92"/>
    <w:rsid w:val="00627544"/>
    <w:rsid w:val="00631E8E"/>
    <w:rsid w:val="00636FC3"/>
    <w:rsid w:val="00646488"/>
    <w:rsid w:val="00651CDB"/>
    <w:rsid w:val="006627ED"/>
    <w:rsid w:val="00672510"/>
    <w:rsid w:val="006831AA"/>
    <w:rsid w:val="006957E3"/>
    <w:rsid w:val="00697D26"/>
    <w:rsid w:val="006A6C49"/>
    <w:rsid w:val="006A7524"/>
    <w:rsid w:val="006A763B"/>
    <w:rsid w:val="006A7C9A"/>
    <w:rsid w:val="006B1F58"/>
    <w:rsid w:val="006B269E"/>
    <w:rsid w:val="006B3CC7"/>
    <w:rsid w:val="006D055F"/>
    <w:rsid w:val="006D27F0"/>
    <w:rsid w:val="006D5D2A"/>
    <w:rsid w:val="006E09BB"/>
    <w:rsid w:val="006E6E3D"/>
    <w:rsid w:val="006F2065"/>
    <w:rsid w:val="006F263B"/>
    <w:rsid w:val="006F5C4C"/>
    <w:rsid w:val="006F7944"/>
    <w:rsid w:val="007056F7"/>
    <w:rsid w:val="00706987"/>
    <w:rsid w:val="0070706F"/>
    <w:rsid w:val="00711081"/>
    <w:rsid w:val="00717F65"/>
    <w:rsid w:val="007208C8"/>
    <w:rsid w:val="00725360"/>
    <w:rsid w:val="00731D23"/>
    <w:rsid w:val="00733EF6"/>
    <w:rsid w:val="00734AFD"/>
    <w:rsid w:val="007366CE"/>
    <w:rsid w:val="00742D78"/>
    <w:rsid w:val="0074302A"/>
    <w:rsid w:val="00743854"/>
    <w:rsid w:val="00743AEF"/>
    <w:rsid w:val="00743B74"/>
    <w:rsid w:val="007444B1"/>
    <w:rsid w:val="00746EF6"/>
    <w:rsid w:val="00754915"/>
    <w:rsid w:val="007579A0"/>
    <w:rsid w:val="00762E70"/>
    <w:rsid w:val="00764417"/>
    <w:rsid w:val="00771FD7"/>
    <w:rsid w:val="00773B63"/>
    <w:rsid w:val="00774FD0"/>
    <w:rsid w:val="00785552"/>
    <w:rsid w:val="00786D37"/>
    <w:rsid w:val="0078711F"/>
    <w:rsid w:val="00791223"/>
    <w:rsid w:val="007930A9"/>
    <w:rsid w:val="007A48B9"/>
    <w:rsid w:val="007A7000"/>
    <w:rsid w:val="007B5D1F"/>
    <w:rsid w:val="007C1454"/>
    <w:rsid w:val="007C5D32"/>
    <w:rsid w:val="007D686D"/>
    <w:rsid w:val="007E3659"/>
    <w:rsid w:val="007E46D1"/>
    <w:rsid w:val="007E6241"/>
    <w:rsid w:val="007E6374"/>
    <w:rsid w:val="007E7081"/>
    <w:rsid w:val="007F041D"/>
    <w:rsid w:val="007F0EF7"/>
    <w:rsid w:val="007F21E1"/>
    <w:rsid w:val="007F41E9"/>
    <w:rsid w:val="007F73EC"/>
    <w:rsid w:val="0081003A"/>
    <w:rsid w:val="00810E2A"/>
    <w:rsid w:val="00812817"/>
    <w:rsid w:val="00812C0A"/>
    <w:rsid w:val="00820A84"/>
    <w:rsid w:val="00840D97"/>
    <w:rsid w:val="00844430"/>
    <w:rsid w:val="00856189"/>
    <w:rsid w:val="00857703"/>
    <w:rsid w:val="0088105A"/>
    <w:rsid w:val="008816FF"/>
    <w:rsid w:val="00882339"/>
    <w:rsid w:val="00893AB8"/>
    <w:rsid w:val="0089652B"/>
    <w:rsid w:val="008A1138"/>
    <w:rsid w:val="008A1A70"/>
    <w:rsid w:val="008A3659"/>
    <w:rsid w:val="008B277C"/>
    <w:rsid w:val="008C0C04"/>
    <w:rsid w:val="008C2EB2"/>
    <w:rsid w:val="008C61D6"/>
    <w:rsid w:val="008C66DC"/>
    <w:rsid w:val="008D065D"/>
    <w:rsid w:val="008D1A3A"/>
    <w:rsid w:val="008D7D33"/>
    <w:rsid w:val="008D7E17"/>
    <w:rsid w:val="008E3B20"/>
    <w:rsid w:val="008F04D6"/>
    <w:rsid w:val="008F27B3"/>
    <w:rsid w:val="008F2AC3"/>
    <w:rsid w:val="008F2F5D"/>
    <w:rsid w:val="008F3376"/>
    <w:rsid w:val="008F3FC8"/>
    <w:rsid w:val="0090003E"/>
    <w:rsid w:val="009017D1"/>
    <w:rsid w:val="00912D50"/>
    <w:rsid w:val="00915817"/>
    <w:rsid w:val="0092317F"/>
    <w:rsid w:val="0093000F"/>
    <w:rsid w:val="00953BF6"/>
    <w:rsid w:val="00956A45"/>
    <w:rsid w:val="009619B7"/>
    <w:rsid w:val="0097350B"/>
    <w:rsid w:val="0097570C"/>
    <w:rsid w:val="00981ACD"/>
    <w:rsid w:val="00984A01"/>
    <w:rsid w:val="00985F89"/>
    <w:rsid w:val="009916E8"/>
    <w:rsid w:val="00993959"/>
    <w:rsid w:val="009B3318"/>
    <w:rsid w:val="009B45EF"/>
    <w:rsid w:val="009B5DFD"/>
    <w:rsid w:val="009C0D06"/>
    <w:rsid w:val="009C1FE6"/>
    <w:rsid w:val="009C281B"/>
    <w:rsid w:val="009D01BF"/>
    <w:rsid w:val="009E44F3"/>
    <w:rsid w:val="009E50EB"/>
    <w:rsid w:val="009F18BE"/>
    <w:rsid w:val="009F7B29"/>
    <w:rsid w:val="00A020CA"/>
    <w:rsid w:val="00A06360"/>
    <w:rsid w:val="00A112E4"/>
    <w:rsid w:val="00A12797"/>
    <w:rsid w:val="00A12F71"/>
    <w:rsid w:val="00A130C2"/>
    <w:rsid w:val="00A1779E"/>
    <w:rsid w:val="00A17BBF"/>
    <w:rsid w:val="00A256B1"/>
    <w:rsid w:val="00A27E18"/>
    <w:rsid w:val="00A32DB9"/>
    <w:rsid w:val="00A36B99"/>
    <w:rsid w:val="00A40069"/>
    <w:rsid w:val="00A402A3"/>
    <w:rsid w:val="00A434B3"/>
    <w:rsid w:val="00A445E4"/>
    <w:rsid w:val="00A45E68"/>
    <w:rsid w:val="00A46729"/>
    <w:rsid w:val="00A46859"/>
    <w:rsid w:val="00A52AAA"/>
    <w:rsid w:val="00A54DA7"/>
    <w:rsid w:val="00A558CC"/>
    <w:rsid w:val="00A5781E"/>
    <w:rsid w:val="00A74B91"/>
    <w:rsid w:val="00A81566"/>
    <w:rsid w:val="00A8561F"/>
    <w:rsid w:val="00A85CF9"/>
    <w:rsid w:val="00A86DFA"/>
    <w:rsid w:val="00A901BE"/>
    <w:rsid w:val="00A93D7D"/>
    <w:rsid w:val="00A966F0"/>
    <w:rsid w:val="00AA2A8A"/>
    <w:rsid w:val="00AA2EF8"/>
    <w:rsid w:val="00AA4A5E"/>
    <w:rsid w:val="00AA5764"/>
    <w:rsid w:val="00AB071D"/>
    <w:rsid w:val="00AB1075"/>
    <w:rsid w:val="00AC69C6"/>
    <w:rsid w:val="00AD365C"/>
    <w:rsid w:val="00AD6E1A"/>
    <w:rsid w:val="00AE13A1"/>
    <w:rsid w:val="00AE15F2"/>
    <w:rsid w:val="00B04255"/>
    <w:rsid w:val="00B06E66"/>
    <w:rsid w:val="00B11CCA"/>
    <w:rsid w:val="00B20593"/>
    <w:rsid w:val="00B22F94"/>
    <w:rsid w:val="00B2551D"/>
    <w:rsid w:val="00B309E0"/>
    <w:rsid w:val="00B34EB7"/>
    <w:rsid w:val="00B438DA"/>
    <w:rsid w:val="00B4447C"/>
    <w:rsid w:val="00B51C88"/>
    <w:rsid w:val="00B528E0"/>
    <w:rsid w:val="00B538F8"/>
    <w:rsid w:val="00B60EF4"/>
    <w:rsid w:val="00B652C2"/>
    <w:rsid w:val="00B67FC1"/>
    <w:rsid w:val="00B70A37"/>
    <w:rsid w:val="00B7767E"/>
    <w:rsid w:val="00B82601"/>
    <w:rsid w:val="00B82F97"/>
    <w:rsid w:val="00B91A00"/>
    <w:rsid w:val="00B9231B"/>
    <w:rsid w:val="00B94D31"/>
    <w:rsid w:val="00B9561D"/>
    <w:rsid w:val="00BA401C"/>
    <w:rsid w:val="00BA5991"/>
    <w:rsid w:val="00BA6DA5"/>
    <w:rsid w:val="00BC73CB"/>
    <w:rsid w:val="00BD33BB"/>
    <w:rsid w:val="00BD62BB"/>
    <w:rsid w:val="00BD799B"/>
    <w:rsid w:val="00BE1CF2"/>
    <w:rsid w:val="00BE4BE5"/>
    <w:rsid w:val="00BF0C74"/>
    <w:rsid w:val="00BF3007"/>
    <w:rsid w:val="00BF5394"/>
    <w:rsid w:val="00BF5BE2"/>
    <w:rsid w:val="00C01A7F"/>
    <w:rsid w:val="00C02D2C"/>
    <w:rsid w:val="00C044D8"/>
    <w:rsid w:val="00C04DF4"/>
    <w:rsid w:val="00C04E8D"/>
    <w:rsid w:val="00C068B3"/>
    <w:rsid w:val="00C068D7"/>
    <w:rsid w:val="00C0726B"/>
    <w:rsid w:val="00C1296D"/>
    <w:rsid w:val="00C12CA5"/>
    <w:rsid w:val="00C136F9"/>
    <w:rsid w:val="00C1491D"/>
    <w:rsid w:val="00C203CA"/>
    <w:rsid w:val="00C2083B"/>
    <w:rsid w:val="00C21C34"/>
    <w:rsid w:val="00C262E9"/>
    <w:rsid w:val="00C301FE"/>
    <w:rsid w:val="00C327F9"/>
    <w:rsid w:val="00C367C7"/>
    <w:rsid w:val="00C37DF4"/>
    <w:rsid w:val="00C4206B"/>
    <w:rsid w:val="00C44C71"/>
    <w:rsid w:val="00C45D79"/>
    <w:rsid w:val="00C465FF"/>
    <w:rsid w:val="00C635A4"/>
    <w:rsid w:val="00C85B6D"/>
    <w:rsid w:val="00C86347"/>
    <w:rsid w:val="00CA3391"/>
    <w:rsid w:val="00CA403B"/>
    <w:rsid w:val="00CA44FA"/>
    <w:rsid w:val="00CA77D0"/>
    <w:rsid w:val="00CC14ED"/>
    <w:rsid w:val="00CC20B6"/>
    <w:rsid w:val="00CF5B55"/>
    <w:rsid w:val="00CF74E7"/>
    <w:rsid w:val="00D00349"/>
    <w:rsid w:val="00D21B6C"/>
    <w:rsid w:val="00D21FAB"/>
    <w:rsid w:val="00D2438A"/>
    <w:rsid w:val="00D31BFC"/>
    <w:rsid w:val="00D358F2"/>
    <w:rsid w:val="00D42C07"/>
    <w:rsid w:val="00D43A46"/>
    <w:rsid w:val="00D4483F"/>
    <w:rsid w:val="00D51B5B"/>
    <w:rsid w:val="00D71ECA"/>
    <w:rsid w:val="00D81EEA"/>
    <w:rsid w:val="00D97928"/>
    <w:rsid w:val="00DA61C2"/>
    <w:rsid w:val="00DB6AF8"/>
    <w:rsid w:val="00DC220F"/>
    <w:rsid w:val="00DC3918"/>
    <w:rsid w:val="00DD4C9A"/>
    <w:rsid w:val="00DD5CAB"/>
    <w:rsid w:val="00DD5CE0"/>
    <w:rsid w:val="00DE3EE8"/>
    <w:rsid w:val="00DE424F"/>
    <w:rsid w:val="00DE575F"/>
    <w:rsid w:val="00DF0C7C"/>
    <w:rsid w:val="00DF67FB"/>
    <w:rsid w:val="00E012D3"/>
    <w:rsid w:val="00E01761"/>
    <w:rsid w:val="00E0269C"/>
    <w:rsid w:val="00E04C84"/>
    <w:rsid w:val="00E06CB8"/>
    <w:rsid w:val="00E123D1"/>
    <w:rsid w:val="00E1787C"/>
    <w:rsid w:val="00E202C3"/>
    <w:rsid w:val="00E30CEB"/>
    <w:rsid w:val="00E31D9B"/>
    <w:rsid w:val="00E33673"/>
    <w:rsid w:val="00E5315D"/>
    <w:rsid w:val="00E61C46"/>
    <w:rsid w:val="00E61CF6"/>
    <w:rsid w:val="00E62237"/>
    <w:rsid w:val="00E70483"/>
    <w:rsid w:val="00E71EEA"/>
    <w:rsid w:val="00E84DF5"/>
    <w:rsid w:val="00E85202"/>
    <w:rsid w:val="00E87E56"/>
    <w:rsid w:val="00E93421"/>
    <w:rsid w:val="00E94041"/>
    <w:rsid w:val="00E967A6"/>
    <w:rsid w:val="00EA0660"/>
    <w:rsid w:val="00EB4D99"/>
    <w:rsid w:val="00EB71A6"/>
    <w:rsid w:val="00EB7806"/>
    <w:rsid w:val="00EC29D8"/>
    <w:rsid w:val="00EC2A09"/>
    <w:rsid w:val="00EC417F"/>
    <w:rsid w:val="00EC4DFE"/>
    <w:rsid w:val="00EC7A8B"/>
    <w:rsid w:val="00EC7D8A"/>
    <w:rsid w:val="00ED4707"/>
    <w:rsid w:val="00EE4307"/>
    <w:rsid w:val="00F15FCD"/>
    <w:rsid w:val="00F22DD4"/>
    <w:rsid w:val="00F25C5A"/>
    <w:rsid w:val="00F26359"/>
    <w:rsid w:val="00F30554"/>
    <w:rsid w:val="00F319AC"/>
    <w:rsid w:val="00F33853"/>
    <w:rsid w:val="00F40A3C"/>
    <w:rsid w:val="00F42325"/>
    <w:rsid w:val="00F70E5F"/>
    <w:rsid w:val="00F7341B"/>
    <w:rsid w:val="00F75CEB"/>
    <w:rsid w:val="00F77AAD"/>
    <w:rsid w:val="00F807EE"/>
    <w:rsid w:val="00F81734"/>
    <w:rsid w:val="00F8579B"/>
    <w:rsid w:val="00F85DDF"/>
    <w:rsid w:val="00F91EC2"/>
    <w:rsid w:val="00FA6CF4"/>
    <w:rsid w:val="00FB1893"/>
    <w:rsid w:val="00FB5517"/>
    <w:rsid w:val="00FC2C08"/>
    <w:rsid w:val="00FC3A70"/>
    <w:rsid w:val="00FD45EE"/>
    <w:rsid w:val="00FD7B56"/>
    <w:rsid w:val="00FF14FE"/>
    <w:rsid w:val="00FF38C9"/>
    <w:rsid w:val="00FF43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EABD0"/>
  <w15:docId w15:val="{04C8D7D9-EA53-4BAC-A1B7-11631299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7C7"/>
    <w:pPr>
      <w:spacing w:after="200" w:line="276" w:lineRule="auto"/>
      <w:ind w:left="720"/>
    </w:pPr>
    <w:rPr>
      <w:rFonts w:ascii="Calibri" w:hAnsi="Calibri" w:cs="Calibri"/>
      <w:sz w:val="22"/>
      <w:szCs w:val="22"/>
      <w:lang w:val="en-GB"/>
    </w:rPr>
  </w:style>
  <w:style w:type="character" w:styleId="CommentReference">
    <w:name w:val="annotation reference"/>
    <w:basedOn w:val="DefaultParagraphFont"/>
    <w:uiPriority w:val="99"/>
    <w:semiHidden/>
    <w:unhideWhenUsed/>
    <w:rsid w:val="00C367C7"/>
    <w:rPr>
      <w:sz w:val="16"/>
      <w:szCs w:val="16"/>
    </w:rPr>
  </w:style>
  <w:style w:type="paragraph" w:styleId="CommentText">
    <w:name w:val="annotation text"/>
    <w:basedOn w:val="Normal"/>
    <w:link w:val="CommentTextChar"/>
    <w:uiPriority w:val="99"/>
    <w:semiHidden/>
    <w:unhideWhenUsed/>
    <w:rsid w:val="00C367C7"/>
    <w:rPr>
      <w:sz w:val="20"/>
      <w:szCs w:val="20"/>
    </w:rPr>
  </w:style>
  <w:style w:type="character" w:customStyle="1" w:styleId="CommentTextChar">
    <w:name w:val="Comment Text Char"/>
    <w:basedOn w:val="DefaultParagraphFont"/>
    <w:link w:val="CommentText"/>
    <w:uiPriority w:val="99"/>
    <w:semiHidden/>
    <w:rsid w:val="00C367C7"/>
    <w:rPr>
      <w:sz w:val="20"/>
      <w:szCs w:val="20"/>
    </w:rPr>
  </w:style>
  <w:style w:type="paragraph" w:styleId="BalloonText">
    <w:name w:val="Balloon Text"/>
    <w:basedOn w:val="Normal"/>
    <w:link w:val="BalloonTextChar"/>
    <w:uiPriority w:val="99"/>
    <w:semiHidden/>
    <w:unhideWhenUsed/>
    <w:rsid w:val="00C367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7C7"/>
    <w:rPr>
      <w:rFonts w:ascii="Lucida Grande" w:hAnsi="Lucida Grande" w:cs="Lucida Grande"/>
      <w:sz w:val="18"/>
      <w:szCs w:val="18"/>
    </w:rPr>
  </w:style>
  <w:style w:type="table" w:styleId="TableGrid">
    <w:name w:val="Table Grid"/>
    <w:basedOn w:val="TableNormal"/>
    <w:uiPriority w:val="59"/>
    <w:rsid w:val="003B6E74"/>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7E33"/>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7C5D3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A1138"/>
    <w:rPr>
      <w:b/>
      <w:bCs/>
    </w:rPr>
  </w:style>
  <w:style w:type="character" w:customStyle="1" w:styleId="CommentSubjectChar">
    <w:name w:val="Comment Subject Char"/>
    <w:basedOn w:val="CommentTextChar"/>
    <w:link w:val="CommentSubject"/>
    <w:uiPriority w:val="99"/>
    <w:semiHidden/>
    <w:rsid w:val="008A1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726">
      <w:bodyDiv w:val="1"/>
      <w:marLeft w:val="0"/>
      <w:marRight w:val="0"/>
      <w:marTop w:val="0"/>
      <w:marBottom w:val="0"/>
      <w:divBdr>
        <w:top w:val="none" w:sz="0" w:space="0" w:color="auto"/>
        <w:left w:val="none" w:sz="0" w:space="0" w:color="auto"/>
        <w:bottom w:val="none" w:sz="0" w:space="0" w:color="auto"/>
        <w:right w:val="none" w:sz="0" w:space="0" w:color="auto"/>
      </w:divBdr>
      <w:divsChild>
        <w:div w:id="1465271683">
          <w:marLeft w:val="547"/>
          <w:marRight w:val="0"/>
          <w:marTop w:val="0"/>
          <w:marBottom w:val="0"/>
          <w:divBdr>
            <w:top w:val="none" w:sz="0" w:space="0" w:color="auto"/>
            <w:left w:val="none" w:sz="0" w:space="0" w:color="auto"/>
            <w:bottom w:val="none" w:sz="0" w:space="0" w:color="auto"/>
            <w:right w:val="none" w:sz="0" w:space="0" w:color="auto"/>
          </w:divBdr>
        </w:div>
        <w:div w:id="1931042025">
          <w:marLeft w:val="547"/>
          <w:marRight w:val="0"/>
          <w:marTop w:val="0"/>
          <w:marBottom w:val="0"/>
          <w:divBdr>
            <w:top w:val="none" w:sz="0" w:space="0" w:color="auto"/>
            <w:left w:val="none" w:sz="0" w:space="0" w:color="auto"/>
            <w:bottom w:val="none" w:sz="0" w:space="0" w:color="auto"/>
            <w:right w:val="none" w:sz="0" w:space="0" w:color="auto"/>
          </w:divBdr>
        </w:div>
      </w:divsChild>
    </w:div>
    <w:div w:id="161897930">
      <w:bodyDiv w:val="1"/>
      <w:marLeft w:val="0"/>
      <w:marRight w:val="0"/>
      <w:marTop w:val="0"/>
      <w:marBottom w:val="0"/>
      <w:divBdr>
        <w:top w:val="none" w:sz="0" w:space="0" w:color="auto"/>
        <w:left w:val="none" w:sz="0" w:space="0" w:color="auto"/>
        <w:bottom w:val="none" w:sz="0" w:space="0" w:color="auto"/>
        <w:right w:val="none" w:sz="0" w:space="0" w:color="auto"/>
      </w:divBdr>
      <w:divsChild>
        <w:div w:id="511335534">
          <w:marLeft w:val="691"/>
          <w:marRight w:val="0"/>
          <w:marTop w:val="0"/>
          <w:marBottom w:val="0"/>
          <w:divBdr>
            <w:top w:val="none" w:sz="0" w:space="0" w:color="auto"/>
            <w:left w:val="none" w:sz="0" w:space="0" w:color="auto"/>
            <w:bottom w:val="none" w:sz="0" w:space="0" w:color="auto"/>
            <w:right w:val="none" w:sz="0" w:space="0" w:color="auto"/>
          </w:divBdr>
        </w:div>
        <w:div w:id="1718163304">
          <w:marLeft w:val="691"/>
          <w:marRight w:val="0"/>
          <w:marTop w:val="0"/>
          <w:marBottom w:val="0"/>
          <w:divBdr>
            <w:top w:val="none" w:sz="0" w:space="0" w:color="auto"/>
            <w:left w:val="none" w:sz="0" w:space="0" w:color="auto"/>
            <w:bottom w:val="none" w:sz="0" w:space="0" w:color="auto"/>
            <w:right w:val="none" w:sz="0" w:space="0" w:color="auto"/>
          </w:divBdr>
        </w:div>
      </w:divsChild>
    </w:div>
    <w:div w:id="474371022">
      <w:bodyDiv w:val="1"/>
      <w:marLeft w:val="0"/>
      <w:marRight w:val="0"/>
      <w:marTop w:val="0"/>
      <w:marBottom w:val="0"/>
      <w:divBdr>
        <w:top w:val="none" w:sz="0" w:space="0" w:color="auto"/>
        <w:left w:val="none" w:sz="0" w:space="0" w:color="auto"/>
        <w:bottom w:val="none" w:sz="0" w:space="0" w:color="auto"/>
        <w:right w:val="none" w:sz="0" w:space="0" w:color="auto"/>
      </w:divBdr>
      <w:divsChild>
        <w:div w:id="147600732">
          <w:marLeft w:val="576"/>
          <w:marRight w:val="0"/>
          <w:marTop w:val="0"/>
          <w:marBottom w:val="0"/>
          <w:divBdr>
            <w:top w:val="none" w:sz="0" w:space="0" w:color="auto"/>
            <w:left w:val="none" w:sz="0" w:space="0" w:color="auto"/>
            <w:bottom w:val="none" w:sz="0" w:space="0" w:color="auto"/>
            <w:right w:val="none" w:sz="0" w:space="0" w:color="auto"/>
          </w:divBdr>
        </w:div>
        <w:div w:id="253440094">
          <w:marLeft w:val="576"/>
          <w:marRight w:val="0"/>
          <w:marTop w:val="0"/>
          <w:marBottom w:val="0"/>
          <w:divBdr>
            <w:top w:val="none" w:sz="0" w:space="0" w:color="auto"/>
            <w:left w:val="none" w:sz="0" w:space="0" w:color="auto"/>
            <w:bottom w:val="none" w:sz="0" w:space="0" w:color="auto"/>
            <w:right w:val="none" w:sz="0" w:space="0" w:color="auto"/>
          </w:divBdr>
        </w:div>
        <w:div w:id="334069016">
          <w:marLeft w:val="720"/>
          <w:marRight w:val="0"/>
          <w:marTop w:val="0"/>
          <w:marBottom w:val="0"/>
          <w:divBdr>
            <w:top w:val="none" w:sz="0" w:space="0" w:color="auto"/>
            <w:left w:val="none" w:sz="0" w:space="0" w:color="auto"/>
            <w:bottom w:val="none" w:sz="0" w:space="0" w:color="auto"/>
            <w:right w:val="none" w:sz="0" w:space="0" w:color="auto"/>
          </w:divBdr>
        </w:div>
        <w:div w:id="376321377">
          <w:marLeft w:val="576"/>
          <w:marRight w:val="0"/>
          <w:marTop w:val="0"/>
          <w:marBottom w:val="0"/>
          <w:divBdr>
            <w:top w:val="none" w:sz="0" w:space="0" w:color="auto"/>
            <w:left w:val="none" w:sz="0" w:space="0" w:color="auto"/>
            <w:bottom w:val="none" w:sz="0" w:space="0" w:color="auto"/>
            <w:right w:val="none" w:sz="0" w:space="0" w:color="auto"/>
          </w:divBdr>
        </w:div>
        <w:div w:id="1805929244">
          <w:marLeft w:val="576"/>
          <w:marRight w:val="0"/>
          <w:marTop w:val="0"/>
          <w:marBottom w:val="0"/>
          <w:divBdr>
            <w:top w:val="none" w:sz="0" w:space="0" w:color="auto"/>
            <w:left w:val="none" w:sz="0" w:space="0" w:color="auto"/>
            <w:bottom w:val="none" w:sz="0" w:space="0" w:color="auto"/>
            <w:right w:val="none" w:sz="0" w:space="0" w:color="auto"/>
          </w:divBdr>
        </w:div>
        <w:div w:id="1922793377">
          <w:marLeft w:val="576"/>
          <w:marRight w:val="0"/>
          <w:marTop w:val="0"/>
          <w:marBottom w:val="0"/>
          <w:divBdr>
            <w:top w:val="none" w:sz="0" w:space="0" w:color="auto"/>
            <w:left w:val="none" w:sz="0" w:space="0" w:color="auto"/>
            <w:bottom w:val="none" w:sz="0" w:space="0" w:color="auto"/>
            <w:right w:val="none" w:sz="0" w:space="0" w:color="auto"/>
          </w:divBdr>
        </w:div>
      </w:divsChild>
    </w:div>
    <w:div w:id="539099354">
      <w:bodyDiv w:val="1"/>
      <w:marLeft w:val="0"/>
      <w:marRight w:val="0"/>
      <w:marTop w:val="0"/>
      <w:marBottom w:val="0"/>
      <w:divBdr>
        <w:top w:val="none" w:sz="0" w:space="0" w:color="auto"/>
        <w:left w:val="none" w:sz="0" w:space="0" w:color="auto"/>
        <w:bottom w:val="none" w:sz="0" w:space="0" w:color="auto"/>
        <w:right w:val="none" w:sz="0" w:space="0" w:color="auto"/>
      </w:divBdr>
      <w:divsChild>
        <w:div w:id="71129429">
          <w:marLeft w:val="432"/>
          <w:marRight w:val="0"/>
          <w:marTop w:val="0"/>
          <w:marBottom w:val="0"/>
          <w:divBdr>
            <w:top w:val="none" w:sz="0" w:space="0" w:color="auto"/>
            <w:left w:val="none" w:sz="0" w:space="0" w:color="auto"/>
            <w:bottom w:val="none" w:sz="0" w:space="0" w:color="auto"/>
            <w:right w:val="none" w:sz="0" w:space="0" w:color="auto"/>
          </w:divBdr>
        </w:div>
        <w:div w:id="554698720">
          <w:marLeft w:val="418"/>
          <w:marRight w:val="0"/>
          <w:marTop w:val="0"/>
          <w:marBottom w:val="0"/>
          <w:divBdr>
            <w:top w:val="none" w:sz="0" w:space="0" w:color="auto"/>
            <w:left w:val="none" w:sz="0" w:space="0" w:color="auto"/>
            <w:bottom w:val="none" w:sz="0" w:space="0" w:color="auto"/>
            <w:right w:val="none" w:sz="0" w:space="0" w:color="auto"/>
          </w:divBdr>
        </w:div>
        <w:div w:id="653143926">
          <w:marLeft w:val="446"/>
          <w:marRight w:val="0"/>
          <w:marTop w:val="0"/>
          <w:marBottom w:val="0"/>
          <w:divBdr>
            <w:top w:val="none" w:sz="0" w:space="0" w:color="auto"/>
            <w:left w:val="none" w:sz="0" w:space="0" w:color="auto"/>
            <w:bottom w:val="none" w:sz="0" w:space="0" w:color="auto"/>
            <w:right w:val="none" w:sz="0" w:space="0" w:color="auto"/>
          </w:divBdr>
        </w:div>
      </w:divsChild>
    </w:div>
    <w:div w:id="793713143">
      <w:bodyDiv w:val="1"/>
      <w:marLeft w:val="0"/>
      <w:marRight w:val="0"/>
      <w:marTop w:val="0"/>
      <w:marBottom w:val="0"/>
      <w:divBdr>
        <w:top w:val="none" w:sz="0" w:space="0" w:color="auto"/>
        <w:left w:val="none" w:sz="0" w:space="0" w:color="auto"/>
        <w:bottom w:val="none" w:sz="0" w:space="0" w:color="auto"/>
        <w:right w:val="none" w:sz="0" w:space="0" w:color="auto"/>
      </w:divBdr>
    </w:div>
    <w:div w:id="1054736843">
      <w:bodyDiv w:val="1"/>
      <w:marLeft w:val="0"/>
      <w:marRight w:val="0"/>
      <w:marTop w:val="0"/>
      <w:marBottom w:val="0"/>
      <w:divBdr>
        <w:top w:val="none" w:sz="0" w:space="0" w:color="auto"/>
        <w:left w:val="none" w:sz="0" w:space="0" w:color="auto"/>
        <w:bottom w:val="none" w:sz="0" w:space="0" w:color="auto"/>
        <w:right w:val="none" w:sz="0" w:space="0" w:color="auto"/>
      </w:divBdr>
      <w:divsChild>
        <w:div w:id="197548607">
          <w:marLeft w:val="1872"/>
          <w:marRight w:val="0"/>
          <w:marTop w:val="0"/>
          <w:marBottom w:val="0"/>
          <w:divBdr>
            <w:top w:val="none" w:sz="0" w:space="0" w:color="auto"/>
            <w:left w:val="none" w:sz="0" w:space="0" w:color="auto"/>
            <w:bottom w:val="none" w:sz="0" w:space="0" w:color="auto"/>
            <w:right w:val="none" w:sz="0" w:space="0" w:color="auto"/>
          </w:divBdr>
        </w:div>
        <w:div w:id="2029944703">
          <w:marLeft w:val="1872"/>
          <w:marRight w:val="0"/>
          <w:marTop w:val="0"/>
          <w:marBottom w:val="0"/>
          <w:divBdr>
            <w:top w:val="none" w:sz="0" w:space="0" w:color="auto"/>
            <w:left w:val="none" w:sz="0" w:space="0" w:color="auto"/>
            <w:bottom w:val="none" w:sz="0" w:space="0" w:color="auto"/>
            <w:right w:val="none" w:sz="0" w:space="0" w:color="auto"/>
          </w:divBdr>
        </w:div>
      </w:divsChild>
    </w:div>
    <w:div w:id="1096094529">
      <w:bodyDiv w:val="1"/>
      <w:marLeft w:val="0"/>
      <w:marRight w:val="0"/>
      <w:marTop w:val="0"/>
      <w:marBottom w:val="0"/>
      <w:divBdr>
        <w:top w:val="none" w:sz="0" w:space="0" w:color="auto"/>
        <w:left w:val="none" w:sz="0" w:space="0" w:color="auto"/>
        <w:bottom w:val="none" w:sz="0" w:space="0" w:color="auto"/>
        <w:right w:val="none" w:sz="0" w:space="0" w:color="auto"/>
      </w:divBdr>
      <w:divsChild>
        <w:div w:id="523834732">
          <w:marLeft w:val="1843"/>
          <w:marRight w:val="0"/>
          <w:marTop w:val="0"/>
          <w:marBottom w:val="0"/>
          <w:divBdr>
            <w:top w:val="none" w:sz="0" w:space="0" w:color="auto"/>
            <w:left w:val="none" w:sz="0" w:space="0" w:color="auto"/>
            <w:bottom w:val="none" w:sz="0" w:space="0" w:color="auto"/>
            <w:right w:val="none" w:sz="0" w:space="0" w:color="auto"/>
          </w:divBdr>
        </w:div>
        <w:div w:id="570696257">
          <w:marLeft w:val="1843"/>
          <w:marRight w:val="0"/>
          <w:marTop w:val="0"/>
          <w:marBottom w:val="0"/>
          <w:divBdr>
            <w:top w:val="none" w:sz="0" w:space="0" w:color="auto"/>
            <w:left w:val="none" w:sz="0" w:space="0" w:color="auto"/>
            <w:bottom w:val="none" w:sz="0" w:space="0" w:color="auto"/>
            <w:right w:val="none" w:sz="0" w:space="0" w:color="auto"/>
          </w:divBdr>
        </w:div>
        <w:div w:id="589659460">
          <w:marLeft w:val="1843"/>
          <w:marRight w:val="0"/>
          <w:marTop w:val="0"/>
          <w:marBottom w:val="0"/>
          <w:divBdr>
            <w:top w:val="none" w:sz="0" w:space="0" w:color="auto"/>
            <w:left w:val="none" w:sz="0" w:space="0" w:color="auto"/>
            <w:bottom w:val="none" w:sz="0" w:space="0" w:color="auto"/>
            <w:right w:val="none" w:sz="0" w:space="0" w:color="auto"/>
          </w:divBdr>
        </w:div>
        <w:div w:id="1312906401">
          <w:marLeft w:val="1843"/>
          <w:marRight w:val="0"/>
          <w:marTop w:val="0"/>
          <w:marBottom w:val="0"/>
          <w:divBdr>
            <w:top w:val="none" w:sz="0" w:space="0" w:color="auto"/>
            <w:left w:val="none" w:sz="0" w:space="0" w:color="auto"/>
            <w:bottom w:val="none" w:sz="0" w:space="0" w:color="auto"/>
            <w:right w:val="none" w:sz="0" w:space="0" w:color="auto"/>
          </w:divBdr>
        </w:div>
      </w:divsChild>
    </w:div>
    <w:div w:id="1389691206">
      <w:bodyDiv w:val="1"/>
      <w:marLeft w:val="0"/>
      <w:marRight w:val="0"/>
      <w:marTop w:val="0"/>
      <w:marBottom w:val="0"/>
      <w:divBdr>
        <w:top w:val="none" w:sz="0" w:space="0" w:color="auto"/>
        <w:left w:val="none" w:sz="0" w:space="0" w:color="auto"/>
        <w:bottom w:val="none" w:sz="0" w:space="0" w:color="auto"/>
        <w:right w:val="none" w:sz="0" w:space="0" w:color="auto"/>
      </w:divBdr>
      <w:divsChild>
        <w:div w:id="277878311">
          <w:marLeft w:val="720"/>
          <w:marRight w:val="0"/>
          <w:marTop w:val="0"/>
          <w:marBottom w:val="0"/>
          <w:divBdr>
            <w:top w:val="none" w:sz="0" w:space="0" w:color="auto"/>
            <w:left w:val="none" w:sz="0" w:space="0" w:color="auto"/>
            <w:bottom w:val="none" w:sz="0" w:space="0" w:color="auto"/>
            <w:right w:val="none" w:sz="0" w:space="0" w:color="auto"/>
          </w:divBdr>
        </w:div>
        <w:div w:id="345718644">
          <w:marLeft w:val="720"/>
          <w:marRight w:val="0"/>
          <w:marTop w:val="0"/>
          <w:marBottom w:val="0"/>
          <w:divBdr>
            <w:top w:val="none" w:sz="0" w:space="0" w:color="auto"/>
            <w:left w:val="none" w:sz="0" w:space="0" w:color="auto"/>
            <w:bottom w:val="none" w:sz="0" w:space="0" w:color="auto"/>
            <w:right w:val="none" w:sz="0" w:space="0" w:color="auto"/>
          </w:divBdr>
        </w:div>
        <w:div w:id="432482301">
          <w:marLeft w:val="720"/>
          <w:marRight w:val="0"/>
          <w:marTop w:val="0"/>
          <w:marBottom w:val="0"/>
          <w:divBdr>
            <w:top w:val="none" w:sz="0" w:space="0" w:color="auto"/>
            <w:left w:val="none" w:sz="0" w:space="0" w:color="auto"/>
            <w:bottom w:val="none" w:sz="0" w:space="0" w:color="auto"/>
            <w:right w:val="none" w:sz="0" w:space="0" w:color="auto"/>
          </w:divBdr>
        </w:div>
        <w:div w:id="1093159534">
          <w:marLeft w:val="720"/>
          <w:marRight w:val="0"/>
          <w:marTop w:val="0"/>
          <w:marBottom w:val="0"/>
          <w:divBdr>
            <w:top w:val="none" w:sz="0" w:space="0" w:color="auto"/>
            <w:left w:val="none" w:sz="0" w:space="0" w:color="auto"/>
            <w:bottom w:val="none" w:sz="0" w:space="0" w:color="auto"/>
            <w:right w:val="none" w:sz="0" w:space="0" w:color="auto"/>
          </w:divBdr>
        </w:div>
        <w:div w:id="1759520166">
          <w:marLeft w:val="720"/>
          <w:marRight w:val="0"/>
          <w:marTop w:val="0"/>
          <w:marBottom w:val="0"/>
          <w:divBdr>
            <w:top w:val="none" w:sz="0" w:space="0" w:color="auto"/>
            <w:left w:val="none" w:sz="0" w:space="0" w:color="auto"/>
            <w:bottom w:val="none" w:sz="0" w:space="0" w:color="auto"/>
            <w:right w:val="none" w:sz="0" w:space="0" w:color="auto"/>
          </w:divBdr>
        </w:div>
      </w:divsChild>
    </w:div>
    <w:div w:id="1706321451">
      <w:bodyDiv w:val="1"/>
      <w:marLeft w:val="0"/>
      <w:marRight w:val="0"/>
      <w:marTop w:val="0"/>
      <w:marBottom w:val="0"/>
      <w:divBdr>
        <w:top w:val="none" w:sz="0" w:space="0" w:color="auto"/>
        <w:left w:val="none" w:sz="0" w:space="0" w:color="auto"/>
        <w:bottom w:val="none" w:sz="0" w:space="0" w:color="auto"/>
        <w:right w:val="none" w:sz="0" w:space="0" w:color="auto"/>
      </w:divBdr>
    </w:div>
    <w:div w:id="1747916822">
      <w:bodyDiv w:val="1"/>
      <w:marLeft w:val="0"/>
      <w:marRight w:val="0"/>
      <w:marTop w:val="0"/>
      <w:marBottom w:val="0"/>
      <w:divBdr>
        <w:top w:val="none" w:sz="0" w:space="0" w:color="auto"/>
        <w:left w:val="none" w:sz="0" w:space="0" w:color="auto"/>
        <w:bottom w:val="none" w:sz="0" w:space="0" w:color="auto"/>
        <w:right w:val="none" w:sz="0" w:space="0" w:color="auto"/>
      </w:divBdr>
      <w:divsChild>
        <w:div w:id="498227816">
          <w:marLeft w:val="3240"/>
          <w:marRight w:val="0"/>
          <w:marTop w:val="0"/>
          <w:marBottom w:val="0"/>
          <w:divBdr>
            <w:top w:val="none" w:sz="0" w:space="0" w:color="auto"/>
            <w:left w:val="none" w:sz="0" w:space="0" w:color="auto"/>
            <w:bottom w:val="none" w:sz="0" w:space="0" w:color="auto"/>
            <w:right w:val="none" w:sz="0" w:space="0" w:color="auto"/>
          </w:divBdr>
        </w:div>
        <w:div w:id="835462498">
          <w:marLeft w:val="4651"/>
          <w:marRight w:val="0"/>
          <w:marTop w:val="0"/>
          <w:marBottom w:val="0"/>
          <w:divBdr>
            <w:top w:val="none" w:sz="0" w:space="0" w:color="auto"/>
            <w:left w:val="none" w:sz="0" w:space="0" w:color="auto"/>
            <w:bottom w:val="none" w:sz="0" w:space="0" w:color="auto"/>
            <w:right w:val="none" w:sz="0" w:space="0" w:color="auto"/>
          </w:divBdr>
        </w:div>
        <w:div w:id="1131098258">
          <w:marLeft w:val="1757"/>
          <w:marRight w:val="0"/>
          <w:marTop w:val="0"/>
          <w:marBottom w:val="0"/>
          <w:divBdr>
            <w:top w:val="none" w:sz="0" w:space="0" w:color="auto"/>
            <w:left w:val="none" w:sz="0" w:space="0" w:color="auto"/>
            <w:bottom w:val="none" w:sz="0" w:space="0" w:color="auto"/>
            <w:right w:val="none" w:sz="0" w:space="0" w:color="auto"/>
          </w:divBdr>
        </w:div>
        <w:div w:id="1244951814">
          <w:marLeft w:val="4651"/>
          <w:marRight w:val="0"/>
          <w:marTop w:val="0"/>
          <w:marBottom w:val="0"/>
          <w:divBdr>
            <w:top w:val="none" w:sz="0" w:space="0" w:color="auto"/>
            <w:left w:val="none" w:sz="0" w:space="0" w:color="auto"/>
            <w:bottom w:val="none" w:sz="0" w:space="0" w:color="auto"/>
            <w:right w:val="none" w:sz="0" w:space="0" w:color="auto"/>
          </w:divBdr>
        </w:div>
        <w:div w:id="1321232208">
          <w:marLeft w:val="1843"/>
          <w:marRight w:val="0"/>
          <w:marTop w:val="0"/>
          <w:marBottom w:val="0"/>
          <w:divBdr>
            <w:top w:val="none" w:sz="0" w:space="0" w:color="auto"/>
            <w:left w:val="none" w:sz="0" w:space="0" w:color="auto"/>
            <w:bottom w:val="none" w:sz="0" w:space="0" w:color="auto"/>
            <w:right w:val="none" w:sz="0" w:space="0" w:color="auto"/>
          </w:divBdr>
        </w:div>
        <w:div w:id="1430660339">
          <w:marLeft w:val="4651"/>
          <w:marRight w:val="0"/>
          <w:marTop w:val="0"/>
          <w:marBottom w:val="0"/>
          <w:divBdr>
            <w:top w:val="none" w:sz="0" w:space="0" w:color="auto"/>
            <w:left w:val="none" w:sz="0" w:space="0" w:color="auto"/>
            <w:bottom w:val="none" w:sz="0" w:space="0" w:color="auto"/>
            <w:right w:val="none" w:sz="0" w:space="0" w:color="auto"/>
          </w:divBdr>
        </w:div>
        <w:div w:id="1740247017">
          <w:marLeft w:val="3240"/>
          <w:marRight w:val="0"/>
          <w:marTop w:val="0"/>
          <w:marBottom w:val="0"/>
          <w:divBdr>
            <w:top w:val="none" w:sz="0" w:space="0" w:color="auto"/>
            <w:left w:val="none" w:sz="0" w:space="0" w:color="auto"/>
            <w:bottom w:val="none" w:sz="0" w:space="0" w:color="auto"/>
            <w:right w:val="none" w:sz="0" w:space="0" w:color="auto"/>
          </w:divBdr>
        </w:div>
        <w:div w:id="1755593798">
          <w:marLeft w:val="3240"/>
          <w:marRight w:val="0"/>
          <w:marTop w:val="0"/>
          <w:marBottom w:val="0"/>
          <w:divBdr>
            <w:top w:val="none" w:sz="0" w:space="0" w:color="auto"/>
            <w:left w:val="none" w:sz="0" w:space="0" w:color="auto"/>
            <w:bottom w:val="none" w:sz="0" w:space="0" w:color="auto"/>
            <w:right w:val="none" w:sz="0" w:space="0" w:color="auto"/>
          </w:divBdr>
        </w:div>
      </w:divsChild>
    </w:div>
    <w:div w:id="2019695633">
      <w:bodyDiv w:val="1"/>
      <w:marLeft w:val="0"/>
      <w:marRight w:val="0"/>
      <w:marTop w:val="0"/>
      <w:marBottom w:val="0"/>
      <w:divBdr>
        <w:top w:val="none" w:sz="0" w:space="0" w:color="auto"/>
        <w:left w:val="none" w:sz="0" w:space="0" w:color="auto"/>
        <w:bottom w:val="none" w:sz="0" w:space="0" w:color="auto"/>
        <w:right w:val="none" w:sz="0" w:space="0" w:color="auto"/>
      </w:divBdr>
    </w:div>
    <w:div w:id="2112816176">
      <w:bodyDiv w:val="1"/>
      <w:marLeft w:val="0"/>
      <w:marRight w:val="0"/>
      <w:marTop w:val="0"/>
      <w:marBottom w:val="0"/>
      <w:divBdr>
        <w:top w:val="none" w:sz="0" w:space="0" w:color="auto"/>
        <w:left w:val="none" w:sz="0" w:space="0" w:color="auto"/>
        <w:bottom w:val="none" w:sz="0" w:space="0" w:color="auto"/>
        <w:right w:val="none" w:sz="0" w:space="0" w:color="auto"/>
      </w:divBdr>
      <w:divsChild>
        <w:div w:id="1511024057">
          <w:marLeft w:val="1843"/>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FC5B-8680-4CA3-894B-EE5611C2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5339</Words>
  <Characters>30434</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Naseem Ghazali</dc:creator>
  <cp:lastModifiedBy>Risk, Janet</cp:lastModifiedBy>
  <cp:revision>2</cp:revision>
  <cp:lastPrinted>2014-07-18T10:32:00Z</cp:lastPrinted>
  <dcterms:created xsi:type="dcterms:W3CDTF">2017-08-01T09:14:00Z</dcterms:created>
  <dcterms:modified xsi:type="dcterms:W3CDTF">2017-08-01T09:14:00Z</dcterms:modified>
</cp:coreProperties>
</file>