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72" w:rsidRDefault="00924B72">
      <w:pPr>
        <w:rPr>
          <w:rFonts w:ascii="Arial" w:hAnsi="Arial" w:cs="Arial"/>
          <w:color w:val="111111"/>
        </w:rPr>
      </w:pPr>
      <w:r>
        <w:rPr>
          <w:rFonts w:ascii="Arial" w:hAnsi="Arial" w:cs="Arial"/>
          <w:color w:val="111111"/>
        </w:rPr>
        <w:t>Defining the genetic architecture of lung cancer etiology.</w:t>
      </w:r>
    </w:p>
    <w:p w:rsidR="00924B72" w:rsidRDefault="00924B72">
      <w:pPr>
        <w:rPr>
          <w:rFonts w:ascii="Arial" w:hAnsi="Arial" w:cs="Arial"/>
          <w:color w:val="111111"/>
        </w:rPr>
      </w:pPr>
    </w:p>
    <w:p w:rsidR="00924B72" w:rsidRDefault="00924B72">
      <w:pPr>
        <w:rPr>
          <w:rFonts w:ascii="Arial" w:hAnsi="Arial" w:cs="Arial"/>
          <w:color w:val="111111"/>
        </w:rPr>
      </w:pPr>
      <w:r>
        <w:rPr>
          <w:rFonts w:ascii="Arial" w:hAnsi="Arial" w:cs="Arial"/>
          <w:color w:val="111111"/>
        </w:rPr>
        <w:t>Christopher I. Amos, Rayjean Hung,  Younghun Han</w:t>
      </w:r>
      <w:r>
        <w:rPr>
          <w:rFonts w:ascii="Arial" w:hAnsi="Arial" w:cs="Arial"/>
          <w:color w:val="111111"/>
          <w:vertAlign w:val="superscript"/>
        </w:rPr>
        <w:t>2</w:t>
      </w:r>
      <w:r>
        <w:rPr>
          <w:rFonts w:ascii="Arial" w:hAnsi="Arial" w:cs="Arial"/>
          <w:color w:val="111111"/>
        </w:rPr>
        <w:t xml:space="preserve">,  </w:t>
      </w:r>
      <w:r w:rsidR="0063410E">
        <w:rPr>
          <w:rFonts w:ascii="Arial" w:hAnsi="Arial" w:cs="Arial"/>
          <w:color w:val="111111"/>
        </w:rPr>
        <w:t xml:space="preserve">Yohan </w:t>
      </w:r>
      <w:proofErr w:type="spellStart"/>
      <w:r w:rsidR="0063410E">
        <w:rPr>
          <w:rFonts w:ascii="Arial" w:hAnsi="Arial" w:cs="Arial"/>
          <w:color w:val="111111"/>
        </w:rPr>
        <w:t>Bosse</w:t>
      </w:r>
      <w:proofErr w:type="spellEnd"/>
      <w:r w:rsidR="0063410E">
        <w:rPr>
          <w:rFonts w:ascii="Arial" w:hAnsi="Arial" w:cs="Arial"/>
          <w:color w:val="111111"/>
        </w:rPr>
        <w:t xml:space="preserve">, </w:t>
      </w:r>
      <w:r>
        <w:rPr>
          <w:rFonts w:ascii="Arial" w:hAnsi="Arial" w:cs="Arial"/>
          <w:color w:val="111111"/>
        </w:rPr>
        <w:t>Xiangjun X</w:t>
      </w:r>
      <w:r w:rsidR="0063410E">
        <w:rPr>
          <w:rFonts w:ascii="Arial" w:hAnsi="Arial" w:cs="Arial"/>
          <w:color w:val="111111"/>
        </w:rPr>
        <w:t>iao</w:t>
      </w:r>
      <w:r>
        <w:rPr>
          <w:rFonts w:ascii="Arial" w:hAnsi="Arial" w:cs="Arial"/>
          <w:color w:val="111111"/>
          <w:vertAlign w:val="superscript"/>
        </w:rPr>
        <w:t>2</w:t>
      </w:r>
      <w:r>
        <w:rPr>
          <w:rFonts w:ascii="Arial" w:hAnsi="Arial" w:cs="Arial"/>
          <w:color w:val="111111"/>
        </w:rPr>
        <w:t>, Yafang Li</w:t>
      </w:r>
      <w:r>
        <w:rPr>
          <w:rFonts w:ascii="Arial" w:hAnsi="Arial" w:cs="Arial"/>
          <w:color w:val="111111"/>
          <w:vertAlign w:val="superscript"/>
        </w:rPr>
        <w:t>2</w:t>
      </w:r>
      <w:r>
        <w:rPr>
          <w:rFonts w:ascii="Arial" w:hAnsi="Arial" w:cs="Arial"/>
          <w:color w:val="111111"/>
        </w:rPr>
        <w:t>, John Field</w:t>
      </w:r>
      <w:r>
        <w:rPr>
          <w:rFonts w:ascii="Arial" w:hAnsi="Arial" w:cs="Arial"/>
          <w:color w:val="111111"/>
          <w:vertAlign w:val="superscript"/>
        </w:rPr>
        <w:t>3</w:t>
      </w:r>
      <w:r>
        <w:rPr>
          <w:rFonts w:ascii="Arial" w:hAnsi="Arial" w:cs="Arial"/>
          <w:color w:val="111111"/>
        </w:rPr>
        <w:t xml:space="preserve">, </w:t>
      </w:r>
      <w:proofErr w:type="spellStart"/>
      <w:r>
        <w:rPr>
          <w:rFonts w:ascii="Arial" w:hAnsi="Arial" w:cs="Arial"/>
          <w:color w:val="111111"/>
        </w:rPr>
        <w:t>Xuchen</w:t>
      </w:r>
      <w:proofErr w:type="spellEnd"/>
      <w:r>
        <w:rPr>
          <w:rFonts w:ascii="Arial" w:hAnsi="Arial" w:cs="Arial"/>
          <w:color w:val="111111"/>
        </w:rPr>
        <w:t xml:space="preserve"> Zong</w:t>
      </w:r>
      <w:r>
        <w:rPr>
          <w:rFonts w:ascii="Arial" w:hAnsi="Arial" w:cs="Arial"/>
          <w:color w:val="111111"/>
          <w:vertAlign w:val="superscript"/>
        </w:rPr>
        <w:t>4</w:t>
      </w:r>
      <w:r>
        <w:rPr>
          <w:rFonts w:ascii="Arial" w:hAnsi="Arial" w:cs="Arial"/>
          <w:color w:val="111111"/>
        </w:rPr>
        <w:t>, Heike Bickeböller</w:t>
      </w:r>
      <w:r>
        <w:rPr>
          <w:rFonts w:ascii="Arial" w:hAnsi="Arial" w:cs="Arial"/>
          <w:color w:val="111111"/>
          <w:vertAlign w:val="superscript"/>
        </w:rPr>
        <w:t>5</w:t>
      </w:r>
      <w:r>
        <w:rPr>
          <w:rFonts w:ascii="Arial" w:hAnsi="Arial" w:cs="Arial"/>
          <w:color w:val="111111"/>
        </w:rPr>
        <w:t>, David C. Christiani</w:t>
      </w:r>
      <w:r>
        <w:rPr>
          <w:rFonts w:ascii="Arial" w:hAnsi="Arial" w:cs="Arial"/>
          <w:color w:val="111111"/>
          <w:vertAlign w:val="superscript"/>
        </w:rPr>
        <w:t>6</w:t>
      </w:r>
      <w:r>
        <w:rPr>
          <w:rFonts w:ascii="Arial" w:hAnsi="Arial" w:cs="Arial"/>
          <w:color w:val="111111"/>
        </w:rPr>
        <w:t>, Paul Brennan</w:t>
      </w:r>
      <w:r>
        <w:rPr>
          <w:rFonts w:ascii="Arial" w:hAnsi="Arial" w:cs="Arial"/>
          <w:color w:val="111111"/>
          <w:vertAlign w:val="superscript"/>
        </w:rPr>
        <w:t>1</w:t>
      </w:r>
      <w:r>
        <w:rPr>
          <w:rFonts w:ascii="Arial" w:hAnsi="Arial" w:cs="Arial"/>
          <w:color w:val="111111"/>
        </w:rPr>
        <w:t>, Maria-Teresa Landi</w:t>
      </w:r>
      <w:r>
        <w:rPr>
          <w:rFonts w:ascii="Arial" w:hAnsi="Arial" w:cs="Arial"/>
          <w:color w:val="111111"/>
          <w:vertAlign w:val="superscript"/>
        </w:rPr>
        <w:t>7</w:t>
      </w:r>
      <w:r>
        <w:rPr>
          <w:rFonts w:ascii="Arial" w:hAnsi="Arial" w:cs="Arial"/>
          <w:color w:val="111111"/>
        </w:rPr>
        <w:t>,  James Dowling Mckay</w:t>
      </w:r>
      <w:r>
        <w:rPr>
          <w:rFonts w:ascii="Arial" w:hAnsi="Arial" w:cs="Arial"/>
          <w:color w:val="111111"/>
          <w:vertAlign w:val="superscript"/>
        </w:rPr>
        <w:t>1</w:t>
      </w:r>
      <w:r>
        <w:rPr>
          <w:rFonts w:ascii="Arial" w:hAnsi="Arial" w:cs="Arial"/>
          <w:color w:val="111111"/>
        </w:rPr>
        <w:t xml:space="preserve">, on behalf of the </w:t>
      </w:r>
      <w:proofErr w:type="spellStart"/>
      <w:r>
        <w:rPr>
          <w:rFonts w:ascii="Arial" w:hAnsi="Arial" w:cs="Arial"/>
          <w:color w:val="111111"/>
        </w:rPr>
        <w:t>OncoArray</w:t>
      </w:r>
      <w:proofErr w:type="spellEnd"/>
      <w:r>
        <w:rPr>
          <w:rFonts w:ascii="Arial" w:hAnsi="Arial" w:cs="Arial"/>
          <w:color w:val="111111"/>
        </w:rPr>
        <w:t xml:space="preserve"> Lung Cancer Group.</w:t>
      </w:r>
      <w:r>
        <w:rPr>
          <w:rStyle w:val="apple-converted-space"/>
          <w:rFonts w:ascii="Arial" w:hAnsi="Arial" w:cs="Arial"/>
          <w:color w:val="111111"/>
        </w:rPr>
        <w:t> </w:t>
      </w:r>
      <w:r>
        <w:rPr>
          <w:rFonts w:ascii="Arial" w:hAnsi="Arial" w:cs="Arial"/>
          <w:color w:val="111111"/>
          <w:vertAlign w:val="superscript"/>
        </w:rPr>
        <w:t>1</w:t>
      </w:r>
      <w:r>
        <w:rPr>
          <w:rFonts w:ascii="Arial" w:hAnsi="Arial" w:cs="Arial"/>
          <w:color w:val="111111"/>
        </w:rPr>
        <w:t>International Agency for Res. on Cancer, Lyons, France;</w:t>
      </w:r>
      <w:r>
        <w:rPr>
          <w:rStyle w:val="apple-converted-space"/>
          <w:rFonts w:ascii="Arial" w:hAnsi="Arial" w:cs="Arial"/>
          <w:color w:val="111111"/>
        </w:rPr>
        <w:t> </w:t>
      </w:r>
      <w:r>
        <w:rPr>
          <w:rFonts w:ascii="Arial" w:hAnsi="Arial" w:cs="Arial"/>
          <w:color w:val="111111"/>
          <w:vertAlign w:val="superscript"/>
        </w:rPr>
        <w:t>2</w:t>
      </w:r>
      <w:r>
        <w:rPr>
          <w:rFonts w:ascii="Arial" w:hAnsi="Arial" w:cs="Arial"/>
          <w:color w:val="111111"/>
        </w:rPr>
        <w:t>Dartmouth College, NH;</w:t>
      </w:r>
      <w:r>
        <w:rPr>
          <w:rStyle w:val="apple-converted-space"/>
          <w:rFonts w:ascii="Arial" w:hAnsi="Arial" w:cs="Arial"/>
          <w:color w:val="111111"/>
        </w:rPr>
        <w:t> </w:t>
      </w:r>
      <w:r>
        <w:rPr>
          <w:rFonts w:ascii="Arial" w:hAnsi="Arial" w:cs="Arial"/>
          <w:color w:val="111111"/>
          <w:vertAlign w:val="superscript"/>
        </w:rPr>
        <w:t>3</w:t>
      </w:r>
      <w:r>
        <w:rPr>
          <w:rFonts w:ascii="Arial" w:hAnsi="Arial" w:cs="Arial"/>
          <w:color w:val="111111"/>
        </w:rPr>
        <w:t>University of Liverpool, United Kingdom;</w:t>
      </w:r>
      <w:r>
        <w:rPr>
          <w:rStyle w:val="apple-converted-space"/>
          <w:rFonts w:ascii="Arial" w:hAnsi="Arial" w:cs="Arial"/>
          <w:color w:val="111111"/>
        </w:rPr>
        <w:t> </w:t>
      </w:r>
      <w:r>
        <w:rPr>
          <w:rFonts w:ascii="Arial" w:hAnsi="Arial" w:cs="Arial"/>
          <w:color w:val="111111"/>
          <w:vertAlign w:val="superscript"/>
        </w:rPr>
        <w:t>4</w:t>
      </w:r>
      <w:r>
        <w:rPr>
          <w:rFonts w:ascii="Arial" w:hAnsi="Arial" w:cs="Arial"/>
          <w:color w:val="111111"/>
        </w:rPr>
        <w:t>Lunenfeld-Tanenbaum Research Institute of Mount Sinai Hospital, Toronto, ON, Canada;</w:t>
      </w:r>
      <w:r>
        <w:rPr>
          <w:rStyle w:val="apple-converted-space"/>
          <w:rFonts w:ascii="Arial" w:hAnsi="Arial" w:cs="Arial"/>
          <w:color w:val="111111"/>
        </w:rPr>
        <w:t> </w:t>
      </w:r>
      <w:r>
        <w:rPr>
          <w:rFonts w:ascii="Arial" w:hAnsi="Arial" w:cs="Arial"/>
          <w:color w:val="111111"/>
          <w:vertAlign w:val="superscript"/>
        </w:rPr>
        <w:t>5</w:t>
      </w:r>
      <w:r>
        <w:rPr>
          <w:rFonts w:ascii="Arial" w:hAnsi="Arial" w:cs="Arial"/>
          <w:color w:val="111111"/>
        </w:rPr>
        <w:t xml:space="preserve">University Medical Centre </w:t>
      </w:r>
      <w:proofErr w:type="spellStart"/>
      <w:r>
        <w:rPr>
          <w:rFonts w:ascii="Arial" w:hAnsi="Arial" w:cs="Arial"/>
          <w:color w:val="111111"/>
        </w:rPr>
        <w:t>Göttingen</w:t>
      </w:r>
      <w:proofErr w:type="spellEnd"/>
      <w:r>
        <w:rPr>
          <w:rFonts w:ascii="Arial" w:hAnsi="Arial" w:cs="Arial"/>
          <w:color w:val="111111"/>
        </w:rPr>
        <w:t xml:space="preserve">, </w:t>
      </w:r>
      <w:proofErr w:type="spellStart"/>
      <w:r>
        <w:rPr>
          <w:rFonts w:ascii="Arial" w:hAnsi="Arial" w:cs="Arial"/>
          <w:color w:val="111111"/>
        </w:rPr>
        <w:t>Göttingen</w:t>
      </w:r>
      <w:proofErr w:type="spellEnd"/>
      <w:r>
        <w:rPr>
          <w:rFonts w:ascii="Arial" w:hAnsi="Arial" w:cs="Arial"/>
          <w:color w:val="111111"/>
        </w:rPr>
        <w:t>, Germany;</w:t>
      </w:r>
      <w:r>
        <w:rPr>
          <w:rStyle w:val="apple-converted-space"/>
          <w:rFonts w:ascii="Arial" w:hAnsi="Arial" w:cs="Arial"/>
          <w:color w:val="111111"/>
        </w:rPr>
        <w:t> </w:t>
      </w:r>
      <w:r>
        <w:rPr>
          <w:rFonts w:ascii="Arial" w:hAnsi="Arial" w:cs="Arial"/>
          <w:color w:val="111111"/>
          <w:vertAlign w:val="superscript"/>
        </w:rPr>
        <w:t>6</w:t>
      </w:r>
      <w:r>
        <w:rPr>
          <w:rFonts w:ascii="Arial" w:hAnsi="Arial" w:cs="Arial"/>
          <w:color w:val="111111"/>
        </w:rPr>
        <w:t>Harvard School of Public Health, Boston, MA;</w:t>
      </w:r>
      <w:r>
        <w:rPr>
          <w:rStyle w:val="apple-converted-space"/>
          <w:rFonts w:ascii="Arial" w:hAnsi="Arial" w:cs="Arial"/>
          <w:color w:val="111111"/>
        </w:rPr>
        <w:t> </w:t>
      </w:r>
      <w:r>
        <w:rPr>
          <w:rFonts w:ascii="Arial" w:hAnsi="Arial" w:cs="Arial"/>
          <w:color w:val="111111"/>
          <w:vertAlign w:val="superscript"/>
        </w:rPr>
        <w:t>7</w:t>
      </w:r>
      <w:r>
        <w:rPr>
          <w:rFonts w:ascii="Arial" w:hAnsi="Arial" w:cs="Arial"/>
          <w:color w:val="111111"/>
        </w:rPr>
        <w:t>Division of Cancer Epidemiology &amp; Genetics, National Cancer Institute, Bethesda, MD</w:t>
      </w:r>
    </w:p>
    <w:p w:rsidR="00924B72" w:rsidRDefault="00924B72">
      <w:pPr>
        <w:rPr>
          <w:rFonts w:ascii="Arial" w:hAnsi="Arial" w:cs="Arial"/>
          <w:color w:val="111111"/>
        </w:rPr>
      </w:pPr>
    </w:p>
    <w:p w:rsidR="0063410E" w:rsidRPr="0063410E" w:rsidRDefault="00924B72" w:rsidP="00A27516">
      <w:pPr>
        <w:rPr>
          <w:rFonts w:eastAsia="Times New Roman" w:cs="Times New Roman"/>
          <w:bCs/>
          <w:color w:val="000000"/>
          <w:lang w:val="en-AU"/>
        </w:rPr>
      </w:pPr>
      <w:r>
        <w:rPr>
          <w:rFonts w:ascii="Times New Roman" w:eastAsia="Times New Roman" w:hAnsi="Times New Roman" w:cs="Times New Roman"/>
          <w:sz w:val="24"/>
          <w:szCs w:val="24"/>
        </w:rPr>
        <w:t xml:space="preserve">Lung cancer is considered an archetypical environmentally induced disease because of the high risk from exposure to tobacco smoke.  However, family studies clearly identified familial aggregation, beyond effects from familial correlations in smoking behavior.  Family studies and genome wide association studies have identified selected variants influencing lung cancer risk but have been underpowered to provide a more comprehensive assessment of genetic architecture.  Here, we present </w:t>
      </w:r>
      <w:r w:rsidR="007A664C">
        <w:rPr>
          <w:rFonts w:ascii="Times New Roman" w:eastAsia="Times New Roman" w:hAnsi="Times New Roman" w:cs="Times New Roman"/>
          <w:sz w:val="24"/>
          <w:szCs w:val="24"/>
        </w:rPr>
        <w:t>t</w:t>
      </w:r>
      <w:r>
        <w:rPr>
          <w:rFonts w:ascii="Times New Roman" w:eastAsia="Times New Roman" w:hAnsi="Times New Roman" w:cs="Times New Roman"/>
          <w:sz w:val="24"/>
          <w:szCs w:val="24"/>
        </w:rPr>
        <w:t>he largest genome-wide scan of lung cancer susceptibility</w:t>
      </w:r>
      <w:r w:rsidR="00A27516">
        <w:rPr>
          <w:rFonts w:ascii="Times New Roman" w:eastAsia="Times New Roman" w:hAnsi="Times New Roman" w:cs="Times New Roman"/>
          <w:sz w:val="24"/>
          <w:szCs w:val="24"/>
        </w:rPr>
        <w:t xml:space="preserve">, in European-descent populations, </w:t>
      </w:r>
      <w:r>
        <w:rPr>
          <w:rFonts w:ascii="Times New Roman" w:eastAsia="Times New Roman" w:hAnsi="Times New Roman" w:cs="Times New Roman"/>
          <w:sz w:val="24"/>
          <w:szCs w:val="24"/>
        </w:rPr>
        <w:t xml:space="preserve">comprising data derived from </w:t>
      </w:r>
      <w:r>
        <w:rPr>
          <w:lang w:val="en-CA"/>
        </w:rPr>
        <w:t>29,863 patients a</w:t>
      </w:r>
      <w:r w:rsidR="00A2740B">
        <w:rPr>
          <w:lang w:val="en-CA"/>
        </w:rPr>
        <w:t>nd 55,586 controls queried for</w:t>
      </w:r>
      <w:r w:rsidR="00A27516">
        <w:rPr>
          <w:lang w:val="en-CA"/>
        </w:rPr>
        <w:t xml:space="preserve"> SNPs imputed from the 1000 Genomes Project. Analyses were adjusted for age, sex and the first three principal components for overall lung cancer and stratified by histology (adenocarcinoma, squamous carc</w:t>
      </w:r>
      <w:r w:rsidR="007A664C">
        <w:rPr>
          <w:lang w:val="en-CA"/>
        </w:rPr>
        <w:t>inoma, and small cell carcinoma) and ever or never smoking</w:t>
      </w:r>
      <w:r w:rsidR="00A27516">
        <w:rPr>
          <w:lang w:val="en-CA"/>
        </w:rPr>
        <w:t xml:space="preserve">.  Results identified 24 loci influencing lung cancer risk for loci with minor allele frequencies of 0.5% or higher, of which 14 had not previously reached genome-wide significance levels.  Effect sizes ranged from 0.37 for the functional variants </w:t>
      </w:r>
      <w:r w:rsidR="00A27516" w:rsidRPr="00A27516">
        <w:rPr>
          <w:lang w:val="en-CA"/>
        </w:rPr>
        <w:t>rs17879961</w:t>
      </w:r>
      <w:r w:rsidR="00A27516">
        <w:rPr>
          <w:lang w:val="en-CA"/>
        </w:rPr>
        <w:t xml:space="preserve"> in </w:t>
      </w:r>
      <w:r w:rsidR="00A27516" w:rsidRPr="00A27516">
        <w:rPr>
          <w:i/>
          <w:lang w:val="en-CA"/>
        </w:rPr>
        <w:t>CHEK2</w:t>
      </w:r>
      <w:r w:rsidR="00A27516">
        <w:rPr>
          <w:lang w:val="en-CA"/>
        </w:rPr>
        <w:t xml:space="preserve"> to </w:t>
      </w:r>
      <w:r w:rsidR="00A27516" w:rsidRPr="00A27516">
        <w:rPr>
          <w:rFonts w:ascii="Calibri" w:eastAsia="Times New Roman" w:hAnsi="Calibri" w:cs="Times New Roman"/>
          <w:color w:val="000000"/>
          <w:sz w:val="20"/>
          <w:szCs w:val="20"/>
        </w:rPr>
        <w:t>rs11571833</w:t>
      </w:r>
      <w:r w:rsidR="00A27516">
        <w:rPr>
          <w:rFonts w:ascii="Calibri" w:eastAsia="Times New Roman" w:hAnsi="Calibri" w:cs="Times New Roman"/>
          <w:color w:val="000000"/>
          <w:sz w:val="20"/>
          <w:szCs w:val="20"/>
        </w:rPr>
        <w:t xml:space="preserve"> in </w:t>
      </w:r>
      <w:r w:rsidR="00A27516" w:rsidRPr="00A27516">
        <w:rPr>
          <w:rFonts w:ascii="Calibri" w:eastAsia="Times New Roman" w:hAnsi="Calibri" w:cs="Times New Roman"/>
          <w:i/>
          <w:color w:val="000000"/>
          <w:sz w:val="20"/>
          <w:szCs w:val="20"/>
        </w:rPr>
        <w:t>BRCA2</w:t>
      </w:r>
      <w:r w:rsidR="00A27516">
        <w:rPr>
          <w:rFonts w:ascii="Calibri" w:eastAsia="Times New Roman" w:hAnsi="Calibri" w:cs="Times New Roman"/>
          <w:color w:val="000000"/>
          <w:sz w:val="20"/>
          <w:szCs w:val="20"/>
        </w:rPr>
        <w:t xml:space="preserve">, indicating the role of selected uncommon variants in strongly influencing lung cancer risk.  Among the novel variants identified, </w:t>
      </w:r>
      <w:r w:rsidR="009E1FFA">
        <w:rPr>
          <w:rFonts w:ascii="Calibri" w:eastAsia="Times New Roman" w:hAnsi="Calibri" w:cs="Times New Roman"/>
          <w:color w:val="000000"/>
          <w:sz w:val="20"/>
          <w:szCs w:val="20"/>
        </w:rPr>
        <w:t xml:space="preserve">6 influenced overall lung cancer risk, </w:t>
      </w:r>
      <w:r w:rsidR="00A27516">
        <w:rPr>
          <w:rFonts w:ascii="Calibri" w:eastAsia="Times New Roman" w:hAnsi="Calibri" w:cs="Times New Roman"/>
          <w:color w:val="000000"/>
          <w:sz w:val="20"/>
          <w:szCs w:val="20"/>
        </w:rPr>
        <w:t>6 were</w:t>
      </w:r>
      <w:r w:rsidR="009E1FFA">
        <w:rPr>
          <w:rFonts w:ascii="Calibri" w:eastAsia="Times New Roman" w:hAnsi="Calibri" w:cs="Times New Roman"/>
          <w:color w:val="000000"/>
          <w:sz w:val="20"/>
          <w:szCs w:val="20"/>
        </w:rPr>
        <w:t xml:space="preserve"> specific to adenocarcinoma and 1 each influenced never and ever smokers respectively. Aside from previously described variants in the </w:t>
      </w:r>
      <w:r w:rsidR="009E1FFA" w:rsidRPr="009E1FFA">
        <w:rPr>
          <w:rFonts w:ascii="Calibri" w:eastAsia="Times New Roman" w:hAnsi="Calibri" w:cs="Times New Roman"/>
          <w:i/>
          <w:color w:val="000000"/>
          <w:sz w:val="20"/>
          <w:szCs w:val="20"/>
        </w:rPr>
        <w:t>CHRNA5</w:t>
      </w:r>
      <w:r w:rsidR="009E1FFA">
        <w:rPr>
          <w:rFonts w:ascii="Calibri" w:eastAsia="Times New Roman" w:hAnsi="Calibri" w:cs="Times New Roman"/>
          <w:color w:val="000000"/>
          <w:sz w:val="20"/>
          <w:szCs w:val="20"/>
        </w:rPr>
        <w:t xml:space="preserve"> and </w:t>
      </w:r>
      <w:r w:rsidR="009E1FFA" w:rsidRPr="009E1FFA">
        <w:rPr>
          <w:rFonts w:ascii="Calibri" w:eastAsia="Times New Roman" w:hAnsi="Calibri" w:cs="Times New Roman"/>
          <w:i/>
          <w:color w:val="000000"/>
          <w:sz w:val="20"/>
          <w:szCs w:val="20"/>
        </w:rPr>
        <w:t>CYP2A6</w:t>
      </w:r>
      <w:r w:rsidR="009E1FFA">
        <w:t xml:space="preserve"> regions that influence cigarette consumption, all other loci showed significant heterogeneity among </w:t>
      </w:r>
      <w:proofErr w:type="spellStart"/>
      <w:r w:rsidR="009E1FFA">
        <w:t>histologies</w:t>
      </w:r>
      <w:proofErr w:type="spellEnd"/>
      <w:r w:rsidR="009E1FFA">
        <w:t>.  Array based heritability analysis also indicates very no significant shared heritability between ade</w:t>
      </w:r>
      <w:bookmarkStart w:id="0" w:name="_GoBack"/>
      <w:bookmarkEnd w:id="0"/>
      <w:r w:rsidR="009E1FFA">
        <w:t xml:space="preserve">nocarcinoma and squamous carcinoma, again pointing to striking etiological heterogeneity other than that due to known smoking behavior related loci between these forms of lung cancer.  Evaluation of </w:t>
      </w:r>
      <w:proofErr w:type="spellStart"/>
      <w:r w:rsidR="007A664C">
        <w:t>e</w:t>
      </w:r>
      <w:r w:rsidR="009E1FFA">
        <w:t>QTL</w:t>
      </w:r>
      <w:proofErr w:type="spellEnd"/>
      <w:r w:rsidR="009E1FFA">
        <w:t xml:space="preserve"> </w:t>
      </w:r>
      <w:r w:rsidR="00DA498B">
        <w:t>results d</w:t>
      </w:r>
      <w:r w:rsidR="009E1FFA">
        <w:t xml:space="preserve">erived from normal </w:t>
      </w:r>
      <w:r w:rsidR="00DA498B">
        <w:t xml:space="preserve">lung </w:t>
      </w:r>
      <w:r w:rsidR="009E1FFA">
        <w:t xml:space="preserve">tissue </w:t>
      </w:r>
      <w:r w:rsidR="00DA498B">
        <w:t xml:space="preserve">identified consistent </w:t>
      </w:r>
      <w:r w:rsidR="009E1FFA">
        <w:t xml:space="preserve">cis-acting effects of the variant </w:t>
      </w:r>
      <w:r w:rsidR="00DA498B">
        <w:rPr>
          <w:rFonts w:cs="Lucida Grande"/>
          <w:color w:val="000000"/>
          <w:lang w:val="en-AU"/>
        </w:rPr>
        <w:t xml:space="preserve">rs77468143 influencing expression of a little know gene SECISBP2L, </w:t>
      </w:r>
      <w:r w:rsidR="009E1FFA">
        <w:rPr>
          <w:lang w:val="en-CA"/>
        </w:rPr>
        <w:t xml:space="preserve">rs6920364 influencing the extracellular ribonuclease </w:t>
      </w:r>
      <w:r w:rsidR="009E1FFA">
        <w:rPr>
          <w:i/>
          <w:lang w:val="en-CA"/>
        </w:rPr>
        <w:t>RNASET2</w:t>
      </w:r>
      <w:r w:rsidR="00DA498B">
        <w:t xml:space="preserve">, </w:t>
      </w:r>
      <w:r w:rsidR="009E1FFA">
        <w:rPr>
          <w:rFonts w:ascii="Calibri" w:eastAsia="Times New Roman" w:hAnsi="Calibri" w:cs="Times New Roman"/>
          <w:color w:val="000000"/>
          <w:sz w:val="20"/>
          <w:szCs w:val="20"/>
        </w:rPr>
        <w:t xml:space="preserve"> </w:t>
      </w:r>
      <w:r w:rsidR="0063410E">
        <w:rPr>
          <w:rFonts w:ascii="Calibri" w:eastAsia="Times New Roman" w:hAnsi="Calibri" w:cs="Times New Roman"/>
          <w:color w:val="000000"/>
          <w:sz w:val="20"/>
          <w:szCs w:val="20"/>
        </w:rPr>
        <w:t xml:space="preserve">and </w:t>
      </w:r>
      <w:r w:rsidR="00DA498B">
        <w:rPr>
          <w:rFonts w:ascii="Calibri" w:eastAsia="Times New Roman" w:hAnsi="Calibri" w:cs="Times New Roman"/>
          <w:color w:val="000000"/>
          <w:sz w:val="20"/>
          <w:szCs w:val="20"/>
        </w:rPr>
        <w:t xml:space="preserve"> </w:t>
      </w:r>
      <w:r w:rsidR="00DA498B" w:rsidRPr="009515B2">
        <w:rPr>
          <w:rFonts w:eastAsia="Times New Roman" w:cs="Times New Roman"/>
          <w:bCs/>
          <w:color w:val="000000"/>
          <w:lang w:val="en-AU"/>
        </w:rPr>
        <w:t>rs146729428</w:t>
      </w:r>
      <w:r w:rsidR="00DA498B">
        <w:rPr>
          <w:rFonts w:eastAsia="Times New Roman" w:cs="Times New Roman"/>
          <w:bCs/>
          <w:color w:val="000000"/>
          <w:lang w:val="en-AU"/>
        </w:rPr>
        <w:t xml:space="preserve"> in the </w:t>
      </w:r>
      <w:r w:rsidR="00DA498B" w:rsidRPr="00DA498B">
        <w:rPr>
          <w:rFonts w:eastAsia="Times New Roman" w:cs="Times New Roman"/>
          <w:bCs/>
          <w:i/>
          <w:color w:val="000000"/>
          <w:lang w:val="en-AU"/>
        </w:rPr>
        <w:t>EPHX2</w:t>
      </w:r>
      <w:r w:rsidR="0063410E">
        <w:rPr>
          <w:rFonts w:eastAsia="Times New Roman" w:cs="Times New Roman"/>
          <w:bCs/>
          <w:i/>
          <w:color w:val="000000"/>
          <w:lang w:val="en-AU"/>
        </w:rPr>
        <w:t xml:space="preserve">, </w:t>
      </w:r>
      <w:r w:rsidR="0063410E">
        <w:rPr>
          <w:rFonts w:eastAsia="Times New Roman" w:cs="Times New Roman"/>
          <w:bCs/>
          <w:color w:val="000000"/>
          <w:lang w:val="en-AU"/>
        </w:rPr>
        <w:t xml:space="preserve"> involved in inflammation.  Several loci that influenced adenocarcinoma alone influenced telomere maintenance or cell cycle, while several of the squamous cancer-specific loci are involved in recombination repair.  These results indicate striking variation among histological subtypes of lung cancer.   Further studies are ongoing to identify the impact that smoking has on lung cancer risk for these loci.  </w:t>
      </w:r>
      <w:r w:rsidR="007A664C">
        <w:rPr>
          <w:rFonts w:eastAsia="Times New Roman" w:cs="Times New Roman"/>
          <w:bCs/>
          <w:color w:val="000000"/>
          <w:lang w:val="en-AU"/>
        </w:rPr>
        <w:t xml:space="preserve">These analyses provide a comprehensive assessment of genetic effects on lung cancer risk and will elucidate how these interact with smoking </w:t>
      </w:r>
      <w:proofErr w:type="spellStart"/>
      <w:r w:rsidR="007A664C">
        <w:rPr>
          <w:rFonts w:eastAsia="Times New Roman" w:cs="Times New Roman"/>
          <w:bCs/>
          <w:color w:val="000000"/>
          <w:lang w:val="en-AU"/>
        </w:rPr>
        <w:t>behavior</w:t>
      </w:r>
      <w:proofErr w:type="spellEnd"/>
      <w:r w:rsidR="007A664C">
        <w:rPr>
          <w:rFonts w:eastAsia="Times New Roman" w:cs="Times New Roman"/>
          <w:bCs/>
          <w:color w:val="000000"/>
          <w:lang w:val="en-AU"/>
        </w:rPr>
        <w:t xml:space="preserve">. </w:t>
      </w:r>
    </w:p>
    <w:p w:rsidR="00924B72" w:rsidRPr="00A27516" w:rsidRDefault="00924B72">
      <w:pPr>
        <w:rPr>
          <w:rFonts w:ascii="Times New Roman" w:eastAsia="Times New Roman" w:hAnsi="Times New Roman" w:cs="Times New Roman"/>
          <w:sz w:val="24"/>
          <w:szCs w:val="24"/>
        </w:rPr>
      </w:pPr>
    </w:p>
    <w:p w:rsidR="00924B72" w:rsidRDefault="00924B72">
      <w:pPr>
        <w:rPr>
          <w:rFonts w:ascii="Times New Roman" w:eastAsia="Times New Roman" w:hAnsi="Times New Roman" w:cs="Times New Roman"/>
          <w:sz w:val="24"/>
          <w:szCs w:val="24"/>
        </w:rPr>
      </w:pPr>
    </w:p>
    <w:p w:rsidR="00924B72" w:rsidRDefault="00924B72">
      <w:pPr>
        <w:rPr>
          <w:rFonts w:ascii="Times New Roman" w:eastAsia="Times New Roman" w:hAnsi="Times New Roman" w:cs="Times New Roman"/>
          <w:sz w:val="24"/>
          <w:szCs w:val="24"/>
        </w:rPr>
      </w:pPr>
    </w:p>
    <w:sectPr w:rsidR="00924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72"/>
    <w:rsid w:val="0063410E"/>
    <w:rsid w:val="007A664C"/>
    <w:rsid w:val="00924B72"/>
    <w:rsid w:val="009E1FFA"/>
    <w:rsid w:val="00A2740B"/>
    <w:rsid w:val="00A27516"/>
    <w:rsid w:val="00DA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98B2F-9063-41B0-A4A7-0DC40EF0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4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99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I. Amos</dc:creator>
  <cp:keywords/>
  <dc:description/>
  <cp:lastModifiedBy>Christopher I. Amos</cp:lastModifiedBy>
  <cp:revision>2</cp:revision>
  <dcterms:created xsi:type="dcterms:W3CDTF">2016-05-31T16:56:00Z</dcterms:created>
  <dcterms:modified xsi:type="dcterms:W3CDTF">2016-05-31T16:56:00Z</dcterms:modified>
</cp:coreProperties>
</file>