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A1" w:rsidRDefault="00757DA1" w:rsidP="00757DA1">
      <w:bookmarkStart w:id="0" w:name="_GoBack"/>
      <w:r>
        <w:t>ALCOHOL RELATED BRAIN INJURY: AN UNDER-RECOGNISED CLINICAL DIAGNOSIS</w:t>
      </w:r>
    </w:p>
    <w:bookmarkEnd w:id="0"/>
    <w:p w:rsidR="00757DA1" w:rsidRPr="00757DA1" w:rsidRDefault="00757DA1" w:rsidP="00757DA1">
      <w:pPr>
        <w:rPr>
          <w:b/>
        </w:rPr>
      </w:pPr>
      <w:r w:rsidRPr="00757DA1">
        <w:rPr>
          <w:b/>
        </w:rPr>
        <w:t>L. Ow</w:t>
      </w:r>
      <w:r w:rsidRPr="00757DA1">
        <w:rPr>
          <w:b/>
        </w:rPr>
        <w:t>ens</w:t>
      </w:r>
      <w:r w:rsidRPr="00757DA1">
        <w:rPr>
          <w:b/>
          <w:vertAlign w:val="superscript"/>
        </w:rPr>
        <w:t>1</w:t>
      </w:r>
      <w:proofErr w:type="gramStart"/>
      <w:r w:rsidRPr="00757DA1">
        <w:rPr>
          <w:b/>
          <w:vertAlign w:val="superscript"/>
        </w:rPr>
        <w:t>,2</w:t>
      </w:r>
      <w:proofErr w:type="gramEnd"/>
      <w:r w:rsidRPr="00757DA1">
        <w:rPr>
          <w:b/>
        </w:rPr>
        <w:t>,</w:t>
      </w:r>
      <w:r w:rsidRPr="00757DA1">
        <w:rPr>
          <w:b/>
        </w:rPr>
        <w:t xml:space="preserve"> A. Thompson</w:t>
      </w:r>
      <w:r w:rsidRPr="00757DA1">
        <w:rPr>
          <w:b/>
          <w:vertAlign w:val="superscript"/>
        </w:rPr>
        <w:t>2</w:t>
      </w:r>
      <w:r w:rsidRPr="00757DA1">
        <w:rPr>
          <w:b/>
        </w:rPr>
        <w:t>, L. Chinnappan</w:t>
      </w:r>
      <w:r w:rsidRPr="00757DA1">
        <w:rPr>
          <w:b/>
          <w:vertAlign w:val="superscript"/>
        </w:rPr>
        <w:t>1</w:t>
      </w:r>
      <w:r w:rsidRPr="00757DA1">
        <w:rPr>
          <w:b/>
        </w:rPr>
        <w:t>,</w:t>
      </w:r>
      <w:r w:rsidRPr="00757DA1">
        <w:rPr>
          <w:b/>
        </w:rPr>
        <w:t xml:space="preserve"> </w:t>
      </w:r>
      <w:r w:rsidRPr="00757DA1">
        <w:rPr>
          <w:b/>
        </w:rPr>
        <w:t>C.Kullu</w:t>
      </w:r>
      <w:r w:rsidRPr="00757DA1">
        <w:rPr>
          <w:b/>
          <w:vertAlign w:val="superscript"/>
        </w:rPr>
        <w:t>1</w:t>
      </w:r>
      <w:r w:rsidRPr="00757DA1">
        <w:rPr>
          <w:b/>
        </w:rPr>
        <w:t>, K. Patterson</w:t>
      </w:r>
      <w:r w:rsidRPr="00757DA1">
        <w:rPr>
          <w:b/>
          <w:vertAlign w:val="superscript"/>
        </w:rPr>
        <w:t>1</w:t>
      </w:r>
      <w:r w:rsidRPr="00757DA1">
        <w:rPr>
          <w:b/>
        </w:rPr>
        <w:t>,</w:t>
      </w:r>
      <w:r w:rsidRPr="00757DA1">
        <w:rPr>
          <w:b/>
        </w:rPr>
        <w:t xml:space="preserve"> </w:t>
      </w:r>
      <w:r w:rsidRPr="00757DA1">
        <w:rPr>
          <w:b/>
        </w:rPr>
        <w:t>P.Richardson</w:t>
      </w:r>
      <w:r w:rsidRPr="00757DA1">
        <w:rPr>
          <w:b/>
          <w:vertAlign w:val="superscript"/>
        </w:rPr>
        <w:t>1</w:t>
      </w:r>
    </w:p>
    <w:p w:rsidR="00757DA1" w:rsidRDefault="00757DA1" w:rsidP="00757DA1">
      <w:r w:rsidRPr="00757DA1">
        <w:rPr>
          <w:vertAlign w:val="superscript"/>
        </w:rPr>
        <w:t>1</w:t>
      </w:r>
      <w:r>
        <w:t>Dept of Hepatology, Royal Liverpool University Hospital Trust, Liverpool L7 8XP, UK and</w:t>
      </w:r>
    </w:p>
    <w:p w:rsidR="00757DA1" w:rsidRDefault="00757DA1" w:rsidP="00757DA1">
      <w:r w:rsidRPr="00757DA1">
        <w:rPr>
          <w:vertAlign w:val="superscript"/>
        </w:rPr>
        <w:t>2</w:t>
      </w:r>
      <w:r>
        <w:t>Institute of Translational Medicine, University of Liverpool, Live</w:t>
      </w:r>
      <w:r>
        <w:t xml:space="preserve">rpool L69 </w:t>
      </w:r>
      <w:proofErr w:type="gramStart"/>
      <w:r>
        <w:t>3GL ,</w:t>
      </w:r>
      <w:proofErr w:type="gramEnd"/>
      <w:r>
        <w:t xml:space="preserve"> UK</w:t>
      </w:r>
    </w:p>
    <w:p w:rsidR="00757DA1" w:rsidRDefault="00757DA1" w:rsidP="00757DA1"/>
    <w:p w:rsidR="00757DA1" w:rsidRDefault="00757DA1" w:rsidP="00757DA1">
      <w:pPr>
        <w:spacing w:line="276" w:lineRule="auto"/>
      </w:pPr>
      <w:r w:rsidRPr="00757DA1">
        <w:rPr>
          <w:b/>
        </w:rPr>
        <w:t>Introductio</w:t>
      </w:r>
      <w:r w:rsidRPr="00757DA1">
        <w:rPr>
          <w:b/>
        </w:rPr>
        <w:t>n:</w:t>
      </w:r>
      <w:r>
        <w:t xml:space="preserve"> Alcohol Related Brain Injury (ARBI) is a form of cognitive im</w:t>
      </w:r>
      <w:r>
        <w:t>pairment that is poten</w:t>
      </w:r>
      <w:r>
        <w:t>tially reversible with abstinence from alcohol [1]. Unfortunately, acute hospitals do not routinely</w:t>
      </w:r>
      <w:r>
        <w:t xml:space="preserve"> </w:t>
      </w:r>
      <w:r>
        <w:t>assess cognitive function in patients with Alcohol Use Disorders (AUDs), and therefore most ARBI</w:t>
      </w:r>
      <w:r>
        <w:t xml:space="preserve"> </w:t>
      </w:r>
      <w:r>
        <w:t>remains undetected. The deficiencies associated with ARBI may be a l</w:t>
      </w:r>
      <w:r>
        <w:t>eading factor in treatment fail</w:t>
      </w:r>
      <w:r>
        <w:t>ure and negative outcomes, as patients may neither understand nor remember their care pathway.</w:t>
      </w:r>
      <w:r>
        <w:t xml:space="preserve"> </w:t>
      </w:r>
      <w:r>
        <w:t>We have developed a clinical protocol to identify and subsequently screen those patients most at risk</w:t>
      </w:r>
      <w:r>
        <w:t xml:space="preserve"> </w:t>
      </w:r>
      <w:r>
        <w:t>of ARBI. Here we present an update on our previous work [2], and provide 12 month outcomes for a</w:t>
      </w:r>
      <w:r>
        <w:t xml:space="preserve"> </w:t>
      </w:r>
      <w:r>
        <w:t>subgroup of the population.</w:t>
      </w:r>
    </w:p>
    <w:p w:rsidR="00757DA1" w:rsidRDefault="00757DA1" w:rsidP="00757DA1">
      <w:pPr>
        <w:spacing w:line="276" w:lineRule="auto"/>
      </w:pPr>
      <w:r w:rsidRPr="00757DA1">
        <w:rPr>
          <w:b/>
        </w:rPr>
        <w:t>Methods:</w:t>
      </w:r>
      <w:r>
        <w:t xml:space="preserve"> Patients’ categorised as ‘at risk of ARBI’ underwent cognitive assessment utilising the</w:t>
      </w:r>
      <w:r>
        <w:t xml:space="preserve"> </w:t>
      </w:r>
      <w:r>
        <w:t>Montreal Cognitive Assessment (</w:t>
      </w:r>
      <w:proofErr w:type="spellStart"/>
      <w:r>
        <w:t>MoCA</w:t>
      </w:r>
      <w:proofErr w:type="spellEnd"/>
      <w:r>
        <w:t>©) [3]. If the score was less than 26 they were considered to</w:t>
      </w:r>
      <w:r>
        <w:t xml:space="preserve"> </w:t>
      </w:r>
      <w:r>
        <w:t xml:space="preserve">have a positive screen for potential ARBI. This resulted in referral to </w:t>
      </w:r>
      <w:r>
        <w:t>a psychiatrist for a comprehen</w:t>
      </w:r>
      <w:r>
        <w:t xml:space="preserve">sive assessment. All patients undergoing </w:t>
      </w:r>
      <w:proofErr w:type="spellStart"/>
      <w:r>
        <w:t>MoCA</w:t>
      </w:r>
      <w:proofErr w:type="spellEnd"/>
      <w:r>
        <w:t xml:space="preserve"> assessment are being followed-up using routine</w:t>
      </w:r>
      <w:r>
        <w:t xml:space="preserve"> </w:t>
      </w:r>
      <w:r>
        <w:t>clinical data.</w:t>
      </w:r>
    </w:p>
    <w:p w:rsidR="00757DA1" w:rsidRDefault="00757DA1" w:rsidP="00757DA1">
      <w:pPr>
        <w:spacing w:line="276" w:lineRule="auto"/>
      </w:pPr>
      <w:r w:rsidRPr="00757DA1">
        <w:rPr>
          <w:b/>
        </w:rPr>
        <w:t>Results:</w:t>
      </w:r>
      <w:r>
        <w:t xml:space="preserve"> 94/ 139 (67 .6%) patients screened positive on </w:t>
      </w:r>
      <w:proofErr w:type="spellStart"/>
      <w:r>
        <w:t>MoCA</w:t>
      </w:r>
      <w:proofErr w:type="spellEnd"/>
      <w:r>
        <w:t>. Fifty of these patients have</w:t>
      </w:r>
      <w:r>
        <w:t xml:space="preserve"> </w:t>
      </w:r>
      <w:r>
        <w:t>12 months follow-up data – data from this subgroup form the basis of this report. Thirty-one males</w:t>
      </w:r>
      <w:r>
        <w:t xml:space="preserve"> </w:t>
      </w:r>
      <w:r>
        <w:t>(6</w:t>
      </w:r>
      <w:r>
        <w:t>2%) and 19 females; mean age 53±</w:t>
      </w:r>
      <w:r>
        <w:t>11 years. Forty-two (84%) screened positive for potential</w:t>
      </w:r>
      <w:r>
        <w:t xml:space="preserve"> </w:t>
      </w:r>
      <w:r>
        <w:t>ARBI (</w:t>
      </w:r>
      <w:proofErr w:type="spellStart"/>
      <w:r>
        <w:t>MoCA</w:t>
      </w:r>
      <w:proofErr w:type="spellEnd"/>
      <w:r>
        <w:t xml:space="preserve"> &lt;26). At baseline 7 patients had been abstinent from alcohol for &gt;1 month;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43</w:t>
      </w:r>
      <w:r>
        <w:t xml:space="preserve"> </w:t>
      </w:r>
      <w:r>
        <w:t>who were drinking: median daily consumption was 20 UK u</w:t>
      </w:r>
      <w:r>
        <w:t>nits (IQR = 14) median AUDIT sc</w:t>
      </w:r>
      <w:r>
        <w:t>ore</w:t>
      </w:r>
      <w:r>
        <w:t xml:space="preserve"> </w:t>
      </w:r>
      <w:r>
        <w:t>was 28 (IQR = 10), an</w:t>
      </w:r>
      <w:r>
        <w:t>d median SADQ was 20 (IQR = 11)</w:t>
      </w:r>
      <w:r>
        <w:t>. Eighteen (</w:t>
      </w:r>
      <w:r>
        <w:t>36 %) had a diagnosis of Alco</w:t>
      </w:r>
      <w:r>
        <w:t>holic Liver Disease; the remaining 32 had no medical co-morbid con</w:t>
      </w:r>
      <w:r>
        <w:t>dition other than alcohol depen</w:t>
      </w:r>
      <w:r>
        <w:t>dence. Of the 42 patients with a diagnosis of ARBI, 8 (</w:t>
      </w:r>
      <w:r>
        <w:t>19%</w:t>
      </w:r>
      <w:r>
        <w:t>) had died; of which non e had evidence</w:t>
      </w:r>
      <w:r>
        <w:t xml:space="preserve"> </w:t>
      </w:r>
      <w:r>
        <w:t>of alcoholic</w:t>
      </w:r>
      <w:r>
        <w:t xml:space="preserve"> hepatitis and only one ha d ci</w:t>
      </w:r>
      <w:r>
        <w:t>rrh</w:t>
      </w:r>
      <w:r>
        <w:t>osis, which was not decompens</w:t>
      </w:r>
      <w:r>
        <w:t>ated.</w:t>
      </w:r>
    </w:p>
    <w:p w:rsidR="0077168A" w:rsidRDefault="00757DA1" w:rsidP="00757DA1">
      <w:pPr>
        <w:spacing w:line="276" w:lineRule="auto"/>
      </w:pPr>
      <w:r w:rsidRPr="00757DA1">
        <w:rPr>
          <w:b/>
        </w:rPr>
        <w:t>Conclusion:</w:t>
      </w:r>
      <w:r>
        <w:t xml:space="preserve"> The recognition of ARBI amongst health professionals and researchers is increasing,</w:t>
      </w:r>
      <w:r>
        <w:t xml:space="preserve"> </w:t>
      </w:r>
      <w:r>
        <w:t>but clinical guidelines are lacking. Screening for cognitive impairment in patients at risk of ARBI is the</w:t>
      </w:r>
      <w:r>
        <w:t xml:space="preserve"> </w:t>
      </w:r>
      <w:r>
        <w:t>first step in quantifying the problem and developing appropriate treatmen</w:t>
      </w:r>
      <w:r>
        <w:t>t plans that have the poten</w:t>
      </w:r>
      <w:r>
        <w:t>tial to prevent progression to more severe dementia and/or early mortality.</w:t>
      </w:r>
    </w:p>
    <w:p w:rsidR="00757DA1" w:rsidRDefault="00757DA1" w:rsidP="00757DA1">
      <w:pPr>
        <w:spacing w:line="276" w:lineRule="auto"/>
      </w:pPr>
    </w:p>
    <w:p w:rsidR="00757DA1" w:rsidRDefault="00757DA1" w:rsidP="00757DA1">
      <w:pPr>
        <w:pStyle w:val="EndNoteBibliography"/>
        <w:numPr>
          <w:ilvl w:val="0"/>
          <w:numId w:val="1"/>
        </w:numPr>
        <w:spacing w:after="0"/>
      </w:pPr>
      <w:r w:rsidRPr="00E5506F">
        <w:t xml:space="preserve">Bühler, M. and K. Mann, </w:t>
      </w:r>
      <w:r w:rsidRPr="00E5506F">
        <w:rPr>
          <w:i/>
        </w:rPr>
        <w:t>Alcohol and the Human Brain: A Systematic Review of Different Neuroimaging Methods.</w:t>
      </w:r>
      <w:r w:rsidRPr="00E5506F">
        <w:t xml:space="preserve"> Alcoholism: Clinical and Experimental Research, 2011. </w:t>
      </w:r>
      <w:r w:rsidRPr="00E5506F">
        <w:rPr>
          <w:b/>
        </w:rPr>
        <w:t>35</w:t>
      </w:r>
      <w:r w:rsidRPr="00E5506F">
        <w:t>(10): p. 1771-1793.</w:t>
      </w:r>
    </w:p>
    <w:p w:rsidR="00757DA1" w:rsidRPr="00E5506F" w:rsidRDefault="00757DA1" w:rsidP="00757DA1">
      <w:pPr>
        <w:pStyle w:val="EndNoteBibliography"/>
        <w:numPr>
          <w:ilvl w:val="0"/>
          <w:numId w:val="1"/>
        </w:numPr>
        <w:spacing w:after="0"/>
      </w:pPr>
      <w:r>
        <w:t xml:space="preserve">Owens, L., et al., OC-060 </w:t>
      </w:r>
      <w:r w:rsidRPr="00781BB4">
        <w:rPr>
          <w:i/>
        </w:rPr>
        <w:t>An observational prospective cohort audit to determine the presence of alcohol related brain injury (ARBI) in patients presenting to actue care</w:t>
      </w:r>
      <w:r>
        <w:t xml:space="preserve">: Gut, 2016. </w:t>
      </w:r>
      <w:r>
        <w:rPr>
          <w:b/>
        </w:rPr>
        <w:t>7</w:t>
      </w:r>
      <w:r>
        <w:t xml:space="preserve">(1): p. A35. </w:t>
      </w:r>
    </w:p>
    <w:p w:rsidR="00757DA1" w:rsidRPr="00E5506F" w:rsidRDefault="00757DA1" w:rsidP="00757DA1">
      <w:pPr>
        <w:pStyle w:val="EndNoteBibliography"/>
        <w:numPr>
          <w:ilvl w:val="0"/>
          <w:numId w:val="1"/>
        </w:numPr>
        <w:spacing w:after="0"/>
      </w:pPr>
      <w:r w:rsidRPr="00E5506F">
        <w:t xml:space="preserve">Nasreddine, Z.S., et al., </w:t>
      </w:r>
      <w:r w:rsidRPr="00E5506F">
        <w:rPr>
          <w:i/>
        </w:rPr>
        <w:t>The Montreal Cognitive Assessment, MoCA: a brief screening tool for mild cognitive impairment.</w:t>
      </w:r>
      <w:r w:rsidRPr="00E5506F">
        <w:t xml:space="preserve"> J Am Geriatr Soc, 2005. </w:t>
      </w:r>
      <w:r w:rsidRPr="00E5506F">
        <w:rPr>
          <w:b/>
        </w:rPr>
        <w:t>53</w:t>
      </w:r>
      <w:r w:rsidRPr="00E5506F">
        <w:t>(4): p. 695-9.</w:t>
      </w:r>
    </w:p>
    <w:p w:rsidR="00757DA1" w:rsidRDefault="00757DA1" w:rsidP="00757DA1">
      <w:pPr>
        <w:spacing w:line="276" w:lineRule="auto"/>
      </w:pPr>
    </w:p>
    <w:sectPr w:rsidR="00757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A2D56"/>
    <w:multiLevelType w:val="hybridMultilevel"/>
    <w:tmpl w:val="61A67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A1"/>
    <w:rsid w:val="00757DA1"/>
    <w:rsid w:val="007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1F741-5D79-4040-AEF2-17BFE740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757DA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57DA1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641">
                  <w:marLeft w:val="0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2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2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Andrew</dc:creator>
  <cp:keywords/>
  <dc:description/>
  <cp:lastModifiedBy>Thompson, Andrew</cp:lastModifiedBy>
  <cp:revision>1</cp:revision>
  <dcterms:created xsi:type="dcterms:W3CDTF">2017-08-10T09:40:00Z</dcterms:created>
  <dcterms:modified xsi:type="dcterms:W3CDTF">2017-08-10T09:51:00Z</dcterms:modified>
</cp:coreProperties>
</file>