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73" w:rsidRPr="00231828" w:rsidRDefault="00231828" w:rsidP="00231828">
      <w:pPr>
        <w:spacing w:line="480" w:lineRule="auto"/>
        <w:rPr>
          <w:rFonts w:ascii="Arial" w:hAnsi="Arial" w:cs="Arial"/>
          <w:b/>
        </w:rPr>
      </w:pPr>
      <w:r w:rsidRPr="00231828">
        <w:rPr>
          <w:rFonts w:ascii="Arial" w:hAnsi="Arial" w:cs="Arial"/>
          <w:b/>
        </w:rPr>
        <w:t>TITLE PAGE</w:t>
      </w:r>
    </w:p>
    <w:p w:rsidR="00AA0A11" w:rsidRPr="00231828" w:rsidRDefault="00AA0A11" w:rsidP="00231828">
      <w:pPr>
        <w:spacing w:line="480" w:lineRule="auto"/>
        <w:rPr>
          <w:rFonts w:ascii="Arial" w:hAnsi="Arial" w:cs="Arial"/>
          <w:b/>
        </w:rPr>
      </w:pPr>
      <w:r w:rsidRPr="00231828">
        <w:rPr>
          <w:rFonts w:ascii="Arial" w:hAnsi="Arial" w:cs="Arial"/>
          <w:b/>
        </w:rPr>
        <w:t>Detection of primary T cell responses to drugs and chemicals in HLA-typed volunteers</w:t>
      </w:r>
      <w:r w:rsidR="00B379CF" w:rsidRPr="00231828">
        <w:rPr>
          <w:rFonts w:ascii="Arial" w:hAnsi="Arial" w:cs="Arial"/>
          <w:b/>
        </w:rPr>
        <w:t>: implications for the prediction of drug immunogenicity</w:t>
      </w:r>
    </w:p>
    <w:p w:rsidR="00AA0A11" w:rsidRPr="00231828" w:rsidRDefault="00AA0A11" w:rsidP="00231828">
      <w:pPr>
        <w:spacing w:line="480" w:lineRule="auto"/>
        <w:rPr>
          <w:rFonts w:ascii="Arial" w:hAnsi="Arial" w:cs="Arial"/>
          <w:color w:val="FF0000"/>
        </w:rPr>
      </w:pPr>
      <w:proofErr w:type="gramStart"/>
      <w:r w:rsidRPr="00231828">
        <w:rPr>
          <w:rFonts w:ascii="Arial" w:hAnsi="Arial" w:cs="Arial"/>
        </w:rPr>
        <w:t>Lee Faulkner*, Andrew Gibson*, Andrew Sullivan*, Arun Tailor*, Toru Usui*, Ana Alfirevic</w:t>
      </w:r>
      <w:r w:rsidR="00833F38" w:rsidRPr="00231828">
        <w:rPr>
          <w:rFonts w:ascii="Arial" w:hAnsi="Arial" w:cs="Arial"/>
          <w:vertAlign w:val="superscript"/>
        </w:rPr>
        <w:t>†</w:t>
      </w:r>
      <w:r w:rsidRPr="00231828">
        <w:rPr>
          <w:rFonts w:ascii="Arial" w:hAnsi="Arial" w:cs="Arial"/>
        </w:rPr>
        <w:t>, Munir Pirmohamed</w:t>
      </w:r>
      <w:r w:rsidRPr="00231828">
        <w:rPr>
          <w:rFonts w:ascii="Arial" w:hAnsi="Arial" w:cs="Arial"/>
          <w:vertAlign w:val="superscript"/>
        </w:rPr>
        <w:t>†</w:t>
      </w:r>
      <w:r w:rsidRPr="00231828">
        <w:rPr>
          <w:rFonts w:ascii="Arial" w:hAnsi="Arial" w:cs="Arial"/>
        </w:rPr>
        <w:t xml:space="preserve">, </w:t>
      </w:r>
      <w:r w:rsidR="0099417E" w:rsidRPr="00231828">
        <w:rPr>
          <w:rFonts w:ascii="Arial" w:hAnsi="Arial" w:cs="Arial"/>
        </w:rPr>
        <w:t xml:space="preserve">Dean J. Naisbitt*, </w:t>
      </w:r>
      <w:r w:rsidRPr="00231828">
        <w:rPr>
          <w:rFonts w:ascii="Arial" w:hAnsi="Arial" w:cs="Arial"/>
        </w:rPr>
        <w:t>B. Kevin Park*.</w:t>
      </w:r>
      <w:proofErr w:type="gramEnd"/>
      <w:r w:rsidR="00D72C26" w:rsidRPr="00231828">
        <w:rPr>
          <w:rFonts w:ascii="Arial" w:hAnsi="Arial" w:cs="Arial"/>
        </w:rPr>
        <w:t xml:space="preserve">  </w:t>
      </w:r>
    </w:p>
    <w:p w:rsidR="00DB4CFB" w:rsidRPr="00231828" w:rsidRDefault="00AA0A11" w:rsidP="00231828">
      <w:pPr>
        <w:spacing w:after="120" w:line="480" w:lineRule="auto"/>
        <w:rPr>
          <w:rFonts w:ascii="Arial" w:hAnsi="Arial" w:cs="Arial"/>
        </w:rPr>
      </w:pPr>
      <w:r w:rsidRPr="00231828">
        <w:rPr>
          <w:rFonts w:ascii="Arial" w:hAnsi="Arial" w:cs="Arial"/>
        </w:rPr>
        <w:t>Centre for Drug Safety Science,</w:t>
      </w:r>
      <w:r w:rsidRPr="00231828">
        <w:rPr>
          <w:rFonts w:ascii="Arial" w:hAnsi="Arial" w:cs="Arial"/>
          <w:vertAlign w:val="superscript"/>
        </w:rPr>
        <w:t xml:space="preserve">  </w:t>
      </w:r>
      <w:r w:rsidRPr="00231828">
        <w:rPr>
          <w:rFonts w:ascii="Arial" w:hAnsi="Arial" w:cs="Arial"/>
        </w:rPr>
        <w:t xml:space="preserve"> * Department of Molecular and Clinical Pharmacology,</w:t>
      </w:r>
      <w:r w:rsidRPr="00231828">
        <w:rPr>
          <w:rFonts w:ascii="Arial" w:hAnsi="Arial" w:cs="Arial"/>
          <w:vertAlign w:val="superscript"/>
        </w:rPr>
        <w:t xml:space="preserve"> † </w:t>
      </w:r>
      <w:r w:rsidRPr="00231828">
        <w:rPr>
          <w:rFonts w:ascii="Arial" w:hAnsi="Arial" w:cs="Arial"/>
        </w:rPr>
        <w:t>Department of Personalised Medicine,</w:t>
      </w:r>
      <w:r w:rsidRPr="00231828">
        <w:rPr>
          <w:rFonts w:ascii="Arial" w:hAnsi="Arial" w:cs="Arial"/>
          <w:vertAlign w:val="superscript"/>
        </w:rPr>
        <w:t xml:space="preserve"> </w:t>
      </w:r>
      <w:r w:rsidRPr="00231828">
        <w:rPr>
          <w:rFonts w:ascii="Arial" w:hAnsi="Arial" w:cs="Arial"/>
        </w:rPr>
        <w:t>Institute of Translational Medicine, University of Liverpool, Liverpool, L69 3GE, UK</w:t>
      </w:r>
      <w:r w:rsidR="00B379CF" w:rsidRPr="00231828">
        <w:rPr>
          <w:rFonts w:ascii="Arial" w:hAnsi="Arial" w:cs="Arial"/>
        </w:rPr>
        <w:t xml:space="preserve">. </w:t>
      </w:r>
    </w:p>
    <w:p w:rsidR="00026E24" w:rsidRDefault="00026E24" w:rsidP="00231828">
      <w:pPr>
        <w:spacing w:after="120" w:line="480" w:lineRule="auto"/>
        <w:rPr>
          <w:rFonts w:ascii="Arial" w:hAnsi="Arial" w:cs="Arial"/>
        </w:rPr>
      </w:pPr>
    </w:p>
    <w:p w:rsidR="00DB4CFB" w:rsidRPr="00231828" w:rsidRDefault="00DB4CFB" w:rsidP="00231828">
      <w:pPr>
        <w:spacing w:after="120" w:line="480" w:lineRule="auto"/>
        <w:rPr>
          <w:rFonts w:ascii="Arial" w:hAnsi="Arial" w:cs="Arial"/>
        </w:rPr>
      </w:pPr>
      <w:r w:rsidRPr="00231828">
        <w:rPr>
          <w:rFonts w:ascii="Arial" w:hAnsi="Arial" w:cs="Arial"/>
        </w:rPr>
        <w:t xml:space="preserve">Correspondence should be addressed to Dean J. Naisbitt, Centre for Drug Safety Science, Department of Molecular and Clinical Pharmacology, Institute of Translational Medicine, University of Liverpool, Ashton Street, Liverpool, L69 3GE. </w:t>
      </w:r>
      <w:proofErr w:type="gramStart"/>
      <w:r w:rsidRPr="00231828">
        <w:rPr>
          <w:rFonts w:ascii="Arial" w:hAnsi="Arial" w:cs="Arial"/>
        </w:rPr>
        <w:t>Phone +44-151-794-5346.</w:t>
      </w:r>
      <w:proofErr w:type="gramEnd"/>
      <w:r w:rsidRPr="00231828">
        <w:rPr>
          <w:rFonts w:ascii="Arial" w:hAnsi="Arial" w:cs="Arial"/>
        </w:rPr>
        <w:t xml:space="preserve"> </w:t>
      </w:r>
      <w:proofErr w:type="gramStart"/>
      <w:r w:rsidRPr="00231828">
        <w:rPr>
          <w:rFonts w:ascii="Arial" w:hAnsi="Arial" w:cs="Arial"/>
        </w:rPr>
        <w:t>Fax +44-151-794-4450.</w:t>
      </w:r>
      <w:proofErr w:type="gramEnd"/>
      <w:r w:rsidRPr="00231828">
        <w:rPr>
          <w:rFonts w:ascii="Arial" w:hAnsi="Arial" w:cs="Arial"/>
        </w:rPr>
        <w:t xml:space="preserve"> Email: dean.naisbitt@liverpool.ac.uk.</w:t>
      </w:r>
    </w:p>
    <w:p w:rsidR="00DB4CFB" w:rsidRPr="00231828" w:rsidRDefault="00DB4CFB" w:rsidP="00231828">
      <w:pPr>
        <w:spacing w:line="480" w:lineRule="auto"/>
        <w:rPr>
          <w:rFonts w:ascii="Arial" w:hAnsi="Arial" w:cs="Arial"/>
        </w:rPr>
      </w:pPr>
    </w:p>
    <w:p w:rsidR="00DB4CFB" w:rsidRPr="00231828" w:rsidRDefault="00026E24" w:rsidP="00231828">
      <w:pPr>
        <w:spacing w:line="480" w:lineRule="auto"/>
        <w:rPr>
          <w:rFonts w:ascii="Arial" w:hAnsi="Arial" w:cs="Arial"/>
          <w:color w:val="FF0000"/>
        </w:rPr>
      </w:pPr>
      <w:r w:rsidRPr="00026E24">
        <w:rPr>
          <w:rFonts w:ascii="Arial" w:hAnsi="Arial" w:cs="Arial"/>
          <w:b/>
        </w:rPr>
        <w:t>Running</w:t>
      </w:r>
      <w:r w:rsidR="00DB4CFB" w:rsidRPr="00026E24">
        <w:rPr>
          <w:rFonts w:ascii="Arial" w:hAnsi="Arial" w:cs="Arial"/>
          <w:b/>
        </w:rPr>
        <w:t xml:space="preserve"> title:</w:t>
      </w:r>
      <w:r w:rsidR="00DB4CFB" w:rsidRPr="00231828">
        <w:rPr>
          <w:rFonts w:ascii="Arial" w:hAnsi="Arial" w:cs="Arial"/>
        </w:rPr>
        <w:t xml:space="preserve"> </w:t>
      </w:r>
      <w:r w:rsidR="00295D72" w:rsidRPr="00231828">
        <w:rPr>
          <w:rFonts w:ascii="Arial" w:hAnsi="Arial" w:cs="Arial"/>
        </w:rPr>
        <w:t xml:space="preserve">HLA alleles and drug hypersensitivity </w:t>
      </w:r>
    </w:p>
    <w:p w:rsidR="00DB4CFB" w:rsidRPr="00231828" w:rsidRDefault="00DB4CFB" w:rsidP="00231828">
      <w:pPr>
        <w:spacing w:line="480" w:lineRule="auto"/>
        <w:rPr>
          <w:rFonts w:ascii="Times New Roman" w:hAnsi="Times New Roman" w:cs="Times New Roman"/>
        </w:rPr>
      </w:pPr>
      <w:r w:rsidRPr="00231828">
        <w:rPr>
          <w:rFonts w:ascii="Times New Roman" w:hAnsi="Times New Roman" w:cs="Times New Roman"/>
        </w:rPr>
        <w:br w:type="page"/>
      </w:r>
    </w:p>
    <w:p w:rsidR="00FF7E3B" w:rsidRPr="00231828" w:rsidRDefault="00FF7E3B" w:rsidP="00231828">
      <w:pPr>
        <w:spacing w:line="480" w:lineRule="auto"/>
        <w:rPr>
          <w:rFonts w:ascii="Arial" w:hAnsi="Arial" w:cs="Arial"/>
          <w:b/>
        </w:rPr>
      </w:pPr>
      <w:r w:rsidRPr="00231828">
        <w:rPr>
          <w:rFonts w:ascii="Arial" w:hAnsi="Arial" w:cs="Arial"/>
          <w:b/>
        </w:rPr>
        <w:lastRenderedPageBreak/>
        <w:t>ABSTRACT</w:t>
      </w:r>
    </w:p>
    <w:p w:rsidR="0099417E" w:rsidRPr="00231828" w:rsidRDefault="0064423E" w:rsidP="00231828">
      <w:pPr>
        <w:autoSpaceDE w:val="0"/>
        <w:autoSpaceDN w:val="0"/>
        <w:adjustRightInd w:val="0"/>
        <w:spacing w:after="0" w:line="480" w:lineRule="auto"/>
        <w:jc w:val="both"/>
        <w:rPr>
          <w:rFonts w:ascii="Arial" w:hAnsi="Arial" w:cs="Arial"/>
        </w:rPr>
      </w:pPr>
      <w:r>
        <w:rPr>
          <w:rFonts w:ascii="Arial" w:hAnsi="Arial" w:cs="Arial"/>
        </w:rPr>
        <w:t>A number</w:t>
      </w:r>
      <w:r w:rsidR="0099417E" w:rsidRPr="00231828">
        <w:rPr>
          <w:rFonts w:ascii="Arial" w:hAnsi="Arial" w:cs="Arial"/>
        </w:rPr>
        <w:t xml:space="preserve"> of </w:t>
      </w:r>
      <w:r>
        <w:rPr>
          <w:rFonts w:ascii="Arial" w:hAnsi="Arial" w:cs="Arial"/>
        </w:rPr>
        <w:t xml:space="preserve">serious </w:t>
      </w:r>
      <w:r w:rsidR="0099417E" w:rsidRPr="00231828">
        <w:rPr>
          <w:rFonts w:ascii="Arial" w:hAnsi="Arial" w:cs="Arial"/>
        </w:rPr>
        <w:t xml:space="preserve">adverse drug reactions are </w:t>
      </w:r>
      <w:r w:rsidR="0059799C" w:rsidRPr="00231828">
        <w:rPr>
          <w:rFonts w:ascii="Arial" w:hAnsi="Arial" w:cs="Arial"/>
        </w:rPr>
        <w:t>caused by T-cells</w:t>
      </w:r>
      <w:r w:rsidR="0099417E" w:rsidRPr="00231828">
        <w:rPr>
          <w:rFonts w:ascii="Arial" w:hAnsi="Arial" w:cs="Arial"/>
        </w:rPr>
        <w:t xml:space="preserve">. </w:t>
      </w:r>
      <w:r w:rsidR="00C074A2" w:rsidRPr="00231828">
        <w:rPr>
          <w:rFonts w:ascii="Arial" w:hAnsi="Arial" w:cs="Arial"/>
        </w:rPr>
        <w:t>A</w:t>
      </w:r>
      <w:r w:rsidR="0099417E" w:rsidRPr="00231828">
        <w:rPr>
          <w:rFonts w:ascii="Arial" w:hAnsi="Arial" w:cs="Arial"/>
        </w:rPr>
        <w:t>n association wi</w:t>
      </w:r>
      <w:r w:rsidR="00C074A2" w:rsidRPr="00231828">
        <w:rPr>
          <w:rFonts w:ascii="Arial" w:hAnsi="Arial" w:cs="Arial"/>
        </w:rPr>
        <w:t xml:space="preserve">th HLA alleles </w:t>
      </w:r>
      <w:r w:rsidR="0059799C" w:rsidRPr="00231828">
        <w:rPr>
          <w:rFonts w:ascii="Arial" w:hAnsi="Arial" w:cs="Arial"/>
        </w:rPr>
        <w:t xml:space="preserve">has been identified with </w:t>
      </w:r>
      <w:r w:rsidR="00C074A2" w:rsidRPr="00231828">
        <w:rPr>
          <w:rFonts w:ascii="Arial" w:hAnsi="Arial" w:cs="Arial"/>
        </w:rPr>
        <w:t>certain reactions</w:t>
      </w:r>
      <w:r w:rsidR="0059799C" w:rsidRPr="00231828">
        <w:rPr>
          <w:rFonts w:ascii="Arial" w:hAnsi="Arial" w:cs="Arial"/>
        </w:rPr>
        <w:t>, which makes it difficult to develop</w:t>
      </w:r>
      <w:r w:rsidR="00B379CF" w:rsidRPr="00231828">
        <w:rPr>
          <w:rFonts w:ascii="Arial" w:hAnsi="Arial" w:cs="Arial"/>
        </w:rPr>
        <w:t xml:space="preserve"> </w:t>
      </w:r>
      <w:r w:rsidR="00137541" w:rsidRPr="00231828">
        <w:rPr>
          <w:rFonts w:ascii="Arial" w:hAnsi="Arial" w:cs="Arial"/>
        </w:rPr>
        <w:t xml:space="preserve">standardized </w:t>
      </w:r>
      <w:r w:rsidR="00B379CF" w:rsidRPr="00231828">
        <w:rPr>
          <w:rFonts w:ascii="Arial" w:hAnsi="Arial" w:cs="Arial"/>
        </w:rPr>
        <w:t>preclinical test</w:t>
      </w:r>
      <w:r w:rsidR="0059799C" w:rsidRPr="00231828">
        <w:rPr>
          <w:rFonts w:ascii="Arial" w:hAnsi="Arial" w:cs="Arial"/>
        </w:rPr>
        <w:t>s</w:t>
      </w:r>
      <w:r w:rsidR="00B379CF" w:rsidRPr="00231828">
        <w:rPr>
          <w:rFonts w:ascii="Arial" w:hAnsi="Arial" w:cs="Arial"/>
        </w:rPr>
        <w:t xml:space="preserve"> to predict </w:t>
      </w:r>
      <w:r w:rsidR="00137541" w:rsidRPr="00231828">
        <w:rPr>
          <w:rFonts w:ascii="Arial" w:hAnsi="Arial" w:cs="Arial"/>
        </w:rPr>
        <w:t>chemical liability. We have recently developed a</w:t>
      </w:r>
      <w:r w:rsidR="00137541" w:rsidRPr="00231828">
        <w:rPr>
          <w:rFonts w:ascii="Arial" w:hAnsi="Arial" w:cs="Arial"/>
          <w:i/>
          <w:lang w:val="en-US"/>
        </w:rPr>
        <w:t xml:space="preserve"> </w:t>
      </w:r>
      <w:r w:rsidR="00137541" w:rsidRPr="00231828">
        <w:rPr>
          <w:rFonts w:ascii="Arial" w:hAnsi="Arial" w:cs="Arial"/>
          <w:lang w:val="en-US"/>
        </w:rPr>
        <w:t>T cell priming assay</w:t>
      </w:r>
      <w:r w:rsidR="00137541" w:rsidRPr="00231828">
        <w:rPr>
          <w:rFonts w:ascii="Arial" w:hAnsi="Arial" w:cs="Arial"/>
        </w:rPr>
        <w:t xml:space="preserve"> using </w:t>
      </w:r>
      <w:r w:rsidR="0064534D" w:rsidRPr="00231828">
        <w:rPr>
          <w:rFonts w:ascii="Arial" w:hAnsi="Arial" w:cs="Arial"/>
        </w:rPr>
        <w:t xml:space="preserve">the </w:t>
      </w:r>
      <w:r w:rsidR="00137541" w:rsidRPr="00231828">
        <w:rPr>
          <w:rFonts w:ascii="Arial" w:hAnsi="Arial" w:cs="Arial"/>
        </w:rPr>
        <w:t xml:space="preserve">drug metabolite </w:t>
      </w:r>
      <w:proofErr w:type="spellStart"/>
      <w:r w:rsidR="00137541" w:rsidRPr="00231828">
        <w:rPr>
          <w:rFonts w:ascii="Arial" w:hAnsi="Arial" w:cs="Arial"/>
        </w:rPr>
        <w:t>nitroso</w:t>
      </w:r>
      <w:proofErr w:type="spellEnd"/>
      <w:r w:rsidR="00137541" w:rsidRPr="00231828">
        <w:rPr>
          <w:rFonts w:ascii="Arial" w:hAnsi="Arial" w:cs="Arial"/>
        </w:rPr>
        <w:t xml:space="preserve"> </w:t>
      </w:r>
      <w:proofErr w:type="spellStart"/>
      <w:r w:rsidR="00137541" w:rsidRPr="00231828">
        <w:rPr>
          <w:rFonts w:ascii="Arial" w:hAnsi="Arial" w:cs="Arial"/>
        </w:rPr>
        <w:t>sulfamethoxazole</w:t>
      </w:r>
      <w:proofErr w:type="spellEnd"/>
      <w:r w:rsidR="00137541" w:rsidRPr="00231828">
        <w:rPr>
          <w:rFonts w:ascii="Arial" w:hAnsi="Arial" w:cs="Arial"/>
        </w:rPr>
        <w:t xml:space="preserve"> (SMX-NO). We now report on </w:t>
      </w:r>
      <w:r w:rsidR="0059799C" w:rsidRPr="00231828">
        <w:rPr>
          <w:rFonts w:ascii="Arial" w:hAnsi="Arial" w:cs="Arial"/>
        </w:rPr>
        <w:t xml:space="preserve">reproducibility of the assay, </w:t>
      </w:r>
      <w:r w:rsidR="00137541" w:rsidRPr="00231828">
        <w:rPr>
          <w:rFonts w:ascii="Arial" w:hAnsi="Arial" w:cs="Arial"/>
        </w:rPr>
        <w:t xml:space="preserve">establishment of a </w:t>
      </w:r>
      <w:proofErr w:type="spellStart"/>
      <w:r w:rsidR="00137541" w:rsidRPr="00231828">
        <w:rPr>
          <w:rFonts w:ascii="Arial" w:hAnsi="Arial" w:cs="Arial"/>
        </w:rPr>
        <w:t>biobank</w:t>
      </w:r>
      <w:proofErr w:type="spellEnd"/>
      <w:r w:rsidR="00137541" w:rsidRPr="00231828">
        <w:rPr>
          <w:rFonts w:ascii="Arial" w:hAnsi="Arial" w:cs="Arial"/>
        </w:rPr>
        <w:t xml:space="preserve"> of PBMC from 1000 HLA-typed </w:t>
      </w:r>
      <w:r w:rsidR="00A53152" w:rsidRPr="00231828">
        <w:rPr>
          <w:rFonts w:ascii="Arial" w:hAnsi="Arial" w:cs="Arial"/>
        </w:rPr>
        <w:t>volunteers</w:t>
      </w:r>
      <w:r w:rsidR="00137541" w:rsidRPr="00231828">
        <w:rPr>
          <w:rFonts w:ascii="Arial" w:hAnsi="Arial" w:cs="Arial"/>
        </w:rPr>
        <w:t xml:space="preserve">, and generation of antigen-specific responses to a panel of compounds. Forty T cell priming assays were performed with SMX-NO; 5 gave weak responses (1.5-1.9) and </w:t>
      </w:r>
      <w:r w:rsidR="00A53152" w:rsidRPr="00231828">
        <w:rPr>
          <w:rFonts w:ascii="Arial" w:hAnsi="Arial" w:cs="Arial"/>
        </w:rPr>
        <w:t>34</w:t>
      </w:r>
      <w:r w:rsidR="00137541" w:rsidRPr="00231828">
        <w:rPr>
          <w:rFonts w:ascii="Arial" w:hAnsi="Arial" w:cs="Arial"/>
        </w:rPr>
        <w:t xml:space="preserve"> showed good (SI 2.0-3.9) or strong responses (SI &gt;4.0) using readouts for proliferation and cytokine release. Thus, SMX-NO </w:t>
      </w:r>
      <w:r>
        <w:rPr>
          <w:rFonts w:ascii="Arial" w:hAnsi="Arial" w:cs="Arial"/>
        </w:rPr>
        <w:t xml:space="preserve">can be used as a model reagent for </w:t>
      </w:r>
      <w:r>
        <w:rPr>
          <w:rFonts w:ascii="Arial" w:hAnsi="Arial" w:cs="Arial"/>
          <w:i/>
        </w:rPr>
        <w:t xml:space="preserve">in vitro </w:t>
      </w:r>
      <w:r>
        <w:rPr>
          <w:rFonts w:ascii="Arial" w:hAnsi="Arial" w:cs="Arial"/>
        </w:rPr>
        <w:t>T-cell activation</w:t>
      </w:r>
      <w:r w:rsidR="0064534D" w:rsidRPr="00231828">
        <w:rPr>
          <w:rFonts w:ascii="Arial" w:hAnsi="Arial" w:cs="Arial"/>
        </w:rPr>
        <w:t xml:space="preserve">. Good to strong responses were also generated to </w:t>
      </w:r>
      <w:proofErr w:type="spellStart"/>
      <w:r w:rsidR="0064534D" w:rsidRPr="00231828">
        <w:rPr>
          <w:rFonts w:ascii="Arial" w:hAnsi="Arial" w:cs="Arial"/>
        </w:rPr>
        <w:t>haptenic</w:t>
      </w:r>
      <w:proofErr w:type="spellEnd"/>
      <w:r w:rsidR="0064534D" w:rsidRPr="00231828">
        <w:rPr>
          <w:rFonts w:ascii="Arial" w:hAnsi="Arial" w:cs="Arial"/>
        </w:rPr>
        <w:t xml:space="preserve"> compounds </w:t>
      </w:r>
      <w:r w:rsidR="00F82FB3" w:rsidRPr="00231828">
        <w:rPr>
          <w:rFonts w:ascii="Arial" w:hAnsi="Arial" w:cs="Arial"/>
        </w:rPr>
        <w:t>(</w:t>
      </w:r>
      <w:r w:rsidR="0059799C" w:rsidRPr="00231828">
        <w:rPr>
          <w:rFonts w:ascii="Arial" w:hAnsi="Arial" w:cs="Arial"/>
        </w:rPr>
        <w:t xml:space="preserve">amoxicillin, </w:t>
      </w:r>
      <w:r w:rsidR="0064534D" w:rsidRPr="00231828">
        <w:rPr>
          <w:rFonts w:ascii="Arial" w:hAnsi="Arial" w:cs="Arial"/>
        </w:rPr>
        <w:t>piperaci</w:t>
      </w:r>
      <w:r w:rsidR="0059799C" w:rsidRPr="00231828">
        <w:rPr>
          <w:rFonts w:ascii="Arial" w:hAnsi="Arial" w:cs="Arial"/>
        </w:rPr>
        <w:t>llin and</w:t>
      </w:r>
      <w:r w:rsidR="0064534D" w:rsidRPr="00231828">
        <w:rPr>
          <w:rFonts w:ascii="Arial" w:hAnsi="Arial" w:cs="Arial"/>
        </w:rPr>
        <w:t xml:space="preserve"> </w:t>
      </w:r>
      <w:proofErr w:type="spellStart"/>
      <w:r w:rsidR="00F82FB3" w:rsidRPr="00231828">
        <w:rPr>
          <w:rFonts w:ascii="Arial" w:hAnsi="Arial" w:cs="Arial"/>
        </w:rPr>
        <w:t>Bandrowski’s</w:t>
      </w:r>
      <w:proofErr w:type="spellEnd"/>
      <w:r w:rsidR="00F82FB3" w:rsidRPr="00231828">
        <w:rPr>
          <w:rFonts w:ascii="Arial" w:hAnsi="Arial" w:cs="Arial"/>
        </w:rPr>
        <w:t xml:space="preserve"> base) that</w:t>
      </w:r>
      <w:r w:rsidR="0064534D" w:rsidRPr="00231828">
        <w:rPr>
          <w:rFonts w:ascii="Arial" w:hAnsi="Arial" w:cs="Arial"/>
        </w:rPr>
        <w:t xml:space="preserve"> are not associated </w:t>
      </w:r>
      <w:r>
        <w:rPr>
          <w:rFonts w:ascii="Arial" w:hAnsi="Arial" w:cs="Arial"/>
        </w:rPr>
        <w:t xml:space="preserve">with </w:t>
      </w:r>
      <w:r w:rsidR="0064534D" w:rsidRPr="00231828">
        <w:rPr>
          <w:rFonts w:ascii="Arial" w:hAnsi="Arial" w:cs="Arial"/>
        </w:rPr>
        <w:t xml:space="preserve">an HLA risk allele. </w:t>
      </w:r>
      <w:r w:rsidR="0099417E" w:rsidRPr="00231828">
        <w:rPr>
          <w:rFonts w:ascii="Arial" w:hAnsi="Arial" w:cs="Arial"/>
        </w:rPr>
        <w:t xml:space="preserve">Furthermore, responses were detected to carbamazepine (in HLA-B*15:02 donors), flucloxacillin (in one HLA-B*57:01 donor) and </w:t>
      </w:r>
      <w:proofErr w:type="spellStart"/>
      <w:r w:rsidR="0099417E" w:rsidRPr="00231828">
        <w:rPr>
          <w:rFonts w:ascii="Arial" w:hAnsi="Arial" w:cs="Arial"/>
        </w:rPr>
        <w:t>oxypurinol</w:t>
      </w:r>
      <w:proofErr w:type="spellEnd"/>
      <w:r w:rsidR="0099417E" w:rsidRPr="00231828">
        <w:rPr>
          <w:rFonts w:ascii="Arial" w:hAnsi="Arial" w:cs="Arial"/>
        </w:rPr>
        <w:t xml:space="preserve"> (in HLA-B*58:01 donors), which are associated with HLA-class I-restricted forms of hypersensitivity. In contrast, naïve T cell priming to </w:t>
      </w:r>
      <w:proofErr w:type="spellStart"/>
      <w:r w:rsidR="0099417E" w:rsidRPr="00231828">
        <w:rPr>
          <w:rFonts w:ascii="Arial" w:hAnsi="Arial" w:cs="Arial"/>
        </w:rPr>
        <w:t>ximelagatran</w:t>
      </w:r>
      <w:proofErr w:type="spellEnd"/>
      <w:r w:rsidR="0099417E" w:rsidRPr="00231828">
        <w:rPr>
          <w:rFonts w:ascii="Arial" w:hAnsi="Arial" w:cs="Arial"/>
        </w:rPr>
        <w:t xml:space="preserve">, </w:t>
      </w:r>
      <w:proofErr w:type="spellStart"/>
      <w:r w:rsidR="0099417E" w:rsidRPr="00231828">
        <w:rPr>
          <w:rFonts w:ascii="Arial" w:hAnsi="Arial" w:cs="Arial"/>
        </w:rPr>
        <w:t>lumiracoxib</w:t>
      </w:r>
      <w:proofErr w:type="spellEnd"/>
      <w:r w:rsidR="00C074A2" w:rsidRPr="00231828">
        <w:rPr>
          <w:rFonts w:ascii="Arial" w:hAnsi="Arial" w:cs="Arial"/>
        </w:rPr>
        <w:t xml:space="preserve"> and </w:t>
      </w:r>
      <w:proofErr w:type="spellStart"/>
      <w:r w:rsidR="00C074A2" w:rsidRPr="00231828">
        <w:rPr>
          <w:rFonts w:ascii="Arial" w:hAnsi="Arial" w:cs="Arial"/>
        </w:rPr>
        <w:t>lapatinib</w:t>
      </w:r>
      <w:proofErr w:type="spellEnd"/>
      <w:r w:rsidR="0099417E" w:rsidRPr="00231828">
        <w:rPr>
          <w:rFonts w:ascii="Arial" w:hAnsi="Arial" w:cs="Arial"/>
        </w:rPr>
        <w:t xml:space="preserve"> </w:t>
      </w:r>
      <w:r w:rsidR="00C074A2" w:rsidRPr="00231828">
        <w:rPr>
          <w:rFonts w:ascii="Arial" w:hAnsi="Arial" w:cs="Arial"/>
        </w:rPr>
        <w:t>(</w:t>
      </w:r>
      <w:r w:rsidR="0099417E" w:rsidRPr="00231828">
        <w:rPr>
          <w:rFonts w:ascii="Arial" w:hAnsi="Arial" w:cs="Arial"/>
        </w:rPr>
        <w:t xml:space="preserve">HLA-class II-restricted </w:t>
      </w:r>
      <w:r w:rsidR="00C074A2" w:rsidRPr="00231828">
        <w:rPr>
          <w:rFonts w:ascii="Arial" w:hAnsi="Arial" w:cs="Arial"/>
        </w:rPr>
        <w:t xml:space="preserve">forms of hypersensitivity) yielded </w:t>
      </w:r>
      <w:r w:rsidR="0099417E" w:rsidRPr="00231828">
        <w:rPr>
          <w:rFonts w:ascii="Arial" w:hAnsi="Arial" w:cs="Arial"/>
        </w:rPr>
        <w:t xml:space="preserve">negative results. </w:t>
      </w:r>
      <w:proofErr w:type="spellStart"/>
      <w:r w:rsidR="00A53152" w:rsidRPr="00231828">
        <w:rPr>
          <w:rFonts w:ascii="Arial" w:hAnsi="Arial" w:cs="Arial"/>
        </w:rPr>
        <w:t>Abacavir</w:t>
      </w:r>
      <w:proofErr w:type="spellEnd"/>
      <w:r w:rsidR="00A53152" w:rsidRPr="00231828">
        <w:rPr>
          <w:rFonts w:ascii="Arial" w:hAnsi="Arial" w:cs="Arial"/>
        </w:rPr>
        <w:t xml:space="preserve">, which activates memory T-cells in patients, did not activate naïve T-cells from HLA-B*57:01 donors. </w:t>
      </w:r>
      <w:r w:rsidR="0099417E" w:rsidRPr="00231828">
        <w:rPr>
          <w:rFonts w:ascii="Arial" w:hAnsi="Arial" w:cs="Arial"/>
        </w:rPr>
        <w:t xml:space="preserve">This work shows that </w:t>
      </w:r>
      <w:r w:rsidR="0059799C" w:rsidRPr="00231828">
        <w:rPr>
          <w:rFonts w:ascii="Arial" w:hAnsi="Arial" w:cs="Arial"/>
        </w:rPr>
        <w:t xml:space="preserve">the priming assay can be used to </w:t>
      </w:r>
      <w:r w:rsidR="0010631B" w:rsidRPr="00231828">
        <w:rPr>
          <w:rFonts w:ascii="Arial" w:hAnsi="Arial" w:cs="Arial"/>
        </w:rPr>
        <w:t xml:space="preserve">assess </w:t>
      </w:r>
      <w:r w:rsidR="0010631B">
        <w:rPr>
          <w:rFonts w:ascii="Arial" w:hAnsi="Arial" w:cs="Arial"/>
        </w:rPr>
        <w:t>primary T-cell responses to</w:t>
      </w:r>
      <w:r w:rsidR="0010631B" w:rsidRPr="00231828">
        <w:rPr>
          <w:rFonts w:ascii="Arial" w:hAnsi="Arial" w:cs="Arial"/>
        </w:rPr>
        <w:t xml:space="preserve"> drugs </w:t>
      </w:r>
      <w:r w:rsidR="0059799C" w:rsidRPr="00231828">
        <w:rPr>
          <w:rFonts w:ascii="Arial" w:hAnsi="Arial" w:cs="Arial"/>
        </w:rPr>
        <w:t xml:space="preserve">and to study mechanisms </w:t>
      </w:r>
      <w:r w:rsidR="0010631B">
        <w:rPr>
          <w:rFonts w:ascii="Arial" w:hAnsi="Arial" w:cs="Arial"/>
        </w:rPr>
        <w:t>T-cell priming</w:t>
      </w:r>
      <w:r w:rsidR="0059799C" w:rsidRPr="00231828">
        <w:rPr>
          <w:rFonts w:ascii="Arial" w:hAnsi="Arial" w:cs="Arial"/>
        </w:rPr>
        <w:t xml:space="preserve"> for drugs that display HLA class I restriction.</w:t>
      </w:r>
      <w:r w:rsidR="0099417E" w:rsidRPr="00231828">
        <w:rPr>
          <w:rFonts w:ascii="Arial" w:hAnsi="Arial" w:cs="Arial"/>
        </w:rPr>
        <w:t xml:space="preserve"> </w:t>
      </w:r>
      <w:r w:rsidR="00C074A2" w:rsidRPr="00231828">
        <w:rPr>
          <w:rFonts w:ascii="Arial" w:hAnsi="Arial" w:cs="Arial"/>
        </w:rPr>
        <w:t>Additional</w:t>
      </w:r>
      <w:r w:rsidR="0099417E" w:rsidRPr="00231828">
        <w:rPr>
          <w:rFonts w:ascii="Arial" w:hAnsi="Arial" w:cs="Arial"/>
        </w:rPr>
        <w:t xml:space="preserve"> </w:t>
      </w:r>
      <w:r w:rsidR="00C074A2" w:rsidRPr="00231828">
        <w:rPr>
          <w:rFonts w:ascii="Arial" w:hAnsi="Arial" w:cs="Arial"/>
        </w:rPr>
        <w:t>studies are</w:t>
      </w:r>
      <w:r w:rsidR="0099417E" w:rsidRPr="00231828">
        <w:rPr>
          <w:rFonts w:ascii="Arial" w:hAnsi="Arial" w:cs="Arial"/>
        </w:rPr>
        <w:t xml:space="preserve"> required to investigate </w:t>
      </w:r>
      <w:r w:rsidR="00C074A2" w:rsidRPr="00231828">
        <w:rPr>
          <w:rFonts w:ascii="Arial" w:hAnsi="Arial" w:cs="Arial"/>
        </w:rPr>
        <w:t>HLA-class II-restricted</w:t>
      </w:r>
      <w:r w:rsidR="0099417E" w:rsidRPr="00231828">
        <w:rPr>
          <w:rFonts w:ascii="Arial" w:hAnsi="Arial" w:cs="Arial"/>
        </w:rPr>
        <w:t xml:space="preserve"> reaction</w:t>
      </w:r>
      <w:r w:rsidR="00C074A2" w:rsidRPr="00231828">
        <w:rPr>
          <w:rFonts w:ascii="Arial" w:hAnsi="Arial" w:cs="Arial"/>
        </w:rPr>
        <w:t>s</w:t>
      </w:r>
      <w:r w:rsidR="0099417E" w:rsidRPr="00231828">
        <w:rPr>
          <w:rFonts w:ascii="Arial" w:hAnsi="Arial" w:cs="Arial"/>
        </w:rPr>
        <w:t>.</w:t>
      </w:r>
    </w:p>
    <w:p w:rsidR="0059799C" w:rsidRPr="00231828" w:rsidRDefault="0059799C" w:rsidP="00231828">
      <w:pPr>
        <w:spacing w:line="480" w:lineRule="auto"/>
        <w:rPr>
          <w:rFonts w:ascii="Arial" w:hAnsi="Arial" w:cs="Arial"/>
        </w:rPr>
      </w:pPr>
    </w:p>
    <w:p w:rsidR="0099417E" w:rsidRPr="00231828" w:rsidRDefault="00843948" w:rsidP="00231828">
      <w:pPr>
        <w:spacing w:line="480" w:lineRule="auto"/>
        <w:rPr>
          <w:rFonts w:ascii="Arial" w:hAnsi="Arial" w:cs="Arial"/>
          <w:b/>
        </w:rPr>
      </w:pPr>
      <w:r w:rsidRPr="00231828">
        <w:rPr>
          <w:rFonts w:ascii="Arial" w:hAnsi="Arial" w:cs="Arial"/>
          <w:b/>
        </w:rPr>
        <w:t>Key words:</w:t>
      </w:r>
      <w:r w:rsidRPr="00231828">
        <w:rPr>
          <w:rFonts w:ascii="Arial" w:hAnsi="Arial" w:cs="Arial"/>
        </w:rPr>
        <w:t xml:space="preserve"> HLA, T cells, </w:t>
      </w:r>
      <w:r w:rsidR="0059799C" w:rsidRPr="00231828">
        <w:rPr>
          <w:rFonts w:ascii="Arial" w:hAnsi="Arial" w:cs="Arial"/>
        </w:rPr>
        <w:t xml:space="preserve">drug </w:t>
      </w:r>
      <w:r w:rsidRPr="00231828">
        <w:rPr>
          <w:rFonts w:ascii="Arial" w:hAnsi="Arial" w:cs="Arial"/>
        </w:rPr>
        <w:t xml:space="preserve">hypersensitivity </w:t>
      </w:r>
      <w:r w:rsidR="0099417E" w:rsidRPr="00231828">
        <w:rPr>
          <w:rFonts w:ascii="Arial" w:hAnsi="Arial" w:cs="Arial"/>
          <w:b/>
        </w:rPr>
        <w:br w:type="page"/>
      </w:r>
    </w:p>
    <w:p w:rsidR="00E04244" w:rsidRPr="00231828" w:rsidRDefault="00E04244" w:rsidP="00231828">
      <w:pPr>
        <w:spacing w:line="480" w:lineRule="auto"/>
        <w:rPr>
          <w:rFonts w:ascii="Arial" w:hAnsi="Arial" w:cs="Arial"/>
          <w:b/>
        </w:rPr>
      </w:pPr>
      <w:r w:rsidRPr="00231828">
        <w:rPr>
          <w:rFonts w:ascii="Arial" w:hAnsi="Arial" w:cs="Arial"/>
          <w:b/>
        </w:rPr>
        <w:lastRenderedPageBreak/>
        <w:t>INTRODUCTION</w:t>
      </w:r>
    </w:p>
    <w:p w:rsidR="0094085D" w:rsidRPr="00231828" w:rsidRDefault="00A4127E" w:rsidP="00231828">
      <w:pPr>
        <w:spacing w:line="480" w:lineRule="auto"/>
        <w:jc w:val="both"/>
        <w:rPr>
          <w:rFonts w:ascii="Arial" w:hAnsi="Arial" w:cs="Arial"/>
        </w:rPr>
      </w:pPr>
      <w:r w:rsidRPr="00231828">
        <w:rPr>
          <w:rFonts w:ascii="Arial" w:hAnsi="Arial" w:cs="Arial"/>
          <w:color w:val="292526"/>
        </w:rPr>
        <w:t xml:space="preserve">The mechanisms involved in the </w:t>
      </w:r>
      <w:proofErr w:type="spellStart"/>
      <w:r w:rsidRPr="00231828">
        <w:rPr>
          <w:rFonts w:ascii="Arial" w:hAnsi="Arial" w:cs="Arial"/>
          <w:color w:val="292526"/>
        </w:rPr>
        <w:t>etiology</w:t>
      </w:r>
      <w:proofErr w:type="spellEnd"/>
      <w:r w:rsidRPr="00231828">
        <w:rPr>
          <w:rFonts w:ascii="Arial" w:hAnsi="Arial" w:cs="Arial"/>
          <w:color w:val="292526"/>
        </w:rPr>
        <w:t xml:space="preserve"> of </w:t>
      </w:r>
      <w:r w:rsidR="00D9782B" w:rsidRPr="00231828">
        <w:rPr>
          <w:rFonts w:ascii="Arial" w:hAnsi="Arial" w:cs="Arial"/>
          <w:lang w:val="en-US"/>
        </w:rPr>
        <w:t>adverse drug reactions (</w:t>
      </w:r>
      <w:r w:rsidRPr="00231828">
        <w:rPr>
          <w:rFonts w:ascii="Arial" w:hAnsi="Arial" w:cs="Arial"/>
          <w:lang w:val="en-US"/>
        </w:rPr>
        <w:t>ADRs</w:t>
      </w:r>
      <w:r w:rsidR="00D9782B" w:rsidRPr="00231828">
        <w:rPr>
          <w:rFonts w:ascii="Arial" w:hAnsi="Arial" w:cs="Arial"/>
          <w:lang w:val="en-US"/>
        </w:rPr>
        <w:t>)</w:t>
      </w:r>
      <w:r w:rsidRPr="00231828">
        <w:rPr>
          <w:rFonts w:ascii="Arial" w:hAnsi="Arial" w:cs="Arial"/>
          <w:lang w:val="en-US"/>
        </w:rPr>
        <w:t xml:space="preserve"> </w:t>
      </w:r>
      <w:r w:rsidRPr="00231828">
        <w:rPr>
          <w:rFonts w:ascii="Arial" w:hAnsi="Arial" w:cs="Arial"/>
          <w:color w:val="292526"/>
        </w:rPr>
        <w:t xml:space="preserve">are complex </w:t>
      </w:r>
      <w:r w:rsidR="006F7E64" w:rsidRPr="00231828">
        <w:rPr>
          <w:rFonts w:ascii="Arial" w:hAnsi="Arial" w:cs="Arial"/>
          <w:color w:val="292526"/>
        </w:rPr>
        <w:t>with</w:t>
      </w:r>
      <w:r w:rsidRPr="00231828">
        <w:rPr>
          <w:rFonts w:ascii="Arial" w:hAnsi="Arial" w:cs="Arial"/>
          <w:color w:val="292526"/>
        </w:rPr>
        <w:t xml:space="preserve"> b</w:t>
      </w:r>
      <w:r w:rsidR="0057255A" w:rsidRPr="00231828">
        <w:rPr>
          <w:rFonts w:ascii="Arial" w:hAnsi="Arial" w:cs="Arial"/>
          <w:color w:val="292526"/>
        </w:rPr>
        <w:t>oth drug and patient-specific</w:t>
      </w:r>
      <w:r w:rsidR="000D7312" w:rsidRPr="00231828">
        <w:rPr>
          <w:rFonts w:ascii="Arial" w:hAnsi="Arial" w:cs="Arial"/>
          <w:color w:val="292526"/>
        </w:rPr>
        <w:t xml:space="preserve"> factors contributing towards susceptibility</w:t>
      </w:r>
      <w:r w:rsidR="0057255A" w:rsidRPr="00231828">
        <w:rPr>
          <w:rFonts w:ascii="Arial" w:hAnsi="Arial" w:cs="Arial"/>
          <w:color w:val="292526"/>
        </w:rPr>
        <w:t xml:space="preserve">. </w:t>
      </w:r>
      <w:r w:rsidR="00C44B2A" w:rsidRPr="00231828">
        <w:rPr>
          <w:rFonts w:ascii="Arial" w:hAnsi="Arial" w:cs="Arial"/>
          <w:color w:val="292526"/>
        </w:rPr>
        <w:t xml:space="preserve">Up to 20% </w:t>
      </w:r>
      <w:r w:rsidRPr="00231828">
        <w:rPr>
          <w:rFonts w:ascii="Arial" w:hAnsi="Arial" w:cs="Arial"/>
        </w:rPr>
        <w:t xml:space="preserve">of ADRs are </w:t>
      </w:r>
      <w:r w:rsidR="000D7312" w:rsidRPr="00231828">
        <w:rPr>
          <w:rFonts w:ascii="Arial" w:hAnsi="Arial" w:cs="Arial"/>
        </w:rPr>
        <w:t>classified as hypersensitivity</w:t>
      </w:r>
      <w:r w:rsidRPr="00231828">
        <w:rPr>
          <w:rFonts w:ascii="Arial" w:hAnsi="Arial" w:cs="Arial"/>
        </w:rPr>
        <w:t xml:space="preserve"> </w:t>
      </w:r>
      <w:r w:rsidR="000D7312" w:rsidRPr="00231828">
        <w:rPr>
          <w:rFonts w:ascii="Arial" w:hAnsi="Arial" w:cs="Arial"/>
        </w:rPr>
        <w:t xml:space="preserve">reactions </w:t>
      </w:r>
      <w:r w:rsidRPr="00231828">
        <w:rPr>
          <w:rFonts w:ascii="Arial" w:hAnsi="Arial" w:cs="Arial"/>
        </w:rPr>
        <w:t>where the immune response causes an unexpected clinical reaction</w:t>
      </w:r>
      <w:r w:rsidR="00C44B2A" w:rsidRPr="00231828">
        <w:rPr>
          <w:rFonts w:ascii="Arial" w:hAnsi="Arial" w:cs="Arial"/>
        </w:rPr>
        <w:t xml:space="preserve"> (White </w:t>
      </w:r>
      <w:r w:rsidR="00C44B2A" w:rsidRPr="00231828">
        <w:rPr>
          <w:rFonts w:ascii="Arial" w:hAnsi="Arial" w:cs="Arial"/>
          <w:i/>
        </w:rPr>
        <w:t>et al</w:t>
      </w:r>
      <w:r w:rsidR="00C44B2A" w:rsidRPr="00231828">
        <w:rPr>
          <w:rFonts w:ascii="Arial" w:hAnsi="Arial" w:cs="Arial"/>
        </w:rPr>
        <w:t xml:space="preserve"> 2015)</w:t>
      </w:r>
      <w:r w:rsidR="000D7312" w:rsidRPr="00231828">
        <w:rPr>
          <w:rFonts w:ascii="Arial" w:hAnsi="Arial" w:cs="Arial"/>
        </w:rPr>
        <w:t>. Hypersensitivity reactions</w:t>
      </w:r>
      <w:r w:rsidR="00CD6F2E" w:rsidRPr="00231828">
        <w:rPr>
          <w:rFonts w:ascii="Arial" w:hAnsi="Arial" w:cs="Arial"/>
        </w:rPr>
        <w:t xml:space="preserve"> frequently involve the skin but </w:t>
      </w:r>
      <w:r w:rsidR="00874F75" w:rsidRPr="00231828">
        <w:rPr>
          <w:rFonts w:ascii="Arial" w:hAnsi="Arial" w:cs="Arial"/>
        </w:rPr>
        <w:t xml:space="preserve">may </w:t>
      </w:r>
      <w:r w:rsidR="00CD6F2E" w:rsidRPr="00231828">
        <w:rPr>
          <w:rFonts w:ascii="Arial" w:hAnsi="Arial" w:cs="Arial"/>
        </w:rPr>
        <w:t>also involve</w:t>
      </w:r>
      <w:r w:rsidR="00560DC9" w:rsidRPr="00231828">
        <w:rPr>
          <w:rFonts w:ascii="Arial" w:hAnsi="Arial" w:cs="Arial"/>
        </w:rPr>
        <w:t xml:space="preserve"> other organs such as</w:t>
      </w:r>
      <w:r w:rsidR="00CD6F2E" w:rsidRPr="00231828">
        <w:rPr>
          <w:rFonts w:ascii="Arial" w:hAnsi="Arial" w:cs="Arial"/>
        </w:rPr>
        <w:t xml:space="preserve"> the liver</w:t>
      </w:r>
      <w:r w:rsidRPr="00231828">
        <w:rPr>
          <w:rFonts w:ascii="Arial" w:hAnsi="Arial" w:cs="Arial"/>
        </w:rPr>
        <w:t xml:space="preserve">. </w:t>
      </w:r>
      <w:r w:rsidR="0094085D" w:rsidRPr="00231828">
        <w:rPr>
          <w:rFonts w:ascii="Arial" w:hAnsi="Arial" w:cs="Arial"/>
        </w:rPr>
        <w:t xml:space="preserve">Most chemicals, drugs and their metabolites are too small to act as conventional T cell antigens. </w:t>
      </w:r>
      <w:r w:rsidR="00190B09" w:rsidRPr="00231828">
        <w:rPr>
          <w:rFonts w:ascii="Arial" w:hAnsi="Arial" w:cs="Arial"/>
        </w:rPr>
        <w:t>However, they can become bound to carrier proteins which are large enough to be antigenic or in some instances they may bind directly to immune receptors resulting in cell activation (</w:t>
      </w:r>
      <w:r w:rsidR="004C7D08" w:rsidRPr="00231828">
        <w:rPr>
          <w:rFonts w:ascii="Arial" w:hAnsi="Arial" w:cs="Arial"/>
        </w:rPr>
        <w:t xml:space="preserve">Adam </w:t>
      </w:r>
      <w:r w:rsidR="004C7D08" w:rsidRPr="00231828">
        <w:rPr>
          <w:rFonts w:ascii="Arial" w:hAnsi="Arial" w:cs="Arial"/>
          <w:i/>
        </w:rPr>
        <w:t>et al</w:t>
      </w:r>
      <w:r w:rsidR="004C7D08" w:rsidRPr="00231828">
        <w:rPr>
          <w:rFonts w:ascii="Arial" w:hAnsi="Arial" w:cs="Arial"/>
        </w:rPr>
        <w:t>. 2011</w:t>
      </w:r>
      <w:r w:rsidR="00190B09" w:rsidRPr="00231828">
        <w:rPr>
          <w:rFonts w:ascii="Arial" w:hAnsi="Arial" w:cs="Arial"/>
        </w:rPr>
        <w:t xml:space="preserve">). The role of T cells in the development of drug </w:t>
      </w:r>
      <w:r w:rsidR="000D7312" w:rsidRPr="00231828">
        <w:rPr>
          <w:rFonts w:ascii="Arial" w:hAnsi="Arial" w:cs="Arial"/>
        </w:rPr>
        <w:t>hypersensitivity</w:t>
      </w:r>
      <w:r w:rsidR="00190B09" w:rsidRPr="00231828">
        <w:rPr>
          <w:rFonts w:ascii="Arial" w:hAnsi="Arial" w:cs="Arial"/>
        </w:rPr>
        <w:t xml:space="preserve"> has been studied for </w:t>
      </w:r>
      <w:r w:rsidR="00C44B2A" w:rsidRPr="00231828">
        <w:rPr>
          <w:rFonts w:ascii="Arial" w:hAnsi="Arial" w:cs="Arial"/>
        </w:rPr>
        <w:t xml:space="preserve">several drugs including </w:t>
      </w:r>
      <w:proofErr w:type="spellStart"/>
      <w:r w:rsidR="00C44B2A" w:rsidRPr="00231828">
        <w:rPr>
          <w:rFonts w:ascii="Arial" w:hAnsi="Arial" w:cs="Arial"/>
        </w:rPr>
        <w:t>abacavir</w:t>
      </w:r>
      <w:proofErr w:type="spellEnd"/>
      <w:r w:rsidR="00C44B2A" w:rsidRPr="00231828">
        <w:rPr>
          <w:rFonts w:ascii="Arial" w:hAnsi="Arial" w:cs="Arial"/>
        </w:rPr>
        <w:t xml:space="preserve">, carbamazepine, </w:t>
      </w:r>
      <w:proofErr w:type="spellStart"/>
      <w:r w:rsidR="00C44B2A" w:rsidRPr="00231828">
        <w:rPr>
          <w:rFonts w:ascii="Arial" w:hAnsi="Arial" w:cs="Arial"/>
        </w:rPr>
        <w:t>sulfamethoxazole</w:t>
      </w:r>
      <w:proofErr w:type="spellEnd"/>
      <w:r w:rsidR="00C44B2A" w:rsidRPr="00231828">
        <w:rPr>
          <w:rFonts w:ascii="Arial" w:hAnsi="Arial" w:cs="Arial"/>
        </w:rPr>
        <w:t>, piperacillin</w:t>
      </w:r>
      <w:r w:rsidR="00C074A2" w:rsidRPr="00231828">
        <w:rPr>
          <w:rFonts w:ascii="Arial" w:hAnsi="Arial" w:cs="Arial"/>
        </w:rPr>
        <w:t xml:space="preserve"> and allopurinol</w:t>
      </w:r>
      <w:r w:rsidR="00C44B2A" w:rsidRPr="00231828">
        <w:rPr>
          <w:rFonts w:ascii="Arial" w:hAnsi="Arial" w:cs="Arial"/>
        </w:rPr>
        <w:t xml:space="preserve"> </w:t>
      </w:r>
      <w:r w:rsidR="00187B4E" w:rsidRPr="00231828">
        <w:rPr>
          <w:rFonts w:ascii="Arial" w:hAnsi="Arial" w:cs="Arial"/>
        </w:rPr>
        <w:t xml:space="preserve">(Chessman </w:t>
      </w:r>
      <w:r w:rsidR="00187B4E" w:rsidRPr="00231828">
        <w:rPr>
          <w:rFonts w:ascii="Arial" w:hAnsi="Arial" w:cs="Arial"/>
          <w:i/>
        </w:rPr>
        <w:t>et al.</w:t>
      </w:r>
      <w:r w:rsidR="00187B4E" w:rsidRPr="00231828">
        <w:rPr>
          <w:rFonts w:ascii="Arial" w:hAnsi="Arial" w:cs="Arial"/>
        </w:rPr>
        <w:t xml:space="preserve"> 2008, </w:t>
      </w:r>
      <w:proofErr w:type="spellStart"/>
      <w:r w:rsidR="00187B4E" w:rsidRPr="00231828">
        <w:rPr>
          <w:rFonts w:ascii="Arial" w:hAnsi="Arial" w:cs="Arial"/>
        </w:rPr>
        <w:t>Ko</w:t>
      </w:r>
      <w:proofErr w:type="spellEnd"/>
      <w:r w:rsidR="00187B4E" w:rsidRPr="00231828">
        <w:rPr>
          <w:rFonts w:ascii="Arial" w:hAnsi="Arial" w:cs="Arial"/>
        </w:rPr>
        <w:t xml:space="preserve"> </w:t>
      </w:r>
      <w:r w:rsidR="00187B4E" w:rsidRPr="00231828">
        <w:rPr>
          <w:rFonts w:ascii="Arial" w:hAnsi="Arial" w:cs="Arial"/>
          <w:i/>
        </w:rPr>
        <w:t>et al.</w:t>
      </w:r>
      <w:r w:rsidR="00187B4E" w:rsidRPr="00231828">
        <w:rPr>
          <w:rFonts w:ascii="Arial" w:hAnsi="Arial" w:cs="Arial"/>
        </w:rPr>
        <w:t xml:space="preserve"> 2011, Naisbitt </w:t>
      </w:r>
      <w:r w:rsidR="00187B4E" w:rsidRPr="00231828">
        <w:rPr>
          <w:rFonts w:ascii="Arial" w:hAnsi="Arial" w:cs="Arial"/>
          <w:i/>
        </w:rPr>
        <w:t>et al</w:t>
      </w:r>
      <w:r w:rsidR="00187B4E" w:rsidRPr="00231828">
        <w:rPr>
          <w:rFonts w:ascii="Arial" w:hAnsi="Arial" w:cs="Arial"/>
        </w:rPr>
        <w:t>. 2001, El-</w:t>
      </w:r>
      <w:proofErr w:type="spellStart"/>
      <w:r w:rsidR="00187B4E" w:rsidRPr="00231828">
        <w:rPr>
          <w:rFonts w:ascii="Arial" w:hAnsi="Arial" w:cs="Arial"/>
        </w:rPr>
        <w:t>Ghaiesh</w:t>
      </w:r>
      <w:proofErr w:type="spellEnd"/>
      <w:r w:rsidR="00187B4E" w:rsidRPr="00231828">
        <w:rPr>
          <w:rFonts w:ascii="Arial" w:hAnsi="Arial" w:cs="Arial"/>
        </w:rPr>
        <w:t xml:space="preserve"> </w:t>
      </w:r>
      <w:r w:rsidR="00187B4E" w:rsidRPr="00231828">
        <w:rPr>
          <w:rFonts w:ascii="Arial" w:hAnsi="Arial" w:cs="Arial"/>
          <w:i/>
        </w:rPr>
        <w:t>et al.</w:t>
      </w:r>
      <w:r w:rsidR="00187B4E" w:rsidRPr="00231828">
        <w:rPr>
          <w:rFonts w:ascii="Arial" w:hAnsi="Arial" w:cs="Arial"/>
        </w:rPr>
        <w:t xml:space="preserve"> 2012</w:t>
      </w:r>
      <w:r w:rsidR="00C44B2A" w:rsidRPr="00231828">
        <w:rPr>
          <w:rFonts w:ascii="Arial" w:hAnsi="Arial" w:cs="Arial"/>
        </w:rPr>
        <w:t>)</w:t>
      </w:r>
      <w:r w:rsidR="00965C96" w:rsidRPr="00231828">
        <w:rPr>
          <w:rFonts w:ascii="Arial" w:hAnsi="Arial" w:cs="Arial"/>
        </w:rPr>
        <w:t>,</w:t>
      </w:r>
      <w:r w:rsidR="00190B09" w:rsidRPr="00231828">
        <w:rPr>
          <w:rFonts w:ascii="Arial" w:hAnsi="Arial" w:cs="Arial"/>
        </w:rPr>
        <w:t xml:space="preserve"> but the critical factors determin</w:t>
      </w:r>
      <w:r w:rsidR="00CD6F2E" w:rsidRPr="00231828">
        <w:rPr>
          <w:rFonts w:ascii="Arial" w:hAnsi="Arial" w:cs="Arial"/>
        </w:rPr>
        <w:t>ing</w:t>
      </w:r>
      <w:r w:rsidR="00190B09" w:rsidRPr="00231828">
        <w:rPr>
          <w:rFonts w:ascii="Arial" w:hAnsi="Arial" w:cs="Arial"/>
        </w:rPr>
        <w:t xml:space="preserve"> which individual</w:t>
      </w:r>
      <w:r w:rsidR="0057255A" w:rsidRPr="00231828">
        <w:rPr>
          <w:rFonts w:ascii="Arial" w:hAnsi="Arial" w:cs="Arial"/>
        </w:rPr>
        <w:t xml:space="preserve">s among the treated population will </w:t>
      </w:r>
      <w:r w:rsidR="00190B09" w:rsidRPr="00231828">
        <w:rPr>
          <w:rFonts w:ascii="Arial" w:hAnsi="Arial" w:cs="Arial"/>
        </w:rPr>
        <w:t xml:space="preserve">suffer from drug </w:t>
      </w:r>
      <w:r w:rsidR="00C074A2" w:rsidRPr="00231828">
        <w:rPr>
          <w:rFonts w:ascii="Arial" w:hAnsi="Arial" w:cs="Arial"/>
        </w:rPr>
        <w:t>hypersensitivity</w:t>
      </w:r>
      <w:r w:rsidR="00190B09" w:rsidRPr="00231828">
        <w:rPr>
          <w:rFonts w:ascii="Arial" w:hAnsi="Arial" w:cs="Arial"/>
        </w:rPr>
        <w:t xml:space="preserve"> remain</w:t>
      </w:r>
      <w:r w:rsidR="0057255A" w:rsidRPr="00231828">
        <w:rPr>
          <w:rFonts w:ascii="Arial" w:hAnsi="Arial" w:cs="Arial"/>
        </w:rPr>
        <w:t>s poorly understood</w:t>
      </w:r>
      <w:r w:rsidR="00190B09" w:rsidRPr="00231828">
        <w:rPr>
          <w:rFonts w:ascii="Arial" w:hAnsi="Arial" w:cs="Arial"/>
        </w:rPr>
        <w:t>.</w:t>
      </w:r>
    </w:p>
    <w:p w:rsidR="0057255A" w:rsidRPr="00231828" w:rsidRDefault="0057255A" w:rsidP="00231828">
      <w:pPr>
        <w:autoSpaceDE w:val="0"/>
        <w:autoSpaceDN w:val="0"/>
        <w:adjustRightInd w:val="0"/>
        <w:spacing w:after="0" w:line="480" w:lineRule="auto"/>
        <w:jc w:val="both"/>
        <w:rPr>
          <w:rFonts w:ascii="Arial" w:eastAsia="JansonText-Roman" w:hAnsi="Arial" w:cs="Arial"/>
        </w:rPr>
      </w:pPr>
      <w:r w:rsidRPr="00231828">
        <w:rPr>
          <w:rFonts w:ascii="Arial" w:hAnsi="Arial" w:cs="Arial"/>
          <w:lang w:val="en-US"/>
        </w:rPr>
        <w:t>Genome</w:t>
      </w:r>
      <w:r w:rsidR="00A4127E" w:rsidRPr="00231828">
        <w:rPr>
          <w:rFonts w:ascii="Arial" w:hAnsi="Arial" w:cs="Arial"/>
        </w:rPr>
        <w:t xml:space="preserve"> wide screens have identified an association with </w:t>
      </w:r>
      <w:r w:rsidR="00874F75" w:rsidRPr="00231828">
        <w:rPr>
          <w:rFonts w:ascii="Arial" w:hAnsi="Arial" w:cs="Arial"/>
        </w:rPr>
        <w:t xml:space="preserve">several different </w:t>
      </w:r>
      <w:r w:rsidR="00A4127E" w:rsidRPr="00231828">
        <w:rPr>
          <w:rFonts w:ascii="Arial" w:hAnsi="Arial" w:cs="Arial"/>
        </w:rPr>
        <w:t xml:space="preserve">HLA alleles and drugs which cause both skin and liver reactions </w:t>
      </w:r>
      <w:r w:rsidR="00A4127E" w:rsidRPr="00231828">
        <w:rPr>
          <w:rFonts w:ascii="Arial" w:eastAsia="JansonText-Roman" w:hAnsi="Arial" w:cs="Arial"/>
        </w:rPr>
        <w:t>(</w:t>
      </w:r>
      <w:r w:rsidR="00A4127E" w:rsidRPr="00231828">
        <w:rPr>
          <w:rFonts w:ascii="Arial" w:hAnsi="Arial" w:cs="Arial"/>
        </w:rPr>
        <w:t xml:space="preserve">Chung </w:t>
      </w:r>
      <w:r w:rsidR="00A4127E" w:rsidRPr="00231828">
        <w:rPr>
          <w:rFonts w:ascii="Arial" w:hAnsi="Arial" w:cs="Arial"/>
          <w:i/>
        </w:rPr>
        <w:t xml:space="preserve">et al. </w:t>
      </w:r>
      <w:r w:rsidR="00A4127E" w:rsidRPr="00231828">
        <w:rPr>
          <w:rFonts w:ascii="Arial" w:hAnsi="Arial" w:cs="Arial"/>
        </w:rPr>
        <w:t xml:space="preserve">2004, Daly </w:t>
      </w:r>
      <w:r w:rsidR="00A4127E" w:rsidRPr="00231828">
        <w:rPr>
          <w:rFonts w:ascii="Arial" w:hAnsi="Arial" w:cs="Arial"/>
          <w:i/>
        </w:rPr>
        <w:t>et al.</w:t>
      </w:r>
      <w:r w:rsidR="00A4127E" w:rsidRPr="00231828">
        <w:rPr>
          <w:rFonts w:ascii="Arial" w:hAnsi="Arial" w:cs="Arial"/>
        </w:rPr>
        <w:t xml:space="preserve"> 2009, </w:t>
      </w:r>
      <w:proofErr w:type="spellStart"/>
      <w:proofErr w:type="gramStart"/>
      <w:r w:rsidR="00A4127E" w:rsidRPr="00231828">
        <w:rPr>
          <w:rFonts w:ascii="Arial" w:hAnsi="Arial" w:cs="Arial"/>
        </w:rPr>
        <w:t>Mallal</w:t>
      </w:r>
      <w:proofErr w:type="spellEnd"/>
      <w:proofErr w:type="gramEnd"/>
      <w:r w:rsidR="00A4127E" w:rsidRPr="00231828">
        <w:rPr>
          <w:rFonts w:ascii="Arial" w:hAnsi="Arial" w:cs="Arial"/>
        </w:rPr>
        <w:t xml:space="preserve"> </w:t>
      </w:r>
      <w:r w:rsidR="00A4127E" w:rsidRPr="00231828">
        <w:rPr>
          <w:rFonts w:ascii="Arial" w:hAnsi="Arial" w:cs="Arial"/>
          <w:i/>
        </w:rPr>
        <w:t>et al.</w:t>
      </w:r>
      <w:r w:rsidR="00A4127E" w:rsidRPr="00231828">
        <w:rPr>
          <w:rFonts w:ascii="Arial" w:hAnsi="Arial" w:cs="Arial"/>
        </w:rPr>
        <w:t xml:space="preserve"> 2002</w:t>
      </w:r>
      <w:r w:rsidR="00A4127E" w:rsidRPr="00231828">
        <w:rPr>
          <w:rFonts w:ascii="Arial" w:eastAsia="JansonText-Roman" w:hAnsi="Arial" w:cs="Arial"/>
        </w:rPr>
        <w:t>)</w:t>
      </w:r>
      <w:r w:rsidRPr="00231828">
        <w:rPr>
          <w:rFonts w:ascii="Arial" w:eastAsia="JansonText-Roman" w:hAnsi="Arial" w:cs="Arial"/>
        </w:rPr>
        <w:t xml:space="preserve">. </w:t>
      </w:r>
      <w:r w:rsidR="00A4127E" w:rsidRPr="00231828">
        <w:rPr>
          <w:rFonts w:ascii="Arial" w:eastAsia="JansonText-Roman" w:hAnsi="Arial" w:cs="Arial"/>
        </w:rPr>
        <w:t>HLA molecules are key proteins that regulate T cell–mediated immunity</w:t>
      </w:r>
      <w:r w:rsidRPr="00231828">
        <w:rPr>
          <w:rFonts w:ascii="Arial" w:eastAsia="JansonText-Roman" w:hAnsi="Arial" w:cs="Arial"/>
        </w:rPr>
        <w:t xml:space="preserve">. HLA class I molecules present antigens to CD8 T cells and HLA class II molecules present antigens to CD4 T cells. </w:t>
      </w:r>
      <w:r w:rsidR="00D63DCC" w:rsidRPr="00231828">
        <w:rPr>
          <w:rFonts w:ascii="Arial" w:eastAsia="JansonText-Roman" w:hAnsi="Arial" w:cs="Arial"/>
        </w:rPr>
        <w:t xml:space="preserve">The relationship between </w:t>
      </w:r>
      <w:r w:rsidR="00B92A85" w:rsidRPr="00231828">
        <w:rPr>
          <w:rFonts w:ascii="Arial" w:eastAsia="JansonText-Roman" w:hAnsi="Arial" w:cs="Arial"/>
        </w:rPr>
        <w:t>HLA-</w:t>
      </w:r>
      <w:r w:rsidR="00CD6F2E" w:rsidRPr="00231828">
        <w:rPr>
          <w:rFonts w:ascii="Arial" w:eastAsia="JansonText-Roman" w:hAnsi="Arial" w:cs="Arial"/>
        </w:rPr>
        <w:t xml:space="preserve">restricted responses </w:t>
      </w:r>
      <w:r w:rsidR="00D63DCC" w:rsidRPr="00231828">
        <w:rPr>
          <w:rFonts w:ascii="Arial" w:eastAsia="JansonText-Roman" w:hAnsi="Arial" w:cs="Arial"/>
        </w:rPr>
        <w:t xml:space="preserve">and the </w:t>
      </w:r>
      <w:r w:rsidR="00B92A85" w:rsidRPr="00231828">
        <w:rPr>
          <w:rFonts w:ascii="Arial" w:eastAsia="JansonText-Roman" w:hAnsi="Arial" w:cs="Arial"/>
        </w:rPr>
        <w:t>aetiology</w:t>
      </w:r>
      <w:r w:rsidR="00D63DCC" w:rsidRPr="00231828">
        <w:rPr>
          <w:rFonts w:ascii="Arial" w:eastAsia="JansonText-Roman" w:hAnsi="Arial" w:cs="Arial"/>
        </w:rPr>
        <w:t xml:space="preserve"> of drug </w:t>
      </w:r>
      <w:r w:rsidR="00B92A85" w:rsidRPr="00231828">
        <w:rPr>
          <w:rFonts w:ascii="Arial" w:eastAsia="JansonText-Roman" w:hAnsi="Arial" w:cs="Arial"/>
        </w:rPr>
        <w:t>hypersensitivity</w:t>
      </w:r>
      <w:r w:rsidR="00D63DCC" w:rsidRPr="00231828">
        <w:rPr>
          <w:rFonts w:ascii="Arial" w:eastAsia="JansonText-Roman" w:hAnsi="Arial" w:cs="Arial"/>
        </w:rPr>
        <w:t xml:space="preserve"> </w:t>
      </w:r>
      <w:r w:rsidR="00CD6F2E" w:rsidRPr="00231828">
        <w:rPr>
          <w:rFonts w:ascii="Arial" w:eastAsia="JansonText-Roman" w:hAnsi="Arial" w:cs="Arial"/>
        </w:rPr>
        <w:t>ha</w:t>
      </w:r>
      <w:r w:rsidR="00D63DCC" w:rsidRPr="00231828">
        <w:rPr>
          <w:rFonts w:ascii="Arial" w:eastAsia="JansonText-Roman" w:hAnsi="Arial" w:cs="Arial"/>
        </w:rPr>
        <w:t>s</w:t>
      </w:r>
      <w:r w:rsidR="00CD6F2E" w:rsidRPr="00231828">
        <w:rPr>
          <w:rFonts w:ascii="Arial" w:eastAsia="JansonText-Roman" w:hAnsi="Arial" w:cs="Arial"/>
        </w:rPr>
        <w:t xml:space="preserve"> been </w:t>
      </w:r>
      <w:r w:rsidR="00D63DCC" w:rsidRPr="00231828">
        <w:rPr>
          <w:rFonts w:ascii="Arial" w:eastAsia="JansonText-Roman" w:hAnsi="Arial" w:cs="Arial"/>
        </w:rPr>
        <w:t xml:space="preserve">clearly demonstrated for </w:t>
      </w:r>
      <w:r w:rsidR="00CD6F2E" w:rsidRPr="00231828">
        <w:rPr>
          <w:rFonts w:ascii="Arial" w:eastAsia="JansonText-Roman" w:hAnsi="Arial" w:cs="Arial"/>
        </w:rPr>
        <w:t>HLA</w:t>
      </w:r>
      <w:r w:rsidR="00D63DCC" w:rsidRPr="00231828">
        <w:rPr>
          <w:rFonts w:ascii="Arial" w:eastAsia="JansonText-Roman" w:hAnsi="Arial" w:cs="Arial"/>
        </w:rPr>
        <w:t>-</w:t>
      </w:r>
      <w:r w:rsidR="00CD6F2E" w:rsidRPr="00231828">
        <w:rPr>
          <w:rFonts w:ascii="Arial" w:eastAsia="JansonText-Roman" w:hAnsi="Arial" w:cs="Arial"/>
        </w:rPr>
        <w:t>B*57</w:t>
      </w:r>
      <w:r w:rsidR="00AF05F9" w:rsidRPr="00231828">
        <w:rPr>
          <w:rFonts w:ascii="Arial" w:eastAsia="JansonText-Roman" w:hAnsi="Arial" w:cs="Arial"/>
        </w:rPr>
        <w:t>:</w:t>
      </w:r>
      <w:r w:rsidR="00CD6F2E" w:rsidRPr="00231828">
        <w:rPr>
          <w:rFonts w:ascii="Arial" w:eastAsia="JansonText-Roman" w:hAnsi="Arial" w:cs="Arial"/>
        </w:rPr>
        <w:t xml:space="preserve">01 </w:t>
      </w:r>
      <w:r w:rsidR="00D63DCC" w:rsidRPr="00231828">
        <w:rPr>
          <w:rFonts w:ascii="Arial" w:eastAsia="JansonText-Roman" w:hAnsi="Arial" w:cs="Arial"/>
        </w:rPr>
        <w:t xml:space="preserve">which is associated with </w:t>
      </w:r>
      <w:proofErr w:type="spellStart"/>
      <w:r w:rsidR="00CD6F2E" w:rsidRPr="00231828">
        <w:rPr>
          <w:rFonts w:ascii="Arial" w:eastAsia="JansonText-Roman" w:hAnsi="Arial" w:cs="Arial"/>
        </w:rPr>
        <w:t>abacavir</w:t>
      </w:r>
      <w:proofErr w:type="spellEnd"/>
      <w:r w:rsidR="00CD6F2E" w:rsidRPr="00231828">
        <w:rPr>
          <w:rFonts w:ascii="Arial" w:eastAsia="JansonText-Roman" w:hAnsi="Arial" w:cs="Arial"/>
        </w:rPr>
        <w:t xml:space="preserve"> and flucloxacillin</w:t>
      </w:r>
      <w:r w:rsidR="00D63DCC" w:rsidRPr="00231828">
        <w:rPr>
          <w:rFonts w:ascii="Arial" w:eastAsia="JansonText-Roman" w:hAnsi="Arial" w:cs="Arial"/>
        </w:rPr>
        <w:t xml:space="preserve"> hypersensitivity</w:t>
      </w:r>
      <w:r w:rsidR="00CD6F2E" w:rsidRPr="00231828">
        <w:rPr>
          <w:rFonts w:ascii="Arial" w:eastAsia="JansonText-Roman" w:hAnsi="Arial" w:cs="Arial"/>
        </w:rPr>
        <w:t xml:space="preserve">. </w:t>
      </w:r>
      <w:proofErr w:type="spellStart"/>
      <w:r w:rsidR="00CD6F2E" w:rsidRPr="00231828">
        <w:rPr>
          <w:rFonts w:ascii="Arial" w:eastAsia="JansonText-Roman" w:hAnsi="Arial" w:cs="Arial"/>
        </w:rPr>
        <w:t>A</w:t>
      </w:r>
      <w:r w:rsidR="00D63DCC" w:rsidRPr="00231828">
        <w:rPr>
          <w:rFonts w:ascii="Arial" w:hAnsi="Arial" w:cs="Arial"/>
        </w:rPr>
        <w:t>bacavir</w:t>
      </w:r>
      <w:proofErr w:type="spellEnd"/>
      <w:r w:rsidR="00D63DCC" w:rsidRPr="00231828">
        <w:rPr>
          <w:rFonts w:ascii="Arial" w:hAnsi="Arial" w:cs="Arial"/>
        </w:rPr>
        <w:t xml:space="preserve">-specific </w:t>
      </w:r>
      <w:r w:rsidR="00B92A85" w:rsidRPr="00231828">
        <w:rPr>
          <w:rFonts w:ascii="Arial" w:hAnsi="Arial" w:cs="Arial"/>
        </w:rPr>
        <w:t xml:space="preserve">CD8+ </w:t>
      </w:r>
      <w:r w:rsidR="00CD6F2E" w:rsidRPr="00231828">
        <w:rPr>
          <w:rFonts w:ascii="Arial" w:hAnsi="Arial" w:cs="Arial"/>
        </w:rPr>
        <w:t xml:space="preserve">T cells </w:t>
      </w:r>
      <w:r w:rsidR="00D63DCC" w:rsidRPr="00231828">
        <w:rPr>
          <w:rFonts w:ascii="Arial" w:hAnsi="Arial" w:cs="Arial"/>
        </w:rPr>
        <w:t>respond only to antigen presented i</w:t>
      </w:r>
      <w:r w:rsidR="00CD6F2E" w:rsidRPr="00231828">
        <w:rPr>
          <w:rFonts w:ascii="Arial" w:hAnsi="Arial" w:cs="Arial"/>
        </w:rPr>
        <w:t>n the context of HLA-B*57</w:t>
      </w:r>
      <w:r w:rsidR="0013781A" w:rsidRPr="00231828">
        <w:rPr>
          <w:rFonts w:ascii="Arial" w:hAnsi="Arial" w:cs="Arial"/>
        </w:rPr>
        <w:t>:</w:t>
      </w:r>
      <w:r w:rsidR="00CD6F2E" w:rsidRPr="00231828">
        <w:rPr>
          <w:rFonts w:ascii="Arial" w:hAnsi="Arial" w:cs="Arial"/>
        </w:rPr>
        <w:t xml:space="preserve">01 (Chessman </w:t>
      </w:r>
      <w:r w:rsidR="00CD6F2E" w:rsidRPr="00231828">
        <w:rPr>
          <w:rFonts w:ascii="Arial" w:hAnsi="Arial" w:cs="Arial"/>
          <w:i/>
        </w:rPr>
        <w:t>et al.</w:t>
      </w:r>
      <w:r w:rsidR="00CD6F2E" w:rsidRPr="00231828">
        <w:rPr>
          <w:rFonts w:ascii="Arial" w:hAnsi="Arial" w:cs="Arial"/>
        </w:rPr>
        <w:t xml:space="preserve"> 2008)</w:t>
      </w:r>
      <w:r w:rsidR="00D63DCC" w:rsidRPr="00231828">
        <w:rPr>
          <w:rFonts w:ascii="Arial" w:hAnsi="Arial" w:cs="Arial"/>
        </w:rPr>
        <w:t>.</w:t>
      </w:r>
      <w:r w:rsidR="00CD6F2E" w:rsidRPr="00231828">
        <w:rPr>
          <w:rFonts w:ascii="Arial" w:hAnsi="Arial" w:cs="Arial"/>
        </w:rPr>
        <w:t xml:space="preserve"> In patients with drug-induced liver injury, flucloxacillin</w:t>
      </w:r>
      <w:r w:rsidR="00D63DCC" w:rsidRPr="00231828">
        <w:rPr>
          <w:rFonts w:ascii="Arial" w:hAnsi="Arial" w:cs="Arial"/>
        </w:rPr>
        <w:t>-protein adducts are</w:t>
      </w:r>
      <w:r w:rsidR="00CD6F2E" w:rsidRPr="00231828">
        <w:rPr>
          <w:rFonts w:ascii="Arial" w:hAnsi="Arial" w:cs="Arial"/>
        </w:rPr>
        <w:t xml:space="preserve"> presented to T cells by </w:t>
      </w:r>
      <w:r w:rsidR="00CD6F2E" w:rsidRPr="00231828">
        <w:rPr>
          <w:rFonts w:ascii="Arial" w:eastAsia="JansonText-Roman" w:hAnsi="Arial" w:cs="Arial"/>
        </w:rPr>
        <w:t>HLA-B*57</w:t>
      </w:r>
      <w:r w:rsidR="00A37D1F" w:rsidRPr="00231828">
        <w:rPr>
          <w:rFonts w:ascii="Arial" w:eastAsia="JansonText-Roman" w:hAnsi="Arial" w:cs="Arial"/>
        </w:rPr>
        <w:t>:</w:t>
      </w:r>
      <w:r w:rsidR="00CD6F2E" w:rsidRPr="00231828">
        <w:rPr>
          <w:rFonts w:ascii="Arial" w:eastAsia="JansonText-Roman" w:hAnsi="Arial" w:cs="Arial"/>
        </w:rPr>
        <w:t>01</w:t>
      </w:r>
      <w:r w:rsidR="00D63DCC" w:rsidRPr="00231828">
        <w:rPr>
          <w:rFonts w:ascii="Arial" w:eastAsia="JansonText-Roman" w:hAnsi="Arial" w:cs="Arial"/>
        </w:rPr>
        <w:t xml:space="preserve"> via a </w:t>
      </w:r>
      <w:proofErr w:type="spellStart"/>
      <w:r w:rsidR="00D63DCC" w:rsidRPr="00231828">
        <w:rPr>
          <w:rFonts w:ascii="Arial" w:eastAsia="JansonText-Roman" w:hAnsi="Arial" w:cs="Arial"/>
        </w:rPr>
        <w:t>hapten</w:t>
      </w:r>
      <w:proofErr w:type="spellEnd"/>
      <w:r w:rsidR="00D63DCC" w:rsidRPr="00231828">
        <w:rPr>
          <w:rFonts w:ascii="Arial" w:eastAsia="JansonText-Roman" w:hAnsi="Arial" w:cs="Arial"/>
        </w:rPr>
        <w:t xml:space="preserve"> mechanism</w:t>
      </w:r>
      <w:r w:rsidR="00CD6F2E" w:rsidRPr="00231828">
        <w:rPr>
          <w:rFonts w:ascii="Arial" w:eastAsia="JansonText-Roman" w:hAnsi="Arial" w:cs="Arial"/>
        </w:rPr>
        <w:t xml:space="preserve">, whereas in normal volunteers </w:t>
      </w:r>
      <w:r w:rsidR="00560DC9" w:rsidRPr="00231828">
        <w:rPr>
          <w:rFonts w:ascii="Arial" w:eastAsia="JansonText-Roman" w:hAnsi="Arial" w:cs="Arial"/>
        </w:rPr>
        <w:t xml:space="preserve">when </w:t>
      </w:r>
      <w:r w:rsidR="00CD6F2E" w:rsidRPr="00231828">
        <w:rPr>
          <w:rFonts w:ascii="Arial" w:eastAsia="JansonText-Roman" w:hAnsi="Arial" w:cs="Arial"/>
        </w:rPr>
        <w:t xml:space="preserve">naïve T cells </w:t>
      </w:r>
      <w:r w:rsidR="00560DC9" w:rsidRPr="00231828">
        <w:rPr>
          <w:rFonts w:ascii="Arial" w:eastAsia="JansonText-Roman" w:hAnsi="Arial" w:cs="Arial"/>
        </w:rPr>
        <w:t xml:space="preserve">are </w:t>
      </w:r>
      <w:r w:rsidR="00CD6F2E" w:rsidRPr="00231828">
        <w:rPr>
          <w:rFonts w:ascii="Arial" w:eastAsia="JansonText-Roman" w:hAnsi="Arial" w:cs="Arial"/>
        </w:rPr>
        <w:t xml:space="preserve">primed </w:t>
      </w:r>
      <w:r w:rsidR="00CD6F2E" w:rsidRPr="00231828">
        <w:rPr>
          <w:rFonts w:ascii="Arial" w:eastAsia="JansonText-Roman" w:hAnsi="Arial" w:cs="Arial"/>
          <w:i/>
        </w:rPr>
        <w:t>in vitro</w:t>
      </w:r>
      <w:r w:rsidR="00560DC9" w:rsidRPr="00231828">
        <w:rPr>
          <w:rFonts w:ascii="Arial" w:eastAsia="JansonText-Roman" w:hAnsi="Arial" w:cs="Arial"/>
        </w:rPr>
        <w:t>, the primed T cells</w:t>
      </w:r>
      <w:r w:rsidR="00CD6F2E" w:rsidRPr="00231828">
        <w:rPr>
          <w:rFonts w:ascii="Arial" w:eastAsia="JansonText-Roman" w:hAnsi="Arial" w:cs="Arial"/>
        </w:rPr>
        <w:t xml:space="preserve"> can respond to flucloxacillin presented on number of different alleles </w:t>
      </w:r>
      <w:r w:rsidR="00D63DCC" w:rsidRPr="00231828">
        <w:rPr>
          <w:rFonts w:ascii="Arial" w:eastAsia="JansonText-Roman" w:hAnsi="Arial" w:cs="Arial"/>
        </w:rPr>
        <w:t xml:space="preserve">via </w:t>
      </w:r>
      <w:r w:rsidR="00B92A85" w:rsidRPr="00231828">
        <w:rPr>
          <w:rFonts w:ascii="Arial" w:eastAsia="JansonText-Roman" w:hAnsi="Arial" w:cs="Arial"/>
        </w:rPr>
        <w:t>a direct</w:t>
      </w:r>
      <w:r w:rsidR="00D63DCC" w:rsidRPr="00231828">
        <w:rPr>
          <w:rFonts w:ascii="Arial" w:eastAsia="JansonText-Roman" w:hAnsi="Arial" w:cs="Arial"/>
        </w:rPr>
        <w:t xml:space="preserve"> </w:t>
      </w:r>
      <w:r w:rsidR="00B92A85" w:rsidRPr="00231828">
        <w:rPr>
          <w:rFonts w:ascii="Arial" w:eastAsia="JansonText-Roman" w:hAnsi="Arial" w:cs="Arial"/>
        </w:rPr>
        <w:t xml:space="preserve">interaction </w:t>
      </w:r>
      <w:r w:rsidR="00CD6F2E" w:rsidRPr="00231828">
        <w:rPr>
          <w:rFonts w:ascii="Arial" w:eastAsia="JansonText-Roman" w:hAnsi="Arial" w:cs="Arial"/>
        </w:rPr>
        <w:t>(</w:t>
      </w:r>
      <w:proofErr w:type="spellStart"/>
      <w:r w:rsidR="00BE0728" w:rsidRPr="00231828">
        <w:rPr>
          <w:rFonts w:ascii="Arial" w:eastAsia="JansonText-Roman" w:hAnsi="Arial" w:cs="Arial"/>
        </w:rPr>
        <w:t>Monshi</w:t>
      </w:r>
      <w:proofErr w:type="spellEnd"/>
      <w:r w:rsidR="00BE0728" w:rsidRPr="00231828">
        <w:rPr>
          <w:rFonts w:ascii="Arial" w:eastAsia="JansonText-Roman" w:hAnsi="Arial" w:cs="Arial"/>
        </w:rPr>
        <w:t xml:space="preserve"> </w:t>
      </w:r>
      <w:r w:rsidR="00BE0728" w:rsidRPr="00231828">
        <w:rPr>
          <w:rFonts w:ascii="Arial" w:eastAsia="JansonText-Roman" w:hAnsi="Arial" w:cs="Arial"/>
          <w:i/>
        </w:rPr>
        <w:t>et al.</w:t>
      </w:r>
      <w:r w:rsidR="00BE0728" w:rsidRPr="00231828">
        <w:rPr>
          <w:rFonts w:ascii="Arial" w:eastAsia="JansonText-Roman" w:hAnsi="Arial" w:cs="Arial"/>
        </w:rPr>
        <w:t xml:space="preserve"> 2013, </w:t>
      </w:r>
      <w:r w:rsidR="004C350C" w:rsidRPr="00231828">
        <w:rPr>
          <w:rFonts w:ascii="Arial" w:eastAsia="JansonText-Roman" w:hAnsi="Arial" w:cs="Arial"/>
        </w:rPr>
        <w:t>Yaseen</w:t>
      </w:r>
      <w:r w:rsidR="00CD6F2E" w:rsidRPr="00231828">
        <w:rPr>
          <w:rFonts w:ascii="Arial" w:eastAsia="JansonText-Roman" w:hAnsi="Arial" w:cs="Arial"/>
        </w:rPr>
        <w:t xml:space="preserve"> </w:t>
      </w:r>
      <w:r w:rsidR="00CD6F2E" w:rsidRPr="00231828">
        <w:rPr>
          <w:rFonts w:ascii="Arial" w:eastAsia="JansonText-Roman" w:hAnsi="Arial" w:cs="Arial"/>
          <w:i/>
        </w:rPr>
        <w:t>et al</w:t>
      </w:r>
      <w:r w:rsidR="00BE0728" w:rsidRPr="00231828">
        <w:rPr>
          <w:rFonts w:ascii="Arial" w:eastAsia="JansonText-Roman" w:hAnsi="Arial" w:cs="Arial"/>
          <w:i/>
        </w:rPr>
        <w:t>.</w:t>
      </w:r>
      <w:r w:rsidR="00CD6F2E" w:rsidRPr="00231828">
        <w:rPr>
          <w:rFonts w:ascii="Arial" w:eastAsia="JansonText-Roman" w:hAnsi="Arial" w:cs="Arial"/>
        </w:rPr>
        <w:t xml:space="preserve"> 2015)</w:t>
      </w:r>
      <w:r w:rsidR="004C350C" w:rsidRPr="00231828">
        <w:rPr>
          <w:rFonts w:ascii="Arial" w:eastAsia="JansonText-Roman" w:hAnsi="Arial" w:cs="Arial"/>
        </w:rPr>
        <w:t>.</w:t>
      </w:r>
    </w:p>
    <w:p w:rsidR="00942A48" w:rsidRPr="00231828" w:rsidRDefault="00942A48" w:rsidP="00231828">
      <w:pPr>
        <w:autoSpaceDE w:val="0"/>
        <w:autoSpaceDN w:val="0"/>
        <w:adjustRightInd w:val="0"/>
        <w:spacing w:after="0" w:line="480" w:lineRule="auto"/>
        <w:jc w:val="both"/>
        <w:rPr>
          <w:rFonts w:ascii="Arial" w:hAnsi="Arial" w:cs="Arial"/>
        </w:rPr>
      </w:pPr>
    </w:p>
    <w:p w:rsidR="00942A48" w:rsidRPr="00231828" w:rsidRDefault="00034179" w:rsidP="00231828">
      <w:pPr>
        <w:autoSpaceDE w:val="0"/>
        <w:autoSpaceDN w:val="0"/>
        <w:adjustRightInd w:val="0"/>
        <w:spacing w:after="0" w:line="480" w:lineRule="auto"/>
        <w:jc w:val="both"/>
        <w:rPr>
          <w:rFonts w:ascii="Arial" w:hAnsi="Arial" w:cs="Arial"/>
        </w:rPr>
      </w:pPr>
      <w:r w:rsidRPr="00231828">
        <w:rPr>
          <w:rFonts w:ascii="Arial" w:hAnsi="Arial" w:cs="Arial"/>
        </w:rPr>
        <w:lastRenderedPageBreak/>
        <w:t xml:space="preserve">In order to investigate the role of specific HLA alleles in drug </w:t>
      </w:r>
      <w:r w:rsidR="00B92A85" w:rsidRPr="00231828">
        <w:rPr>
          <w:rFonts w:ascii="Arial" w:hAnsi="Arial" w:cs="Arial"/>
        </w:rPr>
        <w:t>hypersensitivity</w:t>
      </w:r>
      <w:r w:rsidRPr="00231828">
        <w:rPr>
          <w:rFonts w:ascii="Arial" w:hAnsi="Arial" w:cs="Arial"/>
        </w:rPr>
        <w:t xml:space="preserve"> w</w:t>
      </w:r>
      <w:r w:rsidR="00A4127E" w:rsidRPr="00231828">
        <w:rPr>
          <w:rFonts w:ascii="Arial" w:hAnsi="Arial" w:cs="Arial"/>
        </w:rPr>
        <w:t>e have</w:t>
      </w:r>
      <w:r w:rsidR="00A4127E" w:rsidRPr="00231828">
        <w:rPr>
          <w:rFonts w:ascii="Arial" w:hAnsi="Arial" w:cs="Arial"/>
          <w:lang w:val="en-US"/>
        </w:rPr>
        <w:t xml:space="preserve"> established a </w:t>
      </w:r>
      <w:proofErr w:type="spellStart"/>
      <w:r w:rsidR="00A4127E" w:rsidRPr="00231828">
        <w:rPr>
          <w:rFonts w:ascii="Arial" w:hAnsi="Arial" w:cs="Arial"/>
          <w:lang w:val="en-US"/>
        </w:rPr>
        <w:t>biobank</w:t>
      </w:r>
      <w:proofErr w:type="spellEnd"/>
      <w:r w:rsidR="00A4127E" w:rsidRPr="00231828">
        <w:rPr>
          <w:rFonts w:ascii="Arial" w:hAnsi="Arial" w:cs="Arial"/>
          <w:lang w:val="en-US"/>
        </w:rPr>
        <w:t xml:space="preserve"> of peripheral blood mononuclear cells</w:t>
      </w:r>
      <w:r w:rsidRPr="00231828">
        <w:rPr>
          <w:rFonts w:ascii="Arial" w:hAnsi="Arial" w:cs="Arial"/>
          <w:lang w:val="en-US"/>
        </w:rPr>
        <w:t xml:space="preserve"> </w:t>
      </w:r>
      <w:r w:rsidR="00D9782B" w:rsidRPr="00231828">
        <w:rPr>
          <w:rFonts w:ascii="Arial" w:hAnsi="Arial" w:cs="Arial"/>
          <w:lang w:val="en-US"/>
        </w:rPr>
        <w:t>(P</w:t>
      </w:r>
      <w:r w:rsidRPr="00231828">
        <w:rPr>
          <w:rFonts w:ascii="Arial" w:hAnsi="Arial" w:cs="Arial"/>
          <w:lang w:val="en-US"/>
        </w:rPr>
        <w:t>BMCs</w:t>
      </w:r>
      <w:r w:rsidR="00D9782B" w:rsidRPr="00231828">
        <w:rPr>
          <w:rFonts w:ascii="Arial" w:hAnsi="Arial" w:cs="Arial"/>
          <w:lang w:val="en-US"/>
        </w:rPr>
        <w:t>)</w:t>
      </w:r>
      <w:r w:rsidR="00A4127E" w:rsidRPr="00231828">
        <w:rPr>
          <w:rFonts w:ascii="Arial" w:hAnsi="Arial" w:cs="Arial"/>
          <w:lang w:val="en-US"/>
        </w:rPr>
        <w:t xml:space="preserve"> isolated from HLA-typed volunteers</w:t>
      </w:r>
      <w:r w:rsidR="00C44B2A" w:rsidRPr="00231828">
        <w:rPr>
          <w:rFonts w:ascii="Arial" w:hAnsi="Arial" w:cs="Arial"/>
          <w:lang w:val="en-US"/>
        </w:rPr>
        <w:t xml:space="preserve"> (</w:t>
      </w:r>
      <w:r w:rsidR="00187B4E" w:rsidRPr="00231828">
        <w:rPr>
          <w:rFonts w:ascii="Arial" w:hAnsi="Arial" w:cs="Arial"/>
          <w:lang w:val="en-US"/>
        </w:rPr>
        <w:t xml:space="preserve">Alfirevic </w:t>
      </w:r>
      <w:r w:rsidR="00187B4E" w:rsidRPr="00231828">
        <w:rPr>
          <w:rFonts w:ascii="Arial" w:hAnsi="Arial" w:cs="Arial"/>
          <w:i/>
          <w:lang w:val="en-US"/>
        </w:rPr>
        <w:t>et al.</w:t>
      </w:r>
      <w:r w:rsidR="00187B4E" w:rsidRPr="00231828">
        <w:rPr>
          <w:rFonts w:ascii="Arial" w:hAnsi="Arial" w:cs="Arial"/>
          <w:lang w:val="en-US"/>
        </w:rPr>
        <w:t xml:space="preserve"> 2012</w:t>
      </w:r>
      <w:r w:rsidR="00C44B2A" w:rsidRPr="00231828">
        <w:rPr>
          <w:rFonts w:ascii="Arial" w:hAnsi="Arial" w:cs="Arial"/>
          <w:lang w:val="en-US"/>
        </w:rPr>
        <w:t>)</w:t>
      </w:r>
      <w:r w:rsidRPr="00231828">
        <w:rPr>
          <w:rFonts w:ascii="Arial" w:hAnsi="Arial" w:cs="Arial"/>
          <w:lang w:val="en-US"/>
        </w:rPr>
        <w:t>.</w:t>
      </w:r>
      <w:r w:rsidR="00A4127E" w:rsidRPr="00231828">
        <w:rPr>
          <w:rFonts w:ascii="Arial" w:hAnsi="Arial" w:cs="Arial"/>
          <w:lang w:val="en-US"/>
        </w:rPr>
        <w:t xml:space="preserve"> </w:t>
      </w:r>
      <w:r w:rsidR="00A4127E" w:rsidRPr="00231828">
        <w:rPr>
          <w:rFonts w:ascii="Arial" w:hAnsi="Arial" w:cs="Arial"/>
        </w:rPr>
        <w:t xml:space="preserve">We </w:t>
      </w:r>
      <w:r w:rsidRPr="00231828">
        <w:rPr>
          <w:rFonts w:ascii="Arial" w:hAnsi="Arial" w:cs="Arial"/>
        </w:rPr>
        <w:t xml:space="preserve">initially recruited 400 volunteers </w:t>
      </w:r>
      <w:r w:rsidR="00D9782B" w:rsidRPr="00231828">
        <w:rPr>
          <w:rFonts w:ascii="Arial" w:hAnsi="Arial" w:cs="Arial"/>
        </w:rPr>
        <w:t xml:space="preserve">during 2009-2010. </w:t>
      </w:r>
      <w:r w:rsidR="00A4127E" w:rsidRPr="00231828">
        <w:rPr>
          <w:rFonts w:ascii="Arial" w:hAnsi="Arial" w:cs="Arial"/>
        </w:rPr>
        <w:t>The</w:t>
      </w:r>
      <w:r w:rsidR="00D9782B" w:rsidRPr="00231828">
        <w:rPr>
          <w:rFonts w:ascii="Arial" w:hAnsi="Arial" w:cs="Arial"/>
        </w:rPr>
        <w:t>se volunteers are</w:t>
      </w:r>
      <w:r w:rsidR="00A4127E" w:rsidRPr="00231828">
        <w:rPr>
          <w:rFonts w:ascii="Arial" w:hAnsi="Arial" w:cs="Arial"/>
        </w:rPr>
        <w:t xml:space="preserve"> representative of the North-West population and consist of 64% female and 36% male voluntee</w:t>
      </w:r>
      <w:r w:rsidR="00D9782B" w:rsidRPr="00231828">
        <w:rPr>
          <w:rFonts w:ascii="Arial" w:hAnsi="Arial" w:cs="Arial"/>
        </w:rPr>
        <w:t>rs with a mean age of 29 years (9</w:t>
      </w:r>
      <w:r w:rsidR="00A4127E" w:rsidRPr="00231828">
        <w:rPr>
          <w:rFonts w:ascii="Arial" w:hAnsi="Arial" w:cs="Arial"/>
        </w:rPr>
        <w:t xml:space="preserve">+/-10 years, range 18-60 years).  The ethnicity </w:t>
      </w:r>
      <w:r w:rsidR="00801D9C" w:rsidRPr="00231828">
        <w:rPr>
          <w:rFonts w:ascii="Arial" w:hAnsi="Arial" w:cs="Arial"/>
        </w:rPr>
        <w:t>of the volunteers also reflects regional diversity which is</w:t>
      </w:r>
      <w:r w:rsidR="00A4127E" w:rsidRPr="00231828">
        <w:rPr>
          <w:rFonts w:ascii="Arial" w:hAnsi="Arial" w:cs="Arial"/>
        </w:rPr>
        <w:t xml:space="preserve"> primarily Caucasian (84%)</w:t>
      </w:r>
      <w:r w:rsidR="00D9782B" w:rsidRPr="00231828">
        <w:rPr>
          <w:rFonts w:ascii="Arial" w:hAnsi="Arial" w:cs="Arial"/>
        </w:rPr>
        <w:t xml:space="preserve"> </w:t>
      </w:r>
      <w:r w:rsidR="00801D9C" w:rsidRPr="00231828">
        <w:rPr>
          <w:rFonts w:ascii="Arial" w:hAnsi="Arial" w:cs="Arial"/>
        </w:rPr>
        <w:t xml:space="preserve">with </w:t>
      </w:r>
      <w:r w:rsidR="00A4127E" w:rsidRPr="00231828">
        <w:rPr>
          <w:rFonts w:ascii="Arial" w:hAnsi="Arial" w:cs="Arial"/>
        </w:rPr>
        <w:t>Asian Indian</w:t>
      </w:r>
      <w:r w:rsidR="00803EF8" w:rsidRPr="00231828">
        <w:rPr>
          <w:rFonts w:ascii="Arial" w:hAnsi="Arial" w:cs="Arial"/>
        </w:rPr>
        <w:t>s</w:t>
      </w:r>
      <w:r w:rsidR="00A4127E" w:rsidRPr="00231828">
        <w:rPr>
          <w:rFonts w:ascii="Arial" w:hAnsi="Arial" w:cs="Arial"/>
        </w:rPr>
        <w:t xml:space="preserve"> </w:t>
      </w:r>
      <w:r w:rsidR="00801D9C" w:rsidRPr="00231828">
        <w:rPr>
          <w:rFonts w:ascii="Arial" w:hAnsi="Arial" w:cs="Arial"/>
        </w:rPr>
        <w:t>(</w:t>
      </w:r>
      <w:r w:rsidR="00A4127E" w:rsidRPr="00231828">
        <w:rPr>
          <w:rFonts w:ascii="Arial" w:hAnsi="Arial" w:cs="Arial"/>
        </w:rPr>
        <w:t>6%</w:t>
      </w:r>
      <w:r w:rsidR="00801D9C" w:rsidRPr="00231828">
        <w:rPr>
          <w:rFonts w:ascii="Arial" w:hAnsi="Arial" w:cs="Arial"/>
        </w:rPr>
        <w:t>)</w:t>
      </w:r>
      <w:r w:rsidR="00A4127E" w:rsidRPr="00231828">
        <w:rPr>
          <w:rFonts w:ascii="Arial" w:hAnsi="Arial" w:cs="Arial"/>
        </w:rPr>
        <w:t xml:space="preserve">, Chinese </w:t>
      </w:r>
      <w:r w:rsidR="00801D9C" w:rsidRPr="00231828">
        <w:rPr>
          <w:rFonts w:ascii="Arial" w:hAnsi="Arial" w:cs="Arial"/>
        </w:rPr>
        <w:t>(</w:t>
      </w:r>
      <w:r w:rsidR="00A4127E" w:rsidRPr="00231828">
        <w:rPr>
          <w:rFonts w:ascii="Arial" w:hAnsi="Arial" w:cs="Arial"/>
        </w:rPr>
        <w:t>4%</w:t>
      </w:r>
      <w:r w:rsidR="00801D9C" w:rsidRPr="00231828">
        <w:rPr>
          <w:rFonts w:ascii="Arial" w:hAnsi="Arial" w:cs="Arial"/>
        </w:rPr>
        <w:t xml:space="preserve">) and </w:t>
      </w:r>
      <w:r w:rsidR="00A4127E" w:rsidRPr="00231828">
        <w:rPr>
          <w:rFonts w:ascii="Arial" w:hAnsi="Arial" w:cs="Arial"/>
        </w:rPr>
        <w:t>Black</w:t>
      </w:r>
      <w:r w:rsidR="00803EF8" w:rsidRPr="00231828">
        <w:rPr>
          <w:rFonts w:ascii="Arial" w:hAnsi="Arial" w:cs="Arial"/>
        </w:rPr>
        <w:t>s</w:t>
      </w:r>
      <w:r w:rsidR="00A4127E" w:rsidRPr="00231828">
        <w:rPr>
          <w:rFonts w:ascii="Arial" w:hAnsi="Arial" w:cs="Arial"/>
        </w:rPr>
        <w:t xml:space="preserve"> </w:t>
      </w:r>
      <w:r w:rsidR="00801D9C" w:rsidRPr="00231828">
        <w:rPr>
          <w:rFonts w:ascii="Arial" w:hAnsi="Arial" w:cs="Arial"/>
        </w:rPr>
        <w:t>(</w:t>
      </w:r>
      <w:r w:rsidR="00A4127E" w:rsidRPr="00231828">
        <w:rPr>
          <w:rFonts w:ascii="Arial" w:hAnsi="Arial" w:cs="Arial"/>
        </w:rPr>
        <w:t>1%</w:t>
      </w:r>
      <w:r w:rsidR="00801D9C" w:rsidRPr="00231828">
        <w:rPr>
          <w:rFonts w:ascii="Arial" w:hAnsi="Arial" w:cs="Arial"/>
        </w:rPr>
        <w:t>) as minor populations. Typing of HLA–A,</w:t>
      </w:r>
      <w:r w:rsidR="00942A48" w:rsidRPr="00231828">
        <w:rPr>
          <w:rFonts w:ascii="Arial" w:hAnsi="Arial" w:cs="Arial"/>
        </w:rPr>
        <w:t xml:space="preserve"> </w:t>
      </w:r>
      <w:r w:rsidR="00801D9C" w:rsidRPr="00231828">
        <w:rPr>
          <w:rFonts w:ascii="Arial" w:hAnsi="Arial" w:cs="Arial"/>
        </w:rPr>
        <w:t>B, C, DRB1 and DQB1 alleles showed that a</w:t>
      </w:r>
      <w:r w:rsidR="00A4127E" w:rsidRPr="00231828">
        <w:rPr>
          <w:rFonts w:ascii="Arial" w:hAnsi="Arial" w:cs="Arial"/>
        </w:rPr>
        <w:t xml:space="preserve">ll major Caucasian haplotypes </w:t>
      </w:r>
      <w:r w:rsidR="00560DC9" w:rsidRPr="00231828">
        <w:rPr>
          <w:rFonts w:ascii="Arial" w:hAnsi="Arial" w:cs="Arial"/>
        </w:rPr>
        <w:t>wer</w:t>
      </w:r>
      <w:r w:rsidR="00A4127E" w:rsidRPr="00231828">
        <w:rPr>
          <w:rFonts w:ascii="Arial" w:hAnsi="Arial" w:cs="Arial"/>
        </w:rPr>
        <w:t>e represented</w:t>
      </w:r>
      <w:r w:rsidR="00801D9C" w:rsidRPr="00231828">
        <w:rPr>
          <w:rFonts w:ascii="Arial" w:hAnsi="Arial" w:cs="Arial"/>
        </w:rPr>
        <w:t xml:space="preserve"> </w:t>
      </w:r>
      <w:r w:rsidR="00D9782B" w:rsidRPr="00231828">
        <w:rPr>
          <w:rFonts w:ascii="Arial" w:hAnsi="Arial" w:cs="Arial"/>
        </w:rPr>
        <w:t xml:space="preserve">(Alfirevic </w:t>
      </w:r>
      <w:r w:rsidR="00D9782B" w:rsidRPr="00231828">
        <w:rPr>
          <w:rFonts w:ascii="Arial" w:hAnsi="Arial" w:cs="Arial"/>
          <w:i/>
        </w:rPr>
        <w:t>et al</w:t>
      </w:r>
      <w:r w:rsidR="00D9782B" w:rsidRPr="00231828">
        <w:rPr>
          <w:rFonts w:ascii="Arial" w:hAnsi="Arial" w:cs="Arial"/>
        </w:rPr>
        <w:t>. 2012)</w:t>
      </w:r>
      <w:r w:rsidR="00801D9C" w:rsidRPr="00231828">
        <w:rPr>
          <w:rFonts w:ascii="Arial" w:hAnsi="Arial" w:cs="Arial"/>
        </w:rPr>
        <w:t xml:space="preserve">. We have </w:t>
      </w:r>
      <w:r w:rsidR="00D9782B" w:rsidRPr="00231828">
        <w:rPr>
          <w:rFonts w:ascii="Arial" w:hAnsi="Arial" w:cs="Arial"/>
        </w:rPr>
        <w:t xml:space="preserve">now </w:t>
      </w:r>
      <w:r w:rsidR="00801D9C" w:rsidRPr="00231828">
        <w:rPr>
          <w:rFonts w:ascii="Arial" w:hAnsi="Arial" w:cs="Arial"/>
        </w:rPr>
        <w:t xml:space="preserve">extended the </w:t>
      </w:r>
      <w:proofErr w:type="spellStart"/>
      <w:r w:rsidR="00801D9C" w:rsidRPr="00231828">
        <w:rPr>
          <w:rFonts w:ascii="Arial" w:hAnsi="Arial" w:cs="Arial"/>
        </w:rPr>
        <w:t>biobank</w:t>
      </w:r>
      <w:proofErr w:type="spellEnd"/>
      <w:r w:rsidR="00801D9C" w:rsidRPr="00231828">
        <w:rPr>
          <w:rFonts w:ascii="Arial" w:hAnsi="Arial" w:cs="Arial"/>
        </w:rPr>
        <w:t xml:space="preserve"> </w:t>
      </w:r>
      <w:r w:rsidR="00942A48" w:rsidRPr="00231828">
        <w:rPr>
          <w:rFonts w:ascii="Arial" w:hAnsi="Arial" w:cs="Arial"/>
        </w:rPr>
        <w:t>by an additional 6</w:t>
      </w:r>
      <w:r w:rsidR="00D9782B" w:rsidRPr="00231828">
        <w:rPr>
          <w:rFonts w:ascii="Arial" w:hAnsi="Arial" w:cs="Arial"/>
        </w:rPr>
        <w:t>00 volunteers</w:t>
      </w:r>
      <w:r w:rsidR="00803EF8" w:rsidRPr="00231828">
        <w:rPr>
          <w:rFonts w:ascii="Arial" w:hAnsi="Arial" w:cs="Arial"/>
        </w:rPr>
        <w:t>,</w:t>
      </w:r>
      <w:r w:rsidR="00D9782B" w:rsidRPr="00231828">
        <w:rPr>
          <w:rFonts w:ascii="Arial" w:hAnsi="Arial" w:cs="Arial"/>
        </w:rPr>
        <w:t xml:space="preserve"> </w:t>
      </w:r>
      <w:r w:rsidR="00942A48" w:rsidRPr="00231828">
        <w:rPr>
          <w:rFonts w:ascii="Arial" w:hAnsi="Arial" w:cs="Arial"/>
        </w:rPr>
        <w:t xml:space="preserve">who were </w:t>
      </w:r>
      <w:r w:rsidR="00D9782B" w:rsidRPr="00231828">
        <w:rPr>
          <w:rFonts w:ascii="Arial" w:hAnsi="Arial" w:cs="Arial"/>
        </w:rPr>
        <w:t>recruited during 2014</w:t>
      </w:r>
      <w:bookmarkStart w:id="0" w:name="d30972e1006"/>
      <w:bookmarkEnd w:id="0"/>
      <w:r w:rsidR="00942A48" w:rsidRPr="00231828">
        <w:rPr>
          <w:rFonts w:ascii="Arial" w:hAnsi="Arial" w:cs="Arial"/>
        </w:rPr>
        <w:t xml:space="preserve"> and </w:t>
      </w:r>
      <w:r w:rsidR="00011117" w:rsidRPr="00231828">
        <w:rPr>
          <w:rFonts w:ascii="Arial" w:hAnsi="Arial" w:cs="Arial"/>
        </w:rPr>
        <w:t xml:space="preserve">here </w:t>
      </w:r>
      <w:r w:rsidR="00560DC9" w:rsidRPr="00231828">
        <w:rPr>
          <w:rFonts w:ascii="Arial" w:hAnsi="Arial" w:cs="Arial"/>
        </w:rPr>
        <w:t xml:space="preserve">we </w:t>
      </w:r>
      <w:r w:rsidR="00942A48" w:rsidRPr="00231828">
        <w:rPr>
          <w:rFonts w:ascii="Arial" w:hAnsi="Arial" w:cs="Arial"/>
        </w:rPr>
        <w:t xml:space="preserve">report on the </w:t>
      </w:r>
      <w:r w:rsidR="00803EF8" w:rsidRPr="00231828">
        <w:rPr>
          <w:rFonts w:ascii="Arial" w:hAnsi="Arial" w:cs="Arial"/>
        </w:rPr>
        <w:t>characteristics</w:t>
      </w:r>
      <w:r w:rsidR="00011117" w:rsidRPr="00231828">
        <w:rPr>
          <w:rFonts w:ascii="Arial" w:hAnsi="Arial" w:cs="Arial"/>
        </w:rPr>
        <w:t xml:space="preserve"> of these new volunteers.</w:t>
      </w:r>
    </w:p>
    <w:p w:rsidR="000F2B08" w:rsidRPr="00231828" w:rsidRDefault="000F2B08" w:rsidP="00231828">
      <w:pPr>
        <w:autoSpaceDE w:val="0"/>
        <w:autoSpaceDN w:val="0"/>
        <w:adjustRightInd w:val="0"/>
        <w:spacing w:after="0" w:line="480" w:lineRule="auto"/>
        <w:jc w:val="both"/>
        <w:rPr>
          <w:rFonts w:ascii="Arial" w:hAnsi="Arial" w:cs="Arial"/>
        </w:rPr>
      </w:pPr>
    </w:p>
    <w:p w:rsidR="007934AA" w:rsidRPr="00231828" w:rsidRDefault="00521396" w:rsidP="00231828">
      <w:pPr>
        <w:spacing w:line="480" w:lineRule="auto"/>
        <w:jc w:val="both"/>
        <w:rPr>
          <w:rFonts w:ascii="Arial" w:hAnsi="Arial" w:cs="Arial"/>
          <w:color w:val="FF0000"/>
        </w:rPr>
      </w:pPr>
      <w:r w:rsidRPr="00231828">
        <w:rPr>
          <w:rFonts w:ascii="Arial" w:hAnsi="Arial" w:cs="Arial"/>
        </w:rPr>
        <w:t xml:space="preserve">Once the </w:t>
      </w:r>
      <w:proofErr w:type="spellStart"/>
      <w:r w:rsidRPr="00231828">
        <w:rPr>
          <w:rFonts w:ascii="Arial" w:hAnsi="Arial" w:cs="Arial"/>
        </w:rPr>
        <w:t>biobank</w:t>
      </w:r>
      <w:proofErr w:type="spellEnd"/>
      <w:r w:rsidRPr="00231828">
        <w:rPr>
          <w:rFonts w:ascii="Arial" w:hAnsi="Arial" w:cs="Arial"/>
        </w:rPr>
        <w:t xml:space="preserve"> was established, </w:t>
      </w:r>
      <w:r w:rsidR="00874F75" w:rsidRPr="00231828">
        <w:rPr>
          <w:rFonts w:ascii="Arial" w:hAnsi="Arial" w:cs="Arial"/>
        </w:rPr>
        <w:t xml:space="preserve">we </w:t>
      </w:r>
      <w:r w:rsidR="00560DC9" w:rsidRPr="00231828">
        <w:rPr>
          <w:rFonts w:ascii="Arial" w:hAnsi="Arial" w:cs="Arial"/>
        </w:rPr>
        <w:t xml:space="preserve">developed a </w:t>
      </w:r>
      <w:r w:rsidR="000D7312" w:rsidRPr="00231828">
        <w:rPr>
          <w:rFonts w:ascii="Arial" w:hAnsi="Arial" w:cs="Arial"/>
        </w:rPr>
        <w:t>dendritic cell (</w:t>
      </w:r>
      <w:r w:rsidR="00560DC9" w:rsidRPr="00231828">
        <w:rPr>
          <w:rFonts w:ascii="Arial" w:hAnsi="Arial" w:cs="Arial"/>
        </w:rPr>
        <w:t>DC</w:t>
      </w:r>
      <w:r w:rsidR="000D7312" w:rsidRPr="00231828">
        <w:rPr>
          <w:rFonts w:ascii="Arial" w:hAnsi="Arial" w:cs="Arial"/>
        </w:rPr>
        <w:t>)</w:t>
      </w:r>
      <w:r w:rsidR="00560DC9" w:rsidRPr="00231828">
        <w:rPr>
          <w:rFonts w:ascii="Arial" w:hAnsi="Arial" w:cs="Arial"/>
        </w:rPr>
        <w:t xml:space="preserve"> priming assay </w:t>
      </w:r>
      <w:r w:rsidR="00B666EE" w:rsidRPr="00231828">
        <w:rPr>
          <w:rFonts w:ascii="Arial" w:hAnsi="Arial" w:cs="Arial"/>
        </w:rPr>
        <w:t xml:space="preserve">to detect </w:t>
      </w:r>
      <w:r w:rsidR="00E04244" w:rsidRPr="00231828">
        <w:rPr>
          <w:rFonts w:ascii="Arial" w:hAnsi="Arial" w:cs="Arial"/>
        </w:rPr>
        <w:t>drug-specific stimulation of naive T cells</w:t>
      </w:r>
      <w:r w:rsidR="00560DC9" w:rsidRPr="00231828">
        <w:rPr>
          <w:rFonts w:ascii="Arial" w:hAnsi="Arial" w:cs="Arial"/>
        </w:rPr>
        <w:t xml:space="preserve"> </w:t>
      </w:r>
      <w:r w:rsidR="004B2445" w:rsidRPr="00231828">
        <w:rPr>
          <w:rFonts w:ascii="Arial" w:hAnsi="Arial" w:cs="Arial"/>
        </w:rPr>
        <w:t>from the HLA typed volunteers</w:t>
      </w:r>
      <w:r w:rsidR="00FE2F4C" w:rsidRPr="00231828">
        <w:rPr>
          <w:rFonts w:ascii="Arial" w:hAnsi="Arial" w:cs="Arial"/>
        </w:rPr>
        <w:t xml:space="preserve"> (Faulkner </w:t>
      </w:r>
      <w:r w:rsidR="00FE2F4C" w:rsidRPr="00231828">
        <w:rPr>
          <w:rFonts w:ascii="Arial" w:hAnsi="Arial" w:cs="Arial"/>
          <w:i/>
        </w:rPr>
        <w:t>et al</w:t>
      </w:r>
      <w:r w:rsidR="00011117" w:rsidRPr="00231828">
        <w:rPr>
          <w:rFonts w:ascii="Arial" w:hAnsi="Arial" w:cs="Arial"/>
          <w:i/>
        </w:rPr>
        <w:t>.</w:t>
      </w:r>
      <w:r w:rsidR="00FE2F4C" w:rsidRPr="00231828">
        <w:rPr>
          <w:rFonts w:ascii="Arial" w:hAnsi="Arial" w:cs="Arial"/>
        </w:rPr>
        <w:t xml:space="preserve"> 2012). </w:t>
      </w:r>
      <w:r w:rsidR="00874F75" w:rsidRPr="00231828">
        <w:rPr>
          <w:rFonts w:ascii="Arial" w:hAnsi="Arial" w:cs="Arial"/>
        </w:rPr>
        <w:t xml:space="preserve">Initially we used </w:t>
      </w:r>
      <w:proofErr w:type="spellStart"/>
      <w:r w:rsidR="00874F75" w:rsidRPr="00231828">
        <w:rPr>
          <w:rFonts w:ascii="Arial" w:hAnsi="Arial" w:cs="Arial"/>
        </w:rPr>
        <w:t>nitroso-sulfamethoxazole</w:t>
      </w:r>
      <w:proofErr w:type="spellEnd"/>
      <w:r w:rsidR="00874F75" w:rsidRPr="00231828">
        <w:rPr>
          <w:rFonts w:ascii="Arial" w:hAnsi="Arial" w:cs="Arial"/>
        </w:rPr>
        <w:t xml:space="preserve"> (SMX-NO) to establish the assay. </w:t>
      </w:r>
      <w:r w:rsidR="00FE2F4C" w:rsidRPr="00231828">
        <w:rPr>
          <w:rFonts w:ascii="Arial" w:hAnsi="Arial" w:cs="Arial"/>
        </w:rPr>
        <w:t>N</w:t>
      </w:r>
      <w:r w:rsidR="00E04244" w:rsidRPr="00231828">
        <w:rPr>
          <w:rFonts w:ascii="Arial" w:hAnsi="Arial" w:cs="Arial"/>
        </w:rPr>
        <w:t>aive T cell</w:t>
      </w:r>
      <w:r w:rsidR="00942A48" w:rsidRPr="00231828">
        <w:rPr>
          <w:rFonts w:ascii="Arial" w:hAnsi="Arial" w:cs="Arial"/>
        </w:rPr>
        <w:t>s</w:t>
      </w:r>
      <w:r w:rsidR="00E04244" w:rsidRPr="00231828">
        <w:rPr>
          <w:rFonts w:ascii="Arial" w:hAnsi="Arial" w:cs="Arial"/>
        </w:rPr>
        <w:t xml:space="preserve"> </w:t>
      </w:r>
      <w:r w:rsidR="005541BD" w:rsidRPr="00231828">
        <w:rPr>
          <w:rFonts w:ascii="Arial" w:hAnsi="Arial" w:cs="Arial"/>
        </w:rPr>
        <w:t>we</w:t>
      </w:r>
      <w:r w:rsidR="00FE2F4C" w:rsidRPr="00231828">
        <w:rPr>
          <w:rFonts w:ascii="Arial" w:hAnsi="Arial" w:cs="Arial"/>
        </w:rPr>
        <w:t xml:space="preserve">re incubated with </w:t>
      </w:r>
      <w:r w:rsidR="00836DB5" w:rsidRPr="00231828">
        <w:rPr>
          <w:rFonts w:ascii="Arial" w:hAnsi="Arial" w:cs="Arial"/>
        </w:rPr>
        <w:t>SMX-NO</w:t>
      </w:r>
      <w:r w:rsidR="00FE2F4C" w:rsidRPr="00231828">
        <w:rPr>
          <w:rFonts w:ascii="Arial" w:hAnsi="Arial" w:cs="Arial"/>
        </w:rPr>
        <w:t xml:space="preserve"> and </w:t>
      </w:r>
      <w:r w:rsidR="00E04244" w:rsidRPr="00231828">
        <w:rPr>
          <w:rFonts w:ascii="Arial" w:hAnsi="Arial" w:cs="Arial"/>
        </w:rPr>
        <w:t>monocyte-derived dendritic cells (Mo-DC)</w:t>
      </w:r>
      <w:r w:rsidR="00684E60" w:rsidRPr="00231828">
        <w:rPr>
          <w:rFonts w:ascii="Arial" w:hAnsi="Arial" w:cs="Arial"/>
        </w:rPr>
        <w:t>. Antigen-</w:t>
      </w:r>
      <w:r w:rsidR="00FE2F4C" w:rsidRPr="00231828">
        <w:rPr>
          <w:rFonts w:ascii="Arial" w:hAnsi="Arial" w:cs="Arial"/>
        </w:rPr>
        <w:t xml:space="preserve">specific responses </w:t>
      </w:r>
      <w:r w:rsidR="00684E60" w:rsidRPr="00231828">
        <w:rPr>
          <w:rFonts w:ascii="Arial" w:hAnsi="Arial" w:cs="Arial"/>
        </w:rPr>
        <w:t xml:space="preserve">were then detected by proliferation and cytokine release and the cells </w:t>
      </w:r>
      <w:proofErr w:type="spellStart"/>
      <w:r w:rsidR="00684E60" w:rsidRPr="00231828">
        <w:rPr>
          <w:rFonts w:ascii="Arial" w:hAnsi="Arial" w:cs="Arial"/>
        </w:rPr>
        <w:t>phenotyped</w:t>
      </w:r>
      <w:proofErr w:type="spellEnd"/>
      <w:r w:rsidR="00684E60" w:rsidRPr="00231828">
        <w:rPr>
          <w:rFonts w:ascii="Arial" w:hAnsi="Arial" w:cs="Arial"/>
        </w:rPr>
        <w:t xml:space="preserve"> for chemokine receptors</w:t>
      </w:r>
      <w:r w:rsidR="00FE2F4C" w:rsidRPr="00231828">
        <w:rPr>
          <w:rFonts w:ascii="Arial" w:hAnsi="Arial" w:cs="Arial"/>
        </w:rPr>
        <w:t>.</w:t>
      </w:r>
      <w:r w:rsidR="004B2445" w:rsidRPr="00231828">
        <w:rPr>
          <w:rFonts w:ascii="Arial" w:hAnsi="Arial" w:cs="Arial"/>
        </w:rPr>
        <w:t xml:space="preserve"> </w:t>
      </w:r>
      <w:r w:rsidR="00CE0438">
        <w:rPr>
          <w:rFonts w:ascii="Arial" w:hAnsi="Arial" w:cs="Arial"/>
        </w:rPr>
        <w:t xml:space="preserve">Importantly, regulatory T-cells are removed prior to commencing experiments to reveal responses that would not be detectable if PBMC were cultured directly with drugs for a similar duration. </w:t>
      </w:r>
      <w:r w:rsidR="00B92A85" w:rsidRPr="00231828">
        <w:rPr>
          <w:rFonts w:ascii="Arial" w:hAnsi="Arial" w:cs="Arial"/>
        </w:rPr>
        <w:t>I</w:t>
      </w:r>
      <w:r w:rsidR="00FE2F4C" w:rsidRPr="00231828">
        <w:rPr>
          <w:rFonts w:ascii="Arial" w:hAnsi="Arial" w:cs="Arial"/>
        </w:rPr>
        <w:t xml:space="preserve">n this </w:t>
      </w:r>
      <w:r w:rsidR="005541BD" w:rsidRPr="00231828">
        <w:rPr>
          <w:rFonts w:ascii="Arial" w:hAnsi="Arial" w:cs="Arial"/>
        </w:rPr>
        <w:t xml:space="preserve">study we report on the reproducibility </w:t>
      </w:r>
      <w:r w:rsidR="00836DB5" w:rsidRPr="00231828">
        <w:rPr>
          <w:rFonts w:ascii="Arial" w:hAnsi="Arial" w:cs="Arial"/>
        </w:rPr>
        <w:t>of</w:t>
      </w:r>
      <w:r w:rsidR="005541BD" w:rsidRPr="00231828">
        <w:rPr>
          <w:rFonts w:ascii="Arial" w:hAnsi="Arial" w:cs="Arial"/>
        </w:rPr>
        <w:t xml:space="preserve"> </w:t>
      </w:r>
      <w:r w:rsidR="00836DB5" w:rsidRPr="00231828">
        <w:rPr>
          <w:rFonts w:ascii="Arial" w:hAnsi="Arial" w:cs="Arial"/>
        </w:rPr>
        <w:t>SMX-NO</w:t>
      </w:r>
      <w:r w:rsidR="00011117" w:rsidRPr="00231828">
        <w:rPr>
          <w:rFonts w:ascii="Arial" w:hAnsi="Arial" w:cs="Arial"/>
        </w:rPr>
        <w:t xml:space="preserve"> as a </w:t>
      </w:r>
      <w:r w:rsidR="005541BD" w:rsidRPr="00231828">
        <w:rPr>
          <w:rFonts w:ascii="Arial" w:hAnsi="Arial" w:cs="Arial"/>
        </w:rPr>
        <w:t xml:space="preserve">positive control and </w:t>
      </w:r>
      <w:r w:rsidR="00836DB5" w:rsidRPr="00231828">
        <w:rPr>
          <w:rFonts w:ascii="Arial" w:hAnsi="Arial" w:cs="Arial"/>
        </w:rPr>
        <w:t xml:space="preserve">on </w:t>
      </w:r>
      <w:r w:rsidR="00684E60" w:rsidRPr="00231828">
        <w:rPr>
          <w:rFonts w:ascii="Arial" w:hAnsi="Arial" w:cs="Arial"/>
        </w:rPr>
        <w:t xml:space="preserve">the generation of drug-specific responses </w:t>
      </w:r>
      <w:r w:rsidR="00836DB5" w:rsidRPr="00231828">
        <w:rPr>
          <w:rFonts w:ascii="Arial" w:hAnsi="Arial" w:cs="Arial"/>
        </w:rPr>
        <w:t>to</w:t>
      </w:r>
      <w:r w:rsidR="00684E60" w:rsidRPr="00231828">
        <w:rPr>
          <w:rFonts w:ascii="Arial" w:hAnsi="Arial" w:cs="Arial"/>
        </w:rPr>
        <w:t xml:space="preserve"> </w:t>
      </w:r>
      <w:r w:rsidR="007934AA" w:rsidRPr="00231828">
        <w:rPr>
          <w:rFonts w:ascii="Arial" w:hAnsi="Arial" w:cs="Arial"/>
        </w:rPr>
        <w:t>10</w:t>
      </w:r>
      <w:r w:rsidR="00C46847" w:rsidRPr="00231828">
        <w:rPr>
          <w:rFonts w:ascii="Arial" w:hAnsi="Arial" w:cs="Arial"/>
        </w:rPr>
        <w:t xml:space="preserve"> </w:t>
      </w:r>
      <w:r w:rsidR="00684E60" w:rsidRPr="00231828">
        <w:rPr>
          <w:rFonts w:ascii="Arial" w:hAnsi="Arial" w:cs="Arial"/>
        </w:rPr>
        <w:t>different</w:t>
      </w:r>
      <w:r w:rsidR="00011117" w:rsidRPr="00231828">
        <w:rPr>
          <w:rFonts w:ascii="Arial" w:hAnsi="Arial" w:cs="Arial"/>
        </w:rPr>
        <w:t xml:space="preserve"> chemicals/drugs</w:t>
      </w:r>
      <w:r w:rsidR="004B2445" w:rsidRPr="00231828">
        <w:rPr>
          <w:rFonts w:ascii="Arial" w:hAnsi="Arial" w:cs="Arial"/>
        </w:rPr>
        <w:t xml:space="preserve">: </w:t>
      </w:r>
      <w:r w:rsidR="000D7312" w:rsidRPr="00231828">
        <w:rPr>
          <w:rFonts w:ascii="Arial" w:hAnsi="Arial" w:cs="Arial"/>
        </w:rPr>
        <w:t>t</w:t>
      </w:r>
      <w:r w:rsidR="004B2445" w:rsidRPr="00231828">
        <w:rPr>
          <w:rFonts w:ascii="Arial" w:hAnsi="Arial" w:cs="Arial"/>
        </w:rPr>
        <w:t xml:space="preserve">he beta lactam antibiotics </w:t>
      </w:r>
      <w:r w:rsidR="00C46847" w:rsidRPr="00231828">
        <w:rPr>
          <w:rFonts w:ascii="Arial" w:hAnsi="Arial" w:cs="Arial"/>
        </w:rPr>
        <w:t xml:space="preserve">amoxicillin, </w:t>
      </w:r>
      <w:r w:rsidR="004B2445" w:rsidRPr="00231828">
        <w:rPr>
          <w:rFonts w:ascii="Arial" w:hAnsi="Arial" w:cs="Arial"/>
        </w:rPr>
        <w:t xml:space="preserve">piperacillin and flucloxacillin, the anti-epileptic carbamazepine, the anticoagulant </w:t>
      </w:r>
      <w:proofErr w:type="spellStart"/>
      <w:r w:rsidR="00930DA9" w:rsidRPr="00231828">
        <w:rPr>
          <w:rFonts w:ascii="Arial" w:hAnsi="Arial" w:cs="Arial"/>
        </w:rPr>
        <w:t>ximelagatran</w:t>
      </w:r>
      <w:proofErr w:type="spellEnd"/>
      <w:r w:rsidR="00930DA9" w:rsidRPr="00231828">
        <w:rPr>
          <w:rFonts w:ascii="Arial" w:hAnsi="Arial" w:cs="Arial"/>
        </w:rPr>
        <w:t xml:space="preserve"> </w:t>
      </w:r>
      <w:r w:rsidR="00E2487C" w:rsidRPr="00231828">
        <w:rPr>
          <w:rFonts w:ascii="Arial" w:hAnsi="Arial" w:cs="Arial"/>
        </w:rPr>
        <w:t xml:space="preserve">and its metabolite </w:t>
      </w:r>
      <w:proofErr w:type="spellStart"/>
      <w:r w:rsidR="00930DA9" w:rsidRPr="00231828">
        <w:rPr>
          <w:rFonts w:ascii="Arial" w:hAnsi="Arial" w:cs="Arial"/>
        </w:rPr>
        <w:t>melagatran</w:t>
      </w:r>
      <w:proofErr w:type="spellEnd"/>
      <w:r w:rsidR="000D7312" w:rsidRPr="00231828">
        <w:rPr>
          <w:rFonts w:ascii="Arial" w:hAnsi="Arial" w:cs="Arial"/>
        </w:rPr>
        <w:t xml:space="preserve">, </w:t>
      </w:r>
      <w:r w:rsidR="007934AA" w:rsidRPr="00231828">
        <w:rPr>
          <w:rFonts w:ascii="Arial" w:hAnsi="Arial" w:cs="Arial"/>
        </w:rPr>
        <w:t xml:space="preserve">the </w:t>
      </w:r>
      <w:r w:rsidR="007934AA" w:rsidRPr="00231828">
        <w:rPr>
          <w:rFonts w:ascii="Arial" w:hAnsi="Arial" w:cs="Arial"/>
          <w:lang w:val="en"/>
        </w:rPr>
        <w:t xml:space="preserve">xanthine oxidase inhibitor </w:t>
      </w:r>
      <w:proofErr w:type="spellStart"/>
      <w:r w:rsidR="00C46847" w:rsidRPr="00231828">
        <w:rPr>
          <w:rFonts w:ascii="Arial" w:hAnsi="Arial" w:cs="Arial"/>
        </w:rPr>
        <w:t>oxypurino</w:t>
      </w:r>
      <w:r w:rsidR="007934AA" w:rsidRPr="00231828">
        <w:rPr>
          <w:rFonts w:ascii="Arial" w:hAnsi="Arial" w:cs="Arial"/>
        </w:rPr>
        <w:t>l</w:t>
      </w:r>
      <w:proofErr w:type="spellEnd"/>
      <w:r w:rsidR="007934AA" w:rsidRPr="00231828">
        <w:rPr>
          <w:rFonts w:ascii="Arial" w:hAnsi="Arial" w:cs="Arial"/>
        </w:rPr>
        <w:t xml:space="preserve"> (the</w:t>
      </w:r>
      <w:r w:rsidR="00C46847" w:rsidRPr="00231828">
        <w:rPr>
          <w:rFonts w:ascii="Arial" w:hAnsi="Arial" w:cs="Arial"/>
        </w:rPr>
        <w:t xml:space="preserve"> </w:t>
      </w:r>
      <w:r w:rsidR="007934AA" w:rsidRPr="00231828">
        <w:rPr>
          <w:rFonts w:ascii="Arial" w:hAnsi="Arial" w:cs="Arial"/>
          <w:lang w:val="en"/>
        </w:rPr>
        <w:t xml:space="preserve">active metabolite of allopurinol), </w:t>
      </w:r>
      <w:r w:rsidR="004B2445" w:rsidRPr="00231828">
        <w:rPr>
          <w:rFonts w:ascii="Arial" w:hAnsi="Arial" w:cs="Arial"/>
        </w:rPr>
        <w:t xml:space="preserve">the Cox-2 inhibitor </w:t>
      </w:r>
      <w:proofErr w:type="spellStart"/>
      <w:r w:rsidR="004B2445" w:rsidRPr="00231828">
        <w:rPr>
          <w:rFonts w:ascii="Arial" w:hAnsi="Arial" w:cs="Arial"/>
        </w:rPr>
        <w:t>lumiracoxib</w:t>
      </w:r>
      <w:proofErr w:type="spellEnd"/>
      <w:r w:rsidR="00E2487C" w:rsidRPr="00231828">
        <w:rPr>
          <w:rFonts w:ascii="Arial" w:hAnsi="Arial" w:cs="Arial"/>
        </w:rPr>
        <w:t xml:space="preserve"> and 4 </w:t>
      </w:r>
      <w:r w:rsidR="00874F75" w:rsidRPr="00231828">
        <w:rPr>
          <w:rFonts w:ascii="Arial" w:hAnsi="Arial" w:cs="Arial"/>
        </w:rPr>
        <w:t xml:space="preserve">of its </w:t>
      </w:r>
      <w:r w:rsidR="00E2487C" w:rsidRPr="00231828">
        <w:rPr>
          <w:rFonts w:ascii="Arial" w:hAnsi="Arial" w:cs="Arial"/>
        </w:rPr>
        <w:t>metabolites</w:t>
      </w:r>
      <w:r w:rsidR="007934AA" w:rsidRPr="00231828">
        <w:rPr>
          <w:rFonts w:ascii="Arial" w:hAnsi="Arial" w:cs="Arial"/>
        </w:rPr>
        <w:t xml:space="preserve">, the tyrosine kinase inhibitor </w:t>
      </w:r>
      <w:proofErr w:type="spellStart"/>
      <w:r w:rsidR="007934AA" w:rsidRPr="00231828">
        <w:rPr>
          <w:rFonts w:ascii="Arial" w:hAnsi="Arial" w:cs="Arial"/>
        </w:rPr>
        <w:t>lapatinib</w:t>
      </w:r>
      <w:proofErr w:type="spellEnd"/>
      <w:r w:rsidR="007934AA" w:rsidRPr="00231828">
        <w:rPr>
          <w:rFonts w:ascii="Arial" w:hAnsi="Arial" w:cs="Arial"/>
        </w:rPr>
        <w:t xml:space="preserve">, the reverse transcriptase inhibitor </w:t>
      </w:r>
      <w:proofErr w:type="spellStart"/>
      <w:r w:rsidR="007934AA" w:rsidRPr="00231828">
        <w:rPr>
          <w:rFonts w:ascii="Arial" w:hAnsi="Arial" w:cs="Arial"/>
        </w:rPr>
        <w:t>abacavir</w:t>
      </w:r>
      <w:proofErr w:type="spellEnd"/>
      <w:r w:rsidR="000D7312" w:rsidRPr="00231828">
        <w:rPr>
          <w:rFonts w:ascii="Arial" w:hAnsi="Arial" w:cs="Arial"/>
        </w:rPr>
        <w:t xml:space="preserve"> and </w:t>
      </w:r>
      <w:proofErr w:type="spellStart"/>
      <w:r w:rsidR="000D7312" w:rsidRPr="00231828">
        <w:rPr>
          <w:rFonts w:ascii="Arial" w:hAnsi="Arial" w:cs="Arial"/>
        </w:rPr>
        <w:t>Bandrowski’s</w:t>
      </w:r>
      <w:proofErr w:type="spellEnd"/>
      <w:r w:rsidR="000D7312" w:rsidRPr="00231828">
        <w:rPr>
          <w:rFonts w:ascii="Arial" w:hAnsi="Arial" w:cs="Arial"/>
        </w:rPr>
        <w:t xml:space="preserve"> base, an oxidation product of the hair dye component </w:t>
      </w:r>
      <w:r w:rsidR="000D7312" w:rsidRPr="00231828">
        <w:rPr>
          <w:rFonts w:ascii="Arial" w:hAnsi="Arial" w:cs="Arial"/>
          <w:i/>
        </w:rPr>
        <w:t>p</w:t>
      </w:r>
      <w:r w:rsidR="000D7312" w:rsidRPr="00231828">
        <w:rPr>
          <w:rFonts w:ascii="Arial" w:hAnsi="Arial" w:cs="Arial"/>
        </w:rPr>
        <w:t>-</w:t>
      </w:r>
      <w:proofErr w:type="spellStart"/>
      <w:r w:rsidR="000D7312" w:rsidRPr="00231828">
        <w:rPr>
          <w:rFonts w:ascii="Arial" w:hAnsi="Arial" w:cs="Arial"/>
        </w:rPr>
        <w:t>phenylenediamine</w:t>
      </w:r>
      <w:proofErr w:type="spellEnd"/>
      <w:r w:rsidR="00FB1DCF" w:rsidRPr="00231828">
        <w:rPr>
          <w:rFonts w:ascii="Arial" w:hAnsi="Arial" w:cs="Arial"/>
        </w:rPr>
        <w:t xml:space="preserve"> (Figure 1)</w:t>
      </w:r>
      <w:r w:rsidR="004B2445" w:rsidRPr="00231828">
        <w:rPr>
          <w:rFonts w:ascii="Arial" w:hAnsi="Arial" w:cs="Arial"/>
        </w:rPr>
        <w:t xml:space="preserve">. </w:t>
      </w:r>
      <w:r w:rsidR="000D7312" w:rsidRPr="00231828">
        <w:rPr>
          <w:rFonts w:ascii="Arial" w:hAnsi="Arial" w:cs="Arial"/>
        </w:rPr>
        <w:t>T cell responses</w:t>
      </w:r>
      <w:r w:rsidR="00836DB5" w:rsidRPr="00231828">
        <w:rPr>
          <w:rFonts w:ascii="Arial" w:hAnsi="Arial" w:cs="Arial"/>
        </w:rPr>
        <w:t xml:space="preserve"> to </w:t>
      </w:r>
      <w:r w:rsidR="007934AA" w:rsidRPr="00231828">
        <w:rPr>
          <w:rFonts w:ascii="Arial" w:hAnsi="Arial" w:cs="Arial"/>
        </w:rPr>
        <w:t xml:space="preserve">SMX-NO, </w:t>
      </w:r>
      <w:proofErr w:type="spellStart"/>
      <w:r w:rsidR="00684E60" w:rsidRPr="00231828">
        <w:rPr>
          <w:rFonts w:ascii="Arial" w:hAnsi="Arial" w:cs="Arial"/>
        </w:rPr>
        <w:t>Bandrowski’s</w:t>
      </w:r>
      <w:proofErr w:type="spellEnd"/>
      <w:r w:rsidR="00684E60" w:rsidRPr="00231828">
        <w:rPr>
          <w:rFonts w:ascii="Arial" w:hAnsi="Arial" w:cs="Arial"/>
        </w:rPr>
        <w:t xml:space="preserve"> base</w:t>
      </w:r>
      <w:r w:rsidR="00D72C26" w:rsidRPr="00231828">
        <w:rPr>
          <w:rFonts w:ascii="Arial" w:hAnsi="Arial" w:cs="Arial"/>
        </w:rPr>
        <w:t>, amoxicillin</w:t>
      </w:r>
      <w:r w:rsidR="00684E60" w:rsidRPr="00231828">
        <w:rPr>
          <w:rFonts w:ascii="Arial" w:hAnsi="Arial" w:cs="Arial"/>
        </w:rPr>
        <w:t xml:space="preserve"> and piperacillin </w:t>
      </w:r>
      <w:r w:rsidR="004B2445" w:rsidRPr="00231828">
        <w:rPr>
          <w:rFonts w:ascii="Arial" w:hAnsi="Arial" w:cs="Arial"/>
        </w:rPr>
        <w:t>are</w:t>
      </w:r>
      <w:r w:rsidR="00B666EE" w:rsidRPr="00231828">
        <w:rPr>
          <w:rFonts w:ascii="Arial" w:hAnsi="Arial" w:cs="Arial"/>
        </w:rPr>
        <w:t xml:space="preserve"> not associated </w:t>
      </w:r>
      <w:r w:rsidR="00B666EE" w:rsidRPr="00231828">
        <w:rPr>
          <w:rFonts w:ascii="Arial" w:hAnsi="Arial" w:cs="Arial"/>
        </w:rPr>
        <w:lastRenderedPageBreak/>
        <w:t xml:space="preserve">with a specific </w:t>
      </w:r>
      <w:r w:rsidR="00836DB5" w:rsidRPr="00231828">
        <w:rPr>
          <w:rFonts w:ascii="Arial" w:hAnsi="Arial" w:cs="Arial"/>
        </w:rPr>
        <w:t xml:space="preserve">HLA </w:t>
      </w:r>
      <w:r w:rsidR="00B666EE" w:rsidRPr="00231828">
        <w:rPr>
          <w:rFonts w:ascii="Arial" w:hAnsi="Arial" w:cs="Arial"/>
        </w:rPr>
        <w:t>allele</w:t>
      </w:r>
      <w:r w:rsidR="00836DB5" w:rsidRPr="00231828">
        <w:rPr>
          <w:rFonts w:ascii="Arial" w:hAnsi="Arial" w:cs="Arial"/>
        </w:rPr>
        <w:t xml:space="preserve"> whereas </w:t>
      </w:r>
      <w:r w:rsidR="00684E60" w:rsidRPr="00231828">
        <w:rPr>
          <w:rFonts w:ascii="Arial" w:hAnsi="Arial" w:cs="Arial"/>
        </w:rPr>
        <w:t>the</w:t>
      </w:r>
      <w:r w:rsidR="00836DB5" w:rsidRPr="00231828">
        <w:rPr>
          <w:rFonts w:ascii="Arial" w:hAnsi="Arial" w:cs="Arial"/>
        </w:rPr>
        <w:t xml:space="preserve">re is an HLA </w:t>
      </w:r>
      <w:r w:rsidR="000D4BEF" w:rsidRPr="00231828">
        <w:rPr>
          <w:rFonts w:ascii="Arial" w:hAnsi="Arial" w:cs="Arial"/>
        </w:rPr>
        <w:t xml:space="preserve">class I (B*57:01 for flucloxacillin and </w:t>
      </w:r>
      <w:proofErr w:type="spellStart"/>
      <w:r w:rsidR="000D4BEF" w:rsidRPr="00231828">
        <w:rPr>
          <w:rFonts w:ascii="Arial" w:hAnsi="Arial" w:cs="Arial"/>
        </w:rPr>
        <w:t>abacavir</w:t>
      </w:r>
      <w:proofErr w:type="spellEnd"/>
      <w:r w:rsidR="008445CA" w:rsidRPr="00231828">
        <w:rPr>
          <w:rFonts w:ascii="Arial" w:hAnsi="Arial" w:cs="Arial"/>
        </w:rPr>
        <w:t xml:space="preserve"> </w:t>
      </w:r>
      <w:r w:rsidR="008445CA" w:rsidRPr="00231828">
        <w:rPr>
          <w:rFonts w:ascii="Arial" w:hAnsi="Arial" w:cs="Arial"/>
          <w:noProof/>
        </w:rPr>
        <w:t>(Daly</w:t>
      </w:r>
      <w:r w:rsidR="008445CA" w:rsidRPr="00231828">
        <w:rPr>
          <w:rFonts w:ascii="Arial" w:hAnsi="Arial" w:cs="Arial"/>
          <w:i/>
          <w:noProof/>
        </w:rPr>
        <w:t xml:space="preserve"> et al.</w:t>
      </w:r>
      <w:r w:rsidR="008445CA" w:rsidRPr="00231828">
        <w:rPr>
          <w:rFonts w:ascii="Arial" w:hAnsi="Arial" w:cs="Arial"/>
          <w:noProof/>
        </w:rPr>
        <w:t>, 2009;  Mallal</w:t>
      </w:r>
      <w:r w:rsidR="008445CA" w:rsidRPr="00231828">
        <w:rPr>
          <w:rFonts w:ascii="Arial" w:hAnsi="Arial" w:cs="Arial"/>
          <w:i/>
          <w:noProof/>
        </w:rPr>
        <w:t xml:space="preserve"> et al.</w:t>
      </w:r>
      <w:r w:rsidR="008445CA" w:rsidRPr="00231828">
        <w:rPr>
          <w:rFonts w:ascii="Arial" w:hAnsi="Arial" w:cs="Arial"/>
          <w:noProof/>
        </w:rPr>
        <w:t>, 2008)</w:t>
      </w:r>
      <w:r w:rsidR="000D4BEF" w:rsidRPr="00231828">
        <w:rPr>
          <w:rFonts w:ascii="Arial" w:hAnsi="Arial" w:cs="Arial"/>
        </w:rPr>
        <w:t xml:space="preserve">, B*58:01 for </w:t>
      </w:r>
      <w:proofErr w:type="spellStart"/>
      <w:r w:rsidR="000D4BEF" w:rsidRPr="00231828">
        <w:rPr>
          <w:rFonts w:ascii="Arial" w:hAnsi="Arial" w:cs="Arial"/>
        </w:rPr>
        <w:t>oxypurinol</w:t>
      </w:r>
      <w:proofErr w:type="spellEnd"/>
      <w:r w:rsidR="008445CA" w:rsidRPr="00231828">
        <w:rPr>
          <w:rFonts w:ascii="Arial" w:hAnsi="Arial" w:cs="Arial"/>
        </w:rPr>
        <w:t xml:space="preserve"> </w:t>
      </w:r>
      <w:r w:rsidR="008445CA" w:rsidRPr="00231828">
        <w:rPr>
          <w:rFonts w:ascii="Arial" w:hAnsi="Arial" w:cs="Arial"/>
          <w:noProof/>
        </w:rPr>
        <w:t>(Hung</w:t>
      </w:r>
      <w:r w:rsidR="008445CA" w:rsidRPr="00231828">
        <w:rPr>
          <w:rFonts w:ascii="Arial" w:hAnsi="Arial" w:cs="Arial"/>
          <w:i/>
          <w:noProof/>
        </w:rPr>
        <w:t xml:space="preserve"> et al.</w:t>
      </w:r>
      <w:r w:rsidR="008445CA" w:rsidRPr="00231828">
        <w:rPr>
          <w:rFonts w:ascii="Arial" w:hAnsi="Arial" w:cs="Arial"/>
          <w:noProof/>
        </w:rPr>
        <w:t>, 2005)</w:t>
      </w:r>
      <w:r w:rsidR="000D4BEF" w:rsidRPr="00231828">
        <w:rPr>
          <w:rFonts w:ascii="Arial" w:hAnsi="Arial" w:cs="Arial"/>
        </w:rPr>
        <w:t>, B*15:02 and A*31:01 for carbamazepine</w:t>
      </w:r>
      <w:r w:rsidR="008445CA" w:rsidRPr="00231828">
        <w:rPr>
          <w:rFonts w:ascii="Arial" w:hAnsi="Arial" w:cs="Arial"/>
        </w:rPr>
        <w:t xml:space="preserve"> </w:t>
      </w:r>
      <w:r w:rsidR="008445CA" w:rsidRPr="00231828">
        <w:rPr>
          <w:rFonts w:ascii="Arial" w:hAnsi="Arial" w:cs="Arial"/>
          <w:noProof/>
        </w:rPr>
        <w:t>(Chung</w:t>
      </w:r>
      <w:r w:rsidR="008445CA" w:rsidRPr="00231828">
        <w:rPr>
          <w:rFonts w:ascii="Arial" w:hAnsi="Arial" w:cs="Arial"/>
          <w:i/>
          <w:noProof/>
        </w:rPr>
        <w:t xml:space="preserve"> et al.</w:t>
      </w:r>
      <w:r w:rsidR="008445CA" w:rsidRPr="00231828">
        <w:rPr>
          <w:rFonts w:ascii="Arial" w:hAnsi="Arial" w:cs="Arial"/>
          <w:noProof/>
        </w:rPr>
        <w:t>, 2004;  McCormack</w:t>
      </w:r>
      <w:r w:rsidR="008445CA" w:rsidRPr="00231828">
        <w:rPr>
          <w:rFonts w:ascii="Arial" w:hAnsi="Arial" w:cs="Arial"/>
          <w:i/>
          <w:noProof/>
        </w:rPr>
        <w:t xml:space="preserve"> et al.</w:t>
      </w:r>
      <w:r w:rsidR="008445CA" w:rsidRPr="00231828">
        <w:rPr>
          <w:rFonts w:ascii="Arial" w:hAnsi="Arial" w:cs="Arial"/>
          <w:noProof/>
        </w:rPr>
        <w:t>, 2011)</w:t>
      </w:r>
      <w:r w:rsidR="000D4BEF" w:rsidRPr="00231828">
        <w:rPr>
          <w:rFonts w:ascii="Arial" w:hAnsi="Arial" w:cs="Arial"/>
        </w:rPr>
        <w:t xml:space="preserve">) or class II (DRB1*07:01;DQA1*02:01 for </w:t>
      </w:r>
      <w:proofErr w:type="spellStart"/>
      <w:r w:rsidR="000D4BEF" w:rsidRPr="00231828">
        <w:rPr>
          <w:rFonts w:ascii="Arial" w:hAnsi="Arial" w:cs="Arial"/>
        </w:rPr>
        <w:t>ximelagatran</w:t>
      </w:r>
      <w:proofErr w:type="spellEnd"/>
      <w:r w:rsidR="000D4BEF" w:rsidRPr="00231828">
        <w:rPr>
          <w:rFonts w:ascii="Arial" w:hAnsi="Arial" w:cs="Arial"/>
        </w:rPr>
        <w:t xml:space="preserve"> and </w:t>
      </w:r>
      <w:proofErr w:type="spellStart"/>
      <w:r w:rsidR="000D4BEF" w:rsidRPr="00231828">
        <w:rPr>
          <w:rFonts w:ascii="Arial" w:hAnsi="Arial" w:cs="Arial"/>
        </w:rPr>
        <w:t>lapatinib</w:t>
      </w:r>
      <w:proofErr w:type="spellEnd"/>
      <w:r w:rsidR="008445CA" w:rsidRPr="00231828">
        <w:rPr>
          <w:rFonts w:ascii="Arial" w:hAnsi="Arial" w:cs="Arial"/>
        </w:rPr>
        <w:t xml:space="preserve"> </w:t>
      </w:r>
      <w:r w:rsidR="008445CA" w:rsidRPr="00231828">
        <w:rPr>
          <w:rFonts w:ascii="Arial" w:hAnsi="Arial" w:cs="Arial"/>
          <w:noProof/>
        </w:rPr>
        <w:t>(Kindmark</w:t>
      </w:r>
      <w:r w:rsidR="008445CA" w:rsidRPr="00231828">
        <w:rPr>
          <w:rFonts w:ascii="Arial" w:hAnsi="Arial" w:cs="Arial"/>
          <w:i/>
          <w:noProof/>
        </w:rPr>
        <w:t xml:space="preserve"> et al.</w:t>
      </w:r>
      <w:r w:rsidR="008445CA" w:rsidRPr="00231828">
        <w:rPr>
          <w:rFonts w:ascii="Arial" w:hAnsi="Arial" w:cs="Arial"/>
          <w:noProof/>
        </w:rPr>
        <w:t>, 2008;  Spraggs</w:t>
      </w:r>
      <w:r w:rsidR="008445CA" w:rsidRPr="00231828">
        <w:rPr>
          <w:rFonts w:ascii="Arial" w:hAnsi="Arial" w:cs="Arial"/>
          <w:i/>
          <w:noProof/>
        </w:rPr>
        <w:t xml:space="preserve"> et al.</w:t>
      </w:r>
      <w:r w:rsidR="008445CA" w:rsidRPr="00231828">
        <w:rPr>
          <w:rFonts w:ascii="Arial" w:hAnsi="Arial" w:cs="Arial"/>
          <w:noProof/>
        </w:rPr>
        <w:t>, 2011)</w:t>
      </w:r>
      <w:r w:rsidR="000D4BEF" w:rsidRPr="00231828">
        <w:rPr>
          <w:rFonts w:ascii="Arial" w:hAnsi="Arial" w:cs="Arial"/>
        </w:rPr>
        <w:t>, DRB1*15:01;</w:t>
      </w:r>
      <w:r w:rsidR="00A466B1" w:rsidRPr="00231828">
        <w:rPr>
          <w:rFonts w:ascii="Arial" w:hAnsi="Arial" w:cs="Arial"/>
        </w:rPr>
        <w:t xml:space="preserve"> </w:t>
      </w:r>
      <w:r w:rsidR="000D4BEF" w:rsidRPr="00231828">
        <w:rPr>
          <w:rFonts w:ascii="Arial" w:hAnsi="Arial" w:cs="Arial"/>
        </w:rPr>
        <w:t xml:space="preserve">DQB1*06:02 for </w:t>
      </w:r>
      <w:proofErr w:type="spellStart"/>
      <w:r w:rsidR="000D4BEF" w:rsidRPr="00231828">
        <w:rPr>
          <w:rFonts w:ascii="Arial" w:hAnsi="Arial" w:cs="Arial"/>
        </w:rPr>
        <w:t>lumiracoxib</w:t>
      </w:r>
      <w:proofErr w:type="spellEnd"/>
      <w:r w:rsidR="008445CA" w:rsidRPr="00231828">
        <w:rPr>
          <w:rFonts w:ascii="Arial" w:hAnsi="Arial" w:cs="Arial"/>
        </w:rPr>
        <w:t xml:space="preserve"> </w:t>
      </w:r>
      <w:r w:rsidR="008445CA" w:rsidRPr="00231828">
        <w:rPr>
          <w:rFonts w:ascii="Arial" w:hAnsi="Arial" w:cs="Arial"/>
          <w:noProof/>
        </w:rPr>
        <w:t>(Singer</w:t>
      </w:r>
      <w:r w:rsidR="008445CA" w:rsidRPr="00231828">
        <w:rPr>
          <w:rFonts w:ascii="Arial" w:hAnsi="Arial" w:cs="Arial"/>
          <w:i/>
          <w:noProof/>
        </w:rPr>
        <w:t xml:space="preserve"> et al.</w:t>
      </w:r>
      <w:r w:rsidR="008445CA" w:rsidRPr="00231828">
        <w:rPr>
          <w:rFonts w:ascii="Arial" w:hAnsi="Arial" w:cs="Arial"/>
          <w:noProof/>
        </w:rPr>
        <w:t>, 2010)</w:t>
      </w:r>
      <w:r w:rsidR="000D4BEF" w:rsidRPr="00231828">
        <w:rPr>
          <w:rFonts w:ascii="Arial" w:hAnsi="Arial" w:cs="Arial"/>
        </w:rPr>
        <w:t xml:space="preserve">) </w:t>
      </w:r>
      <w:r w:rsidR="00836DB5" w:rsidRPr="00231828">
        <w:rPr>
          <w:rFonts w:ascii="Arial" w:hAnsi="Arial" w:cs="Arial"/>
        </w:rPr>
        <w:t>association for the</w:t>
      </w:r>
      <w:r w:rsidR="00684E60" w:rsidRPr="00231828">
        <w:rPr>
          <w:rFonts w:ascii="Arial" w:hAnsi="Arial" w:cs="Arial"/>
        </w:rPr>
        <w:t xml:space="preserve"> </w:t>
      </w:r>
      <w:r w:rsidR="00874F75" w:rsidRPr="00231828">
        <w:rPr>
          <w:rFonts w:ascii="Arial" w:hAnsi="Arial" w:cs="Arial"/>
        </w:rPr>
        <w:t>other</w:t>
      </w:r>
      <w:r w:rsidR="00011117" w:rsidRPr="00231828">
        <w:rPr>
          <w:rFonts w:ascii="Arial" w:hAnsi="Arial" w:cs="Arial"/>
        </w:rPr>
        <w:t xml:space="preserve"> </w:t>
      </w:r>
      <w:r w:rsidR="00836DB5" w:rsidRPr="00231828">
        <w:rPr>
          <w:rFonts w:ascii="Arial" w:hAnsi="Arial" w:cs="Arial"/>
        </w:rPr>
        <w:t>drugs</w:t>
      </w:r>
      <w:r w:rsidR="004B2445" w:rsidRPr="00231828">
        <w:rPr>
          <w:rFonts w:ascii="Arial" w:hAnsi="Arial" w:cs="Arial"/>
        </w:rPr>
        <w:t>:</w:t>
      </w:r>
      <w:r w:rsidR="00011117" w:rsidRPr="00231828">
        <w:rPr>
          <w:rFonts w:ascii="Arial" w:hAnsi="Arial" w:cs="Arial"/>
        </w:rPr>
        <w:t xml:space="preserve"> </w:t>
      </w:r>
      <w:proofErr w:type="spellStart"/>
      <w:r w:rsidR="000D4BEF" w:rsidRPr="00231828">
        <w:rPr>
          <w:rFonts w:ascii="Arial" w:hAnsi="Arial" w:cs="Arial"/>
        </w:rPr>
        <w:t>Abacavir</w:t>
      </w:r>
      <w:proofErr w:type="spellEnd"/>
      <w:r w:rsidR="000D4BEF" w:rsidRPr="00231828">
        <w:rPr>
          <w:rFonts w:ascii="Arial" w:hAnsi="Arial" w:cs="Arial"/>
        </w:rPr>
        <w:t xml:space="preserve"> was included as reactions in patients are thought to occur following activation of pre-existing memory T cells</w:t>
      </w:r>
      <w:r w:rsidR="00B92A85" w:rsidRPr="00231828">
        <w:rPr>
          <w:rFonts w:ascii="Arial" w:hAnsi="Arial" w:cs="Arial"/>
        </w:rPr>
        <w:t xml:space="preserve"> (Lucas </w:t>
      </w:r>
      <w:r w:rsidR="00B92A85" w:rsidRPr="00231828">
        <w:rPr>
          <w:rFonts w:ascii="Arial" w:hAnsi="Arial" w:cs="Arial"/>
          <w:i/>
        </w:rPr>
        <w:t>et al.,</w:t>
      </w:r>
      <w:r w:rsidR="00B92A85" w:rsidRPr="00231828">
        <w:rPr>
          <w:rFonts w:ascii="Arial" w:hAnsi="Arial" w:cs="Arial"/>
        </w:rPr>
        <w:t xml:space="preserve"> 2015)</w:t>
      </w:r>
      <w:r w:rsidR="000D4BEF" w:rsidRPr="00231828">
        <w:rPr>
          <w:rFonts w:ascii="Arial" w:hAnsi="Arial" w:cs="Arial"/>
        </w:rPr>
        <w:t>.</w:t>
      </w:r>
      <w:r w:rsidR="00D338D1" w:rsidRPr="00231828">
        <w:rPr>
          <w:rFonts w:ascii="Arial" w:hAnsi="Arial" w:cs="Arial"/>
        </w:rPr>
        <w:t xml:space="preserve"> </w:t>
      </w:r>
      <w:r w:rsidR="00A53152" w:rsidRPr="00231828">
        <w:rPr>
          <w:rFonts w:ascii="Arial" w:hAnsi="Arial" w:cs="Arial"/>
        </w:rPr>
        <w:t xml:space="preserve">Collectively, our study shows that the established T-cell priming assay can be used as a test for non HLA-restricted forms of drug hypersensitivity. Furthermore, it is an effective tool to (1) study mechanisms of </w:t>
      </w:r>
      <w:r w:rsidR="0010631B">
        <w:rPr>
          <w:rFonts w:ascii="Arial" w:hAnsi="Arial" w:cs="Arial"/>
        </w:rPr>
        <w:t>T-cell priming to</w:t>
      </w:r>
      <w:r w:rsidR="00A53152" w:rsidRPr="00231828">
        <w:rPr>
          <w:rFonts w:ascii="Arial" w:hAnsi="Arial" w:cs="Arial"/>
        </w:rPr>
        <w:t xml:space="preserve"> drug</w:t>
      </w:r>
      <w:r w:rsidR="00965C96" w:rsidRPr="00231828">
        <w:rPr>
          <w:rFonts w:ascii="Arial" w:hAnsi="Arial" w:cs="Arial"/>
        </w:rPr>
        <w:t>s</w:t>
      </w:r>
      <w:r w:rsidR="00A53152" w:rsidRPr="00231828">
        <w:rPr>
          <w:rFonts w:ascii="Arial" w:hAnsi="Arial" w:cs="Arial"/>
        </w:rPr>
        <w:t xml:space="preserve"> that display HLA class I restriction and (2) redesign drugs that cause HLA class I-restricted hypersensitivity in man. </w:t>
      </w:r>
      <w:r w:rsidR="000D4BEF" w:rsidRPr="00231828">
        <w:rPr>
          <w:rFonts w:ascii="Arial" w:hAnsi="Arial" w:cs="Arial"/>
        </w:rPr>
        <w:t xml:space="preserve"> </w:t>
      </w:r>
      <w:r w:rsidR="007934AA" w:rsidRPr="00231828">
        <w:rPr>
          <w:rFonts w:ascii="Arial" w:hAnsi="Arial" w:cs="Arial"/>
        </w:rPr>
        <w:t xml:space="preserve"> </w:t>
      </w:r>
    </w:p>
    <w:p w:rsidR="0094085D" w:rsidRPr="00231828" w:rsidRDefault="008445CA" w:rsidP="00231828">
      <w:pPr>
        <w:spacing w:line="480" w:lineRule="auto"/>
        <w:rPr>
          <w:rFonts w:ascii="Arial" w:hAnsi="Arial" w:cs="Arial"/>
          <w:color w:val="FF0000"/>
        </w:rPr>
      </w:pPr>
      <w:r w:rsidRPr="00231828">
        <w:rPr>
          <w:rFonts w:ascii="Arial" w:hAnsi="Arial" w:cs="Arial"/>
          <w:color w:val="FF0000"/>
        </w:rPr>
        <w:t xml:space="preserve"> </w:t>
      </w:r>
    </w:p>
    <w:p w:rsidR="008A5BE4" w:rsidRPr="00231828" w:rsidRDefault="008A5BE4" w:rsidP="00231828">
      <w:pPr>
        <w:spacing w:line="480" w:lineRule="auto"/>
        <w:rPr>
          <w:rFonts w:ascii="Arial" w:hAnsi="Arial" w:cs="Arial"/>
          <w:b/>
        </w:rPr>
      </w:pPr>
      <w:r w:rsidRPr="00231828">
        <w:rPr>
          <w:rFonts w:ascii="Arial" w:hAnsi="Arial" w:cs="Arial"/>
          <w:b/>
        </w:rPr>
        <w:br w:type="page"/>
      </w:r>
    </w:p>
    <w:p w:rsidR="00DB4CFB" w:rsidRPr="00231828" w:rsidRDefault="00DB4CFB" w:rsidP="00231828">
      <w:pPr>
        <w:spacing w:line="480" w:lineRule="auto"/>
        <w:rPr>
          <w:rFonts w:ascii="Arial" w:hAnsi="Arial" w:cs="Arial"/>
          <w:b/>
        </w:rPr>
      </w:pPr>
      <w:r w:rsidRPr="00231828">
        <w:rPr>
          <w:rFonts w:ascii="Arial" w:hAnsi="Arial" w:cs="Arial"/>
          <w:b/>
        </w:rPr>
        <w:lastRenderedPageBreak/>
        <w:t>MATERIAL AND METHODS</w:t>
      </w:r>
    </w:p>
    <w:p w:rsidR="00A71787" w:rsidRPr="00231828" w:rsidRDefault="00BA2A35" w:rsidP="00231828">
      <w:pPr>
        <w:spacing w:line="480" w:lineRule="auto"/>
        <w:jc w:val="both"/>
        <w:rPr>
          <w:rFonts w:ascii="Arial" w:hAnsi="Arial" w:cs="Arial"/>
        </w:rPr>
      </w:pPr>
      <w:proofErr w:type="gramStart"/>
      <w:r w:rsidRPr="00231828">
        <w:rPr>
          <w:rFonts w:ascii="Arial" w:hAnsi="Arial" w:cs="Arial"/>
          <w:b/>
          <w:i/>
        </w:rPr>
        <w:t xml:space="preserve">HLA </w:t>
      </w:r>
      <w:r w:rsidR="00857D17" w:rsidRPr="00231828">
        <w:rPr>
          <w:rFonts w:ascii="Arial" w:hAnsi="Arial" w:cs="Arial"/>
          <w:b/>
          <w:i/>
        </w:rPr>
        <w:t>tissue bank</w:t>
      </w:r>
      <w:r w:rsidRPr="00231828">
        <w:rPr>
          <w:rFonts w:ascii="Arial" w:hAnsi="Arial" w:cs="Arial"/>
          <w:b/>
          <w:i/>
        </w:rPr>
        <w:t>.</w:t>
      </w:r>
      <w:proofErr w:type="gramEnd"/>
      <w:r w:rsidRPr="00231828">
        <w:rPr>
          <w:rFonts w:ascii="Arial" w:hAnsi="Arial" w:cs="Arial"/>
          <w:b/>
          <w:i/>
        </w:rPr>
        <w:t xml:space="preserve"> </w:t>
      </w:r>
      <w:r w:rsidR="00A71787" w:rsidRPr="00231828">
        <w:rPr>
          <w:rFonts w:ascii="Arial" w:hAnsi="Arial" w:cs="Arial"/>
        </w:rPr>
        <w:t xml:space="preserve">The study was approved by the North West </w:t>
      </w:r>
      <w:r w:rsidR="000E7A90">
        <w:rPr>
          <w:rFonts w:ascii="Arial" w:hAnsi="Arial" w:cs="Arial"/>
        </w:rPr>
        <w:t xml:space="preserve">of England </w:t>
      </w:r>
      <w:r w:rsidR="00A71787" w:rsidRPr="00231828">
        <w:rPr>
          <w:rFonts w:ascii="Arial" w:hAnsi="Arial" w:cs="Arial"/>
        </w:rPr>
        <w:t>Research Ethics Committee and all participants gave written informed consent. Recruitment of the volunteers was undertaken via advertisements in local newspapers and on the University of Liverpool website. Study eligibility and exclusion criteria have been published previously (Alfirevic</w:t>
      </w:r>
      <w:r w:rsidR="00D72C26" w:rsidRPr="00231828">
        <w:rPr>
          <w:rFonts w:ascii="Arial" w:hAnsi="Arial" w:cs="Arial"/>
        </w:rPr>
        <w:t xml:space="preserve"> </w:t>
      </w:r>
      <w:r w:rsidR="00A71787" w:rsidRPr="00231828">
        <w:rPr>
          <w:rFonts w:ascii="Arial" w:hAnsi="Arial" w:cs="Arial"/>
          <w:i/>
        </w:rPr>
        <w:t>et al</w:t>
      </w:r>
      <w:r w:rsidR="00454DAF" w:rsidRPr="00231828">
        <w:rPr>
          <w:rFonts w:ascii="Arial" w:hAnsi="Arial" w:cs="Arial"/>
          <w:i/>
        </w:rPr>
        <w:t>.</w:t>
      </w:r>
      <w:r w:rsidR="00A71787" w:rsidRPr="00231828">
        <w:rPr>
          <w:rFonts w:ascii="Arial" w:hAnsi="Arial" w:cs="Arial"/>
        </w:rPr>
        <w:t xml:space="preserve"> 2012).  Healthy volunteers (</w:t>
      </w:r>
      <w:r w:rsidR="0031516D" w:rsidRPr="00231828">
        <w:rPr>
          <w:rFonts w:ascii="Arial" w:hAnsi="Arial" w:cs="Arial"/>
        </w:rPr>
        <w:t>n</w:t>
      </w:r>
      <w:r w:rsidR="00A71787" w:rsidRPr="00231828">
        <w:rPr>
          <w:rFonts w:ascii="Arial" w:hAnsi="Arial" w:cs="Arial"/>
        </w:rPr>
        <w:t>=600) were recruited from North West England following the protocol published previously</w:t>
      </w:r>
      <w:r w:rsidRPr="00231828">
        <w:rPr>
          <w:rFonts w:ascii="Arial" w:hAnsi="Arial" w:cs="Arial"/>
        </w:rPr>
        <w:t xml:space="preserve"> and 10</w:t>
      </w:r>
      <w:r w:rsidR="00A71787" w:rsidRPr="00231828">
        <w:rPr>
          <w:rFonts w:ascii="Arial" w:hAnsi="Arial" w:cs="Arial"/>
        </w:rPr>
        <w:t xml:space="preserve">0ml of blood was collected for DNA extraction and peripheral mononuclear cell isolation (Alfirevic </w:t>
      </w:r>
      <w:r w:rsidR="00A71787" w:rsidRPr="00231828">
        <w:rPr>
          <w:rFonts w:ascii="Arial" w:hAnsi="Arial" w:cs="Arial"/>
          <w:i/>
        </w:rPr>
        <w:t>et al</w:t>
      </w:r>
      <w:r w:rsidR="00A71787" w:rsidRPr="00231828">
        <w:rPr>
          <w:rFonts w:ascii="Arial" w:hAnsi="Arial" w:cs="Arial"/>
        </w:rPr>
        <w:t xml:space="preserve"> 2012). </w:t>
      </w:r>
      <w:r w:rsidR="0010631B" w:rsidRPr="0010631B">
        <w:rPr>
          <w:rFonts w:ascii="Arial" w:hAnsi="Arial" w:cs="Arial"/>
        </w:rPr>
        <w:t>PBMCs were frozen in aliquots of 10 million cells.</w:t>
      </w:r>
      <w:r w:rsidR="0010631B">
        <w:rPr>
          <w:rFonts w:ascii="Arial" w:hAnsi="Arial" w:cs="Arial"/>
        </w:rPr>
        <w:t xml:space="preserve"> </w:t>
      </w:r>
      <w:r w:rsidR="00A71787" w:rsidRPr="00231828">
        <w:rPr>
          <w:rFonts w:ascii="Arial" w:hAnsi="Arial" w:cs="Arial"/>
        </w:rPr>
        <w:t xml:space="preserve">We maintained volunteer confidentiality at all times by double coding DNA samples and cells and by restricting access to participant’s personal data to trained clinical personnel.  </w:t>
      </w:r>
    </w:p>
    <w:p w:rsidR="00A71787" w:rsidRPr="00231828" w:rsidRDefault="00A71787" w:rsidP="00231828">
      <w:pPr>
        <w:spacing w:line="480" w:lineRule="auto"/>
        <w:jc w:val="both"/>
        <w:rPr>
          <w:rFonts w:ascii="Arial" w:hAnsi="Arial" w:cs="Arial"/>
        </w:rPr>
      </w:pPr>
      <w:r w:rsidRPr="00231828">
        <w:rPr>
          <w:rFonts w:ascii="Arial" w:hAnsi="Arial" w:cs="Arial"/>
        </w:rPr>
        <w:t xml:space="preserve">Genomic DNA was extracted from 10 ml venous blood using </w:t>
      </w:r>
      <w:proofErr w:type="spellStart"/>
      <w:r w:rsidRPr="00231828">
        <w:rPr>
          <w:rFonts w:ascii="Arial" w:hAnsi="Arial" w:cs="Arial"/>
        </w:rPr>
        <w:t>Chemagic</w:t>
      </w:r>
      <w:proofErr w:type="spellEnd"/>
      <w:r w:rsidRPr="00231828">
        <w:rPr>
          <w:rFonts w:ascii="Arial" w:hAnsi="Arial" w:cs="Arial"/>
        </w:rPr>
        <w:t xml:space="preserve"> magnetic separation (</w:t>
      </w:r>
      <w:proofErr w:type="spellStart"/>
      <w:r w:rsidRPr="00231828">
        <w:rPr>
          <w:rFonts w:ascii="Arial" w:hAnsi="Arial" w:cs="Arial"/>
        </w:rPr>
        <w:t>Chemagen</w:t>
      </w:r>
      <w:proofErr w:type="spellEnd"/>
      <w:r w:rsidRPr="00231828">
        <w:rPr>
          <w:rFonts w:ascii="Arial" w:hAnsi="Arial" w:cs="Arial"/>
        </w:rPr>
        <w:t xml:space="preserve">, </w:t>
      </w:r>
      <w:proofErr w:type="spellStart"/>
      <w:r w:rsidRPr="00231828">
        <w:rPr>
          <w:rFonts w:ascii="Arial" w:hAnsi="Arial" w:cs="Arial"/>
        </w:rPr>
        <w:t>Baesweiler</w:t>
      </w:r>
      <w:proofErr w:type="spellEnd"/>
      <w:r w:rsidRPr="00231828">
        <w:rPr>
          <w:rFonts w:ascii="Arial" w:hAnsi="Arial" w:cs="Arial"/>
        </w:rPr>
        <w:t xml:space="preserve">, Germany). High-resolution sequence-based HLA typing using next generation massively parallel sequencing platforms, was performed by </w:t>
      </w:r>
      <w:proofErr w:type="spellStart"/>
      <w:r w:rsidRPr="00231828">
        <w:rPr>
          <w:rFonts w:ascii="Arial" w:hAnsi="Arial" w:cs="Arial"/>
        </w:rPr>
        <w:t>Histogenetics</w:t>
      </w:r>
      <w:proofErr w:type="spellEnd"/>
      <w:r w:rsidRPr="00231828">
        <w:rPr>
          <w:rFonts w:ascii="Arial" w:hAnsi="Arial" w:cs="Arial"/>
        </w:rPr>
        <w:t xml:space="preserve"> laboratory (</w:t>
      </w:r>
      <w:proofErr w:type="spellStart"/>
      <w:r w:rsidRPr="00231828">
        <w:rPr>
          <w:rFonts w:ascii="Arial" w:hAnsi="Arial" w:cs="Arial"/>
        </w:rPr>
        <w:t>Histogenetics</w:t>
      </w:r>
      <w:proofErr w:type="spellEnd"/>
      <w:r w:rsidRPr="00231828">
        <w:rPr>
          <w:rFonts w:ascii="Arial" w:hAnsi="Arial" w:cs="Arial"/>
        </w:rPr>
        <w:t>, New York, NY, USA) at the following six loci: HLA-A, -B, -C, -DRB1, -DQB1 and DQA1. Ambiguities were described by a suffix 'g'.</w:t>
      </w:r>
      <w:r w:rsidR="00857D17" w:rsidRPr="00231828">
        <w:rPr>
          <w:rFonts w:ascii="Arial" w:hAnsi="Arial" w:cs="Arial"/>
        </w:rPr>
        <w:t xml:space="preserve"> Full sequencing data was obtained from 586 individuals. Individual lists of all HLA alleles are available on request.</w:t>
      </w:r>
      <w:r w:rsidR="0031516D" w:rsidRPr="00231828">
        <w:rPr>
          <w:rFonts w:ascii="Arial" w:hAnsi="Arial" w:cs="Arial"/>
        </w:rPr>
        <w:t xml:space="preserve"> </w:t>
      </w:r>
      <w:r w:rsidRPr="00231828">
        <w:rPr>
          <w:rFonts w:ascii="Arial" w:hAnsi="Arial" w:cs="Arial"/>
        </w:rPr>
        <w:t>Allele</w:t>
      </w:r>
      <w:r w:rsidR="00D973C2" w:rsidRPr="00231828">
        <w:rPr>
          <w:rFonts w:ascii="Arial" w:hAnsi="Arial" w:cs="Arial"/>
        </w:rPr>
        <w:t xml:space="preserve">, </w:t>
      </w:r>
      <w:r w:rsidRPr="00231828">
        <w:rPr>
          <w:rFonts w:ascii="Arial" w:hAnsi="Arial" w:cs="Arial"/>
        </w:rPr>
        <w:t>genotype</w:t>
      </w:r>
      <w:r w:rsidR="001C3B1F" w:rsidRPr="00231828">
        <w:rPr>
          <w:rFonts w:ascii="Arial" w:hAnsi="Arial" w:cs="Arial"/>
        </w:rPr>
        <w:t xml:space="preserve"> and haplotype</w:t>
      </w:r>
      <w:r w:rsidRPr="00231828">
        <w:rPr>
          <w:rFonts w:ascii="Arial" w:hAnsi="Arial" w:cs="Arial"/>
        </w:rPr>
        <w:t xml:space="preserve"> frequencies were calculated using the </w:t>
      </w:r>
      <w:proofErr w:type="spellStart"/>
      <w:r w:rsidRPr="00231828">
        <w:rPr>
          <w:rFonts w:ascii="Arial" w:hAnsi="Arial" w:cs="Arial"/>
        </w:rPr>
        <w:t>PyPop</w:t>
      </w:r>
      <w:proofErr w:type="spellEnd"/>
      <w:r w:rsidRPr="00231828">
        <w:rPr>
          <w:rFonts w:ascii="Arial" w:hAnsi="Arial" w:cs="Arial"/>
        </w:rPr>
        <w:t xml:space="preserve"> software </w:t>
      </w:r>
      <w:bookmarkStart w:id="1" w:name="d30972e1273"/>
      <w:bookmarkEnd w:id="1"/>
      <w:r w:rsidRPr="00231828">
        <w:rPr>
          <w:rFonts w:ascii="Arial" w:hAnsi="Arial" w:cs="Arial"/>
        </w:rPr>
        <w:t>(Lancaster</w:t>
      </w:r>
      <w:r w:rsidR="007420F0" w:rsidRPr="00231828">
        <w:rPr>
          <w:rFonts w:ascii="Arial" w:hAnsi="Arial" w:cs="Arial"/>
        </w:rPr>
        <w:t xml:space="preserve"> </w:t>
      </w:r>
      <w:r w:rsidR="007420F0" w:rsidRPr="00231828">
        <w:rPr>
          <w:rFonts w:ascii="Arial" w:hAnsi="Arial" w:cs="Arial"/>
          <w:i/>
        </w:rPr>
        <w:t>et al</w:t>
      </w:r>
      <w:r w:rsidR="007420F0" w:rsidRPr="00231828">
        <w:rPr>
          <w:rFonts w:ascii="Arial" w:hAnsi="Arial" w:cs="Arial"/>
        </w:rPr>
        <w:t xml:space="preserve">. </w:t>
      </w:r>
      <w:r w:rsidRPr="00231828">
        <w:rPr>
          <w:rFonts w:ascii="Arial" w:hAnsi="Arial" w:cs="Arial"/>
        </w:rPr>
        <w:t xml:space="preserve"> 2007).</w:t>
      </w:r>
    </w:p>
    <w:p w:rsidR="00DB4CFB" w:rsidRPr="00231828" w:rsidRDefault="0021183F" w:rsidP="00231828">
      <w:pPr>
        <w:spacing w:line="480" w:lineRule="auto"/>
        <w:jc w:val="both"/>
        <w:rPr>
          <w:rFonts w:ascii="Arial" w:hAnsi="Arial" w:cs="Arial"/>
        </w:rPr>
      </w:pPr>
      <w:proofErr w:type="gramStart"/>
      <w:r w:rsidRPr="00231828">
        <w:rPr>
          <w:rFonts w:ascii="Arial" w:hAnsi="Arial" w:cs="Arial"/>
          <w:b/>
          <w:i/>
        </w:rPr>
        <w:t>Tissue culture medium and r</w:t>
      </w:r>
      <w:r w:rsidR="00DB4CFB" w:rsidRPr="00231828">
        <w:rPr>
          <w:rFonts w:ascii="Arial" w:hAnsi="Arial" w:cs="Arial"/>
          <w:b/>
          <w:i/>
        </w:rPr>
        <w:t>eagents.</w:t>
      </w:r>
      <w:proofErr w:type="gramEnd"/>
      <w:r w:rsidR="00DB4CFB" w:rsidRPr="00231828">
        <w:rPr>
          <w:rFonts w:ascii="Arial" w:hAnsi="Arial" w:cs="Arial"/>
          <w:b/>
          <w:i/>
        </w:rPr>
        <w:tab/>
      </w:r>
      <w:r w:rsidRPr="00231828">
        <w:rPr>
          <w:rFonts w:ascii="Arial" w:hAnsi="Arial" w:cs="Arial"/>
          <w:b/>
          <w:i/>
        </w:rPr>
        <w:t xml:space="preserve"> </w:t>
      </w:r>
      <w:r w:rsidR="00DB4CFB" w:rsidRPr="00231828">
        <w:rPr>
          <w:rFonts w:ascii="Arial" w:hAnsi="Arial" w:cs="Arial"/>
        </w:rPr>
        <w:t xml:space="preserve">All </w:t>
      </w:r>
      <w:r w:rsidR="00B8155A" w:rsidRPr="00231828">
        <w:rPr>
          <w:rFonts w:ascii="Arial" w:hAnsi="Arial" w:cs="Arial"/>
        </w:rPr>
        <w:t>PBMCs</w:t>
      </w:r>
      <w:r w:rsidR="00DB4CFB" w:rsidRPr="00231828">
        <w:rPr>
          <w:rFonts w:ascii="Arial" w:hAnsi="Arial" w:cs="Arial"/>
        </w:rPr>
        <w:t xml:space="preserve"> were cultured in RPMI 1640 medium, containing 10% A</w:t>
      </w:r>
      <w:r w:rsidR="00B0386C" w:rsidRPr="00231828">
        <w:rPr>
          <w:rFonts w:ascii="Arial" w:hAnsi="Arial" w:cs="Arial"/>
        </w:rPr>
        <w:t>B serum, 100</w:t>
      </w:r>
      <w:r w:rsidR="0010631B">
        <w:rPr>
          <w:rFonts w:ascii="Arial" w:hAnsi="Arial" w:cs="Arial"/>
        </w:rPr>
        <w:t xml:space="preserve"> </w:t>
      </w:r>
      <w:proofErr w:type="spellStart"/>
      <w:r w:rsidR="00B0386C" w:rsidRPr="00231828">
        <w:rPr>
          <w:rFonts w:ascii="Arial" w:hAnsi="Arial" w:cs="Arial"/>
        </w:rPr>
        <w:t>mM</w:t>
      </w:r>
      <w:proofErr w:type="spellEnd"/>
      <w:r w:rsidR="00B0386C" w:rsidRPr="00231828">
        <w:rPr>
          <w:rFonts w:ascii="Arial" w:hAnsi="Arial" w:cs="Arial"/>
        </w:rPr>
        <w:t xml:space="preserve"> L-glutamine, </w:t>
      </w:r>
      <w:r w:rsidR="00DB4CFB" w:rsidRPr="00231828">
        <w:rPr>
          <w:rFonts w:ascii="Arial" w:hAnsi="Arial" w:cs="Arial"/>
        </w:rPr>
        <w:t>25</w:t>
      </w:r>
      <w:r w:rsidR="0010631B">
        <w:rPr>
          <w:rFonts w:ascii="Arial" w:hAnsi="Arial" w:cs="Arial"/>
        </w:rPr>
        <w:t xml:space="preserve"> </w:t>
      </w:r>
      <w:proofErr w:type="spellStart"/>
      <w:r w:rsidR="00DB4CFB" w:rsidRPr="00231828">
        <w:rPr>
          <w:rFonts w:ascii="Arial" w:hAnsi="Arial" w:cs="Arial"/>
        </w:rPr>
        <w:t>mM</w:t>
      </w:r>
      <w:proofErr w:type="spellEnd"/>
      <w:r w:rsidR="00DB4CFB" w:rsidRPr="00231828">
        <w:rPr>
          <w:rFonts w:ascii="Arial" w:hAnsi="Arial" w:cs="Arial"/>
        </w:rPr>
        <w:t xml:space="preserve"> HEPES, </w:t>
      </w:r>
      <w:proofErr w:type="gramStart"/>
      <w:r w:rsidR="0031516D" w:rsidRPr="00231828">
        <w:rPr>
          <w:rFonts w:ascii="Arial" w:hAnsi="Arial" w:cs="Arial"/>
        </w:rPr>
        <w:t>100</w:t>
      </w:r>
      <w:r w:rsidR="0010631B">
        <w:rPr>
          <w:rFonts w:ascii="Arial" w:hAnsi="Arial" w:cs="Arial"/>
        </w:rPr>
        <w:t xml:space="preserve"> </w:t>
      </w:r>
      <w:r w:rsidR="0031516D" w:rsidRPr="00231828">
        <w:rPr>
          <w:rFonts w:ascii="Symbol" w:hAnsi="Symbol" w:cs="Arial"/>
        </w:rPr>
        <w:t></w:t>
      </w:r>
      <w:r w:rsidR="0031516D" w:rsidRPr="00231828">
        <w:rPr>
          <w:rFonts w:ascii="Arial" w:hAnsi="Arial" w:cs="Arial"/>
        </w:rPr>
        <w:t>g/ml penicillin</w:t>
      </w:r>
      <w:proofErr w:type="gramEnd"/>
      <w:r w:rsidR="0031516D" w:rsidRPr="00231828">
        <w:rPr>
          <w:rFonts w:ascii="Arial" w:hAnsi="Arial" w:cs="Arial"/>
        </w:rPr>
        <w:t xml:space="preserve"> and 100</w:t>
      </w:r>
      <w:r w:rsidR="0010631B">
        <w:rPr>
          <w:rFonts w:ascii="Arial" w:hAnsi="Arial" w:cs="Arial"/>
        </w:rPr>
        <w:t xml:space="preserve"> </w:t>
      </w:r>
      <w:r w:rsidR="0031516D" w:rsidRPr="00231828">
        <w:rPr>
          <w:rFonts w:ascii="Arial" w:hAnsi="Arial" w:cs="Arial"/>
        </w:rPr>
        <w:t xml:space="preserve">U/ml streptomycin </w:t>
      </w:r>
      <w:r w:rsidR="00DB4CFB" w:rsidRPr="00231828">
        <w:rPr>
          <w:rFonts w:ascii="Arial" w:hAnsi="Arial" w:cs="Arial"/>
        </w:rPr>
        <w:t>and 25</w:t>
      </w:r>
      <w:r w:rsidR="0010631B">
        <w:rPr>
          <w:rFonts w:ascii="Arial" w:hAnsi="Arial" w:cs="Arial"/>
        </w:rPr>
        <w:t xml:space="preserve"> </w:t>
      </w:r>
      <w:r w:rsidR="00B0386C" w:rsidRPr="00231828">
        <w:rPr>
          <w:rFonts w:ascii="Symbol" w:hAnsi="Symbol" w:cs="Arial"/>
        </w:rPr>
        <w:t></w:t>
      </w:r>
      <w:r w:rsidR="00DB4CFB" w:rsidRPr="00231828">
        <w:rPr>
          <w:rFonts w:ascii="Arial" w:hAnsi="Arial" w:cs="Arial"/>
        </w:rPr>
        <w:t xml:space="preserve">g/ml transferrin. </w:t>
      </w:r>
      <w:r w:rsidR="0031516D" w:rsidRPr="00231828">
        <w:rPr>
          <w:rFonts w:ascii="Arial" w:hAnsi="Arial" w:cs="Arial"/>
        </w:rPr>
        <w:t xml:space="preserve"> Penicillin and streptomycin were omitted when responses to amoxicillin, </w:t>
      </w:r>
      <w:r w:rsidR="00DB4CFB" w:rsidRPr="00231828">
        <w:rPr>
          <w:rFonts w:ascii="Arial" w:hAnsi="Arial" w:cs="Arial"/>
        </w:rPr>
        <w:t xml:space="preserve">flucloxacillin </w:t>
      </w:r>
      <w:r w:rsidR="008B0CC7" w:rsidRPr="00231828">
        <w:rPr>
          <w:rFonts w:ascii="Arial" w:hAnsi="Arial" w:cs="Arial"/>
        </w:rPr>
        <w:t xml:space="preserve">and piperacillin </w:t>
      </w:r>
      <w:r w:rsidR="00DB4CFB" w:rsidRPr="00231828">
        <w:rPr>
          <w:rFonts w:ascii="Arial" w:hAnsi="Arial" w:cs="Arial"/>
        </w:rPr>
        <w:t xml:space="preserve">were </w:t>
      </w:r>
      <w:r w:rsidR="0031516D" w:rsidRPr="00231828">
        <w:rPr>
          <w:rFonts w:ascii="Arial" w:hAnsi="Arial" w:cs="Arial"/>
        </w:rPr>
        <w:t>investigated</w:t>
      </w:r>
      <w:r w:rsidR="00DB4CFB" w:rsidRPr="00231828">
        <w:rPr>
          <w:rFonts w:ascii="Arial" w:hAnsi="Arial" w:cs="Arial"/>
        </w:rPr>
        <w:t xml:space="preserve">. The AB serum was purchased from Innovative Research (Novi, MI, USA) and all other reagents were purchased from Sigma-Aldrich (Poole, UK). </w:t>
      </w:r>
      <w:r w:rsidR="0031516D" w:rsidRPr="00231828">
        <w:rPr>
          <w:rFonts w:ascii="Arial" w:hAnsi="Arial" w:cs="Arial"/>
        </w:rPr>
        <w:t xml:space="preserve">Magnetic beads for cell isolations were </w:t>
      </w:r>
      <w:r w:rsidR="00DB4CFB" w:rsidRPr="00231828">
        <w:rPr>
          <w:rFonts w:ascii="Arial" w:hAnsi="Arial" w:cs="Arial"/>
        </w:rPr>
        <w:t xml:space="preserve">purchased from </w:t>
      </w:r>
      <w:proofErr w:type="spellStart"/>
      <w:r w:rsidR="00DB4CFB" w:rsidRPr="00231828">
        <w:rPr>
          <w:rFonts w:ascii="Arial" w:hAnsi="Arial" w:cs="Arial"/>
        </w:rPr>
        <w:t>Miltenyi</w:t>
      </w:r>
      <w:proofErr w:type="spellEnd"/>
      <w:r w:rsidR="00DB4CFB" w:rsidRPr="00231828">
        <w:rPr>
          <w:rFonts w:ascii="Arial" w:hAnsi="Arial" w:cs="Arial"/>
        </w:rPr>
        <w:t xml:space="preserve"> </w:t>
      </w:r>
      <w:proofErr w:type="spellStart"/>
      <w:r w:rsidR="00DB4CFB" w:rsidRPr="00231828">
        <w:rPr>
          <w:rFonts w:ascii="Arial" w:hAnsi="Arial" w:cs="Arial"/>
        </w:rPr>
        <w:t>Biotec</w:t>
      </w:r>
      <w:proofErr w:type="spellEnd"/>
      <w:r w:rsidR="00DB4CFB" w:rsidRPr="00231828">
        <w:rPr>
          <w:rFonts w:ascii="Arial" w:hAnsi="Arial" w:cs="Arial"/>
        </w:rPr>
        <w:t xml:space="preserve"> Ltd, (</w:t>
      </w:r>
      <w:proofErr w:type="spellStart"/>
      <w:r w:rsidR="00DB4CFB" w:rsidRPr="00231828">
        <w:rPr>
          <w:rFonts w:ascii="Arial" w:hAnsi="Arial" w:cs="Arial"/>
        </w:rPr>
        <w:t>Bisley</w:t>
      </w:r>
      <w:proofErr w:type="spellEnd"/>
      <w:r w:rsidR="00DB4CFB" w:rsidRPr="00231828">
        <w:rPr>
          <w:rFonts w:ascii="Arial" w:hAnsi="Arial" w:cs="Arial"/>
        </w:rPr>
        <w:t xml:space="preserve">, UK). Antibodies used for flow cytometry </w:t>
      </w:r>
      <w:r w:rsidR="00DB4CFB" w:rsidRPr="00231828">
        <w:rPr>
          <w:rFonts w:ascii="Arial" w:hAnsi="Arial" w:cs="Arial"/>
        </w:rPr>
        <w:lastRenderedPageBreak/>
        <w:t xml:space="preserve">were </w:t>
      </w:r>
      <w:r w:rsidR="00493A08" w:rsidRPr="00231828">
        <w:rPr>
          <w:rFonts w:ascii="Arial" w:hAnsi="Arial" w:cs="Arial"/>
        </w:rPr>
        <w:t>CD4-APC, CD8-PE, CD45RO-PerCP-Cy5.5, CLA-FITC</w:t>
      </w:r>
      <w:r w:rsidR="004A0060" w:rsidRPr="00231828">
        <w:rPr>
          <w:rFonts w:ascii="Arial" w:hAnsi="Arial" w:cs="Arial"/>
        </w:rPr>
        <w:t xml:space="preserve"> (BD Biosciences, Oxford, UK) </w:t>
      </w:r>
      <w:r w:rsidR="00493A08" w:rsidRPr="00231828">
        <w:rPr>
          <w:rFonts w:ascii="Arial" w:hAnsi="Arial" w:cs="Arial"/>
        </w:rPr>
        <w:t xml:space="preserve"> </w:t>
      </w:r>
      <w:r w:rsidR="00DB4CFB" w:rsidRPr="00231828">
        <w:rPr>
          <w:rFonts w:ascii="Arial" w:hAnsi="Arial" w:cs="Arial"/>
        </w:rPr>
        <w:t xml:space="preserve">and </w:t>
      </w:r>
      <w:r w:rsidR="00493A08" w:rsidRPr="00231828">
        <w:rPr>
          <w:rFonts w:ascii="Arial" w:hAnsi="Arial" w:cs="Arial"/>
        </w:rPr>
        <w:t>CCR1-PE, CCR2-APC CCR3-FITC, CCR4-PE, CCR5-FITC, CCR8-FITC, CCR9-APC, CCR10-PE, CXCR3-APC, CXCR6-PE</w:t>
      </w:r>
      <w:r w:rsidR="004A0060" w:rsidRPr="00231828">
        <w:rPr>
          <w:rFonts w:ascii="Arial" w:hAnsi="Arial" w:cs="Arial"/>
        </w:rPr>
        <w:t xml:space="preserve"> (R&amp;D Systems, Abingdon, UK)</w:t>
      </w:r>
      <w:r w:rsidR="00493A08" w:rsidRPr="00231828">
        <w:rPr>
          <w:rFonts w:ascii="Arial" w:hAnsi="Arial" w:cs="Arial"/>
        </w:rPr>
        <w:t>.</w:t>
      </w:r>
      <w:r w:rsidR="00DB4CFB" w:rsidRPr="00231828">
        <w:rPr>
          <w:rFonts w:ascii="Arial" w:hAnsi="Arial" w:cs="Arial"/>
        </w:rPr>
        <w:t xml:space="preserve"> </w:t>
      </w:r>
      <w:r w:rsidR="00696BF7" w:rsidRPr="00231828">
        <w:rPr>
          <w:rFonts w:ascii="Arial" w:hAnsi="Arial" w:cs="Arial"/>
        </w:rPr>
        <w:t xml:space="preserve">Carbamazepine, </w:t>
      </w:r>
      <w:r w:rsidR="00E12284" w:rsidRPr="00231828">
        <w:rPr>
          <w:rFonts w:ascii="Arial" w:hAnsi="Arial" w:cs="Arial"/>
        </w:rPr>
        <w:t xml:space="preserve">piperacillin, </w:t>
      </w:r>
      <w:r w:rsidR="00696BF7" w:rsidRPr="00231828">
        <w:rPr>
          <w:rFonts w:ascii="Arial" w:hAnsi="Arial" w:cs="Arial"/>
        </w:rPr>
        <w:t>t</w:t>
      </w:r>
      <w:r w:rsidR="00DB4CFB" w:rsidRPr="00231828">
        <w:rPr>
          <w:rFonts w:ascii="Arial" w:hAnsi="Arial" w:cs="Arial"/>
        </w:rPr>
        <w:t>issue culture grade PHA</w:t>
      </w:r>
      <w:r w:rsidR="001571B3" w:rsidRPr="00231828">
        <w:rPr>
          <w:rFonts w:ascii="Arial" w:hAnsi="Arial" w:cs="Arial"/>
        </w:rPr>
        <w:t>-P</w:t>
      </w:r>
      <w:r w:rsidR="00696BF7" w:rsidRPr="00231828">
        <w:rPr>
          <w:rFonts w:ascii="Arial" w:hAnsi="Arial" w:cs="Arial"/>
        </w:rPr>
        <w:t>,</w:t>
      </w:r>
      <w:r w:rsidR="00DB4CFB" w:rsidRPr="00231828">
        <w:rPr>
          <w:rFonts w:ascii="Arial" w:hAnsi="Arial" w:cs="Arial"/>
        </w:rPr>
        <w:t xml:space="preserve"> </w:t>
      </w:r>
      <w:r w:rsidR="001571B3" w:rsidRPr="00231828">
        <w:rPr>
          <w:rFonts w:ascii="Arial" w:hAnsi="Arial" w:cs="Arial"/>
        </w:rPr>
        <w:t>LPS (</w:t>
      </w:r>
      <w:r w:rsidR="001571B3" w:rsidRPr="00231828">
        <w:rPr>
          <w:rFonts w:ascii="Arial" w:hAnsi="Arial" w:cs="Arial"/>
          <w:i/>
        </w:rPr>
        <w:t>E.coli</w:t>
      </w:r>
      <w:r w:rsidR="001571B3" w:rsidRPr="00231828">
        <w:rPr>
          <w:rFonts w:ascii="Arial" w:hAnsi="Arial" w:cs="Arial"/>
        </w:rPr>
        <w:t xml:space="preserve"> </w:t>
      </w:r>
      <w:r w:rsidR="001571B3" w:rsidRPr="00231828">
        <w:rPr>
          <w:rFonts w:ascii="Arial" w:hAnsi="Arial" w:cs="Arial"/>
          <w:iCs/>
        </w:rPr>
        <w:t>0111:B4</w:t>
      </w:r>
      <w:r w:rsidR="001571B3" w:rsidRPr="00231828">
        <w:rPr>
          <w:rFonts w:ascii="Arial" w:hAnsi="Arial" w:cs="Arial"/>
        </w:rPr>
        <w:t>)</w:t>
      </w:r>
      <w:r w:rsidR="00E30432" w:rsidRPr="00231828">
        <w:rPr>
          <w:rFonts w:ascii="Arial" w:hAnsi="Arial" w:cs="Arial"/>
        </w:rPr>
        <w:t xml:space="preserve"> and</w:t>
      </w:r>
      <w:r w:rsidR="001571B3" w:rsidRPr="00231828">
        <w:rPr>
          <w:rFonts w:ascii="Arial" w:hAnsi="Arial" w:cs="Arial"/>
        </w:rPr>
        <w:t xml:space="preserve"> </w:t>
      </w:r>
      <w:r w:rsidR="00DB4CFB" w:rsidRPr="00231828">
        <w:rPr>
          <w:rFonts w:ascii="Arial" w:hAnsi="Arial" w:cs="Arial"/>
        </w:rPr>
        <w:t xml:space="preserve">DMSO were purchased from Sigma-Aldrich. </w:t>
      </w:r>
      <w:r w:rsidR="00DB4CFB" w:rsidRPr="00231828">
        <w:rPr>
          <w:rFonts w:ascii="Arial" w:hAnsi="Arial" w:cs="Arial"/>
          <w:lang w:eastAsia="en-GB"/>
        </w:rPr>
        <w:t>5-(and 6)-</w:t>
      </w:r>
      <w:proofErr w:type="spellStart"/>
      <w:r w:rsidR="00DB4CFB" w:rsidRPr="00231828">
        <w:rPr>
          <w:rFonts w:ascii="Arial" w:hAnsi="Arial" w:cs="Arial"/>
          <w:lang w:eastAsia="en-GB"/>
        </w:rPr>
        <w:t>Carboxyfluorescein</w:t>
      </w:r>
      <w:proofErr w:type="spellEnd"/>
      <w:r w:rsidR="00DB4CFB" w:rsidRPr="00231828">
        <w:rPr>
          <w:rFonts w:ascii="Arial" w:hAnsi="Arial" w:cs="Arial"/>
          <w:lang w:eastAsia="en-GB"/>
        </w:rPr>
        <w:t xml:space="preserve"> </w:t>
      </w:r>
      <w:proofErr w:type="spellStart"/>
      <w:r w:rsidR="00DB4CFB" w:rsidRPr="00231828">
        <w:rPr>
          <w:rFonts w:ascii="Arial" w:hAnsi="Arial" w:cs="Arial"/>
          <w:lang w:eastAsia="en-GB"/>
        </w:rPr>
        <w:t>diacetate</w:t>
      </w:r>
      <w:proofErr w:type="spellEnd"/>
      <w:r w:rsidR="00DB4CFB" w:rsidRPr="00231828">
        <w:rPr>
          <w:rFonts w:ascii="Arial" w:hAnsi="Arial" w:cs="Arial"/>
          <w:lang w:eastAsia="en-GB"/>
        </w:rPr>
        <w:t xml:space="preserve"> </w:t>
      </w:r>
      <w:proofErr w:type="spellStart"/>
      <w:r w:rsidR="00DB4CFB" w:rsidRPr="00231828">
        <w:rPr>
          <w:rFonts w:ascii="Arial" w:hAnsi="Arial" w:cs="Arial"/>
          <w:lang w:eastAsia="en-GB"/>
        </w:rPr>
        <w:t>succinimidyl</w:t>
      </w:r>
      <w:proofErr w:type="spellEnd"/>
      <w:r w:rsidR="00DB4CFB" w:rsidRPr="00231828">
        <w:rPr>
          <w:rFonts w:ascii="Arial" w:hAnsi="Arial" w:cs="Arial"/>
          <w:lang w:eastAsia="en-GB"/>
        </w:rPr>
        <w:t xml:space="preserve"> ester,</w:t>
      </w:r>
      <w:r w:rsidR="00DB4CFB" w:rsidRPr="00231828">
        <w:rPr>
          <w:rFonts w:ascii="Arial" w:hAnsi="Arial" w:cs="Arial"/>
        </w:rPr>
        <w:t xml:space="preserve"> (CFSE) was purchased from </w:t>
      </w:r>
      <w:proofErr w:type="spellStart"/>
      <w:r w:rsidR="00DB4CFB" w:rsidRPr="00231828">
        <w:rPr>
          <w:rFonts w:ascii="Arial" w:hAnsi="Arial" w:cs="Arial"/>
          <w:bCs/>
        </w:rPr>
        <w:t>eBioscience</w:t>
      </w:r>
      <w:proofErr w:type="spellEnd"/>
      <w:r w:rsidR="00DB4CFB" w:rsidRPr="00231828">
        <w:rPr>
          <w:rFonts w:ascii="Arial" w:hAnsi="Arial" w:cs="Arial"/>
          <w:bCs/>
        </w:rPr>
        <w:t xml:space="preserve"> Ltd</w:t>
      </w:r>
      <w:r w:rsidR="00696BF7" w:rsidRPr="00231828">
        <w:rPr>
          <w:rFonts w:ascii="Arial" w:hAnsi="Arial" w:cs="Arial"/>
          <w:bCs/>
        </w:rPr>
        <w:t xml:space="preserve"> (Hatfield, UK).</w:t>
      </w:r>
      <w:r w:rsidRPr="00231828">
        <w:rPr>
          <w:rFonts w:ascii="Arial" w:hAnsi="Arial" w:cs="Arial"/>
          <w:bCs/>
        </w:rPr>
        <w:t xml:space="preserve"> </w:t>
      </w:r>
      <w:proofErr w:type="gramStart"/>
      <w:r w:rsidR="001571B3" w:rsidRPr="00231828">
        <w:rPr>
          <w:rFonts w:ascii="Arial" w:hAnsi="Arial" w:cs="Arial"/>
        </w:rPr>
        <w:t>GM-CSF, IL-4 and TNF</w:t>
      </w:r>
      <w:r w:rsidR="001571B3" w:rsidRPr="00231828">
        <w:rPr>
          <w:rFonts w:ascii="Symbol" w:hAnsi="Symbol" w:cs="Arial"/>
        </w:rPr>
        <w:t></w:t>
      </w:r>
      <w:r w:rsidR="001571B3" w:rsidRPr="00231828">
        <w:rPr>
          <w:rFonts w:ascii="Arial" w:hAnsi="Arial" w:cs="Arial"/>
        </w:rPr>
        <w:t>.</w:t>
      </w:r>
      <w:proofErr w:type="gramEnd"/>
      <w:r w:rsidR="001571B3" w:rsidRPr="00231828">
        <w:rPr>
          <w:rFonts w:ascii="Arial" w:hAnsi="Arial" w:cs="Arial"/>
        </w:rPr>
        <w:t xml:space="preserve"> </w:t>
      </w:r>
      <w:proofErr w:type="gramStart"/>
      <w:r w:rsidR="001571B3" w:rsidRPr="00231828">
        <w:rPr>
          <w:rFonts w:ascii="Arial" w:hAnsi="Arial" w:cs="Arial"/>
        </w:rPr>
        <w:t>were</w:t>
      </w:r>
      <w:proofErr w:type="gramEnd"/>
      <w:r w:rsidR="001571B3" w:rsidRPr="00231828">
        <w:rPr>
          <w:rFonts w:ascii="Arial" w:hAnsi="Arial" w:cs="Arial"/>
        </w:rPr>
        <w:t xml:space="preserve"> purchased from </w:t>
      </w:r>
      <w:proofErr w:type="spellStart"/>
      <w:r w:rsidR="001571B3" w:rsidRPr="00231828">
        <w:rPr>
          <w:rFonts w:ascii="Arial" w:hAnsi="Arial" w:cs="Arial"/>
        </w:rPr>
        <w:t>PeproTech</w:t>
      </w:r>
      <w:proofErr w:type="spellEnd"/>
      <w:r w:rsidR="001571B3" w:rsidRPr="00231828">
        <w:rPr>
          <w:rFonts w:ascii="Arial" w:hAnsi="Arial" w:cs="Arial"/>
        </w:rPr>
        <w:t xml:space="preserve"> (London, UK). </w:t>
      </w:r>
      <w:r w:rsidR="004A0060" w:rsidRPr="00231828">
        <w:rPr>
          <w:rFonts w:ascii="Arial" w:hAnsi="Arial" w:cs="Arial"/>
          <w:bCs/>
        </w:rPr>
        <w:t>F</w:t>
      </w:r>
      <w:r w:rsidR="00696BF7" w:rsidRPr="00231828">
        <w:rPr>
          <w:rFonts w:ascii="Arial" w:hAnsi="Arial" w:cs="Arial"/>
        </w:rPr>
        <w:t>lucloxacillin (sodium salt for injection</w:t>
      </w:r>
      <w:r w:rsidRPr="00231828">
        <w:rPr>
          <w:rFonts w:ascii="Arial" w:hAnsi="Arial" w:cs="Arial"/>
        </w:rPr>
        <w:t xml:space="preserve">) </w:t>
      </w:r>
      <w:r w:rsidR="004A0060" w:rsidRPr="00231828">
        <w:rPr>
          <w:rFonts w:ascii="Arial" w:hAnsi="Arial" w:cs="Arial"/>
        </w:rPr>
        <w:t xml:space="preserve">was obtained </w:t>
      </w:r>
      <w:r w:rsidRPr="00231828">
        <w:rPr>
          <w:rFonts w:ascii="Arial" w:hAnsi="Arial" w:cs="Arial"/>
        </w:rPr>
        <w:t>from</w:t>
      </w:r>
      <w:r w:rsidR="00696BF7" w:rsidRPr="00231828">
        <w:rPr>
          <w:rFonts w:ascii="Arial" w:hAnsi="Arial" w:cs="Arial"/>
        </w:rPr>
        <w:t xml:space="preserve"> CP Pharmaceuticals Ltd</w:t>
      </w:r>
      <w:r w:rsidRPr="00231828">
        <w:rPr>
          <w:rFonts w:ascii="Arial" w:hAnsi="Arial" w:cs="Arial"/>
        </w:rPr>
        <w:t xml:space="preserve"> (</w:t>
      </w:r>
      <w:r w:rsidR="00696BF7" w:rsidRPr="00231828">
        <w:rPr>
          <w:rFonts w:ascii="Arial" w:hAnsi="Arial" w:cs="Arial"/>
        </w:rPr>
        <w:t>Wrexham, UK</w:t>
      </w:r>
      <w:r w:rsidRPr="00231828">
        <w:rPr>
          <w:rFonts w:ascii="Arial" w:hAnsi="Arial" w:cs="Arial"/>
        </w:rPr>
        <w:t>)</w:t>
      </w:r>
      <w:r w:rsidR="00696BF7" w:rsidRPr="00231828">
        <w:rPr>
          <w:rFonts w:ascii="Arial" w:hAnsi="Arial" w:cs="Arial"/>
        </w:rPr>
        <w:t xml:space="preserve">, </w:t>
      </w:r>
      <w:proofErr w:type="spellStart"/>
      <w:r w:rsidRPr="00231828">
        <w:rPr>
          <w:rFonts w:ascii="Arial" w:hAnsi="Arial" w:cs="Arial"/>
        </w:rPr>
        <w:t>nitroso-sulfamethoxazole</w:t>
      </w:r>
      <w:proofErr w:type="spellEnd"/>
      <w:r w:rsidRPr="00231828">
        <w:rPr>
          <w:rFonts w:ascii="Arial" w:hAnsi="Arial" w:cs="Arial"/>
        </w:rPr>
        <w:t xml:space="preserve"> (</w:t>
      </w:r>
      <w:r w:rsidR="00696BF7" w:rsidRPr="00231828">
        <w:rPr>
          <w:rFonts w:ascii="Arial" w:hAnsi="Arial" w:cs="Arial"/>
        </w:rPr>
        <w:t>SMX-NO</w:t>
      </w:r>
      <w:r w:rsidRPr="00231828">
        <w:rPr>
          <w:rFonts w:ascii="Arial" w:hAnsi="Arial" w:cs="Arial"/>
        </w:rPr>
        <w:t>)</w:t>
      </w:r>
      <w:r w:rsidR="00696BF7" w:rsidRPr="00231828">
        <w:rPr>
          <w:rFonts w:ascii="Arial" w:hAnsi="Arial" w:cs="Arial"/>
        </w:rPr>
        <w:t xml:space="preserve"> </w:t>
      </w:r>
      <w:r w:rsidRPr="00231828">
        <w:rPr>
          <w:rFonts w:ascii="Arial" w:hAnsi="Arial" w:cs="Arial"/>
        </w:rPr>
        <w:t xml:space="preserve">from </w:t>
      </w:r>
      <w:r w:rsidR="00696BF7" w:rsidRPr="00231828">
        <w:rPr>
          <w:rFonts w:ascii="Arial" w:hAnsi="Arial" w:cs="Arial"/>
        </w:rPr>
        <w:t>Dalton Pharma Services</w:t>
      </w:r>
      <w:r w:rsidRPr="00231828">
        <w:rPr>
          <w:rFonts w:ascii="Arial" w:hAnsi="Arial" w:cs="Arial"/>
        </w:rPr>
        <w:t xml:space="preserve"> (</w:t>
      </w:r>
      <w:r w:rsidR="00696BF7" w:rsidRPr="00231828">
        <w:rPr>
          <w:rFonts w:ascii="Arial" w:hAnsi="Arial" w:cs="Arial"/>
        </w:rPr>
        <w:t>Toronto, Canada</w:t>
      </w:r>
      <w:r w:rsidRPr="00231828">
        <w:rPr>
          <w:rFonts w:ascii="Arial" w:hAnsi="Arial" w:cs="Arial"/>
        </w:rPr>
        <w:t>)</w:t>
      </w:r>
      <w:r w:rsidR="00696BF7" w:rsidRPr="00231828">
        <w:rPr>
          <w:rFonts w:ascii="Arial" w:hAnsi="Arial" w:cs="Arial"/>
        </w:rPr>
        <w:t xml:space="preserve">, </w:t>
      </w:r>
      <w:proofErr w:type="spellStart"/>
      <w:r w:rsidR="00E12284" w:rsidRPr="00231828">
        <w:rPr>
          <w:rFonts w:ascii="Arial" w:hAnsi="Arial" w:cs="Arial"/>
        </w:rPr>
        <w:t>Bandrows</w:t>
      </w:r>
      <w:r w:rsidR="001571B3" w:rsidRPr="00231828">
        <w:rPr>
          <w:rFonts w:ascii="Arial" w:hAnsi="Arial" w:cs="Arial"/>
        </w:rPr>
        <w:t>k</w:t>
      </w:r>
      <w:r w:rsidR="00E12284" w:rsidRPr="00231828">
        <w:rPr>
          <w:rFonts w:ascii="Arial" w:hAnsi="Arial" w:cs="Arial"/>
        </w:rPr>
        <w:t>i’s</w:t>
      </w:r>
      <w:proofErr w:type="spellEnd"/>
      <w:r w:rsidR="00E12284" w:rsidRPr="00231828">
        <w:rPr>
          <w:rFonts w:ascii="Arial" w:hAnsi="Arial" w:cs="Arial"/>
        </w:rPr>
        <w:t xml:space="preserve"> base from Apollo Scientific (Stockport, UK), </w:t>
      </w:r>
      <w:r w:rsidR="00833F38" w:rsidRPr="00231828">
        <w:rPr>
          <w:rFonts w:ascii="Arial" w:hAnsi="Arial" w:cs="Arial"/>
        </w:rPr>
        <w:t xml:space="preserve">amoxicillin, piperacillin, carbamazepine and </w:t>
      </w:r>
      <w:proofErr w:type="spellStart"/>
      <w:r w:rsidR="00833F38" w:rsidRPr="00231828">
        <w:rPr>
          <w:rFonts w:ascii="Arial" w:hAnsi="Arial" w:cs="Arial"/>
        </w:rPr>
        <w:t>oxypurinol</w:t>
      </w:r>
      <w:proofErr w:type="spellEnd"/>
      <w:r w:rsidR="00833F38" w:rsidRPr="00231828">
        <w:rPr>
          <w:rFonts w:ascii="Arial" w:hAnsi="Arial" w:cs="Arial"/>
        </w:rPr>
        <w:t xml:space="preserve"> were purchased from Sigma-Aldrich, </w:t>
      </w:r>
      <w:proofErr w:type="spellStart"/>
      <w:r w:rsidR="001365C9" w:rsidRPr="00231828">
        <w:rPr>
          <w:rFonts w:ascii="Arial" w:hAnsi="Arial" w:cs="Arial"/>
        </w:rPr>
        <w:t>abacavir</w:t>
      </w:r>
      <w:proofErr w:type="spellEnd"/>
      <w:r w:rsidR="001365C9" w:rsidRPr="00231828">
        <w:rPr>
          <w:rFonts w:ascii="Arial" w:hAnsi="Arial" w:cs="Arial"/>
        </w:rPr>
        <w:t xml:space="preserve"> </w:t>
      </w:r>
      <w:r w:rsidR="0031516D" w:rsidRPr="00231828">
        <w:rPr>
          <w:rFonts w:ascii="Arial" w:hAnsi="Arial" w:cs="Arial"/>
        </w:rPr>
        <w:t xml:space="preserve">and </w:t>
      </w:r>
      <w:proofErr w:type="spellStart"/>
      <w:r w:rsidR="0031516D" w:rsidRPr="00231828">
        <w:rPr>
          <w:rFonts w:ascii="Arial" w:hAnsi="Arial" w:cs="Arial"/>
        </w:rPr>
        <w:t>lapatinib</w:t>
      </w:r>
      <w:proofErr w:type="spellEnd"/>
      <w:r w:rsidR="0031516D" w:rsidRPr="00231828">
        <w:rPr>
          <w:rFonts w:ascii="Arial" w:hAnsi="Arial" w:cs="Arial"/>
        </w:rPr>
        <w:t xml:space="preserve"> were</w:t>
      </w:r>
      <w:r w:rsidR="001365C9" w:rsidRPr="00231828">
        <w:rPr>
          <w:rFonts w:ascii="Arial" w:hAnsi="Arial" w:cs="Arial"/>
        </w:rPr>
        <w:t xml:space="preserve"> a gift from G</w:t>
      </w:r>
      <w:r w:rsidR="0031516D" w:rsidRPr="00231828">
        <w:rPr>
          <w:rFonts w:ascii="Arial" w:hAnsi="Arial" w:cs="Arial"/>
        </w:rPr>
        <w:t>laxo</w:t>
      </w:r>
      <w:r w:rsidR="001365C9" w:rsidRPr="00231828">
        <w:rPr>
          <w:rFonts w:ascii="Arial" w:hAnsi="Arial" w:cs="Arial"/>
        </w:rPr>
        <w:t>S</w:t>
      </w:r>
      <w:r w:rsidR="0031516D" w:rsidRPr="00231828">
        <w:rPr>
          <w:rFonts w:ascii="Arial" w:hAnsi="Arial" w:cs="Arial"/>
        </w:rPr>
        <w:t>mith</w:t>
      </w:r>
      <w:r w:rsidR="001365C9" w:rsidRPr="00231828">
        <w:rPr>
          <w:rFonts w:ascii="Arial" w:hAnsi="Arial" w:cs="Arial"/>
        </w:rPr>
        <w:t>K</w:t>
      </w:r>
      <w:r w:rsidR="0031516D" w:rsidRPr="00231828">
        <w:rPr>
          <w:rFonts w:ascii="Arial" w:hAnsi="Arial" w:cs="Arial"/>
        </w:rPr>
        <w:t>line,</w:t>
      </w:r>
      <w:r w:rsidR="001365C9" w:rsidRPr="00231828">
        <w:rPr>
          <w:rFonts w:ascii="Arial" w:hAnsi="Arial" w:cs="Arial"/>
        </w:rPr>
        <w:t xml:space="preserve"> </w:t>
      </w:r>
      <w:r w:rsidR="0031516D" w:rsidRPr="00231828">
        <w:rPr>
          <w:rFonts w:ascii="Arial" w:hAnsi="Arial" w:cs="Arial"/>
        </w:rPr>
        <w:t>Stevenage, UK</w:t>
      </w:r>
      <w:r w:rsidR="001365C9" w:rsidRPr="00231828">
        <w:rPr>
          <w:rFonts w:ascii="Arial" w:hAnsi="Arial" w:cs="Arial"/>
        </w:rPr>
        <w:t xml:space="preserve">) </w:t>
      </w:r>
      <w:proofErr w:type="spellStart"/>
      <w:r w:rsidR="00696BF7" w:rsidRPr="00231828">
        <w:rPr>
          <w:rFonts w:ascii="Arial" w:hAnsi="Arial" w:cs="Arial"/>
        </w:rPr>
        <w:t>ximelagatran</w:t>
      </w:r>
      <w:proofErr w:type="spellEnd"/>
      <w:r w:rsidR="00696BF7" w:rsidRPr="00231828">
        <w:rPr>
          <w:rFonts w:ascii="Arial" w:hAnsi="Arial" w:cs="Arial"/>
        </w:rPr>
        <w:t xml:space="preserve"> and </w:t>
      </w:r>
      <w:proofErr w:type="spellStart"/>
      <w:r w:rsidR="00696BF7" w:rsidRPr="00231828">
        <w:rPr>
          <w:rFonts w:ascii="Arial" w:hAnsi="Arial" w:cs="Arial"/>
        </w:rPr>
        <w:t>melagatran</w:t>
      </w:r>
      <w:proofErr w:type="spellEnd"/>
      <w:r w:rsidR="00696BF7" w:rsidRPr="00231828">
        <w:rPr>
          <w:rFonts w:ascii="Arial" w:hAnsi="Arial" w:cs="Arial"/>
        </w:rPr>
        <w:t xml:space="preserve"> were a gift from AstraZeneca R&amp;D</w:t>
      </w:r>
      <w:r w:rsidRPr="00231828">
        <w:rPr>
          <w:rFonts w:ascii="Arial" w:hAnsi="Arial" w:cs="Arial"/>
        </w:rPr>
        <w:t xml:space="preserve"> (</w:t>
      </w:r>
      <w:proofErr w:type="spellStart"/>
      <w:r w:rsidR="00696BF7" w:rsidRPr="00231828">
        <w:rPr>
          <w:rFonts w:ascii="Arial" w:hAnsi="Arial" w:cs="Arial"/>
        </w:rPr>
        <w:t>Alderley</w:t>
      </w:r>
      <w:proofErr w:type="spellEnd"/>
      <w:r w:rsidR="00696BF7" w:rsidRPr="00231828">
        <w:rPr>
          <w:rFonts w:ascii="Arial" w:hAnsi="Arial" w:cs="Arial"/>
        </w:rPr>
        <w:t xml:space="preserve"> Park, UK</w:t>
      </w:r>
      <w:r w:rsidRPr="00231828">
        <w:rPr>
          <w:rFonts w:ascii="Arial" w:hAnsi="Arial" w:cs="Arial"/>
        </w:rPr>
        <w:t>)</w:t>
      </w:r>
      <w:r w:rsidR="00E12284" w:rsidRPr="00231828">
        <w:rPr>
          <w:rFonts w:ascii="Arial" w:hAnsi="Arial" w:cs="Arial"/>
        </w:rPr>
        <w:t xml:space="preserve">, and </w:t>
      </w:r>
      <w:proofErr w:type="spellStart"/>
      <w:r w:rsidR="00E12284" w:rsidRPr="00231828">
        <w:rPr>
          <w:rFonts w:ascii="Arial" w:hAnsi="Arial" w:cs="Arial"/>
        </w:rPr>
        <w:t>lumiracoxib</w:t>
      </w:r>
      <w:proofErr w:type="spellEnd"/>
      <w:r w:rsidR="00E12284" w:rsidRPr="00231828">
        <w:rPr>
          <w:rFonts w:ascii="Arial" w:hAnsi="Arial" w:cs="Arial"/>
        </w:rPr>
        <w:t xml:space="preserve"> and its metabolites were a gift from Novartis, (</w:t>
      </w:r>
      <w:r w:rsidR="008B0CC7" w:rsidRPr="00231828">
        <w:rPr>
          <w:rFonts w:ascii="Arial" w:hAnsi="Arial" w:cs="Arial"/>
        </w:rPr>
        <w:t>East Hanover, New Jersey, USA</w:t>
      </w:r>
      <w:r w:rsidR="00E12284" w:rsidRPr="00231828">
        <w:rPr>
          <w:rFonts w:ascii="Arial" w:hAnsi="Arial" w:cs="Arial"/>
        </w:rPr>
        <w:t>)</w:t>
      </w:r>
      <w:r w:rsidR="00696BF7" w:rsidRPr="00231828">
        <w:rPr>
          <w:rFonts w:ascii="Arial" w:hAnsi="Arial" w:cs="Arial"/>
        </w:rPr>
        <w:t>.</w:t>
      </w:r>
      <w:r w:rsidR="00C9298F" w:rsidRPr="00231828">
        <w:rPr>
          <w:rFonts w:ascii="Arial" w:hAnsi="Arial" w:cs="Arial"/>
        </w:rPr>
        <w:t xml:space="preserve"> </w:t>
      </w:r>
    </w:p>
    <w:p w:rsidR="001E2516" w:rsidRPr="00231828" w:rsidRDefault="001E2516" w:rsidP="00231828">
      <w:pPr>
        <w:spacing w:line="480" w:lineRule="auto"/>
        <w:jc w:val="both"/>
        <w:rPr>
          <w:rFonts w:ascii="Arial" w:hAnsi="Arial" w:cs="Arial"/>
        </w:rPr>
      </w:pPr>
      <w:proofErr w:type="gramStart"/>
      <w:r w:rsidRPr="00231828">
        <w:rPr>
          <w:rFonts w:ascii="Arial" w:hAnsi="Arial" w:cs="Arial"/>
          <w:b/>
          <w:i/>
        </w:rPr>
        <w:t>D</w:t>
      </w:r>
      <w:r w:rsidR="0022764F" w:rsidRPr="00231828">
        <w:rPr>
          <w:rFonts w:ascii="Arial" w:hAnsi="Arial" w:cs="Arial"/>
          <w:b/>
          <w:i/>
        </w:rPr>
        <w:t>endritic cell</w:t>
      </w:r>
      <w:r w:rsidRPr="00231828">
        <w:rPr>
          <w:rFonts w:ascii="Arial" w:hAnsi="Arial" w:cs="Arial"/>
          <w:b/>
          <w:i/>
        </w:rPr>
        <w:t xml:space="preserve"> priming assay.</w:t>
      </w:r>
      <w:proofErr w:type="gramEnd"/>
      <w:r w:rsidRPr="00231828">
        <w:rPr>
          <w:rFonts w:ascii="Arial" w:hAnsi="Arial" w:cs="Arial"/>
          <w:b/>
          <w:i/>
        </w:rPr>
        <w:t xml:space="preserve"> </w:t>
      </w:r>
      <w:r w:rsidRPr="00231828">
        <w:rPr>
          <w:rFonts w:ascii="Arial" w:hAnsi="Arial" w:cs="Arial"/>
        </w:rPr>
        <w:t xml:space="preserve">The </w:t>
      </w:r>
      <w:r w:rsidR="000D7312" w:rsidRPr="00231828">
        <w:rPr>
          <w:rFonts w:ascii="Arial" w:hAnsi="Arial" w:cs="Arial"/>
        </w:rPr>
        <w:t>DC</w:t>
      </w:r>
      <w:r w:rsidR="0022764F" w:rsidRPr="00231828">
        <w:rPr>
          <w:rFonts w:ascii="Arial" w:hAnsi="Arial" w:cs="Arial"/>
        </w:rPr>
        <w:t xml:space="preserve"> </w:t>
      </w:r>
      <w:r w:rsidRPr="00231828">
        <w:rPr>
          <w:rFonts w:ascii="Arial" w:hAnsi="Arial" w:cs="Arial"/>
        </w:rPr>
        <w:t xml:space="preserve">priming assay has previously been described in Faulkner </w:t>
      </w:r>
      <w:r w:rsidRPr="00231828">
        <w:rPr>
          <w:rFonts w:ascii="Arial" w:hAnsi="Arial" w:cs="Arial"/>
          <w:i/>
        </w:rPr>
        <w:t>et al</w:t>
      </w:r>
      <w:r w:rsidR="00EE5F9D" w:rsidRPr="00231828">
        <w:rPr>
          <w:rFonts w:ascii="Arial" w:hAnsi="Arial" w:cs="Arial"/>
        </w:rPr>
        <w:t>.</w:t>
      </w:r>
      <w:r w:rsidRPr="00231828">
        <w:rPr>
          <w:rFonts w:ascii="Arial" w:hAnsi="Arial" w:cs="Arial"/>
        </w:rPr>
        <w:t xml:space="preserve"> (</w:t>
      </w:r>
      <w:r w:rsidR="00EE5F9D" w:rsidRPr="00231828">
        <w:rPr>
          <w:rFonts w:ascii="Arial" w:hAnsi="Arial" w:cs="Arial"/>
        </w:rPr>
        <w:t>2012</w:t>
      </w:r>
      <w:r w:rsidRPr="00231828">
        <w:rPr>
          <w:rFonts w:ascii="Arial" w:hAnsi="Arial" w:cs="Arial"/>
        </w:rPr>
        <w:t>). Briefly,</w:t>
      </w:r>
      <w:r w:rsidR="00CF1C32" w:rsidRPr="00231828">
        <w:rPr>
          <w:rFonts w:ascii="Arial" w:hAnsi="Arial" w:cs="Arial"/>
        </w:rPr>
        <w:t xml:space="preserve"> peripheral blood mononuclear cells (</w:t>
      </w:r>
      <w:r w:rsidRPr="00231828">
        <w:rPr>
          <w:rFonts w:ascii="Arial" w:hAnsi="Arial" w:cs="Arial"/>
        </w:rPr>
        <w:t>PBMC</w:t>
      </w:r>
      <w:r w:rsidR="00CF1C32" w:rsidRPr="00231828">
        <w:rPr>
          <w:rFonts w:ascii="Arial" w:hAnsi="Arial" w:cs="Arial"/>
        </w:rPr>
        <w:t>)</w:t>
      </w:r>
      <w:r w:rsidRPr="00231828">
        <w:rPr>
          <w:rFonts w:ascii="Arial" w:hAnsi="Arial" w:cs="Arial"/>
        </w:rPr>
        <w:t xml:space="preserve"> were isolated from blood by density centrifugation</w:t>
      </w:r>
      <w:r w:rsidR="00C03875" w:rsidRPr="00231828">
        <w:rPr>
          <w:rFonts w:ascii="Arial" w:hAnsi="Arial" w:cs="Arial"/>
        </w:rPr>
        <w:t xml:space="preserve"> and cell populations</w:t>
      </w:r>
      <w:r w:rsidRPr="00231828">
        <w:rPr>
          <w:rFonts w:ascii="Arial" w:hAnsi="Arial" w:cs="Arial"/>
        </w:rPr>
        <w:t xml:space="preserve"> isolated by magnetic bead separation. CD14+ cells were isolated by positive selection and grown for 7-8 days in 800</w:t>
      </w:r>
      <w:r w:rsidR="0010631B">
        <w:rPr>
          <w:rFonts w:ascii="Arial" w:hAnsi="Arial" w:cs="Arial"/>
        </w:rPr>
        <w:t xml:space="preserve"> </w:t>
      </w:r>
      <w:r w:rsidRPr="00231828">
        <w:rPr>
          <w:rFonts w:ascii="Arial" w:hAnsi="Arial" w:cs="Arial"/>
        </w:rPr>
        <w:t>U/ml GM-CSF and 800</w:t>
      </w:r>
      <w:r w:rsidR="0010631B">
        <w:rPr>
          <w:rFonts w:ascii="Arial" w:hAnsi="Arial" w:cs="Arial"/>
        </w:rPr>
        <w:t xml:space="preserve"> </w:t>
      </w:r>
      <w:r w:rsidRPr="00231828">
        <w:rPr>
          <w:rFonts w:ascii="Arial" w:hAnsi="Arial" w:cs="Arial"/>
        </w:rPr>
        <w:t xml:space="preserve">U/ml IL-4. </w:t>
      </w:r>
      <w:r w:rsidR="0022764F" w:rsidRPr="00231828">
        <w:rPr>
          <w:rFonts w:ascii="Arial" w:hAnsi="Arial" w:cs="Arial"/>
        </w:rPr>
        <w:t>Monocyte-derived d</w:t>
      </w:r>
      <w:r w:rsidR="00C03875" w:rsidRPr="00231828">
        <w:rPr>
          <w:rFonts w:ascii="Arial" w:hAnsi="Arial" w:cs="Arial"/>
        </w:rPr>
        <w:t>endritic c</w:t>
      </w:r>
      <w:r w:rsidRPr="00231828">
        <w:rPr>
          <w:rFonts w:ascii="Arial" w:hAnsi="Arial" w:cs="Arial"/>
        </w:rPr>
        <w:t xml:space="preserve">ells </w:t>
      </w:r>
      <w:r w:rsidR="0022764F" w:rsidRPr="00231828">
        <w:rPr>
          <w:rFonts w:ascii="Arial" w:hAnsi="Arial" w:cs="Arial"/>
        </w:rPr>
        <w:t xml:space="preserve">(Mo-DC) </w:t>
      </w:r>
      <w:r w:rsidRPr="00231828">
        <w:rPr>
          <w:rFonts w:ascii="Arial" w:hAnsi="Arial" w:cs="Arial"/>
        </w:rPr>
        <w:t>were matured overnight with 1</w:t>
      </w:r>
      <w:r w:rsidR="0010631B">
        <w:rPr>
          <w:rFonts w:ascii="Arial" w:hAnsi="Arial" w:cs="Arial"/>
        </w:rPr>
        <w:t xml:space="preserve"> </w:t>
      </w:r>
      <w:r w:rsidR="00B0386C" w:rsidRPr="00231828">
        <w:rPr>
          <w:rFonts w:ascii="Symbol" w:hAnsi="Symbol" w:cs="Arial"/>
        </w:rPr>
        <w:t></w:t>
      </w:r>
      <w:r w:rsidRPr="00231828">
        <w:rPr>
          <w:rFonts w:ascii="Arial" w:hAnsi="Arial" w:cs="Arial"/>
        </w:rPr>
        <w:t xml:space="preserve">g/ml LPS and </w:t>
      </w:r>
      <w:proofErr w:type="gramStart"/>
      <w:r w:rsidRPr="00231828">
        <w:rPr>
          <w:rFonts w:ascii="Arial" w:hAnsi="Arial" w:cs="Arial"/>
        </w:rPr>
        <w:t>50</w:t>
      </w:r>
      <w:r w:rsidR="0010631B">
        <w:rPr>
          <w:rFonts w:ascii="Arial" w:hAnsi="Arial" w:cs="Arial"/>
        </w:rPr>
        <w:t xml:space="preserve"> </w:t>
      </w:r>
      <w:r w:rsidRPr="00231828">
        <w:rPr>
          <w:rFonts w:ascii="Arial" w:hAnsi="Arial" w:cs="Arial"/>
        </w:rPr>
        <w:t>ng/ml TNF</w:t>
      </w:r>
      <w:r w:rsidR="00B0386C" w:rsidRPr="00231828">
        <w:rPr>
          <w:rFonts w:ascii="Symbol" w:hAnsi="Symbol" w:cs="Arial"/>
        </w:rPr>
        <w:t></w:t>
      </w:r>
      <w:r w:rsidRPr="00231828">
        <w:rPr>
          <w:rFonts w:ascii="Arial" w:hAnsi="Arial" w:cs="Arial"/>
        </w:rPr>
        <w:t xml:space="preserve"> before use</w:t>
      </w:r>
      <w:proofErr w:type="gramEnd"/>
      <w:r w:rsidRPr="00231828">
        <w:rPr>
          <w:rFonts w:ascii="Arial" w:hAnsi="Arial" w:cs="Arial"/>
        </w:rPr>
        <w:t xml:space="preserve">. </w:t>
      </w:r>
    </w:p>
    <w:p w:rsidR="001E2516" w:rsidRPr="00231828" w:rsidRDefault="000D7312" w:rsidP="00231828">
      <w:pPr>
        <w:spacing w:line="480" w:lineRule="auto"/>
        <w:jc w:val="both"/>
        <w:rPr>
          <w:rFonts w:ascii="Arial" w:hAnsi="Arial" w:cs="Arial"/>
        </w:rPr>
      </w:pPr>
      <w:r w:rsidRPr="00231828">
        <w:rPr>
          <w:rFonts w:ascii="Arial" w:hAnsi="Arial" w:cs="Arial"/>
        </w:rPr>
        <w:t>Mo-DC</w:t>
      </w:r>
      <w:r w:rsidR="00C03875" w:rsidRPr="00231828">
        <w:rPr>
          <w:rFonts w:ascii="Arial" w:hAnsi="Arial" w:cs="Arial"/>
        </w:rPr>
        <w:t xml:space="preserve"> at </w:t>
      </w:r>
      <w:r w:rsidR="001E2516" w:rsidRPr="00231828">
        <w:rPr>
          <w:rFonts w:ascii="Arial" w:hAnsi="Arial" w:cs="Arial"/>
        </w:rPr>
        <w:t>8x10</w:t>
      </w:r>
      <w:r w:rsidR="001E2516" w:rsidRPr="00231828">
        <w:rPr>
          <w:rFonts w:ascii="Arial" w:hAnsi="Arial" w:cs="Arial"/>
          <w:vertAlign w:val="superscript"/>
        </w:rPr>
        <w:t>4</w:t>
      </w:r>
      <w:r w:rsidR="00C03875" w:rsidRPr="00231828">
        <w:rPr>
          <w:rFonts w:ascii="Arial" w:hAnsi="Arial" w:cs="Arial"/>
        </w:rPr>
        <w:t xml:space="preserve"> cell/well</w:t>
      </w:r>
      <w:r w:rsidR="001E2516" w:rsidRPr="00231828">
        <w:rPr>
          <w:rFonts w:ascii="Arial" w:hAnsi="Arial" w:cs="Arial"/>
        </w:rPr>
        <w:t xml:space="preserve"> and </w:t>
      </w:r>
      <w:r w:rsidR="0031516D" w:rsidRPr="00231828">
        <w:rPr>
          <w:rFonts w:ascii="Arial" w:hAnsi="Arial" w:cs="Arial"/>
        </w:rPr>
        <w:t>2x10</w:t>
      </w:r>
      <w:r w:rsidR="0031516D" w:rsidRPr="00231828">
        <w:rPr>
          <w:rFonts w:ascii="Arial" w:hAnsi="Arial" w:cs="Arial"/>
          <w:vertAlign w:val="superscript"/>
        </w:rPr>
        <w:t xml:space="preserve">6 </w:t>
      </w:r>
      <w:r w:rsidR="0031516D" w:rsidRPr="00231828">
        <w:rPr>
          <w:rFonts w:ascii="Arial" w:hAnsi="Arial" w:cs="Arial"/>
        </w:rPr>
        <w:t xml:space="preserve">cell/well </w:t>
      </w:r>
      <w:r w:rsidR="00C03875" w:rsidRPr="00231828">
        <w:rPr>
          <w:rFonts w:ascii="Arial" w:hAnsi="Arial" w:cs="Arial"/>
        </w:rPr>
        <w:t>naïve T cells</w:t>
      </w:r>
      <w:r w:rsidR="0031516D" w:rsidRPr="00231828">
        <w:rPr>
          <w:rFonts w:ascii="Arial" w:hAnsi="Arial" w:cs="Arial"/>
        </w:rPr>
        <w:t>,</w:t>
      </w:r>
      <w:r w:rsidR="00C03875" w:rsidRPr="00231828">
        <w:rPr>
          <w:rFonts w:ascii="Arial" w:hAnsi="Arial" w:cs="Arial"/>
        </w:rPr>
        <w:t xml:space="preserve"> </w:t>
      </w:r>
      <w:r w:rsidR="0031516D" w:rsidRPr="00231828">
        <w:rPr>
          <w:rFonts w:ascii="Arial" w:hAnsi="Arial" w:cs="Arial"/>
        </w:rPr>
        <w:t xml:space="preserve">isolated by negative selection, </w:t>
      </w:r>
      <w:r w:rsidR="001E2516" w:rsidRPr="00231828">
        <w:rPr>
          <w:rFonts w:ascii="Arial" w:hAnsi="Arial" w:cs="Arial"/>
        </w:rPr>
        <w:t xml:space="preserve">were co-cultured </w:t>
      </w:r>
      <w:r w:rsidR="00671672" w:rsidRPr="00231828">
        <w:rPr>
          <w:rFonts w:ascii="Arial" w:hAnsi="Arial" w:cs="Arial"/>
        </w:rPr>
        <w:t>for 8</w:t>
      </w:r>
      <w:r w:rsidR="00E73CE7" w:rsidRPr="00231828">
        <w:rPr>
          <w:rFonts w:ascii="Arial" w:hAnsi="Arial" w:cs="Arial"/>
        </w:rPr>
        <w:t>-14</w:t>
      </w:r>
      <w:r w:rsidR="00671672" w:rsidRPr="00231828">
        <w:rPr>
          <w:rFonts w:ascii="Arial" w:hAnsi="Arial" w:cs="Arial"/>
        </w:rPr>
        <w:t xml:space="preserve"> days in the presence of drug </w:t>
      </w:r>
      <w:r w:rsidR="0031516D" w:rsidRPr="00231828">
        <w:rPr>
          <w:rFonts w:ascii="Arial" w:hAnsi="Arial" w:cs="Arial"/>
        </w:rPr>
        <w:t xml:space="preserve">in a </w:t>
      </w:r>
      <w:r w:rsidR="00671672" w:rsidRPr="00231828">
        <w:rPr>
          <w:rFonts w:ascii="Arial" w:hAnsi="Arial" w:cs="Arial"/>
        </w:rPr>
        <w:t>24 well plate</w:t>
      </w:r>
      <w:r w:rsidR="0031516D" w:rsidRPr="00231828">
        <w:rPr>
          <w:rFonts w:ascii="Arial" w:hAnsi="Arial" w:cs="Arial"/>
        </w:rPr>
        <w:t xml:space="preserve"> at</w:t>
      </w:r>
      <w:r w:rsidR="00671672" w:rsidRPr="00231828">
        <w:rPr>
          <w:rFonts w:ascii="Arial" w:hAnsi="Arial" w:cs="Arial"/>
        </w:rPr>
        <w:t xml:space="preserve"> </w:t>
      </w:r>
      <w:r w:rsidR="001E2516" w:rsidRPr="00231828">
        <w:rPr>
          <w:rFonts w:ascii="Arial" w:hAnsi="Arial" w:cs="Arial"/>
        </w:rPr>
        <w:t>2</w:t>
      </w:r>
      <w:r w:rsidR="0010631B">
        <w:rPr>
          <w:rFonts w:ascii="Arial" w:hAnsi="Arial" w:cs="Arial"/>
        </w:rPr>
        <w:t xml:space="preserve"> </w:t>
      </w:r>
      <w:r w:rsidR="001E2516" w:rsidRPr="00231828">
        <w:rPr>
          <w:rFonts w:ascii="Arial" w:hAnsi="Arial" w:cs="Arial"/>
        </w:rPr>
        <w:t>ml</w:t>
      </w:r>
      <w:r w:rsidR="00671672" w:rsidRPr="00231828">
        <w:rPr>
          <w:rFonts w:ascii="Arial" w:hAnsi="Arial" w:cs="Arial"/>
        </w:rPr>
        <w:t>/well</w:t>
      </w:r>
      <w:r w:rsidR="0031516D" w:rsidRPr="00231828">
        <w:rPr>
          <w:rFonts w:ascii="Arial" w:hAnsi="Arial" w:cs="Arial"/>
        </w:rPr>
        <w:t>.</w:t>
      </w:r>
      <w:r w:rsidR="001E2516" w:rsidRPr="00231828">
        <w:rPr>
          <w:rFonts w:ascii="Arial" w:hAnsi="Arial" w:cs="Arial"/>
        </w:rPr>
        <w:t xml:space="preserve">  </w:t>
      </w:r>
      <w:r w:rsidR="00CC78DD" w:rsidRPr="00231828">
        <w:rPr>
          <w:rFonts w:ascii="Arial" w:hAnsi="Arial" w:cs="Arial"/>
        </w:rPr>
        <w:t>F</w:t>
      </w:r>
      <w:r w:rsidR="001E2516" w:rsidRPr="00231828">
        <w:rPr>
          <w:rFonts w:ascii="Arial" w:hAnsi="Arial" w:cs="Arial"/>
        </w:rPr>
        <w:t>lucloxacillin</w:t>
      </w:r>
      <w:r w:rsidR="001365C9" w:rsidRPr="00231828">
        <w:rPr>
          <w:rFonts w:ascii="Arial" w:hAnsi="Arial" w:cs="Arial"/>
        </w:rPr>
        <w:t>,</w:t>
      </w:r>
      <w:r w:rsidR="001E2516" w:rsidRPr="00231828">
        <w:rPr>
          <w:rFonts w:ascii="Arial" w:hAnsi="Arial" w:cs="Arial"/>
        </w:rPr>
        <w:t xml:space="preserve"> </w:t>
      </w:r>
      <w:r w:rsidR="00CC78DD" w:rsidRPr="00231828">
        <w:rPr>
          <w:rFonts w:ascii="Arial" w:hAnsi="Arial" w:cs="Arial"/>
        </w:rPr>
        <w:t>piperacillin</w:t>
      </w:r>
      <w:r w:rsidR="001E7C27" w:rsidRPr="00231828">
        <w:rPr>
          <w:rFonts w:ascii="Arial" w:hAnsi="Arial" w:cs="Arial"/>
        </w:rPr>
        <w:t xml:space="preserve">, amoxicillin </w:t>
      </w:r>
      <w:r w:rsidR="001365C9" w:rsidRPr="00231828">
        <w:rPr>
          <w:rFonts w:ascii="Arial" w:hAnsi="Arial" w:cs="Arial"/>
        </w:rPr>
        <w:t xml:space="preserve">and </w:t>
      </w:r>
      <w:proofErr w:type="spellStart"/>
      <w:r w:rsidR="001365C9" w:rsidRPr="00231828">
        <w:rPr>
          <w:rFonts w:ascii="Arial" w:hAnsi="Arial" w:cs="Arial"/>
        </w:rPr>
        <w:t>abacavir</w:t>
      </w:r>
      <w:proofErr w:type="spellEnd"/>
      <w:r w:rsidR="001365C9" w:rsidRPr="00231828">
        <w:rPr>
          <w:rFonts w:ascii="Arial" w:hAnsi="Arial" w:cs="Arial"/>
        </w:rPr>
        <w:t xml:space="preserve"> </w:t>
      </w:r>
      <w:r w:rsidR="00CC78DD" w:rsidRPr="00231828">
        <w:rPr>
          <w:rFonts w:ascii="Arial" w:hAnsi="Arial" w:cs="Arial"/>
        </w:rPr>
        <w:t>were</w:t>
      </w:r>
      <w:r w:rsidR="001E2516" w:rsidRPr="00231828">
        <w:rPr>
          <w:rFonts w:ascii="Arial" w:hAnsi="Arial" w:cs="Arial"/>
        </w:rPr>
        <w:t xml:space="preserve"> dissolved in medium</w:t>
      </w:r>
      <w:r w:rsidR="00833F38" w:rsidRPr="00231828">
        <w:rPr>
          <w:rFonts w:ascii="Arial" w:hAnsi="Arial" w:cs="Arial"/>
        </w:rPr>
        <w:t xml:space="preserve"> and all other drugs were dissolved in DMSO</w:t>
      </w:r>
      <w:r w:rsidR="001E2516" w:rsidRPr="00231828">
        <w:rPr>
          <w:rFonts w:ascii="Arial" w:hAnsi="Arial" w:cs="Arial"/>
        </w:rPr>
        <w:t>.</w:t>
      </w:r>
      <w:r w:rsidR="00A42E8C" w:rsidRPr="00231828">
        <w:rPr>
          <w:rFonts w:ascii="Arial" w:hAnsi="Arial" w:cs="Arial"/>
        </w:rPr>
        <w:t xml:space="preserve"> </w:t>
      </w:r>
      <w:r w:rsidR="00671672" w:rsidRPr="00231828">
        <w:rPr>
          <w:rFonts w:ascii="Arial" w:hAnsi="Arial" w:cs="Arial"/>
        </w:rPr>
        <w:t xml:space="preserve">A </w:t>
      </w:r>
      <w:r w:rsidR="001E2516" w:rsidRPr="00231828">
        <w:rPr>
          <w:rFonts w:ascii="Arial" w:hAnsi="Arial" w:cs="Arial"/>
        </w:rPr>
        <w:t xml:space="preserve">final concentration of </w:t>
      </w:r>
      <w:r w:rsidR="00517536" w:rsidRPr="00231828">
        <w:rPr>
          <w:rFonts w:ascii="Arial" w:hAnsi="Arial" w:cs="Arial"/>
        </w:rPr>
        <w:t>25-</w:t>
      </w:r>
      <w:r w:rsidR="001E2516" w:rsidRPr="00231828">
        <w:rPr>
          <w:rFonts w:ascii="Arial" w:hAnsi="Arial" w:cs="Arial"/>
        </w:rPr>
        <w:t>50</w:t>
      </w:r>
      <w:r w:rsidR="0010631B">
        <w:rPr>
          <w:rFonts w:ascii="Arial" w:hAnsi="Arial" w:cs="Arial"/>
        </w:rPr>
        <w:t xml:space="preserve"> </w:t>
      </w:r>
      <w:r w:rsidR="00B0386C" w:rsidRPr="00231828">
        <w:rPr>
          <w:rFonts w:ascii="Symbol" w:hAnsi="Symbol" w:cs="Arial"/>
        </w:rPr>
        <w:t></w:t>
      </w:r>
      <w:r w:rsidR="001E2516" w:rsidRPr="00231828">
        <w:rPr>
          <w:rFonts w:ascii="Arial" w:hAnsi="Arial" w:cs="Arial"/>
        </w:rPr>
        <w:t xml:space="preserve">M SMX-NO, </w:t>
      </w:r>
      <w:r w:rsidR="00517536" w:rsidRPr="00231828">
        <w:rPr>
          <w:rFonts w:ascii="Arial" w:hAnsi="Arial" w:cs="Arial"/>
        </w:rPr>
        <w:t>50-</w:t>
      </w:r>
      <w:r w:rsidR="001E2516" w:rsidRPr="00231828">
        <w:rPr>
          <w:rFonts w:ascii="Arial" w:hAnsi="Arial" w:cs="Arial"/>
        </w:rPr>
        <w:t>100</w:t>
      </w:r>
      <w:r w:rsidR="0010631B">
        <w:rPr>
          <w:rFonts w:ascii="Arial" w:hAnsi="Arial" w:cs="Arial"/>
        </w:rPr>
        <w:t xml:space="preserve"> </w:t>
      </w:r>
      <w:r w:rsidR="00B0386C" w:rsidRPr="00231828">
        <w:rPr>
          <w:rFonts w:ascii="Symbol" w:hAnsi="Symbol" w:cs="Arial"/>
        </w:rPr>
        <w:t></w:t>
      </w:r>
      <w:r w:rsidR="001E2516" w:rsidRPr="00231828">
        <w:rPr>
          <w:rFonts w:ascii="Arial" w:hAnsi="Arial" w:cs="Arial"/>
        </w:rPr>
        <w:t xml:space="preserve">M </w:t>
      </w:r>
      <w:proofErr w:type="spellStart"/>
      <w:r w:rsidR="001E2516" w:rsidRPr="00231828">
        <w:rPr>
          <w:rFonts w:ascii="Arial" w:hAnsi="Arial" w:cs="Arial"/>
        </w:rPr>
        <w:t>ximelagatran</w:t>
      </w:r>
      <w:proofErr w:type="spellEnd"/>
      <w:r w:rsidR="00833F38" w:rsidRPr="00231828">
        <w:rPr>
          <w:rFonts w:ascii="Arial" w:hAnsi="Arial" w:cs="Arial"/>
        </w:rPr>
        <w:t xml:space="preserve"> and</w:t>
      </w:r>
      <w:r w:rsidR="00A42E8C" w:rsidRPr="00231828">
        <w:rPr>
          <w:rFonts w:ascii="Arial" w:hAnsi="Arial" w:cs="Arial"/>
        </w:rPr>
        <w:t xml:space="preserve"> </w:t>
      </w:r>
      <w:proofErr w:type="spellStart"/>
      <w:r w:rsidR="001E2516" w:rsidRPr="00231828">
        <w:rPr>
          <w:rFonts w:ascii="Arial" w:hAnsi="Arial" w:cs="Arial"/>
        </w:rPr>
        <w:t>melagatran</w:t>
      </w:r>
      <w:proofErr w:type="spellEnd"/>
      <w:r w:rsidR="001E2516" w:rsidRPr="00231828">
        <w:rPr>
          <w:rFonts w:ascii="Arial" w:hAnsi="Arial" w:cs="Arial"/>
        </w:rPr>
        <w:t>, 100</w:t>
      </w:r>
      <w:r w:rsidR="0010631B">
        <w:rPr>
          <w:rFonts w:ascii="Arial" w:hAnsi="Arial" w:cs="Arial"/>
        </w:rPr>
        <w:t xml:space="preserve"> </w:t>
      </w:r>
      <w:r w:rsidR="00B0386C" w:rsidRPr="00231828">
        <w:rPr>
          <w:rFonts w:ascii="Symbol" w:hAnsi="Symbol" w:cs="Arial"/>
        </w:rPr>
        <w:t></w:t>
      </w:r>
      <w:r w:rsidR="001E2516" w:rsidRPr="00231828">
        <w:rPr>
          <w:rFonts w:ascii="Arial" w:hAnsi="Arial" w:cs="Arial"/>
        </w:rPr>
        <w:t>g/ml carbamazepine</w:t>
      </w:r>
      <w:r w:rsidR="001571B3" w:rsidRPr="00231828">
        <w:rPr>
          <w:rFonts w:ascii="Arial" w:hAnsi="Arial" w:cs="Arial"/>
        </w:rPr>
        <w:t>, 5</w:t>
      </w:r>
      <w:r w:rsidR="0010631B">
        <w:rPr>
          <w:rFonts w:ascii="Arial" w:hAnsi="Arial" w:cs="Arial"/>
        </w:rPr>
        <w:t xml:space="preserve"> </w:t>
      </w:r>
      <w:r w:rsidR="00E12284" w:rsidRPr="00231828">
        <w:rPr>
          <w:rFonts w:ascii="Symbol" w:hAnsi="Symbol" w:cs="Arial"/>
        </w:rPr>
        <w:t></w:t>
      </w:r>
      <w:r w:rsidR="008C274D">
        <w:rPr>
          <w:rFonts w:ascii="Symbol" w:hAnsi="Symbol" w:cs="Arial"/>
        </w:rPr>
        <w:t></w:t>
      </w:r>
      <w:r w:rsidR="00E12284" w:rsidRPr="00231828">
        <w:rPr>
          <w:rFonts w:ascii="Arial" w:hAnsi="Arial" w:cs="Arial"/>
        </w:rPr>
        <w:t xml:space="preserve"> </w:t>
      </w:r>
      <w:proofErr w:type="spellStart"/>
      <w:r w:rsidR="008B0CC7" w:rsidRPr="00231828">
        <w:rPr>
          <w:rFonts w:ascii="Arial" w:hAnsi="Arial" w:cs="Arial"/>
        </w:rPr>
        <w:t>Bandrowsk</w:t>
      </w:r>
      <w:r w:rsidR="00E12284" w:rsidRPr="00231828">
        <w:rPr>
          <w:rFonts w:ascii="Arial" w:hAnsi="Arial" w:cs="Arial"/>
        </w:rPr>
        <w:t>i’s</w:t>
      </w:r>
      <w:proofErr w:type="spellEnd"/>
      <w:r w:rsidR="00E12284" w:rsidRPr="00231828">
        <w:rPr>
          <w:rFonts w:ascii="Arial" w:hAnsi="Arial" w:cs="Arial"/>
        </w:rPr>
        <w:t xml:space="preserve"> base, </w:t>
      </w:r>
      <w:r w:rsidR="001365C9" w:rsidRPr="00231828">
        <w:rPr>
          <w:rFonts w:ascii="Arial" w:hAnsi="Arial" w:cs="Arial"/>
        </w:rPr>
        <w:t>35</w:t>
      </w:r>
      <w:r w:rsidR="0010631B">
        <w:rPr>
          <w:rFonts w:ascii="Arial" w:hAnsi="Arial" w:cs="Arial"/>
        </w:rPr>
        <w:t xml:space="preserve"> </w:t>
      </w:r>
      <w:r w:rsidR="001365C9" w:rsidRPr="00231828">
        <w:rPr>
          <w:rFonts w:ascii="Symbol" w:hAnsi="Symbol" w:cs="Arial"/>
        </w:rPr>
        <w:t></w:t>
      </w:r>
      <w:r w:rsidR="001365C9" w:rsidRPr="00231828">
        <w:rPr>
          <w:rFonts w:ascii="Arial" w:hAnsi="Arial" w:cs="Arial"/>
        </w:rPr>
        <w:t xml:space="preserve">M </w:t>
      </w:r>
      <w:proofErr w:type="spellStart"/>
      <w:r w:rsidR="001365C9" w:rsidRPr="00231828">
        <w:rPr>
          <w:rFonts w:ascii="Arial" w:hAnsi="Arial" w:cs="Arial"/>
        </w:rPr>
        <w:t>abacavir</w:t>
      </w:r>
      <w:proofErr w:type="spellEnd"/>
      <w:r w:rsidR="001365C9" w:rsidRPr="00231828">
        <w:rPr>
          <w:rFonts w:ascii="Arial" w:hAnsi="Arial" w:cs="Arial"/>
        </w:rPr>
        <w:t xml:space="preserve">, </w:t>
      </w:r>
      <w:r w:rsidR="00833F38" w:rsidRPr="00231828">
        <w:rPr>
          <w:rFonts w:ascii="Arial" w:hAnsi="Arial" w:cs="Arial"/>
        </w:rPr>
        <w:t>50</w:t>
      </w:r>
      <w:r w:rsidR="0010631B">
        <w:rPr>
          <w:rFonts w:ascii="Arial" w:hAnsi="Arial" w:cs="Arial"/>
        </w:rPr>
        <w:t xml:space="preserve"> </w:t>
      </w:r>
      <w:r w:rsidR="00833F38" w:rsidRPr="00231828">
        <w:rPr>
          <w:rFonts w:ascii="Symbol" w:hAnsi="Symbol" w:cs="Arial"/>
        </w:rPr>
        <w:t></w:t>
      </w:r>
      <w:r w:rsidR="00833F38" w:rsidRPr="00231828">
        <w:rPr>
          <w:rFonts w:ascii="Arial" w:hAnsi="Arial" w:cs="Arial"/>
        </w:rPr>
        <w:t xml:space="preserve">M </w:t>
      </w:r>
      <w:proofErr w:type="spellStart"/>
      <w:r w:rsidR="00833F38" w:rsidRPr="00231828">
        <w:rPr>
          <w:rFonts w:ascii="Arial" w:hAnsi="Arial" w:cs="Arial"/>
        </w:rPr>
        <w:t>lu</w:t>
      </w:r>
      <w:r w:rsidR="0031516D" w:rsidRPr="00231828">
        <w:rPr>
          <w:rFonts w:ascii="Arial" w:hAnsi="Arial" w:cs="Arial"/>
        </w:rPr>
        <w:t>miracoxib</w:t>
      </w:r>
      <w:proofErr w:type="spellEnd"/>
      <w:r w:rsidR="0031516D" w:rsidRPr="00231828">
        <w:rPr>
          <w:rFonts w:ascii="Arial" w:hAnsi="Arial" w:cs="Arial"/>
        </w:rPr>
        <w:t xml:space="preserve"> and its metabolites, 50</w:t>
      </w:r>
      <w:r w:rsidR="0010631B">
        <w:rPr>
          <w:rFonts w:ascii="Arial" w:hAnsi="Arial" w:cs="Arial"/>
        </w:rPr>
        <w:t xml:space="preserve"> </w:t>
      </w:r>
      <w:r w:rsidR="00833F38" w:rsidRPr="00231828">
        <w:rPr>
          <w:rFonts w:ascii="Symbol" w:hAnsi="Symbol" w:cs="Arial"/>
        </w:rPr>
        <w:t></w:t>
      </w:r>
      <w:r w:rsidR="00833F38" w:rsidRPr="00231828">
        <w:rPr>
          <w:rFonts w:ascii="Arial" w:hAnsi="Arial" w:cs="Arial"/>
        </w:rPr>
        <w:t xml:space="preserve">M </w:t>
      </w:r>
      <w:proofErr w:type="spellStart"/>
      <w:r w:rsidR="0031516D" w:rsidRPr="00231828">
        <w:rPr>
          <w:rFonts w:ascii="Arial" w:hAnsi="Arial" w:cs="Arial"/>
        </w:rPr>
        <w:t>oxypurinol</w:t>
      </w:r>
      <w:proofErr w:type="spellEnd"/>
      <w:r w:rsidR="0031516D" w:rsidRPr="00231828">
        <w:rPr>
          <w:rFonts w:ascii="Arial" w:hAnsi="Arial" w:cs="Arial"/>
        </w:rPr>
        <w:t>,</w:t>
      </w:r>
      <w:r w:rsidR="00833F38" w:rsidRPr="00231828">
        <w:rPr>
          <w:rFonts w:ascii="Arial" w:hAnsi="Arial" w:cs="Arial"/>
        </w:rPr>
        <w:t xml:space="preserve"> </w:t>
      </w:r>
      <w:r w:rsidR="0031516D" w:rsidRPr="00231828">
        <w:rPr>
          <w:rFonts w:ascii="Arial" w:hAnsi="Arial" w:cs="Arial"/>
        </w:rPr>
        <w:t>1-</w:t>
      </w:r>
      <w:r w:rsidR="00E41FE4" w:rsidRPr="00231828">
        <w:rPr>
          <w:rFonts w:ascii="Arial" w:hAnsi="Arial" w:cs="Arial"/>
        </w:rPr>
        <w:t>2</w:t>
      </w:r>
      <w:r w:rsidR="0010631B">
        <w:rPr>
          <w:rFonts w:ascii="Arial" w:hAnsi="Arial" w:cs="Arial"/>
        </w:rPr>
        <w:t xml:space="preserve"> </w:t>
      </w:r>
      <w:proofErr w:type="spellStart"/>
      <w:r w:rsidR="00E41FE4" w:rsidRPr="00231828">
        <w:rPr>
          <w:rFonts w:ascii="Arial" w:hAnsi="Arial" w:cs="Arial"/>
        </w:rPr>
        <w:t>mM</w:t>
      </w:r>
      <w:proofErr w:type="spellEnd"/>
      <w:r w:rsidR="00E41FE4" w:rsidRPr="00231828">
        <w:rPr>
          <w:rFonts w:ascii="Arial" w:hAnsi="Arial" w:cs="Arial"/>
        </w:rPr>
        <w:t xml:space="preserve"> amoxicillin</w:t>
      </w:r>
      <w:r w:rsidR="00352523" w:rsidRPr="00231828">
        <w:rPr>
          <w:rFonts w:ascii="Arial" w:hAnsi="Arial" w:cs="Arial"/>
        </w:rPr>
        <w:t xml:space="preserve"> and</w:t>
      </w:r>
      <w:r w:rsidR="001571B3" w:rsidRPr="00231828">
        <w:rPr>
          <w:rFonts w:ascii="Arial" w:hAnsi="Arial" w:cs="Arial"/>
        </w:rPr>
        <w:t xml:space="preserve"> </w:t>
      </w:r>
      <w:r w:rsidR="00E12284" w:rsidRPr="00231828">
        <w:rPr>
          <w:rFonts w:ascii="Arial" w:hAnsi="Arial" w:cs="Arial"/>
        </w:rPr>
        <w:t>piperacillin</w:t>
      </w:r>
      <w:r w:rsidR="0031516D" w:rsidRPr="00231828">
        <w:rPr>
          <w:rFonts w:ascii="Arial" w:hAnsi="Arial" w:cs="Arial"/>
        </w:rPr>
        <w:t>,</w:t>
      </w:r>
      <w:r w:rsidR="00671672" w:rsidRPr="00231828">
        <w:rPr>
          <w:rFonts w:ascii="Arial" w:hAnsi="Arial" w:cs="Arial"/>
        </w:rPr>
        <w:t xml:space="preserve"> </w:t>
      </w:r>
      <w:r w:rsidR="0031516D" w:rsidRPr="00231828">
        <w:rPr>
          <w:rFonts w:ascii="Arial" w:hAnsi="Arial" w:cs="Arial"/>
        </w:rPr>
        <w:t>250-500</w:t>
      </w:r>
      <w:r w:rsidR="0010631B">
        <w:rPr>
          <w:rFonts w:ascii="Arial" w:hAnsi="Arial" w:cs="Arial"/>
        </w:rPr>
        <w:t xml:space="preserve"> </w:t>
      </w:r>
      <w:r w:rsidR="0031516D" w:rsidRPr="00231828">
        <w:rPr>
          <w:rFonts w:ascii="Symbol" w:hAnsi="Symbol" w:cs="Arial"/>
        </w:rPr>
        <w:t></w:t>
      </w:r>
      <w:r w:rsidR="0031516D" w:rsidRPr="00231828">
        <w:rPr>
          <w:rFonts w:ascii="Arial" w:hAnsi="Arial" w:cs="Arial"/>
        </w:rPr>
        <w:t>g/ml flucloxacillin (0.5-1</w:t>
      </w:r>
      <w:r w:rsidR="0010631B">
        <w:rPr>
          <w:rFonts w:ascii="Arial" w:hAnsi="Arial" w:cs="Arial"/>
        </w:rPr>
        <w:t xml:space="preserve"> </w:t>
      </w:r>
      <w:proofErr w:type="spellStart"/>
      <w:r w:rsidR="0031516D" w:rsidRPr="00231828">
        <w:rPr>
          <w:rFonts w:ascii="Arial" w:hAnsi="Arial" w:cs="Arial"/>
        </w:rPr>
        <w:t>mM</w:t>
      </w:r>
      <w:proofErr w:type="spellEnd"/>
      <w:r w:rsidR="0031516D" w:rsidRPr="00231828">
        <w:rPr>
          <w:rFonts w:ascii="Arial" w:hAnsi="Arial" w:cs="Arial"/>
        </w:rPr>
        <w:t>) and 2.5</w:t>
      </w:r>
      <w:r w:rsidR="0010631B">
        <w:rPr>
          <w:rFonts w:ascii="Arial" w:hAnsi="Arial" w:cs="Arial"/>
        </w:rPr>
        <w:t xml:space="preserve"> </w:t>
      </w:r>
      <w:r w:rsidR="0031516D" w:rsidRPr="00231828">
        <w:rPr>
          <w:rFonts w:ascii="Symbol" w:hAnsi="Symbol" w:cs="Arial"/>
        </w:rPr>
        <w:t></w:t>
      </w:r>
      <w:r w:rsidR="0031516D" w:rsidRPr="00231828">
        <w:rPr>
          <w:rFonts w:ascii="Arial" w:hAnsi="Arial" w:cs="Arial"/>
        </w:rPr>
        <w:t xml:space="preserve">M </w:t>
      </w:r>
      <w:proofErr w:type="spellStart"/>
      <w:r w:rsidR="0031516D" w:rsidRPr="00231828">
        <w:rPr>
          <w:rFonts w:ascii="Arial" w:hAnsi="Arial" w:cs="Arial"/>
        </w:rPr>
        <w:t>lapatinib</w:t>
      </w:r>
      <w:proofErr w:type="spellEnd"/>
      <w:r w:rsidR="0031516D" w:rsidRPr="00231828">
        <w:rPr>
          <w:rFonts w:ascii="Arial" w:hAnsi="Arial" w:cs="Arial"/>
        </w:rPr>
        <w:t xml:space="preserve"> </w:t>
      </w:r>
      <w:r w:rsidR="00671672" w:rsidRPr="00231828">
        <w:rPr>
          <w:rFonts w:ascii="Arial" w:hAnsi="Arial" w:cs="Arial"/>
        </w:rPr>
        <w:t>w</w:t>
      </w:r>
      <w:r w:rsidR="00A42E8C" w:rsidRPr="00231828">
        <w:rPr>
          <w:rFonts w:ascii="Arial" w:hAnsi="Arial" w:cs="Arial"/>
        </w:rPr>
        <w:t>ere</w:t>
      </w:r>
      <w:r w:rsidR="00671672" w:rsidRPr="00231828">
        <w:rPr>
          <w:rFonts w:ascii="Arial" w:hAnsi="Arial" w:cs="Arial"/>
        </w:rPr>
        <w:t xml:space="preserve"> used</w:t>
      </w:r>
      <w:r w:rsidR="0026050F" w:rsidRPr="00231828">
        <w:rPr>
          <w:rFonts w:ascii="Arial" w:hAnsi="Arial" w:cs="Arial"/>
        </w:rPr>
        <w:t xml:space="preserve"> for </w:t>
      </w:r>
      <w:r w:rsidR="0026050F" w:rsidRPr="00231828">
        <w:rPr>
          <w:rFonts w:ascii="Arial" w:hAnsi="Arial" w:cs="Arial"/>
        </w:rPr>
        <w:lastRenderedPageBreak/>
        <w:t>priming</w:t>
      </w:r>
      <w:r w:rsidR="001E2516" w:rsidRPr="00231828">
        <w:rPr>
          <w:rFonts w:ascii="Arial" w:hAnsi="Arial" w:cs="Arial"/>
        </w:rPr>
        <w:t>.</w:t>
      </w:r>
      <w:r w:rsidR="008A6611" w:rsidRPr="00231828">
        <w:rPr>
          <w:rFonts w:ascii="Arial" w:hAnsi="Arial" w:cs="Arial"/>
        </w:rPr>
        <w:t xml:space="preserve"> Drugs and available metabolites were used in the DC priming assay at the highest non-toxic concentration, as assessed by measuring PHA-mediated PBMC proliferation in the presence of titrated concentrations of drug or</w:t>
      </w:r>
      <w:r w:rsidR="0054770F" w:rsidRPr="00231828">
        <w:rPr>
          <w:rFonts w:ascii="Arial" w:hAnsi="Arial" w:cs="Arial"/>
        </w:rPr>
        <w:t xml:space="preserve"> its metabolites, or at concentrations that have previously been shown to activate T cells from hypersensitive patients.</w:t>
      </w:r>
    </w:p>
    <w:p w:rsidR="00110380" w:rsidRPr="00231828" w:rsidRDefault="001E2516" w:rsidP="00231828">
      <w:pPr>
        <w:spacing w:line="480" w:lineRule="auto"/>
        <w:jc w:val="both"/>
        <w:rPr>
          <w:rFonts w:ascii="Arial" w:hAnsi="Arial" w:cs="Arial"/>
        </w:rPr>
      </w:pPr>
      <w:r w:rsidRPr="00231828">
        <w:rPr>
          <w:rFonts w:ascii="Arial" w:hAnsi="Arial" w:cs="Arial"/>
        </w:rPr>
        <w:t>T</w:t>
      </w:r>
      <w:r w:rsidR="0026050F" w:rsidRPr="00231828">
        <w:rPr>
          <w:rFonts w:ascii="Arial" w:hAnsi="Arial" w:cs="Arial"/>
        </w:rPr>
        <w:t xml:space="preserve"> cell responses were</w:t>
      </w:r>
      <w:r w:rsidR="00517536" w:rsidRPr="00231828">
        <w:rPr>
          <w:rFonts w:ascii="Arial" w:hAnsi="Arial" w:cs="Arial"/>
        </w:rPr>
        <w:t xml:space="preserve"> then assessed by re</w:t>
      </w:r>
      <w:r w:rsidR="00CC78DD" w:rsidRPr="00231828">
        <w:rPr>
          <w:rFonts w:ascii="Arial" w:hAnsi="Arial" w:cs="Arial"/>
        </w:rPr>
        <w:t>-</w:t>
      </w:r>
      <w:r w:rsidR="00517536" w:rsidRPr="00231828">
        <w:rPr>
          <w:rFonts w:ascii="Arial" w:hAnsi="Arial" w:cs="Arial"/>
        </w:rPr>
        <w:t xml:space="preserve">stimulation with fresh </w:t>
      </w:r>
      <w:r w:rsidR="000D7312" w:rsidRPr="00231828">
        <w:rPr>
          <w:rFonts w:ascii="Arial" w:hAnsi="Arial" w:cs="Arial"/>
        </w:rPr>
        <w:t>Mo-DC</w:t>
      </w:r>
      <w:r w:rsidR="00517536" w:rsidRPr="00231828">
        <w:rPr>
          <w:rFonts w:ascii="Arial" w:hAnsi="Arial" w:cs="Arial"/>
        </w:rPr>
        <w:t xml:space="preserve"> and drug</w:t>
      </w:r>
      <w:r w:rsidR="0026050F" w:rsidRPr="00231828">
        <w:rPr>
          <w:rFonts w:ascii="Arial" w:hAnsi="Arial" w:cs="Arial"/>
        </w:rPr>
        <w:t>.</w:t>
      </w:r>
      <w:r w:rsidR="00517536" w:rsidRPr="00231828">
        <w:rPr>
          <w:rFonts w:ascii="Arial" w:hAnsi="Arial" w:cs="Arial"/>
        </w:rPr>
        <w:t xml:space="preserve"> </w:t>
      </w:r>
      <w:r w:rsidR="008B0CC7" w:rsidRPr="00231828">
        <w:rPr>
          <w:rFonts w:ascii="Arial" w:hAnsi="Arial" w:cs="Arial"/>
        </w:rPr>
        <w:t>T cells were labelled with 2.5</w:t>
      </w:r>
      <w:r w:rsidR="0010631B">
        <w:rPr>
          <w:rFonts w:ascii="Arial" w:hAnsi="Arial" w:cs="Arial"/>
        </w:rPr>
        <w:t xml:space="preserve"> </w:t>
      </w:r>
      <w:r w:rsidR="008B0CC7" w:rsidRPr="00231828">
        <w:rPr>
          <w:rFonts w:ascii="Symbol" w:hAnsi="Symbol" w:cs="Arial"/>
        </w:rPr>
        <w:t></w:t>
      </w:r>
      <w:r w:rsidR="008B0CC7" w:rsidRPr="00231828">
        <w:rPr>
          <w:rFonts w:ascii="Arial" w:hAnsi="Arial" w:cs="Arial"/>
        </w:rPr>
        <w:t>M CFSE for 5 min</w:t>
      </w:r>
      <w:r w:rsidR="00AB1F12" w:rsidRPr="00231828">
        <w:rPr>
          <w:rFonts w:ascii="Arial" w:hAnsi="Arial" w:cs="Arial"/>
        </w:rPr>
        <w:t>ute</w:t>
      </w:r>
      <w:r w:rsidR="008B0CC7" w:rsidRPr="00231828">
        <w:rPr>
          <w:rFonts w:ascii="Arial" w:hAnsi="Arial" w:cs="Arial"/>
        </w:rPr>
        <w:t xml:space="preserve">s.  PHA </w:t>
      </w:r>
      <w:proofErr w:type="gramStart"/>
      <w:r w:rsidR="008B0CC7" w:rsidRPr="00231828">
        <w:rPr>
          <w:rFonts w:ascii="Arial" w:hAnsi="Arial" w:cs="Arial"/>
        </w:rPr>
        <w:t>at 5</w:t>
      </w:r>
      <w:r w:rsidR="0010631B">
        <w:rPr>
          <w:rFonts w:ascii="Arial" w:hAnsi="Arial" w:cs="Arial"/>
        </w:rPr>
        <w:t xml:space="preserve"> </w:t>
      </w:r>
      <w:r w:rsidR="008B0CC7" w:rsidRPr="00231828">
        <w:rPr>
          <w:rFonts w:ascii="Symbol" w:hAnsi="Symbol" w:cs="Arial"/>
        </w:rPr>
        <w:t></w:t>
      </w:r>
      <w:r w:rsidR="008B0CC7" w:rsidRPr="00231828">
        <w:rPr>
          <w:rFonts w:ascii="Arial" w:hAnsi="Arial" w:cs="Arial"/>
        </w:rPr>
        <w:t>g/ml</w:t>
      </w:r>
      <w:proofErr w:type="gramEnd"/>
      <w:r w:rsidR="008B0CC7" w:rsidRPr="00231828">
        <w:rPr>
          <w:rFonts w:ascii="Arial" w:hAnsi="Arial" w:cs="Arial"/>
        </w:rPr>
        <w:t xml:space="preserve"> was used as a positive control. </w:t>
      </w:r>
      <w:r w:rsidRPr="00231828">
        <w:rPr>
          <w:rFonts w:ascii="Arial" w:hAnsi="Arial" w:cs="Arial"/>
        </w:rPr>
        <w:t xml:space="preserve">T cell cultures were plated </w:t>
      </w:r>
      <w:proofErr w:type="gramStart"/>
      <w:r w:rsidRPr="00231828">
        <w:rPr>
          <w:rFonts w:ascii="Arial" w:hAnsi="Arial" w:cs="Arial"/>
        </w:rPr>
        <w:t>at 1x10</w:t>
      </w:r>
      <w:r w:rsidR="00110380" w:rsidRPr="00231828">
        <w:rPr>
          <w:rFonts w:ascii="Arial" w:hAnsi="Arial" w:cs="Arial"/>
          <w:vertAlign w:val="superscript"/>
        </w:rPr>
        <w:t>5</w:t>
      </w:r>
      <w:r w:rsidR="00110380" w:rsidRPr="00231828">
        <w:rPr>
          <w:rFonts w:ascii="Arial" w:hAnsi="Arial" w:cs="Arial"/>
        </w:rPr>
        <w:t xml:space="preserve"> cells/wel</w:t>
      </w:r>
      <w:r w:rsidRPr="00231828">
        <w:rPr>
          <w:rFonts w:ascii="Arial" w:hAnsi="Arial" w:cs="Arial"/>
        </w:rPr>
        <w:t>l</w:t>
      </w:r>
      <w:proofErr w:type="gramEnd"/>
      <w:r w:rsidR="00517536" w:rsidRPr="00231828">
        <w:rPr>
          <w:rFonts w:ascii="Arial" w:hAnsi="Arial" w:cs="Arial"/>
        </w:rPr>
        <w:t xml:space="preserve"> and </w:t>
      </w:r>
      <w:r w:rsidR="000D7312" w:rsidRPr="00231828">
        <w:rPr>
          <w:rFonts w:ascii="Arial" w:hAnsi="Arial" w:cs="Arial"/>
        </w:rPr>
        <w:t>Mo-DC</w:t>
      </w:r>
      <w:r w:rsidR="00517536" w:rsidRPr="00231828">
        <w:rPr>
          <w:rFonts w:ascii="Arial" w:hAnsi="Arial" w:cs="Arial"/>
        </w:rPr>
        <w:t xml:space="preserve"> at </w:t>
      </w:r>
      <w:r w:rsidRPr="00231828">
        <w:rPr>
          <w:rFonts w:ascii="Arial" w:hAnsi="Arial" w:cs="Arial"/>
        </w:rPr>
        <w:t>8x10</w:t>
      </w:r>
      <w:r w:rsidRPr="00231828">
        <w:rPr>
          <w:rFonts w:ascii="Arial" w:hAnsi="Arial" w:cs="Arial"/>
          <w:vertAlign w:val="superscript"/>
        </w:rPr>
        <w:t>4</w:t>
      </w:r>
      <w:r w:rsidRPr="00231828">
        <w:rPr>
          <w:rFonts w:ascii="Arial" w:hAnsi="Arial" w:cs="Arial"/>
        </w:rPr>
        <w:t xml:space="preserve"> cells/</w:t>
      </w:r>
      <w:r w:rsidR="00110380" w:rsidRPr="00231828">
        <w:rPr>
          <w:rFonts w:ascii="Arial" w:hAnsi="Arial" w:cs="Arial"/>
        </w:rPr>
        <w:t>wel</w:t>
      </w:r>
      <w:r w:rsidRPr="00231828">
        <w:rPr>
          <w:rFonts w:ascii="Arial" w:hAnsi="Arial" w:cs="Arial"/>
        </w:rPr>
        <w:t xml:space="preserve">l </w:t>
      </w:r>
      <w:r w:rsidR="00671672" w:rsidRPr="00231828">
        <w:rPr>
          <w:rFonts w:ascii="Arial" w:hAnsi="Arial" w:cs="Arial"/>
        </w:rPr>
        <w:t>(96 U plate</w:t>
      </w:r>
      <w:r w:rsidR="007402ED" w:rsidRPr="00231828">
        <w:rPr>
          <w:rFonts w:ascii="Arial" w:hAnsi="Arial" w:cs="Arial"/>
        </w:rPr>
        <w:t xml:space="preserve"> or </w:t>
      </w:r>
      <w:proofErr w:type="spellStart"/>
      <w:r w:rsidR="007402ED" w:rsidRPr="00231828">
        <w:rPr>
          <w:rFonts w:ascii="Arial" w:hAnsi="Arial" w:cs="Arial"/>
        </w:rPr>
        <w:t>ELISpot</w:t>
      </w:r>
      <w:proofErr w:type="spellEnd"/>
      <w:r w:rsidR="007402ED" w:rsidRPr="00231828">
        <w:rPr>
          <w:rFonts w:ascii="Arial" w:hAnsi="Arial" w:cs="Arial"/>
        </w:rPr>
        <w:t xml:space="preserve"> plates</w:t>
      </w:r>
      <w:r w:rsidR="00671672" w:rsidRPr="00231828">
        <w:rPr>
          <w:rFonts w:ascii="Arial" w:hAnsi="Arial" w:cs="Arial"/>
        </w:rPr>
        <w:t xml:space="preserve">, </w:t>
      </w:r>
      <w:r w:rsidR="00110380" w:rsidRPr="00231828">
        <w:rPr>
          <w:rFonts w:ascii="Arial" w:hAnsi="Arial" w:cs="Arial"/>
        </w:rPr>
        <w:t>200</w:t>
      </w:r>
      <w:r w:rsidR="0010631B">
        <w:rPr>
          <w:rFonts w:ascii="Arial" w:hAnsi="Arial" w:cs="Arial"/>
        </w:rPr>
        <w:t xml:space="preserve"> </w:t>
      </w:r>
      <w:r w:rsidR="00B0386C" w:rsidRPr="00231828">
        <w:rPr>
          <w:rFonts w:ascii="Symbol" w:hAnsi="Symbol" w:cs="Arial"/>
        </w:rPr>
        <w:t></w:t>
      </w:r>
      <w:r w:rsidR="00110380" w:rsidRPr="00231828">
        <w:rPr>
          <w:rFonts w:ascii="Arial" w:hAnsi="Arial" w:cs="Arial"/>
        </w:rPr>
        <w:t>l/well</w:t>
      </w:r>
      <w:r w:rsidR="00671672" w:rsidRPr="00231828">
        <w:rPr>
          <w:rFonts w:ascii="Arial" w:hAnsi="Arial" w:cs="Arial"/>
        </w:rPr>
        <w:t>)</w:t>
      </w:r>
      <w:r w:rsidR="00110380" w:rsidRPr="00231828">
        <w:rPr>
          <w:rFonts w:ascii="Arial" w:hAnsi="Arial" w:cs="Arial"/>
        </w:rPr>
        <w:t xml:space="preserve">. </w:t>
      </w:r>
      <w:r w:rsidR="00454DAF" w:rsidRPr="00231828">
        <w:rPr>
          <w:rFonts w:ascii="Arial" w:hAnsi="Arial" w:cs="Arial"/>
        </w:rPr>
        <w:t>Proliferation was measured after 3 days (</w:t>
      </w:r>
      <w:r w:rsidR="00454DAF" w:rsidRPr="00231828">
        <w:rPr>
          <w:rFonts w:ascii="Arial" w:hAnsi="Arial" w:cs="Arial"/>
          <w:vertAlign w:val="superscript"/>
        </w:rPr>
        <w:t>3</w:t>
      </w:r>
      <w:r w:rsidR="00454DAF" w:rsidRPr="00231828">
        <w:rPr>
          <w:rFonts w:ascii="Arial" w:hAnsi="Arial" w:cs="Arial"/>
        </w:rPr>
        <w:t xml:space="preserve">H-thymidine, CFSE staining). </w:t>
      </w:r>
      <w:r w:rsidR="008B0CC7" w:rsidRPr="00231828">
        <w:rPr>
          <w:rFonts w:ascii="Arial" w:hAnsi="Arial" w:cs="Arial"/>
        </w:rPr>
        <w:t>IFN</w:t>
      </w:r>
      <w:r w:rsidR="008B0CC7" w:rsidRPr="00231828">
        <w:rPr>
          <w:rFonts w:ascii="Symbol" w:hAnsi="Symbol" w:cs="Arial"/>
        </w:rPr>
        <w:t></w:t>
      </w:r>
      <w:r w:rsidR="008B0CC7" w:rsidRPr="00231828">
        <w:rPr>
          <w:rFonts w:ascii="Arial" w:hAnsi="Arial" w:cs="Arial"/>
        </w:rPr>
        <w:t>, IL-13 and Granzyme B</w:t>
      </w:r>
      <w:r w:rsidR="00110380" w:rsidRPr="00231828">
        <w:rPr>
          <w:rFonts w:ascii="Arial" w:hAnsi="Arial" w:cs="Arial"/>
        </w:rPr>
        <w:t xml:space="preserve"> release w</w:t>
      </w:r>
      <w:r w:rsidR="008B0CC7" w:rsidRPr="00231828">
        <w:rPr>
          <w:rFonts w:ascii="Arial" w:hAnsi="Arial" w:cs="Arial"/>
        </w:rPr>
        <w:t>ere</w:t>
      </w:r>
      <w:r w:rsidR="00110380" w:rsidRPr="00231828">
        <w:rPr>
          <w:rFonts w:ascii="Arial" w:hAnsi="Arial" w:cs="Arial"/>
        </w:rPr>
        <w:t xml:space="preserve"> measured by </w:t>
      </w:r>
      <w:proofErr w:type="spellStart"/>
      <w:r w:rsidR="00110380" w:rsidRPr="00231828">
        <w:rPr>
          <w:rFonts w:ascii="Arial" w:hAnsi="Arial" w:cs="Arial"/>
        </w:rPr>
        <w:t>ELISpot</w:t>
      </w:r>
      <w:proofErr w:type="spellEnd"/>
      <w:r w:rsidR="00110380" w:rsidRPr="00231828">
        <w:rPr>
          <w:rFonts w:ascii="Arial" w:hAnsi="Arial" w:cs="Arial"/>
        </w:rPr>
        <w:t xml:space="preserve"> </w:t>
      </w:r>
      <w:r w:rsidR="007402ED" w:rsidRPr="00231828">
        <w:rPr>
          <w:rFonts w:ascii="Arial" w:hAnsi="Arial" w:cs="Arial"/>
        </w:rPr>
        <w:t>(</w:t>
      </w:r>
      <w:proofErr w:type="spellStart"/>
      <w:r w:rsidR="007402ED" w:rsidRPr="00231828">
        <w:rPr>
          <w:rFonts w:ascii="Arial" w:hAnsi="Arial" w:cs="Arial"/>
        </w:rPr>
        <w:t>Mabtech</w:t>
      </w:r>
      <w:proofErr w:type="spellEnd"/>
      <w:r w:rsidR="007402ED" w:rsidRPr="00231828">
        <w:rPr>
          <w:rFonts w:ascii="Arial" w:hAnsi="Arial" w:cs="Arial"/>
        </w:rPr>
        <w:t>, Nacka Strand, Sweden)</w:t>
      </w:r>
      <w:r w:rsidR="00110380" w:rsidRPr="00231828">
        <w:rPr>
          <w:rFonts w:ascii="Arial" w:hAnsi="Arial" w:cs="Arial"/>
        </w:rPr>
        <w:t xml:space="preserve"> </w:t>
      </w:r>
      <w:r w:rsidR="007402ED" w:rsidRPr="00231828">
        <w:rPr>
          <w:rFonts w:ascii="Arial" w:hAnsi="Arial" w:cs="Arial"/>
        </w:rPr>
        <w:t xml:space="preserve">after 2 days. Chemokine receptor expression was measured after 6 days. </w:t>
      </w:r>
      <w:r w:rsidR="00671672" w:rsidRPr="00231828">
        <w:rPr>
          <w:rFonts w:ascii="Arial" w:hAnsi="Arial" w:cs="Arial"/>
        </w:rPr>
        <w:t xml:space="preserve">A </w:t>
      </w:r>
      <w:r w:rsidR="00110380" w:rsidRPr="00231828">
        <w:rPr>
          <w:rFonts w:ascii="Arial" w:hAnsi="Arial" w:cs="Arial"/>
        </w:rPr>
        <w:t xml:space="preserve">minimum of </w:t>
      </w:r>
      <w:r w:rsidR="00961897" w:rsidRPr="00231828">
        <w:rPr>
          <w:rFonts w:ascii="Arial" w:hAnsi="Arial" w:cs="Arial"/>
        </w:rPr>
        <w:t>2</w:t>
      </w:r>
      <w:r w:rsidR="00110380" w:rsidRPr="00231828">
        <w:rPr>
          <w:rFonts w:ascii="Arial" w:hAnsi="Arial" w:cs="Arial"/>
        </w:rPr>
        <w:t xml:space="preserve">0,000 </w:t>
      </w:r>
      <w:r w:rsidR="00671672" w:rsidRPr="00231828">
        <w:rPr>
          <w:rFonts w:ascii="Arial" w:hAnsi="Arial" w:cs="Arial"/>
        </w:rPr>
        <w:t>cells</w:t>
      </w:r>
      <w:r w:rsidR="00110380" w:rsidRPr="00231828">
        <w:rPr>
          <w:rFonts w:ascii="Arial" w:hAnsi="Arial" w:cs="Arial"/>
        </w:rPr>
        <w:t xml:space="preserve"> </w:t>
      </w:r>
      <w:r w:rsidR="00671672" w:rsidRPr="00231828">
        <w:rPr>
          <w:rFonts w:ascii="Arial" w:hAnsi="Arial" w:cs="Arial"/>
        </w:rPr>
        <w:t xml:space="preserve">were acquired </w:t>
      </w:r>
      <w:r w:rsidR="00A42E8C" w:rsidRPr="00231828">
        <w:rPr>
          <w:rFonts w:ascii="Arial" w:hAnsi="Arial" w:cs="Arial"/>
        </w:rPr>
        <w:t xml:space="preserve">by </w:t>
      </w:r>
      <w:r w:rsidR="007402ED" w:rsidRPr="00231828">
        <w:rPr>
          <w:rFonts w:ascii="Arial" w:hAnsi="Arial" w:cs="Arial"/>
        </w:rPr>
        <w:t xml:space="preserve">flow cytometry </w:t>
      </w:r>
      <w:r w:rsidR="00110380" w:rsidRPr="00231828">
        <w:rPr>
          <w:rFonts w:ascii="Arial" w:hAnsi="Arial" w:cs="Arial"/>
        </w:rPr>
        <w:t xml:space="preserve">using a </w:t>
      </w:r>
      <w:proofErr w:type="spellStart"/>
      <w:r w:rsidR="00110380" w:rsidRPr="00231828">
        <w:rPr>
          <w:rFonts w:ascii="Arial" w:hAnsi="Arial" w:cs="Arial"/>
        </w:rPr>
        <w:t>FACSCanto</w:t>
      </w:r>
      <w:proofErr w:type="spellEnd"/>
      <w:r w:rsidR="00110380" w:rsidRPr="00231828">
        <w:rPr>
          <w:rFonts w:ascii="Arial" w:hAnsi="Arial" w:cs="Arial"/>
        </w:rPr>
        <w:t xml:space="preserve"> II (BD Biosciences, Oxford, UK)</w:t>
      </w:r>
      <w:r w:rsidR="00961897" w:rsidRPr="00231828">
        <w:rPr>
          <w:rFonts w:ascii="Arial" w:hAnsi="Arial" w:cs="Arial"/>
        </w:rPr>
        <w:t xml:space="preserve"> for CFSE analysis and a minimum of 50,000 events for chemokine receptor analysis</w:t>
      </w:r>
      <w:r w:rsidR="00671672" w:rsidRPr="00231828">
        <w:rPr>
          <w:rFonts w:ascii="Arial" w:hAnsi="Arial" w:cs="Arial"/>
        </w:rPr>
        <w:t>. D</w:t>
      </w:r>
      <w:r w:rsidR="00110380" w:rsidRPr="00231828">
        <w:rPr>
          <w:rFonts w:ascii="Arial" w:hAnsi="Arial" w:cs="Arial"/>
        </w:rPr>
        <w:t xml:space="preserve">ata </w:t>
      </w:r>
      <w:r w:rsidR="001C3B1F" w:rsidRPr="00231828">
        <w:rPr>
          <w:rFonts w:ascii="Arial" w:hAnsi="Arial" w:cs="Arial"/>
        </w:rPr>
        <w:t xml:space="preserve">were </w:t>
      </w:r>
      <w:proofErr w:type="spellStart"/>
      <w:r w:rsidR="00110380" w:rsidRPr="00231828">
        <w:rPr>
          <w:rFonts w:ascii="Arial" w:hAnsi="Arial" w:cs="Arial"/>
        </w:rPr>
        <w:t>analyzed</w:t>
      </w:r>
      <w:proofErr w:type="spellEnd"/>
      <w:r w:rsidR="00110380" w:rsidRPr="00231828">
        <w:rPr>
          <w:rFonts w:ascii="Arial" w:hAnsi="Arial" w:cs="Arial"/>
        </w:rPr>
        <w:t xml:space="preserve"> by </w:t>
      </w:r>
      <w:proofErr w:type="spellStart"/>
      <w:r w:rsidR="00110380" w:rsidRPr="00231828">
        <w:rPr>
          <w:rFonts w:ascii="Arial" w:hAnsi="Arial" w:cs="Arial"/>
        </w:rPr>
        <w:t>Cyflogic</w:t>
      </w:r>
      <w:proofErr w:type="spellEnd"/>
      <w:r w:rsidR="00110380" w:rsidRPr="00231828">
        <w:rPr>
          <w:rFonts w:ascii="Arial" w:hAnsi="Arial" w:cs="Arial"/>
        </w:rPr>
        <w:t xml:space="preserve">. </w:t>
      </w:r>
      <w:r w:rsidR="00307A26" w:rsidRPr="00231828">
        <w:rPr>
          <w:rFonts w:ascii="Arial" w:hAnsi="Arial" w:cs="Arial"/>
        </w:rPr>
        <w:t xml:space="preserve">The stimulation </w:t>
      </w:r>
      <w:r w:rsidR="0026050F" w:rsidRPr="00231828">
        <w:rPr>
          <w:rFonts w:ascii="Arial" w:hAnsi="Arial" w:cs="Arial"/>
        </w:rPr>
        <w:t xml:space="preserve">index is defined as the readout </w:t>
      </w:r>
      <w:r w:rsidR="00307A26" w:rsidRPr="00231828">
        <w:rPr>
          <w:rFonts w:ascii="Arial" w:hAnsi="Arial" w:cs="Arial"/>
        </w:rPr>
        <w:t xml:space="preserve">for </w:t>
      </w:r>
      <w:r w:rsidR="000D7312" w:rsidRPr="00231828">
        <w:rPr>
          <w:rFonts w:ascii="Arial" w:hAnsi="Arial" w:cs="Arial"/>
        </w:rPr>
        <w:t>drug</w:t>
      </w:r>
      <w:r w:rsidR="00307A26" w:rsidRPr="00231828">
        <w:rPr>
          <w:rFonts w:ascii="Arial" w:hAnsi="Arial" w:cs="Arial"/>
        </w:rPr>
        <w:t xml:space="preserve"> divided by the readout for medium alone</w:t>
      </w:r>
      <w:r w:rsidR="0026050F" w:rsidRPr="00231828">
        <w:rPr>
          <w:rFonts w:ascii="Arial" w:hAnsi="Arial" w:cs="Arial"/>
        </w:rPr>
        <w:t xml:space="preserve"> (</w:t>
      </w:r>
      <w:proofErr w:type="spellStart"/>
      <w:r w:rsidR="0026050F" w:rsidRPr="00231828">
        <w:rPr>
          <w:rFonts w:ascii="Arial" w:hAnsi="Arial" w:cs="Arial"/>
        </w:rPr>
        <w:t>cpm</w:t>
      </w:r>
      <w:proofErr w:type="spellEnd"/>
      <w:r w:rsidR="0026050F" w:rsidRPr="00231828">
        <w:rPr>
          <w:rFonts w:ascii="Arial" w:hAnsi="Arial" w:cs="Arial"/>
        </w:rPr>
        <w:t>, % dividing cells, number of spots)</w:t>
      </w:r>
      <w:r w:rsidR="00307A26" w:rsidRPr="00231828">
        <w:rPr>
          <w:rFonts w:ascii="Arial" w:hAnsi="Arial" w:cs="Arial"/>
        </w:rPr>
        <w:t>.</w:t>
      </w:r>
      <w:r w:rsidR="00566193" w:rsidRPr="00231828">
        <w:rPr>
          <w:rFonts w:ascii="Arial" w:hAnsi="Arial" w:cs="Arial"/>
        </w:rPr>
        <w:t xml:space="preserve"> The mean fluorescence index is defined </w:t>
      </w:r>
      <w:r w:rsidR="00737052" w:rsidRPr="00231828">
        <w:rPr>
          <w:rFonts w:ascii="Arial" w:hAnsi="Arial" w:cs="Arial"/>
        </w:rPr>
        <w:t xml:space="preserve">as the mean fluorescence of unstained cells divided by the mean fluorescence of stained cells. </w:t>
      </w:r>
    </w:p>
    <w:p w:rsidR="00391548" w:rsidRPr="00231828" w:rsidRDefault="000D7312" w:rsidP="00231828">
      <w:pPr>
        <w:autoSpaceDE w:val="0"/>
        <w:autoSpaceDN w:val="0"/>
        <w:adjustRightInd w:val="0"/>
        <w:spacing w:line="480" w:lineRule="auto"/>
        <w:jc w:val="both"/>
        <w:rPr>
          <w:rFonts w:ascii="Arial" w:hAnsi="Arial" w:cs="Arial"/>
        </w:rPr>
      </w:pPr>
      <w:r w:rsidRPr="00231828">
        <w:rPr>
          <w:rFonts w:ascii="Arial" w:hAnsi="Arial" w:cs="Arial"/>
          <w:b/>
          <w:i/>
        </w:rPr>
        <w:t>Generation of T-cell clones</w:t>
      </w:r>
      <w:r w:rsidRPr="00231828">
        <w:rPr>
          <w:rFonts w:ascii="Arial" w:hAnsi="Arial" w:cs="Arial"/>
          <w:b/>
        </w:rPr>
        <w:t xml:space="preserve">. </w:t>
      </w:r>
      <w:r w:rsidR="00B8155A" w:rsidRPr="00231828">
        <w:rPr>
          <w:rFonts w:ascii="Arial" w:hAnsi="Arial" w:cs="Arial"/>
        </w:rPr>
        <w:t>T cell cloning was performed on c</w:t>
      </w:r>
      <w:r w:rsidRPr="00231828">
        <w:rPr>
          <w:rFonts w:ascii="Arial" w:hAnsi="Arial" w:cs="Arial"/>
        </w:rPr>
        <w:t>ells harvested from the initial co-culture</w:t>
      </w:r>
      <w:r w:rsidR="00B8155A" w:rsidRPr="00231828">
        <w:rPr>
          <w:rFonts w:ascii="Arial" w:hAnsi="Arial" w:cs="Arial"/>
        </w:rPr>
        <w:t>s</w:t>
      </w:r>
      <w:r w:rsidR="00A42E8C" w:rsidRPr="00231828">
        <w:rPr>
          <w:rFonts w:ascii="Arial" w:hAnsi="Arial" w:cs="Arial"/>
        </w:rPr>
        <w:t xml:space="preserve">. </w:t>
      </w:r>
      <w:r w:rsidR="00AB1F12" w:rsidRPr="00231828">
        <w:rPr>
          <w:rFonts w:ascii="Arial" w:hAnsi="Arial" w:cs="Arial"/>
        </w:rPr>
        <w:t>Where an HLA Class I association with hypersensitivity has been shown then th</w:t>
      </w:r>
      <w:r w:rsidR="00B8155A" w:rsidRPr="00231828">
        <w:rPr>
          <w:rFonts w:ascii="Arial" w:hAnsi="Arial" w:cs="Arial"/>
        </w:rPr>
        <w:t xml:space="preserve">e CD4 and CD8 cells were separated using positive selection with CD8 </w:t>
      </w:r>
      <w:proofErr w:type="spellStart"/>
      <w:r w:rsidR="00B8155A" w:rsidRPr="00231828">
        <w:rPr>
          <w:rFonts w:ascii="Arial" w:hAnsi="Arial" w:cs="Arial"/>
        </w:rPr>
        <w:t>microbeads</w:t>
      </w:r>
      <w:proofErr w:type="spellEnd"/>
      <w:r w:rsidR="00B8155A" w:rsidRPr="00231828">
        <w:rPr>
          <w:rFonts w:ascii="Arial" w:hAnsi="Arial" w:cs="Arial"/>
        </w:rPr>
        <w:t xml:space="preserve"> according to the manufacturer’s instructions (</w:t>
      </w:r>
      <w:proofErr w:type="spellStart"/>
      <w:r w:rsidR="00B8155A" w:rsidRPr="00231828">
        <w:rPr>
          <w:rFonts w:ascii="Arial" w:hAnsi="Arial" w:cs="Arial"/>
        </w:rPr>
        <w:t>Miltenyi</w:t>
      </w:r>
      <w:proofErr w:type="spellEnd"/>
      <w:r w:rsidR="00B8155A" w:rsidRPr="00231828">
        <w:rPr>
          <w:rFonts w:ascii="Arial" w:hAnsi="Arial" w:cs="Arial"/>
        </w:rPr>
        <w:t xml:space="preserve"> </w:t>
      </w:r>
      <w:proofErr w:type="spellStart"/>
      <w:r w:rsidR="00B8155A" w:rsidRPr="00231828">
        <w:rPr>
          <w:rFonts w:ascii="Arial" w:hAnsi="Arial" w:cs="Arial"/>
        </w:rPr>
        <w:t>Biotec</w:t>
      </w:r>
      <w:proofErr w:type="spellEnd"/>
      <w:r w:rsidR="00B8155A" w:rsidRPr="00231828">
        <w:rPr>
          <w:rFonts w:ascii="Arial" w:hAnsi="Arial" w:cs="Arial"/>
        </w:rPr>
        <w:t xml:space="preserve"> Ltd, </w:t>
      </w:r>
      <w:proofErr w:type="spellStart"/>
      <w:r w:rsidR="00B8155A" w:rsidRPr="00231828">
        <w:rPr>
          <w:rFonts w:ascii="Arial" w:hAnsi="Arial" w:cs="Arial"/>
        </w:rPr>
        <w:t>Bisley</w:t>
      </w:r>
      <w:proofErr w:type="spellEnd"/>
      <w:r w:rsidR="00B8155A" w:rsidRPr="00231828">
        <w:rPr>
          <w:rFonts w:ascii="Arial" w:hAnsi="Arial" w:cs="Arial"/>
        </w:rPr>
        <w:t>,</w:t>
      </w:r>
      <w:r w:rsidR="00391548" w:rsidRPr="00231828">
        <w:rPr>
          <w:rFonts w:ascii="Arial" w:hAnsi="Arial" w:cs="Arial"/>
        </w:rPr>
        <w:t xml:space="preserve"> UK).</w:t>
      </w:r>
      <w:r w:rsidR="00B8155A" w:rsidRPr="00231828">
        <w:rPr>
          <w:rFonts w:ascii="Arial" w:hAnsi="Arial" w:cs="Arial"/>
        </w:rPr>
        <w:t xml:space="preserve"> Serial dilution was performed with cells plated at 3 cells/well, 1 cell/well and 0.3 cells/well in the presence of</w:t>
      </w:r>
      <w:r w:rsidR="000C61CC" w:rsidRPr="00231828">
        <w:rPr>
          <w:rFonts w:ascii="Arial" w:hAnsi="Arial" w:cs="Arial"/>
        </w:rPr>
        <w:t xml:space="preserve"> 5</w:t>
      </w:r>
      <w:r w:rsidR="0010631B">
        <w:rPr>
          <w:rFonts w:ascii="Arial" w:hAnsi="Arial" w:cs="Arial"/>
        </w:rPr>
        <w:t xml:space="preserve"> </w:t>
      </w:r>
      <w:r w:rsidR="000C61CC" w:rsidRPr="00231828">
        <w:rPr>
          <w:rFonts w:ascii="Symbol" w:hAnsi="Symbol" w:cs="Arial"/>
        </w:rPr>
        <w:t></w:t>
      </w:r>
      <w:r w:rsidR="000C61CC" w:rsidRPr="00231828">
        <w:rPr>
          <w:rFonts w:ascii="Arial" w:hAnsi="Arial" w:cs="Arial"/>
        </w:rPr>
        <w:t xml:space="preserve">g/ml </w:t>
      </w:r>
      <w:r w:rsidR="001365C9" w:rsidRPr="00231828">
        <w:rPr>
          <w:rFonts w:ascii="Arial" w:hAnsi="Arial" w:cs="Arial"/>
        </w:rPr>
        <w:t>PHA, 250</w:t>
      </w:r>
      <w:r w:rsidR="0010631B">
        <w:rPr>
          <w:rFonts w:ascii="Arial" w:hAnsi="Arial" w:cs="Arial"/>
        </w:rPr>
        <w:t xml:space="preserve"> </w:t>
      </w:r>
      <w:r w:rsidR="001365C9" w:rsidRPr="00231828">
        <w:rPr>
          <w:rFonts w:ascii="Arial" w:hAnsi="Arial" w:cs="Arial"/>
        </w:rPr>
        <w:t>U</w:t>
      </w:r>
      <w:r w:rsidR="000C61CC" w:rsidRPr="00231828">
        <w:rPr>
          <w:rFonts w:ascii="Arial" w:hAnsi="Arial" w:cs="Arial"/>
        </w:rPr>
        <w:t>/ml IL-2 (</w:t>
      </w:r>
      <w:proofErr w:type="spellStart"/>
      <w:r w:rsidR="000C61CC" w:rsidRPr="00231828">
        <w:rPr>
          <w:rFonts w:ascii="Arial" w:hAnsi="Arial" w:cs="Arial"/>
        </w:rPr>
        <w:t>PeproTech</w:t>
      </w:r>
      <w:proofErr w:type="spellEnd"/>
      <w:r w:rsidR="000C61CC" w:rsidRPr="00231828">
        <w:rPr>
          <w:rFonts w:ascii="Arial" w:hAnsi="Arial" w:cs="Arial"/>
        </w:rPr>
        <w:t xml:space="preserve"> EC Ltd, London, UK) and </w:t>
      </w:r>
      <w:r w:rsidR="00391548" w:rsidRPr="00231828">
        <w:rPr>
          <w:rFonts w:ascii="Arial" w:hAnsi="Arial" w:cs="Arial"/>
        </w:rPr>
        <w:t xml:space="preserve">irradiated allogeneic PBMCs at </w:t>
      </w:r>
      <w:r w:rsidR="000C61CC" w:rsidRPr="00231828">
        <w:rPr>
          <w:rFonts w:ascii="Arial" w:hAnsi="Arial" w:cs="Arial"/>
        </w:rPr>
        <w:t>5x10</w:t>
      </w:r>
      <w:r w:rsidR="000C61CC" w:rsidRPr="00231828">
        <w:rPr>
          <w:rFonts w:ascii="Arial" w:hAnsi="Arial" w:cs="Arial"/>
          <w:vertAlign w:val="superscript"/>
        </w:rPr>
        <w:t>4</w:t>
      </w:r>
      <w:r w:rsidR="000C61CC" w:rsidRPr="00231828">
        <w:rPr>
          <w:rFonts w:ascii="Arial" w:hAnsi="Arial" w:cs="Arial"/>
        </w:rPr>
        <w:t xml:space="preserve"> cells/well</w:t>
      </w:r>
      <w:r w:rsidR="00391548" w:rsidRPr="00231828">
        <w:rPr>
          <w:rFonts w:ascii="Arial" w:hAnsi="Arial" w:cs="Arial"/>
        </w:rPr>
        <w:t xml:space="preserve"> as feeder cells (irradiated for 15 minutes with a dose of 50 </w:t>
      </w:r>
      <w:proofErr w:type="spellStart"/>
      <w:r w:rsidR="00391548" w:rsidRPr="00231828">
        <w:rPr>
          <w:rFonts w:ascii="Arial" w:hAnsi="Arial" w:cs="Arial"/>
        </w:rPr>
        <w:t>Grays</w:t>
      </w:r>
      <w:proofErr w:type="spellEnd"/>
      <w:r w:rsidR="00391548" w:rsidRPr="00231828">
        <w:rPr>
          <w:rFonts w:ascii="Arial" w:hAnsi="Arial" w:cs="Arial"/>
        </w:rPr>
        <w:t>)</w:t>
      </w:r>
      <w:r w:rsidR="000C61CC" w:rsidRPr="00231828">
        <w:rPr>
          <w:rFonts w:ascii="Arial" w:hAnsi="Arial" w:cs="Arial"/>
        </w:rPr>
        <w:t xml:space="preserve">. </w:t>
      </w:r>
      <w:r w:rsidR="00AB1F12" w:rsidRPr="00231828">
        <w:rPr>
          <w:rFonts w:ascii="Arial" w:hAnsi="Arial" w:cs="Arial"/>
        </w:rPr>
        <w:t xml:space="preserve">T </w:t>
      </w:r>
      <w:r w:rsidR="00391548" w:rsidRPr="00231828">
        <w:rPr>
          <w:rFonts w:ascii="Arial" w:hAnsi="Arial" w:cs="Arial"/>
        </w:rPr>
        <w:t>cell clones were then maintained in medium containing IL-2 and expanded by the addition of IL-2, PHA and irradiated allogeneic PBMC every 2 weeks.</w:t>
      </w:r>
    </w:p>
    <w:p w:rsidR="000D7312" w:rsidRPr="00231828" w:rsidRDefault="000D7312" w:rsidP="00231828">
      <w:pPr>
        <w:spacing w:line="480" w:lineRule="auto"/>
        <w:jc w:val="both"/>
        <w:rPr>
          <w:rFonts w:ascii="Arial" w:hAnsi="Arial" w:cs="Arial"/>
        </w:rPr>
      </w:pPr>
      <w:r w:rsidRPr="00231828">
        <w:rPr>
          <w:rFonts w:ascii="Arial" w:hAnsi="Arial" w:cs="Arial"/>
        </w:rPr>
        <w:lastRenderedPageBreak/>
        <w:t>Epstein-Barr virus (EBV) transformed B-cell lines were created from PBMC by transformation with supernatant from the virus-producing cell line B9.58. Lines were maintained in RPMI 1640 supplemented with 10% Foetal bovine serum (Invitrogen, Paisley, UK), 100</w:t>
      </w:r>
      <w:r w:rsidR="0010631B">
        <w:rPr>
          <w:rFonts w:ascii="Arial" w:hAnsi="Arial" w:cs="Arial"/>
        </w:rPr>
        <w:t xml:space="preserve"> </w:t>
      </w:r>
      <w:proofErr w:type="spellStart"/>
      <w:r w:rsidRPr="00231828">
        <w:rPr>
          <w:rFonts w:ascii="Arial" w:hAnsi="Arial" w:cs="Arial"/>
        </w:rPr>
        <w:t>mM</w:t>
      </w:r>
      <w:proofErr w:type="spellEnd"/>
      <w:r w:rsidRPr="00231828">
        <w:rPr>
          <w:rFonts w:ascii="Arial" w:hAnsi="Arial" w:cs="Arial"/>
        </w:rPr>
        <w:t xml:space="preserve"> L-glutamine, 100</w:t>
      </w:r>
      <w:r w:rsidR="0010631B">
        <w:rPr>
          <w:rFonts w:ascii="Arial" w:hAnsi="Arial" w:cs="Arial"/>
        </w:rPr>
        <w:t xml:space="preserve"> µ</w:t>
      </w:r>
      <w:r w:rsidRPr="00231828">
        <w:rPr>
          <w:rFonts w:ascii="Arial" w:hAnsi="Arial" w:cs="Arial"/>
        </w:rPr>
        <w:t xml:space="preserve">g/ml penicillin, </w:t>
      </w:r>
      <w:proofErr w:type="gramStart"/>
      <w:r w:rsidRPr="00231828">
        <w:rPr>
          <w:rFonts w:ascii="Arial" w:hAnsi="Arial" w:cs="Arial"/>
        </w:rPr>
        <w:t>100</w:t>
      </w:r>
      <w:proofErr w:type="gramEnd"/>
      <w:r w:rsidR="0010631B">
        <w:rPr>
          <w:rFonts w:ascii="Arial" w:hAnsi="Arial" w:cs="Arial"/>
        </w:rPr>
        <w:t xml:space="preserve"> </w:t>
      </w:r>
      <w:r w:rsidRPr="00231828">
        <w:rPr>
          <w:rFonts w:ascii="Arial" w:hAnsi="Arial" w:cs="Arial"/>
        </w:rPr>
        <w:t>U/ml streptomycin and used as a source of autologous antigen presenting cells.</w:t>
      </w:r>
    </w:p>
    <w:p w:rsidR="00196123" w:rsidRPr="00231828" w:rsidRDefault="00DB4CFB" w:rsidP="00231828">
      <w:pPr>
        <w:spacing w:line="480" w:lineRule="auto"/>
        <w:jc w:val="both"/>
        <w:rPr>
          <w:rFonts w:ascii="Arial" w:hAnsi="Arial" w:cs="Arial"/>
        </w:rPr>
      </w:pPr>
      <w:proofErr w:type="gramStart"/>
      <w:r w:rsidRPr="00231828">
        <w:rPr>
          <w:rFonts w:ascii="Arial" w:hAnsi="Arial" w:cs="Arial"/>
          <w:b/>
          <w:i/>
        </w:rPr>
        <w:t>Statistics.</w:t>
      </w:r>
      <w:proofErr w:type="gramEnd"/>
      <w:r w:rsidRPr="00231828">
        <w:rPr>
          <w:rFonts w:ascii="Arial" w:hAnsi="Arial" w:cs="Arial"/>
          <w:b/>
          <w:i/>
        </w:rPr>
        <w:tab/>
      </w:r>
      <w:r w:rsidR="007402ED" w:rsidRPr="00231828">
        <w:rPr>
          <w:rFonts w:ascii="Arial" w:hAnsi="Arial" w:cs="Arial"/>
        </w:rPr>
        <w:t xml:space="preserve">Student’s T test and </w:t>
      </w:r>
      <w:r w:rsidR="001F1B09" w:rsidRPr="00231828">
        <w:rPr>
          <w:rFonts w:ascii="Arial" w:hAnsi="Arial" w:cs="Arial"/>
        </w:rPr>
        <w:t>Mann Whitney</w:t>
      </w:r>
      <w:r w:rsidR="007A3AA1" w:rsidRPr="00231828">
        <w:rPr>
          <w:rFonts w:ascii="Arial" w:hAnsi="Arial" w:cs="Arial"/>
        </w:rPr>
        <w:t xml:space="preserve"> Rank Sum test (</w:t>
      </w:r>
      <w:proofErr w:type="spellStart"/>
      <w:r w:rsidRPr="00231828">
        <w:rPr>
          <w:rFonts w:ascii="Arial" w:hAnsi="Arial" w:cs="Arial"/>
        </w:rPr>
        <w:t>SigmaPlot</w:t>
      </w:r>
      <w:proofErr w:type="spellEnd"/>
      <w:r w:rsidRPr="00231828">
        <w:rPr>
          <w:rFonts w:ascii="Arial" w:hAnsi="Arial" w:cs="Arial"/>
        </w:rPr>
        <w:t xml:space="preserve"> </w:t>
      </w:r>
      <w:r w:rsidR="007A3AA1" w:rsidRPr="00231828">
        <w:rPr>
          <w:rFonts w:ascii="Arial" w:hAnsi="Arial" w:cs="Arial"/>
        </w:rPr>
        <w:t>12.5</w:t>
      </w:r>
      <w:r w:rsidRPr="00231828">
        <w:rPr>
          <w:rFonts w:ascii="Arial" w:hAnsi="Arial" w:cs="Arial"/>
        </w:rPr>
        <w:t>) was used to analy</w:t>
      </w:r>
      <w:r w:rsidR="00FD4C5D" w:rsidRPr="00231828">
        <w:rPr>
          <w:rFonts w:ascii="Arial" w:hAnsi="Arial" w:cs="Arial"/>
        </w:rPr>
        <w:t>s</w:t>
      </w:r>
      <w:r w:rsidRPr="00231828">
        <w:rPr>
          <w:rFonts w:ascii="Arial" w:hAnsi="Arial" w:cs="Arial"/>
        </w:rPr>
        <w:t xml:space="preserve">e the data. </w:t>
      </w:r>
    </w:p>
    <w:p w:rsidR="007064AD" w:rsidRPr="00231828" w:rsidRDefault="007064AD" w:rsidP="00231828">
      <w:pPr>
        <w:spacing w:line="480" w:lineRule="auto"/>
        <w:jc w:val="both"/>
        <w:rPr>
          <w:rFonts w:ascii="Arial" w:hAnsi="Arial" w:cs="Arial"/>
          <w:b/>
        </w:rPr>
      </w:pPr>
    </w:p>
    <w:p w:rsidR="001A2817" w:rsidRPr="00231828" w:rsidRDefault="001A2817" w:rsidP="00231828">
      <w:pPr>
        <w:spacing w:line="480" w:lineRule="auto"/>
        <w:rPr>
          <w:rFonts w:ascii="Arial" w:hAnsi="Arial" w:cs="Arial"/>
          <w:b/>
        </w:rPr>
      </w:pPr>
      <w:r w:rsidRPr="00231828">
        <w:rPr>
          <w:rFonts w:ascii="Arial" w:hAnsi="Arial" w:cs="Arial"/>
          <w:b/>
        </w:rPr>
        <w:br w:type="page"/>
      </w:r>
    </w:p>
    <w:p w:rsidR="00196123" w:rsidRPr="00231828" w:rsidRDefault="00196123" w:rsidP="00231828">
      <w:pPr>
        <w:spacing w:line="480" w:lineRule="auto"/>
        <w:jc w:val="both"/>
        <w:rPr>
          <w:rFonts w:ascii="Arial" w:hAnsi="Arial" w:cs="Arial"/>
          <w:b/>
        </w:rPr>
      </w:pPr>
      <w:r w:rsidRPr="00231828">
        <w:rPr>
          <w:rFonts w:ascii="Arial" w:hAnsi="Arial" w:cs="Arial"/>
          <w:b/>
        </w:rPr>
        <w:lastRenderedPageBreak/>
        <w:t>RESULTS</w:t>
      </w:r>
    </w:p>
    <w:p w:rsidR="00F41AEC" w:rsidRPr="00231828" w:rsidRDefault="00F41AEC" w:rsidP="00231828">
      <w:pPr>
        <w:spacing w:line="480" w:lineRule="auto"/>
        <w:jc w:val="both"/>
        <w:rPr>
          <w:rFonts w:ascii="Arial" w:hAnsi="Arial" w:cs="Arial"/>
        </w:rPr>
      </w:pPr>
      <w:r w:rsidRPr="00231828">
        <w:rPr>
          <w:rFonts w:ascii="Arial" w:hAnsi="Arial" w:cs="Arial"/>
          <w:b/>
          <w:i/>
        </w:rPr>
        <w:t>HLA typed tissue bank.</w:t>
      </w:r>
      <w:r w:rsidRPr="00231828">
        <w:rPr>
          <w:rFonts w:ascii="Arial" w:hAnsi="Arial" w:cs="Arial"/>
        </w:rPr>
        <w:t xml:space="preserve"> The original HLA tissue bank, established in 2010, consisted approximately 80x10</w:t>
      </w:r>
      <w:r w:rsidRPr="00231828">
        <w:rPr>
          <w:rFonts w:ascii="Arial" w:hAnsi="Arial" w:cs="Arial"/>
          <w:vertAlign w:val="superscript"/>
        </w:rPr>
        <w:t>6</w:t>
      </w:r>
      <w:r w:rsidRPr="00231828">
        <w:rPr>
          <w:rFonts w:ascii="Arial" w:hAnsi="Arial" w:cs="Arial"/>
        </w:rPr>
        <w:t xml:space="preserve"> PBMCs isolated from the blood of 400 normal volunteers. The volunteers were typed for HLA-A, HLA-B, HLA-C, HLA-DRB1 and HLA-DQB1 alleles (Alfirevic </w:t>
      </w:r>
      <w:r w:rsidRPr="00231828">
        <w:rPr>
          <w:rFonts w:ascii="Arial" w:hAnsi="Arial" w:cs="Arial"/>
          <w:i/>
        </w:rPr>
        <w:t>et al.</w:t>
      </w:r>
      <w:r w:rsidRPr="00231828">
        <w:rPr>
          <w:rFonts w:ascii="Arial" w:hAnsi="Arial" w:cs="Arial"/>
        </w:rPr>
        <w:t xml:space="preserve"> 2012). Recently, we obtained ethical permission to extend this to 1000 volunteers. In 2014, over a period of 12 months, a total of 600 healthy unrelated individuals were recruited. Of these, 394 (66%) were female and 202 (34%) were male. If known, self-reported ethnicity was recorded for volunteers, their parents and paternal and maternal grandparents. A large proportion of volunteers (N=541) (90%) were white Europeans, of which 519 (96%) were UK born and 493 (91%) were White British. Only 23 (4%) of individuals self-reported mixed ethnic origin, 17 (3%) were from the Indian subcontinent, 9 (1.5%) Chinese and 7 (1%) were Black Africans.  Age range was from 18 to 60 years (average 31.5 ± 10.6 years).</w:t>
      </w:r>
    </w:p>
    <w:p w:rsidR="00F41AEC" w:rsidRPr="00231828" w:rsidRDefault="00F41AEC" w:rsidP="00231828">
      <w:pPr>
        <w:spacing w:line="480" w:lineRule="auto"/>
        <w:jc w:val="both"/>
        <w:rPr>
          <w:rFonts w:ascii="Arial" w:hAnsi="Arial" w:cs="Arial"/>
          <w:color w:val="FF0000"/>
        </w:rPr>
      </w:pPr>
      <w:r w:rsidRPr="00231828">
        <w:rPr>
          <w:rFonts w:ascii="Arial" w:hAnsi="Arial" w:cs="Arial"/>
        </w:rPr>
        <w:t>We generated HLA genotype data using sequence based typing for 586 individuals</w:t>
      </w:r>
      <w:r w:rsidR="005B0AAE" w:rsidRPr="00231828">
        <w:rPr>
          <w:rFonts w:ascii="Arial" w:hAnsi="Arial" w:cs="Arial"/>
        </w:rPr>
        <w:t xml:space="preserve"> for the HLA-DQA1, in addition to the same </w:t>
      </w:r>
      <w:r w:rsidR="001C3B1F" w:rsidRPr="00231828">
        <w:rPr>
          <w:rFonts w:ascii="Arial" w:hAnsi="Arial" w:cs="Arial"/>
        </w:rPr>
        <w:t xml:space="preserve">five </w:t>
      </w:r>
      <w:r w:rsidR="005B0AAE" w:rsidRPr="00231828">
        <w:rPr>
          <w:rFonts w:ascii="Arial" w:hAnsi="Arial" w:cs="Arial"/>
        </w:rPr>
        <w:t>alleles as before</w:t>
      </w:r>
      <w:r w:rsidRPr="00231828">
        <w:rPr>
          <w:rFonts w:ascii="Arial" w:hAnsi="Arial" w:cs="Arial"/>
        </w:rPr>
        <w:t>.  A large diversity of HLA alleles was found:  38 distinct HLA-</w:t>
      </w:r>
      <w:proofErr w:type="gramStart"/>
      <w:r w:rsidRPr="00231828">
        <w:rPr>
          <w:rFonts w:ascii="Arial" w:hAnsi="Arial" w:cs="Arial"/>
        </w:rPr>
        <w:t>A</w:t>
      </w:r>
      <w:proofErr w:type="gramEnd"/>
      <w:r w:rsidRPr="00231828">
        <w:rPr>
          <w:rFonts w:ascii="Arial" w:hAnsi="Arial" w:cs="Arial"/>
        </w:rPr>
        <w:t xml:space="preserve"> alleles, 66 HLA-B alleles, 29 HLA-C alleles, 40 HLA-DRB1 alleles, 20 HLA-DQB1 alleles, and 10 HLA-DQA1 alleles (n=203). The most common alleles in our cohort have similar frequencies as those reported for the UK population in the Allele frequency net database (http://www.allelefrequencies.net/). We estimated pairwise linkage disequilibrium (LD) and found </w:t>
      </w:r>
      <w:r w:rsidR="00641FCE" w:rsidRPr="00231828">
        <w:rPr>
          <w:rFonts w:ascii="Arial" w:hAnsi="Arial" w:cs="Arial"/>
        </w:rPr>
        <w:t>the highest LD between the DRB1</w:t>
      </w:r>
      <w:r w:rsidRPr="00231828">
        <w:rPr>
          <w:rFonts w:ascii="Arial" w:hAnsi="Arial" w:cs="Arial"/>
        </w:rPr>
        <w:t>:DQA1 (D' 0.976), DRB1:DQB1 (D' 0.939), B</w:t>
      </w:r>
      <w:proofErr w:type="gramStart"/>
      <w:r w:rsidRPr="00231828">
        <w:rPr>
          <w:rFonts w:ascii="Arial" w:hAnsi="Arial" w:cs="Arial"/>
        </w:rPr>
        <w:t>:C</w:t>
      </w:r>
      <w:proofErr w:type="gramEnd"/>
      <w:r w:rsidRPr="00231828">
        <w:rPr>
          <w:rFonts w:ascii="Arial" w:hAnsi="Arial" w:cs="Arial"/>
        </w:rPr>
        <w:t xml:space="preserve"> (D' 0.921) and DQB1:DQA1 (D' 0.890) loci. In addition, we submitted our anonymised HLA-typing data in the subset of healthy volunteers from North West England  to the Allele Frequency Net database (http://www.allelefrequencies.net/), which now contains information on adverse drug reactions associated with HLA alleles (Gonzalez-Galarza </w:t>
      </w:r>
      <w:r w:rsidRPr="00231828">
        <w:rPr>
          <w:rFonts w:ascii="Arial" w:hAnsi="Arial" w:cs="Arial"/>
          <w:i/>
        </w:rPr>
        <w:t>et al</w:t>
      </w:r>
      <w:r w:rsidR="007420F0" w:rsidRPr="00231828">
        <w:rPr>
          <w:rFonts w:ascii="Arial" w:hAnsi="Arial" w:cs="Arial"/>
        </w:rPr>
        <w:t>.</w:t>
      </w:r>
      <w:r w:rsidRPr="00231828">
        <w:rPr>
          <w:rFonts w:ascii="Arial" w:hAnsi="Arial" w:cs="Arial"/>
        </w:rPr>
        <w:t xml:space="preserve"> 2015). </w:t>
      </w:r>
      <w:r w:rsidR="00E77904" w:rsidRPr="00231828">
        <w:rPr>
          <w:rFonts w:ascii="Arial" w:hAnsi="Arial" w:cs="Arial"/>
        </w:rPr>
        <w:t xml:space="preserve">The number of volunteers in our tissue bank with specific alleles </w:t>
      </w:r>
      <w:r w:rsidR="001A2817" w:rsidRPr="00231828">
        <w:rPr>
          <w:rFonts w:ascii="Arial" w:hAnsi="Arial" w:cs="Arial"/>
        </w:rPr>
        <w:t xml:space="preserve">relating to the drugs investigated in this study </w:t>
      </w:r>
      <w:r w:rsidR="00E77904" w:rsidRPr="00231828">
        <w:rPr>
          <w:rFonts w:ascii="Arial" w:hAnsi="Arial" w:cs="Arial"/>
        </w:rPr>
        <w:t xml:space="preserve">can be seen in Table 1. </w:t>
      </w:r>
    </w:p>
    <w:p w:rsidR="0022764F" w:rsidRPr="00231828" w:rsidRDefault="008C3217" w:rsidP="00231828">
      <w:pPr>
        <w:spacing w:line="480" w:lineRule="auto"/>
        <w:jc w:val="both"/>
        <w:rPr>
          <w:rFonts w:ascii="Arial" w:hAnsi="Arial" w:cs="Arial"/>
        </w:rPr>
      </w:pPr>
      <w:r w:rsidRPr="00231828">
        <w:rPr>
          <w:rFonts w:ascii="Arial" w:hAnsi="Arial" w:cs="Arial"/>
          <w:b/>
          <w:i/>
        </w:rPr>
        <w:lastRenderedPageBreak/>
        <w:t xml:space="preserve">T cell priming to </w:t>
      </w:r>
      <w:r w:rsidR="0022764F" w:rsidRPr="00231828">
        <w:rPr>
          <w:rFonts w:ascii="Arial" w:hAnsi="Arial" w:cs="Arial"/>
          <w:b/>
          <w:i/>
        </w:rPr>
        <w:t>SMX-NO.</w:t>
      </w:r>
      <w:r w:rsidR="0022764F" w:rsidRPr="00231828">
        <w:rPr>
          <w:rFonts w:ascii="Arial" w:hAnsi="Arial" w:cs="Arial"/>
        </w:rPr>
        <w:t xml:space="preserve"> </w:t>
      </w:r>
      <w:r w:rsidR="00641FCE" w:rsidRPr="00231828">
        <w:rPr>
          <w:rFonts w:ascii="Arial" w:hAnsi="Arial" w:cs="Arial"/>
        </w:rPr>
        <w:t>U</w:t>
      </w:r>
      <w:r w:rsidR="000E0B57" w:rsidRPr="00231828">
        <w:rPr>
          <w:rFonts w:ascii="Arial" w:hAnsi="Arial" w:cs="Arial"/>
        </w:rPr>
        <w:t>sing SMX-NO as a model drug antigen</w:t>
      </w:r>
      <w:r w:rsidR="00641FCE" w:rsidRPr="00231828">
        <w:rPr>
          <w:rFonts w:ascii="Arial" w:hAnsi="Arial" w:cs="Arial"/>
        </w:rPr>
        <w:t>, n</w:t>
      </w:r>
      <w:r w:rsidR="0022764F" w:rsidRPr="00231828">
        <w:rPr>
          <w:rFonts w:ascii="Arial" w:hAnsi="Arial" w:cs="Arial"/>
        </w:rPr>
        <w:t xml:space="preserve">aive CD3 </w:t>
      </w:r>
      <w:r w:rsidR="00641FCE" w:rsidRPr="00231828">
        <w:rPr>
          <w:rFonts w:ascii="Arial" w:hAnsi="Arial" w:cs="Arial"/>
        </w:rPr>
        <w:t xml:space="preserve">T </w:t>
      </w:r>
      <w:r w:rsidR="0022764F" w:rsidRPr="00231828">
        <w:rPr>
          <w:rFonts w:ascii="Arial" w:hAnsi="Arial" w:cs="Arial"/>
        </w:rPr>
        <w:t>cells were co-culture</w:t>
      </w:r>
      <w:r w:rsidR="00641FCE" w:rsidRPr="00231828">
        <w:rPr>
          <w:rFonts w:ascii="Arial" w:hAnsi="Arial" w:cs="Arial"/>
        </w:rPr>
        <w:t>d with Mo-DC at a ratio of 25:1</w:t>
      </w:r>
      <w:r w:rsidR="0022764F" w:rsidRPr="00231828">
        <w:rPr>
          <w:rFonts w:ascii="Arial" w:hAnsi="Arial" w:cs="Arial"/>
        </w:rPr>
        <w:t xml:space="preserve"> in the presence of </w:t>
      </w:r>
      <w:r w:rsidR="00641FCE" w:rsidRPr="00231828">
        <w:rPr>
          <w:rFonts w:ascii="Arial" w:hAnsi="Arial" w:cs="Arial"/>
        </w:rPr>
        <w:t>drug</w:t>
      </w:r>
      <w:r w:rsidR="0022764F" w:rsidRPr="00231828">
        <w:rPr>
          <w:rFonts w:ascii="Arial" w:hAnsi="Arial" w:cs="Arial"/>
        </w:rPr>
        <w:t xml:space="preserve"> for 8 days. These cells were harvested and then re-stimulated with fresh Mo-DC and SMX-NO.  </w:t>
      </w:r>
      <w:r w:rsidR="008D45B3" w:rsidRPr="00231828">
        <w:rPr>
          <w:rFonts w:ascii="Arial" w:hAnsi="Arial" w:cs="Arial"/>
        </w:rPr>
        <w:t>IFN</w:t>
      </w:r>
      <w:r w:rsidR="00B0386C" w:rsidRPr="00231828">
        <w:rPr>
          <w:rFonts w:ascii="Symbol" w:hAnsi="Symbol" w:cs="Arial"/>
        </w:rPr>
        <w:t></w:t>
      </w:r>
      <w:r w:rsidR="008D45B3" w:rsidRPr="00231828">
        <w:rPr>
          <w:rFonts w:ascii="Arial" w:hAnsi="Arial" w:cs="Arial"/>
        </w:rPr>
        <w:t xml:space="preserve"> and IL-13 release</w:t>
      </w:r>
      <w:r w:rsidR="0022764F" w:rsidRPr="00231828">
        <w:rPr>
          <w:rFonts w:ascii="Arial" w:hAnsi="Arial" w:cs="Arial"/>
        </w:rPr>
        <w:t xml:space="preserve"> w</w:t>
      </w:r>
      <w:r w:rsidR="00DD78B6" w:rsidRPr="00231828">
        <w:rPr>
          <w:rFonts w:ascii="Arial" w:hAnsi="Arial" w:cs="Arial"/>
        </w:rPr>
        <w:t>as</w:t>
      </w:r>
      <w:r w:rsidR="0022764F" w:rsidRPr="00231828">
        <w:rPr>
          <w:rFonts w:ascii="Arial" w:hAnsi="Arial" w:cs="Arial"/>
        </w:rPr>
        <w:t xml:space="preserve"> assessed by </w:t>
      </w:r>
      <w:proofErr w:type="spellStart"/>
      <w:r w:rsidR="0022764F" w:rsidRPr="00231828">
        <w:rPr>
          <w:rFonts w:ascii="Arial" w:hAnsi="Arial" w:cs="Arial"/>
        </w:rPr>
        <w:t>ELISpot</w:t>
      </w:r>
      <w:proofErr w:type="spellEnd"/>
      <w:r w:rsidR="0022764F" w:rsidRPr="00231828">
        <w:rPr>
          <w:rFonts w:ascii="Arial" w:hAnsi="Arial" w:cs="Arial"/>
        </w:rPr>
        <w:t xml:space="preserve"> and proliferati</w:t>
      </w:r>
      <w:r w:rsidR="008D45B3" w:rsidRPr="00231828">
        <w:rPr>
          <w:rFonts w:ascii="Arial" w:hAnsi="Arial" w:cs="Arial"/>
        </w:rPr>
        <w:t>on</w:t>
      </w:r>
      <w:r w:rsidR="0022764F" w:rsidRPr="00231828">
        <w:rPr>
          <w:rFonts w:ascii="Arial" w:hAnsi="Arial" w:cs="Arial"/>
        </w:rPr>
        <w:t xml:space="preserve"> w</w:t>
      </w:r>
      <w:r w:rsidR="008D45B3" w:rsidRPr="00231828">
        <w:rPr>
          <w:rFonts w:ascii="Arial" w:hAnsi="Arial" w:cs="Arial"/>
        </w:rPr>
        <w:t xml:space="preserve">as </w:t>
      </w:r>
      <w:r w:rsidR="0022764F" w:rsidRPr="00231828">
        <w:rPr>
          <w:rFonts w:ascii="Arial" w:hAnsi="Arial" w:cs="Arial"/>
        </w:rPr>
        <w:t xml:space="preserve">assessed by </w:t>
      </w:r>
      <w:r w:rsidR="0022764F" w:rsidRPr="00231828">
        <w:rPr>
          <w:rFonts w:ascii="Arial" w:hAnsi="Arial" w:cs="Arial"/>
          <w:vertAlign w:val="superscript"/>
        </w:rPr>
        <w:t>3</w:t>
      </w:r>
      <w:r w:rsidR="0022764F" w:rsidRPr="00231828">
        <w:rPr>
          <w:rFonts w:ascii="Arial" w:hAnsi="Arial" w:cs="Arial"/>
        </w:rPr>
        <w:t xml:space="preserve">H-thymidine incorporation and </w:t>
      </w:r>
      <w:r w:rsidR="008D45B3" w:rsidRPr="00231828">
        <w:rPr>
          <w:rFonts w:ascii="Arial" w:hAnsi="Arial" w:cs="Arial"/>
        </w:rPr>
        <w:t>flow cytometry of CFSE labelled cells.</w:t>
      </w:r>
      <w:r w:rsidR="0022764F" w:rsidRPr="00231828">
        <w:rPr>
          <w:rFonts w:ascii="Arial" w:hAnsi="Arial" w:cs="Arial"/>
        </w:rPr>
        <w:t xml:space="preserve">  Forty priming assays </w:t>
      </w:r>
      <w:r w:rsidRPr="00231828">
        <w:rPr>
          <w:rFonts w:ascii="Arial" w:hAnsi="Arial" w:cs="Arial"/>
        </w:rPr>
        <w:t>were</w:t>
      </w:r>
      <w:r w:rsidR="0022764F" w:rsidRPr="00231828">
        <w:rPr>
          <w:rFonts w:ascii="Arial" w:hAnsi="Arial" w:cs="Arial"/>
        </w:rPr>
        <w:t xml:space="preserve"> performed where SMX-NO was used as the </w:t>
      </w:r>
      <w:r w:rsidR="008D45B3" w:rsidRPr="00231828">
        <w:rPr>
          <w:rFonts w:ascii="Arial" w:hAnsi="Arial" w:cs="Arial"/>
        </w:rPr>
        <w:t>main</w:t>
      </w:r>
      <w:r w:rsidR="0022764F" w:rsidRPr="00231828">
        <w:rPr>
          <w:rFonts w:ascii="Arial" w:hAnsi="Arial" w:cs="Arial"/>
        </w:rPr>
        <w:t xml:space="preserve"> drug </w:t>
      </w:r>
      <w:r w:rsidR="008D45B3" w:rsidRPr="00231828">
        <w:rPr>
          <w:rFonts w:ascii="Arial" w:hAnsi="Arial" w:cs="Arial"/>
        </w:rPr>
        <w:t xml:space="preserve">of interest </w:t>
      </w:r>
      <w:r w:rsidR="0022764F" w:rsidRPr="00231828">
        <w:rPr>
          <w:rFonts w:ascii="Arial" w:hAnsi="Arial" w:cs="Arial"/>
        </w:rPr>
        <w:t>or included as a positive control.</w:t>
      </w:r>
      <w:r w:rsidR="008D45B3" w:rsidRPr="00231828">
        <w:rPr>
          <w:rFonts w:ascii="Arial" w:hAnsi="Arial" w:cs="Arial"/>
        </w:rPr>
        <w:t xml:space="preserve"> </w:t>
      </w:r>
      <w:r w:rsidR="00144B22" w:rsidRPr="00231828">
        <w:rPr>
          <w:rFonts w:ascii="Arial" w:hAnsi="Arial" w:cs="Arial"/>
        </w:rPr>
        <w:t xml:space="preserve">An example of </w:t>
      </w:r>
      <w:r w:rsidRPr="00231828">
        <w:rPr>
          <w:rFonts w:ascii="Arial" w:hAnsi="Arial" w:cs="Arial"/>
        </w:rPr>
        <w:t>an</w:t>
      </w:r>
      <w:r w:rsidR="00641FCE" w:rsidRPr="00231828">
        <w:rPr>
          <w:rFonts w:ascii="Arial" w:hAnsi="Arial" w:cs="Arial"/>
        </w:rPr>
        <w:t xml:space="preserve"> SMX-NO </w:t>
      </w:r>
      <w:r w:rsidRPr="00231828">
        <w:rPr>
          <w:rFonts w:ascii="Arial" w:hAnsi="Arial" w:cs="Arial"/>
        </w:rPr>
        <w:t xml:space="preserve">response </w:t>
      </w:r>
      <w:r w:rsidR="00641FCE" w:rsidRPr="00231828">
        <w:rPr>
          <w:rFonts w:ascii="Arial" w:hAnsi="Arial" w:cs="Arial"/>
        </w:rPr>
        <w:t>is shown in Figure 2</w:t>
      </w:r>
      <w:r w:rsidR="00144B22" w:rsidRPr="00231828">
        <w:rPr>
          <w:rFonts w:ascii="Arial" w:hAnsi="Arial" w:cs="Arial"/>
        </w:rPr>
        <w:t xml:space="preserve"> where there is a dose dependent response to SMX-NO in all four readouts (</w:t>
      </w:r>
      <w:r w:rsidR="00144B22" w:rsidRPr="00231828">
        <w:rPr>
          <w:rFonts w:ascii="Arial" w:hAnsi="Arial" w:cs="Arial"/>
          <w:vertAlign w:val="superscript"/>
        </w:rPr>
        <w:t>3</w:t>
      </w:r>
      <w:r w:rsidR="00144B22" w:rsidRPr="00231828">
        <w:rPr>
          <w:rFonts w:ascii="Arial" w:hAnsi="Arial" w:cs="Arial"/>
        </w:rPr>
        <w:t>H-thymidine, CFSE, IFN</w:t>
      </w:r>
      <w:r w:rsidR="00B0386C" w:rsidRPr="00231828">
        <w:rPr>
          <w:rFonts w:ascii="Symbol" w:hAnsi="Symbol" w:cs="Arial"/>
        </w:rPr>
        <w:t></w:t>
      </w:r>
      <w:r w:rsidR="00144B22" w:rsidRPr="00231828">
        <w:rPr>
          <w:rFonts w:ascii="Arial" w:hAnsi="Arial" w:cs="Arial"/>
        </w:rPr>
        <w:t xml:space="preserve"> and IL-13). When all </w:t>
      </w:r>
      <w:r w:rsidRPr="00231828">
        <w:rPr>
          <w:rFonts w:ascii="Arial" w:hAnsi="Arial" w:cs="Arial"/>
        </w:rPr>
        <w:t>40 experiments</w:t>
      </w:r>
      <w:r w:rsidR="00467E6D" w:rsidRPr="00231828">
        <w:rPr>
          <w:rFonts w:ascii="Arial" w:hAnsi="Arial" w:cs="Arial"/>
        </w:rPr>
        <w:t xml:space="preserve"> were analysed</w:t>
      </w:r>
      <w:r w:rsidRPr="00231828">
        <w:rPr>
          <w:rFonts w:ascii="Arial" w:hAnsi="Arial" w:cs="Arial"/>
        </w:rPr>
        <w:t>,</w:t>
      </w:r>
      <w:r w:rsidR="00144B22" w:rsidRPr="00231828">
        <w:rPr>
          <w:rFonts w:ascii="Arial" w:hAnsi="Arial" w:cs="Arial"/>
        </w:rPr>
        <w:t xml:space="preserve"> </w:t>
      </w:r>
      <w:r w:rsidR="00307A26" w:rsidRPr="00231828">
        <w:rPr>
          <w:rFonts w:ascii="Arial" w:hAnsi="Arial" w:cs="Arial"/>
        </w:rPr>
        <w:t xml:space="preserve">a significant response </w:t>
      </w:r>
      <w:r w:rsidRPr="00231828">
        <w:rPr>
          <w:rFonts w:ascii="Arial" w:hAnsi="Arial" w:cs="Arial"/>
        </w:rPr>
        <w:t xml:space="preserve">was observed </w:t>
      </w:r>
      <w:r w:rsidR="00307A26" w:rsidRPr="00231828">
        <w:rPr>
          <w:rFonts w:ascii="Arial" w:hAnsi="Arial" w:cs="Arial"/>
        </w:rPr>
        <w:t xml:space="preserve">in the presence of SMX-NO compared to </w:t>
      </w:r>
      <w:r w:rsidR="006142BD" w:rsidRPr="00231828">
        <w:rPr>
          <w:rFonts w:ascii="Arial" w:hAnsi="Arial" w:cs="Arial"/>
        </w:rPr>
        <w:t>medium alone in all four readouts</w:t>
      </w:r>
      <w:r w:rsidR="00685E57" w:rsidRPr="00231828">
        <w:rPr>
          <w:rFonts w:ascii="Arial" w:hAnsi="Arial" w:cs="Arial"/>
        </w:rPr>
        <w:t xml:space="preserve"> (Figure </w:t>
      </w:r>
      <w:r w:rsidR="00902CA0" w:rsidRPr="00231828">
        <w:rPr>
          <w:rFonts w:ascii="Arial" w:hAnsi="Arial" w:cs="Arial"/>
        </w:rPr>
        <w:t>3</w:t>
      </w:r>
      <w:r w:rsidR="00307A26" w:rsidRPr="00231828">
        <w:rPr>
          <w:rFonts w:ascii="Arial" w:hAnsi="Arial" w:cs="Arial"/>
        </w:rPr>
        <w:t xml:space="preserve">). </w:t>
      </w:r>
      <w:r w:rsidR="001F7126" w:rsidRPr="00231828">
        <w:rPr>
          <w:rFonts w:ascii="Arial" w:hAnsi="Arial" w:cs="Arial"/>
        </w:rPr>
        <w:t>The strength of the response was then graded according to the stimulation index (SI). Only one of the 40 assays was negative (SI &lt;1.4</w:t>
      </w:r>
      <w:r w:rsidR="002E1744" w:rsidRPr="00231828">
        <w:rPr>
          <w:rFonts w:ascii="Arial" w:hAnsi="Arial" w:cs="Arial"/>
        </w:rPr>
        <w:t>9</w:t>
      </w:r>
      <w:r w:rsidR="001F7126" w:rsidRPr="00231828">
        <w:rPr>
          <w:rFonts w:ascii="Arial" w:hAnsi="Arial" w:cs="Arial"/>
        </w:rPr>
        <w:t>) and 5 assays gave weak responses (SI 1.5-1.9</w:t>
      </w:r>
      <w:r w:rsidR="002E1744" w:rsidRPr="00231828">
        <w:rPr>
          <w:rFonts w:ascii="Arial" w:hAnsi="Arial" w:cs="Arial"/>
        </w:rPr>
        <w:t>9</w:t>
      </w:r>
      <w:r w:rsidR="001F7126" w:rsidRPr="00231828">
        <w:rPr>
          <w:rFonts w:ascii="Arial" w:hAnsi="Arial" w:cs="Arial"/>
        </w:rPr>
        <w:t xml:space="preserve">). </w:t>
      </w:r>
      <w:r w:rsidR="0087491A" w:rsidRPr="00231828">
        <w:rPr>
          <w:rFonts w:ascii="Arial" w:hAnsi="Arial" w:cs="Arial"/>
        </w:rPr>
        <w:t>The remaining assays showed good (SI 2.0-3.9</w:t>
      </w:r>
      <w:r w:rsidR="002E1744" w:rsidRPr="00231828">
        <w:rPr>
          <w:rFonts w:ascii="Arial" w:hAnsi="Arial" w:cs="Arial"/>
        </w:rPr>
        <w:t>9</w:t>
      </w:r>
      <w:r w:rsidR="0087491A" w:rsidRPr="00231828">
        <w:rPr>
          <w:rFonts w:ascii="Arial" w:hAnsi="Arial" w:cs="Arial"/>
        </w:rPr>
        <w:t xml:space="preserve">) or strong responses (SI &gt;4.0). </w:t>
      </w:r>
      <w:r w:rsidR="00FD4C5D" w:rsidRPr="00231828">
        <w:rPr>
          <w:rFonts w:ascii="Arial" w:hAnsi="Arial" w:cs="Arial"/>
        </w:rPr>
        <w:t xml:space="preserve">Analysing </w:t>
      </w:r>
      <w:r w:rsidR="00452F9A" w:rsidRPr="00231828">
        <w:rPr>
          <w:rFonts w:ascii="Arial" w:hAnsi="Arial" w:cs="Arial"/>
        </w:rPr>
        <w:t>the</w:t>
      </w:r>
      <w:r w:rsidR="00FD4C5D" w:rsidRPr="00231828">
        <w:rPr>
          <w:rFonts w:ascii="Arial" w:hAnsi="Arial" w:cs="Arial"/>
        </w:rPr>
        <w:t xml:space="preserve"> readout</w:t>
      </w:r>
      <w:r w:rsidR="00452F9A" w:rsidRPr="00231828">
        <w:rPr>
          <w:rFonts w:ascii="Arial" w:hAnsi="Arial" w:cs="Arial"/>
        </w:rPr>
        <w:t>s</w:t>
      </w:r>
      <w:r w:rsidR="00FD4C5D" w:rsidRPr="00231828">
        <w:rPr>
          <w:rFonts w:ascii="Arial" w:hAnsi="Arial" w:cs="Arial"/>
        </w:rPr>
        <w:t xml:space="preserve"> separately </w:t>
      </w:r>
      <w:r w:rsidR="00452F9A" w:rsidRPr="00231828">
        <w:rPr>
          <w:rFonts w:ascii="Arial" w:hAnsi="Arial" w:cs="Arial"/>
        </w:rPr>
        <w:t>gave</w:t>
      </w:r>
      <w:r w:rsidR="00FD4C5D" w:rsidRPr="00231828">
        <w:rPr>
          <w:rFonts w:ascii="Arial" w:hAnsi="Arial" w:cs="Arial"/>
        </w:rPr>
        <w:t xml:space="preserve"> between </w:t>
      </w:r>
      <w:r w:rsidR="0087491A" w:rsidRPr="00231828">
        <w:rPr>
          <w:rFonts w:ascii="Arial" w:hAnsi="Arial" w:cs="Arial"/>
        </w:rPr>
        <w:t>78</w:t>
      </w:r>
      <w:r w:rsidR="00FD4C5D" w:rsidRPr="00231828">
        <w:rPr>
          <w:rFonts w:ascii="Arial" w:hAnsi="Arial" w:cs="Arial"/>
        </w:rPr>
        <w:t>-</w:t>
      </w:r>
      <w:r w:rsidR="0087491A" w:rsidRPr="00231828">
        <w:rPr>
          <w:rFonts w:ascii="Arial" w:hAnsi="Arial" w:cs="Arial"/>
        </w:rPr>
        <w:t>92</w:t>
      </w:r>
      <w:r w:rsidR="0010631B">
        <w:rPr>
          <w:rFonts w:ascii="Arial" w:hAnsi="Arial" w:cs="Arial"/>
        </w:rPr>
        <w:t xml:space="preserve"> </w:t>
      </w:r>
      <w:r w:rsidR="00FD4C5D" w:rsidRPr="00231828">
        <w:rPr>
          <w:rFonts w:ascii="Arial" w:hAnsi="Arial" w:cs="Arial"/>
        </w:rPr>
        <w:t>% positiv</w:t>
      </w:r>
      <w:r w:rsidR="00452F9A" w:rsidRPr="00231828">
        <w:rPr>
          <w:rFonts w:ascii="Arial" w:hAnsi="Arial" w:cs="Arial"/>
        </w:rPr>
        <w:t>ity</w:t>
      </w:r>
      <w:r w:rsidR="00FD4C5D" w:rsidRPr="00231828">
        <w:rPr>
          <w:rFonts w:ascii="Arial" w:hAnsi="Arial" w:cs="Arial"/>
        </w:rPr>
        <w:t xml:space="preserve"> (Table </w:t>
      </w:r>
      <w:r w:rsidR="004C718E" w:rsidRPr="00231828">
        <w:rPr>
          <w:rFonts w:ascii="Arial" w:hAnsi="Arial" w:cs="Arial"/>
        </w:rPr>
        <w:t>2</w:t>
      </w:r>
      <w:r w:rsidR="00FD4C5D" w:rsidRPr="00231828">
        <w:rPr>
          <w:rFonts w:ascii="Arial" w:hAnsi="Arial" w:cs="Arial"/>
        </w:rPr>
        <w:t xml:space="preserve">) where </w:t>
      </w:r>
      <w:r w:rsidR="00452F9A" w:rsidRPr="00231828">
        <w:rPr>
          <w:rFonts w:ascii="Arial" w:hAnsi="Arial" w:cs="Arial"/>
        </w:rPr>
        <w:t>seven</w:t>
      </w:r>
      <w:r w:rsidR="00144B22" w:rsidRPr="00231828">
        <w:rPr>
          <w:rFonts w:ascii="Arial" w:hAnsi="Arial" w:cs="Arial"/>
        </w:rPr>
        <w:t xml:space="preserve"> assays had a single readout (proliferation),</w:t>
      </w:r>
      <w:r w:rsidR="00452F9A" w:rsidRPr="00231828">
        <w:rPr>
          <w:rFonts w:ascii="Arial" w:hAnsi="Arial" w:cs="Arial"/>
        </w:rPr>
        <w:t xml:space="preserve"> nine</w:t>
      </w:r>
      <w:r w:rsidR="00144B22" w:rsidRPr="00231828">
        <w:rPr>
          <w:rFonts w:ascii="Arial" w:hAnsi="Arial" w:cs="Arial"/>
        </w:rPr>
        <w:t xml:space="preserve"> </w:t>
      </w:r>
      <w:r w:rsidR="00FD4C5D" w:rsidRPr="00231828">
        <w:rPr>
          <w:rFonts w:ascii="Arial" w:hAnsi="Arial" w:cs="Arial"/>
        </w:rPr>
        <w:t xml:space="preserve">assays </w:t>
      </w:r>
      <w:r w:rsidR="00144B22" w:rsidRPr="00231828">
        <w:rPr>
          <w:rFonts w:ascii="Arial" w:hAnsi="Arial" w:cs="Arial"/>
        </w:rPr>
        <w:t xml:space="preserve">had 2 readouts, eighteen assays had 3 readouts and six assays had 4 readouts. </w:t>
      </w:r>
    </w:p>
    <w:p w:rsidR="002E1744" w:rsidRPr="00231828" w:rsidRDefault="00585BE8" w:rsidP="00231828">
      <w:pPr>
        <w:spacing w:line="480" w:lineRule="auto"/>
        <w:jc w:val="both"/>
        <w:rPr>
          <w:rFonts w:ascii="Arial" w:hAnsi="Arial" w:cs="Arial"/>
        </w:rPr>
      </w:pPr>
      <w:r w:rsidRPr="00231828">
        <w:rPr>
          <w:rFonts w:ascii="Arial" w:hAnsi="Arial" w:cs="Arial"/>
          <w:b/>
          <w:i/>
        </w:rPr>
        <w:t xml:space="preserve">T cell priming to </w:t>
      </w:r>
      <w:proofErr w:type="spellStart"/>
      <w:r w:rsidRPr="00231828">
        <w:rPr>
          <w:rFonts w:ascii="Arial" w:hAnsi="Arial" w:cs="Arial"/>
          <w:b/>
          <w:i/>
        </w:rPr>
        <w:t>haptenic</w:t>
      </w:r>
      <w:proofErr w:type="spellEnd"/>
      <w:r w:rsidRPr="00231828">
        <w:rPr>
          <w:rFonts w:ascii="Arial" w:hAnsi="Arial" w:cs="Arial"/>
          <w:b/>
          <w:i/>
        </w:rPr>
        <w:t xml:space="preserve"> compounds with no HLA allele association:</w:t>
      </w:r>
      <w:r w:rsidRPr="00231828">
        <w:rPr>
          <w:rFonts w:ascii="Arial" w:hAnsi="Arial" w:cs="Arial"/>
        </w:rPr>
        <w:t xml:space="preserve"> </w:t>
      </w:r>
      <w:r w:rsidR="002E1744" w:rsidRPr="00231828">
        <w:rPr>
          <w:rFonts w:ascii="Arial" w:hAnsi="Arial" w:cs="Arial"/>
        </w:rPr>
        <w:t xml:space="preserve">Having established the assay we were interested </w:t>
      </w:r>
      <w:r w:rsidR="00467E6D" w:rsidRPr="00231828">
        <w:rPr>
          <w:rFonts w:ascii="Arial" w:hAnsi="Arial" w:cs="Arial"/>
        </w:rPr>
        <w:t xml:space="preserve">to </w:t>
      </w:r>
      <w:r w:rsidR="002E1744" w:rsidRPr="00231828">
        <w:rPr>
          <w:rFonts w:ascii="Arial" w:hAnsi="Arial" w:cs="Arial"/>
        </w:rPr>
        <w:t xml:space="preserve">see whether we could </w:t>
      </w:r>
      <w:r w:rsidR="001D11E6" w:rsidRPr="00231828">
        <w:rPr>
          <w:rFonts w:ascii="Arial" w:hAnsi="Arial" w:cs="Arial"/>
        </w:rPr>
        <w:t>prime</w:t>
      </w:r>
      <w:r w:rsidR="002E1744" w:rsidRPr="00231828">
        <w:rPr>
          <w:rFonts w:ascii="Arial" w:hAnsi="Arial" w:cs="Arial"/>
        </w:rPr>
        <w:t xml:space="preserve"> </w:t>
      </w:r>
      <w:r w:rsidR="00A0683B" w:rsidRPr="00231828">
        <w:rPr>
          <w:rFonts w:ascii="Arial" w:hAnsi="Arial" w:cs="Arial"/>
        </w:rPr>
        <w:t>na</w:t>
      </w:r>
      <w:r w:rsidR="00467E6D" w:rsidRPr="00231828">
        <w:rPr>
          <w:rFonts w:ascii="Arial" w:hAnsi="Arial" w:cs="Arial"/>
        </w:rPr>
        <w:t>i</w:t>
      </w:r>
      <w:r w:rsidR="00A0683B" w:rsidRPr="00231828">
        <w:rPr>
          <w:rFonts w:ascii="Arial" w:hAnsi="Arial" w:cs="Arial"/>
        </w:rPr>
        <w:t xml:space="preserve">ve </w:t>
      </w:r>
      <w:r w:rsidR="002E1744" w:rsidRPr="00231828">
        <w:rPr>
          <w:rFonts w:ascii="Arial" w:hAnsi="Arial" w:cs="Arial"/>
        </w:rPr>
        <w:t>T cell</w:t>
      </w:r>
      <w:r w:rsidR="001D11E6" w:rsidRPr="00231828">
        <w:rPr>
          <w:rFonts w:ascii="Arial" w:hAnsi="Arial" w:cs="Arial"/>
        </w:rPr>
        <w:t>s</w:t>
      </w:r>
      <w:r w:rsidR="002E1744" w:rsidRPr="00231828">
        <w:rPr>
          <w:rFonts w:ascii="Arial" w:hAnsi="Arial" w:cs="Arial"/>
        </w:rPr>
        <w:t xml:space="preserve"> to a variety of different drugs associated with drug hypersensitivity. </w:t>
      </w:r>
      <w:r w:rsidR="00A0683B" w:rsidRPr="00231828">
        <w:rPr>
          <w:rFonts w:ascii="Arial" w:hAnsi="Arial" w:cs="Arial"/>
        </w:rPr>
        <w:t xml:space="preserve">We initially chose </w:t>
      </w:r>
      <w:r w:rsidR="00831B0A" w:rsidRPr="00231828">
        <w:rPr>
          <w:rFonts w:ascii="Arial" w:hAnsi="Arial" w:cs="Arial"/>
        </w:rPr>
        <w:t xml:space="preserve">3 </w:t>
      </w:r>
      <w:r w:rsidR="00A0683B" w:rsidRPr="00231828">
        <w:rPr>
          <w:rFonts w:ascii="Arial" w:hAnsi="Arial" w:cs="Arial"/>
        </w:rPr>
        <w:t>common causes of skin hypersensitivity reactions where the role of T cells has already been established</w:t>
      </w:r>
      <w:r w:rsidRPr="00231828">
        <w:rPr>
          <w:rFonts w:ascii="Arial" w:hAnsi="Arial" w:cs="Arial"/>
        </w:rPr>
        <w:t>, but HLA allele associations have not been identified</w:t>
      </w:r>
      <w:r w:rsidR="00A0683B" w:rsidRPr="00231828">
        <w:rPr>
          <w:rFonts w:ascii="Arial" w:hAnsi="Arial" w:cs="Arial"/>
        </w:rPr>
        <w:t xml:space="preserve">, namely </w:t>
      </w:r>
      <w:r w:rsidR="00835A40" w:rsidRPr="00231828">
        <w:rPr>
          <w:rFonts w:ascii="Arial" w:hAnsi="Arial" w:cs="Arial"/>
        </w:rPr>
        <w:t xml:space="preserve">the </w:t>
      </w:r>
      <w:r w:rsidR="00A0683B" w:rsidRPr="00231828">
        <w:rPr>
          <w:rFonts w:ascii="Arial" w:hAnsi="Arial" w:cs="Arial"/>
          <w:bCs/>
        </w:rPr>
        <w:t xml:space="preserve">hair dye </w:t>
      </w:r>
      <w:r w:rsidR="00835A40" w:rsidRPr="00231828">
        <w:rPr>
          <w:rFonts w:ascii="Arial" w:hAnsi="Arial" w:cs="Arial"/>
          <w:bCs/>
        </w:rPr>
        <w:t xml:space="preserve">component </w:t>
      </w:r>
      <w:proofErr w:type="spellStart"/>
      <w:r w:rsidR="00835A40" w:rsidRPr="00231828">
        <w:rPr>
          <w:rFonts w:ascii="Arial" w:hAnsi="Arial" w:cs="Arial"/>
          <w:bCs/>
        </w:rPr>
        <w:t>Bandrowski’s</w:t>
      </w:r>
      <w:proofErr w:type="spellEnd"/>
      <w:r w:rsidR="00835A40" w:rsidRPr="00231828">
        <w:rPr>
          <w:rFonts w:ascii="Arial" w:hAnsi="Arial" w:cs="Arial"/>
          <w:bCs/>
        </w:rPr>
        <w:t xml:space="preserve"> base</w:t>
      </w:r>
      <w:r w:rsidR="00A0683B" w:rsidRPr="00231828">
        <w:rPr>
          <w:rFonts w:ascii="Arial" w:hAnsi="Arial" w:cs="Arial"/>
          <w:bCs/>
        </w:rPr>
        <w:t xml:space="preserve"> </w:t>
      </w:r>
      <w:r w:rsidR="001D11E6" w:rsidRPr="00231828">
        <w:rPr>
          <w:rFonts w:ascii="Arial" w:hAnsi="Arial" w:cs="Arial"/>
        </w:rPr>
        <w:t xml:space="preserve">(Coulter </w:t>
      </w:r>
      <w:r w:rsidR="001D11E6" w:rsidRPr="00231828">
        <w:rPr>
          <w:rFonts w:ascii="Arial" w:hAnsi="Arial" w:cs="Arial"/>
          <w:i/>
        </w:rPr>
        <w:t>et al</w:t>
      </w:r>
      <w:r w:rsidR="001D11E6" w:rsidRPr="00231828">
        <w:rPr>
          <w:rFonts w:ascii="Arial" w:hAnsi="Arial" w:cs="Arial"/>
        </w:rPr>
        <w:t xml:space="preserve">. 2008, Jenkinson </w:t>
      </w:r>
      <w:r w:rsidR="001D11E6" w:rsidRPr="00231828">
        <w:rPr>
          <w:rFonts w:ascii="Arial" w:hAnsi="Arial" w:cs="Arial"/>
          <w:i/>
        </w:rPr>
        <w:t>et al</w:t>
      </w:r>
      <w:r w:rsidR="001D11E6" w:rsidRPr="00231828">
        <w:rPr>
          <w:rFonts w:ascii="Arial" w:hAnsi="Arial" w:cs="Arial"/>
        </w:rPr>
        <w:t xml:space="preserve">. 2010) </w:t>
      </w:r>
      <w:r w:rsidR="00A0683B" w:rsidRPr="00231828">
        <w:rPr>
          <w:rFonts w:ascii="Arial" w:hAnsi="Arial" w:cs="Arial"/>
          <w:bCs/>
        </w:rPr>
        <w:t xml:space="preserve">and </w:t>
      </w:r>
      <w:r w:rsidR="00A0683B" w:rsidRPr="00231828">
        <w:rPr>
          <w:rFonts w:ascii="Arial" w:hAnsi="Arial" w:cs="Arial"/>
        </w:rPr>
        <w:t xml:space="preserve">the </w:t>
      </w:r>
      <w:r w:rsidR="00A0683B" w:rsidRPr="00231828">
        <w:rPr>
          <w:rFonts w:ascii="Symbol" w:hAnsi="Symbol" w:cs="Arial"/>
        </w:rPr>
        <w:t></w:t>
      </w:r>
      <w:r w:rsidR="00A0683B" w:rsidRPr="00231828">
        <w:rPr>
          <w:rFonts w:ascii="Arial" w:hAnsi="Arial" w:cs="Arial"/>
        </w:rPr>
        <w:t>-lactam antibiotic</w:t>
      </w:r>
      <w:r w:rsidR="00831B0A" w:rsidRPr="00231828">
        <w:rPr>
          <w:rFonts w:ascii="Arial" w:hAnsi="Arial" w:cs="Arial"/>
        </w:rPr>
        <w:t>s</w:t>
      </w:r>
      <w:r w:rsidR="00A0683B" w:rsidRPr="00231828">
        <w:rPr>
          <w:rFonts w:ascii="Arial" w:hAnsi="Arial" w:cs="Arial"/>
        </w:rPr>
        <w:t xml:space="preserve"> </w:t>
      </w:r>
      <w:r w:rsidR="00831B0A" w:rsidRPr="00231828">
        <w:rPr>
          <w:rFonts w:ascii="Arial" w:hAnsi="Arial" w:cs="Arial"/>
        </w:rPr>
        <w:t xml:space="preserve">amoxicillin and </w:t>
      </w:r>
      <w:r w:rsidR="00A0683B" w:rsidRPr="00231828">
        <w:rPr>
          <w:rFonts w:ascii="Arial" w:hAnsi="Arial" w:cs="Arial"/>
        </w:rPr>
        <w:t xml:space="preserve">piperacillin </w:t>
      </w:r>
      <w:r w:rsidR="001D11E6" w:rsidRPr="00231828">
        <w:rPr>
          <w:rFonts w:ascii="Arial" w:hAnsi="Arial" w:cs="Arial"/>
          <w:bCs/>
        </w:rPr>
        <w:t>(</w:t>
      </w:r>
      <w:r w:rsidR="001D11E6" w:rsidRPr="00231828">
        <w:rPr>
          <w:rFonts w:ascii="Arial" w:hAnsi="Arial" w:cs="Arial"/>
        </w:rPr>
        <w:t>El-</w:t>
      </w:r>
      <w:proofErr w:type="spellStart"/>
      <w:r w:rsidR="001D11E6" w:rsidRPr="00231828">
        <w:rPr>
          <w:rFonts w:ascii="Arial" w:hAnsi="Arial" w:cs="Arial"/>
        </w:rPr>
        <w:t>Ghaiesh</w:t>
      </w:r>
      <w:proofErr w:type="spellEnd"/>
      <w:r w:rsidR="001D11E6" w:rsidRPr="00231828">
        <w:rPr>
          <w:rFonts w:ascii="Arial" w:hAnsi="Arial" w:cs="Arial"/>
        </w:rPr>
        <w:t xml:space="preserve"> </w:t>
      </w:r>
      <w:r w:rsidR="001D11E6" w:rsidRPr="00231828">
        <w:rPr>
          <w:rFonts w:ascii="Arial" w:hAnsi="Arial" w:cs="Arial"/>
          <w:i/>
        </w:rPr>
        <w:t>et al.</w:t>
      </w:r>
      <w:r w:rsidR="001D11E6" w:rsidRPr="00231828">
        <w:rPr>
          <w:rFonts w:ascii="Arial" w:hAnsi="Arial" w:cs="Arial"/>
        </w:rPr>
        <w:t xml:space="preserve"> 2012, Jenkins </w:t>
      </w:r>
      <w:r w:rsidR="001D11E6" w:rsidRPr="00231828">
        <w:rPr>
          <w:rFonts w:ascii="Arial" w:hAnsi="Arial" w:cs="Arial"/>
          <w:i/>
        </w:rPr>
        <w:t>et al.</w:t>
      </w:r>
      <w:r w:rsidR="001D11E6" w:rsidRPr="00231828">
        <w:rPr>
          <w:rFonts w:ascii="Arial" w:hAnsi="Arial" w:cs="Arial"/>
        </w:rPr>
        <w:t xml:space="preserve"> 2013)</w:t>
      </w:r>
      <w:r w:rsidR="002D7C75" w:rsidRPr="00231828">
        <w:rPr>
          <w:rFonts w:ascii="Arial" w:hAnsi="Arial" w:cs="Arial"/>
        </w:rPr>
        <w:t xml:space="preserve">. For these </w:t>
      </w:r>
      <w:r w:rsidR="00831B0A" w:rsidRPr="00231828">
        <w:rPr>
          <w:rFonts w:ascii="Arial" w:hAnsi="Arial" w:cs="Arial"/>
        </w:rPr>
        <w:t>3</w:t>
      </w:r>
      <w:r w:rsidR="002D7C75" w:rsidRPr="00231828">
        <w:rPr>
          <w:rFonts w:ascii="Arial" w:hAnsi="Arial" w:cs="Arial"/>
        </w:rPr>
        <w:t xml:space="preserve"> </w:t>
      </w:r>
      <w:r w:rsidR="00831B0A" w:rsidRPr="00231828">
        <w:rPr>
          <w:rFonts w:ascii="Arial" w:hAnsi="Arial" w:cs="Arial"/>
        </w:rPr>
        <w:t>compounds</w:t>
      </w:r>
      <w:r w:rsidR="002D7C75" w:rsidRPr="00231828">
        <w:rPr>
          <w:rFonts w:ascii="Arial" w:hAnsi="Arial" w:cs="Arial"/>
        </w:rPr>
        <w:t>,</w:t>
      </w:r>
      <w:r w:rsidR="00A80C40" w:rsidRPr="00231828">
        <w:rPr>
          <w:rFonts w:ascii="Arial" w:hAnsi="Arial" w:cs="Arial"/>
        </w:rPr>
        <w:t xml:space="preserve"> drug haptens </w:t>
      </w:r>
      <w:r w:rsidR="002D7C75" w:rsidRPr="00231828">
        <w:rPr>
          <w:rFonts w:ascii="Arial" w:hAnsi="Arial" w:cs="Arial"/>
        </w:rPr>
        <w:t xml:space="preserve">have been detected in patients and </w:t>
      </w:r>
      <w:r w:rsidR="00A80C40" w:rsidRPr="00231828">
        <w:rPr>
          <w:rFonts w:ascii="Arial" w:hAnsi="Arial" w:cs="Arial"/>
        </w:rPr>
        <w:t>are known to act as T cell antigens</w:t>
      </w:r>
      <w:r w:rsidR="001D11E6" w:rsidRPr="00231828">
        <w:rPr>
          <w:rFonts w:ascii="Arial" w:hAnsi="Arial" w:cs="Arial"/>
        </w:rPr>
        <w:t>.</w:t>
      </w:r>
    </w:p>
    <w:p w:rsidR="00831B0A" w:rsidRPr="008E0A5E" w:rsidRDefault="00831B0A" w:rsidP="00231828">
      <w:pPr>
        <w:spacing w:line="480" w:lineRule="auto"/>
        <w:jc w:val="both"/>
        <w:rPr>
          <w:rFonts w:ascii="Arial" w:hAnsi="Arial" w:cs="Arial"/>
          <w:szCs w:val="20"/>
        </w:rPr>
      </w:pPr>
      <w:r w:rsidRPr="008E0A5E">
        <w:rPr>
          <w:rFonts w:ascii="Arial" w:hAnsi="Arial" w:cs="Arial"/>
          <w:szCs w:val="20"/>
        </w:rPr>
        <w:t>Amoxicillin and p</w:t>
      </w:r>
      <w:r w:rsidRPr="008E0A5E">
        <w:rPr>
          <w:rFonts w:ascii="Arial" w:hAnsi="Arial" w:cs="Arial"/>
          <w:bCs/>
          <w:szCs w:val="20"/>
        </w:rPr>
        <w:t xml:space="preserve">iperacillin-specific T cells have been detected in </w:t>
      </w:r>
      <w:r w:rsidR="00835A40" w:rsidRPr="008E0A5E">
        <w:rPr>
          <w:rFonts w:ascii="Arial" w:hAnsi="Arial" w:cs="Arial"/>
          <w:bCs/>
          <w:szCs w:val="20"/>
        </w:rPr>
        <w:t>patients</w:t>
      </w:r>
      <w:r w:rsidRPr="008E0A5E">
        <w:rPr>
          <w:rFonts w:ascii="Arial" w:hAnsi="Arial" w:cs="Arial"/>
          <w:bCs/>
          <w:szCs w:val="20"/>
        </w:rPr>
        <w:t xml:space="preserve"> </w:t>
      </w:r>
      <w:r w:rsidR="00835A40" w:rsidRPr="008E0A5E">
        <w:rPr>
          <w:rFonts w:ascii="Arial" w:hAnsi="Arial" w:cs="Arial"/>
          <w:bCs/>
          <w:szCs w:val="20"/>
        </w:rPr>
        <w:t xml:space="preserve">with </w:t>
      </w:r>
      <w:r w:rsidRPr="008E0A5E">
        <w:rPr>
          <w:rFonts w:ascii="Arial" w:hAnsi="Arial" w:cs="Arial"/>
          <w:bCs/>
          <w:szCs w:val="20"/>
        </w:rPr>
        <w:t>cutaneous hypersensitivity reactions but not in non-hypersensitive patients or normal volunteers (</w:t>
      </w:r>
      <w:r w:rsidRPr="008E0A5E">
        <w:rPr>
          <w:rFonts w:ascii="Arial" w:hAnsi="Arial" w:cs="Arial"/>
          <w:szCs w:val="20"/>
        </w:rPr>
        <w:t>El-</w:t>
      </w:r>
      <w:proofErr w:type="spellStart"/>
      <w:r w:rsidRPr="008E0A5E">
        <w:rPr>
          <w:rFonts w:ascii="Arial" w:hAnsi="Arial" w:cs="Arial"/>
          <w:szCs w:val="20"/>
        </w:rPr>
        <w:lastRenderedPageBreak/>
        <w:t>Ghaiesh</w:t>
      </w:r>
      <w:proofErr w:type="spellEnd"/>
      <w:r w:rsidRPr="008E0A5E">
        <w:rPr>
          <w:rFonts w:ascii="Arial" w:hAnsi="Arial" w:cs="Arial"/>
          <w:szCs w:val="20"/>
        </w:rPr>
        <w:t xml:space="preserve"> </w:t>
      </w:r>
      <w:r w:rsidRPr="008E0A5E">
        <w:rPr>
          <w:rFonts w:ascii="Arial" w:hAnsi="Arial" w:cs="Arial"/>
          <w:i/>
          <w:szCs w:val="20"/>
        </w:rPr>
        <w:t>et al.</w:t>
      </w:r>
      <w:r w:rsidRPr="008E0A5E">
        <w:rPr>
          <w:rFonts w:ascii="Arial" w:hAnsi="Arial" w:cs="Arial"/>
          <w:szCs w:val="20"/>
        </w:rPr>
        <w:t xml:space="preserve"> 2012, Jenkins </w:t>
      </w:r>
      <w:r w:rsidRPr="008E0A5E">
        <w:rPr>
          <w:rFonts w:ascii="Arial" w:hAnsi="Arial" w:cs="Arial"/>
          <w:i/>
          <w:szCs w:val="20"/>
        </w:rPr>
        <w:t>et al.</w:t>
      </w:r>
      <w:r w:rsidRPr="008E0A5E">
        <w:rPr>
          <w:rFonts w:ascii="Arial" w:hAnsi="Arial" w:cs="Arial"/>
          <w:szCs w:val="20"/>
        </w:rPr>
        <w:t xml:space="preserve"> 2013). Both drugs are </w:t>
      </w:r>
      <w:r w:rsidR="008E0A5E">
        <w:rPr>
          <w:rFonts w:ascii="Arial" w:hAnsi="Arial" w:cs="Arial"/>
          <w:szCs w:val="20"/>
        </w:rPr>
        <w:t>β</w:t>
      </w:r>
      <w:r w:rsidRPr="008E0A5E">
        <w:rPr>
          <w:rFonts w:ascii="Arial" w:hAnsi="Arial" w:cs="Arial"/>
          <w:szCs w:val="20"/>
        </w:rPr>
        <w:t>-lactam antibiotic</w:t>
      </w:r>
      <w:r w:rsidR="008E0A5E">
        <w:rPr>
          <w:rFonts w:ascii="Arial" w:hAnsi="Arial" w:cs="Arial"/>
          <w:szCs w:val="20"/>
        </w:rPr>
        <w:t>s</w:t>
      </w:r>
      <w:r w:rsidRPr="008E0A5E">
        <w:rPr>
          <w:rFonts w:ascii="Arial" w:hAnsi="Arial" w:cs="Arial"/>
          <w:szCs w:val="20"/>
        </w:rPr>
        <w:t xml:space="preserve"> that bind spontaneously to lysine residues on protein. </w:t>
      </w:r>
      <w:r w:rsidR="008E0A5E" w:rsidRPr="008E0A5E">
        <w:rPr>
          <w:rFonts w:ascii="Arial" w:hAnsi="Arial" w:cs="Arial"/>
          <w:szCs w:val="20"/>
        </w:rPr>
        <w:t>Naïve T cells were activated by amoxicillin and piperacillin in the DC priming assay. Good or strong proliferative responses and IFN</w:t>
      </w:r>
      <w:r w:rsidR="008E0A5E">
        <w:rPr>
          <w:rFonts w:ascii="Arial" w:hAnsi="Arial" w:cs="Arial"/>
          <w:szCs w:val="20"/>
        </w:rPr>
        <w:sym w:font="Symbol" w:char="F067"/>
      </w:r>
      <w:r w:rsidR="008E0A5E" w:rsidRPr="008E0A5E">
        <w:rPr>
          <w:rFonts w:ascii="Arial" w:hAnsi="Arial" w:cs="Arial"/>
          <w:szCs w:val="20"/>
        </w:rPr>
        <w:t xml:space="preserve"> release were observed, from all 5 donors, when primed T cells were </w:t>
      </w:r>
      <w:proofErr w:type="spellStart"/>
      <w:r w:rsidR="008E0A5E" w:rsidRPr="008E0A5E">
        <w:rPr>
          <w:rFonts w:ascii="Arial" w:hAnsi="Arial" w:cs="Arial"/>
          <w:szCs w:val="20"/>
        </w:rPr>
        <w:t>restimulated</w:t>
      </w:r>
      <w:proofErr w:type="spellEnd"/>
      <w:r w:rsidR="008E0A5E" w:rsidRPr="008E0A5E">
        <w:rPr>
          <w:rFonts w:ascii="Arial" w:hAnsi="Arial" w:cs="Arial"/>
          <w:szCs w:val="20"/>
        </w:rPr>
        <w:t xml:space="preserve"> with piperacillin.</w:t>
      </w:r>
      <w:r w:rsidR="008E0A5E">
        <w:rPr>
          <w:rFonts w:ascii="Arial" w:hAnsi="Arial" w:cs="Arial"/>
          <w:szCs w:val="20"/>
        </w:rPr>
        <w:t xml:space="preserve"> </w:t>
      </w:r>
      <w:r w:rsidR="008E0A5E" w:rsidRPr="008E0A5E">
        <w:rPr>
          <w:rFonts w:ascii="Arial" w:hAnsi="Arial" w:cs="Arial"/>
          <w:szCs w:val="20"/>
        </w:rPr>
        <w:t>With amoxicillin, good or strong proliferative responses and/or cytokine release were detected in 3 donors, weak responses were detected in 4 further donors and 2 donors were negative (Figure 4; Table 3).</w:t>
      </w:r>
    </w:p>
    <w:p w:rsidR="008C3217" w:rsidRPr="00231828" w:rsidRDefault="008C3217" w:rsidP="00231828">
      <w:pPr>
        <w:spacing w:line="480" w:lineRule="auto"/>
        <w:jc w:val="both"/>
        <w:rPr>
          <w:rFonts w:ascii="Arial" w:hAnsi="Arial" w:cs="Arial"/>
        </w:rPr>
      </w:pPr>
      <w:r w:rsidRPr="00231828">
        <w:rPr>
          <w:rFonts w:ascii="Arial" w:hAnsi="Arial" w:cs="Arial"/>
        </w:rPr>
        <w:t xml:space="preserve">Memory </w:t>
      </w:r>
      <w:r w:rsidR="005F4CAC" w:rsidRPr="00231828">
        <w:rPr>
          <w:rFonts w:ascii="Arial" w:hAnsi="Arial" w:cs="Arial"/>
        </w:rPr>
        <w:t xml:space="preserve">T cell responses to </w:t>
      </w:r>
      <w:proofErr w:type="spellStart"/>
      <w:r w:rsidR="005F4CAC" w:rsidRPr="00231828">
        <w:rPr>
          <w:rFonts w:ascii="Arial" w:hAnsi="Arial" w:cs="Arial"/>
        </w:rPr>
        <w:t>Bandrowski’s</w:t>
      </w:r>
      <w:proofErr w:type="spellEnd"/>
      <w:r w:rsidR="005F4CAC" w:rsidRPr="00231828">
        <w:rPr>
          <w:rFonts w:ascii="Arial" w:hAnsi="Arial" w:cs="Arial"/>
        </w:rPr>
        <w:t xml:space="preserve"> base </w:t>
      </w:r>
      <w:r w:rsidR="005F4CAC" w:rsidRPr="00231828">
        <w:rPr>
          <w:rFonts w:ascii="Arial" w:hAnsi="Arial" w:cs="Arial"/>
          <w:bCs/>
        </w:rPr>
        <w:t xml:space="preserve">can be </w:t>
      </w:r>
      <w:r w:rsidR="00A0683B" w:rsidRPr="00231828">
        <w:rPr>
          <w:rFonts w:ascii="Arial" w:hAnsi="Arial" w:cs="Arial"/>
          <w:bCs/>
        </w:rPr>
        <w:t xml:space="preserve">detected in both patients </w:t>
      </w:r>
      <w:r w:rsidR="00D11A34" w:rsidRPr="00231828">
        <w:rPr>
          <w:rFonts w:ascii="Arial" w:hAnsi="Arial" w:cs="Arial"/>
          <w:bCs/>
        </w:rPr>
        <w:t xml:space="preserve">hypersensitive </w:t>
      </w:r>
      <w:r w:rsidR="00A0683B" w:rsidRPr="00231828">
        <w:rPr>
          <w:rFonts w:ascii="Arial" w:hAnsi="Arial" w:cs="Arial"/>
          <w:bCs/>
        </w:rPr>
        <w:t xml:space="preserve">to the hair dye component, </w:t>
      </w:r>
      <w:r w:rsidR="00A0683B" w:rsidRPr="00231828">
        <w:rPr>
          <w:rFonts w:ascii="Arial" w:hAnsi="Arial" w:cs="Arial"/>
          <w:i/>
        </w:rPr>
        <w:t>p</w:t>
      </w:r>
      <w:r w:rsidR="00A0683B" w:rsidRPr="00231828">
        <w:rPr>
          <w:rFonts w:ascii="Arial" w:hAnsi="Arial" w:cs="Arial"/>
        </w:rPr>
        <w:t>-</w:t>
      </w:r>
      <w:proofErr w:type="spellStart"/>
      <w:r w:rsidR="00A0683B" w:rsidRPr="00231828">
        <w:rPr>
          <w:rFonts w:ascii="Arial" w:hAnsi="Arial" w:cs="Arial"/>
        </w:rPr>
        <w:t>phenylenediamine</w:t>
      </w:r>
      <w:proofErr w:type="spellEnd"/>
      <w:r w:rsidR="00A0683B" w:rsidRPr="00231828">
        <w:rPr>
          <w:rFonts w:ascii="Arial" w:hAnsi="Arial" w:cs="Arial"/>
        </w:rPr>
        <w:t xml:space="preserve">, and </w:t>
      </w:r>
      <w:r w:rsidR="005F4CAC" w:rsidRPr="00231828">
        <w:rPr>
          <w:rFonts w:ascii="Arial" w:hAnsi="Arial" w:cs="Arial"/>
          <w:bCs/>
        </w:rPr>
        <w:t>in normal volunteers</w:t>
      </w:r>
      <w:r w:rsidR="001D11E6" w:rsidRPr="00231828">
        <w:rPr>
          <w:rFonts w:ascii="Arial" w:hAnsi="Arial" w:cs="Arial"/>
          <w:bCs/>
        </w:rPr>
        <w:t xml:space="preserve"> </w:t>
      </w:r>
      <w:r w:rsidR="001D11E6" w:rsidRPr="00231828">
        <w:rPr>
          <w:rFonts w:ascii="Arial" w:hAnsi="Arial" w:cs="Arial"/>
        </w:rPr>
        <w:t xml:space="preserve">(Coulter </w:t>
      </w:r>
      <w:r w:rsidR="001D11E6" w:rsidRPr="00231828">
        <w:rPr>
          <w:rFonts w:ascii="Arial" w:hAnsi="Arial" w:cs="Arial"/>
          <w:i/>
        </w:rPr>
        <w:t>et al</w:t>
      </w:r>
      <w:r w:rsidR="001D11E6" w:rsidRPr="00231828">
        <w:rPr>
          <w:rFonts w:ascii="Arial" w:hAnsi="Arial" w:cs="Arial"/>
        </w:rPr>
        <w:t xml:space="preserve">. 2008, Jenkinson </w:t>
      </w:r>
      <w:r w:rsidR="001D11E6" w:rsidRPr="00231828">
        <w:rPr>
          <w:rFonts w:ascii="Arial" w:hAnsi="Arial" w:cs="Arial"/>
          <w:i/>
        </w:rPr>
        <w:t>et al</w:t>
      </w:r>
      <w:r w:rsidR="001D11E6" w:rsidRPr="00231828">
        <w:rPr>
          <w:rFonts w:ascii="Arial" w:hAnsi="Arial" w:cs="Arial"/>
        </w:rPr>
        <w:t xml:space="preserve">. 2010). </w:t>
      </w:r>
      <w:r w:rsidRPr="00231828">
        <w:rPr>
          <w:rFonts w:ascii="Arial" w:hAnsi="Arial" w:cs="Arial"/>
        </w:rPr>
        <w:t xml:space="preserve">The DC priming assay was performed with PBMCs from normal volunteers to determine whether </w:t>
      </w:r>
      <w:proofErr w:type="spellStart"/>
      <w:r w:rsidR="00D11A34" w:rsidRPr="00231828">
        <w:rPr>
          <w:rFonts w:ascii="Arial" w:hAnsi="Arial" w:cs="Arial"/>
        </w:rPr>
        <w:t>Bandrowski’s</w:t>
      </w:r>
      <w:proofErr w:type="spellEnd"/>
      <w:r w:rsidR="00D11A34" w:rsidRPr="00231828">
        <w:rPr>
          <w:rFonts w:ascii="Arial" w:hAnsi="Arial" w:cs="Arial"/>
        </w:rPr>
        <w:t xml:space="preserve"> base </w:t>
      </w:r>
      <w:r w:rsidRPr="00231828">
        <w:rPr>
          <w:rFonts w:ascii="Arial" w:hAnsi="Arial" w:cs="Arial"/>
        </w:rPr>
        <w:t xml:space="preserve">also activates naïve T cells. </w:t>
      </w:r>
      <w:r w:rsidR="00D11A34" w:rsidRPr="00231828">
        <w:rPr>
          <w:rFonts w:ascii="Arial" w:hAnsi="Arial" w:cs="Arial"/>
        </w:rPr>
        <w:t>A</w:t>
      </w:r>
      <w:r w:rsidR="004C718E" w:rsidRPr="00231828">
        <w:rPr>
          <w:rFonts w:ascii="Arial" w:hAnsi="Arial" w:cs="Arial"/>
        </w:rPr>
        <w:t xml:space="preserve">ll volunteers showed </w:t>
      </w:r>
      <w:r w:rsidRPr="00231828">
        <w:rPr>
          <w:rFonts w:ascii="Arial" w:hAnsi="Arial" w:cs="Arial"/>
        </w:rPr>
        <w:t>good or strong response</w:t>
      </w:r>
      <w:r w:rsidR="00D11A34" w:rsidRPr="00231828">
        <w:rPr>
          <w:rFonts w:ascii="Arial" w:hAnsi="Arial" w:cs="Arial"/>
        </w:rPr>
        <w:t>s</w:t>
      </w:r>
      <w:r w:rsidRPr="00231828">
        <w:rPr>
          <w:rFonts w:ascii="Arial" w:hAnsi="Arial" w:cs="Arial"/>
        </w:rPr>
        <w:t xml:space="preserve"> to </w:t>
      </w:r>
      <w:proofErr w:type="spellStart"/>
      <w:r w:rsidR="00D11A34" w:rsidRPr="00231828">
        <w:rPr>
          <w:rFonts w:ascii="Arial" w:hAnsi="Arial" w:cs="Arial"/>
        </w:rPr>
        <w:t>Bandrowski’s</w:t>
      </w:r>
      <w:proofErr w:type="spellEnd"/>
      <w:r w:rsidR="00D11A34" w:rsidRPr="00231828">
        <w:rPr>
          <w:rFonts w:ascii="Arial" w:hAnsi="Arial" w:cs="Arial"/>
        </w:rPr>
        <w:t xml:space="preserve"> base</w:t>
      </w:r>
      <w:r w:rsidRPr="00231828">
        <w:rPr>
          <w:rFonts w:ascii="Arial" w:hAnsi="Arial" w:cs="Arial"/>
        </w:rPr>
        <w:t xml:space="preserve"> in at least one readout and at least half the volunteers s</w:t>
      </w:r>
      <w:r w:rsidR="00467E6D" w:rsidRPr="00231828">
        <w:rPr>
          <w:rFonts w:ascii="Arial" w:hAnsi="Arial" w:cs="Arial"/>
        </w:rPr>
        <w:t>howed good or strong responses i</w:t>
      </w:r>
      <w:r w:rsidRPr="00231828">
        <w:rPr>
          <w:rFonts w:ascii="Arial" w:hAnsi="Arial" w:cs="Arial"/>
        </w:rPr>
        <w:t>n 2 readouts (</w:t>
      </w:r>
      <w:r w:rsidR="00835A40" w:rsidRPr="00231828">
        <w:rPr>
          <w:rFonts w:ascii="Arial" w:hAnsi="Arial" w:cs="Arial"/>
        </w:rPr>
        <w:t xml:space="preserve">Figure 4; </w:t>
      </w:r>
      <w:r w:rsidRPr="00231828">
        <w:rPr>
          <w:rFonts w:ascii="Arial" w:hAnsi="Arial" w:cs="Arial"/>
        </w:rPr>
        <w:t xml:space="preserve">Table </w:t>
      </w:r>
      <w:r w:rsidR="004C718E" w:rsidRPr="00231828">
        <w:rPr>
          <w:rFonts w:ascii="Arial" w:hAnsi="Arial" w:cs="Arial"/>
        </w:rPr>
        <w:t>3</w:t>
      </w:r>
      <w:r w:rsidRPr="00231828">
        <w:rPr>
          <w:rFonts w:ascii="Arial" w:hAnsi="Arial" w:cs="Arial"/>
        </w:rPr>
        <w:t>)</w:t>
      </w:r>
      <w:r w:rsidR="001365C9" w:rsidRPr="00231828">
        <w:rPr>
          <w:rFonts w:ascii="Arial" w:hAnsi="Arial" w:cs="Arial"/>
        </w:rPr>
        <w:t>.</w:t>
      </w:r>
    </w:p>
    <w:p w:rsidR="00D97E31" w:rsidRPr="00231828" w:rsidRDefault="00D97E31" w:rsidP="00231828">
      <w:pPr>
        <w:spacing w:line="480" w:lineRule="auto"/>
        <w:jc w:val="both"/>
        <w:rPr>
          <w:rFonts w:ascii="Arial" w:hAnsi="Arial" w:cs="Arial"/>
        </w:rPr>
      </w:pPr>
      <w:r w:rsidRPr="00231828">
        <w:rPr>
          <w:rFonts w:ascii="Arial" w:hAnsi="Arial" w:cs="Arial"/>
          <w:b/>
          <w:i/>
        </w:rPr>
        <w:t xml:space="preserve">T cell priming to </w:t>
      </w:r>
      <w:r w:rsidR="00F32535" w:rsidRPr="00231828">
        <w:rPr>
          <w:rFonts w:ascii="Arial" w:hAnsi="Arial" w:cs="Arial"/>
          <w:b/>
          <w:i/>
        </w:rPr>
        <w:t>HLA-class I associated compounds</w:t>
      </w:r>
      <w:r w:rsidRPr="00231828">
        <w:rPr>
          <w:rFonts w:ascii="Arial" w:hAnsi="Arial" w:cs="Arial"/>
          <w:b/>
          <w:i/>
        </w:rPr>
        <w:t>.</w:t>
      </w:r>
      <w:r w:rsidRPr="00231828">
        <w:rPr>
          <w:rFonts w:ascii="Arial" w:hAnsi="Arial" w:cs="Arial"/>
        </w:rPr>
        <w:t xml:space="preserve"> </w:t>
      </w:r>
      <w:r w:rsidRPr="00231828">
        <w:rPr>
          <w:rFonts w:ascii="Arial" w:hAnsi="Arial" w:cs="Arial"/>
          <w:lang w:val="en"/>
        </w:rPr>
        <w:t xml:space="preserve">Allopurinol is one of the most common causes of </w:t>
      </w:r>
      <w:r w:rsidRPr="00231828">
        <w:rPr>
          <w:rFonts w:ascii="Arial" w:hAnsi="Arial" w:cs="Arial"/>
        </w:rPr>
        <w:t xml:space="preserve">severe cutaneous adverse reactions </w:t>
      </w:r>
      <w:r w:rsidRPr="00231828">
        <w:rPr>
          <w:rFonts w:ascii="Arial" w:hAnsi="Arial" w:cs="Arial"/>
          <w:lang w:val="en"/>
        </w:rPr>
        <w:t xml:space="preserve">in Asia and Europe. There is a strong association between these reactions and expression of HLA-B*58:01 in Han Chinese populations, in Japanese, Korean, Thai, and other Asian populations as well as European populations (Hung </w:t>
      </w:r>
      <w:r w:rsidRPr="00231828">
        <w:rPr>
          <w:rFonts w:ascii="Arial" w:hAnsi="Arial" w:cs="Arial"/>
          <w:i/>
          <w:lang w:val="en"/>
        </w:rPr>
        <w:t>et.al</w:t>
      </w:r>
      <w:r w:rsidRPr="00231828">
        <w:rPr>
          <w:rFonts w:ascii="Arial" w:hAnsi="Arial" w:cs="Arial"/>
          <w:lang w:val="en"/>
        </w:rPr>
        <w:t xml:space="preserve"> 2005). T cell responses to the allopurinol metabolite, </w:t>
      </w:r>
      <w:proofErr w:type="spellStart"/>
      <w:r w:rsidRPr="00231828">
        <w:rPr>
          <w:rFonts w:ascii="Arial" w:hAnsi="Arial" w:cs="Arial"/>
          <w:lang w:val="en"/>
        </w:rPr>
        <w:t>oxypurinol</w:t>
      </w:r>
      <w:proofErr w:type="spellEnd"/>
      <w:r w:rsidRPr="00231828">
        <w:rPr>
          <w:rFonts w:ascii="Arial" w:hAnsi="Arial" w:cs="Arial"/>
          <w:lang w:val="en"/>
        </w:rPr>
        <w:t xml:space="preserve">, can be detected in hypersensitive patients (Yun </w:t>
      </w:r>
      <w:r w:rsidRPr="00231828">
        <w:rPr>
          <w:rFonts w:ascii="Arial" w:hAnsi="Arial" w:cs="Arial"/>
          <w:i/>
          <w:lang w:val="en"/>
        </w:rPr>
        <w:t>et al.</w:t>
      </w:r>
      <w:r w:rsidRPr="00231828">
        <w:rPr>
          <w:rFonts w:ascii="Arial" w:hAnsi="Arial" w:cs="Arial"/>
          <w:lang w:val="en"/>
        </w:rPr>
        <w:t xml:space="preserve"> 2013 &amp; 2014, Lin </w:t>
      </w:r>
      <w:r w:rsidRPr="00231828">
        <w:rPr>
          <w:rFonts w:ascii="Arial" w:hAnsi="Arial" w:cs="Arial"/>
          <w:i/>
          <w:lang w:val="en"/>
        </w:rPr>
        <w:t>et al</w:t>
      </w:r>
      <w:r w:rsidRPr="00231828">
        <w:rPr>
          <w:rFonts w:ascii="Arial" w:hAnsi="Arial" w:cs="Arial"/>
          <w:lang w:val="en"/>
        </w:rPr>
        <w:t xml:space="preserve">. 2015). More importantly, the development of clinical symptoms and the presence of drug-specific T cells is restricted to HLA-B*58:01 positive patients. </w:t>
      </w:r>
      <w:r w:rsidRPr="00231828">
        <w:rPr>
          <w:rFonts w:ascii="Arial" w:hAnsi="Arial" w:cs="Arial"/>
        </w:rPr>
        <w:t>Using t</w:t>
      </w:r>
      <w:r w:rsidRPr="00231828">
        <w:rPr>
          <w:rFonts w:ascii="Arial" w:hAnsi="Arial" w:cs="Arial"/>
          <w:bCs/>
        </w:rPr>
        <w:t xml:space="preserve">he DC priming assay we attempted to generate T cell responses to </w:t>
      </w:r>
      <w:proofErr w:type="spellStart"/>
      <w:r w:rsidRPr="00231828">
        <w:rPr>
          <w:rFonts w:ascii="Arial" w:hAnsi="Arial" w:cs="Arial"/>
        </w:rPr>
        <w:t>oxypurinol</w:t>
      </w:r>
      <w:proofErr w:type="spellEnd"/>
      <w:r w:rsidRPr="00231828">
        <w:rPr>
          <w:rFonts w:ascii="Arial" w:hAnsi="Arial" w:cs="Arial"/>
        </w:rPr>
        <w:t xml:space="preserve"> from HLA-B*58:01 positive and negative vo</w:t>
      </w:r>
      <w:r w:rsidR="00386381">
        <w:rPr>
          <w:rFonts w:ascii="Arial" w:hAnsi="Arial" w:cs="Arial"/>
        </w:rPr>
        <w:t>lunteers. Two out of three HLA-</w:t>
      </w:r>
      <w:r w:rsidRPr="00231828">
        <w:rPr>
          <w:rFonts w:ascii="Arial" w:hAnsi="Arial" w:cs="Arial"/>
        </w:rPr>
        <w:t xml:space="preserve">B*58:01 volunteers showed good responses to </w:t>
      </w:r>
      <w:proofErr w:type="spellStart"/>
      <w:r w:rsidRPr="00231828">
        <w:rPr>
          <w:rFonts w:ascii="Arial" w:hAnsi="Arial" w:cs="Arial"/>
        </w:rPr>
        <w:t>oxypurinol</w:t>
      </w:r>
      <w:proofErr w:type="spellEnd"/>
      <w:r w:rsidRPr="00231828">
        <w:rPr>
          <w:rFonts w:ascii="Arial" w:hAnsi="Arial" w:cs="Arial"/>
        </w:rPr>
        <w:t xml:space="preserve"> by IFN</w:t>
      </w:r>
      <w:r w:rsidRPr="00231828">
        <w:rPr>
          <w:rFonts w:ascii="Symbol" w:hAnsi="Symbol" w:cs="Arial"/>
        </w:rPr>
        <w:t></w:t>
      </w:r>
      <w:r w:rsidRPr="00231828">
        <w:rPr>
          <w:rFonts w:ascii="Arial" w:hAnsi="Arial" w:cs="Arial"/>
        </w:rPr>
        <w:t xml:space="preserve"> </w:t>
      </w:r>
      <w:proofErr w:type="spellStart"/>
      <w:r w:rsidRPr="00231828">
        <w:rPr>
          <w:rFonts w:ascii="Arial" w:hAnsi="Arial" w:cs="Arial"/>
        </w:rPr>
        <w:t>ELISpot</w:t>
      </w:r>
      <w:proofErr w:type="spellEnd"/>
      <w:r w:rsidRPr="00231828">
        <w:rPr>
          <w:rFonts w:ascii="Arial" w:hAnsi="Arial" w:cs="Arial"/>
        </w:rPr>
        <w:t xml:space="preserve"> (</w:t>
      </w:r>
      <w:r w:rsidR="00386381">
        <w:rPr>
          <w:rFonts w:ascii="Arial" w:hAnsi="Arial" w:cs="Arial"/>
        </w:rPr>
        <w:t>Table 4), whereas all four HLA-</w:t>
      </w:r>
      <w:r w:rsidRPr="00231828">
        <w:rPr>
          <w:rFonts w:ascii="Arial" w:hAnsi="Arial" w:cs="Arial"/>
        </w:rPr>
        <w:t>B*58:01 negative volunteers were negative</w:t>
      </w:r>
      <w:r w:rsidR="008E0A5E">
        <w:rPr>
          <w:rFonts w:ascii="Arial" w:hAnsi="Arial" w:cs="Arial"/>
        </w:rPr>
        <w:t xml:space="preserve"> in both readouts (data not shown)</w:t>
      </w:r>
      <w:r w:rsidRPr="00231828">
        <w:rPr>
          <w:rFonts w:ascii="Arial" w:hAnsi="Arial" w:cs="Arial"/>
        </w:rPr>
        <w:t>.</w:t>
      </w:r>
    </w:p>
    <w:p w:rsidR="0020661E" w:rsidRPr="00231828" w:rsidRDefault="0020661E" w:rsidP="00231828">
      <w:pPr>
        <w:spacing w:line="480" w:lineRule="auto"/>
        <w:jc w:val="both"/>
        <w:rPr>
          <w:rFonts w:ascii="Arial" w:hAnsi="Arial" w:cs="Arial"/>
        </w:rPr>
      </w:pPr>
      <w:r w:rsidRPr="00231828">
        <w:rPr>
          <w:rFonts w:ascii="Arial" w:hAnsi="Arial" w:cs="Arial"/>
        </w:rPr>
        <w:lastRenderedPageBreak/>
        <w:t>Flucloxacillin</w:t>
      </w:r>
      <w:r w:rsidR="00B84B7F" w:rsidRPr="00231828">
        <w:rPr>
          <w:rFonts w:ascii="Arial" w:hAnsi="Arial" w:cs="Arial"/>
        </w:rPr>
        <w:t>-specific T cells can be isolated from patients with drug-induced liver injury (</w:t>
      </w:r>
      <w:proofErr w:type="spellStart"/>
      <w:r w:rsidR="00B84B7F" w:rsidRPr="00231828">
        <w:rPr>
          <w:rFonts w:ascii="Arial" w:hAnsi="Arial" w:cs="Arial"/>
        </w:rPr>
        <w:t>Monshi</w:t>
      </w:r>
      <w:proofErr w:type="spellEnd"/>
      <w:r w:rsidR="00B84B7F" w:rsidRPr="00231828">
        <w:rPr>
          <w:rFonts w:ascii="Arial" w:hAnsi="Arial" w:cs="Arial"/>
        </w:rPr>
        <w:t xml:space="preserve"> </w:t>
      </w:r>
      <w:r w:rsidR="00685E57" w:rsidRPr="00231828">
        <w:rPr>
          <w:rFonts w:ascii="Arial" w:hAnsi="Arial" w:cs="Arial"/>
          <w:i/>
        </w:rPr>
        <w:t>et al.</w:t>
      </w:r>
      <w:r w:rsidR="00685E57" w:rsidRPr="00231828">
        <w:rPr>
          <w:rFonts w:ascii="Arial" w:hAnsi="Arial" w:cs="Arial"/>
        </w:rPr>
        <w:t xml:space="preserve"> </w:t>
      </w:r>
      <w:r w:rsidR="00B84B7F" w:rsidRPr="00231828">
        <w:rPr>
          <w:rFonts w:ascii="Arial" w:hAnsi="Arial" w:cs="Arial"/>
        </w:rPr>
        <w:t>2013). Using t</w:t>
      </w:r>
      <w:r w:rsidRPr="00231828">
        <w:rPr>
          <w:rFonts w:ascii="Arial" w:hAnsi="Arial" w:cs="Arial"/>
          <w:bCs/>
        </w:rPr>
        <w:t>he DC priming assay</w:t>
      </w:r>
      <w:r w:rsidR="00B84B7F" w:rsidRPr="00231828">
        <w:rPr>
          <w:rFonts w:ascii="Arial" w:hAnsi="Arial" w:cs="Arial"/>
          <w:bCs/>
        </w:rPr>
        <w:t xml:space="preserve"> we attempted to generate T cell responses to </w:t>
      </w:r>
      <w:r w:rsidRPr="00231828">
        <w:rPr>
          <w:rFonts w:ascii="Arial" w:hAnsi="Arial" w:cs="Arial"/>
        </w:rPr>
        <w:t xml:space="preserve">flucloxacillin from 5 HLA-B*57:01 positive and 4 </w:t>
      </w:r>
      <w:r w:rsidR="006F35DD" w:rsidRPr="00231828">
        <w:rPr>
          <w:rFonts w:ascii="Arial" w:hAnsi="Arial" w:cs="Arial"/>
        </w:rPr>
        <w:t xml:space="preserve">HLA-B-57:01 negative </w:t>
      </w:r>
      <w:proofErr w:type="gramStart"/>
      <w:r w:rsidR="006F35DD" w:rsidRPr="00231828">
        <w:rPr>
          <w:rFonts w:ascii="Arial" w:hAnsi="Arial" w:cs="Arial"/>
        </w:rPr>
        <w:t>volunteers</w:t>
      </w:r>
      <w:proofErr w:type="gramEnd"/>
      <w:r w:rsidR="006F35DD" w:rsidRPr="00231828">
        <w:rPr>
          <w:rFonts w:ascii="Arial" w:hAnsi="Arial" w:cs="Arial"/>
        </w:rPr>
        <w:t xml:space="preserve">. </w:t>
      </w:r>
      <w:r w:rsidRPr="00231828">
        <w:rPr>
          <w:rFonts w:ascii="Arial" w:hAnsi="Arial" w:cs="Arial"/>
        </w:rPr>
        <w:t xml:space="preserve">One donor had a good response and the remaining 4 volunteers showed </w:t>
      </w:r>
      <w:r w:rsidR="00B84B7F" w:rsidRPr="00231828">
        <w:rPr>
          <w:rFonts w:ascii="Arial" w:hAnsi="Arial" w:cs="Arial"/>
        </w:rPr>
        <w:t>only</w:t>
      </w:r>
      <w:r w:rsidRPr="00231828">
        <w:rPr>
          <w:rFonts w:ascii="Arial" w:hAnsi="Arial" w:cs="Arial"/>
        </w:rPr>
        <w:t xml:space="preserve"> weak res</w:t>
      </w:r>
      <w:r w:rsidR="00685E57" w:rsidRPr="00231828">
        <w:rPr>
          <w:rFonts w:ascii="Arial" w:hAnsi="Arial" w:cs="Arial"/>
        </w:rPr>
        <w:t>ponse</w:t>
      </w:r>
      <w:r w:rsidR="002D7C75" w:rsidRPr="00231828">
        <w:rPr>
          <w:rFonts w:ascii="Arial" w:hAnsi="Arial" w:cs="Arial"/>
        </w:rPr>
        <w:t>s</w:t>
      </w:r>
      <w:r w:rsidR="00685E57" w:rsidRPr="00231828">
        <w:rPr>
          <w:rFonts w:ascii="Arial" w:hAnsi="Arial" w:cs="Arial"/>
        </w:rPr>
        <w:t xml:space="preserve"> to flucloxacillin (</w:t>
      </w:r>
      <w:r w:rsidRPr="00231828">
        <w:rPr>
          <w:rFonts w:ascii="Arial" w:hAnsi="Arial" w:cs="Arial"/>
        </w:rPr>
        <w:t xml:space="preserve">Table </w:t>
      </w:r>
      <w:r w:rsidR="00835A40" w:rsidRPr="00231828">
        <w:rPr>
          <w:rFonts w:ascii="Arial" w:hAnsi="Arial" w:cs="Arial"/>
        </w:rPr>
        <w:t>4</w:t>
      </w:r>
      <w:r w:rsidRPr="00231828">
        <w:rPr>
          <w:rFonts w:ascii="Arial" w:hAnsi="Arial" w:cs="Arial"/>
        </w:rPr>
        <w:t xml:space="preserve">).  Four out of 5 volunteers only had a response in a single readout. For 3 of these volunteers chemokine receptor expression was obtained. All 3 volunteers showed higher expression of CCR2, CCR4, CCR9 and CXCR3 on CD45RO positive cells compared to CD45RO negative cells (Figure </w:t>
      </w:r>
      <w:r w:rsidR="00835A40" w:rsidRPr="00231828">
        <w:rPr>
          <w:rFonts w:ascii="Arial" w:hAnsi="Arial" w:cs="Arial"/>
        </w:rPr>
        <w:t>5</w:t>
      </w:r>
      <w:r w:rsidR="00F32535" w:rsidRPr="00231828">
        <w:rPr>
          <w:rFonts w:ascii="Arial" w:hAnsi="Arial" w:cs="Arial"/>
        </w:rPr>
        <w:t>)</w:t>
      </w:r>
      <w:r w:rsidRPr="00231828">
        <w:rPr>
          <w:rFonts w:ascii="Arial" w:hAnsi="Arial" w:cs="Arial"/>
        </w:rPr>
        <w:t>. Next we wanted to see whether we could prime T cells to flucloxacillin in 4 volunteers without the risk allele. Three volunteers were negative in at least 4 different readouts and one donor had a weak IL-13 response (</w:t>
      </w:r>
      <w:r w:rsidR="008E0A5E">
        <w:rPr>
          <w:rFonts w:ascii="Arial" w:hAnsi="Arial" w:cs="Arial"/>
        </w:rPr>
        <w:t>data</w:t>
      </w:r>
      <w:r w:rsidR="00D97E31" w:rsidRPr="00231828">
        <w:rPr>
          <w:rFonts w:ascii="Arial" w:hAnsi="Arial" w:cs="Arial"/>
        </w:rPr>
        <w:t xml:space="preserve"> not shown</w:t>
      </w:r>
      <w:r w:rsidRPr="00231828">
        <w:rPr>
          <w:rFonts w:ascii="Arial" w:hAnsi="Arial" w:cs="Arial"/>
        </w:rPr>
        <w:t>).</w:t>
      </w:r>
    </w:p>
    <w:p w:rsidR="00EE5F9D" w:rsidRPr="00231828" w:rsidRDefault="00AF05F9" w:rsidP="00231828">
      <w:pPr>
        <w:spacing w:line="480" w:lineRule="auto"/>
        <w:jc w:val="both"/>
        <w:rPr>
          <w:rFonts w:ascii="Arial" w:hAnsi="Arial" w:cs="Arial"/>
        </w:rPr>
      </w:pPr>
      <w:r w:rsidRPr="00231828">
        <w:rPr>
          <w:rFonts w:ascii="Arial" w:hAnsi="Arial" w:cs="Arial"/>
        </w:rPr>
        <w:t xml:space="preserve">Severe </w:t>
      </w:r>
      <w:r w:rsidR="002A3307" w:rsidRPr="00231828">
        <w:rPr>
          <w:rFonts w:ascii="Arial" w:hAnsi="Arial" w:cs="Arial"/>
          <w:bCs/>
        </w:rPr>
        <w:t>cutaneous hypersensitivity reactions</w:t>
      </w:r>
      <w:r w:rsidR="00F65E89" w:rsidRPr="00231828">
        <w:rPr>
          <w:rFonts w:ascii="Arial" w:hAnsi="Arial" w:cs="Arial"/>
        </w:rPr>
        <w:t xml:space="preserve"> to carbamazepine </w:t>
      </w:r>
      <w:r w:rsidR="00835A40" w:rsidRPr="00231828">
        <w:rPr>
          <w:rFonts w:ascii="Arial" w:hAnsi="Arial" w:cs="Arial"/>
        </w:rPr>
        <w:t>are</w:t>
      </w:r>
      <w:r w:rsidR="00F65E89" w:rsidRPr="00231828">
        <w:rPr>
          <w:rFonts w:ascii="Arial" w:hAnsi="Arial" w:cs="Arial"/>
        </w:rPr>
        <w:t xml:space="preserve"> associated with HLA-B*15:02 in Chinese </w:t>
      </w:r>
      <w:r w:rsidRPr="00231828">
        <w:rPr>
          <w:rFonts w:ascii="Arial" w:hAnsi="Arial" w:cs="Arial"/>
        </w:rPr>
        <w:t xml:space="preserve">and Thai </w:t>
      </w:r>
      <w:r w:rsidR="00F65E89" w:rsidRPr="00231828">
        <w:rPr>
          <w:rFonts w:ascii="Arial" w:hAnsi="Arial" w:cs="Arial"/>
        </w:rPr>
        <w:t xml:space="preserve">populations </w:t>
      </w:r>
      <w:r w:rsidRPr="00231828">
        <w:rPr>
          <w:rFonts w:ascii="Arial" w:hAnsi="Arial" w:cs="Arial"/>
        </w:rPr>
        <w:t>(</w:t>
      </w:r>
      <w:proofErr w:type="spellStart"/>
      <w:r w:rsidRPr="00231828">
        <w:rPr>
          <w:rFonts w:ascii="Arial" w:hAnsi="Arial" w:cs="Arial"/>
        </w:rPr>
        <w:t>Tasseneeyakul</w:t>
      </w:r>
      <w:proofErr w:type="spellEnd"/>
      <w:r w:rsidRPr="00231828">
        <w:rPr>
          <w:rFonts w:ascii="Arial" w:hAnsi="Arial" w:cs="Arial"/>
        </w:rPr>
        <w:t xml:space="preserve"> </w:t>
      </w:r>
      <w:r w:rsidRPr="00231828">
        <w:rPr>
          <w:rFonts w:ascii="Arial" w:hAnsi="Arial" w:cs="Arial"/>
          <w:i/>
        </w:rPr>
        <w:t>et al</w:t>
      </w:r>
      <w:r w:rsidRPr="00231828">
        <w:rPr>
          <w:rFonts w:ascii="Arial" w:hAnsi="Arial" w:cs="Arial"/>
        </w:rPr>
        <w:t xml:space="preserve">. 2010, Zhang </w:t>
      </w:r>
      <w:r w:rsidRPr="00231828">
        <w:rPr>
          <w:rFonts w:ascii="Arial" w:hAnsi="Arial" w:cs="Arial"/>
          <w:i/>
        </w:rPr>
        <w:t>et al.</w:t>
      </w:r>
      <w:r w:rsidRPr="00231828">
        <w:rPr>
          <w:rFonts w:ascii="Arial" w:hAnsi="Arial" w:cs="Arial"/>
        </w:rPr>
        <w:t xml:space="preserve"> 2011) and </w:t>
      </w:r>
      <w:r w:rsidR="00F65E89" w:rsidRPr="00231828">
        <w:rPr>
          <w:rFonts w:ascii="Arial" w:hAnsi="Arial" w:cs="Arial"/>
        </w:rPr>
        <w:t>with HLA-A*31:01 in European</w:t>
      </w:r>
      <w:r w:rsidRPr="00231828">
        <w:rPr>
          <w:rFonts w:ascii="Arial" w:hAnsi="Arial" w:cs="Arial"/>
        </w:rPr>
        <w:t xml:space="preserve"> populations</w:t>
      </w:r>
      <w:r w:rsidR="00F65E89" w:rsidRPr="00231828">
        <w:rPr>
          <w:rFonts w:ascii="Arial" w:hAnsi="Arial" w:cs="Arial"/>
        </w:rPr>
        <w:t xml:space="preserve"> </w:t>
      </w:r>
      <w:r w:rsidRPr="00231828">
        <w:rPr>
          <w:rFonts w:ascii="Arial" w:hAnsi="Arial" w:cs="Arial"/>
        </w:rPr>
        <w:t xml:space="preserve">(McCormack </w:t>
      </w:r>
      <w:r w:rsidRPr="00231828">
        <w:rPr>
          <w:rFonts w:ascii="Arial" w:hAnsi="Arial" w:cs="Arial"/>
          <w:i/>
        </w:rPr>
        <w:t>et al</w:t>
      </w:r>
      <w:r w:rsidRPr="00231828">
        <w:rPr>
          <w:rFonts w:ascii="Arial" w:hAnsi="Arial" w:cs="Arial"/>
        </w:rPr>
        <w:t xml:space="preserve">. 2011). </w:t>
      </w:r>
      <w:r w:rsidR="00F65E89" w:rsidRPr="00231828">
        <w:rPr>
          <w:rFonts w:ascii="Arial" w:hAnsi="Arial" w:cs="Arial"/>
        </w:rPr>
        <w:t xml:space="preserve">Drug-specific </w:t>
      </w:r>
      <w:r w:rsidR="002A3307" w:rsidRPr="00231828">
        <w:rPr>
          <w:rFonts w:ascii="Arial" w:hAnsi="Arial" w:cs="Arial"/>
        </w:rPr>
        <w:t xml:space="preserve">CD4 and CD8 </w:t>
      </w:r>
      <w:r w:rsidR="00F65E89" w:rsidRPr="00231828">
        <w:rPr>
          <w:rFonts w:ascii="Arial" w:hAnsi="Arial" w:cs="Arial"/>
        </w:rPr>
        <w:t xml:space="preserve">T cells have been isolated from </w:t>
      </w:r>
      <w:r w:rsidRPr="00231828">
        <w:rPr>
          <w:rFonts w:ascii="Arial" w:hAnsi="Arial" w:cs="Arial"/>
        </w:rPr>
        <w:t xml:space="preserve">these </w:t>
      </w:r>
      <w:r w:rsidR="00F65E89" w:rsidRPr="00231828">
        <w:rPr>
          <w:rFonts w:ascii="Arial" w:hAnsi="Arial" w:cs="Arial"/>
        </w:rPr>
        <w:t xml:space="preserve">individuals </w:t>
      </w:r>
      <w:r w:rsidRPr="00231828">
        <w:rPr>
          <w:rFonts w:ascii="Arial" w:hAnsi="Arial" w:cs="Arial"/>
        </w:rPr>
        <w:t xml:space="preserve">(Wu </w:t>
      </w:r>
      <w:r w:rsidRPr="00231828">
        <w:rPr>
          <w:rFonts w:ascii="Arial" w:hAnsi="Arial" w:cs="Arial"/>
          <w:i/>
        </w:rPr>
        <w:t>et al</w:t>
      </w:r>
      <w:r w:rsidRPr="00231828">
        <w:rPr>
          <w:rFonts w:ascii="Arial" w:hAnsi="Arial" w:cs="Arial"/>
        </w:rPr>
        <w:t xml:space="preserve">. 2007, </w:t>
      </w:r>
      <w:proofErr w:type="spellStart"/>
      <w:proofErr w:type="gramStart"/>
      <w:r w:rsidRPr="00231828">
        <w:rPr>
          <w:rFonts w:ascii="Arial" w:hAnsi="Arial" w:cs="Arial"/>
        </w:rPr>
        <w:t>Ko</w:t>
      </w:r>
      <w:proofErr w:type="spellEnd"/>
      <w:r w:rsidRPr="00231828">
        <w:rPr>
          <w:rFonts w:ascii="Arial" w:hAnsi="Arial" w:cs="Arial"/>
        </w:rPr>
        <w:t xml:space="preserve"> </w:t>
      </w:r>
      <w:r w:rsidRPr="00231828">
        <w:rPr>
          <w:rFonts w:ascii="Arial" w:hAnsi="Arial" w:cs="Arial"/>
          <w:i/>
        </w:rPr>
        <w:t>et al</w:t>
      </w:r>
      <w:proofErr w:type="gramEnd"/>
      <w:r w:rsidRPr="00231828">
        <w:rPr>
          <w:rFonts w:ascii="Arial" w:hAnsi="Arial" w:cs="Arial"/>
          <w:i/>
        </w:rPr>
        <w:t>.</w:t>
      </w:r>
      <w:r w:rsidRPr="00231828">
        <w:rPr>
          <w:rFonts w:ascii="Arial" w:hAnsi="Arial" w:cs="Arial"/>
        </w:rPr>
        <w:t xml:space="preserve"> 2011, Wei </w:t>
      </w:r>
      <w:r w:rsidRPr="00231828">
        <w:rPr>
          <w:rFonts w:ascii="Arial" w:hAnsi="Arial" w:cs="Arial"/>
          <w:i/>
        </w:rPr>
        <w:t>et al</w:t>
      </w:r>
      <w:r w:rsidRPr="00231828">
        <w:rPr>
          <w:rFonts w:ascii="Arial" w:hAnsi="Arial" w:cs="Arial"/>
        </w:rPr>
        <w:t>. 2012</w:t>
      </w:r>
      <w:r w:rsidR="00A37D1F" w:rsidRPr="00231828">
        <w:rPr>
          <w:rFonts w:ascii="Arial" w:hAnsi="Arial" w:cs="Arial"/>
        </w:rPr>
        <w:t xml:space="preserve">, </w:t>
      </w:r>
      <w:proofErr w:type="spellStart"/>
      <w:r w:rsidR="00A37D1F" w:rsidRPr="00231828">
        <w:rPr>
          <w:rFonts w:ascii="Arial" w:hAnsi="Arial" w:cs="Arial"/>
        </w:rPr>
        <w:t>Lichtenfels</w:t>
      </w:r>
      <w:proofErr w:type="spellEnd"/>
      <w:r w:rsidR="00A37D1F" w:rsidRPr="00231828">
        <w:rPr>
          <w:rFonts w:ascii="Arial" w:hAnsi="Arial" w:cs="Arial"/>
        </w:rPr>
        <w:t xml:space="preserve"> </w:t>
      </w:r>
      <w:r w:rsidR="00A37D1F" w:rsidRPr="00231828">
        <w:rPr>
          <w:rFonts w:ascii="Arial" w:hAnsi="Arial" w:cs="Arial"/>
          <w:i/>
        </w:rPr>
        <w:t>et al.</w:t>
      </w:r>
      <w:r w:rsidR="00A37D1F" w:rsidRPr="00231828">
        <w:rPr>
          <w:rFonts w:ascii="Arial" w:hAnsi="Arial" w:cs="Arial"/>
        </w:rPr>
        <w:t xml:space="preserve"> 201</w:t>
      </w:r>
      <w:r w:rsidR="0071580E" w:rsidRPr="00231828">
        <w:rPr>
          <w:rFonts w:ascii="Arial" w:hAnsi="Arial" w:cs="Arial"/>
        </w:rPr>
        <w:t>4</w:t>
      </w:r>
      <w:r w:rsidRPr="00231828">
        <w:rPr>
          <w:rFonts w:ascii="Arial" w:hAnsi="Arial" w:cs="Arial"/>
        </w:rPr>
        <w:t>)</w:t>
      </w:r>
      <w:r w:rsidR="00A37D1F" w:rsidRPr="00231828">
        <w:rPr>
          <w:rFonts w:ascii="Arial" w:hAnsi="Arial" w:cs="Arial"/>
        </w:rPr>
        <w:t>.</w:t>
      </w:r>
      <w:r w:rsidRPr="00231828">
        <w:rPr>
          <w:rFonts w:ascii="Arial" w:hAnsi="Arial" w:cs="Arial"/>
        </w:rPr>
        <w:t xml:space="preserve"> </w:t>
      </w:r>
      <w:r w:rsidR="00A37D1F" w:rsidRPr="00231828">
        <w:rPr>
          <w:rFonts w:ascii="Arial" w:hAnsi="Arial" w:cs="Arial"/>
        </w:rPr>
        <w:t>Using t</w:t>
      </w:r>
      <w:r w:rsidR="00A37D1F" w:rsidRPr="00231828">
        <w:rPr>
          <w:rFonts w:ascii="Arial" w:hAnsi="Arial" w:cs="Arial"/>
          <w:bCs/>
        </w:rPr>
        <w:t xml:space="preserve">he DC priming assay we attempted to generate T cell responses to </w:t>
      </w:r>
      <w:r w:rsidR="004E104C" w:rsidRPr="00231828">
        <w:rPr>
          <w:rFonts w:ascii="Arial" w:hAnsi="Arial" w:cs="Arial"/>
        </w:rPr>
        <w:t xml:space="preserve">carbamazepine </w:t>
      </w:r>
      <w:r w:rsidR="00A37D1F" w:rsidRPr="00231828">
        <w:rPr>
          <w:rFonts w:ascii="Arial" w:hAnsi="Arial" w:cs="Arial"/>
        </w:rPr>
        <w:t>from</w:t>
      </w:r>
      <w:r w:rsidR="004B7EB6" w:rsidRPr="00231828">
        <w:rPr>
          <w:rFonts w:ascii="Arial" w:hAnsi="Arial" w:cs="Arial"/>
        </w:rPr>
        <w:t xml:space="preserve"> </w:t>
      </w:r>
      <w:r w:rsidR="004E104C" w:rsidRPr="00231828">
        <w:rPr>
          <w:rFonts w:ascii="Arial" w:hAnsi="Arial" w:cs="Arial"/>
        </w:rPr>
        <w:t>2 HLA-B*15</w:t>
      </w:r>
      <w:r w:rsidR="007628E8" w:rsidRPr="00231828">
        <w:rPr>
          <w:rFonts w:ascii="Arial" w:hAnsi="Arial" w:cs="Arial"/>
        </w:rPr>
        <w:t>:</w:t>
      </w:r>
      <w:r w:rsidR="004E104C" w:rsidRPr="00231828">
        <w:rPr>
          <w:rFonts w:ascii="Arial" w:hAnsi="Arial" w:cs="Arial"/>
        </w:rPr>
        <w:t xml:space="preserve">02 </w:t>
      </w:r>
      <w:r w:rsidR="00E66414" w:rsidRPr="00231828">
        <w:rPr>
          <w:rFonts w:ascii="Arial" w:hAnsi="Arial" w:cs="Arial"/>
        </w:rPr>
        <w:t>volunteers</w:t>
      </w:r>
      <w:r w:rsidR="007628E8" w:rsidRPr="00231828">
        <w:rPr>
          <w:rFonts w:ascii="Arial" w:hAnsi="Arial" w:cs="Arial"/>
        </w:rPr>
        <w:t xml:space="preserve"> and 2 HLA-A*31:01 </w:t>
      </w:r>
      <w:r w:rsidR="00E66414" w:rsidRPr="00231828">
        <w:rPr>
          <w:rFonts w:ascii="Arial" w:hAnsi="Arial" w:cs="Arial"/>
        </w:rPr>
        <w:t>volunteers</w:t>
      </w:r>
      <w:r w:rsidR="004E104C" w:rsidRPr="00231828">
        <w:rPr>
          <w:rFonts w:ascii="Arial" w:hAnsi="Arial" w:cs="Arial"/>
        </w:rPr>
        <w:t>. Both HLA-B*15</w:t>
      </w:r>
      <w:r w:rsidR="007628E8" w:rsidRPr="00231828">
        <w:rPr>
          <w:rFonts w:ascii="Arial" w:hAnsi="Arial" w:cs="Arial"/>
        </w:rPr>
        <w:t>:</w:t>
      </w:r>
      <w:r w:rsidR="004E104C" w:rsidRPr="00231828">
        <w:rPr>
          <w:rFonts w:ascii="Arial" w:hAnsi="Arial" w:cs="Arial"/>
        </w:rPr>
        <w:t xml:space="preserve">02 </w:t>
      </w:r>
      <w:r w:rsidR="00E66414" w:rsidRPr="00231828">
        <w:rPr>
          <w:rFonts w:ascii="Arial" w:hAnsi="Arial" w:cs="Arial"/>
        </w:rPr>
        <w:t>volunteers</w:t>
      </w:r>
      <w:r w:rsidR="004E104C" w:rsidRPr="00231828">
        <w:rPr>
          <w:rFonts w:ascii="Arial" w:hAnsi="Arial" w:cs="Arial"/>
        </w:rPr>
        <w:t xml:space="preserve"> </w:t>
      </w:r>
      <w:r w:rsidR="00074C82" w:rsidRPr="00231828">
        <w:rPr>
          <w:rFonts w:ascii="Arial" w:hAnsi="Arial" w:cs="Arial"/>
        </w:rPr>
        <w:t>showed</w:t>
      </w:r>
      <w:r w:rsidR="004E104C" w:rsidRPr="00231828">
        <w:rPr>
          <w:rFonts w:ascii="Arial" w:hAnsi="Arial" w:cs="Arial"/>
        </w:rPr>
        <w:t xml:space="preserve"> strong responses</w:t>
      </w:r>
      <w:r w:rsidR="00074C82" w:rsidRPr="00231828">
        <w:rPr>
          <w:rFonts w:ascii="Arial" w:hAnsi="Arial" w:cs="Arial"/>
        </w:rPr>
        <w:t xml:space="preserve"> in at least 2 readouts, however, only weak responses were detected in the HLA-A*31</w:t>
      </w:r>
      <w:r w:rsidR="007628E8" w:rsidRPr="00231828">
        <w:rPr>
          <w:rFonts w:ascii="Arial" w:hAnsi="Arial" w:cs="Arial"/>
        </w:rPr>
        <w:t>:</w:t>
      </w:r>
      <w:r w:rsidR="00074C82" w:rsidRPr="00231828">
        <w:rPr>
          <w:rFonts w:ascii="Arial" w:hAnsi="Arial" w:cs="Arial"/>
        </w:rPr>
        <w:t xml:space="preserve">01 </w:t>
      </w:r>
      <w:r w:rsidR="00E66414" w:rsidRPr="00231828">
        <w:rPr>
          <w:rFonts w:ascii="Arial" w:hAnsi="Arial" w:cs="Arial"/>
        </w:rPr>
        <w:t>volunteers</w:t>
      </w:r>
      <w:r w:rsidR="00685E57" w:rsidRPr="00231828">
        <w:rPr>
          <w:rFonts w:ascii="Arial" w:hAnsi="Arial" w:cs="Arial"/>
        </w:rPr>
        <w:t xml:space="preserve"> (Table </w:t>
      </w:r>
      <w:r w:rsidR="00CC37A5" w:rsidRPr="00231828">
        <w:rPr>
          <w:rFonts w:ascii="Arial" w:hAnsi="Arial" w:cs="Arial"/>
        </w:rPr>
        <w:t>4</w:t>
      </w:r>
      <w:r w:rsidR="004B7EB6" w:rsidRPr="00231828">
        <w:rPr>
          <w:rFonts w:ascii="Arial" w:hAnsi="Arial" w:cs="Arial"/>
        </w:rPr>
        <w:t>)</w:t>
      </w:r>
      <w:r w:rsidR="00074C82" w:rsidRPr="00231828">
        <w:rPr>
          <w:rFonts w:ascii="Arial" w:hAnsi="Arial" w:cs="Arial"/>
        </w:rPr>
        <w:t xml:space="preserve">. </w:t>
      </w:r>
      <w:r w:rsidR="0071580E" w:rsidRPr="00231828">
        <w:rPr>
          <w:rFonts w:ascii="Arial" w:hAnsi="Arial" w:cs="Arial"/>
        </w:rPr>
        <w:t xml:space="preserve">The data for </w:t>
      </w:r>
      <w:r w:rsidR="00467E6D" w:rsidRPr="00231828">
        <w:rPr>
          <w:rFonts w:ascii="Arial" w:hAnsi="Arial" w:cs="Arial"/>
        </w:rPr>
        <w:t xml:space="preserve">one of </w:t>
      </w:r>
      <w:r w:rsidR="00074C82" w:rsidRPr="00231828">
        <w:rPr>
          <w:rFonts w:ascii="Arial" w:hAnsi="Arial" w:cs="Arial"/>
        </w:rPr>
        <w:t>the HLA-B*15</w:t>
      </w:r>
      <w:r w:rsidR="007628E8" w:rsidRPr="00231828">
        <w:rPr>
          <w:rFonts w:ascii="Arial" w:hAnsi="Arial" w:cs="Arial"/>
        </w:rPr>
        <w:t>:</w:t>
      </w:r>
      <w:r w:rsidR="00074C82" w:rsidRPr="00231828">
        <w:rPr>
          <w:rFonts w:ascii="Arial" w:hAnsi="Arial" w:cs="Arial"/>
        </w:rPr>
        <w:t xml:space="preserve">02 </w:t>
      </w:r>
      <w:r w:rsidR="00E66414" w:rsidRPr="00231828">
        <w:rPr>
          <w:rFonts w:ascii="Arial" w:hAnsi="Arial" w:cs="Arial"/>
        </w:rPr>
        <w:t>volunteer</w:t>
      </w:r>
      <w:r w:rsidR="00835A40" w:rsidRPr="00231828">
        <w:rPr>
          <w:rFonts w:ascii="Arial" w:hAnsi="Arial" w:cs="Arial"/>
        </w:rPr>
        <w:t>s</w:t>
      </w:r>
      <w:r w:rsidR="0071580E" w:rsidRPr="00231828">
        <w:rPr>
          <w:rFonts w:ascii="Arial" w:hAnsi="Arial" w:cs="Arial"/>
        </w:rPr>
        <w:t xml:space="preserve"> show</w:t>
      </w:r>
      <w:r w:rsidR="00D0255A" w:rsidRPr="00231828">
        <w:rPr>
          <w:rFonts w:ascii="Arial" w:hAnsi="Arial" w:cs="Arial"/>
        </w:rPr>
        <w:t>ing</w:t>
      </w:r>
      <w:r w:rsidR="0071580E" w:rsidRPr="00231828">
        <w:rPr>
          <w:rFonts w:ascii="Arial" w:hAnsi="Arial" w:cs="Arial"/>
        </w:rPr>
        <w:t xml:space="preserve"> </w:t>
      </w:r>
      <w:r w:rsidR="00D0255A" w:rsidRPr="00231828">
        <w:rPr>
          <w:rFonts w:ascii="Arial" w:hAnsi="Arial" w:cs="Arial"/>
        </w:rPr>
        <w:t>d</w:t>
      </w:r>
      <w:r w:rsidR="00782CA7" w:rsidRPr="00231828">
        <w:rPr>
          <w:rFonts w:ascii="Arial" w:hAnsi="Arial" w:cs="Arial"/>
        </w:rPr>
        <w:t>ose-</w:t>
      </w:r>
      <w:r w:rsidR="0071580E" w:rsidRPr="00231828">
        <w:rPr>
          <w:rFonts w:ascii="Arial" w:hAnsi="Arial" w:cs="Arial"/>
        </w:rPr>
        <w:t>dependent proliferation and cytokine release in the presence of carbamazepine</w:t>
      </w:r>
      <w:r w:rsidR="00D0255A" w:rsidRPr="00231828">
        <w:rPr>
          <w:rFonts w:ascii="Arial" w:hAnsi="Arial" w:cs="Arial"/>
        </w:rPr>
        <w:t xml:space="preserve"> is depicted in Figure </w:t>
      </w:r>
      <w:r w:rsidR="00835A40" w:rsidRPr="00231828">
        <w:rPr>
          <w:rFonts w:ascii="Arial" w:hAnsi="Arial" w:cs="Arial"/>
        </w:rPr>
        <w:t>6</w:t>
      </w:r>
      <w:r w:rsidR="00782CA7" w:rsidRPr="00231828">
        <w:rPr>
          <w:rFonts w:ascii="Arial" w:hAnsi="Arial" w:cs="Arial"/>
        </w:rPr>
        <w:t>.</w:t>
      </w:r>
      <w:r w:rsidR="0071580E" w:rsidRPr="00231828">
        <w:rPr>
          <w:rFonts w:ascii="Arial" w:hAnsi="Arial" w:cs="Arial"/>
        </w:rPr>
        <w:t xml:space="preserve"> </w:t>
      </w:r>
      <w:r w:rsidR="007628E8" w:rsidRPr="00231828">
        <w:rPr>
          <w:rFonts w:ascii="Arial" w:hAnsi="Arial" w:cs="Arial"/>
        </w:rPr>
        <w:t>The</w:t>
      </w:r>
      <w:r w:rsidR="00467E6D" w:rsidRPr="00231828">
        <w:rPr>
          <w:rFonts w:ascii="Arial" w:hAnsi="Arial" w:cs="Arial"/>
        </w:rPr>
        <w:t xml:space="preserve"> CFSE data clearly shows a greater response to carbamazepine by CD8 rather than CD4 cells.</w:t>
      </w:r>
      <w:r w:rsidR="007628E8" w:rsidRPr="00231828">
        <w:rPr>
          <w:rFonts w:ascii="Arial" w:hAnsi="Arial" w:cs="Arial"/>
        </w:rPr>
        <w:t xml:space="preserve"> Next we wanted to see whether we could prime T cells to carbamazepine in 3 </w:t>
      </w:r>
      <w:r w:rsidR="00E66414" w:rsidRPr="00231828">
        <w:rPr>
          <w:rFonts w:ascii="Arial" w:hAnsi="Arial" w:cs="Arial"/>
        </w:rPr>
        <w:t>volunteers</w:t>
      </w:r>
      <w:r w:rsidR="007628E8" w:rsidRPr="00231828">
        <w:rPr>
          <w:rFonts w:ascii="Arial" w:hAnsi="Arial" w:cs="Arial"/>
        </w:rPr>
        <w:t xml:space="preserve"> without either risk allele. Two </w:t>
      </w:r>
      <w:r w:rsidR="00E66414" w:rsidRPr="00231828">
        <w:rPr>
          <w:rFonts w:ascii="Arial" w:hAnsi="Arial" w:cs="Arial"/>
        </w:rPr>
        <w:t>volunteers</w:t>
      </w:r>
      <w:r w:rsidR="007628E8" w:rsidRPr="00231828">
        <w:rPr>
          <w:rFonts w:ascii="Arial" w:hAnsi="Arial" w:cs="Arial"/>
        </w:rPr>
        <w:t xml:space="preserve"> were negative in 4 different readouts and </w:t>
      </w:r>
      <w:r w:rsidR="00467E6D" w:rsidRPr="00231828">
        <w:rPr>
          <w:rFonts w:ascii="Arial" w:hAnsi="Arial" w:cs="Arial"/>
        </w:rPr>
        <w:t>one</w:t>
      </w:r>
      <w:r w:rsidR="007628E8" w:rsidRPr="00231828">
        <w:rPr>
          <w:rFonts w:ascii="Arial" w:hAnsi="Arial" w:cs="Arial"/>
        </w:rPr>
        <w:t xml:space="preserve"> donor had a weak IL-13 re</w:t>
      </w:r>
      <w:r w:rsidR="0020661E" w:rsidRPr="00231828">
        <w:rPr>
          <w:rFonts w:ascii="Arial" w:hAnsi="Arial" w:cs="Arial"/>
        </w:rPr>
        <w:t>sponse to carbamazepine (</w:t>
      </w:r>
      <w:r w:rsidR="008E0A5E">
        <w:rPr>
          <w:rFonts w:ascii="Arial" w:hAnsi="Arial" w:cs="Arial"/>
        </w:rPr>
        <w:t>data</w:t>
      </w:r>
      <w:r w:rsidR="00800391" w:rsidRPr="00231828">
        <w:rPr>
          <w:rFonts w:ascii="Arial" w:hAnsi="Arial" w:cs="Arial"/>
        </w:rPr>
        <w:t xml:space="preserve"> not shown</w:t>
      </w:r>
      <w:r w:rsidR="007628E8" w:rsidRPr="00231828">
        <w:rPr>
          <w:rFonts w:ascii="Arial" w:hAnsi="Arial" w:cs="Arial"/>
        </w:rPr>
        <w:t>).</w:t>
      </w:r>
    </w:p>
    <w:p w:rsidR="00800391" w:rsidRPr="00231828" w:rsidRDefault="00800391" w:rsidP="00231828">
      <w:pPr>
        <w:spacing w:line="480" w:lineRule="auto"/>
        <w:jc w:val="both"/>
        <w:rPr>
          <w:rFonts w:ascii="Arial" w:hAnsi="Arial" w:cs="Arial"/>
        </w:rPr>
      </w:pPr>
      <w:r w:rsidRPr="00231828">
        <w:rPr>
          <w:rFonts w:ascii="Arial" w:hAnsi="Arial" w:cs="Arial"/>
        </w:rPr>
        <w:t xml:space="preserve">Hypersensitivity reactions to </w:t>
      </w:r>
      <w:proofErr w:type="spellStart"/>
      <w:r w:rsidRPr="00231828">
        <w:rPr>
          <w:rFonts w:ascii="Arial" w:hAnsi="Arial" w:cs="Arial"/>
        </w:rPr>
        <w:t>abacavir</w:t>
      </w:r>
      <w:proofErr w:type="spellEnd"/>
      <w:r w:rsidRPr="00231828">
        <w:rPr>
          <w:rFonts w:ascii="Arial" w:hAnsi="Arial" w:cs="Arial"/>
        </w:rPr>
        <w:t xml:space="preserve"> are restricted to patients carrying the HLA-B57:01 allele (</w:t>
      </w:r>
      <w:proofErr w:type="spellStart"/>
      <w:r w:rsidRPr="00231828">
        <w:rPr>
          <w:rFonts w:ascii="Arial" w:hAnsi="Arial" w:cs="Arial"/>
        </w:rPr>
        <w:t>Mallal</w:t>
      </w:r>
      <w:proofErr w:type="spellEnd"/>
      <w:r w:rsidRPr="00231828">
        <w:rPr>
          <w:rFonts w:ascii="Arial" w:hAnsi="Arial" w:cs="Arial"/>
        </w:rPr>
        <w:t xml:space="preserve"> </w:t>
      </w:r>
      <w:r w:rsidRPr="00231828">
        <w:rPr>
          <w:rFonts w:ascii="Arial" w:hAnsi="Arial" w:cs="Arial"/>
          <w:i/>
        </w:rPr>
        <w:t>et al.</w:t>
      </w:r>
      <w:r w:rsidRPr="00231828">
        <w:rPr>
          <w:rFonts w:ascii="Arial" w:hAnsi="Arial" w:cs="Arial"/>
        </w:rPr>
        <w:t xml:space="preserve"> 2002). </w:t>
      </w:r>
      <w:proofErr w:type="spellStart"/>
      <w:r w:rsidRPr="00231828">
        <w:rPr>
          <w:rFonts w:ascii="Arial" w:hAnsi="Arial" w:cs="Arial"/>
        </w:rPr>
        <w:t>Abacavir</w:t>
      </w:r>
      <w:proofErr w:type="spellEnd"/>
      <w:r w:rsidRPr="00231828">
        <w:rPr>
          <w:rFonts w:ascii="Arial" w:hAnsi="Arial" w:cs="Arial"/>
        </w:rPr>
        <w:t xml:space="preserve"> reactive T cells can be readily isolated from the memory compartment of treated patients and normal volunteers carrying the risk allele (</w:t>
      </w:r>
      <w:r w:rsidR="008445CA" w:rsidRPr="00231828">
        <w:rPr>
          <w:rFonts w:ascii="Arial" w:hAnsi="Arial" w:cs="Arial"/>
          <w:noProof/>
        </w:rPr>
        <w:t>Lucas</w:t>
      </w:r>
      <w:r w:rsidR="008445CA" w:rsidRPr="00231828">
        <w:rPr>
          <w:rFonts w:ascii="Arial" w:hAnsi="Arial" w:cs="Arial"/>
          <w:i/>
          <w:noProof/>
        </w:rPr>
        <w:t xml:space="preserve"> et al.</w:t>
      </w:r>
      <w:r w:rsidR="008445CA" w:rsidRPr="00231828">
        <w:rPr>
          <w:rFonts w:ascii="Arial" w:hAnsi="Arial" w:cs="Arial"/>
          <w:noProof/>
        </w:rPr>
        <w:t xml:space="preserve">, </w:t>
      </w:r>
      <w:r w:rsidR="008445CA" w:rsidRPr="00231828">
        <w:rPr>
          <w:rFonts w:ascii="Arial" w:hAnsi="Arial" w:cs="Arial"/>
          <w:noProof/>
        </w:rPr>
        <w:lastRenderedPageBreak/>
        <w:t>2015</w:t>
      </w:r>
      <w:r w:rsidR="00835A40" w:rsidRPr="00231828">
        <w:rPr>
          <w:rFonts w:ascii="Arial" w:hAnsi="Arial" w:cs="Arial"/>
          <w:noProof/>
        </w:rPr>
        <w:t>,</w:t>
      </w:r>
      <w:r w:rsidR="008445CA" w:rsidRPr="00231828">
        <w:rPr>
          <w:rFonts w:ascii="Arial" w:hAnsi="Arial" w:cs="Arial"/>
        </w:rPr>
        <w:t xml:space="preserve"> </w:t>
      </w:r>
      <w:r w:rsidRPr="00231828">
        <w:rPr>
          <w:rFonts w:ascii="Arial" w:hAnsi="Arial" w:cs="Arial"/>
        </w:rPr>
        <w:t xml:space="preserve">Chessman </w:t>
      </w:r>
      <w:r w:rsidRPr="00231828">
        <w:rPr>
          <w:rFonts w:ascii="Arial" w:hAnsi="Arial" w:cs="Arial"/>
          <w:i/>
        </w:rPr>
        <w:t>et al</w:t>
      </w:r>
      <w:r w:rsidRPr="00231828">
        <w:rPr>
          <w:rFonts w:ascii="Arial" w:hAnsi="Arial" w:cs="Arial"/>
        </w:rPr>
        <w:t xml:space="preserve">. 2008, Adam </w:t>
      </w:r>
      <w:r w:rsidRPr="00231828">
        <w:rPr>
          <w:rFonts w:ascii="Arial" w:hAnsi="Arial" w:cs="Arial"/>
          <w:i/>
        </w:rPr>
        <w:t>et al</w:t>
      </w:r>
      <w:r w:rsidRPr="00231828">
        <w:rPr>
          <w:rFonts w:ascii="Arial" w:hAnsi="Arial" w:cs="Arial"/>
        </w:rPr>
        <w:t xml:space="preserve">. 2012, </w:t>
      </w:r>
      <w:r w:rsidR="008445CA" w:rsidRPr="00231828">
        <w:rPr>
          <w:rFonts w:ascii="Arial" w:hAnsi="Arial" w:cs="Arial"/>
          <w:noProof/>
        </w:rPr>
        <w:t>Illing</w:t>
      </w:r>
      <w:r w:rsidR="008445CA" w:rsidRPr="00231828">
        <w:rPr>
          <w:rFonts w:ascii="Arial" w:hAnsi="Arial" w:cs="Arial"/>
          <w:i/>
          <w:noProof/>
        </w:rPr>
        <w:t xml:space="preserve"> et al.</w:t>
      </w:r>
      <w:r w:rsidR="008445CA" w:rsidRPr="00231828">
        <w:rPr>
          <w:rFonts w:ascii="Arial" w:hAnsi="Arial" w:cs="Arial"/>
          <w:noProof/>
        </w:rPr>
        <w:t>, 2012</w:t>
      </w:r>
      <w:r w:rsidR="00C3786B" w:rsidRPr="00231828">
        <w:rPr>
          <w:rFonts w:ascii="Arial" w:hAnsi="Arial" w:cs="Arial"/>
          <w:noProof/>
        </w:rPr>
        <w:t>,</w:t>
      </w:r>
      <w:r w:rsidR="008445CA" w:rsidRPr="00231828">
        <w:rPr>
          <w:rFonts w:ascii="Arial" w:hAnsi="Arial" w:cs="Arial"/>
        </w:rPr>
        <w:t xml:space="preserve"> </w:t>
      </w:r>
      <w:r w:rsidRPr="00231828">
        <w:rPr>
          <w:rFonts w:ascii="Arial" w:hAnsi="Arial" w:cs="Arial"/>
        </w:rPr>
        <w:t xml:space="preserve">Bell </w:t>
      </w:r>
      <w:r w:rsidRPr="00231828">
        <w:rPr>
          <w:rFonts w:ascii="Arial" w:hAnsi="Arial" w:cs="Arial"/>
          <w:i/>
        </w:rPr>
        <w:t>et al</w:t>
      </w:r>
      <w:r w:rsidR="00835A40" w:rsidRPr="00231828">
        <w:rPr>
          <w:rFonts w:ascii="Arial" w:hAnsi="Arial" w:cs="Arial"/>
        </w:rPr>
        <w:t>. 2013). Thus,</w:t>
      </w:r>
      <w:r w:rsidRPr="00231828">
        <w:rPr>
          <w:rFonts w:ascii="Arial" w:hAnsi="Arial" w:cs="Arial"/>
        </w:rPr>
        <w:t xml:space="preserve"> we attempted to prime naïve T cells to </w:t>
      </w:r>
      <w:proofErr w:type="spellStart"/>
      <w:r w:rsidRPr="00231828">
        <w:rPr>
          <w:rFonts w:ascii="Arial" w:hAnsi="Arial" w:cs="Arial"/>
        </w:rPr>
        <w:t>abacavir</w:t>
      </w:r>
      <w:proofErr w:type="spellEnd"/>
      <w:r w:rsidRPr="00231828">
        <w:rPr>
          <w:rFonts w:ascii="Arial" w:hAnsi="Arial" w:cs="Arial"/>
        </w:rPr>
        <w:t xml:space="preserve"> using the DC assay. No positive responses were detected using a minimum of 2 different readouts in 4 different volunteers carrying HLA-B*57:01 (Table 4).</w:t>
      </w:r>
    </w:p>
    <w:p w:rsidR="008445CA" w:rsidRPr="00231828" w:rsidRDefault="0020661E" w:rsidP="00231828">
      <w:pPr>
        <w:spacing w:line="480" w:lineRule="auto"/>
        <w:jc w:val="both"/>
        <w:rPr>
          <w:rFonts w:ascii="Arial" w:hAnsi="Arial" w:cs="Arial"/>
        </w:rPr>
      </w:pPr>
      <w:r w:rsidRPr="00231828">
        <w:rPr>
          <w:rFonts w:ascii="Arial" w:hAnsi="Arial" w:cs="Arial"/>
          <w:b/>
          <w:i/>
        </w:rPr>
        <w:t xml:space="preserve">T cell priming to </w:t>
      </w:r>
      <w:r w:rsidR="000A1CD6" w:rsidRPr="00231828">
        <w:rPr>
          <w:rFonts w:ascii="Arial" w:hAnsi="Arial" w:cs="Arial"/>
          <w:b/>
          <w:i/>
        </w:rPr>
        <w:t>HLA-class II associated compounds</w:t>
      </w:r>
      <w:r w:rsidRPr="00231828">
        <w:rPr>
          <w:rFonts w:ascii="Arial" w:hAnsi="Arial" w:cs="Arial"/>
          <w:b/>
          <w:i/>
        </w:rPr>
        <w:t>.</w:t>
      </w:r>
      <w:r w:rsidRPr="00231828">
        <w:rPr>
          <w:rFonts w:ascii="Arial" w:hAnsi="Arial" w:cs="Arial"/>
        </w:rPr>
        <w:t xml:space="preserve"> </w:t>
      </w:r>
      <w:proofErr w:type="spellStart"/>
      <w:r w:rsidR="001B571A" w:rsidRPr="00231828">
        <w:rPr>
          <w:rFonts w:ascii="Arial" w:hAnsi="Arial" w:cs="Arial"/>
        </w:rPr>
        <w:t>Lapatinib</w:t>
      </w:r>
      <w:proofErr w:type="spellEnd"/>
      <w:r w:rsidR="001B571A" w:rsidRPr="00231828">
        <w:rPr>
          <w:rFonts w:ascii="Arial" w:hAnsi="Arial" w:cs="Arial"/>
        </w:rPr>
        <w:t xml:space="preserve">, </w:t>
      </w:r>
      <w:proofErr w:type="spellStart"/>
      <w:r w:rsidR="001B571A" w:rsidRPr="00231828">
        <w:rPr>
          <w:rFonts w:ascii="Arial" w:hAnsi="Arial" w:cs="Arial"/>
        </w:rPr>
        <w:t>x</w:t>
      </w:r>
      <w:r w:rsidRPr="00231828">
        <w:rPr>
          <w:rFonts w:ascii="Arial" w:hAnsi="Arial" w:cs="Arial"/>
        </w:rPr>
        <w:t>imelagatran</w:t>
      </w:r>
      <w:proofErr w:type="spellEnd"/>
      <w:r w:rsidR="001B571A" w:rsidRPr="00231828">
        <w:rPr>
          <w:rFonts w:ascii="Arial" w:hAnsi="Arial" w:cs="Arial"/>
        </w:rPr>
        <w:t xml:space="preserve"> and </w:t>
      </w:r>
      <w:proofErr w:type="spellStart"/>
      <w:r w:rsidR="001B571A" w:rsidRPr="00231828">
        <w:rPr>
          <w:rFonts w:ascii="Arial" w:hAnsi="Arial" w:cs="Arial"/>
        </w:rPr>
        <w:t>lumiracoxib</w:t>
      </w:r>
      <w:proofErr w:type="spellEnd"/>
      <w:r w:rsidR="001B571A" w:rsidRPr="00231828">
        <w:rPr>
          <w:rFonts w:ascii="Arial" w:hAnsi="Arial" w:cs="Arial"/>
        </w:rPr>
        <w:t xml:space="preserve"> are all associated with drug-induced</w:t>
      </w:r>
      <w:r w:rsidR="00930DA9" w:rsidRPr="00231828">
        <w:rPr>
          <w:rFonts w:ascii="Arial" w:hAnsi="Arial" w:cs="Arial"/>
        </w:rPr>
        <w:t xml:space="preserve"> </w:t>
      </w:r>
      <w:r w:rsidRPr="00231828">
        <w:rPr>
          <w:rFonts w:ascii="Arial" w:hAnsi="Arial" w:cs="Arial"/>
        </w:rPr>
        <w:t>liver injury</w:t>
      </w:r>
      <w:r w:rsidR="00930DA9" w:rsidRPr="00231828">
        <w:rPr>
          <w:rFonts w:ascii="Arial" w:hAnsi="Arial" w:cs="Arial"/>
        </w:rPr>
        <w:t xml:space="preserve"> (DILI) in a small number of patients</w:t>
      </w:r>
      <w:r w:rsidR="001B571A" w:rsidRPr="00231828">
        <w:rPr>
          <w:rFonts w:ascii="Arial" w:hAnsi="Arial" w:cs="Arial"/>
        </w:rPr>
        <w:t xml:space="preserve">. </w:t>
      </w:r>
      <w:r w:rsidR="00930DA9" w:rsidRPr="00231828">
        <w:rPr>
          <w:rFonts w:ascii="Arial" w:hAnsi="Arial" w:cs="Arial"/>
        </w:rPr>
        <w:t xml:space="preserve">Genome wide screening of </w:t>
      </w:r>
      <w:r w:rsidR="001B571A" w:rsidRPr="00231828">
        <w:rPr>
          <w:rFonts w:ascii="Arial" w:hAnsi="Arial" w:cs="Arial"/>
        </w:rPr>
        <w:t xml:space="preserve">affected </w:t>
      </w:r>
      <w:r w:rsidR="00930DA9" w:rsidRPr="00231828">
        <w:rPr>
          <w:rFonts w:ascii="Arial" w:hAnsi="Arial" w:cs="Arial"/>
        </w:rPr>
        <w:t xml:space="preserve">patients identified that </w:t>
      </w:r>
      <w:r w:rsidR="001B571A" w:rsidRPr="00231828">
        <w:rPr>
          <w:rFonts w:ascii="Arial" w:hAnsi="Arial" w:cs="Arial"/>
        </w:rPr>
        <w:t xml:space="preserve">the </w:t>
      </w:r>
      <w:r w:rsidR="001F0DF1" w:rsidRPr="00231828">
        <w:rPr>
          <w:rFonts w:ascii="Arial" w:hAnsi="Arial" w:cs="Arial"/>
        </w:rPr>
        <w:t>risk</w:t>
      </w:r>
      <w:r w:rsidRPr="00231828">
        <w:rPr>
          <w:rFonts w:ascii="Arial" w:hAnsi="Arial" w:cs="Arial"/>
        </w:rPr>
        <w:t xml:space="preserve"> </w:t>
      </w:r>
      <w:r w:rsidR="00930DA9" w:rsidRPr="00231828">
        <w:rPr>
          <w:rFonts w:ascii="Arial" w:hAnsi="Arial" w:cs="Arial"/>
        </w:rPr>
        <w:t xml:space="preserve">of DILI </w:t>
      </w:r>
      <w:r w:rsidRPr="00231828">
        <w:rPr>
          <w:rFonts w:ascii="Arial" w:hAnsi="Arial" w:cs="Arial"/>
        </w:rPr>
        <w:t>is associated with carriage of a specific HLA-DRB1 allele (</w:t>
      </w:r>
      <w:proofErr w:type="spellStart"/>
      <w:r w:rsidR="001F0DF1" w:rsidRPr="00231828">
        <w:rPr>
          <w:rFonts w:ascii="Arial" w:hAnsi="Arial" w:cs="Arial"/>
        </w:rPr>
        <w:t>Kindmark</w:t>
      </w:r>
      <w:proofErr w:type="spellEnd"/>
      <w:r w:rsidR="001F0DF1" w:rsidRPr="00231828">
        <w:rPr>
          <w:rFonts w:ascii="Arial" w:hAnsi="Arial" w:cs="Arial"/>
        </w:rPr>
        <w:t xml:space="preserve"> </w:t>
      </w:r>
      <w:r w:rsidR="001F0DF1" w:rsidRPr="00231828">
        <w:rPr>
          <w:rFonts w:ascii="Arial" w:hAnsi="Arial" w:cs="Arial"/>
          <w:i/>
        </w:rPr>
        <w:t>et al</w:t>
      </w:r>
      <w:r w:rsidR="001F0DF1" w:rsidRPr="00231828">
        <w:rPr>
          <w:rFonts w:ascii="Arial" w:hAnsi="Arial" w:cs="Arial"/>
        </w:rPr>
        <w:t xml:space="preserve">. 2008, Singer </w:t>
      </w:r>
      <w:r w:rsidR="001F0DF1" w:rsidRPr="00231828">
        <w:rPr>
          <w:rFonts w:ascii="Arial" w:hAnsi="Arial" w:cs="Arial"/>
          <w:i/>
        </w:rPr>
        <w:t>et al.</w:t>
      </w:r>
      <w:r w:rsidR="001F0DF1" w:rsidRPr="00231828">
        <w:rPr>
          <w:rFonts w:ascii="Arial" w:hAnsi="Arial" w:cs="Arial"/>
        </w:rPr>
        <w:t xml:space="preserve"> 201</w:t>
      </w:r>
      <w:r w:rsidR="001B571A" w:rsidRPr="00231828">
        <w:rPr>
          <w:rFonts w:ascii="Arial" w:hAnsi="Arial" w:cs="Arial"/>
        </w:rPr>
        <w:t xml:space="preserve">0, </w:t>
      </w:r>
      <w:proofErr w:type="spellStart"/>
      <w:proofErr w:type="gramStart"/>
      <w:r w:rsidR="001B571A" w:rsidRPr="00231828">
        <w:rPr>
          <w:rFonts w:ascii="Arial" w:hAnsi="Arial" w:cs="Arial"/>
        </w:rPr>
        <w:t>Spraggs</w:t>
      </w:r>
      <w:proofErr w:type="spellEnd"/>
      <w:proofErr w:type="gramEnd"/>
      <w:r w:rsidR="001B571A" w:rsidRPr="00231828">
        <w:rPr>
          <w:rFonts w:ascii="Arial" w:hAnsi="Arial" w:cs="Arial"/>
        </w:rPr>
        <w:t xml:space="preserve"> </w:t>
      </w:r>
      <w:r w:rsidR="001B571A" w:rsidRPr="00231828">
        <w:rPr>
          <w:rFonts w:ascii="Arial" w:hAnsi="Arial" w:cs="Arial"/>
          <w:i/>
        </w:rPr>
        <w:t>et al.</w:t>
      </w:r>
      <w:r w:rsidR="001B571A" w:rsidRPr="00231828">
        <w:rPr>
          <w:rFonts w:ascii="Arial" w:hAnsi="Arial" w:cs="Arial"/>
        </w:rPr>
        <w:t xml:space="preserve"> 2011</w:t>
      </w:r>
      <w:r w:rsidRPr="00231828">
        <w:rPr>
          <w:rFonts w:ascii="Arial" w:hAnsi="Arial" w:cs="Arial"/>
        </w:rPr>
        <w:t xml:space="preserve">). </w:t>
      </w:r>
      <w:r w:rsidR="008445CA" w:rsidRPr="00231828">
        <w:rPr>
          <w:rFonts w:ascii="Arial" w:hAnsi="Arial" w:cs="Arial"/>
        </w:rPr>
        <w:t>A</w:t>
      </w:r>
      <w:r w:rsidR="00711F0E" w:rsidRPr="00231828">
        <w:rPr>
          <w:rFonts w:ascii="Arial" w:hAnsi="Arial" w:cs="Arial"/>
        </w:rPr>
        <w:t xml:space="preserve"> detailed analysis of the </w:t>
      </w:r>
      <w:r w:rsidR="008445CA" w:rsidRPr="00231828">
        <w:rPr>
          <w:rFonts w:ascii="Arial" w:hAnsi="Arial" w:cs="Arial"/>
        </w:rPr>
        <w:t xml:space="preserve">drug-specific </w:t>
      </w:r>
      <w:r w:rsidR="00711F0E" w:rsidRPr="00231828">
        <w:rPr>
          <w:rFonts w:ascii="Arial" w:hAnsi="Arial" w:cs="Arial"/>
        </w:rPr>
        <w:t>T cell re</w:t>
      </w:r>
      <w:r w:rsidR="00CC37A5" w:rsidRPr="00231828">
        <w:rPr>
          <w:rFonts w:ascii="Arial" w:hAnsi="Arial" w:cs="Arial"/>
        </w:rPr>
        <w:t>s</w:t>
      </w:r>
      <w:r w:rsidR="00711F0E" w:rsidRPr="00231828">
        <w:rPr>
          <w:rFonts w:ascii="Arial" w:hAnsi="Arial" w:cs="Arial"/>
        </w:rPr>
        <w:t xml:space="preserve">ponse </w:t>
      </w:r>
      <w:r w:rsidR="008445CA" w:rsidRPr="00231828">
        <w:rPr>
          <w:rFonts w:ascii="Arial" w:hAnsi="Arial" w:cs="Arial"/>
        </w:rPr>
        <w:t>has not been conducted</w:t>
      </w:r>
      <w:r w:rsidR="00711F0E" w:rsidRPr="00231828">
        <w:rPr>
          <w:rFonts w:ascii="Arial" w:hAnsi="Arial" w:cs="Arial"/>
        </w:rPr>
        <w:t>. Despite</w:t>
      </w:r>
      <w:r w:rsidR="008445CA" w:rsidRPr="00231828">
        <w:rPr>
          <w:rFonts w:ascii="Arial" w:hAnsi="Arial" w:cs="Arial"/>
        </w:rPr>
        <w:t>,</w:t>
      </w:r>
      <w:r w:rsidR="00711F0E" w:rsidRPr="00231828">
        <w:rPr>
          <w:rFonts w:ascii="Arial" w:hAnsi="Arial" w:cs="Arial"/>
        </w:rPr>
        <w:t xml:space="preserve"> this </w:t>
      </w:r>
      <w:r w:rsidR="00930DA9" w:rsidRPr="00231828">
        <w:rPr>
          <w:rFonts w:ascii="Arial" w:hAnsi="Arial" w:cs="Arial"/>
          <w:bCs/>
        </w:rPr>
        <w:t xml:space="preserve">we attempted to generate T cell responses </w:t>
      </w:r>
      <w:r w:rsidR="003A483F" w:rsidRPr="00231828">
        <w:rPr>
          <w:rFonts w:ascii="Arial" w:hAnsi="Arial" w:cs="Arial"/>
          <w:bCs/>
        </w:rPr>
        <w:t xml:space="preserve">to these drugs </w:t>
      </w:r>
      <w:r w:rsidR="001B571A" w:rsidRPr="00231828">
        <w:rPr>
          <w:rFonts w:ascii="Arial" w:hAnsi="Arial" w:cs="Arial"/>
          <w:bCs/>
        </w:rPr>
        <w:t>using the DC priming assay</w:t>
      </w:r>
      <w:r w:rsidR="008E0A5E">
        <w:rPr>
          <w:rFonts w:ascii="Arial" w:hAnsi="Arial" w:cs="Arial"/>
          <w:bCs/>
        </w:rPr>
        <w:t xml:space="preserve"> in 3-4 donors</w:t>
      </w:r>
      <w:r w:rsidR="001B571A" w:rsidRPr="00231828">
        <w:rPr>
          <w:rFonts w:ascii="Arial" w:hAnsi="Arial" w:cs="Arial"/>
          <w:bCs/>
        </w:rPr>
        <w:t>.</w:t>
      </w:r>
      <w:r w:rsidRPr="00231828">
        <w:rPr>
          <w:rFonts w:ascii="Arial" w:hAnsi="Arial" w:cs="Arial"/>
        </w:rPr>
        <w:t xml:space="preserve"> </w:t>
      </w:r>
      <w:r w:rsidR="003A483F" w:rsidRPr="00231828">
        <w:rPr>
          <w:rFonts w:ascii="Arial" w:hAnsi="Arial" w:cs="Arial"/>
        </w:rPr>
        <w:t xml:space="preserve">Assessing </w:t>
      </w:r>
      <w:r w:rsidR="008E0A5E">
        <w:rPr>
          <w:rFonts w:ascii="Arial" w:hAnsi="Arial" w:cs="Arial"/>
        </w:rPr>
        <w:t>3</w:t>
      </w:r>
      <w:r w:rsidR="003A483F" w:rsidRPr="00231828">
        <w:rPr>
          <w:rFonts w:ascii="Arial" w:hAnsi="Arial" w:cs="Arial"/>
        </w:rPr>
        <w:t>-4 different readouts, n</w:t>
      </w:r>
      <w:r w:rsidRPr="00231828">
        <w:rPr>
          <w:rFonts w:ascii="Arial" w:hAnsi="Arial" w:cs="Arial"/>
        </w:rPr>
        <w:t xml:space="preserve">o positive responses were detected for </w:t>
      </w:r>
      <w:proofErr w:type="spellStart"/>
      <w:r w:rsidR="001B571A" w:rsidRPr="00231828">
        <w:rPr>
          <w:rFonts w:ascii="Arial" w:hAnsi="Arial" w:cs="Arial"/>
        </w:rPr>
        <w:t>lapatinib</w:t>
      </w:r>
      <w:proofErr w:type="spellEnd"/>
      <w:r w:rsidR="001B571A" w:rsidRPr="00231828">
        <w:rPr>
          <w:rFonts w:ascii="Arial" w:hAnsi="Arial" w:cs="Arial"/>
        </w:rPr>
        <w:t xml:space="preserve">, for the pro-drug </w:t>
      </w:r>
      <w:proofErr w:type="spellStart"/>
      <w:r w:rsidRPr="00231828">
        <w:rPr>
          <w:rFonts w:ascii="Arial" w:hAnsi="Arial" w:cs="Arial"/>
        </w:rPr>
        <w:t>ximelagatran</w:t>
      </w:r>
      <w:proofErr w:type="spellEnd"/>
      <w:r w:rsidR="00782CA7" w:rsidRPr="00231828">
        <w:rPr>
          <w:rFonts w:ascii="Arial" w:hAnsi="Arial" w:cs="Arial"/>
        </w:rPr>
        <w:t xml:space="preserve"> </w:t>
      </w:r>
      <w:r w:rsidR="001B571A" w:rsidRPr="00231828">
        <w:rPr>
          <w:rFonts w:ascii="Arial" w:hAnsi="Arial" w:cs="Arial"/>
        </w:rPr>
        <w:t xml:space="preserve">(Table 4) </w:t>
      </w:r>
      <w:r w:rsidRPr="00231828">
        <w:rPr>
          <w:rFonts w:ascii="Arial" w:hAnsi="Arial" w:cs="Arial"/>
        </w:rPr>
        <w:t>or</w:t>
      </w:r>
      <w:r w:rsidR="001B571A" w:rsidRPr="00231828">
        <w:rPr>
          <w:rFonts w:ascii="Arial" w:hAnsi="Arial" w:cs="Arial"/>
        </w:rPr>
        <w:t xml:space="preserve"> the active metabolite</w:t>
      </w:r>
      <w:r w:rsidRPr="00231828">
        <w:rPr>
          <w:rFonts w:ascii="Arial" w:hAnsi="Arial" w:cs="Arial"/>
        </w:rPr>
        <w:t xml:space="preserve"> </w:t>
      </w:r>
      <w:proofErr w:type="spellStart"/>
      <w:r w:rsidRPr="00231828">
        <w:rPr>
          <w:rFonts w:ascii="Arial" w:hAnsi="Arial" w:cs="Arial"/>
        </w:rPr>
        <w:t>melagatran</w:t>
      </w:r>
      <w:proofErr w:type="spellEnd"/>
      <w:r w:rsidRPr="00231828">
        <w:rPr>
          <w:rFonts w:ascii="Arial" w:hAnsi="Arial" w:cs="Arial"/>
        </w:rPr>
        <w:t xml:space="preserve"> (</w:t>
      </w:r>
      <w:r w:rsidR="00782CA7" w:rsidRPr="00231828">
        <w:rPr>
          <w:rFonts w:ascii="Arial" w:hAnsi="Arial" w:cs="Arial"/>
        </w:rPr>
        <w:t>data not shown</w:t>
      </w:r>
      <w:r w:rsidRPr="00231828">
        <w:rPr>
          <w:rFonts w:ascii="Arial" w:hAnsi="Arial" w:cs="Arial"/>
        </w:rPr>
        <w:t xml:space="preserve">). </w:t>
      </w:r>
      <w:r w:rsidR="003A483F" w:rsidRPr="00231828">
        <w:rPr>
          <w:rFonts w:ascii="Arial" w:hAnsi="Arial" w:cs="Arial"/>
        </w:rPr>
        <w:t>Assays</w:t>
      </w:r>
      <w:r w:rsidRPr="00231828">
        <w:rPr>
          <w:rFonts w:ascii="Arial" w:hAnsi="Arial" w:cs="Arial"/>
          <w:bCs/>
        </w:rPr>
        <w:t xml:space="preserve"> using </w:t>
      </w:r>
      <w:proofErr w:type="spellStart"/>
      <w:r w:rsidRPr="00231828">
        <w:rPr>
          <w:rFonts w:ascii="Arial" w:hAnsi="Arial" w:cs="Arial"/>
        </w:rPr>
        <w:t>lumiracoxib</w:t>
      </w:r>
      <w:proofErr w:type="spellEnd"/>
      <w:r w:rsidRPr="00231828">
        <w:rPr>
          <w:rFonts w:ascii="Arial" w:hAnsi="Arial" w:cs="Arial"/>
          <w:bCs/>
        </w:rPr>
        <w:t xml:space="preserve"> </w:t>
      </w:r>
      <w:r w:rsidRPr="00231828">
        <w:rPr>
          <w:rFonts w:ascii="Arial" w:hAnsi="Arial" w:cs="Arial"/>
        </w:rPr>
        <w:t xml:space="preserve">and 4 </w:t>
      </w:r>
      <w:r w:rsidR="00711F0E" w:rsidRPr="00231828">
        <w:rPr>
          <w:rFonts w:ascii="Arial" w:hAnsi="Arial" w:cs="Arial"/>
        </w:rPr>
        <w:t xml:space="preserve">stable </w:t>
      </w:r>
      <w:r w:rsidRPr="00231828">
        <w:rPr>
          <w:rFonts w:ascii="Arial" w:hAnsi="Arial" w:cs="Arial"/>
        </w:rPr>
        <w:t xml:space="preserve">metabolites </w:t>
      </w:r>
      <w:r w:rsidR="003A483F" w:rsidRPr="00231828">
        <w:rPr>
          <w:rFonts w:ascii="Arial" w:hAnsi="Arial" w:cs="Arial"/>
          <w:bCs/>
        </w:rPr>
        <w:t>showed a</w:t>
      </w:r>
      <w:r w:rsidRPr="00231828">
        <w:rPr>
          <w:rFonts w:ascii="Arial" w:hAnsi="Arial" w:cs="Arial"/>
        </w:rPr>
        <w:t xml:space="preserve"> single weak </w:t>
      </w:r>
      <w:r w:rsidR="00CC37A5" w:rsidRPr="00231828">
        <w:rPr>
          <w:rFonts w:ascii="Arial" w:hAnsi="Arial" w:cs="Arial"/>
        </w:rPr>
        <w:t xml:space="preserve">IL-13 </w:t>
      </w:r>
      <w:r w:rsidRPr="00231828">
        <w:rPr>
          <w:rFonts w:ascii="Arial" w:hAnsi="Arial" w:cs="Arial"/>
        </w:rPr>
        <w:t xml:space="preserve">response for </w:t>
      </w:r>
      <w:proofErr w:type="spellStart"/>
      <w:r w:rsidRPr="00231828">
        <w:rPr>
          <w:rFonts w:ascii="Arial" w:hAnsi="Arial" w:cs="Arial"/>
        </w:rPr>
        <w:t>lumiracoxib</w:t>
      </w:r>
      <w:proofErr w:type="spellEnd"/>
      <w:r w:rsidRPr="00231828">
        <w:rPr>
          <w:rFonts w:ascii="Arial" w:hAnsi="Arial" w:cs="Arial"/>
        </w:rPr>
        <w:t xml:space="preserve"> </w:t>
      </w:r>
      <w:r w:rsidR="00782CA7" w:rsidRPr="00231828">
        <w:rPr>
          <w:rFonts w:ascii="Arial" w:hAnsi="Arial" w:cs="Arial"/>
        </w:rPr>
        <w:t xml:space="preserve">(Table 4) </w:t>
      </w:r>
      <w:r w:rsidRPr="00231828">
        <w:rPr>
          <w:rFonts w:ascii="Arial" w:hAnsi="Arial" w:cs="Arial"/>
        </w:rPr>
        <w:t xml:space="preserve">and for </w:t>
      </w:r>
      <w:r w:rsidR="003A483F" w:rsidRPr="00231828">
        <w:rPr>
          <w:rFonts w:ascii="Arial" w:hAnsi="Arial" w:cs="Arial"/>
        </w:rPr>
        <w:t xml:space="preserve">one of the </w:t>
      </w:r>
      <w:r w:rsidRPr="00231828">
        <w:rPr>
          <w:rFonts w:ascii="Arial" w:hAnsi="Arial" w:cs="Arial"/>
        </w:rPr>
        <w:t>metabolite</w:t>
      </w:r>
      <w:r w:rsidR="003A483F" w:rsidRPr="00231828">
        <w:rPr>
          <w:rFonts w:ascii="Arial" w:hAnsi="Arial" w:cs="Arial"/>
        </w:rPr>
        <w:t>s,</w:t>
      </w:r>
      <w:r w:rsidRPr="00231828">
        <w:rPr>
          <w:rFonts w:ascii="Arial" w:hAnsi="Arial" w:cs="Arial"/>
        </w:rPr>
        <w:t xml:space="preserve"> </w:t>
      </w:r>
      <w:r w:rsidR="008C274D">
        <w:rPr>
          <w:rFonts w:ascii="Arial" w:hAnsi="Arial" w:cs="Arial"/>
        </w:rPr>
        <w:t xml:space="preserve">4’hydroxy-5-carboxyl </w:t>
      </w:r>
      <w:proofErr w:type="spellStart"/>
      <w:r w:rsidR="008C274D">
        <w:rPr>
          <w:rFonts w:ascii="Arial" w:hAnsi="Arial" w:cs="Arial"/>
        </w:rPr>
        <w:t>lumiracoxib</w:t>
      </w:r>
      <w:proofErr w:type="spellEnd"/>
      <w:r w:rsidRPr="00231828">
        <w:rPr>
          <w:rFonts w:ascii="Arial" w:hAnsi="Arial" w:cs="Arial"/>
        </w:rPr>
        <w:t xml:space="preserve"> (</w:t>
      </w:r>
      <w:r w:rsidR="00782CA7" w:rsidRPr="00231828">
        <w:rPr>
          <w:rFonts w:ascii="Arial" w:hAnsi="Arial" w:cs="Arial"/>
        </w:rPr>
        <w:t>data not shown</w:t>
      </w:r>
      <w:r w:rsidRPr="00231828">
        <w:rPr>
          <w:rFonts w:ascii="Arial" w:hAnsi="Arial" w:cs="Arial"/>
        </w:rPr>
        <w:t>). SMX-NO was included in every assay and each time gave a positive result</w:t>
      </w:r>
      <w:r w:rsidR="001365C9" w:rsidRPr="00231828">
        <w:rPr>
          <w:rFonts w:ascii="Arial" w:hAnsi="Arial" w:cs="Arial"/>
        </w:rPr>
        <w:t>.</w:t>
      </w:r>
      <w:r w:rsidR="0062168A">
        <w:rPr>
          <w:rFonts w:ascii="Arial" w:hAnsi="Arial" w:cs="Arial"/>
        </w:rPr>
        <w:t xml:space="preserve"> </w:t>
      </w:r>
    </w:p>
    <w:p w:rsidR="00DD1669" w:rsidRPr="00231828" w:rsidRDefault="004B7EB6" w:rsidP="00231828">
      <w:pPr>
        <w:spacing w:line="480" w:lineRule="auto"/>
        <w:jc w:val="both"/>
        <w:rPr>
          <w:rFonts w:ascii="Arial" w:hAnsi="Arial" w:cs="Arial"/>
        </w:rPr>
      </w:pPr>
      <w:proofErr w:type="gramStart"/>
      <w:r w:rsidRPr="00231828">
        <w:rPr>
          <w:rFonts w:ascii="Arial" w:hAnsi="Arial" w:cs="Arial"/>
          <w:b/>
          <w:i/>
        </w:rPr>
        <w:t>T cell cloning from the DC priming assay</w:t>
      </w:r>
      <w:r w:rsidR="00930DA9" w:rsidRPr="00231828">
        <w:rPr>
          <w:rFonts w:ascii="Arial" w:hAnsi="Arial" w:cs="Arial"/>
        </w:rPr>
        <w:t>.</w:t>
      </w:r>
      <w:proofErr w:type="gramEnd"/>
      <w:r w:rsidR="00930DA9" w:rsidRPr="00231828">
        <w:rPr>
          <w:rFonts w:ascii="Arial" w:hAnsi="Arial" w:cs="Arial"/>
        </w:rPr>
        <w:t xml:space="preserve"> </w:t>
      </w:r>
      <w:r w:rsidR="00015BF1" w:rsidRPr="00231828">
        <w:rPr>
          <w:rFonts w:ascii="Arial" w:hAnsi="Arial" w:cs="Arial"/>
        </w:rPr>
        <w:t>W</w:t>
      </w:r>
      <w:r w:rsidR="00930DA9" w:rsidRPr="00231828">
        <w:rPr>
          <w:rFonts w:ascii="Arial" w:hAnsi="Arial" w:cs="Arial"/>
        </w:rPr>
        <w:t xml:space="preserve">e have been successful in cloning drug-specific T cells from individuals with </w:t>
      </w:r>
      <w:r w:rsidR="00711F0E" w:rsidRPr="00231828">
        <w:rPr>
          <w:rFonts w:ascii="Arial" w:hAnsi="Arial" w:cs="Arial"/>
        </w:rPr>
        <w:t>skin and liver reactions</w:t>
      </w:r>
      <w:r w:rsidR="00930DA9" w:rsidRPr="00231828">
        <w:rPr>
          <w:rFonts w:ascii="Arial" w:hAnsi="Arial" w:cs="Arial"/>
        </w:rPr>
        <w:t xml:space="preserve"> to a number of different drugs, even when assays such as the lymphocyte transformation test using PBMCs ha</w:t>
      </w:r>
      <w:r w:rsidR="003E36AF" w:rsidRPr="00231828">
        <w:rPr>
          <w:rFonts w:ascii="Arial" w:hAnsi="Arial" w:cs="Arial"/>
        </w:rPr>
        <w:t>ve</w:t>
      </w:r>
      <w:r w:rsidR="00930DA9" w:rsidRPr="00231828">
        <w:rPr>
          <w:rFonts w:ascii="Arial" w:hAnsi="Arial" w:cs="Arial"/>
        </w:rPr>
        <w:t xml:space="preserve"> been negative (</w:t>
      </w:r>
      <w:r w:rsidR="00B37A2D" w:rsidRPr="00231828">
        <w:rPr>
          <w:rFonts w:ascii="Arial" w:hAnsi="Arial" w:cs="Arial"/>
        </w:rPr>
        <w:t>El-</w:t>
      </w:r>
      <w:proofErr w:type="spellStart"/>
      <w:r w:rsidR="00B37A2D" w:rsidRPr="00231828">
        <w:rPr>
          <w:rFonts w:ascii="Arial" w:hAnsi="Arial" w:cs="Arial"/>
        </w:rPr>
        <w:t>Ghaiesh</w:t>
      </w:r>
      <w:proofErr w:type="spellEnd"/>
      <w:r w:rsidR="00B37A2D" w:rsidRPr="00231828">
        <w:rPr>
          <w:rFonts w:ascii="Arial" w:hAnsi="Arial" w:cs="Arial"/>
        </w:rPr>
        <w:t xml:space="preserve"> </w:t>
      </w:r>
      <w:r w:rsidR="00B37A2D" w:rsidRPr="00231828">
        <w:rPr>
          <w:rFonts w:ascii="Arial" w:hAnsi="Arial" w:cs="Arial"/>
          <w:i/>
        </w:rPr>
        <w:t>et al.</w:t>
      </w:r>
      <w:r w:rsidR="00B37A2D" w:rsidRPr="00231828">
        <w:rPr>
          <w:rFonts w:ascii="Arial" w:hAnsi="Arial" w:cs="Arial"/>
        </w:rPr>
        <w:t xml:space="preserve"> 2012, </w:t>
      </w:r>
      <w:proofErr w:type="spellStart"/>
      <w:r w:rsidR="00930DA9" w:rsidRPr="00231828">
        <w:rPr>
          <w:rFonts w:ascii="Arial" w:hAnsi="Arial" w:cs="Arial"/>
        </w:rPr>
        <w:t>Monshi</w:t>
      </w:r>
      <w:proofErr w:type="spellEnd"/>
      <w:r w:rsidR="00930DA9" w:rsidRPr="00231828">
        <w:rPr>
          <w:rFonts w:ascii="Arial" w:hAnsi="Arial" w:cs="Arial"/>
        </w:rPr>
        <w:t xml:space="preserve"> </w:t>
      </w:r>
      <w:r w:rsidR="00930DA9" w:rsidRPr="00231828">
        <w:rPr>
          <w:rFonts w:ascii="Arial" w:hAnsi="Arial" w:cs="Arial"/>
          <w:i/>
        </w:rPr>
        <w:t>et al</w:t>
      </w:r>
      <w:r w:rsidR="00930DA9" w:rsidRPr="00231828">
        <w:rPr>
          <w:rFonts w:ascii="Arial" w:hAnsi="Arial" w:cs="Arial"/>
        </w:rPr>
        <w:t xml:space="preserve">. 2013, </w:t>
      </w:r>
      <w:proofErr w:type="spellStart"/>
      <w:r w:rsidR="00930DA9" w:rsidRPr="00231828">
        <w:rPr>
          <w:rFonts w:ascii="Arial" w:hAnsi="Arial" w:cs="Arial"/>
        </w:rPr>
        <w:t>Lichtenfels</w:t>
      </w:r>
      <w:proofErr w:type="spellEnd"/>
      <w:r w:rsidR="00930DA9" w:rsidRPr="00231828">
        <w:rPr>
          <w:rFonts w:ascii="Arial" w:hAnsi="Arial" w:cs="Arial"/>
        </w:rPr>
        <w:t xml:space="preserve"> </w:t>
      </w:r>
      <w:r w:rsidR="00930DA9" w:rsidRPr="00231828">
        <w:rPr>
          <w:rFonts w:ascii="Arial" w:hAnsi="Arial" w:cs="Arial"/>
          <w:i/>
        </w:rPr>
        <w:t>et al.</w:t>
      </w:r>
      <w:r w:rsidR="00930DA9" w:rsidRPr="00231828">
        <w:rPr>
          <w:rFonts w:ascii="Arial" w:hAnsi="Arial" w:cs="Arial"/>
        </w:rPr>
        <w:t xml:space="preserve"> 201</w:t>
      </w:r>
      <w:r w:rsidR="00782CA7" w:rsidRPr="00231828">
        <w:rPr>
          <w:rFonts w:ascii="Arial" w:hAnsi="Arial" w:cs="Arial"/>
        </w:rPr>
        <w:t>4</w:t>
      </w:r>
      <w:r w:rsidR="00930DA9" w:rsidRPr="00231828">
        <w:rPr>
          <w:rFonts w:ascii="Arial" w:hAnsi="Arial" w:cs="Arial"/>
        </w:rPr>
        <w:t>).</w:t>
      </w:r>
      <w:r w:rsidR="00B37A2D" w:rsidRPr="00231828">
        <w:rPr>
          <w:rFonts w:ascii="Arial" w:hAnsi="Arial" w:cs="Arial"/>
        </w:rPr>
        <w:t xml:space="preserve"> We have also been successful in cloning </w:t>
      </w:r>
      <w:r w:rsidR="00711F0E" w:rsidRPr="00231828">
        <w:rPr>
          <w:rFonts w:ascii="Arial" w:hAnsi="Arial" w:cs="Arial"/>
        </w:rPr>
        <w:t>SMX-NO- and flucloxacillin</w:t>
      </w:r>
      <w:r w:rsidR="00B37A2D" w:rsidRPr="00231828">
        <w:rPr>
          <w:rFonts w:ascii="Arial" w:hAnsi="Arial" w:cs="Arial"/>
        </w:rPr>
        <w:t>-specific T cells from cultures set up during the DC priming assay (</w:t>
      </w:r>
      <w:proofErr w:type="spellStart"/>
      <w:r w:rsidR="00B37A2D" w:rsidRPr="00231828">
        <w:rPr>
          <w:rFonts w:ascii="Arial" w:hAnsi="Arial" w:cs="Arial"/>
        </w:rPr>
        <w:t>Monshi</w:t>
      </w:r>
      <w:proofErr w:type="spellEnd"/>
      <w:r w:rsidR="00B37A2D" w:rsidRPr="00231828">
        <w:rPr>
          <w:rFonts w:ascii="Arial" w:hAnsi="Arial" w:cs="Arial"/>
        </w:rPr>
        <w:t xml:space="preserve"> </w:t>
      </w:r>
      <w:r w:rsidR="00B37A2D" w:rsidRPr="00231828">
        <w:rPr>
          <w:rFonts w:ascii="Arial" w:hAnsi="Arial" w:cs="Arial"/>
          <w:i/>
        </w:rPr>
        <w:t>et al</w:t>
      </w:r>
      <w:r w:rsidR="00B37A2D" w:rsidRPr="00231828">
        <w:rPr>
          <w:rFonts w:ascii="Arial" w:hAnsi="Arial" w:cs="Arial"/>
        </w:rPr>
        <w:t xml:space="preserve">. 2013, </w:t>
      </w:r>
      <w:r w:rsidR="00711F0E" w:rsidRPr="00231828">
        <w:rPr>
          <w:rFonts w:ascii="Arial" w:hAnsi="Arial" w:cs="Arial"/>
        </w:rPr>
        <w:t xml:space="preserve">Gibson </w:t>
      </w:r>
      <w:r w:rsidR="00711F0E" w:rsidRPr="00231828">
        <w:rPr>
          <w:rFonts w:ascii="Arial" w:hAnsi="Arial" w:cs="Arial"/>
          <w:i/>
        </w:rPr>
        <w:t>et al</w:t>
      </w:r>
      <w:r w:rsidR="00685E57" w:rsidRPr="00231828">
        <w:rPr>
          <w:rFonts w:ascii="Arial" w:hAnsi="Arial" w:cs="Arial"/>
          <w:i/>
        </w:rPr>
        <w:t>.</w:t>
      </w:r>
      <w:r w:rsidR="00711F0E" w:rsidRPr="00231828">
        <w:rPr>
          <w:rFonts w:ascii="Arial" w:hAnsi="Arial" w:cs="Arial"/>
        </w:rPr>
        <w:t xml:space="preserve"> 2</w:t>
      </w:r>
      <w:r w:rsidR="00015BF1" w:rsidRPr="00231828">
        <w:rPr>
          <w:rFonts w:ascii="Arial" w:hAnsi="Arial" w:cs="Arial"/>
        </w:rPr>
        <w:t>014)</w:t>
      </w:r>
      <w:r w:rsidR="00B37A2D" w:rsidRPr="00231828">
        <w:rPr>
          <w:rFonts w:ascii="Arial" w:hAnsi="Arial" w:cs="Arial"/>
        </w:rPr>
        <w:t xml:space="preserve">. In the majority of cases cloning </w:t>
      </w:r>
      <w:r w:rsidR="009F626D" w:rsidRPr="00231828">
        <w:rPr>
          <w:rFonts w:ascii="Arial" w:hAnsi="Arial" w:cs="Arial"/>
        </w:rPr>
        <w:t>was</w:t>
      </w:r>
      <w:r w:rsidR="00B37A2D" w:rsidRPr="00231828">
        <w:rPr>
          <w:rFonts w:ascii="Arial" w:hAnsi="Arial" w:cs="Arial"/>
        </w:rPr>
        <w:t xml:space="preserve"> successful when good or strong responses </w:t>
      </w:r>
      <w:r w:rsidR="009F626D" w:rsidRPr="00231828">
        <w:rPr>
          <w:rFonts w:ascii="Arial" w:hAnsi="Arial" w:cs="Arial"/>
        </w:rPr>
        <w:t>were</w:t>
      </w:r>
      <w:r w:rsidR="00B37A2D" w:rsidRPr="00231828">
        <w:rPr>
          <w:rFonts w:ascii="Arial" w:hAnsi="Arial" w:cs="Arial"/>
        </w:rPr>
        <w:t xml:space="preserve"> det</w:t>
      </w:r>
      <w:r w:rsidR="003E36AF" w:rsidRPr="00231828">
        <w:rPr>
          <w:rFonts w:ascii="Arial" w:hAnsi="Arial" w:cs="Arial"/>
        </w:rPr>
        <w:t>ec</w:t>
      </w:r>
      <w:r w:rsidR="0048036C" w:rsidRPr="00231828">
        <w:rPr>
          <w:rFonts w:ascii="Arial" w:hAnsi="Arial" w:cs="Arial"/>
        </w:rPr>
        <w:t>ted in the DC priming assay (7/20</w:t>
      </w:r>
      <w:r w:rsidR="00B37A2D" w:rsidRPr="00231828">
        <w:rPr>
          <w:rFonts w:ascii="Arial" w:hAnsi="Arial" w:cs="Arial"/>
        </w:rPr>
        <w:t xml:space="preserve">), such as for </w:t>
      </w:r>
      <w:proofErr w:type="spellStart"/>
      <w:r w:rsidR="009F626D" w:rsidRPr="00231828">
        <w:rPr>
          <w:rFonts w:ascii="Arial" w:hAnsi="Arial" w:cs="Arial"/>
        </w:rPr>
        <w:t>Bandrowski’s</w:t>
      </w:r>
      <w:proofErr w:type="spellEnd"/>
      <w:r w:rsidR="009F626D" w:rsidRPr="00231828">
        <w:rPr>
          <w:rFonts w:ascii="Arial" w:hAnsi="Arial" w:cs="Arial"/>
        </w:rPr>
        <w:t xml:space="preserve"> base</w:t>
      </w:r>
      <w:r w:rsidR="00B37A2D" w:rsidRPr="00231828">
        <w:rPr>
          <w:rFonts w:ascii="Arial" w:hAnsi="Arial" w:cs="Arial"/>
        </w:rPr>
        <w:t>, piperacillin and carbamazepine</w:t>
      </w:r>
      <w:r w:rsidR="00445263" w:rsidRPr="00231828">
        <w:rPr>
          <w:rFonts w:ascii="Arial" w:hAnsi="Arial" w:cs="Arial"/>
        </w:rPr>
        <w:t xml:space="preserve"> (B*15:02)</w:t>
      </w:r>
      <w:r w:rsidR="00B37A2D" w:rsidRPr="00231828">
        <w:rPr>
          <w:rFonts w:ascii="Arial" w:hAnsi="Arial" w:cs="Arial"/>
        </w:rPr>
        <w:t xml:space="preserve">. </w:t>
      </w:r>
      <w:r w:rsidR="003E36AF" w:rsidRPr="00231828">
        <w:rPr>
          <w:rFonts w:ascii="Arial" w:hAnsi="Arial" w:cs="Arial"/>
        </w:rPr>
        <w:t>However, we did have some success when only weak responses were detected in the DC assay for flucl</w:t>
      </w:r>
      <w:r w:rsidR="0048036C" w:rsidRPr="00231828">
        <w:rPr>
          <w:rFonts w:ascii="Arial" w:hAnsi="Arial" w:cs="Arial"/>
        </w:rPr>
        <w:t>oxacillin and carbamazepine (</w:t>
      </w:r>
      <w:r w:rsidR="00445263" w:rsidRPr="00231828">
        <w:rPr>
          <w:rFonts w:ascii="Arial" w:hAnsi="Arial" w:cs="Arial"/>
        </w:rPr>
        <w:t>A*31:01</w:t>
      </w:r>
      <w:r w:rsidR="00015BF1" w:rsidRPr="00231828">
        <w:rPr>
          <w:rFonts w:ascii="Arial" w:hAnsi="Arial" w:cs="Arial"/>
        </w:rPr>
        <w:t>) (Tables 3 &amp; 4).</w:t>
      </w:r>
      <w:r w:rsidR="003E36AF" w:rsidRPr="00231828">
        <w:rPr>
          <w:rFonts w:ascii="Arial" w:hAnsi="Arial" w:cs="Arial"/>
        </w:rPr>
        <w:t xml:space="preserve"> When the DC priming assay was negative</w:t>
      </w:r>
      <w:r w:rsidR="00E24BBF" w:rsidRPr="00231828">
        <w:rPr>
          <w:rFonts w:ascii="Arial" w:hAnsi="Arial" w:cs="Arial"/>
        </w:rPr>
        <w:t>,</w:t>
      </w:r>
      <w:r w:rsidR="003E36AF" w:rsidRPr="00231828">
        <w:rPr>
          <w:rFonts w:ascii="Arial" w:hAnsi="Arial" w:cs="Arial"/>
        </w:rPr>
        <w:t xml:space="preserve"> </w:t>
      </w:r>
      <w:r w:rsidR="00E24BBF" w:rsidRPr="00231828">
        <w:rPr>
          <w:rFonts w:ascii="Arial" w:hAnsi="Arial" w:cs="Arial"/>
        </w:rPr>
        <w:t xml:space="preserve">such as for </w:t>
      </w:r>
      <w:proofErr w:type="spellStart"/>
      <w:r w:rsidR="00E24BBF" w:rsidRPr="00231828">
        <w:rPr>
          <w:rFonts w:ascii="Arial" w:hAnsi="Arial" w:cs="Arial"/>
        </w:rPr>
        <w:t>ximelagatran</w:t>
      </w:r>
      <w:proofErr w:type="spellEnd"/>
      <w:r w:rsidR="00E24BBF" w:rsidRPr="00231828">
        <w:rPr>
          <w:rFonts w:ascii="Arial" w:hAnsi="Arial" w:cs="Arial"/>
        </w:rPr>
        <w:t xml:space="preserve"> and </w:t>
      </w:r>
      <w:proofErr w:type="spellStart"/>
      <w:r w:rsidR="00E24BBF" w:rsidRPr="00231828">
        <w:rPr>
          <w:rFonts w:ascii="Arial" w:hAnsi="Arial" w:cs="Arial"/>
        </w:rPr>
        <w:t>lumiracoxib</w:t>
      </w:r>
      <w:proofErr w:type="spellEnd"/>
      <w:r w:rsidR="00E24BBF" w:rsidRPr="00231828">
        <w:rPr>
          <w:rFonts w:ascii="Arial" w:hAnsi="Arial" w:cs="Arial"/>
        </w:rPr>
        <w:t xml:space="preserve">, </w:t>
      </w:r>
      <w:r w:rsidR="003E36AF" w:rsidRPr="00231828">
        <w:rPr>
          <w:rFonts w:ascii="Arial" w:hAnsi="Arial" w:cs="Arial"/>
        </w:rPr>
        <w:t xml:space="preserve">then T cell cloning </w:t>
      </w:r>
      <w:r w:rsidR="003E36AF" w:rsidRPr="00231828">
        <w:rPr>
          <w:rFonts w:ascii="Arial" w:hAnsi="Arial" w:cs="Arial"/>
        </w:rPr>
        <w:lastRenderedPageBreak/>
        <w:t>also failed</w:t>
      </w:r>
      <w:r w:rsidR="00C23CFD" w:rsidRPr="00231828">
        <w:rPr>
          <w:rFonts w:ascii="Arial" w:hAnsi="Arial" w:cs="Arial"/>
        </w:rPr>
        <w:t>.</w:t>
      </w:r>
      <w:r w:rsidR="00761CB6" w:rsidRPr="00231828">
        <w:rPr>
          <w:rFonts w:ascii="Arial" w:hAnsi="Arial" w:cs="Arial"/>
        </w:rPr>
        <w:t xml:space="preserve"> T cell cloning was performed on </w:t>
      </w:r>
      <w:proofErr w:type="spellStart"/>
      <w:r w:rsidR="00761CB6" w:rsidRPr="00231828">
        <w:rPr>
          <w:rFonts w:ascii="Arial" w:hAnsi="Arial" w:cs="Arial"/>
        </w:rPr>
        <w:t>ximelagatran</w:t>
      </w:r>
      <w:proofErr w:type="spellEnd"/>
      <w:r w:rsidR="00761CB6" w:rsidRPr="00231828">
        <w:rPr>
          <w:rFonts w:ascii="Arial" w:hAnsi="Arial" w:cs="Arial"/>
        </w:rPr>
        <w:t xml:space="preserve"> </w:t>
      </w:r>
      <w:r w:rsidR="00C23CFD" w:rsidRPr="00231828">
        <w:rPr>
          <w:rFonts w:ascii="Arial" w:hAnsi="Arial" w:cs="Arial"/>
        </w:rPr>
        <w:t>co-</w:t>
      </w:r>
      <w:r w:rsidR="00761CB6" w:rsidRPr="00231828">
        <w:rPr>
          <w:rFonts w:ascii="Arial" w:hAnsi="Arial" w:cs="Arial"/>
        </w:rPr>
        <w:t>cultures</w:t>
      </w:r>
      <w:r w:rsidR="00445263" w:rsidRPr="00231828">
        <w:rPr>
          <w:rFonts w:ascii="Arial" w:hAnsi="Arial" w:cs="Arial"/>
        </w:rPr>
        <w:t xml:space="preserve"> and</w:t>
      </w:r>
      <w:r w:rsidR="00761CB6" w:rsidRPr="00231828">
        <w:rPr>
          <w:rFonts w:ascii="Arial" w:hAnsi="Arial" w:cs="Arial"/>
        </w:rPr>
        <w:t xml:space="preserve"> </w:t>
      </w:r>
      <w:r w:rsidR="00E24BBF" w:rsidRPr="00231828">
        <w:rPr>
          <w:rFonts w:ascii="Arial" w:hAnsi="Arial" w:cs="Arial"/>
        </w:rPr>
        <w:t xml:space="preserve">288 </w:t>
      </w:r>
      <w:r w:rsidR="00CF71D3" w:rsidRPr="00231828">
        <w:rPr>
          <w:rFonts w:ascii="Arial" w:hAnsi="Arial" w:cs="Arial"/>
        </w:rPr>
        <w:t xml:space="preserve">T cell </w:t>
      </w:r>
      <w:r w:rsidR="00E24BBF" w:rsidRPr="00231828">
        <w:rPr>
          <w:rFonts w:ascii="Arial" w:hAnsi="Arial" w:cs="Arial"/>
        </w:rPr>
        <w:t xml:space="preserve">clones </w:t>
      </w:r>
      <w:r w:rsidR="009F626D" w:rsidRPr="00231828">
        <w:rPr>
          <w:rFonts w:ascii="Arial" w:hAnsi="Arial" w:cs="Arial"/>
        </w:rPr>
        <w:t xml:space="preserve">were </w:t>
      </w:r>
      <w:r w:rsidR="00E24BBF" w:rsidRPr="00231828">
        <w:rPr>
          <w:rFonts w:ascii="Arial" w:hAnsi="Arial" w:cs="Arial"/>
        </w:rPr>
        <w:t xml:space="preserve">selected </w:t>
      </w:r>
      <w:r w:rsidR="00CF71D3" w:rsidRPr="00231828">
        <w:rPr>
          <w:rFonts w:ascii="Arial" w:hAnsi="Arial" w:cs="Arial"/>
        </w:rPr>
        <w:t xml:space="preserve">for </w:t>
      </w:r>
      <w:r w:rsidR="00C23CFD" w:rsidRPr="00231828">
        <w:rPr>
          <w:rFonts w:ascii="Arial" w:hAnsi="Arial" w:cs="Arial"/>
        </w:rPr>
        <w:t>each of the 3 volunteers</w:t>
      </w:r>
      <w:r w:rsidR="00445263" w:rsidRPr="00231828">
        <w:rPr>
          <w:rFonts w:ascii="Arial" w:hAnsi="Arial" w:cs="Arial"/>
        </w:rPr>
        <w:t>. However</w:t>
      </w:r>
      <w:r w:rsidR="00C23CFD" w:rsidRPr="00231828">
        <w:rPr>
          <w:rFonts w:ascii="Arial" w:hAnsi="Arial" w:cs="Arial"/>
        </w:rPr>
        <w:t>,</w:t>
      </w:r>
      <w:r w:rsidR="00E24BBF" w:rsidRPr="00231828">
        <w:rPr>
          <w:rFonts w:ascii="Arial" w:hAnsi="Arial" w:cs="Arial"/>
        </w:rPr>
        <w:t xml:space="preserve"> no</w:t>
      </w:r>
      <w:r w:rsidR="00CF71D3" w:rsidRPr="00231828">
        <w:rPr>
          <w:rFonts w:ascii="Arial" w:hAnsi="Arial" w:cs="Arial"/>
        </w:rPr>
        <w:t>ne of these clones w</w:t>
      </w:r>
      <w:r w:rsidR="009F626D" w:rsidRPr="00231828">
        <w:rPr>
          <w:rFonts w:ascii="Arial" w:hAnsi="Arial" w:cs="Arial"/>
        </w:rPr>
        <w:t>ere</w:t>
      </w:r>
      <w:r w:rsidR="00CF71D3" w:rsidRPr="00231828">
        <w:rPr>
          <w:rFonts w:ascii="Arial" w:hAnsi="Arial" w:cs="Arial"/>
        </w:rPr>
        <w:t xml:space="preserve"> drug-specific </w:t>
      </w:r>
      <w:r w:rsidR="00015BF1" w:rsidRPr="00231828">
        <w:rPr>
          <w:rFonts w:ascii="Arial" w:hAnsi="Arial" w:cs="Arial"/>
        </w:rPr>
        <w:t>on testing</w:t>
      </w:r>
      <w:r w:rsidR="00E24BBF" w:rsidRPr="00231828">
        <w:rPr>
          <w:rFonts w:ascii="Arial" w:hAnsi="Arial" w:cs="Arial"/>
        </w:rPr>
        <w:t xml:space="preserve">. </w:t>
      </w:r>
      <w:r w:rsidR="00CF71D3" w:rsidRPr="00231828">
        <w:rPr>
          <w:rFonts w:ascii="Arial" w:hAnsi="Arial" w:cs="Arial"/>
        </w:rPr>
        <w:t xml:space="preserve">T cell cloning </w:t>
      </w:r>
      <w:r w:rsidR="00685E57" w:rsidRPr="00231828">
        <w:rPr>
          <w:rFonts w:ascii="Arial" w:hAnsi="Arial" w:cs="Arial"/>
        </w:rPr>
        <w:t>from</w:t>
      </w:r>
      <w:r w:rsidR="00CF71D3" w:rsidRPr="00231828">
        <w:rPr>
          <w:rFonts w:ascii="Arial" w:hAnsi="Arial" w:cs="Arial"/>
        </w:rPr>
        <w:t xml:space="preserve"> </w:t>
      </w:r>
      <w:proofErr w:type="spellStart"/>
      <w:r w:rsidR="00CF71D3" w:rsidRPr="00231828">
        <w:rPr>
          <w:rFonts w:ascii="Arial" w:hAnsi="Arial" w:cs="Arial"/>
        </w:rPr>
        <w:t>lumiracoxib</w:t>
      </w:r>
      <w:proofErr w:type="spellEnd"/>
      <w:r w:rsidR="00CF71D3" w:rsidRPr="00231828">
        <w:rPr>
          <w:rFonts w:ascii="Arial" w:hAnsi="Arial" w:cs="Arial"/>
        </w:rPr>
        <w:t xml:space="preserve"> co-cultures</w:t>
      </w:r>
      <w:r w:rsidR="00961897" w:rsidRPr="00231828">
        <w:rPr>
          <w:rFonts w:ascii="Arial" w:hAnsi="Arial" w:cs="Arial"/>
        </w:rPr>
        <w:t xml:space="preserve"> resulted in isolation of 228 and 198 T cell clones</w:t>
      </w:r>
      <w:r w:rsidR="00CF71D3" w:rsidRPr="00231828">
        <w:rPr>
          <w:rFonts w:ascii="Arial" w:hAnsi="Arial" w:cs="Arial"/>
        </w:rPr>
        <w:t xml:space="preserve"> </w:t>
      </w:r>
      <w:r w:rsidR="00961897" w:rsidRPr="00231828">
        <w:rPr>
          <w:rFonts w:ascii="Arial" w:hAnsi="Arial" w:cs="Arial"/>
        </w:rPr>
        <w:t xml:space="preserve">from 2 different </w:t>
      </w:r>
      <w:r w:rsidR="00685E57" w:rsidRPr="00231828">
        <w:rPr>
          <w:rFonts w:ascii="Arial" w:hAnsi="Arial" w:cs="Arial"/>
        </w:rPr>
        <w:t>donors and cloning from</w:t>
      </w:r>
      <w:r w:rsidR="00961897" w:rsidRPr="00231828">
        <w:rPr>
          <w:rFonts w:ascii="Arial" w:hAnsi="Arial" w:cs="Arial"/>
        </w:rPr>
        <w:t xml:space="preserve"> the </w:t>
      </w:r>
      <w:r w:rsidR="00685E57" w:rsidRPr="00231828">
        <w:rPr>
          <w:rFonts w:ascii="Arial" w:hAnsi="Arial" w:cs="Arial"/>
        </w:rPr>
        <w:t xml:space="preserve">co-cultures of the </w:t>
      </w:r>
      <w:proofErr w:type="spellStart"/>
      <w:r w:rsidR="00961897" w:rsidRPr="00231828">
        <w:rPr>
          <w:rFonts w:ascii="Arial" w:hAnsi="Arial" w:cs="Arial"/>
        </w:rPr>
        <w:t>lumiracoxib</w:t>
      </w:r>
      <w:proofErr w:type="spellEnd"/>
      <w:r w:rsidR="00961897" w:rsidRPr="00231828">
        <w:rPr>
          <w:rFonts w:ascii="Arial" w:hAnsi="Arial" w:cs="Arial"/>
        </w:rPr>
        <w:t xml:space="preserve"> </w:t>
      </w:r>
      <w:r w:rsidR="00685E57" w:rsidRPr="00231828">
        <w:rPr>
          <w:rFonts w:ascii="Arial" w:hAnsi="Arial" w:cs="Arial"/>
        </w:rPr>
        <w:t xml:space="preserve">metabolites, </w:t>
      </w:r>
      <w:r w:rsidR="00961897" w:rsidRPr="00231828">
        <w:rPr>
          <w:rFonts w:ascii="Arial" w:hAnsi="Arial" w:cs="Arial"/>
        </w:rPr>
        <w:t>f</w:t>
      </w:r>
      <w:r w:rsidR="00685E57" w:rsidRPr="00231828">
        <w:rPr>
          <w:rFonts w:ascii="Arial" w:hAnsi="Arial" w:cs="Arial"/>
        </w:rPr>
        <w:t xml:space="preserve">rom a single </w:t>
      </w:r>
      <w:r w:rsidR="00961897" w:rsidRPr="00231828">
        <w:rPr>
          <w:rFonts w:ascii="Arial" w:hAnsi="Arial" w:cs="Arial"/>
        </w:rPr>
        <w:t>donor</w:t>
      </w:r>
      <w:r w:rsidR="00685E57" w:rsidRPr="00231828">
        <w:rPr>
          <w:rFonts w:ascii="Arial" w:hAnsi="Arial" w:cs="Arial"/>
        </w:rPr>
        <w:t>,</w:t>
      </w:r>
      <w:r w:rsidR="00961897" w:rsidRPr="00231828">
        <w:rPr>
          <w:rFonts w:ascii="Arial" w:hAnsi="Arial" w:cs="Arial"/>
        </w:rPr>
        <w:t xml:space="preserve"> </w:t>
      </w:r>
      <w:r w:rsidR="00685E57" w:rsidRPr="00231828">
        <w:rPr>
          <w:rFonts w:ascii="Arial" w:hAnsi="Arial" w:cs="Arial"/>
        </w:rPr>
        <w:t>resulted in selection of</w:t>
      </w:r>
      <w:r w:rsidR="00961897" w:rsidRPr="00231828">
        <w:rPr>
          <w:rFonts w:ascii="Arial" w:hAnsi="Arial" w:cs="Arial"/>
        </w:rPr>
        <w:t xml:space="preserve"> 153, 35, 160 and 190 T cell clones for </w:t>
      </w:r>
      <w:r w:rsidR="008C274D">
        <w:rPr>
          <w:rFonts w:ascii="Arial" w:hAnsi="Arial" w:cs="Arial"/>
        </w:rPr>
        <w:t xml:space="preserve">5-carboxy </w:t>
      </w:r>
      <w:proofErr w:type="spellStart"/>
      <w:r w:rsidR="008C274D">
        <w:rPr>
          <w:rFonts w:ascii="Arial" w:hAnsi="Arial" w:cs="Arial"/>
        </w:rPr>
        <w:t>lumiracoxib</w:t>
      </w:r>
      <w:proofErr w:type="spellEnd"/>
      <w:r w:rsidR="00961897" w:rsidRPr="00231828">
        <w:rPr>
          <w:rFonts w:ascii="Arial" w:hAnsi="Arial" w:cs="Arial"/>
        </w:rPr>
        <w:t xml:space="preserve">, </w:t>
      </w:r>
      <w:r w:rsidR="008C274D">
        <w:rPr>
          <w:rFonts w:ascii="Arial" w:hAnsi="Arial" w:cs="Arial"/>
        </w:rPr>
        <w:t xml:space="preserve">4’hydroxy-5-carboxyl </w:t>
      </w:r>
      <w:proofErr w:type="spellStart"/>
      <w:r w:rsidR="008C274D">
        <w:rPr>
          <w:rFonts w:ascii="Arial" w:hAnsi="Arial" w:cs="Arial"/>
        </w:rPr>
        <w:t>lumiracoxib</w:t>
      </w:r>
      <w:proofErr w:type="spellEnd"/>
      <w:r w:rsidR="008C274D">
        <w:rPr>
          <w:rFonts w:ascii="Arial" w:hAnsi="Arial" w:cs="Arial"/>
        </w:rPr>
        <w:t xml:space="preserve">, 4’hydroxy </w:t>
      </w:r>
      <w:proofErr w:type="spellStart"/>
      <w:r w:rsidR="008C274D">
        <w:rPr>
          <w:rFonts w:ascii="Arial" w:hAnsi="Arial" w:cs="Arial"/>
        </w:rPr>
        <w:t>lumiracoxib</w:t>
      </w:r>
      <w:proofErr w:type="spellEnd"/>
      <w:r w:rsidR="008C274D">
        <w:rPr>
          <w:rFonts w:ascii="Arial" w:hAnsi="Arial" w:cs="Arial"/>
        </w:rPr>
        <w:t xml:space="preserve"> and 5-hydroxy </w:t>
      </w:r>
      <w:proofErr w:type="spellStart"/>
      <w:r w:rsidR="008C274D">
        <w:rPr>
          <w:rFonts w:ascii="Arial" w:hAnsi="Arial" w:cs="Arial"/>
        </w:rPr>
        <w:t>lumiracoxib</w:t>
      </w:r>
      <w:proofErr w:type="spellEnd"/>
      <w:r w:rsidR="008C274D">
        <w:rPr>
          <w:rFonts w:ascii="Arial" w:hAnsi="Arial" w:cs="Arial"/>
        </w:rPr>
        <w:t>,</w:t>
      </w:r>
      <w:r w:rsidR="00961897" w:rsidRPr="00231828">
        <w:rPr>
          <w:rFonts w:ascii="Arial" w:hAnsi="Arial" w:cs="Arial"/>
        </w:rPr>
        <w:t xml:space="preserve"> respectively. None of these clones were drug-specific </w:t>
      </w:r>
      <w:r w:rsidR="00445263" w:rsidRPr="00231828">
        <w:rPr>
          <w:rFonts w:ascii="Arial" w:hAnsi="Arial" w:cs="Arial"/>
        </w:rPr>
        <w:t xml:space="preserve">on testing </w:t>
      </w:r>
      <w:r w:rsidR="00961897" w:rsidRPr="00231828">
        <w:rPr>
          <w:rFonts w:ascii="Arial" w:hAnsi="Arial" w:cs="Arial"/>
        </w:rPr>
        <w:t>(data not shown).</w:t>
      </w:r>
    </w:p>
    <w:p w:rsidR="0099417E" w:rsidRPr="00231828" w:rsidRDefault="0099417E" w:rsidP="00231828">
      <w:pPr>
        <w:spacing w:line="480" w:lineRule="auto"/>
        <w:rPr>
          <w:rFonts w:ascii="Arial" w:hAnsi="Arial" w:cs="Arial"/>
          <w:b/>
          <w:i/>
        </w:rPr>
      </w:pPr>
      <w:r w:rsidRPr="00231828">
        <w:rPr>
          <w:rFonts w:ascii="Arial" w:hAnsi="Arial" w:cs="Arial"/>
          <w:b/>
          <w:i/>
        </w:rPr>
        <w:br w:type="page"/>
      </w:r>
    </w:p>
    <w:p w:rsidR="00F82558" w:rsidRPr="00231828" w:rsidRDefault="00231828" w:rsidP="00231828">
      <w:pPr>
        <w:spacing w:line="480" w:lineRule="auto"/>
        <w:jc w:val="both"/>
        <w:rPr>
          <w:rFonts w:ascii="Arial" w:hAnsi="Arial" w:cs="Arial"/>
          <w:b/>
        </w:rPr>
      </w:pPr>
      <w:r w:rsidRPr="00231828">
        <w:rPr>
          <w:rFonts w:ascii="Arial" w:hAnsi="Arial" w:cs="Arial"/>
          <w:b/>
        </w:rPr>
        <w:lastRenderedPageBreak/>
        <w:t xml:space="preserve">DISCUSSION </w:t>
      </w:r>
    </w:p>
    <w:p w:rsidR="00F82558" w:rsidRPr="00231828" w:rsidRDefault="00F82558" w:rsidP="00231828">
      <w:pPr>
        <w:spacing w:line="480" w:lineRule="auto"/>
        <w:jc w:val="both"/>
        <w:rPr>
          <w:rFonts w:ascii="Arial" w:hAnsi="Arial" w:cs="Arial"/>
        </w:rPr>
      </w:pPr>
      <w:r w:rsidRPr="00231828">
        <w:rPr>
          <w:rFonts w:ascii="Arial" w:hAnsi="Arial" w:cs="Arial"/>
        </w:rPr>
        <w:t>Drug-responsive T-cells are detectable in skin and blood of patients with delayed-type cutaneous hypersensitivity reactions (</w:t>
      </w:r>
      <w:proofErr w:type="spellStart"/>
      <w:r w:rsidRPr="00231828">
        <w:rPr>
          <w:rFonts w:ascii="Arial" w:hAnsi="Arial" w:cs="Arial"/>
        </w:rPr>
        <w:t>Uetrecht</w:t>
      </w:r>
      <w:proofErr w:type="spellEnd"/>
      <w:r w:rsidRPr="00231828">
        <w:rPr>
          <w:rFonts w:ascii="Arial" w:hAnsi="Arial" w:cs="Arial"/>
        </w:rPr>
        <w:t xml:space="preserve"> and Naisbitt 2013). Cloned T cells from these patients secrete cytolytic molecules and kill autologous targets following drug exposure </w:t>
      </w:r>
      <w:r w:rsidR="008445CA" w:rsidRPr="00231828">
        <w:rPr>
          <w:rFonts w:ascii="Arial" w:hAnsi="Arial" w:cs="Arial"/>
          <w:noProof/>
        </w:rPr>
        <w:t>(El-Ghaiesh</w:t>
      </w:r>
      <w:r w:rsidR="008445CA" w:rsidRPr="00231828">
        <w:rPr>
          <w:rFonts w:ascii="Arial" w:hAnsi="Arial" w:cs="Arial"/>
          <w:i/>
          <w:noProof/>
        </w:rPr>
        <w:t xml:space="preserve"> et al.</w:t>
      </w:r>
      <w:r w:rsidR="008445CA" w:rsidRPr="00231828">
        <w:rPr>
          <w:rFonts w:ascii="Arial" w:hAnsi="Arial" w:cs="Arial"/>
          <w:noProof/>
        </w:rPr>
        <w:t>, 2012;  Kuechler</w:t>
      </w:r>
      <w:r w:rsidR="008445CA" w:rsidRPr="00231828">
        <w:rPr>
          <w:rFonts w:ascii="Arial" w:hAnsi="Arial" w:cs="Arial"/>
          <w:i/>
          <w:noProof/>
        </w:rPr>
        <w:t xml:space="preserve"> et al.</w:t>
      </w:r>
      <w:r w:rsidR="008445CA" w:rsidRPr="00231828">
        <w:rPr>
          <w:rFonts w:ascii="Arial" w:hAnsi="Arial" w:cs="Arial"/>
          <w:noProof/>
        </w:rPr>
        <w:t>, 2004;  Nassif</w:t>
      </w:r>
      <w:r w:rsidR="008445CA" w:rsidRPr="00231828">
        <w:rPr>
          <w:rFonts w:ascii="Arial" w:hAnsi="Arial" w:cs="Arial"/>
          <w:i/>
          <w:noProof/>
        </w:rPr>
        <w:t xml:space="preserve"> et al.</w:t>
      </w:r>
      <w:r w:rsidR="008445CA" w:rsidRPr="00231828">
        <w:rPr>
          <w:rFonts w:ascii="Arial" w:hAnsi="Arial" w:cs="Arial"/>
          <w:noProof/>
        </w:rPr>
        <w:t>, 2004; Wu</w:t>
      </w:r>
      <w:r w:rsidR="008445CA" w:rsidRPr="00231828">
        <w:rPr>
          <w:rFonts w:ascii="Arial" w:hAnsi="Arial" w:cs="Arial"/>
          <w:i/>
          <w:noProof/>
        </w:rPr>
        <w:t xml:space="preserve"> et al.</w:t>
      </w:r>
      <w:r w:rsidR="008445CA" w:rsidRPr="00231828">
        <w:rPr>
          <w:rFonts w:ascii="Arial" w:hAnsi="Arial" w:cs="Arial"/>
          <w:noProof/>
        </w:rPr>
        <w:t>, 2007)</w:t>
      </w:r>
      <w:r w:rsidRPr="00231828">
        <w:rPr>
          <w:rFonts w:ascii="Arial" w:hAnsi="Arial" w:cs="Arial"/>
        </w:rPr>
        <w:t xml:space="preserve">, which indicates that they are directly involved in the disease pathogenesis. Recently, drug-specific T cells have also been cloned from patients with </w:t>
      </w:r>
      <w:r w:rsidR="00A15D44" w:rsidRPr="00231828">
        <w:rPr>
          <w:rFonts w:ascii="Arial" w:hAnsi="Arial" w:cs="Arial"/>
        </w:rPr>
        <w:t xml:space="preserve">liver injury induced by </w:t>
      </w:r>
      <w:r w:rsidRPr="00231828">
        <w:rPr>
          <w:rFonts w:ascii="Arial" w:hAnsi="Arial" w:cs="Arial"/>
        </w:rPr>
        <w:t xml:space="preserve">flucloxacillin </w:t>
      </w:r>
      <w:r w:rsidR="008445CA" w:rsidRPr="00231828">
        <w:rPr>
          <w:rFonts w:ascii="Arial" w:hAnsi="Arial" w:cs="Arial"/>
          <w:noProof/>
        </w:rPr>
        <w:t>(Monshi</w:t>
      </w:r>
      <w:r w:rsidR="008445CA" w:rsidRPr="00231828">
        <w:rPr>
          <w:rFonts w:ascii="Arial" w:hAnsi="Arial" w:cs="Arial"/>
          <w:i/>
          <w:noProof/>
        </w:rPr>
        <w:t xml:space="preserve"> et al.</w:t>
      </w:r>
      <w:r w:rsidR="008445CA" w:rsidRPr="00231828">
        <w:rPr>
          <w:rFonts w:ascii="Arial" w:hAnsi="Arial" w:cs="Arial"/>
          <w:noProof/>
        </w:rPr>
        <w:t>, 2013)</w:t>
      </w:r>
      <w:r w:rsidRPr="00231828">
        <w:rPr>
          <w:rFonts w:ascii="Arial" w:hAnsi="Arial" w:cs="Arial"/>
        </w:rPr>
        <w:t>, co-</w:t>
      </w:r>
      <w:proofErr w:type="spellStart"/>
      <w:r w:rsidRPr="00231828">
        <w:rPr>
          <w:rFonts w:ascii="Arial" w:hAnsi="Arial" w:cs="Arial"/>
        </w:rPr>
        <w:t>amoxiclav</w:t>
      </w:r>
      <w:proofErr w:type="spellEnd"/>
      <w:r w:rsidRPr="00231828">
        <w:rPr>
          <w:rFonts w:ascii="Arial" w:hAnsi="Arial" w:cs="Arial"/>
        </w:rPr>
        <w:t xml:space="preserve"> (Kim </w:t>
      </w:r>
      <w:r w:rsidRPr="00231828">
        <w:rPr>
          <w:rFonts w:ascii="Arial" w:hAnsi="Arial" w:cs="Arial"/>
          <w:i/>
        </w:rPr>
        <w:t>et al.</w:t>
      </w:r>
      <w:r w:rsidRPr="00231828">
        <w:rPr>
          <w:rFonts w:ascii="Arial" w:hAnsi="Arial" w:cs="Arial"/>
        </w:rPr>
        <w:t xml:space="preserve"> </w:t>
      </w:r>
      <w:r w:rsidR="00C3786B" w:rsidRPr="00231828">
        <w:rPr>
          <w:rFonts w:ascii="Arial" w:hAnsi="Arial" w:cs="Arial"/>
        </w:rPr>
        <w:t>2015</w:t>
      </w:r>
      <w:r w:rsidRPr="00231828">
        <w:rPr>
          <w:rFonts w:ascii="Arial" w:hAnsi="Arial" w:cs="Arial"/>
        </w:rPr>
        <w:t>) and isoniazid</w:t>
      </w:r>
      <w:r w:rsidR="00A15D44" w:rsidRPr="00231828">
        <w:rPr>
          <w:rFonts w:ascii="Arial" w:hAnsi="Arial" w:cs="Arial"/>
        </w:rPr>
        <w:t xml:space="preserve"> </w:t>
      </w:r>
      <w:r w:rsidRPr="00231828">
        <w:rPr>
          <w:rFonts w:ascii="Arial" w:hAnsi="Arial" w:cs="Arial"/>
        </w:rPr>
        <w:t>(unpublished data). Th</w:t>
      </w:r>
      <w:r w:rsidR="00A15D44" w:rsidRPr="00231828">
        <w:rPr>
          <w:rFonts w:ascii="Arial" w:hAnsi="Arial" w:cs="Arial"/>
        </w:rPr>
        <w:t xml:space="preserve">is demonstrates that </w:t>
      </w:r>
      <w:r w:rsidRPr="00231828">
        <w:rPr>
          <w:rFonts w:ascii="Arial" w:hAnsi="Arial" w:cs="Arial"/>
        </w:rPr>
        <w:t xml:space="preserve">T cells </w:t>
      </w:r>
      <w:r w:rsidR="00A15D44" w:rsidRPr="00231828">
        <w:rPr>
          <w:rFonts w:ascii="Arial" w:hAnsi="Arial" w:cs="Arial"/>
        </w:rPr>
        <w:t>can</w:t>
      </w:r>
      <w:r w:rsidRPr="00231828">
        <w:rPr>
          <w:rFonts w:ascii="Arial" w:hAnsi="Arial" w:cs="Arial"/>
        </w:rPr>
        <w:t xml:space="preserve"> participate in hypersensitivity reactions targeting different organs. Genome-wide association studies have shown that some, but not all forms of hypersensitivity are associated with expression of specific HLA alleles, which suggests that the drug-derived antigen binds selectively to the protein encoded by the H</w:t>
      </w:r>
      <w:r w:rsidR="00DF2548" w:rsidRPr="00231828">
        <w:rPr>
          <w:rFonts w:ascii="Arial" w:hAnsi="Arial" w:cs="Arial"/>
        </w:rPr>
        <w:t xml:space="preserve">LA allele to activate T </w:t>
      </w:r>
      <w:r w:rsidRPr="00231828">
        <w:rPr>
          <w:rFonts w:ascii="Arial" w:hAnsi="Arial" w:cs="Arial"/>
        </w:rPr>
        <w:t xml:space="preserve">cells </w:t>
      </w:r>
      <w:r w:rsidR="008445CA" w:rsidRPr="00231828">
        <w:rPr>
          <w:rFonts w:ascii="Arial" w:hAnsi="Arial" w:cs="Arial"/>
          <w:noProof/>
        </w:rPr>
        <w:t>(Phillips</w:t>
      </w:r>
      <w:r w:rsidR="008445CA" w:rsidRPr="00231828">
        <w:rPr>
          <w:rFonts w:ascii="Arial" w:hAnsi="Arial" w:cs="Arial"/>
          <w:i/>
          <w:noProof/>
        </w:rPr>
        <w:t xml:space="preserve"> et al.</w:t>
      </w:r>
      <w:r w:rsidR="008445CA" w:rsidRPr="00231828">
        <w:rPr>
          <w:rFonts w:ascii="Arial" w:hAnsi="Arial" w:cs="Arial"/>
          <w:noProof/>
        </w:rPr>
        <w:t>, 2011)</w:t>
      </w:r>
      <w:r w:rsidRPr="00231828">
        <w:rPr>
          <w:rFonts w:ascii="Arial" w:hAnsi="Arial" w:cs="Arial"/>
        </w:rPr>
        <w:t xml:space="preserve">. For a limited number of drug reactions associated with specific HLA class I alleles such as </w:t>
      </w:r>
      <w:proofErr w:type="spellStart"/>
      <w:r w:rsidRPr="00231828">
        <w:rPr>
          <w:rFonts w:ascii="Arial" w:hAnsi="Arial" w:cs="Arial"/>
        </w:rPr>
        <w:t>abacavir</w:t>
      </w:r>
      <w:proofErr w:type="spellEnd"/>
      <w:r w:rsidRPr="00231828">
        <w:rPr>
          <w:rFonts w:ascii="Arial" w:hAnsi="Arial" w:cs="Arial"/>
        </w:rPr>
        <w:t xml:space="preserve"> </w:t>
      </w:r>
      <w:r w:rsidR="008445CA" w:rsidRPr="00231828">
        <w:rPr>
          <w:rFonts w:ascii="Arial" w:hAnsi="Arial" w:cs="Arial"/>
          <w:noProof/>
        </w:rPr>
        <w:t>(Chessman</w:t>
      </w:r>
      <w:r w:rsidR="008445CA" w:rsidRPr="00231828">
        <w:rPr>
          <w:rFonts w:ascii="Arial" w:hAnsi="Arial" w:cs="Arial"/>
          <w:i/>
          <w:noProof/>
        </w:rPr>
        <w:t xml:space="preserve"> et al.</w:t>
      </w:r>
      <w:r w:rsidR="008445CA" w:rsidRPr="00231828">
        <w:rPr>
          <w:rFonts w:ascii="Arial" w:hAnsi="Arial" w:cs="Arial"/>
          <w:noProof/>
        </w:rPr>
        <w:t>, 2008)</w:t>
      </w:r>
      <w:r w:rsidRPr="00231828">
        <w:rPr>
          <w:rFonts w:ascii="Arial" w:hAnsi="Arial" w:cs="Arial"/>
        </w:rPr>
        <w:t xml:space="preserve">, </w:t>
      </w:r>
      <w:proofErr w:type="spellStart"/>
      <w:r w:rsidR="00F217D5" w:rsidRPr="00231828">
        <w:rPr>
          <w:rFonts w:ascii="Arial" w:hAnsi="Arial" w:cs="Arial"/>
        </w:rPr>
        <w:t>oxypurinol</w:t>
      </w:r>
      <w:proofErr w:type="spellEnd"/>
      <w:r w:rsidR="00F217D5" w:rsidRPr="00231828">
        <w:rPr>
          <w:rFonts w:ascii="Arial" w:hAnsi="Arial" w:cs="Arial"/>
        </w:rPr>
        <w:t xml:space="preserve"> (Yun </w:t>
      </w:r>
      <w:r w:rsidR="00F217D5" w:rsidRPr="00231828">
        <w:rPr>
          <w:rFonts w:ascii="Arial" w:hAnsi="Arial" w:cs="Arial"/>
          <w:i/>
        </w:rPr>
        <w:t>et al</w:t>
      </w:r>
      <w:r w:rsidR="00F217D5" w:rsidRPr="00231828">
        <w:rPr>
          <w:rFonts w:ascii="Arial" w:hAnsi="Arial" w:cs="Arial"/>
        </w:rPr>
        <w:t xml:space="preserve">., 2013), </w:t>
      </w:r>
      <w:r w:rsidRPr="00231828">
        <w:rPr>
          <w:rFonts w:ascii="Arial" w:hAnsi="Arial" w:cs="Arial"/>
        </w:rPr>
        <w:t xml:space="preserve">flucloxacillin </w:t>
      </w:r>
      <w:r w:rsidR="008445CA" w:rsidRPr="00231828">
        <w:rPr>
          <w:rFonts w:ascii="Arial" w:hAnsi="Arial" w:cs="Arial"/>
          <w:noProof/>
        </w:rPr>
        <w:t>(Monshi</w:t>
      </w:r>
      <w:r w:rsidR="008445CA" w:rsidRPr="00231828">
        <w:rPr>
          <w:rFonts w:ascii="Arial" w:hAnsi="Arial" w:cs="Arial"/>
          <w:i/>
          <w:noProof/>
        </w:rPr>
        <w:t xml:space="preserve"> et al.</w:t>
      </w:r>
      <w:r w:rsidR="008445CA" w:rsidRPr="00231828">
        <w:rPr>
          <w:rFonts w:ascii="Arial" w:hAnsi="Arial" w:cs="Arial"/>
          <w:noProof/>
        </w:rPr>
        <w:t>, 2013a)</w:t>
      </w:r>
      <w:r w:rsidRPr="00231828">
        <w:rPr>
          <w:rFonts w:ascii="Arial" w:hAnsi="Arial" w:cs="Arial"/>
        </w:rPr>
        <w:t xml:space="preserve"> and carbamazepine </w:t>
      </w:r>
      <w:r w:rsidR="008445CA" w:rsidRPr="00231828">
        <w:rPr>
          <w:rFonts w:ascii="Arial" w:hAnsi="Arial" w:cs="Arial"/>
          <w:noProof/>
        </w:rPr>
        <w:t>(Wei</w:t>
      </w:r>
      <w:r w:rsidR="008445CA" w:rsidRPr="00231828">
        <w:rPr>
          <w:rFonts w:ascii="Arial" w:hAnsi="Arial" w:cs="Arial"/>
          <w:i/>
          <w:noProof/>
        </w:rPr>
        <w:t xml:space="preserve"> et al.</w:t>
      </w:r>
      <w:r w:rsidR="008445CA" w:rsidRPr="00231828">
        <w:rPr>
          <w:rFonts w:ascii="Arial" w:hAnsi="Arial" w:cs="Arial"/>
          <w:noProof/>
        </w:rPr>
        <w:t>, 2012)</w:t>
      </w:r>
      <w:r w:rsidRPr="00231828">
        <w:rPr>
          <w:rFonts w:ascii="Arial" w:hAnsi="Arial" w:cs="Arial"/>
        </w:rPr>
        <w:t xml:space="preserve">, it has been possible to show a selective drug-specific and HLA allele-restricted activation of CD8 T cells. In contrast, it is not known whether the HLA class II associations relate to the </w:t>
      </w:r>
      <w:r w:rsidR="009F626D" w:rsidRPr="00231828">
        <w:rPr>
          <w:rFonts w:ascii="Arial" w:hAnsi="Arial" w:cs="Arial"/>
        </w:rPr>
        <w:t xml:space="preserve">drug-specific CD4 T </w:t>
      </w:r>
      <w:r w:rsidRPr="00231828">
        <w:rPr>
          <w:rFonts w:ascii="Arial" w:hAnsi="Arial" w:cs="Arial"/>
        </w:rPr>
        <w:t xml:space="preserve">cells. </w:t>
      </w:r>
    </w:p>
    <w:p w:rsidR="00F82558" w:rsidRPr="00231828" w:rsidRDefault="00F82558" w:rsidP="00231828">
      <w:pPr>
        <w:spacing w:line="480" w:lineRule="auto"/>
        <w:jc w:val="both"/>
        <w:rPr>
          <w:rFonts w:ascii="Arial" w:hAnsi="Arial" w:cs="Arial"/>
        </w:rPr>
      </w:pPr>
      <w:r w:rsidRPr="00231828">
        <w:rPr>
          <w:rFonts w:ascii="Arial" w:hAnsi="Arial" w:cs="Arial"/>
          <w:i/>
        </w:rPr>
        <w:t xml:space="preserve">In vitro </w:t>
      </w:r>
      <w:r w:rsidRPr="00231828">
        <w:rPr>
          <w:rFonts w:ascii="Arial" w:hAnsi="Arial" w:cs="Arial"/>
        </w:rPr>
        <w:t xml:space="preserve">assays for the prediction of whether a drug or chemical activates naive T cells are at a very early stage of development and have been designed using only 2 or 3 well-defined antigens i.e., </w:t>
      </w:r>
      <w:proofErr w:type="spellStart"/>
      <w:r w:rsidRPr="00231828">
        <w:rPr>
          <w:rFonts w:ascii="Arial" w:hAnsi="Arial" w:cs="Arial"/>
        </w:rPr>
        <w:t>dinitrohalobenzenes</w:t>
      </w:r>
      <w:proofErr w:type="spellEnd"/>
      <w:r w:rsidRPr="00231828">
        <w:rPr>
          <w:rFonts w:ascii="Arial" w:hAnsi="Arial" w:cs="Arial"/>
        </w:rPr>
        <w:t xml:space="preserve"> and SMX-NO </w:t>
      </w:r>
      <w:r w:rsidR="008445CA" w:rsidRPr="00231828">
        <w:rPr>
          <w:rFonts w:ascii="Arial" w:hAnsi="Arial" w:cs="Arial"/>
          <w:noProof/>
        </w:rPr>
        <w:t>(Dietz</w:t>
      </w:r>
      <w:r w:rsidR="008445CA" w:rsidRPr="00231828">
        <w:rPr>
          <w:rFonts w:ascii="Arial" w:hAnsi="Arial" w:cs="Arial"/>
          <w:i/>
          <w:noProof/>
        </w:rPr>
        <w:t xml:space="preserve"> et al.</w:t>
      </w:r>
      <w:r w:rsidR="008445CA" w:rsidRPr="00231828">
        <w:rPr>
          <w:rFonts w:ascii="Arial" w:hAnsi="Arial" w:cs="Arial"/>
          <w:noProof/>
        </w:rPr>
        <w:t>, 2010;  Faulkner</w:t>
      </w:r>
      <w:r w:rsidR="008445CA" w:rsidRPr="00231828">
        <w:rPr>
          <w:rFonts w:ascii="Arial" w:hAnsi="Arial" w:cs="Arial"/>
          <w:i/>
          <w:noProof/>
        </w:rPr>
        <w:t xml:space="preserve"> et al.</w:t>
      </w:r>
      <w:r w:rsidR="008445CA" w:rsidRPr="00231828">
        <w:rPr>
          <w:rFonts w:ascii="Arial" w:hAnsi="Arial" w:cs="Arial"/>
          <w:noProof/>
        </w:rPr>
        <w:t>, 2012;  Karton and Martin, 2012;  Martin</w:t>
      </w:r>
      <w:r w:rsidR="008445CA" w:rsidRPr="00231828">
        <w:rPr>
          <w:rFonts w:ascii="Arial" w:hAnsi="Arial" w:cs="Arial"/>
          <w:i/>
          <w:noProof/>
        </w:rPr>
        <w:t xml:space="preserve"> et al.</w:t>
      </w:r>
      <w:r w:rsidR="008445CA" w:rsidRPr="00231828">
        <w:rPr>
          <w:rFonts w:ascii="Arial" w:hAnsi="Arial" w:cs="Arial"/>
          <w:noProof/>
        </w:rPr>
        <w:t>, 2010)</w:t>
      </w:r>
      <w:r w:rsidRPr="00231828">
        <w:rPr>
          <w:rFonts w:ascii="Arial" w:hAnsi="Arial" w:cs="Arial"/>
        </w:rPr>
        <w:t xml:space="preserve">. </w:t>
      </w:r>
      <w:r w:rsidR="00282976" w:rsidRPr="00231828">
        <w:rPr>
          <w:rFonts w:ascii="Arial" w:hAnsi="Arial" w:cs="Arial"/>
        </w:rPr>
        <w:t xml:space="preserve">For effective priming, </w:t>
      </w:r>
      <w:proofErr w:type="spellStart"/>
      <w:r w:rsidR="00282976" w:rsidRPr="00231828">
        <w:rPr>
          <w:rFonts w:ascii="Arial" w:hAnsi="Arial" w:cs="Arial"/>
        </w:rPr>
        <w:t>Tregs</w:t>
      </w:r>
      <w:proofErr w:type="spellEnd"/>
      <w:r w:rsidR="00282976" w:rsidRPr="00231828">
        <w:rPr>
          <w:rFonts w:ascii="Arial" w:hAnsi="Arial" w:cs="Arial"/>
        </w:rPr>
        <w:t xml:space="preserve"> must be removed and the drug antigen needs to be presented by autologous DCs. One of the reasons why a test </w:t>
      </w:r>
      <w:r w:rsidR="0010631B">
        <w:rPr>
          <w:rFonts w:ascii="Arial" w:hAnsi="Arial" w:cs="Arial"/>
        </w:rPr>
        <w:t>for detecting T cell responses to drugs</w:t>
      </w:r>
      <w:r w:rsidR="00282976" w:rsidRPr="00231828">
        <w:rPr>
          <w:rFonts w:ascii="Arial" w:hAnsi="Arial" w:cs="Arial"/>
        </w:rPr>
        <w:t xml:space="preserve"> has not been established is that cells from volunteers expressing specific HLA alleles are required. Thus, t</w:t>
      </w:r>
      <w:r w:rsidRPr="00231828">
        <w:rPr>
          <w:rFonts w:ascii="Arial" w:hAnsi="Arial" w:cs="Arial"/>
        </w:rPr>
        <w:t xml:space="preserve">he purpose of the current study was to </w:t>
      </w:r>
      <w:r w:rsidR="00282976" w:rsidRPr="00231828">
        <w:rPr>
          <w:rFonts w:ascii="Arial" w:hAnsi="Arial" w:cs="Arial"/>
        </w:rPr>
        <w:t xml:space="preserve">expand our </w:t>
      </w:r>
      <w:r w:rsidRPr="00231828">
        <w:rPr>
          <w:rFonts w:ascii="Arial" w:hAnsi="Arial" w:cs="Arial"/>
        </w:rPr>
        <w:t xml:space="preserve">cryopreserved HLA-typed volunteer PBMC bank </w:t>
      </w:r>
      <w:r w:rsidR="00F217D5" w:rsidRPr="00231828">
        <w:rPr>
          <w:rFonts w:ascii="Arial" w:hAnsi="Arial" w:cs="Arial"/>
        </w:rPr>
        <w:t>to</w:t>
      </w:r>
      <w:r w:rsidRPr="00231828">
        <w:rPr>
          <w:rFonts w:ascii="Arial" w:hAnsi="Arial" w:cs="Arial"/>
        </w:rPr>
        <w:t xml:space="preserve"> explore (1) reproducibility of the existing DC priming assay and (2) whether the assay is sufficiently </w:t>
      </w:r>
      <w:r w:rsidRPr="00231828">
        <w:rPr>
          <w:rFonts w:ascii="Arial" w:hAnsi="Arial" w:cs="Arial"/>
        </w:rPr>
        <w:lastRenderedPageBreak/>
        <w:t xml:space="preserve">sensitive to detect T cell responses to a variety of drug/chemical antigens </w:t>
      </w:r>
      <w:r w:rsidR="00F217D5" w:rsidRPr="00231828">
        <w:rPr>
          <w:rFonts w:ascii="Arial" w:hAnsi="Arial" w:cs="Arial"/>
        </w:rPr>
        <w:t xml:space="preserve">(several associated with HLA class I or II risk alleles) </w:t>
      </w:r>
      <w:r w:rsidRPr="00231828">
        <w:rPr>
          <w:rFonts w:ascii="Arial" w:hAnsi="Arial" w:cs="Arial"/>
        </w:rPr>
        <w:t>that activate T cells via different pathways.</w:t>
      </w:r>
      <w:r w:rsidR="0010631B">
        <w:rPr>
          <w:rFonts w:ascii="Arial" w:hAnsi="Arial" w:cs="Arial"/>
        </w:rPr>
        <w:t xml:space="preserve"> </w:t>
      </w:r>
      <w:r w:rsidR="0010631B" w:rsidRPr="0010631B">
        <w:rPr>
          <w:rFonts w:ascii="Arial" w:hAnsi="Arial" w:cs="Arial"/>
        </w:rPr>
        <w:t xml:space="preserve">Our tissue bank is </w:t>
      </w:r>
      <w:r w:rsidR="0010631B" w:rsidRPr="0010631B">
        <w:rPr>
          <w:rFonts w:ascii="Arial" w:eastAsia="Times New Roman" w:hAnsi="Arial" w:cs="Arial"/>
        </w:rPr>
        <w:t>primarily composed of PBMCs from white European/British individuals (90%) and therefore some alleles, especially those from Asian populations such as HLA-B*15:02, are under-represented. This does limit our ability to investigate some HLA-specific T-cell responses and the ethnicity of our tissue bank must be taken into account when assessing our results on non-HLA specific responses.</w:t>
      </w:r>
    </w:p>
    <w:p w:rsidR="00307230" w:rsidRPr="00231828" w:rsidRDefault="00F82558" w:rsidP="00231828">
      <w:pPr>
        <w:spacing w:line="480" w:lineRule="auto"/>
        <w:jc w:val="both"/>
        <w:rPr>
          <w:rFonts w:ascii="Arial" w:hAnsi="Arial" w:cs="Arial"/>
        </w:rPr>
      </w:pPr>
      <w:r w:rsidRPr="00231828">
        <w:rPr>
          <w:rFonts w:ascii="Arial" w:hAnsi="Arial" w:cs="Arial"/>
        </w:rPr>
        <w:t xml:space="preserve">SMX-NO-responsive T cells circulate in 100% of hypersensitive patients presenting with different forms of cutaneous hypersensitivity reaction </w:t>
      </w:r>
      <w:r w:rsidR="008445CA" w:rsidRPr="00231828">
        <w:rPr>
          <w:rFonts w:ascii="Arial" w:hAnsi="Arial" w:cs="Arial"/>
          <w:noProof/>
        </w:rPr>
        <w:t>(Castrejon</w:t>
      </w:r>
      <w:r w:rsidR="008445CA" w:rsidRPr="00231828">
        <w:rPr>
          <w:rFonts w:ascii="Arial" w:hAnsi="Arial" w:cs="Arial"/>
          <w:i/>
          <w:noProof/>
        </w:rPr>
        <w:t xml:space="preserve"> et al.</w:t>
      </w:r>
      <w:r w:rsidR="00B2363E" w:rsidRPr="00231828">
        <w:rPr>
          <w:rFonts w:ascii="Arial" w:hAnsi="Arial" w:cs="Arial"/>
          <w:noProof/>
        </w:rPr>
        <w:t xml:space="preserve">, 2010;  Nassif </w:t>
      </w:r>
      <w:r w:rsidR="00B2363E" w:rsidRPr="00231828">
        <w:rPr>
          <w:rFonts w:ascii="Arial" w:hAnsi="Arial" w:cs="Arial"/>
          <w:i/>
          <w:noProof/>
        </w:rPr>
        <w:t>et al.</w:t>
      </w:r>
      <w:r w:rsidR="008445CA" w:rsidRPr="00231828">
        <w:rPr>
          <w:rFonts w:ascii="Arial" w:hAnsi="Arial" w:cs="Arial"/>
          <w:i/>
          <w:noProof/>
        </w:rPr>
        <w:t>,</w:t>
      </w:r>
      <w:r w:rsidR="008445CA" w:rsidRPr="00231828">
        <w:rPr>
          <w:rFonts w:ascii="Arial" w:hAnsi="Arial" w:cs="Arial"/>
          <w:noProof/>
        </w:rPr>
        <w:t xml:space="preserve"> 2004;  Schnyder</w:t>
      </w:r>
      <w:r w:rsidR="008445CA" w:rsidRPr="00231828">
        <w:rPr>
          <w:rFonts w:ascii="Arial" w:hAnsi="Arial" w:cs="Arial"/>
          <w:i/>
          <w:noProof/>
        </w:rPr>
        <w:t xml:space="preserve"> et al.</w:t>
      </w:r>
      <w:r w:rsidR="008445CA" w:rsidRPr="00231828">
        <w:rPr>
          <w:rFonts w:ascii="Arial" w:hAnsi="Arial" w:cs="Arial"/>
          <w:noProof/>
        </w:rPr>
        <w:t>, 2000)</w:t>
      </w:r>
      <w:r w:rsidRPr="00231828">
        <w:rPr>
          <w:rFonts w:ascii="Arial" w:hAnsi="Arial" w:cs="Arial"/>
        </w:rPr>
        <w:t xml:space="preserve">. SMX-NO is also a potent T cell </w:t>
      </w:r>
      <w:proofErr w:type="spellStart"/>
      <w:r w:rsidRPr="00231828">
        <w:rPr>
          <w:rFonts w:ascii="Arial" w:hAnsi="Arial" w:cs="Arial"/>
        </w:rPr>
        <w:t>immunogen</w:t>
      </w:r>
      <w:proofErr w:type="spellEnd"/>
      <w:r w:rsidRPr="00231828">
        <w:rPr>
          <w:rFonts w:ascii="Arial" w:hAnsi="Arial" w:cs="Arial"/>
        </w:rPr>
        <w:t xml:space="preserve"> in rodents and rabbits </w:t>
      </w:r>
      <w:r w:rsidR="008445CA" w:rsidRPr="00231828">
        <w:rPr>
          <w:rFonts w:ascii="Arial" w:hAnsi="Arial" w:cs="Arial"/>
          <w:noProof/>
        </w:rPr>
        <w:t>(Farrell</w:t>
      </w:r>
      <w:r w:rsidR="008445CA" w:rsidRPr="00231828">
        <w:rPr>
          <w:rFonts w:ascii="Arial" w:hAnsi="Arial" w:cs="Arial"/>
          <w:i/>
          <w:noProof/>
        </w:rPr>
        <w:t xml:space="preserve"> et al.</w:t>
      </w:r>
      <w:r w:rsidR="008445CA" w:rsidRPr="00231828">
        <w:rPr>
          <w:rFonts w:ascii="Arial" w:hAnsi="Arial" w:cs="Arial"/>
          <w:noProof/>
        </w:rPr>
        <w:t>, 2003;  Naisbitt</w:t>
      </w:r>
      <w:r w:rsidR="008445CA" w:rsidRPr="00231828">
        <w:rPr>
          <w:rFonts w:ascii="Arial" w:hAnsi="Arial" w:cs="Arial"/>
          <w:i/>
          <w:noProof/>
        </w:rPr>
        <w:t xml:space="preserve"> et al.</w:t>
      </w:r>
      <w:r w:rsidR="008445CA" w:rsidRPr="00231828">
        <w:rPr>
          <w:rFonts w:ascii="Arial" w:hAnsi="Arial" w:cs="Arial"/>
          <w:noProof/>
        </w:rPr>
        <w:t>, 2002)</w:t>
      </w:r>
      <w:r w:rsidRPr="00231828">
        <w:rPr>
          <w:rFonts w:ascii="Arial" w:hAnsi="Arial" w:cs="Arial"/>
        </w:rPr>
        <w:t xml:space="preserve"> and it activates human volunteer PBMC following repeated rounds of stimulation </w:t>
      </w:r>
      <w:r w:rsidR="008445CA" w:rsidRPr="00231828">
        <w:rPr>
          <w:rFonts w:ascii="Arial" w:hAnsi="Arial" w:cs="Arial"/>
          <w:noProof/>
        </w:rPr>
        <w:t>(Engler</w:t>
      </w:r>
      <w:r w:rsidR="008445CA" w:rsidRPr="00231828">
        <w:rPr>
          <w:rFonts w:ascii="Arial" w:hAnsi="Arial" w:cs="Arial"/>
          <w:i/>
          <w:noProof/>
        </w:rPr>
        <w:t xml:space="preserve"> et al.</w:t>
      </w:r>
      <w:r w:rsidR="008445CA" w:rsidRPr="00231828">
        <w:rPr>
          <w:rFonts w:ascii="Arial" w:hAnsi="Arial" w:cs="Arial"/>
          <w:noProof/>
        </w:rPr>
        <w:t>, 2004)</w:t>
      </w:r>
      <w:r w:rsidRPr="00231828">
        <w:rPr>
          <w:rFonts w:ascii="Arial" w:hAnsi="Arial" w:cs="Arial"/>
        </w:rPr>
        <w:t xml:space="preserve">. Thus, SMX-NO represents the ideal compound to explore reproducibility of the DC priming assay. </w:t>
      </w:r>
      <w:r w:rsidR="00E77904" w:rsidRPr="00231828">
        <w:rPr>
          <w:rFonts w:ascii="Arial" w:hAnsi="Arial" w:cs="Arial"/>
        </w:rPr>
        <w:t xml:space="preserve">Forty priming assays were performed using SMX-NO and only one of these failed to result in </w:t>
      </w:r>
      <w:r w:rsidR="00307230" w:rsidRPr="00231828">
        <w:rPr>
          <w:rFonts w:ascii="Arial" w:hAnsi="Arial" w:cs="Arial"/>
        </w:rPr>
        <w:t xml:space="preserve">any </w:t>
      </w:r>
      <w:r w:rsidR="00E77904" w:rsidRPr="00231828">
        <w:rPr>
          <w:rFonts w:ascii="Arial" w:hAnsi="Arial" w:cs="Arial"/>
        </w:rPr>
        <w:t xml:space="preserve">priming. </w:t>
      </w:r>
      <w:r w:rsidR="00307230" w:rsidRPr="00231828">
        <w:rPr>
          <w:rFonts w:ascii="Arial" w:hAnsi="Arial" w:cs="Arial"/>
        </w:rPr>
        <w:t>Five assays gave weak responses and the remaining assays showed good or strong responses with a stimulation index greater than 2.0. Measuring proliferation resulted in a greater number of positive assays compared to cytokine release but the number of assays showing a good to strong response was similar in all 4 readouts.</w:t>
      </w:r>
    </w:p>
    <w:p w:rsidR="00F82558" w:rsidRPr="00231828" w:rsidRDefault="00F82558" w:rsidP="00231828">
      <w:pPr>
        <w:spacing w:line="480" w:lineRule="auto"/>
        <w:jc w:val="both"/>
        <w:rPr>
          <w:rFonts w:ascii="Arial" w:hAnsi="Arial" w:cs="Arial"/>
        </w:rPr>
      </w:pPr>
      <w:r w:rsidRPr="00231828">
        <w:rPr>
          <w:rFonts w:ascii="Arial" w:hAnsi="Arial" w:cs="Arial"/>
        </w:rPr>
        <w:t xml:space="preserve">Since SMX-NO-specific T cell responses were detected in </w:t>
      </w:r>
      <w:r w:rsidR="00307230" w:rsidRPr="00231828">
        <w:rPr>
          <w:rFonts w:ascii="Arial" w:hAnsi="Arial" w:cs="Arial"/>
        </w:rPr>
        <w:t>the majority of</w:t>
      </w:r>
      <w:r w:rsidRPr="00231828">
        <w:rPr>
          <w:rFonts w:ascii="Arial" w:hAnsi="Arial" w:cs="Arial"/>
        </w:rPr>
        <w:t xml:space="preserve"> volunteers </w:t>
      </w:r>
      <w:r w:rsidR="00307230" w:rsidRPr="00231828">
        <w:rPr>
          <w:rFonts w:ascii="Arial" w:hAnsi="Arial" w:cs="Arial"/>
        </w:rPr>
        <w:t xml:space="preserve">then </w:t>
      </w:r>
      <w:r w:rsidRPr="00231828">
        <w:rPr>
          <w:rFonts w:ascii="Arial" w:hAnsi="Arial" w:cs="Arial"/>
        </w:rPr>
        <w:t xml:space="preserve">factors other than drug metabolite exposure must determine susceptibility to hypersensitivity. HLA alleles are not major predisposing factors </w:t>
      </w:r>
      <w:r w:rsidR="00307230" w:rsidRPr="00231828">
        <w:rPr>
          <w:rFonts w:ascii="Arial" w:hAnsi="Arial" w:cs="Arial"/>
        </w:rPr>
        <w:t>for this</w:t>
      </w:r>
      <w:r w:rsidRPr="00231828">
        <w:rPr>
          <w:rFonts w:ascii="Arial" w:hAnsi="Arial" w:cs="Arial"/>
        </w:rPr>
        <w:t xml:space="preserve"> drug </w:t>
      </w:r>
      <w:r w:rsidR="008445CA" w:rsidRPr="00231828">
        <w:rPr>
          <w:rFonts w:ascii="Arial" w:hAnsi="Arial" w:cs="Arial"/>
          <w:noProof/>
        </w:rPr>
        <w:t>(Alfirevic</w:t>
      </w:r>
      <w:r w:rsidR="008445CA" w:rsidRPr="00231828">
        <w:rPr>
          <w:rFonts w:ascii="Arial" w:hAnsi="Arial" w:cs="Arial"/>
          <w:i/>
          <w:noProof/>
        </w:rPr>
        <w:t xml:space="preserve"> et al.</w:t>
      </w:r>
      <w:r w:rsidR="008445CA" w:rsidRPr="00231828">
        <w:rPr>
          <w:rFonts w:ascii="Arial" w:hAnsi="Arial" w:cs="Arial"/>
          <w:noProof/>
        </w:rPr>
        <w:t>, 2009;  Vitezica</w:t>
      </w:r>
      <w:r w:rsidR="008445CA" w:rsidRPr="00231828">
        <w:rPr>
          <w:rFonts w:ascii="Arial" w:hAnsi="Arial" w:cs="Arial"/>
          <w:i/>
          <w:noProof/>
        </w:rPr>
        <w:t xml:space="preserve"> et al.</w:t>
      </w:r>
      <w:r w:rsidR="008445CA" w:rsidRPr="00231828">
        <w:rPr>
          <w:rFonts w:ascii="Arial" w:hAnsi="Arial" w:cs="Arial"/>
          <w:noProof/>
        </w:rPr>
        <w:t>, 2008)</w:t>
      </w:r>
      <w:r w:rsidR="00F217D5" w:rsidRPr="00231828">
        <w:rPr>
          <w:rFonts w:ascii="Arial" w:hAnsi="Arial" w:cs="Arial"/>
          <w:noProof/>
        </w:rPr>
        <w:t>. An</w:t>
      </w:r>
      <w:r w:rsidRPr="00231828">
        <w:rPr>
          <w:rFonts w:ascii="Arial" w:hAnsi="Arial" w:cs="Arial"/>
        </w:rPr>
        <w:t xml:space="preserve"> attractive alternative explanation is disruption of immune regulation, which might be both drug-specific and disease-specific. In a recent study we showed that blockade of PD1/PDL1 co-inhibition during DC priming to SMX-NO effectively enhances to magnitude of the T cell response (proliferation and cytokine release) </w:t>
      </w:r>
      <w:r w:rsidR="008445CA" w:rsidRPr="00231828">
        <w:rPr>
          <w:rFonts w:ascii="Arial" w:hAnsi="Arial" w:cs="Arial"/>
          <w:noProof/>
        </w:rPr>
        <w:t>(Gibson</w:t>
      </w:r>
      <w:r w:rsidR="008445CA" w:rsidRPr="00231828">
        <w:rPr>
          <w:rFonts w:ascii="Arial" w:hAnsi="Arial" w:cs="Arial"/>
          <w:i/>
          <w:noProof/>
        </w:rPr>
        <w:t xml:space="preserve"> et al.</w:t>
      </w:r>
      <w:r w:rsidR="008445CA" w:rsidRPr="00231828">
        <w:rPr>
          <w:rFonts w:ascii="Arial" w:hAnsi="Arial" w:cs="Arial"/>
          <w:noProof/>
        </w:rPr>
        <w:t>, 2014)</w:t>
      </w:r>
      <w:r w:rsidRPr="00231828">
        <w:rPr>
          <w:rFonts w:ascii="Arial" w:hAnsi="Arial" w:cs="Arial"/>
        </w:rPr>
        <w:t xml:space="preserve">, while addition of </w:t>
      </w:r>
      <w:proofErr w:type="spellStart"/>
      <w:r w:rsidRPr="00231828">
        <w:rPr>
          <w:rFonts w:ascii="Arial" w:hAnsi="Arial" w:cs="Arial"/>
        </w:rPr>
        <w:t>Tregs</w:t>
      </w:r>
      <w:proofErr w:type="spellEnd"/>
      <w:r w:rsidRPr="00231828">
        <w:rPr>
          <w:rFonts w:ascii="Arial" w:hAnsi="Arial" w:cs="Arial"/>
        </w:rPr>
        <w:t xml:space="preserve"> blocks priming (unpublished observation). Confirmation that disruption of co-stimulatory/co-inhibitory signalling is a determinant of susceptibility will require a large </w:t>
      </w:r>
      <w:r w:rsidRPr="00231828">
        <w:rPr>
          <w:rFonts w:ascii="Arial" w:hAnsi="Arial" w:cs="Arial"/>
        </w:rPr>
        <w:lastRenderedPageBreak/>
        <w:t xml:space="preserve">scale prospective </w:t>
      </w:r>
      <w:r w:rsidR="00DF2548" w:rsidRPr="00231828">
        <w:rPr>
          <w:rFonts w:ascii="Arial" w:hAnsi="Arial" w:cs="Arial"/>
        </w:rPr>
        <w:t xml:space="preserve">study, with </w:t>
      </w:r>
      <w:r w:rsidRPr="00231828">
        <w:rPr>
          <w:rFonts w:ascii="Arial" w:hAnsi="Arial" w:cs="Arial"/>
        </w:rPr>
        <w:t>collection of PBMC</w:t>
      </w:r>
      <w:r w:rsidR="00DF2548" w:rsidRPr="00231828">
        <w:rPr>
          <w:rFonts w:ascii="Arial" w:hAnsi="Arial" w:cs="Arial"/>
        </w:rPr>
        <w:t>s</w:t>
      </w:r>
      <w:r w:rsidRPr="00231828">
        <w:rPr>
          <w:rFonts w:ascii="Arial" w:hAnsi="Arial" w:cs="Arial"/>
        </w:rPr>
        <w:t xml:space="preserve"> prior to and during drug exposure</w:t>
      </w:r>
      <w:r w:rsidR="00DF2548" w:rsidRPr="00231828">
        <w:rPr>
          <w:rFonts w:ascii="Arial" w:hAnsi="Arial" w:cs="Arial"/>
        </w:rPr>
        <w:t>,</w:t>
      </w:r>
      <w:r w:rsidRPr="00231828">
        <w:rPr>
          <w:rFonts w:ascii="Arial" w:hAnsi="Arial" w:cs="Arial"/>
        </w:rPr>
        <w:t xml:space="preserve"> </w:t>
      </w:r>
      <w:r w:rsidR="00DF2548" w:rsidRPr="00231828">
        <w:rPr>
          <w:rFonts w:ascii="Arial" w:hAnsi="Arial" w:cs="Arial"/>
        </w:rPr>
        <w:t xml:space="preserve">to allow analysis of </w:t>
      </w:r>
      <w:r w:rsidRPr="00231828">
        <w:rPr>
          <w:rFonts w:ascii="Arial" w:hAnsi="Arial" w:cs="Arial"/>
        </w:rPr>
        <w:t xml:space="preserve">patients </w:t>
      </w:r>
      <w:r w:rsidR="00DF2548" w:rsidRPr="00231828">
        <w:rPr>
          <w:rFonts w:ascii="Arial" w:hAnsi="Arial" w:cs="Arial"/>
        </w:rPr>
        <w:t xml:space="preserve">which do and do not develop </w:t>
      </w:r>
      <w:r w:rsidRPr="00231828">
        <w:rPr>
          <w:rFonts w:ascii="Arial" w:hAnsi="Arial" w:cs="Arial"/>
        </w:rPr>
        <w:t>hypersensitivity reaction</w:t>
      </w:r>
      <w:r w:rsidR="00DF2548" w:rsidRPr="00231828">
        <w:rPr>
          <w:rFonts w:ascii="Arial" w:hAnsi="Arial" w:cs="Arial"/>
        </w:rPr>
        <w:t>s</w:t>
      </w:r>
      <w:r w:rsidRPr="00231828">
        <w:rPr>
          <w:rFonts w:ascii="Arial" w:hAnsi="Arial" w:cs="Arial"/>
        </w:rPr>
        <w:t xml:space="preserve">. </w:t>
      </w:r>
    </w:p>
    <w:p w:rsidR="00282976" w:rsidRPr="00231828" w:rsidRDefault="00F82558" w:rsidP="00231828">
      <w:pPr>
        <w:spacing w:line="480" w:lineRule="auto"/>
        <w:jc w:val="both"/>
        <w:rPr>
          <w:rFonts w:ascii="Arial" w:hAnsi="Arial" w:cs="Arial"/>
        </w:rPr>
      </w:pPr>
      <w:r w:rsidRPr="00231828">
        <w:rPr>
          <w:rFonts w:ascii="Arial" w:hAnsi="Arial" w:cs="Arial"/>
        </w:rPr>
        <w:t xml:space="preserve">To explore whether T cell responses against other drugs/chemicals </w:t>
      </w:r>
      <w:r w:rsidR="008A6611" w:rsidRPr="00231828">
        <w:rPr>
          <w:rFonts w:ascii="Arial" w:hAnsi="Arial" w:cs="Arial"/>
        </w:rPr>
        <w:t>is</w:t>
      </w:r>
      <w:r w:rsidRPr="00231828">
        <w:rPr>
          <w:rFonts w:ascii="Arial" w:hAnsi="Arial" w:cs="Arial"/>
        </w:rPr>
        <w:t xml:space="preserve"> detectable using the DC priming assay we focused on 3 </w:t>
      </w:r>
      <w:proofErr w:type="spellStart"/>
      <w:r w:rsidRPr="00231828">
        <w:rPr>
          <w:rFonts w:ascii="Arial" w:hAnsi="Arial" w:cs="Arial"/>
        </w:rPr>
        <w:t>haptenic</w:t>
      </w:r>
      <w:proofErr w:type="spellEnd"/>
      <w:r w:rsidRPr="00231828">
        <w:rPr>
          <w:rFonts w:ascii="Arial" w:hAnsi="Arial" w:cs="Arial"/>
        </w:rPr>
        <w:t xml:space="preserve"> compounds</w:t>
      </w:r>
      <w:r w:rsidR="00B2363E" w:rsidRPr="00231828">
        <w:rPr>
          <w:rFonts w:ascii="Arial" w:hAnsi="Arial" w:cs="Arial"/>
        </w:rPr>
        <w:t xml:space="preserve"> not associated with a specific HLA-risk allele</w:t>
      </w:r>
      <w:r w:rsidRPr="00231828">
        <w:rPr>
          <w:rFonts w:ascii="Arial" w:hAnsi="Arial" w:cs="Arial"/>
        </w:rPr>
        <w:t xml:space="preserve">; namely, piperacillin, </w:t>
      </w:r>
      <w:r w:rsidR="00B2363E" w:rsidRPr="00231828">
        <w:rPr>
          <w:rFonts w:ascii="Arial" w:hAnsi="Arial" w:cs="Arial"/>
        </w:rPr>
        <w:t>amoxicillin</w:t>
      </w:r>
      <w:r w:rsidRPr="00231828">
        <w:rPr>
          <w:rFonts w:ascii="Arial" w:hAnsi="Arial" w:cs="Arial"/>
        </w:rPr>
        <w:t xml:space="preserve"> and </w:t>
      </w:r>
      <w:proofErr w:type="spellStart"/>
      <w:r w:rsidRPr="00231828">
        <w:rPr>
          <w:rFonts w:ascii="Arial" w:hAnsi="Arial" w:cs="Arial"/>
        </w:rPr>
        <w:t>Bandrowski’s</w:t>
      </w:r>
      <w:proofErr w:type="spellEnd"/>
      <w:r w:rsidR="00B2363E" w:rsidRPr="00231828">
        <w:rPr>
          <w:rFonts w:ascii="Arial" w:hAnsi="Arial" w:cs="Arial"/>
        </w:rPr>
        <w:t xml:space="preserve"> base. Piperacillin and amoxicillin</w:t>
      </w:r>
      <w:r w:rsidRPr="00231828">
        <w:rPr>
          <w:rFonts w:ascii="Arial" w:hAnsi="Arial" w:cs="Arial"/>
        </w:rPr>
        <w:t xml:space="preserve"> bind covalently to specific lysine residues on protein to generate adducts that activate T-cells. </w:t>
      </w:r>
      <w:proofErr w:type="spellStart"/>
      <w:r w:rsidRPr="00231828">
        <w:rPr>
          <w:rFonts w:ascii="Arial" w:hAnsi="Arial" w:cs="Arial"/>
        </w:rPr>
        <w:t>Bandrowski’s</w:t>
      </w:r>
      <w:proofErr w:type="spellEnd"/>
      <w:r w:rsidRPr="00231828">
        <w:rPr>
          <w:rFonts w:ascii="Arial" w:hAnsi="Arial" w:cs="Arial"/>
        </w:rPr>
        <w:t xml:space="preserve"> base is a </w:t>
      </w:r>
      <w:proofErr w:type="spellStart"/>
      <w:r w:rsidRPr="00231828">
        <w:rPr>
          <w:rFonts w:ascii="Arial" w:hAnsi="Arial" w:cs="Arial"/>
        </w:rPr>
        <w:t>trimer</w:t>
      </w:r>
      <w:proofErr w:type="spellEnd"/>
      <w:r w:rsidRPr="00231828">
        <w:rPr>
          <w:rFonts w:ascii="Arial" w:hAnsi="Arial" w:cs="Arial"/>
        </w:rPr>
        <w:t xml:space="preserve"> of the hair-dye component </w:t>
      </w:r>
      <w:r w:rsidRPr="00231828">
        <w:rPr>
          <w:rFonts w:ascii="Arial" w:hAnsi="Arial" w:cs="Arial"/>
          <w:i/>
        </w:rPr>
        <w:t>p</w:t>
      </w:r>
      <w:r w:rsidRPr="00231828">
        <w:rPr>
          <w:rFonts w:ascii="Arial" w:hAnsi="Arial" w:cs="Arial"/>
        </w:rPr>
        <w:t>-</w:t>
      </w:r>
      <w:proofErr w:type="spellStart"/>
      <w:r w:rsidRPr="00231828">
        <w:rPr>
          <w:rFonts w:ascii="Arial" w:hAnsi="Arial" w:cs="Arial"/>
        </w:rPr>
        <w:t>phenylenendiamine</w:t>
      </w:r>
      <w:proofErr w:type="spellEnd"/>
      <w:r w:rsidRPr="00231828">
        <w:rPr>
          <w:rFonts w:ascii="Arial" w:hAnsi="Arial" w:cs="Arial"/>
        </w:rPr>
        <w:t xml:space="preserve">, which covalently modifies cysteine residues on protein </w:t>
      </w:r>
      <w:r w:rsidR="008445CA" w:rsidRPr="00231828">
        <w:rPr>
          <w:rFonts w:ascii="Arial" w:hAnsi="Arial" w:cs="Arial"/>
          <w:noProof/>
        </w:rPr>
        <w:t>(Jahn</w:t>
      </w:r>
      <w:r w:rsidR="008445CA" w:rsidRPr="00231828">
        <w:rPr>
          <w:rFonts w:ascii="Arial" w:hAnsi="Arial" w:cs="Arial"/>
          <w:i/>
          <w:noProof/>
        </w:rPr>
        <w:t xml:space="preserve"> et al.</w:t>
      </w:r>
      <w:r w:rsidR="008445CA" w:rsidRPr="00231828">
        <w:rPr>
          <w:rFonts w:ascii="Arial" w:hAnsi="Arial" w:cs="Arial"/>
          <w:noProof/>
        </w:rPr>
        <w:t>, 2012)</w:t>
      </w:r>
      <w:r w:rsidRPr="00231828">
        <w:rPr>
          <w:rFonts w:ascii="Arial" w:hAnsi="Arial" w:cs="Arial"/>
        </w:rPr>
        <w:t xml:space="preserve">. </w:t>
      </w:r>
      <w:r w:rsidR="00B2363E" w:rsidRPr="00231828">
        <w:rPr>
          <w:rFonts w:ascii="Arial" w:hAnsi="Arial" w:cs="Arial"/>
        </w:rPr>
        <w:t>W</w:t>
      </w:r>
      <w:r w:rsidRPr="00231828">
        <w:rPr>
          <w:rFonts w:ascii="Arial" w:hAnsi="Arial" w:cs="Arial"/>
        </w:rPr>
        <w:t>e were successful in priming naïve T cells from all the donors tested</w:t>
      </w:r>
      <w:r w:rsidR="00B2363E" w:rsidRPr="00231828">
        <w:rPr>
          <w:rFonts w:ascii="Arial" w:hAnsi="Arial" w:cs="Arial"/>
        </w:rPr>
        <w:t xml:space="preserve"> against all 3 compounds. </w:t>
      </w:r>
      <w:r w:rsidRPr="00231828">
        <w:rPr>
          <w:rFonts w:ascii="Arial" w:hAnsi="Arial" w:cs="Arial"/>
        </w:rPr>
        <w:t xml:space="preserve">Re-stimulation of the primed T cells with </w:t>
      </w:r>
      <w:r w:rsidR="00B2363E" w:rsidRPr="00231828">
        <w:rPr>
          <w:rFonts w:ascii="Arial" w:hAnsi="Arial" w:cs="Arial"/>
        </w:rPr>
        <w:t>the relevant drug/chemical</w:t>
      </w:r>
      <w:r w:rsidRPr="00231828">
        <w:rPr>
          <w:rFonts w:ascii="Arial" w:hAnsi="Arial" w:cs="Arial"/>
        </w:rPr>
        <w:t xml:space="preserve"> resulted in good or strong proliferative responses and IFN</w:t>
      </w:r>
      <w:r w:rsidRPr="00231828">
        <w:rPr>
          <w:rFonts w:ascii="Symbol" w:hAnsi="Symbol" w:cs="Arial"/>
        </w:rPr>
        <w:t></w:t>
      </w:r>
      <w:r w:rsidRPr="00231828">
        <w:rPr>
          <w:rFonts w:ascii="Arial" w:hAnsi="Arial" w:cs="Arial"/>
        </w:rPr>
        <w:t xml:space="preserve"> </w:t>
      </w:r>
      <w:r w:rsidR="00B2363E" w:rsidRPr="00231828">
        <w:rPr>
          <w:rFonts w:ascii="Arial" w:hAnsi="Arial" w:cs="Arial"/>
        </w:rPr>
        <w:t xml:space="preserve">or IL-13 </w:t>
      </w:r>
      <w:r w:rsidRPr="00231828">
        <w:rPr>
          <w:rFonts w:ascii="Arial" w:hAnsi="Arial" w:cs="Arial"/>
        </w:rPr>
        <w:t xml:space="preserve">secretion. </w:t>
      </w:r>
      <w:r w:rsidR="00B2363E" w:rsidRPr="00231828">
        <w:rPr>
          <w:rFonts w:ascii="Arial" w:hAnsi="Arial" w:cs="Arial"/>
        </w:rPr>
        <w:t>Amoxicillin-</w:t>
      </w:r>
      <w:r w:rsidR="001D1F14" w:rsidRPr="00231828">
        <w:rPr>
          <w:rFonts w:ascii="Arial" w:hAnsi="Arial" w:cs="Arial"/>
        </w:rPr>
        <w:t xml:space="preserve"> and</w:t>
      </w:r>
      <w:r w:rsidR="00B2363E" w:rsidRPr="00231828">
        <w:rPr>
          <w:rFonts w:ascii="Arial" w:hAnsi="Arial" w:cs="Arial"/>
        </w:rPr>
        <w:t xml:space="preserve"> p</w:t>
      </w:r>
      <w:r w:rsidRPr="00231828">
        <w:rPr>
          <w:rFonts w:ascii="Arial" w:hAnsi="Arial" w:cs="Arial"/>
        </w:rPr>
        <w:t>iperacillin</w:t>
      </w:r>
      <w:r w:rsidR="00B2363E" w:rsidRPr="00231828">
        <w:rPr>
          <w:rFonts w:ascii="Arial" w:hAnsi="Arial" w:cs="Arial"/>
        </w:rPr>
        <w:t>-</w:t>
      </w:r>
      <w:r w:rsidRPr="00231828">
        <w:rPr>
          <w:rFonts w:ascii="Arial" w:hAnsi="Arial" w:cs="Arial"/>
        </w:rPr>
        <w:t xml:space="preserve">responsive CD4 T cell clones generated from the primed volunteer cells had a similar phenotype to those isolated hypersensitive patients </w:t>
      </w:r>
      <w:r w:rsidR="008445CA" w:rsidRPr="00231828">
        <w:rPr>
          <w:rFonts w:ascii="Arial" w:hAnsi="Arial" w:cs="Arial"/>
          <w:noProof/>
        </w:rPr>
        <w:t>(El-Ghai</w:t>
      </w:r>
      <w:r w:rsidR="00B2363E" w:rsidRPr="00231828">
        <w:rPr>
          <w:rFonts w:ascii="Arial" w:hAnsi="Arial" w:cs="Arial"/>
          <w:noProof/>
        </w:rPr>
        <w:t xml:space="preserve">esh </w:t>
      </w:r>
      <w:r w:rsidR="00B2363E" w:rsidRPr="00231828">
        <w:rPr>
          <w:rFonts w:ascii="Arial" w:hAnsi="Arial" w:cs="Arial"/>
          <w:i/>
          <w:noProof/>
        </w:rPr>
        <w:t>et al.,</w:t>
      </w:r>
      <w:r w:rsidR="00B2363E" w:rsidRPr="00231828">
        <w:rPr>
          <w:rFonts w:ascii="Arial" w:hAnsi="Arial" w:cs="Arial"/>
          <w:noProof/>
        </w:rPr>
        <w:t xml:space="preserve"> </w:t>
      </w:r>
      <w:r w:rsidR="008445CA" w:rsidRPr="00231828">
        <w:rPr>
          <w:rFonts w:ascii="Arial" w:hAnsi="Arial" w:cs="Arial"/>
          <w:noProof/>
        </w:rPr>
        <w:t>2012</w:t>
      </w:r>
      <w:r w:rsidR="001D1F14" w:rsidRPr="00231828">
        <w:rPr>
          <w:rFonts w:ascii="Arial" w:hAnsi="Arial" w:cs="Arial"/>
          <w:noProof/>
        </w:rPr>
        <w:t xml:space="preserve">). </w:t>
      </w:r>
      <w:proofErr w:type="spellStart"/>
      <w:r w:rsidR="001D1F14" w:rsidRPr="00231828">
        <w:rPr>
          <w:rFonts w:ascii="Arial" w:hAnsi="Arial" w:cs="Arial"/>
        </w:rPr>
        <w:t>Bandrowski’s</w:t>
      </w:r>
      <w:proofErr w:type="spellEnd"/>
      <w:r w:rsidR="001D1F14" w:rsidRPr="00231828">
        <w:rPr>
          <w:rFonts w:ascii="Arial" w:hAnsi="Arial" w:cs="Arial"/>
        </w:rPr>
        <w:t xml:space="preserve"> base-responsive T cells from the hypersensitive patients secrete high levels of Th2 cytokines following T cell receptor triggering </w:t>
      </w:r>
      <w:r w:rsidR="001D1F14" w:rsidRPr="00231828">
        <w:rPr>
          <w:rFonts w:ascii="Arial" w:hAnsi="Arial" w:cs="Arial"/>
          <w:noProof/>
        </w:rPr>
        <w:t>(Coulter</w:t>
      </w:r>
      <w:r w:rsidR="001D1F14" w:rsidRPr="00231828">
        <w:rPr>
          <w:rFonts w:ascii="Arial" w:hAnsi="Arial" w:cs="Arial"/>
          <w:i/>
          <w:noProof/>
        </w:rPr>
        <w:t xml:space="preserve"> et al.</w:t>
      </w:r>
      <w:r w:rsidR="001D1F14" w:rsidRPr="00231828">
        <w:rPr>
          <w:rFonts w:ascii="Arial" w:hAnsi="Arial" w:cs="Arial"/>
          <w:noProof/>
        </w:rPr>
        <w:t>, 2010;  Coulter</w:t>
      </w:r>
      <w:r w:rsidR="001D1F14" w:rsidRPr="00231828">
        <w:rPr>
          <w:rFonts w:ascii="Arial" w:hAnsi="Arial" w:cs="Arial"/>
          <w:i/>
          <w:noProof/>
        </w:rPr>
        <w:t xml:space="preserve"> et al.</w:t>
      </w:r>
      <w:r w:rsidR="001D1F14" w:rsidRPr="00231828">
        <w:rPr>
          <w:rFonts w:ascii="Arial" w:hAnsi="Arial" w:cs="Arial"/>
          <w:noProof/>
        </w:rPr>
        <w:t>, 2008;  Jenkinson</w:t>
      </w:r>
      <w:r w:rsidR="001D1F14" w:rsidRPr="00231828">
        <w:rPr>
          <w:rFonts w:ascii="Arial" w:hAnsi="Arial" w:cs="Arial"/>
          <w:i/>
          <w:noProof/>
        </w:rPr>
        <w:t xml:space="preserve"> et al.</w:t>
      </w:r>
      <w:r w:rsidR="001D1F14" w:rsidRPr="00231828">
        <w:rPr>
          <w:rFonts w:ascii="Arial" w:hAnsi="Arial" w:cs="Arial"/>
          <w:noProof/>
        </w:rPr>
        <w:t>, 2010)</w:t>
      </w:r>
      <w:r w:rsidR="001D1F14" w:rsidRPr="00231828">
        <w:rPr>
          <w:rFonts w:ascii="Arial" w:hAnsi="Arial" w:cs="Arial"/>
        </w:rPr>
        <w:t xml:space="preserve">. Naïve T cells from all 6 volunteers were activated with </w:t>
      </w:r>
      <w:proofErr w:type="spellStart"/>
      <w:r w:rsidR="001D1F14" w:rsidRPr="00231828">
        <w:rPr>
          <w:rFonts w:ascii="Arial" w:hAnsi="Arial" w:cs="Arial"/>
        </w:rPr>
        <w:t>Bandrowski’s</w:t>
      </w:r>
      <w:proofErr w:type="spellEnd"/>
      <w:r w:rsidR="001D1F14" w:rsidRPr="00231828">
        <w:rPr>
          <w:rFonts w:ascii="Arial" w:hAnsi="Arial" w:cs="Arial"/>
        </w:rPr>
        <w:t xml:space="preserve"> base and stimulation of the primed cells was associated with secretion of IL-13, but not secretion of IFN</w:t>
      </w:r>
      <w:r w:rsidR="001D1F14" w:rsidRPr="00231828">
        <w:rPr>
          <w:rFonts w:ascii="Symbol" w:hAnsi="Symbol" w:cs="Arial"/>
        </w:rPr>
        <w:t></w:t>
      </w:r>
      <w:r w:rsidR="001D1F14" w:rsidRPr="00231828">
        <w:rPr>
          <w:rFonts w:ascii="Calibri" w:hAnsi="Calibri" w:cs="Arial"/>
        </w:rPr>
        <w:t xml:space="preserve">, </w:t>
      </w:r>
      <w:r w:rsidR="001D1F14" w:rsidRPr="00231828">
        <w:rPr>
          <w:rFonts w:ascii="Arial" w:hAnsi="Arial" w:cs="Arial"/>
        </w:rPr>
        <w:t>which is</w:t>
      </w:r>
      <w:r w:rsidR="001D1F14" w:rsidRPr="00231828">
        <w:rPr>
          <w:rFonts w:ascii="Calibri" w:hAnsi="Calibri" w:cs="Arial"/>
        </w:rPr>
        <w:t xml:space="preserve"> </w:t>
      </w:r>
      <w:r w:rsidR="001D1F14" w:rsidRPr="00231828">
        <w:rPr>
          <w:rFonts w:ascii="Arial" w:hAnsi="Arial" w:cs="Arial"/>
        </w:rPr>
        <w:t xml:space="preserve">consistent with a Th2 phenotype. </w:t>
      </w:r>
    </w:p>
    <w:p w:rsidR="001D1F14" w:rsidRPr="00231828" w:rsidRDefault="001D1F14" w:rsidP="00231828">
      <w:pPr>
        <w:spacing w:line="480" w:lineRule="auto"/>
        <w:jc w:val="both"/>
        <w:rPr>
          <w:rFonts w:ascii="Arial" w:hAnsi="Arial" w:cs="Arial"/>
        </w:rPr>
      </w:pPr>
      <w:r w:rsidRPr="00231828">
        <w:rPr>
          <w:rFonts w:ascii="Arial" w:hAnsi="Arial" w:cs="Arial"/>
        </w:rPr>
        <w:t xml:space="preserve">The next component of the study was to explore whether </w:t>
      </w:r>
      <w:proofErr w:type="spellStart"/>
      <w:r w:rsidRPr="00231828">
        <w:rPr>
          <w:rFonts w:ascii="Arial" w:hAnsi="Arial" w:cs="Arial"/>
        </w:rPr>
        <w:t>haptenic</w:t>
      </w:r>
      <w:proofErr w:type="spellEnd"/>
      <w:r w:rsidRPr="00231828">
        <w:rPr>
          <w:rFonts w:ascii="Arial" w:hAnsi="Arial" w:cs="Arial"/>
        </w:rPr>
        <w:t xml:space="preserve"> or non-</w:t>
      </w:r>
      <w:proofErr w:type="spellStart"/>
      <w:r w:rsidRPr="00231828">
        <w:rPr>
          <w:rFonts w:ascii="Arial" w:hAnsi="Arial" w:cs="Arial"/>
        </w:rPr>
        <w:t>haptenic</w:t>
      </w:r>
      <w:proofErr w:type="spellEnd"/>
      <w:r w:rsidRPr="00231828">
        <w:rPr>
          <w:rFonts w:ascii="Arial" w:hAnsi="Arial" w:cs="Arial"/>
        </w:rPr>
        <w:t xml:space="preserve"> drugs associated with HLA class I-restricted forms of skin or liver injury activate naïve T cells </w:t>
      </w:r>
      <w:r w:rsidRPr="00231828">
        <w:rPr>
          <w:rFonts w:ascii="Arial" w:hAnsi="Arial" w:cs="Arial"/>
          <w:i/>
        </w:rPr>
        <w:t>in vitro.</w:t>
      </w:r>
      <w:r w:rsidRPr="00231828">
        <w:rPr>
          <w:rFonts w:ascii="Arial" w:hAnsi="Arial" w:cs="Arial"/>
        </w:rPr>
        <w:t xml:space="preserve"> </w:t>
      </w:r>
      <w:r w:rsidR="00282976" w:rsidRPr="00231828">
        <w:rPr>
          <w:rFonts w:ascii="Arial" w:hAnsi="Arial" w:cs="Arial"/>
        </w:rPr>
        <w:t>To do this, our HLA-typ</w:t>
      </w:r>
      <w:r w:rsidR="002118F6" w:rsidRPr="00231828">
        <w:rPr>
          <w:rFonts w:ascii="Arial" w:hAnsi="Arial" w:cs="Arial"/>
        </w:rPr>
        <w:t>ed cell</w:t>
      </w:r>
      <w:r w:rsidR="00282976" w:rsidRPr="00231828">
        <w:rPr>
          <w:rFonts w:ascii="Arial" w:hAnsi="Arial" w:cs="Arial"/>
        </w:rPr>
        <w:t xml:space="preserve"> bank was expanded to 1000 volunteers. The population of volunteers is typical of the North West of England and all the common alleles were represented. The most common alleles in our cohort have similar frequencies as those reported for the UK population in the Allele frequency net database. </w:t>
      </w:r>
      <w:r w:rsidRPr="00231828">
        <w:rPr>
          <w:rFonts w:ascii="Arial" w:hAnsi="Arial" w:cs="Arial"/>
        </w:rPr>
        <w:t xml:space="preserve">The first drug selected was the β-lactam antibiotic flucloxacillin. </w:t>
      </w:r>
      <w:r w:rsidR="008A6611" w:rsidRPr="00231828">
        <w:rPr>
          <w:rFonts w:ascii="Arial" w:hAnsi="Arial" w:cs="Arial"/>
        </w:rPr>
        <w:t>F</w:t>
      </w:r>
      <w:r w:rsidRPr="00231828">
        <w:rPr>
          <w:rFonts w:ascii="Arial" w:hAnsi="Arial" w:cs="Arial"/>
        </w:rPr>
        <w:t xml:space="preserve">lucloxacillin-induced liver injury is strongly associated with expression of the HLA class I allele, B*57:01 </w:t>
      </w:r>
      <w:r w:rsidRPr="00231828">
        <w:rPr>
          <w:rFonts w:ascii="Arial" w:hAnsi="Arial" w:cs="Arial"/>
          <w:noProof/>
        </w:rPr>
        <w:t xml:space="preserve">(Daly </w:t>
      </w:r>
      <w:r w:rsidRPr="00231828">
        <w:rPr>
          <w:rFonts w:ascii="Arial" w:hAnsi="Arial" w:cs="Arial"/>
          <w:i/>
          <w:noProof/>
        </w:rPr>
        <w:t>et al.,</w:t>
      </w:r>
      <w:r w:rsidRPr="00231828">
        <w:rPr>
          <w:rFonts w:ascii="Arial" w:hAnsi="Arial" w:cs="Arial"/>
          <w:noProof/>
        </w:rPr>
        <w:t xml:space="preserve"> 2009)</w:t>
      </w:r>
      <w:r w:rsidRPr="00231828">
        <w:rPr>
          <w:rFonts w:ascii="Arial" w:hAnsi="Arial" w:cs="Arial"/>
        </w:rPr>
        <w:t xml:space="preserve">. Cloned flucloxacillin-specific T cells from patients </w:t>
      </w:r>
      <w:r w:rsidR="008A6611" w:rsidRPr="00231828">
        <w:rPr>
          <w:rFonts w:ascii="Arial" w:hAnsi="Arial" w:cs="Arial"/>
        </w:rPr>
        <w:t>are</w:t>
      </w:r>
      <w:r w:rsidRPr="00231828">
        <w:rPr>
          <w:rFonts w:ascii="Arial" w:hAnsi="Arial" w:cs="Arial"/>
        </w:rPr>
        <w:t xml:space="preserve"> predominantly CD8 </w:t>
      </w:r>
      <w:r w:rsidR="008A6611" w:rsidRPr="00231828">
        <w:rPr>
          <w:rFonts w:ascii="Arial" w:hAnsi="Arial" w:cs="Arial"/>
        </w:rPr>
        <w:t xml:space="preserve">and </w:t>
      </w:r>
      <w:r w:rsidRPr="00231828">
        <w:rPr>
          <w:rFonts w:ascii="Arial" w:hAnsi="Arial" w:cs="Arial"/>
        </w:rPr>
        <w:t xml:space="preserve">restricted to antigen </w:t>
      </w:r>
      <w:r w:rsidRPr="00231828">
        <w:rPr>
          <w:rFonts w:ascii="Arial" w:hAnsi="Arial" w:cs="Arial"/>
        </w:rPr>
        <w:lastRenderedPageBreak/>
        <w:t xml:space="preserve">presenting cells expressing the HLA risk allele </w:t>
      </w:r>
      <w:r w:rsidRPr="00231828">
        <w:rPr>
          <w:rFonts w:ascii="Arial" w:hAnsi="Arial" w:cs="Arial"/>
          <w:noProof/>
        </w:rPr>
        <w:t xml:space="preserve">(Monshi </w:t>
      </w:r>
      <w:r w:rsidRPr="00231828">
        <w:rPr>
          <w:rFonts w:ascii="Arial" w:hAnsi="Arial" w:cs="Arial"/>
          <w:i/>
          <w:noProof/>
        </w:rPr>
        <w:t>et al.,</w:t>
      </w:r>
      <w:r w:rsidRPr="00231828">
        <w:rPr>
          <w:rFonts w:ascii="Arial" w:hAnsi="Arial" w:cs="Arial"/>
          <w:noProof/>
        </w:rPr>
        <w:t xml:space="preserve"> 2013; </w:t>
      </w:r>
      <w:r w:rsidRPr="00231828">
        <w:rPr>
          <w:rFonts w:ascii="Arial" w:hAnsi="Arial" w:cs="Arial"/>
        </w:rPr>
        <w:t xml:space="preserve">Yaseen </w:t>
      </w:r>
      <w:r w:rsidRPr="00231828">
        <w:rPr>
          <w:rFonts w:ascii="Arial" w:hAnsi="Arial" w:cs="Arial"/>
          <w:i/>
        </w:rPr>
        <w:t>et al.</w:t>
      </w:r>
      <w:r w:rsidRPr="00231828">
        <w:rPr>
          <w:rFonts w:ascii="Arial" w:hAnsi="Arial" w:cs="Arial"/>
        </w:rPr>
        <w:t xml:space="preserve"> 2015). Priming of naïve T cells to flucloxacillin was attempted with 4 volunteers expressing HLA-B*57:01 and 4 volunteers expressing other HLA-B alleles. Weak responses were detected with PBMC from all 4 HLA-B*57:01 volunteers and isolation of CD8 flucloxacillin-responsive clones was successful when attempted (i</w:t>
      </w:r>
      <w:r w:rsidR="008A6611" w:rsidRPr="00231828">
        <w:rPr>
          <w:rFonts w:ascii="Arial" w:hAnsi="Arial" w:cs="Arial"/>
        </w:rPr>
        <w:t>.</w:t>
      </w:r>
      <w:r w:rsidRPr="00231828">
        <w:rPr>
          <w:rFonts w:ascii="Arial" w:hAnsi="Arial" w:cs="Arial"/>
        </w:rPr>
        <w:t>e</w:t>
      </w:r>
      <w:r w:rsidR="008A6611" w:rsidRPr="00231828">
        <w:rPr>
          <w:rFonts w:ascii="Arial" w:hAnsi="Arial" w:cs="Arial"/>
        </w:rPr>
        <w:t>.,</w:t>
      </w:r>
      <w:r w:rsidRPr="00231828">
        <w:rPr>
          <w:rFonts w:ascii="Arial" w:hAnsi="Arial" w:cs="Arial"/>
        </w:rPr>
        <w:t xml:space="preserve"> from 3 patients). The strength of the flucloxacillin-specific T cell response following DC priming was lower than that for piperacillin- and amoxicillin-responsive T cells, which likely relates to the difference types of T cell preferentially activated by these drugs. Flucloxacillin preferentially activates CD8 cells which generally have a lower proliferative capacity </w:t>
      </w:r>
      <w:r w:rsidRPr="00231828">
        <w:rPr>
          <w:rFonts w:ascii="Arial" w:hAnsi="Arial" w:cs="Arial"/>
          <w:i/>
        </w:rPr>
        <w:t>in vitro</w:t>
      </w:r>
      <w:r w:rsidRPr="00231828">
        <w:rPr>
          <w:rFonts w:ascii="Arial" w:hAnsi="Arial" w:cs="Arial"/>
        </w:rPr>
        <w:t xml:space="preserve"> than the CD4 cells. CD8 T cell clones from patients with liver injury express high levels of the chemokine receptors CCR4, CCR9 and CXCR3 and migrate towards CCL17 and CCL25 </w:t>
      </w:r>
      <w:r w:rsidRPr="00231828">
        <w:rPr>
          <w:rFonts w:ascii="Arial" w:hAnsi="Arial" w:cs="Arial"/>
          <w:noProof/>
        </w:rPr>
        <w:t xml:space="preserve">(Monshi </w:t>
      </w:r>
      <w:r w:rsidRPr="00231828">
        <w:rPr>
          <w:rFonts w:ascii="Arial" w:hAnsi="Arial" w:cs="Arial"/>
          <w:i/>
          <w:noProof/>
        </w:rPr>
        <w:t>et al.,</w:t>
      </w:r>
      <w:r w:rsidRPr="00231828">
        <w:rPr>
          <w:rFonts w:ascii="Arial" w:hAnsi="Arial" w:cs="Arial"/>
          <w:noProof/>
        </w:rPr>
        <w:t xml:space="preserve"> 2013)</w:t>
      </w:r>
      <w:r w:rsidRPr="00231828">
        <w:rPr>
          <w:rFonts w:ascii="Arial" w:hAnsi="Arial" w:cs="Arial"/>
        </w:rPr>
        <w:t xml:space="preserve">. Analysis of chemokine receptor expression on flucloxacillin-primed T cells from volunteers also showed higher expression of CCR4, CCR9 and CXCR3 on CD45RO positive cells compared to CD45RO negative cells, indicating the same homing characteristics for flucloxacillin-specific T cells derived both volunteers and patients with liver injury. </w:t>
      </w:r>
      <w:proofErr w:type="spellStart"/>
      <w:r w:rsidRPr="00231828">
        <w:rPr>
          <w:rFonts w:ascii="Arial" w:hAnsi="Arial" w:cs="Arial"/>
        </w:rPr>
        <w:t>Wuillemin</w:t>
      </w:r>
      <w:proofErr w:type="spellEnd"/>
      <w:r w:rsidRPr="00231828">
        <w:rPr>
          <w:rFonts w:ascii="Arial" w:hAnsi="Arial" w:cs="Arial"/>
        </w:rPr>
        <w:t xml:space="preserve"> </w:t>
      </w:r>
      <w:r w:rsidRPr="00231828">
        <w:rPr>
          <w:rFonts w:ascii="Arial" w:hAnsi="Arial" w:cs="Arial"/>
          <w:i/>
        </w:rPr>
        <w:t>et al</w:t>
      </w:r>
      <w:r w:rsidRPr="00231828">
        <w:rPr>
          <w:rFonts w:ascii="Arial" w:hAnsi="Arial" w:cs="Arial"/>
        </w:rPr>
        <w:t>. (2013, 2014) have also been able to isolate flucloxacillin-specific CD8 T cell clones from HLA-B*57:01 negative donors after repeated stimulation of PBMC for 4-5 weeks.  Activation of naïve T cells was observed using the DC priming assay with PBMC from 1 out of 4 HLA-B*57:01 negative volunteers, which suggests that it is more difficult to activate T cells with flucloxacillin in volunteers that do not express the risk allele.</w:t>
      </w:r>
    </w:p>
    <w:p w:rsidR="001D1F14" w:rsidRPr="00231828" w:rsidRDefault="001D1F14" w:rsidP="00231828">
      <w:pPr>
        <w:spacing w:line="480" w:lineRule="auto"/>
        <w:jc w:val="both"/>
        <w:rPr>
          <w:rFonts w:ascii="Arial" w:hAnsi="Arial" w:cs="Arial"/>
        </w:rPr>
      </w:pPr>
      <w:r w:rsidRPr="00231828">
        <w:rPr>
          <w:rFonts w:ascii="Arial" w:hAnsi="Arial" w:cs="Arial"/>
        </w:rPr>
        <w:t>Two non-</w:t>
      </w:r>
      <w:proofErr w:type="spellStart"/>
      <w:r w:rsidRPr="00231828">
        <w:rPr>
          <w:rFonts w:ascii="Arial" w:hAnsi="Arial" w:cs="Arial"/>
        </w:rPr>
        <w:t>haptenic</w:t>
      </w:r>
      <w:proofErr w:type="spellEnd"/>
      <w:r w:rsidRPr="00231828">
        <w:rPr>
          <w:rFonts w:ascii="Arial" w:hAnsi="Arial" w:cs="Arial"/>
        </w:rPr>
        <w:t xml:space="preserve"> </w:t>
      </w:r>
      <w:r w:rsidRPr="00CE0438">
        <w:rPr>
          <w:rFonts w:ascii="Arial" w:hAnsi="Arial" w:cs="Arial"/>
        </w:rPr>
        <w:t xml:space="preserve">drugs carbamazepine and </w:t>
      </w:r>
      <w:proofErr w:type="spellStart"/>
      <w:r w:rsidRPr="00BE57EA">
        <w:rPr>
          <w:rFonts w:ascii="Arial" w:hAnsi="Arial" w:cs="Arial"/>
        </w:rPr>
        <w:t>oxypurinol</w:t>
      </w:r>
      <w:proofErr w:type="spellEnd"/>
      <w:r w:rsidRPr="00BE57EA">
        <w:rPr>
          <w:rFonts w:ascii="Arial" w:hAnsi="Arial" w:cs="Arial"/>
        </w:rPr>
        <w:t xml:space="preserve"> </w:t>
      </w:r>
      <w:r w:rsidR="00AF3EC3" w:rsidRPr="00BE57EA">
        <w:rPr>
          <w:rFonts w:ascii="Arial" w:hAnsi="Arial" w:cs="Arial"/>
        </w:rPr>
        <w:t>(the active metabolite and T-cell stimulat</w:t>
      </w:r>
      <w:r w:rsidR="008A6611" w:rsidRPr="00BE57EA">
        <w:rPr>
          <w:rFonts w:ascii="Arial" w:hAnsi="Arial" w:cs="Arial"/>
        </w:rPr>
        <w:t>ory</w:t>
      </w:r>
      <w:r w:rsidR="00AF3EC3" w:rsidRPr="00BE57EA">
        <w:rPr>
          <w:rFonts w:ascii="Arial" w:hAnsi="Arial" w:cs="Arial"/>
        </w:rPr>
        <w:t xml:space="preserve"> form of allopurinol) </w:t>
      </w:r>
      <w:r w:rsidRPr="00BE57EA">
        <w:rPr>
          <w:rFonts w:ascii="Arial" w:hAnsi="Arial" w:cs="Arial"/>
        </w:rPr>
        <w:t>were selected next</w:t>
      </w:r>
      <w:r w:rsidR="00AF3EC3" w:rsidRPr="00BE57EA">
        <w:rPr>
          <w:rFonts w:ascii="Arial" w:hAnsi="Arial" w:cs="Arial"/>
        </w:rPr>
        <w:t xml:space="preserve">. </w:t>
      </w:r>
      <w:r w:rsidR="00AD796F" w:rsidRPr="00BE57EA">
        <w:rPr>
          <w:rFonts w:ascii="Arial" w:hAnsi="Arial" w:cs="Arial"/>
        </w:rPr>
        <w:t xml:space="preserve">Although some carbamazepine metabolites are capable of acting as haptens following </w:t>
      </w:r>
      <w:proofErr w:type="spellStart"/>
      <w:r w:rsidR="00AD796F" w:rsidRPr="00BE57EA">
        <w:rPr>
          <w:rFonts w:ascii="Arial" w:hAnsi="Arial" w:cs="Arial"/>
        </w:rPr>
        <w:t>bioactivation</w:t>
      </w:r>
      <w:proofErr w:type="spellEnd"/>
      <w:r w:rsidR="00AD796F" w:rsidRPr="00BE57EA">
        <w:rPr>
          <w:rFonts w:ascii="Arial" w:hAnsi="Arial" w:cs="Arial"/>
        </w:rPr>
        <w:t xml:space="preserve"> </w:t>
      </w:r>
      <w:r w:rsidR="00CE0438" w:rsidRPr="00BE57EA">
        <w:rPr>
          <w:rFonts w:ascii="Arial" w:hAnsi="Arial" w:cs="Arial"/>
          <w:noProof/>
        </w:rPr>
        <w:t>(Pearce</w:t>
      </w:r>
      <w:r w:rsidR="00CE0438" w:rsidRPr="00BE57EA">
        <w:rPr>
          <w:rFonts w:ascii="Arial" w:hAnsi="Arial" w:cs="Arial"/>
          <w:i/>
          <w:noProof/>
        </w:rPr>
        <w:t xml:space="preserve"> et al.</w:t>
      </w:r>
      <w:r w:rsidR="00CE0438" w:rsidRPr="00BE57EA">
        <w:rPr>
          <w:rFonts w:ascii="Arial" w:hAnsi="Arial" w:cs="Arial"/>
          <w:noProof/>
        </w:rPr>
        <w:t>, 2005;  Pearce</w:t>
      </w:r>
      <w:r w:rsidR="00CE0438" w:rsidRPr="00BE57EA">
        <w:rPr>
          <w:rFonts w:ascii="Arial" w:hAnsi="Arial" w:cs="Arial"/>
          <w:i/>
          <w:noProof/>
        </w:rPr>
        <w:t xml:space="preserve"> et al.</w:t>
      </w:r>
      <w:r w:rsidR="00CE0438" w:rsidRPr="00BE57EA">
        <w:rPr>
          <w:rFonts w:ascii="Arial" w:hAnsi="Arial" w:cs="Arial"/>
          <w:noProof/>
        </w:rPr>
        <w:t>, 2002)</w:t>
      </w:r>
      <w:r w:rsidR="00AD796F" w:rsidRPr="00BE57EA">
        <w:rPr>
          <w:rFonts w:ascii="Arial" w:hAnsi="Arial" w:cs="Arial"/>
        </w:rPr>
        <w:t>, T cells from hypersensitive patients have been shown to respond to the parent drug bound directly to HLA class I alleles, without the need for antigen processing, hence we have classified carbamazepine as non-</w:t>
      </w:r>
      <w:proofErr w:type="spellStart"/>
      <w:r w:rsidR="00AD796F" w:rsidRPr="00BE57EA">
        <w:rPr>
          <w:rFonts w:ascii="Arial" w:hAnsi="Arial" w:cs="Arial"/>
        </w:rPr>
        <w:t>haptenic</w:t>
      </w:r>
      <w:proofErr w:type="spellEnd"/>
      <w:r w:rsidR="00AD796F" w:rsidRPr="00BE57EA">
        <w:rPr>
          <w:rFonts w:ascii="Arial" w:hAnsi="Arial" w:cs="Arial"/>
        </w:rPr>
        <w:t xml:space="preserve">. </w:t>
      </w:r>
      <w:r w:rsidR="00AF3EC3" w:rsidRPr="00BE57EA">
        <w:rPr>
          <w:rFonts w:ascii="Arial" w:hAnsi="Arial" w:cs="Arial"/>
        </w:rPr>
        <w:t>C</w:t>
      </w:r>
      <w:r w:rsidRPr="00BE57EA">
        <w:rPr>
          <w:rFonts w:ascii="Arial" w:hAnsi="Arial" w:cs="Arial"/>
        </w:rPr>
        <w:t>arbamazepine</w:t>
      </w:r>
      <w:r w:rsidRPr="00231828">
        <w:rPr>
          <w:rFonts w:ascii="Arial" w:hAnsi="Arial" w:cs="Arial"/>
        </w:rPr>
        <w:t xml:space="preserve"> and </w:t>
      </w:r>
      <w:r w:rsidR="00AF3EC3" w:rsidRPr="00231828">
        <w:rPr>
          <w:rFonts w:ascii="Arial" w:hAnsi="Arial" w:cs="Arial"/>
        </w:rPr>
        <w:t>allopurinol</w:t>
      </w:r>
      <w:r w:rsidRPr="00231828">
        <w:rPr>
          <w:rFonts w:ascii="Arial" w:hAnsi="Arial" w:cs="Arial"/>
        </w:rPr>
        <w:t xml:space="preserve"> hypersensitivity reactions are strongly associated with specific HLA class I alleles: B*5</w:t>
      </w:r>
      <w:r w:rsidR="00AF3EC3" w:rsidRPr="00231828">
        <w:rPr>
          <w:rFonts w:ascii="Arial" w:hAnsi="Arial" w:cs="Arial"/>
        </w:rPr>
        <w:t>8</w:t>
      </w:r>
      <w:r w:rsidRPr="00231828">
        <w:rPr>
          <w:rFonts w:ascii="Arial" w:hAnsi="Arial" w:cs="Arial"/>
        </w:rPr>
        <w:t xml:space="preserve">:01 </w:t>
      </w:r>
      <w:r w:rsidR="00AF3EC3" w:rsidRPr="00231828">
        <w:rPr>
          <w:rFonts w:ascii="Arial" w:hAnsi="Arial" w:cs="Arial"/>
        </w:rPr>
        <w:lastRenderedPageBreak/>
        <w:t xml:space="preserve">(Hung </w:t>
      </w:r>
      <w:r w:rsidR="00AF3EC3" w:rsidRPr="00231828">
        <w:rPr>
          <w:rFonts w:ascii="Arial" w:hAnsi="Arial" w:cs="Arial"/>
          <w:i/>
        </w:rPr>
        <w:t>et al.,</w:t>
      </w:r>
      <w:r w:rsidR="00AF3EC3" w:rsidRPr="00231828">
        <w:rPr>
          <w:rFonts w:ascii="Arial" w:hAnsi="Arial" w:cs="Arial"/>
        </w:rPr>
        <w:t xml:space="preserve"> 2005) </w:t>
      </w:r>
      <w:r w:rsidRPr="00231828">
        <w:rPr>
          <w:rFonts w:ascii="Arial" w:hAnsi="Arial" w:cs="Arial"/>
        </w:rPr>
        <w:t xml:space="preserve">for </w:t>
      </w:r>
      <w:r w:rsidR="00AF3EC3" w:rsidRPr="00231828">
        <w:rPr>
          <w:rFonts w:ascii="Arial" w:hAnsi="Arial" w:cs="Arial"/>
        </w:rPr>
        <w:t>allopurinol</w:t>
      </w:r>
      <w:r w:rsidRPr="00231828">
        <w:rPr>
          <w:rFonts w:ascii="Arial" w:hAnsi="Arial" w:cs="Arial"/>
        </w:rPr>
        <w:t xml:space="preserve">; B*15:02 </w:t>
      </w:r>
      <w:r w:rsidRPr="00231828">
        <w:rPr>
          <w:rFonts w:ascii="Arial" w:hAnsi="Arial" w:cs="Arial"/>
          <w:noProof/>
        </w:rPr>
        <w:t xml:space="preserve">(Chung </w:t>
      </w:r>
      <w:r w:rsidRPr="00231828">
        <w:rPr>
          <w:rFonts w:ascii="Arial" w:hAnsi="Arial" w:cs="Arial"/>
          <w:i/>
          <w:noProof/>
        </w:rPr>
        <w:t>et al.,</w:t>
      </w:r>
      <w:r w:rsidRPr="00231828">
        <w:rPr>
          <w:rFonts w:ascii="Arial" w:hAnsi="Arial" w:cs="Arial"/>
          <w:noProof/>
        </w:rPr>
        <w:t xml:space="preserve"> 2004)</w:t>
      </w:r>
      <w:r w:rsidRPr="00231828">
        <w:rPr>
          <w:rFonts w:ascii="Arial" w:hAnsi="Arial" w:cs="Arial"/>
        </w:rPr>
        <w:t xml:space="preserve"> and A</w:t>
      </w:r>
      <w:r w:rsidR="00AF3EC3" w:rsidRPr="00231828">
        <w:rPr>
          <w:rFonts w:ascii="Arial" w:hAnsi="Arial" w:cs="Arial"/>
        </w:rPr>
        <w:t>*</w:t>
      </w:r>
      <w:r w:rsidRPr="00231828">
        <w:rPr>
          <w:rFonts w:ascii="Arial" w:hAnsi="Arial" w:cs="Arial"/>
        </w:rPr>
        <w:t xml:space="preserve">31:01 for carbamazepine </w:t>
      </w:r>
      <w:r w:rsidRPr="00231828">
        <w:rPr>
          <w:rFonts w:ascii="Arial" w:hAnsi="Arial" w:cs="Arial"/>
          <w:noProof/>
        </w:rPr>
        <w:t xml:space="preserve">(McCormack </w:t>
      </w:r>
      <w:r w:rsidRPr="00231828">
        <w:rPr>
          <w:rFonts w:ascii="Arial" w:hAnsi="Arial" w:cs="Arial"/>
          <w:i/>
          <w:noProof/>
        </w:rPr>
        <w:t>et al.,</w:t>
      </w:r>
      <w:r w:rsidRPr="00231828">
        <w:rPr>
          <w:rFonts w:ascii="Arial" w:hAnsi="Arial" w:cs="Arial"/>
          <w:noProof/>
        </w:rPr>
        <w:t xml:space="preserve">  2011)</w:t>
      </w:r>
      <w:r w:rsidRPr="00231828">
        <w:rPr>
          <w:rFonts w:ascii="Arial" w:hAnsi="Arial" w:cs="Arial"/>
        </w:rPr>
        <w:t xml:space="preserve">. Memory T cell responses to the parent drugs are readily detectable in hypersensitive patients and/or healthy volunteers carrying the risk alleles </w:t>
      </w:r>
      <w:r w:rsidRPr="00231828">
        <w:rPr>
          <w:rFonts w:ascii="Arial" w:hAnsi="Arial" w:cs="Arial"/>
          <w:noProof/>
        </w:rPr>
        <w:t>(</w:t>
      </w:r>
      <w:r w:rsidR="00AF3EC3" w:rsidRPr="00231828">
        <w:rPr>
          <w:rFonts w:ascii="Arial" w:hAnsi="Arial" w:cs="Arial"/>
          <w:noProof/>
        </w:rPr>
        <w:t xml:space="preserve">Yun </w:t>
      </w:r>
      <w:r w:rsidR="00AF3EC3" w:rsidRPr="00231828">
        <w:rPr>
          <w:rFonts w:ascii="Arial" w:hAnsi="Arial" w:cs="Arial"/>
          <w:i/>
          <w:noProof/>
        </w:rPr>
        <w:t>et al.,</w:t>
      </w:r>
      <w:r w:rsidR="00AF3EC3" w:rsidRPr="00231828">
        <w:rPr>
          <w:rFonts w:ascii="Arial" w:hAnsi="Arial" w:cs="Arial"/>
          <w:noProof/>
        </w:rPr>
        <w:t xml:space="preserve"> 2013 &amp; 2014; </w:t>
      </w:r>
      <w:r w:rsidRPr="00231828">
        <w:rPr>
          <w:rFonts w:ascii="Arial" w:hAnsi="Arial" w:cs="Arial"/>
          <w:noProof/>
        </w:rPr>
        <w:t>Ko</w:t>
      </w:r>
      <w:r w:rsidRPr="00231828">
        <w:rPr>
          <w:rFonts w:ascii="Arial" w:hAnsi="Arial" w:cs="Arial"/>
          <w:i/>
          <w:noProof/>
        </w:rPr>
        <w:t xml:space="preserve"> et al.</w:t>
      </w:r>
      <w:r w:rsidRPr="00231828">
        <w:rPr>
          <w:rFonts w:ascii="Arial" w:hAnsi="Arial" w:cs="Arial"/>
          <w:noProof/>
        </w:rPr>
        <w:t>, 2011;  Lichtenfels</w:t>
      </w:r>
      <w:r w:rsidRPr="00231828">
        <w:rPr>
          <w:rFonts w:ascii="Arial" w:hAnsi="Arial" w:cs="Arial"/>
          <w:i/>
          <w:noProof/>
        </w:rPr>
        <w:t xml:space="preserve"> et al.</w:t>
      </w:r>
      <w:r w:rsidRPr="00231828">
        <w:rPr>
          <w:rFonts w:ascii="Arial" w:hAnsi="Arial" w:cs="Arial"/>
          <w:noProof/>
        </w:rPr>
        <w:t xml:space="preserve">, 2014;  Wei </w:t>
      </w:r>
      <w:r w:rsidRPr="00231828">
        <w:rPr>
          <w:rFonts w:ascii="Arial" w:hAnsi="Arial" w:cs="Arial"/>
          <w:i/>
          <w:noProof/>
        </w:rPr>
        <w:t>et al.,</w:t>
      </w:r>
      <w:r w:rsidRPr="00231828">
        <w:rPr>
          <w:rFonts w:ascii="Arial" w:hAnsi="Arial" w:cs="Arial"/>
          <w:noProof/>
        </w:rPr>
        <w:t xml:space="preserve"> 2012)</w:t>
      </w:r>
      <w:r w:rsidRPr="00231828">
        <w:rPr>
          <w:rFonts w:ascii="Arial" w:hAnsi="Arial" w:cs="Arial"/>
        </w:rPr>
        <w:t xml:space="preserve">. Good to strong priming of naïve T-cells was observed with carbamazepine using volunteer PBMC expressing HLA-B*15:02. Most carbamazepine-responsive clones generated after priming were CD8 T cells, which is in agreement with the strong genetic association with </w:t>
      </w:r>
      <w:r w:rsidR="008A6611" w:rsidRPr="00231828">
        <w:rPr>
          <w:rFonts w:ascii="Arial" w:hAnsi="Arial" w:cs="Arial"/>
        </w:rPr>
        <w:t>a</w:t>
      </w:r>
      <w:r w:rsidRPr="00231828">
        <w:rPr>
          <w:rFonts w:ascii="Arial" w:hAnsi="Arial" w:cs="Arial"/>
        </w:rPr>
        <w:t xml:space="preserve"> class I allele. T cell priming was also observed with PBMC from HLA-A*31:01 positive volunteers, but the strength of the </w:t>
      </w:r>
      <w:r w:rsidR="008A6611" w:rsidRPr="00231828">
        <w:rPr>
          <w:rFonts w:ascii="Arial" w:hAnsi="Arial" w:cs="Arial"/>
        </w:rPr>
        <w:t>response</w:t>
      </w:r>
      <w:r w:rsidRPr="00231828">
        <w:rPr>
          <w:rFonts w:ascii="Arial" w:hAnsi="Arial" w:cs="Arial"/>
        </w:rPr>
        <w:t xml:space="preserve"> was much weaker than that observed with HLA-B*15:02 positive volunteers. </w:t>
      </w:r>
      <w:r w:rsidR="00AF3EC3" w:rsidRPr="00231828">
        <w:rPr>
          <w:rFonts w:ascii="Arial" w:hAnsi="Arial" w:cs="Arial"/>
        </w:rPr>
        <w:t xml:space="preserve">Nevertheless, carbamazepine-responsive CD8+ T-cell clones were generated from one of the volunteers following priming. Good or strong priming of naïve T cells was also detectable with </w:t>
      </w:r>
      <w:proofErr w:type="spellStart"/>
      <w:r w:rsidR="00AF3EC3" w:rsidRPr="00231828">
        <w:rPr>
          <w:rFonts w:ascii="Arial" w:hAnsi="Arial" w:cs="Arial"/>
        </w:rPr>
        <w:t>oxypurinol</w:t>
      </w:r>
      <w:proofErr w:type="spellEnd"/>
      <w:r w:rsidR="00AF3EC3" w:rsidRPr="00231828">
        <w:rPr>
          <w:rFonts w:ascii="Arial" w:hAnsi="Arial" w:cs="Arial"/>
        </w:rPr>
        <w:t xml:space="preserve"> in 2 out of 3 volunteers</w:t>
      </w:r>
      <w:r w:rsidR="008A6611" w:rsidRPr="00231828">
        <w:rPr>
          <w:rFonts w:ascii="Arial" w:hAnsi="Arial" w:cs="Arial"/>
        </w:rPr>
        <w:t xml:space="preserve"> expressing HLA-B*58:01.</w:t>
      </w:r>
      <w:r w:rsidR="00AF3EC3" w:rsidRPr="00231828">
        <w:rPr>
          <w:rFonts w:ascii="Arial" w:hAnsi="Arial" w:cs="Arial"/>
        </w:rPr>
        <w:t xml:space="preserve">. </w:t>
      </w:r>
    </w:p>
    <w:p w:rsidR="001D1F14" w:rsidRPr="00231828" w:rsidRDefault="001D1F14" w:rsidP="00231828">
      <w:pPr>
        <w:spacing w:line="480" w:lineRule="auto"/>
        <w:jc w:val="both"/>
        <w:rPr>
          <w:rFonts w:ascii="Arial" w:hAnsi="Arial" w:cs="Arial"/>
        </w:rPr>
      </w:pPr>
      <w:r w:rsidRPr="00231828">
        <w:rPr>
          <w:rFonts w:ascii="Arial" w:hAnsi="Arial" w:cs="Arial"/>
        </w:rPr>
        <w:t>In contrast to carbamazepine</w:t>
      </w:r>
      <w:r w:rsidR="00AF3EC3" w:rsidRPr="00231828">
        <w:rPr>
          <w:rFonts w:ascii="Arial" w:hAnsi="Arial" w:cs="Arial"/>
        </w:rPr>
        <w:t xml:space="preserve"> and </w:t>
      </w:r>
      <w:proofErr w:type="spellStart"/>
      <w:r w:rsidR="00AF3EC3" w:rsidRPr="00231828">
        <w:rPr>
          <w:rFonts w:ascii="Arial" w:hAnsi="Arial" w:cs="Arial"/>
        </w:rPr>
        <w:t>oxypurinol</w:t>
      </w:r>
      <w:proofErr w:type="spellEnd"/>
      <w:r w:rsidR="00AF3EC3" w:rsidRPr="00231828">
        <w:rPr>
          <w:rFonts w:ascii="Arial" w:hAnsi="Arial" w:cs="Arial"/>
        </w:rPr>
        <w:t xml:space="preserve">, </w:t>
      </w:r>
      <w:r w:rsidRPr="00231828">
        <w:rPr>
          <w:rFonts w:ascii="Arial" w:hAnsi="Arial" w:cs="Arial"/>
        </w:rPr>
        <w:t xml:space="preserve">priming of naïve T cells in HLA-B*57:01 volunteers was not observed with </w:t>
      </w:r>
      <w:proofErr w:type="spellStart"/>
      <w:r w:rsidRPr="00231828">
        <w:rPr>
          <w:rFonts w:ascii="Arial" w:hAnsi="Arial" w:cs="Arial"/>
        </w:rPr>
        <w:t>abacavir</w:t>
      </w:r>
      <w:proofErr w:type="spellEnd"/>
      <w:r w:rsidRPr="00231828">
        <w:rPr>
          <w:rFonts w:ascii="Arial" w:hAnsi="Arial" w:cs="Arial"/>
        </w:rPr>
        <w:t xml:space="preserve">. </w:t>
      </w:r>
      <w:r w:rsidR="00AF3EC3" w:rsidRPr="00231828">
        <w:rPr>
          <w:rFonts w:ascii="Arial" w:hAnsi="Arial" w:cs="Arial"/>
        </w:rPr>
        <w:t>This</w:t>
      </w:r>
      <w:r w:rsidRPr="00231828">
        <w:rPr>
          <w:rFonts w:ascii="Arial" w:hAnsi="Arial" w:cs="Arial"/>
        </w:rPr>
        <w:t xml:space="preserve"> was somewhat surprising as it is simple to isolate </w:t>
      </w:r>
      <w:proofErr w:type="spellStart"/>
      <w:r w:rsidRPr="00231828">
        <w:rPr>
          <w:rFonts w:ascii="Arial" w:hAnsi="Arial" w:cs="Arial"/>
        </w:rPr>
        <w:t>abacavir</w:t>
      </w:r>
      <w:proofErr w:type="spellEnd"/>
      <w:r w:rsidRPr="00231828">
        <w:rPr>
          <w:rFonts w:ascii="Arial" w:hAnsi="Arial" w:cs="Arial"/>
        </w:rPr>
        <w:t xml:space="preserve">-responsive CD8 T cell clones from PBMCs of HLA-B*57:01 positive volunteers </w:t>
      </w:r>
      <w:r w:rsidRPr="00231828">
        <w:rPr>
          <w:rFonts w:ascii="Arial" w:hAnsi="Arial" w:cs="Arial"/>
          <w:noProof/>
        </w:rPr>
        <w:t xml:space="preserve">(Adam </w:t>
      </w:r>
      <w:r w:rsidRPr="00231828">
        <w:rPr>
          <w:rFonts w:ascii="Arial" w:hAnsi="Arial" w:cs="Arial"/>
          <w:i/>
          <w:noProof/>
        </w:rPr>
        <w:t>et al.,</w:t>
      </w:r>
      <w:r w:rsidRPr="00231828">
        <w:rPr>
          <w:rFonts w:ascii="Arial" w:hAnsi="Arial" w:cs="Arial"/>
          <w:noProof/>
        </w:rPr>
        <w:t xml:space="preserve"> 2012;  Adam</w:t>
      </w:r>
      <w:r w:rsidRPr="00231828">
        <w:rPr>
          <w:rFonts w:ascii="Arial" w:hAnsi="Arial" w:cs="Arial"/>
          <w:i/>
          <w:noProof/>
        </w:rPr>
        <w:t xml:space="preserve"> et al.</w:t>
      </w:r>
      <w:r w:rsidRPr="00231828">
        <w:rPr>
          <w:rFonts w:ascii="Arial" w:hAnsi="Arial" w:cs="Arial"/>
          <w:noProof/>
        </w:rPr>
        <w:t>, 2014;  Bell</w:t>
      </w:r>
      <w:r w:rsidRPr="00231828">
        <w:rPr>
          <w:rFonts w:ascii="Arial" w:hAnsi="Arial" w:cs="Arial"/>
          <w:i/>
          <w:noProof/>
        </w:rPr>
        <w:t xml:space="preserve"> et al.</w:t>
      </w:r>
      <w:r w:rsidRPr="00231828">
        <w:rPr>
          <w:rFonts w:ascii="Arial" w:hAnsi="Arial" w:cs="Arial"/>
          <w:noProof/>
        </w:rPr>
        <w:t>, 2013)</w:t>
      </w:r>
      <w:r w:rsidRPr="00231828">
        <w:rPr>
          <w:rFonts w:ascii="Arial" w:hAnsi="Arial" w:cs="Arial"/>
        </w:rPr>
        <w:t xml:space="preserve">. However, our data agrees with Lucas </w:t>
      </w:r>
      <w:r w:rsidRPr="00231828">
        <w:rPr>
          <w:rFonts w:ascii="Arial" w:hAnsi="Arial" w:cs="Arial"/>
          <w:i/>
        </w:rPr>
        <w:t>et al.</w:t>
      </w:r>
      <w:r w:rsidRPr="00231828">
        <w:rPr>
          <w:rFonts w:ascii="Arial" w:hAnsi="Arial" w:cs="Arial"/>
        </w:rPr>
        <w:t xml:space="preserve"> (2015) who have shown that </w:t>
      </w:r>
      <w:proofErr w:type="spellStart"/>
      <w:r w:rsidRPr="00231828">
        <w:rPr>
          <w:rFonts w:ascii="Arial" w:hAnsi="Arial" w:cs="Arial"/>
        </w:rPr>
        <w:t>abacavir</w:t>
      </w:r>
      <w:proofErr w:type="spellEnd"/>
      <w:r w:rsidRPr="00231828">
        <w:rPr>
          <w:rFonts w:ascii="Arial" w:hAnsi="Arial" w:cs="Arial"/>
        </w:rPr>
        <w:t xml:space="preserve"> activates pre-existing memory T cells primed by earl</w:t>
      </w:r>
      <w:r w:rsidR="00F93CA0" w:rsidRPr="00231828">
        <w:rPr>
          <w:rFonts w:ascii="Arial" w:hAnsi="Arial" w:cs="Arial"/>
        </w:rPr>
        <w:t>ier exposure to another antigen</w:t>
      </w:r>
      <w:r w:rsidRPr="00231828">
        <w:rPr>
          <w:rFonts w:ascii="Arial" w:hAnsi="Arial" w:cs="Arial"/>
        </w:rPr>
        <w:t xml:space="preserve">. These cells are depleted prior to DC priming. </w:t>
      </w:r>
    </w:p>
    <w:p w:rsidR="00F82558" w:rsidRPr="003D1E6C" w:rsidRDefault="00F82558" w:rsidP="00231828">
      <w:pPr>
        <w:spacing w:line="480" w:lineRule="auto"/>
        <w:jc w:val="both"/>
        <w:rPr>
          <w:rFonts w:ascii="Arial" w:hAnsi="Arial" w:cs="Arial"/>
          <w:color w:val="000000" w:themeColor="text1"/>
        </w:rPr>
      </w:pPr>
      <w:r w:rsidRPr="003D1E6C">
        <w:rPr>
          <w:rFonts w:ascii="Arial" w:hAnsi="Arial" w:cs="Arial"/>
          <w:color w:val="000000" w:themeColor="text1"/>
        </w:rPr>
        <w:t xml:space="preserve">The final experiments attempted to prime naïve T cells against </w:t>
      </w:r>
      <w:r w:rsidR="00F93CA0" w:rsidRPr="003D1E6C">
        <w:rPr>
          <w:rFonts w:ascii="Arial" w:hAnsi="Arial" w:cs="Arial"/>
          <w:color w:val="000000" w:themeColor="text1"/>
        </w:rPr>
        <w:t>three</w:t>
      </w:r>
      <w:r w:rsidRPr="003D1E6C">
        <w:rPr>
          <w:rFonts w:ascii="Arial" w:hAnsi="Arial" w:cs="Arial"/>
          <w:color w:val="000000" w:themeColor="text1"/>
        </w:rPr>
        <w:t xml:space="preserve"> drugs that </w:t>
      </w:r>
      <w:r w:rsidR="003D1E6C" w:rsidRPr="003D1E6C">
        <w:rPr>
          <w:rFonts w:ascii="Arial" w:hAnsi="Arial" w:cs="Arial"/>
          <w:color w:val="000000" w:themeColor="text1"/>
        </w:rPr>
        <w:t>are</w:t>
      </w:r>
      <w:r w:rsidRPr="003D1E6C">
        <w:rPr>
          <w:rFonts w:ascii="Arial" w:hAnsi="Arial" w:cs="Arial"/>
          <w:color w:val="000000" w:themeColor="text1"/>
        </w:rPr>
        <w:t xml:space="preserve"> </w:t>
      </w:r>
      <w:r w:rsidR="003D1E6C" w:rsidRPr="003D1E6C">
        <w:rPr>
          <w:rFonts w:ascii="Arial" w:hAnsi="Arial" w:cs="Arial"/>
          <w:color w:val="000000" w:themeColor="text1"/>
        </w:rPr>
        <w:t xml:space="preserve">associated with DILI. </w:t>
      </w:r>
      <w:proofErr w:type="spellStart"/>
      <w:r w:rsidR="003D1E6C" w:rsidRPr="003D1E6C">
        <w:rPr>
          <w:rFonts w:ascii="Arial" w:hAnsi="Arial" w:cs="Arial"/>
          <w:color w:val="000000" w:themeColor="text1"/>
        </w:rPr>
        <w:t>Ximelagatran</w:t>
      </w:r>
      <w:proofErr w:type="spellEnd"/>
      <w:r w:rsidR="003D1E6C" w:rsidRPr="003D1E6C">
        <w:rPr>
          <w:rFonts w:ascii="Arial" w:hAnsi="Arial" w:cs="Arial"/>
          <w:color w:val="000000" w:themeColor="text1"/>
        </w:rPr>
        <w:t xml:space="preserve"> and </w:t>
      </w:r>
      <w:proofErr w:type="spellStart"/>
      <w:r w:rsidR="003D1E6C" w:rsidRPr="003D1E6C">
        <w:rPr>
          <w:rFonts w:ascii="Arial" w:hAnsi="Arial" w:cs="Arial"/>
          <w:color w:val="000000" w:themeColor="text1"/>
        </w:rPr>
        <w:t>lumiracoxib</w:t>
      </w:r>
      <w:proofErr w:type="spellEnd"/>
      <w:r w:rsidR="003D1E6C" w:rsidRPr="003D1E6C">
        <w:rPr>
          <w:rFonts w:ascii="Arial" w:hAnsi="Arial" w:cs="Arial"/>
          <w:color w:val="000000" w:themeColor="text1"/>
        </w:rPr>
        <w:t xml:space="preserve"> were </w:t>
      </w:r>
      <w:r w:rsidRPr="003D1E6C">
        <w:rPr>
          <w:rFonts w:ascii="Arial" w:hAnsi="Arial" w:cs="Arial"/>
          <w:color w:val="000000" w:themeColor="text1"/>
        </w:rPr>
        <w:t>withdrawn from use because of an unacceptable incidence of liver injury</w:t>
      </w:r>
      <w:r w:rsidR="003D1E6C">
        <w:rPr>
          <w:rFonts w:ascii="Arial" w:hAnsi="Arial" w:cs="Arial"/>
          <w:color w:val="000000" w:themeColor="text1"/>
        </w:rPr>
        <w:t>.</w:t>
      </w:r>
      <w:r w:rsidR="00CF5575" w:rsidRPr="003D1E6C">
        <w:rPr>
          <w:rFonts w:ascii="Arial" w:hAnsi="Arial" w:cs="Arial"/>
          <w:color w:val="000000" w:themeColor="text1"/>
        </w:rPr>
        <w:t xml:space="preserve"> </w:t>
      </w:r>
      <w:proofErr w:type="spellStart"/>
      <w:r w:rsidR="003D1E6C">
        <w:rPr>
          <w:rFonts w:ascii="Arial" w:hAnsi="Arial" w:cs="Arial"/>
          <w:color w:val="000000" w:themeColor="text1"/>
        </w:rPr>
        <w:t>L</w:t>
      </w:r>
      <w:r w:rsidR="003D1E6C" w:rsidRPr="003D1E6C">
        <w:rPr>
          <w:rFonts w:ascii="Arial" w:hAnsi="Arial" w:cs="Arial"/>
          <w:color w:val="000000" w:themeColor="text1"/>
        </w:rPr>
        <w:t>apatinib</w:t>
      </w:r>
      <w:proofErr w:type="spellEnd"/>
      <w:r w:rsidR="003D1E6C" w:rsidRPr="003D1E6C">
        <w:rPr>
          <w:rFonts w:ascii="Arial" w:hAnsi="Arial" w:cs="Arial"/>
          <w:color w:val="000000" w:themeColor="text1"/>
        </w:rPr>
        <w:t xml:space="preserve"> is approved for the treatment of HER2 over-expressing metastatic breast cancer, in combination with chemotherapy. </w:t>
      </w:r>
      <w:r w:rsidR="003D1E6C">
        <w:rPr>
          <w:rFonts w:ascii="Arial" w:hAnsi="Arial" w:cs="Arial"/>
          <w:color w:val="000000" w:themeColor="text1"/>
        </w:rPr>
        <w:t>However, t</w:t>
      </w:r>
      <w:r w:rsidR="003D1E6C" w:rsidRPr="003D1E6C">
        <w:rPr>
          <w:rFonts w:ascii="Arial" w:hAnsi="Arial" w:cs="Arial"/>
          <w:color w:val="000000" w:themeColor="text1"/>
        </w:rPr>
        <w:t xml:space="preserve">he prescribing information for </w:t>
      </w:r>
      <w:proofErr w:type="spellStart"/>
      <w:r w:rsidR="003D1E6C" w:rsidRPr="003D1E6C">
        <w:rPr>
          <w:rFonts w:ascii="Arial" w:hAnsi="Arial" w:cs="Arial"/>
          <w:color w:val="000000" w:themeColor="text1"/>
        </w:rPr>
        <w:t>Tykerb</w:t>
      </w:r>
      <w:proofErr w:type="spellEnd"/>
      <w:r w:rsidR="003D1E6C" w:rsidRPr="003D1E6C">
        <w:rPr>
          <w:rFonts w:ascii="Arial" w:hAnsi="Arial" w:cs="Arial"/>
          <w:color w:val="000000" w:themeColor="text1"/>
        </w:rPr>
        <w:t>/</w:t>
      </w:r>
      <w:proofErr w:type="spellStart"/>
      <w:r w:rsidR="003D1E6C" w:rsidRPr="003D1E6C">
        <w:rPr>
          <w:rFonts w:ascii="Arial" w:hAnsi="Arial" w:cs="Arial"/>
          <w:color w:val="000000" w:themeColor="text1"/>
        </w:rPr>
        <w:t>Tyverb</w:t>
      </w:r>
      <w:proofErr w:type="spellEnd"/>
      <w:r w:rsidR="003D1E6C" w:rsidRPr="003D1E6C">
        <w:rPr>
          <w:rFonts w:ascii="Arial" w:hAnsi="Arial" w:cs="Arial"/>
          <w:color w:val="000000" w:themeColor="text1"/>
        </w:rPr>
        <w:t xml:space="preserve"> has a FDA Black Box Warning for </w:t>
      </w:r>
      <w:r w:rsidR="003D1E6C">
        <w:rPr>
          <w:rFonts w:ascii="Arial" w:hAnsi="Arial" w:cs="Arial"/>
          <w:color w:val="000000" w:themeColor="text1"/>
        </w:rPr>
        <w:t>h</w:t>
      </w:r>
      <w:r w:rsidR="003D1E6C" w:rsidRPr="003D1E6C">
        <w:rPr>
          <w:rFonts w:ascii="Arial" w:hAnsi="Arial" w:cs="Arial"/>
          <w:color w:val="000000" w:themeColor="text1"/>
        </w:rPr>
        <w:t xml:space="preserve">epatotoxicity and an EMA </w:t>
      </w:r>
      <w:r w:rsidR="003D1E6C">
        <w:rPr>
          <w:rFonts w:ascii="Arial" w:hAnsi="Arial" w:cs="Arial"/>
          <w:color w:val="000000" w:themeColor="text1"/>
        </w:rPr>
        <w:t>s</w:t>
      </w:r>
      <w:r w:rsidR="003D1E6C" w:rsidRPr="003D1E6C">
        <w:rPr>
          <w:rFonts w:ascii="Arial" w:hAnsi="Arial" w:cs="Arial"/>
          <w:color w:val="000000" w:themeColor="text1"/>
        </w:rPr>
        <w:t xml:space="preserve">pecial </w:t>
      </w:r>
      <w:r w:rsidR="003D1E6C">
        <w:rPr>
          <w:rFonts w:ascii="Arial" w:hAnsi="Arial" w:cs="Arial"/>
          <w:color w:val="000000" w:themeColor="text1"/>
        </w:rPr>
        <w:t>warnings and p</w:t>
      </w:r>
      <w:r w:rsidR="003D1E6C" w:rsidRPr="003D1E6C">
        <w:rPr>
          <w:rFonts w:ascii="Arial" w:hAnsi="Arial" w:cs="Arial"/>
          <w:color w:val="000000" w:themeColor="text1"/>
        </w:rPr>
        <w:t xml:space="preserve">recautions for </w:t>
      </w:r>
      <w:r w:rsidR="003D1E6C">
        <w:rPr>
          <w:rFonts w:ascii="Arial" w:hAnsi="Arial" w:cs="Arial"/>
          <w:color w:val="000000" w:themeColor="text1"/>
        </w:rPr>
        <w:t>h</w:t>
      </w:r>
      <w:r w:rsidR="003D1E6C" w:rsidRPr="003D1E6C">
        <w:rPr>
          <w:rFonts w:ascii="Arial" w:hAnsi="Arial" w:cs="Arial"/>
          <w:color w:val="000000" w:themeColor="text1"/>
        </w:rPr>
        <w:t>epatotoxicity</w:t>
      </w:r>
      <w:r w:rsidRPr="003D1E6C">
        <w:rPr>
          <w:rFonts w:ascii="Arial" w:hAnsi="Arial" w:cs="Arial"/>
          <w:color w:val="000000" w:themeColor="text1"/>
        </w:rPr>
        <w:t xml:space="preserve">. In each case an HLA class II association has been identified </w:t>
      </w:r>
      <w:r w:rsidR="00B2363E" w:rsidRPr="003D1E6C">
        <w:rPr>
          <w:rFonts w:ascii="Arial" w:hAnsi="Arial" w:cs="Arial"/>
          <w:noProof/>
          <w:color w:val="000000" w:themeColor="text1"/>
        </w:rPr>
        <w:t xml:space="preserve">(Kindmark </w:t>
      </w:r>
      <w:r w:rsidR="00B2363E" w:rsidRPr="003D1E6C">
        <w:rPr>
          <w:rFonts w:ascii="Arial" w:hAnsi="Arial" w:cs="Arial"/>
          <w:i/>
          <w:noProof/>
          <w:color w:val="000000" w:themeColor="text1"/>
        </w:rPr>
        <w:t>et al.,</w:t>
      </w:r>
      <w:r w:rsidR="00B2363E" w:rsidRPr="003D1E6C">
        <w:rPr>
          <w:rFonts w:ascii="Arial" w:hAnsi="Arial" w:cs="Arial"/>
          <w:noProof/>
          <w:color w:val="000000" w:themeColor="text1"/>
        </w:rPr>
        <w:t xml:space="preserve"> 2008; </w:t>
      </w:r>
      <w:r w:rsidR="00F93CA0" w:rsidRPr="003D1E6C">
        <w:rPr>
          <w:rFonts w:ascii="Arial" w:hAnsi="Arial" w:cs="Arial"/>
          <w:noProof/>
          <w:color w:val="000000" w:themeColor="text1"/>
        </w:rPr>
        <w:t xml:space="preserve">Spraggs </w:t>
      </w:r>
      <w:r w:rsidR="00F93CA0" w:rsidRPr="003D1E6C">
        <w:rPr>
          <w:rFonts w:ascii="Arial" w:hAnsi="Arial" w:cs="Arial"/>
          <w:i/>
          <w:noProof/>
          <w:color w:val="000000" w:themeColor="text1"/>
        </w:rPr>
        <w:t>et al.,</w:t>
      </w:r>
      <w:r w:rsidR="00F93CA0" w:rsidRPr="003D1E6C">
        <w:rPr>
          <w:rFonts w:ascii="Arial" w:hAnsi="Arial" w:cs="Arial"/>
          <w:noProof/>
          <w:color w:val="000000" w:themeColor="text1"/>
        </w:rPr>
        <w:t xml:space="preserve"> 2011;</w:t>
      </w:r>
      <w:r w:rsidR="00B2363E" w:rsidRPr="003D1E6C">
        <w:rPr>
          <w:rFonts w:ascii="Arial" w:hAnsi="Arial" w:cs="Arial"/>
          <w:noProof/>
          <w:color w:val="000000" w:themeColor="text1"/>
        </w:rPr>
        <w:t xml:space="preserve"> Singer </w:t>
      </w:r>
      <w:r w:rsidR="00B2363E" w:rsidRPr="003D1E6C">
        <w:rPr>
          <w:rFonts w:ascii="Arial" w:hAnsi="Arial" w:cs="Arial"/>
          <w:i/>
          <w:noProof/>
          <w:color w:val="000000" w:themeColor="text1"/>
        </w:rPr>
        <w:t>et al.,</w:t>
      </w:r>
      <w:r w:rsidR="00B2363E" w:rsidRPr="003D1E6C">
        <w:rPr>
          <w:rFonts w:ascii="Arial" w:hAnsi="Arial" w:cs="Arial"/>
          <w:noProof/>
          <w:color w:val="000000" w:themeColor="text1"/>
        </w:rPr>
        <w:t xml:space="preserve"> </w:t>
      </w:r>
      <w:r w:rsidR="008445CA" w:rsidRPr="003D1E6C">
        <w:rPr>
          <w:rFonts w:ascii="Arial" w:hAnsi="Arial" w:cs="Arial"/>
          <w:noProof/>
          <w:color w:val="000000" w:themeColor="text1"/>
        </w:rPr>
        <w:lastRenderedPageBreak/>
        <w:t>2010)</w:t>
      </w:r>
      <w:r w:rsidRPr="003D1E6C">
        <w:rPr>
          <w:rFonts w:ascii="Arial" w:hAnsi="Arial" w:cs="Arial"/>
          <w:color w:val="000000" w:themeColor="text1"/>
        </w:rPr>
        <w:t xml:space="preserve">. </w:t>
      </w:r>
      <w:r w:rsidR="00F93CA0" w:rsidRPr="003D1E6C">
        <w:rPr>
          <w:rFonts w:ascii="Arial" w:hAnsi="Arial" w:cs="Arial"/>
          <w:color w:val="000000" w:themeColor="text1"/>
        </w:rPr>
        <w:t>I</w:t>
      </w:r>
      <w:r w:rsidRPr="003D1E6C">
        <w:rPr>
          <w:rFonts w:ascii="Arial" w:hAnsi="Arial" w:cs="Arial"/>
          <w:color w:val="000000" w:themeColor="text1"/>
        </w:rPr>
        <w:t xml:space="preserve">n contrast to the drugs discussed above, the phenotype and function of T cells in patients with liver injury due to these drugs has not been defined. Priming of naïve T cells was not detected with </w:t>
      </w:r>
      <w:proofErr w:type="spellStart"/>
      <w:r w:rsidRPr="003D1E6C">
        <w:rPr>
          <w:rFonts w:ascii="Arial" w:hAnsi="Arial" w:cs="Arial"/>
          <w:color w:val="000000" w:themeColor="text1"/>
        </w:rPr>
        <w:t>ximelagatran</w:t>
      </w:r>
      <w:proofErr w:type="spellEnd"/>
      <w:r w:rsidR="00F93CA0" w:rsidRPr="003D1E6C">
        <w:rPr>
          <w:rFonts w:ascii="Arial" w:hAnsi="Arial" w:cs="Arial"/>
          <w:color w:val="000000" w:themeColor="text1"/>
        </w:rPr>
        <w:t>,</w:t>
      </w:r>
      <w:r w:rsidRPr="003D1E6C">
        <w:rPr>
          <w:rFonts w:ascii="Arial" w:hAnsi="Arial" w:cs="Arial"/>
          <w:color w:val="000000" w:themeColor="text1"/>
        </w:rPr>
        <w:t xml:space="preserve"> </w:t>
      </w:r>
      <w:proofErr w:type="spellStart"/>
      <w:r w:rsidRPr="003D1E6C">
        <w:rPr>
          <w:rFonts w:ascii="Arial" w:hAnsi="Arial" w:cs="Arial"/>
          <w:color w:val="000000" w:themeColor="text1"/>
        </w:rPr>
        <w:t>melagatran</w:t>
      </w:r>
      <w:proofErr w:type="spellEnd"/>
      <w:r w:rsidR="00F93CA0" w:rsidRPr="003D1E6C">
        <w:rPr>
          <w:rFonts w:ascii="Arial" w:hAnsi="Arial" w:cs="Arial"/>
          <w:color w:val="000000" w:themeColor="text1"/>
        </w:rPr>
        <w:t xml:space="preserve"> or </w:t>
      </w:r>
      <w:proofErr w:type="spellStart"/>
      <w:r w:rsidR="00F93CA0" w:rsidRPr="003D1E6C">
        <w:rPr>
          <w:rFonts w:ascii="Arial" w:hAnsi="Arial" w:cs="Arial"/>
          <w:color w:val="000000" w:themeColor="text1"/>
        </w:rPr>
        <w:t>lapatinib</w:t>
      </w:r>
      <w:proofErr w:type="spellEnd"/>
      <w:r w:rsidRPr="003D1E6C">
        <w:rPr>
          <w:rFonts w:ascii="Arial" w:hAnsi="Arial" w:cs="Arial"/>
          <w:color w:val="000000" w:themeColor="text1"/>
        </w:rPr>
        <w:t xml:space="preserve"> using PBMC from HLA-DRB1*07:01 positive volunteers. Furthermore, </w:t>
      </w:r>
      <w:r w:rsidR="0054770F" w:rsidRPr="003D1E6C">
        <w:rPr>
          <w:rFonts w:ascii="Arial" w:hAnsi="Arial" w:cs="Arial"/>
          <w:color w:val="000000" w:themeColor="text1"/>
        </w:rPr>
        <w:t>we</w:t>
      </w:r>
      <w:r w:rsidRPr="003D1E6C">
        <w:rPr>
          <w:rFonts w:ascii="Arial" w:hAnsi="Arial" w:cs="Arial"/>
          <w:color w:val="000000" w:themeColor="text1"/>
        </w:rPr>
        <w:t xml:space="preserve">akly positive results were </w:t>
      </w:r>
      <w:r w:rsidR="0054770F" w:rsidRPr="003D1E6C">
        <w:rPr>
          <w:rFonts w:ascii="Arial" w:hAnsi="Arial" w:cs="Arial"/>
          <w:color w:val="000000" w:themeColor="text1"/>
        </w:rPr>
        <w:t xml:space="preserve">only </w:t>
      </w:r>
      <w:r w:rsidRPr="003D1E6C">
        <w:rPr>
          <w:rFonts w:ascii="Arial" w:hAnsi="Arial" w:cs="Arial"/>
          <w:color w:val="000000" w:themeColor="text1"/>
        </w:rPr>
        <w:t xml:space="preserve">recorded with </w:t>
      </w:r>
      <w:r w:rsidR="00CF5575" w:rsidRPr="003D1E6C">
        <w:rPr>
          <w:rFonts w:ascii="Arial" w:hAnsi="Arial" w:cs="Arial"/>
          <w:color w:val="000000" w:themeColor="text1"/>
        </w:rPr>
        <w:t xml:space="preserve">2 out of 52 experiments </w:t>
      </w:r>
      <w:r w:rsidRPr="003D1E6C">
        <w:rPr>
          <w:rFonts w:ascii="Arial" w:hAnsi="Arial" w:cs="Arial"/>
          <w:color w:val="000000" w:themeColor="text1"/>
        </w:rPr>
        <w:t xml:space="preserve">in the </w:t>
      </w:r>
      <w:proofErr w:type="spellStart"/>
      <w:r w:rsidRPr="003D1E6C">
        <w:rPr>
          <w:rFonts w:ascii="Arial" w:hAnsi="Arial" w:cs="Arial"/>
          <w:color w:val="000000" w:themeColor="text1"/>
        </w:rPr>
        <w:t>lumiracoxib</w:t>
      </w:r>
      <w:proofErr w:type="spellEnd"/>
      <w:r w:rsidRPr="003D1E6C">
        <w:rPr>
          <w:rFonts w:ascii="Arial" w:hAnsi="Arial" w:cs="Arial"/>
          <w:color w:val="000000" w:themeColor="text1"/>
        </w:rPr>
        <w:t xml:space="preserve"> </w:t>
      </w:r>
      <w:r w:rsidR="00F93CA0" w:rsidRPr="003D1E6C">
        <w:rPr>
          <w:rFonts w:ascii="Arial" w:hAnsi="Arial" w:cs="Arial"/>
          <w:color w:val="000000" w:themeColor="text1"/>
        </w:rPr>
        <w:t xml:space="preserve">(Table 4) </w:t>
      </w:r>
      <w:r w:rsidRPr="003D1E6C">
        <w:rPr>
          <w:rFonts w:ascii="Arial" w:hAnsi="Arial" w:cs="Arial"/>
          <w:color w:val="000000" w:themeColor="text1"/>
        </w:rPr>
        <w:t xml:space="preserve">and </w:t>
      </w:r>
      <w:proofErr w:type="spellStart"/>
      <w:r w:rsidR="00F93CA0" w:rsidRPr="003D1E6C">
        <w:rPr>
          <w:rFonts w:ascii="Arial" w:hAnsi="Arial" w:cs="Arial"/>
          <w:color w:val="000000" w:themeColor="text1"/>
        </w:rPr>
        <w:t>lumiracoxib</w:t>
      </w:r>
      <w:proofErr w:type="spellEnd"/>
      <w:r w:rsidR="00F93CA0" w:rsidRPr="003D1E6C">
        <w:rPr>
          <w:rFonts w:ascii="Arial" w:hAnsi="Arial" w:cs="Arial"/>
          <w:color w:val="000000" w:themeColor="text1"/>
        </w:rPr>
        <w:t xml:space="preserve"> </w:t>
      </w:r>
      <w:r w:rsidRPr="003D1E6C">
        <w:rPr>
          <w:rFonts w:ascii="Arial" w:hAnsi="Arial" w:cs="Arial"/>
          <w:color w:val="000000" w:themeColor="text1"/>
        </w:rPr>
        <w:t>metabolite priming experiments with PBMC</w:t>
      </w:r>
      <w:r w:rsidR="00CF5575" w:rsidRPr="003D1E6C">
        <w:rPr>
          <w:rFonts w:ascii="Arial" w:hAnsi="Arial" w:cs="Arial"/>
          <w:color w:val="000000" w:themeColor="text1"/>
        </w:rPr>
        <w:t>s</w:t>
      </w:r>
      <w:r w:rsidRPr="003D1E6C">
        <w:rPr>
          <w:rFonts w:ascii="Arial" w:hAnsi="Arial" w:cs="Arial"/>
          <w:color w:val="000000" w:themeColor="text1"/>
        </w:rPr>
        <w:t xml:space="preserve"> from HLA</w:t>
      </w:r>
      <w:r w:rsidR="00F93CA0" w:rsidRPr="003D1E6C">
        <w:rPr>
          <w:rFonts w:ascii="Arial" w:hAnsi="Arial" w:cs="Arial"/>
          <w:color w:val="000000" w:themeColor="text1"/>
        </w:rPr>
        <w:t xml:space="preserve">-DRB1*15:01 positive volunteers. </w:t>
      </w:r>
      <w:r w:rsidR="0054770F" w:rsidRPr="003D1E6C">
        <w:rPr>
          <w:rFonts w:ascii="Arial" w:hAnsi="Arial" w:cs="Arial"/>
          <w:color w:val="000000" w:themeColor="text1"/>
        </w:rPr>
        <w:t>D</w:t>
      </w:r>
      <w:r w:rsidR="00F93CA0" w:rsidRPr="003D1E6C">
        <w:rPr>
          <w:rFonts w:ascii="Arial" w:hAnsi="Arial" w:cs="Arial"/>
          <w:color w:val="000000" w:themeColor="text1"/>
        </w:rPr>
        <w:t xml:space="preserve">rug(metabolite)-specific proliferative responses were not detected after testing over 1000 individual clones generated from the </w:t>
      </w:r>
      <w:proofErr w:type="spellStart"/>
      <w:r w:rsidR="00F93CA0" w:rsidRPr="003D1E6C">
        <w:rPr>
          <w:rFonts w:ascii="Arial" w:hAnsi="Arial" w:cs="Arial"/>
          <w:color w:val="000000" w:themeColor="text1"/>
        </w:rPr>
        <w:t>ximelagatran</w:t>
      </w:r>
      <w:proofErr w:type="spellEnd"/>
      <w:r w:rsidR="00F93CA0" w:rsidRPr="003D1E6C">
        <w:rPr>
          <w:rFonts w:ascii="Arial" w:hAnsi="Arial" w:cs="Arial"/>
          <w:color w:val="000000" w:themeColor="text1"/>
        </w:rPr>
        <w:t xml:space="preserve"> or </w:t>
      </w:r>
      <w:proofErr w:type="spellStart"/>
      <w:r w:rsidR="00F93CA0" w:rsidRPr="003D1E6C">
        <w:rPr>
          <w:rFonts w:ascii="Arial" w:hAnsi="Arial" w:cs="Arial"/>
          <w:color w:val="000000" w:themeColor="text1"/>
        </w:rPr>
        <w:t>lumiracoxib</w:t>
      </w:r>
      <w:proofErr w:type="spellEnd"/>
      <w:r w:rsidR="00F93CA0" w:rsidRPr="003D1E6C">
        <w:rPr>
          <w:rFonts w:ascii="Arial" w:hAnsi="Arial" w:cs="Arial"/>
          <w:color w:val="000000" w:themeColor="text1"/>
        </w:rPr>
        <w:t xml:space="preserve"> priming assays. </w:t>
      </w:r>
      <w:r w:rsidRPr="003D1E6C">
        <w:rPr>
          <w:rFonts w:ascii="Arial" w:hAnsi="Arial" w:cs="Arial"/>
          <w:color w:val="000000" w:themeColor="text1"/>
        </w:rPr>
        <w:t xml:space="preserve">The reason for the negative results is unclear. </w:t>
      </w:r>
      <w:r w:rsidR="00F93CA0" w:rsidRPr="003D1E6C">
        <w:rPr>
          <w:rFonts w:ascii="Arial" w:hAnsi="Arial" w:cs="Arial"/>
          <w:color w:val="000000" w:themeColor="text1"/>
        </w:rPr>
        <w:t>It is possible that the HLA association does not relate directly to the activation of drug-specific CD4+ T cells. Alternatively,</w:t>
      </w:r>
      <w:r w:rsidRPr="003D1E6C">
        <w:rPr>
          <w:rFonts w:ascii="Arial" w:hAnsi="Arial" w:cs="Arial"/>
          <w:color w:val="000000" w:themeColor="text1"/>
        </w:rPr>
        <w:t xml:space="preserve"> the assay might require refinement in order to </w:t>
      </w:r>
      <w:r w:rsidR="00F93CA0" w:rsidRPr="003D1E6C">
        <w:rPr>
          <w:rFonts w:ascii="Arial" w:hAnsi="Arial" w:cs="Arial"/>
          <w:color w:val="000000" w:themeColor="text1"/>
        </w:rPr>
        <w:t>generate the appropriate drug antigen within the target tissue to activate T cells.</w:t>
      </w:r>
      <w:r w:rsidRPr="003D1E6C">
        <w:rPr>
          <w:rFonts w:ascii="Arial" w:hAnsi="Arial" w:cs="Arial"/>
          <w:color w:val="000000" w:themeColor="text1"/>
        </w:rPr>
        <w:t xml:space="preserve"> In this respect, we are currently investigating whether drug-treated primary hepatocytes transfer signals to immune cells during priming altering the balance between DC co-stimulatory/co-inhibitory signalling.</w:t>
      </w:r>
    </w:p>
    <w:p w:rsidR="00F82558" w:rsidRPr="00231828" w:rsidRDefault="00F82558" w:rsidP="00231828">
      <w:pPr>
        <w:spacing w:line="480" w:lineRule="auto"/>
        <w:jc w:val="both"/>
        <w:rPr>
          <w:rFonts w:ascii="Arial" w:hAnsi="Arial" w:cs="Arial"/>
        </w:rPr>
      </w:pPr>
      <w:r w:rsidRPr="00231828">
        <w:rPr>
          <w:rFonts w:ascii="Arial" w:hAnsi="Arial" w:cs="Arial"/>
        </w:rPr>
        <w:t xml:space="preserve">In conclusion, </w:t>
      </w:r>
      <w:r w:rsidR="00537027" w:rsidRPr="00231828">
        <w:rPr>
          <w:rFonts w:ascii="Arial" w:hAnsi="Arial" w:cs="Arial"/>
        </w:rPr>
        <w:t>we describe a test system for the prediction of non-HLA restricted drug</w:t>
      </w:r>
      <w:r w:rsidR="00AD796F">
        <w:rPr>
          <w:rFonts w:ascii="Arial" w:hAnsi="Arial" w:cs="Arial"/>
        </w:rPr>
        <w:t>-specific T-cell responses</w:t>
      </w:r>
      <w:r w:rsidR="00537027" w:rsidRPr="00231828">
        <w:rPr>
          <w:rFonts w:ascii="Arial" w:hAnsi="Arial" w:cs="Arial"/>
        </w:rPr>
        <w:t>. T</w:t>
      </w:r>
      <w:r w:rsidR="00F93CA0" w:rsidRPr="00231828">
        <w:rPr>
          <w:rFonts w:ascii="Arial" w:hAnsi="Arial" w:cs="Arial"/>
        </w:rPr>
        <w:t>he availability of a cell bank containing viable HLA-typed PBMC from 1000 volunteers provides direct access to appropriate cells to investigate hypersensitivity reactions associated with specific HLA alleles. W</w:t>
      </w:r>
      <w:r w:rsidRPr="00231828">
        <w:rPr>
          <w:rFonts w:ascii="Arial" w:hAnsi="Arial" w:cs="Arial"/>
        </w:rPr>
        <w:t xml:space="preserve">e have successfully primed naïve T cells from healthy volunteers against a range of </w:t>
      </w:r>
      <w:r w:rsidR="00F93CA0" w:rsidRPr="00231828">
        <w:rPr>
          <w:rFonts w:ascii="Arial" w:hAnsi="Arial" w:cs="Arial"/>
        </w:rPr>
        <w:t xml:space="preserve">HLA class I-restricted </w:t>
      </w:r>
      <w:r w:rsidR="0054770F" w:rsidRPr="00231828">
        <w:rPr>
          <w:rFonts w:ascii="Arial" w:hAnsi="Arial" w:cs="Arial"/>
        </w:rPr>
        <w:t>drug antigens</w:t>
      </w:r>
      <w:r w:rsidR="00537027" w:rsidRPr="00231828">
        <w:rPr>
          <w:rFonts w:ascii="Arial" w:hAnsi="Arial" w:cs="Arial"/>
        </w:rPr>
        <w:t xml:space="preserve"> and as such the assay may be used to help redesign drugs that cause HLA class I associated hypersensitivity reactions</w:t>
      </w:r>
      <w:r w:rsidRPr="00231828">
        <w:rPr>
          <w:rFonts w:ascii="Arial" w:hAnsi="Arial" w:cs="Arial"/>
        </w:rPr>
        <w:t>.</w:t>
      </w:r>
      <w:r w:rsidR="00CB09D3" w:rsidRPr="00231828">
        <w:rPr>
          <w:rFonts w:ascii="Arial" w:hAnsi="Arial" w:cs="Arial"/>
        </w:rPr>
        <w:t xml:space="preserve"> </w:t>
      </w:r>
      <w:r w:rsidR="00537027" w:rsidRPr="00231828">
        <w:rPr>
          <w:rFonts w:ascii="Arial" w:hAnsi="Arial" w:cs="Arial"/>
        </w:rPr>
        <w:t>However, f</w:t>
      </w:r>
      <w:r w:rsidR="00CB09D3" w:rsidRPr="00231828">
        <w:rPr>
          <w:rFonts w:ascii="Arial" w:hAnsi="Arial" w:cs="Arial"/>
        </w:rPr>
        <w:t>urther work is needed to determine whether the increasing number</w:t>
      </w:r>
      <w:r w:rsidR="008E0A5E">
        <w:rPr>
          <w:rFonts w:ascii="Arial" w:hAnsi="Arial" w:cs="Arial"/>
        </w:rPr>
        <w:t xml:space="preserve"> of</w:t>
      </w:r>
      <w:r w:rsidR="00CB09D3" w:rsidRPr="00231828">
        <w:rPr>
          <w:rFonts w:ascii="Arial" w:hAnsi="Arial" w:cs="Arial"/>
        </w:rPr>
        <w:t xml:space="preserve"> drug reactions associated with an HLA class II allele involve drug-specific CD4+ T cells.  </w:t>
      </w:r>
      <w:r w:rsidRPr="00231828">
        <w:rPr>
          <w:rFonts w:ascii="Arial" w:hAnsi="Arial" w:cs="Arial"/>
        </w:rPr>
        <w:t xml:space="preserve"> </w:t>
      </w:r>
    </w:p>
    <w:p w:rsidR="00F82FB3" w:rsidRPr="00231828" w:rsidRDefault="00F82FB3" w:rsidP="00231828">
      <w:pPr>
        <w:spacing w:line="480" w:lineRule="auto"/>
        <w:rPr>
          <w:rFonts w:ascii="Arial" w:hAnsi="Arial" w:cs="Arial"/>
          <w:b/>
          <w:i/>
        </w:rPr>
      </w:pPr>
      <w:r w:rsidRPr="00231828">
        <w:rPr>
          <w:rFonts w:ascii="Arial" w:hAnsi="Arial" w:cs="Arial"/>
          <w:b/>
          <w:i/>
        </w:rPr>
        <w:br w:type="page"/>
      </w:r>
    </w:p>
    <w:p w:rsidR="00231828" w:rsidRDefault="00231828" w:rsidP="00231828">
      <w:pPr>
        <w:spacing w:line="480" w:lineRule="auto"/>
        <w:jc w:val="both"/>
        <w:rPr>
          <w:rFonts w:ascii="Arial" w:hAnsi="Arial" w:cs="Arial"/>
          <w:b/>
        </w:rPr>
      </w:pPr>
      <w:r w:rsidRPr="00231828">
        <w:rPr>
          <w:rFonts w:ascii="Arial" w:hAnsi="Arial" w:cs="Arial"/>
          <w:b/>
        </w:rPr>
        <w:lastRenderedPageBreak/>
        <w:t>FUNDING INFORMATION</w:t>
      </w:r>
    </w:p>
    <w:p w:rsidR="00231828" w:rsidRPr="00231828" w:rsidRDefault="00231828" w:rsidP="00231828">
      <w:pPr>
        <w:spacing w:line="480" w:lineRule="auto"/>
        <w:jc w:val="both"/>
        <w:rPr>
          <w:rFonts w:ascii="Arial" w:hAnsi="Arial" w:cs="Arial"/>
          <w:b/>
        </w:rPr>
      </w:pPr>
      <w:r w:rsidRPr="00231828">
        <w:rPr>
          <w:rFonts w:ascii="Arial" w:hAnsi="Arial" w:cs="Arial"/>
          <w:szCs w:val="24"/>
        </w:rPr>
        <w:t>This work received funding from the MRC Centre for Drug Safety Science (Grant Number G0700654) and also the MIP-DILI project (supported by the European Community under the Innovative Medicines Initiative Programme through Grant Agreement number 115336).</w:t>
      </w:r>
    </w:p>
    <w:p w:rsidR="00231828" w:rsidRPr="00231828" w:rsidRDefault="00231828" w:rsidP="00231828">
      <w:pPr>
        <w:spacing w:line="480" w:lineRule="auto"/>
        <w:jc w:val="both"/>
        <w:rPr>
          <w:rFonts w:ascii="Arial" w:hAnsi="Arial" w:cs="Arial"/>
          <w:b/>
        </w:rPr>
      </w:pPr>
    </w:p>
    <w:p w:rsidR="00F82FB3" w:rsidRPr="00231828" w:rsidRDefault="00F82FB3" w:rsidP="00231828">
      <w:pPr>
        <w:spacing w:line="480" w:lineRule="auto"/>
        <w:jc w:val="both"/>
        <w:rPr>
          <w:rFonts w:ascii="Arial" w:hAnsi="Arial" w:cs="Arial"/>
          <w:b/>
        </w:rPr>
      </w:pPr>
      <w:r w:rsidRPr="00231828">
        <w:rPr>
          <w:rFonts w:ascii="Arial" w:hAnsi="Arial" w:cs="Arial"/>
          <w:b/>
        </w:rPr>
        <w:t>A</w:t>
      </w:r>
      <w:r w:rsidR="00231828" w:rsidRPr="00231828">
        <w:rPr>
          <w:rFonts w:ascii="Arial" w:hAnsi="Arial" w:cs="Arial"/>
          <w:b/>
        </w:rPr>
        <w:t>CKNOWLEDGEMENTS</w:t>
      </w:r>
    </w:p>
    <w:p w:rsidR="00015BF1" w:rsidRPr="00231828" w:rsidRDefault="00F82FB3" w:rsidP="00231828">
      <w:pPr>
        <w:spacing w:line="480" w:lineRule="auto"/>
        <w:jc w:val="both"/>
        <w:rPr>
          <w:rFonts w:ascii="Arial" w:hAnsi="Arial" w:cs="Arial"/>
        </w:rPr>
      </w:pPr>
      <w:r w:rsidRPr="00231828">
        <w:rPr>
          <w:rFonts w:ascii="Arial" w:hAnsi="Arial" w:cs="Arial"/>
        </w:rPr>
        <w:t xml:space="preserve">The authors would like to thank the blood donors and CDSS research nurses. Thanks are </w:t>
      </w:r>
      <w:r w:rsidR="0062168A">
        <w:rPr>
          <w:rFonts w:ascii="Arial" w:hAnsi="Arial" w:cs="Arial"/>
        </w:rPr>
        <w:t xml:space="preserve">also extended to Colin </w:t>
      </w:r>
      <w:proofErr w:type="spellStart"/>
      <w:r w:rsidR="0062168A">
        <w:rPr>
          <w:rFonts w:ascii="Arial" w:hAnsi="Arial" w:cs="Arial"/>
        </w:rPr>
        <w:t>Spraggs</w:t>
      </w:r>
      <w:proofErr w:type="spellEnd"/>
      <w:r w:rsidR="0062168A">
        <w:rPr>
          <w:rFonts w:ascii="Arial" w:hAnsi="Arial" w:cs="Arial"/>
        </w:rPr>
        <w:t xml:space="preserve"> and</w:t>
      </w:r>
      <w:r w:rsidR="00EE3622" w:rsidRPr="00231828">
        <w:rPr>
          <w:rFonts w:ascii="Arial" w:hAnsi="Arial" w:cs="Arial"/>
        </w:rPr>
        <w:t xml:space="preserve"> Steve Clarke</w:t>
      </w:r>
      <w:r w:rsidR="0062168A">
        <w:rPr>
          <w:rFonts w:ascii="Arial" w:hAnsi="Arial" w:cs="Arial"/>
        </w:rPr>
        <w:t xml:space="preserve"> from GSK</w:t>
      </w:r>
      <w:r w:rsidR="00EE3622" w:rsidRPr="00231828">
        <w:rPr>
          <w:rFonts w:ascii="Arial" w:hAnsi="Arial" w:cs="Arial"/>
        </w:rPr>
        <w:t>,</w:t>
      </w:r>
      <w:r w:rsidR="00EE3622" w:rsidRPr="001342E1">
        <w:rPr>
          <w:rFonts w:ascii="Arial" w:hAnsi="Arial" w:cs="Arial"/>
        </w:rPr>
        <w:t xml:space="preserve"> </w:t>
      </w:r>
      <w:r w:rsidR="001342E1" w:rsidRPr="001342E1">
        <w:rPr>
          <w:rFonts w:ascii="Arial" w:hAnsi="Arial" w:cs="Arial"/>
        </w:rPr>
        <w:t xml:space="preserve">scientists from Drug Safety &amp; Metabolism within Astra Zeneca </w:t>
      </w:r>
      <w:r w:rsidR="00EE3622" w:rsidRPr="00231828">
        <w:rPr>
          <w:rFonts w:ascii="Arial" w:hAnsi="Arial" w:cs="Arial"/>
        </w:rPr>
        <w:t xml:space="preserve">and Michael </w:t>
      </w:r>
      <w:proofErr w:type="spellStart"/>
      <w:r w:rsidR="00EE3622" w:rsidRPr="00231828">
        <w:rPr>
          <w:rFonts w:ascii="Arial" w:hAnsi="Arial" w:cs="Arial"/>
        </w:rPr>
        <w:t>Kamm</w:t>
      </w:r>
      <w:r w:rsidR="001342E1" w:rsidRPr="001342E1">
        <w:rPr>
          <w:rFonts w:ascii="Arial" w:hAnsi="Arial" w:cs="Arial"/>
        </w:rPr>
        <w:t>ü</w:t>
      </w:r>
      <w:r w:rsidR="00EE3622" w:rsidRPr="00231828">
        <w:rPr>
          <w:rFonts w:ascii="Arial" w:hAnsi="Arial" w:cs="Arial"/>
        </w:rPr>
        <w:t>ller</w:t>
      </w:r>
      <w:proofErr w:type="spellEnd"/>
      <w:r w:rsidR="00EE3622" w:rsidRPr="00231828">
        <w:rPr>
          <w:rFonts w:ascii="Arial" w:hAnsi="Arial" w:cs="Arial"/>
        </w:rPr>
        <w:t xml:space="preserve"> </w:t>
      </w:r>
      <w:r w:rsidR="0062168A">
        <w:rPr>
          <w:rFonts w:ascii="Arial" w:hAnsi="Arial" w:cs="Arial"/>
        </w:rPr>
        <w:t xml:space="preserve">from Novartis for fruitful discussions and the provision of </w:t>
      </w:r>
      <w:proofErr w:type="spellStart"/>
      <w:r w:rsidR="0062168A">
        <w:rPr>
          <w:rFonts w:ascii="Arial" w:hAnsi="Arial" w:cs="Arial"/>
        </w:rPr>
        <w:t>lapatinib</w:t>
      </w:r>
      <w:proofErr w:type="spellEnd"/>
      <w:r w:rsidR="0062168A">
        <w:rPr>
          <w:rFonts w:ascii="Arial" w:hAnsi="Arial" w:cs="Arial"/>
        </w:rPr>
        <w:t xml:space="preserve">, </w:t>
      </w:r>
      <w:proofErr w:type="spellStart"/>
      <w:r w:rsidR="0062168A">
        <w:rPr>
          <w:rFonts w:ascii="Arial" w:hAnsi="Arial" w:cs="Arial"/>
        </w:rPr>
        <w:t>ximelagatran</w:t>
      </w:r>
      <w:proofErr w:type="spellEnd"/>
      <w:r w:rsidR="0062168A">
        <w:rPr>
          <w:rFonts w:ascii="Arial" w:hAnsi="Arial" w:cs="Arial"/>
        </w:rPr>
        <w:t xml:space="preserve"> and </w:t>
      </w:r>
      <w:proofErr w:type="spellStart"/>
      <w:r w:rsidR="0062168A">
        <w:rPr>
          <w:rFonts w:ascii="Arial" w:hAnsi="Arial" w:cs="Arial"/>
        </w:rPr>
        <w:t>lumiracoxib</w:t>
      </w:r>
      <w:proofErr w:type="spellEnd"/>
      <w:r w:rsidR="0062168A">
        <w:rPr>
          <w:rFonts w:ascii="Arial" w:hAnsi="Arial" w:cs="Arial"/>
        </w:rPr>
        <w:t>, respectiv</w:t>
      </w:r>
      <w:r w:rsidR="0062168A" w:rsidRPr="001342E1">
        <w:rPr>
          <w:rFonts w:ascii="Arial" w:hAnsi="Arial" w:cs="Arial"/>
        </w:rPr>
        <w:t>ely</w:t>
      </w:r>
      <w:r w:rsidR="00EE3622" w:rsidRPr="001342E1">
        <w:rPr>
          <w:rFonts w:ascii="Arial" w:hAnsi="Arial" w:cs="Arial"/>
        </w:rPr>
        <w:t>.</w:t>
      </w:r>
      <w:r w:rsidR="001342E1" w:rsidRPr="001342E1">
        <w:rPr>
          <w:rFonts w:ascii="Arial" w:hAnsi="Arial" w:cs="Arial"/>
        </w:rPr>
        <w:t xml:space="preserve"> </w:t>
      </w:r>
      <w:r w:rsidR="001342E1" w:rsidRPr="001342E1">
        <w:rPr>
          <w:rFonts w:ascii="Arial" w:eastAsia="Times New Roman" w:hAnsi="Arial" w:cs="Arial"/>
          <w:color w:val="000000"/>
        </w:rPr>
        <w:t xml:space="preserve">Brigitte Christen </w:t>
      </w:r>
      <w:r w:rsidR="001342E1">
        <w:rPr>
          <w:rFonts w:ascii="Arial" w:eastAsia="Times New Roman" w:hAnsi="Arial" w:cs="Arial"/>
          <w:color w:val="000000"/>
        </w:rPr>
        <w:t>(Novartis) contributed to the optimization of some of the assays during a short stay in 2013.</w:t>
      </w:r>
      <w:r w:rsidR="00EE3622" w:rsidRPr="00231828">
        <w:rPr>
          <w:rFonts w:ascii="Arial" w:hAnsi="Arial" w:cs="Arial"/>
        </w:rPr>
        <w:t xml:space="preserve">   </w:t>
      </w:r>
      <w:r w:rsidRPr="00231828">
        <w:rPr>
          <w:rFonts w:ascii="Arial" w:hAnsi="Arial" w:cs="Arial"/>
        </w:rPr>
        <w:t xml:space="preserve">  </w:t>
      </w:r>
      <w:r w:rsidR="00015BF1" w:rsidRPr="00231828">
        <w:rPr>
          <w:rFonts w:ascii="Arial" w:hAnsi="Arial" w:cs="Arial"/>
          <w:b/>
          <w:i/>
        </w:rPr>
        <w:br w:type="page"/>
      </w:r>
    </w:p>
    <w:p w:rsidR="0044607E" w:rsidRPr="00231828" w:rsidRDefault="00231828" w:rsidP="00026E24">
      <w:pPr>
        <w:spacing w:line="480" w:lineRule="auto"/>
        <w:jc w:val="both"/>
        <w:rPr>
          <w:rFonts w:ascii="Arial" w:hAnsi="Arial" w:cs="Arial"/>
          <w:color w:val="FF0000"/>
        </w:rPr>
      </w:pPr>
      <w:r>
        <w:rPr>
          <w:rFonts w:ascii="Arial" w:hAnsi="Arial" w:cs="Arial"/>
          <w:b/>
        </w:rPr>
        <w:lastRenderedPageBreak/>
        <w:t>REFERENCES</w:t>
      </w:r>
    </w:p>
    <w:p w:rsidR="0044607E" w:rsidRPr="00026E24" w:rsidRDefault="0044607E" w:rsidP="00026E24">
      <w:pPr>
        <w:autoSpaceDE w:val="0"/>
        <w:autoSpaceDN w:val="0"/>
        <w:adjustRightInd w:val="0"/>
        <w:spacing w:line="480" w:lineRule="auto"/>
        <w:jc w:val="both"/>
        <w:rPr>
          <w:rFonts w:ascii="Arial" w:hAnsi="Arial" w:cs="Arial"/>
        </w:rPr>
      </w:pPr>
      <w:r w:rsidRPr="00026E24">
        <w:rPr>
          <w:rFonts w:ascii="Arial" w:hAnsi="Arial" w:cs="Arial"/>
        </w:rPr>
        <w:t xml:space="preserve">Adam, J., </w:t>
      </w:r>
      <w:proofErr w:type="spellStart"/>
      <w:r w:rsidRPr="00026E24">
        <w:rPr>
          <w:rFonts w:ascii="Arial" w:hAnsi="Arial" w:cs="Arial"/>
        </w:rPr>
        <w:t>Pichler</w:t>
      </w:r>
      <w:proofErr w:type="spellEnd"/>
      <w:r w:rsidRPr="00026E24">
        <w:rPr>
          <w:rFonts w:ascii="Arial" w:hAnsi="Arial" w:cs="Arial"/>
        </w:rPr>
        <w:t xml:space="preserve">, W. J, and </w:t>
      </w:r>
      <w:proofErr w:type="spellStart"/>
      <w:r w:rsidRPr="00026E24">
        <w:rPr>
          <w:rFonts w:ascii="Arial" w:hAnsi="Arial" w:cs="Arial"/>
        </w:rPr>
        <w:t>Yerly</w:t>
      </w:r>
      <w:proofErr w:type="spellEnd"/>
      <w:r w:rsidRPr="00026E24">
        <w:rPr>
          <w:rFonts w:ascii="Arial" w:hAnsi="Arial" w:cs="Arial"/>
        </w:rPr>
        <w:t xml:space="preserve">, D. (2011). </w:t>
      </w:r>
      <w:proofErr w:type="gramStart"/>
      <w:r w:rsidRPr="00026E24">
        <w:rPr>
          <w:rFonts w:ascii="Arial" w:hAnsi="Arial" w:cs="Arial"/>
        </w:rPr>
        <w:t>Delayed drug hypersensitivity: models of T-cell stimulation.</w:t>
      </w:r>
      <w:proofErr w:type="gramEnd"/>
      <w:r w:rsidRPr="00026E24">
        <w:rPr>
          <w:rFonts w:ascii="Arial" w:hAnsi="Arial" w:cs="Arial"/>
        </w:rPr>
        <w:t xml:space="preserve"> </w:t>
      </w:r>
      <w:r w:rsidRPr="00026E24">
        <w:rPr>
          <w:rFonts w:ascii="Arial" w:hAnsi="Arial" w:cs="Arial"/>
          <w:i/>
        </w:rPr>
        <w:t xml:space="preserve">Brit. J. </w:t>
      </w:r>
      <w:proofErr w:type="spellStart"/>
      <w:r w:rsidRPr="00026E24">
        <w:rPr>
          <w:rFonts w:ascii="Arial" w:hAnsi="Arial" w:cs="Arial"/>
          <w:i/>
        </w:rPr>
        <w:t>Clin</w:t>
      </w:r>
      <w:proofErr w:type="spellEnd"/>
      <w:r w:rsidRPr="00026E24">
        <w:rPr>
          <w:rFonts w:ascii="Arial" w:hAnsi="Arial" w:cs="Arial"/>
          <w:i/>
        </w:rPr>
        <w:t>. Pharm.</w:t>
      </w:r>
      <w:r w:rsidRPr="00026E24">
        <w:rPr>
          <w:rFonts w:ascii="Arial" w:hAnsi="Arial" w:cs="Arial"/>
        </w:rPr>
        <w:t xml:space="preserve"> </w:t>
      </w:r>
      <w:r w:rsidRPr="00026E24">
        <w:rPr>
          <w:rFonts w:ascii="Arial" w:hAnsi="Arial" w:cs="Arial"/>
          <w:b/>
        </w:rPr>
        <w:t>71,</w:t>
      </w:r>
      <w:r w:rsidRPr="00026E24">
        <w:rPr>
          <w:rFonts w:ascii="Arial" w:hAnsi="Arial" w:cs="Arial"/>
        </w:rPr>
        <w:t xml:space="preserve"> 701–707.</w:t>
      </w:r>
    </w:p>
    <w:p w:rsidR="0044607E" w:rsidRPr="00026E24" w:rsidRDefault="0044607E" w:rsidP="00026E24">
      <w:pPr>
        <w:spacing w:line="480" w:lineRule="auto"/>
        <w:jc w:val="both"/>
        <w:rPr>
          <w:rFonts w:ascii="Arial" w:hAnsi="Arial" w:cs="Arial"/>
        </w:rPr>
      </w:pPr>
      <w:r w:rsidRPr="00026E24">
        <w:rPr>
          <w:rFonts w:ascii="Arial" w:hAnsi="Arial" w:cs="Arial"/>
          <w:bCs/>
        </w:rPr>
        <w:t>Adam J</w:t>
      </w:r>
      <w:r w:rsidRPr="00026E24">
        <w:rPr>
          <w:rFonts w:ascii="Arial" w:hAnsi="Arial" w:cs="Arial"/>
        </w:rPr>
        <w:t xml:space="preserve">, Eriksson KK, </w:t>
      </w:r>
      <w:proofErr w:type="spellStart"/>
      <w:r w:rsidRPr="00026E24">
        <w:rPr>
          <w:rFonts w:ascii="Arial" w:hAnsi="Arial" w:cs="Arial"/>
        </w:rPr>
        <w:t>Schnyder</w:t>
      </w:r>
      <w:proofErr w:type="spellEnd"/>
      <w:r w:rsidRPr="00026E24">
        <w:rPr>
          <w:rFonts w:ascii="Arial" w:hAnsi="Arial" w:cs="Arial"/>
        </w:rPr>
        <w:t xml:space="preserve"> B, Fontana S, </w:t>
      </w:r>
      <w:proofErr w:type="spellStart"/>
      <w:r w:rsidRPr="00026E24">
        <w:rPr>
          <w:rFonts w:ascii="Arial" w:hAnsi="Arial" w:cs="Arial"/>
        </w:rPr>
        <w:t>Pichler</w:t>
      </w:r>
      <w:proofErr w:type="spellEnd"/>
      <w:r w:rsidRPr="00026E24">
        <w:rPr>
          <w:rFonts w:ascii="Arial" w:hAnsi="Arial" w:cs="Arial"/>
        </w:rPr>
        <w:t xml:space="preserve"> WJ, </w:t>
      </w:r>
      <w:proofErr w:type="spellStart"/>
      <w:r w:rsidRPr="00026E24">
        <w:rPr>
          <w:rFonts w:ascii="Arial" w:hAnsi="Arial" w:cs="Arial"/>
        </w:rPr>
        <w:t>Yerly</w:t>
      </w:r>
      <w:proofErr w:type="spellEnd"/>
      <w:r w:rsidRPr="00026E24">
        <w:rPr>
          <w:rFonts w:ascii="Arial" w:hAnsi="Arial" w:cs="Arial"/>
        </w:rPr>
        <w:t xml:space="preserve"> D. </w:t>
      </w:r>
      <w:r w:rsidR="00642995">
        <w:rPr>
          <w:rFonts w:ascii="Arial" w:hAnsi="Arial" w:cs="Arial"/>
        </w:rPr>
        <w:t xml:space="preserve">(2012) </w:t>
      </w:r>
      <w:r w:rsidRPr="00026E24">
        <w:rPr>
          <w:rFonts w:ascii="Arial" w:hAnsi="Arial" w:cs="Arial"/>
        </w:rPr>
        <w:t xml:space="preserve">Avidity determines T-cell reactivity in </w:t>
      </w:r>
      <w:proofErr w:type="spellStart"/>
      <w:r w:rsidRPr="00026E24">
        <w:rPr>
          <w:rFonts w:ascii="Arial" w:hAnsi="Arial" w:cs="Arial"/>
        </w:rPr>
        <w:t>abacavir</w:t>
      </w:r>
      <w:proofErr w:type="spellEnd"/>
      <w:r w:rsidRPr="00026E24">
        <w:rPr>
          <w:rFonts w:ascii="Arial" w:hAnsi="Arial" w:cs="Arial"/>
        </w:rPr>
        <w:t xml:space="preserve"> hypersensitivity.</w:t>
      </w:r>
      <w:r w:rsidRPr="00026E24">
        <w:rPr>
          <w:rStyle w:val="jrnl"/>
          <w:rFonts w:ascii="Arial" w:hAnsi="Arial" w:cs="Arial"/>
        </w:rPr>
        <w:t xml:space="preserve"> </w:t>
      </w:r>
      <w:proofErr w:type="spellStart"/>
      <w:r w:rsidRPr="00642995">
        <w:rPr>
          <w:rStyle w:val="jrnl"/>
          <w:rFonts w:ascii="Arial" w:hAnsi="Arial" w:cs="Arial"/>
          <w:i/>
        </w:rPr>
        <w:t>Eur</w:t>
      </w:r>
      <w:proofErr w:type="spellEnd"/>
      <w:r w:rsidRPr="00642995">
        <w:rPr>
          <w:rStyle w:val="jrnl"/>
          <w:rFonts w:ascii="Arial" w:hAnsi="Arial" w:cs="Arial"/>
          <w:i/>
        </w:rPr>
        <w:t xml:space="preserve"> J </w:t>
      </w:r>
      <w:proofErr w:type="spellStart"/>
      <w:r w:rsidRPr="00642995">
        <w:rPr>
          <w:rStyle w:val="jrnl"/>
          <w:rFonts w:ascii="Arial" w:hAnsi="Arial" w:cs="Arial"/>
          <w:i/>
        </w:rPr>
        <w:t>Immunol</w:t>
      </w:r>
      <w:proofErr w:type="spellEnd"/>
      <w:r w:rsidRPr="00642995">
        <w:rPr>
          <w:rFonts w:ascii="Arial" w:hAnsi="Arial" w:cs="Arial"/>
          <w:i/>
        </w:rPr>
        <w:t>.</w:t>
      </w:r>
      <w:r w:rsidRPr="00026E24">
        <w:rPr>
          <w:rFonts w:ascii="Arial" w:hAnsi="Arial" w:cs="Arial"/>
        </w:rPr>
        <w:t xml:space="preserve"> </w:t>
      </w:r>
      <w:r w:rsidRPr="00642995">
        <w:rPr>
          <w:rFonts w:ascii="Arial" w:hAnsi="Arial" w:cs="Arial"/>
          <w:b/>
        </w:rPr>
        <w:t>42</w:t>
      </w:r>
      <w:r w:rsidRPr="00026E24">
        <w:rPr>
          <w:rFonts w:ascii="Arial" w:hAnsi="Arial" w:cs="Arial"/>
        </w:rPr>
        <w:t xml:space="preserve">:1706-16. </w:t>
      </w:r>
    </w:p>
    <w:p w:rsidR="0044607E" w:rsidRPr="00026E24" w:rsidRDefault="0044607E" w:rsidP="00026E24">
      <w:pPr>
        <w:spacing w:line="480" w:lineRule="auto"/>
        <w:jc w:val="both"/>
        <w:rPr>
          <w:rFonts w:ascii="Arial" w:hAnsi="Arial" w:cs="Arial"/>
        </w:rPr>
      </w:pPr>
      <w:r w:rsidRPr="00026E24">
        <w:rPr>
          <w:rFonts w:ascii="Arial" w:hAnsi="Arial" w:cs="Arial"/>
        </w:rPr>
        <w:t xml:space="preserve">Adam J, </w:t>
      </w:r>
      <w:proofErr w:type="spellStart"/>
      <w:r w:rsidRPr="00026E24">
        <w:rPr>
          <w:rFonts w:ascii="Arial" w:hAnsi="Arial" w:cs="Arial"/>
          <w:bCs/>
        </w:rPr>
        <w:t>Wuillemin</w:t>
      </w:r>
      <w:proofErr w:type="spellEnd"/>
      <w:r w:rsidRPr="00026E24">
        <w:rPr>
          <w:rFonts w:ascii="Arial" w:hAnsi="Arial" w:cs="Arial"/>
        </w:rPr>
        <w:t xml:space="preserve"> N, Watkins S, </w:t>
      </w:r>
      <w:proofErr w:type="spellStart"/>
      <w:r w:rsidRPr="00026E24">
        <w:rPr>
          <w:rFonts w:ascii="Arial" w:hAnsi="Arial" w:cs="Arial"/>
        </w:rPr>
        <w:t>Jamin</w:t>
      </w:r>
      <w:proofErr w:type="spellEnd"/>
      <w:r w:rsidRPr="00026E24">
        <w:rPr>
          <w:rFonts w:ascii="Arial" w:hAnsi="Arial" w:cs="Arial"/>
        </w:rPr>
        <w:t xml:space="preserve"> H, Eriksson KK, </w:t>
      </w:r>
      <w:proofErr w:type="spellStart"/>
      <w:r w:rsidRPr="00026E24">
        <w:rPr>
          <w:rFonts w:ascii="Arial" w:hAnsi="Arial" w:cs="Arial"/>
        </w:rPr>
        <w:t>Villiger</w:t>
      </w:r>
      <w:proofErr w:type="spellEnd"/>
      <w:r w:rsidRPr="00026E24">
        <w:rPr>
          <w:rFonts w:ascii="Arial" w:hAnsi="Arial" w:cs="Arial"/>
        </w:rPr>
        <w:t xml:space="preserve"> P, Fontana S, </w:t>
      </w:r>
      <w:proofErr w:type="spellStart"/>
      <w:r w:rsidRPr="00026E24">
        <w:rPr>
          <w:rFonts w:ascii="Arial" w:hAnsi="Arial" w:cs="Arial"/>
          <w:bCs/>
        </w:rPr>
        <w:t>Pichler</w:t>
      </w:r>
      <w:proofErr w:type="spellEnd"/>
      <w:r w:rsidRPr="00026E24">
        <w:rPr>
          <w:rFonts w:ascii="Arial" w:hAnsi="Arial" w:cs="Arial"/>
        </w:rPr>
        <w:t xml:space="preserve"> WJ, </w:t>
      </w:r>
      <w:proofErr w:type="spellStart"/>
      <w:r w:rsidRPr="00026E24">
        <w:rPr>
          <w:rFonts w:ascii="Arial" w:hAnsi="Arial" w:cs="Arial"/>
        </w:rPr>
        <w:t>Yerly</w:t>
      </w:r>
      <w:proofErr w:type="spellEnd"/>
      <w:r w:rsidRPr="00026E24">
        <w:rPr>
          <w:rFonts w:ascii="Arial" w:hAnsi="Arial" w:cs="Arial"/>
        </w:rPr>
        <w:t xml:space="preserve"> D. </w:t>
      </w:r>
      <w:r w:rsidR="00642995">
        <w:rPr>
          <w:rFonts w:ascii="Arial" w:hAnsi="Arial" w:cs="Arial"/>
        </w:rPr>
        <w:t xml:space="preserve">(2014) </w:t>
      </w:r>
      <w:proofErr w:type="spellStart"/>
      <w:r w:rsidRPr="00026E24">
        <w:rPr>
          <w:rFonts w:ascii="Arial" w:hAnsi="Arial" w:cs="Arial"/>
        </w:rPr>
        <w:t>Abacavir</w:t>
      </w:r>
      <w:proofErr w:type="spellEnd"/>
      <w:r w:rsidRPr="00026E24">
        <w:rPr>
          <w:rFonts w:ascii="Arial" w:hAnsi="Arial" w:cs="Arial"/>
        </w:rPr>
        <w:t xml:space="preserve"> induced T cell reactivity from drug naïve individuals shares features of </w:t>
      </w:r>
      <w:proofErr w:type="spellStart"/>
      <w:r w:rsidRPr="00026E24">
        <w:rPr>
          <w:rFonts w:ascii="Arial" w:hAnsi="Arial" w:cs="Arial"/>
        </w:rPr>
        <w:t>allo</w:t>
      </w:r>
      <w:proofErr w:type="spellEnd"/>
      <w:r w:rsidRPr="00026E24">
        <w:rPr>
          <w:rFonts w:ascii="Arial" w:hAnsi="Arial" w:cs="Arial"/>
        </w:rPr>
        <w:t xml:space="preserve">-immune responses. </w:t>
      </w:r>
      <w:proofErr w:type="spellStart"/>
      <w:proofErr w:type="gramStart"/>
      <w:r w:rsidRPr="00026E24">
        <w:rPr>
          <w:rStyle w:val="jrnl"/>
          <w:rFonts w:ascii="Arial" w:hAnsi="Arial" w:cs="Arial"/>
        </w:rPr>
        <w:t>PLoS</w:t>
      </w:r>
      <w:proofErr w:type="spellEnd"/>
      <w:r w:rsidRPr="00026E24">
        <w:rPr>
          <w:rStyle w:val="jrnl"/>
          <w:rFonts w:ascii="Arial" w:hAnsi="Arial" w:cs="Arial"/>
        </w:rPr>
        <w:t xml:space="preserve"> One</w:t>
      </w:r>
      <w:r w:rsidRPr="00026E24">
        <w:rPr>
          <w:rFonts w:ascii="Arial" w:hAnsi="Arial" w:cs="Arial"/>
        </w:rPr>
        <w:t>.</w:t>
      </w:r>
      <w:proofErr w:type="gramEnd"/>
      <w:r w:rsidRPr="00026E24">
        <w:rPr>
          <w:rFonts w:ascii="Arial" w:hAnsi="Arial" w:cs="Arial"/>
        </w:rPr>
        <w:t xml:space="preserve"> </w:t>
      </w:r>
      <w:r w:rsidRPr="00642995">
        <w:rPr>
          <w:rFonts w:ascii="Arial" w:hAnsi="Arial" w:cs="Arial"/>
          <w:b/>
        </w:rPr>
        <w:t>9</w:t>
      </w:r>
      <w:r w:rsidRPr="00026E24">
        <w:rPr>
          <w:rFonts w:ascii="Arial" w:hAnsi="Arial" w:cs="Arial"/>
        </w:rPr>
        <w:t>:e95339</w:t>
      </w:r>
    </w:p>
    <w:p w:rsidR="0044607E" w:rsidRPr="00026E24" w:rsidRDefault="0044607E" w:rsidP="00026E24">
      <w:pPr>
        <w:spacing w:after="240" w:line="480" w:lineRule="auto"/>
        <w:jc w:val="both"/>
        <w:rPr>
          <w:rFonts w:ascii="Arial" w:hAnsi="Arial" w:cs="Arial"/>
        </w:rPr>
      </w:pPr>
      <w:r w:rsidRPr="00026E24">
        <w:rPr>
          <w:rFonts w:ascii="Arial" w:hAnsi="Arial" w:cs="Arial"/>
        </w:rPr>
        <w:t xml:space="preserve">Alfirevic, A., </w:t>
      </w:r>
      <w:proofErr w:type="spellStart"/>
      <w:r w:rsidRPr="00026E24">
        <w:rPr>
          <w:rFonts w:ascii="Arial" w:hAnsi="Arial" w:cs="Arial"/>
        </w:rPr>
        <w:t>Vilar</w:t>
      </w:r>
      <w:proofErr w:type="spellEnd"/>
      <w:r w:rsidRPr="00026E24">
        <w:rPr>
          <w:rFonts w:ascii="Arial" w:hAnsi="Arial" w:cs="Arial"/>
        </w:rPr>
        <w:t xml:space="preserve">, F. J., </w:t>
      </w:r>
      <w:proofErr w:type="spellStart"/>
      <w:r w:rsidRPr="00026E24">
        <w:rPr>
          <w:rFonts w:ascii="Arial" w:hAnsi="Arial" w:cs="Arial"/>
        </w:rPr>
        <w:t>Alsbou</w:t>
      </w:r>
      <w:proofErr w:type="spellEnd"/>
      <w:r w:rsidRPr="00026E24">
        <w:rPr>
          <w:rFonts w:ascii="Arial" w:hAnsi="Arial" w:cs="Arial"/>
        </w:rPr>
        <w:t xml:space="preserve">, M., </w:t>
      </w:r>
      <w:proofErr w:type="spellStart"/>
      <w:r w:rsidRPr="00026E24">
        <w:rPr>
          <w:rFonts w:ascii="Arial" w:hAnsi="Arial" w:cs="Arial"/>
        </w:rPr>
        <w:t>Jawaid</w:t>
      </w:r>
      <w:proofErr w:type="spellEnd"/>
      <w:r w:rsidRPr="00026E24">
        <w:rPr>
          <w:rFonts w:ascii="Arial" w:hAnsi="Arial" w:cs="Arial"/>
        </w:rPr>
        <w:t xml:space="preserve">, A., Thomson, W., </w:t>
      </w:r>
      <w:proofErr w:type="spellStart"/>
      <w:r w:rsidRPr="00026E24">
        <w:rPr>
          <w:rFonts w:ascii="Arial" w:hAnsi="Arial" w:cs="Arial"/>
        </w:rPr>
        <w:t>Ollier</w:t>
      </w:r>
      <w:proofErr w:type="spellEnd"/>
      <w:r w:rsidRPr="00026E24">
        <w:rPr>
          <w:rFonts w:ascii="Arial" w:hAnsi="Arial" w:cs="Arial"/>
        </w:rPr>
        <w:t xml:space="preserve">, W. E., Bowman, C. E., </w:t>
      </w:r>
      <w:proofErr w:type="spellStart"/>
      <w:r w:rsidRPr="00026E24">
        <w:rPr>
          <w:rFonts w:ascii="Arial" w:hAnsi="Arial" w:cs="Arial"/>
        </w:rPr>
        <w:t>Delrieu</w:t>
      </w:r>
      <w:proofErr w:type="spellEnd"/>
      <w:r w:rsidRPr="00026E24">
        <w:rPr>
          <w:rFonts w:ascii="Arial" w:hAnsi="Arial" w:cs="Arial"/>
        </w:rPr>
        <w:t xml:space="preserve">, O., Park, B. K., and Pirmohamed, M. (2009). </w:t>
      </w:r>
      <w:proofErr w:type="gramStart"/>
      <w:r w:rsidRPr="00026E24">
        <w:rPr>
          <w:rFonts w:ascii="Arial" w:hAnsi="Arial" w:cs="Arial"/>
        </w:rPr>
        <w:t xml:space="preserve">TNF, LTA, HSPA1L and HLA-DR gene polymorphisms in HIV-positive patients with hypersensitivity to </w:t>
      </w:r>
      <w:proofErr w:type="spellStart"/>
      <w:r w:rsidRPr="00026E24">
        <w:rPr>
          <w:rFonts w:ascii="Arial" w:hAnsi="Arial" w:cs="Arial"/>
        </w:rPr>
        <w:t>cotrimoxazole</w:t>
      </w:r>
      <w:proofErr w:type="spellEnd"/>
      <w:r w:rsidRPr="00026E24">
        <w:rPr>
          <w:rFonts w:ascii="Arial" w:hAnsi="Arial" w:cs="Arial"/>
        </w:rPr>
        <w:t>.</w:t>
      </w:r>
      <w:proofErr w:type="gramEnd"/>
      <w:r w:rsidRPr="00026E24">
        <w:rPr>
          <w:rFonts w:ascii="Arial" w:hAnsi="Arial" w:cs="Arial"/>
        </w:rPr>
        <w:t xml:space="preserve"> </w:t>
      </w:r>
      <w:r w:rsidRPr="00026E24">
        <w:rPr>
          <w:rFonts w:ascii="Arial" w:hAnsi="Arial" w:cs="Arial"/>
          <w:i/>
        </w:rPr>
        <w:t>Pharmacogenomics</w:t>
      </w:r>
      <w:r w:rsidRPr="00026E24">
        <w:rPr>
          <w:rFonts w:ascii="Arial" w:hAnsi="Arial" w:cs="Arial"/>
        </w:rPr>
        <w:t xml:space="preserve"> </w:t>
      </w:r>
      <w:r w:rsidRPr="00026E24">
        <w:rPr>
          <w:rFonts w:ascii="Arial" w:hAnsi="Arial" w:cs="Arial"/>
          <w:b/>
        </w:rPr>
        <w:t>10,</w:t>
      </w:r>
      <w:r w:rsidRPr="00026E24">
        <w:rPr>
          <w:rFonts w:ascii="Arial" w:hAnsi="Arial" w:cs="Arial"/>
        </w:rPr>
        <w:t xml:space="preserve"> 531-540.</w:t>
      </w:r>
    </w:p>
    <w:p w:rsidR="00015BF1" w:rsidRPr="00026E24" w:rsidRDefault="0044607E" w:rsidP="00026E24">
      <w:pPr>
        <w:spacing w:line="480" w:lineRule="auto"/>
        <w:jc w:val="both"/>
        <w:rPr>
          <w:rFonts w:ascii="Arial" w:hAnsi="Arial" w:cs="Arial"/>
        </w:rPr>
      </w:pPr>
      <w:r w:rsidRPr="00026E24">
        <w:rPr>
          <w:rFonts w:ascii="Arial" w:hAnsi="Arial" w:cs="Arial"/>
        </w:rPr>
        <w:t xml:space="preserve">Alfirevic A, Gonzalez-Galarza F, Bell C, </w:t>
      </w:r>
      <w:proofErr w:type="spellStart"/>
      <w:r w:rsidRPr="00026E24">
        <w:rPr>
          <w:rFonts w:ascii="Arial" w:hAnsi="Arial" w:cs="Arial"/>
        </w:rPr>
        <w:t>Martinsson</w:t>
      </w:r>
      <w:proofErr w:type="spellEnd"/>
      <w:r w:rsidRPr="00026E24">
        <w:rPr>
          <w:rFonts w:ascii="Arial" w:hAnsi="Arial" w:cs="Arial"/>
        </w:rPr>
        <w:t xml:space="preserve"> K, Platt V, </w:t>
      </w:r>
      <w:proofErr w:type="spellStart"/>
      <w:r w:rsidRPr="00026E24">
        <w:rPr>
          <w:rFonts w:ascii="Arial" w:hAnsi="Arial" w:cs="Arial"/>
        </w:rPr>
        <w:t>Bretland</w:t>
      </w:r>
      <w:proofErr w:type="spellEnd"/>
      <w:r w:rsidRPr="00026E24">
        <w:rPr>
          <w:rFonts w:ascii="Arial" w:hAnsi="Arial" w:cs="Arial"/>
        </w:rPr>
        <w:t xml:space="preserve"> G, Evely J, </w:t>
      </w:r>
      <w:proofErr w:type="spellStart"/>
      <w:r w:rsidRPr="00026E24">
        <w:rPr>
          <w:rFonts w:ascii="Arial" w:hAnsi="Arial" w:cs="Arial"/>
        </w:rPr>
        <w:t>Lichtenf</w:t>
      </w:r>
      <w:r w:rsidR="00026E24">
        <w:rPr>
          <w:rFonts w:ascii="Arial" w:hAnsi="Arial" w:cs="Arial"/>
        </w:rPr>
        <w:t>els</w:t>
      </w:r>
      <w:proofErr w:type="spellEnd"/>
      <w:r w:rsidR="00026E24">
        <w:rPr>
          <w:rFonts w:ascii="Arial" w:hAnsi="Arial" w:cs="Arial"/>
        </w:rPr>
        <w:t xml:space="preserve"> M, </w:t>
      </w:r>
      <w:proofErr w:type="spellStart"/>
      <w:r w:rsidR="00026E24">
        <w:rPr>
          <w:rFonts w:ascii="Arial" w:hAnsi="Arial" w:cs="Arial"/>
        </w:rPr>
        <w:t>Cederbrant</w:t>
      </w:r>
      <w:proofErr w:type="spellEnd"/>
      <w:r w:rsidR="00026E24">
        <w:rPr>
          <w:rFonts w:ascii="Arial" w:hAnsi="Arial" w:cs="Arial"/>
        </w:rPr>
        <w:t xml:space="preserve"> K, French N, </w:t>
      </w:r>
      <w:r w:rsidR="00026E24">
        <w:rPr>
          <w:rFonts w:ascii="Arial" w:hAnsi="Arial" w:cs="Arial"/>
          <w:i/>
        </w:rPr>
        <w:t>et al</w:t>
      </w:r>
      <w:r w:rsidRPr="00026E24">
        <w:rPr>
          <w:rFonts w:ascii="Arial" w:hAnsi="Arial" w:cs="Arial"/>
        </w:rPr>
        <w:t xml:space="preserve">. (2012).  In </w:t>
      </w:r>
      <w:proofErr w:type="spellStart"/>
      <w:r w:rsidRPr="00026E24">
        <w:rPr>
          <w:rFonts w:ascii="Arial" w:hAnsi="Arial" w:cs="Arial"/>
        </w:rPr>
        <w:t>silico</w:t>
      </w:r>
      <w:proofErr w:type="spellEnd"/>
      <w:r w:rsidRPr="00026E24">
        <w:rPr>
          <w:rFonts w:ascii="Arial" w:hAnsi="Arial" w:cs="Arial"/>
        </w:rPr>
        <w:t xml:space="preserve"> analysis of HLA associations with drug-induced liver injury: use of a HLA-genotyped DNA archive from healthy volunteers. Genome Med. </w:t>
      </w:r>
      <w:r w:rsidRPr="00642995">
        <w:rPr>
          <w:rFonts w:ascii="Arial" w:hAnsi="Arial" w:cs="Arial"/>
          <w:b/>
        </w:rPr>
        <w:t>4</w:t>
      </w:r>
      <w:r w:rsidRPr="00026E24">
        <w:rPr>
          <w:rFonts w:ascii="Arial" w:hAnsi="Arial" w:cs="Arial"/>
        </w:rPr>
        <w:t>(6):51.</w:t>
      </w:r>
    </w:p>
    <w:p w:rsidR="00015BF1" w:rsidRPr="00026E24" w:rsidRDefault="00015BF1" w:rsidP="00026E24">
      <w:pPr>
        <w:spacing w:line="480" w:lineRule="auto"/>
        <w:jc w:val="both"/>
        <w:rPr>
          <w:rFonts w:ascii="Arial" w:hAnsi="Arial" w:cs="Arial"/>
        </w:rPr>
      </w:pPr>
      <w:r w:rsidRPr="00026E24">
        <w:rPr>
          <w:rFonts w:ascii="Arial" w:hAnsi="Arial" w:cs="Arial"/>
          <w:noProof/>
        </w:rPr>
        <w:t xml:space="preserve">Almeida, C. A., Martin, A. M., Nolan, D., Lucas, A., Cameron, P. U., James, I., Phillips, E., and Mallal, S. (2008). Cytokine profiling in abacavir hypersensitivity patients. </w:t>
      </w:r>
      <w:r w:rsidRPr="00026E24">
        <w:rPr>
          <w:rFonts w:ascii="Arial" w:hAnsi="Arial" w:cs="Arial"/>
          <w:i/>
          <w:noProof/>
        </w:rPr>
        <w:t>Antivir Ther</w:t>
      </w:r>
      <w:r w:rsidRPr="00026E24">
        <w:rPr>
          <w:rFonts w:ascii="Arial" w:hAnsi="Arial" w:cs="Arial"/>
          <w:noProof/>
        </w:rPr>
        <w:t xml:space="preserve"> </w:t>
      </w:r>
      <w:r w:rsidRPr="00026E24">
        <w:rPr>
          <w:rFonts w:ascii="Arial" w:hAnsi="Arial" w:cs="Arial"/>
          <w:b/>
          <w:noProof/>
        </w:rPr>
        <w:t>13</w:t>
      </w:r>
      <w:r w:rsidRPr="00026E24">
        <w:rPr>
          <w:rFonts w:ascii="Arial" w:hAnsi="Arial" w:cs="Arial"/>
          <w:noProof/>
        </w:rPr>
        <w:t>(2), 281-8.</w:t>
      </w:r>
    </w:p>
    <w:p w:rsidR="0044607E" w:rsidRPr="00026E24" w:rsidRDefault="0044607E" w:rsidP="00026E24">
      <w:pPr>
        <w:spacing w:line="480" w:lineRule="auto"/>
        <w:jc w:val="both"/>
        <w:rPr>
          <w:rFonts w:ascii="Arial" w:hAnsi="Arial" w:cs="Arial"/>
        </w:rPr>
      </w:pPr>
      <w:r w:rsidRPr="00026E24">
        <w:rPr>
          <w:rFonts w:ascii="Arial" w:hAnsi="Arial" w:cs="Arial"/>
        </w:rPr>
        <w:t xml:space="preserve">Bell CC, Faulkner L, </w:t>
      </w:r>
      <w:proofErr w:type="spellStart"/>
      <w:r w:rsidRPr="00026E24">
        <w:rPr>
          <w:rFonts w:ascii="Arial" w:hAnsi="Arial" w:cs="Arial"/>
        </w:rPr>
        <w:t>Martinsson</w:t>
      </w:r>
      <w:proofErr w:type="spellEnd"/>
      <w:r w:rsidRPr="00026E24">
        <w:rPr>
          <w:rFonts w:ascii="Arial" w:hAnsi="Arial" w:cs="Arial"/>
        </w:rPr>
        <w:t xml:space="preserve"> K, Farrell J, Alfirevic A, </w:t>
      </w:r>
      <w:proofErr w:type="spellStart"/>
      <w:r w:rsidRPr="00026E24">
        <w:rPr>
          <w:rFonts w:ascii="Arial" w:hAnsi="Arial" w:cs="Arial"/>
        </w:rPr>
        <w:t>Tugwood</w:t>
      </w:r>
      <w:proofErr w:type="spellEnd"/>
      <w:r w:rsidRPr="00026E24">
        <w:rPr>
          <w:rFonts w:ascii="Arial" w:hAnsi="Arial" w:cs="Arial"/>
        </w:rPr>
        <w:t xml:space="preserve"> J, Pirmohamed M, Naisbitt DJ, Park BK. </w:t>
      </w:r>
      <w:r w:rsidR="00642995">
        <w:rPr>
          <w:rFonts w:ascii="Arial" w:hAnsi="Arial" w:cs="Arial"/>
        </w:rPr>
        <w:t xml:space="preserve">(2013) </w:t>
      </w:r>
      <w:r w:rsidRPr="00026E24">
        <w:rPr>
          <w:rFonts w:ascii="Arial" w:hAnsi="Arial" w:cs="Arial"/>
        </w:rPr>
        <w:t xml:space="preserve">T-cells from HLA-B*57:01+ human subjects are  activated with </w:t>
      </w:r>
      <w:proofErr w:type="spellStart"/>
      <w:r w:rsidRPr="00026E24">
        <w:rPr>
          <w:rFonts w:ascii="Arial" w:hAnsi="Arial" w:cs="Arial"/>
        </w:rPr>
        <w:t>abacavir</w:t>
      </w:r>
      <w:proofErr w:type="spellEnd"/>
      <w:r w:rsidRPr="00026E24">
        <w:rPr>
          <w:rFonts w:ascii="Arial" w:hAnsi="Arial" w:cs="Arial"/>
        </w:rPr>
        <w:t xml:space="preserve"> through two independent pathways and induce cell death by multiple mechanisms. </w:t>
      </w:r>
      <w:proofErr w:type="spellStart"/>
      <w:proofErr w:type="gramStart"/>
      <w:r w:rsidRPr="00026E24">
        <w:rPr>
          <w:rFonts w:ascii="Arial" w:hAnsi="Arial" w:cs="Arial"/>
        </w:rPr>
        <w:t>Chem</w:t>
      </w:r>
      <w:proofErr w:type="spellEnd"/>
      <w:r w:rsidRPr="00026E24">
        <w:rPr>
          <w:rFonts w:ascii="Arial" w:hAnsi="Arial" w:cs="Arial"/>
        </w:rPr>
        <w:t xml:space="preserve"> Res Toxicol.</w:t>
      </w:r>
      <w:proofErr w:type="gramEnd"/>
      <w:r w:rsidRPr="00026E24">
        <w:rPr>
          <w:rFonts w:ascii="Arial" w:hAnsi="Arial" w:cs="Arial"/>
        </w:rPr>
        <w:t xml:space="preserve"> </w:t>
      </w:r>
      <w:r w:rsidRPr="00026E24">
        <w:rPr>
          <w:rFonts w:ascii="Arial" w:hAnsi="Arial" w:cs="Arial"/>
          <w:b/>
        </w:rPr>
        <w:t>26</w:t>
      </w:r>
      <w:r w:rsidRPr="00026E24">
        <w:rPr>
          <w:rFonts w:ascii="Arial" w:hAnsi="Arial" w:cs="Arial"/>
        </w:rPr>
        <w:t xml:space="preserve">:759-766. </w:t>
      </w:r>
    </w:p>
    <w:p w:rsidR="0044607E" w:rsidRPr="00026E24" w:rsidRDefault="0044607E" w:rsidP="00026E24">
      <w:pPr>
        <w:spacing w:line="480" w:lineRule="auto"/>
        <w:jc w:val="both"/>
        <w:rPr>
          <w:rFonts w:ascii="Arial" w:hAnsi="Arial" w:cs="Arial"/>
        </w:rPr>
      </w:pPr>
      <w:proofErr w:type="spellStart"/>
      <w:r w:rsidRPr="00026E24">
        <w:rPr>
          <w:rFonts w:ascii="Arial" w:hAnsi="Arial" w:cs="Arial"/>
        </w:rPr>
        <w:lastRenderedPageBreak/>
        <w:t>Castrejon</w:t>
      </w:r>
      <w:proofErr w:type="spellEnd"/>
      <w:r w:rsidRPr="00026E24">
        <w:rPr>
          <w:rFonts w:ascii="Arial" w:hAnsi="Arial" w:cs="Arial"/>
        </w:rPr>
        <w:t xml:space="preserve"> JL, Berry N, El-</w:t>
      </w:r>
      <w:proofErr w:type="spellStart"/>
      <w:r w:rsidRPr="00026E24">
        <w:rPr>
          <w:rFonts w:ascii="Arial" w:hAnsi="Arial" w:cs="Arial"/>
        </w:rPr>
        <w:t>Ghaiesh</w:t>
      </w:r>
      <w:proofErr w:type="spellEnd"/>
      <w:r w:rsidRPr="00026E24">
        <w:rPr>
          <w:rFonts w:ascii="Arial" w:hAnsi="Arial" w:cs="Arial"/>
        </w:rPr>
        <w:t xml:space="preserve"> S, Gerber B, </w:t>
      </w:r>
      <w:proofErr w:type="spellStart"/>
      <w:r w:rsidRPr="00026E24">
        <w:rPr>
          <w:rFonts w:ascii="Arial" w:hAnsi="Arial" w:cs="Arial"/>
        </w:rPr>
        <w:t>Pichler</w:t>
      </w:r>
      <w:proofErr w:type="spellEnd"/>
      <w:r w:rsidRPr="00026E24">
        <w:rPr>
          <w:rFonts w:ascii="Arial" w:hAnsi="Arial" w:cs="Arial"/>
        </w:rPr>
        <w:t xml:space="preserve"> WJ, Park BK, Naisbitt DJ. </w:t>
      </w:r>
      <w:r w:rsidR="00642995">
        <w:rPr>
          <w:rFonts w:ascii="Arial" w:hAnsi="Arial" w:cs="Arial"/>
        </w:rPr>
        <w:t xml:space="preserve">(2010) </w:t>
      </w:r>
      <w:r w:rsidRPr="00026E24">
        <w:rPr>
          <w:rFonts w:ascii="Arial" w:hAnsi="Arial" w:cs="Arial"/>
        </w:rPr>
        <w:t xml:space="preserve">Stimulation of human T cells with </w:t>
      </w:r>
      <w:proofErr w:type="spellStart"/>
      <w:r w:rsidRPr="00026E24">
        <w:rPr>
          <w:rFonts w:ascii="Arial" w:hAnsi="Arial" w:cs="Arial"/>
        </w:rPr>
        <w:t>sulfonamides</w:t>
      </w:r>
      <w:proofErr w:type="spellEnd"/>
      <w:r w:rsidRPr="00026E24">
        <w:rPr>
          <w:rFonts w:ascii="Arial" w:hAnsi="Arial" w:cs="Arial"/>
        </w:rPr>
        <w:t xml:space="preserve"> and </w:t>
      </w:r>
      <w:proofErr w:type="spellStart"/>
      <w:r w:rsidRPr="00026E24">
        <w:rPr>
          <w:rFonts w:ascii="Arial" w:hAnsi="Arial" w:cs="Arial"/>
        </w:rPr>
        <w:t>sulfonamide</w:t>
      </w:r>
      <w:proofErr w:type="spellEnd"/>
      <w:r w:rsidRPr="00026E24">
        <w:rPr>
          <w:rFonts w:ascii="Arial" w:hAnsi="Arial" w:cs="Arial"/>
        </w:rPr>
        <w:t xml:space="preserve"> metabolites. </w:t>
      </w:r>
      <w:proofErr w:type="gramStart"/>
      <w:r w:rsidRPr="00642995">
        <w:rPr>
          <w:rFonts w:ascii="Arial" w:hAnsi="Arial" w:cs="Arial"/>
          <w:i/>
        </w:rPr>
        <w:t xml:space="preserve">J Allergy </w:t>
      </w:r>
      <w:proofErr w:type="spellStart"/>
      <w:r w:rsidRPr="00642995">
        <w:rPr>
          <w:rFonts w:ascii="Arial" w:hAnsi="Arial" w:cs="Arial"/>
          <w:i/>
        </w:rPr>
        <w:t>Clin</w:t>
      </w:r>
      <w:proofErr w:type="spellEnd"/>
      <w:r w:rsidRPr="00642995">
        <w:rPr>
          <w:rFonts w:ascii="Arial" w:hAnsi="Arial" w:cs="Arial"/>
          <w:i/>
        </w:rPr>
        <w:t xml:space="preserve"> </w:t>
      </w:r>
      <w:proofErr w:type="spellStart"/>
      <w:r w:rsidRPr="00642995">
        <w:rPr>
          <w:rFonts w:ascii="Arial" w:hAnsi="Arial" w:cs="Arial"/>
          <w:i/>
        </w:rPr>
        <w:t>Immunol</w:t>
      </w:r>
      <w:proofErr w:type="spellEnd"/>
      <w:r w:rsidRPr="00642995">
        <w:rPr>
          <w:rFonts w:ascii="Arial" w:hAnsi="Arial" w:cs="Arial"/>
          <w:i/>
        </w:rPr>
        <w:t>.</w:t>
      </w:r>
      <w:proofErr w:type="gramEnd"/>
      <w:r w:rsidRPr="00026E24">
        <w:rPr>
          <w:rFonts w:ascii="Arial" w:hAnsi="Arial" w:cs="Arial"/>
        </w:rPr>
        <w:t xml:space="preserve"> </w:t>
      </w:r>
      <w:r w:rsidRPr="00642995">
        <w:rPr>
          <w:rFonts w:ascii="Arial" w:hAnsi="Arial" w:cs="Arial"/>
          <w:b/>
        </w:rPr>
        <w:t>125</w:t>
      </w:r>
      <w:r w:rsidRPr="00026E24">
        <w:rPr>
          <w:rFonts w:ascii="Arial" w:hAnsi="Arial" w:cs="Arial"/>
        </w:rPr>
        <w:t xml:space="preserve">:411-418. </w:t>
      </w:r>
    </w:p>
    <w:p w:rsidR="0044607E" w:rsidRPr="00026E24" w:rsidRDefault="0044607E" w:rsidP="00026E24">
      <w:pPr>
        <w:spacing w:line="480" w:lineRule="auto"/>
        <w:jc w:val="both"/>
        <w:rPr>
          <w:rFonts w:ascii="Arial" w:hAnsi="Arial" w:cs="Arial"/>
        </w:rPr>
      </w:pPr>
      <w:r w:rsidRPr="00026E24">
        <w:rPr>
          <w:rFonts w:ascii="Arial" w:hAnsi="Arial" w:cs="Arial"/>
        </w:rPr>
        <w:t xml:space="preserve">Chessman, D., </w:t>
      </w:r>
      <w:proofErr w:type="spellStart"/>
      <w:r w:rsidRPr="00026E24">
        <w:rPr>
          <w:rFonts w:ascii="Arial" w:hAnsi="Arial" w:cs="Arial"/>
        </w:rPr>
        <w:t>Kostenko</w:t>
      </w:r>
      <w:proofErr w:type="spellEnd"/>
      <w:r w:rsidRPr="00026E24">
        <w:rPr>
          <w:rFonts w:ascii="Arial" w:hAnsi="Arial" w:cs="Arial"/>
        </w:rPr>
        <w:t xml:space="preserve">, L., </w:t>
      </w:r>
      <w:proofErr w:type="spellStart"/>
      <w:r w:rsidRPr="00026E24">
        <w:rPr>
          <w:rFonts w:ascii="Arial" w:hAnsi="Arial" w:cs="Arial"/>
        </w:rPr>
        <w:t>Lethborg</w:t>
      </w:r>
      <w:proofErr w:type="spellEnd"/>
      <w:r w:rsidRPr="00026E24">
        <w:rPr>
          <w:rFonts w:ascii="Arial" w:hAnsi="Arial" w:cs="Arial"/>
        </w:rPr>
        <w:t xml:space="preserve">, T., Purcell, A. W., Williamson, N. A., Chen, Z., </w:t>
      </w:r>
      <w:proofErr w:type="spellStart"/>
      <w:r w:rsidRPr="00026E24">
        <w:rPr>
          <w:rFonts w:ascii="Arial" w:hAnsi="Arial" w:cs="Arial"/>
        </w:rPr>
        <w:t>Kjer</w:t>
      </w:r>
      <w:proofErr w:type="spellEnd"/>
      <w:r w:rsidRPr="00026E24">
        <w:rPr>
          <w:rFonts w:ascii="Arial" w:hAnsi="Arial" w:cs="Arial"/>
        </w:rPr>
        <w:t xml:space="preserve">-Nielsen, L., </w:t>
      </w:r>
      <w:proofErr w:type="spellStart"/>
      <w:r w:rsidRPr="00026E24">
        <w:rPr>
          <w:rFonts w:ascii="Arial" w:hAnsi="Arial" w:cs="Arial"/>
        </w:rPr>
        <w:t>Mifsud</w:t>
      </w:r>
      <w:proofErr w:type="spellEnd"/>
      <w:r w:rsidRPr="00026E24">
        <w:rPr>
          <w:rFonts w:ascii="Arial" w:hAnsi="Arial" w:cs="Arial"/>
        </w:rPr>
        <w:t xml:space="preserve">, N. A., </w:t>
      </w:r>
      <w:proofErr w:type="spellStart"/>
      <w:r w:rsidRPr="00026E24">
        <w:rPr>
          <w:rFonts w:ascii="Arial" w:hAnsi="Arial" w:cs="Arial"/>
        </w:rPr>
        <w:t>Tait</w:t>
      </w:r>
      <w:proofErr w:type="spellEnd"/>
      <w:r w:rsidRPr="00026E24">
        <w:rPr>
          <w:rFonts w:ascii="Arial" w:hAnsi="Arial" w:cs="Arial"/>
        </w:rPr>
        <w:t xml:space="preserve">, B. D., </w:t>
      </w:r>
      <w:proofErr w:type="spellStart"/>
      <w:r w:rsidRPr="00026E24">
        <w:rPr>
          <w:rFonts w:ascii="Arial" w:hAnsi="Arial" w:cs="Arial"/>
        </w:rPr>
        <w:t>Holdsworth</w:t>
      </w:r>
      <w:proofErr w:type="spellEnd"/>
      <w:r w:rsidRPr="00026E24">
        <w:rPr>
          <w:rFonts w:ascii="Arial" w:hAnsi="Arial" w:cs="Arial"/>
        </w:rPr>
        <w:t xml:space="preserve">, R., </w:t>
      </w:r>
      <w:r w:rsidR="00026E24" w:rsidRPr="00026E24">
        <w:rPr>
          <w:rFonts w:ascii="Arial" w:hAnsi="Arial" w:cs="Arial"/>
          <w:i/>
        </w:rPr>
        <w:t>et al</w:t>
      </w:r>
      <w:r w:rsidRPr="00026E24">
        <w:rPr>
          <w:rFonts w:ascii="Arial" w:hAnsi="Arial" w:cs="Arial"/>
          <w:i/>
        </w:rPr>
        <w:t>.</w:t>
      </w:r>
      <w:r w:rsidRPr="00026E24">
        <w:rPr>
          <w:rFonts w:ascii="Arial" w:hAnsi="Arial" w:cs="Arial"/>
        </w:rPr>
        <w:t xml:space="preserve"> (2008). Human leukocyte antigen class I-restricted activation of CD8+ T cells provides the </w:t>
      </w:r>
      <w:proofErr w:type="spellStart"/>
      <w:r w:rsidRPr="00026E24">
        <w:rPr>
          <w:rFonts w:ascii="Arial" w:hAnsi="Arial" w:cs="Arial"/>
        </w:rPr>
        <w:t>immunogenetic</w:t>
      </w:r>
      <w:proofErr w:type="spellEnd"/>
      <w:r w:rsidRPr="00026E24">
        <w:rPr>
          <w:rFonts w:ascii="Arial" w:hAnsi="Arial" w:cs="Arial"/>
        </w:rPr>
        <w:t xml:space="preserve"> basis of </w:t>
      </w:r>
      <w:proofErr w:type="gramStart"/>
      <w:r w:rsidRPr="00026E24">
        <w:rPr>
          <w:rFonts w:ascii="Arial" w:hAnsi="Arial" w:cs="Arial"/>
        </w:rPr>
        <w:t>a systemic</w:t>
      </w:r>
      <w:proofErr w:type="gramEnd"/>
      <w:r w:rsidRPr="00026E24">
        <w:rPr>
          <w:rFonts w:ascii="Arial" w:hAnsi="Arial" w:cs="Arial"/>
        </w:rPr>
        <w:t xml:space="preserve"> drug hypersensitivity. </w:t>
      </w:r>
      <w:r w:rsidRPr="00026E24">
        <w:rPr>
          <w:rFonts w:ascii="Arial" w:hAnsi="Arial" w:cs="Arial"/>
          <w:i/>
        </w:rPr>
        <w:t>Immunity</w:t>
      </w:r>
      <w:r w:rsidRPr="00026E24">
        <w:rPr>
          <w:rFonts w:ascii="Arial" w:hAnsi="Arial" w:cs="Arial"/>
        </w:rPr>
        <w:t xml:space="preserve"> </w:t>
      </w:r>
      <w:r w:rsidRPr="00026E24">
        <w:rPr>
          <w:rFonts w:ascii="Arial" w:hAnsi="Arial" w:cs="Arial"/>
          <w:b/>
        </w:rPr>
        <w:t>28,</w:t>
      </w:r>
      <w:r w:rsidRPr="00026E24">
        <w:rPr>
          <w:rFonts w:ascii="Arial" w:hAnsi="Arial" w:cs="Arial"/>
        </w:rPr>
        <w:t xml:space="preserve"> 822-832.</w:t>
      </w:r>
    </w:p>
    <w:p w:rsidR="0044607E" w:rsidRPr="00026E24" w:rsidRDefault="0044607E" w:rsidP="00026E24">
      <w:pPr>
        <w:spacing w:line="480" w:lineRule="auto"/>
        <w:jc w:val="both"/>
        <w:rPr>
          <w:rFonts w:ascii="Arial" w:hAnsi="Arial" w:cs="Arial"/>
        </w:rPr>
      </w:pPr>
      <w:r w:rsidRPr="00026E24">
        <w:rPr>
          <w:rFonts w:ascii="Arial" w:hAnsi="Arial" w:cs="Arial"/>
        </w:rPr>
        <w:t xml:space="preserve">Coulter EM, Jenkinson C, Wu Y, Farrell J, Foster B, Smith A, McGuire C, Pease C, </w:t>
      </w:r>
      <w:proofErr w:type="spellStart"/>
      <w:r w:rsidRPr="00026E24">
        <w:rPr>
          <w:rFonts w:ascii="Arial" w:hAnsi="Arial" w:cs="Arial"/>
        </w:rPr>
        <w:t>Basketter</w:t>
      </w:r>
      <w:proofErr w:type="spellEnd"/>
      <w:r w:rsidRPr="00026E24">
        <w:rPr>
          <w:rFonts w:ascii="Arial" w:hAnsi="Arial" w:cs="Arial"/>
        </w:rPr>
        <w:t xml:space="preserve"> D, King C, </w:t>
      </w:r>
      <w:r w:rsidR="00026E24">
        <w:rPr>
          <w:rFonts w:ascii="Arial" w:hAnsi="Arial" w:cs="Arial"/>
          <w:i/>
        </w:rPr>
        <w:t>et al</w:t>
      </w:r>
      <w:r w:rsidRPr="00026E24">
        <w:rPr>
          <w:rFonts w:ascii="Arial" w:hAnsi="Arial" w:cs="Arial"/>
        </w:rPr>
        <w:t xml:space="preserve">. </w:t>
      </w:r>
      <w:r w:rsidR="00642995">
        <w:rPr>
          <w:rFonts w:ascii="Arial" w:hAnsi="Arial" w:cs="Arial"/>
        </w:rPr>
        <w:t xml:space="preserve">(2008) </w:t>
      </w:r>
      <w:r w:rsidRPr="00026E24">
        <w:rPr>
          <w:rFonts w:ascii="Arial" w:hAnsi="Arial" w:cs="Arial"/>
        </w:rPr>
        <w:t>Activation of T-cells from allergic patients and volunteers by p-</w:t>
      </w:r>
      <w:proofErr w:type="spellStart"/>
      <w:r w:rsidRPr="00026E24">
        <w:rPr>
          <w:rFonts w:ascii="Arial" w:hAnsi="Arial" w:cs="Arial"/>
        </w:rPr>
        <w:t>phenylenediamine</w:t>
      </w:r>
      <w:proofErr w:type="spellEnd"/>
      <w:r w:rsidRPr="00026E24">
        <w:rPr>
          <w:rFonts w:ascii="Arial" w:hAnsi="Arial" w:cs="Arial"/>
        </w:rPr>
        <w:t xml:space="preserve"> and </w:t>
      </w:r>
      <w:proofErr w:type="spellStart"/>
      <w:r w:rsidRPr="00026E24">
        <w:rPr>
          <w:rFonts w:ascii="Arial" w:hAnsi="Arial" w:cs="Arial"/>
        </w:rPr>
        <w:t>Bandrowski's</w:t>
      </w:r>
      <w:proofErr w:type="spellEnd"/>
      <w:r w:rsidRPr="00026E24">
        <w:rPr>
          <w:rFonts w:ascii="Arial" w:hAnsi="Arial" w:cs="Arial"/>
        </w:rPr>
        <w:t xml:space="preserve"> base. </w:t>
      </w:r>
      <w:r w:rsidRPr="00642995">
        <w:rPr>
          <w:rFonts w:ascii="Arial" w:hAnsi="Arial" w:cs="Arial"/>
          <w:i/>
        </w:rPr>
        <w:t xml:space="preserve">J Invest </w:t>
      </w:r>
      <w:proofErr w:type="spellStart"/>
      <w:r w:rsidRPr="00642995">
        <w:rPr>
          <w:rFonts w:ascii="Arial" w:hAnsi="Arial" w:cs="Arial"/>
          <w:i/>
        </w:rPr>
        <w:t>Dermatol</w:t>
      </w:r>
      <w:proofErr w:type="spellEnd"/>
      <w:r w:rsidRPr="00026E24">
        <w:rPr>
          <w:rFonts w:ascii="Arial" w:hAnsi="Arial" w:cs="Arial"/>
        </w:rPr>
        <w:t xml:space="preserve">. </w:t>
      </w:r>
      <w:r w:rsidRPr="00642995">
        <w:rPr>
          <w:rFonts w:ascii="Arial" w:hAnsi="Arial" w:cs="Arial"/>
          <w:b/>
        </w:rPr>
        <w:t>128</w:t>
      </w:r>
      <w:r w:rsidRPr="00026E24">
        <w:rPr>
          <w:rFonts w:ascii="Arial" w:hAnsi="Arial" w:cs="Arial"/>
        </w:rPr>
        <w:t xml:space="preserve">(4):897-905. </w:t>
      </w:r>
    </w:p>
    <w:p w:rsidR="0044607E" w:rsidRPr="00642995" w:rsidRDefault="0044607E" w:rsidP="00642995">
      <w:pPr>
        <w:spacing w:line="480" w:lineRule="auto"/>
        <w:jc w:val="both"/>
        <w:rPr>
          <w:rFonts w:ascii="Arial" w:hAnsi="Arial" w:cs="Arial"/>
        </w:rPr>
      </w:pPr>
      <w:r w:rsidRPr="00642995">
        <w:rPr>
          <w:rFonts w:ascii="Arial" w:hAnsi="Arial" w:cs="Arial"/>
        </w:rPr>
        <w:t xml:space="preserve">Chung, W. H., Hung, S. I., Hong, H. S., </w:t>
      </w:r>
      <w:proofErr w:type="spellStart"/>
      <w:r w:rsidRPr="00642995">
        <w:rPr>
          <w:rFonts w:ascii="Arial" w:hAnsi="Arial" w:cs="Arial"/>
        </w:rPr>
        <w:t>Hsih</w:t>
      </w:r>
      <w:proofErr w:type="spellEnd"/>
      <w:r w:rsidRPr="00642995">
        <w:rPr>
          <w:rFonts w:ascii="Arial" w:hAnsi="Arial" w:cs="Arial"/>
        </w:rPr>
        <w:t xml:space="preserve">, M. S., Yang, L. C., </w:t>
      </w:r>
      <w:proofErr w:type="spellStart"/>
      <w:r w:rsidRPr="00642995">
        <w:rPr>
          <w:rFonts w:ascii="Arial" w:hAnsi="Arial" w:cs="Arial"/>
        </w:rPr>
        <w:t>Ho</w:t>
      </w:r>
      <w:proofErr w:type="spellEnd"/>
      <w:r w:rsidRPr="00642995">
        <w:rPr>
          <w:rFonts w:ascii="Arial" w:hAnsi="Arial" w:cs="Arial"/>
        </w:rPr>
        <w:t xml:space="preserve">, H. C., Wu, J. Y., and Chen, Y. T. (2004). Medical genetics: a marker for Stevens-Johnson syndrome. </w:t>
      </w:r>
      <w:proofErr w:type="gramStart"/>
      <w:r w:rsidRPr="00642995">
        <w:rPr>
          <w:rFonts w:ascii="Arial" w:hAnsi="Arial" w:cs="Arial"/>
          <w:i/>
        </w:rPr>
        <w:t>Nature</w:t>
      </w:r>
      <w:r w:rsidRPr="00642995">
        <w:rPr>
          <w:rFonts w:ascii="Arial" w:hAnsi="Arial" w:cs="Arial"/>
        </w:rPr>
        <w:t xml:space="preserve"> </w:t>
      </w:r>
      <w:r w:rsidRPr="00642995">
        <w:rPr>
          <w:rFonts w:ascii="Arial" w:hAnsi="Arial" w:cs="Arial"/>
          <w:b/>
        </w:rPr>
        <w:t>428,</w:t>
      </w:r>
      <w:r w:rsidRPr="00642995">
        <w:rPr>
          <w:rFonts w:ascii="Arial" w:hAnsi="Arial" w:cs="Arial"/>
        </w:rPr>
        <w:t xml:space="preserve"> 486.</w:t>
      </w:r>
      <w:proofErr w:type="gramEnd"/>
    </w:p>
    <w:p w:rsidR="0044607E" w:rsidRPr="00642995" w:rsidRDefault="0044607E" w:rsidP="00642995">
      <w:pPr>
        <w:spacing w:after="0" w:line="480" w:lineRule="auto"/>
        <w:jc w:val="both"/>
        <w:rPr>
          <w:rFonts w:ascii="Arial" w:hAnsi="Arial" w:cs="Arial"/>
        </w:rPr>
      </w:pPr>
      <w:proofErr w:type="gramStart"/>
      <w:r w:rsidRPr="00642995">
        <w:rPr>
          <w:rFonts w:ascii="Arial" w:hAnsi="Arial" w:cs="Arial"/>
        </w:rPr>
        <w:t xml:space="preserve">Daly, A. K., Donaldson, P. T., </w:t>
      </w:r>
      <w:proofErr w:type="spellStart"/>
      <w:r w:rsidRPr="00642995">
        <w:rPr>
          <w:rFonts w:ascii="Arial" w:hAnsi="Arial" w:cs="Arial"/>
        </w:rPr>
        <w:t>Bhatnagar</w:t>
      </w:r>
      <w:proofErr w:type="spellEnd"/>
      <w:r w:rsidRPr="00642995">
        <w:rPr>
          <w:rFonts w:ascii="Arial" w:hAnsi="Arial" w:cs="Arial"/>
        </w:rPr>
        <w:t xml:space="preserve">, P., Shen, Y., </w:t>
      </w:r>
      <w:proofErr w:type="spellStart"/>
      <w:r w:rsidRPr="00642995">
        <w:rPr>
          <w:rFonts w:ascii="Arial" w:hAnsi="Arial" w:cs="Arial"/>
        </w:rPr>
        <w:t>Pe'er</w:t>
      </w:r>
      <w:proofErr w:type="spellEnd"/>
      <w:r w:rsidRPr="00642995">
        <w:rPr>
          <w:rFonts w:ascii="Arial" w:hAnsi="Arial" w:cs="Arial"/>
        </w:rPr>
        <w:t xml:space="preserve">, I., </w:t>
      </w:r>
      <w:proofErr w:type="spellStart"/>
      <w:r w:rsidRPr="00642995">
        <w:rPr>
          <w:rFonts w:ascii="Arial" w:hAnsi="Arial" w:cs="Arial"/>
        </w:rPr>
        <w:t>Floratos</w:t>
      </w:r>
      <w:proofErr w:type="spellEnd"/>
      <w:r w:rsidRPr="00642995">
        <w:rPr>
          <w:rFonts w:ascii="Arial" w:hAnsi="Arial" w:cs="Arial"/>
        </w:rPr>
        <w:t xml:space="preserve">, A., Daly, M. J., Goldstein, D. B., John, S., Nelson, M. R., </w:t>
      </w:r>
      <w:r w:rsidR="00642995" w:rsidRPr="00642995">
        <w:rPr>
          <w:rFonts w:ascii="Arial" w:hAnsi="Arial" w:cs="Arial"/>
          <w:i/>
        </w:rPr>
        <w:t>et al.</w:t>
      </w:r>
      <w:r w:rsidRPr="00642995">
        <w:rPr>
          <w:rFonts w:ascii="Arial" w:hAnsi="Arial" w:cs="Arial"/>
        </w:rPr>
        <w:t xml:space="preserve"> (2009).</w:t>
      </w:r>
      <w:proofErr w:type="gramEnd"/>
      <w:r w:rsidRPr="00642995">
        <w:rPr>
          <w:rFonts w:ascii="Arial" w:hAnsi="Arial" w:cs="Arial"/>
        </w:rPr>
        <w:t xml:space="preserve"> HLA-B*5701 genotype is a major determinant of drug-induced liver injury due to flucloxacillin. </w:t>
      </w:r>
      <w:r w:rsidRPr="00642995">
        <w:rPr>
          <w:rFonts w:ascii="Arial" w:hAnsi="Arial" w:cs="Arial"/>
          <w:i/>
        </w:rPr>
        <w:t>Nat. Genet.</w:t>
      </w:r>
      <w:r w:rsidRPr="00642995">
        <w:rPr>
          <w:rFonts w:ascii="Arial" w:hAnsi="Arial" w:cs="Arial"/>
        </w:rPr>
        <w:t xml:space="preserve"> </w:t>
      </w:r>
      <w:r w:rsidRPr="00642995">
        <w:rPr>
          <w:rFonts w:ascii="Arial" w:hAnsi="Arial" w:cs="Arial"/>
          <w:b/>
        </w:rPr>
        <w:t>41,</w:t>
      </w:r>
      <w:r w:rsidRPr="00642995">
        <w:rPr>
          <w:rFonts w:ascii="Arial" w:hAnsi="Arial" w:cs="Arial"/>
        </w:rPr>
        <w:t xml:space="preserve"> 816-819.</w:t>
      </w:r>
    </w:p>
    <w:p w:rsidR="0044607E" w:rsidRPr="00642995" w:rsidRDefault="0044607E" w:rsidP="00642995">
      <w:pPr>
        <w:spacing w:after="240" w:line="480" w:lineRule="auto"/>
        <w:jc w:val="both"/>
        <w:rPr>
          <w:rFonts w:ascii="Arial" w:hAnsi="Arial" w:cs="Arial"/>
        </w:rPr>
      </w:pPr>
      <w:proofErr w:type="gramStart"/>
      <w:r w:rsidRPr="00642995">
        <w:rPr>
          <w:rFonts w:ascii="Arial" w:hAnsi="Arial" w:cs="Arial"/>
        </w:rPr>
        <w:t xml:space="preserve">Dietz, L., </w:t>
      </w:r>
      <w:proofErr w:type="spellStart"/>
      <w:r w:rsidRPr="00642995">
        <w:rPr>
          <w:rFonts w:ascii="Arial" w:hAnsi="Arial" w:cs="Arial"/>
        </w:rPr>
        <w:t>Esser</w:t>
      </w:r>
      <w:proofErr w:type="spellEnd"/>
      <w:r w:rsidRPr="00642995">
        <w:rPr>
          <w:rFonts w:ascii="Arial" w:hAnsi="Arial" w:cs="Arial"/>
        </w:rPr>
        <w:t xml:space="preserve">, P. R., </w:t>
      </w:r>
      <w:proofErr w:type="spellStart"/>
      <w:r w:rsidRPr="00642995">
        <w:rPr>
          <w:rFonts w:ascii="Arial" w:hAnsi="Arial" w:cs="Arial"/>
        </w:rPr>
        <w:t>Schmucker</w:t>
      </w:r>
      <w:proofErr w:type="spellEnd"/>
      <w:r w:rsidRPr="00642995">
        <w:rPr>
          <w:rFonts w:ascii="Arial" w:hAnsi="Arial" w:cs="Arial"/>
        </w:rPr>
        <w:t xml:space="preserve">, S. S., </w:t>
      </w:r>
      <w:proofErr w:type="spellStart"/>
      <w:r w:rsidRPr="00642995">
        <w:rPr>
          <w:rFonts w:ascii="Arial" w:hAnsi="Arial" w:cs="Arial"/>
        </w:rPr>
        <w:t>Goette</w:t>
      </w:r>
      <w:proofErr w:type="spellEnd"/>
      <w:r w:rsidRPr="00642995">
        <w:rPr>
          <w:rFonts w:ascii="Arial" w:hAnsi="Arial" w:cs="Arial"/>
        </w:rPr>
        <w:t xml:space="preserve">, I., Richter, A., </w:t>
      </w:r>
      <w:proofErr w:type="spellStart"/>
      <w:r w:rsidRPr="00642995">
        <w:rPr>
          <w:rFonts w:ascii="Arial" w:hAnsi="Arial" w:cs="Arial"/>
        </w:rPr>
        <w:t>Schnolzer</w:t>
      </w:r>
      <w:proofErr w:type="spellEnd"/>
      <w:r w:rsidRPr="00642995">
        <w:rPr>
          <w:rFonts w:ascii="Arial" w:hAnsi="Arial" w:cs="Arial"/>
        </w:rPr>
        <w:t xml:space="preserve">, M., Martin, S. F., and </w:t>
      </w:r>
      <w:proofErr w:type="spellStart"/>
      <w:r w:rsidRPr="00642995">
        <w:rPr>
          <w:rFonts w:ascii="Arial" w:hAnsi="Arial" w:cs="Arial"/>
        </w:rPr>
        <w:t>Thierse</w:t>
      </w:r>
      <w:proofErr w:type="spellEnd"/>
      <w:r w:rsidRPr="00642995">
        <w:rPr>
          <w:rFonts w:ascii="Arial" w:hAnsi="Arial" w:cs="Arial"/>
        </w:rPr>
        <w:t>, H. J. (2010).</w:t>
      </w:r>
      <w:proofErr w:type="gramEnd"/>
      <w:r w:rsidRPr="00642995">
        <w:rPr>
          <w:rFonts w:ascii="Arial" w:hAnsi="Arial" w:cs="Arial"/>
        </w:rPr>
        <w:t xml:space="preserve"> </w:t>
      </w:r>
      <w:proofErr w:type="gramStart"/>
      <w:r w:rsidRPr="00642995">
        <w:rPr>
          <w:rFonts w:ascii="Arial" w:hAnsi="Arial" w:cs="Arial"/>
        </w:rPr>
        <w:t>Tracking human contact allergens: from mass spectrometric identification of peptide-bound reactive small chemicals to chemical-specific naive human T-cell priming.</w:t>
      </w:r>
      <w:proofErr w:type="gramEnd"/>
      <w:r w:rsidRPr="00642995">
        <w:rPr>
          <w:rFonts w:ascii="Arial" w:hAnsi="Arial" w:cs="Arial"/>
        </w:rPr>
        <w:t xml:space="preserve">  </w:t>
      </w:r>
      <w:proofErr w:type="gramStart"/>
      <w:r w:rsidRPr="00642995">
        <w:rPr>
          <w:rFonts w:ascii="Arial" w:hAnsi="Arial" w:cs="Arial"/>
          <w:i/>
        </w:rPr>
        <w:t>Toxicol.</w:t>
      </w:r>
      <w:proofErr w:type="gramEnd"/>
      <w:r w:rsidRPr="00642995">
        <w:rPr>
          <w:rFonts w:ascii="Arial" w:hAnsi="Arial" w:cs="Arial"/>
          <w:i/>
        </w:rPr>
        <w:t xml:space="preserve"> </w:t>
      </w:r>
      <w:proofErr w:type="gramStart"/>
      <w:r w:rsidRPr="00642995">
        <w:rPr>
          <w:rFonts w:ascii="Arial" w:hAnsi="Arial" w:cs="Arial"/>
          <w:i/>
        </w:rPr>
        <w:t>Sci.</w:t>
      </w:r>
      <w:r w:rsidRPr="00642995">
        <w:rPr>
          <w:rFonts w:ascii="Arial" w:hAnsi="Arial" w:cs="Arial"/>
        </w:rPr>
        <w:t xml:space="preserve"> </w:t>
      </w:r>
      <w:r w:rsidRPr="00642995">
        <w:rPr>
          <w:rFonts w:ascii="Arial" w:hAnsi="Arial" w:cs="Arial"/>
          <w:b/>
        </w:rPr>
        <w:t>117,</w:t>
      </w:r>
      <w:r w:rsidRPr="00642995">
        <w:rPr>
          <w:rFonts w:ascii="Arial" w:hAnsi="Arial" w:cs="Arial"/>
        </w:rPr>
        <w:t xml:space="preserve"> 336-47.</w:t>
      </w:r>
      <w:proofErr w:type="gramEnd"/>
      <w:r w:rsidRPr="00642995">
        <w:rPr>
          <w:rFonts w:ascii="Arial" w:hAnsi="Arial" w:cs="Arial"/>
        </w:rPr>
        <w:t xml:space="preserve"> </w:t>
      </w:r>
    </w:p>
    <w:p w:rsidR="00C3786B" w:rsidRPr="00642995" w:rsidRDefault="0044607E" w:rsidP="00642995">
      <w:pPr>
        <w:spacing w:line="480" w:lineRule="auto"/>
        <w:jc w:val="both"/>
        <w:rPr>
          <w:rFonts w:ascii="Arial" w:hAnsi="Arial" w:cs="Arial"/>
        </w:rPr>
      </w:pPr>
      <w:r w:rsidRPr="00642995">
        <w:rPr>
          <w:rFonts w:ascii="Arial" w:hAnsi="Arial" w:cs="Arial"/>
        </w:rPr>
        <w:t>El-</w:t>
      </w:r>
      <w:proofErr w:type="spellStart"/>
      <w:r w:rsidRPr="00642995">
        <w:rPr>
          <w:rFonts w:ascii="Arial" w:hAnsi="Arial" w:cs="Arial"/>
        </w:rPr>
        <w:t>Ghaiesh</w:t>
      </w:r>
      <w:proofErr w:type="spellEnd"/>
      <w:r w:rsidRPr="00642995">
        <w:rPr>
          <w:rFonts w:ascii="Arial" w:hAnsi="Arial" w:cs="Arial"/>
        </w:rPr>
        <w:t xml:space="preserve"> S, </w:t>
      </w:r>
      <w:proofErr w:type="spellStart"/>
      <w:r w:rsidRPr="00642995">
        <w:rPr>
          <w:rFonts w:ascii="Arial" w:hAnsi="Arial" w:cs="Arial"/>
        </w:rPr>
        <w:t>Monshi</w:t>
      </w:r>
      <w:proofErr w:type="spellEnd"/>
      <w:r w:rsidRPr="00642995">
        <w:rPr>
          <w:rFonts w:ascii="Arial" w:hAnsi="Arial" w:cs="Arial"/>
        </w:rPr>
        <w:t xml:space="preserve"> MM, Whitaker P, Jenkins R, Meng X, Farrell J, </w:t>
      </w:r>
      <w:proofErr w:type="spellStart"/>
      <w:r w:rsidRPr="00642995">
        <w:rPr>
          <w:rFonts w:ascii="Arial" w:hAnsi="Arial" w:cs="Arial"/>
        </w:rPr>
        <w:t>Elsheikh</w:t>
      </w:r>
      <w:proofErr w:type="spellEnd"/>
      <w:r w:rsidRPr="00642995">
        <w:rPr>
          <w:rFonts w:ascii="Arial" w:hAnsi="Arial" w:cs="Arial"/>
        </w:rPr>
        <w:t xml:space="preserve"> A, Peckham D, French N, Pirmohamed M, </w:t>
      </w:r>
      <w:r w:rsidR="00642995" w:rsidRPr="00642995">
        <w:rPr>
          <w:rFonts w:ascii="Arial" w:hAnsi="Arial" w:cs="Arial"/>
          <w:i/>
        </w:rPr>
        <w:t>et al</w:t>
      </w:r>
      <w:r w:rsidRPr="00642995">
        <w:rPr>
          <w:rFonts w:ascii="Arial" w:hAnsi="Arial" w:cs="Arial"/>
        </w:rPr>
        <w:t xml:space="preserve">. </w:t>
      </w:r>
      <w:r w:rsidR="00642995">
        <w:rPr>
          <w:rFonts w:ascii="Arial" w:hAnsi="Arial" w:cs="Arial"/>
        </w:rPr>
        <w:t xml:space="preserve">(2012) </w:t>
      </w:r>
      <w:r w:rsidRPr="00642995">
        <w:rPr>
          <w:rFonts w:ascii="Arial" w:hAnsi="Arial" w:cs="Arial"/>
        </w:rPr>
        <w:t xml:space="preserve">Characterization of the antigen specificity of T-cell clones from </w:t>
      </w:r>
      <w:r w:rsidRPr="00642995">
        <w:rPr>
          <w:rFonts w:ascii="Arial" w:hAnsi="Arial" w:cs="Arial"/>
          <w:bCs/>
        </w:rPr>
        <w:t>piperacillin</w:t>
      </w:r>
      <w:r w:rsidRPr="00642995">
        <w:rPr>
          <w:rFonts w:ascii="Arial" w:hAnsi="Arial" w:cs="Arial"/>
        </w:rPr>
        <w:t xml:space="preserve">-hypersensitive patients with cystic fibrosis. </w:t>
      </w:r>
      <w:r w:rsidRPr="00642995">
        <w:rPr>
          <w:rStyle w:val="jrnl"/>
          <w:rFonts w:ascii="Arial" w:hAnsi="Arial" w:cs="Arial"/>
          <w:i/>
        </w:rPr>
        <w:t xml:space="preserve">J </w:t>
      </w:r>
      <w:proofErr w:type="spellStart"/>
      <w:r w:rsidRPr="00642995">
        <w:rPr>
          <w:rStyle w:val="jrnl"/>
          <w:rFonts w:ascii="Arial" w:hAnsi="Arial" w:cs="Arial"/>
          <w:i/>
        </w:rPr>
        <w:t>Pharmacol</w:t>
      </w:r>
      <w:proofErr w:type="spellEnd"/>
      <w:r w:rsidRPr="00642995">
        <w:rPr>
          <w:rStyle w:val="jrnl"/>
          <w:rFonts w:ascii="Arial" w:hAnsi="Arial" w:cs="Arial"/>
        </w:rPr>
        <w:t xml:space="preserve"> </w:t>
      </w:r>
      <w:proofErr w:type="spellStart"/>
      <w:r w:rsidRPr="00642995">
        <w:rPr>
          <w:rStyle w:val="jrnl"/>
          <w:rFonts w:ascii="Arial" w:hAnsi="Arial" w:cs="Arial"/>
          <w:i/>
        </w:rPr>
        <w:t>Exp</w:t>
      </w:r>
      <w:proofErr w:type="spellEnd"/>
      <w:r w:rsidRPr="00642995">
        <w:rPr>
          <w:rStyle w:val="jrnl"/>
          <w:rFonts w:ascii="Arial" w:hAnsi="Arial" w:cs="Arial"/>
          <w:i/>
        </w:rPr>
        <w:t xml:space="preserve"> </w:t>
      </w:r>
      <w:proofErr w:type="spellStart"/>
      <w:r w:rsidRPr="00642995">
        <w:rPr>
          <w:rStyle w:val="jrnl"/>
          <w:rFonts w:ascii="Arial" w:hAnsi="Arial" w:cs="Arial"/>
          <w:i/>
        </w:rPr>
        <w:t>Ther</w:t>
      </w:r>
      <w:proofErr w:type="spellEnd"/>
      <w:proofErr w:type="gramStart"/>
      <w:r w:rsidRPr="00642995">
        <w:rPr>
          <w:rFonts w:ascii="Arial" w:hAnsi="Arial" w:cs="Arial"/>
          <w:i/>
        </w:rPr>
        <w:t>.</w:t>
      </w:r>
      <w:r w:rsidRPr="00642995">
        <w:rPr>
          <w:rFonts w:ascii="Arial" w:hAnsi="Arial" w:cs="Arial"/>
        </w:rPr>
        <w:t>.</w:t>
      </w:r>
      <w:proofErr w:type="gramEnd"/>
      <w:r w:rsidRPr="00642995">
        <w:rPr>
          <w:rFonts w:ascii="Arial" w:hAnsi="Arial" w:cs="Arial"/>
          <w:i/>
        </w:rPr>
        <w:t xml:space="preserve"> </w:t>
      </w:r>
      <w:r w:rsidRPr="00642995">
        <w:rPr>
          <w:rFonts w:ascii="Arial" w:hAnsi="Arial" w:cs="Arial"/>
          <w:b/>
        </w:rPr>
        <w:t>341</w:t>
      </w:r>
      <w:r w:rsidRPr="00642995">
        <w:rPr>
          <w:rFonts w:ascii="Arial" w:hAnsi="Arial" w:cs="Arial"/>
        </w:rPr>
        <w:t>:597-610</w:t>
      </w:r>
      <w:r w:rsidR="00C3786B" w:rsidRPr="00642995">
        <w:rPr>
          <w:rFonts w:ascii="Arial" w:hAnsi="Arial" w:cs="Arial"/>
        </w:rPr>
        <w:t>.</w:t>
      </w:r>
    </w:p>
    <w:p w:rsidR="00C3786B" w:rsidRPr="00642995" w:rsidRDefault="00C3786B" w:rsidP="00642995">
      <w:pPr>
        <w:spacing w:line="480" w:lineRule="auto"/>
        <w:jc w:val="both"/>
        <w:rPr>
          <w:rFonts w:ascii="Arial" w:hAnsi="Arial" w:cs="Arial"/>
        </w:rPr>
      </w:pPr>
      <w:r w:rsidRPr="00642995">
        <w:rPr>
          <w:rFonts w:ascii="Arial" w:hAnsi="Arial" w:cs="Arial"/>
          <w:noProof/>
        </w:rPr>
        <w:lastRenderedPageBreak/>
        <w:t xml:space="preserve">Engler, O. B., Strasser, I., Naisbitt, D. J., Cerny, A., and Pichler, W. J. (2004). A chemically inert drug can stimulate T cells in vitro by their T cell receptor in non-sensitised individuals. </w:t>
      </w:r>
      <w:r w:rsidRPr="00642995">
        <w:rPr>
          <w:rFonts w:ascii="Arial" w:hAnsi="Arial" w:cs="Arial"/>
          <w:i/>
          <w:noProof/>
        </w:rPr>
        <w:t>Toxicology</w:t>
      </w:r>
      <w:r w:rsidRPr="00642995">
        <w:rPr>
          <w:rFonts w:ascii="Arial" w:hAnsi="Arial" w:cs="Arial"/>
          <w:noProof/>
        </w:rPr>
        <w:t xml:space="preserve"> </w:t>
      </w:r>
      <w:r w:rsidRPr="00642995">
        <w:rPr>
          <w:rFonts w:ascii="Arial" w:hAnsi="Arial" w:cs="Arial"/>
          <w:b/>
          <w:noProof/>
        </w:rPr>
        <w:t>197</w:t>
      </w:r>
      <w:r w:rsidRPr="00642995">
        <w:rPr>
          <w:rFonts w:ascii="Arial" w:hAnsi="Arial" w:cs="Arial"/>
          <w:noProof/>
        </w:rPr>
        <w:t>, 47-56.</w:t>
      </w:r>
    </w:p>
    <w:p w:rsidR="0044607E" w:rsidRPr="00642995" w:rsidRDefault="0044607E" w:rsidP="00642995">
      <w:pPr>
        <w:spacing w:after="240" w:line="480" w:lineRule="auto"/>
        <w:jc w:val="both"/>
        <w:rPr>
          <w:rFonts w:ascii="Arial" w:hAnsi="Arial" w:cs="Arial"/>
        </w:rPr>
      </w:pPr>
      <w:r w:rsidRPr="00642995">
        <w:rPr>
          <w:rFonts w:ascii="Arial" w:hAnsi="Arial" w:cs="Arial"/>
        </w:rPr>
        <w:t xml:space="preserve">Farrell, J., Naisbitt, D. J., Drummond, N. S., </w:t>
      </w:r>
      <w:proofErr w:type="spellStart"/>
      <w:r w:rsidRPr="00642995">
        <w:rPr>
          <w:rFonts w:ascii="Arial" w:hAnsi="Arial" w:cs="Arial"/>
        </w:rPr>
        <w:t>Depta</w:t>
      </w:r>
      <w:proofErr w:type="spellEnd"/>
      <w:r w:rsidRPr="00642995">
        <w:rPr>
          <w:rFonts w:ascii="Arial" w:hAnsi="Arial" w:cs="Arial"/>
        </w:rPr>
        <w:t xml:space="preserve">, J. P., </w:t>
      </w:r>
      <w:proofErr w:type="spellStart"/>
      <w:r w:rsidRPr="00642995">
        <w:rPr>
          <w:rFonts w:ascii="Arial" w:hAnsi="Arial" w:cs="Arial"/>
        </w:rPr>
        <w:t>Vilar</w:t>
      </w:r>
      <w:proofErr w:type="spellEnd"/>
      <w:r w:rsidRPr="00642995">
        <w:rPr>
          <w:rFonts w:ascii="Arial" w:hAnsi="Arial" w:cs="Arial"/>
        </w:rPr>
        <w:t xml:space="preserve">, F. J., Pirmohamed, M., and Park, B. K. (2003). </w:t>
      </w:r>
      <w:proofErr w:type="gramStart"/>
      <w:r w:rsidRPr="00642995">
        <w:rPr>
          <w:rFonts w:ascii="Arial" w:hAnsi="Arial" w:cs="Arial"/>
        </w:rPr>
        <w:t xml:space="preserve">Characterization of </w:t>
      </w:r>
      <w:proofErr w:type="spellStart"/>
      <w:r w:rsidRPr="00642995">
        <w:rPr>
          <w:rFonts w:ascii="Arial" w:hAnsi="Arial" w:cs="Arial"/>
        </w:rPr>
        <w:t>sulfamethoxazole</w:t>
      </w:r>
      <w:proofErr w:type="spellEnd"/>
      <w:r w:rsidRPr="00642995">
        <w:rPr>
          <w:rFonts w:ascii="Arial" w:hAnsi="Arial" w:cs="Arial"/>
        </w:rPr>
        <w:t xml:space="preserve"> and </w:t>
      </w:r>
      <w:proofErr w:type="spellStart"/>
      <w:r w:rsidRPr="00642995">
        <w:rPr>
          <w:rFonts w:ascii="Arial" w:hAnsi="Arial" w:cs="Arial"/>
        </w:rPr>
        <w:t>sulfamethoxazole</w:t>
      </w:r>
      <w:proofErr w:type="spellEnd"/>
      <w:r w:rsidRPr="00642995">
        <w:rPr>
          <w:rFonts w:ascii="Arial" w:hAnsi="Arial" w:cs="Arial"/>
        </w:rPr>
        <w:t xml:space="preserve"> metabolite-specific T-cell responses in animals and humans.</w:t>
      </w:r>
      <w:proofErr w:type="gramEnd"/>
      <w:r w:rsidRPr="00642995">
        <w:rPr>
          <w:rFonts w:ascii="Arial" w:hAnsi="Arial" w:cs="Arial"/>
        </w:rPr>
        <w:t xml:space="preserve"> </w:t>
      </w:r>
      <w:r w:rsidRPr="00642995">
        <w:rPr>
          <w:rFonts w:ascii="Arial" w:hAnsi="Arial" w:cs="Arial"/>
          <w:i/>
        </w:rPr>
        <w:t xml:space="preserve">J. </w:t>
      </w:r>
      <w:proofErr w:type="spellStart"/>
      <w:r w:rsidRPr="00642995">
        <w:rPr>
          <w:rFonts w:ascii="Arial" w:hAnsi="Arial" w:cs="Arial"/>
          <w:i/>
        </w:rPr>
        <w:t>Pharmacol</w:t>
      </w:r>
      <w:proofErr w:type="spellEnd"/>
      <w:r w:rsidRPr="00642995">
        <w:rPr>
          <w:rFonts w:ascii="Arial" w:hAnsi="Arial" w:cs="Arial"/>
          <w:i/>
        </w:rPr>
        <w:t xml:space="preserve">. Exp. </w:t>
      </w:r>
      <w:proofErr w:type="spellStart"/>
      <w:r w:rsidRPr="00642995">
        <w:rPr>
          <w:rFonts w:ascii="Arial" w:hAnsi="Arial" w:cs="Arial"/>
          <w:i/>
        </w:rPr>
        <w:t>Ther</w:t>
      </w:r>
      <w:proofErr w:type="spellEnd"/>
      <w:r w:rsidRPr="00642995">
        <w:rPr>
          <w:rFonts w:ascii="Arial" w:hAnsi="Arial" w:cs="Arial"/>
          <w:i/>
        </w:rPr>
        <w:t>.</w:t>
      </w:r>
      <w:r w:rsidRPr="00642995">
        <w:rPr>
          <w:rFonts w:ascii="Arial" w:hAnsi="Arial" w:cs="Arial"/>
        </w:rPr>
        <w:t xml:space="preserve"> </w:t>
      </w:r>
      <w:r w:rsidRPr="00642995">
        <w:rPr>
          <w:rFonts w:ascii="Arial" w:hAnsi="Arial" w:cs="Arial"/>
          <w:b/>
        </w:rPr>
        <w:t>306,</w:t>
      </w:r>
      <w:r w:rsidRPr="00642995">
        <w:rPr>
          <w:rFonts w:ascii="Arial" w:hAnsi="Arial" w:cs="Arial"/>
        </w:rPr>
        <w:t xml:space="preserve"> 229-237.</w:t>
      </w:r>
    </w:p>
    <w:p w:rsidR="0044607E" w:rsidRPr="00642995" w:rsidRDefault="0044607E" w:rsidP="00642995">
      <w:pPr>
        <w:spacing w:line="480" w:lineRule="auto"/>
        <w:jc w:val="both"/>
        <w:rPr>
          <w:rFonts w:ascii="Arial" w:hAnsi="Arial" w:cs="Arial"/>
        </w:rPr>
      </w:pPr>
      <w:r w:rsidRPr="00642995">
        <w:rPr>
          <w:rFonts w:ascii="Arial" w:hAnsi="Arial" w:cs="Arial"/>
        </w:rPr>
        <w:t xml:space="preserve">Farrell J, </w:t>
      </w:r>
      <w:proofErr w:type="spellStart"/>
      <w:r w:rsidRPr="00642995">
        <w:rPr>
          <w:rFonts w:ascii="Arial" w:hAnsi="Arial" w:cs="Arial"/>
          <w:bCs/>
        </w:rPr>
        <w:t>Lichtenfels</w:t>
      </w:r>
      <w:proofErr w:type="spellEnd"/>
      <w:r w:rsidRPr="00642995">
        <w:rPr>
          <w:rFonts w:ascii="Arial" w:hAnsi="Arial" w:cs="Arial"/>
        </w:rPr>
        <w:t xml:space="preserve"> M, Sullivan A, Elliott EC, Alfirevic A, </w:t>
      </w:r>
      <w:proofErr w:type="spellStart"/>
      <w:r w:rsidRPr="00642995">
        <w:rPr>
          <w:rFonts w:ascii="Arial" w:hAnsi="Arial" w:cs="Arial"/>
        </w:rPr>
        <w:t>Stachulski</w:t>
      </w:r>
      <w:proofErr w:type="spellEnd"/>
      <w:r w:rsidRPr="00642995">
        <w:rPr>
          <w:rFonts w:ascii="Arial" w:hAnsi="Arial" w:cs="Arial"/>
        </w:rPr>
        <w:t xml:space="preserve"> AV, Pirmohamed M, Naisbitt DJ, Park BK. </w:t>
      </w:r>
      <w:r w:rsidR="00642995" w:rsidRPr="00642995">
        <w:rPr>
          <w:rFonts w:ascii="Arial" w:hAnsi="Arial" w:cs="Arial"/>
        </w:rPr>
        <w:t xml:space="preserve">(2103) </w:t>
      </w:r>
      <w:r w:rsidRPr="00642995">
        <w:rPr>
          <w:rFonts w:ascii="Arial" w:hAnsi="Arial" w:cs="Arial"/>
        </w:rPr>
        <w:t xml:space="preserve">Activation of </w:t>
      </w:r>
      <w:r w:rsidRPr="00642995">
        <w:rPr>
          <w:rFonts w:ascii="Arial" w:hAnsi="Arial" w:cs="Arial"/>
          <w:bCs/>
        </w:rPr>
        <w:t>carbamazepine</w:t>
      </w:r>
      <w:r w:rsidRPr="00642995">
        <w:rPr>
          <w:rFonts w:ascii="Arial" w:hAnsi="Arial" w:cs="Arial"/>
        </w:rPr>
        <w:t xml:space="preserve">-responsive T-cell clones with metabolically inert halogenated derivatives. </w:t>
      </w:r>
      <w:r w:rsidRPr="00642995">
        <w:rPr>
          <w:rStyle w:val="jrnl"/>
          <w:rFonts w:ascii="Arial" w:hAnsi="Arial" w:cs="Arial"/>
          <w:i/>
        </w:rPr>
        <w:t xml:space="preserve">J Allergy </w:t>
      </w:r>
      <w:proofErr w:type="spellStart"/>
      <w:r w:rsidRPr="00642995">
        <w:rPr>
          <w:rStyle w:val="jrnl"/>
          <w:rFonts w:ascii="Arial" w:hAnsi="Arial" w:cs="Arial"/>
          <w:i/>
        </w:rPr>
        <w:t>Clin</w:t>
      </w:r>
      <w:proofErr w:type="spellEnd"/>
      <w:r w:rsidRPr="00642995">
        <w:rPr>
          <w:rStyle w:val="jrnl"/>
          <w:rFonts w:ascii="Arial" w:hAnsi="Arial" w:cs="Arial"/>
          <w:i/>
        </w:rPr>
        <w:t xml:space="preserve"> Immunol</w:t>
      </w:r>
      <w:r w:rsidRPr="00642995">
        <w:rPr>
          <w:rFonts w:ascii="Arial" w:hAnsi="Arial" w:cs="Arial"/>
        </w:rPr>
        <w:t>.</w:t>
      </w:r>
      <w:r w:rsidRPr="00642995">
        <w:rPr>
          <w:rFonts w:ascii="Arial" w:hAnsi="Arial" w:cs="Arial"/>
          <w:b/>
        </w:rPr>
        <w:t>132</w:t>
      </w:r>
      <w:r w:rsidRPr="00642995">
        <w:rPr>
          <w:rFonts w:ascii="Arial" w:hAnsi="Arial" w:cs="Arial"/>
        </w:rPr>
        <w:t>:493-5</w:t>
      </w:r>
      <w:r w:rsidR="00642995">
        <w:rPr>
          <w:rFonts w:ascii="Arial" w:hAnsi="Arial" w:cs="Arial"/>
        </w:rPr>
        <w:t>.</w:t>
      </w:r>
    </w:p>
    <w:p w:rsidR="0044607E" w:rsidRPr="00642995" w:rsidRDefault="0044607E" w:rsidP="00642995">
      <w:pPr>
        <w:spacing w:line="480" w:lineRule="auto"/>
        <w:jc w:val="both"/>
        <w:rPr>
          <w:rFonts w:ascii="Arial" w:hAnsi="Arial" w:cs="Arial"/>
        </w:rPr>
      </w:pPr>
      <w:r w:rsidRPr="00642995">
        <w:rPr>
          <w:rFonts w:ascii="Arial" w:hAnsi="Arial" w:cs="Arial"/>
          <w:bCs/>
        </w:rPr>
        <w:t>Faulkner</w:t>
      </w:r>
      <w:r w:rsidRPr="00642995">
        <w:rPr>
          <w:rFonts w:ascii="Arial" w:hAnsi="Arial" w:cs="Arial"/>
        </w:rPr>
        <w:t xml:space="preserve"> L, </w:t>
      </w:r>
      <w:proofErr w:type="spellStart"/>
      <w:r w:rsidRPr="00642995">
        <w:rPr>
          <w:rFonts w:ascii="Arial" w:hAnsi="Arial" w:cs="Arial"/>
        </w:rPr>
        <w:t>Martinsson</w:t>
      </w:r>
      <w:proofErr w:type="spellEnd"/>
      <w:r w:rsidRPr="00642995">
        <w:rPr>
          <w:rFonts w:ascii="Arial" w:hAnsi="Arial" w:cs="Arial"/>
        </w:rPr>
        <w:t xml:space="preserve"> K, </w:t>
      </w:r>
      <w:proofErr w:type="spellStart"/>
      <w:r w:rsidRPr="00642995">
        <w:rPr>
          <w:rFonts w:ascii="Arial" w:hAnsi="Arial" w:cs="Arial"/>
        </w:rPr>
        <w:t>Santoyo-Castelazo</w:t>
      </w:r>
      <w:proofErr w:type="spellEnd"/>
      <w:r w:rsidRPr="00642995">
        <w:rPr>
          <w:rFonts w:ascii="Arial" w:hAnsi="Arial" w:cs="Arial"/>
        </w:rPr>
        <w:t xml:space="preserve"> A, </w:t>
      </w:r>
      <w:proofErr w:type="spellStart"/>
      <w:r w:rsidRPr="00642995">
        <w:rPr>
          <w:rFonts w:ascii="Arial" w:hAnsi="Arial" w:cs="Arial"/>
        </w:rPr>
        <w:t>Cederbrant</w:t>
      </w:r>
      <w:proofErr w:type="spellEnd"/>
      <w:r w:rsidRPr="00642995">
        <w:rPr>
          <w:rFonts w:ascii="Arial" w:hAnsi="Arial" w:cs="Arial"/>
        </w:rPr>
        <w:t xml:space="preserve"> K, </w:t>
      </w:r>
      <w:proofErr w:type="spellStart"/>
      <w:r w:rsidRPr="00642995">
        <w:rPr>
          <w:rFonts w:ascii="Arial" w:hAnsi="Arial" w:cs="Arial"/>
        </w:rPr>
        <w:t>Schuppe-Koistinen</w:t>
      </w:r>
      <w:proofErr w:type="spellEnd"/>
      <w:r w:rsidRPr="00642995">
        <w:rPr>
          <w:rFonts w:ascii="Arial" w:hAnsi="Arial" w:cs="Arial"/>
        </w:rPr>
        <w:t xml:space="preserve"> I, Powell H, </w:t>
      </w:r>
      <w:proofErr w:type="spellStart"/>
      <w:r w:rsidRPr="00642995">
        <w:rPr>
          <w:rFonts w:ascii="Arial" w:hAnsi="Arial" w:cs="Arial"/>
        </w:rPr>
        <w:t>Tugwood</w:t>
      </w:r>
      <w:proofErr w:type="spellEnd"/>
      <w:r w:rsidRPr="00642995">
        <w:rPr>
          <w:rFonts w:ascii="Arial" w:hAnsi="Arial" w:cs="Arial"/>
        </w:rPr>
        <w:t xml:space="preserve"> J, </w:t>
      </w:r>
      <w:r w:rsidRPr="00642995">
        <w:rPr>
          <w:rFonts w:ascii="Arial" w:hAnsi="Arial" w:cs="Arial"/>
          <w:bCs/>
        </w:rPr>
        <w:t>Naisbitt</w:t>
      </w:r>
      <w:r w:rsidRPr="00642995">
        <w:rPr>
          <w:rFonts w:ascii="Arial" w:hAnsi="Arial" w:cs="Arial"/>
        </w:rPr>
        <w:t xml:space="preserve"> DJ, Park BK</w:t>
      </w:r>
      <w:r w:rsidR="00642995" w:rsidRPr="00642995">
        <w:rPr>
          <w:rFonts w:ascii="Arial" w:hAnsi="Arial" w:cs="Arial"/>
        </w:rPr>
        <w:t xml:space="preserve">. (2012) </w:t>
      </w:r>
      <w:r w:rsidRPr="00642995">
        <w:rPr>
          <w:rFonts w:ascii="Arial" w:hAnsi="Arial" w:cs="Arial"/>
        </w:rPr>
        <w:t>The development of in vitro culture methods to characterize primary T-cell responses to drugs.</w:t>
      </w:r>
      <w:r w:rsidRPr="00642995">
        <w:rPr>
          <w:rStyle w:val="jrnl"/>
          <w:rFonts w:ascii="Arial" w:hAnsi="Arial" w:cs="Arial"/>
        </w:rPr>
        <w:t xml:space="preserve"> </w:t>
      </w:r>
      <w:r w:rsidRPr="00642995">
        <w:rPr>
          <w:rStyle w:val="jrnl"/>
          <w:rFonts w:ascii="Arial" w:hAnsi="Arial" w:cs="Arial"/>
          <w:i/>
        </w:rPr>
        <w:t>Toxicol Sci</w:t>
      </w:r>
      <w:r w:rsidRPr="00642995">
        <w:rPr>
          <w:rFonts w:ascii="Arial" w:hAnsi="Arial" w:cs="Arial"/>
          <w:i/>
        </w:rPr>
        <w:t>.</w:t>
      </w:r>
      <w:r w:rsidRPr="00642995">
        <w:rPr>
          <w:rFonts w:ascii="Arial" w:hAnsi="Arial" w:cs="Arial"/>
          <w:b/>
        </w:rPr>
        <w:t>127</w:t>
      </w:r>
      <w:r w:rsidRPr="00642995">
        <w:rPr>
          <w:rFonts w:ascii="Arial" w:hAnsi="Arial" w:cs="Arial"/>
        </w:rPr>
        <w:t>:150-8.</w:t>
      </w:r>
    </w:p>
    <w:p w:rsidR="0044607E" w:rsidRPr="00642995" w:rsidRDefault="0044607E" w:rsidP="00642995">
      <w:pPr>
        <w:spacing w:line="480" w:lineRule="auto"/>
        <w:jc w:val="both"/>
        <w:rPr>
          <w:rFonts w:ascii="Arial" w:hAnsi="Arial" w:cs="Arial"/>
        </w:rPr>
      </w:pPr>
      <w:r w:rsidRPr="00642995">
        <w:rPr>
          <w:rFonts w:ascii="Arial" w:hAnsi="Arial" w:cs="Arial"/>
        </w:rPr>
        <w:t xml:space="preserve">Gibson A, Ogese M, Sullivan A, Wang E, Saide K, Whitaker P, Peckham D, Faulkner L, Park BK, Naisbitt DJ. </w:t>
      </w:r>
      <w:r w:rsidR="00642995" w:rsidRPr="00642995">
        <w:rPr>
          <w:rFonts w:ascii="Arial" w:hAnsi="Arial" w:cs="Arial"/>
        </w:rPr>
        <w:t xml:space="preserve">(2014) </w:t>
      </w:r>
      <w:r w:rsidRPr="00642995">
        <w:rPr>
          <w:rFonts w:ascii="Arial" w:hAnsi="Arial" w:cs="Arial"/>
        </w:rPr>
        <w:t xml:space="preserve">Negative regulation by PD-L1 during drug-specific priming of IL-22-secreting T cells and the influence of PD-1 on effector T cell function. </w:t>
      </w:r>
      <w:r w:rsidRPr="00642995">
        <w:rPr>
          <w:rFonts w:ascii="Arial" w:hAnsi="Arial" w:cs="Arial"/>
          <w:i/>
        </w:rPr>
        <w:t>J Immunol.</w:t>
      </w:r>
      <w:r w:rsidRPr="00642995">
        <w:rPr>
          <w:rFonts w:ascii="Arial" w:hAnsi="Arial" w:cs="Arial"/>
          <w:b/>
        </w:rPr>
        <w:t>192</w:t>
      </w:r>
      <w:r w:rsidRPr="00642995">
        <w:rPr>
          <w:rFonts w:ascii="Arial" w:hAnsi="Arial" w:cs="Arial"/>
        </w:rPr>
        <w:t xml:space="preserve">:2611-2621. </w:t>
      </w:r>
    </w:p>
    <w:p w:rsidR="0044607E" w:rsidRPr="00642995" w:rsidRDefault="0044607E" w:rsidP="00642995">
      <w:pPr>
        <w:pStyle w:val="Heading1"/>
        <w:shd w:val="clear" w:color="auto" w:fill="FFFFFF"/>
        <w:spacing w:before="90" w:after="90" w:line="480" w:lineRule="auto"/>
        <w:jc w:val="both"/>
        <w:rPr>
          <w:rFonts w:ascii="Arial" w:hAnsi="Arial" w:cs="Arial"/>
          <w:b w:val="0"/>
          <w:sz w:val="22"/>
          <w:szCs w:val="22"/>
        </w:rPr>
      </w:pPr>
      <w:r w:rsidRPr="00642995">
        <w:rPr>
          <w:rFonts w:ascii="Arial" w:hAnsi="Arial" w:cs="Arial"/>
          <w:b w:val="0"/>
          <w:sz w:val="22"/>
          <w:szCs w:val="22"/>
        </w:rPr>
        <w:t xml:space="preserve">Gonzalez-Galarza FF, </w:t>
      </w:r>
      <w:proofErr w:type="spellStart"/>
      <w:r w:rsidRPr="00642995">
        <w:rPr>
          <w:rFonts w:ascii="Arial" w:hAnsi="Arial" w:cs="Arial"/>
          <w:b w:val="0"/>
          <w:sz w:val="22"/>
          <w:szCs w:val="22"/>
        </w:rPr>
        <w:t>Takeshita</w:t>
      </w:r>
      <w:proofErr w:type="spellEnd"/>
      <w:r w:rsidRPr="00642995">
        <w:rPr>
          <w:rFonts w:ascii="Arial" w:hAnsi="Arial" w:cs="Arial"/>
          <w:b w:val="0"/>
          <w:sz w:val="22"/>
          <w:szCs w:val="22"/>
        </w:rPr>
        <w:t xml:space="preserve"> LY, Santos EJ, </w:t>
      </w:r>
      <w:proofErr w:type="spellStart"/>
      <w:r w:rsidRPr="00642995">
        <w:rPr>
          <w:rFonts w:ascii="Arial" w:hAnsi="Arial" w:cs="Arial"/>
          <w:b w:val="0"/>
          <w:sz w:val="22"/>
          <w:szCs w:val="22"/>
        </w:rPr>
        <w:t>Kempson</w:t>
      </w:r>
      <w:proofErr w:type="spellEnd"/>
      <w:r w:rsidRPr="00642995">
        <w:rPr>
          <w:rFonts w:ascii="Arial" w:hAnsi="Arial" w:cs="Arial"/>
          <w:b w:val="0"/>
          <w:sz w:val="22"/>
          <w:szCs w:val="22"/>
        </w:rPr>
        <w:t xml:space="preserve"> F, Maia MH, Silva AL, Silva AL, </w:t>
      </w:r>
      <w:proofErr w:type="spellStart"/>
      <w:r w:rsidRPr="00642995">
        <w:rPr>
          <w:rFonts w:ascii="Arial" w:hAnsi="Arial" w:cs="Arial"/>
          <w:b w:val="0"/>
          <w:sz w:val="22"/>
          <w:szCs w:val="22"/>
        </w:rPr>
        <w:t>Ghattaoraya</w:t>
      </w:r>
      <w:proofErr w:type="spellEnd"/>
      <w:r w:rsidRPr="00642995">
        <w:rPr>
          <w:rFonts w:ascii="Arial" w:hAnsi="Arial" w:cs="Arial"/>
          <w:b w:val="0"/>
          <w:sz w:val="22"/>
          <w:szCs w:val="22"/>
        </w:rPr>
        <w:t xml:space="preserve"> GS, Alfire</w:t>
      </w:r>
      <w:r w:rsidR="00642995" w:rsidRPr="00642995">
        <w:rPr>
          <w:rFonts w:ascii="Arial" w:hAnsi="Arial" w:cs="Arial"/>
          <w:b w:val="0"/>
          <w:sz w:val="22"/>
          <w:szCs w:val="22"/>
        </w:rPr>
        <w:t xml:space="preserve">vic A, Jones AR </w:t>
      </w:r>
      <w:r w:rsidR="00642995" w:rsidRPr="00642995">
        <w:rPr>
          <w:rFonts w:ascii="Arial" w:hAnsi="Arial" w:cs="Arial"/>
          <w:b w:val="0"/>
          <w:i/>
          <w:sz w:val="22"/>
          <w:szCs w:val="22"/>
        </w:rPr>
        <w:t>et al</w:t>
      </w:r>
      <w:r w:rsidR="00642995" w:rsidRPr="00642995">
        <w:rPr>
          <w:rFonts w:ascii="Arial" w:hAnsi="Arial" w:cs="Arial"/>
          <w:b w:val="0"/>
          <w:sz w:val="22"/>
          <w:szCs w:val="22"/>
        </w:rPr>
        <w:t xml:space="preserve">. (2015) Allele frequency net 2015 update: new features for HLA epitopes, KIR and disease and HLA adverse drug reaction associations. </w:t>
      </w:r>
      <w:r w:rsidR="00642995" w:rsidRPr="00642995">
        <w:rPr>
          <w:rFonts w:ascii="Arial" w:hAnsi="Arial" w:cs="Arial"/>
          <w:b w:val="0"/>
          <w:i/>
          <w:iCs/>
          <w:sz w:val="22"/>
          <w:szCs w:val="22"/>
        </w:rPr>
        <w:t xml:space="preserve"> </w:t>
      </w:r>
      <w:proofErr w:type="gramStart"/>
      <w:r w:rsidRPr="00642995">
        <w:rPr>
          <w:rFonts w:ascii="Arial" w:hAnsi="Arial" w:cs="Arial"/>
          <w:b w:val="0"/>
          <w:i/>
          <w:iCs/>
          <w:sz w:val="22"/>
          <w:szCs w:val="22"/>
        </w:rPr>
        <w:t xml:space="preserve">Nucleic Acid Research </w:t>
      </w:r>
      <w:r w:rsidRPr="00642995">
        <w:rPr>
          <w:rFonts w:ascii="Arial" w:hAnsi="Arial" w:cs="Arial"/>
          <w:iCs/>
          <w:sz w:val="22"/>
          <w:szCs w:val="22"/>
        </w:rPr>
        <w:t>28</w:t>
      </w:r>
      <w:r w:rsidRPr="00642995">
        <w:rPr>
          <w:rFonts w:ascii="Arial" w:hAnsi="Arial" w:cs="Arial"/>
          <w:b w:val="0"/>
          <w:i/>
          <w:iCs/>
          <w:sz w:val="22"/>
          <w:szCs w:val="22"/>
        </w:rPr>
        <w:t>, D784-8</w:t>
      </w:r>
      <w:r w:rsidRPr="00642995">
        <w:rPr>
          <w:rFonts w:ascii="Arial" w:hAnsi="Arial" w:cs="Arial"/>
          <w:b w:val="0"/>
          <w:sz w:val="22"/>
          <w:szCs w:val="22"/>
        </w:rPr>
        <w:t>.</w:t>
      </w:r>
      <w:proofErr w:type="gramEnd"/>
      <w:r w:rsidRPr="00642995">
        <w:rPr>
          <w:rFonts w:ascii="Arial" w:hAnsi="Arial" w:cs="Arial"/>
          <w:b w:val="0"/>
          <w:sz w:val="22"/>
          <w:szCs w:val="22"/>
        </w:rPr>
        <w:t xml:space="preserve"> </w:t>
      </w:r>
    </w:p>
    <w:p w:rsidR="0044607E" w:rsidRPr="00642995" w:rsidRDefault="0044607E" w:rsidP="00642995">
      <w:pPr>
        <w:spacing w:line="480" w:lineRule="auto"/>
        <w:jc w:val="both"/>
        <w:rPr>
          <w:rFonts w:ascii="Arial" w:hAnsi="Arial" w:cs="Arial"/>
        </w:rPr>
      </w:pPr>
      <w:r w:rsidRPr="00642995">
        <w:rPr>
          <w:rFonts w:ascii="Arial" w:hAnsi="Arial" w:cs="Arial"/>
          <w:bCs/>
        </w:rPr>
        <w:t>Hetherington</w:t>
      </w:r>
      <w:r w:rsidRPr="00642995">
        <w:rPr>
          <w:rFonts w:ascii="Arial" w:hAnsi="Arial" w:cs="Arial"/>
        </w:rPr>
        <w:t xml:space="preserve"> S, Hughes AR, </w:t>
      </w:r>
      <w:proofErr w:type="spellStart"/>
      <w:r w:rsidRPr="00642995">
        <w:rPr>
          <w:rFonts w:ascii="Arial" w:hAnsi="Arial" w:cs="Arial"/>
        </w:rPr>
        <w:t>Mosteller</w:t>
      </w:r>
      <w:proofErr w:type="spellEnd"/>
      <w:r w:rsidRPr="00642995">
        <w:rPr>
          <w:rFonts w:ascii="Arial" w:hAnsi="Arial" w:cs="Arial"/>
        </w:rPr>
        <w:t xml:space="preserve"> M, </w:t>
      </w:r>
      <w:proofErr w:type="spellStart"/>
      <w:r w:rsidRPr="00642995">
        <w:rPr>
          <w:rFonts w:ascii="Arial" w:hAnsi="Arial" w:cs="Arial"/>
        </w:rPr>
        <w:t>Shortino</w:t>
      </w:r>
      <w:proofErr w:type="spellEnd"/>
      <w:r w:rsidRPr="00642995">
        <w:rPr>
          <w:rFonts w:ascii="Arial" w:hAnsi="Arial" w:cs="Arial"/>
        </w:rPr>
        <w:t xml:space="preserve"> D, Baker KL, </w:t>
      </w:r>
      <w:proofErr w:type="spellStart"/>
      <w:r w:rsidRPr="00642995">
        <w:rPr>
          <w:rFonts w:ascii="Arial" w:hAnsi="Arial" w:cs="Arial"/>
        </w:rPr>
        <w:t>Spreen</w:t>
      </w:r>
      <w:proofErr w:type="spellEnd"/>
      <w:r w:rsidRPr="00642995">
        <w:rPr>
          <w:rFonts w:ascii="Arial" w:hAnsi="Arial" w:cs="Arial"/>
        </w:rPr>
        <w:t xml:space="preserve"> W, Lai E, Davies K, Handley A, Dow DJ, </w:t>
      </w:r>
      <w:r w:rsidR="00642995" w:rsidRPr="00642995">
        <w:rPr>
          <w:rFonts w:ascii="Arial" w:hAnsi="Arial" w:cs="Arial"/>
          <w:i/>
        </w:rPr>
        <w:t>et al.</w:t>
      </w:r>
      <w:r w:rsidRPr="00642995">
        <w:rPr>
          <w:rFonts w:ascii="Arial" w:hAnsi="Arial" w:cs="Arial"/>
        </w:rPr>
        <w:t xml:space="preserve"> </w:t>
      </w:r>
      <w:r w:rsidR="00642995">
        <w:rPr>
          <w:rFonts w:ascii="Arial" w:hAnsi="Arial" w:cs="Arial"/>
        </w:rPr>
        <w:t xml:space="preserve">(2002) </w:t>
      </w:r>
      <w:r w:rsidRPr="00642995">
        <w:rPr>
          <w:rFonts w:ascii="Arial" w:hAnsi="Arial" w:cs="Arial"/>
        </w:rPr>
        <w:t xml:space="preserve">Genetic variations in HLA-B region and hypersensitivity reactions to </w:t>
      </w:r>
      <w:proofErr w:type="spellStart"/>
      <w:r w:rsidRPr="00642995">
        <w:rPr>
          <w:rFonts w:ascii="Arial" w:hAnsi="Arial" w:cs="Arial"/>
        </w:rPr>
        <w:t>abacavir</w:t>
      </w:r>
      <w:proofErr w:type="spellEnd"/>
      <w:r w:rsidRPr="00642995">
        <w:rPr>
          <w:rFonts w:ascii="Arial" w:hAnsi="Arial" w:cs="Arial"/>
        </w:rPr>
        <w:t xml:space="preserve">. </w:t>
      </w:r>
      <w:proofErr w:type="gramStart"/>
      <w:r w:rsidRPr="00642995">
        <w:rPr>
          <w:rStyle w:val="jrnl"/>
          <w:rFonts w:ascii="Arial" w:hAnsi="Arial" w:cs="Arial"/>
          <w:i/>
        </w:rPr>
        <w:t>Lancet</w:t>
      </w:r>
      <w:r w:rsidRPr="00642995">
        <w:rPr>
          <w:rFonts w:ascii="Arial" w:hAnsi="Arial" w:cs="Arial"/>
        </w:rPr>
        <w:t>.</w:t>
      </w:r>
      <w:proofErr w:type="gramEnd"/>
      <w:r w:rsidR="00642995">
        <w:rPr>
          <w:rFonts w:ascii="Arial" w:hAnsi="Arial" w:cs="Arial"/>
        </w:rPr>
        <w:t xml:space="preserve"> </w:t>
      </w:r>
      <w:r w:rsidRPr="00642995">
        <w:rPr>
          <w:rFonts w:ascii="Arial" w:hAnsi="Arial" w:cs="Arial"/>
          <w:b/>
        </w:rPr>
        <w:t>359</w:t>
      </w:r>
      <w:r w:rsidRPr="00642995">
        <w:rPr>
          <w:rFonts w:ascii="Arial" w:hAnsi="Arial" w:cs="Arial"/>
        </w:rPr>
        <w:t>:1121-2</w:t>
      </w:r>
      <w:r w:rsidR="00642995">
        <w:rPr>
          <w:rFonts w:ascii="Arial" w:hAnsi="Arial" w:cs="Arial"/>
        </w:rPr>
        <w:t>.</w:t>
      </w:r>
    </w:p>
    <w:p w:rsidR="0044607E" w:rsidRPr="00642995" w:rsidRDefault="0044607E" w:rsidP="00642995">
      <w:pPr>
        <w:spacing w:line="480" w:lineRule="auto"/>
        <w:jc w:val="both"/>
        <w:rPr>
          <w:rStyle w:val="mixed-citation"/>
          <w:rFonts w:ascii="Arial" w:hAnsi="Arial" w:cs="Arial"/>
          <w:lang w:val="en"/>
        </w:rPr>
      </w:pPr>
      <w:r w:rsidRPr="00642995">
        <w:rPr>
          <w:rStyle w:val="mixed-citation"/>
          <w:rFonts w:ascii="Arial" w:hAnsi="Arial" w:cs="Arial"/>
          <w:lang w:val="en"/>
        </w:rPr>
        <w:lastRenderedPageBreak/>
        <w:t xml:space="preserve">Hung SI, Chung WH, </w:t>
      </w:r>
      <w:proofErr w:type="spellStart"/>
      <w:r w:rsidRPr="00642995">
        <w:rPr>
          <w:rStyle w:val="mixed-citation"/>
          <w:rFonts w:ascii="Arial" w:hAnsi="Arial" w:cs="Arial"/>
          <w:lang w:val="en"/>
        </w:rPr>
        <w:t>Liou</w:t>
      </w:r>
      <w:proofErr w:type="spellEnd"/>
      <w:r w:rsidRPr="00642995">
        <w:rPr>
          <w:rStyle w:val="mixed-citation"/>
          <w:rFonts w:ascii="Arial" w:hAnsi="Arial" w:cs="Arial"/>
          <w:lang w:val="en"/>
        </w:rPr>
        <w:t xml:space="preserve"> LB, </w:t>
      </w:r>
      <w:r w:rsidR="00642995" w:rsidRPr="00642995">
        <w:rPr>
          <w:rStyle w:val="apple-converted-space"/>
          <w:rFonts w:ascii="Arial" w:hAnsi="Arial" w:cs="Arial"/>
          <w:color w:val="000000"/>
          <w:shd w:val="clear" w:color="auto" w:fill="FFFFFF"/>
        </w:rPr>
        <w:t> </w:t>
      </w:r>
      <w:r w:rsidR="00642995" w:rsidRPr="00642995">
        <w:rPr>
          <w:rFonts w:ascii="Arial" w:hAnsi="Arial" w:cs="Arial"/>
          <w:shd w:val="clear" w:color="auto" w:fill="FFFFFF"/>
        </w:rPr>
        <w:t>Chu CC</w:t>
      </w:r>
      <w:r w:rsidR="00642995" w:rsidRPr="00642995">
        <w:rPr>
          <w:rFonts w:ascii="Arial" w:hAnsi="Arial" w:cs="Arial"/>
          <w:color w:val="000000"/>
          <w:shd w:val="clear" w:color="auto" w:fill="FFFFFF"/>
        </w:rPr>
        <w:t>,</w:t>
      </w:r>
      <w:r w:rsidR="00642995" w:rsidRPr="00642995">
        <w:rPr>
          <w:rStyle w:val="apple-converted-space"/>
          <w:rFonts w:ascii="Arial" w:hAnsi="Arial" w:cs="Arial"/>
          <w:color w:val="000000"/>
          <w:shd w:val="clear" w:color="auto" w:fill="FFFFFF"/>
        </w:rPr>
        <w:t> </w:t>
      </w:r>
      <w:r w:rsidR="00642995" w:rsidRPr="00642995">
        <w:rPr>
          <w:rFonts w:ascii="Arial" w:hAnsi="Arial" w:cs="Arial"/>
          <w:shd w:val="clear" w:color="auto" w:fill="FFFFFF"/>
        </w:rPr>
        <w:t>Lin M</w:t>
      </w:r>
      <w:r w:rsidR="00642995" w:rsidRPr="00642995">
        <w:rPr>
          <w:rFonts w:ascii="Arial" w:hAnsi="Arial" w:cs="Arial"/>
          <w:color w:val="000000"/>
          <w:shd w:val="clear" w:color="auto" w:fill="FFFFFF"/>
        </w:rPr>
        <w:t>,</w:t>
      </w:r>
      <w:r w:rsidR="00642995" w:rsidRPr="00642995">
        <w:rPr>
          <w:rStyle w:val="apple-converted-space"/>
          <w:rFonts w:ascii="Arial" w:hAnsi="Arial" w:cs="Arial"/>
          <w:color w:val="000000"/>
          <w:shd w:val="clear" w:color="auto" w:fill="FFFFFF"/>
        </w:rPr>
        <w:t> </w:t>
      </w:r>
      <w:r w:rsidR="00642995" w:rsidRPr="00642995">
        <w:rPr>
          <w:rFonts w:ascii="Arial" w:hAnsi="Arial" w:cs="Arial"/>
          <w:shd w:val="clear" w:color="auto" w:fill="FFFFFF"/>
        </w:rPr>
        <w:t>Huang HP</w:t>
      </w:r>
      <w:r w:rsidR="00642995" w:rsidRPr="00642995">
        <w:rPr>
          <w:rFonts w:ascii="Arial" w:hAnsi="Arial" w:cs="Arial"/>
          <w:color w:val="000000"/>
          <w:shd w:val="clear" w:color="auto" w:fill="FFFFFF"/>
        </w:rPr>
        <w:t>,</w:t>
      </w:r>
      <w:r w:rsidR="00642995" w:rsidRPr="00642995">
        <w:rPr>
          <w:rStyle w:val="apple-converted-space"/>
          <w:rFonts w:ascii="Arial" w:hAnsi="Arial" w:cs="Arial"/>
          <w:color w:val="000000"/>
          <w:shd w:val="clear" w:color="auto" w:fill="FFFFFF"/>
        </w:rPr>
        <w:t> </w:t>
      </w:r>
      <w:r w:rsidR="00642995" w:rsidRPr="00642995">
        <w:rPr>
          <w:rFonts w:ascii="Arial" w:hAnsi="Arial" w:cs="Arial"/>
          <w:shd w:val="clear" w:color="auto" w:fill="FFFFFF"/>
        </w:rPr>
        <w:t>Lin YL</w:t>
      </w:r>
      <w:r w:rsidR="00642995" w:rsidRPr="00642995">
        <w:rPr>
          <w:rFonts w:ascii="Arial" w:hAnsi="Arial" w:cs="Arial"/>
          <w:color w:val="000000"/>
          <w:shd w:val="clear" w:color="auto" w:fill="FFFFFF"/>
        </w:rPr>
        <w:t>,</w:t>
      </w:r>
      <w:r w:rsidR="00642995" w:rsidRPr="00642995">
        <w:rPr>
          <w:rStyle w:val="apple-converted-space"/>
          <w:rFonts w:ascii="Arial" w:hAnsi="Arial" w:cs="Arial"/>
          <w:color w:val="000000"/>
          <w:shd w:val="clear" w:color="auto" w:fill="FFFFFF"/>
        </w:rPr>
        <w:t> </w:t>
      </w:r>
      <w:proofErr w:type="spellStart"/>
      <w:r w:rsidR="00642995" w:rsidRPr="00642995">
        <w:rPr>
          <w:rFonts w:ascii="Arial" w:hAnsi="Arial" w:cs="Arial"/>
          <w:shd w:val="clear" w:color="auto" w:fill="FFFFFF"/>
        </w:rPr>
        <w:t>Lan</w:t>
      </w:r>
      <w:proofErr w:type="spellEnd"/>
      <w:r w:rsidR="00642995" w:rsidRPr="00642995">
        <w:rPr>
          <w:rFonts w:ascii="Arial" w:hAnsi="Arial" w:cs="Arial"/>
          <w:shd w:val="clear" w:color="auto" w:fill="FFFFFF"/>
        </w:rPr>
        <w:t xml:space="preserve"> JL</w:t>
      </w:r>
      <w:r w:rsidR="00642995" w:rsidRPr="00642995">
        <w:rPr>
          <w:rFonts w:ascii="Arial" w:hAnsi="Arial" w:cs="Arial"/>
          <w:color w:val="000000"/>
          <w:shd w:val="clear" w:color="auto" w:fill="FFFFFF"/>
        </w:rPr>
        <w:t>,</w:t>
      </w:r>
      <w:r w:rsidR="00642995" w:rsidRPr="00642995">
        <w:rPr>
          <w:rStyle w:val="apple-converted-space"/>
          <w:rFonts w:ascii="Arial" w:hAnsi="Arial" w:cs="Arial"/>
          <w:color w:val="000000"/>
          <w:shd w:val="clear" w:color="auto" w:fill="FFFFFF"/>
        </w:rPr>
        <w:t> </w:t>
      </w:r>
      <w:r w:rsidR="00642995" w:rsidRPr="00642995">
        <w:rPr>
          <w:rFonts w:ascii="Arial" w:hAnsi="Arial" w:cs="Arial"/>
          <w:shd w:val="clear" w:color="auto" w:fill="FFFFFF"/>
        </w:rPr>
        <w:t>Yang LC</w:t>
      </w:r>
      <w:r w:rsidR="00642995" w:rsidRPr="00642995">
        <w:rPr>
          <w:rFonts w:ascii="Arial" w:hAnsi="Arial" w:cs="Arial"/>
          <w:color w:val="000000"/>
          <w:shd w:val="clear" w:color="auto" w:fill="FFFFFF"/>
        </w:rPr>
        <w:t>,</w:t>
      </w:r>
      <w:r w:rsidR="00642995" w:rsidRPr="00642995">
        <w:rPr>
          <w:rStyle w:val="apple-converted-space"/>
          <w:rFonts w:ascii="Arial" w:hAnsi="Arial" w:cs="Arial"/>
          <w:color w:val="000000"/>
          <w:shd w:val="clear" w:color="auto" w:fill="FFFFFF"/>
        </w:rPr>
        <w:t> </w:t>
      </w:r>
      <w:r w:rsidR="00642995" w:rsidRPr="00642995">
        <w:rPr>
          <w:rFonts w:ascii="Arial" w:hAnsi="Arial" w:cs="Arial"/>
          <w:shd w:val="clear" w:color="auto" w:fill="FFFFFF"/>
        </w:rPr>
        <w:t>Hong HS</w:t>
      </w:r>
      <w:r w:rsidR="00642995" w:rsidRPr="00642995">
        <w:rPr>
          <w:rFonts w:ascii="Arial" w:hAnsi="Arial" w:cs="Arial"/>
          <w:color w:val="000000"/>
          <w:shd w:val="clear" w:color="auto" w:fill="FFFFFF"/>
        </w:rPr>
        <w:t>,</w:t>
      </w:r>
      <w:r w:rsidR="00642995" w:rsidRPr="00642995">
        <w:rPr>
          <w:rStyle w:val="mixed-citation"/>
          <w:rFonts w:ascii="Arial" w:hAnsi="Arial" w:cs="Arial"/>
          <w:lang w:val="en"/>
        </w:rPr>
        <w:t xml:space="preserve"> </w:t>
      </w:r>
      <w:r w:rsidRPr="00642995">
        <w:rPr>
          <w:rStyle w:val="mixed-citation"/>
          <w:rFonts w:ascii="Arial" w:hAnsi="Arial" w:cs="Arial"/>
          <w:i/>
          <w:lang w:val="en"/>
        </w:rPr>
        <w:t>et al.</w:t>
      </w:r>
      <w:r w:rsidRPr="00642995">
        <w:rPr>
          <w:rStyle w:val="mixed-citation"/>
          <w:rFonts w:ascii="Arial" w:hAnsi="Arial" w:cs="Arial"/>
          <w:lang w:val="en"/>
        </w:rPr>
        <w:t xml:space="preserve"> </w:t>
      </w:r>
      <w:r w:rsidR="00642995">
        <w:rPr>
          <w:rStyle w:val="mixed-citation"/>
          <w:rFonts w:ascii="Arial" w:hAnsi="Arial" w:cs="Arial"/>
          <w:lang w:val="en"/>
        </w:rPr>
        <w:t xml:space="preserve">(2005) </w:t>
      </w:r>
      <w:r w:rsidRPr="00642995">
        <w:rPr>
          <w:rStyle w:val="mixed-citation"/>
          <w:rFonts w:ascii="Arial" w:hAnsi="Arial" w:cs="Arial"/>
          <w:lang w:val="en"/>
        </w:rPr>
        <w:t xml:space="preserve">HLA-B*5801 allele as a genetic marker for severe cutaneous adverse reactions caused by allopurinol. </w:t>
      </w:r>
      <w:proofErr w:type="spellStart"/>
      <w:r w:rsidRPr="00642995">
        <w:rPr>
          <w:rStyle w:val="ref-journal"/>
          <w:rFonts w:ascii="Arial" w:hAnsi="Arial" w:cs="Arial"/>
          <w:i/>
          <w:lang w:val="en"/>
        </w:rPr>
        <w:t>Proc</w:t>
      </w:r>
      <w:proofErr w:type="spellEnd"/>
      <w:r w:rsidRPr="00642995">
        <w:rPr>
          <w:rStyle w:val="ref-journal"/>
          <w:rFonts w:ascii="Arial" w:hAnsi="Arial" w:cs="Arial"/>
          <w:i/>
          <w:lang w:val="en"/>
        </w:rPr>
        <w:t xml:space="preserve"> </w:t>
      </w:r>
      <w:proofErr w:type="spellStart"/>
      <w:r w:rsidRPr="00642995">
        <w:rPr>
          <w:rStyle w:val="ref-journal"/>
          <w:rFonts w:ascii="Arial" w:hAnsi="Arial" w:cs="Arial"/>
          <w:i/>
          <w:lang w:val="en"/>
        </w:rPr>
        <w:t>Natl</w:t>
      </w:r>
      <w:proofErr w:type="spellEnd"/>
      <w:r w:rsidRPr="00642995">
        <w:rPr>
          <w:rStyle w:val="ref-journal"/>
          <w:rFonts w:ascii="Arial" w:hAnsi="Arial" w:cs="Arial"/>
          <w:i/>
          <w:lang w:val="en"/>
        </w:rPr>
        <w:t xml:space="preserve"> </w:t>
      </w:r>
      <w:proofErr w:type="spellStart"/>
      <w:r w:rsidRPr="00642995">
        <w:rPr>
          <w:rStyle w:val="ref-journal"/>
          <w:rFonts w:ascii="Arial" w:hAnsi="Arial" w:cs="Arial"/>
          <w:i/>
          <w:lang w:val="en"/>
        </w:rPr>
        <w:t>Acad</w:t>
      </w:r>
      <w:proofErr w:type="spellEnd"/>
      <w:r w:rsidRPr="00642995">
        <w:rPr>
          <w:rStyle w:val="ref-journal"/>
          <w:rFonts w:ascii="Arial" w:hAnsi="Arial" w:cs="Arial"/>
          <w:i/>
          <w:lang w:val="en"/>
        </w:rPr>
        <w:t xml:space="preserve"> </w:t>
      </w:r>
      <w:proofErr w:type="spellStart"/>
      <w:r w:rsidRPr="00642995">
        <w:rPr>
          <w:rStyle w:val="ref-journal"/>
          <w:rFonts w:ascii="Arial" w:hAnsi="Arial" w:cs="Arial"/>
          <w:i/>
          <w:lang w:val="en"/>
        </w:rPr>
        <w:t>Sci</w:t>
      </w:r>
      <w:proofErr w:type="spellEnd"/>
      <w:r w:rsidRPr="00642995">
        <w:rPr>
          <w:rStyle w:val="ref-journal"/>
          <w:rFonts w:ascii="Arial" w:hAnsi="Arial" w:cs="Arial"/>
          <w:i/>
          <w:lang w:val="en"/>
        </w:rPr>
        <w:t xml:space="preserve"> U S </w:t>
      </w:r>
      <w:proofErr w:type="gramStart"/>
      <w:r w:rsidRPr="00642995">
        <w:rPr>
          <w:rStyle w:val="ref-journal"/>
          <w:rFonts w:ascii="Arial" w:hAnsi="Arial" w:cs="Arial"/>
          <w:i/>
          <w:lang w:val="en"/>
        </w:rPr>
        <w:t>A</w:t>
      </w:r>
      <w:proofErr w:type="gramEnd"/>
      <w:r w:rsidR="00642995">
        <w:rPr>
          <w:rStyle w:val="ref-journal"/>
          <w:rFonts w:ascii="Arial" w:hAnsi="Arial" w:cs="Arial"/>
          <w:i/>
          <w:lang w:val="en"/>
        </w:rPr>
        <w:t xml:space="preserve"> </w:t>
      </w:r>
      <w:r w:rsidRPr="00642995">
        <w:rPr>
          <w:rStyle w:val="ref-vol"/>
          <w:rFonts w:ascii="Arial" w:hAnsi="Arial" w:cs="Arial"/>
          <w:b/>
          <w:lang w:val="en"/>
        </w:rPr>
        <w:t>102</w:t>
      </w:r>
      <w:r w:rsidRPr="00642995">
        <w:rPr>
          <w:rStyle w:val="mixed-citation"/>
          <w:rFonts w:ascii="Arial" w:hAnsi="Arial" w:cs="Arial"/>
          <w:lang w:val="en"/>
        </w:rPr>
        <w:t>:4134-9</w:t>
      </w:r>
      <w:r w:rsidR="00642995">
        <w:rPr>
          <w:rStyle w:val="mixed-citation"/>
          <w:rFonts w:ascii="Arial" w:hAnsi="Arial" w:cs="Arial"/>
          <w:lang w:val="en"/>
        </w:rPr>
        <w:t>.</w:t>
      </w:r>
    </w:p>
    <w:p w:rsidR="0044607E" w:rsidRPr="00642995" w:rsidRDefault="0044607E" w:rsidP="00642995">
      <w:pPr>
        <w:shd w:val="clear" w:color="auto" w:fill="FFFFFF"/>
        <w:spacing w:after="0" w:line="480" w:lineRule="auto"/>
        <w:jc w:val="both"/>
        <w:rPr>
          <w:rFonts w:ascii="Arial" w:eastAsia="Times New Roman" w:hAnsi="Arial" w:cs="Arial"/>
          <w:lang w:eastAsia="en-GB"/>
        </w:rPr>
      </w:pPr>
      <w:r w:rsidRPr="00642995">
        <w:rPr>
          <w:rFonts w:ascii="Arial" w:hAnsi="Arial" w:cs="Arial"/>
          <w:lang w:eastAsia="en-GB"/>
        </w:rPr>
        <w:t xml:space="preserve">Illing PT, Vivian JP, Purcell AW, </w:t>
      </w:r>
      <w:proofErr w:type="spellStart"/>
      <w:r w:rsidRPr="00642995">
        <w:rPr>
          <w:rFonts w:ascii="Arial" w:hAnsi="Arial" w:cs="Arial"/>
          <w:lang w:eastAsia="en-GB"/>
        </w:rPr>
        <w:t>Rossjohn</w:t>
      </w:r>
      <w:proofErr w:type="spellEnd"/>
      <w:r w:rsidRPr="00642995">
        <w:rPr>
          <w:rFonts w:ascii="Arial" w:hAnsi="Arial" w:cs="Arial"/>
          <w:lang w:eastAsia="en-GB"/>
        </w:rPr>
        <w:t xml:space="preserve"> J, </w:t>
      </w:r>
      <w:proofErr w:type="spellStart"/>
      <w:r w:rsidRPr="00642995">
        <w:rPr>
          <w:rFonts w:ascii="Arial" w:hAnsi="Arial" w:cs="Arial"/>
          <w:lang w:eastAsia="en-GB"/>
        </w:rPr>
        <w:t>McCluskey</w:t>
      </w:r>
      <w:proofErr w:type="spellEnd"/>
      <w:r w:rsidRPr="00642995">
        <w:rPr>
          <w:rFonts w:ascii="Arial" w:hAnsi="Arial" w:cs="Arial"/>
          <w:lang w:eastAsia="en-GB"/>
        </w:rPr>
        <w:t xml:space="preserve"> J.</w:t>
      </w:r>
      <w:r w:rsidR="00642995">
        <w:rPr>
          <w:rFonts w:ascii="Arial" w:hAnsi="Arial" w:cs="Arial"/>
          <w:lang w:eastAsia="en-GB"/>
        </w:rPr>
        <w:t xml:space="preserve"> (2013) </w:t>
      </w:r>
      <w:r w:rsidRPr="00642995">
        <w:rPr>
          <w:rFonts w:ascii="Arial" w:eastAsia="Times New Roman" w:hAnsi="Arial" w:cs="Arial"/>
          <w:bCs/>
          <w:kern w:val="36"/>
          <w:lang w:eastAsia="en-GB"/>
        </w:rPr>
        <w:t>Human leukocyte antigen-associated drug hypersensitivity.</w:t>
      </w:r>
      <w:r w:rsidRPr="00642995">
        <w:rPr>
          <w:rFonts w:ascii="Arial" w:eastAsia="Times New Roman" w:hAnsi="Arial" w:cs="Arial"/>
          <w:lang w:eastAsia="en-GB"/>
        </w:rPr>
        <w:t xml:space="preserve"> </w:t>
      </w:r>
      <w:proofErr w:type="spellStart"/>
      <w:proofErr w:type="gramStart"/>
      <w:r w:rsidRPr="00642995">
        <w:rPr>
          <w:rFonts w:ascii="Arial" w:eastAsia="Times New Roman" w:hAnsi="Arial" w:cs="Arial"/>
          <w:i/>
          <w:lang w:eastAsia="en-GB"/>
        </w:rPr>
        <w:t>Curr</w:t>
      </w:r>
      <w:proofErr w:type="spellEnd"/>
      <w:r w:rsidRPr="00642995">
        <w:rPr>
          <w:rFonts w:ascii="Arial" w:eastAsia="Times New Roman" w:hAnsi="Arial" w:cs="Arial"/>
          <w:i/>
          <w:lang w:eastAsia="en-GB"/>
        </w:rPr>
        <w:t xml:space="preserve"> </w:t>
      </w:r>
      <w:proofErr w:type="spellStart"/>
      <w:r w:rsidRPr="00642995">
        <w:rPr>
          <w:rFonts w:ascii="Arial" w:eastAsia="Times New Roman" w:hAnsi="Arial" w:cs="Arial"/>
          <w:i/>
          <w:lang w:eastAsia="en-GB"/>
        </w:rPr>
        <w:t>Opin</w:t>
      </w:r>
      <w:proofErr w:type="spellEnd"/>
      <w:r w:rsidRPr="00642995">
        <w:rPr>
          <w:rFonts w:ascii="Arial" w:eastAsia="Times New Roman" w:hAnsi="Arial" w:cs="Arial"/>
          <w:i/>
          <w:lang w:eastAsia="en-GB"/>
        </w:rPr>
        <w:t xml:space="preserve"> </w:t>
      </w:r>
      <w:proofErr w:type="spellStart"/>
      <w:r w:rsidRPr="00642995">
        <w:rPr>
          <w:rFonts w:ascii="Arial" w:eastAsia="Times New Roman" w:hAnsi="Arial" w:cs="Arial"/>
          <w:i/>
          <w:lang w:eastAsia="en-GB"/>
        </w:rPr>
        <w:t>Immunol</w:t>
      </w:r>
      <w:proofErr w:type="spellEnd"/>
      <w:r w:rsidRPr="00642995">
        <w:rPr>
          <w:rFonts w:ascii="Arial" w:eastAsia="Times New Roman" w:hAnsi="Arial" w:cs="Arial"/>
          <w:i/>
          <w:lang w:eastAsia="en-GB"/>
        </w:rPr>
        <w:t>.</w:t>
      </w:r>
      <w:proofErr w:type="gramEnd"/>
      <w:r w:rsidRPr="00642995">
        <w:rPr>
          <w:rFonts w:ascii="Arial" w:eastAsia="Times New Roman" w:hAnsi="Arial" w:cs="Arial"/>
          <w:lang w:eastAsia="en-GB"/>
        </w:rPr>
        <w:t xml:space="preserve"> </w:t>
      </w:r>
      <w:r w:rsidRPr="00642995">
        <w:rPr>
          <w:rFonts w:ascii="Arial" w:eastAsia="Times New Roman" w:hAnsi="Arial" w:cs="Arial"/>
          <w:b/>
          <w:lang w:eastAsia="en-GB"/>
        </w:rPr>
        <w:t>25</w:t>
      </w:r>
      <w:r w:rsidRPr="00642995">
        <w:rPr>
          <w:rFonts w:ascii="Arial" w:eastAsia="Times New Roman" w:hAnsi="Arial" w:cs="Arial"/>
          <w:lang w:eastAsia="en-GB"/>
        </w:rPr>
        <w:t>:81-9.</w:t>
      </w:r>
    </w:p>
    <w:p w:rsidR="0044607E" w:rsidRPr="00642995" w:rsidRDefault="0044607E" w:rsidP="00642995">
      <w:pPr>
        <w:spacing w:line="480" w:lineRule="auto"/>
        <w:jc w:val="both"/>
        <w:rPr>
          <w:rFonts w:ascii="Arial" w:hAnsi="Arial" w:cs="Arial"/>
        </w:rPr>
      </w:pPr>
      <w:proofErr w:type="spellStart"/>
      <w:r w:rsidRPr="00642995">
        <w:rPr>
          <w:rFonts w:ascii="Arial" w:hAnsi="Arial" w:cs="Arial"/>
          <w:bCs/>
        </w:rPr>
        <w:t>Jahn</w:t>
      </w:r>
      <w:proofErr w:type="spellEnd"/>
      <w:r w:rsidRPr="00642995">
        <w:rPr>
          <w:rFonts w:ascii="Arial" w:hAnsi="Arial" w:cs="Arial"/>
        </w:rPr>
        <w:t xml:space="preserve"> S, Faber H, </w:t>
      </w:r>
      <w:proofErr w:type="spellStart"/>
      <w:r w:rsidRPr="00642995">
        <w:rPr>
          <w:rFonts w:ascii="Arial" w:hAnsi="Arial" w:cs="Arial"/>
        </w:rPr>
        <w:t>Zazzeroni</w:t>
      </w:r>
      <w:proofErr w:type="spellEnd"/>
      <w:r w:rsidRPr="00642995">
        <w:rPr>
          <w:rFonts w:ascii="Arial" w:hAnsi="Arial" w:cs="Arial"/>
        </w:rPr>
        <w:t xml:space="preserve"> R, Karst U. </w:t>
      </w:r>
      <w:r w:rsidR="00642995">
        <w:rPr>
          <w:rFonts w:ascii="Arial" w:hAnsi="Arial" w:cs="Arial"/>
        </w:rPr>
        <w:t xml:space="preserve">(2012) </w:t>
      </w:r>
      <w:r w:rsidRPr="00642995">
        <w:rPr>
          <w:rFonts w:ascii="Arial" w:hAnsi="Arial" w:cs="Arial"/>
        </w:rPr>
        <w:t xml:space="preserve">Electrochemistry/mass spectrometry as a tool in the investigation of the potent skin sensitizer </w:t>
      </w:r>
      <w:r w:rsidRPr="00642995">
        <w:rPr>
          <w:rFonts w:ascii="Arial" w:hAnsi="Arial" w:cs="Arial"/>
          <w:bCs/>
        </w:rPr>
        <w:t>p-</w:t>
      </w:r>
      <w:proofErr w:type="spellStart"/>
      <w:r w:rsidRPr="00642995">
        <w:rPr>
          <w:rFonts w:ascii="Arial" w:hAnsi="Arial" w:cs="Arial"/>
          <w:bCs/>
        </w:rPr>
        <w:t>phenylenediamine</w:t>
      </w:r>
      <w:proofErr w:type="spellEnd"/>
      <w:r w:rsidRPr="00642995">
        <w:rPr>
          <w:rFonts w:ascii="Arial" w:hAnsi="Arial" w:cs="Arial"/>
        </w:rPr>
        <w:t xml:space="preserve"> and its reactivity toward nucleophiles. </w:t>
      </w:r>
      <w:proofErr w:type="gramStart"/>
      <w:r w:rsidRPr="00642995">
        <w:rPr>
          <w:rStyle w:val="jrnl"/>
          <w:rFonts w:ascii="Arial" w:hAnsi="Arial" w:cs="Arial"/>
          <w:i/>
        </w:rPr>
        <w:t xml:space="preserve">Rapid </w:t>
      </w:r>
      <w:proofErr w:type="spellStart"/>
      <w:r w:rsidRPr="00642995">
        <w:rPr>
          <w:rStyle w:val="jrnl"/>
          <w:rFonts w:ascii="Arial" w:hAnsi="Arial" w:cs="Arial"/>
          <w:i/>
        </w:rPr>
        <w:t>Commun</w:t>
      </w:r>
      <w:proofErr w:type="spellEnd"/>
      <w:r w:rsidRPr="00642995">
        <w:rPr>
          <w:rStyle w:val="jrnl"/>
          <w:rFonts w:ascii="Arial" w:hAnsi="Arial" w:cs="Arial"/>
          <w:i/>
        </w:rPr>
        <w:t xml:space="preserve"> Mass </w:t>
      </w:r>
      <w:proofErr w:type="spellStart"/>
      <w:r w:rsidRPr="00642995">
        <w:rPr>
          <w:rStyle w:val="jrnl"/>
          <w:rFonts w:ascii="Arial" w:hAnsi="Arial" w:cs="Arial"/>
          <w:i/>
        </w:rPr>
        <w:t>Spectrom</w:t>
      </w:r>
      <w:proofErr w:type="spellEnd"/>
      <w:r w:rsidRPr="00642995">
        <w:rPr>
          <w:rFonts w:ascii="Arial" w:hAnsi="Arial" w:cs="Arial"/>
        </w:rPr>
        <w:t>.</w:t>
      </w:r>
      <w:proofErr w:type="gramEnd"/>
      <w:r w:rsidRPr="00642995">
        <w:rPr>
          <w:rFonts w:ascii="Arial" w:hAnsi="Arial" w:cs="Arial"/>
        </w:rPr>
        <w:t xml:space="preserve"> </w:t>
      </w:r>
      <w:r w:rsidRPr="00642995">
        <w:rPr>
          <w:rFonts w:ascii="Arial" w:hAnsi="Arial" w:cs="Arial"/>
          <w:b/>
        </w:rPr>
        <w:t>26</w:t>
      </w:r>
      <w:r w:rsidRPr="00642995">
        <w:rPr>
          <w:rFonts w:ascii="Arial" w:hAnsi="Arial" w:cs="Arial"/>
        </w:rPr>
        <w:t>:1453-64</w:t>
      </w:r>
      <w:r w:rsidR="00642995">
        <w:rPr>
          <w:rFonts w:ascii="Arial" w:hAnsi="Arial" w:cs="Arial"/>
        </w:rPr>
        <w:t>.</w:t>
      </w:r>
    </w:p>
    <w:p w:rsidR="0044607E" w:rsidRPr="00642995" w:rsidRDefault="0044607E" w:rsidP="00642995">
      <w:pPr>
        <w:spacing w:line="480" w:lineRule="auto"/>
        <w:jc w:val="both"/>
        <w:rPr>
          <w:rFonts w:ascii="Arial" w:hAnsi="Arial" w:cs="Arial"/>
        </w:rPr>
      </w:pPr>
      <w:r w:rsidRPr="00642995">
        <w:rPr>
          <w:rFonts w:ascii="Arial" w:hAnsi="Arial" w:cs="Arial"/>
        </w:rPr>
        <w:t xml:space="preserve">Jenkins RE, Yaseen FS, </w:t>
      </w:r>
      <w:proofErr w:type="spellStart"/>
      <w:r w:rsidRPr="00642995">
        <w:rPr>
          <w:rFonts w:ascii="Arial" w:hAnsi="Arial" w:cs="Arial"/>
        </w:rPr>
        <w:t>Monshi</w:t>
      </w:r>
      <w:proofErr w:type="spellEnd"/>
      <w:r w:rsidRPr="00642995">
        <w:rPr>
          <w:rFonts w:ascii="Arial" w:hAnsi="Arial" w:cs="Arial"/>
        </w:rPr>
        <w:t xml:space="preserve"> MM, Whitaker P, Meng X, Farrell J, </w:t>
      </w:r>
      <w:proofErr w:type="spellStart"/>
      <w:r w:rsidRPr="00642995">
        <w:rPr>
          <w:rFonts w:ascii="Arial" w:hAnsi="Arial" w:cs="Arial"/>
        </w:rPr>
        <w:t>Hamlett</w:t>
      </w:r>
      <w:proofErr w:type="spellEnd"/>
      <w:r w:rsidRPr="00642995">
        <w:rPr>
          <w:rFonts w:ascii="Arial" w:hAnsi="Arial" w:cs="Arial"/>
        </w:rPr>
        <w:t xml:space="preserve"> J,  Sanderson JP, El-</w:t>
      </w:r>
      <w:proofErr w:type="spellStart"/>
      <w:r w:rsidRPr="00642995">
        <w:rPr>
          <w:rFonts w:ascii="Arial" w:hAnsi="Arial" w:cs="Arial"/>
        </w:rPr>
        <w:t>Ghaiesh</w:t>
      </w:r>
      <w:proofErr w:type="spellEnd"/>
      <w:r w:rsidRPr="00642995">
        <w:rPr>
          <w:rFonts w:ascii="Arial" w:hAnsi="Arial" w:cs="Arial"/>
        </w:rPr>
        <w:t xml:space="preserve"> S, Peckham D, </w:t>
      </w:r>
      <w:r w:rsidR="00642995">
        <w:rPr>
          <w:rFonts w:ascii="Arial" w:hAnsi="Arial" w:cs="Arial"/>
          <w:i/>
        </w:rPr>
        <w:t>et al</w:t>
      </w:r>
      <w:r w:rsidRPr="00642995">
        <w:rPr>
          <w:rFonts w:ascii="Arial" w:hAnsi="Arial" w:cs="Arial"/>
        </w:rPr>
        <w:t xml:space="preserve">. </w:t>
      </w:r>
      <w:r w:rsidR="00642995">
        <w:rPr>
          <w:rFonts w:ascii="Arial" w:hAnsi="Arial" w:cs="Arial"/>
        </w:rPr>
        <w:t xml:space="preserve">(2013) </w:t>
      </w:r>
      <w:r w:rsidRPr="00642995">
        <w:rPr>
          <w:rFonts w:ascii="Arial" w:hAnsi="Arial" w:cs="Arial"/>
        </w:rPr>
        <w:t xml:space="preserve">β-Lactam antibiotics form distinct </w:t>
      </w:r>
      <w:proofErr w:type="spellStart"/>
      <w:r w:rsidRPr="00642995">
        <w:rPr>
          <w:rFonts w:ascii="Arial" w:hAnsi="Arial" w:cs="Arial"/>
        </w:rPr>
        <w:t>haptenic</w:t>
      </w:r>
      <w:proofErr w:type="spellEnd"/>
      <w:r w:rsidRPr="00642995">
        <w:rPr>
          <w:rFonts w:ascii="Arial" w:hAnsi="Arial" w:cs="Arial"/>
        </w:rPr>
        <w:t xml:space="preserve"> structures on albumin and activate drug-specific T-lymphocyte responses in </w:t>
      </w:r>
      <w:proofErr w:type="spellStart"/>
      <w:r w:rsidRPr="00642995">
        <w:rPr>
          <w:rFonts w:ascii="Arial" w:hAnsi="Arial" w:cs="Arial"/>
        </w:rPr>
        <w:t>multiallergic</w:t>
      </w:r>
      <w:proofErr w:type="spellEnd"/>
      <w:r w:rsidRPr="00642995">
        <w:rPr>
          <w:rFonts w:ascii="Arial" w:hAnsi="Arial" w:cs="Arial"/>
        </w:rPr>
        <w:t xml:space="preserve"> patients with cystic fibrosis. </w:t>
      </w:r>
      <w:proofErr w:type="spellStart"/>
      <w:proofErr w:type="gramStart"/>
      <w:r w:rsidRPr="00642995">
        <w:rPr>
          <w:rFonts w:ascii="Arial" w:hAnsi="Arial" w:cs="Arial"/>
          <w:i/>
        </w:rPr>
        <w:t>Chem</w:t>
      </w:r>
      <w:proofErr w:type="spellEnd"/>
      <w:r w:rsidRPr="00642995">
        <w:rPr>
          <w:rFonts w:ascii="Arial" w:hAnsi="Arial" w:cs="Arial"/>
          <w:i/>
        </w:rPr>
        <w:t xml:space="preserve"> Res Toxicol.</w:t>
      </w:r>
      <w:proofErr w:type="gramEnd"/>
      <w:r w:rsidRPr="00642995">
        <w:rPr>
          <w:rFonts w:ascii="Arial" w:hAnsi="Arial" w:cs="Arial"/>
        </w:rPr>
        <w:t xml:space="preserve"> </w:t>
      </w:r>
      <w:r w:rsidRPr="00642995">
        <w:rPr>
          <w:rFonts w:ascii="Arial" w:hAnsi="Arial" w:cs="Arial"/>
          <w:b/>
        </w:rPr>
        <w:t>26</w:t>
      </w:r>
      <w:r w:rsidRPr="00642995">
        <w:rPr>
          <w:rFonts w:ascii="Arial" w:hAnsi="Arial" w:cs="Arial"/>
        </w:rPr>
        <w:t>:963-75.</w:t>
      </w:r>
    </w:p>
    <w:p w:rsidR="00C3786B" w:rsidRPr="00642995" w:rsidRDefault="0044607E" w:rsidP="00642995">
      <w:pPr>
        <w:spacing w:line="480" w:lineRule="auto"/>
        <w:jc w:val="both"/>
        <w:rPr>
          <w:rFonts w:ascii="Arial" w:hAnsi="Arial" w:cs="Arial"/>
        </w:rPr>
      </w:pPr>
      <w:r w:rsidRPr="00642995">
        <w:rPr>
          <w:rFonts w:ascii="Arial" w:hAnsi="Arial" w:cs="Arial"/>
        </w:rPr>
        <w:t xml:space="preserve">Jenkinson C, Jenkins RE, </w:t>
      </w:r>
      <w:proofErr w:type="spellStart"/>
      <w:r w:rsidRPr="00642995">
        <w:rPr>
          <w:rFonts w:ascii="Arial" w:hAnsi="Arial" w:cs="Arial"/>
        </w:rPr>
        <w:t>Aleksic</w:t>
      </w:r>
      <w:proofErr w:type="spellEnd"/>
      <w:r w:rsidRPr="00642995">
        <w:rPr>
          <w:rFonts w:ascii="Arial" w:hAnsi="Arial" w:cs="Arial"/>
        </w:rPr>
        <w:t xml:space="preserve"> M, Pirmohamed M, Naisbitt DJ, Park BK. </w:t>
      </w:r>
      <w:r w:rsidR="00642995">
        <w:rPr>
          <w:rFonts w:ascii="Arial" w:hAnsi="Arial" w:cs="Arial"/>
        </w:rPr>
        <w:t xml:space="preserve">(2010) </w:t>
      </w:r>
      <w:r w:rsidRPr="00642995">
        <w:rPr>
          <w:rFonts w:ascii="Arial" w:hAnsi="Arial" w:cs="Arial"/>
        </w:rPr>
        <w:t>Characterization of p-</w:t>
      </w:r>
      <w:proofErr w:type="spellStart"/>
      <w:r w:rsidRPr="00642995">
        <w:rPr>
          <w:rFonts w:ascii="Arial" w:hAnsi="Arial" w:cs="Arial"/>
        </w:rPr>
        <w:t>phenylenediamine</w:t>
      </w:r>
      <w:proofErr w:type="spellEnd"/>
      <w:r w:rsidRPr="00642995">
        <w:rPr>
          <w:rFonts w:ascii="Arial" w:hAnsi="Arial" w:cs="Arial"/>
        </w:rPr>
        <w:t xml:space="preserve">-albumin binding sites and T-cell responses to </w:t>
      </w:r>
      <w:proofErr w:type="spellStart"/>
      <w:r w:rsidRPr="00642995">
        <w:rPr>
          <w:rFonts w:ascii="Arial" w:hAnsi="Arial" w:cs="Arial"/>
        </w:rPr>
        <w:t>hapten</w:t>
      </w:r>
      <w:proofErr w:type="spellEnd"/>
      <w:r w:rsidRPr="00642995">
        <w:rPr>
          <w:rFonts w:ascii="Arial" w:hAnsi="Arial" w:cs="Arial"/>
        </w:rPr>
        <w:t xml:space="preserve">-modified protein. </w:t>
      </w:r>
      <w:r w:rsidRPr="00642995">
        <w:rPr>
          <w:rFonts w:ascii="Arial" w:hAnsi="Arial" w:cs="Arial"/>
          <w:i/>
        </w:rPr>
        <w:t xml:space="preserve">J Invest </w:t>
      </w:r>
      <w:proofErr w:type="spellStart"/>
      <w:r w:rsidRPr="00642995">
        <w:rPr>
          <w:rFonts w:ascii="Arial" w:hAnsi="Arial" w:cs="Arial"/>
          <w:i/>
        </w:rPr>
        <w:t>Dermatol</w:t>
      </w:r>
      <w:proofErr w:type="spellEnd"/>
      <w:r w:rsidRPr="00642995">
        <w:rPr>
          <w:rFonts w:ascii="Arial" w:hAnsi="Arial" w:cs="Arial"/>
          <w:i/>
        </w:rPr>
        <w:t>.</w:t>
      </w:r>
      <w:r w:rsidRPr="00642995">
        <w:rPr>
          <w:rFonts w:ascii="Arial" w:hAnsi="Arial" w:cs="Arial"/>
        </w:rPr>
        <w:t xml:space="preserve"> </w:t>
      </w:r>
      <w:r w:rsidRPr="00642995">
        <w:rPr>
          <w:rFonts w:ascii="Arial" w:hAnsi="Arial" w:cs="Arial"/>
          <w:b/>
        </w:rPr>
        <w:t>130</w:t>
      </w:r>
      <w:r w:rsidRPr="00642995">
        <w:rPr>
          <w:rFonts w:ascii="Arial" w:hAnsi="Arial" w:cs="Arial"/>
        </w:rPr>
        <w:t>:732-42</w:t>
      </w:r>
      <w:r w:rsidR="00642995">
        <w:rPr>
          <w:rFonts w:ascii="Arial" w:hAnsi="Arial" w:cs="Arial"/>
        </w:rPr>
        <w:t>.</w:t>
      </w:r>
    </w:p>
    <w:p w:rsidR="0044607E" w:rsidRPr="00642995" w:rsidRDefault="00C3786B" w:rsidP="00642995">
      <w:pPr>
        <w:spacing w:line="480" w:lineRule="auto"/>
        <w:jc w:val="both"/>
        <w:rPr>
          <w:rFonts w:ascii="Arial" w:hAnsi="Arial" w:cs="Arial"/>
        </w:rPr>
      </w:pPr>
      <w:r w:rsidRPr="00642995">
        <w:rPr>
          <w:rFonts w:ascii="Arial" w:hAnsi="Arial" w:cs="Arial"/>
          <w:noProof/>
        </w:rPr>
        <w:t>Karton A, and Martin JM</w:t>
      </w:r>
      <w:r w:rsidR="00642995">
        <w:rPr>
          <w:rFonts w:ascii="Arial" w:hAnsi="Arial" w:cs="Arial"/>
          <w:noProof/>
        </w:rPr>
        <w:t>. (2012)</w:t>
      </w:r>
      <w:r w:rsidRPr="00642995">
        <w:rPr>
          <w:rFonts w:ascii="Arial" w:hAnsi="Arial" w:cs="Arial"/>
          <w:noProof/>
        </w:rPr>
        <w:t xml:space="preserve"> Comment on "Revised electron affi</w:t>
      </w:r>
      <w:r w:rsidR="00642995">
        <w:rPr>
          <w:rFonts w:ascii="Arial" w:hAnsi="Arial" w:cs="Arial"/>
          <w:noProof/>
        </w:rPr>
        <w:t xml:space="preserve">nity of SF6 from kinetic data. </w:t>
      </w:r>
      <w:r w:rsidRPr="00642995">
        <w:rPr>
          <w:rFonts w:ascii="Arial" w:hAnsi="Arial" w:cs="Arial"/>
          <w:i/>
          <w:noProof/>
        </w:rPr>
        <w:t>J Chem Phys</w:t>
      </w:r>
      <w:r w:rsidRPr="00642995">
        <w:rPr>
          <w:rFonts w:ascii="Arial" w:hAnsi="Arial" w:cs="Arial"/>
          <w:noProof/>
        </w:rPr>
        <w:t xml:space="preserve"> </w:t>
      </w:r>
      <w:r w:rsidRPr="00642995">
        <w:rPr>
          <w:rFonts w:ascii="Arial" w:hAnsi="Arial" w:cs="Arial"/>
          <w:b/>
          <w:noProof/>
        </w:rPr>
        <w:t>136</w:t>
      </w:r>
      <w:r w:rsidRPr="00642995">
        <w:rPr>
          <w:rFonts w:ascii="Arial" w:hAnsi="Arial" w:cs="Arial"/>
          <w:noProof/>
        </w:rPr>
        <w:t>, 197101.</w:t>
      </w:r>
    </w:p>
    <w:p w:rsidR="0044607E" w:rsidRPr="00642995" w:rsidRDefault="0044607E" w:rsidP="00642995">
      <w:pPr>
        <w:spacing w:line="480" w:lineRule="auto"/>
        <w:jc w:val="both"/>
        <w:rPr>
          <w:rFonts w:ascii="Arial" w:hAnsi="Arial" w:cs="Arial"/>
          <w:lang w:eastAsia="en-GB"/>
        </w:rPr>
      </w:pPr>
      <w:r w:rsidRPr="00642995">
        <w:rPr>
          <w:rFonts w:ascii="Arial" w:hAnsi="Arial" w:cs="Arial"/>
          <w:lang w:eastAsia="en-GB"/>
        </w:rPr>
        <w:t xml:space="preserve">Kim SH, Saide K, Farrell J, Faulkner L, Tailor A, </w:t>
      </w:r>
      <w:r w:rsidRPr="00642995">
        <w:rPr>
          <w:rFonts w:ascii="Arial" w:hAnsi="Arial" w:cs="Arial"/>
          <w:bCs/>
          <w:lang w:eastAsia="en-GB"/>
        </w:rPr>
        <w:t>Ogese M</w:t>
      </w:r>
      <w:r w:rsidRPr="00642995">
        <w:rPr>
          <w:rFonts w:ascii="Arial" w:hAnsi="Arial" w:cs="Arial"/>
          <w:lang w:eastAsia="en-GB"/>
        </w:rPr>
        <w:t xml:space="preserve">, Daly AK, Pirmohamed M, Park BK, Naisbitt DJ. </w:t>
      </w:r>
      <w:proofErr w:type="gramStart"/>
      <w:r w:rsidR="00642995">
        <w:rPr>
          <w:rFonts w:ascii="Arial" w:hAnsi="Arial" w:cs="Arial"/>
          <w:lang w:eastAsia="en-GB"/>
        </w:rPr>
        <w:t xml:space="preserve">(2015) </w:t>
      </w:r>
      <w:r w:rsidRPr="00642995">
        <w:rPr>
          <w:rFonts w:ascii="Arial" w:hAnsi="Arial" w:cs="Arial"/>
          <w:lang w:eastAsia="en-GB"/>
        </w:rPr>
        <w:t xml:space="preserve">Characterization of amoxicillin- and </w:t>
      </w:r>
      <w:proofErr w:type="spellStart"/>
      <w:r w:rsidRPr="00642995">
        <w:rPr>
          <w:rFonts w:ascii="Arial" w:hAnsi="Arial" w:cs="Arial"/>
          <w:lang w:eastAsia="en-GB"/>
        </w:rPr>
        <w:t>clavulanic</w:t>
      </w:r>
      <w:proofErr w:type="spellEnd"/>
      <w:r w:rsidRPr="00642995">
        <w:rPr>
          <w:rFonts w:ascii="Arial" w:hAnsi="Arial" w:cs="Arial"/>
          <w:lang w:eastAsia="en-GB"/>
        </w:rPr>
        <w:t xml:space="preserve"> acid-specific T cells in patients with amoxicillin-</w:t>
      </w:r>
      <w:proofErr w:type="spellStart"/>
      <w:r w:rsidRPr="00642995">
        <w:rPr>
          <w:rFonts w:ascii="Arial" w:hAnsi="Arial" w:cs="Arial"/>
          <w:lang w:eastAsia="en-GB"/>
        </w:rPr>
        <w:t>clavulanate</w:t>
      </w:r>
      <w:proofErr w:type="spellEnd"/>
      <w:r w:rsidRPr="00642995">
        <w:rPr>
          <w:rFonts w:ascii="Arial" w:hAnsi="Arial" w:cs="Arial"/>
          <w:lang w:eastAsia="en-GB"/>
        </w:rPr>
        <w:t>-induced liver injury.</w:t>
      </w:r>
      <w:proofErr w:type="gramEnd"/>
      <w:r w:rsidRPr="00642995">
        <w:rPr>
          <w:rFonts w:ascii="Arial" w:hAnsi="Arial" w:cs="Arial"/>
          <w:lang w:eastAsia="en-GB"/>
        </w:rPr>
        <w:t xml:space="preserve"> </w:t>
      </w:r>
      <w:proofErr w:type="spellStart"/>
      <w:proofErr w:type="gramStart"/>
      <w:r w:rsidRPr="00642995">
        <w:rPr>
          <w:rFonts w:ascii="Arial" w:hAnsi="Arial" w:cs="Arial"/>
          <w:i/>
          <w:lang w:eastAsia="en-GB"/>
        </w:rPr>
        <w:t>Hepatology</w:t>
      </w:r>
      <w:proofErr w:type="spellEnd"/>
      <w:r w:rsidRPr="00642995">
        <w:rPr>
          <w:rFonts w:ascii="Arial" w:hAnsi="Arial" w:cs="Arial"/>
          <w:lang w:eastAsia="en-GB"/>
        </w:rPr>
        <w:t>.</w:t>
      </w:r>
      <w:proofErr w:type="gramEnd"/>
      <w:r w:rsidRPr="00642995">
        <w:rPr>
          <w:rFonts w:ascii="Arial" w:hAnsi="Arial" w:cs="Arial"/>
          <w:lang w:eastAsia="en-GB"/>
        </w:rPr>
        <w:t xml:space="preserve"> </w:t>
      </w:r>
      <w:r w:rsidRPr="00642995">
        <w:rPr>
          <w:rFonts w:ascii="Arial" w:hAnsi="Arial" w:cs="Arial"/>
          <w:b/>
          <w:lang w:eastAsia="en-GB"/>
        </w:rPr>
        <w:t>62</w:t>
      </w:r>
      <w:r w:rsidRPr="00642995">
        <w:rPr>
          <w:rFonts w:ascii="Arial" w:hAnsi="Arial" w:cs="Arial"/>
          <w:lang w:eastAsia="en-GB"/>
        </w:rPr>
        <w:t>:887-99.</w:t>
      </w:r>
    </w:p>
    <w:p w:rsidR="0044607E" w:rsidRPr="00642995" w:rsidRDefault="0044607E" w:rsidP="00642995">
      <w:pPr>
        <w:spacing w:line="480" w:lineRule="auto"/>
        <w:jc w:val="both"/>
        <w:rPr>
          <w:rFonts w:ascii="Arial" w:hAnsi="Arial" w:cs="Arial"/>
          <w:lang w:eastAsia="en-GB"/>
        </w:rPr>
      </w:pPr>
      <w:proofErr w:type="spellStart"/>
      <w:r w:rsidRPr="00642995">
        <w:rPr>
          <w:rFonts w:ascii="Arial" w:hAnsi="Arial" w:cs="Arial"/>
          <w:bCs/>
          <w:lang w:eastAsia="en-GB"/>
        </w:rPr>
        <w:t>Kindmark</w:t>
      </w:r>
      <w:proofErr w:type="spellEnd"/>
      <w:r w:rsidRPr="00642995">
        <w:rPr>
          <w:rFonts w:ascii="Arial" w:hAnsi="Arial" w:cs="Arial"/>
          <w:lang w:eastAsia="en-GB"/>
        </w:rPr>
        <w:t xml:space="preserve"> A, </w:t>
      </w:r>
      <w:proofErr w:type="spellStart"/>
      <w:r w:rsidRPr="00642995">
        <w:rPr>
          <w:rFonts w:ascii="Arial" w:hAnsi="Arial" w:cs="Arial"/>
          <w:lang w:eastAsia="en-GB"/>
        </w:rPr>
        <w:t>Jawaid</w:t>
      </w:r>
      <w:proofErr w:type="spellEnd"/>
      <w:r w:rsidRPr="00642995">
        <w:rPr>
          <w:rFonts w:ascii="Arial" w:hAnsi="Arial" w:cs="Arial"/>
          <w:lang w:eastAsia="en-GB"/>
        </w:rPr>
        <w:t xml:space="preserve"> A, </w:t>
      </w:r>
      <w:proofErr w:type="spellStart"/>
      <w:r w:rsidRPr="00642995">
        <w:rPr>
          <w:rFonts w:ascii="Arial" w:hAnsi="Arial" w:cs="Arial"/>
          <w:lang w:eastAsia="en-GB"/>
        </w:rPr>
        <w:t>Harbron</w:t>
      </w:r>
      <w:proofErr w:type="spellEnd"/>
      <w:r w:rsidRPr="00642995">
        <w:rPr>
          <w:rFonts w:ascii="Arial" w:hAnsi="Arial" w:cs="Arial"/>
          <w:lang w:eastAsia="en-GB"/>
        </w:rPr>
        <w:t xml:space="preserve"> CG, Barratt BJ, </w:t>
      </w:r>
      <w:proofErr w:type="spellStart"/>
      <w:r w:rsidRPr="00642995">
        <w:rPr>
          <w:rFonts w:ascii="Arial" w:hAnsi="Arial" w:cs="Arial"/>
          <w:lang w:eastAsia="en-GB"/>
        </w:rPr>
        <w:t>Bengtsson</w:t>
      </w:r>
      <w:proofErr w:type="spellEnd"/>
      <w:r w:rsidRPr="00642995">
        <w:rPr>
          <w:rFonts w:ascii="Arial" w:hAnsi="Arial" w:cs="Arial"/>
          <w:lang w:eastAsia="en-GB"/>
        </w:rPr>
        <w:t xml:space="preserve"> OF, </w:t>
      </w:r>
      <w:proofErr w:type="spellStart"/>
      <w:r w:rsidRPr="00642995">
        <w:rPr>
          <w:rFonts w:ascii="Arial" w:hAnsi="Arial" w:cs="Arial"/>
          <w:lang w:eastAsia="en-GB"/>
        </w:rPr>
        <w:t>Andersson</w:t>
      </w:r>
      <w:proofErr w:type="spellEnd"/>
      <w:r w:rsidRPr="00642995">
        <w:rPr>
          <w:rFonts w:ascii="Arial" w:hAnsi="Arial" w:cs="Arial"/>
          <w:lang w:eastAsia="en-GB"/>
        </w:rPr>
        <w:t xml:space="preserve"> TB, </w:t>
      </w:r>
      <w:proofErr w:type="spellStart"/>
      <w:r w:rsidRPr="00642995">
        <w:rPr>
          <w:rFonts w:ascii="Arial" w:hAnsi="Arial" w:cs="Arial"/>
          <w:lang w:eastAsia="en-GB"/>
        </w:rPr>
        <w:t>Carlsson</w:t>
      </w:r>
      <w:proofErr w:type="spellEnd"/>
      <w:r w:rsidRPr="00642995">
        <w:rPr>
          <w:rFonts w:ascii="Arial" w:hAnsi="Arial" w:cs="Arial"/>
          <w:lang w:eastAsia="en-GB"/>
        </w:rPr>
        <w:t xml:space="preserve"> S, </w:t>
      </w:r>
      <w:proofErr w:type="spellStart"/>
      <w:r w:rsidRPr="00642995">
        <w:rPr>
          <w:rFonts w:ascii="Arial" w:hAnsi="Arial" w:cs="Arial"/>
          <w:lang w:eastAsia="en-GB"/>
        </w:rPr>
        <w:t>Cederbrant</w:t>
      </w:r>
      <w:proofErr w:type="spellEnd"/>
      <w:r w:rsidRPr="00642995">
        <w:rPr>
          <w:rFonts w:ascii="Arial" w:hAnsi="Arial" w:cs="Arial"/>
          <w:lang w:eastAsia="en-GB"/>
        </w:rPr>
        <w:t xml:space="preserve"> KE, Gibson NJ, Armstrong M, </w:t>
      </w:r>
      <w:r w:rsidR="003143CC">
        <w:rPr>
          <w:rFonts w:ascii="Arial" w:hAnsi="Arial" w:cs="Arial"/>
          <w:i/>
          <w:lang w:eastAsia="en-GB"/>
        </w:rPr>
        <w:t>et al.</w:t>
      </w:r>
      <w:r w:rsidRPr="00642995">
        <w:rPr>
          <w:rFonts w:ascii="Arial" w:hAnsi="Arial" w:cs="Arial"/>
          <w:lang w:eastAsia="en-GB"/>
        </w:rPr>
        <w:t xml:space="preserve"> </w:t>
      </w:r>
      <w:r w:rsidR="003143CC">
        <w:rPr>
          <w:rFonts w:ascii="Arial" w:hAnsi="Arial" w:cs="Arial"/>
          <w:lang w:eastAsia="en-GB"/>
        </w:rPr>
        <w:t xml:space="preserve">(2008) </w:t>
      </w:r>
      <w:r w:rsidRPr="00642995">
        <w:rPr>
          <w:rFonts w:ascii="Arial" w:hAnsi="Arial" w:cs="Arial"/>
          <w:lang w:eastAsia="en-GB"/>
        </w:rPr>
        <w:t xml:space="preserve">Genome-wide </w:t>
      </w:r>
      <w:proofErr w:type="spellStart"/>
      <w:r w:rsidRPr="00642995">
        <w:rPr>
          <w:rFonts w:ascii="Arial" w:hAnsi="Arial" w:cs="Arial"/>
          <w:lang w:eastAsia="en-GB"/>
        </w:rPr>
        <w:t>pharmacogenetic</w:t>
      </w:r>
      <w:proofErr w:type="spellEnd"/>
      <w:r w:rsidRPr="00642995">
        <w:rPr>
          <w:rFonts w:ascii="Arial" w:hAnsi="Arial" w:cs="Arial"/>
          <w:lang w:eastAsia="en-GB"/>
        </w:rPr>
        <w:t xml:space="preserve"> investigation of a hepatic adverse event without clinical signs of immunopathology suggests an underlying immune pathogenesis. </w:t>
      </w:r>
      <w:r w:rsidRPr="003143CC">
        <w:rPr>
          <w:rFonts w:ascii="Arial" w:hAnsi="Arial" w:cs="Arial"/>
          <w:i/>
          <w:lang w:eastAsia="en-GB"/>
        </w:rPr>
        <w:t>Pharmacogenomics J.</w:t>
      </w:r>
      <w:r w:rsidRPr="00642995">
        <w:rPr>
          <w:rFonts w:ascii="Arial" w:hAnsi="Arial" w:cs="Arial"/>
          <w:bCs/>
          <w:lang w:eastAsia="en-GB"/>
        </w:rPr>
        <w:t xml:space="preserve"> </w:t>
      </w:r>
      <w:r w:rsidRPr="003143CC">
        <w:rPr>
          <w:rFonts w:ascii="Arial" w:hAnsi="Arial" w:cs="Arial"/>
          <w:b/>
          <w:lang w:eastAsia="en-GB"/>
        </w:rPr>
        <w:t>8</w:t>
      </w:r>
      <w:r w:rsidRPr="00642995">
        <w:rPr>
          <w:rFonts w:ascii="Arial" w:hAnsi="Arial" w:cs="Arial"/>
          <w:lang w:eastAsia="en-GB"/>
        </w:rPr>
        <w:t>:186-95</w:t>
      </w:r>
    </w:p>
    <w:p w:rsidR="0044607E" w:rsidRPr="003143CC" w:rsidRDefault="0044607E" w:rsidP="003143CC">
      <w:pPr>
        <w:spacing w:line="480" w:lineRule="auto"/>
        <w:jc w:val="both"/>
        <w:rPr>
          <w:rFonts w:ascii="Arial" w:hAnsi="Arial" w:cs="Arial"/>
        </w:rPr>
      </w:pPr>
      <w:proofErr w:type="spellStart"/>
      <w:r w:rsidRPr="003143CC">
        <w:rPr>
          <w:rFonts w:ascii="Arial" w:hAnsi="Arial" w:cs="Arial"/>
        </w:rPr>
        <w:lastRenderedPageBreak/>
        <w:t>Ko</w:t>
      </w:r>
      <w:proofErr w:type="spellEnd"/>
      <w:r w:rsidRPr="003143CC">
        <w:rPr>
          <w:rFonts w:ascii="Arial" w:hAnsi="Arial" w:cs="Arial"/>
        </w:rPr>
        <w:t xml:space="preserve"> TM, Chung WH, Wei CY, Shih HY, Chen JK, Lin CH, Chen YT, Hung SI. </w:t>
      </w:r>
      <w:r w:rsidR="003143CC">
        <w:rPr>
          <w:rFonts w:ascii="Arial" w:hAnsi="Arial" w:cs="Arial"/>
        </w:rPr>
        <w:t xml:space="preserve">(2011) </w:t>
      </w:r>
      <w:r w:rsidRPr="003143CC">
        <w:rPr>
          <w:rFonts w:ascii="Arial" w:hAnsi="Arial" w:cs="Arial"/>
        </w:rPr>
        <w:t xml:space="preserve">Shared and restricted T-cell receptor use is crucial for carbamazepine-induced Stevens-Johnson syndrome. </w:t>
      </w:r>
      <w:proofErr w:type="gramStart"/>
      <w:r w:rsidRPr="003143CC">
        <w:rPr>
          <w:rStyle w:val="jrnl"/>
          <w:rFonts w:ascii="Arial" w:hAnsi="Arial" w:cs="Arial"/>
          <w:i/>
        </w:rPr>
        <w:t xml:space="preserve">J Allergy </w:t>
      </w:r>
      <w:proofErr w:type="spellStart"/>
      <w:r w:rsidRPr="003143CC">
        <w:rPr>
          <w:rStyle w:val="jrnl"/>
          <w:rFonts w:ascii="Arial" w:hAnsi="Arial" w:cs="Arial"/>
          <w:i/>
        </w:rPr>
        <w:t>Clin</w:t>
      </w:r>
      <w:proofErr w:type="spellEnd"/>
      <w:r w:rsidRPr="003143CC">
        <w:rPr>
          <w:rStyle w:val="jrnl"/>
          <w:rFonts w:ascii="Arial" w:hAnsi="Arial" w:cs="Arial"/>
          <w:i/>
        </w:rPr>
        <w:t xml:space="preserve"> </w:t>
      </w:r>
      <w:proofErr w:type="spellStart"/>
      <w:r w:rsidRPr="003143CC">
        <w:rPr>
          <w:rStyle w:val="jrnl"/>
          <w:rFonts w:ascii="Arial" w:hAnsi="Arial" w:cs="Arial"/>
          <w:i/>
        </w:rPr>
        <w:t>Immunol</w:t>
      </w:r>
      <w:proofErr w:type="spellEnd"/>
      <w:r w:rsidRPr="003143CC">
        <w:rPr>
          <w:rFonts w:ascii="Arial" w:hAnsi="Arial" w:cs="Arial"/>
          <w:i/>
        </w:rPr>
        <w:t>.</w:t>
      </w:r>
      <w:proofErr w:type="gramEnd"/>
      <w:r w:rsidRPr="003143CC">
        <w:rPr>
          <w:rFonts w:ascii="Arial" w:hAnsi="Arial" w:cs="Arial"/>
        </w:rPr>
        <w:t xml:space="preserve"> </w:t>
      </w:r>
      <w:r w:rsidRPr="003143CC">
        <w:rPr>
          <w:rFonts w:ascii="Arial" w:hAnsi="Arial" w:cs="Arial"/>
          <w:b/>
        </w:rPr>
        <w:t>128</w:t>
      </w:r>
      <w:r w:rsidRPr="003143CC">
        <w:rPr>
          <w:rFonts w:ascii="Arial" w:hAnsi="Arial" w:cs="Arial"/>
        </w:rPr>
        <w:t>:1266-1276.</w:t>
      </w:r>
    </w:p>
    <w:p w:rsidR="0044607E" w:rsidRPr="003143CC" w:rsidRDefault="0044607E" w:rsidP="003143CC">
      <w:pPr>
        <w:spacing w:line="480" w:lineRule="auto"/>
        <w:jc w:val="both"/>
        <w:rPr>
          <w:rFonts w:ascii="Arial" w:hAnsi="Arial" w:cs="Arial"/>
          <w:lang w:eastAsia="en-GB"/>
        </w:rPr>
      </w:pPr>
      <w:proofErr w:type="spellStart"/>
      <w:r w:rsidRPr="003143CC">
        <w:rPr>
          <w:rFonts w:ascii="Arial" w:hAnsi="Arial" w:cs="Arial"/>
          <w:bCs/>
          <w:lang w:eastAsia="en-GB"/>
        </w:rPr>
        <w:t>Kuechler</w:t>
      </w:r>
      <w:proofErr w:type="spellEnd"/>
      <w:r w:rsidRPr="003143CC">
        <w:rPr>
          <w:rFonts w:ascii="Arial" w:hAnsi="Arial" w:cs="Arial"/>
          <w:lang w:eastAsia="en-GB"/>
        </w:rPr>
        <w:t xml:space="preserve"> PC, </w:t>
      </w:r>
      <w:proofErr w:type="spellStart"/>
      <w:r w:rsidRPr="003143CC">
        <w:rPr>
          <w:rFonts w:ascii="Arial" w:hAnsi="Arial" w:cs="Arial"/>
          <w:lang w:eastAsia="en-GB"/>
        </w:rPr>
        <w:t>Britschgi</w:t>
      </w:r>
      <w:proofErr w:type="spellEnd"/>
      <w:r w:rsidRPr="003143CC">
        <w:rPr>
          <w:rFonts w:ascii="Arial" w:hAnsi="Arial" w:cs="Arial"/>
          <w:lang w:eastAsia="en-GB"/>
        </w:rPr>
        <w:t xml:space="preserve"> M, </w:t>
      </w:r>
      <w:proofErr w:type="spellStart"/>
      <w:r w:rsidRPr="003143CC">
        <w:rPr>
          <w:rFonts w:ascii="Arial" w:hAnsi="Arial" w:cs="Arial"/>
          <w:lang w:eastAsia="en-GB"/>
        </w:rPr>
        <w:t>Schmid</w:t>
      </w:r>
      <w:proofErr w:type="spellEnd"/>
      <w:r w:rsidRPr="003143CC">
        <w:rPr>
          <w:rFonts w:ascii="Arial" w:hAnsi="Arial" w:cs="Arial"/>
          <w:lang w:eastAsia="en-GB"/>
        </w:rPr>
        <w:t xml:space="preserve"> S, </w:t>
      </w:r>
      <w:proofErr w:type="spellStart"/>
      <w:r w:rsidRPr="003143CC">
        <w:rPr>
          <w:rFonts w:ascii="Arial" w:hAnsi="Arial" w:cs="Arial"/>
          <w:lang w:eastAsia="en-GB"/>
        </w:rPr>
        <w:t>Hari</w:t>
      </w:r>
      <w:proofErr w:type="spellEnd"/>
      <w:r w:rsidRPr="003143CC">
        <w:rPr>
          <w:rFonts w:ascii="Arial" w:hAnsi="Arial" w:cs="Arial"/>
          <w:lang w:eastAsia="en-GB"/>
        </w:rPr>
        <w:t xml:space="preserve"> Y, </w:t>
      </w:r>
      <w:proofErr w:type="spellStart"/>
      <w:r w:rsidRPr="003143CC">
        <w:rPr>
          <w:rFonts w:ascii="Arial" w:hAnsi="Arial" w:cs="Arial"/>
          <w:lang w:eastAsia="en-GB"/>
        </w:rPr>
        <w:t>Grabscheid</w:t>
      </w:r>
      <w:proofErr w:type="spellEnd"/>
      <w:r w:rsidRPr="003143CC">
        <w:rPr>
          <w:rFonts w:ascii="Arial" w:hAnsi="Arial" w:cs="Arial"/>
          <w:lang w:eastAsia="en-GB"/>
        </w:rPr>
        <w:t xml:space="preserve"> B, </w:t>
      </w:r>
      <w:proofErr w:type="spellStart"/>
      <w:r w:rsidRPr="003143CC">
        <w:rPr>
          <w:rFonts w:ascii="Arial" w:hAnsi="Arial" w:cs="Arial"/>
          <w:lang w:eastAsia="en-GB"/>
        </w:rPr>
        <w:t>Pichler</w:t>
      </w:r>
      <w:proofErr w:type="spellEnd"/>
      <w:r w:rsidRPr="003143CC">
        <w:rPr>
          <w:rFonts w:ascii="Arial" w:hAnsi="Arial" w:cs="Arial"/>
          <w:lang w:eastAsia="en-GB"/>
        </w:rPr>
        <w:t xml:space="preserve"> WJ. </w:t>
      </w:r>
      <w:r w:rsidR="003143CC" w:rsidRPr="003143CC">
        <w:rPr>
          <w:rFonts w:ascii="Arial" w:hAnsi="Arial" w:cs="Arial"/>
          <w:lang w:eastAsia="en-GB"/>
        </w:rPr>
        <w:t xml:space="preserve">(2004) </w:t>
      </w:r>
      <w:proofErr w:type="gramStart"/>
      <w:r w:rsidRPr="003143CC">
        <w:rPr>
          <w:rFonts w:ascii="Arial" w:hAnsi="Arial" w:cs="Arial"/>
          <w:lang w:eastAsia="en-GB"/>
        </w:rPr>
        <w:t>Cytotoxic</w:t>
      </w:r>
      <w:proofErr w:type="gramEnd"/>
      <w:r w:rsidRPr="003143CC">
        <w:rPr>
          <w:rFonts w:ascii="Arial" w:hAnsi="Arial" w:cs="Arial"/>
          <w:lang w:eastAsia="en-GB"/>
        </w:rPr>
        <w:t xml:space="preserve"> mechanisms in different forms of T-cell-mediated drug allergies. </w:t>
      </w:r>
      <w:proofErr w:type="gramStart"/>
      <w:r w:rsidRPr="003143CC">
        <w:rPr>
          <w:rFonts w:ascii="Arial" w:hAnsi="Arial" w:cs="Arial"/>
          <w:i/>
          <w:lang w:eastAsia="en-GB"/>
        </w:rPr>
        <w:t>Allergy</w:t>
      </w:r>
      <w:r w:rsidRPr="003143CC">
        <w:rPr>
          <w:rFonts w:ascii="Arial" w:hAnsi="Arial" w:cs="Arial"/>
          <w:lang w:eastAsia="en-GB"/>
        </w:rPr>
        <w:t>.</w:t>
      </w:r>
      <w:proofErr w:type="gramEnd"/>
      <w:r w:rsidRPr="003143CC">
        <w:rPr>
          <w:rFonts w:ascii="Arial" w:hAnsi="Arial" w:cs="Arial"/>
          <w:bCs/>
          <w:lang w:eastAsia="en-GB"/>
        </w:rPr>
        <w:t xml:space="preserve"> </w:t>
      </w:r>
      <w:r w:rsidRPr="003143CC">
        <w:rPr>
          <w:rFonts w:ascii="Arial" w:hAnsi="Arial" w:cs="Arial"/>
          <w:b/>
          <w:lang w:eastAsia="en-GB"/>
        </w:rPr>
        <w:t>59</w:t>
      </w:r>
      <w:r w:rsidRPr="003143CC">
        <w:rPr>
          <w:rFonts w:ascii="Arial" w:hAnsi="Arial" w:cs="Arial"/>
          <w:lang w:eastAsia="en-GB"/>
        </w:rPr>
        <w:t>:613-22.</w:t>
      </w:r>
    </w:p>
    <w:p w:rsidR="0044607E" w:rsidRPr="003143CC" w:rsidRDefault="0044607E" w:rsidP="003143CC">
      <w:pPr>
        <w:spacing w:line="480" w:lineRule="auto"/>
        <w:jc w:val="both"/>
        <w:rPr>
          <w:rFonts w:ascii="Arial" w:hAnsi="Arial" w:cs="Arial"/>
          <w:lang w:eastAsia="en-GB"/>
        </w:rPr>
      </w:pPr>
      <w:proofErr w:type="gramStart"/>
      <w:r w:rsidRPr="003143CC">
        <w:rPr>
          <w:rFonts w:ascii="Arial" w:hAnsi="Arial" w:cs="Arial"/>
          <w:lang w:eastAsia="en-GB"/>
        </w:rPr>
        <w:t>Lancaster AK, Single RM, Solberg OD, Nelson MP, Thomson G.</w:t>
      </w:r>
      <w:proofErr w:type="gramEnd"/>
      <w:r w:rsidRPr="003143CC">
        <w:rPr>
          <w:rFonts w:ascii="Arial" w:hAnsi="Arial" w:cs="Arial"/>
          <w:bCs/>
          <w:kern w:val="36"/>
          <w:lang w:eastAsia="en-GB"/>
        </w:rPr>
        <w:t xml:space="preserve">  </w:t>
      </w:r>
      <w:r w:rsidR="003143CC">
        <w:rPr>
          <w:rFonts w:ascii="Arial" w:hAnsi="Arial" w:cs="Arial"/>
          <w:bCs/>
          <w:kern w:val="36"/>
          <w:lang w:eastAsia="en-GB"/>
        </w:rPr>
        <w:t xml:space="preserve">(2007) </w:t>
      </w:r>
      <w:proofErr w:type="spellStart"/>
      <w:r w:rsidRPr="003143CC">
        <w:rPr>
          <w:rFonts w:ascii="Arial" w:hAnsi="Arial" w:cs="Arial"/>
          <w:bCs/>
          <w:kern w:val="36"/>
          <w:lang w:eastAsia="en-GB"/>
        </w:rPr>
        <w:t>PyPop</w:t>
      </w:r>
      <w:proofErr w:type="spellEnd"/>
      <w:r w:rsidRPr="003143CC">
        <w:rPr>
          <w:rFonts w:ascii="Arial" w:hAnsi="Arial" w:cs="Arial"/>
          <w:bCs/>
          <w:kern w:val="36"/>
          <w:lang w:eastAsia="en-GB"/>
        </w:rPr>
        <w:t xml:space="preserve"> update-a software pipeline for large-scale </w:t>
      </w:r>
      <w:proofErr w:type="spellStart"/>
      <w:r w:rsidRPr="003143CC">
        <w:rPr>
          <w:rFonts w:ascii="Arial" w:hAnsi="Arial" w:cs="Arial"/>
          <w:bCs/>
          <w:kern w:val="36"/>
          <w:lang w:eastAsia="en-GB"/>
        </w:rPr>
        <w:t>multilocus</w:t>
      </w:r>
      <w:proofErr w:type="spellEnd"/>
      <w:r w:rsidRPr="003143CC">
        <w:rPr>
          <w:rFonts w:ascii="Arial" w:hAnsi="Arial" w:cs="Arial"/>
          <w:bCs/>
          <w:kern w:val="36"/>
          <w:lang w:eastAsia="en-GB"/>
        </w:rPr>
        <w:t xml:space="preserve"> population genomics.</w:t>
      </w:r>
      <w:r w:rsidRPr="003143CC">
        <w:rPr>
          <w:rFonts w:ascii="Arial" w:hAnsi="Arial" w:cs="Arial"/>
          <w:lang w:eastAsia="en-GB"/>
        </w:rPr>
        <w:t xml:space="preserve"> </w:t>
      </w:r>
      <w:proofErr w:type="gramStart"/>
      <w:r w:rsidRPr="003143CC">
        <w:rPr>
          <w:rFonts w:ascii="Arial" w:hAnsi="Arial" w:cs="Arial"/>
          <w:i/>
          <w:lang w:eastAsia="en-GB"/>
        </w:rPr>
        <w:t>Tissue Antigens.</w:t>
      </w:r>
      <w:proofErr w:type="gramEnd"/>
      <w:r w:rsidRPr="003143CC">
        <w:rPr>
          <w:rFonts w:ascii="Arial" w:hAnsi="Arial" w:cs="Arial"/>
          <w:lang w:eastAsia="en-GB"/>
        </w:rPr>
        <w:t xml:space="preserve"> </w:t>
      </w:r>
      <w:r w:rsidRPr="003143CC">
        <w:rPr>
          <w:rFonts w:ascii="Arial" w:hAnsi="Arial" w:cs="Arial"/>
          <w:b/>
          <w:lang w:eastAsia="en-GB"/>
        </w:rPr>
        <w:t>69</w:t>
      </w:r>
      <w:r w:rsidRPr="003143CC">
        <w:rPr>
          <w:rFonts w:ascii="Arial" w:hAnsi="Arial" w:cs="Arial"/>
          <w:lang w:eastAsia="en-GB"/>
        </w:rPr>
        <w:t>:192-197.</w:t>
      </w:r>
    </w:p>
    <w:p w:rsidR="0044607E" w:rsidRPr="003143CC" w:rsidRDefault="0044607E" w:rsidP="003143CC">
      <w:pPr>
        <w:spacing w:line="480" w:lineRule="auto"/>
        <w:jc w:val="both"/>
        <w:rPr>
          <w:rFonts w:ascii="Arial" w:hAnsi="Arial" w:cs="Arial"/>
        </w:rPr>
      </w:pPr>
      <w:proofErr w:type="spellStart"/>
      <w:r w:rsidRPr="003143CC">
        <w:rPr>
          <w:rFonts w:ascii="Arial" w:hAnsi="Arial" w:cs="Arial"/>
        </w:rPr>
        <w:t>Lichtenfels</w:t>
      </w:r>
      <w:proofErr w:type="spellEnd"/>
      <w:r w:rsidRPr="003143CC">
        <w:rPr>
          <w:rFonts w:ascii="Arial" w:hAnsi="Arial" w:cs="Arial"/>
        </w:rPr>
        <w:t xml:space="preserve"> M, Farrell J, Ogese MO, Bell CC, </w:t>
      </w:r>
      <w:proofErr w:type="spellStart"/>
      <w:r w:rsidRPr="003143CC">
        <w:rPr>
          <w:rFonts w:ascii="Arial" w:hAnsi="Arial" w:cs="Arial"/>
        </w:rPr>
        <w:t>Eckle</w:t>
      </w:r>
      <w:proofErr w:type="spellEnd"/>
      <w:r w:rsidRPr="003143CC">
        <w:rPr>
          <w:rFonts w:ascii="Arial" w:hAnsi="Arial" w:cs="Arial"/>
        </w:rPr>
        <w:t xml:space="preserve"> S, </w:t>
      </w:r>
      <w:proofErr w:type="spellStart"/>
      <w:r w:rsidRPr="003143CC">
        <w:rPr>
          <w:rFonts w:ascii="Arial" w:hAnsi="Arial" w:cs="Arial"/>
        </w:rPr>
        <w:t>McCluskey</w:t>
      </w:r>
      <w:proofErr w:type="spellEnd"/>
      <w:r w:rsidRPr="003143CC">
        <w:rPr>
          <w:rFonts w:ascii="Arial" w:hAnsi="Arial" w:cs="Arial"/>
        </w:rPr>
        <w:t xml:space="preserve"> J, Park BK, Alfirevic A, Naisbitt DJ, Pirmohamed M. </w:t>
      </w:r>
      <w:r w:rsidR="003143CC">
        <w:rPr>
          <w:rFonts w:ascii="Arial" w:hAnsi="Arial" w:cs="Arial"/>
        </w:rPr>
        <w:t xml:space="preserve">(2014) </w:t>
      </w:r>
      <w:r w:rsidRPr="003143CC">
        <w:rPr>
          <w:rFonts w:ascii="Arial" w:hAnsi="Arial" w:cs="Arial"/>
        </w:rPr>
        <w:t xml:space="preserve">HLA Restriction of Carbamazepine-Specific T-Cell Clones from an HLA-A*31:01-Positive Hypersensitive Patient. </w:t>
      </w:r>
      <w:proofErr w:type="spellStart"/>
      <w:proofErr w:type="gramStart"/>
      <w:r w:rsidRPr="003143CC">
        <w:rPr>
          <w:rFonts w:ascii="Arial" w:hAnsi="Arial" w:cs="Arial"/>
          <w:i/>
        </w:rPr>
        <w:t>Chem</w:t>
      </w:r>
      <w:proofErr w:type="spellEnd"/>
      <w:r w:rsidRPr="003143CC">
        <w:rPr>
          <w:rFonts w:ascii="Arial" w:hAnsi="Arial" w:cs="Arial"/>
          <w:i/>
        </w:rPr>
        <w:t xml:space="preserve"> Res Toxicol.</w:t>
      </w:r>
      <w:proofErr w:type="gramEnd"/>
      <w:r w:rsidRPr="003143CC">
        <w:rPr>
          <w:rFonts w:ascii="Arial" w:hAnsi="Arial" w:cs="Arial"/>
        </w:rPr>
        <w:t xml:space="preserve"> </w:t>
      </w:r>
      <w:r w:rsidRPr="003143CC">
        <w:rPr>
          <w:rFonts w:ascii="Arial" w:hAnsi="Arial" w:cs="Arial"/>
          <w:b/>
        </w:rPr>
        <w:t>27</w:t>
      </w:r>
      <w:r w:rsidRPr="003143CC">
        <w:rPr>
          <w:rFonts w:ascii="Arial" w:hAnsi="Arial" w:cs="Arial"/>
        </w:rPr>
        <w:t xml:space="preserve">:175-7. </w:t>
      </w:r>
    </w:p>
    <w:p w:rsidR="0044607E" w:rsidRPr="003143CC" w:rsidRDefault="0044607E" w:rsidP="003143CC">
      <w:pPr>
        <w:spacing w:after="0" w:line="480" w:lineRule="auto"/>
        <w:jc w:val="both"/>
        <w:rPr>
          <w:rFonts w:ascii="Arial" w:eastAsia="Times New Roman" w:hAnsi="Arial" w:cs="Arial"/>
          <w:lang w:val="en" w:eastAsia="en-GB"/>
        </w:rPr>
      </w:pPr>
      <w:r w:rsidRPr="003143CC">
        <w:rPr>
          <w:rFonts w:ascii="Arial" w:eastAsia="Times New Roman" w:hAnsi="Arial" w:cs="Arial"/>
          <w:lang w:val="en" w:eastAsia="en-GB"/>
        </w:rPr>
        <w:t xml:space="preserve">Lin CH, Chen JK, </w:t>
      </w:r>
      <w:proofErr w:type="spellStart"/>
      <w:r w:rsidRPr="003143CC">
        <w:rPr>
          <w:rFonts w:ascii="Arial" w:eastAsia="Times New Roman" w:hAnsi="Arial" w:cs="Arial"/>
          <w:lang w:val="en" w:eastAsia="en-GB"/>
        </w:rPr>
        <w:t>Ko</w:t>
      </w:r>
      <w:proofErr w:type="spellEnd"/>
      <w:r w:rsidRPr="003143CC">
        <w:rPr>
          <w:rFonts w:ascii="Arial" w:eastAsia="Times New Roman" w:hAnsi="Arial" w:cs="Arial"/>
          <w:lang w:val="en" w:eastAsia="en-GB"/>
        </w:rPr>
        <w:t xml:space="preserve"> TM, </w:t>
      </w:r>
      <w:r w:rsidR="003143CC">
        <w:rPr>
          <w:rFonts w:ascii="Arial" w:hAnsi="Arial" w:cs="Arial"/>
          <w:color w:val="000000"/>
          <w:sz w:val="21"/>
          <w:szCs w:val="21"/>
          <w:shd w:val="clear" w:color="auto" w:fill="FFFFFF"/>
        </w:rPr>
        <w:t>Wei CY, Wu JY, Chung WH, Chen SY, Liao YD, Hung SI, Chen YT.</w:t>
      </w:r>
      <w:r w:rsidRPr="003143CC">
        <w:rPr>
          <w:rFonts w:ascii="Arial" w:eastAsia="Times New Roman" w:hAnsi="Arial" w:cs="Arial"/>
          <w:lang w:val="en" w:eastAsia="en-GB"/>
        </w:rPr>
        <w:t xml:space="preserve"> </w:t>
      </w:r>
      <w:r w:rsidR="003143CC">
        <w:rPr>
          <w:rFonts w:ascii="Arial" w:eastAsia="Times New Roman" w:hAnsi="Arial" w:cs="Arial"/>
          <w:lang w:val="en" w:eastAsia="en-GB"/>
        </w:rPr>
        <w:t xml:space="preserve"> (2015) </w:t>
      </w:r>
      <w:r w:rsidRPr="003143CC">
        <w:rPr>
          <w:rFonts w:ascii="Arial" w:eastAsia="Times New Roman" w:hAnsi="Arial" w:cs="Arial"/>
          <w:lang w:val="en" w:eastAsia="en-GB"/>
        </w:rPr>
        <w:t xml:space="preserve">Immunologic basis for allopurinol-induced severe cutaneous adverse reactions: HLA-B*58:01-restricted activation of drug-specific T cells and molecular interaction. </w:t>
      </w:r>
      <w:proofErr w:type="gramStart"/>
      <w:r w:rsidRPr="003143CC">
        <w:rPr>
          <w:rFonts w:ascii="Arial" w:eastAsia="Times New Roman" w:hAnsi="Arial" w:cs="Arial"/>
          <w:i/>
          <w:lang w:val="en" w:eastAsia="en-GB"/>
        </w:rPr>
        <w:t xml:space="preserve">J Allergy </w:t>
      </w:r>
      <w:proofErr w:type="spellStart"/>
      <w:r w:rsidRPr="003143CC">
        <w:rPr>
          <w:rFonts w:ascii="Arial" w:eastAsia="Times New Roman" w:hAnsi="Arial" w:cs="Arial"/>
          <w:i/>
          <w:lang w:val="en" w:eastAsia="en-GB"/>
        </w:rPr>
        <w:t>Clin</w:t>
      </w:r>
      <w:proofErr w:type="spellEnd"/>
      <w:r w:rsidRPr="003143CC">
        <w:rPr>
          <w:rFonts w:ascii="Arial" w:eastAsia="Times New Roman" w:hAnsi="Arial" w:cs="Arial"/>
          <w:i/>
          <w:lang w:val="en" w:eastAsia="en-GB"/>
        </w:rPr>
        <w:t xml:space="preserve"> </w:t>
      </w:r>
      <w:proofErr w:type="spellStart"/>
      <w:r w:rsidRPr="003143CC">
        <w:rPr>
          <w:rFonts w:ascii="Arial" w:eastAsia="Times New Roman" w:hAnsi="Arial" w:cs="Arial"/>
          <w:i/>
          <w:lang w:val="en" w:eastAsia="en-GB"/>
        </w:rPr>
        <w:t>Immunol</w:t>
      </w:r>
      <w:proofErr w:type="spellEnd"/>
      <w:r w:rsidR="003143CC">
        <w:rPr>
          <w:rFonts w:ascii="Arial" w:eastAsia="Times New Roman" w:hAnsi="Arial" w:cs="Arial"/>
          <w:i/>
          <w:lang w:val="en" w:eastAsia="en-GB"/>
        </w:rPr>
        <w:t>.</w:t>
      </w:r>
      <w:proofErr w:type="gramEnd"/>
      <w:r w:rsidR="003143CC">
        <w:rPr>
          <w:rFonts w:ascii="Arial" w:eastAsia="Times New Roman" w:hAnsi="Arial" w:cs="Arial"/>
          <w:i/>
          <w:lang w:val="en" w:eastAsia="en-GB"/>
        </w:rPr>
        <w:t xml:space="preserve"> </w:t>
      </w:r>
      <w:r w:rsidRPr="003143CC">
        <w:rPr>
          <w:rFonts w:ascii="Arial" w:eastAsia="Times New Roman" w:hAnsi="Arial" w:cs="Arial"/>
          <w:b/>
          <w:lang w:val="en" w:eastAsia="en-GB"/>
        </w:rPr>
        <w:t>135</w:t>
      </w:r>
      <w:r w:rsidR="003143CC">
        <w:rPr>
          <w:rFonts w:ascii="Arial" w:eastAsia="Times New Roman" w:hAnsi="Arial" w:cs="Arial"/>
          <w:lang w:val="en" w:eastAsia="en-GB"/>
        </w:rPr>
        <w:t>:1063-5</w:t>
      </w:r>
      <w:r w:rsidRPr="003143CC">
        <w:rPr>
          <w:rFonts w:ascii="Arial" w:eastAsia="Times New Roman" w:hAnsi="Arial" w:cs="Arial"/>
          <w:lang w:val="en" w:eastAsia="en-GB"/>
        </w:rPr>
        <w:t xml:space="preserve">. </w:t>
      </w:r>
    </w:p>
    <w:p w:rsidR="00C3786B" w:rsidRPr="003143CC" w:rsidRDefault="0044607E" w:rsidP="003143CC">
      <w:pPr>
        <w:spacing w:line="480" w:lineRule="auto"/>
        <w:jc w:val="both"/>
        <w:rPr>
          <w:rFonts w:ascii="Arial" w:hAnsi="Arial" w:cs="Arial"/>
        </w:rPr>
      </w:pPr>
      <w:r w:rsidRPr="003143CC">
        <w:rPr>
          <w:rFonts w:ascii="Arial" w:hAnsi="Arial" w:cs="Arial"/>
        </w:rPr>
        <w:t xml:space="preserve">Lucas A, Lucas M, </w:t>
      </w:r>
      <w:proofErr w:type="spellStart"/>
      <w:r w:rsidRPr="003143CC">
        <w:rPr>
          <w:rFonts w:ascii="Arial" w:hAnsi="Arial" w:cs="Arial"/>
        </w:rPr>
        <w:t>Strhyn</w:t>
      </w:r>
      <w:proofErr w:type="spellEnd"/>
      <w:r w:rsidRPr="003143CC">
        <w:rPr>
          <w:rFonts w:ascii="Arial" w:hAnsi="Arial" w:cs="Arial"/>
        </w:rPr>
        <w:t xml:space="preserve"> A, Keane NM, McKinnon E, </w:t>
      </w:r>
      <w:proofErr w:type="spellStart"/>
      <w:r w:rsidRPr="003143CC">
        <w:rPr>
          <w:rFonts w:ascii="Arial" w:hAnsi="Arial" w:cs="Arial"/>
        </w:rPr>
        <w:t>Pavlos</w:t>
      </w:r>
      <w:proofErr w:type="spellEnd"/>
      <w:r w:rsidRPr="003143CC">
        <w:rPr>
          <w:rFonts w:ascii="Arial" w:hAnsi="Arial" w:cs="Arial"/>
        </w:rPr>
        <w:t xml:space="preserve"> R, Moran EM, Meyer-</w:t>
      </w:r>
      <w:proofErr w:type="spellStart"/>
      <w:r w:rsidRPr="003143CC">
        <w:rPr>
          <w:rFonts w:ascii="Arial" w:hAnsi="Arial" w:cs="Arial"/>
        </w:rPr>
        <w:t>Pannwitt</w:t>
      </w:r>
      <w:proofErr w:type="spellEnd"/>
      <w:r w:rsidRPr="003143CC">
        <w:rPr>
          <w:rFonts w:ascii="Arial" w:hAnsi="Arial" w:cs="Arial"/>
        </w:rPr>
        <w:t xml:space="preserve"> V, </w:t>
      </w:r>
      <w:proofErr w:type="spellStart"/>
      <w:r w:rsidRPr="003143CC">
        <w:rPr>
          <w:rFonts w:ascii="Arial" w:hAnsi="Arial" w:cs="Arial"/>
        </w:rPr>
        <w:t>Gaudieri</w:t>
      </w:r>
      <w:proofErr w:type="spellEnd"/>
      <w:r w:rsidRPr="003143CC">
        <w:rPr>
          <w:rFonts w:ascii="Arial" w:hAnsi="Arial" w:cs="Arial"/>
        </w:rPr>
        <w:t xml:space="preserve"> S, </w:t>
      </w:r>
      <w:proofErr w:type="spellStart"/>
      <w:r w:rsidRPr="003143CC">
        <w:rPr>
          <w:rFonts w:ascii="Arial" w:hAnsi="Arial" w:cs="Arial"/>
        </w:rPr>
        <w:t>D'Orsogna</w:t>
      </w:r>
      <w:proofErr w:type="spellEnd"/>
      <w:r w:rsidRPr="003143CC">
        <w:rPr>
          <w:rFonts w:ascii="Arial" w:hAnsi="Arial" w:cs="Arial"/>
        </w:rPr>
        <w:t xml:space="preserve"> L, </w:t>
      </w:r>
      <w:r w:rsidR="003143CC">
        <w:rPr>
          <w:rFonts w:ascii="Arial" w:hAnsi="Arial" w:cs="Arial"/>
          <w:i/>
        </w:rPr>
        <w:t>et al.</w:t>
      </w:r>
      <w:r w:rsidRPr="003143CC">
        <w:rPr>
          <w:rFonts w:ascii="Arial" w:hAnsi="Arial" w:cs="Arial"/>
        </w:rPr>
        <w:t xml:space="preserve"> </w:t>
      </w:r>
      <w:r w:rsidR="003143CC">
        <w:rPr>
          <w:rFonts w:ascii="Arial" w:hAnsi="Arial" w:cs="Arial"/>
        </w:rPr>
        <w:t xml:space="preserve">(2015) </w:t>
      </w:r>
      <w:proofErr w:type="spellStart"/>
      <w:r w:rsidRPr="003143CC">
        <w:rPr>
          <w:rFonts w:ascii="Arial" w:hAnsi="Arial" w:cs="Arial"/>
          <w:bCs/>
        </w:rPr>
        <w:t>Abacavir</w:t>
      </w:r>
      <w:proofErr w:type="spellEnd"/>
      <w:r w:rsidRPr="003143CC">
        <w:rPr>
          <w:rFonts w:ascii="Arial" w:hAnsi="Arial" w:cs="Arial"/>
        </w:rPr>
        <w:t xml:space="preserve">-reactive memory T cells are present in drug naïve individuals. </w:t>
      </w:r>
      <w:proofErr w:type="spellStart"/>
      <w:proofErr w:type="gramStart"/>
      <w:r w:rsidRPr="003143CC">
        <w:rPr>
          <w:rStyle w:val="jrnl"/>
          <w:rFonts w:ascii="Arial" w:hAnsi="Arial" w:cs="Arial"/>
          <w:i/>
        </w:rPr>
        <w:t>PLoS</w:t>
      </w:r>
      <w:proofErr w:type="spellEnd"/>
      <w:r w:rsidRPr="003143CC">
        <w:rPr>
          <w:rStyle w:val="jrnl"/>
          <w:rFonts w:ascii="Arial" w:hAnsi="Arial" w:cs="Arial"/>
          <w:i/>
        </w:rPr>
        <w:t xml:space="preserve"> One</w:t>
      </w:r>
      <w:r w:rsidRPr="003143CC">
        <w:rPr>
          <w:rFonts w:ascii="Arial" w:hAnsi="Arial" w:cs="Arial"/>
        </w:rPr>
        <w:t>.</w:t>
      </w:r>
      <w:proofErr w:type="gramEnd"/>
      <w:r w:rsidRPr="003143CC">
        <w:rPr>
          <w:rFonts w:ascii="Arial" w:hAnsi="Arial" w:cs="Arial"/>
        </w:rPr>
        <w:t xml:space="preserve"> </w:t>
      </w:r>
      <w:r w:rsidRPr="003143CC">
        <w:rPr>
          <w:rFonts w:ascii="Arial" w:hAnsi="Arial" w:cs="Arial"/>
          <w:b/>
        </w:rPr>
        <w:t>10</w:t>
      </w:r>
      <w:r w:rsidRPr="003143CC">
        <w:rPr>
          <w:rFonts w:ascii="Arial" w:hAnsi="Arial" w:cs="Arial"/>
        </w:rPr>
        <w:t>:e0117160.</w:t>
      </w:r>
    </w:p>
    <w:p w:rsidR="00C3786B" w:rsidRPr="003143CC" w:rsidRDefault="0044607E" w:rsidP="003143CC">
      <w:pPr>
        <w:spacing w:line="480" w:lineRule="auto"/>
        <w:jc w:val="both"/>
        <w:rPr>
          <w:rFonts w:ascii="Arial" w:hAnsi="Arial" w:cs="Arial"/>
        </w:rPr>
      </w:pPr>
      <w:proofErr w:type="spellStart"/>
      <w:proofErr w:type="gramStart"/>
      <w:r w:rsidRPr="003143CC">
        <w:rPr>
          <w:rFonts w:ascii="Arial" w:hAnsi="Arial" w:cs="Arial"/>
        </w:rPr>
        <w:t>Mallal</w:t>
      </w:r>
      <w:proofErr w:type="spellEnd"/>
      <w:r w:rsidRPr="003143CC">
        <w:rPr>
          <w:rFonts w:ascii="Arial" w:hAnsi="Arial" w:cs="Arial"/>
        </w:rPr>
        <w:t xml:space="preserve">, S., Nolan, D., Witt, C., </w:t>
      </w:r>
      <w:proofErr w:type="spellStart"/>
      <w:r w:rsidRPr="003143CC">
        <w:rPr>
          <w:rFonts w:ascii="Arial" w:hAnsi="Arial" w:cs="Arial"/>
        </w:rPr>
        <w:t>Masel</w:t>
      </w:r>
      <w:proofErr w:type="spellEnd"/>
      <w:r w:rsidRPr="003143CC">
        <w:rPr>
          <w:rFonts w:ascii="Arial" w:hAnsi="Arial" w:cs="Arial"/>
        </w:rPr>
        <w:t xml:space="preserve">, G., Martin, A.M., Moore, C., Sayer, D., </w:t>
      </w:r>
      <w:proofErr w:type="spellStart"/>
      <w:r w:rsidRPr="003143CC">
        <w:rPr>
          <w:rFonts w:ascii="Arial" w:hAnsi="Arial" w:cs="Arial"/>
        </w:rPr>
        <w:t>Castley</w:t>
      </w:r>
      <w:proofErr w:type="spellEnd"/>
      <w:r w:rsidRPr="003143CC">
        <w:rPr>
          <w:rFonts w:ascii="Arial" w:hAnsi="Arial" w:cs="Arial"/>
        </w:rPr>
        <w:t xml:space="preserve">, A., </w:t>
      </w:r>
      <w:proofErr w:type="spellStart"/>
      <w:r w:rsidRPr="003143CC">
        <w:rPr>
          <w:rFonts w:ascii="Arial" w:hAnsi="Arial" w:cs="Arial"/>
        </w:rPr>
        <w:t>Mamotte</w:t>
      </w:r>
      <w:proofErr w:type="spellEnd"/>
      <w:r w:rsidRPr="003143CC">
        <w:rPr>
          <w:rFonts w:ascii="Arial" w:hAnsi="Arial" w:cs="Arial"/>
        </w:rPr>
        <w:t xml:space="preserve">, C., Maxwell, D., </w:t>
      </w:r>
      <w:r w:rsidR="003143CC">
        <w:rPr>
          <w:rFonts w:ascii="Arial" w:hAnsi="Arial" w:cs="Arial"/>
          <w:i/>
        </w:rPr>
        <w:t>et al</w:t>
      </w:r>
      <w:r w:rsidRPr="003143CC">
        <w:rPr>
          <w:rFonts w:ascii="Arial" w:hAnsi="Arial" w:cs="Arial"/>
        </w:rPr>
        <w:t>. (2002).</w:t>
      </w:r>
      <w:proofErr w:type="gramEnd"/>
      <w:r w:rsidRPr="003143CC">
        <w:rPr>
          <w:rFonts w:ascii="Arial" w:hAnsi="Arial" w:cs="Arial"/>
        </w:rPr>
        <w:t xml:space="preserve"> </w:t>
      </w:r>
      <w:proofErr w:type="gramStart"/>
      <w:r w:rsidRPr="003143CC">
        <w:rPr>
          <w:rFonts w:ascii="Arial" w:hAnsi="Arial" w:cs="Arial"/>
        </w:rPr>
        <w:t xml:space="preserve">Association between presence of HLA-B*5701, HLA-DR7, and HLA-DQ3 and hypersensitivity to HIV-1 reverse-transcriptase inhibitor </w:t>
      </w:r>
      <w:proofErr w:type="spellStart"/>
      <w:r w:rsidRPr="003143CC">
        <w:rPr>
          <w:rFonts w:ascii="Arial" w:hAnsi="Arial" w:cs="Arial"/>
        </w:rPr>
        <w:t>abacavir</w:t>
      </w:r>
      <w:proofErr w:type="spellEnd"/>
      <w:r w:rsidRPr="003143CC">
        <w:rPr>
          <w:rFonts w:ascii="Arial" w:hAnsi="Arial" w:cs="Arial"/>
        </w:rPr>
        <w:t>.</w:t>
      </w:r>
      <w:proofErr w:type="gramEnd"/>
      <w:r w:rsidRPr="003143CC">
        <w:rPr>
          <w:rFonts w:ascii="Arial" w:hAnsi="Arial" w:cs="Arial"/>
        </w:rPr>
        <w:t xml:space="preserve"> </w:t>
      </w:r>
      <w:r w:rsidRPr="003143CC">
        <w:rPr>
          <w:rFonts w:ascii="Arial" w:hAnsi="Arial" w:cs="Arial"/>
          <w:i/>
        </w:rPr>
        <w:t>Lancet</w:t>
      </w:r>
      <w:r w:rsidRPr="003143CC">
        <w:rPr>
          <w:rFonts w:ascii="Arial" w:hAnsi="Arial" w:cs="Arial"/>
        </w:rPr>
        <w:t xml:space="preserve"> </w:t>
      </w:r>
      <w:r w:rsidRPr="003143CC">
        <w:rPr>
          <w:rFonts w:ascii="Arial" w:hAnsi="Arial" w:cs="Arial"/>
          <w:b/>
        </w:rPr>
        <w:t>359,</w:t>
      </w:r>
      <w:r w:rsidRPr="003143CC">
        <w:rPr>
          <w:rFonts w:ascii="Arial" w:hAnsi="Arial" w:cs="Arial"/>
        </w:rPr>
        <w:t xml:space="preserve"> 727-732</w:t>
      </w:r>
      <w:r w:rsidR="00C3786B" w:rsidRPr="003143CC">
        <w:rPr>
          <w:rFonts w:ascii="Arial" w:hAnsi="Arial" w:cs="Arial"/>
        </w:rPr>
        <w:t>.</w:t>
      </w:r>
      <w:r w:rsidR="00C3786B" w:rsidRPr="00231828">
        <w:t xml:space="preserve"> </w:t>
      </w:r>
    </w:p>
    <w:p w:rsidR="00C3786B" w:rsidRPr="003143CC" w:rsidRDefault="00C3786B" w:rsidP="003143CC">
      <w:pPr>
        <w:spacing w:line="480" w:lineRule="auto"/>
        <w:jc w:val="both"/>
        <w:rPr>
          <w:rFonts w:ascii="Arial" w:hAnsi="Arial" w:cs="Arial"/>
        </w:rPr>
      </w:pPr>
      <w:r w:rsidRPr="003143CC">
        <w:rPr>
          <w:rFonts w:ascii="Arial" w:hAnsi="Arial" w:cs="Arial"/>
          <w:noProof/>
        </w:rPr>
        <w:t xml:space="preserve">Mallal, S., Phillips, E., Carosi, G., Molina, J. M., Workman, C., Tomazic, J., Jagel-Guedes, E., Rugina, S., Kozyrev, O., Cid, J. F., </w:t>
      </w:r>
      <w:r w:rsidR="003143CC">
        <w:rPr>
          <w:rFonts w:ascii="Arial" w:hAnsi="Arial" w:cs="Arial"/>
          <w:i/>
          <w:noProof/>
        </w:rPr>
        <w:t>et al</w:t>
      </w:r>
      <w:r w:rsidRPr="003143CC">
        <w:rPr>
          <w:rFonts w:ascii="Arial" w:hAnsi="Arial" w:cs="Arial"/>
          <w:noProof/>
        </w:rPr>
        <w:t xml:space="preserve">. (2008). HLA-B*5701 screening for hypersensitivity to abacavir. </w:t>
      </w:r>
      <w:r w:rsidRPr="003143CC">
        <w:rPr>
          <w:rFonts w:ascii="Arial" w:hAnsi="Arial" w:cs="Arial"/>
          <w:i/>
          <w:noProof/>
        </w:rPr>
        <w:t>N Engl J Med</w:t>
      </w:r>
      <w:r w:rsidRPr="003143CC">
        <w:rPr>
          <w:rFonts w:ascii="Arial" w:hAnsi="Arial" w:cs="Arial"/>
          <w:noProof/>
        </w:rPr>
        <w:t xml:space="preserve"> </w:t>
      </w:r>
      <w:r w:rsidRPr="003143CC">
        <w:rPr>
          <w:rFonts w:ascii="Arial" w:hAnsi="Arial" w:cs="Arial"/>
          <w:b/>
          <w:noProof/>
        </w:rPr>
        <w:t>358</w:t>
      </w:r>
      <w:r w:rsidRPr="003143CC">
        <w:rPr>
          <w:rFonts w:ascii="Arial" w:hAnsi="Arial" w:cs="Arial"/>
          <w:noProof/>
        </w:rPr>
        <w:t>(6), 568-79.</w:t>
      </w:r>
    </w:p>
    <w:p w:rsidR="0044607E" w:rsidRPr="003143CC" w:rsidRDefault="0044607E" w:rsidP="003143CC">
      <w:pPr>
        <w:spacing w:line="480" w:lineRule="auto"/>
        <w:jc w:val="both"/>
        <w:rPr>
          <w:rFonts w:ascii="Arial" w:hAnsi="Arial" w:cs="Arial"/>
        </w:rPr>
      </w:pPr>
      <w:r w:rsidRPr="003143CC">
        <w:rPr>
          <w:rFonts w:ascii="Arial" w:hAnsi="Arial" w:cs="Arial"/>
        </w:rPr>
        <w:lastRenderedPageBreak/>
        <w:t xml:space="preserve">Martin SF, </w:t>
      </w:r>
      <w:proofErr w:type="spellStart"/>
      <w:r w:rsidRPr="003143CC">
        <w:rPr>
          <w:rFonts w:ascii="Arial" w:hAnsi="Arial" w:cs="Arial"/>
        </w:rPr>
        <w:t>Esser</w:t>
      </w:r>
      <w:proofErr w:type="spellEnd"/>
      <w:r w:rsidRPr="003143CC">
        <w:rPr>
          <w:rFonts w:ascii="Arial" w:hAnsi="Arial" w:cs="Arial"/>
        </w:rPr>
        <w:t xml:space="preserve"> PR, </w:t>
      </w:r>
      <w:proofErr w:type="spellStart"/>
      <w:r w:rsidRPr="003143CC">
        <w:rPr>
          <w:rFonts w:ascii="Arial" w:hAnsi="Arial" w:cs="Arial"/>
        </w:rPr>
        <w:t>Schmucker</w:t>
      </w:r>
      <w:proofErr w:type="spellEnd"/>
      <w:r w:rsidRPr="003143CC">
        <w:rPr>
          <w:rFonts w:ascii="Arial" w:hAnsi="Arial" w:cs="Arial"/>
        </w:rPr>
        <w:t xml:space="preserve"> S, Dietz L, Naisbitt DJ, Park BK, </w:t>
      </w:r>
      <w:proofErr w:type="spellStart"/>
      <w:r w:rsidRPr="003143CC">
        <w:rPr>
          <w:rFonts w:ascii="Arial" w:hAnsi="Arial" w:cs="Arial"/>
        </w:rPr>
        <w:t>Vocanson</w:t>
      </w:r>
      <w:proofErr w:type="spellEnd"/>
      <w:r w:rsidRPr="003143CC">
        <w:rPr>
          <w:rFonts w:ascii="Arial" w:hAnsi="Arial" w:cs="Arial"/>
        </w:rPr>
        <w:t xml:space="preserve"> M, Nicolas JF, Keller M, </w:t>
      </w:r>
      <w:proofErr w:type="spellStart"/>
      <w:r w:rsidRPr="003143CC">
        <w:rPr>
          <w:rFonts w:ascii="Arial" w:hAnsi="Arial" w:cs="Arial"/>
        </w:rPr>
        <w:t>Pichler</w:t>
      </w:r>
      <w:proofErr w:type="spellEnd"/>
      <w:r w:rsidRPr="003143CC">
        <w:rPr>
          <w:rFonts w:ascii="Arial" w:hAnsi="Arial" w:cs="Arial"/>
        </w:rPr>
        <w:t xml:space="preserve"> WJ, </w:t>
      </w:r>
      <w:r w:rsidR="003143CC">
        <w:rPr>
          <w:rFonts w:ascii="Arial" w:hAnsi="Arial" w:cs="Arial"/>
          <w:i/>
        </w:rPr>
        <w:t>et al</w:t>
      </w:r>
      <w:r w:rsidRPr="003143CC">
        <w:rPr>
          <w:rFonts w:ascii="Arial" w:hAnsi="Arial" w:cs="Arial"/>
        </w:rPr>
        <w:t xml:space="preserve">. </w:t>
      </w:r>
      <w:r w:rsidR="003143CC">
        <w:rPr>
          <w:rFonts w:ascii="Arial" w:hAnsi="Arial" w:cs="Arial"/>
        </w:rPr>
        <w:t xml:space="preserve">(2010) </w:t>
      </w:r>
      <w:r w:rsidRPr="003143CC">
        <w:rPr>
          <w:rFonts w:ascii="Arial" w:hAnsi="Arial" w:cs="Arial"/>
        </w:rPr>
        <w:t xml:space="preserve">T-cell recognition of chemicals, protein allergens and drugs: towards the development of in vitro assays. </w:t>
      </w:r>
      <w:r w:rsidRPr="003143CC">
        <w:rPr>
          <w:rFonts w:ascii="Arial" w:hAnsi="Arial" w:cs="Arial"/>
          <w:i/>
        </w:rPr>
        <w:t xml:space="preserve">Cell </w:t>
      </w:r>
      <w:proofErr w:type="spellStart"/>
      <w:r w:rsidRPr="003143CC">
        <w:rPr>
          <w:rFonts w:ascii="Arial" w:hAnsi="Arial" w:cs="Arial"/>
          <w:i/>
        </w:rPr>
        <w:t>Mol</w:t>
      </w:r>
      <w:proofErr w:type="spellEnd"/>
      <w:r w:rsidRPr="003143CC">
        <w:rPr>
          <w:rFonts w:ascii="Arial" w:hAnsi="Arial" w:cs="Arial"/>
          <w:i/>
        </w:rPr>
        <w:t xml:space="preserve"> Life Sci.</w:t>
      </w:r>
      <w:r w:rsidRPr="003143CC">
        <w:rPr>
          <w:rFonts w:ascii="Arial" w:hAnsi="Arial" w:cs="Arial"/>
        </w:rPr>
        <w:t xml:space="preserve"> </w:t>
      </w:r>
      <w:r w:rsidRPr="003143CC">
        <w:rPr>
          <w:rFonts w:ascii="Arial" w:hAnsi="Arial" w:cs="Arial"/>
          <w:b/>
        </w:rPr>
        <w:t>67</w:t>
      </w:r>
      <w:r w:rsidRPr="003143CC">
        <w:rPr>
          <w:rFonts w:ascii="Arial" w:hAnsi="Arial" w:cs="Arial"/>
        </w:rPr>
        <w:t xml:space="preserve">:4171-84. </w:t>
      </w:r>
    </w:p>
    <w:p w:rsidR="0044607E" w:rsidRPr="003143CC" w:rsidRDefault="0044607E" w:rsidP="003143CC">
      <w:pPr>
        <w:spacing w:after="120" w:line="480" w:lineRule="auto"/>
        <w:jc w:val="both"/>
        <w:rPr>
          <w:rFonts w:ascii="Arial" w:hAnsi="Arial" w:cs="Arial"/>
        </w:rPr>
      </w:pPr>
      <w:r w:rsidRPr="003143CC">
        <w:rPr>
          <w:rFonts w:ascii="Arial" w:hAnsi="Arial" w:cs="Arial"/>
        </w:rPr>
        <w:t xml:space="preserve">McCormack M, Alfirevic A, Bourgeois S, Farrell JJ, </w:t>
      </w:r>
      <w:proofErr w:type="spellStart"/>
      <w:r w:rsidRPr="003143CC">
        <w:rPr>
          <w:rFonts w:ascii="Arial" w:hAnsi="Arial" w:cs="Arial"/>
        </w:rPr>
        <w:t>Kasperavičiūtė</w:t>
      </w:r>
      <w:proofErr w:type="spellEnd"/>
      <w:r w:rsidRPr="003143CC">
        <w:rPr>
          <w:rFonts w:ascii="Arial" w:hAnsi="Arial" w:cs="Arial"/>
        </w:rPr>
        <w:t xml:space="preserve"> D, Carrington M, Sills GJ, Marson T, </w:t>
      </w:r>
      <w:proofErr w:type="spellStart"/>
      <w:r w:rsidRPr="003143CC">
        <w:rPr>
          <w:rFonts w:ascii="Arial" w:hAnsi="Arial" w:cs="Arial"/>
        </w:rPr>
        <w:t>Jia</w:t>
      </w:r>
      <w:proofErr w:type="spellEnd"/>
      <w:r w:rsidRPr="003143CC">
        <w:rPr>
          <w:rFonts w:ascii="Arial" w:hAnsi="Arial" w:cs="Arial"/>
        </w:rPr>
        <w:t xml:space="preserve"> X, de Bakker PI, </w:t>
      </w:r>
      <w:r w:rsidR="003143CC">
        <w:rPr>
          <w:rFonts w:ascii="Arial" w:hAnsi="Arial" w:cs="Arial"/>
          <w:i/>
        </w:rPr>
        <w:t>et al</w:t>
      </w:r>
      <w:r w:rsidRPr="003143CC">
        <w:rPr>
          <w:rFonts w:ascii="Arial" w:hAnsi="Arial" w:cs="Arial"/>
        </w:rPr>
        <w:t xml:space="preserve">. </w:t>
      </w:r>
      <w:r w:rsidR="003143CC">
        <w:rPr>
          <w:rFonts w:ascii="Arial" w:hAnsi="Arial" w:cs="Arial"/>
        </w:rPr>
        <w:t xml:space="preserve">(2011) </w:t>
      </w:r>
      <w:r w:rsidRPr="003143CC">
        <w:rPr>
          <w:rFonts w:ascii="Arial" w:hAnsi="Arial" w:cs="Arial"/>
        </w:rPr>
        <w:t xml:space="preserve">HLA-A*3101 and carbamazepine-induced hypersensitivity reactions in Europeans. </w:t>
      </w:r>
      <w:r w:rsidRPr="003143CC">
        <w:rPr>
          <w:rFonts w:ascii="Arial" w:hAnsi="Arial" w:cs="Arial"/>
          <w:i/>
        </w:rPr>
        <w:t xml:space="preserve">N </w:t>
      </w:r>
      <w:proofErr w:type="spellStart"/>
      <w:r w:rsidRPr="003143CC">
        <w:rPr>
          <w:rFonts w:ascii="Arial" w:hAnsi="Arial" w:cs="Arial"/>
          <w:i/>
        </w:rPr>
        <w:t>Engl</w:t>
      </w:r>
      <w:proofErr w:type="spellEnd"/>
      <w:r w:rsidRPr="003143CC">
        <w:rPr>
          <w:rFonts w:ascii="Arial" w:hAnsi="Arial" w:cs="Arial"/>
          <w:i/>
        </w:rPr>
        <w:t xml:space="preserve"> J Med</w:t>
      </w:r>
      <w:r w:rsidRPr="003143CC">
        <w:rPr>
          <w:rFonts w:ascii="Arial" w:hAnsi="Arial" w:cs="Arial"/>
        </w:rPr>
        <w:t xml:space="preserve">. </w:t>
      </w:r>
      <w:r w:rsidRPr="003143CC">
        <w:rPr>
          <w:rFonts w:ascii="Arial" w:hAnsi="Arial" w:cs="Arial"/>
          <w:b/>
        </w:rPr>
        <w:t>364</w:t>
      </w:r>
      <w:r w:rsidRPr="003143CC">
        <w:rPr>
          <w:rFonts w:ascii="Arial" w:hAnsi="Arial" w:cs="Arial"/>
        </w:rPr>
        <w:t>:1134-43</w:t>
      </w:r>
      <w:r w:rsidR="003143CC">
        <w:rPr>
          <w:rFonts w:ascii="Arial" w:hAnsi="Arial" w:cs="Arial"/>
        </w:rPr>
        <w:t>.</w:t>
      </w:r>
    </w:p>
    <w:p w:rsidR="0044607E" w:rsidRPr="003143CC" w:rsidRDefault="0044607E" w:rsidP="003143CC">
      <w:pPr>
        <w:spacing w:line="480" w:lineRule="auto"/>
        <w:jc w:val="both"/>
        <w:rPr>
          <w:rFonts w:ascii="Arial" w:hAnsi="Arial" w:cs="Arial"/>
        </w:rPr>
      </w:pPr>
      <w:proofErr w:type="spellStart"/>
      <w:r w:rsidRPr="003143CC">
        <w:rPr>
          <w:rFonts w:ascii="Arial" w:hAnsi="Arial" w:cs="Arial"/>
        </w:rPr>
        <w:t>Monshi</w:t>
      </w:r>
      <w:proofErr w:type="spellEnd"/>
      <w:r w:rsidRPr="003143CC">
        <w:rPr>
          <w:rFonts w:ascii="Arial" w:hAnsi="Arial" w:cs="Arial"/>
        </w:rPr>
        <w:t xml:space="preserve"> MM, Faulkner L, Gibson A, Jenkins RE, Farrell J, </w:t>
      </w:r>
      <w:proofErr w:type="spellStart"/>
      <w:r w:rsidRPr="003143CC">
        <w:rPr>
          <w:rFonts w:ascii="Arial" w:hAnsi="Arial" w:cs="Arial"/>
        </w:rPr>
        <w:t>Earnshaw</w:t>
      </w:r>
      <w:proofErr w:type="spellEnd"/>
      <w:r w:rsidRPr="003143CC">
        <w:rPr>
          <w:rFonts w:ascii="Arial" w:hAnsi="Arial" w:cs="Arial"/>
        </w:rPr>
        <w:t xml:space="preserve"> CJ, Alfirevic A, </w:t>
      </w:r>
      <w:proofErr w:type="spellStart"/>
      <w:r w:rsidRPr="003143CC">
        <w:rPr>
          <w:rFonts w:ascii="Arial" w:hAnsi="Arial" w:cs="Arial"/>
        </w:rPr>
        <w:t>Cederbrant</w:t>
      </w:r>
      <w:proofErr w:type="spellEnd"/>
      <w:r w:rsidRPr="003143CC">
        <w:rPr>
          <w:rFonts w:ascii="Arial" w:hAnsi="Arial" w:cs="Arial"/>
        </w:rPr>
        <w:t xml:space="preserve"> K, Daly AK, French N, </w:t>
      </w:r>
      <w:r w:rsidR="003143CC">
        <w:rPr>
          <w:rFonts w:ascii="Arial" w:hAnsi="Arial" w:cs="Arial"/>
          <w:i/>
        </w:rPr>
        <w:t>et al.</w:t>
      </w:r>
      <w:r w:rsidRPr="003143CC">
        <w:rPr>
          <w:rFonts w:ascii="Arial" w:hAnsi="Arial" w:cs="Arial"/>
        </w:rPr>
        <w:t xml:space="preserve"> </w:t>
      </w:r>
      <w:r w:rsidR="003143CC">
        <w:rPr>
          <w:rFonts w:ascii="Arial" w:hAnsi="Arial" w:cs="Arial"/>
        </w:rPr>
        <w:t xml:space="preserve">(2013) </w:t>
      </w:r>
      <w:r w:rsidRPr="003143CC">
        <w:rPr>
          <w:rFonts w:ascii="Arial" w:hAnsi="Arial" w:cs="Arial"/>
        </w:rPr>
        <w:t xml:space="preserve">Human leukocyte antigen (HLA)-B*57:01-restricted activation of drug-specific T cells provides the immunological basis for flucloxacillin-induced liver injury. </w:t>
      </w:r>
      <w:proofErr w:type="spellStart"/>
      <w:proofErr w:type="gramStart"/>
      <w:r w:rsidRPr="003143CC">
        <w:rPr>
          <w:rFonts w:ascii="Arial" w:hAnsi="Arial" w:cs="Arial"/>
          <w:i/>
        </w:rPr>
        <w:t>Hepatology</w:t>
      </w:r>
      <w:proofErr w:type="spellEnd"/>
      <w:r w:rsidRPr="003143CC">
        <w:rPr>
          <w:rFonts w:ascii="Arial" w:hAnsi="Arial" w:cs="Arial"/>
        </w:rPr>
        <w:t>.</w:t>
      </w:r>
      <w:proofErr w:type="gramEnd"/>
      <w:r w:rsidRPr="003143CC">
        <w:rPr>
          <w:rFonts w:ascii="Arial" w:hAnsi="Arial" w:cs="Arial"/>
        </w:rPr>
        <w:t xml:space="preserve"> </w:t>
      </w:r>
      <w:r w:rsidRPr="003143CC">
        <w:rPr>
          <w:rFonts w:ascii="Arial" w:hAnsi="Arial" w:cs="Arial"/>
          <w:b/>
        </w:rPr>
        <w:t>57</w:t>
      </w:r>
      <w:r w:rsidRPr="003143CC">
        <w:rPr>
          <w:rFonts w:ascii="Arial" w:hAnsi="Arial" w:cs="Arial"/>
        </w:rPr>
        <w:t>:727-39.</w:t>
      </w:r>
    </w:p>
    <w:p w:rsidR="0044607E" w:rsidRPr="003143CC" w:rsidRDefault="0044607E" w:rsidP="003143CC">
      <w:pPr>
        <w:spacing w:line="480" w:lineRule="auto"/>
        <w:jc w:val="both"/>
        <w:rPr>
          <w:rFonts w:ascii="Arial" w:hAnsi="Arial" w:cs="Arial"/>
        </w:rPr>
      </w:pPr>
      <w:r w:rsidRPr="003143CC">
        <w:rPr>
          <w:rFonts w:ascii="Arial" w:hAnsi="Arial" w:cs="Arial"/>
        </w:rPr>
        <w:t xml:space="preserve">Naisbitt DJ, Gordon SF, Pirmohamed M, Burkhart C, </w:t>
      </w:r>
      <w:proofErr w:type="spellStart"/>
      <w:r w:rsidRPr="003143CC">
        <w:rPr>
          <w:rFonts w:ascii="Arial" w:hAnsi="Arial" w:cs="Arial"/>
        </w:rPr>
        <w:t>Cribb</w:t>
      </w:r>
      <w:proofErr w:type="spellEnd"/>
      <w:r w:rsidRPr="003143CC">
        <w:rPr>
          <w:rFonts w:ascii="Arial" w:hAnsi="Arial" w:cs="Arial"/>
        </w:rPr>
        <w:t xml:space="preserve"> AE, </w:t>
      </w:r>
      <w:proofErr w:type="spellStart"/>
      <w:r w:rsidRPr="003143CC">
        <w:rPr>
          <w:rFonts w:ascii="Arial" w:hAnsi="Arial" w:cs="Arial"/>
        </w:rPr>
        <w:t>Pichler</w:t>
      </w:r>
      <w:proofErr w:type="spellEnd"/>
      <w:r w:rsidRPr="003143CC">
        <w:rPr>
          <w:rFonts w:ascii="Arial" w:hAnsi="Arial" w:cs="Arial"/>
        </w:rPr>
        <w:t xml:space="preserve"> WJ, Park BK. </w:t>
      </w:r>
      <w:r w:rsidR="003143CC">
        <w:rPr>
          <w:rFonts w:ascii="Arial" w:hAnsi="Arial" w:cs="Arial"/>
        </w:rPr>
        <w:t xml:space="preserve">(2001) </w:t>
      </w:r>
      <w:r w:rsidRPr="003143CC">
        <w:rPr>
          <w:rFonts w:ascii="Arial" w:hAnsi="Arial" w:cs="Arial"/>
        </w:rPr>
        <w:t xml:space="preserve">Antigenicity and immunogenicity of </w:t>
      </w:r>
      <w:proofErr w:type="spellStart"/>
      <w:r w:rsidRPr="003143CC">
        <w:rPr>
          <w:rFonts w:ascii="Arial" w:hAnsi="Arial" w:cs="Arial"/>
        </w:rPr>
        <w:t>sulphamethoxazole</w:t>
      </w:r>
      <w:proofErr w:type="spellEnd"/>
      <w:r w:rsidRPr="003143CC">
        <w:rPr>
          <w:rFonts w:ascii="Arial" w:hAnsi="Arial" w:cs="Arial"/>
        </w:rPr>
        <w:t xml:space="preserve">: demonstration of metabolism-dependent </w:t>
      </w:r>
      <w:proofErr w:type="spellStart"/>
      <w:r w:rsidRPr="003143CC">
        <w:rPr>
          <w:rFonts w:ascii="Arial" w:hAnsi="Arial" w:cs="Arial"/>
        </w:rPr>
        <w:t>haptenation</w:t>
      </w:r>
      <w:proofErr w:type="spellEnd"/>
      <w:r w:rsidRPr="003143CC">
        <w:rPr>
          <w:rFonts w:ascii="Arial" w:hAnsi="Arial" w:cs="Arial"/>
        </w:rPr>
        <w:t xml:space="preserve"> and T-cell proliferation in vivo. </w:t>
      </w:r>
      <w:proofErr w:type="gramStart"/>
      <w:r w:rsidRPr="003143CC">
        <w:rPr>
          <w:rFonts w:ascii="Arial" w:hAnsi="Arial" w:cs="Arial"/>
          <w:i/>
        </w:rPr>
        <w:t xml:space="preserve">Br J </w:t>
      </w:r>
      <w:proofErr w:type="spellStart"/>
      <w:r w:rsidRPr="003143CC">
        <w:rPr>
          <w:rFonts w:ascii="Arial" w:hAnsi="Arial" w:cs="Arial"/>
          <w:i/>
        </w:rPr>
        <w:t>Pharmacol</w:t>
      </w:r>
      <w:proofErr w:type="spellEnd"/>
      <w:r w:rsidRPr="003143CC">
        <w:rPr>
          <w:rFonts w:ascii="Arial" w:hAnsi="Arial" w:cs="Arial"/>
        </w:rPr>
        <w:t>.</w:t>
      </w:r>
      <w:proofErr w:type="gramEnd"/>
      <w:r w:rsidRPr="003143CC">
        <w:rPr>
          <w:rFonts w:ascii="Arial" w:hAnsi="Arial" w:cs="Arial"/>
        </w:rPr>
        <w:t xml:space="preserve"> </w:t>
      </w:r>
      <w:r w:rsidRPr="003143CC">
        <w:rPr>
          <w:rFonts w:ascii="Arial" w:hAnsi="Arial" w:cs="Arial"/>
          <w:b/>
        </w:rPr>
        <w:t>133</w:t>
      </w:r>
      <w:r w:rsidRPr="003143CC">
        <w:rPr>
          <w:rFonts w:ascii="Arial" w:hAnsi="Arial" w:cs="Arial"/>
        </w:rPr>
        <w:t xml:space="preserve">:295-305. </w:t>
      </w:r>
    </w:p>
    <w:p w:rsidR="0044607E" w:rsidRPr="003143CC" w:rsidRDefault="0044607E" w:rsidP="003143CC">
      <w:pPr>
        <w:spacing w:line="480" w:lineRule="auto"/>
        <w:jc w:val="both"/>
        <w:rPr>
          <w:rFonts w:ascii="Arial" w:hAnsi="Arial" w:cs="Arial"/>
        </w:rPr>
      </w:pPr>
      <w:r w:rsidRPr="003143CC">
        <w:rPr>
          <w:rFonts w:ascii="Arial" w:hAnsi="Arial" w:cs="Arial"/>
        </w:rPr>
        <w:t xml:space="preserve">Naisbitt DJ, </w:t>
      </w:r>
      <w:proofErr w:type="spellStart"/>
      <w:r w:rsidRPr="003143CC">
        <w:rPr>
          <w:rFonts w:ascii="Arial" w:hAnsi="Arial" w:cs="Arial"/>
        </w:rPr>
        <w:t>Britschgi</w:t>
      </w:r>
      <w:proofErr w:type="spellEnd"/>
      <w:r w:rsidRPr="003143CC">
        <w:rPr>
          <w:rFonts w:ascii="Arial" w:hAnsi="Arial" w:cs="Arial"/>
        </w:rPr>
        <w:t xml:space="preserve"> M, Wong G, Farrell J, </w:t>
      </w:r>
      <w:proofErr w:type="spellStart"/>
      <w:r w:rsidRPr="003143CC">
        <w:rPr>
          <w:rFonts w:ascii="Arial" w:hAnsi="Arial" w:cs="Arial"/>
        </w:rPr>
        <w:t>Depta</w:t>
      </w:r>
      <w:proofErr w:type="spellEnd"/>
      <w:r w:rsidRPr="003143CC">
        <w:rPr>
          <w:rFonts w:ascii="Arial" w:hAnsi="Arial" w:cs="Arial"/>
        </w:rPr>
        <w:t xml:space="preserve"> JP, Chadwick DW, </w:t>
      </w:r>
      <w:proofErr w:type="spellStart"/>
      <w:r w:rsidRPr="003143CC">
        <w:rPr>
          <w:rFonts w:ascii="Arial" w:hAnsi="Arial" w:cs="Arial"/>
        </w:rPr>
        <w:t>Pichler</w:t>
      </w:r>
      <w:proofErr w:type="spellEnd"/>
      <w:r w:rsidRPr="003143CC">
        <w:rPr>
          <w:rFonts w:ascii="Arial" w:hAnsi="Arial" w:cs="Arial"/>
        </w:rPr>
        <w:t xml:space="preserve"> WJ, Pirmohamed M, Park BK. </w:t>
      </w:r>
      <w:r w:rsidR="003143CC">
        <w:rPr>
          <w:rFonts w:ascii="Arial" w:hAnsi="Arial" w:cs="Arial"/>
        </w:rPr>
        <w:t xml:space="preserve">(2003) </w:t>
      </w:r>
      <w:r w:rsidRPr="003143CC">
        <w:rPr>
          <w:rFonts w:ascii="Arial" w:hAnsi="Arial" w:cs="Arial"/>
        </w:rPr>
        <w:t xml:space="preserve">Hypersensitivity reactions to carbamazepine: characterization of the specificity, phenotype, and cytokine profile of drug-specific T cell clones. </w:t>
      </w:r>
      <w:proofErr w:type="spellStart"/>
      <w:proofErr w:type="gramStart"/>
      <w:r w:rsidRPr="003143CC">
        <w:rPr>
          <w:rFonts w:ascii="Arial" w:hAnsi="Arial" w:cs="Arial"/>
          <w:i/>
        </w:rPr>
        <w:t>Mol</w:t>
      </w:r>
      <w:proofErr w:type="spellEnd"/>
      <w:r w:rsidRPr="003143CC">
        <w:rPr>
          <w:rFonts w:ascii="Arial" w:hAnsi="Arial" w:cs="Arial"/>
          <w:i/>
        </w:rPr>
        <w:t xml:space="preserve"> </w:t>
      </w:r>
      <w:proofErr w:type="spellStart"/>
      <w:r w:rsidRPr="003143CC">
        <w:rPr>
          <w:rFonts w:ascii="Arial" w:hAnsi="Arial" w:cs="Arial"/>
          <w:i/>
        </w:rPr>
        <w:t>Pharmacol</w:t>
      </w:r>
      <w:proofErr w:type="spellEnd"/>
      <w:r w:rsidRPr="003143CC">
        <w:rPr>
          <w:rFonts w:ascii="Arial" w:hAnsi="Arial" w:cs="Arial"/>
          <w:i/>
        </w:rPr>
        <w:t>.</w:t>
      </w:r>
      <w:proofErr w:type="gramEnd"/>
      <w:r w:rsidRPr="003143CC">
        <w:rPr>
          <w:rFonts w:ascii="Arial" w:hAnsi="Arial" w:cs="Arial"/>
        </w:rPr>
        <w:t xml:space="preserve"> </w:t>
      </w:r>
      <w:r w:rsidRPr="003143CC">
        <w:rPr>
          <w:rFonts w:ascii="Arial" w:hAnsi="Arial" w:cs="Arial"/>
          <w:b/>
        </w:rPr>
        <w:t>63</w:t>
      </w:r>
      <w:r w:rsidRPr="003143CC">
        <w:rPr>
          <w:rFonts w:ascii="Arial" w:hAnsi="Arial" w:cs="Arial"/>
        </w:rPr>
        <w:t>:732-41</w:t>
      </w:r>
      <w:r w:rsidR="003143CC">
        <w:rPr>
          <w:rFonts w:ascii="Arial" w:hAnsi="Arial" w:cs="Arial"/>
        </w:rPr>
        <w:t>.</w:t>
      </w:r>
    </w:p>
    <w:p w:rsidR="0044607E" w:rsidRPr="003143CC" w:rsidRDefault="0044607E" w:rsidP="003143CC">
      <w:pPr>
        <w:spacing w:line="480" w:lineRule="auto"/>
        <w:jc w:val="both"/>
        <w:rPr>
          <w:rFonts w:ascii="Arial" w:hAnsi="Arial" w:cs="Arial"/>
        </w:rPr>
      </w:pPr>
      <w:r w:rsidRPr="003143CC">
        <w:rPr>
          <w:rFonts w:ascii="Arial" w:hAnsi="Arial" w:cs="Arial"/>
        </w:rPr>
        <w:t xml:space="preserve">Naisbitt DJ, Farrell J, Gordon SF, Maggs JL, Burkhart C, </w:t>
      </w:r>
      <w:proofErr w:type="spellStart"/>
      <w:r w:rsidRPr="003143CC">
        <w:rPr>
          <w:rFonts w:ascii="Arial" w:hAnsi="Arial" w:cs="Arial"/>
        </w:rPr>
        <w:t>Pichler</w:t>
      </w:r>
      <w:proofErr w:type="spellEnd"/>
      <w:r w:rsidRPr="003143CC">
        <w:rPr>
          <w:rFonts w:ascii="Arial" w:hAnsi="Arial" w:cs="Arial"/>
        </w:rPr>
        <w:t xml:space="preserve"> WJ, Pirmohamed M, Park BK. </w:t>
      </w:r>
      <w:r w:rsidR="003143CC">
        <w:rPr>
          <w:rFonts w:ascii="Arial" w:hAnsi="Arial" w:cs="Arial"/>
        </w:rPr>
        <w:t xml:space="preserve">(2002) </w:t>
      </w:r>
      <w:r w:rsidRPr="003143CC">
        <w:rPr>
          <w:rFonts w:ascii="Arial" w:hAnsi="Arial" w:cs="Arial"/>
        </w:rPr>
        <w:t xml:space="preserve">Covalent binding of the </w:t>
      </w:r>
      <w:proofErr w:type="spellStart"/>
      <w:r w:rsidRPr="003143CC">
        <w:rPr>
          <w:rFonts w:ascii="Arial" w:hAnsi="Arial" w:cs="Arial"/>
        </w:rPr>
        <w:t>nitroso</w:t>
      </w:r>
      <w:proofErr w:type="spellEnd"/>
      <w:r w:rsidRPr="003143CC">
        <w:rPr>
          <w:rFonts w:ascii="Arial" w:hAnsi="Arial" w:cs="Arial"/>
        </w:rPr>
        <w:t xml:space="preserve"> metabolite of </w:t>
      </w:r>
      <w:proofErr w:type="spellStart"/>
      <w:r w:rsidRPr="003143CC">
        <w:rPr>
          <w:rFonts w:ascii="Arial" w:hAnsi="Arial" w:cs="Arial"/>
        </w:rPr>
        <w:t>sulfamethoxazole</w:t>
      </w:r>
      <w:proofErr w:type="spellEnd"/>
      <w:r w:rsidRPr="003143CC">
        <w:rPr>
          <w:rFonts w:ascii="Arial" w:hAnsi="Arial" w:cs="Arial"/>
        </w:rPr>
        <w:t xml:space="preserve"> leads to toxicity and major histocompatibility complex-restricted antigen presentation. </w:t>
      </w:r>
      <w:proofErr w:type="spellStart"/>
      <w:proofErr w:type="gramStart"/>
      <w:r w:rsidRPr="003143CC">
        <w:rPr>
          <w:rFonts w:ascii="Arial" w:hAnsi="Arial" w:cs="Arial"/>
          <w:i/>
        </w:rPr>
        <w:t>Mol</w:t>
      </w:r>
      <w:proofErr w:type="spellEnd"/>
      <w:r w:rsidRPr="003143CC">
        <w:rPr>
          <w:rFonts w:ascii="Arial" w:hAnsi="Arial" w:cs="Arial"/>
          <w:i/>
        </w:rPr>
        <w:t xml:space="preserve"> </w:t>
      </w:r>
      <w:proofErr w:type="spellStart"/>
      <w:r w:rsidRPr="003143CC">
        <w:rPr>
          <w:rFonts w:ascii="Arial" w:hAnsi="Arial" w:cs="Arial"/>
          <w:i/>
        </w:rPr>
        <w:t>Pharmacol</w:t>
      </w:r>
      <w:proofErr w:type="spellEnd"/>
      <w:r w:rsidRPr="003143CC">
        <w:rPr>
          <w:rFonts w:ascii="Arial" w:hAnsi="Arial" w:cs="Arial"/>
          <w:i/>
        </w:rPr>
        <w:t>.</w:t>
      </w:r>
      <w:proofErr w:type="gramEnd"/>
      <w:r w:rsidRPr="003143CC">
        <w:rPr>
          <w:rFonts w:ascii="Arial" w:hAnsi="Arial" w:cs="Arial"/>
        </w:rPr>
        <w:t xml:space="preserve"> </w:t>
      </w:r>
      <w:r w:rsidRPr="003143CC">
        <w:rPr>
          <w:rFonts w:ascii="Arial" w:hAnsi="Arial" w:cs="Arial"/>
          <w:b/>
        </w:rPr>
        <w:t>62</w:t>
      </w:r>
      <w:r w:rsidRPr="003143CC">
        <w:rPr>
          <w:rFonts w:ascii="Arial" w:hAnsi="Arial" w:cs="Arial"/>
        </w:rPr>
        <w:t xml:space="preserve">:628-37. </w:t>
      </w:r>
    </w:p>
    <w:p w:rsidR="0044607E" w:rsidRPr="003143CC" w:rsidRDefault="0044607E" w:rsidP="003143CC">
      <w:pPr>
        <w:spacing w:after="240" w:line="480" w:lineRule="auto"/>
        <w:jc w:val="both"/>
        <w:rPr>
          <w:rFonts w:ascii="Arial" w:hAnsi="Arial" w:cs="Arial"/>
        </w:rPr>
      </w:pPr>
      <w:proofErr w:type="spellStart"/>
      <w:proofErr w:type="gramStart"/>
      <w:r w:rsidRPr="003143CC">
        <w:rPr>
          <w:rFonts w:ascii="Arial" w:hAnsi="Arial" w:cs="Arial"/>
        </w:rPr>
        <w:t>Nassif</w:t>
      </w:r>
      <w:proofErr w:type="spellEnd"/>
      <w:r w:rsidRPr="003143CC">
        <w:rPr>
          <w:rFonts w:ascii="Arial" w:hAnsi="Arial" w:cs="Arial"/>
        </w:rPr>
        <w:t xml:space="preserve">, A., </w:t>
      </w:r>
      <w:proofErr w:type="spellStart"/>
      <w:r w:rsidRPr="003143CC">
        <w:rPr>
          <w:rFonts w:ascii="Arial" w:hAnsi="Arial" w:cs="Arial"/>
        </w:rPr>
        <w:t>Bensussan</w:t>
      </w:r>
      <w:proofErr w:type="spellEnd"/>
      <w:r w:rsidRPr="003143CC">
        <w:rPr>
          <w:rFonts w:ascii="Arial" w:hAnsi="Arial" w:cs="Arial"/>
        </w:rPr>
        <w:t xml:space="preserve">, A., </w:t>
      </w:r>
      <w:proofErr w:type="spellStart"/>
      <w:r w:rsidRPr="003143CC">
        <w:rPr>
          <w:rFonts w:ascii="Arial" w:hAnsi="Arial" w:cs="Arial"/>
        </w:rPr>
        <w:t>Boumsell</w:t>
      </w:r>
      <w:proofErr w:type="spellEnd"/>
      <w:r w:rsidRPr="003143CC">
        <w:rPr>
          <w:rFonts w:ascii="Arial" w:hAnsi="Arial" w:cs="Arial"/>
        </w:rPr>
        <w:t xml:space="preserve">, L., </w:t>
      </w:r>
      <w:proofErr w:type="spellStart"/>
      <w:r w:rsidRPr="003143CC">
        <w:rPr>
          <w:rFonts w:ascii="Arial" w:hAnsi="Arial" w:cs="Arial"/>
        </w:rPr>
        <w:t>Deniaud</w:t>
      </w:r>
      <w:proofErr w:type="spellEnd"/>
      <w:r w:rsidRPr="003143CC">
        <w:rPr>
          <w:rFonts w:ascii="Arial" w:hAnsi="Arial" w:cs="Arial"/>
        </w:rPr>
        <w:t xml:space="preserve">, A., </w:t>
      </w:r>
      <w:proofErr w:type="spellStart"/>
      <w:r w:rsidRPr="003143CC">
        <w:rPr>
          <w:rFonts w:ascii="Arial" w:hAnsi="Arial" w:cs="Arial"/>
        </w:rPr>
        <w:t>Moslehi</w:t>
      </w:r>
      <w:proofErr w:type="spellEnd"/>
      <w:r w:rsidRPr="003143CC">
        <w:rPr>
          <w:rFonts w:ascii="Arial" w:hAnsi="Arial" w:cs="Arial"/>
        </w:rPr>
        <w:t xml:space="preserve">, H., </w:t>
      </w:r>
      <w:proofErr w:type="spellStart"/>
      <w:r w:rsidRPr="003143CC">
        <w:rPr>
          <w:rFonts w:ascii="Arial" w:hAnsi="Arial" w:cs="Arial"/>
        </w:rPr>
        <w:t>Wolkenstein</w:t>
      </w:r>
      <w:proofErr w:type="spellEnd"/>
      <w:r w:rsidRPr="003143CC">
        <w:rPr>
          <w:rFonts w:ascii="Arial" w:hAnsi="Arial" w:cs="Arial"/>
        </w:rPr>
        <w:t xml:space="preserve">, P., </w:t>
      </w:r>
      <w:proofErr w:type="spellStart"/>
      <w:r w:rsidRPr="003143CC">
        <w:rPr>
          <w:rFonts w:ascii="Arial" w:hAnsi="Arial" w:cs="Arial"/>
        </w:rPr>
        <w:t>Bagot</w:t>
      </w:r>
      <w:proofErr w:type="spellEnd"/>
      <w:r w:rsidRPr="003143CC">
        <w:rPr>
          <w:rFonts w:ascii="Arial" w:hAnsi="Arial" w:cs="Arial"/>
        </w:rPr>
        <w:t xml:space="preserve">, M., and </w:t>
      </w:r>
      <w:proofErr w:type="spellStart"/>
      <w:r w:rsidRPr="003143CC">
        <w:rPr>
          <w:rFonts w:ascii="Arial" w:hAnsi="Arial" w:cs="Arial"/>
        </w:rPr>
        <w:t>Roujeau</w:t>
      </w:r>
      <w:proofErr w:type="spellEnd"/>
      <w:r w:rsidRPr="003143CC">
        <w:rPr>
          <w:rFonts w:ascii="Arial" w:hAnsi="Arial" w:cs="Arial"/>
        </w:rPr>
        <w:t>, J. C. (2004).</w:t>
      </w:r>
      <w:proofErr w:type="gramEnd"/>
      <w:r w:rsidRPr="003143CC">
        <w:rPr>
          <w:rFonts w:ascii="Arial" w:hAnsi="Arial" w:cs="Arial"/>
        </w:rPr>
        <w:t xml:space="preserve"> Toxic epidermal </w:t>
      </w:r>
      <w:proofErr w:type="spellStart"/>
      <w:r w:rsidRPr="003143CC">
        <w:rPr>
          <w:rFonts w:ascii="Arial" w:hAnsi="Arial" w:cs="Arial"/>
        </w:rPr>
        <w:t>necrolysis</w:t>
      </w:r>
      <w:proofErr w:type="spellEnd"/>
      <w:r w:rsidRPr="003143CC">
        <w:rPr>
          <w:rFonts w:ascii="Arial" w:hAnsi="Arial" w:cs="Arial"/>
        </w:rPr>
        <w:t xml:space="preserve">: effector cells are drug-specific cytotoxic T cells. </w:t>
      </w:r>
      <w:r w:rsidRPr="003143CC">
        <w:rPr>
          <w:rFonts w:ascii="Arial" w:hAnsi="Arial" w:cs="Arial"/>
          <w:i/>
        </w:rPr>
        <w:t xml:space="preserve">J. Allergy </w:t>
      </w:r>
      <w:proofErr w:type="spellStart"/>
      <w:r w:rsidRPr="003143CC">
        <w:rPr>
          <w:rFonts w:ascii="Arial" w:hAnsi="Arial" w:cs="Arial"/>
          <w:i/>
        </w:rPr>
        <w:t>Clin</w:t>
      </w:r>
      <w:proofErr w:type="spellEnd"/>
      <w:r w:rsidRPr="003143CC">
        <w:rPr>
          <w:rFonts w:ascii="Arial" w:hAnsi="Arial" w:cs="Arial"/>
          <w:i/>
        </w:rPr>
        <w:t xml:space="preserve">. </w:t>
      </w:r>
      <w:proofErr w:type="spellStart"/>
      <w:proofErr w:type="gramStart"/>
      <w:r w:rsidRPr="003143CC">
        <w:rPr>
          <w:rFonts w:ascii="Arial" w:hAnsi="Arial" w:cs="Arial"/>
          <w:i/>
        </w:rPr>
        <w:t>Immunol</w:t>
      </w:r>
      <w:proofErr w:type="spellEnd"/>
      <w:r w:rsidRPr="003143CC">
        <w:rPr>
          <w:rFonts w:ascii="Arial" w:hAnsi="Arial" w:cs="Arial"/>
          <w:i/>
        </w:rPr>
        <w:t>.</w:t>
      </w:r>
      <w:proofErr w:type="gramEnd"/>
      <w:r w:rsidRPr="003143CC">
        <w:rPr>
          <w:rFonts w:ascii="Arial" w:hAnsi="Arial" w:cs="Arial"/>
        </w:rPr>
        <w:t xml:space="preserve"> </w:t>
      </w:r>
      <w:r w:rsidRPr="003143CC">
        <w:rPr>
          <w:rFonts w:ascii="Arial" w:hAnsi="Arial" w:cs="Arial"/>
          <w:b/>
        </w:rPr>
        <w:t>114,</w:t>
      </w:r>
      <w:r w:rsidRPr="003143CC">
        <w:rPr>
          <w:rFonts w:ascii="Arial" w:hAnsi="Arial" w:cs="Arial"/>
        </w:rPr>
        <w:t xml:space="preserve"> 1209-1215.</w:t>
      </w:r>
    </w:p>
    <w:p w:rsidR="00CE0438" w:rsidRPr="00CE0438" w:rsidRDefault="00CE0438" w:rsidP="00CE0438">
      <w:pPr>
        <w:pStyle w:val="EndNoteBibliography"/>
        <w:spacing w:after="0" w:line="480" w:lineRule="auto"/>
        <w:jc w:val="both"/>
        <w:rPr>
          <w:rFonts w:ascii="Arial" w:hAnsi="Arial" w:cs="Arial"/>
        </w:rPr>
      </w:pPr>
      <w:r w:rsidRPr="00CE0438">
        <w:rPr>
          <w:rFonts w:ascii="Arial" w:hAnsi="Arial" w:cs="Arial"/>
        </w:rPr>
        <w:lastRenderedPageBreak/>
        <w:t xml:space="preserve">Pearce RE, Uetrecht JP, and Leeder JS. (2005). Pathways of carbamazepine bioactivation in vitro: II. The role of human cytochrome P450 enzymes in the formation of 2-hydroxyiminostilbene. </w:t>
      </w:r>
      <w:r w:rsidRPr="00CE0438">
        <w:rPr>
          <w:rFonts w:ascii="Arial" w:hAnsi="Arial" w:cs="Arial"/>
          <w:i/>
        </w:rPr>
        <w:t>Drug Metab Dispos</w:t>
      </w:r>
      <w:r w:rsidRPr="00CE0438">
        <w:rPr>
          <w:rFonts w:ascii="Arial" w:hAnsi="Arial" w:cs="Arial"/>
        </w:rPr>
        <w:t xml:space="preserve"> </w:t>
      </w:r>
      <w:r w:rsidRPr="00CE0438">
        <w:rPr>
          <w:rFonts w:ascii="Arial" w:hAnsi="Arial" w:cs="Arial"/>
          <w:b/>
        </w:rPr>
        <w:t>33</w:t>
      </w:r>
      <w:r w:rsidRPr="00CE0438">
        <w:rPr>
          <w:rFonts w:ascii="Arial" w:hAnsi="Arial" w:cs="Arial"/>
        </w:rPr>
        <w:t>, 1819-26.</w:t>
      </w:r>
    </w:p>
    <w:p w:rsidR="00CE0438" w:rsidRPr="00CE0438" w:rsidRDefault="00CE0438" w:rsidP="00CE0438">
      <w:pPr>
        <w:pStyle w:val="EndNoteBibliography"/>
        <w:spacing w:line="480" w:lineRule="auto"/>
        <w:jc w:val="both"/>
        <w:rPr>
          <w:rFonts w:ascii="Arial" w:hAnsi="Arial" w:cs="Arial"/>
        </w:rPr>
      </w:pPr>
      <w:r w:rsidRPr="00CE0438">
        <w:rPr>
          <w:rFonts w:ascii="Arial" w:hAnsi="Arial" w:cs="Arial"/>
        </w:rPr>
        <w:t xml:space="preserve">Pearce RE, Vakkalagadda GR, and Leeder JS. (2002). Pathways of carbamazepine bioactivation in vitro I. Characterization of human cytochromes P450 responsible for the formation of 2- and 3-hydroxylated metabolites. </w:t>
      </w:r>
      <w:r w:rsidRPr="00CE0438">
        <w:rPr>
          <w:rFonts w:ascii="Arial" w:hAnsi="Arial" w:cs="Arial"/>
          <w:i/>
        </w:rPr>
        <w:t>Drug Metab Dispos</w:t>
      </w:r>
      <w:r w:rsidRPr="00CE0438">
        <w:rPr>
          <w:rFonts w:ascii="Arial" w:hAnsi="Arial" w:cs="Arial"/>
        </w:rPr>
        <w:t xml:space="preserve"> </w:t>
      </w:r>
      <w:r w:rsidRPr="00CE0438">
        <w:rPr>
          <w:rFonts w:ascii="Arial" w:hAnsi="Arial" w:cs="Arial"/>
          <w:b/>
        </w:rPr>
        <w:t>30</w:t>
      </w:r>
      <w:r w:rsidRPr="00CE0438">
        <w:rPr>
          <w:rFonts w:ascii="Arial" w:hAnsi="Arial" w:cs="Arial"/>
        </w:rPr>
        <w:t>, 1170-9.</w:t>
      </w:r>
    </w:p>
    <w:p w:rsidR="0044607E" w:rsidRPr="003143CC" w:rsidRDefault="0044607E" w:rsidP="003143CC">
      <w:pPr>
        <w:spacing w:line="480" w:lineRule="auto"/>
        <w:jc w:val="both"/>
        <w:rPr>
          <w:rFonts w:ascii="Arial" w:hAnsi="Arial" w:cs="Arial"/>
        </w:rPr>
      </w:pPr>
      <w:r w:rsidRPr="003143CC">
        <w:rPr>
          <w:rFonts w:ascii="Arial" w:hAnsi="Arial" w:cs="Arial"/>
        </w:rPr>
        <w:t xml:space="preserve">Phillips EJ, Chung WH, </w:t>
      </w:r>
      <w:proofErr w:type="spellStart"/>
      <w:r w:rsidRPr="003143CC">
        <w:rPr>
          <w:rFonts w:ascii="Arial" w:hAnsi="Arial" w:cs="Arial"/>
        </w:rPr>
        <w:t>Mockenhaupt</w:t>
      </w:r>
      <w:proofErr w:type="spellEnd"/>
      <w:r w:rsidRPr="003143CC">
        <w:rPr>
          <w:rFonts w:ascii="Arial" w:hAnsi="Arial" w:cs="Arial"/>
        </w:rPr>
        <w:t xml:space="preserve"> M, </w:t>
      </w:r>
      <w:proofErr w:type="spellStart"/>
      <w:r w:rsidRPr="003143CC">
        <w:rPr>
          <w:rFonts w:ascii="Arial" w:hAnsi="Arial" w:cs="Arial"/>
        </w:rPr>
        <w:t>Roujeau</w:t>
      </w:r>
      <w:proofErr w:type="spellEnd"/>
      <w:r w:rsidRPr="003143CC">
        <w:rPr>
          <w:rFonts w:ascii="Arial" w:hAnsi="Arial" w:cs="Arial"/>
        </w:rPr>
        <w:t xml:space="preserve"> JC, </w:t>
      </w:r>
      <w:proofErr w:type="spellStart"/>
      <w:r w:rsidRPr="003143CC">
        <w:rPr>
          <w:rFonts w:ascii="Arial" w:hAnsi="Arial" w:cs="Arial"/>
        </w:rPr>
        <w:t>Mallal</w:t>
      </w:r>
      <w:proofErr w:type="spellEnd"/>
      <w:r w:rsidRPr="003143CC">
        <w:rPr>
          <w:rFonts w:ascii="Arial" w:hAnsi="Arial" w:cs="Arial"/>
        </w:rPr>
        <w:t xml:space="preserve"> SA. </w:t>
      </w:r>
      <w:r w:rsidR="003143CC">
        <w:rPr>
          <w:rFonts w:ascii="Arial" w:hAnsi="Arial" w:cs="Arial"/>
        </w:rPr>
        <w:t xml:space="preserve">(2011) </w:t>
      </w:r>
      <w:r w:rsidRPr="003143CC">
        <w:rPr>
          <w:rFonts w:ascii="Arial" w:hAnsi="Arial" w:cs="Arial"/>
        </w:rPr>
        <w:t xml:space="preserve">Drug hypersensitivity: </w:t>
      </w:r>
      <w:proofErr w:type="spellStart"/>
      <w:r w:rsidRPr="003143CC">
        <w:rPr>
          <w:rFonts w:ascii="Arial" w:hAnsi="Arial" w:cs="Arial"/>
        </w:rPr>
        <w:t>pharmacogenetics</w:t>
      </w:r>
      <w:proofErr w:type="spellEnd"/>
      <w:r w:rsidRPr="003143CC">
        <w:rPr>
          <w:rFonts w:ascii="Arial" w:hAnsi="Arial" w:cs="Arial"/>
        </w:rPr>
        <w:t xml:space="preserve"> and clinical syndromes.</w:t>
      </w:r>
      <w:r w:rsidRPr="003143CC">
        <w:rPr>
          <w:rStyle w:val="jrnl"/>
          <w:rFonts w:ascii="Arial" w:hAnsi="Arial" w:cs="Arial"/>
        </w:rPr>
        <w:t xml:space="preserve"> </w:t>
      </w:r>
      <w:proofErr w:type="gramStart"/>
      <w:r w:rsidRPr="003143CC">
        <w:rPr>
          <w:rStyle w:val="jrnl"/>
          <w:rFonts w:ascii="Arial" w:hAnsi="Arial" w:cs="Arial"/>
          <w:i/>
        </w:rPr>
        <w:t xml:space="preserve">J Allergy </w:t>
      </w:r>
      <w:proofErr w:type="spellStart"/>
      <w:r w:rsidRPr="003143CC">
        <w:rPr>
          <w:rStyle w:val="jrnl"/>
          <w:rFonts w:ascii="Arial" w:hAnsi="Arial" w:cs="Arial"/>
          <w:i/>
        </w:rPr>
        <w:t>Clin</w:t>
      </w:r>
      <w:proofErr w:type="spellEnd"/>
      <w:r w:rsidRPr="003143CC">
        <w:rPr>
          <w:rStyle w:val="jrnl"/>
          <w:rFonts w:ascii="Arial" w:hAnsi="Arial" w:cs="Arial"/>
          <w:i/>
        </w:rPr>
        <w:t xml:space="preserve"> </w:t>
      </w:r>
      <w:proofErr w:type="spellStart"/>
      <w:r w:rsidRPr="003143CC">
        <w:rPr>
          <w:rStyle w:val="jrnl"/>
          <w:rFonts w:ascii="Arial" w:hAnsi="Arial" w:cs="Arial"/>
          <w:i/>
        </w:rPr>
        <w:t>Immunol</w:t>
      </w:r>
      <w:proofErr w:type="spellEnd"/>
      <w:r w:rsidRPr="003143CC">
        <w:rPr>
          <w:rFonts w:ascii="Arial" w:hAnsi="Arial" w:cs="Arial"/>
          <w:i/>
        </w:rPr>
        <w:t>.</w:t>
      </w:r>
      <w:proofErr w:type="gramEnd"/>
      <w:r w:rsidRPr="003143CC">
        <w:rPr>
          <w:rFonts w:ascii="Arial" w:hAnsi="Arial" w:cs="Arial"/>
        </w:rPr>
        <w:t xml:space="preserve"> </w:t>
      </w:r>
      <w:r w:rsidRPr="003143CC">
        <w:rPr>
          <w:rFonts w:ascii="Arial" w:hAnsi="Arial" w:cs="Arial"/>
          <w:b/>
        </w:rPr>
        <w:t>127</w:t>
      </w:r>
      <w:r w:rsidRPr="003143CC">
        <w:rPr>
          <w:rFonts w:ascii="Arial" w:hAnsi="Arial" w:cs="Arial"/>
        </w:rPr>
        <w:t>:S60-6.</w:t>
      </w:r>
    </w:p>
    <w:p w:rsidR="0044607E" w:rsidRPr="003143CC" w:rsidRDefault="0044607E" w:rsidP="003143CC">
      <w:pPr>
        <w:spacing w:line="480" w:lineRule="auto"/>
        <w:jc w:val="both"/>
        <w:rPr>
          <w:rFonts w:ascii="Arial" w:hAnsi="Arial" w:cs="Arial"/>
        </w:rPr>
      </w:pPr>
      <w:proofErr w:type="spellStart"/>
      <w:r w:rsidRPr="003143CC">
        <w:rPr>
          <w:rFonts w:ascii="Arial" w:hAnsi="Arial" w:cs="Arial"/>
        </w:rPr>
        <w:t>Schnyder</w:t>
      </w:r>
      <w:proofErr w:type="spellEnd"/>
      <w:r w:rsidRPr="003143CC">
        <w:rPr>
          <w:rFonts w:ascii="Arial" w:hAnsi="Arial" w:cs="Arial"/>
        </w:rPr>
        <w:t xml:space="preserve"> B, Burkhart C, </w:t>
      </w:r>
      <w:proofErr w:type="spellStart"/>
      <w:r w:rsidRPr="003143CC">
        <w:rPr>
          <w:rFonts w:ascii="Arial" w:hAnsi="Arial" w:cs="Arial"/>
        </w:rPr>
        <w:t>Schnyder-Frutig</w:t>
      </w:r>
      <w:proofErr w:type="spellEnd"/>
      <w:r w:rsidRPr="003143CC">
        <w:rPr>
          <w:rFonts w:ascii="Arial" w:hAnsi="Arial" w:cs="Arial"/>
        </w:rPr>
        <w:t xml:space="preserve"> K, von </w:t>
      </w:r>
      <w:proofErr w:type="spellStart"/>
      <w:r w:rsidRPr="003143CC">
        <w:rPr>
          <w:rFonts w:ascii="Arial" w:hAnsi="Arial" w:cs="Arial"/>
        </w:rPr>
        <w:t>Greyerz</w:t>
      </w:r>
      <w:proofErr w:type="spellEnd"/>
      <w:r w:rsidRPr="003143CC">
        <w:rPr>
          <w:rFonts w:ascii="Arial" w:hAnsi="Arial" w:cs="Arial"/>
        </w:rPr>
        <w:t xml:space="preserve"> S, Naisbitt DJ, Pirmohamed M, Park BK, </w:t>
      </w:r>
      <w:proofErr w:type="spellStart"/>
      <w:r w:rsidRPr="003143CC">
        <w:rPr>
          <w:rFonts w:ascii="Arial" w:hAnsi="Arial" w:cs="Arial"/>
        </w:rPr>
        <w:t>Pichler</w:t>
      </w:r>
      <w:proofErr w:type="spellEnd"/>
      <w:r w:rsidRPr="003143CC">
        <w:rPr>
          <w:rFonts w:ascii="Arial" w:hAnsi="Arial" w:cs="Arial"/>
        </w:rPr>
        <w:t xml:space="preserve"> WJ. </w:t>
      </w:r>
      <w:r w:rsidR="003143CC">
        <w:rPr>
          <w:rFonts w:ascii="Arial" w:hAnsi="Arial" w:cs="Arial"/>
        </w:rPr>
        <w:t xml:space="preserve">(2000) </w:t>
      </w:r>
      <w:r w:rsidRPr="003143CC">
        <w:rPr>
          <w:rFonts w:ascii="Arial" w:hAnsi="Arial" w:cs="Arial"/>
        </w:rPr>
        <w:t xml:space="preserve">Recognition of </w:t>
      </w:r>
      <w:proofErr w:type="spellStart"/>
      <w:r w:rsidRPr="003143CC">
        <w:rPr>
          <w:rFonts w:ascii="Arial" w:hAnsi="Arial" w:cs="Arial"/>
        </w:rPr>
        <w:t>sulfamethoxazole</w:t>
      </w:r>
      <w:proofErr w:type="spellEnd"/>
      <w:r w:rsidRPr="003143CC">
        <w:rPr>
          <w:rFonts w:ascii="Arial" w:hAnsi="Arial" w:cs="Arial"/>
        </w:rPr>
        <w:t xml:space="preserve"> and its reactive metabolites by drug-specific CD4+ T cells from allergic individuals. </w:t>
      </w:r>
      <w:proofErr w:type="gramStart"/>
      <w:r w:rsidR="003143CC">
        <w:rPr>
          <w:rFonts w:ascii="Arial" w:hAnsi="Arial" w:cs="Arial"/>
          <w:i/>
        </w:rPr>
        <w:t xml:space="preserve">J </w:t>
      </w:r>
      <w:proofErr w:type="spellStart"/>
      <w:r w:rsidR="003143CC">
        <w:rPr>
          <w:rFonts w:ascii="Arial" w:hAnsi="Arial" w:cs="Arial"/>
          <w:i/>
        </w:rPr>
        <w:t>Immunol</w:t>
      </w:r>
      <w:proofErr w:type="spellEnd"/>
      <w:r w:rsidRPr="003143CC">
        <w:rPr>
          <w:rFonts w:ascii="Arial" w:hAnsi="Arial" w:cs="Arial"/>
        </w:rPr>
        <w:t>.</w:t>
      </w:r>
      <w:proofErr w:type="gramEnd"/>
      <w:r w:rsidRPr="003143CC">
        <w:rPr>
          <w:rFonts w:ascii="Arial" w:hAnsi="Arial" w:cs="Arial"/>
        </w:rPr>
        <w:t xml:space="preserve"> </w:t>
      </w:r>
      <w:r w:rsidRPr="003143CC">
        <w:rPr>
          <w:rFonts w:ascii="Arial" w:hAnsi="Arial" w:cs="Arial"/>
          <w:b/>
        </w:rPr>
        <w:t>164</w:t>
      </w:r>
      <w:r w:rsidRPr="003143CC">
        <w:rPr>
          <w:rFonts w:ascii="Arial" w:hAnsi="Arial" w:cs="Arial"/>
        </w:rPr>
        <w:t xml:space="preserve">:6647-54. </w:t>
      </w:r>
    </w:p>
    <w:p w:rsidR="0044607E" w:rsidRPr="003143CC" w:rsidRDefault="0044607E" w:rsidP="003143CC">
      <w:pPr>
        <w:autoSpaceDE w:val="0"/>
        <w:autoSpaceDN w:val="0"/>
        <w:adjustRightInd w:val="0"/>
        <w:spacing w:after="0" w:line="480" w:lineRule="auto"/>
        <w:jc w:val="both"/>
        <w:rPr>
          <w:rFonts w:ascii="Arial" w:hAnsi="Arial" w:cs="Arial"/>
        </w:rPr>
      </w:pPr>
      <w:proofErr w:type="spellStart"/>
      <w:r w:rsidRPr="003143CC">
        <w:rPr>
          <w:rFonts w:ascii="Arial" w:hAnsi="Arial" w:cs="Arial"/>
        </w:rPr>
        <w:t>Sieben</w:t>
      </w:r>
      <w:proofErr w:type="spellEnd"/>
      <w:r w:rsidRPr="003143CC">
        <w:rPr>
          <w:rFonts w:ascii="Arial" w:hAnsi="Arial" w:cs="Arial"/>
        </w:rPr>
        <w:t xml:space="preserve"> S, </w:t>
      </w:r>
      <w:proofErr w:type="spellStart"/>
      <w:r w:rsidRPr="003143CC">
        <w:rPr>
          <w:rFonts w:ascii="Arial" w:hAnsi="Arial" w:cs="Arial"/>
        </w:rPr>
        <w:t>Kawakubo</w:t>
      </w:r>
      <w:proofErr w:type="spellEnd"/>
      <w:r w:rsidRPr="003143CC">
        <w:rPr>
          <w:rFonts w:ascii="Arial" w:hAnsi="Arial" w:cs="Arial"/>
        </w:rPr>
        <w:t xml:space="preserve"> Y, Al </w:t>
      </w:r>
      <w:proofErr w:type="spellStart"/>
      <w:r w:rsidRPr="003143CC">
        <w:rPr>
          <w:rFonts w:ascii="Arial" w:hAnsi="Arial" w:cs="Arial"/>
        </w:rPr>
        <w:t>Masaoudi</w:t>
      </w:r>
      <w:proofErr w:type="spellEnd"/>
      <w:r w:rsidRPr="003143CC">
        <w:rPr>
          <w:rFonts w:ascii="Arial" w:hAnsi="Arial" w:cs="Arial"/>
        </w:rPr>
        <w:t xml:space="preserve"> T, </w:t>
      </w:r>
      <w:proofErr w:type="spellStart"/>
      <w:r w:rsidRPr="003143CC">
        <w:rPr>
          <w:rFonts w:ascii="Arial" w:hAnsi="Arial" w:cs="Arial"/>
        </w:rPr>
        <w:t>Merk</w:t>
      </w:r>
      <w:proofErr w:type="spellEnd"/>
      <w:r w:rsidRPr="003143CC">
        <w:rPr>
          <w:rFonts w:ascii="Arial" w:hAnsi="Arial" w:cs="Arial"/>
        </w:rPr>
        <w:t xml:space="preserve"> HF, </w:t>
      </w:r>
      <w:proofErr w:type="spellStart"/>
      <w:r w:rsidRPr="003143CC">
        <w:rPr>
          <w:rFonts w:ascii="Arial" w:hAnsi="Arial" w:cs="Arial"/>
        </w:rPr>
        <w:t>Blomeke</w:t>
      </w:r>
      <w:proofErr w:type="spellEnd"/>
      <w:r w:rsidRPr="003143CC">
        <w:rPr>
          <w:rFonts w:ascii="Arial" w:hAnsi="Arial" w:cs="Arial"/>
        </w:rPr>
        <w:t xml:space="preserve"> B (2002) Delayed type hypersensitivity reaction to </w:t>
      </w:r>
      <w:proofErr w:type="spellStart"/>
      <w:r w:rsidRPr="003143CC">
        <w:rPr>
          <w:rFonts w:ascii="Arial" w:hAnsi="Arial" w:cs="Arial"/>
        </w:rPr>
        <w:t>paraphenylenediamine</w:t>
      </w:r>
      <w:proofErr w:type="spellEnd"/>
      <w:r w:rsidRPr="003143CC">
        <w:rPr>
          <w:rFonts w:ascii="Arial" w:hAnsi="Arial" w:cs="Arial"/>
        </w:rPr>
        <w:t xml:space="preserve"> is mediated by 2 different pathways of antigen recognition by specific </w:t>
      </w:r>
      <w:proofErr w:type="spellStart"/>
      <w:r w:rsidRPr="003143CC">
        <w:rPr>
          <w:rFonts w:ascii="Arial" w:hAnsi="Arial" w:cs="Arial"/>
        </w:rPr>
        <w:t>alphabeta</w:t>
      </w:r>
      <w:proofErr w:type="spellEnd"/>
      <w:r w:rsidRPr="003143CC">
        <w:rPr>
          <w:rFonts w:ascii="Arial" w:hAnsi="Arial" w:cs="Arial"/>
        </w:rPr>
        <w:t xml:space="preserve"> human T-cell clones. </w:t>
      </w:r>
      <w:r w:rsidRPr="003143CC">
        <w:rPr>
          <w:rFonts w:ascii="Arial" w:hAnsi="Arial" w:cs="Arial"/>
          <w:i/>
        </w:rPr>
        <w:t xml:space="preserve">J Allergy </w:t>
      </w:r>
      <w:proofErr w:type="spellStart"/>
      <w:r w:rsidRPr="003143CC">
        <w:rPr>
          <w:rFonts w:ascii="Arial" w:hAnsi="Arial" w:cs="Arial"/>
          <w:i/>
        </w:rPr>
        <w:t>Clin</w:t>
      </w:r>
      <w:proofErr w:type="spellEnd"/>
      <w:r w:rsidRPr="003143CC">
        <w:rPr>
          <w:rFonts w:ascii="Arial" w:hAnsi="Arial" w:cs="Arial"/>
          <w:i/>
        </w:rPr>
        <w:t xml:space="preserve"> </w:t>
      </w:r>
      <w:proofErr w:type="spellStart"/>
      <w:r w:rsidRPr="003143CC">
        <w:rPr>
          <w:rFonts w:ascii="Arial" w:hAnsi="Arial" w:cs="Arial"/>
          <w:i/>
        </w:rPr>
        <w:t>Immunol</w:t>
      </w:r>
      <w:proofErr w:type="spellEnd"/>
      <w:r w:rsidRPr="003143CC">
        <w:rPr>
          <w:rFonts w:ascii="Arial" w:hAnsi="Arial" w:cs="Arial"/>
        </w:rPr>
        <w:t xml:space="preserve"> </w:t>
      </w:r>
      <w:r w:rsidRPr="003143CC">
        <w:rPr>
          <w:rFonts w:ascii="Arial" w:hAnsi="Arial" w:cs="Arial"/>
          <w:b/>
        </w:rPr>
        <w:t>109</w:t>
      </w:r>
      <w:r w:rsidRPr="003143CC">
        <w:rPr>
          <w:rFonts w:ascii="Arial" w:hAnsi="Arial" w:cs="Arial"/>
        </w:rPr>
        <w:t>:1005–11</w:t>
      </w:r>
      <w:r w:rsidR="00026E24" w:rsidRPr="003143CC">
        <w:rPr>
          <w:rFonts w:ascii="Arial" w:hAnsi="Arial" w:cs="Arial"/>
        </w:rPr>
        <w:t>.</w:t>
      </w:r>
    </w:p>
    <w:p w:rsidR="0044607E" w:rsidRPr="003143CC" w:rsidRDefault="0044607E" w:rsidP="003143CC">
      <w:pPr>
        <w:spacing w:line="480" w:lineRule="auto"/>
        <w:jc w:val="both"/>
        <w:rPr>
          <w:rFonts w:ascii="Arial" w:hAnsi="Arial" w:cs="Arial"/>
        </w:rPr>
      </w:pPr>
      <w:r w:rsidRPr="003143CC">
        <w:rPr>
          <w:rFonts w:ascii="Arial" w:hAnsi="Arial" w:cs="Arial"/>
        </w:rPr>
        <w:t xml:space="preserve">Singer JB, </w:t>
      </w:r>
      <w:proofErr w:type="spellStart"/>
      <w:r w:rsidRPr="003143CC">
        <w:rPr>
          <w:rFonts w:ascii="Arial" w:hAnsi="Arial" w:cs="Arial"/>
        </w:rPr>
        <w:t>Lewitzky</w:t>
      </w:r>
      <w:proofErr w:type="spellEnd"/>
      <w:r w:rsidRPr="003143CC">
        <w:rPr>
          <w:rFonts w:ascii="Arial" w:hAnsi="Arial" w:cs="Arial"/>
        </w:rPr>
        <w:t xml:space="preserve"> S, Leroy E, Yang F, Zhao X, </w:t>
      </w:r>
      <w:proofErr w:type="spellStart"/>
      <w:r w:rsidRPr="003143CC">
        <w:rPr>
          <w:rFonts w:ascii="Arial" w:hAnsi="Arial" w:cs="Arial"/>
        </w:rPr>
        <w:t>Klickstein</w:t>
      </w:r>
      <w:proofErr w:type="spellEnd"/>
      <w:r w:rsidRPr="003143CC">
        <w:rPr>
          <w:rFonts w:ascii="Arial" w:hAnsi="Arial" w:cs="Arial"/>
        </w:rPr>
        <w:t xml:space="preserve"> L, Wright TM, Meyer J, Paulding CA. </w:t>
      </w:r>
      <w:r w:rsidR="003143CC">
        <w:rPr>
          <w:rFonts w:ascii="Arial" w:hAnsi="Arial" w:cs="Arial"/>
        </w:rPr>
        <w:t xml:space="preserve">(2010) </w:t>
      </w:r>
      <w:r w:rsidRPr="003143CC">
        <w:rPr>
          <w:rFonts w:ascii="Arial" w:hAnsi="Arial" w:cs="Arial"/>
        </w:rPr>
        <w:t xml:space="preserve">A genome-wide study identifies </w:t>
      </w:r>
      <w:r w:rsidRPr="003143CC">
        <w:rPr>
          <w:rFonts w:ascii="Arial" w:hAnsi="Arial" w:cs="Arial"/>
          <w:bCs/>
        </w:rPr>
        <w:t>HLA</w:t>
      </w:r>
      <w:r w:rsidRPr="003143CC">
        <w:rPr>
          <w:rFonts w:ascii="Arial" w:hAnsi="Arial" w:cs="Arial"/>
        </w:rPr>
        <w:t xml:space="preserve"> alleles associated with </w:t>
      </w:r>
      <w:proofErr w:type="spellStart"/>
      <w:r w:rsidRPr="003143CC">
        <w:rPr>
          <w:rFonts w:ascii="Arial" w:hAnsi="Arial" w:cs="Arial"/>
          <w:bCs/>
        </w:rPr>
        <w:t>lumiracoxib</w:t>
      </w:r>
      <w:proofErr w:type="spellEnd"/>
      <w:r w:rsidRPr="003143CC">
        <w:rPr>
          <w:rFonts w:ascii="Arial" w:hAnsi="Arial" w:cs="Arial"/>
        </w:rPr>
        <w:t>-related liver injury.</w:t>
      </w:r>
      <w:r w:rsidRPr="003143CC">
        <w:rPr>
          <w:rStyle w:val="jrnl"/>
          <w:rFonts w:ascii="Arial" w:hAnsi="Arial" w:cs="Arial"/>
        </w:rPr>
        <w:t xml:space="preserve"> </w:t>
      </w:r>
      <w:r w:rsidRPr="003143CC">
        <w:rPr>
          <w:rStyle w:val="jrnl"/>
          <w:rFonts w:ascii="Arial" w:hAnsi="Arial" w:cs="Arial"/>
          <w:i/>
        </w:rPr>
        <w:t>Nat Genet</w:t>
      </w:r>
      <w:r w:rsidRPr="003143CC">
        <w:rPr>
          <w:rFonts w:ascii="Arial" w:hAnsi="Arial" w:cs="Arial"/>
          <w:i/>
        </w:rPr>
        <w:t>.</w:t>
      </w:r>
      <w:r w:rsidRPr="003143CC">
        <w:rPr>
          <w:rFonts w:ascii="Arial" w:hAnsi="Arial" w:cs="Arial"/>
          <w:b/>
        </w:rPr>
        <w:t>42</w:t>
      </w:r>
      <w:r w:rsidRPr="003143CC">
        <w:rPr>
          <w:rFonts w:ascii="Arial" w:hAnsi="Arial" w:cs="Arial"/>
        </w:rPr>
        <w:t>:711-4.</w:t>
      </w:r>
    </w:p>
    <w:p w:rsidR="0044607E" w:rsidRPr="003143CC" w:rsidRDefault="003143CC" w:rsidP="003143CC">
      <w:pPr>
        <w:spacing w:line="480" w:lineRule="auto"/>
        <w:jc w:val="both"/>
        <w:rPr>
          <w:rFonts w:ascii="Arial" w:hAnsi="Arial" w:cs="Arial"/>
        </w:rPr>
      </w:pPr>
      <w:proofErr w:type="spellStart"/>
      <w:r>
        <w:rPr>
          <w:rFonts w:ascii="Arial" w:hAnsi="Arial" w:cs="Arial"/>
          <w:bCs/>
        </w:rPr>
        <w:t>S</w:t>
      </w:r>
      <w:r w:rsidR="0044607E" w:rsidRPr="003143CC">
        <w:rPr>
          <w:rFonts w:ascii="Arial" w:hAnsi="Arial" w:cs="Arial"/>
          <w:bCs/>
        </w:rPr>
        <w:t>praggs</w:t>
      </w:r>
      <w:proofErr w:type="spellEnd"/>
      <w:r w:rsidR="0044607E" w:rsidRPr="003143CC">
        <w:rPr>
          <w:rFonts w:ascii="Arial" w:hAnsi="Arial" w:cs="Arial"/>
        </w:rPr>
        <w:t xml:space="preserve"> CF, </w:t>
      </w:r>
      <w:proofErr w:type="spellStart"/>
      <w:r w:rsidR="0044607E" w:rsidRPr="003143CC">
        <w:rPr>
          <w:rFonts w:ascii="Arial" w:hAnsi="Arial" w:cs="Arial"/>
        </w:rPr>
        <w:t>Budde</w:t>
      </w:r>
      <w:proofErr w:type="spellEnd"/>
      <w:r w:rsidR="0044607E" w:rsidRPr="003143CC">
        <w:rPr>
          <w:rFonts w:ascii="Arial" w:hAnsi="Arial" w:cs="Arial"/>
        </w:rPr>
        <w:t xml:space="preserve"> LR, Briley LP, Bing N, Cox CJ, King KS, Whittaker JC, </w:t>
      </w:r>
      <w:proofErr w:type="spellStart"/>
      <w:r w:rsidR="0044607E" w:rsidRPr="003143CC">
        <w:rPr>
          <w:rFonts w:ascii="Arial" w:hAnsi="Arial" w:cs="Arial"/>
        </w:rPr>
        <w:t>Mooser</w:t>
      </w:r>
      <w:proofErr w:type="spellEnd"/>
      <w:r w:rsidR="0044607E" w:rsidRPr="003143CC">
        <w:rPr>
          <w:rFonts w:ascii="Arial" w:hAnsi="Arial" w:cs="Arial"/>
        </w:rPr>
        <w:t xml:space="preserve"> VE, Preston AJ, Stein SH, </w:t>
      </w:r>
      <w:r>
        <w:rPr>
          <w:rFonts w:ascii="Arial" w:hAnsi="Arial" w:cs="Arial"/>
          <w:i/>
        </w:rPr>
        <w:t>et al</w:t>
      </w:r>
      <w:r w:rsidR="0044607E" w:rsidRPr="003143CC">
        <w:rPr>
          <w:rFonts w:ascii="Arial" w:hAnsi="Arial" w:cs="Arial"/>
        </w:rPr>
        <w:t xml:space="preserve">. </w:t>
      </w:r>
      <w:r>
        <w:rPr>
          <w:rFonts w:ascii="Arial" w:hAnsi="Arial" w:cs="Arial"/>
        </w:rPr>
        <w:t xml:space="preserve">(2011) </w:t>
      </w:r>
      <w:r w:rsidR="0044607E" w:rsidRPr="003143CC">
        <w:rPr>
          <w:rFonts w:ascii="Arial" w:hAnsi="Arial" w:cs="Arial"/>
        </w:rPr>
        <w:t xml:space="preserve">HLA-DQA1*02:01 is a major risk factor for </w:t>
      </w:r>
      <w:proofErr w:type="spellStart"/>
      <w:r w:rsidR="0044607E" w:rsidRPr="003143CC">
        <w:rPr>
          <w:rFonts w:ascii="Arial" w:hAnsi="Arial" w:cs="Arial"/>
          <w:bCs/>
        </w:rPr>
        <w:t>lapatinib</w:t>
      </w:r>
      <w:proofErr w:type="spellEnd"/>
      <w:r w:rsidR="0044607E" w:rsidRPr="003143CC">
        <w:rPr>
          <w:rFonts w:ascii="Arial" w:hAnsi="Arial" w:cs="Arial"/>
        </w:rPr>
        <w:t xml:space="preserve">-induced hepatotoxicity in women with advanced breast cancer. </w:t>
      </w:r>
      <w:proofErr w:type="gramStart"/>
      <w:r w:rsidR="0044607E" w:rsidRPr="003143CC">
        <w:rPr>
          <w:rStyle w:val="jrnl"/>
          <w:rFonts w:ascii="Arial" w:hAnsi="Arial" w:cs="Arial"/>
          <w:i/>
        </w:rPr>
        <w:t xml:space="preserve">J </w:t>
      </w:r>
      <w:proofErr w:type="spellStart"/>
      <w:r w:rsidR="0044607E" w:rsidRPr="003143CC">
        <w:rPr>
          <w:rStyle w:val="jrnl"/>
          <w:rFonts w:ascii="Arial" w:hAnsi="Arial" w:cs="Arial"/>
          <w:i/>
        </w:rPr>
        <w:t>Clin</w:t>
      </w:r>
      <w:proofErr w:type="spellEnd"/>
      <w:r w:rsidR="0044607E" w:rsidRPr="003143CC">
        <w:rPr>
          <w:rStyle w:val="jrnl"/>
          <w:rFonts w:ascii="Arial" w:hAnsi="Arial" w:cs="Arial"/>
          <w:i/>
        </w:rPr>
        <w:t xml:space="preserve"> </w:t>
      </w:r>
      <w:proofErr w:type="spellStart"/>
      <w:r w:rsidR="0044607E" w:rsidRPr="003143CC">
        <w:rPr>
          <w:rStyle w:val="jrnl"/>
          <w:rFonts w:ascii="Arial" w:hAnsi="Arial" w:cs="Arial"/>
          <w:i/>
        </w:rPr>
        <w:t>Oncol</w:t>
      </w:r>
      <w:proofErr w:type="spellEnd"/>
      <w:r w:rsidR="0044607E" w:rsidRPr="003143CC">
        <w:rPr>
          <w:rFonts w:ascii="Arial" w:hAnsi="Arial" w:cs="Arial"/>
          <w:i/>
        </w:rPr>
        <w:t>.</w:t>
      </w:r>
      <w:proofErr w:type="gramEnd"/>
      <w:r>
        <w:rPr>
          <w:rFonts w:ascii="Arial" w:hAnsi="Arial" w:cs="Arial"/>
          <w:i/>
        </w:rPr>
        <w:t xml:space="preserve"> </w:t>
      </w:r>
      <w:r w:rsidR="0044607E" w:rsidRPr="003143CC">
        <w:rPr>
          <w:rFonts w:ascii="Arial" w:hAnsi="Arial" w:cs="Arial"/>
          <w:b/>
        </w:rPr>
        <w:t>29</w:t>
      </w:r>
      <w:r w:rsidR="0044607E" w:rsidRPr="003143CC">
        <w:rPr>
          <w:rFonts w:ascii="Arial" w:hAnsi="Arial" w:cs="Arial"/>
        </w:rPr>
        <w:t>:667-73</w:t>
      </w:r>
      <w:r w:rsidR="00026E24" w:rsidRPr="003143CC">
        <w:rPr>
          <w:rFonts w:ascii="Arial" w:hAnsi="Arial" w:cs="Arial"/>
        </w:rPr>
        <w:t>.</w:t>
      </w:r>
    </w:p>
    <w:p w:rsidR="0044607E" w:rsidRPr="003143CC" w:rsidRDefault="0044607E" w:rsidP="003143CC">
      <w:pPr>
        <w:spacing w:after="120" w:line="480" w:lineRule="auto"/>
        <w:jc w:val="both"/>
        <w:rPr>
          <w:rFonts w:ascii="Arial" w:hAnsi="Arial" w:cs="Arial"/>
        </w:rPr>
      </w:pPr>
      <w:proofErr w:type="spellStart"/>
      <w:r w:rsidRPr="003143CC">
        <w:rPr>
          <w:rFonts w:ascii="Arial" w:hAnsi="Arial" w:cs="Arial"/>
        </w:rPr>
        <w:t>Tassaneeyakul</w:t>
      </w:r>
      <w:proofErr w:type="spellEnd"/>
      <w:r w:rsidRPr="003143CC">
        <w:rPr>
          <w:rFonts w:ascii="Arial" w:hAnsi="Arial" w:cs="Arial"/>
        </w:rPr>
        <w:t xml:space="preserve"> W, </w:t>
      </w:r>
      <w:proofErr w:type="spellStart"/>
      <w:r w:rsidRPr="003143CC">
        <w:rPr>
          <w:rFonts w:ascii="Arial" w:hAnsi="Arial" w:cs="Arial"/>
        </w:rPr>
        <w:t>Tiamkao</w:t>
      </w:r>
      <w:proofErr w:type="spellEnd"/>
      <w:r w:rsidRPr="003143CC">
        <w:rPr>
          <w:rFonts w:ascii="Arial" w:hAnsi="Arial" w:cs="Arial"/>
        </w:rPr>
        <w:t xml:space="preserve"> S, </w:t>
      </w:r>
      <w:proofErr w:type="spellStart"/>
      <w:r w:rsidRPr="003143CC">
        <w:rPr>
          <w:rFonts w:ascii="Arial" w:hAnsi="Arial" w:cs="Arial"/>
        </w:rPr>
        <w:t>Jantararoungtong</w:t>
      </w:r>
      <w:proofErr w:type="spellEnd"/>
      <w:r w:rsidRPr="003143CC">
        <w:rPr>
          <w:rFonts w:ascii="Arial" w:hAnsi="Arial" w:cs="Arial"/>
        </w:rPr>
        <w:t xml:space="preserve"> T, Chen P, Lin SY, Chen WH, </w:t>
      </w:r>
      <w:proofErr w:type="spellStart"/>
      <w:r w:rsidRPr="003143CC">
        <w:rPr>
          <w:rFonts w:ascii="Arial" w:hAnsi="Arial" w:cs="Arial"/>
        </w:rPr>
        <w:t>Konyoung</w:t>
      </w:r>
      <w:proofErr w:type="spellEnd"/>
      <w:r w:rsidRPr="003143CC">
        <w:rPr>
          <w:rFonts w:ascii="Arial" w:hAnsi="Arial" w:cs="Arial"/>
        </w:rPr>
        <w:t xml:space="preserve"> P, </w:t>
      </w:r>
      <w:proofErr w:type="spellStart"/>
      <w:r w:rsidRPr="003143CC">
        <w:rPr>
          <w:rFonts w:ascii="Arial" w:hAnsi="Arial" w:cs="Arial"/>
        </w:rPr>
        <w:t>Khunarkornsiri</w:t>
      </w:r>
      <w:proofErr w:type="spellEnd"/>
      <w:r w:rsidRPr="003143CC">
        <w:rPr>
          <w:rFonts w:ascii="Arial" w:hAnsi="Arial" w:cs="Arial"/>
        </w:rPr>
        <w:t xml:space="preserve"> U, </w:t>
      </w:r>
      <w:proofErr w:type="spellStart"/>
      <w:r w:rsidRPr="003143CC">
        <w:rPr>
          <w:rFonts w:ascii="Arial" w:hAnsi="Arial" w:cs="Arial"/>
        </w:rPr>
        <w:t>Auvichayapat</w:t>
      </w:r>
      <w:proofErr w:type="spellEnd"/>
      <w:r w:rsidRPr="003143CC">
        <w:rPr>
          <w:rFonts w:ascii="Arial" w:hAnsi="Arial" w:cs="Arial"/>
        </w:rPr>
        <w:t xml:space="preserve"> N, </w:t>
      </w:r>
      <w:proofErr w:type="spellStart"/>
      <w:r w:rsidRPr="003143CC">
        <w:rPr>
          <w:rFonts w:ascii="Arial" w:hAnsi="Arial" w:cs="Arial"/>
        </w:rPr>
        <w:t>Pavakul</w:t>
      </w:r>
      <w:proofErr w:type="spellEnd"/>
      <w:r w:rsidRPr="003143CC">
        <w:rPr>
          <w:rFonts w:ascii="Arial" w:hAnsi="Arial" w:cs="Arial"/>
        </w:rPr>
        <w:t xml:space="preserve"> K, </w:t>
      </w:r>
      <w:r w:rsidR="003143CC">
        <w:rPr>
          <w:rFonts w:ascii="Arial" w:hAnsi="Arial" w:cs="Arial"/>
          <w:i/>
        </w:rPr>
        <w:t>et al</w:t>
      </w:r>
      <w:r w:rsidRPr="003143CC">
        <w:rPr>
          <w:rFonts w:ascii="Arial" w:hAnsi="Arial" w:cs="Arial"/>
        </w:rPr>
        <w:t xml:space="preserve">. </w:t>
      </w:r>
      <w:r w:rsidR="003143CC">
        <w:rPr>
          <w:rFonts w:ascii="Arial" w:hAnsi="Arial" w:cs="Arial"/>
        </w:rPr>
        <w:t xml:space="preserve">(2010) </w:t>
      </w:r>
      <w:r w:rsidRPr="003143CC">
        <w:rPr>
          <w:rFonts w:ascii="Arial" w:hAnsi="Arial" w:cs="Arial"/>
        </w:rPr>
        <w:t xml:space="preserve">Association between HLA-B*1502 and carbamazepine-induced severe cutaneous adverse drug reactions in a Thai population. </w:t>
      </w:r>
      <w:r w:rsidRPr="003143CC">
        <w:rPr>
          <w:rFonts w:ascii="Arial" w:hAnsi="Arial" w:cs="Arial"/>
          <w:i/>
        </w:rPr>
        <w:t>Epilepsia</w:t>
      </w:r>
      <w:proofErr w:type="gramStart"/>
      <w:r w:rsidRPr="003143CC">
        <w:rPr>
          <w:rFonts w:ascii="Arial" w:hAnsi="Arial" w:cs="Arial"/>
        </w:rPr>
        <w:t>..</w:t>
      </w:r>
      <w:proofErr w:type="gramEnd"/>
      <w:r w:rsidRPr="003143CC">
        <w:rPr>
          <w:rFonts w:ascii="Arial" w:hAnsi="Arial" w:cs="Arial"/>
          <w:b/>
        </w:rPr>
        <w:t>51</w:t>
      </w:r>
      <w:r w:rsidRPr="003143CC">
        <w:rPr>
          <w:rFonts w:ascii="Arial" w:hAnsi="Arial" w:cs="Arial"/>
        </w:rPr>
        <w:t>:926-30</w:t>
      </w:r>
      <w:r w:rsidR="003143CC">
        <w:rPr>
          <w:rFonts w:ascii="Arial" w:hAnsi="Arial" w:cs="Arial"/>
        </w:rPr>
        <w:t>.</w:t>
      </w:r>
    </w:p>
    <w:p w:rsidR="0044607E" w:rsidRPr="003143CC" w:rsidRDefault="0044607E" w:rsidP="003143CC">
      <w:pPr>
        <w:spacing w:line="480" w:lineRule="auto"/>
        <w:jc w:val="both"/>
        <w:rPr>
          <w:rFonts w:ascii="Arial" w:hAnsi="Arial" w:cs="Arial"/>
          <w:lang w:eastAsia="en-GB"/>
        </w:rPr>
      </w:pPr>
      <w:proofErr w:type="spellStart"/>
      <w:r w:rsidRPr="003143CC">
        <w:rPr>
          <w:rFonts w:ascii="Arial" w:hAnsi="Arial" w:cs="Arial"/>
          <w:bCs/>
          <w:lang w:eastAsia="en-GB"/>
        </w:rPr>
        <w:lastRenderedPageBreak/>
        <w:t>Uetrecht</w:t>
      </w:r>
      <w:proofErr w:type="spellEnd"/>
      <w:r w:rsidRPr="003143CC">
        <w:rPr>
          <w:rFonts w:ascii="Arial" w:hAnsi="Arial" w:cs="Arial"/>
          <w:lang w:eastAsia="en-GB"/>
        </w:rPr>
        <w:t xml:space="preserve"> J, Naisbitt DJ.</w:t>
      </w:r>
      <w:r w:rsidRPr="003143CC">
        <w:rPr>
          <w:rFonts w:ascii="Arial" w:hAnsi="Arial" w:cs="Arial"/>
        </w:rPr>
        <w:t xml:space="preserve"> </w:t>
      </w:r>
      <w:r w:rsidR="003143CC">
        <w:rPr>
          <w:rFonts w:ascii="Arial" w:hAnsi="Arial" w:cs="Arial"/>
        </w:rPr>
        <w:t xml:space="preserve">(2013) </w:t>
      </w:r>
      <w:proofErr w:type="gramStart"/>
      <w:r w:rsidRPr="003143CC">
        <w:rPr>
          <w:rFonts w:ascii="Arial" w:hAnsi="Arial" w:cs="Arial"/>
          <w:lang w:eastAsia="en-GB"/>
        </w:rPr>
        <w:t>Idiosyncratic</w:t>
      </w:r>
      <w:proofErr w:type="gramEnd"/>
      <w:r w:rsidRPr="003143CC">
        <w:rPr>
          <w:rFonts w:ascii="Arial" w:hAnsi="Arial" w:cs="Arial"/>
          <w:lang w:eastAsia="en-GB"/>
        </w:rPr>
        <w:t xml:space="preserve"> adverse drug reactions: current concepts. </w:t>
      </w:r>
      <w:proofErr w:type="spellStart"/>
      <w:r w:rsidRPr="003143CC">
        <w:rPr>
          <w:rFonts w:ascii="Arial" w:hAnsi="Arial" w:cs="Arial"/>
          <w:i/>
          <w:lang w:eastAsia="en-GB"/>
        </w:rPr>
        <w:t>Pharmacol</w:t>
      </w:r>
      <w:proofErr w:type="spellEnd"/>
      <w:r w:rsidRPr="003143CC">
        <w:rPr>
          <w:rFonts w:ascii="Arial" w:hAnsi="Arial" w:cs="Arial"/>
          <w:i/>
          <w:lang w:eastAsia="en-GB"/>
        </w:rPr>
        <w:t xml:space="preserve"> Rev</w:t>
      </w:r>
      <w:proofErr w:type="gramStart"/>
      <w:r w:rsidRPr="003143CC">
        <w:rPr>
          <w:rFonts w:ascii="Arial" w:hAnsi="Arial" w:cs="Arial"/>
          <w:i/>
          <w:lang w:eastAsia="en-GB"/>
        </w:rPr>
        <w:t>.</w:t>
      </w:r>
      <w:r w:rsidRPr="003143CC">
        <w:rPr>
          <w:rFonts w:ascii="Arial" w:hAnsi="Arial" w:cs="Arial"/>
          <w:bCs/>
          <w:lang w:eastAsia="en-GB"/>
        </w:rPr>
        <w:t>.</w:t>
      </w:r>
      <w:r w:rsidRPr="003143CC">
        <w:rPr>
          <w:rFonts w:ascii="Arial" w:hAnsi="Arial" w:cs="Arial"/>
          <w:b/>
          <w:lang w:eastAsia="en-GB"/>
        </w:rPr>
        <w:t>65</w:t>
      </w:r>
      <w:r w:rsidRPr="003143CC">
        <w:rPr>
          <w:rFonts w:ascii="Arial" w:hAnsi="Arial" w:cs="Arial"/>
          <w:lang w:eastAsia="en-GB"/>
        </w:rPr>
        <w:t>:779</w:t>
      </w:r>
      <w:proofErr w:type="gramEnd"/>
      <w:r w:rsidRPr="003143CC">
        <w:rPr>
          <w:rFonts w:ascii="Arial" w:hAnsi="Arial" w:cs="Arial"/>
          <w:lang w:eastAsia="en-GB"/>
        </w:rPr>
        <w:t>-808.</w:t>
      </w:r>
    </w:p>
    <w:p w:rsidR="0044607E" w:rsidRPr="003143CC" w:rsidRDefault="0044607E" w:rsidP="003143CC">
      <w:pPr>
        <w:spacing w:line="480" w:lineRule="auto"/>
        <w:jc w:val="both"/>
        <w:rPr>
          <w:rFonts w:ascii="Arial" w:hAnsi="Arial" w:cs="Arial"/>
        </w:rPr>
      </w:pPr>
      <w:proofErr w:type="spellStart"/>
      <w:r w:rsidRPr="003143CC">
        <w:rPr>
          <w:rFonts w:ascii="Arial" w:hAnsi="Arial" w:cs="Arial"/>
          <w:bCs/>
        </w:rPr>
        <w:t>Vitezica</w:t>
      </w:r>
      <w:proofErr w:type="spellEnd"/>
      <w:r w:rsidRPr="003143CC">
        <w:rPr>
          <w:rFonts w:ascii="Arial" w:hAnsi="Arial" w:cs="Arial"/>
        </w:rPr>
        <w:t xml:space="preserve"> ZG, </w:t>
      </w:r>
      <w:proofErr w:type="spellStart"/>
      <w:r w:rsidRPr="003143CC">
        <w:rPr>
          <w:rFonts w:ascii="Arial" w:hAnsi="Arial" w:cs="Arial"/>
        </w:rPr>
        <w:t>Wolkenstein</w:t>
      </w:r>
      <w:proofErr w:type="spellEnd"/>
      <w:r w:rsidRPr="003143CC">
        <w:rPr>
          <w:rFonts w:ascii="Arial" w:hAnsi="Arial" w:cs="Arial"/>
        </w:rPr>
        <w:t xml:space="preserve"> P, </w:t>
      </w:r>
      <w:proofErr w:type="spellStart"/>
      <w:r w:rsidRPr="003143CC">
        <w:rPr>
          <w:rFonts w:ascii="Arial" w:hAnsi="Arial" w:cs="Arial"/>
        </w:rPr>
        <w:t>Lonjou</w:t>
      </w:r>
      <w:proofErr w:type="spellEnd"/>
      <w:r w:rsidRPr="003143CC">
        <w:rPr>
          <w:rFonts w:ascii="Arial" w:hAnsi="Arial" w:cs="Arial"/>
        </w:rPr>
        <w:t xml:space="preserve"> C, </w:t>
      </w:r>
      <w:proofErr w:type="spellStart"/>
      <w:r w:rsidRPr="003143CC">
        <w:rPr>
          <w:rFonts w:ascii="Arial" w:hAnsi="Arial" w:cs="Arial"/>
        </w:rPr>
        <w:t>Eliaszewicz</w:t>
      </w:r>
      <w:proofErr w:type="spellEnd"/>
      <w:r w:rsidRPr="003143CC">
        <w:rPr>
          <w:rFonts w:ascii="Arial" w:hAnsi="Arial" w:cs="Arial"/>
        </w:rPr>
        <w:t xml:space="preserve"> M, </w:t>
      </w:r>
      <w:proofErr w:type="spellStart"/>
      <w:r w:rsidRPr="003143CC">
        <w:rPr>
          <w:rFonts w:ascii="Arial" w:hAnsi="Arial" w:cs="Arial"/>
        </w:rPr>
        <w:t>Sicard</w:t>
      </w:r>
      <w:proofErr w:type="spellEnd"/>
      <w:r w:rsidRPr="003143CC">
        <w:rPr>
          <w:rFonts w:ascii="Arial" w:hAnsi="Arial" w:cs="Arial"/>
        </w:rPr>
        <w:t xml:space="preserve"> X, </w:t>
      </w:r>
      <w:proofErr w:type="spellStart"/>
      <w:r w:rsidRPr="003143CC">
        <w:rPr>
          <w:rFonts w:ascii="Arial" w:hAnsi="Arial" w:cs="Arial"/>
        </w:rPr>
        <w:t>Roujeau</w:t>
      </w:r>
      <w:proofErr w:type="spellEnd"/>
      <w:r w:rsidRPr="003143CC">
        <w:rPr>
          <w:rFonts w:ascii="Arial" w:hAnsi="Arial" w:cs="Arial"/>
        </w:rPr>
        <w:t xml:space="preserve"> JC, Hovnanian A. </w:t>
      </w:r>
      <w:r w:rsidR="003143CC" w:rsidRPr="003143CC">
        <w:rPr>
          <w:rFonts w:ascii="Arial" w:hAnsi="Arial" w:cs="Arial"/>
        </w:rPr>
        <w:t xml:space="preserve">(2008) </w:t>
      </w:r>
      <w:r w:rsidRPr="003143CC">
        <w:rPr>
          <w:rFonts w:ascii="Arial" w:hAnsi="Arial" w:cs="Arial"/>
        </w:rPr>
        <w:t>No association between HLA-B and cutaneous reactions to sulphonamides in human immunodeficiency virus-infected patients.</w:t>
      </w:r>
      <w:r w:rsidRPr="003143CC">
        <w:rPr>
          <w:rStyle w:val="jrnl"/>
          <w:rFonts w:ascii="Arial" w:hAnsi="Arial" w:cs="Arial"/>
        </w:rPr>
        <w:t xml:space="preserve"> </w:t>
      </w:r>
      <w:proofErr w:type="gramStart"/>
      <w:r w:rsidRPr="003143CC">
        <w:rPr>
          <w:rStyle w:val="jrnl"/>
          <w:rFonts w:ascii="Arial" w:hAnsi="Arial" w:cs="Arial"/>
          <w:i/>
        </w:rPr>
        <w:t xml:space="preserve">Br J </w:t>
      </w:r>
      <w:proofErr w:type="spellStart"/>
      <w:r w:rsidRPr="003143CC">
        <w:rPr>
          <w:rStyle w:val="jrnl"/>
          <w:rFonts w:ascii="Arial" w:hAnsi="Arial" w:cs="Arial"/>
          <w:i/>
        </w:rPr>
        <w:t>Dermatol</w:t>
      </w:r>
      <w:proofErr w:type="spellEnd"/>
      <w:r w:rsidRPr="003143CC">
        <w:rPr>
          <w:rFonts w:ascii="Arial" w:hAnsi="Arial" w:cs="Arial"/>
          <w:i/>
        </w:rPr>
        <w:t>.</w:t>
      </w:r>
      <w:proofErr w:type="gramEnd"/>
      <w:r w:rsidRPr="003143CC">
        <w:rPr>
          <w:rFonts w:ascii="Arial" w:hAnsi="Arial" w:cs="Arial"/>
          <w:bCs/>
        </w:rPr>
        <w:t xml:space="preserve"> </w:t>
      </w:r>
      <w:r w:rsidRPr="003143CC">
        <w:rPr>
          <w:rFonts w:ascii="Arial" w:hAnsi="Arial" w:cs="Arial"/>
          <w:b/>
          <w:bCs/>
        </w:rPr>
        <w:t>1</w:t>
      </w:r>
      <w:r w:rsidRPr="003143CC">
        <w:rPr>
          <w:rFonts w:ascii="Arial" w:hAnsi="Arial" w:cs="Arial"/>
          <w:b/>
        </w:rPr>
        <w:t>59</w:t>
      </w:r>
      <w:r w:rsidRPr="003143CC">
        <w:rPr>
          <w:rFonts w:ascii="Arial" w:hAnsi="Arial" w:cs="Arial"/>
        </w:rPr>
        <w:t xml:space="preserve">:501-3. </w:t>
      </w:r>
    </w:p>
    <w:p w:rsidR="0044607E" w:rsidRPr="003143CC" w:rsidRDefault="0044607E" w:rsidP="003143CC">
      <w:pPr>
        <w:spacing w:line="480" w:lineRule="auto"/>
        <w:jc w:val="both"/>
        <w:rPr>
          <w:rFonts w:ascii="Arial" w:hAnsi="Arial" w:cs="Arial"/>
        </w:rPr>
      </w:pPr>
      <w:r w:rsidRPr="003143CC">
        <w:rPr>
          <w:rFonts w:ascii="Arial" w:hAnsi="Arial" w:cs="Arial"/>
        </w:rPr>
        <w:t xml:space="preserve">Wei CY, Chung WH, Huang HW, Chen YT, Hung SI. </w:t>
      </w:r>
      <w:r w:rsidR="003143CC">
        <w:rPr>
          <w:rFonts w:ascii="Arial" w:hAnsi="Arial" w:cs="Arial"/>
        </w:rPr>
        <w:t xml:space="preserve">(2012) </w:t>
      </w:r>
      <w:proofErr w:type="gramStart"/>
      <w:r w:rsidRPr="003143CC">
        <w:rPr>
          <w:rFonts w:ascii="Arial" w:hAnsi="Arial" w:cs="Arial"/>
        </w:rPr>
        <w:t>Direct</w:t>
      </w:r>
      <w:proofErr w:type="gramEnd"/>
      <w:r w:rsidRPr="003143CC">
        <w:rPr>
          <w:rFonts w:ascii="Arial" w:hAnsi="Arial" w:cs="Arial"/>
        </w:rPr>
        <w:t xml:space="preserve"> interaction between HLA-B and carbamazepine activates T cells in patients with Stevens-Johnson syndrome. </w:t>
      </w:r>
      <w:proofErr w:type="gramStart"/>
      <w:r w:rsidRPr="003143CC">
        <w:rPr>
          <w:rFonts w:ascii="Arial" w:hAnsi="Arial" w:cs="Arial"/>
          <w:i/>
        </w:rPr>
        <w:t xml:space="preserve">J Allergy </w:t>
      </w:r>
      <w:proofErr w:type="spellStart"/>
      <w:r w:rsidRPr="003143CC">
        <w:rPr>
          <w:rFonts w:ascii="Arial" w:hAnsi="Arial" w:cs="Arial"/>
          <w:i/>
        </w:rPr>
        <w:t>Clin</w:t>
      </w:r>
      <w:proofErr w:type="spellEnd"/>
      <w:r w:rsidRPr="003143CC">
        <w:rPr>
          <w:rFonts w:ascii="Arial" w:hAnsi="Arial" w:cs="Arial"/>
          <w:i/>
        </w:rPr>
        <w:t xml:space="preserve"> </w:t>
      </w:r>
      <w:proofErr w:type="spellStart"/>
      <w:r w:rsidRPr="003143CC">
        <w:rPr>
          <w:rFonts w:ascii="Arial" w:hAnsi="Arial" w:cs="Arial"/>
          <w:i/>
        </w:rPr>
        <w:t>Immunol</w:t>
      </w:r>
      <w:proofErr w:type="spellEnd"/>
      <w:r w:rsidRPr="003143CC">
        <w:rPr>
          <w:rFonts w:ascii="Arial" w:hAnsi="Arial" w:cs="Arial"/>
          <w:i/>
        </w:rPr>
        <w:t>.</w:t>
      </w:r>
      <w:proofErr w:type="gramEnd"/>
      <w:r w:rsidRPr="003143CC">
        <w:rPr>
          <w:rFonts w:ascii="Arial" w:hAnsi="Arial" w:cs="Arial"/>
        </w:rPr>
        <w:t xml:space="preserve"> </w:t>
      </w:r>
      <w:r w:rsidRPr="003143CC">
        <w:rPr>
          <w:rFonts w:ascii="Arial" w:hAnsi="Arial" w:cs="Arial"/>
          <w:b/>
        </w:rPr>
        <w:t>129</w:t>
      </w:r>
      <w:r w:rsidRPr="003143CC">
        <w:rPr>
          <w:rFonts w:ascii="Arial" w:hAnsi="Arial" w:cs="Arial"/>
        </w:rPr>
        <w:t>:1562-9.</w:t>
      </w:r>
    </w:p>
    <w:p w:rsidR="0044607E" w:rsidRPr="003143CC" w:rsidRDefault="0044607E" w:rsidP="003143CC">
      <w:pPr>
        <w:spacing w:line="480" w:lineRule="auto"/>
        <w:jc w:val="both"/>
        <w:rPr>
          <w:rFonts w:ascii="Arial" w:hAnsi="Arial" w:cs="Arial"/>
          <w:lang w:eastAsia="en-GB"/>
        </w:rPr>
      </w:pPr>
      <w:r w:rsidRPr="003143CC">
        <w:rPr>
          <w:rFonts w:ascii="Arial" w:hAnsi="Arial" w:cs="Arial"/>
          <w:bCs/>
          <w:lang w:eastAsia="en-GB"/>
        </w:rPr>
        <w:t>Whitaker P</w:t>
      </w:r>
      <w:r w:rsidRPr="003143CC">
        <w:rPr>
          <w:rFonts w:ascii="Arial" w:hAnsi="Arial" w:cs="Arial"/>
          <w:lang w:eastAsia="en-GB"/>
        </w:rPr>
        <w:t>, Meng X, Lavergne SN, El-</w:t>
      </w:r>
      <w:proofErr w:type="spellStart"/>
      <w:r w:rsidRPr="003143CC">
        <w:rPr>
          <w:rFonts w:ascii="Arial" w:hAnsi="Arial" w:cs="Arial"/>
          <w:lang w:eastAsia="en-GB"/>
        </w:rPr>
        <w:t>Ghaiesh</w:t>
      </w:r>
      <w:proofErr w:type="spellEnd"/>
      <w:r w:rsidRPr="003143CC">
        <w:rPr>
          <w:rFonts w:ascii="Arial" w:hAnsi="Arial" w:cs="Arial"/>
          <w:lang w:eastAsia="en-GB"/>
        </w:rPr>
        <w:t xml:space="preserve"> S, </w:t>
      </w:r>
      <w:proofErr w:type="spellStart"/>
      <w:r w:rsidRPr="003143CC">
        <w:rPr>
          <w:rFonts w:ascii="Arial" w:hAnsi="Arial" w:cs="Arial"/>
          <w:lang w:eastAsia="en-GB"/>
        </w:rPr>
        <w:t>Monshi</w:t>
      </w:r>
      <w:proofErr w:type="spellEnd"/>
      <w:r w:rsidRPr="003143CC">
        <w:rPr>
          <w:rFonts w:ascii="Arial" w:hAnsi="Arial" w:cs="Arial"/>
          <w:lang w:eastAsia="en-GB"/>
        </w:rPr>
        <w:t xml:space="preserve"> M, </w:t>
      </w:r>
      <w:proofErr w:type="spellStart"/>
      <w:r w:rsidRPr="003143CC">
        <w:rPr>
          <w:rFonts w:ascii="Arial" w:hAnsi="Arial" w:cs="Arial"/>
          <w:lang w:eastAsia="en-GB"/>
        </w:rPr>
        <w:t>Earnshaw</w:t>
      </w:r>
      <w:proofErr w:type="spellEnd"/>
      <w:r w:rsidRPr="003143CC">
        <w:rPr>
          <w:rFonts w:ascii="Arial" w:hAnsi="Arial" w:cs="Arial"/>
          <w:lang w:eastAsia="en-GB"/>
        </w:rPr>
        <w:t xml:space="preserve"> C, Peckham D, </w:t>
      </w:r>
      <w:proofErr w:type="spellStart"/>
      <w:r w:rsidRPr="003143CC">
        <w:rPr>
          <w:rFonts w:ascii="Arial" w:hAnsi="Arial" w:cs="Arial"/>
          <w:lang w:eastAsia="en-GB"/>
        </w:rPr>
        <w:t>Gooi</w:t>
      </w:r>
      <w:proofErr w:type="spellEnd"/>
      <w:r w:rsidRPr="003143CC">
        <w:rPr>
          <w:rFonts w:ascii="Arial" w:hAnsi="Arial" w:cs="Arial"/>
          <w:lang w:eastAsia="en-GB"/>
        </w:rPr>
        <w:t xml:space="preserve"> J, Conway S, Pirmohamed M, </w:t>
      </w:r>
      <w:r w:rsidR="003143CC">
        <w:rPr>
          <w:rFonts w:ascii="Arial" w:hAnsi="Arial" w:cs="Arial"/>
          <w:i/>
          <w:lang w:eastAsia="en-GB"/>
        </w:rPr>
        <w:t>et al</w:t>
      </w:r>
      <w:r w:rsidRPr="003143CC">
        <w:rPr>
          <w:rFonts w:ascii="Arial" w:hAnsi="Arial" w:cs="Arial"/>
          <w:lang w:eastAsia="en-GB"/>
        </w:rPr>
        <w:t xml:space="preserve">. </w:t>
      </w:r>
      <w:r w:rsidR="003143CC">
        <w:rPr>
          <w:rFonts w:ascii="Arial" w:hAnsi="Arial" w:cs="Arial"/>
          <w:lang w:eastAsia="en-GB"/>
        </w:rPr>
        <w:t xml:space="preserve">(2011) </w:t>
      </w:r>
      <w:r w:rsidRPr="003143CC">
        <w:rPr>
          <w:rFonts w:ascii="Arial" w:hAnsi="Arial" w:cs="Arial"/>
          <w:lang w:eastAsia="en-GB"/>
        </w:rPr>
        <w:t xml:space="preserve">Mass spectrometric characterization of circulating and functional antigens derived from piperacillin in patients with </w:t>
      </w:r>
      <w:r w:rsidRPr="003143CC">
        <w:rPr>
          <w:rFonts w:ascii="Arial" w:hAnsi="Arial" w:cs="Arial"/>
          <w:bCs/>
          <w:lang w:eastAsia="en-GB"/>
        </w:rPr>
        <w:t>cystic fibrosis</w:t>
      </w:r>
      <w:r w:rsidRPr="003143CC">
        <w:rPr>
          <w:rFonts w:ascii="Arial" w:hAnsi="Arial" w:cs="Arial"/>
          <w:lang w:eastAsia="en-GB"/>
        </w:rPr>
        <w:t xml:space="preserve">. </w:t>
      </w:r>
      <w:proofErr w:type="gramStart"/>
      <w:r w:rsidRPr="003143CC">
        <w:rPr>
          <w:rFonts w:ascii="Arial" w:hAnsi="Arial" w:cs="Arial"/>
          <w:i/>
          <w:lang w:eastAsia="en-GB"/>
        </w:rPr>
        <w:t xml:space="preserve">J </w:t>
      </w:r>
      <w:proofErr w:type="spellStart"/>
      <w:r w:rsidRPr="003143CC">
        <w:rPr>
          <w:rFonts w:ascii="Arial" w:hAnsi="Arial" w:cs="Arial"/>
          <w:i/>
          <w:lang w:eastAsia="en-GB"/>
        </w:rPr>
        <w:t>Immunol</w:t>
      </w:r>
      <w:proofErr w:type="spellEnd"/>
      <w:r w:rsidRPr="003143CC">
        <w:rPr>
          <w:rFonts w:ascii="Arial" w:hAnsi="Arial" w:cs="Arial"/>
          <w:lang w:eastAsia="en-GB"/>
        </w:rPr>
        <w:t>.</w:t>
      </w:r>
      <w:proofErr w:type="gramEnd"/>
      <w:r w:rsidR="003143CC">
        <w:rPr>
          <w:rFonts w:ascii="Arial" w:hAnsi="Arial" w:cs="Arial"/>
          <w:lang w:eastAsia="en-GB"/>
        </w:rPr>
        <w:t xml:space="preserve"> </w:t>
      </w:r>
      <w:r w:rsidRPr="003143CC">
        <w:rPr>
          <w:rFonts w:ascii="Arial" w:hAnsi="Arial" w:cs="Arial"/>
          <w:b/>
          <w:lang w:eastAsia="en-GB"/>
        </w:rPr>
        <w:t>187</w:t>
      </w:r>
      <w:r w:rsidRPr="003143CC">
        <w:rPr>
          <w:rFonts w:ascii="Arial" w:hAnsi="Arial" w:cs="Arial"/>
          <w:lang w:eastAsia="en-GB"/>
        </w:rPr>
        <w:t>:200-211.</w:t>
      </w:r>
    </w:p>
    <w:p w:rsidR="0044607E" w:rsidRPr="003143CC" w:rsidRDefault="0044607E" w:rsidP="003143CC">
      <w:pPr>
        <w:spacing w:line="480" w:lineRule="auto"/>
        <w:jc w:val="both"/>
        <w:rPr>
          <w:rFonts w:ascii="Arial" w:hAnsi="Arial" w:cs="Arial"/>
        </w:rPr>
      </w:pPr>
      <w:r w:rsidRPr="003143CC">
        <w:rPr>
          <w:rFonts w:ascii="Arial" w:hAnsi="Arial" w:cs="Arial"/>
          <w:bCs/>
        </w:rPr>
        <w:t>White KD</w:t>
      </w:r>
      <w:r w:rsidRPr="003143CC">
        <w:rPr>
          <w:rFonts w:ascii="Arial" w:hAnsi="Arial" w:cs="Arial"/>
        </w:rPr>
        <w:t xml:space="preserve">, Chung WH, Hung SI, </w:t>
      </w:r>
      <w:proofErr w:type="spellStart"/>
      <w:r w:rsidRPr="003143CC">
        <w:rPr>
          <w:rFonts w:ascii="Arial" w:hAnsi="Arial" w:cs="Arial"/>
        </w:rPr>
        <w:t>Mallal</w:t>
      </w:r>
      <w:proofErr w:type="spellEnd"/>
      <w:r w:rsidRPr="003143CC">
        <w:rPr>
          <w:rFonts w:ascii="Arial" w:hAnsi="Arial" w:cs="Arial"/>
        </w:rPr>
        <w:t xml:space="preserve"> S, Phillips EJ. </w:t>
      </w:r>
      <w:r w:rsidR="00F1679C">
        <w:rPr>
          <w:rFonts w:ascii="Arial" w:hAnsi="Arial" w:cs="Arial"/>
        </w:rPr>
        <w:t xml:space="preserve">(2015) </w:t>
      </w:r>
      <w:r w:rsidRPr="003143CC">
        <w:rPr>
          <w:rFonts w:ascii="Arial" w:hAnsi="Arial" w:cs="Arial"/>
        </w:rPr>
        <w:t xml:space="preserve">Evolving models of the </w:t>
      </w:r>
      <w:proofErr w:type="spellStart"/>
      <w:r w:rsidRPr="003143CC">
        <w:rPr>
          <w:rFonts w:ascii="Arial" w:hAnsi="Arial" w:cs="Arial"/>
        </w:rPr>
        <w:t>immunopathogenesis</w:t>
      </w:r>
      <w:proofErr w:type="spellEnd"/>
      <w:r w:rsidRPr="003143CC">
        <w:rPr>
          <w:rFonts w:ascii="Arial" w:hAnsi="Arial" w:cs="Arial"/>
        </w:rPr>
        <w:t xml:space="preserve"> of T cell-mediated drug allergy: The role of host, </w:t>
      </w:r>
      <w:r w:rsidRPr="003143CC">
        <w:rPr>
          <w:rFonts w:ascii="Arial" w:hAnsi="Arial" w:cs="Arial"/>
          <w:bCs/>
        </w:rPr>
        <w:t>pathogens</w:t>
      </w:r>
      <w:r w:rsidRPr="003143CC">
        <w:rPr>
          <w:rFonts w:ascii="Arial" w:hAnsi="Arial" w:cs="Arial"/>
        </w:rPr>
        <w:t>, and drug response.</w:t>
      </w:r>
      <w:r w:rsidRPr="003143CC">
        <w:rPr>
          <w:rStyle w:val="jrnl"/>
          <w:rFonts w:ascii="Arial" w:hAnsi="Arial" w:cs="Arial"/>
        </w:rPr>
        <w:t xml:space="preserve"> </w:t>
      </w:r>
      <w:proofErr w:type="gramStart"/>
      <w:r w:rsidRPr="00F1679C">
        <w:rPr>
          <w:rStyle w:val="jrnl"/>
          <w:rFonts w:ascii="Arial" w:hAnsi="Arial" w:cs="Arial"/>
          <w:i/>
        </w:rPr>
        <w:t xml:space="preserve">J Allergy </w:t>
      </w:r>
      <w:proofErr w:type="spellStart"/>
      <w:r w:rsidRPr="00F1679C">
        <w:rPr>
          <w:rStyle w:val="jrnl"/>
          <w:rFonts w:ascii="Arial" w:hAnsi="Arial" w:cs="Arial"/>
          <w:i/>
        </w:rPr>
        <w:t>Clin</w:t>
      </w:r>
      <w:proofErr w:type="spellEnd"/>
      <w:r w:rsidRPr="00F1679C">
        <w:rPr>
          <w:rStyle w:val="jrnl"/>
          <w:rFonts w:ascii="Arial" w:hAnsi="Arial" w:cs="Arial"/>
          <w:i/>
        </w:rPr>
        <w:t xml:space="preserve"> </w:t>
      </w:r>
      <w:proofErr w:type="spellStart"/>
      <w:r w:rsidRPr="00F1679C">
        <w:rPr>
          <w:rStyle w:val="jrnl"/>
          <w:rFonts w:ascii="Arial" w:hAnsi="Arial" w:cs="Arial"/>
          <w:i/>
        </w:rPr>
        <w:t>Immunol</w:t>
      </w:r>
      <w:proofErr w:type="spellEnd"/>
      <w:r w:rsidRPr="003143CC">
        <w:rPr>
          <w:rFonts w:ascii="Arial" w:hAnsi="Arial" w:cs="Arial"/>
        </w:rPr>
        <w:t>.</w:t>
      </w:r>
      <w:proofErr w:type="gramEnd"/>
      <w:r w:rsidRPr="003143CC">
        <w:rPr>
          <w:rFonts w:ascii="Arial" w:hAnsi="Arial" w:cs="Arial"/>
        </w:rPr>
        <w:t xml:space="preserve"> </w:t>
      </w:r>
      <w:r w:rsidRPr="00F1679C">
        <w:rPr>
          <w:rFonts w:ascii="Arial" w:hAnsi="Arial" w:cs="Arial"/>
          <w:b/>
        </w:rPr>
        <w:t>136</w:t>
      </w:r>
      <w:r w:rsidRPr="003143CC">
        <w:rPr>
          <w:rFonts w:ascii="Arial" w:hAnsi="Arial" w:cs="Arial"/>
        </w:rPr>
        <w:t>:219-34</w:t>
      </w:r>
      <w:r w:rsidR="00F1679C">
        <w:rPr>
          <w:rFonts w:ascii="Arial" w:hAnsi="Arial" w:cs="Arial"/>
        </w:rPr>
        <w:t>.</w:t>
      </w:r>
    </w:p>
    <w:p w:rsidR="0044607E" w:rsidRPr="00F1679C" w:rsidRDefault="0044607E" w:rsidP="00F1679C">
      <w:pPr>
        <w:spacing w:line="480" w:lineRule="auto"/>
        <w:jc w:val="both"/>
        <w:rPr>
          <w:rFonts w:ascii="Arial" w:hAnsi="Arial" w:cs="Arial"/>
        </w:rPr>
      </w:pPr>
      <w:r w:rsidRPr="00F1679C">
        <w:rPr>
          <w:rFonts w:ascii="Arial" w:hAnsi="Arial" w:cs="Arial"/>
        </w:rPr>
        <w:t xml:space="preserve">Wu Y, Farrell J, Pirmohamed M, Park BK, Naisbitt DJ. </w:t>
      </w:r>
      <w:r w:rsidR="00F1679C">
        <w:rPr>
          <w:rFonts w:ascii="Arial" w:hAnsi="Arial" w:cs="Arial"/>
        </w:rPr>
        <w:t xml:space="preserve">(2007) </w:t>
      </w:r>
      <w:r w:rsidRPr="00F1679C">
        <w:rPr>
          <w:rFonts w:ascii="Arial" w:hAnsi="Arial" w:cs="Arial"/>
        </w:rPr>
        <w:t xml:space="preserve">Generation and characterization of antigen-specific CD4+, CD8+, and CD4+CD8+ T-cell clones from patients with carbamazepine hypersensitivity. </w:t>
      </w:r>
      <w:proofErr w:type="gramStart"/>
      <w:r w:rsidRPr="00F1679C">
        <w:rPr>
          <w:rFonts w:ascii="Arial" w:hAnsi="Arial" w:cs="Arial"/>
          <w:i/>
        </w:rPr>
        <w:t xml:space="preserve">J Allergy </w:t>
      </w:r>
      <w:proofErr w:type="spellStart"/>
      <w:r w:rsidRPr="00F1679C">
        <w:rPr>
          <w:rFonts w:ascii="Arial" w:hAnsi="Arial" w:cs="Arial"/>
          <w:i/>
        </w:rPr>
        <w:t>Clin</w:t>
      </w:r>
      <w:proofErr w:type="spellEnd"/>
      <w:r w:rsidRPr="00F1679C">
        <w:rPr>
          <w:rFonts w:ascii="Arial" w:hAnsi="Arial" w:cs="Arial"/>
          <w:i/>
        </w:rPr>
        <w:t xml:space="preserve"> </w:t>
      </w:r>
      <w:proofErr w:type="spellStart"/>
      <w:r w:rsidRPr="00F1679C">
        <w:rPr>
          <w:rFonts w:ascii="Arial" w:hAnsi="Arial" w:cs="Arial"/>
          <w:i/>
        </w:rPr>
        <w:t>Immunol</w:t>
      </w:r>
      <w:proofErr w:type="spellEnd"/>
      <w:r w:rsidRPr="00F1679C">
        <w:rPr>
          <w:rFonts w:ascii="Arial" w:hAnsi="Arial" w:cs="Arial"/>
          <w:i/>
        </w:rPr>
        <w:t>.</w:t>
      </w:r>
      <w:proofErr w:type="gramEnd"/>
      <w:r w:rsidRPr="00F1679C">
        <w:rPr>
          <w:rFonts w:ascii="Arial" w:hAnsi="Arial" w:cs="Arial"/>
        </w:rPr>
        <w:t xml:space="preserve"> </w:t>
      </w:r>
      <w:r w:rsidRPr="00F1679C">
        <w:rPr>
          <w:rFonts w:ascii="Arial" w:hAnsi="Arial" w:cs="Arial"/>
          <w:b/>
        </w:rPr>
        <w:t>119</w:t>
      </w:r>
      <w:r w:rsidRPr="00F1679C">
        <w:rPr>
          <w:rFonts w:ascii="Arial" w:hAnsi="Arial" w:cs="Arial"/>
        </w:rPr>
        <w:t xml:space="preserve">:973-81. </w:t>
      </w:r>
    </w:p>
    <w:p w:rsidR="0044607E" w:rsidRPr="00F1679C" w:rsidRDefault="0044607E" w:rsidP="00F1679C">
      <w:pPr>
        <w:spacing w:line="480" w:lineRule="auto"/>
        <w:jc w:val="both"/>
        <w:rPr>
          <w:rFonts w:ascii="Arial" w:hAnsi="Arial" w:cs="Arial"/>
        </w:rPr>
      </w:pPr>
      <w:proofErr w:type="spellStart"/>
      <w:r w:rsidRPr="00F1679C">
        <w:rPr>
          <w:rFonts w:ascii="Arial" w:hAnsi="Arial" w:cs="Arial"/>
          <w:bCs/>
        </w:rPr>
        <w:t>Wuillemin</w:t>
      </w:r>
      <w:proofErr w:type="spellEnd"/>
      <w:r w:rsidRPr="00F1679C">
        <w:rPr>
          <w:rFonts w:ascii="Arial" w:hAnsi="Arial" w:cs="Arial"/>
        </w:rPr>
        <w:t xml:space="preserve"> N, </w:t>
      </w:r>
      <w:proofErr w:type="spellStart"/>
      <w:r w:rsidRPr="00F1679C">
        <w:rPr>
          <w:rFonts w:ascii="Arial" w:hAnsi="Arial" w:cs="Arial"/>
        </w:rPr>
        <w:t>Terracciano</w:t>
      </w:r>
      <w:proofErr w:type="spellEnd"/>
      <w:r w:rsidRPr="00F1679C">
        <w:rPr>
          <w:rFonts w:ascii="Arial" w:hAnsi="Arial" w:cs="Arial"/>
        </w:rPr>
        <w:t xml:space="preserve"> L, </w:t>
      </w:r>
      <w:proofErr w:type="spellStart"/>
      <w:r w:rsidRPr="00F1679C">
        <w:rPr>
          <w:rFonts w:ascii="Arial" w:hAnsi="Arial" w:cs="Arial"/>
        </w:rPr>
        <w:t>Beltraminelli</w:t>
      </w:r>
      <w:proofErr w:type="spellEnd"/>
      <w:r w:rsidRPr="00F1679C">
        <w:rPr>
          <w:rFonts w:ascii="Arial" w:hAnsi="Arial" w:cs="Arial"/>
        </w:rPr>
        <w:t xml:space="preserve"> H, </w:t>
      </w:r>
      <w:proofErr w:type="spellStart"/>
      <w:r w:rsidRPr="00F1679C">
        <w:rPr>
          <w:rFonts w:ascii="Arial" w:hAnsi="Arial" w:cs="Arial"/>
        </w:rPr>
        <w:t>Schlapbach</w:t>
      </w:r>
      <w:proofErr w:type="spellEnd"/>
      <w:r w:rsidRPr="00F1679C">
        <w:rPr>
          <w:rFonts w:ascii="Arial" w:hAnsi="Arial" w:cs="Arial"/>
        </w:rPr>
        <w:t xml:space="preserve"> C, Fontana S, </w:t>
      </w:r>
      <w:proofErr w:type="spellStart"/>
      <w:r w:rsidRPr="00F1679C">
        <w:rPr>
          <w:rFonts w:ascii="Arial" w:hAnsi="Arial" w:cs="Arial"/>
        </w:rPr>
        <w:t>Krähenbühl</w:t>
      </w:r>
      <w:proofErr w:type="spellEnd"/>
      <w:r w:rsidRPr="00F1679C">
        <w:rPr>
          <w:rFonts w:ascii="Arial" w:hAnsi="Arial" w:cs="Arial"/>
        </w:rPr>
        <w:t xml:space="preserve"> S, </w:t>
      </w:r>
      <w:proofErr w:type="spellStart"/>
      <w:r w:rsidRPr="00F1679C">
        <w:rPr>
          <w:rFonts w:ascii="Arial" w:hAnsi="Arial" w:cs="Arial"/>
          <w:bCs/>
        </w:rPr>
        <w:t>Pichler</w:t>
      </w:r>
      <w:proofErr w:type="spellEnd"/>
      <w:r w:rsidRPr="00F1679C">
        <w:rPr>
          <w:rFonts w:ascii="Arial" w:hAnsi="Arial" w:cs="Arial"/>
        </w:rPr>
        <w:t xml:space="preserve"> WJ, </w:t>
      </w:r>
      <w:proofErr w:type="spellStart"/>
      <w:r w:rsidRPr="00F1679C">
        <w:rPr>
          <w:rFonts w:ascii="Arial" w:hAnsi="Arial" w:cs="Arial"/>
        </w:rPr>
        <w:t>Yerly</w:t>
      </w:r>
      <w:proofErr w:type="spellEnd"/>
      <w:r w:rsidRPr="00F1679C">
        <w:rPr>
          <w:rFonts w:ascii="Arial" w:hAnsi="Arial" w:cs="Arial"/>
        </w:rPr>
        <w:t xml:space="preserve"> D. </w:t>
      </w:r>
      <w:r w:rsidR="00F1679C">
        <w:rPr>
          <w:rFonts w:ascii="Arial" w:hAnsi="Arial" w:cs="Arial"/>
        </w:rPr>
        <w:t xml:space="preserve">(2014) </w:t>
      </w:r>
      <w:r w:rsidRPr="00F1679C">
        <w:rPr>
          <w:rFonts w:ascii="Arial" w:hAnsi="Arial" w:cs="Arial"/>
        </w:rPr>
        <w:t>T cells infiltrate the liver and kill hepatocytes in HLA-B(</w:t>
      </w:r>
      <w:r w:rsidRPr="00F1679C">
        <w:rPr>
          <w:rFonts w:ascii="Cambria Math" w:hAnsi="Cambria Math" w:cs="Cambria Math"/>
        </w:rPr>
        <w:t>∗</w:t>
      </w:r>
      <w:r w:rsidRPr="00F1679C">
        <w:rPr>
          <w:rFonts w:ascii="Arial" w:hAnsi="Arial" w:cs="Arial"/>
        </w:rPr>
        <w:t xml:space="preserve">)57:01-associated </w:t>
      </w:r>
      <w:proofErr w:type="spellStart"/>
      <w:r w:rsidRPr="00F1679C">
        <w:rPr>
          <w:rFonts w:ascii="Arial" w:hAnsi="Arial" w:cs="Arial"/>
        </w:rPr>
        <w:t>floxacillin</w:t>
      </w:r>
      <w:proofErr w:type="spellEnd"/>
      <w:r w:rsidRPr="00F1679C">
        <w:rPr>
          <w:rFonts w:ascii="Arial" w:hAnsi="Arial" w:cs="Arial"/>
        </w:rPr>
        <w:t xml:space="preserve">-induced liver injury. </w:t>
      </w:r>
      <w:proofErr w:type="gramStart"/>
      <w:r w:rsidRPr="00F1679C">
        <w:rPr>
          <w:rStyle w:val="jrnl"/>
          <w:rFonts w:ascii="Arial" w:hAnsi="Arial" w:cs="Arial"/>
          <w:i/>
        </w:rPr>
        <w:t xml:space="preserve">Am J </w:t>
      </w:r>
      <w:proofErr w:type="spellStart"/>
      <w:r w:rsidRPr="00F1679C">
        <w:rPr>
          <w:rStyle w:val="jrnl"/>
          <w:rFonts w:ascii="Arial" w:hAnsi="Arial" w:cs="Arial"/>
          <w:i/>
        </w:rPr>
        <w:t>Pathol</w:t>
      </w:r>
      <w:proofErr w:type="spellEnd"/>
      <w:r w:rsidRPr="00F1679C">
        <w:rPr>
          <w:rFonts w:ascii="Arial" w:hAnsi="Arial" w:cs="Arial"/>
          <w:i/>
        </w:rPr>
        <w:t>.</w:t>
      </w:r>
      <w:proofErr w:type="gramEnd"/>
      <w:r w:rsidR="00F1679C">
        <w:rPr>
          <w:rFonts w:ascii="Arial" w:hAnsi="Arial" w:cs="Arial"/>
          <w:i/>
        </w:rPr>
        <w:t xml:space="preserve"> </w:t>
      </w:r>
      <w:r w:rsidRPr="00F1679C">
        <w:rPr>
          <w:rFonts w:ascii="Arial" w:hAnsi="Arial" w:cs="Arial"/>
          <w:b/>
        </w:rPr>
        <w:t>184</w:t>
      </w:r>
      <w:r w:rsidRPr="00F1679C">
        <w:rPr>
          <w:rFonts w:ascii="Arial" w:hAnsi="Arial" w:cs="Arial"/>
        </w:rPr>
        <w:t>:1677-82.</w:t>
      </w:r>
    </w:p>
    <w:p w:rsidR="0044607E" w:rsidRPr="00F1679C" w:rsidRDefault="0044607E" w:rsidP="00F1679C">
      <w:pPr>
        <w:spacing w:line="480" w:lineRule="auto"/>
        <w:jc w:val="both"/>
        <w:rPr>
          <w:rFonts w:ascii="Arial" w:hAnsi="Arial" w:cs="Arial"/>
        </w:rPr>
      </w:pPr>
      <w:proofErr w:type="spellStart"/>
      <w:r w:rsidRPr="00F1679C">
        <w:rPr>
          <w:rFonts w:ascii="Arial" w:hAnsi="Arial" w:cs="Arial"/>
          <w:bCs/>
        </w:rPr>
        <w:t>Wuillemin</w:t>
      </w:r>
      <w:proofErr w:type="spellEnd"/>
      <w:r w:rsidRPr="00F1679C">
        <w:rPr>
          <w:rFonts w:ascii="Arial" w:hAnsi="Arial" w:cs="Arial"/>
        </w:rPr>
        <w:t xml:space="preserve"> N, Adam J, Fontana S, </w:t>
      </w:r>
      <w:proofErr w:type="spellStart"/>
      <w:r w:rsidRPr="00F1679C">
        <w:rPr>
          <w:rFonts w:ascii="Arial" w:hAnsi="Arial" w:cs="Arial"/>
        </w:rPr>
        <w:t>Krähenbühl</w:t>
      </w:r>
      <w:proofErr w:type="spellEnd"/>
      <w:r w:rsidRPr="00F1679C">
        <w:rPr>
          <w:rFonts w:ascii="Arial" w:hAnsi="Arial" w:cs="Arial"/>
        </w:rPr>
        <w:t xml:space="preserve"> S, </w:t>
      </w:r>
      <w:proofErr w:type="spellStart"/>
      <w:r w:rsidRPr="00F1679C">
        <w:rPr>
          <w:rFonts w:ascii="Arial" w:hAnsi="Arial" w:cs="Arial"/>
          <w:bCs/>
        </w:rPr>
        <w:t>Pichler</w:t>
      </w:r>
      <w:proofErr w:type="spellEnd"/>
      <w:r w:rsidRPr="00F1679C">
        <w:rPr>
          <w:rFonts w:ascii="Arial" w:hAnsi="Arial" w:cs="Arial"/>
        </w:rPr>
        <w:t xml:space="preserve"> WJ, </w:t>
      </w:r>
      <w:proofErr w:type="spellStart"/>
      <w:r w:rsidRPr="00F1679C">
        <w:rPr>
          <w:rFonts w:ascii="Arial" w:hAnsi="Arial" w:cs="Arial"/>
        </w:rPr>
        <w:t>Yerly</w:t>
      </w:r>
      <w:proofErr w:type="spellEnd"/>
      <w:r w:rsidRPr="00F1679C">
        <w:rPr>
          <w:rFonts w:ascii="Arial" w:hAnsi="Arial" w:cs="Arial"/>
        </w:rPr>
        <w:t xml:space="preserve"> D. </w:t>
      </w:r>
      <w:r w:rsidR="00F1679C">
        <w:rPr>
          <w:rFonts w:ascii="Arial" w:hAnsi="Arial" w:cs="Arial"/>
        </w:rPr>
        <w:t xml:space="preserve">(2013) </w:t>
      </w:r>
      <w:r w:rsidRPr="00F1679C">
        <w:rPr>
          <w:rFonts w:ascii="Arial" w:hAnsi="Arial" w:cs="Arial"/>
        </w:rPr>
        <w:t xml:space="preserve">HLA haplotype determines </w:t>
      </w:r>
      <w:proofErr w:type="spellStart"/>
      <w:r w:rsidRPr="00F1679C">
        <w:rPr>
          <w:rFonts w:ascii="Arial" w:hAnsi="Arial" w:cs="Arial"/>
        </w:rPr>
        <w:t>hapten</w:t>
      </w:r>
      <w:proofErr w:type="spellEnd"/>
      <w:r w:rsidRPr="00F1679C">
        <w:rPr>
          <w:rFonts w:ascii="Arial" w:hAnsi="Arial" w:cs="Arial"/>
        </w:rPr>
        <w:t xml:space="preserve"> or p-</w:t>
      </w:r>
      <w:proofErr w:type="spellStart"/>
      <w:r w:rsidRPr="00F1679C">
        <w:rPr>
          <w:rFonts w:ascii="Arial" w:hAnsi="Arial" w:cs="Arial"/>
        </w:rPr>
        <w:t>i</w:t>
      </w:r>
      <w:proofErr w:type="spellEnd"/>
      <w:r w:rsidRPr="00F1679C">
        <w:rPr>
          <w:rFonts w:ascii="Arial" w:hAnsi="Arial" w:cs="Arial"/>
        </w:rPr>
        <w:t xml:space="preserve"> T cell reactivity to flucloxacillin. </w:t>
      </w:r>
      <w:proofErr w:type="gramStart"/>
      <w:r w:rsidRPr="00F1679C">
        <w:rPr>
          <w:rStyle w:val="jrnl"/>
          <w:rFonts w:ascii="Arial" w:hAnsi="Arial" w:cs="Arial"/>
          <w:i/>
        </w:rPr>
        <w:t xml:space="preserve">J </w:t>
      </w:r>
      <w:proofErr w:type="spellStart"/>
      <w:r w:rsidRPr="00F1679C">
        <w:rPr>
          <w:rStyle w:val="jrnl"/>
          <w:rFonts w:ascii="Arial" w:hAnsi="Arial" w:cs="Arial"/>
          <w:i/>
        </w:rPr>
        <w:t>Immunol</w:t>
      </w:r>
      <w:proofErr w:type="spellEnd"/>
      <w:r w:rsidRPr="00F1679C">
        <w:rPr>
          <w:rFonts w:ascii="Arial" w:hAnsi="Arial" w:cs="Arial"/>
          <w:i/>
        </w:rPr>
        <w:t>.</w:t>
      </w:r>
      <w:proofErr w:type="gramEnd"/>
      <w:r w:rsidRPr="00F1679C">
        <w:rPr>
          <w:rFonts w:ascii="Arial" w:hAnsi="Arial" w:cs="Arial"/>
        </w:rPr>
        <w:t xml:space="preserve"> </w:t>
      </w:r>
      <w:r w:rsidRPr="00F1679C">
        <w:rPr>
          <w:rFonts w:ascii="Arial" w:hAnsi="Arial" w:cs="Arial"/>
          <w:b/>
        </w:rPr>
        <w:t>190</w:t>
      </w:r>
      <w:r w:rsidRPr="00F1679C">
        <w:rPr>
          <w:rFonts w:ascii="Arial" w:hAnsi="Arial" w:cs="Arial"/>
        </w:rPr>
        <w:t>:4956-64.</w:t>
      </w:r>
    </w:p>
    <w:p w:rsidR="0044607E" w:rsidRPr="00F1679C" w:rsidRDefault="0044607E" w:rsidP="00F1679C">
      <w:pPr>
        <w:spacing w:after="120" w:line="480" w:lineRule="auto"/>
        <w:jc w:val="both"/>
        <w:rPr>
          <w:rFonts w:ascii="Arial" w:hAnsi="Arial" w:cs="Arial"/>
        </w:rPr>
      </w:pPr>
      <w:r w:rsidRPr="00F1679C">
        <w:rPr>
          <w:rFonts w:ascii="Arial" w:hAnsi="Arial" w:cs="Arial"/>
        </w:rPr>
        <w:lastRenderedPageBreak/>
        <w:t xml:space="preserve">Yaseen F, </w:t>
      </w:r>
      <w:r w:rsidRPr="00F1679C">
        <w:rPr>
          <w:rFonts w:ascii="Arial" w:hAnsi="Arial" w:cs="Arial"/>
          <w:color w:val="000000"/>
        </w:rPr>
        <w:t>Saide, K, Kim S-H,</w:t>
      </w:r>
      <w:r w:rsidR="00F1679C">
        <w:rPr>
          <w:rFonts w:ascii="Arial" w:hAnsi="Arial" w:cs="Arial"/>
          <w:color w:val="000000"/>
        </w:rPr>
        <w:t xml:space="preserve"> </w:t>
      </w:r>
      <w:proofErr w:type="spellStart"/>
      <w:r w:rsidRPr="00F1679C">
        <w:rPr>
          <w:rFonts w:ascii="Arial" w:hAnsi="Arial" w:cs="Arial"/>
          <w:color w:val="000000"/>
        </w:rPr>
        <w:t>Monshi</w:t>
      </w:r>
      <w:proofErr w:type="spellEnd"/>
      <w:r w:rsidRPr="00F1679C">
        <w:rPr>
          <w:rFonts w:ascii="Arial" w:hAnsi="Arial" w:cs="Arial"/>
          <w:color w:val="000000"/>
        </w:rPr>
        <w:t xml:space="preserve"> M, </w:t>
      </w:r>
      <w:r w:rsidRPr="00F1679C">
        <w:rPr>
          <w:rFonts w:ascii="Arial" w:hAnsi="Arial" w:cs="Arial"/>
        </w:rPr>
        <w:t xml:space="preserve">Tailor M, Wood S, Meng M, Jenkins R, Faulkner </w:t>
      </w:r>
      <w:r w:rsidRPr="00F1679C">
        <w:rPr>
          <w:rFonts w:ascii="Arial" w:hAnsi="Arial" w:cs="Arial"/>
          <w:color w:val="000000"/>
        </w:rPr>
        <w:t xml:space="preserve">L, Daly AK, </w:t>
      </w:r>
      <w:r w:rsidR="00F1679C">
        <w:rPr>
          <w:rFonts w:ascii="Arial" w:hAnsi="Arial" w:cs="Arial"/>
          <w:i/>
          <w:color w:val="000000"/>
        </w:rPr>
        <w:t>et al</w:t>
      </w:r>
      <w:r w:rsidRPr="00F1679C">
        <w:rPr>
          <w:rFonts w:ascii="Arial" w:hAnsi="Arial" w:cs="Arial"/>
          <w:color w:val="000000"/>
        </w:rPr>
        <w:t xml:space="preserve">. </w:t>
      </w:r>
      <w:r w:rsidRPr="00F1679C">
        <w:rPr>
          <w:rFonts w:ascii="Arial" w:hAnsi="Arial" w:cs="Arial"/>
          <w:bCs/>
          <w:color w:val="000000"/>
        </w:rPr>
        <w:t xml:space="preserve">Promiscuous T-cell responses to drugs and drug-haptens. </w:t>
      </w:r>
      <w:proofErr w:type="gramStart"/>
      <w:r w:rsidRPr="00F1679C">
        <w:rPr>
          <w:rFonts w:ascii="Arial" w:hAnsi="Arial" w:cs="Arial"/>
          <w:bCs/>
          <w:color w:val="000000"/>
        </w:rPr>
        <w:t xml:space="preserve">(2015) </w:t>
      </w:r>
      <w:r w:rsidR="00F1679C">
        <w:rPr>
          <w:rFonts w:ascii="Arial" w:hAnsi="Arial" w:cs="Arial"/>
          <w:bCs/>
          <w:i/>
          <w:color w:val="000000"/>
        </w:rPr>
        <w:t xml:space="preserve">J Allergy </w:t>
      </w:r>
      <w:proofErr w:type="spellStart"/>
      <w:r w:rsidR="00F1679C">
        <w:rPr>
          <w:rFonts w:ascii="Arial" w:hAnsi="Arial" w:cs="Arial"/>
          <w:bCs/>
          <w:i/>
          <w:color w:val="000000"/>
        </w:rPr>
        <w:t>Clin</w:t>
      </w:r>
      <w:proofErr w:type="spellEnd"/>
      <w:r w:rsidR="00F1679C">
        <w:rPr>
          <w:rFonts w:ascii="Arial" w:hAnsi="Arial" w:cs="Arial"/>
          <w:bCs/>
          <w:i/>
          <w:color w:val="000000"/>
        </w:rPr>
        <w:t xml:space="preserve"> </w:t>
      </w:r>
      <w:proofErr w:type="spellStart"/>
      <w:r w:rsidR="00F1679C">
        <w:rPr>
          <w:rFonts w:ascii="Arial" w:hAnsi="Arial" w:cs="Arial"/>
          <w:bCs/>
          <w:i/>
          <w:color w:val="000000"/>
        </w:rPr>
        <w:t>Immunol</w:t>
      </w:r>
      <w:proofErr w:type="spellEnd"/>
      <w:r w:rsidR="00F1679C">
        <w:rPr>
          <w:rFonts w:ascii="Arial" w:hAnsi="Arial" w:cs="Arial"/>
          <w:bCs/>
          <w:i/>
          <w:color w:val="000000"/>
        </w:rPr>
        <w:t>.</w:t>
      </w:r>
      <w:proofErr w:type="gramEnd"/>
      <w:r w:rsidRPr="00F1679C">
        <w:rPr>
          <w:rFonts w:ascii="Arial" w:hAnsi="Arial" w:cs="Arial"/>
          <w:bCs/>
          <w:color w:val="000000"/>
        </w:rPr>
        <w:t xml:space="preserve"> </w:t>
      </w:r>
      <w:r w:rsidRPr="00F1679C">
        <w:rPr>
          <w:rFonts w:ascii="Arial" w:hAnsi="Arial" w:cs="Arial"/>
          <w:b/>
          <w:bCs/>
          <w:color w:val="000000"/>
        </w:rPr>
        <w:t>136</w:t>
      </w:r>
      <w:r w:rsidRPr="00F1679C">
        <w:rPr>
          <w:rFonts w:ascii="Arial" w:hAnsi="Arial" w:cs="Arial"/>
          <w:bCs/>
          <w:color w:val="000000"/>
        </w:rPr>
        <w:t>:474-476.</w:t>
      </w:r>
      <w:r w:rsidRPr="00F1679C">
        <w:rPr>
          <w:rFonts w:ascii="Arial" w:hAnsi="Arial" w:cs="Arial"/>
        </w:rPr>
        <w:t xml:space="preserve"> </w:t>
      </w:r>
    </w:p>
    <w:p w:rsidR="0044607E" w:rsidRPr="00F1679C" w:rsidRDefault="0044607E" w:rsidP="00F1679C">
      <w:pPr>
        <w:spacing w:after="0" w:line="480" w:lineRule="auto"/>
        <w:jc w:val="both"/>
        <w:rPr>
          <w:rFonts w:ascii="Arial" w:eastAsia="Times New Roman" w:hAnsi="Arial" w:cs="Arial"/>
          <w:lang w:val="en" w:eastAsia="en-GB"/>
        </w:rPr>
      </w:pPr>
      <w:r w:rsidRPr="00F1679C">
        <w:rPr>
          <w:rFonts w:ascii="Arial" w:eastAsia="Times New Roman" w:hAnsi="Arial" w:cs="Arial"/>
          <w:lang w:val="en" w:eastAsia="en-GB"/>
        </w:rPr>
        <w:t xml:space="preserve">Yun J, </w:t>
      </w:r>
      <w:proofErr w:type="spellStart"/>
      <w:r w:rsidRPr="00F1679C">
        <w:rPr>
          <w:rFonts w:ascii="Arial" w:eastAsia="Times New Roman" w:hAnsi="Arial" w:cs="Arial"/>
          <w:lang w:val="en" w:eastAsia="en-GB"/>
        </w:rPr>
        <w:t>Mattsson</w:t>
      </w:r>
      <w:proofErr w:type="spellEnd"/>
      <w:r w:rsidRPr="00F1679C">
        <w:rPr>
          <w:rFonts w:ascii="Arial" w:eastAsia="Times New Roman" w:hAnsi="Arial" w:cs="Arial"/>
          <w:lang w:val="en" w:eastAsia="en-GB"/>
        </w:rPr>
        <w:t xml:space="preserve"> J, </w:t>
      </w:r>
      <w:proofErr w:type="spellStart"/>
      <w:r w:rsidRPr="00F1679C">
        <w:rPr>
          <w:rFonts w:ascii="Arial" w:eastAsia="Times New Roman" w:hAnsi="Arial" w:cs="Arial"/>
          <w:lang w:val="en" w:eastAsia="en-GB"/>
        </w:rPr>
        <w:t>Schnyder</w:t>
      </w:r>
      <w:proofErr w:type="spellEnd"/>
      <w:r w:rsidRPr="00F1679C">
        <w:rPr>
          <w:rFonts w:ascii="Arial" w:eastAsia="Times New Roman" w:hAnsi="Arial" w:cs="Arial"/>
          <w:lang w:val="en" w:eastAsia="en-GB"/>
        </w:rPr>
        <w:t xml:space="preserve"> K, </w:t>
      </w:r>
      <w:r w:rsidR="00F1679C" w:rsidRPr="00F1679C">
        <w:rPr>
          <w:rFonts w:ascii="Arial" w:hAnsi="Arial" w:cs="Arial"/>
          <w:shd w:val="clear" w:color="auto" w:fill="FFFFFF"/>
        </w:rPr>
        <w:t>Fontana S</w:t>
      </w:r>
      <w:r w:rsidR="00F1679C" w:rsidRPr="00F1679C">
        <w:rPr>
          <w:rFonts w:ascii="Arial" w:hAnsi="Arial" w:cs="Arial"/>
          <w:color w:val="000000"/>
          <w:shd w:val="clear" w:color="auto" w:fill="FFFFFF"/>
        </w:rPr>
        <w:t>,</w:t>
      </w:r>
      <w:r w:rsidR="00F1679C" w:rsidRPr="00F1679C">
        <w:rPr>
          <w:rStyle w:val="apple-converted-space"/>
          <w:rFonts w:ascii="Arial" w:hAnsi="Arial" w:cs="Arial"/>
          <w:color w:val="000000"/>
          <w:shd w:val="clear" w:color="auto" w:fill="FFFFFF"/>
        </w:rPr>
        <w:t> </w:t>
      </w:r>
      <w:proofErr w:type="spellStart"/>
      <w:r w:rsidR="00F1679C" w:rsidRPr="00F1679C">
        <w:rPr>
          <w:rFonts w:ascii="Arial" w:hAnsi="Arial" w:cs="Arial"/>
          <w:shd w:val="clear" w:color="auto" w:fill="FFFFFF"/>
        </w:rPr>
        <w:t>Largiadèr</w:t>
      </w:r>
      <w:proofErr w:type="spellEnd"/>
      <w:r w:rsidR="00F1679C" w:rsidRPr="00F1679C">
        <w:rPr>
          <w:rFonts w:ascii="Arial" w:hAnsi="Arial" w:cs="Arial"/>
          <w:shd w:val="clear" w:color="auto" w:fill="FFFFFF"/>
        </w:rPr>
        <w:t xml:space="preserve"> CR</w:t>
      </w:r>
      <w:r w:rsidR="00F1679C" w:rsidRPr="00F1679C">
        <w:rPr>
          <w:rFonts w:ascii="Arial" w:hAnsi="Arial" w:cs="Arial"/>
          <w:color w:val="000000"/>
          <w:shd w:val="clear" w:color="auto" w:fill="FFFFFF"/>
        </w:rPr>
        <w:t>,</w:t>
      </w:r>
      <w:r w:rsidR="00F1679C" w:rsidRPr="00F1679C">
        <w:rPr>
          <w:rStyle w:val="apple-converted-space"/>
          <w:rFonts w:ascii="Arial" w:hAnsi="Arial" w:cs="Arial"/>
          <w:color w:val="000000"/>
          <w:shd w:val="clear" w:color="auto" w:fill="FFFFFF"/>
        </w:rPr>
        <w:t> </w:t>
      </w:r>
      <w:proofErr w:type="spellStart"/>
      <w:r w:rsidR="00F1679C" w:rsidRPr="00F1679C">
        <w:rPr>
          <w:rFonts w:ascii="Arial" w:hAnsi="Arial" w:cs="Arial"/>
          <w:shd w:val="clear" w:color="auto" w:fill="FFFFFF"/>
        </w:rPr>
        <w:t>Pichler</w:t>
      </w:r>
      <w:proofErr w:type="spellEnd"/>
      <w:r w:rsidR="00F1679C" w:rsidRPr="00F1679C">
        <w:rPr>
          <w:rFonts w:ascii="Arial" w:hAnsi="Arial" w:cs="Arial"/>
          <w:shd w:val="clear" w:color="auto" w:fill="FFFFFF"/>
        </w:rPr>
        <w:t xml:space="preserve"> WJ</w:t>
      </w:r>
      <w:r w:rsidR="00F1679C" w:rsidRPr="00F1679C">
        <w:rPr>
          <w:rFonts w:ascii="Arial" w:hAnsi="Arial" w:cs="Arial"/>
          <w:color w:val="000000"/>
          <w:shd w:val="clear" w:color="auto" w:fill="FFFFFF"/>
        </w:rPr>
        <w:t>,</w:t>
      </w:r>
      <w:r w:rsidR="00F1679C" w:rsidRPr="00F1679C">
        <w:rPr>
          <w:rStyle w:val="apple-converted-space"/>
          <w:rFonts w:ascii="Arial" w:hAnsi="Arial" w:cs="Arial"/>
          <w:color w:val="000000"/>
          <w:shd w:val="clear" w:color="auto" w:fill="FFFFFF"/>
        </w:rPr>
        <w:t> </w:t>
      </w:r>
      <w:proofErr w:type="spellStart"/>
      <w:r w:rsidR="00F1679C" w:rsidRPr="00F1679C">
        <w:rPr>
          <w:rFonts w:ascii="Arial" w:hAnsi="Arial" w:cs="Arial"/>
          <w:shd w:val="clear" w:color="auto" w:fill="FFFFFF"/>
        </w:rPr>
        <w:t>Yerly</w:t>
      </w:r>
      <w:proofErr w:type="spellEnd"/>
      <w:r w:rsidR="00F1679C" w:rsidRPr="00F1679C">
        <w:rPr>
          <w:rFonts w:ascii="Arial" w:hAnsi="Arial" w:cs="Arial"/>
          <w:shd w:val="clear" w:color="auto" w:fill="FFFFFF"/>
        </w:rPr>
        <w:t xml:space="preserve"> D</w:t>
      </w:r>
      <w:r w:rsidRPr="00F1679C">
        <w:rPr>
          <w:rFonts w:ascii="Arial" w:eastAsia="Times New Roman" w:hAnsi="Arial" w:cs="Arial"/>
          <w:lang w:val="en" w:eastAsia="en-GB"/>
        </w:rPr>
        <w:t xml:space="preserve">. </w:t>
      </w:r>
      <w:r w:rsidR="00F1679C">
        <w:rPr>
          <w:rFonts w:ascii="Arial" w:eastAsia="Times New Roman" w:hAnsi="Arial" w:cs="Arial"/>
          <w:lang w:val="en" w:eastAsia="en-GB"/>
        </w:rPr>
        <w:t xml:space="preserve">(2013) </w:t>
      </w:r>
      <w:r w:rsidRPr="00F1679C">
        <w:rPr>
          <w:rFonts w:ascii="Arial" w:eastAsia="Times New Roman" w:hAnsi="Arial" w:cs="Arial"/>
          <w:lang w:val="en" w:eastAsia="en-GB"/>
        </w:rPr>
        <w:t xml:space="preserve">Allopurinol hypersensitivity is primarily mediated by dose-dependent </w:t>
      </w:r>
      <w:proofErr w:type="spellStart"/>
      <w:r w:rsidRPr="00F1679C">
        <w:rPr>
          <w:rFonts w:ascii="Arial" w:eastAsia="Times New Roman" w:hAnsi="Arial" w:cs="Arial"/>
          <w:lang w:val="en" w:eastAsia="en-GB"/>
        </w:rPr>
        <w:t>oxypurinol</w:t>
      </w:r>
      <w:proofErr w:type="spellEnd"/>
      <w:r w:rsidRPr="00F1679C">
        <w:rPr>
          <w:rFonts w:ascii="Arial" w:eastAsia="Times New Roman" w:hAnsi="Arial" w:cs="Arial"/>
          <w:lang w:val="en" w:eastAsia="en-GB"/>
        </w:rPr>
        <w:t xml:space="preserve">-specific T cell response. </w:t>
      </w:r>
      <w:proofErr w:type="spellStart"/>
      <w:r w:rsidRPr="00F1679C">
        <w:rPr>
          <w:rFonts w:ascii="Arial" w:eastAsia="Times New Roman" w:hAnsi="Arial" w:cs="Arial"/>
          <w:i/>
          <w:lang w:val="en" w:eastAsia="en-GB"/>
        </w:rPr>
        <w:t>Clin</w:t>
      </w:r>
      <w:proofErr w:type="spellEnd"/>
      <w:r w:rsidRPr="00F1679C">
        <w:rPr>
          <w:rFonts w:ascii="Arial" w:eastAsia="Times New Roman" w:hAnsi="Arial" w:cs="Arial"/>
          <w:i/>
          <w:lang w:val="en" w:eastAsia="en-GB"/>
        </w:rPr>
        <w:t xml:space="preserve"> </w:t>
      </w:r>
      <w:proofErr w:type="spellStart"/>
      <w:r w:rsidRPr="00F1679C">
        <w:rPr>
          <w:rFonts w:ascii="Arial" w:eastAsia="Times New Roman" w:hAnsi="Arial" w:cs="Arial"/>
          <w:i/>
          <w:lang w:val="en" w:eastAsia="en-GB"/>
        </w:rPr>
        <w:t>Exp</w:t>
      </w:r>
      <w:proofErr w:type="spellEnd"/>
      <w:r w:rsidRPr="00F1679C">
        <w:rPr>
          <w:rFonts w:ascii="Arial" w:eastAsia="Times New Roman" w:hAnsi="Arial" w:cs="Arial"/>
          <w:i/>
          <w:lang w:val="en" w:eastAsia="en-GB"/>
        </w:rPr>
        <w:t xml:space="preserve"> Allergy</w:t>
      </w:r>
      <w:r w:rsidR="00F1679C">
        <w:rPr>
          <w:rFonts w:ascii="Arial" w:eastAsia="Times New Roman" w:hAnsi="Arial" w:cs="Arial"/>
          <w:i/>
          <w:lang w:val="en" w:eastAsia="en-GB"/>
        </w:rPr>
        <w:t xml:space="preserve"> </w:t>
      </w:r>
      <w:r w:rsidRPr="00F1679C">
        <w:rPr>
          <w:rFonts w:ascii="Arial" w:eastAsia="Times New Roman" w:hAnsi="Arial" w:cs="Arial"/>
          <w:b/>
          <w:lang w:val="en" w:eastAsia="en-GB"/>
        </w:rPr>
        <w:t>43</w:t>
      </w:r>
      <w:r w:rsidRPr="00F1679C">
        <w:rPr>
          <w:rFonts w:ascii="Arial" w:eastAsia="Times New Roman" w:hAnsi="Arial" w:cs="Arial"/>
          <w:lang w:val="en" w:eastAsia="en-GB"/>
        </w:rPr>
        <w:t xml:space="preserve">:1246-55. </w:t>
      </w:r>
    </w:p>
    <w:p w:rsidR="0044607E" w:rsidRPr="00231828" w:rsidRDefault="0044607E" w:rsidP="00026E24">
      <w:pPr>
        <w:pStyle w:val="ListParagraph"/>
        <w:numPr>
          <w:ilvl w:val="0"/>
          <w:numId w:val="1"/>
        </w:numPr>
        <w:spacing w:after="0" w:line="480" w:lineRule="auto"/>
        <w:ind w:left="417"/>
        <w:jc w:val="both"/>
        <w:rPr>
          <w:rFonts w:ascii="Arial" w:eastAsia="Times New Roman" w:hAnsi="Arial" w:cs="Arial"/>
          <w:lang w:val="en" w:eastAsia="en-GB"/>
        </w:rPr>
      </w:pPr>
      <w:r w:rsidRPr="00231828">
        <w:rPr>
          <w:rFonts w:ascii="Arial" w:eastAsia="Times New Roman" w:hAnsi="Arial" w:cs="Arial"/>
          <w:lang w:val="en" w:eastAsia="en-GB"/>
        </w:rPr>
        <w:t xml:space="preserve">Yun J, </w:t>
      </w:r>
      <w:proofErr w:type="spellStart"/>
      <w:r w:rsidRPr="00231828">
        <w:rPr>
          <w:rFonts w:ascii="Arial" w:eastAsia="Times New Roman" w:hAnsi="Arial" w:cs="Arial"/>
          <w:lang w:val="en" w:eastAsia="en-GB"/>
        </w:rPr>
        <w:t>Marcaida</w:t>
      </w:r>
      <w:proofErr w:type="spellEnd"/>
      <w:r w:rsidRPr="00231828">
        <w:rPr>
          <w:rFonts w:ascii="Arial" w:eastAsia="Times New Roman" w:hAnsi="Arial" w:cs="Arial"/>
          <w:lang w:val="en" w:eastAsia="en-GB"/>
        </w:rPr>
        <w:t xml:space="preserve"> MJ, Eriksson </w:t>
      </w:r>
      <w:r w:rsidRPr="00F1679C">
        <w:rPr>
          <w:rFonts w:ascii="Arial" w:eastAsia="Times New Roman" w:hAnsi="Arial" w:cs="Arial"/>
          <w:lang w:val="en" w:eastAsia="en-GB"/>
        </w:rPr>
        <w:t xml:space="preserve">KK, </w:t>
      </w:r>
      <w:proofErr w:type="spellStart"/>
      <w:r w:rsidR="00F1679C" w:rsidRPr="00F1679C">
        <w:rPr>
          <w:rFonts w:ascii="Arial" w:hAnsi="Arial" w:cs="Arial"/>
          <w:shd w:val="clear" w:color="auto" w:fill="FFFFFF"/>
        </w:rPr>
        <w:t>Jamin</w:t>
      </w:r>
      <w:proofErr w:type="spellEnd"/>
      <w:r w:rsidR="00F1679C" w:rsidRPr="00F1679C">
        <w:rPr>
          <w:rFonts w:ascii="Arial" w:hAnsi="Arial" w:cs="Arial"/>
          <w:shd w:val="clear" w:color="auto" w:fill="FFFFFF"/>
        </w:rPr>
        <w:t xml:space="preserve"> H</w:t>
      </w:r>
      <w:r w:rsidR="00F1679C" w:rsidRPr="00F1679C">
        <w:rPr>
          <w:rFonts w:ascii="Arial" w:hAnsi="Arial" w:cs="Arial"/>
          <w:color w:val="000000"/>
          <w:shd w:val="clear" w:color="auto" w:fill="FFFFFF"/>
        </w:rPr>
        <w:t>,</w:t>
      </w:r>
      <w:r w:rsidR="00F1679C" w:rsidRPr="00F1679C">
        <w:rPr>
          <w:rStyle w:val="apple-converted-space"/>
          <w:rFonts w:ascii="Arial" w:hAnsi="Arial" w:cs="Arial"/>
          <w:color w:val="000000"/>
          <w:shd w:val="clear" w:color="auto" w:fill="FFFFFF"/>
        </w:rPr>
        <w:t> </w:t>
      </w:r>
      <w:r w:rsidR="00F1679C" w:rsidRPr="00F1679C">
        <w:rPr>
          <w:rFonts w:ascii="Arial" w:hAnsi="Arial" w:cs="Arial"/>
          <w:shd w:val="clear" w:color="auto" w:fill="FFFFFF"/>
        </w:rPr>
        <w:t>Fontana S</w:t>
      </w:r>
      <w:r w:rsidR="00F1679C" w:rsidRPr="00F1679C">
        <w:rPr>
          <w:rFonts w:ascii="Arial" w:hAnsi="Arial" w:cs="Arial"/>
          <w:color w:val="000000"/>
          <w:shd w:val="clear" w:color="auto" w:fill="FFFFFF"/>
        </w:rPr>
        <w:t>,</w:t>
      </w:r>
      <w:r w:rsidR="00F1679C" w:rsidRPr="00F1679C">
        <w:rPr>
          <w:rStyle w:val="apple-converted-space"/>
          <w:rFonts w:ascii="Arial" w:hAnsi="Arial" w:cs="Arial"/>
          <w:color w:val="000000"/>
          <w:shd w:val="clear" w:color="auto" w:fill="FFFFFF"/>
        </w:rPr>
        <w:t> </w:t>
      </w:r>
      <w:proofErr w:type="spellStart"/>
      <w:r w:rsidR="00F1679C" w:rsidRPr="00F1679C">
        <w:rPr>
          <w:rFonts w:ascii="Arial" w:hAnsi="Arial" w:cs="Arial"/>
          <w:shd w:val="clear" w:color="auto" w:fill="FFFFFF"/>
        </w:rPr>
        <w:t>Pichler</w:t>
      </w:r>
      <w:proofErr w:type="spellEnd"/>
      <w:r w:rsidR="00F1679C" w:rsidRPr="00F1679C">
        <w:rPr>
          <w:rFonts w:ascii="Arial" w:hAnsi="Arial" w:cs="Arial"/>
          <w:shd w:val="clear" w:color="auto" w:fill="FFFFFF"/>
        </w:rPr>
        <w:t xml:space="preserve"> WJ</w:t>
      </w:r>
      <w:r w:rsidR="00F1679C" w:rsidRPr="00F1679C">
        <w:rPr>
          <w:rFonts w:ascii="Arial" w:hAnsi="Arial" w:cs="Arial"/>
          <w:color w:val="000000"/>
          <w:shd w:val="clear" w:color="auto" w:fill="FFFFFF"/>
        </w:rPr>
        <w:t>,</w:t>
      </w:r>
      <w:r w:rsidR="00F1679C" w:rsidRPr="00F1679C">
        <w:rPr>
          <w:rStyle w:val="apple-converted-space"/>
          <w:rFonts w:ascii="Arial" w:hAnsi="Arial" w:cs="Arial"/>
          <w:color w:val="000000"/>
          <w:shd w:val="clear" w:color="auto" w:fill="FFFFFF"/>
        </w:rPr>
        <w:t> </w:t>
      </w:r>
      <w:proofErr w:type="spellStart"/>
      <w:r w:rsidR="00F1679C" w:rsidRPr="00F1679C">
        <w:rPr>
          <w:rFonts w:ascii="Arial" w:hAnsi="Arial" w:cs="Arial"/>
          <w:shd w:val="clear" w:color="auto" w:fill="FFFFFF"/>
        </w:rPr>
        <w:t>Yerly</w:t>
      </w:r>
      <w:proofErr w:type="spellEnd"/>
      <w:r w:rsidR="00F1679C" w:rsidRPr="00F1679C">
        <w:rPr>
          <w:rFonts w:ascii="Arial" w:hAnsi="Arial" w:cs="Arial"/>
          <w:shd w:val="clear" w:color="auto" w:fill="FFFFFF"/>
        </w:rPr>
        <w:t xml:space="preserve"> D</w:t>
      </w:r>
      <w:r w:rsidRPr="00F1679C">
        <w:rPr>
          <w:rFonts w:ascii="Arial" w:eastAsia="Times New Roman" w:hAnsi="Arial" w:cs="Arial"/>
          <w:lang w:val="en" w:eastAsia="en-GB"/>
        </w:rPr>
        <w:t>.</w:t>
      </w:r>
      <w:r w:rsidRPr="00231828">
        <w:rPr>
          <w:rFonts w:ascii="Arial" w:eastAsia="Times New Roman" w:hAnsi="Arial" w:cs="Arial"/>
          <w:lang w:val="en" w:eastAsia="en-GB"/>
        </w:rPr>
        <w:t xml:space="preserve"> </w:t>
      </w:r>
      <w:r w:rsidR="00F1679C">
        <w:rPr>
          <w:rFonts w:ascii="Arial" w:eastAsia="Times New Roman" w:hAnsi="Arial" w:cs="Arial"/>
          <w:lang w:val="en" w:eastAsia="en-GB"/>
        </w:rPr>
        <w:t xml:space="preserve">(2014) </w:t>
      </w:r>
      <w:proofErr w:type="spellStart"/>
      <w:r w:rsidRPr="00231828">
        <w:rPr>
          <w:rFonts w:ascii="Arial" w:eastAsia="Times New Roman" w:hAnsi="Arial" w:cs="Arial"/>
          <w:lang w:val="en" w:eastAsia="en-GB"/>
        </w:rPr>
        <w:t>Oxypurinol</w:t>
      </w:r>
      <w:proofErr w:type="spellEnd"/>
      <w:r w:rsidRPr="00231828">
        <w:rPr>
          <w:rFonts w:ascii="Arial" w:eastAsia="Times New Roman" w:hAnsi="Arial" w:cs="Arial"/>
          <w:lang w:val="en" w:eastAsia="en-GB"/>
        </w:rPr>
        <w:t xml:space="preserve"> directly and immediately activates the drug-specific T cells via the preferential use of HLA-B*58:01. </w:t>
      </w:r>
      <w:r w:rsidRPr="00F1679C">
        <w:rPr>
          <w:rFonts w:ascii="Arial" w:eastAsia="Times New Roman" w:hAnsi="Arial" w:cs="Arial"/>
          <w:i/>
          <w:lang w:val="en" w:eastAsia="en-GB"/>
        </w:rPr>
        <w:t xml:space="preserve">J </w:t>
      </w:r>
      <w:proofErr w:type="spellStart"/>
      <w:r w:rsidRPr="00F1679C">
        <w:rPr>
          <w:rFonts w:ascii="Arial" w:eastAsia="Times New Roman" w:hAnsi="Arial" w:cs="Arial"/>
          <w:i/>
          <w:lang w:val="en" w:eastAsia="en-GB"/>
        </w:rPr>
        <w:t>Immunol</w:t>
      </w:r>
      <w:proofErr w:type="spellEnd"/>
      <w:r w:rsidR="00F1679C">
        <w:rPr>
          <w:rFonts w:ascii="Arial" w:eastAsia="Times New Roman" w:hAnsi="Arial" w:cs="Arial"/>
          <w:i/>
          <w:lang w:val="en" w:eastAsia="en-GB"/>
        </w:rPr>
        <w:t xml:space="preserve"> </w:t>
      </w:r>
      <w:r w:rsidRPr="00F1679C">
        <w:rPr>
          <w:rFonts w:ascii="Arial" w:eastAsia="Times New Roman" w:hAnsi="Arial" w:cs="Arial"/>
          <w:b/>
          <w:lang w:val="en" w:eastAsia="en-GB"/>
        </w:rPr>
        <w:t>192</w:t>
      </w:r>
      <w:r w:rsidRPr="00231828">
        <w:rPr>
          <w:rFonts w:ascii="Arial" w:eastAsia="Times New Roman" w:hAnsi="Arial" w:cs="Arial"/>
          <w:lang w:val="en" w:eastAsia="en-GB"/>
        </w:rPr>
        <w:t>:2984-93.</w:t>
      </w:r>
    </w:p>
    <w:p w:rsidR="0044607E" w:rsidRPr="00231828" w:rsidRDefault="0044607E" w:rsidP="00026E24">
      <w:pPr>
        <w:pStyle w:val="ListParagraph"/>
        <w:numPr>
          <w:ilvl w:val="0"/>
          <w:numId w:val="1"/>
        </w:numPr>
        <w:spacing w:after="120" w:line="480" w:lineRule="auto"/>
        <w:ind w:left="417"/>
        <w:jc w:val="both"/>
        <w:rPr>
          <w:rFonts w:ascii="Arial" w:hAnsi="Arial" w:cs="Arial"/>
        </w:rPr>
      </w:pPr>
      <w:r w:rsidRPr="00231828">
        <w:rPr>
          <w:rFonts w:ascii="Arial" w:hAnsi="Arial" w:cs="Arial"/>
        </w:rPr>
        <w:t xml:space="preserve">Zhang Y, Wang J, Zhao LM, Peng W, Shen GQ, </w:t>
      </w:r>
      <w:proofErr w:type="spellStart"/>
      <w:r w:rsidRPr="00231828">
        <w:rPr>
          <w:rFonts w:ascii="Arial" w:hAnsi="Arial" w:cs="Arial"/>
        </w:rPr>
        <w:t>Xue</w:t>
      </w:r>
      <w:proofErr w:type="spellEnd"/>
      <w:r w:rsidRPr="00231828">
        <w:rPr>
          <w:rFonts w:ascii="Arial" w:hAnsi="Arial" w:cs="Arial"/>
        </w:rPr>
        <w:t xml:space="preserve"> L, Zheng XX, He XJ, Gong CY, Miao LY. </w:t>
      </w:r>
      <w:r w:rsidR="00F1679C">
        <w:rPr>
          <w:rFonts w:ascii="Arial" w:hAnsi="Arial" w:cs="Arial"/>
        </w:rPr>
        <w:t xml:space="preserve">(2011) </w:t>
      </w:r>
      <w:r w:rsidRPr="00231828">
        <w:rPr>
          <w:rFonts w:ascii="Arial" w:hAnsi="Arial" w:cs="Arial"/>
        </w:rPr>
        <w:t xml:space="preserve">Strong association between HLA-B*1502 and carbamazepine-induced Stevens-Johnson syndrome and toxic epidermal </w:t>
      </w:r>
      <w:proofErr w:type="spellStart"/>
      <w:r w:rsidRPr="00231828">
        <w:rPr>
          <w:rFonts w:ascii="Arial" w:hAnsi="Arial" w:cs="Arial"/>
        </w:rPr>
        <w:t>necrolysis</w:t>
      </w:r>
      <w:proofErr w:type="spellEnd"/>
      <w:r w:rsidRPr="00231828">
        <w:rPr>
          <w:rFonts w:ascii="Arial" w:hAnsi="Arial" w:cs="Arial"/>
        </w:rPr>
        <w:t xml:space="preserve"> in mainland Han Chinese patients. </w:t>
      </w:r>
      <w:proofErr w:type="spellStart"/>
      <w:r w:rsidRPr="00F1679C">
        <w:rPr>
          <w:rFonts w:ascii="Arial" w:hAnsi="Arial" w:cs="Arial"/>
          <w:i/>
        </w:rPr>
        <w:t>Eur</w:t>
      </w:r>
      <w:proofErr w:type="spellEnd"/>
      <w:r w:rsidRPr="00F1679C">
        <w:rPr>
          <w:rFonts w:ascii="Arial" w:hAnsi="Arial" w:cs="Arial"/>
          <w:i/>
        </w:rPr>
        <w:t xml:space="preserve"> J </w:t>
      </w:r>
      <w:proofErr w:type="spellStart"/>
      <w:r w:rsidRPr="00F1679C">
        <w:rPr>
          <w:rFonts w:ascii="Arial" w:hAnsi="Arial" w:cs="Arial"/>
          <w:i/>
        </w:rPr>
        <w:t>Clin</w:t>
      </w:r>
      <w:proofErr w:type="spellEnd"/>
      <w:r w:rsidRPr="00F1679C">
        <w:rPr>
          <w:rFonts w:ascii="Arial" w:hAnsi="Arial" w:cs="Arial"/>
          <w:i/>
        </w:rPr>
        <w:t xml:space="preserve"> </w:t>
      </w:r>
      <w:proofErr w:type="spellStart"/>
      <w:r w:rsidRPr="00F1679C">
        <w:rPr>
          <w:rFonts w:ascii="Arial" w:hAnsi="Arial" w:cs="Arial"/>
          <w:i/>
        </w:rPr>
        <w:t>Pharmacol</w:t>
      </w:r>
      <w:proofErr w:type="spellEnd"/>
      <w:r w:rsidRPr="00F1679C">
        <w:rPr>
          <w:rFonts w:ascii="Arial" w:hAnsi="Arial" w:cs="Arial"/>
          <w:i/>
        </w:rPr>
        <w:t>.</w:t>
      </w:r>
      <w:r w:rsidRPr="00231828">
        <w:rPr>
          <w:rFonts w:ascii="Arial" w:hAnsi="Arial" w:cs="Arial"/>
        </w:rPr>
        <w:t xml:space="preserve"> </w:t>
      </w:r>
      <w:r w:rsidRPr="00F1679C">
        <w:rPr>
          <w:rFonts w:ascii="Arial" w:hAnsi="Arial" w:cs="Arial"/>
          <w:b/>
        </w:rPr>
        <w:t>67</w:t>
      </w:r>
      <w:r w:rsidRPr="00231828">
        <w:rPr>
          <w:rFonts w:ascii="Arial" w:hAnsi="Arial" w:cs="Arial"/>
        </w:rPr>
        <w:t xml:space="preserve">:885-7. </w:t>
      </w:r>
    </w:p>
    <w:p w:rsidR="00F82558" w:rsidRPr="00231828" w:rsidRDefault="00F82558" w:rsidP="00231828">
      <w:pPr>
        <w:spacing w:line="480" w:lineRule="auto"/>
        <w:rPr>
          <w:rFonts w:ascii="Arial" w:hAnsi="Arial" w:cs="Arial"/>
        </w:rPr>
      </w:pPr>
    </w:p>
    <w:p w:rsidR="00231828" w:rsidRDefault="00231828">
      <w:r>
        <w:br w:type="page"/>
      </w:r>
    </w:p>
    <w:p w:rsidR="00231828" w:rsidRDefault="00231828">
      <w:pPr>
        <w:rPr>
          <w:rFonts w:ascii="Arial" w:hAnsi="Arial" w:cs="Arial"/>
          <w:b/>
        </w:rPr>
      </w:pPr>
      <w:r w:rsidRPr="00231828">
        <w:rPr>
          <w:rFonts w:ascii="Arial" w:hAnsi="Arial" w:cs="Arial"/>
          <w:b/>
        </w:rPr>
        <w:lastRenderedPageBreak/>
        <w:t>FIGURE LEGENDS</w:t>
      </w:r>
    </w:p>
    <w:p w:rsidR="00231828" w:rsidRPr="00231828" w:rsidRDefault="00231828" w:rsidP="00231828">
      <w:pPr>
        <w:jc w:val="both"/>
        <w:rPr>
          <w:rFonts w:ascii="Arial" w:hAnsi="Arial" w:cs="Arial"/>
          <w:b/>
        </w:rPr>
      </w:pPr>
      <w:proofErr w:type="gramStart"/>
      <w:r w:rsidRPr="00231828">
        <w:rPr>
          <w:rFonts w:ascii="Arial" w:hAnsi="Arial" w:cs="Arial"/>
          <w:b/>
        </w:rPr>
        <w:t>Figure 1.</w:t>
      </w:r>
      <w:proofErr w:type="gramEnd"/>
      <w:r w:rsidRPr="00231828">
        <w:rPr>
          <w:rFonts w:ascii="Arial" w:hAnsi="Arial" w:cs="Arial"/>
          <w:b/>
        </w:rPr>
        <w:t xml:space="preserve"> Drugs used in the DC priming assay</w:t>
      </w:r>
      <w:r w:rsidRPr="00231828">
        <w:rPr>
          <w:rFonts w:ascii="Arial" w:hAnsi="Arial" w:cs="Arial"/>
        </w:rPr>
        <w:t>.</w:t>
      </w:r>
    </w:p>
    <w:p w:rsidR="00231828" w:rsidRPr="00231828" w:rsidRDefault="00231828" w:rsidP="00231828">
      <w:pPr>
        <w:spacing w:after="0" w:line="480" w:lineRule="auto"/>
        <w:jc w:val="both"/>
        <w:rPr>
          <w:rFonts w:ascii="Arial" w:hAnsi="Arial" w:cs="Arial"/>
          <w:b/>
        </w:rPr>
      </w:pPr>
      <w:proofErr w:type="gramStart"/>
      <w:r w:rsidRPr="00231828">
        <w:rPr>
          <w:rFonts w:ascii="Arial" w:hAnsi="Arial" w:cs="Arial"/>
          <w:b/>
        </w:rPr>
        <w:t>Figure 2.</w:t>
      </w:r>
      <w:proofErr w:type="gramEnd"/>
      <w:r w:rsidRPr="00231828">
        <w:rPr>
          <w:rFonts w:ascii="Arial" w:hAnsi="Arial" w:cs="Arial"/>
          <w:b/>
        </w:rPr>
        <w:t xml:space="preserve">  Pri</w:t>
      </w:r>
      <w:r>
        <w:rPr>
          <w:rFonts w:ascii="Arial" w:hAnsi="Arial" w:cs="Arial"/>
          <w:b/>
        </w:rPr>
        <w:t xml:space="preserve">ming of naïve T cells to SMX-NO. </w:t>
      </w:r>
      <w:r w:rsidRPr="00231828">
        <w:rPr>
          <w:rFonts w:ascii="Arial" w:hAnsi="Arial" w:cs="Arial"/>
        </w:rPr>
        <w:t xml:space="preserve">Naive CD3 cells were co-cultured with Mo-DC at a ratio of 25:1 in the presence of SMX-NO for 8 days. These cultures were then re-stimulated with fresh Mo-DC and SMX-NO. Proliferation was measured by </w:t>
      </w:r>
      <w:r w:rsidRPr="00231828">
        <w:rPr>
          <w:rFonts w:ascii="Arial" w:hAnsi="Arial" w:cs="Arial"/>
          <w:vertAlign w:val="superscript"/>
        </w:rPr>
        <w:t>3</w:t>
      </w:r>
      <w:r w:rsidRPr="00231828">
        <w:rPr>
          <w:rFonts w:ascii="Arial" w:hAnsi="Arial" w:cs="Arial"/>
        </w:rPr>
        <w:t xml:space="preserve">H-thymidine incorporation or CFSE staining after 3 days. Cytokine release was measured by </w:t>
      </w:r>
      <w:proofErr w:type="spellStart"/>
      <w:r w:rsidRPr="00231828">
        <w:rPr>
          <w:rFonts w:ascii="Arial" w:hAnsi="Arial" w:cs="Arial"/>
        </w:rPr>
        <w:t>ELISpot</w:t>
      </w:r>
      <w:proofErr w:type="spellEnd"/>
      <w:r w:rsidRPr="00231828">
        <w:rPr>
          <w:rFonts w:ascii="Arial" w:hAnsi="Arial" w:cs="Arial"/>
        </w:rPr>
        <w:t xml:space="preserve"> after 2 days. The data was analysed by Student’s t Test and * denotes statistically significance p&lt; 0.05. </w:t>
      </w:r>
    </w:p>
    <w:p w:rsidR="00231828" w:rsidRPr="00231828" w:rsidRDefault="00231828" w:rsidP="00231828">
      <w:pPr>
        <w:jc w:val="both"/>
        <w:rPr>
          <w:rFonts w:ascii="Arial" w:hAnsi="Arial" w:cs="Arial"/>
        </w:rPr>
      </w:pPr>
    </w:p>
    <w:p w:rsidR="00231828" w:rsidRPr="00231828" w:rsidRDefault="00231828" w:rsidP="00231828">
      <w:pPr>
        <w:spacing w:after="0" w:line="480" w:lineRule="auto"/>
        <w:jc w:val="both"/>
        <w:rPr>
          <w:rFonts w:ascii="Arial" w:hAnsi="Arial" w:cs="Arial"/>
        </w:rPr>
      </w:pPr>
      <w:proofErr w:type="gramStart"/>
      <w:r w:rsidRPr="00231828">
        <w:rPr>
          <w:rFonts w:ascii="Arial" w:hAnsi="Arial" w:cs="Arial"/>
          <w:b/>
        </w:rPr>
        <w:t>Figure 3.</w:t>
      </w:r>
      <w:proofErr w:type="gramEnd"/>
      <w:r w:rsidRPr="00231828">
        <w:rPr>
          <w:rFonts w:ascii="Arial" w:hAnsi="Arial" w:cs="Arial"/>
          <w:b/>
        </w:rPr>
        <w:t xml:space="preserve">  Pri</w:t>
      </w:r>
      <w:r>
        <w:rPr>
          <w:rFonts w:ascii="Arial" w:hAnsi="Arial" w:cs="Arial"/>
          <w:b/>
        </w:rPr>
        <w:t xml:space="preserve">ming of naïve T cells to SMX-NO. </w:t>
      </w:r>
      <w:r w:rsidRPr="00231828">
        <w:rPr>
          <w:rFonts w:ascii="Arial" w:hAnsi="Arial" w:cs="Arial"/>
        </w:rPr>
        <w:t>Naive CD3 cells were co-cultured with Mo-DC at a ratio of 25:1 in the presence of SMX-NO for 8 days. These cultures were re-stimulated with fresh Mo-DC and SMX-NO. Proliferation was measured after 3 days and cytokine released was measured after 2 days. The data shows the maximal SMX-NO response (25</w:t>
      </w:r>
      <w:r w:rsidR="00F46DA8">
        <w:rPr>
          <w:rFonts w:ascii="Arial" w:hAnsi="Arial" w:cs="Arial"/>
        </w:rPr>
        <w:t xml:space="preserve"> </w:t>
      </w:r>
      <w:r w:rsidR="00996058">
        <w:rPr>
          <w:rFonts w:ascii="Arial" w:hAnsi="Arial" w:cs="Arial"/>
        </w:rPr>
        <w:t>µ</w:t>
      </w:r>
      <w:r w:rsidRPr="00231828">
        <w:rPr>
          <w:rFonts w:ascii="Arial" w:hAnsi="Arial" w:cs="Arial"/>
        </w:rPr>
        <w:t>M or 50</w:t>
      </w:r>
      <w:bookmarkStart w:id="2" w:name="_GoBack"/>
      <w:r w:rsidR="00F46DA8">
        <w:rPr>
          <w:rFonts w:ascii="Arial" w:hAnsi="Arial" w:cs="Arial"/>
        </w:rPr>
        <w:t xml:space="preserve"> </w:t>
      </w:r>
      <w:bookmarkEnd w:id="2"/>
      <w:r w:rsidR="00996058">
        <w:rPr>
          <w:rFonts w:ascii="Arial" w:hAnsi="Arial" w:cs="Arial"/>
        </w:rPr>
        <w:t>µ</w:t>
      </w:r>
      <w:r w:rsidRPr="00231828">
        <w:rPr>
          <w:rFonts w:ascii="Arial" w:hAnsi="Arial" w:cs="Arial"/>
        </w:rPr>
        <w:t>M SMX-NO) from 40 assays. The box plot shows the median and 25</w:t>
      </w:r>
      <w:r w:rsidRPr="00231828">
        <w:rPr>
          <w:rFonts w:ascii="Arial" w:hAnsi="Arial" w:cs="Arial"/>
          <w:vertAlign w:val="superscript"/>
        </w:rPr>
        <w:t>th</w:t>
      </w:r>
      <w:r w:rsidRPr="00231828">
        <w:rPr>
          <w:rFonts w:ascii="Arial" w:hAnsi="Arial" w:cs="Arial"/>
        </w:rPr>
        <w:t>/75</w:t>
      </w:r>
      <w:r w:rsidRPr="00231828">
        <w:rPr>
          <w:rFonts w:ascii="Arial" w:hAnsi="Arial" w:cs="Arial"/>
          <w:vertAlign w:val="superscript"/>
        </w:rPr>
        <w:t>th</w:t>
      </w:r>
      <w:r w:rsidRPr="00231828">
        <w:rPr>
          <w:rFonts w:ascii="Arial" w:hAnsi="Arial" w:cs="Arial"/>
        </w:rPr>
        <w:t xml:space="preserve"> percentiles, with error bars showing the 10</w:t>
      </w:r>
      <w:r w:rsidRPr="00231828">
        <w:rPr>
          <w:rFonts w:ascii="Arial" w:hAnsi="Arial" w:cs="Arial"/>
          <w:vertAlign w:val="superscript"/>
        </w:rPr>
        <w:t>th</w:t>
      </w:r>
      <w:r w:rsidRPr="00231828">
        <w:rPr>
          <w:rFonts w:ascii="Arial" w:hAnsi="Arial" w:cs="Arial"/>
        </w:rPr>
        <w:t>/90</w:t>
      </w:r>
      <w:r w:rsidRPr="00231828">
        <w:rPr>
          <w:rFonts w:ascii="Arial" w:hAnsi="Arial" w:cs="Arial"/>
          <w:vertAlign w:val="superscript"/>
        </w:rPr>
        <w:t>th</w:t>
      </w:r>
      <w:r w:rsidRPr="00231828">
        <w:rPr>
          <w:rFonts w:ascii="Arial" w:hAnsi="Arial" w:cs="Arial"/>
        </w:rPr>
        <w:t xml:space="preserve"> percentiles. The data was analysed by the Mann Whitney Rank Sum Test. </w:t>
      </w:r>
    </w:p>
    <w:p w:rsidR="00231828" w:rsidRPr="00231828" w:rsidRDefault="00231828" w:rsidP="00231828">
      <w:pPr>
        <w:spacing w:after="0" w:line="480" w:lineRule="auto"/>
        <w:jc w:val="both"/>
        <w:rPr>
          <w:rFonts w:ascii="Arial" w:hAnsi="Arial" w:cs="Arial"/>
          <w:b/>
        </w:rPr>
      </w:pPr>
    </w:p>
    <w:p w:rsidR="00231828" w:rsidRPr="00231828" w:rsidRDefault="00231828" w:rsidP="00231828">
      <w:pPr>
        <w:spacing w:after="0" w:line="480" w:lineRule="auto"/>
        <w:jc w:val="both"/>
        <w:rPr>
          <w:rFonts w:ascii="Arial" w:hAnsi="Arial" w:cs="Arial"/>
          <w:color w:val="0000FF"/>
        </w:rPr>
      </w:pPr>
      <w:proofErr w:type="gramStart"/>
      <w:r w:rsidRPr="00231828">
        <w:rPr>
          <w:rFonts w:ascii="Arial" w:hAnsi="Arial" w:cs="Arial"/>
          <w:b/>
        </w:rPr>
        <w:t>Figure 4.</w:t>
      </w:r>
      <w:proofErr w:type="gramEnd"/>
      <w:r w:rsidRPr="00231828">
        <w:rPr>
          <w:rFonts w:ascii="Arial" w:hAnsi="Arial" w:cs="Arial"/>
          <w:b/>
        </w:rPr>
        <w:t xml:space="preserve">  Priming of naïve T cells to </w:t>
      </w:r>
      <w:proofErr w:type="spellStart"/>
      <w:r w:rsidRPr="00231828">
        <w:rPr>
          <w:rFonts w:ascii="Arial" w:hAnsi="Arial" w:cs="Arial"/>
          <w:b/>
        </w:rPr>
        <w:t>haptenic</w:t>
      </w:r>
      <w:proofErr w:type="spellEnd"/>
      <w:r w:rsidRPr="00231828">
        <w:rPr>
          <w:rFonts w:ascii="Arial" w:hAnsi="Arial" w:cs="Arial"/>
          <w:b/>
        </w:rPr>
        <w:t xml:space="preserve"> compounds</w:t>
      </w:r>
      <w:r>
        <w:rPr>
          <w:rFonts w:ascii="Arial" w:hAnsi="Arial" w:cs="Arial"/>
          <w:b/>
        </w:rPr>
        <w:t>.</w:t>
      </w:r>
      <w:r w:rsidRPr="00231828">
        <w:rPr>
          <w:rFonts w:ascii="Arial" w:hAnsi="Arial" w:cs="Arial"/>
          <w:b/>
        </w:rPr>
        <w:t xml:space="preserve"> </w:t>
      </w:r>
      <w:r w:rsidRPr="00231828">
        <w:rPr>
          <w:rFonts w:ascii="Arial" w:hAnsi="Arial" w:cs="Arial"/>
        </w:rPr>
        <w:t xml:space="preserve">Naive CD3 cells were co-cultured with Mo-DC at a ratio of 25:1 in the presence of various drugs for 8-14 days. The cultures were then re-stimulated with fresh Mo-DC and drug. Proliferation was measured after 3 days by </w:t>
      </w:r>
      <w:r w:rsidRPr="00231828">
        <w:rPr>
          <w:rFonts w:ascii="Arial" w:hAnsi="Arial" w:cs="Arial"/>
          <w:vertAlign w:val="superscript"/>
        </w:rPr>
        <w:t>3</w:t>
      </w:r>
      <w:r w:rsidRPr="00231828">
        <w:rPr>
          <w:rFonts w:ascii="Arial" w:hAnsi="Arial" w:cs="Arial"/>
        </w:rPr>
        <w:t xml:space="preserve">H-thymidine incorporation (amoxicillin, piperacillin, </w:t>
      </w:r>
      <w:proofErr w:type="spellStart"/>
      <w:r w:rsidR="00996058">
        <w:rPr>
          <w:rFonts w:ascii="Arial" w:hAnsi="Arial" w:cs="Arial"/>
        </w:rPr>
        <w:t>Bandrowski’s</w:t>
      </w:r>
      <w:proofErr w:type="spellEnd"/>
      <w:r w:rsidR="00996058">
        <w:rPr>
          <w:rFonts w:ascii="Arial" w:hAnsi="Arial" w:cs="Arial"/>
        </w:rPr>
        <w:t xml:space="preserve"> base [</w:t>
      </w:r>
      <w:r w:rsidRPr="00231828">
        <w:rPr>
          <w:rFonts w:ascii="Arial" w:hAnsi="Arial" w:cs="Arial"/>
        </w:rPr>
        <w:t>BB</w:t>
      </w:r>
      <w:r w:rsidR="00996058">
        <w:rPr>
          <w:rFonts w:ascii="Arial" w:hAnsi="Arial" w:cs="Arial"/>
        </w:rPr>
        <w:t>]</w:t>
      </w:r>
      <w:r w:rsidRPr="00231828">
        <w:rPr>
          <w:rFonts w:ascii="Arial" w:hAnsi="Arial" w:cs="Arial"/>
        </w:rPr>
        <w:t>, SMX-NO). The highest stimulation index from the dose range for each drug was selected. The SMX-NO results shown are the positive controls included in the piperacillin assays.</w:t>
      </w:r>
      <w:r w:rsidRPr="00231828">
        <w:rPr>
          <w:rFonts w:ascii="Arial" w:hAnsi="Arial" w:cs="Arial"/>
          <w:highlight w:val="yellow"/>
        </w:rPr>
        <w:t xml:space="preserve"> </w:t>
      </w:r>
    </w:p>
    <w:p w:rsidR="00231828" w:rsidRPr="00231828" w:rsidRDefault="00231828" w:rsidP="00231828">
      <w:pPr>
        <w:spacing w:after="0" w:line="480" w:lineRule="auto"/>
        <w:jc w:val="both"/>
        <w:rPr>
          <w:rFonts w:ascii="Arial" w:hAnsi="Arial" w:cs="Arial"/>
        </w:rPr>
      </w:pPr>
    </w:p>
    <w:p w:rsidR="00231828" w:rsidRPr="00231828" w:rsidRDefault="00231828" w:rsidP="00231828">
      <w:pPr>
        <w:spacing w:after="0" w:line="480" w:lineRule="auto"/>
        <w:jc w:val="both"/>
        <w:rPr>
          <w:rFonts w:ascii="Arial" w:hAnsi="Arial" w:cs="Arial"/>
        </w:rPr>
      </w:pPr>
      <w:proofErr w:type="gramStart"/>
      <w:r w:rsidRPr="00231828">
        <w:rPr>
          <w:rFonts w:ascii="Arial" w:hAnsi="Arial" w:cs="Arial"/>
          <w:b/>
        </w:rPr>
        <w:t>Figure 5.</w:t>
      </w:r>
      <w:proofErr w:type="gramEnd"/>
      <w:r w:rsidRPr="00231828">
        <w:rPr>
          <w:rFonts w:ascii="Arial" w:hAnsi="Arial" w:cs="Arial"/>
          <w:b/>
        </w:rPr>
        <w:t xml:space="preserve">  </w:t>
      </w:r>
      <w:proofErr w:type="gramStart"/>
      <w:r w:rsidR="00996058">
        <w:rPr>
          <w:rFonts w:ascii="Arial" w:hAnsi="Arial" w:cs="Arial"/>
          <w:b/>
        </w:rPr>
        <w:t>C</w:t>
      </w:r>
      <w:r w:rsidRPr="00231828">
        <w:rPr>
          <w:rFonts w:ascii="Arial" w:hAnsi="Arial" w:cs="Arial"/>
          <w:b/>
        </w:rPr>
        <w:t>hemokine receptor expression on flucloxacillin-primed T-cells</w:t>
      </w:r>
      <w:r>
        <w:rPr>
          <w:rFonts w:ascii="Arial" w:hAnsi="Arial" w:cs="Arial"/>
          <w:b/>
        </w:rPr>
        <w:t>.</w:t>
      </w:r>
      <w:proofErr w:type="gramEnd"/>
      <w:r>
        <w:rPr>
          <w:rFonts w:ascii="Arial" w:hAnsi="Arial" w:cs="Arial"/>
          <w:b/>
        </w:rPr>
        <w:t xml:space="preserve"> </w:t>
      </w:r>
      <w:r w:rsidRPr="00231828">
        <w:rPr>
          <w:rFonts w:ascii="Arial" w:hAnsi="Arial" w:cs="Arial"/>
        </w:rPr>
        <w:t xml:space="preserve">Naive CD3 cells were co-cultured with Mo-DC at a ratio of 25:1 in the presence of flucloxacillin for 8 days. These cultures were re-stimulated with fresh Mo-DC and drug. Chemokine receptor expression was measured after 6 days by flow cytometry. Open symbols show expression </w:t>
      </w:r>
      <w:r w:rsidRPr="00231828">
        <w:rPr>
          <w:rFonts w:ascii="Arial" w:hAnsi="Arial" w:cs="Arial"/>
        </w:rPr>
        <w:lastRenderedPageBreak/>
        <w:t>on CD45RO negative cells and filled symbols show expression on CD45RO positive cells. Shapes show 3 individual donors.</w:t>
      </w:r>
    </w:p>
    <w:p w:rsidR="00231828" w:rsidRPr="00231828" w:rsidRDefault="00231828" w:rsidP="00231828">
      <w:pPr>
        <w:spacing w:after="0" w:line="480" w:lineRule="auto"/>
        <w:jc w:val="both"/>
        <w:rPr>
          <w:rFonts w:ascii="Arial" w:hAnsi="Arial" w:cs="Arial"/>
        </w:rPr>
      </w:pPr>
    </w:p>
    <w:p w:rsidR="00231828" w:rsidRPr="00231828" w:rsidRDefault="00231828" w:rsidP="00231828">
      <w:pPr>
        <w:spacing w:after="0" w:line="480" w:lineRule="auto"/>
        <w:jc w:val="both"/>
        <w:rPr>
          <w:rFonts w:ascii="Arial" w:hAnsi="Arial" w:cs="Arial"/>
          <w:b/>
        </w:rPr>
      </w:pPr>
      <w:proofErr w:type="gramStart"/>
      <w:r w:rsidRPr="00231828">
        <w:rPr>
          <w:rFonts w:ascii="Arial" w:hAnsi="Arial" w:cs="Arial"/>
          <w:b/>
        </w:rPr>
        <w:t>Figure 6.</w:t>
      </w:r>
      <w:proofErr w:type="gramEnd"/>
      <w:r w:rsidRPr="00231828">
        <w:rPr>
          <w:rFonts w:ascii="Arial" w:hAnsi="Arial" w:cs="Arial"/>
          <w:b/>
        </w:rPr>
        <w:t xml:space="preserve">  Priming of naïve T cells to carbamazepine</w:t>
      </w:r>
      <w:r>
        <w:rPr>
          <w:rFonts w:ascii="Arial" w:hAnsi="Arial" w:cs="Arial"/>
          <w:b/>
        </w:rPr>
        <w:t xml:space="preserve">. </w:t>
      </w:r>
      <w:r w:rsidRPr="00231828">
        <w:rPr>
          <w:rFonts w:ascii="Arial" w:hAnsi="Arial" w:cs="Arial"/>
        </w:rPr>
        <w:t xml:space="preserve">Naive CD3 cells from donor HLA-164 were co-cultured with Mo-DC at a ratio of 25:1 in the presence of carbamazepine for 8 days. The cultures were then re-stimulated with fresh Mo-DC and drug. Proliferation was measured after 3 days by </w:t>
      </w:r>
      <w:r w:rsidRPr="00231828">
        <w:rPr>
          <w:rFonts w:ascii="Arial" w:hAnsi="Arial" w:cs="Arial"/>
          <w:vertAlign w:val="superscript"/>
        </w:rPr>
        <w:t>3</w:t>
      </w:r>
      <w:r w:rsidRPr="00231828">
        <w:rPr>
          <w:rFonts w:ascii="Arial" w:hAnsi="Arial" w:cs="Arial"/>
        </w:rPr>
        <w:t xml:space="preserve">H-thymidine incorporation (A) and by CFSE incorporation (B). Cytokine release was measured after 2 days by </w:t>
      </w:r>
      <w:proofErr w:type="spellStart"/>
      <w:r w:rsidRPr="00231828">
        <w:rPr>
          <w:rFonts w:ascii="Arial" w:hAnsi="Arial" w:cs="Arial"/>
        </w:rPr>
        <w:t>ELISpot</w:t>
      </w:r>
      <w:proofErr w:type="spellEnd"/>
      <w:r w:rsidRPr="00231828">
        <w:rPr>
          <w:rFonts w:ascii="Arial" w:hAnsi="Arial" w:cs="Arial"/>
        </w:rPr>
        <w:t xml:space="preserve"> (C). The data was analysed by the Mann Whitney Rank Sum Test and was statistically significant (shown by *) for proliferation measured by </w:t>
      </w:r>
      <w:r w:rsidRPr="00231828">
        <w:rPr>
          <w:rFonts w:ascii="Arial" w:hAnsi="Arial" w:cs="Arial"/>
          <w:vertAlign w:val="superscript"/>
        </w:rPr>
        <w:t>3</w:t>
      </w:r>
      <w:r w:rsidRPr="00231828">
        <w:rPr>
          <w:rFonts w:ascii="Arial" w:hAnsi="Arial" w:cs="Arial"/>
        </w:rPr>
        <w:t>H-thymidine incorporation (p&lt;0.001) and for IFN</w:t>
      </w:r>
      <w:r w:rsidR="00996058">
        <w:rPr>
          <w:rFonts w:ascii="Arial" w:hAnsi="Arial" w:cs="Arial"/>
        </w:rPr>
        <w:sym w:font="Symbol" w:char="F067"/>
      </w:r>
      <w:r w:rsidRPr="00231828">
        <w:rPr>
          <w:rFonts w:ascii="Arial" w:hAnsi="Arial" w:cs="Arial"/>
        </w:rPr>
        <w:t xml:space="preserve"> release and for IL-13 release (p&lt;0.05).</w:t>
      </w:r>
      <w:r w:rsidRPr="00231828">
        <w:rPr>
          <w:rFonts w:ascii="Arial" w:hAnsi="Arial" w:cs="Arial"/>
          <w:b/>
        </w:rPr>
        <w:br w:type="page"/>
      </w:r>
    </w:p>
    <w:p w:rsidR="00386381" w:rsidRDefault="00386381" w:rsidP="00386381"/>
    <w:tbl>
      <w:tblPr>
        <w:tblStyle w:val="TableGrid"/>
        <w:tblW w:w="7479" w:type="dxa"/>
        <w:tblLook w:val="04A0" w:firstRow="1" w:lastRow="0" w:firstColumn="1" w:lastColumn="0" w:noHBand="0" w:noVBand="1"/>
      </w:tblPr>
      <w:tblGrid>
        <w:gridCol w:w="1628"/>
        <w:gridCol w:w="2551"/>
        <w:gridCol w:w="1587"/>
        <w:gridCol w:w="1713"/>
      </w:tblGrid>
      <w:tr w:rsidR="00386381" w:rsidRPr="005571F4" w:rsidTr="00386381">
        <w:trPr>
          <w:trHeight w:val="283"/>
        </w:trPr>
        <w:tc>
          <w:tcPr>
            <w:tcW w:w="1628" w:type="dxa"/>
            <w:vAlign w:val="center"/>
          </w:tcPr>
          <w:p w:rsidR="00386381" w:rsidRPr="005571F4" w:rsidRDefault="00386381" w:rsidP="00386381">
            <w:pPr>
              <w:rPr>
                <w:rFonts w:ascii="Arial" w:hAnsi="Arial" w:cs="Arial"/>
                <w:b/>
                <w:sz w:val="20"/>
                <w:szCs w:val="20"/>
              </w:rPr>
            </w:pPr>
          </w:p>
        </w:tc>
        <w:tc>
          <w:tcPr>
            <w:tcW w:w="5851" w:type="dxa"/>
            <w:gridSpan w:val="3"/>
            <w:vAlign w:val="center"/>
          </w:tcPr>
          <w:p w:rsidR="00386381" w:rsidRPr="005571F4" w:rsidRDefault="00386381" w:rsidP="00386381">
            <w:pPr>
              <w:jc w:val="center"/>
              <w:rPr>
                <w:rFonts w:ascii="Arial" w:hAnsi="Arial" w:cs="Arial"/>
                <w:b/>
                <w:sz w:val="20"/>
                <w:szCs w:val="20"/>
              </w:rPr>
            </w:pPr>
            <w:r w:rsidRPr="005571F4">
              <w:rPr>
                <w:rFonts w:ascii="Arial" w:hAnsi="Arial" w:cs="Arial"/>
                <w:b/>
                <w:sz w:val="20"/>
                <w:szCs w:val="20"/>
              </w:rPr>
              <w:t>Table 1. HLA allele frequency in the HLA tissue bank</w:t>
            </w:r>
          </w:p>
        </w:tc>
      </w:tr>
      <w:tr w:rsidR="00386381" w:rsidRPr="005571F4" w:rsidTr="00386381">
        <w:trPr>
          <w:trHeight w:val="283"/>
        </w:trPr>
        <w:tc>
          <w:tcPr>
            <w:tcW w:w="1628" w:type="dxa"/>
            <w:vAlign w:val="center"/>
          </w:tcPr>
          <w:p w:rsidR="00386381" w:rsidRPr="005571F4" w:rsidRDefault="00386381" w:rsidP="00386381">
            <w:pPr>
              <w:rPr>
                <w:rFonts w:ascii="Arial" w:hAnsi="Arial" w:cs="Arial"/>
                <w:b/>
                <w:sz w:val="20"/>
                <w:szCs w:val="20"/>
              </w:rPr>
            </w:pPr>
            <w:r w:rsidRPr="005571F4">
              <w:rPr>
                <w:rFonts w:ascii="Arial" w:hAnsi="Arial" w:cs="Arial"/>
                <w:b/>
                <w:sz w:val="20"/>
                <w:szCs w:val="20"/>
              </w:rPr>
              <w:t>Drug</w:t>
            </w:r>
          </w:p>
        </w:tc>
        <w:tc>
          <w:tcPr>
            <w:tcW w:w="2551" w:type="dxa"/>
            <w:vAlign w:val="center"/>
          </w:tcPr>
          <w:p w:rsidR="00386381" w:rsidRPr="005571F4" w:rsidRDefault="00386381" w:rsidP="00386381">
            <w:pPr>
              <w:rPr>
                <w:rFonts w:ascii="Arial" w:hAnsi="Arial" w:cs="Arial"/>
                <w:b/>
                <w:sz w:val="20"/>
                <w:szCs w:val="20"/>
              </w:rPr>
            </w:pPr>
            <w:r w:rsidRPr="005571F4">
              <w:rPr>
                <w:rFonts w:ascii="Arial" w:hAnsi="Arial" w:cs="Arial"/>
                <w:b/>
                <w:sz w:val="20"/>
                <w:szCs w:val="20"/>
              </w:rPr>
              <w:t>HLA alleles</w:t>
            </w:r>
          </w:p>
        </w:tc>
        <w:tc>
          <w:tcPr>
            <w:tcW w:w="1587" w:type="dxa"/>
            <w:vAlign w:val="center"/>
          </w:tcPr>
          <w:p w:rsidR="00386381" w:rsidRPr="005571F4" w:rsidRDefault="00386381" w:rsidP="00386381">
            <w:pPr>
              <w:rPr>
                <w:rFonts w:ascii="Arial" w:hAnsi="Arial" w:cs="Arial"/>
                <w:b/>
                <w:sz w:val="20"/>
                <w:szCs w:val="20"/>
              </w:rPr>
            </w:pPr>
            <w:r w:rsidRPr="005571F4">
              <w:rPr>
                <w:rFonts w:ascii="Arial" w:hAnsi="Arial" w:cs="Arial"/>
                <w:b/>
                <w:sz w:val="20"/>
                <w:szCs w:val="20"/>
              </w:rPr>
              <w:t>Heterozygous</w:t>
            </w:r>
          </w:p>
        </w:tc>
        <w:tc>
          <w:tcPr>
            <w:tcW w:w="1713" w:type="dxa"/>
            <w:vAlign w:val="center"/>
          </w:tcPr>
          <w:p w:rsidR="00386381" w:rsidRPr="005571F4" w:rsidRDefault="00386381" w:rsidP="00386381">
            <w:pPr>
              <w:rPr>
                <w:rFonts w:ascii="Arial" w:hAnsi="Arial" w:cs="Arial"/>
                <w:b/>
                <w:sz w:val="20"/>
                <w:szCs w:val="20"/>
              </w:rPr>
            </w:pPr>
            <w:r w:rsidRPr="005571F4">
              <w:rPr>
                <w:rFonts w:ascii="Arial" w:hAnsi="Arial" w:cs="Arial"/>
                <w:b/>
                <w:sz w:val="20"/>
                <w:szCs w:val="20"/>
              </w:rPr>
              <w:t>Homozygous</w:t>
            </w:r>
          </w:p>
        </w:tc>
      </w:tr>
      <w:tr w:rsidR="00386381" w:rsidRPr="005571F4" w:rsidTr="00386381">
        <w:trPr>
          <w:trHeight w:val="283"/>
        </w:trPr>
        <w:tc>
          <w:tcPr>
            <w:tcW w:w="1628" w:type="dxa"/>
            <w:vMerge w:val="restart"/>
            <w:vAlign w:val="center"/>
          </w:tcPr>
          <w:p w:rsidR="00386381" w:rsidRPr="005571F4" w:rsidRDefault="00386381" w:rsidP="00386381">
            <w:pPr>
              <w:rPr>
                <w:rFonts w:ascii="Arial" w:hAnsi="Arial" w:cs="Arial"/>
                <w:sz w:val="20"/>
                <w:szCs w:val="20"/>
              </w:rPr>
            </w:pPr>
            <w:r w:rsidRPr="005571F4">
              <w:rPr>
                <w:rFonts w:ascii="Arial" w:hAnsi="Arial" w:cs="Arial"/>
                <w:sz w:val="20"/>
                <w:szCs w:val="20"/>
              </w:rPr>
              <w:t>Carbamazepine</w:t>
            </w:r>
          </w:p>
        </w:tc>
        <w:tc>
          <w:tcPr>
            <w:tcW w:w="2551" w:type="dxa"/>
            <w:vAlign w:val="center"/>
          </w:tcPr>
          <w:p w:rsidR="00386381" w:rsidRPr="005571F4" w:rsidRDefault="00386381" w:rsidP="00386381">
            <w:pPr>
              <w:rPr>
                <w:rFonts w:ascii="Arial" w:hAnsi="Arial" w:cs="Arial"/>
                <w:sz w:val="20"/>
                <w:szCs w:val="20"/>
              </w:rPr>
            </w:pPr>
            <w:r w:rsidRPr="005571F4">
              <w:rPr>
                <w:rFonts w:ascii="Arial" w:hAnsi="Arial" w:cs="Arial"/>
                <w:sz w:val="20"/>
                <w:szCs w:val="20"/>
              </w:rPr>
              <w:t>A*31:01</w:t>
            </w:r>
          </w:p>
        </w:tc>
        <w:tc>
          <w:tcPr>
            <w:tcW w:w="1587" w:type="dxa"/>
            <w:vAlign w:val="center"/>
          </w:tcPr>
          <w:p w:rsidR="00386381" w:rsidRPr="005571F4" w:rsidRDefault="00386381" w:rsidP="00386381">
            <w:pPr>
              <w:rPr>
                <w:rFonts w:ascii="Arial" w:hAnsi="Arial" w:cs="Arial"/>
                <w:sz w:val="20"/>
                <w:szCs w:val="20"/>
              </w:rPr>
            </w:pPr>
            <w:r>
              <w:rPr>
                <w:rFonts w:ascii="Arial" w:hAnsi="Arial" w:cs="Arial"/>
                <w:sz w:val="20"/>
                <w:szCs w:val="20"/>
              </w:rPr>
              <w:t>53</w:t>
            </w:r>
          </w:p>
        </w:tc>
        <w:tc>
          <w:tcPr>
            <w:tcW w:w="1713" w:type="dxa"/>
            <w:vAlign w:val="center"/>
          </w:tcPr>
          <w:p w:rsidR="00386381" w:rsidRPr="005571F4" w:rsidRDefault="00386381" w:rsidP="00386381">
            <w:pPr>
              <w:rPr>
                <w:rFonts w:ascii="Arial" w:hAnsi="Arial" w:cs="Arial"/>
                <w:sz w:val="20"/>
                <w:szCs w:val="20"/>
              </w:rPr>
            </w:pPr>
            <w:r>
              <w:rPr>
                <w:rFonts w:ascii="Arial" w:hAnsi="Arial" w:cs="Arial"/>
                <w:sz w:val="20"/>
                <w:szCs w:val="20"/>
              </w:rPr>
              <w:t>0</w:t>
            </w:r>
          </w:p>
        </w:tc>
      </w:tr>
      <w:tr w:rsidR="00386381" w:rsidRPr="005571F4" w:rsidTr="00386381">
        <w:trPr>
          <w:trHeight w:val="283"/>
        </w:trPr>
        <w:tc>
          <w:tcPr>
            <w:tcW w:w="1628" w:type="dxa"/>
            <w:vMerge/>
            <w:vAlign w:val="center"/>
          </w:tcPr>
          <w:p w:rsidR="00386381" w:rsidRPr="005571F4" w:rsidRDefault="00386381" w:rsidP="00386381">
            <w:pPr>
              <w:rPr>
                <w:rFonts w:ascii="Arial" w:hAnsi="Arial" w:cs="Arial"/>
                <w:sz w:val="20"/>
                <w:szCs w:val="20"/>
              </w:rPr>
            </w:pPr>
          </w:p>
        </w:tc>
        <w:tc>
          <w:tcPr>
            <w:tcW w:w="2551" w:type="dxa"/>
            <w:vAlign w:val="center"/>
          </w:tcPr>
          <w:p w:rsidR="00386381" w:rsidRPr="005571F4" w:rsidRDefault="00386381" w:rsidP="00386381">
            <w:pPr>
              <w:rPr>
                <w:rFonts w:ascii="Arial" w:hAnsi="Arial" w:cs="Arial"/>
                <w:sz w:val="20"/>
                <w:szCs w:val="20"/>
              </w:rPr>
            </w:pPr>
            <w:r w:rsidRPr="005571F4">
              <w:rPr>
                <w:rFonts w:ascii="Arial" w:hAnsi="Arial" w:cs="Arial"/>
                <w:sz w:val="20"/>
                <w:szCs w:val="20"/>
              </w:rPr>
              <w:t>B*15:02</w:t>
            </w:r>
          </w:p>
        </w:tc>
        <w:tc>
          <w:tcPr>
            <w:tcW w:w="1587" w:type="dxa"/>
            <w:vAlign w:val="center"/>
          </w:tcPr>
          <w:p w:rsidR="00386381" w:rsidRPr="005571F4" w:rsidRDefault="00386381" w:rsidP="00386381">
            <w:pPr>
              <w:rPr>
                <w:rFonts w:ascii="Arial" w:hAnsi="Arial" w:cs="Arial"/>
                <w:sz w:val="20"/>
                <w:szCs w:val="20"/>
              </w:rPr>
            </w:pPr>
            <w:r>
              <w:rPr>
                <w:rFonts w:ascii="Arial" w:hAnsi="Arial" w:cs="Arial"/>
                <w:sz w:val="20"/>
                <w:szCs w:val="20"/>
              </w:rPr>
              <w:t>11</w:t>
            </w:r>
          </w:p>
        </w:tc>
        <w:tc>
          <w:tcPr>
            <w:tcW w:w="1713" w:type="dxa"/>
            <w:vAlign w:val="center"/>
          </w:tcPr>
          <w:p w:rsidR="00386381" w:rsidRPr="005571F4" w:rsidRDefault="00386381" w:rsidP="00386381">
            <w:pPr>
              <w:rPr>
                <w:rFonts w:ascii="Arial" w:hAnsi="Arial" w:cs="Arial"/>
                <w:sz w:val="20"/>
                <w:szCs w:val="20"/>
              </w:rPr>
            </w:pPr>
            <w:r>
              <w:rPr>
                <w:rFonts w:ascii="Arial" w:hAnsi="Arial" w:cs="Arial"/>
                <w:sz w:val="20"/>
                <w:szCs w:val="20"/>
              </w:rPr>
              <w:t>0</w:t>
            </w:r>
          </w:p>
        </w:tc>
      </w:tr>
      <w:tr w:rsidR="00386381" w:rsidRPr="005571F4" w:rsidTr="00386381">
        <w:trPr>
          <w:trHeight w:val="283"/>
        </w:trPr>
        <w:tc>
          <w:tcPr>
            <w:tcW w:w="1628" w:type="dxa"/>
            <w:vAlign w:val="center"/>
          </w:tcPr>
          <w:p w:rsidR="00386381" w:rsidRPr="005571F4" w:rsidRDefault="00386381" w:rsidP="00386381">
            <w:pPr>
              <w:rPr>
                <w:rFonts w:ascii="Arial" w:hAnsi="Arial" w:cs="Arial"/>
                <w:sz w:val="20"/>
                <w:szCs w:val="20"/>
              </w:rPr>
            </w:pPr>
            <w:proofErr w:type="spellStart"/>
            <w:r w:rsidRPr="005571F4">
              <w:rPr>
                <w:rFonts w:ascii="Arial" w:hAnsi="Arial" w:cs="Arial"/>
                <w:sz w:val="20"/>
                <w:szCs w:val="20"/>
              </w:rPr>
              <w:t>Ticlopidine</w:t>
            </w:r>
            <w:proofErr w:type="spellEnd"/>
          </w:p>
        </w:tc>
        <w:tc>
          <w:tcPr>
            <w:tcW w:w="2551" w:type="dxa"/>
            <w:vAlign w:val="center"/>
          </w:tcPr>
          <w:p w:rsidR="00386381" w:rsidRPr="005571F4" w:rsidRDefault="00386381" w:rsidP="00386381">
            <w:pPr>
              <w:rPr>
                <w:rFonts w:ascii="Arial" w:hAnsi="Arial" w:cs="Arial"/>
                <w:sz w:val="20"/>
                <w:szCs w:val="20"/>
              </w:rPr>
            </w:pPr>
            <w:r>
              <w:rPr>
                <w:rFonts w:ascii="Arial" w:hAnsi="Arial" w:cs="Arial"/>
                <w:sz w:val="20"/>
                <w:szCs w:val="20"/>
              </w:rPr>
              <w:t>A*33:03</w:t>
            </w:r>
          </w:p>
        </w:tc>
        <w:tc>
          <w:tcPr>
            <w:tcW w:w="1587" w:type="dxa"/>
            <w:vAlign w:val="center"/>
          </w:tcPr>
          <w:p w:rsidR="00386381" w:rsidRPr="005571F4" w:rsidRDefault="00386381" w:rsidP="00386381">
            <w:pPr>
              <w:rPr>
                <w:rFonts w:ascii="Arial" w:hAnsi="Arial" w:cs="Arial"/>
                <w:sz w:val="20"/>
                <w:szCs w:val="20"/>
              </w:rPr>
            </w:pPr>
            <w:r>
              <w:rPr>
                <w:rFonts w:ascii="Arial" w:hAnsi="Arial" w:cs="Arial"/>
                <w:sz w:val="20"/>
                <w:szCs w:val="20"/>
              </w:rPr>
              <w:t>20</w:t>
            </w:r>
          </w:p>
        </w:tc>
        <w:tc>
          <w:tcPr>
            <w:tcW w:w="1713" w:type="dxa"/>
            <w:vAlign w:val="center"/>
          </w:tcPr>
          <w:p w:rsidR="00386381" w:rsidRPr="005571F4" w:rsidRDefault="00386381" w:rsidP="00386381">
            <w:pPr>
              <w:rPr>
                <w:rFonts w:ascii="Arial" w:hAnsi="Arial" w:cs="Arial"/>
                <w:sz w:val="20"/>
                <w:szCs w:val="20"/>
              </w:rPr>
            </w:pPr>
            <w:r>
              <w:rPr>
                <w:rFonts w:ascii="Arial" w:hAnsi="Arial" w:cs="Arial"/>
                <w:sz w:val="20"/>
                <w:szCs w:val="20"/>
              </w:rPr>
              <w:t>1</w:t>
            </w:r>
          </w:p>
        </w:tc>
      </w:tr>
      <w:tr w:rsidR="00386381" w:rsidRPr="005571F4" w:rsidTr="00386381">
        <w:trPr>
          <w:trHeight w:val="283"/>
        </w:trPr>
        <w:tc>
          <w:tcPr>
            <w:tcW w:w="1628" w:type="dxa"/>
            <w:vAlign w:val="center"/>
          </w:tcPr>
          <w:p w:rsidR="00386381" w:rsidRDefault="00386381" w:rsidP="00386381">
            <w:pPr>
              <w:rPr>
                <w:rFonts w:ascii="Arial" w:hAnsi="Arial" w:cs="Arial"/>
                <w:sz w:val="20"/>
                <w:szCs w:val="20"/>
              </w:rPr>
            </w:pPr>
            <w:proofErr w:type="spellStart"/>
            <w:r>
              <w:rPr>
                <w:rFonts w:ascii="Arial" w:hAnsi="Arial" w:cs="Arial"/>
                <w:sz w:val="20"/>
                <w:szCs w:val="20"/>
              </w:rPr>
              <w:t>Abacavir</w:t>
            </w:r>
            <w:proofErr w:type="spellEnd"/>
          </w:p>
          <w:p w:rsidR="00386381" w:rsidRPr="005571F4" w:rsidRDefault="00386381" w:rsidP="00386381">
            <w:pPr>
              <w:rPr>
                <w:rFonts w:ascii="Arial" w:hAnsi="Arial" w:cs="Arial"/>
                <w:sz w:val="20"/>
                <w:szCs w:val="20"/>
              </w:rPr>
            </w:pPr>
            <w:r w:rsidRPr="005571F4">
              <w:rPr>
                <w:rFonts w:ascii="Arial" w:hAnsi="Arial" w:cs="Arial"/>
                <w:sz w:val="20"/>
                <w:szCs w:val="20"/>
              </w:rPr>
              <w:t>Flucloxacillin</w:t>
            </w:r>
          </w:p>
        </w:tc>
        <w:tc>
          <w:tcPr>
            <w:tcW w:w="2551" w:type="dxa"/>
            <w:vAlign w:val="center"/>
          </w:tcPr>
          <w:p w:rsidR="00386381" w:rsidRPr="005571F4" w:rsidRDefault="00386381" w:rsidP="00386381">
            <w:pPr>
              <w:rPr>
                <w:rFonts w:ascii="Arial" w:hAnsi="Arial" w:cs="Arial"/>
                <w:sz w:val="20"/>
                <w:szCs w:val="20"/>
              </w:rPr>
            </w:pPr>
            <w:r w:rsidRPr="005571F4">
              <w:rPr>
                <w:rFonts w:ascii="Arial" w:hAnsi="Arial" w:cs="Arial"/>
                <w:sz w:val="20"/>
                <w:szCs w:val="20"/>
              </w:rPr>
              <w:t>B*57:01</w:t>
            </w:r>
          </w:p>
        </w:tc>
        <w:tc>
          <w:tcPr>
            <w:tcW w:w="1587" w:type="dxa"/>
            <w:vAlign w:val="center"/>
          </w:tcPr>
          <w:p w:rsidR="00386381" w:rsidRPr="005571F4" w:rsidRDefault="00386381" w:rsidP="00386381">
            <w:pPr>
              <w:rPr>
                <w:rFonts w:ascii="Arial" w:hAnsi="Arial" w:cs="Arial"/>
                <w:sz w:val="20"/>
                <w:szCs w:val="20"/>
              </w:rPr>
            </w:pPr>
            <w:r>
              <w:rPr>
                <w:rFonts w:ascii="Arial" w:hAnsi="Arial" w:cs="Arial"/>
                <w:sz w:val="20"/>
                <w:szCs w:val="20"/>
              </w:rPr>
              <w:t>71</w:t>
            </w:r>
          </w:p>
        </w:tc>
        <w:tc>
          <w:tcPr>
            <w:tcW w:w="1713" w:type="dxa"/>
            <w:vAlign w:val="center"/>
          </w:tcPr>
          <w:p w:rsidR="00386381" w:rsidRPr="005571F4" w:rsidRDefault="00386381" w:rsidP="00386381">
            <w:pPr>
              <w:rPr>
                <w:rFonts w:ascii="Arial" w:hAnsi="Arial" w:cs="Arial"/>
                <w:sz w:val="20"/>
                <w:szCs w:val="20"/>
              </w:rPr>
            </w:pPr>
            <w:r>
              <w:rPr>
                <w:rFonts w:ascii="Arial" w:hAnsi="Arial" w:cs="Arial"/>
                <w:sz w:val="20"/>
                <w:szCs w:val="20"/>
              </w:rPr>
              <w:t>3</w:t>
            </w:r>
          </w:p>
        </w:tc>
      </w:tr>
      <w:tr w:rsidR="00386381" w:rsidRPr="005571F4" w:rsidTr="00386381">
        <w:trPr>
          <w:trHeight w:val="283"/>
        </w:trPr>
        <w:tc>
          <w:tcPr>
            <w:tcW w:w="1628" w:type="dxa"/>
            <w:vAlign w:val="center"/>
          </w:tcPr>
          <w:p w:rsidR="00386381" w:rsidRPr="005571F4" w:rsidRDefault="00386381" w:rsidP="00386381">
            <w:pPr>
              <w:rPr>
                <w:rFonts w:ascii="Arial" w:hAnsi="Arial" w:cs="Arial"/>
                <w:sz w:val="20"/>
                <w:szCs w:val="20"/>
              </w:rPr>
            </w:pPr>
            <w:r w:rsidRPr="005571F4">
              <w:rPr>
                <w:rFonts w:ascii="Arial" w:hAnsi="Arial" w:cs="Arial"/>
                <w:sz w:val="20"/>
                <w:szCs w:val="20"/>
              </w:rPr>
              <w:t>Allopurinol</w:t>
            </w:r>
          </w:p>
        </w:tc>
        <w:tc>
          <w:tcPr>
            <w:tcW w:w="2551" w:type="dxa"/>
            <w:vAlign w:val="center"/>
          </w:tcPr>
          <w:p w:rsidR="00386381" w:rsidRPr="005571F4" w:rsidRDefault="00386381" w:rsidP="00386381">
            <w:pPr>
              <w:rPr>
                <w:rFonts w:ascii="Arial" w:hAnsi="Arial" w:cs="Arial"/>
                <w:sz w:val="20"/>
                <w:szCs w:val="20"/>
              </w:rPr>
            </w:pPr>
            <w:r w:rsidRPr="005571F4">
              <w:rPr>
                <w:rFonts w:ascii="Arial" w:hAnsi="Arial" w:cs="Arial"/>
                <w:sz w:val="20"/>
                <w:szCs w:val="20"/>
              </w:rPr>
              <w:t>B*58:01</w:t>
            </w:r>
          </w:p>
        </w:tc>
        <w:tc>
          <w:tcPr>
            <w:tcW w:w="1587" w:type="dxa"/>
            <w:vAlign w:val="center"/>
          </w:tcPr>
          <w:p w:rsidR="00386381" w:rsidRPr="005571F4" w:rsidRDefault="00386381" w:rsidP="00386381">
            <w:pPr>
              <w:rPr>
                <w:rFonts w:ascii="Arial" w:hAnsi="Arial" w:cs="Arial"/>
                <w:sz w:val="20"/>
                <w:szCs w:val="20"/>
              </w:rPr>
            </w:pPr>
            <w:r>
              <w:rPr>
                <w:rFonts w:ascii="Arial" w:hAnsi="Arial" w:cs="Arial"/>
                <w:sz w:val="20"/>
                <w:szCs w:val="20"/>
              </w:rPr>
              <w:t>18</w:t>
            </w:r>
          </w:p>
        </w:tc>
        <w:tc>
          <w:tcPr>
            <w:tcW w:w="1713" w:type="dxa"/>
            <w:vAlign w:val="center"/>
          </w:tcPr>
          <w:p w:rsidR="00386381" w:rsidRPr="005571F4" w:rsidRDefault="00386381" w:rsidP="00386381">
            <w:pPr>
              <w:rPr>
                <w:rFonts w:ascii="Arial" w:hAnsi="Arial" w:cs="Arial"/>
                <w:sz w:val="20"/>
                <w:szCs w:val="20"/>
              </w:rPr>
            </w:pPr>
            <w:r>
              <w:rPr>
                <w:rFonts w:ascii="Arial" w:hAnsi="Arial" w:cs="Arial"/>
                <w:sz w:val="20"/>
                <w:szCs w:val="20"/>
              </w:rPr>
              <w:t>0</w:t>
            </w:r>
          </w:p>
        </w:tc>
      </w:tr>
      <w:tr w:rsidR="00386381" w:rsidRPr="005571F4" w:rsidTr="00386381">
        <w:trPr>
          <w:trHeight w:val="283"/>
        </w:trPr>
        <w:tc>
          <w:tcPr>
            <w:tcW w:w="1628" w:type="dxa"/>
            <w:vAlign w:val="center"/>
          </w:tcPr>
          <w:p w:rsidR="00386381" w:rsidRPr="005571F4" w:rsidRDefault="00386381" w:rsidP="00386381">
            <w:pPr>
              <w:rPr>
                <w:rFonts w:ascii="Arial" w:hAnsi="Arial" w:cs="Arial"/>
                <w:sz w:val="20"/>
                <w:szCs w:val="20"/>
              </w:rPr>
            </w:pPr>
            <w:proofErr w:type="spellStart"/>
            <w:r w:rsidRPr="005571F4">
              <w:rPr>
                <w:rFonts w:ascii="Arial" w:hAnsi="Arial" w:cs="Arial"/>
                <w:sz w:val="20"/>
                <w:szCs w:val="20"/>
              </w:rPr>
              <w:t>Ximelagatran</w:t>
            </w:r>
            <w:proofErr w:type="spellEnd"/>
          </w:p>
          <w:p w:rsidR="00386381" w:rsidRPr="005571F4" w:rsidRDefault="00386381" w:rsidP="00386381">
            <w:pPr>
              <w:rPr>
                <w:rFonts w:ascii="Arial" w:hAnsi="Arial" w:cs="Arial"/>
                <w:sz w:val="20"/>
                <w:szCs w:val="20"/>
              </w:rPr>
            </w:pPr>
            <w:proofErr w:type="spellStart"/>
            <w:r w:rsidRPr="005571F4">
              <w:rPr>
                <w:rFonts w:ascii="Arial" w:hAnsi="Arial" w:cs="Arial"/>
                <w:sz w:val="20"/>
                <w:szCs w:val="20"/>
              </w:rPr>
              <w:t>Lap</w:t>
            </w:r>
            <w:r>
              <w:rPr>
                <w:rFonts w:ascii="Arial" w:hAnsi="Arial" w:cs="Arial"/>
                <w:sz w:val="20"/>
                <w:szCs w:val="20"/>
              </w:rPr>
              <w:t>a</w:t>
            </w:r>
            <w:r w:rsidRPr="005571F4">
              <w:rPr>
                <w:rFonts w:ascii="Arial" w:hAnsi="Arial" w:cs="Arial"/>
                <w:sz w:val="20"/>
                <w:szCs w:val="20"/>
              </w:rPr>
              <w:t>tinib</w:t>
            </w:r>
            <w:proofErr w:type="spellEnd"/>
          </w:p>
        </w:tc>
        <w:tc>
          <w:tcPr>
            <w:tcW w:w="2551" w:type="dxa"/>
            <w:vAlign w:val="center"/>
          </w:tcPr>
          <w:p w:rsidR="00386381" w:rsidRPr="005571F4" w:rsidRDefault="00386381" w:rsidP="00386381">
            <w:pPr>
              <w:rPr>
                <w:rFonts w:ascii="Arial" w:hAnsi="Arial" w:cs="Arial"/>
                <w:sz w:val="20"/>
                <w:szCs w:val="20"/>
              </w:rPr>
            </w:pPr>
            <w:r w:rsidRPr="005571F4">
              <w:rPr>
                <w:rFonts w:ascii="Arial" w:hAnsi="Arial" w:cs="Arial"/>
                <w:sz w:val="20"/>
                <w:szCs w:val="20"/>
              </w:rPr>
              <w:t>DRB1*07:01/DQA1*02:01</w:t>
            </w:r>
          </w:p>
        </w:tc>
        <w:tc>
          <w:tcPr>
            <w:tcW w:w="1587" w:type="dxa"/>
            <w:vAlign w:val="center"/>
          </w:tcPr>
          <w:p w:rsidR="00386381" w:rsidRPr="005571F4" w:rsidRDefault="00386381" w:rsidP="00386381">
            <w:pPr>
              <w:rPr>
                <w:rFonts w:ascii="Arial" w:hAnsi="Arial" w:cs="Arial"/>
                <w:sz w:val="20"/>
                <w:szCs w:val="20"/>
              </w:rPr>
            </w:pPr>
            <w:r>
              <w:rPr>
                <w:rFonts w:ascii="Arial" w:hAnsi="Arial" w:cs="Arial"/>
                <w:sz w:val="20"/>
                <w:szCs w:val="20"/>
              </w:rPr>
              <w:t>142</w:t>
            </w:r>
          </w:p>
        </w:tc>
        <w:tc>
          <w:tcPr>
            <w:tcW w:w="1713" w:type="dxa"/>
            <w:vAlign w:val="center"/>
          </w:tcPr>
          <w:p w:rsidR="00386381" w:rsidRPr="005571F4" w:rsidRDefault="00386381" w:rsidP="00386381">
            <w:pPr>
              <w:rPr>
                <w:rFonts w:ascii="Arial" w:hAnsi="Arial" w:cs="Arial"/>
                <w:sz w:val="20"/>
                <w:szCs w:val="20"/>
              </w:rPr>
            </w:pPr>
            <w:r>
              <w:rPr>
                <w:rFonts w:ascii="Arial" w:hAnsi="Arial" w:cs="Arial"/>
                <w:sz w:val="20"/>
                <w:szCs w:val="20"/>
              </w:rPr>
              <w:t>16 (both alleles)</w:t>
            </w:r>
          </w:p>
        </w:tc>
      </w:tr>
      <w:tr w:rsidR="00386381" w:rsidRPr="005571F4" w:rsidTr="00386381">
        <w:trPr>
          <w:trHeight w:val="283"/>
        </w:trPr>
        <w:tc>
          <w:tcPr>
            <w:tcW w:w="1628" w:type="dxa"/>
            <w:vAlign w:val="center"/>
          </w:tcPr>
          <w:p w:rsidR="00386381" w:rsidRPr="005571F4" w:rsidRDefault="00386381" w:rsidP="00386381">
            <w:pPr>
              <w:rPr>
                <w:rFonts w:ascii="Arial" w:hAnsi="Arial" w:cs="Arial"/>
                <w:sz w:val="20"/>
                <w:szCs w:val="20"/>
              </w:rPr>
            </w:pPr>
            <w:r w:rsidRPr="005571F4">
              <w:rPr>
                <w:rFonts w:ascii="Arial" w:hAnsi="Arial" w:cs="Arial"/>
                <w:sz w:val="20"/>
                <w:szCs w:val="20"/>
              </w:rPr>
              <w:t>Co-</w:t>
            </w:r>
            <w:proofErr w:type="spellStart"/>
            <w:r w:rsidRPr="005571F4">
              <w:rPr>
                <w:rFonts w:ascii="Arial" w:hAnsi="Arial" w:cs="Arial"/>
                <w:sz w:val="20"/>
                <w:szCs w:val="20"/>
              </w:rPr>
              <w:t>amoxiclav</w:t>
            </w:r>
            <w:proofErr w:type="spellEnd"/>
          </w:p>
          <w:p w:rsidR="00386381" w:rsidRPr="005571F4" w:rsidRDefault="00386381" w:rsidP="00386381">
            <w:pPr>
              <w:rPr>
                <w:rFonts w:ascii="Arial" w:hAnsi="Arial" w:cs="Arial"/>
                <w:sz w:val="20"/>
                <w:szCs w:val="20"/>
              </w:rPr>
            </w:pPr>
            <w:proofErr w:type="spellStart"/>
            <w:r w:rsidRPr="005571F4">
              <w:rPr>
                <w:rFonts w:ascii="Arial" w:hAnsi="Arial" w:cs="Arial"/>
                <w:sz w:val="20"/>
                <w:szCs w:val="20"/>
              </w:rPr>
              <w:t>Lumiracoxib</w:t>
            </w:r>
            <w:proofErr w:type="spellEnd"/>
          </w:p>
        </w:tc>
        <w:tc>
          <w:tcPr>
            <w:tcW w:w="2551" w:type="dxa"/>
            <w:vAlign w:val="center"/>
          </w:tcPr>
          <w:p w:rsidR="00386381" w:rsidRPr="005571F4" w:rsidRDefault="00386381" w:rsidP="00386381">
            <w:pPr>
              <w:rPr>
                <w:rFonts w:ascii="Arial" w:hAnsi="Arial" w:cs="Arial"/>
                <w:sz w:val="20"/>
                <w:szCs w:val="20"/>
              </w:rPr>
            </w:pPr>
            <w:r w:rsidRPr="005571F4">
              <w:rPr>
                <w:rFonts w:ascii="Arial" w:hAnsi="Arial" w:cs="Arial"/>
                <w:sz w:val="20"/>
                <w:szCs w:val="20"/>
              </w:rPr>
              <w:t>DRB1*15:01/DQB</w:t>
            </w:r>
            <w:r>
              <w:rPr>
                <w:rFonts w:ascii="Arial" w:hAnsi="Arial" w:cs="Arial"/>
                <w:sz w:val="20"/>
                <w:szCs w:val="20"/>
              </w:rPr>
              <w:t>1</w:t>
            </w:r>
            <w:r w:rsidRPr="005571F4">
              <w:rPr>
                <w:rFonts w:ascii="Arial" w:hAnsi="Arial" w:cs="Arial"/>
                <w:sz w:val="20"/>
                <w:szCs w:val="20"/>
              </w:rPr>
              <w:t>*06:02</w:t>
            </w:r>
          </w:p>
        </w:tc>
        <w:tc>
          <w:tcPr>
            <w:tcW w:w="1587" w:type="dxa"/>
            <w:vAlign w:val="center"/>
          </w:tcPr>
          <w:p w:rsidR="00386381" w:rsidRPr="005571F4" w:rsidRDefault="00386381" w:rsidP="00386381">
            <w:pPr>
              <w:rPr>
                <w:rFonts w:ascii="Arial" w:hAnsi="Arial" w:cs="Arial"/>
                <w:sz w:val="20"/>
                <w:szCs w:val="20"/>
              </w:rPr>
            </w:pPr>
            <w:r>
              <w:rPr>
                <w:rFonts w:ascii="Arial" w:hAnsi="Arial" w:cs="Arial"/>
                <w:sz w:val="20"/>
                <w:szCs w:val="20"/>
              </w:rPr>
              <w:t>238</w:t>
            </w:r>
          </w:p>
        </w:tc>
        <w:tc>
          <w:tcPr>
            <w:tcW w:w="1713" w:type="dxa"/>
            <w:vAlign w:val="center"/>
          </w:tcPr>
          <w:p w:rsidR="00386381" w:rsidRPr="005571F4" w:rsidRDefault="00386381" w:rsidP="00386381">
            <w:pPr>
              <w:rPr>
                <w:rFonts w:ascii="Arial" w:hAnsi="Arial" w:cs="Arial"/>
                <w:sz w:val="20"/>
                <w:szCs w:val="20"/>
              </w:rPr>
            </w:pPr>
            <w:r>
              <w:rPr>
                <w:rFonts w:ascii="Arial" w:hAnsi="Arial" w:cs="Arial"/>
                <w:sz w:val="20"/>
                <w:szCs w:val="20"/>
              </w:rPr>
              <w:t>22 (both alleles)</w:t>
            </w:r>
          </w:p>
        </w:tc>
      </w:tr>
    </w:tbl>
    <w:p w:rsidR="00386381" w:rsidRDefault="00386381" w:rsidP="00386381"/>
    <w:p w:rsidR="00386381" w:rsidRDefault="00386381" w:rsidP="00386381">
      <w:r>
        <w:br w:type="page"/>
      </w:r>
    </w:p>
    <w:p w:rsidR="00386381" w:rsidRDefault="00386381" w:rsidP="00386381"/>
    <w:tbl>
      <w:tblPr>
        <w:tblStyle w:val="TableGrid"/>
        <w:tblW w:w="0" w:type="auto"/>
        <w:jc w:val="center"/>
        <w:tblLook w:val="04A0" w:firstRow="1" w:lastRow="0" w:firstColumn="1" w:lastColumn="0" w:noHBand="0" w:noVBand="1"/>
      </w:tblPr>
      <w:tblGrid>
        <w:gridCol w:w="1284"/>
        <w:gridCol w:w="1217"/>
        <w:gridCol w:w="1395"/>
        <w:gridCol w:w="1528"/>
      </w:tblGrid>
      <w:tr w:rsidR="00386381" w:rsidRPr="00B0386C" w:rsidTr="00386381">
        <w:trPr>
          <w:trHeight w:val="300"/>
          <w:jc w:val="center"/>
        </w:trPr>
        <w:tc>
          <w:tcPr>
            <w:tcW w:w="0" w:type="auto"/>
            <w:gridSpan w:val="4"/>
            <w:noWrap/>
            <w:vAlign w:val="center"/>
          </w:tcPr>
          <w:p w:rsidR="00386381" w:rsidRPr="00B0386C" w:rsidRDefault="00386381" w:rsidP="00386381">
            <w:pPr>
              <w:jc w:val="center"/>
              <w:rPr>
                <w:rFonts w:ascii="Arial" w:eastAsia="Times New Roman" w:hAnsi="Arial" w:cs="Arial"/>
                <w:b/>
                <w:color w:val="000000"/>
                <w:sz w:val="20"/>
                <w:szCs w:val="20"/>
                <w:lang w:eastAsia="en-GB"/>
              </w:rPr>
            </w:pPr>
            <w:r w:rsidRPr="00B0386C">
              <w:rPr>
                <w:rFonts w:ascii="Arial" w:eastAsia="Times New Roman" w:hAnsi="Arial" w:cs="Arial"/>
                <w:b/>
                <w:color w:val="000000"/>
                <w:sz w:val="20"/>
                <w:szCs w:val="20"/>
                <w:lang w:eastAsia="en-GB"/>
              </w:rPr>
              <w:t xml:space="preserve">Table </w:t>
            </w:r>
            <w:r>
              <w:rPr>
                <w:rFonts w:ascii="Arial" w:eastAsia="Times New Roman" w:hAnsi="Arial" w:cs="Arial"/>
                <w:b/>
                <w:color w:val="000000"/>
                <w:sz w:val="20"/>
                <w:szCs w:val="20"/>
                <w:lang w:eastAsia="en-GB"/>
              </w:rPr>
              <w:t>2</w:t>
            </w:r>
            <w:r w:rsidRPr="00B0386C">
              <w:rPr>
                <w:rFonts w:ascii="Arial" w:eastAsia="Times New Roman" w:hAnsi="Arial" w:cs="Arial"/>
                <w:b/>
                <w:color w:val="000000"/>
                <w:sz w:val="20"/>
                <w:szCs w:val="20"/>
                <w:lang w:eastAsia="en-GB"/>
              </w:rPr>
              <w:t>. SMX-NO assays</w:t>
            </w:r>
          </w:p>
        </w:tc>
      </w:tr>
      <w:tr w:rsidR="00386381" w:rsidRPr="00121D33" w:rsidTr="00386381">
        <w:trPr>
          <w:trHeight w:val="300"/>
          <w:jc w:val="center"/>
        </w:trPr>
        <w:tc>
          <w:tcPr>
            <w:tcW w:w="0" w:type="auto"/>
            <w:gridSpan w:val="2"/>
            <w:noWrap/>
            <w:vAlign w:val="center"/>
          </w:tcPr>
          <w:p w:rsidR="00386381" w:rsidRPr="00121D33" w:rsidRDefault="00386381" w:rsidP="00386381">
            <w:pPr>
              <w:jc w:val="center"/>
              <w:rPr>
                <w:rFonts w:ascii="Arial" w:eastAsia="Times New Roman" w:hAnsi="Arial" w:cs="Arial"/>
                <w:b/>
                <w:color w:val="000000"/>
                <w:sz w:val="20"/>
                <w:szCs w:val="20"/>
                <w:lang w:eastAsia="en-GB"/>
              </w:rPr>
            </w:pPr>
          </w:p>
        </w:tc>
        <w:tc>
          <w:tcPr>
            <w:tcW w:w="0" w:type="auto"/>
            <w:vAlign w:val="bottom"/>
          </w:tcPr>
          <w:p w:rsidR="00386381" w:rsidRPr="003C1644" w:rsidRDefault="00386381" w:rsidP="00386381">
            <w:pPr>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Response</w:t>
            </w:r>
          </w:p>
        </w:tc>
        <w:tc>
          <w:tcPr>
            <w:tcW w:w="0" w:type="auto"/>
            <w:noWrap/>
            <w:vAlign w:val="center"/>
          </w:tcPr>
          <w:p w:rsidR="00386381" w:rsidRPr="00121D33" w:rsidRDefault="00386381" w:rsidP="00386381">
            <w:pPr>
              <w:jc w:val="center"/>
              <w:rPr>
                <w:rFonts w:ascii="Calibri" w:eastAsia="Times New Roman" w:hAnsi="Calibri" w:cs="Times New Roman"/>
                <w:color w:val="000000"/>
                <w:lang w:eastAsia="en-GB"/>
              </w:rPr>
            </w:pPr>
            <w:r>
              <w:rPr>
                <w:rFonts w:ascii="Arial" w:eastAsia="Times New Roman" w:hAnsi="Arial" w:cs="Arial"/>
                <w:b/>
                <w:color w:val="000000"/>
                <w:sz w:val="20"/>
                <w:szCs w:val="20"/>
                <w:lang w:eastAsia="en-GB"/>
              </w:rPr>
              <w:t>Number</w:t>
            </w:r>
          </w:p>
        </w:tc>
      </w:tr>
      <w:tr w:rsidR="00386381" w:rsidRPr="00121D33" w:rsidTr="00386381">
        <w:trPr>
          <w:trHeight w:val="300"/>
          <w:jc w:val="center"/>
        </w:trPr>
        <w:tc>
          <w:tcPr>
            <w:tcW w:w="0" w:type="auto"/>
            <w:vMerge w:val="restart"/>
            <w:noWrap/>
            <w:vAlign w:val="center"/>
            <w:hideMark/>
          </w:tcPr>
          <w:p w:rsidR="00386381" w:rsidRPr="00B0386C" w:rsidRDefault="00386381" w:rsidP="00386381">
            <w:pPr>
              <w:rPr>
                <w:rFonts w:ascii="Arial" w:eastAsia="Times New Roman" w:hAnsi="Arial" w:cs="Arial"/>
                <w:color w:val="000000"/>
                <w:sz w:val="20"/>
                <w:szCs w:val="20"/>
                <w:lang w:eastAsia="en-GB"/>
              </w:rPr>
            </w:pPr>
            <w:r w:rsidRPr="00B0386C">
              <w:rPr>
                <w:rFonts w:ascii="Arial" w:eastAsia="Times New Roman" w:hAnsi="Arial" w:cs="Arial"/>
                <w:color w:val="000000"/>
                <w:sz w:val="20"/>
                <w:szCs w:val="20"/>
                <w:lang w:eastAsia="en-GB"/>
              </w:rPr>
              <w:t>Proliferation</w:t>
            </w:r>
          </w:p>
        </w:tc>
        <w:tc>
          <w:tcPr>
            <w:tcW w:w="0" w:type="auto"/>
            <w:vMerge w:val="restart"/>
            <w:noWrap/>
            <w:vAlign w:val="center"/>
            <w:hideMark/>
          </w:tcPr>
          <w:p w:rsidR="00386381" w:rsidRPr="00121D33" w:rsidRDefault="00386381" w:rsidP="00386381">
            <w:pPr>
              <w:jc w:val="center"/>
              <w:rPr>
                <w:rFonts w:ascii="Arial" w:eastAsia="Times New Roman" w:hAnsi="Arial" w:cs="Arial"/>
                <w:b/>
                <w:color w:val="000000"/>
                <w:sz w:val="20"/>
                <w:szCs w:val="20"/>
                <w:lang w:eastAsia="en-GB"/>
              </w:rPr>
            </w:pPr>
            <w:r w:rsidRPr="00121D33">
              <w:rPr>
                <w:rFonts w:ascii="Arial" w:eastAsia="Times New Roman" w:hAnsi="Arial" w:cs="Arial"/>
                <w:b/>
                <w:color w:val="000000"/>
                <w:sz w:val="20"/>
                <w:szCs w:val="20"/>
                <w:lang w:eastAsia="en-GB"/>
              </w:rPr>
              <w:t>Thymidine</w:t>
            </w:r>
          </w:p>
        </w:tc>
        <w:tc>
          <w:tcPr>
            <w:tcW w:w="0" w:type="auto"/>
            <w:vAlign w:val="bottom"/>
          </w:tcPr>
          <w:p w:rsidR="00386381" w:rsidRPr="00B0386C" w:rsidRDefault="00386381" w:rsidP="0038638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0" w:type="auto"/>
            <w:noWrap/>
            <w:vAlign w:val="center"/>
            <w:hideMark/>
          </w:tcPr>
          <w:p w:rsidR="00386381" w:rsidRPr="00121D33" w:rsidRDefault="00386381" w:rsidP="00386381">
            <w:pPr>
              <w:jc w:val="center"/>
              <w:rPr>
                <w:rFonts w:ascii="Calibri" w:eastAsia="Times New Roman" w:hAnsi="Calibri" w:cs="Times New Roman"/>
                <w:color w:val="000000"/>
                <w:lang w:eastAsia="en-GB"/>
              </w:rPr>
            </w:pPr>
            <w:r w:rsidRPr="00121D33">
              <w:rPr>
                <w:rFonts w:ascii="Calibri" w:eastAsia="Times New Roman" w:hAnsi="Calibri" w:cs="Times New Roman"/>
                <w:color w:val="000000"/>
                <w:lang w:eastAsia="en-GB"/>
              </w:rPr>
              <w:t>2</w:t>
            </w:r>
          </w:p>
        </w:tc>
      </w:tr>
      <w:tr w:rsidR="00386381" w:rsidRPr="00121D33" w:rsidTr="00386381">
        <w:trPr>
          <w:trHeight w:val="300"/>
          <w:jc w:val="center"/>
        </w:trPr>
        <w:tc>
          <w:tcPr>
            <w:tcW w:w="0" w:type="auto"/>
            <w:vMerge/>
            <w:noWrap/>
            <w:vAlign w:val="center"/>
          </w:tcPr>
          <w:p w:rsidR="00386381" w:rsidRPr="00B0386C" w:rsidRDefault="00386381" w:rsidP="00386381">
            <w:pPr>
              <w:rPr>
                <w:rFonts w:ascii="Arial" w:eastAsia="Times New Roman" w:hAnsi="Arial" w:cs="Arial"/>
                <w:color w:val="000000"/>
                <w:sz w:val="20"/>
                <w:szCs w:val="20"/>
                <w:lang w:eastAsia="en-GB"/>
              </w:rPr>
            </w:pPr>
          </w:p>
        </w:tc>
        <w:tc>
          <w:tcPr>
            <w:tcW w:w="0" w:type="auto"/>
            <w:vMerge/>
            <w:noWrap/>
            <w:vAlign w:val="center"/>
          </w:tcPr>
          <w:p w:rsidR="00386381" w:rsidRPr="00B0386C" w:rsidRDefault="00386381" w:rsidP="00386381">
            <w:pPr>
              <w:jc w:val="center"/>
              <w:rPr>
                <w:rFonts w:ascii="Arial" w:eastAsia="Times New Roman" w:hAnsi="Arial" w:cs="Arial"/>
                <w:color w:val="000000"/>
                <w:sz w:val="20"/>
                <w:szCs w:val="20"/>
                <w:lang w:eastAsia="en-GB"/>
              </w:rPr>
            </w:pPr>
          </w:p>
        </w:tc>
        <w:tc>
          <w:tcPr>
            <w:tcW w:w="0" w:type="auto"/>
            <w:vAlign w:val="bottom"/>
          </w:tcPr>
          <w:p w:rsidR="00386381" w:rsidRPr="00B0386C" w:rsidRDefault="00386381" w:rsidP="0038638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0" w:type="auto"/>
            <w:noWrap/>
            <w:vAlign w:val="center"/>
          </w:tcPr>
          <w:p w:rsidR="00386381" w:rsidRPr="00121D33" w:rsidRDefault="00386381" w:rsidP="00386381">
            <w:pPr>
              <w:jc w:val="center"/>
              <w:rPr>
                <w:rFonts w:ascii="Calibri" w:eastAsia="Times New Roman" w:hAnsi="Calibri" w:cs="Times New Roman"/>
                <w:color w:val="000000"/>
                <w:lang w:eastAsia="en-GB"/>
              </w:rPr>
            </w:pPr>
            <w:r w:rsidRPr="00121D33">
              <w:rPr>
                <w:rFonts w:ascii="Calibri" w:eastAsia="Times New Roman" w:hAnsi="Calibri" w:cs="Times New Roman"/>
                <w:color w:val="000000"/>
                <w:lang w:eastAsia="en-GB"/>
              </w:rPr>
              <w:t>5</w:t>
            </w:r>
          </w:p>
        </w:tc>
      </w:tr>
      <w:tr w:rsidR="00386381" w:rsidRPr="00121D33" w:rsidTr="00386381">
        <w:trPr>
          <w:trHeight w:val="300"/>
          <w:jc w:val="center"/>
        </w:trPr>
        <w:tc>
          <w:tcPr>
            <w:tcW w:w="0" w:type="auto"/>
            <w:vMerge/>
            <w:noWrap/>
            <w:vAlign w:val="center"/>
          </w:tcPr>
          <w:p w:rsidR="00386381" w:rsidRPr="00B0386C" w:rsidRDefault="00386381" w:rsidP="00386381">
            <w:pPr>
              <w:rPr>
                <w:rFonts w:ascii="Arial" w:eastAsia="Times New Roman" w:hAnsi="Arial" w:cs="Arial"/>
                <w:color w:val="000000"/>
                <w:sz w:val="20"/>
                <w:szCs w:val="20"/>
                <w:lang w:eastAsia="en-GB"/>
              </w:rPr>
            </w:pPr>
          </w:p>
        </w:tc>
        <w:tc>
          <w:tcPr>
            <w:tcW w:w="0" w:type="auto"/>
            <w:vMerge/>
            <w:noWrap/>
            <w:vAlign w:val="center"/>
          </w:tcPr>
          <w:p w:rsidR="00386381" w:rsidRPr="00B0386C" w:rsidRDefault="00386381" w:rsidP="00386381">
            <w:pPr>
              <w:jc w:val="center"/>
              <w:rPr>
                <w:rFonts w:ascii="Arial" w:eastAsia="Times New Roman" w:hAnsi="Arial" w:cs="Arial"/>
                <w:color w:val="000000"/>
                <w:sz w:val="20"/>
                <w:szCs w:val="20"/>
                <w:lang w:eastAsia="en-GB"/>
              </w:rPr>
            </w:pPr>
          </w:p>
        </w:tc>
        <w:tc>
          <w:tcPr>
            <w:tcW w:w="0" w:type="auto"/>
            <w:vAlign w:val="bottom"/>
          </w:tcPr>
          <w:p w:rsidR="00386381" w:rsidRDefault="00386381" w:rsidP="0038638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0" w:type="auto"/>
            <w:noWrap/>
            <w:vAlign w:val="center"/>
          </w:tcPr>
          <w:p w:rsidR="00386381" w:rsidRPr="00121D33" w:rsidRDefault="00386381" w:rsidP="00386381">
            <w:pPr>
              <w:jc w:val="center"/>
              <w:rPr>
                <w:rFonts w:ascii="Calibri" w:eastAsia="Times New Roman" w:hAnsi="Calibri" w:cs="Times New Roman"/>
                <w:color w:val="000000"/>
                <w:lang w:eastAsia="en-GB"/>
              </w:rPr>
            </w:pPr>
            <w:r w:rsidRPr="00121D33">
              <w:rPr>
                <w:rFonts w:ascii="Calibri" w:eastAsia="Times New Roman" w:hAnsi="Calibri" w:cs="Times New Roman"/>
                <w:color w:val="000000"/>
                <w:lang w:eastAsia="en-GB"/>
              </w:rPr>
              <w:t>13</w:t>
            </w:r>
          </w:p>
        </w:tc>
      </w:tr>
      <w:tr w:rsidR="00386381" w:rsidRPr="00121D33" w:rsidTr="00386381">
        <w:trPr>
          <w:trHeight w:val="300"/>
          <w:jc w:val="center"/>
        </w:trPr>
        <w:tc>
          <w:tcPr>
            <w:tcW w:w="0" w:type="auto"/>
            <w:vMerge/>
            <w:noWrap/>
            <w:vAlign w:val="center"/>
          </w:tcPr>
          <w:p w:rsidR="00386381" w:rsidRPr="00B0386C" w:rsidRDefault="00386381" w:rsidP="00386381">
            <w:pPr>
              <w:rPr>
                <w:rFonts w:ascii="Arial" w:eastAsia="Times New Roman" w:hAnsi="Arial" w:cs="Arial"/>
                <w:color w:val="000000"/>
                <w:sz w:val="20"/>
                <w:szCs w:val="20"/>
                <w:lang w:eastAsia="en-GB"/>
              </w:rPr>
            </w:pPr>
          </w:p>
        </w:tc>
        <w:tc>
          <w:tcPr>
            <w:tcW w:w="0" w:type="auto"/>
            <w:vMerge/>
            <w:noWrap/>
            <w:vAlign w:val="center"/>
          </w:tcPr>
          <w:p w:rsidR="00386381" w:rsidRDefault="00386381" w:rsidP="00386381">
            <w:pPr>
              <w:jc w:val="center"/>
              <w:rPr>
                <w:rFonts w:ascii="Arial" w:eastAsia="Times New Roman" w:hAnsi="Arial" w:cs="Arial"/>
                <w:color w:val="000000"/>
                <w:sz w:val="20"/>
                <w:szCs w:val="20"/>
                <w:lang w:eastAsia="en-GB"/>
              </w:rPr>
            </w:pPr>
          </w:p>
        </w:tc>
        <w:tc>
          <w:tcPr>
            <w:tcW w:w="0" w:type="auto"/>
            <w:vAlign w:val="bottom"/>
          </w:tcPr>
          <w:p w:rsidR="00386381" w:rsidRPr="00B0386C" w:rsidRDefault="00386381" w:rsidP="0038638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0" w:type="auto"/>
            <w:noWrap/>
            <w:vAlign w:val="center"/>
          </w:tcPr>
          <w:p w:rsidR="00386381" w:rsidRPr="00121D33" w:rsidRDefault="00386381" w:rsidP="00386381">
            <w:pPr>
              <w:jc w:val="center"/>
              <w:rPr>
                <w:rFonts w:ascii="Calibri" w:eastAsia="Times New Roman" w:hAnsi="Calibri" w:cs="Times New Roman"/>
                <w:color w:val="000000"/>
                <w:lang w:eastAsia="en-GB"/>
              </w:rPr>
            </w:pPr>
            <w:r w:rsidRPr="00121D33">
              <w:rPr>
                <w:rFonts w:ascii="Calibri" w:eastAsia="Times New Roman" w:hAnsi="Calibri" w:cs="Times New Roman"/>
                <w:color w:val="000000"/>
                <w:lang w:eastAsia="en-GB"/>
              </w:rPr>
              <w:t>2</w:t>
            </w:r>
          </w:p>
        </w:tc>
      </w:tr>
      <w:tr w:rsidR="00386381" w:rsidRPr="00121D33" w:rsidTr="00386381">
        <w:trPr>
          <w:trHeight w:val="300"/>
          <w:jc w:val="center"/>
        </w:trPr>
        <w:tc>
          <w:tcPr>
            <w:tcW w:w="0" w:type="auto"/>
            <w:vMerge/>
            <w:noWrap/>
            <w:vAlign w:val="center"/>
          </w:tcPr>
          <w:p w:rsidR="00386381" w:rsidRPr="00B0386C" w:rsidRDefault="00386381" w:rsidP="00386381">
            <w:pPr>
              <w:rPr>
                <w:rFonts w:ascii="Arial" w:eastAsia="Times New Roman" w:hAnsi="Arial" w:cs="Arial"/>
                <w:color w:val="000000"/>
                <w:sz w:val="20"/>
                <w:szCs w:val="20"/>
                <w:lang w:eastAsia="en-GB"/>
              </w:rPr>
            </w:pPr>
          </w:p>
        </w:tc>
        <w:tc>
          <w:tcPr>
            <w:tcW w:w="0" w:type="auto"/>
            <w:vMerge/>
            <w:noWrap/>
            <w:vAlign w:val="center"/>
          </w:tcPr>
          <w:p w:rsidR="00386381" w:rsidRPr="00B0386C" w:rsidRDefault="00386381" w:rsidP="00386381">
            <w:pPr>
              <w:jc w:val="center"/>
              <w:rPr>
                <w:rFonts w:ascii="Arial" w:eastAsia="Times New Roman" w:hAnsi="Arial" w:cs="Arial"/>
                <w:color w:val="000000"/>
                <w:sz w:val="20"/>
                <w:szCs w:val="20"/>
                <w:lang w:eastAsia="en-GB"/>
              </w:rPr>
            </w:pPr>
          </w:p>
        </w:tc>
        <w:tc>
          <w:tcPr>
            <w:tcW w:w="0" w:type="auto"/>
            <w:vAlign w:val="bottom"/>
          </w:tcPr>
          <w:p w:rsidR="00386381" w:rsidRPr="00B0386C" w:rsidRDefault="00386381" w:rsidP="0038638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Total positive</w:t>
            </w:r>
          </w:p>
        </w:tc>
        <w:tc>
          <w:tcPr>
            <w:tcW w:w="0" w:type="auto"/>
            <w:noWrap/>
            <w:vAlign w:val="center"/>
          </w:tcPr>
          <w:p w:rsidR="00386381" w:rsidRPr="00121D33" w:rsidRDefault="00386381" w:rsidP="00386381">
            <w:pPr>
              <w:jc w:val="center"/>
              <w:rPr>
                <w:rFonts w:ascii="Calibri" w:eastAsia="Times New Roman" w:hAnsi="Calibri" w:cs="Times New Roman"/>
                <w:color w:val="000000"/>
                <w:lang w:eastAsia="en-GB"/>
              </w:rPr>
            </w:pPr>
            <w:r>
              <w:rPr>
                <w:rFonts w:ascii="Arial" w:eastAsia="Times New Roman" w:hAnsi="Arial" w:cs="Arial"/>
                <w:color w:val="000000"/>
                <w:sz w:val="20"/>
                <w:szCs w:val="20"/>
                <w:lang w:eastAsia="en-GB"/>
              </w:rPr>
              <w:t>18</w:t>
            </w:r>
            <w:r w:rsidRPr="00B0386C">
              <w:rPr>
                <w:rFonts w:ascii="Arial" w:eastAsia="Times New Roman" w:hAnsi="Arial" w:cs="Arial"/>
                <w:color w:val="000000"/>
                <w:sz w:val="20"/>
                <w:szCs w:val="20"/>
                <w:lang w:eastAsia="en-GB"/>
              </w:rPr>
              <w:t>/</w:t>
            </w:r>
            <w:proofErr w:type="gramStart"/>
            <w:r w:rsidRPr="00B0386C">
              <w:rPr>
                <w:rFonts w:ascii="Arial" w:eastAsia="Times New Roman" w:hAnsi="Arial" w:cs="Arial"/>
                <w:color w:val="000000"/>
                <w:sz w:val="20"/>
                <w:szCs w:val="20"/>
                <w:lang w:eastAsia="en-GB"/>
              </w:rPr>
              <w:t>22</w:t>
            </w:r>
            <w:r>
              <w:rPr>
                <w:rFonts w:ascii="Arial" w:eastAsia="Times New Roman" w:hAnsi="Arial" w:cs="Arial"/>
                <w:color w:val="000000"/>
                <w:sz w:val="20"/>
                <w:szCs w:val="20"/>
                <w:lang w:eastAsia="en-GB"/>
              </w:rPr>
              <w:t xml:space="preserve">  (</w:t>
            </w:r>
            <w:proofErr w:type="gramEnd"/>
            <w:r>
              <w:rPr>
                <w:rFonts w:ascii="Arial" w:eastAsia="Times New Roman" w:hAnsi="Arial" w:cs="Arial"/>
                <w:color w:val="000000"/>
                <w:sz w:val="20"/>
                <w:szCs w:val="20"/>
                <w:lang w:eastAsia="en-GB"/>
              </w:rPr>
              <w:t>81.8%)</w:t>
            </w:r>
          </w:p>
        </w:tc>
      </w:tr>
      <w:tr w:rsidR="00386381" w:rsidRPr="00121D33" w:rsidTr="00386381">
        <w:trPr>
          <w:trHeight w:val="300"/>
          <w:jc w:val="center"/>
        </w:trPr>
        <w:tc>
          <w:tcPr>
            <w:tcW w:w="0" w:type="auto"/>
            <w:vMerge/>
            <w:noWrap/>
            <w:vAlign w:val="center"/>
            <w:hideMark/>
          </w:tcPr>
          <w:p w:rsidR="00386381" w:rsidRPr="00B0386C" w:rsidRDefault="00386381" w:rsidP="00386381">
            <w:pPr>
              <w:rPr>
                <w:rFonts w:ascii="Arial" w:eastAsia="Times New Roman" w:hAnsi="Arial" w:cs="Arial"/>
                <w:color w:val="000000"/>
                <w:sz w:val="20"/>
                <w:szCs w:val="20"/>
                <w:lang w:eastAsia="en-GB"/>
              </w:rPr>
            </w:pPr>
          </w:p>
        </w:tc>
        <w:tc>
          <w:tcPr>
            <w:tcW w:w="0" w:type="auto"/>
            <w:vMerge w:val="restart"/>
            <w:noWrap/>
            <w:vAlign w:val="center"/>
            <w:hideMark/>
          </w:tcPr>
          <w:p w:rsidR="00386381" w:rsidRPr="00121D33" w:rsidRDefault="00386381" w:rsidP="00386381">
            <w:pPr>
              <w:jc w:val="center"/>
              <w:rPr>
                <w:rFonts w:ascii="Arial" w:eastAsia="Times New Roman" w:hAnsi="Arial" w:cs="Arial"/>
                <w:b/>
                <w:color w:val="000000"/>
                <w:sz w:val="20"/>
                <w:szCs w:val="20"/>
                <w:lang w:eastAsia="en-GB"/>
              </w:rPr>
            </w:pPr>
            <w:r w:rsidRPr="00121D33">
              <w:rPr>
                <w:rFonts w:ascii="Arial" w:eastAsia="Times New Roman" w:hAnsi="Arial" w:cs="Arial"/>
                <w:b/>
                <w:color w:val="000000"/>
                <w:sz w:val="20"/>
                <w:szCs w:val="20"/>
                <w:lang w:eastAsia="en-GB"/>
              </w:rPr>
              <w:t>CFSE</w:t>
            </w:r>
          </w:p>
        </w:tc>
        <w:tc>
          <w:tcPr>
            <w:tcW w:w="0" w:type="auto"/>
            <w:vAlign w:val="bottom"/>
          </w:tcPr>
          <w:p w:rsidR="00386381" w:rsidRPr="00B0386C" w:rsidRDefault="00386381" w:rsidP="0038638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0" w:type="auto"/>
            <w:noWrap/>
            <w:vAlign w:val="center"/>
            <w:hideMark/>
          </w:tcPr>
          <w:p w:rsidR="00386381" w:rsidRPr="00121D33" w:rsidRDefault="00386381" w:rsidP="00386381">
            <w:pPr>
              <w:jc w:val="center"/>
              <w:rPr>
                <w:rFonts w:ascii="Calibri" w:eastAsia="Times New Roman" w:hAnsi="Calibri" w:cs="Times New Roman"/>
                <w:color w:val="000000"/>
                <w:lang w:eastAsia="en-GB"/>
              </w:rPr>
            </w:pPr>
            <w:r w:rsidRPr="00121D33">
              <w:rPr>
                <w:rFonts w:ascii="Calibri" w:eastAsia="Times New Roman" w:hAnsi="Calibri" w:cs="Times New Roman"/>
                <w:color w:val="000000"/>
                <w:lang w:eastAsia="en-GB"/>
              </w:rPr>
              <w:t>2</w:t>
            </w:r>
          </w:p>
        </w:tc>
      </w:tr>
      <w:tr w:rsidR="00386381" w:rsidRPr="00121D33" w:rsidTr="00386381">
        <w:trPr>
          <w:trHeight w:val="300"/>
          <w:jc w:val="center"/>
        </w:trPr>
        <w:tc>
          <w:tcPr>
            <w:tcW w:w="0" w:type="auto"/>
            <w:vMerge/>
            <w:noWrap/>
            <w:vAlign w:val="center"/>
          </w:tcPr>
          <w:p w:rsidR="00386381" w:rsidRPr="00B0386C" w:rsidRDefault="00386381" w:rsidP="00386381">
            <w:pPr>
              <w:rPr>
                <w:rFonts w:ascii="Arial" w:eastAsia="Times New Roman" w:hAnsi="Arial" w:cs="Arial"/>
                <w:color w:val="000000"/>
                <w:sz w:val="20"/>
                <w:szCs w:val="20"/>
                <w:lang w:eastAsia="en-GB"/>
              </w:rPr>
            </w:pPr>
          </w:p>
        </w:tc>
        <w:tc>
          <w:tcPr>
            <w:tcW w:w="0" w:type="auto"/>
            <w:vMerge/>
            <w:noWrap/>
            <w:vAlign w:val="center"/>
          </w:tcPr>
          <w:p w:rsidR="00386381" w:rsidRPr="00B0386C" w:rsidRDefault="00386381" w:rsidP="00386381">
            <w:pPr>
              <w:jc w:val="center"/>
              <w:rPr>
                <w:rFonts w:ascii="Arial" w:eastAsia="Times New Roman" w:hAnsi="Arial" w:cs="Arial"/>
                <w:color w:val="000000"/>
                <w:sz w:val="20"/>
                <w:szCs w:val="20"/>
                <w:lang w:eastAsia="en-GB"/>
              </w:rPr>
            </w:pPr>
          </w:p>
        </w:tc>
        <w:tc>
          <w:tcPr>
            <w:tcW w:w="0" w:type="auto"/>
            <w:vAlign w:val="bottom"/>
          </w:tcPr>
          <w:p w:rsidR="00386381" w:rsidRPr="00B0386C" w:rsidRDefault="00386381" w:rsidP="0038638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0" w:type="auto"/>
            <w:noWrap/>
            <w:vAlign w:val="center"/>
          </w:tcPr>
          <w:p w:rsidR="00386381" w:rsidRPr="00121D33" w:rsidRDefault="00386381" w:rsidP="00386381">
            <w:pPr>
              <w:jc w:val="center"/>
              <w:rPr>
                <w:rFonts w:ascii="Calibri" w:eastAsia="Times New Roman" w:hAnsi="Calibri" w:cs="Times New Roman"/>
                <w:color w:val="000000"/>
                <w:lang w:eastAsia="en-GB"/>
              </w:rPr>
            </w:pPr>
            <w:r w:rsidRPr="00121D33">
              <w:rPr>
                <w:rFonts w:ascii="Calibri" w:eastAsia="Times New Roman" w:hAnsi="Calibri" w:cs="Times New Roman"/>
                <w:color w:val="000000"/>
                <w:lang w:eastAsia="en-GB"/>
              </w:rPr>
              <w:t>5</w:t>
            </w:r>
          </w:p>
        </w:tc>
      </w:tr>
      <w:tr w:rsidR="00386381" w:rsidRPr="00121D33" w:rsidTr="00386381">
        <w:trPr>
          <w:trHeight w:val="300"/>
          <w:jc w:val="center"/>
        </w:trPr>
        <w:tc>
          <w:tcPr>
            <w:tcW w:w="0" w:type="auto"/>
            <w:vMerge/>
            <w:noWrap/>
            <w:vAlign w:val="center"/>
          </w:tcPr>
          <w:p w:rsidR="00386381" w:rsidRPr="00B0386C" w:rsidRDefault="00386381" w:rsidP="00386381">
            <w:pPr>
              <w:rPr>
                <w:rFonts w:ascii="Arial" w:eastAsia="Times New Roman" w:hAnsi="Arial" w:cs="Arial"/>
                <w:color w:val="000000"/>
                <w:sz w:val="20"/>
                <w:szCs w:val="20"/>
                <w:lang w:eastAsia="en-GB"/>
              </w:rPr>
            </w:pPr>
          </w:p>
        </w:tc>
        <w:tc>
          <w:tcPr>
            <w:tcW w:w="0" w:type="auto"/>
            <w:vMerge/>
            <w:noWrap/>
            <w:vAlign w:val="center"/>
          </w:tcPr>
          <w:p w:rsidR="00386381" w:rsidRPr="00B0386C" w:rsidRDefault="00386381" w:rsidP="00386381">
            <w:pPr>
              <w:jc w:val="center"/>
              <w:rPr>
                <w:rFonts w:ascii="Arial" w:eastAsia="Times New Roman" w:hAnsi="Arial" w:cs="Arial"/>
                <w:color w:val="000000"/>
                <w:sz w:val="20"/>
                <w:szCs w:val="20"/>
                <w:lang w:eastAsia="en-GB"/>
              </w:rPr>
            </w:pPr>
          </w:p>
        </w:tc>
        <w:tc>
          <w:tcPr>
            <w:tcW w:w="0" w:type="auto"/>
            <w:vAlign w:val="bottom"/>
          </w:tcPr>
          <w:p w:rsidR="00386381" w:rsidRDefault="00386381" w:rsidP="0038638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0" w:type="auto"/>
            <w:noWrap/>
            <w:vAlign w:val="center"/>
          </w:tcPr>
          <w:p w:rsidR="00386381" w:rsidRPr="00121D33" w:rsidRDefault="00386381" w:rsidP="00386381">
            <w:pPr>
              <w:jc w:val="center"/>
              <w:rPr>
                <w:rFonts w:ascii="Calibri" w:eastAsia="Times New Roman" w:hAnsi="Calibri" w:cs="Times New Roman"/>
                <w:color w:val="000000"/>
                <w:lang w:eastAsia="en-GB"/>
              </w:rPr>
            </w:pPr>
            <w:r w:rsidRPr="00121D33">
              <w:rPr>
                <w:rFonts w:ascii="Calibri" w:eastAsia="Times New Roman" w:hAnsi="Calibri" w:cs="Times New Roman"/>
                <w:color w:val="000000"/>
                <w:lang w:eastAsia="en-GB"/>
              </w:rPr>
              <w:t>13</w:t>
            </w:r>
          </w:p>
        </w:tc>
      </w:tr>
      <w:tr w:rsidR="00386381" w:rsidRPr="00121D33" w:rsidTr="00386381">
        <w:trPr>
          <w:trHeight w:val="300"/>
          <w:jc w:val="center"/>
        </w:trPr>
        <w:tc>
          <w:tcPr>
            <w:tcW w:w="0" w:type="auto"/>
            <w:vMerge/>
            <w:noWrap/>
            <w:vAlign w:val="center"/>
          </w:tcPr>
          <w:p w:rsidR="00386381" w:rsidRPr="00B0386C" w:rsidRDefault="00386381" w:rsidP="00386381">
            <w:pPr>
              <w:rPr>
                <w:rFonts w:ascii="Arial" w:eastAsia="Times New Roman" w:hAnsi="Arial" w:cs="Arial"/>
                <w:color w:val="000000"/>
                <w:sz w:val="20"/>
                <w:szCs w:val="20"/>
                <w:lang w:eastAsia="en-GB"/>
              </w:rPr>
            </w:pPr>
          </w:p>
        </w:tc>
        <w:tc>
          <w:tcPr>
            <w:tcW w:w="0" w:type="auto"/>
            <w:vMerge/>
            <w:noWrap/>
            <w:vAlign w:val="center"/>
          </w:tcPr>
          <w:p w:rsidR="00386381" w:rsidRDefault="00386381" w:rsidP="00386381">
            <w:pPr>
              <w:jc w:val="center"/>
              <w:rPr>
                <w:rFonts w:ascii="Arial" w:eastAsia="Times New Roman" w:hAnsi="Arial" w:cs="Arial"/>
                <w:color w:val="000000"/>
                <w:sz w:val="20"/>
                <w:szCs w:val="20"/>
                <w:lang w:eastAsia="en-GB"/>
              </w:rPr>
            </w:pPr>
          </w:p>
        </w:tc>
        <w:tc>
          <w:tcPr>
            <w:tcW w:w="0" w:type="auto"/>
            <w:vAlign w:val="bottom"/>
          </w:tcPr>
          <w:p w:rsidR="00386381" w:rsidRPr="00B0386C" w:rsidRDefault="00386381" w:rsidP="0038638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0" w:type="auto"/>
            <w:noWrap/>
            <w:vAlign w:val="center"/>
          </w:tcPr>
          <w:p w:rsidR="00386381" w:rsidRPr="00121D33" w:rsidRDefault="00386381" w:rsidP="00386381">
            <w:pPr>
              <w:jc w:val="center"/>
              <w:rPr>
                <w:rFonts w:ascii="Calibri" w:eastAsia="Times New Roman" w:hAnsi="Calibri" w:cs="Times New Roman"/>
                <w:color w:val="000000"/>
                <w:lang w:eastAsia="en-GB"/>
              </w:rPr>
            </w:pPr>
            <w:r w:rsidRPr="00121D33">
              <w:rPr>
                <w:rFonts w:ascii="Calibri" w:eastAsia="Times New Roman" w:hAnsi="Calibri" w:cs="Times New Roman"/>
                <w:color w:val="000000"/>
                <w:lang w:eastAsia="en-GB"/>
              </w:rPr>
              <w:t>6</w:t>
            </w:r>
          </w:p>
        </w:tc>
      </w:tr>
      <w:tr w:rsidR="00386381" w:rsidRPr="00121D33" w:rsidTr="00386381">
        <w:trPr>
          <w:trHeight w:val="300"/>
          <w:jc w:val="center"/>
        </w:trPr>
        <w:tc>
          <w:tcPr>
            <w:tcW w:w="0" w:type="auto"/>
            <w:vMerge/>
            <w:noWrap/>
            <w:vAlign w:val="center"/>
          </w:tcPr>
          <w:p w:rsidR="00386381" w:rsidRPr="00B0386C" w:rsidRDefault="00386381" w:rsidP="00386381">
            <w:pPr>
              <w:rPr>
                <w:rFonts w:ascii="Arial" w:eastAsia="Times New Roman" w:hAnsi="Arial" w:cs="Arial"/>
                <w:color w:val="000000"/>
                <w:sz w:val="20"/>
                <w:szCs w:val="20"/>
                <w:lang w:eastAsia="en-GB"/>
              </w:rPr>
            </w:pPr>
          </w:p>
        </w:tc>
        <w:tc>
          <w:tcPr>
            <w:tcW w:w="0" w:type="auto"/>
            <w:vMerge/>
            <w:noWrap/>
            <w:vAlign w:val="center"/>
          </w:tcPr>
          <w:p w:rsidR="00386381" w:rsidRPr="00B0386C" w:rsidRDefault="00386381" w:rsidP="00386381">
            <w:pPr>
              <w:jc w:val="center"/>
              <w:rPr>
                <w:rFonts w:ascii="Arial" w:eastAsia="Times New Roman" w:hAnsi="Arial" w:cs="Arial"/>
                <w:color w:val="000000"/>
                <w:sz w:val="20"/>
                <w:szCs w:val="20"/>
                <w:lang w:eastAsia="en-GB"/>
              </w:rPr>
            </w:pPr>
          </w:p>
        </w:tc>
        <w:tc>
          <w:tcPr>
            <w:tcW w:w="0" w:type="auto"/>
            <w:vAlign w:val="bottom"/>
          </w:tcPr>
          <w:p w:rsidR="00386381" w:rsidRPr="00B0386C" w:rsidRDefault="00386381" w:rsidP="0038638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Total positive</w:t>
            </w:r>
          </w:p>
        </w:tc>
        <w:tc>
          <w:tcPr>
            <w:tcW w:w="0" w:type="auto"/>
            <w:noWrap/>
            <w:vAlign w:val="center"/>
          </w:tcPr>
          <w:p w:rsidR="00386381" w:rsidRPr="00121D33" w:rsidRDefault="00386381" w:rsidP="00386381">
            <w:pPr>
              <w:jc w:val="center"/>
              <w:rPr>
                <w:rFonts w:ascii="Calibri" w:eastAsia="Times New Roman" w:hAnsi="Calibri" w:cs="Times New Roman"/>
                <w:color w:val="000000"/>
                <w:lang w:eastAsia="en-GB"/>
              </w:rPr>
            </w:pPr>
            <w:r>
              <w:rPr>
                <w:rFonts w:ascii="Arial" w:eastAsia="Times New Roman" w:hAnsi="Arial" w:cs="Arial"/>
                <w:color w:val="000000"/>
                <w:sz w:val="20"/>
                <w:szCs w:val="20"/>
                <w:lang w:eastAsia="en-GB"/>
              </w:rPr>
              <w:t>24</w:t>
            </w:r>
            <w:r w:rsidRPr="00B0386C">
              <w:rPr>
                <w:rFonts w:ascii="Arial" w:eastAsia="Times New Roman" w:hAnsi="Arial" w:cs="Arial"/>
                <w:color w:val="000000"/>
                <w:sz w:val="20"/>
                <w:szCs w:val="20"/>
                <w:lang w:eastAsia="en-GB"/>
              </w:rPr>
              <w:t>/</w:t>
            </w:r>
            <w:proofErr w:type="gramStart"/>
            <w:r w:rsidRPr="00B0386C">
              <w:rPr>
                <w:rFonts w:ascii="Arial" w:eastAsia="Times New Roman" w:hAnsi="Arial" w:cs="Arial"/>
                <w:color w:val="000000"/>
                <w:sz w:val="20"/>
                <w:szCs w:val="20"/>
                <w:lang w:eastAsia="en-GB"/>
              </w:rPr>
              <w:t>26</w:t>
            </w:r>
            <w:r>
              <w:rPr>
                <w:rFonts w:ascii="Arial" w:eastAsia="Times New Roman" w:hAnsi="Arial" w:cs="Arial"/>
                <w:color w:val="000000"/>
                <w:sz w:val="20"/>
                <w:szCs w:val="20"/>
                <w:lang w:eastAsia="en-GB"/>
              </w:rPr>
              <w:t xml:space="preserve">  (</w:t>
            </w:r>
            <w:proofErr w:type="gramEnd"/>
            <w:r>
              <w:rPr>
                <w:rFonts w:ascii="Arial" w:eastAsia="Times New Roman" w:hAnsi="Arial" w:cs="Arial"/>
                <w:color w:val="000000"/>
                <w:sz w:val="20"/>
                <w:szCs w:val="20"/>
                <w:lang w:eastAsia="en-GB"/>
              </w:rPr>
              <w:t>92.3%)</w:t>
            </w:r>
          </w:p>
        </w:tc>
      </w:tr>
      <w:tr w:rsidR="00386381" w:rsidRPr="00121D33" w:rsidTr="00386381">
        <w:trPr>
          <w:trHeight w:val="300"/>
          <w:jc w:val="center"/>
        </w:trPr>
        <w:tc>
          <w:tcPr>
            <w:tcW w:w="0" w:type="auto"/>
            <w:vMerge w:val="restart"/>
            <w:noWrap/>
            <w:vAlign w:val="center"/>
            <w:hideMark/>
          </w:tcPr>
          <w:p w:rsidR="00386381" w:rsidRPr="00B0386C" w:rsidRDefault="00386381" w:rsidP="00386381">
            <w:pPr>
              <w:rPr>
                <w:rFonts w:ascii="Arial" w:eastAsia="Times New Roman" w:hAnsi="Arial" w:cs="Arial"/>
                <w:color w:val="000000"/>
                <w:sz w:val="20"/>
                <w:szCs w:val="20"/>
                <w:lang w:eastAsia="en-GB"/>
              </w:rPr>
            </w:pPr>
            <w:proofErr w:type="spellStart"/>
            <w:r>
              <w:rPr>
                <w:rFonts w:ascii="Arial" w:eastAsia="Times New Roman" w:hAnsi="Arial" w:cs="Arial"/>
                <w:color w:val="000000"/>
                <w:sz w:val="20"/>
                <w:szCs w:val="20"/>
                <w:lang w:eastAsia="en-GB"/>
              </w:rPr>
              <w:t>ELIS</w:t>
            </w:r>
            <w:r w:rsidRPr="00B0386C">
              <w:rPr>
                <w:rFonts w:ascii="Arial" w:eastAsia="Times New Roman" w:hAnsi="Arial" w:cs="Arial"/>
                <w:color w:val="000000"/>
                <w:sz w:val="20"/>
                <w:szCs w:val="20"/>
                <w:lang w:eastAsia="en-GB"/>
              </w:rPr>
              <w:t>pot</w:t>
            </w:r>
            <w:proofErr w:type="spellEnd"/>
          </w:p>
        </w:tc>
        <w:tc>
          <w:tcPr>
            <w:tcW w:w="0" w:type="auto"/>
            <w:vMerge w:val="restart"/>
            <w:noWrap/>
            <w:vAlign w:val="center"/>
            <w:hideMark/>
          </w:tcPr>
          <w:p w:rsidR="00386381" w:rsidRPr="00121D33" w:rsidRDefault="00386381" w:rsidP="00386381">
            <w:pPr>
              <w:jc w:val="center"/>
              <w:rPr>
                <w:rFonts w:ascii="Arial" w:eastAsia="Times New Roman" w:hAnsi="Arial" w:cs="Arial"/>
                <w:b/>
                <w:color w:val="000000"/>
                <w:sz w:val="20"/>
                <w:szCs w:val="20"/>
                <w:lang w:eastAsia="en-GB"/>
              </w:rPr>
            </w:pPr>
            <w:r w:rsidRPr="00121D33">
              <w:rPr>
                <w:rFonts w:ascii="Arial" w:eastAsia="Times New Roman" w:hAnsi="Arial" w:cs="Arial"/>
                <w:b/>
                <w:color w:val="000000"/>
                <w:sz w:val="20"/>
                <w:szCs w:val="20"/>
                <w:lang w:eastAsia="en-GB"/>
              </w:rPr>
              <w:t>IFN</w:t>
            </w:r>
            <w:r w:rsidRPr="00121D33">
              <w:rPr>
                <w:rFonts w:ascii="Symbol" w:eastAsia="Times New Roman" w:hAnsi="Symbol" w:cs="Arial"/>
                <w:b/>
                <w:color w:val="000000"/>
                <w:sz w:val="20"/>
                <w:szCs w:val="20"/>
                <w:lang w:eastAsia="en-GB"/>
              </w:rPr>
              <w:t></w:t>
            </w:r>
          </w:p>
        </w:tc>
        <w:tc>
          <w:tcPr>
            <w:tcW w:w="0" w:type="auto"/>
            <w:vAlign w:val="bottom"/>
          </w:tcPr>
          <w:p w:rsidR="00386381" w:rsidRPr="00B0386C" w:rsidRDefault="00386381" w:rsidP="0038638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0" w:type="auto"/>
            <w:noWrap/>
            <w:vAlign w:val="center"/>
            <w:hideMark/>
          </w:tcPr>
          <w:p w:rsidR="00386381" w:rsidRPr="00121D33" w:rsidRDefault="00386381" w:rsidP="00386381">
            <w:pPr>
              <w:jc w:val="center"/>
              <w:rPr>
                <w:rFonts w:ascii="Calibri" w:eastAsia="Times New Roman" w:hAnsi="Calibri" w:cs="Times New Roman"/>
                <w:color w:val="000000"/>
                <w:lang w:eastAsia="en-GB"/>
              </w:rPr>
            </w:pPr>
            <w:r w:rsidRPr="00121D33">
              <w:rPr>
                <w:rFonts w:ascii="Calibri" w:eastAsia="Times New Roman" w:hAnsi="Calibri" w:cs="Times New Roman"/>
                <w:color w:val="000000"/>
                <w:lang w:eastAsia="en-GB"/>
              </w:rPr>
              <w:t>7</w:t>
            </w:r>
          </w:p>
        </w:tc>
      </w:tr>
      <w:tr w:rsidR="00386381" w:rsidRPr="00121D33" w:rsidTr="00386381">
        <w:trPr>
          <w:trHeight w:val="300"/>
          <w:jc w:val="center"/>
        </w:trPr>
        <w:tc>
          <w:tcPr>
            <w:tcW w:w="0" w:type="auto"/>
            <w:vMerge/>
            <w:noWrap/>
            <w:vAlign w:val="center"/>
          </w:tcPr>
          <w:p w:rsidR="00386381" w:rsidRPr="00B0386C" w:rsidRDefault="00386381" w:rsidP="00386381">
            <w:pPr>
              <w:rPr>
                <w:rFonts w:ascii="Arial" w:eastAsia="Times New Roman" w:hAnsi="Arial" w:cs="Arial"/>
                <w:color w:val="000000"/>
                <w:sz w:val="20"/>
                <w:szCs w:val="20"/>
                <w:lang w:eastAsia="en-GB"/>
              </w:rPr>
            </w:pPr>
          </w:p>
        </w:tc>
        <w:tc>
          <w:tcPr>
            <w:tcW w:w="0" w:type="auto"/>
            <w:vMerge/>
            <w:noWrap/>
            <w:vAlign w:val="center"/>
          </w:tcPr>
          <w:p w:rsidR="00386381" w:rsidRPr="00B0386C" w:rsidRDefault="00386381" w:rsidP="00386381">
            <w:pPr>
              <w:jc w:val="center"/>
              <w:rPr>
                <w:rFonts w:ascii="Arial" w:eastAsia="Times New Roman" w:hAnsi="Arial" w:cs="Arial"/>
                <w:color w:val="000000"/>
                <w:sz w:val="20"/>
                <w:szCs w:val="20"/>
                <w:lang w:eastAsia="en-GB"/>
              </w:rPr>
            </w:pPr>
          </w:p>
        </w:tc>
        <w:tc>
          <w:tcPr>
            <w:tcW w:w="0" w:type="auto"/>
            <w:vAlign w:val="bottom"/>
          </w:tcPr>
          <w:p w:rsidR="00386381" w:rsidRPr="00B0386C" w:rsidRDefault="00386381" w:rsidP="0038638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0" w:type="auto"/>
            <w:noWrap/>
            <w:vAlign w:val="center"/>
          </w:tcPr>
          <w:p w:rsidR="00386381" w:rsidRPr="00121D33" w:rsidRDefault="00386381" w:rsidP="00386381">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r>
      <w:tr w:rsidR="00386381" w:rsidRPr="00121D33" w:rsidTr="00386381">
        <w:trPr>
          <w:trHeight w:val="300"/>
          <w:jc w:val="center"/>
        </w:trPr>
        <w:tc>
          <w:tcPr>
            <w:tcW w:w="0" w:type="auto"/>
            <w:vMerge/>
            <w:noWrap/>
            <w:vAlign w:val="center"/>
          </w:tcPr>
          <w:p w:rsidR="00386381" w:rsidRPr="00B0386C" w:rsidRDefault="00386381" w:rsidP="00386381">
            <w:pPr>
              <w:rPr>
                <w:rFonts w:ascii="Arial" w:eastAsia="Times New Roman" w:hAnsi="Arial" w:cs="Arial"/>
                <w:color w:val="000000"/>
                <w:sz w:val="20"/>
                <w:szCs w:val="20"/>
                <w:lang w:eastAsia="en-GB"/>
              </w:rPr>
            </w:pPr>
          </w:p>
        </w:tc>
        <w:tc>
          <w:tcPr>
            <w:tcW w:w="0" w:type="auto"/>
            <w:vMerge/>
            <w:noWrap/>
            <w:vAlign w:val="center"/>
          </w:tcPr>
          <w:p w:rsidR="00386381" w:rsidRPr="00B0386C" w:rsidRDefault="00386381" w:rsidP="00386381">
            <w:pPr>
              <w:jc w:val="center"/>
              <w:rPr>
                <w:rFonts w:ascii="Arial" w:eastAsia="Times New Roman" w:hAnsi="Arial" w:cs="Arial"/>
                <w:color w:val="000000"/>
                <w:sz w:val="20"/>
                <w:szCs w:val="20"/>
                <w:lang w:eastAsia="en-GB"/>
              </w:rPr>
            </w:pPr>
          </w:p>
        </w:tc>
        <w:tc>
          <w:tcPr>
            <w:tcW w:w="0" w:type="auto"/>
            <w:vAlign w:val="bottom"/>
          </w:tcPr>
          <w:p w:rsidR="00386381" w:rsidRDefault="00386381" w:rsidP="0038638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0" w:type="auto"/>
            <w:noWrap/>
            <w:vAlign w:val="center"/>
          </w:tcPr>
          <w:p w:rsidR="00386381" w:rsidRPr="00121D33" w:rsidRDefault="00386381" w:rsidP="00386381">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r>
      <w:tr w:rsidR="00386381" w:rsidRPr="00121D33" w:rsidTr="00386381">
        <w:trPr>
          <w:trHeight w:val="300"/>
          <w:jc w:val="center"/>
        </w:trPr>
        <w:tc>
          <w:tcPr>
            <w:tcW w:w="0" w:type="auto"/>
            <w:vMerge/>
            <w:noWrap/>
            <w:vAlign w:val="center"/>
          </w:tcPr>
          <w:p w:rsidR="00386381" w:rsidRPr="00B0386C" w:rsidRDefault="00386381" w:rsidP="00386381">
            <w:pPr>
              <w:rPr>
                <w:rFonts w:ascii="Arial" w:eastAsia="Times New Roman" w:hAnsi="Arial" w:cs="Arial"/>
                <w:color w:val="000000"/>
                <w:sz w:val="20"/>
                <w:szCs w:val="20"/>
                <w:lang w:eastAsia="en-GB"/>
              </w:rPr>
            </w:pPr>
          </w:p>
        </w:tc>
        <w:tc>
          <w:tcPr>
            <w:tcW w:w="0" w:type="auto"/>
            <w:vMerge/>
            <w:noWrap/>
            <w:vAlign w:val="center"/>
          </w:tcPr>
          <w:p w:rsidR="00386381" w:rsidRDefault="00386381" w:rsidP="00386381">
            <w:pPr>
              <w:jc w:val="center"/>
              <w:rPr>
                <w:rFonts w:ascii="Arial" w:eastAsia="Times New Roman" w:hAnsi="Arial" w:cs="Arial"/>
                <w:color w:val="000000"/>
                <w:sz w:val="20"/>
                <w:szCs w:val="20"/>
                <w:lang w:eastAsia="en-GB"/>
              </w:rPr>
            </w:pPr>
          </w:p>
        </w:tc>
        <w:tc>
          <w:tcPr>
            <w:tcW w:w="0" w:type="auto"/>
            <w:vAlign w:val="bottom"/>
          </w:tcPr>
          <w:p w:rsidR="00386381" w:rsidRPr="00B0386C" w:rsidRDefault="00386381" w:rsidP="0038638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0" w:type="auto"/>
            <w:noWrap/>
            <w:vAlign w:val="center"/>
          </w:tcPr>
          <w:p w:rsidR="00386381" w:rsidRPr="00121D33" w:rsidRDefault="00386381" w:rsidP="00386381">
            <w:pPr>
              <w:jc w:val="center"/>
              <w:rPr>
                <w:rFonts w:ascii="Calibri" w:eastAsia="Times New Roman" w:hAnsi="Calibri" w:cs="Times New Roman"/>
                <w:color w:val="000000"/>
                <w:lang w:eastAsia="en-GB"/>
              </w:rPr>
            </w:pPr>
            <w:r w:rsidRPr="00121D33">
              <w:rPr>
                <w:rFonts w:ascii="Calibri" w:eastAsia="Times New Roman" w:hAnsi="Calibri" w:cs="Times New Roman"/>
                <w:color w:val="000000"/>
                <w:lang w:eastAsia="en-GB"/>
              </w:rPr>
              <w:t>7</w:t>
            </w:r>
          </w:p>
        </w:tc>
      </w:tr>
      <w:tr w:rsidR="00386381" w:rsidRPr="00121D33" w:rsidTr="00386381">
        <w:trPr>
          <w:trHeight w:val="300"/>
          <w:jc w:val="center"/>
        </w:trPr>
        <w:tc>
          <w:tcPr>
            <w:tcW w:w="0" w:type="auto"/>
            <w:vMerge/>
            <w:noWrap/>
            <w:vAlign w:val="center"/>
          </w:tcPr>
          <w:p w:rsidR="00386381" w:rsidRPr="00B0386C" w:rsidRDefault="00386381" w:rsidP="00386381">
            <w:pPr>
              <w:rPr>
                <w:rFonts w:ascii="Arial" w:eastAsia="Times New Roman" w:hAnsi="Arial" w:cs="Arial"/>
                <w:color w:val="000000"/>
                <w:sz w:val="20"/>
                <w:szCs w:val="20"/>
                <w:lang w:eastAsia="en-GB"/>
              </w:rPr>
            </w:pPr>
          </w:p>
        </w:tc>
        <w:tc>
          <w:tcPr>
            <w:tcW w:w="0" w:type="auto"/>
            <w:vMerge/>
            <w:noWrap/>
            <w:vAlign w:val="center"/>
          </w:tcPr>
          <w:p w:rsidR="00386381" w:rsidRPr="00B0386C" w:rsidRDefault="00386381" w:rsidP="00386381">
            <w:pPr>
              <w:jc w:val="center"/>
              <w:rPr>
                <w:rFonts w:ascii="Arial" w:eastAsia="Times New Roman" w:hAnsi="Arial" w:cs="Arial"/>
                <w:color w:val="000000"/>
                <w:sz w:val="20"/>
                <w:szCs w:val="20"/>
                <w:lang w:eastAsia="en-GB"/>
              </w:rPr>
            </w:pPr>
          </w:p>
        </w:tc>
        <w:tc>
          <w:tcPr>
            <w:tcW w:w="0" w:type="auto"/>
            <w:vAlign w:val="bottom"/>
          </w:tcPr>
          <w:p w:rsidR="00386381" w:rsidRPr="00B0386C" w:rsidRDefault="00386381" w:rsidP="0038638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Total positive</w:t>
            </w:r>
          </w:p>
        </w:tc>
        <w:tc>
          <w:tcPr>
            <w:tcW w:w="0" w:type="auto"/>
            <w:noWrap/>
            <w:vAlign w:val="center"/>
          </w:tcPr>
          <w:p w:rsidR="00386381" w:rsidRPr="00121D33" w:rsidRDefault="00386381" w:rsidP="00386381">
            <w:pPr>
              <w:jc w:val="center"/>
              <w:rPr>
                <w:rFonts w:ascii="Calibri" w:eastAsia="Times New Roman" w:hAnsi="Calibri" w:cs="Times New Roman"/>
                <w:color w:val="000000"/>
                <w:lang w:eastAsia="en-GB"/>
              </w:rPr>
            </w:pPr>
            <w:r>
              <w:rPr>
                <w:rFonts w:ascii="Arial" w:eastAsia="Times New Roman" w:hAnsi="Arial" w:cs="Arial"/>
                <w:color w:val="000000"/>
                <w:sz w:val="20"/>
                <w:szCs w:val="20"/>
                <w:lang w:eastAsia="en-GB"/>
              </w:rPr>
              <w:t>25</w:t>
            </w:r>
            <w:r w:rsidRPr="00B0386C">
              <w:rPr>
                <w:rFonts w:ascii="Arial" w:eastAsia="Times New Roman" w:hAnsi="Arial" w:cs="Arial"/>
                <w:color w:val="000000"/>
                <w:sz w:val="20"/>
                <w:szCs w:val="20"/>
                <w:lang w:eastAsia="en-GB"/>
              </w:rPr>
              <w:t>/</w:t>
            </w:r>
            <w:proofErr w:type="gramStart"/>
            <w:r w:rsidRPr="00B0386C">
              <w:rPr>
                <w:rFonts w:ascii="Arial" w:eastAsia="Times New Roman" w:hAnsi="Arial" w:cs="Arial"/>
                <w:color w:val="000000"/>
                <w:sz w:val="20"/>
                <w:szCs w:val="20"/>
                <w:lang w:eastAsia="en-GB"/>
              </w:rPr>
              <w:t>32</w:t>
            </w:r>
            <w:r>
              <w:rPr>
                <w:rFonts w:ascii="Arial" w:eastAsia="Times New Roman" w:hAnsi="Arial" w:cs="Arial"/>
                <w:color w:val="000000"/>
                <w:sz w:val="20"/>
                <w:szCs w:val="20"/>
                <w:lang w:eastAsia="en-GB"/>
              </w:rPr>
              <w:t xml:space="preserve">  (</w:t>
            </w:r>
            <w:proofErr w:type="gramEnd"/>
            <w:r>
              <w:rPr>
                <w:rFonts w:ascii="Arial" w:eastAsia="Times New Roman" w:hAnsi="Arial" w:cs="Arial"/>
                <w:color w:val="000000"/>
                <w:sz w:val="20"/>
                <w:szCs w:val="20"/>
                <w:lang w:eastAsia="en-GB"/>
              </w:rPr>
              <w:t>78.1%)</w:t>
            </w:r>
          </w:p>
        </w:tc>
      </w:tr>
      <w:tr w:rsidR="00386381" w:rsidRPr="00121D33" w:rsidTr="00386381">
        <w:trPr>
          <w:trHeight w:val="300"/>
          <w:jc w:val="center"/>
        </w:trPr>
        <w:tc>
          <w:tcPr>
            <w:tcW w:w="0" w:type="auto"/>
            <w:vMerge/>
            <w:noWrap/>
            <w:vAlign w:val="center"/>
            <w:hideMark/>
          </w:tcPr>
          <w:p w:rsidR="00386381" w:rsidRPr="00B0386C" w:rsidRDefault="00386381" w:rsidP="00386381">
            <w:pPr>
              <w:jc w:val="center"/>
              <w:rPr>
                <w:rFonts w:ascii="Arial" w:eastAsia="Times New Roman" w:hAnsi="Arial" w:cs="Arial"/>
                <w:color w:val="000000"/>
                <w:sz w:val="20"/>
                <w:szCs w:val="20"/>
                <w:lang w:eastAsia="en-GB"/>
              </w:rPr>
            </w:pPr>
          </w:p>
        </w:tc>
        <w:tc>
          <w:tcPr>
            <w:tcW w:w="0" w:type="auto"/>
            <w:vMerge w:val="restart"/>
            <w:noWrap/>
            <w:vAlign w:val="center"/>
            <w:hideMark/>
          </w:tcPr>
          <w:p w:rsidR="00386381" w:rsidRPr="00121D33" w:rsidRDefault="00386381" w:rsidP="00386381">
            <w:pPr>
              <w:jc w:val="center"/>
              <w:rPr>
                <w:rFonts w:ascii="Arial" w:eastAsia="Times New Roman" w:hAnsi="Arial" w:cs="Arial"/>
                <w:b/>
                <w:color w:val="000000"/>
                <w:sz w:val="20"/>
                <w:szCs w:val="20"/>
                <w:lang w:eastAsia="en-GB"/>
              </w:rPr>
            </w:pPr>
            <w:r w:rsidRPr="00121D33">
              <w:rPr>
                <w:rFonts w:ascii="Arial" w:eastAsia="Times New Roman" w:hAnsi="Arial" w:cs="Arial"/>
                <w:b/>
                <w:color w:val="000000"/>
                <w:sz w:val="20"/>
                <w:szCs w:val="20"/>
                <w:lang w:eastAsia="en-GB"/>
              </w:rPr>
              <w:t>IL-13</w:t>
            </w:r>
          </w:p>
        </w:tc>
        <w:tc>
          <w:tcPr>
            <w:tcW w:w="0" w:type="auto"/>
            <w:vAlign w:val="bottom"/>
          </w:tcPr>
          <w:p w:rsidR="00386381" w:rsidRPr="00B0386C" w:rsidRDefault="00386381" w:rsidP="0038638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0" w:type="auto"/>
            <w:noWrap/>
            <w:vAlign w:val="center"/>
            <w:hideMark/>
          </w:tcPr>
          <w:p w:rsidR="00386381" w:rsidRPr="00121D33" w:rsidRDefault="00386381" w:rsidP="00386381">
            <w:pPr>
              <w:jc w:val="center"/>
              <w:rPr>
                <w:rFonts w:ascii="Calibri" w:eastAsia="Times New Roman" w:hAnsi="Calibri" w:cs="Times New Roman"/>
                <w:color w:val="000000"/>
                <w:lang w:eastAsia="en-GB"/>
              </w:rPr>
            </w:pPr>
            <w:r w:rsidRPr="00121D33">
              <w:rPr>
                <w:rFonts w:ascii="Calibri" w:eastAsia="Times New Roman" w:hAnsi="Calibri" w:cs="Times New Roman"/>
                <w:color w:val="000000"/>
                <w:lang w:eastAsia="en-GB"/>
              </w:rPr>
              <w:t>4</w:t>
            </w:r>
          </w:p>
        </w:tc>
      </w:tr>
      <w:tr w:rsidR="00386381" w:rsidRPr="00121D33" w:rsidTr="00386381">
        <w:trPr>
          <w:trHeight w:val="300"/>
          <w:jc w:val="center"/>
        </w:trPr>
        <w:tc>
          <w:tcPr>
            <w:tcW w:w="0" w:type="auto"/>
            <w:vMerge/>
            <w:noWrap/>
            <w:vAlign w:val="center"/>
          </w:tcPr>
          <w:p w:rsidR="00386381" w:rsidRPr="00B0386C" w:rsidRDefault="00386381" w:rsidP="00386381">
            <w:pPr>
              <w:jc w:val="center"/>
              <w:rPr>
                <w:rFonts w:ascii="Arial" w:eastAsia="Times New Roman" w:hAnsi="Arial" w:cs="Arial"/>
                <w:color w:val="000000"/>
                <w:sz w:val="20"/>
                <w:szCs w:val="20"/>
                <w:lang w:eastAsia="en-GB"/>
              </w:rPr>
            </w:pPr>
          </w:p>
        </w:tc>
        <w:tc>
          <w:tcPr>
            <w:tcW w:w="0" w:type="auto"/>
            <w:vMerge/>
            <w:noWrap/>
            <w:vAlign w:val="center"/>
          </w:tcPr>
          <w:p w:rsidR="00386381" w:rsidRPr="00B0386C" w:rsidRDefault="00386381" w:rsidP="00386381">
            <w:pPr>
              <w:jc w:val="center"/>
              <w:rPr>
                <w:rFonts w:ascii="Arial" w:eastAsia="Times New Roman" w:hAnsi="Arial" w:cs="Arial"/>
                <w:color w:val="000000"/>
                <w:sz w:val="20"/>
                <w:szCs w:val="20"/>
                <w:lang w:eastAsia="en-GB"/>
              </w:rPr>
            </w:pPr>
          </w:p>
        </w:tc>
        <w:tc>
          <w:tcPr>
            <w:tcW w:w="0" w:type="auto"/>
            <w:vAlign w:val="bottom"/>
          </w:tcPr>
          <w:p w:rsidR="00386381" w:rsidRPr="00B0386C" w:rsidRDefault="00386381" w:rsidP="0038638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0" w:type="auto"/>
            <w:noWrap/>
            <w:vAlign w:val="center"/>
          </w:tcPr>
          <w:p w:rsidR="00386381" w:rsidRPr="00121D33" w:rsidRDefault="00386381" w:rsidP="00386381">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r>
      <w:tr w:rsidR="00386381" w:rsidRPr="00121D33" w:rsidTr="00386381">
        <w:trPr>
          <w:trHeight w:val="300"/>
          <w:jc w:val="center"/>
        </w:trPr>
        <w:tc>
          <w:tcPr>
            <w:tcW w:w="0" w:type="auto"/>
            <w:vMerge/>
            <w:noWrap/>
            <w:vAlign w:val="center"/>
          </w:tcPr>
          <w:p w:rsidR="00386381" w:rsidRPr="00B0386C" w:rsidRDefault="00386381" w:rsidP="00386381">
            <w:pPr>
              <w:jc w:val="center"/>
              <w:rPr>
                <w:rFonts w:ascii="Arial" w:eastAsia="Times New Roman" w:hAnsi="Arial" w:cs="Arial"/>
                <w:color w:val="000000"/>
                <w:sz w:val="20"/>
                <w:szCs w:val="20"/>
                <w:lang w:eastAsia="en-GB"/>
              </w:rPr>
            </w:pPr>
          </w:p>
        </w:tc>
        <w:tc>
          <w:tcPr>
            <w:tcW w:w="0" w:type="auto"/>
            <w:vMerge/>
            <w:noWrap/>
            <w:vAlign w:val="center"/>
          </w:tcPr>
          <w:p w:rsidR="00386381" w:rsidRPr="00B0386C" w:rsidRDefault="00386381" w:rsidP="00386381">
            <w:pPr>
              <w:jc w:val="center"/>
              <w:rPr>
                <w:rFonts w:ascii="Arial" w:eastAsia="Times New Roman" w:hAnsi="Arial" w:cs="Arial"/>
                <w:color w:val="000000"/>
                <w:sz w:val="20"/>
                <w:szCs w:val="20"/>
                <w:lang w:eastAsia="en-GB"/>
              </w:rPr>
            </w:pPr>
          </w:p>
        </w:tc>
        <w:tc>
          <w:tcPr>
            <w:tcW w:w="0" w:type="auto"/>
            <w:vAlign w:val="bottom"/>
          </w:tcPr>
          <w:p w:rsidR="00386381" w:rsidRDefault="00386381" w:rsidP="0038638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0" w:type="auto"/>
            <w:noWrap/>
            <w:vAlign w:val="center"/>
          </w:tcPr>
          <w:p w:rsidR="00386381" w:rsidRPr="00121D33" w:rsidRDefault="00386381" w:rsidP="00386381">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r>
      <w:tr w:rsidR="00386381" w:rsidRPr="00121D33" w:rsidTr="00386381">
        <w:trPr>
          <w:trHeight w:val="300"/>
          <w:jc w:val="center"/>
        </w:trPr>
        <w:tc>
          <w:tcPr>
            <w:tcW w:w="0" w:type="auto"/>
            <w:vMerge/>
            <w:noWrap/>
            <w:vAlign w:val="center"/>
          </w:tcPr>
          <w:p w:rsidR="00386381" w:rsidRPr="00B0386C" w:rsidRDefault="00386381" w:rsidP="00386381">
            <w:pPr>
              <w:jc w:val="center"/>
              <w:rPr>
                <w:rFonts w:ascii="Arial" w:eastAsia="Times New Roman" w:hAnsi="Arial" w:cs="Arial"/>
                <w:color w:val="000000"/>
                <w:sz w:val="20"/>
                <w:szCs w:val="20"/>
                <w:lang w:eastAsia="en-GB"/>
              </w:rPr>
            </w:pPr>
          </w:p>
        </w:tc>
        <w:tc>
          <w:tcPr>
            <w:tcW w:w="0" w:type="auto"/>
            <w:vMerge/>
            <w:noWrap/>
            <w:vAlign w:val="center"/>
          </w:tcPr>
          <w:p w:rsidR="00386381" w:rsidRDefault="00386381" w:rsidP="00386381">
            <w:pPr>
              <w:jc w:val="center"/>
              <w:rPr>
                <w:rFonts w:ascii="Arial" w:eastAsia="Times New Roman" w:hAnsi="Arial" w:cs="Arial"/>
                <w:color w:val="000000"/>
                <w:sz w:val="20"/>
                <w:szCs w:val="20"/>
                <w:lang w:eastAsia="en-GB"/>
              </w:rPr>
            </w:pPr>
          </w:p>
        </w:tc>
        <w:tc>
          <w:tcPr>
            <w:tcW w:w="0" w:type="auto"/>
            <w:vAlign w:val="bottom"/>
          </w:tcPr>
          <w:p w:rsidR="00386381" w:rsidRPr="00B0386C" w:rsidRDefault="00386381" w:rsidP="0038638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0" w:type="auto"/>
            <w:noWrap/>
            <w:vAlign w:val="center"/>
          </w:tcPr>
          <w:p w:rsidR="00386381" w:rsidRPr="00121D33" w:rsidRDefault="00386381" w:rsidP="00386381">
            <w:pPr>
              <w:jc w:val="center"/>
              <w:rPr>
                <w:rFonts w:ascii="Calibri" w:eastAsia="Times New Roman" w:hAnsi="Calibri" w:cs="Times New Roman"/>
                <w:color w:val="000000"/>
                <w:lang w:eastAsia="en-GB"/>
              </w:rPr>
            </w:pPr>
            <w:r w:rsidRPr="00121D33">
              <w:rPr>
                <w:rFonts w:ascii="Calibri" w:eastAsia="Times New Roman" w:hAnsi="Calibri" w:cs="Times New Roman"/>
                <w:color w:val="000000"/>
                <w:lang w:eastAsia="en-GB"/>
              </w:rPr>
              <w:t>7</w:t>
            </w:r>
          </w:p>
        </w:tc>
      </w:tr>
      <w:tr w:rsidR="00386381" w:rsidRPr="00121D33" w:rsidTr="00386381">
        <w:trPr>
          <w:trHeight w:val="300"/>
          <w:jc w:val="center"/>
        </w:trPr>
        <w:tc>
          <w:tcPr>
            <w:tcW w:w="0" w:type="auto"/>
            <w:vMerge/>
            <w:noWrap/>
            <w:vAlign w:val="center"/>
          </w:tcPr>
          <w:p w:rsidR="00386381" w:rsidRPr="00B0386C" w:rsidRDefault="00386381" w:rsidP="00386381">
            <w:pPr>
              <w:jc w:val="center"/>
              <w:rPr>
                <w:rFonts w:ascii="Arial" w:eastAsia="Times New Roman" w:hAnsi="Arial" w:cs="Arial"/>
                <w:color w:val="000000"/>
                <w:sz w:val="20"/>
                <w:szCs w:val="20"/>
                <w:lang w:eastAsia="en-GB"/>
              </w:rPr>
            </w:pPr>
          </w:p>
        </w:tc>
        <w:tc>
          <w:tcPr>
            <w:tcW w:w="0" w:type="auto"/>
            <w:vMerge/>
            <w:noWrap/>
            <w:vAlign w:val="center"/>
          </w:tcPr>
          <w:p w:rsidR="00386381" w:rsidRPr="00B0386C" w:rsidRDefault="00386381" w:rsidP="00386381">
            <w:pPr>
              <w:jc w:val="center"/>
              <w:rPr>
                <w:rFonts w:ascii="Arial" w:eastAsia="Times New Roman" w:hAnsi="Arial" w:cs="Arial"/>
                <w:color w:val="000000"/>
                <w:sz w:val="20"/>
                <w:szCs w:val="20"/>
                <w:lang w:eastAsia="en-GB"/>
              </w:rPr>
            </w:pPr>
          </w:p>
        </w:tc>
        <w:tc>
          <w:tcPr>
            <w:tcW w:w="0" w:type="auto"/>
            <w:vAlign w:val="bottom"/>
          </w:tcPr>
          <w:p w:rsidR="00386381" w:rsidRPr="00B0386C" w:rsidRDefault="00386381" w:rsidP="0038638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Total positive</w:t>
            </w:r>
          </w:p>
        </w:tc>
        <w:tc>
          <w:tcPr>
            <w:tcW w:w="0" w:type="auto"/>
            <w:noWrap/>
            <w:vAlign w:val="center"/>
          </w:tcPr>
          <w:p w:rsidR="00386381" w:rsidRPr="00121D33" w:rsidRDefault="00386381" w:rsidP="00386381">
            <w:pPr>
              <w:jc w:val="center"/>
              <w:rPr>
                <w:rFonts w:ascii="Calibri" w:eastAsia="Times New Roman" w:hAnsi="Calibri" w:cs="Times New Roman"/>
                <w:color w:val="000000"/>
                <w:lang w:eastAsia="en-GB"/>
              </w:rPr>
            </w:pPr>
            <w:r w:rsidRPr="00B0386C">
              <w:rPr>
                <w:rFonts w:ascii="Arial" w:eastAsia="Times New Roman" w:hAnsi="Arial" w:cs="Arial"/>
                <w:color w:val="000000"/>
                <w:sz w:val="20"/>
                <w:szCs w:val="20"/>
                <w:lang w:eastAsia="en-GB"/>
              </w:rPr>
              <w:t>20/</w:t>
            </w:r>
            <w:proofErr w:type="gramStart"/>
            <w:r w:rsidRPr="00B0386C">
              <w:rPr>
                <w:rFonts w:ascii="Arial" w:eastAsia="Times New Roman" w:hAnsi="Arial" w:cs="Arial"/>
                <w:color w:val="000000"/>
                <w:sz w:val="20"/>
                <w:szCs w:val="20"/>
                <w:lang w:eastAsia="en-GB"/>
              </w:rPr>
              <w:t>24</w:t>
            </w:r>
            <w:r>
              <w:rPr>
                <w:rFonts w:ascii="Arial" w:eastAsia="Times New Roman" w:hAnsi="Arial" w:cs="Arial"/>
                <w:color w:val="000000"/>
                <w:sz w:val="20"/>
                <w:szCs w:val="20"/>
                <w:lang w:eastAsia="en-GB"/>
              </w:rPr>
              <w:t xml:space="preserve">  (</w:t>
            </w:r>
            <w:proofErr w:type="gramEnd"/>
            <w:r>
              <w:rPr>
                <w:rFonts w:ascii="Arial" w:eastAsia="Times New Roman" w:hAnsi="Arial" w:cs="Arial"/>
                <w:color w:val="000000"/>
                <w:sz w:val="20"/>
                <w:szCs w:val="20"/>
                <w:lang w:eastAsia="en-GB"/>
              </w:rPr>
              <w:t>83.3%)</w:t>
            </w:r>
          </w:p>
        </w:tc>
      </w:tr>
      <w:tr w:rsidR="00386381" w:rsidRPr="00B0386C" w:rsidTr="00386381">
        <w:trPr>
          <w:trHeight w:val="300"/>
          <w:jc w:val="center"/>
        </w:trPr>
        <w:tc>
          <w:tcPr>
            <w:tcW w:w="0" w:type="auto"/>
            <w:gridSpan w:val="4"/>
            <w:noWrap/>
            <w:vAlign w:val="center"/>
          </w:tcPr>
          <w:p w:rsidR="00386381" w:rsidRDefault="00386381" w:rsidP="00386381">
            <w:pPr>
              <w:jc w:val="center"/>
              <w:rPr>
                <w:rFonts w:ascii="Arial" w:hAnsi="Arial" w:cs="Arial"/>
                <w:color w:val="0000FF"/>
                <w:sz w:val="20"/>
                <w:szCs w:val="20"/>
              </w:rPr>
            </w:pPr>
            <w:r>
              <w:rPr>
                <w:rFonts w:ascii="Arial" w:hAnsi="Arial" w:cs="Arial"/>
                <w:sz w:val="20"/>
                <w:szCs w:val="20"/>
              </w:rPr>
              <w:t xml:space="preserve"> </w:t>
            </w:r>
            <w:r w:rsidRPr="006873FC">
              <w:rPr>
                <w:rFonts w:ascii="Arial" w:hAnsi="Arial" w:cs="Arial"/>
                <w:sz w:val="20"/>
                <w:szCs w:val="20"/>
              </w:rPr>
              <w:t>(-) no resp</w:t>
            </w:r>
            <w:r>
              <w:rPr>
                <w:rFonts w:ascii="Arial" w:hAnsi="Arial" w:cs="Arial"/>
                <w:sz w:val="20"/>
                <w:szCs w:val="20"/>
              </w:rPr>
              <w:t>onse with stimulation index &lt;1.49</w:t>
            </w:r>
          </w:p>
          <w:p w:rsidR="00386381" w:rsidRPr="006873FC" w:rsidRDefault="00386381" w:rsidP="00386381">
            <w:pPr>
              <w:jc w:val="center"/>
              <w:rPr>
                <w:rFonts w:ascii="Arial" w:hAnsi="Arial" w:cs="Arial"/>
                <w:sz w:val="20"/>
                <w:szCs w:val="20"/>
              </w:rPr>
            </w:pPr>
            <w:r>
              <w:rPr>
                <w:rFonts w:ascii="Arial" w:hAnsi="Arial" w:cs="Arial"/>
                <w:sz w:val="20"/>
                <w:szCs w:val="20"/>
              </w:rPr>
              <w:t xml:space="preserve">       </w:t>
            </w:r>
            <w:r w:rsidRPr="006873FC">
              <w:rPr>
                <w:rFonts w:ascii="Arial" w:hAnsi="Arial" w:cs="Arial"/>
                <w:sz w:val="20"/>
                <w:szCs w:val="20"/>
              </w:rPr>
              <w:t>(+) weak respons</w:t>
            </w:r>
            <w:r>
              <w:rPr>
                <w:rFonts w:ascii="Arial" w:hAnsi="Arial" w:cs="Arial"/>
                <w:sz w:val="20"/>
                <w:szCs w:val="20"/>
              </w:rPr>
              <w:t>e with stimulation index 1.5-1.99</w:t>
            </w:r>
          </w:p>
          <w:p w:rsidR="00386381" w:rsidRPr="006873FC" w:rsidRDefault="00386381" w:rsidP="00386381">
            <w:pPr>
              <w:jc w:val="center"/>
              <w:rPr>
                <w:rFonts w:ascii="Arial" w:hAnsi="Arial" w:cs="Arial"/>
                <w:sz w:val="20"/>
                <w:szCs w:val="20"/>
              </w:rPr>
            </w:pPr>
            <w:r>
              <w:rPr>
                <w:rFonts w:ascii="Arial" w:hAnsi="Arial" w:cs="Arial"/>
                <w:sz w:val="20"/>
                <w:szCs w:val="20"/>
              </w:rPr>
              <w:t xml:space="preserve">      </w:t>
            </w:r>
            <w:r w:rsidRPr="006873FC">
              <w:rPr>
                <w:rFonts w:ascii="Arial" w:hAnsi="Arial" w:cs="Arial"/>
                <w:sz w:val="20"/>
                <w:szCs w:val="20"/>
              </w:rPr>
              <w:t>(+</w:t>
            </w:r>
            <w:r>
              <w:rPr>
                <w:rFonts w:ascii="Arial" w:hAnsi="Arial" w:cs="Arial"/>
                <w:sz w:val="20"/>
                <w:szCs w:val="20"/>
              </w:rPr>
              <w:t>+</w:t>
            </w:r>
            <w:r w:rsidRPr="006873FC">
              <w:rPr>
                <w:rFonts w:ascii="Arial" w:hAnsi="Arial" w:cs="Arial"/>
                <w:sz w:val="20"/>
                <w:szCs w:val="20"/>
              </w:rPr>
              <w:t xml:space="preserve">) </w:t>
            </w:r>
            <w:r>
              <w:rPr>
                <w:rFonts w:ascii="Arial" w:hAnsi="Arial" w:cs="Arial"/>
                <w:sz w:val="20"/>
                <w:szCs w:val="20"/>
              </w:rPr>
              <w:t>good</w:t>
            </w:r>
            <w:r w:rsidRPr="006873FC">
              <w:rPr>
                <w:rFonts w:ascii="Arial" w:hAnsi="Arial" w:cs="Arial"/>
                <w:sz w:val="20"/>
                <w:szCs w:val="20"/>
              </w:rPr>
              <w:t xml:space="preserve"> resp</w:t>
            </w:r>
            <w:r>
              <w:rPr>
                <w:rFonts w:ascii="Arial" w:hAnsi="Arial" w:cs="Arial"/>
                <w:sz w:val="20"/>
                <w:szCs w:val="20"/>
              </w:rPr>
              <w:t xml:space="preserve">onse with stimulation index </w:t>
            </w:r>
            <w:r w:rsidRPr="006873FC">
              <w:rPr>
                <w:rFonts w:ascii="Arial" w:hAnsi="Arial" w:cs="Arial"/>
                <w:sz w:val="20"/>
                <w:szCs w:val="20"/>
              </w:rPr>
              <w:t>2.0</w:t>
            </w:r>
            <w:r>
              <w:rPr>
                <w:rFonts w:ascii="Arial" w:hAnsi="Arial" w:cs="Arial"/>
                <w:sz w:val="20"/>
                <w:szCs w:val="20"/>
              </w:rPr>
              <w:t>-3.99</w:t>
            </w:r>
          </w:p>
          <w:p w:rsidR="00386381" w:rsidRPr="00B0386C" w:rsidRDefault="00386381" w:rsidP="00386381">
            <w:pPr>
              <w:jc w:val="center"/>
              <w:rPr>
                <w:rFonts w:ascii="Arial" w:eastAsia="Times New Roman" w:hAnsi="Arial" w:cs="Arial"/>
                <w:color w:val="000000"/>
                <w:sz w:val="20"/>
                <w:szCs w:val="20"/>
                <w:lang w:eastAsia="en-GB"/>
              </w:rPr>
            </w:pPr>
            <w:r w:rsidRPr="006873FC">
              <w:rPr>
                <w:rFonts w:ascii="Arial" w:hAnsi="Arial" w:cs="Arial"/>
                <w:sz w:val="20"/>
                <w:szCs w:val="20"/>
              </w:rPr>
              <w:t>(+++) strong re</w:t>
            </w:r>
            <w:r>
              <w:rPr>
                <w:rFonts w:ascii="Arial" w:hAnsi="Arial" w:cs="Arial"/>
                <w:sz w:val="20"/>
                <w:szCs w:val="20"/>
              </w:rPr>
              <w:t>sponse with stimulation index &gt;4</w:t>
            </w:r>
            <w:r w:rsidRPr="006873FC">
              <w:rPr>
                <w:rFonts w:ascii="Arial" w:hAnsi="Arial" w:cs="Arial"/>
                <w:sz w:val="20"/>
                <w:szCs w:val="20"/>
              </w:rPr>
              <w:t>.0</w:t>
            </w:r>
          </w:p>
        </w:tc>
      </w:tr>
    </w:tbl>
    <w:p w:rsidR="00386381" w:rsidRDefault="00386381" w:rsidP="00386381"/>
    <w:p w:rsidR="00386381" w:rsidRDefault="00386381" w:rsidP="00386381">
      <w:r>
        <w:br w:type="page"/>
      </w:r>
    </w:p>
    <w:p w:rsidR="00386381" w:rsidRDefault="00386381" w:rsidP="00386381"/>
    <w:tbl>
      <w:tblPr>
        <w:tblStyle w:val="TableGrid"/>
        <w:tblW w:w="0" w:type="auto"/>
        <w:jc w:val="center"/>
        <w:tblLook w:val="04A0" w:firstRow="1" w:lastRow="0" w:firstColumn="1" w:lastColumn="0" w:noHBand="0" w:noVBand="1"/>
      </w:tblPr>
      <w:tblGrid>
        <w:gridCol w:w="863"/>
        <w:gridCol w:w="1908"/>
        <w:gridCol w:w="806"/>
        <w:gridCol w:w="1537"/>
        <w:gridCol w:w="1223"/>
        <w:gridCol w:w="1075"/>
        <w:gridCol w:w="962"/>
      </w:tblGrid>
      <w:tr w:rsidR="00386381" w:rsidRPr="006873FC" w:rsidTr="00386381">
        <w:trPr>
          <w:trHeight w:val="283"/>
          <w:jc w:val="center"/>
        </w:trPr>
        <w:tc>
          <w:tcPr>
            <w:tcW w:w="0" w:type="auto"/>
            <w:gridSpan w:val="7"/>
            <w:vAlign w:val="center"/>
          </w:tcPr>
          <w:p w:rsidR="00386381" w:rsidRPr="006873FC" w:rsidRDefault="00386381" w:rsidP="00386381">
            <w:pPr>
              <w:jc w:val="center"/>
              <w:rPr>
                <w:rFonts w:ascii="Arial" w:hAnsi="Arial" w:cs="Arial"/>
                <w:b/>
                <w:sz w:val="20"/>
                <w:szCs w:val="20"/>
              </w:rPr>
            </w:pPr>
            <w:r w:rsidRPr="006873FC">
              <w:rPr>
                <w:rFonts w:ascii="Arial" w:hAnsi="Arial" w:cs="Arial"/>
                <w:b/>
                <w:sz w:val="20"/>
                <w:szCs w:val="20"/>
              </w:rPr>
              <w:t xml:space="preserve">Table </w:t>
            </w:r>
            <w:r>
              <w:rPr>
                <w:rFonts w:ascii="Arial" w:hAnsi="Arial" w:cs="Arial"/>
                <w:b/>
                <w:sz w:val="20"/>
                <w:szCs w:val="20"/>
              </w:rPr>
              <w:t>3.</w:t>
            </w:r>
            <w:r w:rsidRPr="006873FC">
              <w:rPr>
                <w:rFonts w:ascii="Arial" w:hAnsi="Arial" w:cs="Arial"/>
                <w:b/>
                <w:sz w:val="20"/>
                <w:szCs w:val="20"/>
              </w:rPr>
              <w:t xml:space="preserve">  Priming of naïve T cells </w:t>
            </w:r>
            <w:r>
              <w:rPr>
                <w:rFonts w:ascii="Arial" w:hAnsi="Arial" w:cs="Arial"/>
                <w:b/>
                <w:sz w:val="20"/>
                <w:szCs w:val="20"/>
              </w:rPr>
              <w:t>to compounds not associated with an HLA risk allele</w:t>
            </w:r>
          </w:p>
        </w:tc>
      </w:tr>
      <w:tr w:rsidR="00386381" w:rsidRPr="006873FC" w:rsidTr="00386381">
        <w:trPr>
          <w:trHeight w:val="283"/>
          <w:jc w:val="center"/>
        </w:trPr>
        <w:tc>
          <w:tcPr>
            <w:tcW w:w="0" w:type="auto"/>
            <w:vAlign w:val="center"/>
          </w:tcPr>
          <w:p w:rsidR="00386381" w:rsidRPr="006873FC" w:rsidRDefault="00386381" w:rsidP="00386381">
            <w:pPr>
              <w:jc w:val="center"/>
              <w:rPr>
                <w:rFonts w:ascii="Arial" w:hAnsi="Arial" w:cs="Arial"/>
                <w:b/>
                <w:sz w:val="20"/>
                <w:szCs w:val="20"/>
              </w:rPr>
            </w:pPr>
          </w:p>
        </w:tc>
        <w:tc>
          <w:tcPr>
            <w:tcW w:w="0" w:type="auto"/>
            <w:vAlign w:val="center"/>
          </w:tcPr>
          <w:p w:rsidR="00386381" w:rsidRPr="006873FC" w:rsidRDefault="00386381" w:rsidP="00386381">
            <w:pPr>
              <w:jc w:val="center"/>
              <w:rPr>
                <w:rFonts w:ascii="Arial" w:hAnsi="Arial" w:cs="Arial"/>
                <w:b/>
                <w:sz w:val="20"/>
                <w:szCs w:val="20"/>
              </w:rPr>
            </w:pPr>
          </w:p>
        </w:tc>
        <w:tc>
          <w:tcPr>
            <w:tcW w:w="0" w:type="auto"/>
            <w:vAlign w:val="center"/>
          </w:tcPr>
          <w:p w:rsidR="00386381" w:rsidRPr="006873FC" w:rsidRDefault="00386381" w:rsidP="00386381">
            <w:pPr>
              <w:jc w:val="center"/>
              <w:rPr>
                <w:rFonts w:ascii="Arial" w:hAnsi="Arial" w:cs="Arial"/>
                <w:b/>
                <w:sz w:val="20"/>
                <w:szCs w:val="20"/>
              </w:rPr>
            </w:pPr>
          </w:p>
        </w:tc>
        <w:tc>
          <w:tcPr>
            <w:tcW w:w="1535" w:type="dxa"/>
            <w:vAlign w:val="center"/>
          </w:tcPr>
          <w:p w:rsidR="00386381" w:rsidRPr="006873FC" w:rsidRDefault="00386381" w:rsidP="00386381">
            <w:pPr>
              <w:jc w:val="center"/>
              <w:rPr>
                <w:rFonts w:ascii="Arial" w:hAnsi="Arial" w:cs="Arial"/>
                <w:b/>
                <w:sz w:val="20"/>
                <w:szCs w:val="20"/>
                <w:vertAlign w:val="superscript"/>
              </w:rPr>
            </w:pPr>
            <w:r w:rsidRPr="006873FC">
              <w:rPr>
                <w:rFonts w:ascii="Arial" w:hAnsi="Arial" w:cs="Arial"/>
                <w:b/>
                <w:sz w:val="20"/>
                <w:szCs w:val="20"/>
              </w:rPr>
              <w:t>Proliferation</w:t>
            </w:r>
          </w:p>
        </w:tc>
        <w:tc>
          <w:tcPr>
            <w:tcW w:w="2296" w:type="dxa"/>
            <w:gridSpan w:val="2"/>
            <w:vAlign w:val="center"/>
          </w:tcPr>
          <w:p w:rsidR="00386381" w:rsidRPr="006873FC" w:rsidRDefault="00386381" w:rsidP="00386381">
            <w:pPr>
              <w:jc w:val="center"/>
              <w:rPr>
                <w:rFonts w:ascii="Arial" w:hAnsi="Arial" w:cs="Arial"/>
                <w:b/>
                <w:sz w:val="20"/>
                <w:szCs w:val="20"/>
              </w:rPr>
            </w:pPr>
            <w:proofErr w:type="spellStart"/>
            <w:r w:rsidRPr="006873FC">
              <w:rPr>
                <w:rFonts w:ascii="Arial" w:hAnsi="Arial" w:cs="Arial"/>
                <w:b/>
                <w:sz w:val="20"/>
                <w:szCs w:val="20"/>
              </w:rPr>
              <w:t>ELISpot</w:t>
            </w:r>
            <w:proofErr w:type="spellEnd"/>
          </w:p>
        </w:tc>
        <w:tc>
          <w:tcPr>
            <w:tcW w:w="0" w:type="auto"/>
            <w:vAlign w:val="center"/>
          </w:tcPr>
          <w:p w:rsidR="00386381" w:rsidRPr="006873FC" w:rsidRDefault="00386381" w:rsidP="00386381">
            <w:pPr>
              <w:jc w:val="center"/>
              <w:rPr>
                <w:rFonts w:ascii="Arial" w:hAnsi="Arial" w:cs="Arial"/>
                <w:b/>
                <w:sz w:val="20"/>
                <w:szCs w:val="20"/>
              </w:rPr>
            </w:pPr>
            <w:r w:rsidRPr="006873FC">
              <w:rPr>
                <w:rFonts w:ascii="Arial" w:hAnsi="Arial" w:cs="Arial"/>
                <w:b/>
                <w:sz w:val="20"/>
                <w:szCs w:val="20"/>
              </w:rPr>
              <w:t>Cloning</w:t>
            </w:r>
          </w:p>
        </w:tc>
      </w:tr>
      <w:tr w:rsidR="00386381" w:rsidRPr="006873FC" w:rsidTr="00386381">
        <w:trPr>
          <w:trHeight w:val="283"/>
          <w:jc w:val="center"/>
        </w:trPr>
        <w:tc>
          <w:tcPr>
            <w:tcW w:w="0" w:type="auto"/>
            <w:vAlign w:val="center"/>
          </w:tcPr>
          <w:p w:rsidR="00386381" w:rsidRPr="006873FC" w:rsidRDefault="00386381" w:rsidP="00386381">
            <w:pPr>
              <w:jc w:val="center"/>
              <w:rPr>
                <w:rFonts w:ascii="Arial" w:hAnsi="Arial" w:cs="Arial"/>
                <w:b/>
                <w:sz w:val="20"/>
                <w:szCs w:val="20"/>
              </w:rPr>
            </w:pPr>
            <w:r w:rsidRPr="006873FC">
              <w:rPr>
                <w:rFonts w:ascii="Arial" w:hAnsi="Arial" w:cs="Arial"/>
                <w:b/>
                <w:sz w:val="20"/>
                <w:szCs w:val="20"/>
              </w:rPr>
              <w:t>Alleles</w:t>
            </w:r>
          </w:p>
        </w:tc>
        <w:tc>
          <w:tcPr>
            <w:tcW w:w="0" w:type="auto"/>
            <w:vAlign w:val="center"/>
          </w:tcPr>
          <w:p w:rsidR="00386381" w:rsidRPr="006873FC" w:rsidRDefault="00386381" w:rsidP="00386381">
            <w:pPr>
              <w:jc w:val="center"/>
              <w:rPr>
                <w:rFonts w:ascii="Arial" w:hAnsi="Arial" w:cs="Arial"/>
                <w:b/>
                <w:sz w:val="20"/>
                <w:szCs w:val="20"/>
              </w:rPr>
            </w:pPr>
            <w:r w:rsidRPr="006873FC">
              <w:rPr>
                <w:rFonts w:ascii="Arial" w:hAnsi="Arial" w:cs="Arial"/>
                <w:b/>
                <w:sz w:val="20"/>
                <w:szCs w:val="20"/>
              </w:rPr>
              <w:t>Drug</w:t>
            </w:r>
          </w:p>
        </w:tc>
        <w:tc>
          <w:tcPr>
            <w:tcW w:w="0" w:type="auto"/>
            <w:vAlign w:val="center"/>
          </w:tcPr>
          <w:p w:rsidR="00386381" w:rsidRPr="006873FC" w:rsidRDefault="00386381" w:rsidP="00386381">
            <w:pPr>
              <w:jc w:val="center"/>
              <w:rPr>
                <w:rFonts w:ascii="Arial" w:hAnsi="Arial" w:cs="Arial"/>
                <w:b/>
                <w:sz w:val="20"/>
                <w:szCs w:val="20"/>
              </w:rPr>
            </w:pPr>
            <w:r w:rsidRPr="006873FC">
              <w:rPr>
                <w:rFonts w:ascii="Arial" w:hAnsi="Arial" w:cs="Arial"/>
                <w:b/>
                <w:sz w:val="20"/>
                <w:szCs w:val="20"/>
              </w:rPr>
              <w:t>Donor</w:t>
            </w:r>
          </w:p>
        </w:tc>
        <w:tc>
          <w:tcPr>
            <w:tcW w:w="1535" w:type="dxa"/>
            <w:vAlign w:val="center"/>
          </w:tcPr>
          <w:p w:rsidR="00386381" w:rsidRPr="006873FC" w:rsidRDefault="00386381" w:rsidP="00386381">
            <w:pPr>
              <w:jc w:val="center"/>
              <w:rPr>
                <w:rFonts w:ascii="Arial" w:hAnsi="Arial" w:cs="Arial"/>
                <w:b/>
                <w:sz w:val="20"/>
                <w:szCs w:val="20"/>
              </w:rPr>
            </w:pPr>
            <w:r w:rsidRPr="006873FC">
              <w:rPr>
                <w:rFonts w:ascii="Arial" w:hAnsi="Arial" w:cs="Arial"/>
                <w:b/>
                <w:sz w:val="20"/>
                <w:szCs w:val="20"/>
                <w:vertAlign w:val="superscript"/>
              </w:rPr>
              <w:t>3</w:t>
            </w:r>
            <w:r w:rsidRPr="006873FC">
              <w:rPr>
                <w:rFonts w:ascii="Arial" w:hAnsi="Arial" w:cs="Arial"/>
                <w:b/>
                <w:sz w:val="20"/>
                <w:szCs w:val="20"/>
              </w:rPr>
              <w:t>H</w:t>
            </w:r>
          </w:p>
        </w:tc>
        <w:tc>
          <w:tcPr>
            <w:tcW w:w="1222" w:type="dxa"/>
            <w:vAlign w:val="center"/>
          </w:tcPr>
          <w:p w:rsidR="00386381" w:rsidRPr="006873FC" w:rsidRDefault="00386381" w:rsidP="00386381">
            <w:pPr>
              <w:jc w:val="center"/>
              <w:rPr>
                <w:rFonts w:ascii="Symbol" w:hAnsi="Symbol" w:cs="Arial"/>
                <w:b/>
                <w:sz w:val="20"/>
                <w:szCs w:val="20"/>
              </w:rPr>
            </w:pPr>
            <w:r w:rsidRPr="006873FC">
              <w:rPr>
                <w:rFonts w:ascii="Arial" w:hAnsi="Arial" w:cs="Arial"/>
                <w:b/>
                <w:sz w:val="20"/>
                <w:szCs w:val="20"/>
              </w:rPr>
              <w:t>IFN</w:t>
            </w:r>
            <w:r>
              <w:rPr>
                <w:rFonts w:ascii="Symbol" w:hAnsi="Symbol" w:cs="Arial"/>
                <w:b/>
                <w:sz w:val="20"/>
                <w:szCs w:val="20"/>
              </w:rPr>
              <w:t></w:t>
            </w:r>
          </w:p>
        </w:tc>
        <w:tc>
          <w:tcPr>
            <w:tcW w:w="1074" w:type="dxa"/>
            <w:vAlign w:val="center"/>
          </w:tcPr>
          <w:p w:rsidR="00386381" w:rsidRPr="006873FC" w:rsidRDefault="00386381" w:rsidP="00386381">
            <w:pPr>
              <w:jc w:val="center"/>
              <w:rPr>
                <w:rFonts w:ascii="Arial" w:hAnsi="Arial" w:cs="Arial"/>
                <w:b/>
                <w:sz w:val="20"/>
                <w:szCs w:val="20"/>
              </w:rPr>
            </w:pPr>
            <w:r w:rsidRPr="006873FC">
              <w:rPr>
                <w:rFonts w:ascii="Arial" w:hAnsi="Arial" w:cs="Arial"/>
                <w:b/>
                <w:sz w:val="20"/>
                <w:szCs w:val="20"/>
              </w:rPr>
              <w:t>IL-13</w:t>
            </w:r>
          </w:p>
        </w:tc>
        <w:tc>
          <w:tcPr>
            <w:tcW w:w="0" w:type="auto"/>
            <w:vAlign w:val="center"/>
          </w:tcPr>
          <w:p w:rsidR="00386381" w:rsidRPr="006873FC" w:rsidRDefault="00386381" w:rsidP="00386381">
            <w:pPr>
              <w:jc w:val="center"/>
              <w:rPr>
                <w:rFonts w:ascii="Arial" w:hAnsi="Arial" w:cs="Arial"/>
                <w:b/>
                <w:sz w:val="20"/>
                <w:szCs w:val="20"/>
              </w:rPr>
            </w:pPr>
          </w:p>
        </w:tc>
      </w:tr>
      <w:tr w:rsidR="00386381" w:rsidRPr="006873FC" w:rsidTr="00386381">
        <w:trPr>
          <w:jc w:val="center"/>
        </w:trPr>
        <w:tc>
          <w:tcPr>
            <w:tcW w:w="0" w:type="auto"/>
            <w:vMerge w:val="restart"/>
          </w:tcPr>
          <w:p w:rsidR="00386381" w:rsidRPr="006873FC" w:rsidRDefault="00386381" w:rsidP="00386381">
            <w:pPr>
              <w:rPr>
                <w:rFonts w:ascii="Arial" w:hAnsi="Arial" w:cs="Arial"/>
                <w:sz w:val="20"/>
                <w:szCs w:val="20"/>
              </w:rPr>
            </w:pPr>
            <w:r w:rsidRPr="006873FC">
              <w:rPr>
                <w:rFonts w:ascii="Arial" w:hAnsi="Arial" w:cs="Arial"/>
                <w:sz w:val="20"/>
                <w:szCs w:val="20"/>
              </w:rPr>
              <w:t>None</w:t>
            </w:r>
          </w:p>
        </w:tc>
        <w:tc>
          <w:tcPr>
            <w:tcW w:w="0" w:type="auto"/>
            <w:vMerge w:val="restart"/>
          </w:tcPr>
          <w:p w:rsidR="00386381" w:rsidRDefault="00386381" w:rsidP="00386381">
            <w:pPr>
              <w:rPr>
                <w:rFonts w:ascii="Arial" w:hAnsi="Arial" w:cs="Arial"/>
                <w:sz w:val="20"/>
                <w:szCs w:val="20"/>
              </w:rPr>
            </w:pPr>
            <w:proofErr w:type="spellStart"/>
            <w:r w:rsidRPr="006873FC">
              <w:rPr>
                <w:rFonts w:ascii="Arial" w:hAnsi="Arial" w:cs="Arial"/>
                <w:sz w:val="20"/>
                <w:szCs w:val="20"/>
              </w:rPr>
              <w:t>Bandrowski’s</w:t>
            </w:r>
            <w:proofErr w:type="spellEnd"/>
            <w:r w:rsidRPr="006873FC">
              <w:rPr>
                <w:rFonts w:ascii="Arial" w:hAnsi="Arial" w:cs="Arial"/>
                <w:sz w:val="20"/>
                <w:szCs w:val="20"/>
              </w:rPr>
              <w:t xml:space="preserve"> Base</w:t>
            </w:r>
          </w:p>
          <w:p w:rsidR="00386381" w:rsidRPr="006873FC" w:rsidRDefault="00386381" w:rsidP="00386381">
            <w:pPr>
              <w:rPr>
                <w:rFonts w:ascii="Arial" w:hAnsi="Arial" w:cs="Arial"/>
                <w:sz w:val="20"/>
                <w:szCs w:val="20"/>
              </w:rPr>
            </w:pPr>
            <w:r>
              <w:rPr>
                <w:rFonts w:ascii="Arial" w:hAnsi="Arial" w:cs="Arial"/>
                <w:sz w:val="20"/>
                <w:szCs w:val="20"/>
              </w:rPr>
              <w:t>(Skin)</w:t>
            </w:r>
          </w:p>
          <w:p w:rsidR="00386381" w:rsidRPr="006873FC" w:rsidRDefault="00386381" w:rsidP="00386381">
            <w:pPr>
              <w:rPr>
                <w:rFonts w:ascii="Arial" w:hAnsi="Arial" w:cs="Arial"/>
                <w:sz w:val="20"/>
                <w:szCs w:val="20"/>
              </w:rPr>
            </w:pPr>
          </w:p>
        </w:tc>
        <w:tc>
          <w:tcPr>
            <w:tcW w:w="0" w:type="auto"/>
          </w:tcPr>
          <w:p w:rsidR="00386381" w:rsidRPr="006873FC" w:rsidRDefault="00386381" w:rsidP="00386381">
            <w:pPr>
              <w:rPr>
                <w:rFonts w:ascii="Arial" w:hAnsi="Arial" w:cs="Arial"/>
                <w:sz w:val="20"/>
                <w:szCs w:val="20"/>
              </w:rPr>
            </w:pPr>
            <w:r w:rsidRPr="006873FC">
              <w:rPr>
                <w:rFonts w:ascii="Arial" w:hAnsi="Arial" w:cs="Arial"/>
                <w:sz w:val="20"/>
                <w:szCs w:val="20"/>
              </w:rPr>
              <w:t>V01</w:t>
            </w:r>
          </w:p>
        </w:tc>
        <w:tc>
          <w:tcPr>
            <w:tcW w:w="1535" w:type="dxa"/>
            <w:shd w:val="clear" w:color="auto" w:fill="BFBFBF" w:themeFill="background1" w:themeFillShade="BF"/>
            <w:vAlign w:val="center"/>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1222" w:type="dxa"/>
            <w:shd w:val="clear" w:color="auto" w:fill="F2F2F2" w:themeFill="background1" w:themeFillShade="F2"/>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1074" w:type="dxa"/>
            <w:shd w:val="clear" w:color="auto" w:fill="D9D9D9" w:themeFill="background1" w:themeFillShade="D9"/>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tcPr>
          <w:p w:rsidR="00386381" w:rsidRPr="006873FC" w:rsidRDefault="00386381" w:rsidP="00386381">
            <w:pPr>
              <w:jc w:val="center"/>
              <w:rPr>
                <w:rFonts w:ascii="Arial" w:hAnsi="Arial" w:cs="Arial"/>
                <w:sz w:val="20"/>
                <w:szCs w:val="20"/>
              </w:rPr>
            </w:pPr>
          </w:p>
        </w:tc>
      </w:tr>
      <w:tr w:rsidR="00386381" w:rsidRPr="006873FC" w:rsidTr="00386381">
        <w:trPr>
          <w:jc w:val="center"/>
        </w:trPr>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Pr="006873FC" w:rsidRDefault="00386381" w:rsidP="00386381">
            <w:pPr>
              <w:rPr>
                <w:rFonts w:ascii="Arial" w:hAnsi="Arial" w:cs="Arial"/>
                <w:sz w:val="20"/>
                <w:szCs w:val="20"/>
              </w:rPr>
            </w:pPr>
            <w:r>
              <w:rPr>
                <w:rFonts w:ascii="Arial" w:hAnsi="Arial" w:cs="Arial"/>
                <w:sz w:val="20"/>
                <w:szCs w:val="20"/>
              </w:rPr>
              <w:t>V02</w:t>
            </w:r>
          </w:p>
        </w:tc>
        <w:tc>
          <w:tcPr>
            <w:tcW w:w="1535" w:type="dxa"/>
            <w:shd w:val="clear" w:color="auto" w:fill="BFBFBF" w:themeFill="background1" w:themeFillShade="BF"/>
            <w:vAlign w:val="center"/>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1222" w:type="dxa"/>
            <w:vAlign w:val="center"/>
          </w:tcPr>
          <w:p w:rsidR="00386381" w:rsidRPr="006873FC" w:rsidRDefault="00386381" w:rsidP="00386381">
            <w:pPr>
              <w:jc w:val="center"/>
              <w:rPr>
                <w:rFonts w:ascii="Arial" w:hAnsi="Arial" w:cs="Arial"/>
                <w:sz w:val="20"/>
                <w:szCs w:val="20"/>
              </w:rPr>
            </w:pPr>
          </w:p>
        </w:tc>
        <w:tc>
          <w:tcPr>
            <w:tcW w:w="1074" w:type="dxa"/>
            <w:shd w:val="clear" w:color="auto" w:fill="D9D9D9" w:themeFill="background1" w:themeFillShade="D9"/>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tcPr>
          <w:p w:rsidR="00386381" w:rsidRPr="006873FC" w:rsidRDefault="00386381" w:rsidP="00386381">
            <w:pPr>
              <w:jc w:val="center"/>
              <w:rPr>
                <w:rFonts w:ascii="Arial" w:hAnsi="Arial" w:cs="Arial"/>
                <w:sz w:val="20"/>
                <w:szCs w:val="20"/>
              </w:rPr>
            </w:pPr>
            <w:r w:rsidRPr="006873FC">
              <w:rPr>
                <w:rFonts w:ascii="Arial" w:hAnsi="Arial" w:cs="Arial"/>
                <w:sz w:val="20"/>
                <w:szCs w:val="20"/>
              </w:rPr>
              <w:t>Yes</w:t>
            </w:r>
          </w:p>
        </w:tc>
      </w:tr>
      <w:tr w:rsidR="00386381" w:rsidRPr="006873FC" w:rsidTr="00386381">
        <w:trPr>
          <w:jc w:val="center"/>
        </w:trPr>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Pr="006873FC" w:rsidRDefault="00386381" w:rsidP="00386381">
            <w:pPr>
              <w:rPr>
                <w:rFonts w:ascii="Arial" w:hAnsi="Arial" w:cs="Arial"/>
                <w:sz w:val="20"/>
                <w:szCs w:val="20"/>
              </w:rPr>
            </w:pPr>
            <w:r>
              <w:rPr>
                <w:rFonts w:ascii="Arial" w:hAnsi="Arial" w:cs="Arial"/>
                <w:sz w:val="20"/>
                <w:szCs w:val="20"/>
              </w:rPr>
              <w:t>V03</w:t>
            </w:r>
          </w:p>
        </w:tc>
        <w:tc>
          <w:tcPr>
            <w:tcW w:w="1535" w:type="dxa"/>
            <w:shd w:val="clear" w:color="auto" w:fill="A6A6A6" w:themeFill="background1" w:themeFillShade="A6"/>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1222" w:type="dxa"/>
            <w:shd w:val="clear" w:color="auto" w:fill="F2F2F2" w:themeFill="background1" w:themeFillShade="F2"/>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1074" w:type="dxa"/>
            <w:shd w:val="clear" w:color="auto" w:fill="BFBFBF" w:themeFill="background1" w:themeFillShade="BF"/>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tcPr>
          <w:p w:rsidR="00386381" w:rsidRPr="006873FC" w:rsidRDefault="00386381" w:rsidP="00386381">
            <w:pPr>
              <w:jc w:val="center"/>
              <w:rPr>
                <w:rFonts w:ascii="Arial" w:hAnsi="Arial" w:cs="Arial"/>
                <w:sz w:val="20"/>
                <w:szCs w:val="20"/>
              </w:rPr>
            </w:pPr>
          </w:p>
        </w:tc>
      </w:tr>
      <w:tr w:rsidR="00386381" w:rsidRPr="006873FC" w:rsidTr="00386381">
        <w:trPr>
          <w:jc w:val="center"/>
        </w:trPr>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Pr="006873FC" w:rsidRDefault="00386381" w:rsidP="00386381">
            <w:pPr>
              <w:rPr>
                <w:rFonts w:ascii="Arial" w:hAnsi="Arial" w:cs="Arial"/>
                <w:sz w:val="20"/>
                <w:szCs w:val="20"/>
              </w:rPr>
            </w:pPr>
            <w:r>
              <w:rPr>
                <w:rFonts w:ascii="Arial" w:hAnsi="Arial" w:cs="Arial"/>
                <w:sz w:val="20"/>
                <w:szCs w:val="20"/>
              </w:rPr>
              <w:t>V04</w:t>
            </w:r>
          </w:p>
        </w:tc>
        <w:tc>
          <w:tcPr>
            <w:tcW w:w="1535" w:type="dxa"/>
            <w:shd w:val="clear" w:color="auto" w:fill="D9D9D9" w:themeFill="background1" w:themeFillShade="D9"/>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1222" w:type="dxa"/>
            <w:vAlign w:val="center"/>
          </w:tcPr>
          <w:p w:rsidR="00386381" w:rsidRPr="006873FC" w:rsidRDefault="00386381" w:rsidP="00386381">
            <w:pPr>
              <w:jc w:val="center"/>
              <w:rPr>
                <w:rFonts w:ascii="Arial" w:hAnsi="Arial" w:cs="Arial"/>
                <w:sz w:val="20"/>
                <w:szCs w:val="20"/>
              </w:rPr>
            </w:pPr>
          </w:p>
        </w:tc>
        <w:tc>
          <w:tcPr>
            <w:tcW w:w="1074" w:type="dxa"/>
            <w:shd w:val="clear" w:color="auto" w:fill="BFBFBF" w:themeFill="background1" w:themeFillShade="BF"/>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tcPr>
          <w:p w:rsidR="00386381" w:rsidRPr="006873FC" w:rsidRDefault="00386381" w:rsidP="00386381">
            <w:pPr>
              <w:jc w:val="center"/>
              <w:rPr>
                <w:rFonts w:ascii="Arial" w:hAnsi="Arial" w:cs="Arial"/>
                <w:sz w:val="20"/>
                <w:szCs w:val="20"/>
              </w:rPr>
            </w:pPr>
          </w:p>
        </w:tc>
      </w:tr>
      <w:tr w:rsidR="00386381" w:rsidRPr="006873FC" w:rsidTr="00386381">
        <w:trPr>
          <w:jc w:val="center"/>
        </w:trPr>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Pr="006873FC" w:rsidRDefault="00386381" w:rsidP="00386381">
            <w:pPr>
              <w:rPr>
                <w:rFonts w:ascii="Arial" w:hAnsi="Arial" w:cs="Arial"/>
                <w:sz w:val="20"/>
                <w:szCs w:val="20"/>
              </w:rPr>
            </w:pPr>
            <w:r>
              <w:rPr>
                <w:rFonts w:ascii="Arial" w:hAnsi="Arial" w:cs="Arial"/>
                <w:sz w:val="20"/>
                <w:szCs w:val="20"/>
              </w:rPr>
              <w:t>V05</w:t>
            </w:r>
          </w:p>
        </w:tc>
        <w:tc>
          <w:tcPr>
            <w:tcW w:w="1535" w:type="dxa"/>
            <w:shd w:val="clear" w:color="auto" w:fill="BFBFBF" w:themeFill="background1" w:themeFillShade="BF"/>
            <w:vAlign w:val="center"/>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1222" w:type="dxa"/>
            <w:shd w:val="clear" w:color="auto" w:fill="D9D9D9" w:themeFill="background1" w:themeFillShade="D9"/>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1074" w:type="dxa"/>
            <w:shd w:val="clear" w:color="auto" w:fill="A6A6A6" w:themeFill="background1" w:themeFillShade="A6"/>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tcPr>
          <w:p w:rsidR="00386381" w:rsidRPr="006873FC" w:rsidRDefault="00386381" w:rsidP="00386381">
            <w:pPr>
              <w:jc w:val="center"/>
              <w:rPr>
                <w:rFonts w:ascii="Arial" w:hAnsi="Arial" w:cs="Arial"/>
                <w:sz w:val="20"/>
                <w:szCs w:val="20"/>
              </w:rPr>
            </w:pPr>
          </w:p>
        </w:tc>
      </w:tr>
      <w:tr w:rsidR="00386381" w:rsidRPr="006873FC" w:rsidTr="00386381">
        <w:trPr>
          <w:jc w:val="center"/>
        </w:trPr>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Pr="006873FC" w:rsidRDefault="00386381" w:rsidP="00386381">
            <w:pPr>
              <w:rPr>
                <w:rFonts w:ascii="Arial" w:hAnsi="Arial" w:cs="Arial"/>
                <w:sz w:val="20"/>
                <w:szCs w:val="20"/>
              </w:rPr>
            </w:pPr>
            <w:r>
              <w:rPr>
                <w:rFonts w:ascii="Arial" w:hAnsi="Arial" w:cs="Arial"/>
                <w:sz w:val="20"/>
                <w:szCs w:val="20"/>
              </w:rPr>
              <w:t>V06</w:t>
            </w:r>
          </w:p>
        </w:tc>
        <w:tc>
          <w:tcPr>
            <w:tcW w:w="1535" w:type="dxa"/>
            <w:shd w:val="clear" w:color="auto" w:fill="BFBFBF" w:themeFill="background1" w:themeFillShade="BF"/>
            <w:vAlign w:val="center"/>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1222" w:type="dxa"/>
            <w:shd w:val="clear" w:color="auto" w:fill="D9D9D9" w:themeFill="background1" w:themeFillShade="D9"/>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1074" w:type="dxa"/>
            <w:shd w:val="clear" w:color="auto" w:fill="A6A6A6" w:themeFill="background1" w:themeFillShade="A6"/>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tcPr>
          <w:p w:rsidR="00386381" w:rsidRPr="006873FC" w:rsidRDefault="00386381" w:rsidP="00386381">
            <w:pPr>
              <w:jc w:val="center"/>
              <w:rPr>
                <w:rFonts w:ascii="Arial" w:hAnsi="Arial" w:cs="Arial"/>
                <w:sz w:val="20"/>
                <w:szCs w:val="20"/>
              </w:rPr>
            </w:pPr>
          </w:p>
        </w:tc>
      </w:tr>
      <w:tr w:rsidR="00386381" w:rsidTr="00386381">
        <w:trPr>
          <w:jc w:val="center"/>
        </w:trPr>
        <w:tc>
          <w:tcPr>
            <w:tcW w:w="0" w:type="auto"/>
            <w:vMerge w:val="restart"/>
          </w:tcPr>
          <w:p w:rsidR="00386381" w:rsidRPr="006873FC" w:rsidRDefault="00386381" w:rsidP="00386381">
            <w:pPr>
              <w:rPr>
                <w:rFonts w:ascii="Arial" w:hAnsi="Arial" w:cs="Arial"/>
                <w:sz w:val="20"/>
                <w:szCs w:val="20"/>
              </w:rPr>
            </w:pPr>
            <w:r>
              <w:rPr>
                <w:rFonts w:ascii="Arial" w:hAnsi="Arial" w:cs="Arial"/>
                <w:sz w:val="20"/>
                <w:szCs w:val="20"/>
              </w:rPr>
              <w:t>None</w:t>
            </w:r>
          </w:p>
        </w:tc>
        <w:tc>
          <w:tcPr>
            <w:tcW w:w="0" w:type="auto"/>
            <w:vMerge w:val="restart"/>
          </w:tcPr>
          <w:p w:rsidR="00386381" w:rsidRDefault="00386381" w:rsidP="00386381">
            <w:pPr>
              <w:rPr>
                <w:rFonts w:ascii="Arial" w:hAnsi="Arial" w:cs="Arial"/>
                <w:sz w:val="20"/>
                <w:szCs w:val="20"/>
              </w:rPr>
            </w:pPr>
            <w:r>
              <w:rPr>
                <w:rFonts w:ascii="Arial" w:hAnsi="Arial" w:cs="Arial"/>
                <w:sz w:val="20"/>
                <w:szCs w:val="20"/>
              </w:rPr>
              <w:t>Piperacillin</w:t>
            </w:r>
          </w:p>
          <w:p w:rsidR="00386381" w:rsidRPr="006873FC" w:rsidRDefault="00386381" w:rsidP="00386381">
            <w:pPr>
              <w:rPr>
                <w:rFonts w:ascii="Arial" w:hAnsi="Arial" w:cs="Arial"/>
                <w:sz w:val="20"/>
                <w:szCs w:val="20"/>
              </w:rPr>
            </w:pPr>
            <w:r>
              <w:rPr>
                <w:rFonts w:ascii="Arial" w:hAnsi="Arial" w:cs="Arial"/>
                <w:sz w:val="20"/>
                <w:szCs w:val="20"/>
              </w:rPr>
              <w:t>(Skin)</w:t>
            </w:r>
          </w:p>
        </w:tc>
        <w:tc>
          <w:tcPr>
            <w:tcW w:w="0" w:type="auto"/>
          </w:tcPr>
          <w:p w:rsidR="00386381" w:rsidRPr="006873FC" w:rsidRDefault="00386381" w:rsidP="00386381">
            <w:pPr>
              <w:rPr>
                <w:rFonts w:ascii="Arial" w:hAnsi="Arial" w:cs="Arial"/>
                <w:sz w:val="20"/>
                <w:szCs w:val="20"/>
              </w:rPr>
            </w:pPr>
            <w:r>
              <w:rPr>
                <w:rFonts w:ascii="Arial" w:hAnsi="Arial" w:cs="Arial"/>
                <w:sz w:val="20"/>
                <w:szCs w:val="20"/>
              </w:rPr>
              <w:t>V07</w:t>
            </w:r>
          </w:p>
        </w:tc>
        <w:tc>
          <w:tcPr>
            <w:tcW w:w="1535" w:type="dxa"/>
            <w:shd w:val="clear" w:color="auto" w:fill="BFBFBF" w:themeFill="background1" w:themeFillShade="BF"/>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1222" w:type="dxa"/>
            <w:shd w:val="clear" w:color="auto" w:fill="A6A6A6" w:themeFill="background1" w:themeFillShade="A6"/>
            <w:vAlign w:val="center"/>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1074" w:type="dxa"/>
            <w:shd w:val="clear" w:color="auto" w:fill="D9D9D9" w:themeFill="background1" w:themeFillShade="D9"/>
            <w:vAlign w:val="center"/>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tcPr>
          <w:p w:rsidR="00386381" w:rsidRDefault="00386381" w:rsidP="00386381">
            <w:pPr>
              <w:jc w:val="center"/>
            </w:pPr>
            <w:r w:rsidRPr="00766467">
              <w:rPr>
                <w:rFonts w:ascii="Arial" w:hAnsi="Arial" w:cs="Arial"/>
                <w:sz w:val="20"/>
                <w:szCs w:val="20"/>
              </w:rPr>
              <w:t>Yes</w:t>
            </w:r>
          </w:p>
        </w:tc>
      </w:tr>
      <w:tr w:rsidR="00386381" w:rsidTr="00386381">
        <w:trPr>
          <w:jc w:val="center"/>
        </w:trPr>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Pr="006873FC" w:rsidRDefault="00386381" w:rsidP="00386381">
            <w:pPr>
              <w:rPr>
                <w:rFonts w:ascii="Arial" w:hAnsi="Arial" w:cs="Arial"/>
                <w:sz w:val="20"/>
                <w:szCs w:val="20"/>
              </w:rPr>
            </w:pPr>
            <w:r>
              <w:rPr>
                <w:rFonts w:ascii="Arial" w:hAnsi="Arial" w:cs="Arial"/>
                <w:sz w:val="20"/>
                <w:szCs w:val="20"/>
              </w:rPr>
              <w:t>V08</w:t>
            </w:r>
          </w:p>
        </w:tc>
        <w:tc>
          <w:tcPr>
            <w:tcW w:w="1535" w:type="dxa"/>
            <w:shd w:val="clear" w:color="auto" w:fill="BFBFBF" w:themeFill="background1" w:themeFillShade="BF"/>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1222" w:type="dxa"/>
            <w:shd w:val="clear" w:color="auto" w:fill="BFBFBF" w:themeFill="background1" w:themeFillShade="BF"/>
            <w:vAlign w:val="center"/>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1074" w:type="dxa"/>
            <w:shd w:val="clear" w:color="auto" w:fill="F2F2F2" w:themeFill="background1" w:themeFillShade="F2"/>
            <w:vAlign w:val="center"/>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tcPr>
          <w:p w:rsidR="00386381" w:rsidRDefault="00386381" w:rsidP="00386381">
            <w:pPr>
              <w:jc w:val="center"/>
            </w:pPr>
            <w:r w:rsidRPr="00766467">
              <w:rPr>
                <w:rFonts w:ascii="Arial" w:hAnsi="Arial" w:cs="Arial"/>
                <w:sz w:val="20"/>
                <w:szCs w:val="20"/>
              </w:rPr>
              <w:t>Yes</w:t>
            </w:r>
          </w:p>
        </w:tc>
      </w:tr>
      <w:tr w:rsidR="00386381" w:rsidTr="00386381">
        <w:trPr>
          <w:jc w:val="center"/>
        </w:trPr>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Pr="006873FC" w:rsidRDefault="00386381" w:rsidP="00386381">
            <w:pPr>
              <w:rPr>
                <w:rFonts w:ascii="Arial" w:hAnsi="Arial" w:cs="Arial"/>
                <w:sz w:val="20"/>
                <w:szCs w:val="20"/>
              </w:rPr>
            </w:pPr>
            <w:r>
              <w:rPr>
                <w:rFonts w:ascii="Arial" w:hAnsi="Arial" w:cs="Arial"/>
                <w:sz w:val="20"/>
                <w:szCs w:val="20"/>
              </w:rPr>
              <w:t>V09</w:t>
            </w:r>
          </w:p>
        </w:tc>
        <w:tc>
          <w:tcPr>
            <w:tcW w:w="1535" w:type="dxa"/>
            <w:shd w:val="clear" w:color="auto" w:fill="BFBFBF" w:themeFill="background1" w:themeFillShade="BF"/>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1222" w:type="dxa"/>
            <w:shd w:val="clear" w:color="auto" w:fill="D9D9D9" w:themeFill="background1" w:themeFillShade="D9"/>
            <w:vAlign w:val="center"/>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1074" w:type="dxa"/>
            <w:shd w:val="clear" w:color="auto" w:fill="F2F2F2" w:themeFill="background1" w:themeFillShade="F2"/>
            <w:vAlign w:val="center"/>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tcPr>
          <w:p w:rsidR="00386381" w:rsidRDefault="00386381" w:rsidP="00386381">
            <w:pPr>
              <w:jc w:val="center"/>
            </w:pPr>
            <w:r w:rsidRPr="00766467">
              <w:rPr>
                <w:rFonts w:ascii="Arial" w:hAnsi="Arial" w:cs="Arial"/>
                <w:sz w:val="20"/>
                <w:szCs w:val="20"/>
              </w:rPr>
              <w:t>Yes</w:t>
            </w:r>
          </w:p>
        </w:tc>
      </w:tr>
      <w:tr w:rsidR="00386381" w:rsidTr="00386381">
        <w:trPr>
          <w:jc w:val="center"/>
        </w:trPr>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Pr="006873FC" w:rsidRDefault="00386381" w:rsidP="00386381">
            <w:pPr>
              <w:rPr>
                <w:rFonts w:ascii="Arial" w:hAnsi="Arial" w:cs="Arial"/>
                <w:sz w:val="20"/>
                <w:szCs w:val="20"/>
              </w:rPr>
            </w:pPr>
            <w:r>
              <w:rPr>
                <w:rFonts w:ascii="Arial" w:hAnsi="Arial" w:cs="Arial"/>
                <w:sz w:val="20"/>
                <w:szCs w:val="20"/>
              </w:rPr>
              <w:t>V10</w:t>
            </w:r>
          </w:p>
        </w:tc>
        <w:tc>
          <w:tcPr>
            <w:tcW w:w="1535" w:type="dxa"/>
            <w:shd w:val="clear" w:color="auto" w:fill="A6A6A6" w:themeFill="background1" w:themeFillShade="A6"/>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1222" w:type="dxa"/>
            <w:shd w:val="clear" w:color="auto" w:fill="A6A6A6" w:themeFill="background1" w:themeFillShade="A6"/>
            <w:vAlign w:val="center"/>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1074" w:type="dxa"/>
            <w:shd w:val="clear" w:color="auto" w:fill="F2F2F2" w:themeFill="background1" w:themeFillShade="F2"/>
            <w:vAlign w:val="center"/>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tcPr>
          <w:p w:rsidR="00386381" w:rsidRDefault="00386381" w:rsidP="00386381">
            <w:pPr>
              <w:jc w:val="center"/>
            </w:pPr>
            <w:r w:rsidRPr="00766467">
              <w:rPr>
                <w:rFonts w:ascii="Arial" w:hAnsi="Arial" w:cs="Arial"/>
                <w:sz w:val="20"/>
                <w:szCs w:val="20"/>
              </w:rPr>
              <w:t>Yes</w:t>
            </w:r>
          </w:p>
        </w:tc>
      </w:tr>
      <w:tr w:rsidR="00386381" w:rsidTr="00386381">
        <w:trPr>
          <w:jc w:val="center"/>
        </w:trPr>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Default="00386381" w:rsidP="00386381">
            <w:pPr>
              <w:rPr>
                <w:rFonts w:ascii="Arial" w:hAnsi="Arial" w:cs="Arial"/>
                <w:sz w:val="20"/>
                <w:szCs w:val="20"/>
              </w:rPr>
            </w:pPr>
            <w:r>
              <w:rPr>
                <w:rFonts w:ascii="Arial" w:hAnsi="Arial" w:cs="Arial"/>
                <w:sz w:val="20"/>
                <w:szCs w:val="20"/>
              </w:rPr>
              <w:t>V11</w:t>
            </w:r>
          </w:p>
        </w:tc>
        <w:tc>
          <w:tcPr>
            <w:tcW w:w="1535" w:type="dxa"/>
            <w:shd w:val="clear" w:color="auto" w:fill="BFBFBF" w:themeFill="background1" w:themeFillShade="BF"/>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1222" w:type="dxa"/>
            <w:shd w:val="clear" w:color="auto" w:fill="F2F2F2" w:themeFill="background1" w:themeFillShade="F2"/>
            <w:vAlign w:val="center"/>
          </w:tcPr>
          <w:p w:rsidR="00386381" w:rsidRDefault="00386381" w:rsidP="00386381">
            <w:pPr>
              <w:jc w:val="center"/>
              <w:rPr>
                <w:rFonts w:ascii="Arial" w:hAnsi="Arial" w:cs="Arial"/>
                <w:sz w:val="20"/>
                <w:szCs w:val="20"/>
              </w:rPr>
            </w:pPr>
            <w:r>
              <w:rPr>
                <w:rFonts w:ascii="Arial" w:hAnsi="Arial" w:cs="Arial"/>
                <w:sz w:val="20"/>
                <w:szCs w:val="20"/>
              </w:rPr>
              <w:t>-</w:t>
            </w:r>
          </w:p>
        </w:tc>
        <w:tc>
          <w:tcPr>
            <w:tcW w:w="1074" w:type="dxa"/>
            <w:shd w:val="clear" w:color="auto" w:fill="F2F2F2" w:themeFill="background1" w:themeFillShade="F2"/>
            <w:vAlign w:val="center"/>
          </w:tcPr>
          <w:p w:rsidR="00386381" w:rsidRDefault="00386381" w:rsidP="00386381">
            <w:pPr>
              <w:jc w:val="center"/>
              <w:rPr>
                <w:rFonts w:ascii="Arial" w:hAnsi="Arial" w:cs="Arial"/>
                <w:sz w:val="20"/>
                <w:szCs w:val="20"/>
              </w:rPr>
            </w:pPr>
            <w:r>
              <w:rPr>
                <w:rFonts w:ascii="Arial" w:hAnsi="Arial" w:cs="Arial"/>
                <w:sz w:val="20"/>
                <w:szCs w:val="20"/>
              </w:rPr>
              <w:t>-</w:t>
            </w:r>
          </w:p>
        </w:tc>
        <w:tc>
          <w:tcPr>
            <w:tcW w:w="0" w:type="auto"/>
          </w:tcPr>
          <w:p w:rsidR="00386381" w:rsidRPr="00766467" w:rsidRDefault="00386381" w:rsidP="00386381">
            <w:pPr>
              <w:jc w:val="center"/>
              <w:rPr>
                <w:rFonts w:ascii="Arial" w:hAnsi="Arial" w:cs="Arial"/>
                <w:sz w:val="20"/>
                <w:szCs w:val="20"/>
              </w:rPr>
            </w:pPr>
          </w:p>
        </w:tc>
      </w:tr>
      <w:tr w:rsidR="00386381" w:rsidTr="00386381">
        <w:trPr>
          <w:jc w:val="center"/>
        </w:trPr>
        <w:tc>
          <w:tcPr>
            <w:tcW w:w="0" w:type="auto"/>
            <w:vMerge w:val="restart"/>
          </w:tcPr>
          <w:p w:rsidR="00386381" w:rsidRPr="006873FC" w:rsidRDefault="00386381" w:rsidP="00386381">
            <w:pPr>
              <w:rPr>
                <w:rFonts w:ascii="Arial" w:hAnsi="Arial" w:cs="Arial"/>
                <w:sz w:val="20"/>
                <w:szCs w:val="20"/>
              </w:rPr>
            </w:pPr>
            <w:r>
              <w:rPr>
                <w:rFonts w:ascii="Arial" w:hAnsi="Arial" w:cs="Arial"/>
                <w:sz w:val="20"/>
                <w:szCs w:val="20"/>
              </w:rPr>
              <w:t>None</w:t>
            </w:r>
          </w:p>
        </w:tc>
        <w:tc>
          <w:tcPr>
            <w:tcW w:w="0" w:type="auto"/>
            <w:vMerge w:val="restart"/>
          </w:tcPr>
          <w:p w:rsidR="00386381" w:rsidRDefault="00386381" w:rsidP="00386381">
            <w:pPr>
              <w:rPr>
                <w:rFonts w:ascii="Arial" w:hAnsi="Arial" w:cs="Arial"/>
                <w:sz w:val="20"/>
                <w:szCs w:val="20"/>
              </w:rPr>
            </w:pPr>
            <w:r>
              <w:rPr>
                <w:rFonts w:ascii="Arial" w:hAnsi="Arial" w:cs="Arial"/>
                <w:sz w:val="20"/>
                <w:szCs w:val="20"/>
              </w:rPr>
              <w:t>Amoxicillin</w:t>
            </w:r>
          </w:p>
          <w:p w:rsidR="00386381" w:rsidRPr="006873FC" w:rsidRDefault="00386381" w:rsidP="00386381">
            <w:pPr>
              <w:rPr>
                <w:rFonts w:ascii="Arial" w:hAnsi="Arial" w:cs="Arial"/>
                <w:sz w:val="20"/>
                <w:szCs w:val="20"/>
              </w:rPr>
            </w:pPr>
            <w:r>
              <w:rPr>
                <w:rFonts w:ascii="Arial" w:hAnsi="Arial" w:cs="Arial"/>
                <w:sz w:val="20"/>
                <w:szCs w:val="20"/>
              </w:rPr>
              <w:t>(Skin)</w:t>
            </w:r>
          </w:p>
        </w:tc>
        <w:tc>
          <w:tcPr>
            <w:tcW w:w="0" w:type="auto"/>
          </w:tcPr>
          <w:p w:rsidR="00386381" w:rsidRDefault="00386381" w:rsidP="00386381">
            <w:pPr>
              <w:rPr>
                <w:rFonts w:ascii="Arial" w:hAnsi="Arial" w:cs="Arial"/>
                <w:sz w:val="20"/>
                <w:szCs w:val="20"/>
              </w:rPr>
            </w:pPr>
            <w:r>
              <w:rPr>
                <w:rFonts w:ascii="Arial" w:hAnsi="Arial" w:cs="Arial"/>
                <w:sz w:val="20"/>
                <w:szCs w:val="20"/>
              </w:rPr>
              <w:t>H395</w:t>
            </w:r>
          </w:p>
        </w:tc>
        <w:tc>
          <w:tcPr>
            <w:tcW w:w="1535" w:type="dxa"/>
            <w:shd w:val="clear" w:color="auto" w:fill="BFBFBF" w:themeFill="background1" w:themeFillShade="BF"/>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1222" w:type="dxa"/>
            <w:shd w:val="clear" w:color="auto" w:fill="auto"/>
            <w:vAlign w:val="center"/>
          </w:tcPr>
          <w:p w:rsidR="00386381" w:rsidRDefault="00386381" w:rsidP="00386381">
            <w:pPr>
              <w:jc w:val="center"/>
              <w:rPr>
                <w:rFonts w:ascii="Arial" w:hAnsi="Arial" w:cs="Arial"/>
                <w:sz w:val="20"/>
                <w:szCs w:val="20"/>
              </w:rPr>
            </w:pPr>
          </w:p>
        </w:tc>
        <w:tc>
          <w:tcPr>
            <w:tcW w:w="1074" w:type="dxa"/>
            <w:shd w:val="clear" w:color="auto" w:fill="auto"/>
            <w:vAlign w:val="center"/>
          </w:tcPr>
          <w:p w:rsidR="00386381" w:rsidRDefault="00386381" w:rsidP="00386381">
            <w:pPr>
              <w:jc w:val="center"/>
              <w:rPr>
                <w:rFonts w:ascii="Arial" w:hAnsi="Arial" w:cs="Arial"/>
                <w:sz w:val="20"/>
                <w:szCs w:val="20"/>
              </w:rPr>
            </w:pPr>
          </w:p>
        </w:tc>
        <w:tc>
          <w:tcPr>
            <w:tcW w:w="0" w:type="auto"/>
          </w:tcPr>
          <w:p w:rsidR="00386381" w:rsidRPr="00766467" w:rsidRDefault="00386381" w:rsidP="00386381">
            <w:pPr>
              <w:jc w:val="center"/>
              <w:rPr>
                <w:rFonts w:ascii="Arial" w:hAnsi="Arial" w:cs="Arial"/>
                <w:sz w:val="20"/>
                <w:szCs w:val="20"/>
              </w:rPr>
            </w:pPr>
            <w:r w:rsidRPr="00766467">
              <w:rPr>
                <w:rFonts w:ascii="Arial" w:hAnsi="Arial" w:cs="Arial"/>
                <w:sz w:val="20"/>
                <w:szCs w:val="20"/>
              </w:rPr>
              <w:t>Yes</w:t>
            </w:r>
          </w:p>
        </w:tc>
      </w:tr>
      <w:tr w:rsidR="00386381" w:rsidTr="00386381">
        <w:trPr>
          <w:jc w:val="center"/>
        </w:trPr>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Default="00386381" w:rsidP="00386381">
            <w:pPr>
              <w:rPr>
                <w:rFonts w:ascii="Arial" w:hAnsi="Arial" w:cs="Arial"/>
                <w:sz w:val="20"/>
                <w:szCs w:val="20"/>
              </w:rPr>
            </w:pPr>
            <w:r>
              <w:rPr>
                <w:rFonts w:ascii="Arial" w:hAnsi="Arial" w:cs="Arial"/>
                <w:sz w:val="20"/>
                <w:szCs w:val="20"/>
              </w:rPr>
              <w:t>H419</w:t>
            </w:r>
          </w:p>
        </w:tc>
        <w:tc>
          <w:tcPr>
            <w:tcW w:w="1535" w:type="dxa"/>
            <w:shd w:val="clear" w:color="auto" w:fill="D9D9D9" w:themeFill="background1" w:themeFillShade="D9"/>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1222" w:type="dxa"/>
            <w:shd w:val="clear" w:color="auto" w:fill="F2F2F2" w:themeFill="background1" w:themeFillShade="F2"/>
            <w:vAlign w:val="center"/>
          </w:tcPr>
          <w:p w:rsidR="00386381" w:rsidRDefault="00386381" w:rsidP="00386381">
            <w:pPr>
              <w:jc w:val="center"/>
              <w:rPr>
                <w:rFonts w:ascii="Arial" w:hAnsi="Arial" w:cs="Arial"/>
                <w:sz w:val="20"/>
                <w:szCs w:val="20"/>
              </w:rPr>
            </w:pPr>
            <w:r>
              <w:rPr>
                <w:rFonts w:ascii="Arial" w:hAnsi="Arial" w:cs="Arial"/>
                <w:sz w:val="20"/>
                <w:szCs w:val="20"/>
              </w:rPr>
              <w:t>-</w:t>
            </w:r>
          </w:p>
        </w:tc>
        <w:tc>
          <w:tcPr>
            <w:tcW w:w="1074" w:type="dxa"/>
            <w:shd w:val="clear" w:color="auto" w:fill="F2F2F2" w:themeFill="background1" w:themeFillShade="F2"/>
            <w:vAlign w:val="center"/>
          </w:tcPr>
          <w:p w:rsidR="00386381" w:rsidRDefault="00386381" w:rsidP="00386381">
            <w:pPr>
              <w:jc w:val="center"/>
              <w:rPr>
                <w:rFonts w:ascii="Arial" w:hAnsi="Arial" w:cs="Arial"/>
                <w:sz w:val="20"/>
                <w:szCs w:val="20"/>
              </w:rPr>
            </w:pPr>
            <w:r>
              <w:rPr>
                <w:rFonts w:ascii="Arial" w:hAnsi="Arial" w:cs="Arial"/>
                <w:sz w:val="20"/>
                <w:szCs w:val="20"/>
              </w:rPr>
              <w:t>-</w:t>
            </w:r>
          </w:p>
        </w:tc>
        <w:tc>
          <w:tcPr>
            <w:tcW w:w="0" w:type="auto"/>
          </w:tcPr>
          <w:p w:rsidR="00386381" w:rsidRPr="00766467" w:rsidRDefault="00386381" w:rsidP="00386381">
            <w:pPr>
              <w:jc w:val="center"/>
              <w:rPr>
                <w:rFonts w:ascii="Arial" w:hAnsi="Arial" w:cs="Arial"/>
                <w:sz w:val="20"/>
                <w:szCs w:val="20"/>
              </w:rPr>
            </w:pPr>
            <w:r>
              <w:rPr>
                <w:rFonts w:ascii="Arial" w:hAnsi="Arial" w:cs="Arial"/>
                <w:sz w:val="20"/>
                <w:szCs w:val="20"/>
              </w:rPr>
              <w:t>No</w:t>
            </w:r>
          </w:p>
        </w:tc>
      </w:tr>
      <w:tr w:rsidR="00386381" w:rsidTr="00386381">
        <w:trPr>
          <w:jc w:val="center"/>
        </w:trPr>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Default="00386381" w:rsidP="00386381">
            <w:pPr>
              <w:rPr>
                <w:rFonts w:ascii="Arial" w:hAnsi="Arial" w:cs="Arial"/>
                <w:sz w:val="20"/>
                <w:szCs w:val="20"/>
              </w:rPr>
            </w:pPr>
            <w:r>
              <w:rPr>
                <w:rFonts w:ascii="Arial" w:hAnsi="Arial" w:cs="Arial"/>
                <w:sz w:val="20"/>
                <w:szCs w:val="20"/>
              </w:rPr>
              <w:t>H426</w:t>
            </w:r>
          </w:p>
        </w:tc>
        <w:tc>
          <w:tcPr>
            <w:tcW w:w="1535" w:type="dxa"/>
            <w:shd w:val="clear" w:color="auto" w:fill="A6A6A6" w:themeFill="background1" w:themeFillShade="A6"/>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1222" w:type="dxa"/>
            <w:shd w:val="clear" w:color="auto" w:fill="BFBFBF" w:themeFill="background1" w:themeFillShade="BF"/>
            <w:vAlign w:val="center"/>
          </w:tcPr>
          <w:p w:rsidR="00386381" w:rsidRDefault="00386381" w:rsidP="00386381">
            <w:pPr>
              <w:jc w:val="center"/>
              <w:rPr>
                <w:rFonts w:ascii="Arial" w:hAnsi="Arial" w:cs="Arial"/>
                <w:sz w:val="20"/>
                <w:szCs w:val="20"/>
              </w:rPr>
            </w:pPr>
            <w:r>
              <w:rPr>
                <w:rFonts w:ascii="Arial" w:hAnsi="Arial" w:cs="Arial"/>
                <w:sz w:val="20"/>
                <w:szCs w:val="20"/>
              </w:rPr>
              <w:t>++</w:t>
            </w:r>
          </w:p>
        </w:tc>
        <w:tc>
          <w:tcPr>
            <w:tcW w:w="1074" w:type="dxa"/>
            <w:shd w:val="clear" w:color="auto" w:fill="A6A6A6" w:themeFill="background1" w:themeFillShade="A6"/>
            <w:vAlign w:val="center"/>
          </w:tcPr>
          <w:p w:rsidR="00386381" w:rsidRDefault="00386381" w:rsidP="00386381">
            <w:pPr>
              <w:jc w:val="center"/>
              <w:rPr>
                <w:rFonts w:ascii="Arial" w:hAnsi="Arial" w:cs="Arial"/>
                <w:sz w:val="20"/>
                <w:szCs w:val="20"/>
              </w:rPr>
            </w:pPr>
            <w:r>
              <w:rPr>
                <w:rFonts w:ascii="Arial" w:hAnsi="Arial" w:cs="Arial"/>
                <w:sz w:val="20"/>
                <w:szCs w:val="20"/>
              </w:rPr>
              <w:t>+++</w:t>
            </w:r>
          </w:p>
        </w:tc>
        <w:tc>
          <w:tcPr>
            <w:tcW w:w="0" w:type="auto"/>
          </w:tcPr>
          <w:p w:rsidR="00386381" w:rsidRPr="00766467" w:rsidRDefault="00386381" w:rsidP="00386381">
            <w:pPr>
              <w:jc w:val="center"/>
              <w:rPr>
                <w:rFonts w:ascii="Arial" w:hAnsi="Arial" w:cs="Arial"/>
                <w:sz w:val="20"/>
                <w:szCs w:val="20"/>
              </w:rPr>
            </w:pPr>
            <w:r>
              <w:rPr>
                <w:rFonts w:ascii="Arial" w:hAnsi="Arial" w:cs="Arial"/>
                <w:sz w:val="20"/>
                <w:szCs w:val="20"/>
              </w:rPr>
              <w:t>No</w:t>
            </w:r>
          </w:p>
        </w:tc>
      </w:tr>
      <w:tr w:rsidR="00386381" w:rsidTr="00386381">
        <w:trPr>
          <w:jc w:val="center"/>
        </w:trPr>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Default="00386381" w:rsidP="00386381">
            <w:pPr>
              <w:rPr>
                <w:rFonts w:ascii="Arial" w:hAnsi="Arial" w:cs="Arial"/>
                <w:sz w:val="20"/>
                <w:szCs w:val="20"/>
              </w:rPr>
            </w:pPr>
            <w:r>
              <w:rPr>
                <w:rFonts w:ascii="Arial" w:hAnsi="Arial" w:cs="Arial"/>
                <w:sz w:val="20"/>
                <w:szCs w:val="20"/>
              </w:rPr>
              <w:t>H436</w:t>
            </w:r>
          </w:p>
        </w:tc>
        <w:tc>
          <w:tcPr>
            <w:tcW w:w="1535" w:type="dxa"/>
            <w:shd w:val="clear" w:color="auto" w:fill="F2F2F2" w:themeFill="background1" w:themeFillShade="F2"/>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1222" w:type="dxa"/>
            <w:shd w:val="clear" w:color="auto" w:fill="D9D9D9" w:themeFill="background1" w:themeFillShade="D9"/>
            <w:vAlign w:val="center"/>
          </w:tcPr>
          <w:p w:rsidR="00386381" w:rsidRDefault="00386381" w:rsidP="00386381">
            <w:pPr>
              <w:jc w:val="center"/>
              <w:rPr>
                <w:rFonts w:ascii="Arial" w:hAnsi="Arial" w:cs="Arial"/>
                <w:sz w:val="20"/>
                <w:szCs w:val="20"/>
              </w:rPr>
            </w:pPr>
            <w:r>
              <w:rPr>
                <w:rFonts w:ascii="Arial" w:hAnsi="Arial" w:cs="Arial"/>
                <w:sz w:val="20"/>
                <w:szCs w:val="20"/>
              </w:rPr>
              <w:t>+</w:t>
            </w:r>
          </w:p>
        </w:tc>
        <w:tc>
          <w:tcPr>
            <w:tcW w:w="1074" w:type="dxa"/>
            <w:shd w:val="clear" w:color="auto" w:fill="D9D9D9" w:themeFill="background1" w:themeFillShade="D9"/>
            <w:vAlign w:val="center"/>
          </w:tcPr>
          <w:p w:rsidR="00386381" w:rsidRDefault="00386381" w:rsidP="00386381">
            <w:pPr>
              <w:jc w:val="center"/>
              <w:rPr>
                <w:rFonts w:ascii="Arial" w:hAnsi="Arial" w:cs="Arial"/>
                <w:sz w:val="20"/>
                <w:szCs w:val="20"/>
              </w:rPr>
            </w:pPr>
            <w:r>
              <w:rPr>
                <w:rFonts w:ascii="Arial" w:hAnsi="Arial" w:cs="Arial"/>
                <w:sz w:val="20"/>
                <w:szCs w:val="20"/>
              </w:rPr>
              <w:t>+</w:t>
            </w:r>
          </w:p>
        </w:tc>
        <w:tc>
          <w:tcPr>
            <w:tcW w:w="0" w:type="auto"/>
          </w:tcPr>
          <w:p w:rsidR="00386381" w:rsidRPr="00766467" w:rsidRDefault="00386381" w:rsidP="00386381">
            <w:pPr>
              <w:jc w:val="center"/>
              <w:rPr>
                <w:rFonts w:ascii="Arial" w:hAnsi="Arial" w:cs="Arial"/>
                <w:sz w:val="20"/>
                <w:szCs w:val="20"/>
              </w:rPr>
            </w:pPr>
          </w:p>
        </w:tc>
      </w:tr>
      <w:tr w:rsidR="00386381" w:rsidTr="00386381">
        <w:trPr>
          <w:jc w:val="center"/>
        </w:trPr>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Default="00386381" w:rsidP="00386381">
            <w:pPr>
              <w:rPr>
                <w:rFonts w:ascii="Arial" w:hAnsi="Arial" w:cs="Arial"/>
                <w:sz w:val="20"/>
                <w:szCs w:val="20"/>
              </w:rPr>
            </w:pPr>
            <w:r>
              <w:rPr>
                <w:rFonts w:ascii="Arial" w:hAnsi="Arial" w:cs="Arial"/>
                <w:sz w:val="20"/>
                <w:szCs w:val="20"/>
              </w:rPr>
              <w:t>H747</w:t>
            </w:r>
          </w:p>
        </w:tc>
        <w:tc>
          <w:tcPr>
            <w:tcW w:w="1535" w:type="dxa"/>
            <w:shd w:val="clear" w:color="auto" w:fill="D9D9D9" w:themeFill="background1" w:themeFillShade="D9"/>
          </w:tcPr>
          <w:p w:rsidR="00386381" w:rsidRDefault="00386381" w:rsidP="00386381">
            <w:pPr>
              <w:jc w:val="center"/>
              <w:rPr>
                <w:rFonts w:ascii="Arial" w:hAnsi="Arial" w:cs="Arial"/>
                <w:sz w:val="20"/>
                <w:szCs w:val="20"/>
              </w:rPr>
            </w:pPr>
            <w:r>
              <w:rPr>
                <w:rFonts w:ascii="Arial" w:hAnsi="Arial" w:cs="Arial"/>
                <w:sz w:val="20"/>
                <w:szCs w:val="20"/>
              </w:rPr>
              <w:t>+</w:t>
            </w:r>
          </w:p>
        </w:tc>
        <w:tc>
          <w:tcPr>
            <w:tcW w:w="1222" w:type="dxa"/>
            <w:shd w:val="clear" w:color="auto" w:fill="F2F2F2" w:themeFill="background1" w:themeFillShade="F2"/>
            <w:vAlign w:val="center"/>
          </w:tcPr>
          <w:p w:rsidR="00386381" w:rsidRDefault="00386381" w:rsidP="00386381">
            <w:pPr>
              <w:jc w:val="center"/>
              <w:rPr>
                <w:rFonts w:ascii="Arial" w:hAnsi="Arial" w:cs="Arial"/>
                <w:sz w:val="20"/>
                <w:szCs w:val="20"/>
              </w:rPr>
            </w:pPr>
            <w:r>
              <w:rPr>
                <w:rFonts w:ascii="Arial" w:hAnsi="Arial" w:cs="Arial"/>
                <w:sz w:val="20"/>
                <w:szCs w:val="20"/>
              </w:rPr>
              <w:t>-</w:t>
            </w:r>
          </w:p>
        </w:tc>
        <w:tc>
          <w:tcPr>
            <w:tcW w:w="1074" w:type="dxa"/>
            <w:shd w:val="clear" w:color="auto" w:fill="F2F2F2" w:themeFill="background1" w:themeFillShade="F2"/>
            <w:vAlign w:val="center"/>
          </w:tcPr>
          <w:p w:rsidR="00386381" w:rsidRDefault="00386381" w:rsidP="00386381">
            <w:pPr>
              <w:jc w:val="center"/>
              <w:rPr>
                <w:rFonts w:ascii="Arial" w:hAnsi="Arial" w:cs="Arial"/>
                <w:sz w:val="20"/>
                <w:szCs w:val="20"/>
              </w:rPr>
            </w:pPr>
            <w:r>
              <w:rPr>
                <w:rFonts w:ascii="Arial" w:hAnsi="Arial" w:cs="Arial"/>
                <w:sz w:val="20"/>
                <w:szCs w:val="20"/>
              </w:rPr>
              <w:t>-</w:t>
            </w:r>
          </w:p>
        </w:tc>
        <w:tc>
          <w:tcPr>
            <w:tcW w:w="0" w:type="auto"/>
          </w:tcPr>
          <w:p w:rsidR="00386381" w:rsidRPr="00766467" w:rsidRDefault="00386381" w:rsidP="00386381">
            <w:pPr>
              <w:jc w:val="center"/>
              <w:rPr>
                <w:rFonts w:ascii="Arial" w:hAnsi="Arial" w:cs="Arial"/>
                <w:sz w:val="20"/>
                <w:szCs w:val="20"/>
              </w:rPr>
            </w:pPr>
          </w:p>
        </w:tc>
      </w:tr>
      <w:tr w:rsidR="00386381" w:rsidTr="00386381">
        <w:trPr>
          <w:jc w:val="center"/>
        </w:trPr>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Default="00386381" w:rsidP="00386381">
            <w:pPr>
              <w:rPr>
                <w:rFonts w:ascii="Arial" w:hAnsi="Arial" w:cs="Arial"/>
                <w:sz w:val="20"/>
                <w:szCs w:val="20"/>
              </w:rPr>
            </w:pPr>
            <w:r>
              <w:rPr>
                <w:rFonts w:ascii="Arial" w:hAnsi="Arial" w:cs="Arial"/>
                <w:sz w:val="20"/>
                <w:szCs w:val="20"/>
              </w:rPr>
              <w:t>H897</w:t>
            </w:r>
          </w:p>
        </w:tc>
        <w:tc>
          <w:tcPr>
            <w:tcW w:w="1535" w:type="dxa"/>
            <w:shd w:val="clear" w:color="auto" w:fill="F2F2F2" w:themeFill="background1" w:themeFillShade="F2"/>
          </w:tcPr>
          <w:p w:rsidR="00386381" w:rsidRDefault="00386381" w:rsidP="00386381">
            <w:pPr>
              <w:jc w:val="center"/>
              <w:rPr>
                <w:rFonts w:ascii="Arial" w:hAnsi="Arial" w:cs="Arial"/>
                <w:sz w:val="20"/>
                <w:szCs w:val="20"/>
              </w:rPr>
            </w:pPr>
            <w:r>
              <w:rPr>
                <w:rFonts w:ascii="Arial" w:hAnsi="Arial" w:cs="Arial"/>
                <w:sz w:val="20"/>
                <w:szCs w:val="20"/>
              </w:rPr>
              <w:t>-</w:t>
            </w:r>
          </w:p>
        </w:tc>
        <w:tc>
          <w:tcPr>
            <w:tcW w:w="1222" w:type="dxa"/>
            <w:shd w:val="clear" w:color="auto" w:fill="auto"/>
            <w:vAlign w:val="center"/>
          </w:tcPr>
          <w:p w:rsidR="00386381" w:rsidRDefault="00386381" w:rsidP="00386381">
            <w:pPr>
              <w:jc w:val="center"/>
              <w:rPr>
                <w:rFonts w:ascii="Arial" w:hAnsi="Arial" w:cs="Arial"/>
                <w:sz w:val="20"/>
                <w:szCs w:val="20"/>
              </w:rPr>
            </w:pPr>
          </w:p>
        </w:tc>
        <w:tc>
          <w:tcPr>
            <w:tcW w:w="1074" w:type="dxa"/>
            <w:shd w:val="clear" w:color="auto" w:fill="auto"/>
            <w:vAlign w:val="center"/>
          </w:tcPr>
          <w:p w:rsidR="00386381" w:rsidRDefault="00386381" w:rsidP="00386381">
            <w:pPr>
              <w:jc w:val="center"/>
              <w:rPr>
                <w:rFonts w:ascii="Arial" w:hAnsi="Arial" w:cs="Arial"/>
                <w:sz w:val="20"/>
                <w:szCs w:val="20"/>
              </w:rPr>
            </w:pPr>
          </w:p>
        </w:tc>
        <w:tc>
          <w:tcPr>
            <w:tcW w:w="0" w:type="auto"/>
          </w:tcPr>
          <w:p w:rsidR="00386381" w:rsidRPr="00766467" w:rsidRDefault="00386381" w:rsidP="00386381">
            <w:pPr>
              <w:jc w:val="center"/>
              <w:rPr>
                <w:rFonts w:ascii="Arial" w:hAnsi="Arial" w:cs="Arial"/>
                <w:sz w:val="20"/>
                <w:szCs w:val="20"/>
              </w:rPr>
            </w:pPr>
          </w:p>
        </w:tc>
      </w:tr>
      <w:tr w:rsidR="00386381" w:rsidTr="00386381">
        <w:trPr>
          <w:jc w:val="center"/>
        </w:trPr>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Default="00386381" w:rsidP="00386381">
            <w:pPr>
              <w:rPr>
                <w:rFonts w:ascii="Arial" w:hAnsi="Arial" w:cs="Arial"/>
                <w:sz w:val="20"/>
                <w:szCs w:val="20"/>
              </w:rPr>
            </w:pPr>
            <w:r>
              <w:rPr>
                <w:rFonts w:ascii="Arial" w:hAnsi="Arial" w:cs="Arial"/>
                <w:sz w:val="20"/>
                <w:szCs w:val="20"/>
              </w:rPr>
              <w:t>V12</w:t>
            </w:r>
          </w:p>
        </w:tc>
        <w:tc>
          <w:tcPr>
            <w:tcW w:w="1535" w:type="dxa"/>
            <w:shd w:val="clear" w:color="auto" w:fill="F2F2F2" w:themeFill="background1" w:themeFillShade="F2"/>
          </w:tcPr>
          <w:p w:rsidR="00386381" w:rsidRDefault="00386381" w:rsidP="00386381">
            <w:pPr>
              <w:jc w:val="center"/>
              <w:rPr>
                <w:rFonts w:ascii="Arial" w:hAnsi="Arial" w:cs="Arial"/>
                <w:sz w:val="20"/>
                <w:szCs w:val="20"/>
              </w:rPr>
            </w:pPr>
            <w:r>
              <w:rPr>
                <w:rFonts w:ascii="Arial" w:hAnsi="Arial" w:cs="Arial"/>
                <w:sz w:val="20"/>
                <w:szCs w:val="20"/>
              </w:rPr>
              <w:t>-</w:t>
            </w:r>
          </w:p>
        </w:tc>
        <w:tc>
          <w:tcPr>
            <w:tcW w:w="1222" w:type="dxa"/>
            <w:shd w:val="clear" w:color="auto" w:fill="auto"/>
            <w:vAlign w:val="center"/>
          </w:tcPr>
          <w:p w:rsidR="00386381" w:rsidRDefault="00386381" w:rsidP="00386381">
            <w:pPr>
              <w:jc w:val="center"/>
              <w:rPr>
                <w:rFonts w:ascii="Arial" w:hAnsi="Arial" w:cs="Arial"/>
                <w:sz w:val="20"/>
                <w:szCs w:val="20"/>
              </w:rPr>
            </w:pPr>
          </w:p>
        </w:tc>
        <w:tc>
          <w:tcPr>
            <w:tcW w:w="1074" w:type="dxa"/>
            <w:shd w:val="clear" w:color="auto" w:fill="auto"/>
            <w:vAlign w:val="center"/>
          </w:tcPr>
          <w:p w:rsidR="00386381" w:rsidRDefault="00386381" w:rsidP="00386381">
            <w:pPr>
              <w:jc w:val="center"/>
              <w:rPr>
                <w:rFonts w:ascii="Arial" w:hAnsi="Arial" w:cs="Arial"/>
                <w:sz w:val="20"/>
                <w:szCs w:val="20"/>
              </w:rPr>
            </w:pPr>
          </w:p>
        </w:tc>
        <w:tc>
          <w:tcPr>
            <w:tcW w:w="0" w:type="auto"/>
          </w:tcPr>
          <w:p w:rsidR="00386381" w:rsidRPr="00766467" w:rsidRDefault="00386381" w:rsidP="00386381">
            <w:pPr>
              <w:jc w:val="center"/>
              <w:rPr>
                <w:rFonts w:ascii="Arial" w:hAnsi="Arial" w:cs="Arial"/>
                <w:sz w:val="20"/>
                <w:szCs w:val="20"/>
              </w:rPr>
            </w:pPr>
          </w:p>
        </w:tc>
      </w:tr>
      <w:tr w:rsidR="00386381" w:rsidTr="00386381">
        <w:trPr>
          <w:jc w:val="center"/>
        </w:trPr>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Default="00386381" w:rsidP="00386381">
            <w:pPr>
              <w:rPr>
                <w:rFonts w:ascii="Arial" w:hAnsi="Arial" w:cs="Arial"/>
                <w:sz w:val="20"/>
                <w:szCs w:val="20"/>
              </w:rPr>
            </w:pPr>
            <w:r>
              <w:rPr>
                <w:rFonts w:ascii="Arial" w:hAnsi="Arial" w:cs="Arial"/>
                <w:sz w:val="20"/>
                <w:szCs w:val="20"/>
              </w:rPr>
              <w:t>V13</w:t>
            </w:r>
          </w:p>
        </w:tc>
        <w:tc>
          <w:tcPr>
            <w:tcW w:w="1535" w:type="dxa"/>
            <w:shd w:val="clear" w:color="auto" w:fill="D9D9D9" w:themeFill="background1" w:themeFillShade="D9"/>
          </w:tcPr>
          <w:p w:rsidR="00386381" w:rsidRDefault="00386381" w:rsidP="00386381">
            <w:pPr>
              <w:jc w:val="center"/>
              <w:rPr>
                <w:rFonts w:ascii="Arial" w:hAnsi="Arial" w:cs="Arial"/>
                <w:sz w:val="20"/>
                <w:szCs w:val="20"/>
              </w:rPr>
            </w:pPr>
            <w:r>
              <w:rPr>
                <w:rFonts w:ascii="Arial" w:hAnsi="Arial" w:cs="Arial"/>
                <w:sz w:val="20"/>
                <w:szCs w:val="20"/>
              </w:rPr>
              <w:t>+</w:t>
            </w:r>
          </w:p>
        </w:tc>
        <w:tc>
          <w:tcPr>
            <w:tcW w:w="1222" w:type="dxa"/>
            <w:shd w:val="clear" w:color="auto" w:fill="auto"/>
            <w:vAlign w:val="center"/>
          </w:tcPr>
          <w:p w:rsidR="00386381" w:rsidRDefault="00386381" w:rsidP="00386381">
            <w:pPr>
              <w:jc w:val="center"/>
              <w:rPr>
                <w:rFonts w:ascii="Arial" w:hAnsi="Arial" w:cs="Arial"/>
                <w:sz w:val="20"/>
                <w:szCs w:val="20"/>
              </w:rPr>
            </w:pPr>
          </w:p>
        </w:tc>
        <w:tc>
          <w:tcPr>
            <w:tcW w:w="1074" w:type="dxa"/>
            <w:shd w:val="clear" w:color="auto" w:fill="auto"/>
            <w:vAlign w:val="center"/>
          </w:tcPr>
          <w:p w:rsidR="00386381" w:rsidRDefault="00386381" w:rsidP="00386381">
            <w:pPr>
              <w:jc w:val="center"/>
              <w:rPr>
                <w:rFonts w:ascii="Arial" w:hAnsi="Arial" w:cs="Arial"/>
                <w:sz w:val="20"/>
                <w:szCs w:val="20"/>
              </w:rPr>
            </w:pPr>
          </w:p>
        </w:tc>
        <w:tc>
          <w:tcPr>
            <w:tcW w:w="0" w:type="auto"/>
          </w:tcPr>
          <w:p w:rsidR="00386381" w:rsidRPr="00766467" w:rsidRDefault="00386381" w:rsidP="00386381">
            <w:pPr>
              <w:jc w:val="center"/>
              <w:rPr>
                <w:rFonts w:ascii="Arial" w:hAnsi="Arial" w:cs="Arial"/>
                <w:sz w:val="20"/>
                <w:szCs w:val="20"/>
              </w:rPr>
            </w:pPr>
            <w:r>
              <w:rPr>
                <w:rFonts w:ascii="Arial" w:hAnsi="Arial" w:cs="Arial"/>
                <w:sz w:val="20"/>
                <w:szCs w:val="20"/>
              </w:rPr>
              <w:t>Yes</w:t>
            </w:r>
          </w:p>
        </w:tc>
      </w:tr>
      <w:tr w:rsidR="00386381" w:rsidTr="00386381">
        <w:trPr>
          <w:jc w:val="center"/>
        </w:trPr>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Default="00386381" w:rsidP="00386381">
            <w:pPr>
              <w:rPr>
                <w:rFonts w:ascii="Arial" w:hAnsi="Arial" w:cs="Arial"/>
                <w:sz w:val="20"/>
                <w:szCs w:val="20"/>
              </w:rPr>
            </w:pPr>
            <w:r>
              <w:rPr>
                <w:rFonts w:ascii="Arial" w:hAnsi="Arial" w:cs="Arial"/>
                <w:sz w:val="20"/>
                <w:szCs w:val="20"/>
              </w:rPr>
              <w:t>V14</w:t>
            </w:r>
          </w:p>
        </w:tc>
        <w:tc>
          <w:tcPr>
            <w:tcW w:w="1535" w:type="dxa"/>
            <w:shd w:val="clear" w:color="auto" w:fill="BFBFBF" w:themeFill="background1" w:themeFillShade="BF"/>
          </w:tcPr>
          <w:p w:rsidR="00386381" w:rsidRDefault="00386381" w:rsidP="00386381">
            <w:pPr>
              <w:jc w:val="center"/>
              <w:rPr>
                <w:rFonts w:ascii="Arial" w:hAnsi="Arial" w:cs="Arial"/>
                <w:sz w:val="20"/>
                <w:szCs w:val="20"/>
              </w:rPr>
            </w:pPr>
            <w:r>
              <w:rPr>
                <w:rFonts w:ascii="Arial" w:hAnsi="Arial" w:cs="Arial"/>
                <w:sz w:val="20"/>
                <w:szCs w:val="20"/>
              </w:rPr>
              <w:t>++</w:t>
            </w:r>
          </w:p>
        </w:tc>
        <w:tc>
          <w:tcPr>
            <w:tcW w:w="1222" w:type="dxa"/>
            <w:shd w:val="clear" w:color="auto" w:fill="auto"/>
            <w:vAlign w:val="center"/>
          </w:tcPr>
          <w:p w:rsidR="00386381" w:rsidRDefault="00386381" w:rsidP="00386381">
            <w:pPr>
              <w:jc w:val="center"/>
              <w:rPr>
                <w:rFonts w:ascii="Arial" w:hAnsi="Arial" w:cs="Arial"/>
                <w:sz w:val="20"/>
                <w:szCs w:val="20"/>
              </w:rPr>
            </w:pPr>
          </w:p>
        </w:tc>
        <w:tc>
          <w:tcPr>
            <w:tcW w:w="1074" w:type="dxa"/>
            <w:shd w:val="clear" w:color="auto" w:fill="auto"/>
            <w:vAlign w:val="center"/>
          </w:tcPr>
          <w:p w:rsidR="00386381" w:rsidRDefault="00386381" w:rsidP="00386381">
            <w:pPr>
              <w:jc w:val="center"/>
              <w:rPr>
                <w:rFonts w:ascii="Arial" w:hAnsi="Arial" w:cs="Arial"/>
                <w:sz w:val="20"/>
                <w:szCs w:val="20"/>
              </w:rPr>
            </w:pPr>
          </w:p>
        </w:tc>
        <w:tc>
          <w:tcPr>
            <w:tcW w:w="0" w:type="auto"/>
          </w:tcPr>
          <w:p w:rsidR="00386381" w:rsidRPr="00766467" w:rsidRDefault="00386381" w:rsidP="00386381">
            <w:pPr>
              <w:jc w:val="center"/>
              <w:rPr>
                <w:rFonts w:ascii="Arial" w:hAnsi="Arial" w:cs="Arial"/>
                <w:sz w:val="20"/>
                <w:szCs w:val="20"/>
              </w:rPr>
            </w:pPr>
          </w:p>
        </w:tc>
      </w:tr>
      <w:tr w:rsidR="00386381" w:rsidTr="00386381">
        <w:trPr>
          <w:jc w:val="center"/>
        </w:trPr>
        <w:tc>
          <w:tcPr>
            <w:tcW w:w="0" w:type="auto"/>
            <w:gridSpan w:val="7"/>
          </w:tcPr>
          <w:p w:rsidR="00386381" w:rsidRDefault="00386381" w:rsidP="00386381">
            <w:pPr>
              <w:ind w:left="397"/>
              <w:jc w:val="center"/>
              <w:rPr>
                <w:rFonts w:ascii="Arial" w:hAnsi="Arial" w:cs="Arial"/>
                <w:color w:val="0000FF"/>
                <w:sz w:val="20"/>
                <w:szCs w:val="20"/>
              </w:rPr>
            </w:pPr>
            <w:r w:rsidRPr="006873FC">
              <w:rPr>
                <w:rFonts w:ascii="Arial" w:hAnsi="Arial" w:cs="Arial"/>
                <w:sz w:val="20"/>
                <w:szCs w:val="20"/>
              </w:rPr>
              <w:t>(-) no resp</w:t>
            </w:r>
            <w:r>
              <w:rPr>
                <w:rFonts w:ascii="Arial" w:hAnsi="Arial" w:cs="Arial"/>
                <w:sz w:val="20"/>
                <w:szCs w:val="20"/>
              </w:rPr>
              <w:t>onse with stimulation index &lt;1.49</w:t>
            </w:r>
          </w:p>
          <w:p w:rsidR="00386381" w:rsidRPr="006873FC" w:rsidRDefault="00386381" w:rsidP="00386381">
            <w:pPr>
              <w:ind w:left="397"/>
              <w:jc w:val="center"/>
              <w:rPr>
                <w:rFonts w:ascii="Arial" w:hAnsi="Arial" w:cs="Arial"/>
                <w:sz w:val="20"/>
                <w:szCs w:val="20"/>
              </w:rPr>
            </w:pPr>
            <w:r>
              <w:rPr>
                <w:rFonts w:ascii="Arial" w:hAnsi="Arial" w:cs="Arial"/>
                <w:sz w:val="20"/>
                <w:szCs w:val="20"/>
              </w:rPr>
              <w:t xml:space="preserve">  </w:t>
            </w:r>
            <w:r w:rsidRPr="006873FC">
              <w:rPr>
                <w:rFonts w:ascii="Arial" w:hAnsi="Arial" w:cs="Arial"/>
                <w:sz w:val="20"/>
                <w:szCs w:val="20"/>
              </w:rPr>
              <w:t>(+) weak respons</w:t>
            </w:r>
            <w:r>
              <w:rPr>
                <w:rFonts w:ascii="Arial" w:hAnsi="Arial" w:cs="Arial"/>
                <w:sz w:val="20"/>
                <w:szCs w:val="20"/>
              </w:rPr>
              <w:t>e with stimulation index 1.5-1.99</w:t>
            </w:r>
          </w:p>
          <w:p w:rsidR="00386381" w:rsidRPr="006873FC" w:rsidRDefault="00386381" w:rsidP="00386381">
            <w:pPr>
              <w:ind w:left="397"/>
              <w:jc w:val="center"/>
              <w:rPr>
                <w:rFonts w:ascii="Arial" w:hAnsi="Arial" w:cs="Arial"/>
                <w:sz w:val="20"/>
                <w:szCs w:val="20"/>
              </w:rPr>
            </w:pPr>
            <w:r w:rsidRPr="006873FC">
              <w:rPr>
                <w:rFonts w:ascii="Arial" w:hAnsi="Arial" w:cs="Arial"/>
                <w:sz w:val="20"/>
                <w:szCs w:val="20"/>
              </w:rPr>
              <w:t>(+</w:t>
            </w:r>
            <w:r>
              <w:rPr>
                <w:rFonts w:ascii="Arial" w:hAnsi="Arial" w:cs="Arial"/>
                <w:sz w:val="20"/>
                <w:szCs w:val="20"/>
              </w:rPr>
              <w:t>+</w:t>
            </w:r>
            <w:r w:rsidRPr="006873FC">
              <w:rPr>
                <w:rFonts w:ascii="Arial" w:hAnsi="Arial" w:cs="Arial"/>
                <w:sz w:val="20"/>
                <w:szCs w:val="20"/>
              </w:rPr>
              <w:t xml:space="preserve">) </w:t>
            </w:r>
            <w:r>
              <w:rPr>
                <w:rFonts w:ascii="Arial" w:hAnsi="Arial" w:cs="Arial"/>
                <w:sz w:val="20"/>
                <w:szCs w:val="20"/>
              </w:rPr>
              <w:t>good</w:t>
            </w:r>
            <w:r w:rsidRPr="006873FC">
              <w:rPr>
                <w:rFonts w:ascii="Arial" w:hAnsi="Arial" w:cs="Arial"/>
                <w:sz w:val="20"/>
                <w:szCs w:val="20"/>
              </w:rPr>
              <w:t xml:space="preserve"> resp</w:t>
            </w:r>
            <w:r>
              <w:rPr>
                <w:rFonts w:ascii="Arial" w:hAnsi="Arial" w:cs="Arial"/>
                <w:sz w:val="20"/>
                <w:szCs w:val="20"/>
              </w:rPr>
              <w:t xml:space="preserve">onse with stimulation index </w:t>
            </w:r>
            <w:r w:rsidRPr="006873FC">
              <w:rPr>
                <w:rFonts w:ascii="Arial" w:hAnsi="Arial" w:cs="Arial"/>
                <w:sz w:val="20"/>
                <w:szCs w:val="20"/>
              </w:rPr>
              <w:t>2.0</w:t>
            </w:r>
            <w:r>
              <w:rPr>
                <w:rFonts w:ascii="Arial" w:hAnsi="Arial" w:cs="Arial"/>
                <w:sz w:val="20"/>
                <w:szCs w:val="20"/>
              </w:rPr>
              <w:t>-3.99</w:t>
            </w:r>
          </w:p>
          <w:p w:rsidR="00386381" w:rsidRPr="00766467" w:rsidRDefault="00386381" w:rsidP="00386381">
            <w:pPr>
              <w:jc w:val="center"/>
              <w:rPr>
                <w:rFonts w:ascii="Arial" w:hAnsi="Arial" w:cs="Arial"/>
                <w:sz w:val="20"/>
                <w:szCs w:val="20"/>
              </w:rPr>
            </w:pPr>
            <w:r w:rsidRPr="006873FC">
              <w:rPr>
                <w:rFonts w:ascii="Arial" w:hAnsi="Arial" w:cs="Arial"/>
                <w:sz w:val="20"/>
                <w:szCs w:val="20"/>
              </w:rPr>
              <w:t>(+++) strong re</w:t>
            </w:r>
            <w:r>
              <w:rPr>
                <w:rFonts w:ascii="Arial" w:hAnsi="Arial" w:cs="Arial"/>
                <w:sz w:val="20"/>
                <w:szCs w:val="20"/>
              </w:rPr>
              <w:t>sponse with stimulation index &gt;4</w:t>
            </w:r>
            <w:r w:rsidRPr="006873FC">
              <w:rPr>
                <w:rFonts w:ascii="Arial" w:hAnsi="Arial" w:cs="Arial"/>
                <w:sz w:val="20"/>
                <w:szCs w:val="20"/>
              </w:rPr>
              <w:t>.0</w:t>
            </w:r>
          </w:p>
        </w:tc>
      </w:tr>
    </w:tbl>
    <w:p w:rsidR="00386381" w:rsidRDefault="00386381" w:rsidP="00386381">
      <w:pPr>
        <w:jc w:val="center"/>
      </w:pPr>
    </w:p>
    <w:p w:rsidR="00386381" w:rsidRDefault="00386381" w:rsidP="00386381">
      <w:r>
        <w:br w:type="page"/>
      </w:r>
    </w:p>
    <w:tbl>
      <w:tblPr>
        <w:tblStyle w:val="TableGrid"/>
        <w:tblW w:w="0" w:type="auto"/>
        <w:tblLook w:val="04A0" w:firstRow="1" w:lastRow="0" w:firstColumn="1" w:lastColumn="0" w:noHBand="0" w:noVBand="1"/>
      </w:tblPr>
      <w:tblGrid>
        <w:gridCol w:w="1339"/>
        <w:gridCol w:w="1628"/>
        <w:gridCol w:w="805"/>
        <w:gridCol w:w="600"/>
        <w:gridCol w:w="794"/>
        <w:gridCol w:w="621"/>
        <w:gridCol w:w="683"/>
        <w:gridCol w:w="883"/>
        <w:gridCol w:w="961"/>
      </w:tblGrid>
      <w:tr w:rsidR="00386381" w:rsidRPr="006873FC" w:rsidTr="00386381">
        <w:trPr>
          <w:trHeight w:val="283"/>
        </w:trPr>
        <w:tc>
          <w:tcPr>
            <w:tcW w:w="0" w:type="auto"/>
            <w:gridSpan w:val="9"/>
          </w:tcPr>
          <w:p w:rsidR="00386381" w:rsidRPr="006873FC" w:rsidRDefault="00386381" w:rsidP="00386381">
            <w:pPr>
              <w:jc w:val="center"/>
              <w:rPr>
                <w:rFonts w:ascii="Arial" w:hAnsi="Arial" w:cs="Arial"/>
                <w:b/>
                <w:color w:val="0000FF"/>
                <w:sz w:val="20"/>
                <w:szCs w:val="20"/>
              </w:rPr>
            </w:pPr>
            <w:r>
              <w:rPr>
                <w:rFonts w:ascii="Arial" w:hAnsi="Arial" w:cs="Arial"/>
                <w:b/>
                <w:sz w:val="20"/>
                <w:szCs w:val="20"/>
              </w:rPr>
              <w:lastRenderedPageBreak/>
              <w:t xml:space="preserve">Table 4. </w:t>
            </w:r>
            <w:r w:rsidRPr="006873FC">
              <w:rPr>
                <w:rFonts w:ascii="Arial" w:hAnsi="Arial" w:cs="Arial"/>
                <w:b/>
                <w:sz w:val="20"/>
                <w:szCs w:val="20"/>
              </w:rPr>
              <w:t xml:space="preserve"> Priming of naïve T cells </w:t>
            </w:r>
            <w:r>
              <w:rPr>
                <w:rFonts w:ascii="Arial" w:hAnsi="Arial" w:cs="Arial"/>
                <w:b/>
                <w:sz w:val="20"/>
                <w:szCs w:val="20"/>
              </w:rPr>
              <w:t>to drugs associated with an HLA risk allele</w:t>
            </w:r>
          </w:p>
        </w:tc>
      </w:tr>
      <w:tr w:rsidR="00386381" w:rsidRPr="006873FC" w:rsidTr="00386381">
        <w:trPr>
          <w:trHeight w:val="283"/>
        </w:trPr>
        <w:tc>
          <w:tcPr>
            <w:tcW w:w="0" w:type="auto"/>
            <w:gridSpan w:val="9"/>
            <w:vAlign w:val="center"/>
          </w:tcPr>
          <w:p w:rsidR="00386381" w:rsidRPr="006873FC" w:rsidRDefault="00386381" w:rsidP="00386381">
            <w:pPr>
              <w:jc w:val="center"/>
              <w:rPr>
                <w:rFonts w:ascii="Arial" w:hAnsi="Arial" w:cs="Arial"/>
                <w:b/>
                <w:sz w:val="20"/>
                <w:szCs w:val="20"/>
              </w:rPr>
            </w:pPr>
            <w:r w:rsidRPr="00FC5FF0">
              <w:rPr>
                <w:rFonts w:ascii="Arial" w:hAnsi="Arial" w:cs="Arial"/>
                <w:b/>
                <w:i/>
                <w:sz w:val="20"/>
                <w:szCs w:val="20"/>
              </w:rPr>
              <w:t>HLA class I associated reactions</w:t>
            </w:r>
          </w:p>
        </w:tc>
      </w:tr>
      <w:tr w:rsidR="00386381" w:rsidRPr="006873FC" w:rsidTr="00386381">
        <w:trPr>
          <w:trHeight w:val="283"/>
        </w:trPr>
        <w:tc>
          <w:tcPr>
            <w:tcW w:w="0" w:type="auto"/>
            <w:gridSpan w:val="3"/>
            <w:vAlign w:val="center"/>
          </w:tcPr>
          <w:p w:rsidR="00386381" w:rsidRPr="006873FC" w:rsidRDefault="00386381" w:rsidP="00386381">
            <w:pPr>
              <w:jc w:val="center"/>
              <w:rPr>
                <w:rFonts w:ascii="Arial" w:hAnsi="Arial" w:cs="Arial"/>
                <w:b/>
                <w:sz w:val="20"/>
                <w:szCs w:val="20"/>
              </w:rPr>
            </w:pPr>
          </w:p>
        </w:tc>
        <w:tc>
          <w:tcPr>
            <w:tcW w:w="0" w:type="auto"/>
            <w:gridSpan w:val="2"/>
            <w:vAlign w:val="center"/>
          </w:tcPr>
          <w:p w:rsidR="00386381" w:rsidRPr="006873FC" w:rsidRDefault="00386381" w:rsidP="00386381">
            <w:pPr>
              <w:jc w:val="center"/>
              <w:rPr>
                <w:rFonts w:ascii="Arial" w:hAnsi="Arial" w:cs="Arial"/>
                <w:b/>
                <w:sz w:val="20"/>
                <w:szCs w:val="20"/>
              </w:rPr>
            </w:pPr>
            <w:r w:rsidRPr="006873FC">
              <w:rPr>
                <w:rFonts w:ascii="Arial" w:hAnsi="Arial" w:cs="Arial"/>
                <w:b/>
                <w:sz w:val="20"/>
                <w:szCs w:val="20"/>
              </w:rPr>
              <w:t>Proliferation</w:t>
            </w:r>
          </w:p>
        </w:tc>
        <w:tc>
          <w:tcPr>
            <w:tcW w:w="0" w:type="auto"/>
            <w:gridSpan w:val="3"/>
            <w:vAlign w:val="center"/>
          </w:tcPr>
          <w:p w:rsidR="00386381" w:rsidRPr="006873FC" w:rsidRDefault="00386381" w:rsidP="00386381">
            <w:pPr>
              <w:jc w:val="center"/>
              <w:rPr>
                <w:rFonts w:ascii="Arial" w:hAnsi="Arial" w:cs="Arial"/>
                <w:b/>
                <w:sz w:val="20"/>
                <w:szCs w:val="20"/>
              </w:rPr>
            </w:pPr>
            <w:proofErr w:type="spellStart"/>
            <w:r w:rsidRPr="006873FC">
              <w:rPr>
                <w:rFonts w:ascii="Arial" w:hAnsi="Arial" w:cs="Arial"/>
                <w:b/>
                <w:sz w:val="20"/>
                <w:szCs w:val="20"/>
              </w:rPr>
              <w:t>ELISpot</w:t>
            </w:r>
            <w:proofErr w:type="spellEnd"/>
          </w:p>
        </w:tc>
        <w:tc>
          <w:tcPr>
            <w:tcW w:w="0" w:type="auto"/>
            <w:vAlign w:val="center"/>
          </w:tcPr>
          <w:p w:rsidR="00386381" w:rsidRPr="006873FC" w:rsidRDefault="00386381" w:rsidP="00386381">
            <w:pPr>
              <w:jc w:val="center"/>
              <w:rPr>
                <w:rFonts w:ascii="Arial" w:hAnsi="Arial" w:cs="Arial"/>
                <w:b/>
                <w:sz w:val="20"/>
                <w:szCs w:val="20"/>
              </w:rPr>
            </w:pPr>
            <w:r w:rsidRPr="006873FC">
              <w:rPr>
                <w:rFonts w:ascii="Arial" w:hAnsi="Arial" w:cs="Arial"/>
                <w:b/>
                <w:sz w:val="20"/>
                <w:szCs w:val="20"/>
              </w:rPr>
              <w:t>Cloning</w:t>
            </w:r>
          </w:p>
        </w:tc>
      </w:tr>
      <w:tr w:rsidR="00386381" w:rsidRPr="006873FC" w:rsidTr="00386381">
        <w:trPr>
          <w:trHeight w:val="283"/>
        </w:trPr>
        <w:tc>
          <w:tcPr>
            <w:tcW w:w="0" w:type="auto"/>
            <w:vAlign w:val="center"/>
          </w:tcPr>
          <w:p w:rsidR="00386381" w:rsidRPr="006873FC" w:rsidRDefault="00386381" w:rsidP="00386381">
            <w:pPr>
              <w:jc w:val="center"/>
              <w:rPr>
                <w:rFonts w:ascii="Arial" w:hAnsi="Arial" w:cs="Arial"/>
                <w:b/>
                <w:sz w:val="20"/>
                <w:szCs w:val="20"/>
              </w:rPr>
            </w:pPr>
            <w:r w:rsidRPr="006873FC">
              <w:rPr>
                <w:rFonts w:ascii="Arial" w:hAnsi="Arial" w:cs="Arial"/>
                <w:b/>
                <w:sz w:val="20"/>
                <w:szCs w:val="20"/>
              </w:rPr>
              <w:t>Alleles</w:t>
            </w:r>
          </w:p>
        </w:tc>
        <w:tc>
          <w:tcPr>
            <w:tcW w:w="0" w:type="auto"/>
            <w:vAlign w:val="center"/>
          </w:tcPr>
          <w:p w:rsidR="00386381" w:rsidRPr="006873FC" w:rsidRDefault="00386381" w:rsidP="00386381">
            <w:pPr>
              <w:jc w:val="center"/>
              <w:rPr>
                <w:rFonts w:ascii="Arial" w:hAnsi="Arial" w:cs="Arial"/>
                <w:b/>
                <w:sz w:val="20"/>
                <w:szCs w:val="20"/>
              </w:rPr>
            </w:pPr>
            <w:r w:rsidRPr="006873FC">
              <w:rPr>
                <w:rFonts w:ascii="Arial" w:hAnsi="Arial" w:cs="Arial"/>
                <w:b/>
                <w:sz w:val="20"/>
                <w:szCs w:val="20"/>
              </w:rPr>
              <w:t>Drug</w:t>
            </w:r>
          </w:p>
        </w:tc>
        <w:tc>
          <w:tcPr>
            <w:tcW w:w="0" w:type="auto"/>
            <w:vAlign w:val="center"/>
          </w:tcPr>
          <w:p w:rsidR="00386381" w:rsidRPr="006873FC" w:rsidRDefault="00386381" w:rsidP="00386381">
            <w:pPr>
              <w:jc w:val="center"/>
              <w:rPr>
                <w:rFonts w:ascii="Arial" w:hAnsi="Arial" w:cs="Arial"/>
                <w:b/>
                <w:sz w:val="20"/>
                <w:szCs w:val="20"/>
              </w:rPr>
            </w:pPr>
            <w:r w:rsidRPr="006873FC">
              <w:rPr>
                <w:rFonts w:ascii="Arial" w:hAnsi="Arial" w:cs="Arial"/>
                <w:b/>
                <w:sz w:val="20"/>
                <w:szCs w:val="20"/>
              </w:rPr>
              <w:t>Donor</w:t>
            </w:r>
          </w:p>
        </w:tc>
        <w:tc>
          <w:tcPr>
            <w:tcW w:w="0" w:type="auto"/>
            <w:vAlign w:val="center"/>
          </w:tcPr>
          <w:p w:rsidR="00386381" w:rsidRPr="006873FC" w:rsidRDefault="00386381" w:rsidP="00386381">
            <w:pPr>
              <w:jc w:val="center"/>
              <w:rPr>
                <w:rFonts w:ascii="Arial" w:hAnsi="Arial" w:cs="Arial"/>
                <w:b/>
                <w:sz w:val="20"/>
                <w:szCs w:val="20"/>
              </w:rPr>
            </w:pPr>
            <w:r w:rsidRPr="006873FC">
              <w:rPr>
                <w:rFonts w:ascii="Arial" w:hAnsi="Arial" w:cs="Arial"/>
                <w:b/>
                <w:sz w:val="20"/>
                <w:szCs w:val="20"/>
                <w:vertAlign w:val="superscript"/>
              </w:rPr>
              <w:t>3</w:t>
            </w:r>
            <w:r w:rsidRPr="006873FC">
              <w:rPr>
                <w:rFonts w:ascii="Arial" w:hAnsi="Arial" w:cs="Arial"/>
                <w:b/>
                <w:sz w:val="20"/>
                <w:szCs w:val="20"/>
              </w:rPr>
              <w:t>H</w:t>
            </w:r>
          </w:p>
        </w:tc>
        <w:tc>
          <w:tcPr>
            <w:tcW w:w="0" w:type="auto"/>
            <w:vAlign w:val="center"/>
          </w:tcPr>
          <w:p w:rsidR="00386381" w:rsidRPr="006873FC" w:rsidRDefault="00386381" w:rsidP="00386381">
            <w:pPr>
              <w:jc w:val="center"/>
              <w:rPr>
                <w:rFonts w:ascii="Arial" w:hAnsi="Arial" w:cs="Arial"/>
                <w:b/>
                <w:sz w:val="20"/>
                <w:szCs w:val="20"/>
              </w:rPr>
            </w:pPr>
            <w:r w:rsidRPr="006873FC">
              <w:rPr>
                <w:rFonts w:ascii="Arial" w:hAnsi="Arial" w:cs="Arial"/>
                <w:b/>
                <w:sz w:val="20"/>
                <w:szCs w:val="20"/>
              </w:rPr>
              <w:t>CFSE</w:t>
            </w:r>
          </w:p>
        </w:tc>
        <w:tc>
          <w:tcPr>
            <w:tcW w:w="0" w:type="auto"/>
            <w:vAlign w:val="center"/>
          </w:tcPr>
          <w:p w:rsidR="00386381" w:rsidRPr="006873FC" w:rsidRDefault="00386381" w:rsidP="00386381">
            <w:pPr>
              <w:jc w:val="center"/>
              <w:rPr>
                <w:rFonts w:ascii="Symbol" w:hAnsi="Symbol" w:cs="Arial"/>
                <w:b/>
                <w:sz w:val="20"/>
                <w:szCs w:val="20"/>
              </w:rPr>
            </w:pPr>
            <w:r w:rsidRPr="006873FC">
              <w:rPr>
                <w:rFonts w:ascii="Arial" w:hAnsi="Arial" w:cs="Arial"/>
                <w:b/>
                <w:sz w:val="20"/>
                <w:szCs w:val="20"/>
              </w:rPr>
              <w:t>IFN</w:t>
            </w:r>
            <w:r>
              <w:rPr>
                <w:rFonts w:ascii="Symbol" w:hAnsi="Symbol" w:cs="Arial"/>
                <w:b/>
                <w:sz w:val="20"/>
                <w:szCs w:val="20"/>
              </w:rPr>
              <w:t></w:t>
            </w:r>
          </w:p>
        </w:tc>
        <w:tc>
          <w:tcPr>
            <w:tcW w:w="0" w:type="auto"/>
            <w:vAlign w:val="center"/>
          </w:tcPr>
          <w:p w:rsidR="00386381" w:rsidRPr="006873FC" w:rsidRDefault="00386381" w:rsidP="00386381">
            <w:pPr>
              <w:jc w:val="center"/>
              <w:rPr>
                <w:rFonts w:ascii="Arial" w:hAnsi="Arial" w:cs="Arial"/>
                <w:b/>
                <w:sz w:val="20"/>
                <w:szCs w:val="20"/>
              </w:rPr>
            </w:pPr>
            <w:r w:rsidRPr="006873FC">
              <w:rPr>
                <w:rFonts w:ascii="Arial" w:hAnsi="Arial" w:cs="Arial"/>
                <w:b/>
                <w:sz w:val="20"/>
                <w:szCs w:val="20"/>
              </w:rPr>
              <w:t>IL-13</w:t>
            </w:r>
          </w:p>
        </w:tc>
        <w:tc>
          <w:tcPr>
            <w:tcW w:w="0" w:type="auto"/>
            <w:vAlign w:val="center"/>
          </w:tcPr>
          <w:p w:rsidR="00386381" w:rsidRPr="006873FC" w:rsidRDefault="00386381" w:rsidP="00386381">
            <w:pPr>
              <w:jc w:val="center"/>
              <w:rPr>
                <w:rFonts w:ascii="Arial" w:hAnsi="Arial" w:cs="Arial"/>
                <w:b/>
                <w:sz w:val="20"/>
                <w:szCs w:val="20"/>
              </w:rPr>
            </w:pPr>
            <w:r>
              <w:rPr>
                <w:rFonts w:ascii="Arial" w:hAnsi="Arial" w:cs="Arial"/>
                <w:b/>
                <w:sz w:val="20"/>
                <w:szCs w:val="20"/>
              </w:rPr>
              <w:t>Gran B</w:t>
            </w:r>
          </w:p>
        </w:tc>
        <w:tc>
          <w:tcPr>
            <w:tcW w:w="0" w:type="auto"/>
            <w:vAlign w:val="center"/>
          </w:tcPr>
          <w:p w:rsidR="00386381" w:rsidRPr="006873FC" w:rsidRDefault="00386381" w:rsidP="00386381">
            <w:pPr>
              <w:jc w:val="center"/>
              <w:rPr>
                <w:rFonts w:ascii="Arial" w:hAnsi="Arial" w:cs="Arial"/>
                <w:b/>
                <w:sz w:val="20"/>
                <w:szCs w:val="20"/>
              </w:rPr>
            </w:pPr>
          </w:p>
        </w:tc>
      </w:tr>
      <w:tr w:rsidR="00386381" w:rsidRPr="006873FC" w:rsidTr="00386381">
        <w:tc>
          <w:tcPr>
            <w:tcW w:w="0" w:type="auto"/>
            <w:vMerge w:val="restart"/>
          </w:tcPr>
          <w:p w:rsidR="00386381" w:rsidRPr="006873FC" w:rsidRDefault="00386381" w:rsidP="00386381">
            <w:pPr>
              <w:rPr>
                <w:rFonts w:ascii="Arial" w:hAnsi="Arial" w:cs="Arial"/>
                <w:sz w:val="20"/>
                <w:szCs w:val="20"/>
              </w:rPr>
            </w:pPr>
            <w:r w:rsidRPr="006873FC">
              <w:rPr>
                <w:rFonts w:ascii="Arial" w:hAnsi="Arial" w:cs="Arial"/>
                <w:sz w:val="20"/>
                <w:szCs w:val="20"/>
              </w:rPr>
              <w:t>B*57</w:t>
            </w:r>
            <w:r>
              <w:rPr>
                <w:rFonts w:ascii="Arial" w:hAnsi="Arial" w:cs="Arial"/>
                <w:sz w:val="20"/>
                <w:szCs w:val="20"/>
              </w:rPr>
              <w:t>:</w:t>
            </w:r>
            <w:r w:rsidRPr="006873FC">
              <w:rPr>
                <w:rFonts w:ascii="Arial" w:hAnsi="Arial" w:cs="Arial"/>
                <w:sz w:val="20"/>
                <w:szCs w:val="20"/>
              </w:rPr>
              <w:t>01</w:t>
            </w:r>
          </w:p>
          <w:p w:rsidR="00386381" w:rsidRPr="006873FC" w:rsidRDefault="00386381" w:rsidP="00386381">
            <w:pPr>
              <w:rPr>
                <w:rFonts w:ascii="Arial" w:hAnsi="Arial" w:cs="Arial"/>
                <w:sz w:val="20"/>
                <w:szCs w:val="20"/>
              </w:rPr>
            </w:pPr>
          </w:p>
        </w:tc>
        <w:tc>
          <w:tcPr>
            <w:tcW w:w="0" w:type="auto"/>
            <w:vMerge w:val="restart"/>
          </w:tcPr>
          <w:p w:rsidR="00386381" w:rsidRDefault="00386381" w:rsidP="00386381">
            <w:pPr>
              <w:rPr>
                <w:rFonts w:ascii="Arial" w:hAnsi="Arial" w:cs="Arial"/>
                <w:sz w:val="20"/>
                <w:szCs w:val="20"/>
              </w:rPr>
            </w:pPr>
            <w:proofErr w:type="spellStart"/>
            <w:r>
              <w:rPr>
                <w:rFonts w:ascii="Arial" w:hAnsi="Arial" w:cs="Arial"/>
                <w:sz w:val="20"/>
                <w:szCs w:val="20"/>
              </w:rPr>
              <w:t>Abacavir</w:t>
            </w:r>
            <w:proofErr w:type="spellEnd"/>
          </w:p>
          <w:p w:rsidR="00386381" w:rsidRPr="006873FC" w:rsidRDefault="00386381" w:rsidP="00386381">
            <w:pPr>
              <w:rPr>
                <w:rFonts w:ascii="Arial" w:hAnsi="Arial" w:cs="Arial"/>
                <w:sz w:val="20"/>
                <w:szCs w:val="20"/>
              </w:rPr>
            </w:pPr>
            <w:r>
              <w:rPr>
                <w:rFonts w:ascii="Arial" w:hAnsi="Arial" w:cs="Arial"/>
                <w:sz w:val="20"/>
                <w:szCs w:val="20"/>
              </w:rPr>
              <w:t>(Skin)</w:t>
            </w:r>
          </w:p>
        </w:tc>
        <w:tc>
          <w:tcPr>
            <w:tcW w:w="0" w:type="auto"/>
          </w:tcPr>
          <w:p w:rsidR="00386381" w:rsidRDefault="00386381" w:rsidP="00386381">
            <w:pPr>
              <w:rPr>
                <w:rFonts w:ascii="Arial" w:hAnsi="Arial" w:cs="Arial"/>
                <w:sz w:val="20"/>
                <w:szCs w:val="20"/>
              </w:rPr>
            </w:pPr>
            <w:r>
              <w:rPr>
                <w:rFonts w:ascii="Arial" w:hAnsi="Arial" w:cs="Arial"/>
                <w:sz w:val="20"/>
                <w:szCs w:val="20"/>
              </w:rPr>
              <w:t>H155</w:t>
            </w:r>
          </w:p>
        </w:tc>
        <w:tc>
          <w:tcPr>
            <w:tcW w:w="0" w:type="auto"/>
            <w:shd w:val="clear" w:color="auto" w:fill="auto"/>
          </w:tcPr>
          <w:p w:rsidR="00386381" w:rsidRPr="006873FC" w:rsidRDefault="00386381" w:rsidP="00386381">
            <w:pPr>
              <w:jc w:val="center"/>
              <w:rPr>
                <w:rFonts w:ascii="Arial" w:hAnsi="Arial" w:cs="Arial"/>
                <w:sz w:val="20"/>
                <w:szCs w:val="20"/>
              </w:rPr>
            </w:pPr>
          </w:p>
        </w:tc>
        <w:tc>
          <w:tcPr>
            <w:tcW w:w="0" w:type="auto"/>
            <w:shd w:val="clear" w:color="auto" w:fill="F2F2F2" w:themeFill="background1" w:themeFillShade="F2"/>
          </w:tcPr>
          <w:p w:rsidR="00386381" w:rsidRDefault="00386381" w:rsidP="00386381">
            <w:pPr>
              <w:jc w:val="center"/>
            </w:pPr>
            <w:r w:rsidRPr="0016096E">
              <w:rPr>
                <w:rFonts w:ascii="Arial" w:hAnsi="Arial" w:cs="Arial"/>
                <w:sz w:val="20"/>
                <w:szCs w:val="20"/>
              </w:rPr>
              <w:t>-</w:t>
            </w:r>
          </w:p>
        </w:tc>
        <w:tc>
          <w:tcPr>
            <w:tcW w:w="0" w:type="auto"/>
            <w:shd w:val="clear" w:color="auto" w:fill="F2F2F2" w:themeFill="background1" w:themeFillShade="F2"/>
          </w:tcPr>
          <w:p w:rsidR="00386381" w:rsidRDefault="00386381" w:rsidP="00386381">
            <w:pPr>
              <w:jc w:val="center"/>
            </w:pPr>
            <w:r w:rsidRPr="005C78B1">
              <w:rPr>
                <w:rFonts w:ascii="Arial" w:hAnsi="Arial" w:cs="Arial"/>
                <w:sz w:val="20"/>
                <w:szCs w:val="20"/>
              </w:rPr>
              <w:t>-</w:t>
            </w:r>
          </w:p>
        </w:tc>
        <w:tc>
          <w:tcPr>
            <w:tcW w:w="0" w:type="auto"/>
            <w:shd w:val="clear" w:color="auto" w:fill="auto"/>
            <w:vAlign w:val="center"/>
          </w:tcPr>
          <w:p w:rsidR="00386381" w:rsidRDefault="00386381" w:rsidP="00386381">
            <w:pPr>
              <w:jc w:val="center"/>
              <w:rPr>
                <w:rFonts w:ascii="Arial" w:hAnsi="Arial" w:cs="Arial"/>
                <w:sz w:val="20"/>
                <w:szCs w:val="20"/>
              </w:rPr>
            </w:pPr>
          </w:p>
        </w:tc>
        <w:tc>
          <w:tcPr>
            <w:tcW w:w="0" w:type="auto"/>
          </w:tcPr>
          <w:p w:rsidR="00386381" w:rsidRPr="006873FC" w:rsidRDefault="00386381" w:rsidP="00386381">
            <w:pPr>
              <w:jc w:val="center"/>
              <w:rPr>
                <w:rFonts w:ascii="Arial" w:hAnsi="Arial" w:cs="Arial"/>
                <w:sz w:val="20"/>
                <w:szCs w:val="20"/>
              </w:rPr>
            </w:pPr>
          </w:p>
        </w:tc>
        <w:tc>
          <w:tcPr>
            <w:tcW w:w="0" w:type="auto"/>
          </w:tcPr>
          <w:p w:rsidR="00386381" w:rsidRPr="006873FC" w:rsidRDefault="00386381" w:rsidP="00386381">
            <w:pPr>
              <w:jc w:val="center"/>
              <w:rPr>
                <w:rFonts w:ascii="Arial" w:hAnsi="Arial" w:cs="Arial"/>
                <w:sz w:val="20"/>
                <w:szCs w:val="20"/>
              </w:rPr>
            </w:pPr>
          </w:p>
        </w:tc>
      </w:tr>
      <w:tr w:rsidR="00386381" w:rsidRPr="006873FC" w:rsidTr="00386381">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Default="00386381" w:rsidP="00386381">
            <w:pPr>
              <w:rPr>
                <w:rFonts w:ascii="Arial" w:hAnsi="Arial" w:cs="Arial"/>
                <w:sz w:val="20"/>
                <w:szCs w:val="20"/>
              </w:rPr>
            </w:pPr>
            <w:r>
              <w:rPr>
                <w:rFonts w:ascii="Arial" w:hAnsi="Arial" w:cs="Arial"/>
                <w:sz w:val="20"/>
                <w:szCs w:val="20"/>
              </w:rPr>
              <w:t>H164</w:t>
            </w:r>
          </w:p>
        </w:tc>
        <w:tc>
          <w:tcPr>
            <w:tcW w:w="0" w:type="auto"/>
            <w:shd w:val="clear" w:color="auto" w:fill="F2F2F2" w:themeFill="background1" w:themeFillShade="F2"/>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shd w:val="clear" w:color="auto" w:fill="F2F2F2" w:themeFill="background1" w:themeFillShade="F2"/>
          </w:tcPr>
          <w:p w:rsidR="00386381" w:rsidRDefault="00386381" w:rsidP="00386381">
            <w:pPr>
              <w:jc w:val="center"/>
            </w:pPr>
            <w:r w:rsidRPr="0016096E">
              <w:rPr>
                <w:rFonts w:ascii="Arial" w:hAnsi="Arial" w:cs="Arial"/>
                <w:sz w:val="20"/>
                <w:szCs w:val="20"/>
              </w:rPr>
              <w:t>-</w:t>
            </w:r>
          </w:p>
        </w:tc>
        <w:tc>
          <w:tcPr>
            <w:tcW w:w="0" w:type="auto"/>
            <w:shd w:val="clear" w:color="auto" w:fill="F2F2F2" w:themeFill="background1" w:themeFillShade="F2"/>
          </w:tcPr>
          <w:p w:rsidR="00386381" w:rsidRDefault="00386381" w:rsidP="00386381">
            <w:pPr>
              <w:jc w:val="center"/>
            </w:pPr>
            <w:r w:rsidRPr="005C78B1">
              <w:rPr>
                <w:rFonts w:ascii="Arial" w:hAnsi="Arial" w:cs="Arial"/>
                <w:sz w:val="20"/>
                <w:szCs w:val="20"/>
              </w:rPr>
              <w:t>-</w:t>
            </w:r>
          </w:p>
        </w:tc>
        <w:tc>
          <w:tcPr>
            <w:tcW w:w="0" w:type="auto"/>
            <w:shd w:val="clear" w:color="auto" w:fill="auto"/>
            <w:vAlign w:val="center"/>
          </w:tcPr>
          <w:p w:rsidR="00386381" w:rsidRDefault="00386381" w:rsidP="00386381">
            <w:pPr>
              <w:jc w:val="center"/>
              <w:rPr>
                <w:rFonts w:ascii="Arial" w:hAnsi="Arial" w:cs="Arial"/>
                <w:sz w:val="20"/>
                <w:szCs w:val="20"/>
              </w:rPr>
            </w:pPr>
          </w:p>
        </w:tc>
        <w:tc>
          <w:tcPr>
            <w:tcW w:w="0" w:type="auto"/>
          </w:tcPr>
          <w:p w:rsidR="00386381" w:rsidRPr="006873FC" w:rsidRDefault="00386381" w:rsidP="00386381">
            <w:pPr>
              <w:jc w:val="center"/>
              <w:rPr>
                <w:rFonts w:ascii="Arial" w:hAnsi="Arial" w:cs="Arial"/>
                <w:sz w:val="20"/>
                <w:szCs w:val="20"/>
              </w:rPr>
            </w:pPr>
          </w:p>
        </w:tc>
        <w:tc>
          <w:tcPr>
            <w:tcW w:w="0" w:type="auto"/>
          </w:tcPr>
          <w:p w:rsidR="00386381" w:rsidRPr="006873FC" w:rsidRDefault="00386381" w:rsidP="00386381">
            <w:pPr>
              <w:jc w:val="center"/>
              <w:rPr>
                <w:rFonts w:ascii="Arial" w:hAnsi="Arial" w:cs="Arial"/>
                <w:sz w:val="20"/>
                <w:szCs w:val="20"/>
              </w:rPr>
            </w:pPr>
          </w:p>
        </w:tc>
      </w:tr>
      <w:tr w:rsidR="00386381" w:rsidRPr="006873FC" w:rsidTr="00386381">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Default="00386381" w:rsidP="00386381">
            <w:pPr>
              <w:rPr>
                <w:rFonts w:ascii="Arial" w:hAnsi="Arial" w:cs="Arial"/>
                <w:sz w:val="20"/>
                <w:szCs w:val="20"/>
              </w:rPr>
            </w:pPr>
            <w:r>
              <w:rPr>
                <w:rFonts w:ascii="Arial" w:hAnsi="Arial" w:cs="Arial"/>
                <w:sz w:val="20"/>
                <w:szCs w:val="20"/>
              </w:rPr>
              <w:t>H364</w:t>
            </w:r>
          </w:p>
        </w:tc>
        <w:tc>
          <w:tcPr>
            <w:tcW w:w="0" w:type="auto"/>
            <w:shd w:val="clear" w:color="auto" w:fill="auto"/>
          </w:tcPr>
          <w:p w:rsidR="00386381" w:rsidRPr="006873FC" w:rsidRDefault="00386381" w:rsidP="00386381">
            <w:pPr>
              <w:jc w:val="center"/>
              <w:rPr>
                <w:rFonts w:ascii="Arial" w:hAnsi="Arial" w:cs="Arial"/>
                <w:sz w:val="20"/>
                <w:szCs w:val="20"/>
              </w:rPr>
            </w:pPr>
          </w:p>
        </w:tc>
        <w:tc>
          <w:tcPr>
            <w:tcW w:w="0" w:type="auto"/>
            <w:shd w:val="clear" w:color="auto" w:fill="F2F2F2" w:themeFill="background1" w:themeFillShade="F2"/>
          </w:tcPr>
          <w:p w:rsidR="00386381" w:rsidRDefault="00386381" w:rsidP="00386381">
            <w:pPr>
              <w:jc w:val="center"/>
            </w:pPr>
            <w:r w:rsidRPr="0016096E">
              <w:rPr>
                <w:rFonts w:ascii="Arial" w:hAnsi="Arial" w:cs="Arial"/>
                <w:sz w:val="20"/>
                <w:szCs w:val="20"/>
              </w:rPr>
              <w:t>-</w:t>
            </w:r>
          </w:p>
        </w:tc>
        <w:tc>
          <w:tcPr>
            <w:tcW w:w="0" w:type="auto"/>
            <w:shd w:val="clear" w:color="auto" w:fill="F2F2F2" w:themeFill="background1" w:themeFillShade="F2"/>
          </w:tcPr>
          <w:p w:rsidR="00386381" w:rsidRDefault="00386381" w:rsidP="00386381">
            <w:pPr>
              <w:jc w:val="center"/>
            </w:pPr>
            <w:r w:rsidRPr="005C78B1">
              <w:rPr>
                <w:rFonts w:ascii="Arial" w:hAnsi="Arial" w:cs="Arial"/>
                <w:sz w:val="20"/>
                <w:szCs w:val="20"/>
              </w:rPr>
              <w:t>-</w:t>
            </w:r>
          </w:p>
        </w:tc>
        <w:tc>
          <w:tcPr>
            <w:tcW w:w="0" w:type="auto"/>
            <w:shd w:val="clear" w:color="auto" w:fill="auto"/>
            <w:vAlign w:val="center"/>
          </w:tcPr>
          <w:p w:rsidR="00386381" w:rsidRDefault="00386381" w:rsidP="00386381">
            <w:pPr>
              <w:jc w:val="center"/>
              <w:rPr>
                <w:rFonts w:ascii="Arial" w:hAnsi="Arial" w:cs="Arial"/>
                <w:sz w:val="20"/>
                <w:szCs w:val="20"/>
              </w:rPr>
            </w:pPr>
          </w:p>
        </w:tc>
        <w:tc>
          <w:tcPr>
            <w:tcW w:w="0" w:type="auto"/>
            <w:shd w:val="clear" w:color="auto" w:fill="F2F2F2" w:themeFill="background1" w:themeFillShade="F2"/>
          </w:tcPr>
          <w:p w:rsidR="00386381" w:rsidRDefault="00386381" w:rsidP="00386381">
            <w:pPr>
              <w:jc w:val="center"/>
            </w:pPr>
            <w:r w:rsidRPr="002A4788">
              <w:rPr>
                <w:rFonts w:ascii="Arial" w:hAnsi="Arial" w:cs="Arial"/>
                <w:sz w:val="20"/>
                <w:szCs w:val="20"/>
              </w:rPr>
              <w:t>-</w:t>
            </w:r>
          </w:p>
        </w:tc>
        <w:tc>
          <w:tcPr>
            <w:tcW w:w="0" w:type="auto"/>
          </w:tcPr>
          <w:p w:rsidR="00386381" w:rsidRPr="006873FC" w:rsidRDefault="00386381" w:rsidP="00386381">
            <w:pPr>
              <w:jc w:val="center"/>
              <w:rPr>
                <w:rFonts w:ascii="Arial" w:hAnsi="Arial" w:cs="Arial"/>
                <w:sz w:val="20"/>
                <w:szCs w:val="20"/>
              </w:rPr>
            </w:pPr>
          </w:p>
        </w:tc>
      </w:tr>
      <w:tr w:rsidR="00386381" w:rsidRPr="006873FC" w:rsidTr="00386381">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Default="00386381" w:rsidP="00386381">
            <w:pPr>
              <w:rPr>
                <w:rFonts w:ascii="Arial" w:hAnsi="Arial" w:cs="Arial"/>
                <w:sz w:val="20"/>
                <w:szCs w:val="20"/>
              </w:rPr>
            </w:pPr>
            <w:r>
              <w:rPr>
                <w:rFonts w:ascii="Arial" w:hAnsi="Arial" w:cs="Arial"/>
                <w:sz w:val="20"/>
                <w:szCs w:val="20"/>
              </w:rPr>
              <w:t>H389</w:t>
            </w:r>
          </w:p>
        </w:tc>
        <w:tc>
          <w:tcPr>
            <w:tcW w:w="0" w:type="auto"/>
            <w:shd w:val="clear" w:color="auto" w:fill="auto"/>
          </w:tcPr>
          <w:p w:rsidR="00386381" w:rsidRPr="006873FC" w:rsidRDefault="00386381" w:rsidP="00386381">
            <w:pPr>
              <w:jc w:val="center"/>
              <w:rPr>
                <w:rFonts w:ascii="Arial" w:hAnsi="Arial" w:cs="Arial"/>
                <w:sz w:val="20"/>
                <w:szCs w:val="20"/>
              </w:rPr>
            </w:pPr>
          </w:p>
        </w:tc>
        <w:tc>
          <w:tcPr>
            <w:tcW w:w="0" w:type="auto"/>
            <w:shd w:val="clear" w:color="auto" w:fill="F2F2F2" w:themeFill="background1" w:themeFillShade="F2"/>
          </w:tcPr>
          <w:p w:rsidR="00386381" w:rsidRDefault="00386381" w:rsidP="00386381">
            <w:pPr>
              <w:jc w:val="center"/>
            </w:pPr>
            <w:r w:rsidRPr="0016096E">
              <w:rPr>
                <w:rFonts w:ascii="Arial" w:hAnsi="Arial" w:cs="Arial"/>
                <w:sz w:val="20"/>
                <w:szCs w:val="20"/>
              </w:rPr>
              <w:t>-</w:t>
            </w:r>
          </w:p>
        </w:tc>
        <w:tc>
          <w:tcPr>
            <w:tcW w:w="0" w:type="auto"/>
            <w:shd w:val="clear" w:color="auto" w:fill="F2F2F2" w:themeFill="background1" w:themeFillShade="F2"/>
          </w:tcPr>
          <w:p w:rsidR="00386381" w:rsidRDefault="00386381" w:rsidP="00386381">
            <w:pPr>
              <w:jc w:val="center"/>
            </w:pPr>
            <w:r w:rsidRPr="005C78B1">
              <w:rPr>
                <w:rFonts w:ascii="Arial" w:hAnsi="Arial" w:cs="Arial"/>
                <w:sz w:val="20"/>
                <w:szCs w:val="20"/>
              </w:rPr>
              <w:t>-</w:t>
            </w:r>
          </w:p>
        </w:tc>
        <w:tc>
          <w:tcPr>
            <w:tcW w:w="0" w:type="auto"/>
            <w:shd w:val="clear" w:color="auto" w:fill="auto"/>
            <w:vAlign w:val="center"/>
          </w:tcPr>
          <w:p w:rsidR="00386381" w:rsidRDefault="00386381" w:rsidP="00386381">
            <w:pPr>
              <w:jc w:val="center"/>
              <w:rPr>
                <w:rFonts w:ascii="Arial" w:hAnsi="Arial" w:cs="Arial"/>
                <w:sz w:val="20"/>
                <w:szCs w:val="20"/>
              </w:rPr>
            </w:pPr>
          </w:p>
        </w:tc>
        <w:tc>
          <w:tcPr>
            <w:tcW w:w="0" w:type="auto"/>
            <w:shd w:val="clear" w:color="auto" w:fill="F2F2F2" w:themeFill="background1" w:themeFillShade="F2"/>
          </w:tcPr>
          <w:p w:rsidR="00386381" w:rsidRDefault="00386381" w:rsidP="00386381">
            <w:pPr>
              <w:jc w:val="center"/>
            </w:pPr>
            <w:r w:rsidRPr="002A4788">
              <w:rPr>
                <w:rFonts w:ascii="Arial" w:hAnsi="Arial" w:cs="Arial"/>
                <w:sz w:val="20"/>
                <w:szCs w:val="20"/>
              </w:rPr>
              <w:t>-</w:t>
            </w:r>
          </w:p>
        </w:tc>
        <w:tc>
          <w:tcPr>
            <w:tcW w:w="0" w:type="auto"/>
          </w:tcPr>
          <w:p w:rsidR="00386381" w:rsidRPr="006873FC" w:rsidRDefault="00386381" w:rsidP="00386381">
            <w:pPr>
              <w:jc w:val="center"/>
              <w:rPr>
                <w:rFonts w:ascii="Arial" w:hAnsi="Arial" w:cs="Arial"/>
                <w:sz w:val="20"/>
                <w:szCs w:val="20"/>
              </w:rPr>
            </w:pPr>
          </w:p>
        </w:tc>
      </w:tr>
      <w:tr w:rsidR="00386381" w:rsidRPr="006873FC" w:rsidTr="00386381">
        <w:tc>
          <w:tcPr>
            <w:tcW w:w="0" w:type="auto"/>
            <w:vMerge w:val="restart"/>
          </w:tcPr>
          <w:p w:rsidR="00386381" w:rsidRPr="006873FC" w:rsidRDefault="00386381" w:rsidP="00386381">
            <w:pPr>
              <w:rPr>
                <w:rFonts w:ascii="Arial" w:hAnsi="Arial" w:cs="Arial"/>
                <w:sz w:val="20"/>
                <w:szCs w:val="20"/>
              </w:rPr>
            </w:pPr>
            <w:r w:rsidRPr="006873FC">
              <w:rPr>
                <w:rFonts w:ascii="Arial" w:hAnsi="Arial" w:cs="Arial"/>
                <w:sz w:val="20"/>
                <w:szCs w:val="20"/>
              </w:rPr>
              <w:t>B*57</w:t>
            </w:r>
            <w:r>
              <w:rPr>
                <w:rFonts w:ascii="Arial" w:hAnsi="Arial" w:cs="Arial"/>
                <w:sz w:val="20"/>
                <w:szCs w:val="20"/>
              </w:rPr>
              <w:t>:</w:t>
            </w:r>
            <w:r w:rsidRPr="006873FC">
              <w:rPr>
                <w:rFonts w:ascii="Arial" w:hAnsi="Arial" w:cs="Arial"/>
                <w:sz w:val="20"/>
                <w:szCs w:val="20"/>
              </w:rPr>
              <w:t>01</w:t>
            </w:r>
          </w:p>
          <w:p w:rsidR="00386381" w:rsidRPr="006873FC" w:rsidRDefault="00386381" w:rsidP="00386381">
            <w:pPr>
              <w:rPr>
                <w:rFonts w:ascii="Arial" w:hAnsi="Arial" w:cs="Arial"/>
                <w:sz w:val="20"/>
                <w:szCs w:val="20"/>
              </w:rPr>
            </w:pPr>
          </w:p>
        </w:tc>
        <w:tc>
          <w:tcPr>
            <w:tcW w:w="0" w:type="auto"/>
            <w:vMerge w:val="restart"/>
          </w:tcPr>
          <w:p w:rsidR="00386381" w:rsidRDefault="00386381" w:rsidP="00386381">
            <w:pPr>
              <w:rPr>
                <w:rFonts w:ascii="Arial" w:hAnsi="Arial" w:cs="Arial"/>
                <w:sz w:val="20"/>
                <w:szCs w:val="20"/>
              </w:rPr>
            </w:pPr>
            <w:r>
              <w:rPr>
                <w:rFonts w:ascii="Arial" w:hAnsi="Arial" w:cs="Arial"/>
                <w:sz w:val="20"/>
                <w:szCs w:val="20"/>
              </w:rPr>
              <w:t>Flucloxacillin</w:t>
            </w:r>
          </w:p>
          <w:p w:rsidR="00386381" w:rsidRPr="006873FC" w:rsidRDefault="00386381" w:rsidP="00386381">
            <w:pPr>
              <w:rPr>
                <w:rFonts w:ascii="Arial" w:hAnsi="Arial" w:cs="Arial"/>
                <w:sz w:val="20"/>
                <w:szCs w:val="20"/>
              </w:rPr>
            </w:pPr>
            <w:r>
              <w:rPr>
                <w:rFonts w:ascii="Arial" w:hAnsi="Arial" w:cs="Arial"/>
                <w:sz w:val="20"/>
                <w:szCs w:val="20"/>
              </w:rPr>
              <w:t>(Liver)</w:t>
            </w:r>
          </w:p>
        </w:tc>
        <w:tc>
          <w:tcPr>
            <w:tcW w:w="0" w:type="auto"/>
          </w:tcPr>
          <w:p w:rsidR="00386381" w:rsidRPr="006873FC" w:rsidRDefault="00386381" w:rsidP="00386381">
            <w:pPr>
              <w:rPr>
                <w:rFonts w:ascii="Arial" w:hAnsi="Arial" w:cs="Arial"/>
                <w:sz w:val="20"/>
                <w:szCs w:val="20"/>
              </w:rPr>
            </w:pPr>
            <w:r>
              <w:rPr>
                <w:rFonts w:ascii="Arial" w:hAnsi="Arial" w:cs="Arial"/>
                <w:sz w:val="20"/>
                <w:szCs w:val="20"/>
              </w:rPr>
              <w:t>H</w:t>
            </w:r>
            <w:r w:rsidRPr="006873FC">
              <w:rPr>
                <w:rFonts w:ascii="Arial" w:hAnsi="Arial" w:cs="Arial"/>
                <w:sz w:val="20"/>
                <w:szCs w:val="20"/>
              </w:rPr>
              <w:t>027</w:t>
            </w:r>
          </w:p>
        </w:tc>
        <w:tc>
          <w:tcPr>
            <w:tcW w:w="0" w:type="auto"/>
            <w:shd w:val="clear" w:color="auto" w:fill="F2F2F2" w:themeFill="background1" w:themeFillShade="F2"/>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shd w:val="clear" w:color="auto" w:fill="D9D9D9" w:themeFill="background1" w:themeFillShade="D9"/>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shd w:val="clear" w:color="auto" w:fill="F2F2F2" w:themeFill="background1" w:themeFillShade="F2"/>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shd w:val="clear" w:color="auto" w:fill="F2F2F2" w:themeFill="background1" w:themeFillShade="F2"/>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shd w:val="clear" w:color="auto" w:fill="F2F2F2" w:themeFill="background1" w:themeFillShade="F2"/>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tcPr>
          <w:p w:rsidR="00386381" w:rsidRPr="006873FC" w:rsidRDefault="00386381" w:rsidP="00386381">
            <w:pPr>
              <w:jc w:val="center"/>
              <w:rPr>
                <w:rFonts w:ascii="Arial" w:hAnsi="Arial" w:cs="Arial"/>
                <w:sz w:val="20"/>
                <w:szCs w:val="20"/>
              </w:rPr>
            </w:pPr>
            <w:r w:rsidRPr="006873FC">
              <w:rPr>
                <w:rFonts w:ascii="Arial" w:hAnsi="Arial" w:cs="Arial"/>
                <w:sz w:val="20"/>
                <w:szCs w:val="20"/>
              </w:rPr>
              <w:t>Yes</w:t>
            </w:r>
          </w:p>
        </w:tc>
      </w:tr>
      <w:tr w:rsidR="00386381" w:rsidRPr="006873FC" w:rsidTr="00386381">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Pr="006873FC" w:rsidRDefault="00386381" w:rsidP="00386381">
            <w:pPr>
              <w:rPr>
                <w:rFonts w:ascii="Arial" w:hAnsi="Arial" w:cs="Arial"/>
                <w:sz w:val="20"/>
                <w:szCs w:val="20"/>
              </w:rPr>
            </w:pPr>
            <w:r>
              <w:rPr>
                <w:rFonts w:ascii="Arial" w:hAnsi="Arial" w:cs="Arial"/>
                <w:sz w:val="20"/>
                <w:szCs w:val="20"/>
              </w:rPr>
              <w:t>H</w:t>
            </w:r>
            <w:r w:rsidRPr="006873FC">
              <w:rPr>
                <w:rFonts w:ascii="Arial" w:hAnsi="Arial" w:cs="Arial"/>
                <w:sz w:val="20"/>
                <w:szCs w:val="20"/>
              </w:rPr>
              <w:t>202</w:t>
            </w:r>
          </w:p>
        </w:tc>
        <w:tc>
          <w:tcPr>
            <w:tcW w:w="0" w:type="auto"/>
            <w:shd w:val="clear" w:color="auto" w:fill="auto"/>
            <w:vAlign w:val="center"/>
          </w:tcPr>
          <w:p w:rsidR="00386381" w:rsidRPr="006873FC" w:rsidRDefault="00386381" w:rsidP="00386381">
            <w:pPr>
              <w:jc w:val="center"/>
              <w:rPr>
                <w:rFonts w:ascii="Arial" w:hAnsi="Arial" w:cs="Arial"/>
                <w:sz w:val="20"/>
                <w:szCs w:val="20"/>
              </w:rPr>
            </w:pPr>
          </w:p>
        </w:tc>
        <w:tc>
          <w:tcPr>
            <w:tcW w:w="0" w:type="auto"/>
            <w:shd w:val="clear" w:color="auto" w:fill="D9D9D9" w:themeFill="background1" w:themeFillShade="D9"/>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shd w:val="clear" w:color="auto" w:fill="F2F2F2" w:themeFill="background1" w:themeFillShade="F2"/>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shd w:val="clear" w:color="auto" w:fill="auto"/>
            <w:vAlign w:val="center"/>
          </w:tcPr>
          <w:p w:rsidR="00386381" w:rsidRPr="006873FC" w:rsidRDefault="00386381" w:rsidP="00386381">
            <w:pPr>
              <w:jc w:val="center"/>
              <w:rPr>
                <w:rFonts w:ascii="Arial" w:hAnsi="Arial" w:cs="Arial"/>
                <w:sz w:val="20"/>
                <w:szCs w:val="20"/>
              </w:rPr>
            </w:pPr>
          </w:p>
        </w:tc>
        <w:tc>
          <w:tcPr>
            <w:tcW w:w="0" w:type="auto"/>
            <w:shd w:val="clear" w:color="auto" w:fill="D9D9D9" w:themeFill="background1" w:themeFillShade="D9"/>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tcPr>
          <w:p w:rsidR="00386381" w:rsidRPr="006873FC" w:rsidRDefault="00386381" w:rsidP="00386381">
            <w:pPr>
              <w:jc w:val="center"/>
              <w:rPr>
                <w:rFonts w:ascii="Arial" w:hAnsi="Arial" w:cs="Arial"/>
                <w:sz w:val="20"/>
                <w:szCs w:val="20"/>
              </w:rPr>
            </w:pPr>
          </w:p>
        </w:tc>
      </w:tr>
      <w:tr w:rsidR="00386381" w:rsidRPr="006873FC" w:rsidTr="00386381">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Pr="006873FC" w:rsidRDefault="00386381" w:rsidP="00386381">
            <w:pPr>
              <w:rPr>
                <w:rFonts w:ascii="Arial" w:hAnsi="Arial" w:cs="Arial"/>
                <w:sz w:val="20"/>
                <w:szCs w:val="20"/>
              </w:rPr>
            </w:pPr>
            <w:r>
              <w:rPr>
                <w:rFonts w:ascii="Arial" w:hAnsi="Arial" w:cs="Arial"/>
                <w:sz w:val="20"/>
                <w:szCs w:val="20"/>
              </w:rPr>
              <w:t>H</w:t>
            </w:r>
            <w:r w:rsidRPr="006873FC">
              <w:rPr>
                <w:rFonts w:ascii="Arial" w:hAnsi="Arial" w:cs="Arial"/>
                <w:sz w:val="20"/>
                <w:szCs w:val="20"/>
              </w:rPr>
              <w:t>307</w:t>
            </w:r>
          </w:p>
        </w:tc>
        <w:tc>
          <w:tcPr>
            <w:tcW w:w="0" w:type="auto"/>
            <w:shd w:val="clear" w:color="auto" w:fill="F2F2F2" w:themeFill="background1" w:themeFillShade="F2"/>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shd w:val="clear" w:color="auto" w:fill="auto"/>
          </w:tcPr>
          <w:p w:rsidR="00386381" w:rsidRPr="006873FC" w:rsidRDefault="00386381" w:rsidP="00386381">
            <w:pPr>
              <w:jc w:val="center"/>
              <w:rPr>
                <w:rFonts w:ascii="Arial" w:hAnsi="Arial" w:cs="Arial"/>
                <w:sz w:val="20"/>
                <w:szCs w:val="20"/>
              </w:rPr>
            </w:pPr>
          </w:p>
        </w:tc>
        <w:tc>
          <w:tcPr>
            <w:tcW w:w="0" w:type="auto"/>
            <w:shd w:val="clear" w:color="auto" w:fill="BFBFBF" w:themeFill="background1" w:themeFillShade="BF"/>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shd w:val="clear" w:color="auto" w:fill="auto"/>
            <w:vAlign w:val="center"/>
          </w:tcPr>
          <w:p w:rsidR="00386381" w:rsidRPr="006873FC" w:rsidRDefault="00386381" w:rsidP="00386381">
            <w:pPr>
              <w:jc w:val="center"/>
              <w:rPr>
                <w:rFonts w:ascii="Arial" w:hAnsi="Arial" w:cs="Arial"/>
                <w:sz w:val="20"/>
                <w:szCs w:val="20"/>
              </w:rPr>
            </w:pPr>
          </w:p>
        </w:tc>
        <w:tc>
          <w:tcPr>
            <w:tcW w:w="0" w:type="auto"/>
          </w:tcPr>
          <w:p w:rsidR="00386381" w:rsidRPr="006873FC" w:rsidRDefault="00386381" w:rsidP="00386381">
            <w:pPr>
              <w:jc w:val="center"/>
              <w:rPr>
                <w:rFonts w:ascii="Arial" w:hAnsi="Arial" w:cs="Arial"/>
                <w:sz w:val="20"/>
                <w:szCs w:val="20"/>
              </w:rPr>
            </w:pPr>
          </w:p>
        </w:tc>
        <w:tc>
          <w:tcPr>
            <w:tcW w:w="0" w:type="auto"/>
          </w:tcPr>
          <w:p w:rsidR="00386381" w:rsidRPr="006873FC" w:rsidRDefault="00386381" w:rsidP="00386381">
            <w:pPr>
              <w:jc w:val="center"/>
              <w:rPr>
                <w:rFonts w:ascii="Arial" w:hAnsi="Arial" w:cs="Arial"/>
                <w:sz w:val="20"/>
                <w:szCs w:val="20"/>
              </w:rPr>
            </w:pPr>
            <w:r w:rsidRPr="006873FC">
              <w:rPr>
                <w:rFonts w:ascii="Arial" w:hAnsi="Arial" w:cs="Arial"/>
                <w:sz w:val="20"/>
                <w:szCs w:val="20"/>
              </w:rPr>
              <w:t>Yes</w:t>
            </w:r>
          </w:p>
        </w:tc>
      </w:tr>
      <w:tr w:rsidR="00386381" w:rsidRPr="006873FC" w:rsidTr="00386381">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Pr="006873FC" w:rsidRDefault="00386381" w:rsidP="00386381">
            <w:pPr>
              <w:rPr>
                <w:rFonts w:ascii="Arial" w:hAnsi="Arial" w:cs="Arial"/>
                <w:sz w:val="20"/>
                <w:szCs w:val="20"/>
              </w:rPr>
            </w:pPr>
            <w:r>
              <w:rPr>
                <w:rFonts w:ascii="Arial" w:hAnsi="Arial" w:cs="Arial"/>
                <w:sz w:val="20"/>
                <w:szCs w:val="20"/>
              </w:rPr>
              <w:t>H</w:t>
            </w:r>
            <w:r w:rsidRPr="006873FC">
              <w:rPr>
                <w:rFonts w:ascii="Arial" w:hAnsi="Arial" w:cs="Arial"/>
                <w:sz w:val="20"/>
                <w:szCs w:val="20"/>
              </w:rPr>
              <w:t>364</w:t>
            </w:r>
          </w:p>
        </w:tc>
        <w:tc>
          <w:tcPr>
            <w:tcW w:w="0" w:type="auto"/>
            <w:shd w:val="clear" w:color="auto" w:fill="auto"/>
            <w:vAlign w:val="center"/>
          </w:tcPr>
          <w:p w:rsidR="00386381" w:rsidRPr="006873FC" w:rsidRDefault="00386381" w:rsidP="00386381">
            <w:pPr>
              <w:jc w:val="center"/>
              <w:rPr>
                <w:rFonts w:ascii="Arial" w:hAnsi="Arial" w:cs="Arial"/>
                <w:sz w:val="20"/>
                <w:szCs w:val="20"/>
              </w:rPr>
            </w:pPr>
          </w:p>
        </w:tc>
        <w:tc>
          <w:tcPr>
            <w:tcW w:w="0" w:type="auto"/>
            <w:shd w:val="clear" w:color="auto" w:fill="D9D9D9" w:themeFill="background1" w:themeFillShade="D9"/>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shd w:val="clear" w:color="auto" w:fill="F2F2F2" w:themeFill="background1" w:themeFillShade="F2"/>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shd w:val="clear" w:color="auto" w:fill="auto"/>
            <w:vAlign w:val="center"/>
          </w:tcPr>
          <w:p w:rsidR="00386381" w:rsidRPr="006873FC" w:rsidRDefault="00386381" w:rsidP="00386381">
            <w:pPr>
              <w:jc w:val="center"/>
              <w:rPr>
                <w:rFonts w:ascii="Arial" w:hAnsi="Arial" w:cs="Arial"/>
                <w:sz w:val="20"/>
                <w:szCs w:val="20"/>
              </w:rPr>
            </w:pPr>
          </w:p>
        </w:tc>
        <w:tc>
          <w:tcPr>
            <w:tcW w:w="0" w:type="auto"/>
            <w:shd w:val="clear" w:color="auto" w:fill="F2F2F2" w:themeFill="background1" w:themeFillShade="F2"/>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tcPr>
          <w:p w:rsidR="00386381" w:rsidRPr="006873FC" w:rsidRDefault="00386381" w:rsidP="00386381">
            <w:pPr>
              <w:jc w:val="center"/>
              <w:rPr>
                <w:rFonts w:ascii="Arial" w:hAnsi="Arial" w:cs="Arial"/>
                <w:sz w:val="20"/>
                <w:szCs w:val="20"/>
              </w:rPr>
            </w:pPr>
            <w:r w:rsidRPr="006873FC">
              <w:rPr>
                <w:rFonts w:ascii="Arial" w:hAnsi="Arial" w:cs="Arial"/>
                <w:sz w:val="20"/>
                <w:szCs w:val="20"/>
              </w:rPr>
              <w:t>Yes</w:t>
            </w:r>
          </w:p>
        </w:tc>
      </w:tr>
      <w:tr w:rsidR="00386381" w:rsidRPr="006873FC" w:rsidTr="00386381">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Pr="006873FC" w:rsidRDefault="00386381" w:rsidP="00386381">
            <w:pPr>
              <w:rPr>
                <w:rFonts w:ascii="Arial" w:hAnsi="Arial" w:cs="Arial"/>
                <w:sz w:val="20"/>
                <w:szCs w:val="20"/>
              </w:rPr>
            </w:pPr>
            <w:r>
              <w:rPr>
                <w:rFonts w:ascii="Arial" w:hAnsi="Arial" w:cs="Arial"/>
                <w:sz w:val="20"/>
                <w:szCs w:val="20"/>
              </w:rPr>
              <w:t>H</w:t>
            </w:r>
            <w:r w:rsidRPr="006873FC">
              <w:rPr>
                <w:rFonts w:ascii="Arial" w:hAnsi="Arial" w:cs="Arial"/>
                <w:sz w:val="20"/>
                <w:szCs w:val="20"/>
              </w:rPr>
              <w:t>389</w:t>
            </w:r>
          </w:p>
        </w:tc>
        <w:tc>
          <w:tcPr>
            <w:tcW w:w="0" w:type="auto"/>
            <w:shd w:val="clear" w:color="auto" w:fill="F2F2F2" w:themeFill="background1" w:themeFillShade="F2"/>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shd w:val="clear" w:color="auto" w:fill="auto"/>
          </w:tcPr>
          <w:p w:rsidR="00386381" w:rsidRPr="006873FC" w:rsidRDefault="00386381" w:rsidP="00386381">
            <w:pPr>
              <w:jc w:val="center"/>
              <w:rPr>
                <w:rFonts w:ascii="Arial" w:hAnsi="Arial" w:cs="Arial"/>
                <w:sz w:val="20"/>
                <w:szCs w:val="20"/>
              </w:rPr>
            </w:pPr>
          </w:p>
        </w:tc>
        <w:tc>
          <w:tcPr>
            <w:tcW w:w="0" w:type="auto"/>
            <w:shd w:val="clear" w:color="auto" w:fill="F2F2F2" w:themeFill="background1" w:themeFillShade="F2"/>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shd w:val="clear" w:color="auto" w:fill="auto"/>
            <w:vAlign w:val="center"/>
          </w:tcPr>
          <w:p w:rsidR="00386381" w:rsidRPr="006873FC" w:rsidRDefault="00386381" w:rsidP="00386381">
            <w:pPr>
              <w:jc w:val="center"/>
              <w:rPr>
                <w:rFonts w:ascii="Arial" w:hAnsi="Arial" w:cs="Arial"/>
                <w:sz w:val="20"/>
                <w:szCs w:val="20"/>
              </w:rPr>
            </w:pPr>
          </w:p>
        </w:tc>
        <w:tc>
          <w:tcPr>
            <w:tcW w:w="0" w:type="auto"/>
            <w:shd w:val="clear" w:color="auto" w:fill="D9D9D9" w:themeFill="background1" w:themeFillShade="D9"/>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tcPr>
          <w:p w:rsidR="00386381" w:rsidRPr="006873FC" w:rsidRDefault="00386381" w:rsidP="00386381">
            <w:pPr>
              <w:jc w:val="center"/>
              <w:rPr>
                <w:rFonts w:ascii="Arial" w:hAnsi="Arial" w:cs="Arial"/>
                <w:sz w:val="20"/>
                <w:szCs w:val="20"/>
              </w:rPr>
            </w:pPr>
          </w:p>
        </w:tc>
      </w:tr>
      <w:tr w:rsidR="00386381" w:rsidRPr="006873FC" w:rsidTr="00386381">
        <w:tc>
          <w:tcPr>
            <w:tcW w:w="0" w:type="auto"/>
            <w:vMerge w:val="restart"/>
          </w:tcPr>
          <w:p w:rsidR="00386381" w:rsidRPr="006873FC" w:rsidRDefault="00386381" w:rsidP="00386381">
            <w:pPr>
              <w:rPr>
                <w:rFonts w:ascii="Arial" w:hAnsi="Arial" w:cs="Arial"/>
                <w:sz w:val="20"/>
                <w:szCs w:val="20"/>
              </w:rPr>
            </w:pPr>
            <w:r>
              <w:rPr>
                <w:rFonts w:ascii="Arial" w:hAnsi="Arial" w:cs="Arial"/>
                <w:sz w:val="20"/>
                <w:szCs w:val="20"/>
              </w:rPr>
              <w:t>B*58:</w:t>
            </w:r>
            <w:r w:rsidRPr="006873FC">
              <w:rPr>
                <w:rFonts w:ascii="Arial" w:hAnsi="Arial" w:cs="Arial"/>
                <w:sz w:val="20"/>
                <w:szCs w:val="20"/>
              </w:rPr>
              <w:t>01</w:t>
            </w:r>
          </w:p>
          <w:p w:rsidR="00386381" w:rsidRPr="006873FC" w:rsidRDefault="00386381" w:rsidP="00386381">
            <w:pPr>
              <w:rPr>
                <w:rFonts w:ascii="Arial" w:hAnsi="Arial" w:cs="Arial"/>
                <w:sz w:val="20"/>
                <w:szCs w:val="20"/>
              </w:rPr>
            </w:pPr>
          </w:p>
        </w:tc>
        <w:tc>
          <w:tcPr>
            <w:tcW w:w="0" w:type="auto"/>
            <w:vMerge w:val="restart"/>
          </w:tcPr>
          <w:p w:rsidR="00386381" w:rsidRDefault="00386381" w:rsidP="00386381">
            <w:pPr>
              <w:rPr>
                <w:rFonts w:ascii="Arial" w:hAnsi="Arial" w:cs="Arial"/>
                <w:sz w:val="20"/>
                <w:szCs w:val="20"/>
              </w:rPr>
            </w:pPr>
            <w:proofErr w:type="spellStart"/>
            <w:r>
              <w:rPr>
                <w:rFonts w:ascii="Arial" w:hAnsi="Arial" w:cs="Arial"/>
                <w:sz w:val="20"/>
                <w:szCs w:val="20"/>
              </w:rPr>
              <w:t>Oxypurinol</w:t>
            </w:r>
            <w:proofErr w:type="spellEnd"/>
          </w:p>
          <w:p w:rsidR="00386381" w:rsidRPr="006873FC" w:rsidRDefault="00386381" w:rsidP="00386381">
            <w:pPr>
              <w:rPr>
                <w:rFonts w:ascii="Arial" w:hAnsi="Arial" w:cs="Arial"/>
                <w:sz w:val="20"/>
                <w:szCs w:val="20"/>
              </w:rPr>
            </w:pPr>
            <w:r>
              <w:rPr>
                <w:rFonts w:ascii="Arial" w:hAnsi="Arial" w:cs="Arial"/>
                <w:sz w:val="20"/>
                <w:szCs w:val="20"/>
              </w:rPr>
              <w:t>(Skin)</w:t>
            </w:r>
          </w:p>
        </w:tc>
        <w:tc>
          <w:tcPr>
            <w:tcW w:w="0" w:type="auto"/>
          </w:tcPr>
          <w:p w:rsidR="00386381" w:rsidRDefault="00386381" w:rsidP="00386381">
            <w:pPr>
              <w:rPr>
                <w:rFonts w:ascii="Arial" w:hAnsi="Arial" w:cs="Arial"/>
                <w:sz w:val="20"/>
                <w:szCs w:val="20"/>
              </w:rPr>
            </w:pPr>
            <w:r>
              <w:rPr>
                <w:rFonts w:ascii="Arial" w:hAnsi="Arial" w:cs="Arial"/>
                <w:sz w:val="20"/>
                <w:szCs w:val="20"/>
              </w:rPr>
              <w:t>H710</w:t>
            </w:r>
          </w:p>
        </w:tc>
        <w:tc>
          <w:tcPr>
            <w:tcW w:w="0" w:type="auto"/>
            <w:shd w:val="clear" w:color="auto" w:fill="F2F2F2" w:themeFill="background1" w:themeFillShade="F2"/>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shd w:val="clear" w:color="auto" w:fill="auto"/>
          </w:tcPr>
          <w:p w:rsidR="00386381" w:rsidRDefault="00386381" w:rsidP="00386381">
            <w:pPr>
              <w:jc w:val="center"/>
              <w:rPr>
                <w:rFonts w:ascii="Arial" w:hAnsi="Arial" w:cs="Arial"/>
                <w:sz w:val="20"/>
                <w:szCs w:val="20"/>
              </w:rPr>
            </w:pPr>
          </w:p>
        </w:tc>
        <w:tc>
          <w:tcPr>
            <w:tcW w:w="0" w:type="auto"/>
            <w:shd w:val="clear" w:color="auto" w:fill="A6A6A6" w:themeFill="background1" w:themeFillShade="A6"/>
            <w:vAlign w:val="center"/>
          </w:tcPr>
          <w:p w:rsidR="00386381" w:rsidRDefault="00386381" w:rsidP="00386381">
            <w:pPr>
              <w:jc w:val="center"/>
              <w:rPr>
                <w:rFonts w:ascii="Arial" w:hAnsi="Arial" w:cs="Arial"/>
                <w:sz w:val="20"/>
                <w:szCs w:val="20"/>
              </w:rPr>
            </w:pPr>
            <w:r>
              <w:rPr>
                <w:rFonts w:ascii="Arial" w:hAnsi="Arial" w:cs="Arial"/>
                <w:sz w:val="20"/>
                <w:szCs w:val="20"/>
              </w:rPr>
              <w:t>+++</w:t>
            </w:r>
          </w:p>
        </w:tc>
        <w:tc>
          <w:tcPr>
            <w:tcW w:w="0" w:type="auto"/>
            <w:shd w:val="clear" w:color="auto" w:fill="auto"/>
            <w:vAlign w:val="center"/>
          </w:tcPr>
          <w:p w:rsidR="00386381" w:rsidRDefault="00386381" w:rsidP="00386381">
            <w:pPr>
              <w:jc w:val="center"/>
              <w:rPr>
                <w:rFonts w:ascii="Arial" w:hAnsi="Arial" w:cs="Arial"/>
                <w:sz w:val="20"/>
                <w:szCs w:val="20"/>
              </w:rPr>
            </w:pPr>
          </w:p>
        </w:tc>
        <w:tc>
          <w:tcPr>
            <w:tcW w:w="0" w:type="auto"/>
          </w:tcPr>
          <w:p w:rsidR="00386381" w:rsidRPr="006873FC" w:rsidRDefault="00386381" w:rsidP="00386381">
            <w:pPr>
              <w:jc w:val="center"/>
              <w:rPr>
                <w:rFonts w:ascii="Arial" w:hAnsi="Arial" w:cs="Arial"/>
                <w:sz w:val="20"/>
                <w:szCs w:val="20"/>
              </w:rPr>
            </w:pPr>
          </w:p>
        </w:tc>
        <w:tc>
          <w:tcPr>
            <w:tcW w:w="0" w:type="auto"/>
          </w:tcPr>
          <w:p w:rsidR="00386381" w:rsidRPr="006873FC" w:rsidRDefault="00386381" w:rsidP="00386381">
            <w:pPr>
              <w:jc w:val="center"/>
              <w:rPr>
                <w:rFonts w:ascii="Arial" w:hAnsi="Arial" w:cs="Arial"/>
                <w:sz w:val="20"/>
                <w:szCs w:val="20"/>
              </w:rPr>
            </w:pPr>
          </w:p>
        </w:tc>
      </w:tr>
      <w:tr w:rsidR="00386381" w:rsidRPr="006873FC" w:rsidTr="00386381">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Default="00386381" w:rsidP="00386381">
            <w:pPr>
              <w:rPr>
                <w:rFonts w:ascii="Arial" w:hAnsi="Arial" w:cs="Arial"/>
                <w:sz w:val="20"/>
                <w:szCs w:val="20"/>
              </w:rPr>
            </w:pPr>
            <w:r>
              <w:rPr>
                <w:rFonts w:ascii="Arial" w:hAnsi="Arial" w:cs="Arial"/>
                <w:sz w:val="20"/>
                <w:szCs w:val="20"/>
              </w:rPr>
              <w:t>H747</w:t>
            </w:r>
          </w:p>
        </w:tc>
        <w:tc>
          <w:tcPr>
            <w:tcW w:w="0" w:type="auto"/>
            <w:shd w:val="clear" w:color="auto" w:fill="F2F2F2" w:themeFill="background1" w:themeFillShade="F2"/>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shd w:val="clear" w:color="auto" w:fill="auto"/>
          </w:tcPr>
          <w:p w:rsidR="00386381" w:rsidRPr="006873FC" w:rsidRDefault="00386381" w:rsidP="00386381">
            <w:pPr>
              <w:jc w:val="center"/>
              <w:rPr>
                <w:rFonts w:ascii="Arial" w:hAnsi="Arial" w:cs="Arial"/>
                <w:sz w:val="20"/>
                <w:szCs w:val="20"/>
              </w:rPr>
            </w:pPr>
          </w:p>
        </w:tc>
        <w:tc>
          <w:tcPr>
            <w:tcW w:w="0" w:type="auto"/>
            <w:shd w:val="clear" w:color="auto" w:fill="F2F2F2" w:themeFill="background1" w:themeFillShade="F2"/>
            <w:vAlign w:val="center"/>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shd w:val="clear" w:color="auto" w:fill="auto"/>
            <w:vAlign w:val="center"/>
          </w:tcPr>
          <w:p w:rsidR="00386381" w:rsidRPr="006873FC" w:rsidRDefault="00386381" w:rsidP="00386381">
            <w:pPr>
              <w:jc w:val="center"/>
              <w:rPr>
                <w:rFonts w:ascii="Arial" w:hAnsi="Arial" w:cs="Arial"/>
                <w:sz w:val="20"/>
                <w:szCs w:val="20"/>
              </w:rPr>
            </w:pPr>
          </w:p>
        </w:tc>
        <w:tc>
          <w:tcPr>
            <w:tcW w:w="0" w:type="auto"/>
          </w:tcPr>
          <w:p w:rsidR="00386381" w:rsidRPr="006873FC" w:rsidRDefault="00386381" w:rsidP="00386381">
            <w:pPr>
              <w:jc w:val="center"/>
              <w:rPr>
                <w:rFonts w:ascii="Arial" w:hAnsi="Arial" w:cs="Arial"/>
                <w:sz w:val="20"/>
                <w:szCs w:val="20"/>
              </w:rPr>
            </w:pPr>
          </w:p>
        </w:tc>
        <w:tc>
          <w:tcPr>
            <w:tcW w:w="0" w:type="auto"/>
          </w:tcPr>
          <w:p w:rsidR="00386381" w:rsidRPr="006873FC" w:rsidRDefault="00386381" w:rsidP="00386381">
            <w:pPr>
              <w:jc w:val="center"/>
              <w:rPr>
                <w:rFonts w:ascii="Arial" w:hAnsi="Arial" w:cs="Arial"/>
                <w:sz w:val="20"/>
                <w:szCs w:val="20"/>
              </w:rPr>
            </w:pPr>
          </w:p>
        </w:tc>
      </w:tr>
      <w:tr w:rsidR="00386381" w:rsidRPr="006873FC" w:rsidTr="00386381">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Default="00386381" w:rsidP="00386381">
            <w:pPr>
              <w:rPr>
                <w:rFonts w:ascii="Arial" w:hAnsi="Arial" w:cs="Arial"/>
                <w:sz w:val="20"/>
                <w:szCs w:val="20"/>
              </w:rPr>
            </w:pPr>
            <w:r>
              <w:rPr>
                <w:rFonts w:ascii="Arial" w:hAnsi="Arial" w:cs="Arial"/>
                <w:sz w:val="20"/>
                <w:szCs w:val="20"/>
              </w:rPr>
              <w:t>H749</w:t>
            </w:r>
          </w:p>
        </w:tc>
        <w:tc>
          <w:tcPr>
            <w:tcW w:w="0" w:type="auto"/>
            <w:shd w:val="clear" w:color="auto" w:fill="D9D9D9" w:themeFill="background1" w:themeFillShade="D9"/>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shd w:val="clear" w:color="auto" w:fill="auto"/>
          </w:tcPr>
          <w:p w:rsidR="00386381" w:rsidRPr="006873FC" w:rsidRDefault="00386381" w:rsidP="00386381">
            <w:pPr>
              <w:jc w:val="center"/>
              <w:rPr>
                <w:rFonts w:ascii="Arial" w:hAnsi="Arial" w:cs="Arial"/>
                <w:sz w:val="20"/>
                <w:szCs w:val="20"/>
              </w:rPr>
            </w:pPr>
          </w:p>
        </w:tc>
        <w:tc>
          <w:tcPr>
            <w:tcW w:w="0" w:type="auto"/>
            <w:shd w:val="clear" w:color="auto" w:fill="BFBFBF" w:themeFill="background1" w:themeFillShade="BF"/>
            <w:vAlign w:val="center"/>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shd w:val="clear" w:color="auto" w:fill="auto"/>
            <w:vAlign w:val="center"/>
          </w:tcPr>
          <w:p w:rsidR="00386381" w:rsidRPr="006873FC" w:rsidRDefault="00386381" w:rsidP="00386381">
            <w:pPr>
              <w:jc w:val="center"/>
              <w:rPr>
                <w:rFonts w:ascii="Arial" w:hAnsi="Arial" w:cs="Arial"/>
                <w:sz w:val="20"/>
                <w:szCs w:val="20"/>
              </w:rPr>
            </w:pPr>
          </w:p>
        </w:tc>
        <w:tc>
          <w:tcPr>
            <w:tcW w:w="0" w:type="auto"/>
          </w:tcPr>
          <w:p w:rsidR="00386381" w:rsidRPr="006873FC" w:rsidRDefault="00386381" w:rsidP="00386381">
            <w:pPr>
              <w:jc w:val="center"/>
              <w:rPr>
                <w:rFonts w:ascii="Arial" w:hAnsi="Arial" w:cs="Arial"/>
                <w:sz w:val="20"/>
                <w:szCs w:val="20"/>
              </w:rPr>
            </w:pPr>
          </w:p>
        </w:tc>
        <w:tc>
          <w:tcPr>
            <w:tcW w:w="0" w:type="auto"/>
          </w:tcPr>
          <w:p w:rsidR="00386381" w:rsidRPr="006873FC" w:rsidRDefault="00386381" w:rsidP="00386381">
            <w:pPr>
              <w:jc w:val="center"/>
              <w:rPr>
                <w:rFonts w:ascii="Arial" w:hAnsi="Arial" w:cs="Arial"/>
                <w:sz w:val="20"/>
                <w:szCs w:val="20"/>
              </w:rPr>
            </w:pPr>
          </w:p>
        </w:tc>
      </w:tr>
      <w:tr w:rsidR="00386381" w:rsidRPr="006873FC" w:rsidTr="00386381">
        <w:tc>
          <w:tcPr>
            <w:tcW w:w="0" w:type="auto"/>
            <w:vMerge w:val="restart"/>
          </w:tcPr>
          <w:p w:rsidR="00386381" w:rsidRPr="006873FC" w:rsidRDefault="00386381" w:rsidP="00386381">
            <w:pPr>
              <w:rPr>
                <w:rFonts w:ascii="Arial" w:hAnsi="Arial" w:cs="Arial"/>
                <w:sz w:val="20"/>
                <w:szCs w:val="20"/>
              </w:rPr>
            </w:pPr>
            <w:r w:rsidRPr="006873FC">
              <w:rPr>
                <w:rFonts w:ascii="Arial" w:hAnsi="Arial" w:cs="Arial"/>
                <w:sz w:val="20"/>
                <w:szCs w:val="20"/>
              </w:rPr>
              <w:t>B*15</w:t>
            </w:r>
            <w:r>
              <w:rPr>
                <w:rFonts w:ascii="Arial" w:hAnsi="Arial" w:cs="Arial"/>
                <w:sz w:val="20"/>
                <w:szCs w:val="20"/>
              </w:rPr>
              <w:t>:</w:t>
            </w:r>
            <w:r w:rsidRPr="006873FC">
              <w:rPr>
                <w:rFonts w:ascii="Arial" w:hAnsi="Arial" w:cs="Arial"/>
                <w:sz w:val="20"/>
                <w:szCs w:val="20"/>
              </w:rPr>
              <w:t>02</w:t>
            </w:r>
          </w:p>
          <w:p w:rsidR="00386381" w:rsidRPr="006873FC" w:rsidRDefault="00386381" w:rsidP="00386381">
            <w:pPr>
              <w:rPr>
                <w:rFonts w:ascii="Arial" w:hAnsi="Arial" w:cs="Arial"/>
                <w:sz w:val="20"/>
                <w:szCs w:val="20"/>
              </w:rPr>
            </w:pPr>
          </w:p>
        </w:tc>
        <w:tc>
          <w:tcPr>
            <w:tcW w:w="0" w:type="auto"/>
            <w:vMerge w:val="restart"/>
          </w:tcPr>
          <w:p w:rsidR="00386381" w:rsidRPr="006873FC" w:rsidRDefault="00386381" w:rsidP="00386381">
            <w:pPr>
              <w:rPr>
                <w:rFonts w:ascii="Arial" w:hAnsi="Arial" w:cs="Arial"/>
                <w:sz w:val="20"/>
                <w:szCs w:val="20"/>
              </w:rPr>
            </w:pPr>
            <w:r w:rsidRPr="006873FC">
              <w:rPr>
                <w:rFonts w:ascii="Arial" w:hAnsi="Arial" w:cs="Arial"/>
                <w:sz w:val="20"/>
                <w:szCs w:val="20"/>
              </w:rPr>
              <w:t>Carbamazepine</w:t>
            </w:r>
          </w:p>
          <w:p w:rsidR="00386381" w:rsidRPr="006873FC" w:rsidRDefault="00386381" w:rsidP="00386381">
            <w:pPr>
              <w:rPr>
                <w:rFonts w:ascii="Arial" w:hAnsi="Arial" w:cs="Arial"/>
                <w:sz w:val="20"/>
                <w:szCs w:val="20"/>
              </w:rPr>
            </w:pPr>
            <w:r>
              <w:rPr>
                <w:rFonts w:ascii="Arial" w:hAnsi="Arial" w:cs="Arial"/>
                <w:sz w:val="20"/>
                <w:szCs w:val="20"/>
              </w:rPr>
              <w:t>(Skin)</w:t>
            </w:r>
          </w:p>
        </w:tc>
        <w:tc>
          <w:tcPr>
            <w:tcW w:w="0" w:type="auto"/>
          </w:tcPr>
          <w:p w:rsidR="00386381" w:rsidRPr="006873FC" w:rsidRDefault="00386381" w:rsidP="00386381">
            <w:pPr>
              <w:rPr>
                <w:rFonts w:ascii="Arial" w:hAnsi="Arial" w:cs="Arial"/>
                <w:sz w:val="20"/>
                <w:szCs w:val="20"/>
              </w:rPr>
            </w:pPr>
            <w:r>
              <w:rPr>
                <w:rFonts w:ascii="Arial" w:hAnsi="Arial" w:cs="Arial"/>
                <w:sz w:val="20"/>
                <w:szCs w:val="20"/>
              </w:rPr>
              <w:t>H</w:t>
            </w:r>
            <w:r w:rsidRPr="006873FC">
              <w:rPr>
                <w:rFonts w:ascii="Arial" w:hAnsi="Arial" w:cs="Arial"/>
                <w:sz w:val="20"/>
                <w:szCs w:val="20"/>
              </w:rPr>
              <w:t>164</w:t>
            </w:r>
          </w:p>
        </w:tc>
        <w:tc>
          <w:tcPr>
            <w:tcW w:w="0" w:type="auto"/>
            <w:shd w:val="clear" w:color="auto" w:fill="A6A6A6" w:themeFill="background1" w:themeFillShade="A6"/>
          </w:tcPr>
          <w:p w:rsidR="00386381" w:rsidRPr="006873FC" w:rsidRDefault="00386381" w:rsidP="00386381">
            <w:pPr>
              <w:rPr>
                <w:rFonts w:ascii="Arial" w:hAnsi="Arial" w:cs="Arial"/>
                <w:sz w:val="20"/>
                <w:szCs w:val="20"/>
              </w:rPr>
            </w:pPr>
            <w:r w:rsidRPr="006873FC">
              <w:rPr>
                <w:rFonts w:ascii="Arial" w:hAnsi="Arial" w:cs="Arial"/>
                <w:sz w:val="20"/>
                <w:szCs w:val="20"/>
              </w:rPr>
              <w:t>+++</w:t>
            </w:r>
          </w:p>
        </w:tc>
        <w:tc>
          <w:tcPr>
            <w:tcW w:w="0" w:type="auto"/>
            <w:shd w:val="clear" w:color="auto" w:fill="BFBFBF" w:themeFill="background1" w:themeFillShade="BF"/>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shd w:val="clear" w:color="auto" w:fill="BFBFBF" w:themeFill="background1" w:themeFillShade="BF"/>
            <w:vAlign w:val="center"/>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shd w:val="clear" w:color="auto" w:fill="BFBFBF" w:themeFill="background1" w:themeFillShade="BF"/>
            <w:vAlign w:val="center"/>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tcPr>
          <w:p w:rsidR="00386381" w:rsidRPr="006873FC" w:rsidRDefault="00386381" w:rsidP="00386381">
            <w:pPr>
              <w:jc w:val="center"/>
              <w:rPr>
                <w:rFonts w:ascii="Arial" w:hAnsi="Arial" w:cs="Arial"/>
                <w:sz w:val="20"/>
                <w:szCs w:val="20"/>
              </w:rPr>
            </w:pPr>
          </w:p>
        </w:tc>
        <w:tc>
          <w:tcPr>
            <w:tcW w:w="0" w:type="auto"/>
          </w:tcPr>
          <w:p w:rsidR="00386381" w:rsidRPr="006873FC" w:rsidRDefault="00386381" w:rsidP="00386381">
            <w:pPr>
              <w:jc w:val="center"/>
              <w:rPr>
                <w:rFonts w:ascii="Arial" w:hAnsi="Arial" w:cs="Arial"/>
                <w:sz w:val="20"/>
                <w:szCs w:val="20"/>
              </w:rPr>
            </w:pPr>
            <w:r w:rsidRPr="006873FC">
              <w:rPr>
                <w:rFonts w:ascii="Arial" w:hAnsi="Arial" w:cs="Arial"/>
                <w:sz w:val="20"/>
                <w:szCs w:val="20"/>
              </w:rPr>
              <w:t>Yes</w:t>
            </w:r>
          </w:p>
        </w:tc>
      </w:tr>
      <w:tr w:rsidR="00386381" w:rsidRPr="006873FC" w:rsidTr="00386381">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Pr="006873FC" w:rsidRDefault="00386381" w:rsidP="00386381">
            <w:pPr>
              <w:rPr>
                <w:rFonts w:ascii="Arial" w:hAnsi="Arial" w:cs="Arial"/>
                <w:sz w:val="20"/>
                <w:szCs w:val="20"/>
              </w:rPr>
            </w:pPr>
            <w:r>
              <w:rPr>
                <w:rFonts w:ascii="Arial" w:hAnsi="Arial" w:cs="Arial"/>
                <w:sz w:val="20"/>
                <w:szCs w:val="20"/>
              </w:rPr>
              <w:t>H</w:t>
            </w:r>
            <w:r w:rsidRPr="006873FC">
              <w:rPr>
                <w:rFonts w:ascii="Arial" w:hAnsi="Arial" w:cs="Arial"/>
                <w:sz w:val="20"/>
                <w:szCs w:val="20"/>
              </w:rPr>
              <w:t>295</w:t>
            </w:r>
          </w:p>
        </w:tc>
        <w:tc>
          <w:tcPr>
            <w:tcW w:w="0" w:type="auto"/>
            <w:shd w:val="clear" w:color="auto" w:fill="BFBFBF" w:themeFill="background1" w:themeFillShade="BF"/>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shd w:val="clear" w:color="auto" w:fill="F2F2F2" w:themeFill="background1" w:themeFillShade="F2"/>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shd w:val="clear" w:color="auto" w:fill="F2F2F2" w:themeFill="background1" w:themeFillShade="F2"/>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shd w:val="clear" w:color="auto" w:fill="auto"/>
            <w:vAlign w:val="center"/>
          </w:tcPr>
          <w:p w:rsidR="00386381" w:rsidRPr="006873FC" w:rsidRDefault="00386381" w:rsidP="00386381">
            <w:pPr>
              <w:jc w:val="center"/>
              <w:rPr>
                <w:rFonts w:ascii="Arial" w:hAnsi="Arial" w:cs="Arial"/>
                <w:sz w:val="20"/>
                <w:szCs w:val="20"/>
              </w:rPr>
            </w:pPr>
          </w:p>
        </w:tc>
        <w:tc>
          <w:tcPr>
            <w:tcW w:w="0" w:type="auto"/>
            <w:shd w:val="clear" w:color="auto" w:fill="BFBFBF" w:themeFill="background1" w:themeFillShade="BF"/>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tcPr>
          <w:p w:rsidR="00386381" w:rsidRPr="006873FC" w:rsidRDefault="00386381" w:rsidP="00386381">
            <w:pPr>
              <w:jc w:val="center"/>
              <w:rPr>
                <w:rFonts w:ascii="Arial" w:hAnsi="Arial" w:cs="Arial"/>
                <w:sz w:val="20"/>
                <w:szCs w:val="20"/>
              </w:rPr>
            </w:pPr>
          </w:p>
        </w:tc>
      </w:tr>
      <w:tr w:rsidR="00386381" w:rsidRPr="006873FC" w:rsidTr="00386381">
        <w:tc>
          <w:tcPr>
            <w:tcW w:w="0" w:type="auto"/>
            <w:vMerge w:val="restart"/>
          </w:tcPr>
          <w:p w:rsidR="00386381" w:rsidRPr="006873FC" w:rsidRDefault="00386381" w:rsidP="00386381">
            <w:pPr>
              <w:rPr>
                <w:rFonts w:ascii="Arial" w:hAnsi="Arial" w:cs="Arial"/>
                <w:sz w:val="20"/>
                <w:szCs w:val="20"/>
              </w:rPr>
            </w:pPr>
            <w:r w:rsidRPr="006873FC">
              <w:rPr>
                <w:rFonts w:ascii="Arial" w:hAnsi="Arial" w:cs="Arial"/>
                <w:sz w:val="20"/>
                <w:szCs w:val="20"/>
              </w:rPr>
              <w:t>A*31</w:t>
            </w:r>
            <w:r>
              <w:rPr>
                <w:rFonts w:ascii="Arial" w:hAnsi="Arial" w:cs="Arial"/>
                <w:sz w:val="20"/>
                <w:szCs w:val="20"/>
              </w:rPr>
              <w:t>:</w:t>
            </w:r>
            <w:r w:rsidRPr="006873FC">
              <w:rPr>
                <w:rFonts w:ascii="Arial" w:hAnsi="Arial" w:cs="Arial"/>
                <w:sz w:val="20"/>
                <w:szCs w:val="20"/>
              </w:rPr>
              <w:t>01</w:t>
            </w:r>
          </w:p>
        </w:tc>
        <w:tc>
          <w:tcPr>
            <w:tcW w:w="0" w:type="auto"/>
            <w:vMerge w:val="restart"/>
          </w:tcPr>
          <w:p w:rsidR="00386381" w:rsidRPr="006873FC" w:rsidRDefault="00386381" w:rsidP="00386381">
            <w:pPr>
              <w:rPr>
                <w:rFonts w:ascii="Arial" w:hAnsi="Arial" w:cs="Arial"/>
                <w:sz w:val="20"/>
                <w:szCs w:val="20"/>
              </w:rPr>
            </w:pPr>
            <w:r w:rsidRPr="006873FC">
              <w:rPr>
                <w:rFonts w:ascii="Arial" w:hAnsi="Arial" w:cs="Arial"/>
                <w:sz w:val="20"/>
                <w:szCs w:val="20"/>
              </w:rPr>
              <w:t>Carbamazepine</w:t>
            </w:r>
          </w:p>
          <w:p w:rsidR="00386381" w:rsidRPr="006873FC" w:rsidRDefault="00386381" w:rsidP="00386381">
            <w:pPr>
              <w:rPr>
                <w:rFonts w:ascii="Arial" w:hAnsi="Arial" w:cs="Arial"/>
                <w:sz w:val="20"/>
                <w:szCs w:val="20"/>
              </w:rPr>
            </w:pPr>
            <w:r>
              <w:rPr>
                <w:rFonts w:ascii="Arial" w:hAnsi="Arial" w:cs="Arial"/>
                <w:sz w:val="20"/>
                <w:szCs w:val="20"/>
              </w:rPr>
              <w:t>(Skin)</w:t>
            </w:r>
          </w:p>
        </w:tc>
        <w:tc>
          <w:tcPr>
            <w:tcW w:w="0" w:type="auto"/>
          </w:tcPr>
          <w:p w:rsidR="00386381" w:rsidRPr="006873FC" w:rsidRDefault="00386381" w:rsidP="00386381">
            <w:pPr>
              <w:rPr>
                <w:rFonts w:ascii="Arial" w:hAnsi="Arial" w:cs="Arial"/>
                <w:sz w:val="20"/>
                <w:szCs w:val="20"/>
              </w:rPr>
            </w:pPr>
            <w:r>
              <w:rPr>
                <w:rFonts w:ascii="Arial" w:hAnsi="Arial" w:cs="Arial"/>
                <w:sz w:val="20"/>
                <w:szCs w:val="20"/>
              </w:rPr>
              <w:t>H</w:t>
            </w:r>
            <w:r w:rsidRPr="006873FC">
              <w:rPr>
                <w:rFonts w:ascii="Arial" w:hAnsi="Arial" w:cs="Arial"/>
                <w:sz w:val="20"/>
                <w:szCs w:val="20"/>
              </w:rPr>
              <w:t>015</w:t>
            </w:r>
          </w:p>
        </w:tc>
        <w:tc>
          <w:tcPr>
            <w:tcW w:w="0" w:type="auto"/>
            <w:shd w:val="clear" w:color="auto" w:fill="D9D9D9" w:themeFill="background1" w:themeFillShade="D9"/>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shd w:val="clear" w:color="auto" w:fill="auto"/>
          </w:tcPr>
          <w:p w:rsidR="00386381" w:rsidRPr="006873FC" w:rsidRDefault="00386381" w:rsidP="00386381">
            <w:pPr>
              <w:jc w:val="center"/>
              <w:rPr>
                <w:rFonts w:ascii="Arial" w:hAnsi="Arial" w:cs="Arial"/>
                <w:sz w:val="20"/>
                <w:szCs w:val="20"/>
              </w:rPr>
            </w:pPr>
          </w:p>
        </w:tc>
        <w:tc>
          <w:tcPr>
            <w:tcW w:w="0" w:type="auto"/>
            <w:shd w:val="clear" w:color="auto" w:fill="F2F2F2" w:themeFill="background1" w:themeFillShade="F2"/>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shd w:val="clear" w:color="auto" w:fill="F2F2F2" w:themeFill="background1" w:themeFillShade="F2"/>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shd w:val="clear" w:color="auto" w:fill="D9D9D9" w:themeFill="background1" w:themeFillShade="D9"/>
          </w:tcPr>
          <w:p w:rsidR="00386381" w:rsidRPr="006873FC" w:rsidRDefault="00386381" w:rsidP="00386381">
            <w:pPr>
              <w:jc w:val="center"/>
              <w:rPr>
                <w:rFonts w:ascii="Arial" w:hAnsi="Arial" w:cs="Arial"/>
                <w:sz w:val="20"/>
                <w:szCs w:val="20"/>
                <w:highlight w:val="cyan"/>
              </w:rPr>
            </w:pPr>
            <w:r w:rsidRPr="006873FC">
              <w:rPr>
                <w:rFonts w:ascii="Arial" w:hAnsi="Arial" w:cs="Arial"/>
                <w:sz w:val="20"/>
                <w:szCs w:val="20"/>
              </w:rPr>
              <w:t>+</w:t>
            </w:r>
          </w:p>
        </w:tc>
        <w:tc>
          <w:tcPr>
            <w:tcW w:w="0" w:type="auto"/>
          </w:tcPr>
          <w:p w:rsidR="00386381" w:rsidRPr="006873FC" w:rsidRDefault="00386381" w:rsidP="00386381">
            <w:pPr>
              <w:jc w:val="center"/>
              <w:rPr>
                <w:rFonts w:ascii="Arial" w:hAnsi="Arial" w:cs="Arial"/>
                <w:sz w:val="20"/>
                <w:szCs w:val="20"/>
                <w:highlight w:val="cyan"/>
              </w:rPr>
            </w:pPr>
            <w:r w:rsidRPr="006873FC">
              <w:rPr>
                <w:rFonts w:ascii="Arial" w:hAnsi="Arial" w:cs="Arial"/>
                <w:sz w:val="20"/>
                <w:szCs w:val="20"/>
              </w:rPr>
              <w:t>No</w:t>
            </w:r>
          </w:p>
        </w:tc>
      </w:tr>
      <w:tr w:rsidR="00386381" w:rsidRPr="006873FC" w:rsidTr="00386381">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Pr="006873FC" w:rsidRDefault="00386381" w:rsidP="00386381">
            <w:pPr>
              <w:rPr>
                <w:rFonts w:ascii="Arial" w:hAnsi="Arial" w:cs="Arial"/>
                <w:sz w:val="20"/>
                <w:szCs w:val="20"/>
              </w:rPr>
            </w:pPr>
            <w:r>
              <w:rPr>
                <w:rFonts w:ascii="Arial" w:hAnsi="Arial" w:cs="Arial"/>
                <w:sz w:val="20"/>
                <w:szCs w:val="20"/>
              </w:rPr>
              <w:t>H</w:t>
            </w:r>
            <w:r w:rsidRPr="006873FC">
              <w:rPr>
                <w:rFonts w:ascii="Arial" w:hAnsi="Arial" w:cs="Arial"/>
                <w:sz w:val="20"/>
                <w:szCs w:val="20"/>
              </w:rPr>
              <w:t>142</w:t>
            </w:r>
          </w:p>
        </w:tc>
        <w:tc>
          <w:tcPr>
            <w:tcW w:w="0" w:type="auto"/>
            <w:shd w:val="clear" w:color="auto" w:fill="D9D9D9" w:themeFill="background1" w:themeFillShade="D9"/>
            <w:vAlign w:val="center"/>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shd w:val="clear" w:color="auto" w:fill="F2F2F2" w:themeFill="background1" w:themeFillShade="F2"/>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shd w:val="clear" w:color="auto" w:fill="F2F2F2" w:themeFill="background1" w:themeFillShade="F2"/>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shd w:val="clear" w:color="auto" w:fill="F2F2F2" w:themeFill="background1" w:themeFillShade="F2"/>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 xml:space="preserve">- </w:t>
            </w:r>
          </w:p>
        </w:tc>
        <w:tc>
          <w:tcPr>
            <w:tcW w:w="0" w:type="auto"/>
            <w:shd w:val="clear" w:color="auto" w:fill="F2F2F2" w:themeFill="background1" w:themeFillShade="F2"/>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tcPr>
          <w:p w:rsidR="00386381" w:rsidRPr="006873FC" w:rsidRDefault="00386381" w:rsidP="00386381">
            <w:pPr>
              <w:jc w:val="center"/>
              <w:rPr>
                <w:rFonts w:ascii="Arial" w:hAnsi="Arial" w:cs="Arial"/>
                <w:sz w:val="20"/>
                <w:szCs w:val="20"/>
              </w:rPr>
            </w:pPr>
            <w:r w:rsidRPr="006873FC">
              <w:rPr>
                <w:rFonts w:ascii="Arial" w:hAnsi="Arial" w:cs="Arial"/>
                <w:sz w:val="20"/>
                <w:szCs w:val="20"/>
              </w:rPr>
              <w:t>Yes</w:t>
            </w:r>
          </w:p>
        </w:tc>
      </w:tr>
      <w:tr w:rsidR="00386381" w:rsidRPr="006873FC" w:rsidTr="00386381">
        <w:tc>
          <w:tcPr>
            <w:tcW w:w="0" w:type="auto"/>
            <w:gridSpan w:val="9"/>
          </w:tcPr>
          <w:p w:rsidR="00386381" w:rsidRPr="006873FC" w:rsidRDefault="00386381" w:rsidP="00386381">
            <w:pPr>
              <w:jc w:val="center"/>
              <w:rPr>
                <w:rFonts w:ascii="Arial" w:hAnsi="Arial" w:cs="Arial"/>
                <w:sz w:val="20"/>
                <w:szCs w:val="20"/>
              </w:rPr>
            </w:pPr>
            <w:r w:rsidRPr="00FC5FF0">
              <w:rPr>
                <w:rFonts w:ascii="Arial" w:hAnsi="Arial" w:cs="Arial"/>
                <w:b/>
                <w:i/>
                <w:sz w:val="20"/>
                <w:szCs w:val="20"/>
              </w:rPr>
              <w:t>HLA class I</w:t>
            </w:r>
            <w:r>
              <w:rPr>
                <w:rFonts w:ascii="Arial" w:hAnsi="Arial" w:cs="Arial"/>
                <w:b/>
                <w:i/>
                <w:sz w:val="20"/>
                <w:szCs w:val="20"/>
              </w:rPr>
              <w:t>I</w:t>
            </w:r>
            <w:r w:rsidRPr="00FC5FF0">
              <w:rPr>
                <w:rFonts w:ascii="Arial" w:hAnsi="Arial" w:cs="Arial"/>
                <w:b/>
                <w:i/>
                <w:sz w:val="20"/>
                <w:szCs w:val="20"/>
              </w:rPr>
              <w:t xml:space="preserve"> associated reactions</w:t>
            </w:r>
          </w:p>
        </w:tc>
      </w:tr>
      <w:tr w:rsidR="00386381" w:rsidRPr="006873FC" w:rsidTr="00386381">
        <w:tc>
          <w:tcPr>
            <w:tcW w:w="0" w:type="auto"/>
            <w:vMerge w:val="restart"/>
          </w:tcPr>
          <w:p w:rsidR="00386381" w:rsidRDefault="00386381" w:rsidP="00386381">
            <w:pPr>
              <w:rPr>
                <w:rFonts w:ascii="Arial" w:hAnsi="Arial" w:cs="Arial"/>
                <w:sz w:val="20"/>
                <w:szCs w:val="20"/>
              </w:rPr>
            </w:pPr>
            <w:r>
              <w:rPr>
                <w:rFonts w:ascii="Arial" w:hAnsi="Arial" w:cs="Arial"/>
                <w:sz w:val="20"/>
                <w:szCs w:val="20"/>
              </w:rPr>
              <w:t>DRB1*0701</w:t>
            </w:r>
          </w:p>
          <w:p w:rsidR="00386381" w:rsidRDefault="00386381" w:rsidP="00386381">
            <w:pPr>
              <w:rPr>
                <w:rFonts w:ascii="Arial" w:hAnsi="Arial" w:cs="Arial"/>
                <w:sz w:val="20"/>
                <w:szCs w:val="20"/>
              </w:rPr>
            </w:pPr>
            <w:r>
              <w:rPr>
                <w:rFonts w:ascii="Arial" w:hAnsi="Arial" w:cs="Arial"/>
                <w:sz w:val="20"/>
                <w:szCs w:val="20"/>
              </w:rPr>
              <w:t>DQA1*02:01</w:t>
            </w:r>
          </w:p>
          <w:p w:rsidR="00386381" w:rsidRPr="006873FC" w:rsidRDefault="00386381" w:rsidP="00386381">
            <w:pPr>
              <w:rPr>
                <w:rFonts w:ascii="Arial" w:hAnsi="Arial" w:cs="Arial"/>
                <w:sz w:val="20"/>
                <w:szCs w:val="20"/>
              </w:rPr>
            </w:pPr>
          </w:p>
        </w:tc>
        <w:tc>
          <w:tcPr>
            <w:tcW w:w="0" w:type="auto"/>
            <w:vMerge w:val="restart"/>
          </w:tcPr>
          <w:p w:rsidR="00386381" w:rsidRDefault="00386381" w:rsidP="00386381">
            <w:pPr>
              <w:rPr>
                <w:rFonts w:ascii="Arial" w:hAnsi="Arial" w:cs="Arial"/>
                <w:sz w:val="20"/>
                <w:szCs w:val="20"/>
              </w:rPr>
            </w:pPr>
            <w:proofErr w:type="spellStart"/>
            <w:r w:rsidRPr="006873FC">
              <w:rPr>
                <w:rFonts w:ascii="Arial" w:hAnsi="Arial" w:cs="Arial"/>
                <w:sz w:val="20"/>
                <w:szCs w:val="20"/>
              </w:rPr>
              <w:t>Ximelagatran</w:t>
            </w:r>
            <w:proofErr w:type="spellEnd"/>
          </w:p>
          <w:p w:rsidR="00386381" w:rsidRPr="006873FC" w:rsidRDefault="00386381" w:rsidP="00386381">
            <w:pPr>
              <w:rPr>
                <w:rFonts w:ascii="Arial" w:hAnsi="Arial" w:cs="Arial"/>
                <w:sz w:val="20"/>
                <w:szCs w:val="20"/>
              </w:rPr>
            </w:pPr>
            <w:r>
              <w:rPr>
                <w:rFonts w:ascii="Arial" w:hAnsi="Arial" w:cs="Arial"/>
                <w:sz w:val="20"/>
                <w:szCs w:val="20"/>
              </w:rPr>
              <w:t>(Liver)</w:t>
            </w:r>
          </w:p>
          <w:p w:rsidR="00386381" w:rsidRPr="006873FC" w:rsidRDefault="00386381" w:rsidP="00386381">
            <w:pPr>
              <w:rPr>
                <w:rFonts w:ascii="Arial" w:hAnsi="Arial" w:cs="Arial"/>
                <w:sz w:val="20"/>
                <w:szCs w:val="20"/>
              </w:rPr>
            </w:pPr>
          </w:p>
        </w:tc>
        <w:tc>
          <w:tcPr>
            <w:tcW w:w="0" w:type="auto"/>
          </w:tcPr>
          <w:p w:rsidR="00386381" w:rsidRPr="006873FC" w:rsidRDefault="00386381" w:rsidP="00386381">
            <w:pPr>
              <w:rPr>
                <w:rFonts w:ascii="Arial" w:hAnsi="Arial" w:cs="Arial"/>
                <w:sz w:val="20"/>
                <w:szCs w:val="20"/>
              </w:rPr>
            </w:pPr>
            <w:r>
              <w:rPr>
                <w:rFonts w:ascii="Arial" w:hAnsi="Arial" w:cs="Arial"/>
                <w:sz w:val="20"/>
                <w:szCs w:val="20"/>
              </w:rPr>
              <w:t>H32</w:t>
            </w:r>
            <w:r w:rsidRPr="006873FC">
              <w:rPr>
                <w:rFonts w:ascii="Arial" w:hAnsi="Arial" w:cs="Arial"/>
                <w:sz w:val="20"/>
                <w:szCs w:val="20"/>
              </w:rPr>
              <w:t>7</w:t>
            </w:r>
          </w:p>
        </w:tc>
        <w:tc>
          <w:tcPr>
            <w:tcW w:w="0" w:type="auto"/>
            <w:shd w:val="clear" w:color="auto" w:fill="F2F2F2" w:themeFill="background1" w:themeFillShade="F2"/>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tcPr>
          <w:p w:rsidR="00386381" w:rsidRPr="006873FC" w:rsidRDefault="00386381" w:rsidP="00386381">
            <w:pPr>
              <w:jc w:val="center"/>
              <w:rPr>
                <w:rFonts w:ascii="Arial" w:hAnsi="Arial" w:cs="Arial"/>
                <w:sz w:val="20"/>
                <w:szCs w:val="20"/>
              </w:rPr>
            </w:pPr>
          </w:p>
        </w:tc>
        <w:tc>
          <w:tcPr>
            <w:tcW w:w="0" w:type="auto"/>
            <w:shd w:val="clear" w:color="auto" w:fill="F2F2F2" w:themeFill="background1" w:themeFillShade="F2"/>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shd w:val="clear" w:color="auto" w:fill="F2F2F2" w:themeFill="background1" w:themeFillShade="F2"/>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tcPr>
          <w:p w:rsidR="00386381" w:rsidRPr="006873FC" w:rsidRDefault="00386381" w:rsidP="00386381">
            <w:pPr>
              <w:jc w:val="center"/>
              <w:rPr>
                <w:rFonts w:ascii="Arial" w:hAnsi="Arial" w:cs="Arial"/>
                <w:sz w:val="20"/>
                <w:szCs w:val="20"/>
              </w:rPr>
            </w:pPr>
          </w:p>
        </w:tc>
        <w:tc>
          <w:tcPr>
            <w:tcW w:w="0" w:type="auto"/>
          </w:tcPr>
          <w:p w:rsidR="00386381" w:rsidRPr="006873FC" w:rsidRDefault="00386381" w:rsidP="00386381">
            <w:pPr>
              <w:jc w:val="center"/>
              <w:rPr>
                <w:rFonts w:ascii="Arial" w:hAnsi="Arial" w:cs="Arial"/>
                <w:sz w:val="20"/>
                <w:szCs w:val="20"/>
              </w:rPr>
            </w:pPr>
          </w:p>
        </w:tc>
      </w:tr>
      <w:tr w:rsidR="00386381" w:rsidRPr="006873FC" w:rsidTr="00386381">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Pr="006873FC" w:rsidRDefault="00386381" w:rsidP="00386381">
            <w:pPr>
              <w:rPr>
                <w:rFonts w:ascii="Arial" w:hAnsi="Arial" w:cs="Arial"/>
                <w:sz w:val="20"/>
                <w:szCs w:val="20"/>
              </w:rPr>
            </w:pPr>
            <w:r>
              <w:rPr>
                <w:rFonts w:ascii="Arial" w:hAnsi="Arial" w:cs="Arial"/>
                <w:sz w:val="20"/>
                <w:szCs w:val="20"/>
              </w:rPr>
              <w:t>H36</w:t>
            </w:r>
            <w:r w:rsidRPr="006873FC">
              <w:rPr>
                <w:rFonts w:ascii="Arial" w:hAnsi="Arial" w:cs="Arial"/>
                <w:sz w:val="20"/>
                <w:szCs w:val="20"/>
              </w:rPr>
              <w:t>7</w:t>
            </w:r>
          </w:p>
        </w:tc>
        <w:tc>
          <w:tcPr>
            <w:tcW w:w="0" w:type="auto"/>
            <w:shd w:val="clear" w:color="auto" w:fill="F2F2F2" w:themeFill="background1" w:themeFillShade="F2"/>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tcPr>
          <w:p w:rsidR="00386381" w:rsidRPr="006873FC" w:rsidRDefault="00386381" w:rsidP="00386381">
            <w:pPr>
              <w:jc w:val="center"/>
              <w:rPr>
                <w:rFonts w:ascii="Arial" w:hAnsi="Arial" w:cs="Arial"/>
                <w:sz w:val="20"/>
                <w:szCs w:val="20"/>
              </w:rPr>
            </w:pPr>
          </w:p>
        </w:tc>
        <w:tc>
          <w:tcPr>
            <w:tcW w:w="0" w:type="auto"/>
            <w:shd w:val="clear" w:color="auto" w:fill="F2F2F2" w:themeFill="background1" w:themeFillShade="F2"/>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shd w:val="clear" w:color="auto" w:fill="F2F2F2" w:themeFill="background1" w:themeFillShade="F2"/>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tcPr>
          <w:p w:rsidR="00386381" w:rsidRPr="006873FC" w:rsidRDefault="00386381" w:rsidP="00386381">
            <w:pPr>
              <w:jc w:val="center"/>
              <w:rPr>
                <w:rFonts w:ascii="Arial" w:hAnsi="Arial" w:cs="Arial"/>
                <w:sz w:val="20"/>
                <w:szCs w:val="20"/>
              </w:rPr>
            </w:pPr>
          </w:p>
        </w:tc>
        <w:tc>
          <w:tcPr>
            <w:tcW w:w="0" w:type="auto"/>
          </w:tcPr>
          <w:p w:rsidR="00386381" w:rsidRPr="006873FC" w:rsidRDefault="00386381" w:rsidP="00386381">
            <w:pPr>
              <w:jc w:val="center"/>
              <w:rPr>
                <w:rFonts w:ascii="Arial" w:hAnsi="Arial" w:cs="Arial"/>
                <w:sz w:val="20"/>
                <w:szCs w:val="20"/>
              </w:rPr>
            </w:pPr>
            <w:r w:rsidRPr="006873FC">
              <w:rPr>
                <w:rFonts w:ascii="Arial" w:hAnsi="Arial" w:cs="Arial"/>
                <w:sz w:val="20"/>
                <w:szCs w:val="20"/>
              </w:rPr>
              <w:t>No</w:t>
            </w:r>
          </w:p>
        </w:tc>
      </w:tr>
      <w:tr w:rsidR="00386381" w:rsidRPr="006873FC" w:rsidTr="00386381">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Pr="006873FC" w:rsidRDefault="00386381" w:rsidP="00386381">
            <w:pPr>
              <w:rPr>
                <w:rFonts w:ascii="Arial" w:hAnsi="Arial" w:cs="Arial"/>
                <w:sz w:val="20"/>
                <w:szCs w:val="20"/>
              </w:rPr>
            </w:pPr>
            <w:r>
              <w:rPr>
                <w:rFonts w:ascii="Arial" w:hAnsi="Arial" w:cs="Arial"/>
                <w:sz w:val="20"/>
                <w:szCs w:val="20"/>
              </w:rPr>
              <w:t>H</w:t>
            </w:r>
            <w:r w:rsidRPr="006873FC">
              <w:rPr>
                <w:rFonts w:ascii="Arial" w:hAnsi="Arial" w:cs="Arial"/>
                <w:sz w:val="20"/>
                <w:szCs w:val="20"/>
              </w:rPr>
              <w:t>3</w:t>
            </w:r>
            <w:r>
              <w:rPr>
                <w:rFonts w:ascii="Arial" w:hAnsi="Arial" w:cs="Arial"/>
                <w:sz w:val="20"/>
                <w:szCs w:val="20"/>
              </w:rPr>
              <w:t>31</w:t>
            </w:r>
          </w:p>
        </w:tc>
        <w:tc>
          <w:tcPr>
            <w:tcW w:w="0" w:type="auto"/>
            <w:shd w:val="clear" w:color="auto" w:fill="F2F2F2" w:themeFill="background1" w:themeFillShade="F2"/>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tcPr>
          <w:p w:rsidR="00386381" w:rsidRPr="006873FC" w:rsidRDefault="00386381" w:rsidP="00386381">
            <w:pPr>
              <w:jc w:val="center"/>
              <w:rPr>
                <w:rFonts w:ascii="Arial" w:hAnsi="Arial" w:cs="Arial"/>
                <w:sz w:val="20"/>
                <w:szCs w:val="20"/>
              </w:rPr>
            </w:pPr>
          </w:p>
        </w:tc>
        <w:tc>
          <w:tcPr>
            <w:tcW w:w="0" w:type="auto"/>
            <w:shd w:val="clear" w:color="auto" w:fill="F2F2F2" w:themeFill="background1" w:themeFillShade="F2"/>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shd w:val="clear" w:color="auto" w:fill="F2F2F2" w:themeFill="background1" w:themeFillShade="F2"/>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tcPr>
          <w:p w:rsidR="00386381" w:rsidRPr="006873FC" w:rsidRDefault="00386381" w:rsidP="00386381">
            <w:pPr>
              <w:jc w:val="center"/>
              <w:rPr>
                <w:rFonts w:ascii="Arial" w:hAnsi="Arial" w:cs="Arial"/>
                <w:sz w:val="20"/>
                <w:szCs w:val="20"/>
              </w:rPr>
            </w:pPr>
          </w:p>
        </w:tc>
        <w:tc>
          <w:tcPr>
            <w:tcW w:w="0" w:type="auto"/>
          </w:tcPr>
          <w:p w:rsidR="00386381" w:rsidRPr="006873FC" w:rsidRDefault="00386381" w:rsidP="00386381">
            <w:pPr>
              <w:jc w:val="center"/>
              <w:rPr>
                <w:rFonts w:ascii="Arial" w:hAnsi="Arial" w:cs="Arial"/>
                <w:sz w:val="20"/>
                <w:szCs w:val="20"/>
              </w:rPr>
            </w:pPr>
            <w:r w:rsidRPr="006873FC">
              <w:rPr>
                <w:rFonts w:ascii="Arial" w:hAnsi="Arial" w:cs="Arial"/>
                <w:sz w:val="20"/>
                <w:szCs w:val="20"/>
              </w:rPr>
              <w:t>No</w:t>
            </w:r>
          </w:p>
        </w:tc>
      </w:tr>
      <w:tr w:rsidR="00386381" w:rsidRPr="006873FC" w:rsidTr="00386381">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Pr="006873FC" w:rsidRDefault="00386381" w:rsidP="00386381">
            <w:pPr>
              <w:rPr>
                <w:rFonts w:ascii="Arial" w:hAnsi="Arial" w:cs="Arial"/>
                <w:sz w:val="20"/>
                <w:szCs w:val="20"/>
              </w:rPr>
            </w:pPr>
            <w:r>
              <w:rPr>
                <w:rFonts w:ascii="Arial" w:hAnsi="Arial" w:cs="Arial"/>
                <w:sz w:val="20"/>
                <w:szCs w:val="20"/>
              </w:rPr>
              <w:t>H</w:t>
            </w:r>
            <w:r w:rsidRPr="006873FC">
              <w:rPr>
                <w:rFonts w:ascii="Arial" w:hAnsi="Arial" w:cs="Arial"/>
                <w:sz w:val="20"/>
                <w:szCs w:val="20"/>
              </w:rPr>
              <w:t>3</w:t>
            </w:r>
            <w:r>
              <w:rPr>
                <w:rFonts w:ascii="Arial" w:hAnsi="Arial" w:cs="Arial"/>
                <w:sz w:val="20"/>
                <w:szCs w:val="20"/>
              </w:rPr>
              <w:t>99</w:t>
            </w:r>
          </w:p>
        </w:tc>
        <w:tc>
          <w:tcPr>
            <w:tcW w:w="0" w:type="auto"/>
            <w:shd w:val="clear" w:color="auto" w:fill="F2F2F2" w:themeFill="background1" w:themeFillShade="F2"/>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tcPr>
          <w:p w:rsidR="00386381" w:rsidRPr="006873FC" w:rsidRDefault="00386381" w:rsidP="00386381">
            <w:pPr>
              <w:jc w:val="center"/>
              <w:rPr>
                <w:rFonts w:ascii="Arial" w:hAnsi="Arial" w:cs="Arial"/>
                <w:sz w:val="20"/>
                <w:szCs w:val="20"/>
              </w:rPr>
            </w:pPr>
          </w:p>
        </w:tc>
        <w:tc>
          <w:tcPr>
            <w:tcW w:w="0" w:type="auto"/>
            <w:shd w:val="clear" w:color="auto" w:fill="F2F2F2" w:themeFill="background1" w:themeFillShade="F2"/>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shd w:val="clear" w:color="auto" w:fill="F2F2F2" w:themeFill="background1" w:themeFillShade="F2"/>
            <w:vAlign w:val="center"/>
          </w:tcPr>
          <w:p w:rsidR="00386381" w:rsidRPr="006873FC" w:rsidRDefault="00386381" w:rsidP="00386381">
            <w:pPr>
              <w:jc w:val="center"/>
              <w:rPr>
                <w:rFonts w:ascii="Arial" w:hAnsi="Arial" w:cs="Arial"/>
                <w:sz w:val="20"/>
                <w:szCs w:val="20"/>
              </w:rPr>
            </w:pPr>
            <w:r w:rsidRPr="006873FC">
              <w:rPr>
                <w:rFonts w:ascii="Arial" w:hAnsi="Arial" w:cs="Arial"/>
                <w:sz w:val="20"/>
                <w:szCs w:val="20"/>
              </w:rPr>
              <w:t>-</w:t>
            </w:r>
          </w:p>
        </w:tc>
        <w:tc>
          <w:tcPr>
            <w:tcW w:w="0" w:type="auto"/>
          </w:tcPr>
          <w:p w:rsidR="00386381" w:rsidRPr="006873FC" w:rsidRDefault="00386381" w:rsidP="00386381">
            <w:pPr>
              <w:jc w:val="center"/>
              <w:rPr>
                <w:rFonts w:ascii="Arial" w:hAnsi="Arial" w:cs="Arial"/>
                <w:sz w:val="20"/>
                <w:szCs w:val="20"/>
              </w:rPr>
            </w:pPr>
          </w:p>
        </w:tc>
        <w:tc>
          <w:tcPr>
            <w:tcW w:w="0" w:type="auto"/>
          </w:tcPr>
          <w:p w:rsidR="00386381" w:rsidRPr="006873FC" w:rsidRDefault="00386381" w:rsidP="00386381">
            <w:pPr>
              <w:jc w:val="center"/>
              <w:rPr>
                <w:rFonts w:ascii="Arial" w:hAnsi="Arial" w:cs="Arial"/>
                <w:sz w:val="20"/>
                <w:szCs w:val="20"/>
              </w:rPr>
            </w:pPr>
            <w:r w:rsidRPr="006873FC">
              <w:rPr>
                <w:rFonts w:ascii="Arial" w:hAnsi="Arial" w:cs="Arial"/>
                <w:sz w:val="20"/>
                <w:szCs w:val="20"/>
              </w:rPr>
              <w:t>No</w:t>
            </w:r>
          </w:p>
        </w:tc>
      </w:tr>
      <w:tr w:rsidR="00386381" w:rsidRPr="006873FC" w:rsidTr="00386381">
        <w:tc>
          <w:tcPr>
            <w:tcW w:w="0" w:type="auto"/>
            <w:vMerge w:val="restart"/>
          </w:tcPr>
          <w:p w:rsidR="00386381" w:rsidRDefault="00386381" w:rsidP="00386381">
            <w:pPr>
              <w:rPr>
                <w:rFonts w:ascii="Arial" w:hAnsi="Arial" w:cs="Arial"/>
                <w:sz w:val="20"/>
                <w:szCs w:val="20"/>
              </w:rPr>
            </w:pPr>
            <w:r w:rsidRPr="006873FC">
              <w:rPr>
                <w:rFonts w:ascii="Arial" w:hAnsi="Arial" w:cs="Arial"/>
                <w:sz w:val="20"/>
                <w:szCs w:val="20"/>
              </w:rPr>
              <w:t>DRB1*07</w:t>
            </w:r>
            <w:r>
              <w:rPr>
                <w:rFonts w:ascii="Arial" w:hAnsi="Arial" w:cs="Arial"/>
                <w:sz w:val="20"/>
                <w:szCs w:val="20"/>
              </w:rPr>
              <w:t>:</w:t>
            </w:r>
            <w:r w:rsidRPr="006873FC">
              <w:rPr>
                <w:rFonts w:ascii="Arial" w:hAnsi="Arial" w:cs="Arial"/>
                <w:sz w:val="20"/>
                <w:szCs w:val="20"/>
              </w:rPr>
              <w:t>01</w:t>
            </w:r>
          </w:p>
          <w:p w:rsidR="00386381" w:rsidRDefault="00386381" w:rsidP="00386381">
            <w:pPr>
              <w:rPr>
                <w:rFonts w:ascii="Arial" w:hAnsi="Arial" w:cs="Arial"/>
                <w:sz w:val="20"/>
                <w:szCs w:val="20"/>
              </w:rPr>
            </w:pPr>
            <w:r>
              <w:rPr>
                <w:rFonts w:ascii="Arial" w:hAnsi="Arial" w:cs="Arial"/>
                <w:sz w:val="20"/>
                <w:szCs w:val="20"/>
              </w:rPr>
              <w:t>DQA1*02:01</w:t>
            </w:r>
          </w:p>
          <w:p w:rsidR="00386381" w:rsidRPr="006873FC" w:rsidRDefault="00386381" w:rsidP="00386381">
            <w:pPr>
              <w:rPr>
                <w:rFonts w:ascii="Arial" w:hAnsi="Arial" w:cs="Arial"/>
                <w:sz w:val="20"/>
                <w:szCs w:val="20"/>
              </w:rPr>
            </w:pPr>
          </w:p>
        </w:tc>
        <w:tc>
          <w:tcPr>
            <w:tcW w:w="0" w:type="auto"/>
            <w:vMerge w:val="restart"/>
          </w:tcPr>
          <w:p w:rsidR="00386381" w:rsidRDefault="00386381" w:rsidP="00386381">
            <w:pPr>
              <w:rPr>
                <w:rFonts w:ascii="Arial" w:hAnsi="Arial" w:cs="Arial"/>
                <w:sz w:val="20"/>
                <w:szCs w:val="20"/>
              </w:rPr>
            </w:pPr>
            <w:proofErr w:type="spellStart"/>
            <w:r>
              <w:rPr>
                <w:rFonts w:ascii="Arial" w:hAnsi="Arial" w:cs="Arial"/>
                <w:sz w:val="20"/>
                <w:szCs w:val="20"/>
              </w:rPr>
              <w:t>Lapatinib</w:t>
            </w:r>
            <w:proofErr w:type="spellEnd"/>
          </w:p>
          <w:p w:rsidR="00386381" w:rsidRPr="006873FC" w:rsidRDefault="00386381" w:rsidP="00386381">
            <w:pPr>
              <w:rPr>
                <w:rFonts w:ascii="Arial" w:hAnsi="Arial" w:cs="Arial"/>
                <w:sz w:val="20"/>
                <w:szCs w:val="20"/>
              </w:rPr>
            </w:pPr>
            <w:r>
              <w:rPr>
                <w:rFonts w:ascii="Arial" w:hAnsi="Arial" w:cs="Arial"/>
                <w:sz w:val="20"/>
                <w:szCs w:val="20"/>
              </w:rPr>
              <w:t>(Liver)</w:t>
            </w:r>
          </w:p>
        </w:tc>
        <w:tc>
          <w:tcPr>
            <w:tcW w:w="0" w:type="auto"/>
          </w:tcPr>
          <w:p w:rsidR="00386381" w:rsidRPr="006873FC" w:rsidRDefault="00386381" w:rsidP="00386381">
            <w:pPr>
              <w:rPr>
                <w:rFonts w:ascii="Arial" w:hAnsi="Arial" w:cs="Arial"/>
                <w:sz w:val="20"/>
                <w:szCs w:val="20"/>
              </w:rPr>
            </w:pPr>
            <w:r>
              <w:rPr>
                <w:rFonts w:ascii="Arial" w:hAnsi="Arial" w:cs="Arial"/>
                <w:sz w:val="20"/>
                <w:szCs w:val="20"/>
              </w:rPr>
              <w:t>H019</w:t>
            </w:r>
          </w:p>
        </w:tc>
        <w:tc>
          <w:tcPr>
            <w:tcW w:w="0" w:type="auto"/>
            <w:shd w:val="clear" w:color="auto" w:fill="auto"/>
          </w:tcPr>
          <w:p w:rsidR="00386381" w:rsidRPr="006873FC" w:rsidRDefault="00386381" w:rsidP="00386381">
            <w:pPr>
              <w:jc w:val="center"/>
              <w:rPr>
                <w:rFonts w:ascii="Arial" w:hAnsi="Arial" w:cs="Arial"/>
                <w:sz w:val="20"/>
                <w:szCs w:val="20"/>
              </w:rPr>
            </w:pPr>
          </w:p>
        </w:tc>
        <w:tc>
          <w:tcPr>
            <w:tcW w:w="0" w:type="auto"/>
            <w:shd w:val="clear" w:color="auto" w:fill="F2F2F2" w:themeFill="background1" w:themeFillShade="F2"/>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shd w:val="clear" w:color="auto" w:fill="F2F2F2" w:themeFill="background1" w:themeFillShade="F2"/>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shd w:val="clear" w:color="auto" w:fill="F2F2F2" w:themeFill="background1" w:themeFillShade="F2"/>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tcPr>
          <w:p w:rsidR="00386381" w:rsidRPr="006873FC" w:rsidRDefault="00386381" w:rsidP="00386381">
            <w:pPr>
              <w:jc w:val="center"/>
              <w:rPr>
                <w:rFonts w:ascii="Arial" w:hAnsi="Arial" w:cs="Arial"/>
                <w:sz w:val="20"/>
                <w:szCs w:val="20"/>
              </w:rPr>
            </w:pPr>
          </w:p>
        </w:tc>
        <w:tc>
          <w:tcPr>
            <w:tcW w:w="0" w:type="auto"/>
          </w:tcPr>
          <w:p w:rsidR="00386381" w:rsidRPr="006873FC" w:rsidRDefault="00386381" w:rsidP="00386381">
            <w:pPr>
              <w:jc w:val="center"/>
              <w:rPr>
                <w:rFonts w:ascii="Arial" w:hAnsi="Arial" w:cs="Arial"/>
                <w:sz w:val="20"/>
                <w:szCs w:val="20"/>
              </w:rPr>
            </w:pPr>
          </w:p>
        </w:tc>
      </w:tr>
      <w:tr w:rsidR="00386381" w:rsidRPr="006873FC" w:rsidTr="00386381">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Pr="006873FC" w:rsidRDefault="00386381" w:rsidP="00386381">
            <w:pPr>
              <w:rPr>
                <w:rFonts w:ascii="Arial" w:hAnsi="Arial" w:cs="Arial"/>
                <w:sz w:val="20"/>
                <w:szCs w:val="20"/>
              </w:rPr>
            </w:pPr>
            <w:r>
              <w:rPr>
                <w:rFonts w:ascii="Arial" w:hAnsi="Arial" w:cs="Arial"/>
                <w:sz w:val="20"/>
                <w:szCs w:val="20"/>
              </w:rPr>
              <w:t>H038</w:t>
            </w:r>
          </w:p>
        </w:tc>
        <w:tc>
          <w:tcPr>
            <w:tcW w:w="0" w:type="auto"/>
            <w:shd w:val="clear" w:color="auto" w:fill="auto"/>
          </w:tcPr>
          <w:p w:rsidR="00386381" w:rsidRPr="006873FC" w:rsidRDefault="00386381" w:rsidP="00386381">
            <w:pPr>
              <w:jc w:val="center"/>
              <w:rPr>
                <w:rFonts w:ascii="Arial" w:hAnsi="Arial" w:cs="Arial"/>
                <w:sz w:val="20"/>
                <w:szCs w:val="20"/>
              </w:rPr>
            </w:pPr>
          </w:p>
        </w:tc>
        <w:tc>
          <w:tcPr>
            <w:tcW w:w="0" w:type="auto"/>
            <w:shd w:val="clear" w:color="auto" w:fill="F2F2F2" w:themeFill="background1" w:themeFillShade="F2"/>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shd w:val="clear" w:color="auto" w:fill="F2F2F2" w:themeFill="background1" w:themeFillShade="F2"/>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shd w:val="clear" w:color="auto" w:fill="auto"/>
          </w:tcPr>
          <w:p w:rsidR="00386381" w:rsidRPr="006873FC" w:rsidRDefault="00386381" w:rsidP="00386381">
            <w:pPr>
              <w:jc w:val="center"/>
              <w:rPr>
                <w:rFonts w:ascii="Arial" w:hAnsi="Arial" w:cs="Arial"/>
                <w:sz w:val="20"/>
                <w:szCs w:val="20"/>
              </w:rPr>
            </w:pPr>
          </w:p>
        </w:tc>
        <w:tc>
          <w:tcPr>
            <w:tcW w:w="0" w:type="auto"/>
          </w:tcPr>
          <w:p w:rsidR="00386381" w:rsidRPr="006873FC" w:rsidRDefault="00386381" w:rsidP="00386381">
            <w:pPr>
              <w:jc w:val="center"/>
              <w:rPr>
                <w:rFonts w:ascii="Arial" w:hAnsi="Arial" w:cs="Arial"/>
                <w:sz w:val="20"/>
                <w:szCs w:val="20"/>
              </w:rPr>
            </w:pPr>
          </w:p>
        </w:tc>
        <w:tc>
          <w:tcPr>
            <w:tcW w:w="0" w:type="auto"/>
          </w:tcPr>
          <w:p w:rsidR="00386381" w:rsidRPr="006873FC" w:rsidRDefault="00386381" w:rsidP="00386381">
            <w:pPr>
              <w:jc w:val="center"/>
              <w:rPr>
                <w:rFonts w:ascii="Arial" w:hAnsi="Arial" w:cs="Arial"/>
                <w:sz w:val="20"/>
                <w:szCs w:val="20"/>
              </w:rPr>
            </w:pPr>
          </w:p>
        </w:tc>
      </w:tr>
      <w:tr w:rsidR="00386381" w:rsidRPr="006873FC" w:rsidTr="00386381">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Pr="006873FC" w:rsidRDefault="00386381" w:rsidP="00386381">
            <w:pPr>
              <w:rPr>
                <w:rFonts w:ascii="Arial" w:hAnsi="Arial" w:cs="Arial"/>
                <w:sz w:val="20"/>
                <w:szCs w:val="20"/>
              </w:rPr>
            </w:pPr>
            <w:r>
              <w:rPr>
                <w:rFonts w:ascii="Arial" w:hAnsi="Arial" w:cs="Arial"/>
                <w:sz w:val="20"/>
                <w:szCs w:val="20"/>
              </w:rPr>
              <w:t>H764</w:t>
            </w:r>
          </w:p>
        </w:tc>
        <w:tc>
          <w:tcPr>
            <w:tcW w:w="0" w:type="auto"/>
            <w:shd w:val="clear" w:color="auto" w:fill="F2F2F2" w:themeFill="background1" w:themeFillShade="F2"/>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shd w:val="clear" w:color="auto" w:fill="F2F2F2" w:themeFill="background1" w:themeFillShade="F2"/>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shd w:val="clear" w:color="auto" w:fill="F2F2F2" w:themeFill="background1" w:themeFillShade="F2"/>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shd w:val="clear" w:color="auto" w:fill="F2F2F2" w:themeFill="background1" w:themeFillShade="F2"/>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tcPr>
          <w:p w:rsidR="00386381" w:rsidRPr="006873FC" w:rsidRDefault="00386381" w:rsidP="00386381">
            <w:pPr>
              <w:jc w:val="center"/>
              <w:rPr>
                <w:rFonts w:ascii="Arial" w:hAnsi="Arial" w:cs="Arial"/>
                <w:sz w:val="20"/>
                <w:szCs w:val="20"/>
              </w:rPr>
            </w:pPr>
          </w:p>
        </w:tc>
        <w:tc>
          <w:tcPr>
            <w:tcW w:w="0" w:type="auto"/>
          </w:tcPr>
          <w:p w:rsidR="00386381" w:rsidRPr="006873FC" w:rsidRDefault="00386381" w:rsidP="00386381">
            <w:pPr>
              <w:jc w:val="center"/>
              <w:rPr>
                <w:rFonts w:ascii="Arial" w:hAnsi="Arial" w:cs="Arial"/>
                <w:sz w:val="20"/>
                <w:szCs w:val="20"/>
              </w:rPr>
            </w:pPr>
          </w:p>
        </w:tc>
      </w:tr>
      <w:tr w:rsidR="00386381" w:rsidRPr="006873FC" w:rsidTr="00386381">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Pr="006873FC" w:rsidRDefault="00386381" w:rsidP="00386381">
            <w:pPr>
              <w:rPr>
                <w:rFonts w:ascii="Arial" w:hAnsi="Arial" w:cs="Arial"/>
                <w:sz w:val="20"/>
                <w:szCs w:val="20"/>
              </w:rPr>
            </w:pPr>
            <w:r>
              <w:rPr>
                <w:rFonts w:ascii="Arial" w:hAnsi="Arial" w:cs="Arial"/>
                <w:sz w:val="20"/>
                <w:szCs w:val="20"/>
              </w:rPr>
              <w:t>H979</w:t>
            </w:r>
          </w:p>
        </w:tc>
        <w:tc>
          <w:tcPr>
            <w:tcW w:w="0" w:type="auto"/>
            <w:shd w:val="clear" w:color="auto" w:fill="auto"/>
          </w:tcPr>
          <w:p w:rsidR="00386381" w:rsidRPr="006873FC" w:rsidRDefault="00386381" w:rsidP="00386381">
            <w:pPr>
              <w:jc w:val="center"/>
              <w:rPr>
                <w:rFonts w:ascii="Arial" w:hAnsi="Arial" w:cs="Arial"/>
                <w:sz w:val="20"/>
                <w:szCs w:val="20"/>
              </w:rPr>
            </w:pPr>
          </w:p>
        </w:tc>
        <w:tc>
          <w:tcPr>
            <w:tcW w:w="0" w:type="auto"/>
            <w:shd w:val="clear" w:color="auto" w:fill="F2F2F2" w:themeFill="background1" w:themeFillShade="F2"/>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shd w:val="clear" w:color="auto" w:fill="F2F2F2" w:themeFill="background1" w:themeFillShade="F2"/>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shd w:val="clear" w:color="auto" w:fill="F2F2F2" w:themeFill="background1" w:themeFillShade="F2"/>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tcPr>
          <w:p w:rsidR="00386381" w:rsidRPr="006873FC" w:rsidRDefault="00386381" w:rsidP="00386381">
            <w:pPr>
              <w:jc w:val="center"/>
              <w:rPr>
                <w:rFonts w:ascii="Arial" w:hAnsi="Arial" w:cs="Arial"/>
                <w:sz w:val="20"/>
                <w:szCs w:val="20"/>
              </w:rPr>
            </w:pPr>
          </w:p>
        </w:tc>
        <w:tc>
          <w:tcPr>
            <w:tcW w:w="0" w:type="auto"/>
          </w:tcPr>
          <w:p w:rsidR="00386381" w:rsidRPr="006873FC" w:rsidRDefault="00386381" w:rsidP="00386381">
            <w:pPr>
              <w:jc w:val="center"/>
              <w:rPr>
                <w:rFonts w:ascii="Arial" w:hAnsi="Arial" w:cs="Arial"/>
                <w:sz w:val="20"/>
                <w:szCs w:val="20"/>
              </w:rPr>
            </w:pPr>
          </w:p>
        </w:tc>
      </w:tr>
      <w:tr w:rsidR="00386381" w:rsidRPr="006873FC" w:rsidTr="00386381">
        <w:tc>
          <w:tcPr>
            <w:tcW w:w="0" w:type="auto"/>
            <w:vMerge w:val="restart"/>
          </w:tcPr>
          <w:p w:rsidR="00386381" w:rsidRDefault="00386381" w:rsidP="00386381">
            <w:pPr>
              <w:rPr>
                <w:rFonts w:ascii="Arial" w:hAnsi="Arial" w:cs="Arial"/>
                <w:sz w:val="20"/>
                <w:szCs w:val="20"/>
              </w:rPr>
            </w:pPr>
            <w:r w:rsidRPr="006873FC">
              <w:rPr>
                <w:rFonts w:ascii="Arial" w:hAnsi="Arial" w:cs="Arial"/>
                <w:sz w:val="20"/>
                <w:szCs w:val="20"/>
              </w:rPr>
              <w:t>DRB1*15</w:t>
            </w:r>
            <w:r>
              <w:rPr>
                <w:rFonts w:ascii="Arial" w:hAnsi="Arial" w:cs="Arial"/>
                <w:sz w:val="20"/>
                <w:szCs w:val="20"/>
              </w:rPr>
              <w:t>:</w:t>
            </w:r>
            <w:r w:rsidRPr="006873FC">
              <w:rPr>
                <w:rFonts w:ascii="Arial" w:hAnsi="Arial" w:cs="Arial"/>
                <w:sz w:val="20"/>
                <w:szCs w:val="20"/>
              </w:rPr>
              <w:t>01</w:t>
            </w:r>
          </w:p>
          <w:p w:rsidR="00386381" w:rsidRPr="006873FC" w:rsidRDefault="00386381" w:rsidP="00386381">
            <w:pPr>
              <w:rPr>
                <w:rFonts w:ascii="Arial" w:hAnsi="Arial" w:cs="Arial"/>
                <w:sz w:val="20"/>
                <w:szCs w:val="20"/>
              </w:rPr>
            </w:pPr>
            <w:r>
              <w:rPr>
                <w:rFonts w:ascii="Arial" w:hAnsi="Arial" w:cs="Arial"/>
                <w:sz w:val="20"/>
                <w:szCs w:val="20"/>
              </w:rPr>
              <w:t>DQB1*06:02</w:t>
            </w:r>
          </w:p>
        </w:tc>
        <w:tc>
          <w:tcPr>
            <w:tcW w:w="0" w:type="auto"/>
            <w:vMerge w:val="restart"/>
          </w:tcPr>
          <w:p w:rsidR="00386381" w:rsidRDefault="00386381" w:rsidP="00386381">
            <w:pPr>
              <w:rPr>
                <w:rFonts w:ascii="Arial" w:hAnsi="Arial" w:cs="Arial"/>
                <w:sz w:val="20"/>
                <w:szCs w:val="20"/>
              </w:rPr>
            </w:pPr>
            <w:proofErr w:type="spellStart"/>
            <w:r w:rsidRPr="006873FC">
              <w:rPr>
                <w:rFonts w:ascii="Arial" w:hAnsi="Arial" w:cs="Arial"/>
                <w:sz w:val="20"/>
                <w:szCs w:val="20"/>
              </w:rPr>
              <w:t>Lumiracoxib</w:t>
            </w:r>
            <w:proofErr w:type="spellEnd"/>
          </w:p>
          <w:p w:rsidR="00386381" w:rsidRPr="006873FC" w:rsidRDefault="00386381" w:rsidP="00386381">
            <w:pPr>
              <w:rPr>
                <w:rFonts w:ascii="Arial" w:hAnsi="Arial" w:cs="Arial"/>
                <w:sz w:val="20"/>
                <w:szCs w:val="20"/>
              </w:rPr>
            </w:pPr>
            <w:r>
              <w:rPr>
                <w:rFonts w:ascii="Arial" w:hAnsi="Arial" w:cs="Arial"/>
                <w:sz w:val="20"/>
                <w:szCs w:val="20"/>
              </w:rPr>
              <w:t>(Liver)</w:t>
            </w:r>
          </w:p>
        </w:tc>
        <w:tc>
          <w:tcPr>
            <w:tcW w:w="0" w:type="auto"/>
          </w:tcPr>
          <w:p w:rsidR="00386381" w:rsidRPr="006873FC" w:rsidRDefault="00386381" w:rsidP="00386381">
            <w:pPr>
              <w:rPr>
                <w:rFonts w:ascii="Arial" w:hAnsi="Arial" w:cs="Arial"/>
                <w:sz w:val="20"/>
                <w:szCs w:val="20"/>
              </w:rPr>
            </w:pPr>
            <w:r>
              <w:rPr>
                <w:rFonts w:ascii="Arial" w:hAnsi="Arial" w:cs="Arial"/>
                <w:sz w:val="20"/>
                <w:szCs w:val="20"/>
              </w:rPr>
              <w:t>H</w:t>
            </w:r>
            <w:r w:rsidRPr="006873FC">
              <w:rPr>
                <w:rFonts w:ascii="Arial" w:hAnsi="Arial" w:cs="Arial"/>
                <w:sz w:val="20"/>
                <w:szCs w:val="20"/>
              </w:rPr>
              <w:t>015</w:t>
            </w:r>
          </w:p>
        </w:tc>
        <w:tc>
          <w:tcPr>
            <w:tcW w:w="0" w:type="auto"/>
            <w:shd w:val="clear" w:color="auto" w:fill="F2F2F2" w:themeFill="background1" w:themeFillShade="F2"/>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shd w:val="clear" w:color="auto" w:fill="F2F2F2" w:themeFill="background1" w:themeFillShade="F2"/>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shd w:val="clear" w:color="auto" w:fill="F2F2F2" w:themeFill="background1" w:themeFillShade="F2"/>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shd w:val="clear" w:color="auto" w:fill="D9D9D9" w:themeFill="background1" w:themeFillShade="D9"/>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tcPr>
          <w:p w:rsidR="00386381" w:rsidRPr="006873FC" w:rsidRDefault="00386381" w:rsidP="00386381">
            <w:pPr>
              <w:jc w:val="center"/>
              <w:rPr>
                <w:rFonts w:ascii="Arial" w:hAnsi="Arial" w:cs="Arial"/>
                <w:sz w:val="20"/>
                <w:szCs w:val="20"/>
                <w:highlight w:val="cyan"/>
              </w:rPr>
            </w:pPr>
          </w:p>
        </w:tc>
        <w:tc>
          <w:tcPr>
            <w:tcW w:w="0" w:type="auto"/>
          </w:tcPr>
          <w:p w:rsidR="00386381" w:rsidRPr="006873FC" w:rsidRDefault="00386381" w:rsidP="00386381">
            <w:pPr>
              <w:jc w:val="center"/>
              <w:rPr>
                <w:rFonts w:ascii="Arial" w:hAnsi="Arial" w:cs="Arial"/>
                <w:sz w:val="20"/>
                <w:szCs w:val="20"/>
                <w:highlight w:val="cyan"/>
              </w:rPr>
            </w:pPr>
          </w:p>
        </w:tc>
      </w:tr>
      <w:tr w:rsidR="00386381" w:rsidRPr="006873FC" w:rsidTr="00386381">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Pr="006873FC" w:rsidRDefault="00386381" w:rsidP="00386381">
            <w:pPr>
              <w:rPr>
                <w:rFonts w:ascii="Arial" w:hAnsi="Arial" w:cs="Arial"/>
                <w:sz w:val="20"/>
                <w:szCs w:val="20"/>
              </w:rPr>
            </w:pPr>
            <w:r>
              <w:rPr>
                <w:rFonts w:ascii="Arial" w:hAnsi="Arial" w:cs="Arial"/>
                <w:sz w:val="20"/>
                <w:szCs w:val="20"/>
              </w:rPr>
              <w:t>H</w:t>
            </w:r>
            <w:r w:rsidRPr="006873FC">
              <w:rPr>
                <w:rFonts w:ascii="Arial" w:hAnsi="Arial" w:cs="Arial"/>
                <w:sz w:val="20"/>
                <w:szCs w:val="20"/>
              </w:rPr>
              <w:t>040</w:t>
            </w:r>
          </w:p>
        </w:tc>
        <w:tc>
          <w:tcPr>
            <w:tcW w:w="0" w:type="auto"/>
            <w:shd w:val="clear" w:color="auto" w:fill="auto"/>
          </w:tcPr>
          <w:p w:rsidR="00386381" w:rsidRPr="006873FC" w:rsidRDefault="00386381" w:rsidP="00386381">
            <w:pPr>
              <w:jc w:val="center"/>
              <w:rPr>
                <w:rFonts w:ascii="Arial" w:hAnsi="Arial" w:cs="Arial"/>
                <w:sz w:val="20"/>
                <w:szCs w:val="20"/>
              </w:rPr>
            </w:pPr>
          </w:p>
        </w:tc>
        <w:tc>
          <w:tcPr>
            <w:tcW w:w="0" w:type="auto"/>
            <w:shd w:val="clear" w:color="auto" w:fill="F2F2F2" w:themeFill="background1" w:themeFillShade="F2"/>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shd w:val="clear" w:color="auto" w:fill="F2F2F2" w:themeFill="background1" w:themeFillShade="F2"/>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shd w:val="clear" w:color="auto" w:fill="F2F2F2" w:themeFill="background1" w:themeFillShade="F2"/>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tcPr>
          <w:p w:rsidR="00386381" w:rsidRPr="006873FC" w:rsidRDefault="00386381" w:rsidP="00386381">
            <w:pPr>
              <w:jc w:val="center"/>
              <w:rPr>
                <w:rFonts w:ascii="Arial" w:hAnsi="Arial" w:cs="Arial"/>
                <w:sz w:val="20"/>
                <w:szCs w:val="20"/>
              </w:rPr>
            </w:pPr>
          </w:p>
        </w:tc>
        <w:tc>
          <w:tcPr>
            <w:tcW w:w="0" w:type="auto"/>
          </w:tcPr>
          <w:p w:rsidR="00386381" w:rsidRPr="006873FC" w:rsidRDefault="00386381" w:rsidP="00386381">
            <w:pPr>
              <w:jc w:val="center"/>
              <w:rPr>
                <w:rFonts w:ascii="Arial" w:hAnsi="Arial" w:cs="Arial"/>
                <w:sz w:val="20"/>
                <w:szCs w:val="20"/>
              </w:rPr>
            </w:pPr>
          </w:p>
        </w:tc>
      </w:tr>
      <w:tr w:rsidR="00386381" w:rsidRPr="006873FC" w:rsidTr="00386381">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Pr="006873FC" w:rsidRDefault="00386381" w:rsidP="00386381">
            <w:pPr>
              <w:rPr>
                <w:rFonts w:ascii="Arial" w:hAnsi="Arial" w:cs="Arial"/>
                <w:sz w:val="20"/>
                <w:szCs w:val="20"/>
              </w:rPr>
            </w:pPr>
            <w:r>
              <w:rPr>
                <w:rFonts w:ascii="Arial" w:hAnsi="Arial" w:cs="Arial"/>
                <w:sz w:val="20"/>
                <w:szCs w:val="20"/>
              </w:rPr>
              <w:t>H198</w:t>
            </w:r>
          </w:p>
        </w:tc>
        <w:tc>
          <w:tcPr>
            <w:tcW w:w="0" w:type="auto"/>
            <w:shd w:val="clear" w:color="auto" w:fill="F2F2F2" w:themeFill="background1" w:themeFillShade="F2"/>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shd w:val="clear" w:color="auto" w:fill="F2F2F2" w:themeFill="background1" w:themeFillShade="F2"/>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shd w:val="clear" w:color="auto" w:fill="F2F2F2" w:themeFill="background1" w:themeFillShade="F2"/>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shd w:val="clear" w:color="auto" w:fill="F2F2F2" w:themeFill="background1" w:themeFillShade="F2"/>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tcPr>
          <w:p w:rsidR="00386381" w:rsidRPr="006873FC" w:rsidRDefault="00386381" w:rsidP="00386381">
            <w:pPr>
              <w:jc w:val="center"/>
              <w:rPr>
                <w:rFonts w:ascii="Arial" w:hAnsi="Arial" w:cs="Arial"/>
                <w:sz w:val="20"/>
                <w:szCs w:val="20"/>
              </w:rPr>
            </w:pPr>
          </w:p>
        </w:tc>
        <w:tc>
          <w:tcPr>
            <w:tcW w:w="0" w:type="auto"/>
          </w:tcPr>
          <w:p w:rsidR="00386381" w:rsidRPr="006873FC" w:rsidRDefault="00386381" w:rsidP="00386381">
            <w:pPr>
              <w:jc w:val="center"/>
              <w:rPr>
                <w:rFonts w:ascii="Arial" w:hAnsi="Arial" w:cs="Arial"/>
                <w:sz w:val="20"/>
                <w:szCs w:val="20"/>
              </w:rPr>
            </w:pPr>
            <w:r w:rsidRPr="006873FC">
              <w:rPr>
                <w:rFonts w:ascii="Arial" w:hAnsi="Arial" w:cs="Arial"/>
                <w:sz w:val="20"/>
                <w:szCs w:val="20"/>
              </w:rPr>
              <w:t>No</w:t>
            </w:r>
          </w:p>
        </w:tc>
      </w:tr>
      <w:tr w:rsidR="00386381" w:rsidRPr="006873FC" w:rsidTr="00386381">
        <w:tc>
          <w:tcPr>
            <w:tcW w:w="0" w:type="auto"/>
            <w:vMerge/>
          </w:tcPr>
          <w:p w:rsidR="00386381" w:rsidRPr="006873FC" w:rsidRDefault="00386381" w:rsidP="00386381">
            <w:pPr>
              <w:rPr>
                <w:rFonts w:ascii="Arial" w:hAnsi="Arial" w:cs="Arial"/>
                <w:sz w:val="20"/>
                <w:szCs w:val="20"/>
              </w:rPr>
            </w:pPr>
          </w:p>
        </w:tc>
        <w:tc>
          <w:tcPr>
            <w:tcW w:w="0" w:type="auto"/>
            <w:vMerge/>
          </w:tcPr>
          <w:p w:rsidR="00386381" w:rsidRPr="006873FC" w:rsidRDefault="00386381" w:rsidP="00386381">
            <w:pPr>
              <w:rPr>
                <w:rFonts w:ascii="Arial" w:hAnsi="Arial" w:cs="Arial"/>
                <w:sz w:val="20"/>
                <w:szCs w:val="20"/>
              </w:rPr>
            </w:pPr>
          </w:p>
        </w:tc>
        <w:tc>
          <w:tcPr>
            <w:tcW w:w="0" w:type="auto"/>
          </w:tcPr>
          <w:p w:rsidR="00386381" w:rsidRPr="006873FC" w:rsidRDefault="00386381" w:rsidP="00386381">
            <w:pPr>
              <w:rPr>
                <w:rFonts w:ascii="Arial" w:hAnsi="Arial" w:cs="Arial"/>
                <w:sz w:val="20"/>
                <w:szCs w:val="20"/>
              </w:rPr>
            </w:pPr>
            <w:r>
              <w:rPr>
                <w:rFonts w:ascii="Arial" w:hAnsi="Arial" w:cs="Arial"/>
                <w:sz w:val="20"/>
                <w:szCs w:val="20"/>
              </w:rPr>
              <w:t>H292</w:t>
            </w:r>
          </w:p>
        </w:tc>
        <w:tc>
          <w:tcPr>
            <w:tcW w:w="0" w:type="auto"/>
            <w:shd w:val="clear" w:color="auto" w:fill="F2F2F2" w:themeFill="background1" w:themeFillShade="F2"/>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shd w:val="clear" w:color="auto" w:fill="F2F2F2" w:themeFill="background1" w:themeFillShade="F2"/>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shd w:val="clear" w:color="auto" w:fill="F2F2F2" w:themeFill="background1" w:themeFillShade="F2"/>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shd w:val="clear" w:color="auto" w:fill="F2F2F2" w:themeFill="background1" w:themeFillShade="F2"/>
          </w:tcPr>
          <w:p w:rsidR="00386381" w:rsidRPr="006873FC" w:rsidRDefault="00386381" w:rsidP="00386381">
            <w:pPr>
              <w:jc w:val="center"/>
              <w:rPr>
                <w:rFonts w:ascii="Arial" w:hAnsi="Arial" w:cs="Arial"/>
                <w:sz w:val="20"/>
                <w:szCs w:val="20"/>
              </w:rPr>
            </w:pPr>
            <w:r>
              <w:rPr>
                <w:rFonts w:ascii="Arial" w:hAnsi="Arial" w:cs="Arial"/>
                <w:sz w:val="20"/>
                <w:szCs w:val="20"/>
              </w:rPr>
              <w:t>-</w:t>
            </w:r>
          </w:p>
        </w:tc>
        <w:tc>
          <w:tcPr>
            <w:tcW w:w="0" w:type="auto"/>
          </w:tcPr>
          <w:p w:rsidR="00386381" w:rsidRPr="006873FC" w:rsidRDefault="00386381" w:rsidP="00386381">
            <w:pPr>
              <w:jc w:val="center"/>
              <w:rPr>
                <w:rFonts w:ascii="Arial" w:hAnsi="Arial" w:cs="Arial"/>
                <w:sz w:val="20"/>
                <w:szCs w:val="20"/>
              </w:rPr>
            </w:pPr>
          </w:p>
        </w:tc>
        <w:tc>
          <w:tcPr>
            <w:tcW w:w="0" w:type="auto"/>
          </w:tcPr>
          <w:p w:rsidR="00386381" w:rsidRPr="006873FC" w:rsidRDefault="00386381" w:rsidP="00386381">
            <w:pPr>
              <w:jc w:val="center"/>
              <w:rPr>
                <w:rFonts w:ascii="Arial" w:hAnsi="Arial" w:cs="Arial"/>
                <w:sz w:val="20"/>
                <w:szCs w:val="20"/>
              </w:rPr>
            </w:pPr>
            <w:r w:rsidRPr="006873FC">
              <w:rPr>
                <w:rFonts w:ascii="Arial" w:hAnsi="Arial" w:cs="Arial"/>
                <w:sz w:val="20"/>
                <w:szCs w:val="20"/>
              </w:rPr>
              <w:t>No</w:t>
            </w:r>
          </w:p>
        </w:tc>
      </w:tr>
      <w:tr w:rsidR="00386381" w:rsidRPr="006873FC" w:rsidTr="00386381">
        <w:tc>
          <w:tcPr>
            <w:tcW w:w="0" w:type="auto"/>
          </w:tcPr>
          <w:p w:rsidR="00386381" w:rsidRPr="006873FC" w:rsidRDefault="00386381" w:rsidP="00386381">
            <w:pPr>
              <w:jc w:val="center"/>
              <w:rPr>
                <w:rFonts w:ascii="Arial" w:hAnsi="Arial" w:cs="Arial"/>
                <w:sz w:val="20"/>
                <w:szCs w:val="20"/>
              </w:rPr>
            </w:pPr>
          </w:p>
        </w:tc>
        <w:tc>
          <w:tcPr>
            <w:tcW w:w="0" w:type="auto"/>
            <w:gridSpan w:val="8"/>
          </w:tcPr>
          <w:p w:rsidR="00386381" w:rsidRDefault="00386381" w:rsidP="00386381">
            <w:pPr>
              <w:jc w:val="center"/>
              <w:rPr>
                <w:rFonts w:ascii="Arial" w:hAnsi="Arial" w:cs="Arial"/>
                <w:color w:val="0000FF"/>
                <w:sz w:val="20"/>
                <w:szCs w:val="20"/>
              </w:rPr>
            </w:pPr>
            <w:r w:rsidRPr="006873FC">
              <w:rPr>
                <w:rFonts w:ascii="Arial" w:hAnsi="Arial" w:cs="Arial"/>
                <w:sz w:val="20"/>
                <w:szCs w:val="20"/>
              </w:rPr>
              <w:t>(-) no resp</w:t>
            </w:r>
            <w:r>
              <w:rPr>
                <w:rFonts w:ascii="Arial" w:hAnsi="Arial" w:cs="Arial"/>
                <w:sz w:val="20"/>
                <w:szCs w:val="20"/>
              </w:rPr>
              <w:t>onse with stimulation index &lt;1.49</w:t>
            </w:r>
          </w:p>
          <w:p w:rsidR="00386381" w:rsidRDefault="00386381" w:rsidP="00386381">
            <w:pPr>
              <w:jc w:val="center"/>
              <w:rPr>
                <w:rFonts w:ascii="Arial" w:hAnsi="Arial" w:cs="Arial"/>
                <w:sz w:val="20"/>
                <w:szCs w:val="20"/>
              </w:rPr>
            </w:pPr>
            <w:r>
              <w:rPr>
                <w:rFonts w:ascii="Arial" w:hAnsi="Arial" w:cs="Arial"/>
                <w:sz w:val="20"/>
                <w:szCs w:val="20"/>
              </w:rPr>
              <w:t xml:space="preserve">         </w:t>
            </w:r>
            <w:r w:rsidRPr="006873FC">
              <w:rPr>
                <w:rFonts w:ascii="Arial" w:hAnsi="Arial" w:cs="Arial"/>
                <w:sz w:val="20"/>
                <w:szCs w:val="20"/>
              </w:rPr>
              <w:t>(+) weak response with stimulation index 1.5-</w:t>
            </w:r>
            <w:r>
              <w:rPr>
                <w:rFonts w:ascii="Arial" w:hAnsi="Arial" w:cs="Arial"/>
                <w:sz w:val="20"/>
                <w:szCs w:val="20"/>
              </w:rPr>
              <w:t>1.99</w:t>
            </w:r>
          </w:p>
          <w:p w:rsidR="00386381" w:rsidRPr="006873FC" w:rsidRDefault="00386381" w:rsidP="00386381">
            <w:pPr>
              <w:ind w:left="397"/>
              <w:jc w:val="center"/>
              <w:rPr>
                <w:rFonts w:ascii="Arial" w:hAnsi="Arial" w:cs="Arial"/>
                <w:sz w:val="20"/>
                <w:szCs w:val="20"/>
              </w:rPr>
            </w:pPr>
            <w:r w:rsidRPr="006873FC">
              <w:rPr>
                <w:rFonts w:ascii="Arial" w:hAnsi="Arial" w:cs="Arial"/>
                <w:sz w:val="20"/>
                <w:szCs w:val="20"/>
              </w:rPr>
              <w:t>(+</w:t>
            </w:r>
            <w:r>
              <w:rPr>
                <w:rFonts w:ascii="Arial" w:hAnsi="Arial" w:cs="Arial"/>
                <w:sz w:val="20"/>
                <w:szCs w:val="20"/>
              </w:rPr>
              <w:t>+</w:t>
            </w:r>
            <w:r w:rsidRPr="006873FC">
              <w:rPr>
                <w:rFonts w:ascii="Arial" w:hAnsi="Arial" w:cs="Arial"/>
                <w:sz w:val="20"/>
                <w:szCs w:val="20"/>
              </w:rPr>
              <w:t xml:space="preserve">) </w:t>
            </w:r>
            <w:r>
              <w:rPr>
                <w:rFonts w:ascii="Arial" w:hAnsi="Arial" w:cs="Arial"/>
                <w:sz w:val="20"/>
                <w:szCs w:val="20"/>
              </w:rPr>
              <w:t>good</w:t>
            </w:r>
            <w:r w:rsidRPr="006873FC">
              <w:rPr>
                <w:rFonts w:ascii="Arial" w:hAnsi="Arial" w:cs="Arial"/>
                <w:sz w:val="20"/>
                <w:szCs w:val="20"/>
              </w:rPr>
              <w:t xml:space="preserve"> resp</w:t>
            </w:r>
            <w:r>
              <w:rPr>
                <w:rFonts w:ascii="Arial" w:hAnsi="Arial" w:cs="Arial"/>
                <w:sz w:val="20"/>
                <w:szCs w:val="20"/>
              </w:rPr>
              <w:t xml:space="preserve">onse with stimulation index </w:t>
            </w:r>
            <w:r w:rsidRPr="006873FC">
              <w:rPr>
                <w:rFonts w:ascii="Arial" w:hAnsi="Arial" w:cs="Arial"/>
                <w:sz w:val="20"/>
                <w:szCs w:val="20"/>
              </w:rPr>
              <w:t>2.0</w:t>
            </w:r>
            <w:r>
              <w:rPr>
                <w:rFonts w:ascii="Arial" w:hAnsi="Arial" w:cs="Arial"/>
                <w:sz w:val="20"/>
                <w:szCs w:val="20"/>
              </w:rPr>
              <w:t>-3.99</w:t>
            </w:r>
          </w:p>
          <w:p w:rsidR="00386381" w:rsidRDefault="00386381" w:rsidP="00386381">
            <w:pPr>
              <w:jc w:val="center"/>
              <w:rPr>
                <w:rFonts w:ascii="Arial" w:hAnsi="Arial" w:cs="Arial"/>
                <w:sz w:val="20"/>
                <w:szCs w:val="20"/>
              </w:rPr>
            </w:pPr>
            <w:r w:rsidRPr="006873FC">
              <w:rPr>
                <w:rFonts w:ascii="Arial" w:hAnsi="Arial" w:cs="Arial"/>
                <w:sz w:val="20"/>
                <w:szCs w:val="20"/>
              </w:rPr>
              <w:t>(+++) strong re</w:t>
            </w:r>
            <w:r>
              <w:rPr>
                <w:rFonts w:ascii="Arial" w:hAnsi="Arial" w:cs="Arial"/>
                <w:sz w:val="20"/>
                <w:szCs w:val="20"/>
              </w:rPr>
              <w:t>sponse with stimulation index &gt;4</w:t>
            </w:r>
            <w:r w:rsidRPr="006873FC">
              <w:rPr>
                <w:rFonts w:ascii="Arial" w:hAnsi="Arial" w:cs="Arial"/>
                <w:sz w:val="20"/>
                <w:szCs w:val="20"/>
              </w:rPr>
              <w:t>.0</w:t>
            </w:r>
          </w:p>
          <w:p w:rsidR="00386381" w:rsidRPr="006873FC" w:rsidRDefault="00386381" w:rsidP="00386381">
            <w:pPr>
              <w:jc w:val="center"/>
              <w:rPr>
                <w:rFonts w:ascii="Arial" w:hAnsi="Arial" w:cs="Arial"/>
                <w:sz w:val="20"/>
                <w:szCs w:val="20"/>
              </w:rPr>
            </w:pPr>
            <w:r>
              <w:rPr>
                <w:rFonts w:ascii="Arial" w:hAnsi="Arial" w:cs="Arial"/>
                <w:sz w:val="20"/>
                <w:szCs w:val="20"/>
              </w:rPr>
              <w:t>Gran B = Granzyme B</w:t>
            </w:r>
          </w:p>
        </w:tc>
      </w:tr>
    </w:tbl>
    <w:p w:rsidR="00386381" w:rsidRDefault="00386381" w:rsidP="00386381">
      <w:pPr>
        <w:jc w:val="center"/>
      </w:pPr>
    </w:p>
    <w:p w:rsidR="00015BF1" w:rsidRPr="00231828" w:rsidRDefault="00015BF1" w:rsidP="00231828">
      <w:pPr>
        <w:pStyle w:val="EndNoteBibliography"/>
        <w:spacing w:after="0" w:line="480" w:lineRule="auto"/>
      </w:pPr>
    </w:p>
    <w:p w:rsidR="00015BF1" w:rsidRPr="00231828" w:rsidRDefault="00015BF1" w:rsidP="00231828">
      <w:pPr>
        <w:pStyle w:val="EndNoteBibliography"/>
        <w:spacing w:after="0" w:line="480" w:lineRule="auto"/>
      </w:pPr>
    </w:p>
    <w:p w:rsidR="00CE0438" w:rsidRDefault="00CE0438" w:rsidP="00231828">
      <w:pPr>
        <w:autoSpaceDE w:val="0"/>
        <w:autoSpaceDN w:val="0"/>
        <w:adjustRightInd w:val="0"/>
        <w:spacing w:after="0" w:line="480" w:lineRule="auto"/>
      </w:pPr>
    </w:p>
    <w:p w:rsidR="00CE0438" w:rsidRDefault="00CE0438" w:rsidP="00231828">
      <w:pPr>
        <w:autoSpaceDE w:val="0"/>
        <w:autoSpaceDN w:val="0"/>
        <w:adjustRightInd w:val="0"/>
        <w:spacing w:after="0" w:line="480" w:lineRule="auto"/>
      </w:pPr>
    </w:p>
    <w:p w:rsidR="00D115F5" w:rsidRPr="00231828" w:rsidRDefault="00D115F5" w:rsidP="00231828">
      <w:pPr>
        <w:autoSpaceDE w:val="0"/>
        <w:autoSpaceDN w:val="0"/>
        <w:adjustRightInd w:val="0"/>
        <w:spacing w:after="0" w:line="480" w:lineRule="auto"/>
      </w:pPr>
    </w:p>
    <w:sectPr w:rsidR="00D115F5" w:rsidRPr="00231828" w:rsidSect="0023182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2A4" w:rsidRDefault="001602A4" w:rsidP="00231828">
      <w:pPr>
        <w:spacing w:after="0" w:line="240" w:lineRule="auto"/>
      </w:pPr>
      <w:r>
        <w:separator/>
      </w:r>
    </w:p>
  </w:endnote>
  <w:endnote w:type="continuationSeparator" w:id="0">
    <w:p w:rsidR="001602A4" w:rsidRDefault="001602A4" w:rsidP="00231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ansonText-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2A4" w:rsidRDefault="001602A4" w:rsidP="00231828">
      <w:pPr>
        <w:spacing w:after="0" w:line="240" w:lineRule="auto"/>
      </w:pPr>
      <w:r>
        <w:separator/>
      </w:r>
    </w:p>
  </w:footnote>
  <w:footnote w:type="continuationSeparator" w:id="0">
    <w:p w:rsidR="001602A4" w:rsidRDefault="001602A4" w:rsidP="00231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752040147"/>
      <w:docPartObj>
        <w:docPartGallery w:val="Page Numbers (Top of Page)"/>
        <w:docPartUnique/>
      </w:docPartObj>
    </w:sdtPr>
    <w:sdtEndPr>
      <w:rPr>
        <w:noProof/>
      </w:rPr>
    </w:sdtEndPr>
    <w:sdtContent>
      <w:p w:rsidR="0010631B" w:rsidRPr="00231828" w:rsidRDefault="0010631B">
        <w:pPr>
          <w:pStyle w:val="Header"/>
          <w:jc w:val="right"/>
          <w:rPr>
            <w:rFonts w:ascii="Arial" w:hAnsi="Arial" w:cs="Arial"/>
          </w:rPr>
        </w:pPr>
        <w:r w:rsidRPr="00231828">
          <w:rPr>
            <w:rFonts w:ascii="Arial" w:hAnsi="Arial" w:cs="Arial"/>
          </w:rPr>
          <w:t xml:space="preserve">Faulkner et al </w:t>
        </w:r>
        <w:r w:rsidRPr="00231828">
          <w:rPr>
            <w:rFonts w:ascii="Arial" w:hAnsi="Arial" w:cs="Arial"/>
          </w:rPr>
          <w:fldChar w:fldCharType="begin"/>
        </w:r>
        <w:r w:rsidRPr="00231828">
          <w:rPr>
            <w:rFonts w:ascii="Arial" w:hAnsi="Arial" w:cs="Arial"/>
          </w:rPr>
          <w:instrText xml:space="preserve"> PAGE   \* MERGEFORMAT </w:instrText>
        </w:r>
        <w:r w:rsidRPr="00231828">
          <w:rPr>
            <w:rFonts w:ascii="Arial" w:hAnsi="Arial" w:cs="Arial"/>
          </w:rPr>
          <w:fldChar w:fldCharType="separate"/>
        </w:r>
        <w:r w:rsidR="002C701F">
          <w:rPr>
            <w:rFonts w:ascii="Arial" w:hAnsi="Arial" w:cs="Arial"/>
            <w:noProof/>
          </w:rPr>
          <w:t>1</w:t>
        </w:r>
        <w:r w:rsidRPr="00231828">
          <w:rPr>
            <w:rFonts w:ascii="Arial" w:hAnsi="Arial" w:cs="Arial"/>
            <w:noProof/>
          </w:rPr>
          <w:fldChar w:fldCharType="end"/>
        </w:r>
      </w:p>
    </w:sdtContent>
  </w:sdt>
  <w:p w:rsidR="0010631B" w:rsidRDefault="001063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E1BB5"/>
    <w:multiLevelType w:val="hybridMultilevel"/>
    <w:tmpl w:val="441A2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CD74A4"/>
    <w:multiLevelType w:val="multilevel"/>
    <w:tmpl w:val="1EA2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oxicological Sciences&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txvzx0fsxx93ererovt2wjazzzzzxdtraa&quot;&gt;naisbitt active Copy&lt;record-ids&gt;&lt;item&gt;3185&lt;/item&gt;&lt;item&gt;3186&lt;/item&gt;&lt;/record-ids&gt;&lt;/item&gt;&lt;/Libraries&gt;"/>
  </w:docVars>
  <w:rsids>
    <w:rsidRoot w:val="00DB4CFB"/>
    <w:rsid w:val="00011117"/>
    <w:rsid w:val="00015BF1"/>
    <w:rsid w:val="00022DA2"/>
    <w:rsid w:val="00026E24"/>
    <w:rsid w:val="00034179"/>
    <w:rsid w:val="000732DB"/>
    <w:rsid w:val="00074C82"/>
    <w:rsid w:val="000A1CD6"/>
    <w:rsid w:val="000A202B"/>
    <w:rsid w:val="000C1E0F"/>
    <w:rsid w:val="000C61CC"/>
    <w:rsid w:val="000D4BEF"/>
    <w:rsid w:val="000D7312"/>
    <w:rsid w:val="000E0B57"/>
    <w:rsid w:val="000E7A90"/>
    <w:rsid w:val="000F2B08"/>
    <w:rsid w:val="0010631B"/>
    <w:rsid w:val="001070F7"/>
    <w:rsid w:val="00110380"/>
    <w:rsid w:val="00114E74"/>
    <w:rsid w:val="001342E1"/>
    <w:rsid w:val="001365C9"/>
    <w:rsid w:val="00137541"/>
    <w:rsid w:val="0013781A"/>
    <w:rsid w:val="00143695"/>
    <w:rsid w:val="00144B22"/>
    <w:rsid w:val="001571B3"/>
    <w:rsid w:val="001602A4"/>
    <w:rsid w:val="00187B4E"/>
    <w:rsid w:val="00190B09"/>
    <w:rsid w:val="00196123"/>
    <w:rsid w:val="001A2817"/>
    <w:rsid w:val="001B571A"/>
    <w:rsid w:val="001C3B1F"/>
    <w:rsid w:val="001D11E6"/>
    <w:rsid w:val="001D1F14"/>
    <w:rsid w:val="001D277D"/>
    <w:rsid w:val="001E2516"/>
    <w:rsid w:val="001E7C27"/>
    <w:rsid w:val="001F0DF1"/>
    <w:rsid w:val="001F1B09"/>
    <w:rsid w:val="001F7126"/>
    <w:rsid w:val="00203DB6"/>
    <w:rsid w:val="0020661E"/>
    <w:rsid w:val="0021183F"/>
    <w:rsid w:val="002118F6"/>
    <w:rsid w:val="0022764F"/>
    <w:rsid w:val="00231828"/>
    <w:rsid w:val="00233B5A"/>
    <w:rsid w:val="002468C3"/>
    <w:rsid w:val="0026050F"/>
    <w:rsid w:val="00271A8F"/>
    <w:rsid w:val="00282976"/>
    <w:rsid w:val="00284FD3"/>
    <w:rsid w:val="00295D72"/>
    <w:rsid w:val="002A3307"/>
    <w:rsid w:val="002B2669"/>
    <w:rsid w:val="002C701F"/>
    <w:rsid w:val="002D7C75"/>
    <w:rsid w:val="002E1744"/>
    <w:rsid w:val="00307230"/>
    <w:rsid w:val="00307A26"/>
    <w:rsid w:val="003143CC"/>
    <w:rsid w:val="0031516D"/>
    <w:rsid w:val="00336E73"/>
    <w:rsid w:val="00352523"/>
    <w:rsid w:val="0036065E"/>
    <w:rsid w:val="00386381"/>
    <w:rsid w:val="00391548"/>
    <w:rsid w:val="003A483F"/>
    <w:rsid w:val="003B6664"/>
    <w:rsid w:val="003D1E6C"/>
    <w:rsid w:val="003E36AF"/>
    <w:rsid w:val="00412EFB"/>
    <w:rsid w:val="00413703"/>
    <w:rsid w:val="00435BF8"/>
    <w:rsid w:val="004404CA"/>
    <w:rsid w:val="00445263"/>
    <w:rsid w:val="0044607E"/>
    <w:rsid w:val="00452F9A"/>
    <w:rsid w:val="00454DAF"/>
    <w:rsid w:val="00467E6D"/>
    <w:rsid w:val="0048036C"/>
    <w:rsid w:val="00493A08"/>
    <w:rsid w:val="004A0060"/>
    <w:rsid w:val="004B0F9F"/>
    <w:rsid w:val="004B0FDA"/>
    <w:rsid w:val="004B2445"/>
    <w:rsid w:val="004B7EB6"/>
    <w:rsid w:val="004C350C"/>
    <w:rsid w:val="004C718E"/>
    <w:rsid w:val="004C7D08"/>
    <w:rsid w:val="004E104C"/>
    <w:rsid w:val="005043F4"/>
    <w:rsid w:val="00517536"/>
    <w:rsid w:val="00521396"/>
    <w:rsid w:val="00523CEB"/>
    <w:rsid w:val="00537027"/>
    <w:rsid w:val="005449A3"/>
    <w:rsid w:val="0054770F"/>
    <w:rsid w:val="005541BD"/>
    <w:rsid w:val="00560DC9"/>
    <w:rsid w:val="00563F6E"/>
    <w:rsid w:val="00566193"/>
    <w:rsid w:val="0057255A"/>
    <w:rsid w:val="005738B9"/>
    <w:rsid w:val="00585BE8"/>
    <w:rsid w:val="0059799C"/>
    <w:rsid w:val="005B0AAE"/>
    <w:rsid w:val="005F4CAC"/>
    <w:rsid w:val="006142BD"/>
    <w:rsid w:val="0062168A"/>
    <w:rsid w:val="00624D8C"/>
    <w:rsid w:val="00641FCE"/>
    <w:rsid w:val="00642995"/>
    <w:rsid w:val="0064423E"/>
    <w:rsid w:val="0064534D"/>
    <w:rsid w:val="00667C09"/>
    <w:rsid w:val="00671672"/>
    <w:rsid w:val="00684E60"/>
    <w:rsid w:val="00685E57"/>
    <w:rsid w:val="00696BF7"/>
    <w:rsid w:val="006A46D4"/>
    <w:rsid w:val="006F35DD"/>
    <w:rsid w:val="006F7E64"/>
    <w:rsid w:val="007064AD"/>
    <w:rsid w:val="00711F0E"/>
    <w:rsid w:val="0071580E"/>
    <w:rsid w:val="00735F2B"/>
    <w:rsid w:val="00737052"/>
    <w:rsid w:val="007402ED"/>
    <w:rsid w:val="00740C8F"/>
    <w:rsid w:val="007420F0"/>
    <w:rsid w:val="00761CB6"/>
    <w:rsid w:val="007628E8"/>
    <w:rsid w:val="007640A8"/>
    <w:rsid w:val="00782CA7"/>
    <w:rsid w:val="0079294F"/>
    <w:rsid w:val="007934AA"/>
    <w:rsid w:val="00796879"/>
    <w:rsid w:val="007A3AA1"/>
    <w:rsid w:val="007D3F0C"/>
    <w:rsid w:val="007D4CB9"/>
    <w:rsid w:val="00800391"/>
    <w:rsid w:val="00801D9C"/>
    <w:rsid w:val="0080308C"/>
    <w:rsid w:val="00803EF8"/>
    <w:rsid w:val="00831B0A"/>
    <w:rsid w:val="00833F38"/>
    <w:rsid w:val="00835A40"/>
    <w:rsid w:val="00836DB5"/>
    <w:rsid w:val="00843948"/>
    <w:rsid w:val="008445CA"/>
    <w:rsid w:val="00857D17"/>
    <w:rsid w:val="0087432B"/>
    <w:rsid w:val="0087491A"/>
    <w:rsid w:val="00874F75"/>
    <w:rsid w:val="008A5465"/>
    <w:rsid w:val="008A5BE4"/>
    <w:rsid w:val="008A6611"/>
    <w:rsid w:val="008B0CC7"/>
    <w:rsid w:val="008C274D"/>
    <w:rsid w:val="008C3217"/>
    <w:rsid w:val="008D45B3"/>
    <w:rsid w:val="008E0A5E"/>
    <w:rsid w:val="008E4510"/>
    <w:rsid w:val="00902CA0"/>
    <w:rsid w:val="00925F16"/>
    <w:rsid w:val="00930DA9"/>
    <w:rsid w:val="0094085D"/>
    <w:rsid w:val="00942A48"/>
    <w:rsid w:val="0095055A"/>
    <w:rsid w:val="00955CC6"/>
    <w:rsid w:val="00961897"/>
    <w:rsid w:val="00965C96"/>
    <w:rsid w:val="0099417E"/>
    <w:rsid w:val="00996058"/>
    <w:rsid w:val="009B6156"/>
    <w:rsid w:val="009F626D"/>
    <w:rsid w:val="00A0683B"/>
    <w:rsid w:val="00A15D44"/>
    <w:rsid w:val="00A37D1F"/>
    <w:rsid w:val="00A4127E"/>
    <w:rsid w:val="00A42E8C"/>
    <w:rsid w:val="00A466B1"/>
    <w:rsid w:val="00A52AD7"/>
    <w:rsid w:val="00A53152"/>
    <w:rsid w:val="00A71715"/>
    <w:rsid w:val="00A71787"/>
    <w:rsid w:val="00A80C40"/>
    <w:rsid w:val="00AA0A11"/>
    <w:rsid w:val="00AB109B"/>
    <w:rsid w:val="00AB1F12"/>
    <w:rsid w:val="00AD796F"/>
    <w:rsid w:val="00AF05F9"/>
    <w:rsid w:val="00AF3EC3"/>
    <w:rsid w:val="00B0051A"/>
    <w:rsid w:val="00B0386C"/>
    <w:rsid w:val="00B2363E"/>
    <w:rsid w:val="00B379CF"/>
    <w:rsid w:val="00B37A2D"/>
    <w:rsid w:val="00B52403"/>
    <w:rsid w:val="00B666EE"/>
    <w:rsid w:val="00B8155A"/>
    <w:rsid w:val="00B81A86"/>
    <w:rsid w:val="00B84B7F"/>
    <w:rsid w:val="00B92A85"/>
    <w:rsid w:val="00BA2A35"/>
    <w:rsid w:val="00BE0728"/>
    <w:rsid w:val="00BE24FD"/>
    <w:rsid w:val="00BE57EA"/>
    <w:rsid w:val="00BF6AA6"/>
    <w:rsid w:val="00C03875"/>
    <w:rsid w:val="00C074A2"/>
    <w:rsid w:val="00C23CFD"/>
    <w:rsid w:val="00C3786B"/>
    <w:rsid w:val="00C42FD8"/>
    <w:rsid w:val="00C44B2A"/>
    <w:rsid w:val="00C46847"/>
    <w:rsid w:val="00C84540"/>
    <w:rsid w:val="00C9298F"/>
    <w:rsid w:val="00CB09D3"/>
    <w:rsid w:val="00CC37A5"/>
    <w:rsid w:val="00CC78DD"/>
    <w:rsid w:val="00CD6F2E"/>
    <w:rsid w:val="00CE0438"/>
    <w:rsid w:val="00CF0550"/>
    <w:rsid w:val="00CF1C32"/>
    <w:rsid w:val="00CF4487"/>
    <w:rsid w:val="00CF5575"/>
    <w:rsid w:val="00CF71D3"/>
    <w:rsid w:val="00D00FF3"/>
    <w:rsid w:val="00D0255A"/>
    <w:rsid w:val="00D115F5"/>
    <w:rsid w:val="00D11A34"/>
    <w:rsid w:val="00D338D1"/>
    <w:rsid w:val="00D349D2"/>
    <w:rsid w:val="00D37F5E"/>
    <w:rsid w:val="00D4000F"/>
    <w:rsid w:val="00D44FEF"/>
    <w:rsid w:val="00D55F64"/>
    <w:rsid w:val="00D63DCC"/>
    <w:rsid w:val="00D67BE4"/>
    <w:rsid w:val="00D72C26"/>
    <w:rsid w:val="00D973C2"/>
    <w:rsid w:val="00D9782B"/>
    <w:rsid w:val="00D97E31"/>
    <w:rsid w:val="00DA6A0F"/>
    <w:rsid w:val="00DB4CFB"/>
    <w:rsid w:val="00DC75EE"/>
    <w:rsid w:val="00DD1669"/>
    <w:rsid w:val="00DD6890"/>
    <w:rsid w:val="00DD78B6"/>
    <w:rsid w:val="00DF2548"/>
    <w:rsid w:val="00E02C4D"/>
    <w:rsid w:val="00E04244"/>
    <w:rsid w:val="00E07A36"/>
    <w:rsid w:val="00E1168C"/>
    <w:rsid w:val="00E12284"/>
    <w:rsid w:val="00E14F8E"/>
    <w:rsid w:val="00E2487C"/>
    <w:rsid w:val="00E24BBF"/>
    <w:rsid w:val="00E30432"/>
    <w:rsid w:val="00E32C05"/>
    <w:rsid w:val="00E41FE4"/>
    <w:rsid w:val="00E653C4"/>
    <w:rsid w:val="00E66414"/>
    <w:rsid w:val="00E73CE7"/>
    <w:rsid w:val="00E77904"/>
    <w:rsid w:val="00E851A1"/>
    <w:rsid w:val="00E943C0"/>
    <w:rsid w:val="00EA413B"/>
    <w:rsid w:val="00ED527F"/>
    <w:rsid w:val="00EE3622"/>
    <w:rsid w:val="00EE44DD"/>
    <w:rsid w:val="00EE5F9D"/>
    <w:rsid w:val="00F1679C"/>
    <w:rsid w:val="00F217D5"/>
    <w:rsid w:val="00F32535"/>
    <w:rsid w:val="00F36656"/>
    <w:rsid w:val="00F41AEC"/>
    <w:rsid w:val="00F46DA8"/>
    <w:rsid w:val="00F6010B"/>
    <w:rsid w:val="00F65E89"/>
    <w:rsid w:val="00F82558"/>
    <w:rsid w:val="00F82FB3"/>
    <w:rsid w:val="00F93CA0"/>
    <w:rsid w:val="00FB1DCF"/>
    <w:rsid w:val="00FD4C5D"/>
    <w:rsid w:val="00FE2F4C"/>
    <w:rsid w:val="00FF7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0F9F"/>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paragraph" w:styleId="Heading3">
    <w:name w:val="heading 3"/>
    <w:basedOn w:val="Normal"/>
    <w:link w:val="Heading3Char"/>
    <w:uiPriority w:val="9"/>
    <w:qFormat/>
    <w:rsid w:val="004B0F9F"/>
    <w:pPr>
      <w:spacing w:before="308" w:after="154" w:line="240" w:lineRule="auto"/>
      <w:outlineLvl w:val="2"/>
    </w:pPr>
    <w:rPr>
      <w:rFonts w:ascii="Times New Roman" w:eastAsia="Times New Roman" w:hAnsi="Times New Roman" w:cs="Times New Roman"/>
      <w:b/>
      <w:bCs/>
      <w:color w:val="724128"/>
      <w:sz w:val="26"/>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 Text"/>
    <w:basedOn w:val="Normal"/>
    <w:rsid w:val="00114E74"/>
    <w:pPr>
      <w:spacing w:before="60" w:after="60" w:line="240" w:lineRule="auto"/>
    </w:pPr>
    <w:rPr>
      <w:rFonts w:ascii="Arial" w:eastAsia="Times New Roman" w:hAnsi="Arial" w:cs="Times New Roman"/>
      <w:sz w:val="19"/>
      <w:szCs w:val="20"/>
      <w:lang w:val="en-US"/>
    </w:rPr>
  </w:style>
  <w:style w:type="paragraph" w:styleId="ListParagraph">
    <w:name w:val="List Paragraph"/>
    <w:basedOn w:val="Normal"/>
    <w:uiPriority w:val="34"/>
    <w:qFormat/>
    <w:rsid w:val="005F4CAC"/>
    <w:pPr>
      <w:ind w:left="720"/>
      <w:contextualSpacing/>
    </w:pPr>
  </w:style>
  <w:style w:type="paragraph" w:styleId="NormalWeb">
    <w:name w:val="Normal (Web)"/>
    <w:basedOn w:val="Normal"/>
    <w:uiPriority w:val="99"/>
    <w:semiHidden/>
    <w:unhideWhenUsed/>
    <w:rsid w:val="00A71787"/>
    <w:pPr>
      <w:spacing w:after="432"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71787"/>
    <w:rPr>
      <w:i/>
      <w:iCs/>
    </w:rPr>
  </w:style>
  <w:style w:type="paragraph" w:styleId="BalloonText">
    <w:name w:val="Balloon Text"/>
    <w:basedOn w:val="Normal"/>
    <w:link w:val="BalloonTextChar"/>
    <w:uiPriority w:val="99"/>
    <w:semiHidden/>
    <w:unhideWhenUsed/>
    <w:rsid w:val="00C84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540"/>
    <w:rPr>
      <w:rFonts w:ascii="Tahoma" w:hAnsi="Tahoma" w:cs="Tahoma"/>
      <w:sz w:val="16"/>
      <w:szCs w:val="16"/>
    </w:rPr>
  </w:style>
  <w:style w:type="character" w:customStyle="1" w:styleId="Heading1Char">
    <w:name w:val="Heading 1 Char"/>
    <w:basedOn w:val="DefaultParagraphFont"/>
    <w:link w:val="Heading1"/>
    <w:uiPriority w:val="9"/>
    <w:rsid w:val="004B0F9F"/>
    <w:rPr>
      <w:rFonts w:ascii="Times New Roman" w:eastAsia="Times New Roman" w:hAnsi="Times New Roman" w:cs="Times New Roman"/>
      <w:b/>
      <w:bCs/>
      <w:color w:val="000000"/>
      <w:kern w:val="36"/>
      <w:sz w:val="33"/>
      <w:szCs w:val="33"/>
      <w:lang w:eastAsia="en-GB"/>
    </w:rPr>
  </w:style>
  <w:style w:type="character" w:customStyle="1" w:styleId="Heading3Char">
    <w:name w:val="Heading 3 Char"/>
    <w:basedOn w:val="DefaultParagraphFont"/>
    <w:link w:val="Heading3"/>
    <w:uiPriority w:val="9"/>
    <w:rsid w:val="004B0F9F"/>
    <w:rPr>
      <w:rFonts w:ascii="Times New Roman" w:eastAsia="Times New Roman" w:hAnsi="Times New Roman" w:cs="Times New Roman"/>
      <w:b/>
      <w:bCs/>
      <w:color w:val="724128"/>
      <w:sz w:val="26"/>
      <w:szCs w:val="26"/>
      <w:lang w:eastAsia="en-GB"/>
    </w:rPr>
  </w:style>
  <w:style w:type="character" w:customStyle="1" w:styleId="highlight2">
    <w:name w:val="highlight2"/>
    <w:basedOn w:val="DefaultParagraphFont"/>
    <w:rsid w:val="004B0F9F"/>
  </w:style>
  <w:style w:type="character" w:customStyle="1" w:styleId="ui-ncbitoggler-master-text">
    <w:name w:val="ui-ncbitoggler-master-text"/>
    <w:basedOn w:val="DefaultParagraphFont"/>
    <w:rsid w:val="004B0F9F"/>
  </w:style>
  <w:style w:type="character" w:customStyle="1" w:styleId="jrnl">
    <w:name w:val="jrnl"/>
    <w:basedOn w:val="DefaultParagraphFont"/>
    <w:rsid w:val="007064AD"/>
  </w:style>
  <w:style w:type="character" w:styleId="CommentReference">
    <w:name w:val="annotation reference"/>
    <w:basedOn w:val="DefaultParagraphFont"/>
    <w:uiPriority w:val="99"/>
    <w:semiHidden/>
    <w:unhideWhenUsed/>
    <w:rsid w:val="00F82558"/>
    <w:rPr>
      <w:sz w:val="16"/>
      <w:szCs w:val="16"/>
    </w:rPr>
  </w:style>
  <w:style w:type="paragraph" w:styleId="CommentText">
    <w:name w:val="annotation text"/>
    <w:basedOn w:val="Normal"/>
    <w:link w:val="CommentTextChar"/>
    <w:uiPriority w:val="99"/>
    <w:semiHidden/>
    <w:unhideWhenUsed/>
    <w:rsid w:val="00F82558"/>
    <w:pPr>
      <w:spacing w:line="240" w:lineRule="auto"/>
    </w:pPr>
    <w:rPr>
      <w:sz w:val="20"/>
      <w:szCs w:val="20"/>
    </w:rPr>
  </w:style>
  <w:style w:type="character" w:customStyle="1" w:styleId="CommentTextChar">
    <w:name w:val="Comment Text Char"/>
    <w:basedOn w:val="DefaultParagraphFont"/>
    <w:link w:val="CommentText"/>
    <w:uiPriority w:val="99"/>
    <w:semiHidden/>
    <w:rsid w:val="00F82558"/>
    <w:rPr>
      <w:sz w:val="20"/>
      <w:szCs w:val="20"/>
    </w:rPr>
  </w:style>
  <w:style w:type="paragraph" w:styleId="CommentSubject">
    <w:name w:val="annotation subject"/>
    <w:basedOn w:val="CommentText"/>
    <w:next w:val="CommentText"/>
    <w:link w:val="CommentSubjectChar"/>
    <w:uiPriority w:val="99"/>
    <w:semiHidden/>
    <w:unhideWhenUsed/>
    <w:rsid w:val="00D973C2"/>
    <w:rPr>
      <w:b/>
      <w:bCs/>
    </w:rPr>
  </w:style>
  <w:style w:type="character" w:customStyle="1" w:styleId="CommentSubjectChar">
    <w:name w:val="Comment Subject Char"/>
    <w:basedOn w:val="CommentTextChar"/>
    <w:link w:val="CommentSubject"/>
    <w:uiPriority w:val="99"/>
    <w:semiHidden/>
    <w:rsid w:val="00D973C2"/>
    <w:rPr>
      <w:b/>
      <w:bCs/>
      <w:sz w:val="20"/>
      <w:szCs w:val="20"/>
    </w:rPr>
  </w:style>
  <w:style w:type="character" w:styleId="Hyperlink">
    <w:name w:val="Hyperlink"/>
    <w:basedOn w:val="DefaultParagraphFont"/>
    <w:uiPriority w:val="99"/>
    <w:semiHidden/>
    <w:unhideWhenUsed/>
    <w:rsid w:val="007934AA"/>
    <w:rPr>
      <w:color w:val="0000FF"/>
      <w:u w:val="single"/>
    </w:rPr>
  </w:style>
  <w:style w:type="character" w:customStyle="1" w:styleId="mixed-citation">
    <w:name w:val="mixed-citation"/>
    <w:basedOn w:val="DefaultParagraphFont"/>
    <w:rsid w:val="00E851A1"/>
  </w:style>
  <w:style w:type="character" w:customStyle="1" w:styleId="ref-journal">
    <w:name w:val="ref-journal"/>
    <w:basedOn w:val="DefaultParagraphFont"/>
    <w:rsid w:val="00E851A1"/>
  </w:style>
  <w:style w:type="character" w:customStyle="1" w:styleId="ref-vol">
    <w:name w:val="ref-vol"/>
    <w:basedOn w:val="DefaultParagraphFont"/>
    <w:rsid w:val="00E851A1"/>
  </w:style>
  <w:style w:type="paragraph" w:customStyle="1" w:styleId="EndNoteBibliographyTitle">
    <w:name w:val="EndNote Bibliography Title"/>
    <w:basedOn w:val="Normal"/>
    <w:link w:val="EndNoteBibliographyTitleChar"/>
    <w:rsid w:val="008445CA"/>
    <w:pPr>
      <w:spacing w:after="0"/>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8445CA"/>
    <w:rPr>
      <w:rFonts w:ascii="Cambria" w:hAnsi="Cambria"/>
      <w:noProof/>
      <w:lang w:val="en-US"/>
    </w:rPr>
  </w:style>
  <w:style w:type="paragraph" w:customStyle="1" w:styleId="EndNoteBibliography">
    <w:name w:val="EndNote Bibliography"/>
    <w:basedOn w:val="Normal"/>
    <w:link w:val="EndNoteBibliographyChar"/>
    <w:rsid w:val="008445CA"/>
    <w:pPr>
      <w:spacing w:line="240" w:lineRule="auto"/>
    </w:pPr>
    <w:rPr>
      <w:rFonts w:ascii="Cambria" w:hAnsi="Cambria"/>
      <w:noProof/>
      <w:lang w:val="en-US"/>
    </w:rPr>
  </w:style>
  <w:style w:type="character" w:customStyle="1" w:styleId="EndNoteBibliographyChar">
    <w:name w:val="EndNote Bibliography Char"/>
    <w:basedOn w:val="DefaultParagraphFont"/>
    <w:link w:val="EndNoteBibliography"/>
    <w:rsid w:val="008445CA"/>
    <w:rPr>
      <w:rFonts w:ascii="Cambria" w:hAnsi="Cambria"/>
      <w:noProof/>
      <w:lang w:val="en-US"/>
    </w:rPr>
  </w:style>
  <w:style w:type="paragraph" w:styleId="Header">
    <w:name w:val="header"/>
    <w:basedOn w:val="Normal"/>
    <w:link w:val="HeaderChar"/>
    <w:uiPriority w:val="99"/>
    <w:unhideWhenUsed/>
    <w:rsid w:val="00231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828"/>
  </w:style>
  <w:style w:type="paragraph" w:styleId="Footer">
    <w:name w:val="footer"/>
    <w:basedOn w:val="Normal"/>
    <w:link w:val="FooterChar"/>
    <w:uiPriority w:val="99"/>
    <w:unhideWhenUsed/>
    <w:rsid w:val="00231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828"/>
  </w:style>
  <w:style w:type="character" w:customStyle="1" w:styleId="apple-converted-space">
    <w:name w:val="apple-converted-space"/>
    <w:basedOn w:val="DefaultParagraphFont"/>
    <w:rsid w:val="00642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0F9F"/>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paragraph" w:styleId="Heading3">
    <w:name w:val="heading 3"/>
    <w:basedOn w:val="Normal"/>
    <w:link w:val="Heading3Char"/>
    <w:uiPriority w:val="9"/>
    <w:qFormat/>
    <w:rsid w:val="004B0F9F"/>
    <w:pPr>
      <w:spacing w:before="308" w:after="154" w:line="240" w:lineRule="auto"/>
      <w:outlineLvl w:val="2"/>
    </w:pPr>
    <w:rPr>
      <w:rFonts w:ascii="Times New Roman" w:eastAsia="Times New Roman" w:hAnsi="Times New Roman" w:cs="Times New Roman"/>
      <w:b/>
      <w:bCs/>
      <w:color w:val="724128"/>
      <w:sz w:val="26"/>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 Text"/>
    <w:basedOn w:val="Normal"/>
    <w:rsid w:val="00114E74"/>
    <w:pPr>
      <w:spacing w:before="60" w:after="60" w:line="240" w:lineRule="auto"/>
    </w:pPr>
    <w:rPr>
      <w:rFonts w:ascii="Arial" w:eastAsia="Times New Roman" w:hAnsi="Arial" w:cs="Times New Roman"/>
      <w:sz w:val="19"/>
      <w:szCs w:val="20"/>
      <w:lang w:val="en-US"/>
    </w:rPr>
  </w:style>
  <w:style w:type="paragraph" w:styleId="ListParagraph">
    <w:name w:val="List Paragraph"/>
    <w:basedOn w:val="Normal"/>
    <w:uiPriority w:val="34"/>
    <w:qFormat/>
    <w:rsid w:val="005F4CAC"/>
    <w:pPr>
      <w:ind w:left="720"/>
      <w:contextualSpacing/>
    </w:pPr>
  </w:style>
  <w:style w:type="paragraph" w:styleId="NormalWeb">
    <w:name w:val="Normal (Web)"/>
    <w:basedOn w:val="Normal"/>
    <w:uiPriority w:val="99"/>
    <w:semiHidden/>
    <w:unhideWhenUsed/>
    <w:rsid w:val="00A71787"/>
    <w:pPr>
      <w:spacing w:after="432"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71787"/>
    <w:rPr>
      <w:i/>
      <w:iCs/>
    </w:rPr>
  </w:style>
  <w:style w:type="paragraph" w:styleId="BalloonText">
    <w:name w:val="Balloon Text"/>
    <w:basedOn w:val="Normal"/>
    <w:link w:val="BalloonTextChar"/>
    <w:uiPriority w:val="99"/>
    <w:semiHidden/>
    <w:unhideWhenUsed/>
    <w:rsid w:val="00C84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540"/>
    <w:rPr>
      <w:rFonts w:ascii="Tahoma" w:hAnsi="Tahoma" w:cs="Tahoma"/>
      <w:sz w:val="16"/>
      <w:szCs w:val="16"/>
    </w:rPr>
  </w:style>
  <w:style w:type="character" w:customStyle="1" w:styleId="Heading1Char">
    <w:name w:val="Heading 1 Char"/>
    <w:basedOn w:val="DefaultParagraphFont"/>
    <w:link w:val="Heading1"/>
    <w:uiPriority w:val="9"/>
    <w:rsid w:val="004B0F9F"/>
    <w:rPr>
      <w:rFonts w:ascii="Times New Roman" w:eastAsia="Times New Roman" w:hAnsi="Times New Roman" w:cs="Times New Roman"/>
      <w:b/>
      <w:bCs/>
      <w:color w:val="000000"/>
      <w:kern w:val="36"/>
      <w:sz w:val="33"/>
      <w:szCs w:val="33"/>
      <w:lang w:eastAsia="en-GB"/>
    </w:rPr>
  </w:style>
  <w:style w:type="character" w:customStyle="1" w:styleId="Heading3Char">
    <w:name w:val="Heading 3 Char"/>
    <w:basedOn w:val="DefaultParagraphFont"/>
    <w:link w:val="Heading3"/>
    <w:uiPriority w:val="9"/>
    <w:rsid w:val="004B0F9F"/>
    <w:rPr>
      <w:rFonts w:ascii="Times New Roman" w:eastAsia="Times New Roman" w:hAnsi="Times New Roman" w:cs="Times New Roman"/>
      <w:b/>
      <w:bCs/>
      <w:color w:val="724128"/>
      <w:sz w:val="26"/>
      <w:szCs w:val="26"/>
      <w:lang w:eastAsia="en-GB"/>
    </w:rPr>
  </w:style>
  <w:style w:type="character" w:customStyle="1" w:styleId="highlight2">
    <w:name w:val="highlight2"/>
    <w:basedOn w:val="DefaultParagraphFont"/>
    <w:rsid w:val="004B0F9F"/>
  </w:style>
  <w:style w:type="character" w:customStyle="1" w:styleId="ui-ncbitoggler-master-text">
    <w:name w:val="ui-ncbitoggler-master-text"/>
    <w:basedOn w:val="DefaultParagraphFont"/>
    <w:rsid w:val="004B0F9F"/>
  </w:style>
  <w:style w:type="character" w:customStyle="1" w:styleId="jrnl">
    <w:name w:val="jrnl"/>
    <w:basedOn w:val="DefaultParagraphFont"/>
    <w:rsid w:val="007064AD"/>
  </w:style>
  <w:style w:type="character" w:styleId="CommentReference">
    <w:name w:val="annotation reference"/>
    <w:basedOn w:val="DefaultParagraphFont"/>
    <w:uiPriority w:val="99"/>
    <w:semiHidden/>
    <w:unhideWhenUsed/>
    <w:rsid w:val="00F82558"/>
    <w:rPr>
      <w:sz w:val="16"/>
      <w:szCs w:val="16"/>
    </w:rPr>
  </w:style>
  <w:style w:type="paragraph" w:styleId="CommentText">
    <w:name w:val="annotation text"/>
    <w:basedOn w:val="Normal"/>
    <w:link w:val="CommentTextChar"/>
    <w:uiPriority w:val="99"/>
    <w:semiHidden/>
    <w:unhideWhenUsed/>
    <w:rsid w:val="00F82558"/>
    <w:pPr>
      <w:spacing w:line="240" w:lineRule="auto"/>
    </w:pPr>
    <w:rPr>
      <w:sz w:val="20"/>
      <w:szCs w:val="20"/>
    </w:rPr>
  </w:style>
  <w:style w:type="character" w:customStyle="1" w:styleId="CommentTextChar">
    <w:name w:val="Comment Text Char"/>
    <w:basedOn w:val="DefaultParagraphFont"/>
    <w:link w:val="CommentText"/>
    <w:uiPriority w:val="99"/>
    <w:semiHidden/>
    <w:rsid w:val="00F82558"/>
    <w:rPr>
      <w:sz w:val="20"/>
      <w:szCs w:val="20"/>
    </w:rPr>
  </w:style>
  <w:style w:type="paragraph" w:styleId="CommentSubject">
    <w:name w:val="annotation subject"/>
    <w:basedOn w:val="CommentText"/>
    <w:next w:val="CommentText"/>
    <w:link w:val="CommentSubjectChar"/>
    <w:uiPriority w:val="99"/>
    <w:semiHidden/>
    <w:unhideWhenUsed/>
    <w:rsid w:val="00D973C2"/>
    <w:rPr>
      <w:b/>
      <w:bCs/>
    </w:rPr>
  </w:style>
  <w:style w:type="character" w:customStyle="1" w:styleId="CommentSubjectChar">
    <w:name w:val="Comment Subject Char"/>
    <w:basedOn w:val="CommentTextChar"/>
    <w:link w:val="CommentSubject"/>
    <w:uiPriority w:val="99"/>
    <w:semiHidden/>
    <w:rsid w:val="00D973C2"/>
    <w:rPr>
      <w:b/>
      <w:bCs/>
      <w:sz w:val="20"/>
      <w:szCs w:val="20"/>
    </w:rPr>
  </w:style>
  <w:style w:type="character" w:styleId="Hyperlink">
    <w:name w:val="Hyperlink"/>
    <w:basedOn w:val="DefaultParagraphFont"/>
    <w:uiPriority w:val="99"/>
    <w:semiHidden/>
    <w:unhideWhenUsed/>
    <w:rsid w:val="007934AA"/>
    <w:rPr>
      <w:color w:val="0000FF"/>
      <w:u w:val="single"/>
    </w:rPr>
  </w:style>
  <w:style w:type="character" w:customStyle="1" w:styleId="mixed-citation">
    <w:name w:val="mixed-citation"/>
    <w:basedOn w:val="DefaultParagraphFont"/>
    <w:rsid w:val="00E851A1"/>
  </w:style>
  <w:style w:type="character" w:customStyle="1" w:styleId="ref-journal">
    <w:name w:val="ref-journal"/>
    <w:basedOn w:val="DefaultParagraphFont"/>
    <w:rsid w:val="00E851A1"/>
  </w:style>
  <w:style w:type="character" w:customStyle="1" w:styleId="ref-vol">
    <w:name w:val="ref-vol"/>
    <w:basedOn w:val="DefaultParagraphFont"/>
    <w:rsid w:val="00E851A1"/>
  </w:style>
  <w:style w:type="paragraph" w:customStyle="1" w:styleId="EndNoteBibliographyTitle">
    <w:name w:val="EndNote Bibliography Title"/>
    <w:basedOn w:val="Normal"/>
    <w:link w:val="EndNoteBibliographyTitleChar"/>
    <w:rsid w:val="008445CA"/>
    <w:pPr>
      <w:spacing w:after="0"/>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8445CA"/>
    <w:rPr>
      <w:rFonts w:ascii="Cambria" w:hAnsi="Cambria"/>
      <w:noProof/>
      <w:lang w:val="en-US"/>
    </w:rPr>
  </w:style>
  <w:style w:type="paragraph" w:customStyle="1" w:styleId="EndNoteBibliography">
    <w:name w:val="EndNote Bibliography"/>
    <w:basedOn w:val="Normal"/>
    <w:link w:val="EndNoteBibliographyChar"/>
    <w:rsid w:val="008445CA"/>
    <w:pPr>
      <w:spacing w:line="240" w:lineRule="auto"/>
    </w:pPr>
    <w:rPr>
      <w:rFonts w:ascii="Cambria" w:hAnsi="Cambria"/>
      <w:noProof/>
      <w:lang w:val="en-US"/>
    </w:rPr>
  </w:style>
  <w:style w:type="character" w:customStyle="1" w:styleId="EndNoteBibliographyChar">
    <w:name w:val="EndNote Bibliography Char"/>
    <w:basedOn w:val="DefaultParagraphFont"/>
    <w:link w:val="EndNoteBibliography"/>
    <w:rsid w:val="008445CA"/>
    <w:rPr>
      <w:rFonts w:ascii="Cambria" w:hAnsi="Cambria"/>
      <w:noProof/>
      <w:lang w:val="en-US"/>
    </w:rPr>
  </w:style>
  <w:style w:type="paragraph" w:styleId="Header">
    <w:name w:val="header"/>
    <w:basedOn w:val="Normal"/>
    <w:link w:val="HeaderChar"/>
    <w:uiPriority w:val="99"/>
    <w:unhideWhenUsed/>
    <w:rsid w:val="00231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828"/>
  </w:style>
  <w:style w:type="paragraph" w:styleId="Footer">
    <w:name w:val="footer"/>
    <w:basedOn w:val="Normal"/>
    <w:link w:val="FooterChar"/>
    <w:uiPriority w:val="99"/>
    <w:unhideWhenUsed/>
    <w:rsid w:val="00231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828"/>
  </w:style>
  <w:style w:type="character" w:customStyle="1" w:styleId="apple-converted-space">
    <w:name w:val="apple-converted-space"/>
    <w:basedOn w:val="DefaultParagraphFont"/>
    <w:rsid w:val="0064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1329">
      <w:bodyDiv w:val="1"/>
      <w:marLeft w:val="0"/>
      <w:marRight w:val="0"/>
      <w:marTop w:val="0"/>
      <w:marBottom w:val="0"/>
      <w:divBdr>
        <w:top w:val="none" w:sz="0" w:space="0" w:color="auto"/>
        <w:left w:val="none" w:sz="0" w:space="0" w:color="auto"/>
        <w:bottom w:val="none" w:sz="0" w:space="0" w:color="auto"/>
        <w:right w:val="none" w:sz="0" w:space="0" w:color="auto"/>
      </w:divBdr>
    </w:div>
    <w:div w:id="61220693">
      <w:bodyDiv w:val="1"/>
      <w:marLeft w:val="0"/>
      <w:marRight w:val="0"/>
      <w:marTop w:val="0"/>
      <w:marBottom w:val="0"/>
      <w:divBdr>
        <w:top w:val="none" w:sz="0" w:space="0" w:color="auto"/>
        <w:left w:val="none" w:sz="0" w:space="0" w:color="auto"/>
        <w:bottom w:val="none" w:sz="0" w:space="0" w:color="auto"/>
        <w:right w:val="none" w:sz="0" w:space="0" w:color="auto"/>
      </w:divBdr>
    </w:div>
    <w:div w:id="649948073">
      <w:bodyDiv w:val="1"/>
      <w:marLeft w:val="0"/>
      <w:marRight w:val="0"/>
      <w:marTop w:val="0"/>
      <w:marBottom w:val="0"/>
      <w:divBdr>
        <w:top w:val="none" w:sz="0" w:space="0" w:color="auto"/>
        <w:left w:val="none" w:sz="0" w:space="0" w:color="auto"/>
        <w:bottom w:val="none" w:sz="0" w:space="0" w:color="auto"/>
        <w:right w:val="none" w:sz="0" w:space="0" w:color="auto"/>
      </w:divBdr>
      <w:divsChild>
        <w:div w:id="699672126">
          <w:marLeft w:val="0"/>
          <w:marRight w:val="1"/>
          <w:marTop w:val="0"/>
          <w:marBottom w:val="0"/>
          <w:divBdr>
            <w:top w:val="none" w:sz="0" w:space="0" w:color="auto"/>
            <w:left w:val="none" w:sz="0" w:space="0" w:color="auto"/>
            <w:bottom w:val="none" w:sz="0" w:space="0" w:color="auto"/>
            <w:right w:val="none" w:sz="0" w:space="0" w:color="auto"/>
          </w:divBdr>
          <w:divsChild>
            <w:div w:id="1783572190">
              <w:marLeft w:val="0"/>
              <w:marRight w:val="0"/>
              <w:marTop w:val="0"/>
              <w:marBottom w:val="0"/>
              <w:divBdr>
                <w:top w:val="none" w:sz="0" w:space="0" w:color="auto"/>
                <w:left w:val="none" w:sz="0" w:space="0" w:color="auto"/>
                <w:bottom w:val="none" w:sz="0" w:space="0" w:color="auto"/>
                <w:right w:val="none" w:sz="0" w:space="0" w:color="auto"/>
              </w:divBdr>
              <w:divsChild>
                <w:div w:id="1372342730">
                  <w:marLeft w:val="0"/>
                  <w:marRight w:val="1"/>
                  <w:marTop w:val="0"/>
                  <w:marBottom w:val="0"/>
                  <w:divBdr>
                    <w:top w:val="none" w:sz="0" w:space="0" w:color="auto"/>
                    <w:left w:val="none" w:sz="0" w:space="0" w:color="auto"/>
                    <w:bottom w:val="none" w:sz="0" w:space="0" w:color="auto"/>
                    <w:right w:val="none" w:sz="0" w:space="0" w:color="auto"/>
                  </w:divBdr>
                  <w:divsChild>
                    <w:div w:id="287932324">
                      <w:marLeft w:val="0"/>
                      <w:marRight w:val="0"/>
                      <w:marTop w:val="0"/>
                      <w:marBottom w:val="0"/>
                      <w:divBdr>
                        <w:top w:val="none" w:sz="0" w:space="0" w:color="auto"/>
                        <w:left w:val="none" w:sz="0" w:space="0" w:color="auto"/>
                        <w:bottom w:val="none" w:sz="0" w:space="0" w:color="auto"/>
                        <w:right w:val="none" w:sz="0" w:space="0" w:color="auto"/>
                      </w:divBdr>
                      <w:divsChild>
                        <w:div w:id="1701204424">
                          <w:marLeft w:val="0"/>
                          <w:marRight w:val="0"/>
                          <w:marTop w:val="0"/>
                          <w:marBottom w:val="0"/>
                          <w:divBdr>
                            <w:top w:val="none" w:sz="0" w:space="0" w:color="auto"/>
                            <w:left w:val="none" w:sz="0" w:space="0" w:color="auto"/>
                            <w:bottom w:val="none" w:sz="0" w:space="0" w:color="auto"/>
                            <w:right w:val="none" w:sz="0" w:space="0" w:color="auto"/>
                          </w:divBdr>
                          <w:divsChild>
                            <w:div w:id="296112046">
                              <w:marLeft w:val="0"/>
                              <w:marRight w:val="0"/>
                              <w:marTop w:val="120"/>
                              <w:marBottom w:val="360"/>
                              <w:divBdr>
                                <w:top w:val="none" w:sz="0" w:space="0" w:color="auto"/>
                                <w:left w:val="none" w:sz="0" w:space="0" w:color="auto"/>
                                <w:bottom w:val="none" w:sz="0" w:space="0" w:color="auto"/>
                                <w:right w:val="none" w:sz="0" w:space="0" w:color="auto"/>
                              </w:divBdr>
                              <w:divsChild>
                                <w:div w:id="1740177945">
                                  <w:marLeft w:val="0"/>
                                  <w:marRight w:val="0"/>
                                  <w:marTop w:val="0"/>
                                  <w:marBottom w:val="0"/>
                                  <w:divBdr>
                                    <w:top w:val="none" w:sz="0" w:space="0" w:color="auto"/>
                                    <w:left w:val="none" w:sz="0" w:space="0" w:color="auto"/>
                                    <w:bottom w:val="none" w:sz="0" w:space="0" w:color="auto"/>
                                    <w:right w:val="none" w:sz="0" w:space="0" w:color="auto"/>
                                  </w:divBdr>
                                </w:div>
                                <w:div w:id="140317912">
                                  <w:marLeft w:val="0"/>
                                  <w:marRight w:val="0"/>
                                  <w:marTop w:val="0"/>
                                  <w:marBottom w:val="0"/>
                                  <w:divBdr>
                                    <w:top w:val="none" w:sz="0" w:space="0" w:color="auto"/>
                                    <w:left w:val="none" w:sz="0" w:space="0" w:color="auto"/>
                                    <w:bottom w:val="none" w:sz="0" w:space="0" w:color="auto"/>
                                    <w:right w:val="none" w:sz="0" w:space="0" w:color="auto"/>
                                  </w:divBdr>
                                </w:div>
                                <w:div w:id="1622297315">
                                  <w:marLeft w:val="0"/>
                                  <w:marRight w:val="0"/>
                                  <w:marTop w:val="0"/>
                                  <w:marBottom w:val="0"/>
                                  <w:divBdr>
                                    <w:top w:val="none" w:sz="0" w:space="0" w:color="auto"/>
                                    <w:left w:val="none" w:sz="0" w:space="0" w:color="auto"/>
                                    <w:bottom w:val="none" w:sz="0" w:space="0" w:color="auto"/>
                                    <w:right w:val="none" w:sz="0" w:space="0" w:color="auto"/>
                                  </w:divBdr>
                                  <w:divsChild>
                                    <w:div w:id="1052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308167">
      <w:bodyDiv w:val="1"/>
      <w:marLeft w:val="0"/>
      <w:marRight w:val="0"/>
      <w:marTop w:val="0"/>
      <w:marBottom w:val="0"/>
      <w:divBdr>
        <w:top w:val="none" w:sz="0" w:space="0" w:color="auto"/>
        <w:left w:val="none" w:sz="0" w:space="0" w:color="auto"/>
        <w:bottom w:val="none" w:sz="0" w:space="0" w:color="auto"/>
        <w:right w:val="none" w:sz="0" w:space="0" w:color="auto"/>
      </w:divBdr>
    </w:div>
    <w:div w:id="14311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41EFD-AB3C-4EC3-9771-75394263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9535</Words>
  <Characters>52923</Characters>
  <Application>Microsoft Office Word</Application>
  <DocSecurity>0</DocSecurity>
  <Lines>1392</Lines>
  <Paragraphs>589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Faulkner, Lee</dc:creator>
  <cp:lastModifiedBy>Naisbitt, Dean</cp:lastModifiedBy>
  <cp:revision>2</cp:revision>
  <cp:lastPrinted>2016-06-21T10:38:00Z</cp:lastPrinted>
  <dcterms:created xsi:type="dcterms:W3CDTF">2016-09-01T12:44:00Z</dcterms:created>
  <dcterms:modified xsi:type="dcterms:W3CDTF">2016-09-01T12:44:00Z</dcterms:modified>
</cp:coreProperties>
</file>