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DA33D" w14:textId="429DF3DF" w:rsidR="001C78B2" w:rsidRDefault="007532D4" w:rsidP="00FA4C9E">
      <w:pPr>
        <w:spacing w:line="480" w:lineRule="auto"/>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Tools for the</w:t>
      </w:r>
      <w:r w:rsidR="00EC2CC2">
        <w:rPr>
          <w:rFonts w:ascii="Times New Roman" w:hAnsi="Times New Roman" w:cs="Times New Roman"/>
          <w:b/>
          <w:sz w:val="28"/>
          <w:szCs w:val="28"/>
        </w:rPr>
        <w:t xml:space="preserve"> Individualiz</w:t>
      </w:r>
      <w:r w:rsidR="005F1D05">
        <w:rPr>
          <w:rFonts w:ascii="Times New Roman" w:hAnsi="Times New Roman" w:cs="Times New Roman"/>
          <w:b/>
          <w:sz w:val="28"/>
          <w:szCs w:val="28"/>
        </w:rPr>
        <w:t xml:space="preserve">ed Therapy of </w:t>
      </w:r>
      <w:proofErr w:type="spellStart"/>
      <w:r w:rsidR="00572DC9">
        <w:rPr>
          <w:rFonts w:ascii="Times New Roman" w:hAnsi="Times New Roman" w:cs="Times New Roman"/>
          <w:b/>
          <w:sz w:val="28"/>
          <w:szCs w:val="28"/>
        </w:rPr>
        <w:t>Teicoplanin</w:t>
      </w:r>
      <w:proofErr w:type="spellEnd"/>
      <w:r w:rsidR="005F1D05">
        <w:rPr>
          <w:rFonts w:ascii="Times New Roman" w:hAnsi="Times New Roman" w:cs="Times New Roman"/>
          <w:b/>
          <w:sz w:val="28"/>
          <w:szCs w:val="28"/>
        </w:rPr>
        <w:t xml:space="preserve"> </w:t>
      </w:r>
      <w:r w:rsidR="00D7158A">
        <w:rPr>
          <w:rFonts w:ascii="Times New Roman" w:hAnsi="Times New Roman" w:cs="Times New Roman"/>
          <w:b/>
          <w:sz w:val="28"/>
          <w:szCs w:val="28"/>
        </w:rPr>
        <w:t>for</w:t>
      </w:r>
      <w:r>
        <w:rPr>
          <w:rFonts w:ascii="Times New Roman" w:hAnsi="Times New Roman" w:cs="Times New Roman"/>
          <w:b/>
          <w:sz w:val="28"/>
          <w:szCs w:val="28"/>
        </w:rPr>
        <w:t xml:space="preserve"> </w:t>
      </w:r>
      <w:r w:rsidR="005F1D05">
        <w:rPr>
          <w:rFonts w:ascii="Times New Roman" w:hAnsi="Times New Roman" w:cs="Times New Roman"/>
          <w:b/>
          <w:sz w:val="28"/>
          <w:szCs w:val="28"/>
        </w:rPr>
        <w:t>N</w:t>
      </w:r>
      <w:r w:rsidR="0005159C" w:rsidRPr="00BA02DA">
        <w:rPr>
          <w:rFonts w:ascii="Times New Roman" w:hAnsi="Times New Roman" w:cs="Times New Roman"/>
          <w:b/>
          <w:sz w:val="28"/>
          <w:szCs w:val="28"/>
        </w:rPr>
        <w:t>eonates</w:t>
      </w:r>
      <w:r w:rsidR="005F1D05">
        <w:rPr>
          <w:rFonts w:ascii="Times New Roman" w:hAnsi="Times New Roman" w:cs="Times New Roman"/>
          <w:b/>
          <w:sz w:val="28"/>
          <w:szCs w:val="28"/>
        </w:rPr>
        <w:t xml:space="preserve"> and Children</w:t>
      </w:r>
    </w:p>
    <w:bookmarkEnd w:id="0"/>
    <w:bookmarkEnd w:id="1"/>
    <w:p w14:paraId="3F1B67CE" w14:textId="77777777" w:rsidR="003F682E" w:rsidRDefault="003F682E" w:rsidP="00FA4C9E">
      <w:pPr>
        <w:spacing w:line="480" w:lineRule="auto"/>
        <w:rPr>
          <w:rFonts w:ascii="Times New Roman" w:hAnsi="Times New Roman" w:cs="Times New Roman"/>
          <w:b/>
        </w:rPr>
      </w:pPr>
    </w:p>
    <w:p w14:paraId="69DE5D28" w14:textId="19C993DF" w:rsidR="003F682E" w:rsidRPr="003F682E" w:rsidRDefault="00EC2CC2" w:rsidP="00FA4C9E">
      <w:pPr>
        <w:spacing w:line="480" w:lineRule="auto"/>
        <w:rPr>
          <w:rFonts w:ascii="Times New Roman" w:eastAsia="Times New Roman" w:hAnsi="Times New Roman" w:cs="Times New Roman"/>
          <w:color w:val="000000"/>
          <w:vertAlign w:val="superscript"/>
          <w:lang w:eastAsia="en-GB"/>
        </w:rPr>
      </w:pPr>
      <w:bookmarkStart w:id="2" w:name="OLE_LINK3"/>
      <w:bookmarkStart w:id="3" w:name="OLE_LINK4"/>
      <w:r>
        <w:rPr>
          <w:rFonts w:ascii="Times New Roman" w:hAnsi="Times New Roman" w:cs="Times New Roman"/>
          <w:b/>
        </w:rPr>
        <w:t>Individualiz</w:t>
      </w:r>
      <w:r w:rsidR="003F682E">
        <w:rPr>
          <w:rFonts w:ascii="Times New Roman" w:hAnsi="Times New Roman" w:cs="Times New Roman"/>
          <w:b/>
        </w:rPr>
        <w:t xml:space="preserve">ed Therapy of </w:t>
      </w:r>
      <w:proofErr w:type="spellStart"/>
      <w:r w:rsidR="003F682E">
        <w:rPr>
          <w:rFonts w:ascii="Times New Roman" w:hAnsi="Times New Roman" w:cs="Times New Roman"/>
          <w:b/>
        </w:rPr>
        <w:t>Teicoplanin</w:t>
      </w:r>
      <w:proofErr w:type="spellEnd"/>
      <w:r w:rsidR="003F682E">
        <w:rPr>
          <w:rFonts w:ascii="Times New Roman" w:hAnsi="Times New Roman" w:cs="Times New Roman"/>
          <w:b/>
        </w:rPr>
        <w:t xml:space="preserve"> for Children</w:t>
      </w:r>
    </w:p>
    <w:bookmarkEnd w:id="2"/>
    <w:bookmarkEnd w:id="3"/>
    <w:p w14:paraId="1F1EB255" w14:textId="0F716277" w:rsidR="003F682E" w:rsidRDefault="00900B2E" w:rsidP="00FA4C9E">
      <w:pPr>
        <w:spacing w:line="480" w:lineRule="auto"/>
        <w:rPr>
          <w:rFonts w:ascii="Times New Roman" w:eastAsia="Times New Roman" w:hAnsi="Times New Roman" w:cs="Times New Roman"/>
          <w:color w:val="000000"/>
          <w:vertAlign w:val="superscript"/>
          <w:lang w:eastAsia="en-GB"/>
        </w:rPr>
      </w:pPr>
      <w:r w:rsidRPr="00870CC5">
        <w:rPr>
          <w:rFonts w:ascii="Times New Roman" w:eastAsia="Times New Roman" w:hAnsi="Times New Roman" w:cs="Times New Roman"/>
          <w:color w:val="000000"/>
          <w:lang w:eastAsia="en-GB"/>
        </w:rPr>
        <w:t xml:space="preserve">Ramos-Martín V </w:t>
      </w:r>
      <w:proofErr w:type="spellStart"/>
      <w:proofErr w:type="gramStart"/>
      <w:r w:rsidR="009A00FA">
        <w:rPr>
          <w:rFonts w:ascii="Times New Roman" w:eastAsia="Times New Roman" w:hAnsi="Times New Roman" w:cs="Times New Roman"/>
          <w:color w:val="000000"/>
          <w:vertAlign w:val="superscript"/>
          <w:lang w:eastAsia="en-GB"/>
        </w:rPr>
        <w:t>a,b</w:t>
      </w:r>
      <w:proofErr w:type="spellEnd"/>
      <w:proofErr w:type="gramEnd"/>
      <w:r w:rsidRPr="00870CC5">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Neely MN </w:t>
      </w:r>
      <w:r w:rsidR="009A00FA">
        <w:rPr>
          <w:rFonts w:ascii="Times New Roman" w:eastAsia="Times New Roman" w:hAnsi="Times New Roman" w:cs="Times New Roman"/>
          <w:color w:val="000000"/>
          <w:vertAlign w:val="superscript"/>
          <w:lang w:eastAsia="en-GB"/>
        </w:rPr>
        <w:t>c</w:t>
      </w:r>
      <w:r>
        <w:rPr>
          <w:rFonts w:ascii="Times New Roman" w:eastAsia="Times New Roman" w:hAnsi="Times New Roman" w:cs="Times New Roman"/>
          <w:color w:val="000000"/>
          <w:lang w:eastAsia="en-GB"/>
        </w:rPr>
        <w:t xml:space="preserve">, </w:t>
      </w:r>
      <w:proofErr w:type="spellStart"/>
      <w:r w:rsidRPr="00870CC5">
        <w:rPr>
          <w:rFonts w:ascii="Times New Roman" w:eastAsia="Times New Roman" w:hAnsi="Times New Roman" w:cs="Times New Roman"/>
          <w:color w:val="000000"/>
          <w:lang w:eastAsia="en-GB"/>
        </w:rPr>
        <w:t>Padmore</w:t>
      </w:r>
      <w:proofErr w:type="spellEnd"/>
      <w:r w:rsidRPr="00870CC5">
        <w:rPr>
          <w:rFonts w:ascii="Times New Roman" w:eastAsia="Times New Roman" w:hAnsi="Times New Roman" w:cs="Times New Roman"/>
          <w:color w:val="000000"/>
          <w:lang w:eastAsia="en-GB"/>
        </w:rPr>
        <w:t xml:space="preserve"> K </w:t>
      </w:r>
      <w:r w:rsidR="009A00FA">
        <w:rPr>
          <w:rFonts w:ascii="Times New Roman" w:eastAsia="Times New Roman" w:hAnsi="Times New Roman" w:cs="Times New Roman"/>
          <w:color w:val="000000"/>
          <w:vertAlign w:val="superscript"/>
          <w:lang w:eastAsia="en-GB"/>
        </w:rPr>
        <w:t>b</w:t>
      </w:r>
      <w:r w:rsidRPr="00870CC5">
        <w:rPr>
          <w:rFonts w:ascii="Times New Roman" w:eastAsia="Times New Roman" w:hAnsi="Times New Roman" w:cs="Times New Roman"/>
          <w:color w:val="000000"/>
          <w:lang w:eastAsia="en-GB"/>
        </w:rPr>
        <w:t xml:space="preserve">, Peak M </w:t>
      </w:r>
      <w:r w:rsidR="009A00FA">
        <w:rPr>
          <w:rFonts w:ascii="Times New Roman" w:eastAsia="Times New Roman" w:hAnsi="Times New Roman" w:cs="Times New Roman"/>
          <w:color w:val="000000"/>
          <w:vertAlign w:val="superscript"/>
          <w:lang w:eastAsia="en-GB"/>
        </w:rPr>
        <w:t>b</w:t>
      </w:r>
      <w:r w:rsidRPr="00870CC5">
        <w:rPr>
          <w:rFonts w:ascii="Times New Roman" w:eastAsia="Times New Roman" w:hAnsi="Times New Roman" w:cs="Times New Roman"/>
          <w:color w:val="000000"/>
          <w:lang w:eastAsia="en-GB"/>
        </w:rPr>
        <w:t>, Beresford MW</w:t>
      </w:r>
      <w:r>
        <w:rPr>
          <w:rFonts w:ascii="Times New Roman" w:eastAsia="Times New Roman" w:hAnsi="Times New Roman" w:cs="Times New Roman"/>
          <w:color w:val="000000"/>
          <w:lang w:eastAsia="en-GB"/>
        </w:rPr>
        <w:t xml:space="preserve"> </w:t>
      </w:r>
      <w:proofErr w:type="spellStart"/>
      <w:r w:rsidR="009A00FA">
        <w:rPr>
          <w:rFonts w:ascii="Times New Roman" w:eastAsia="Times New Roman" w:hAnsi="Times New Roman" w:cs="Times New Roman"/>
          <w:color w:val="000000"/>
          <w:vertAlign w:val="superscript"/>
          <w:lang w:eastAsia="en-GB"/>
        </w:rPr>
        <w:t>b</w:t>
      </w:r>
      <w:r w:rsidR="00E84284">
        <w:rPr>
          <w:rFonts w:ascii="Times New Roman" w:eastAsia="Times New Roman" w:hAnsi="Times New Roman" w:cs="Times New Roman"/>
          <w:color w:val="000000"/>
          <w:vertAlign w:val="superscript"/>
          <w:lang w:eastAsia="en-GB"/>
        </w:rPr>
        <w:t>,e</w:t>
      </w:r>
      <w:proofErr w:type="spellEnd"/>
      <w:r>
        <w:rPr>
          <w:rFonts w:ascii="Times New Roman" w:eastAsia="Times New Roman" w:hAnsi="Times New Roman" w:cs="Times New Roman"/>
          <w:color w:val="000000"/>
          <w:lang w:eastAsia="en-GB"/>
        </w:rPr>
        <w:t xml:space="preserve">, </w:t>
      </w:r>
      <w:r w:rsidRPr="00870CC5">
        <w:rPr>
          <w:rFonts w:ascii="Times New Roman" w:eastAsia="Times New Roman" w:hAnsi="Times New Roman" w:cs="Times New Roman"/>
          <w:color w:val="000000"/>
          <w:lang w:eastAsia="en-GB"/>
        </w:rPr>
        <w:t xml:space="preserve">Turner </w:t>
      </w:r>
      <w:proofErr w:type="spellStart"/>
      <w:r w:rsidRPr="00870CC5">
        <w:rPr>
          <w:rFonts w:ascii="Times New Roman" w:eastAsia="Times New Roman" w:hAnsi="Times New Roman" w:cs="Times New Roman"/>
          <w:color w:val="000000"/>
          <w:lang w:eastAsia="en-GB"/>
        </w:rPr>
        <w:t>MA</w:t>
      </w:r>
      <w:r w:rsidR="00E84284">
        <w:rPr>
          <w:rFonts w:ascii="Times New Roman" w:eastAsia="Times New Roman" w:hAnsi="Times New Roman" w:cs="Times New Roman"/>
          <w:color w:val="000000"/>
          <w:vertAlign w:val="superscript"/>
          <w:lang w:eastAsia="en-GB"/>
        </w:rPr>
        <w:t>d,e</w:t>
      </w:r>
      <w:proofErr w:type="spellEnd"/>
      <w:r w:rsidRPr="00870CC5">
        <w:rPr>
          <w:rFonts w:ascii="Times New Roman" w:eastAsia="Times New Roman" w:hAnsi="Times New Roman" w:cs="Times New Roman"/>
          <w:color w:val="000000"/>
          <w:lang w:eastAsia="en-GB"/>
        </w:rPr>
        <w:t>,</w:t>
      </w:r>
      <w:r w:rsidRPr="00870CC5">
        <w:rPr>
          <w:rFonts w:ascii="Times New Roman" w:eastAsia="Times New Roman" w:hAnsi="Times New Roman" w:cs="Times New Roman"/>
          <w:color w:val="000000"/>
          <w:vertAlign w:val="superscript"/>
          <w:lang w:eastAsia="en-GB"/>
        </w:rPr>
        <w:t xml:space="preserve"> </w:t>
      </w:r>
      <w:r w:rsidRPr="00870CC5">
        <w:rPr>
          <w:rFonts w:ascii="Times New Roman" w:eastAsia="Times New Roman" w:hAnsi="Times New Roman" w:cs="Times New Roman"/>
          <w:color w:val="000000"/>
          <w:lang w:eastAsia="en-GB"/>
        </w:rPr>
        <w:t xml:space="preserve">Paulus S </w:t>
      </w:r>
      <w:r w:rsidR="00E84284">
        <w:rPr>
          <w:rFonts w:ascii="Times New Roman" w:eastAsia="Times New Roman" w:hAnsi="Times New Roman" w:cs="Times New Roman"/>
          <w:color w:val="000000"/>
          <w:vertAlign w:val="superscript"/>
          <w:lang w:eastAsia="en-GB"/>
        </w:rPr>
        <w:t>b</w:t>
      </w:r>
      <w:r>
        <w:rPr>
          <w:rFonts w:ascii="Times New Roman" w:eastAsia="Times New Roman" w:hAnsi="Times New Roman" w:cs="Times New Roman"/>
          <w:color w:val="000000"/>
          <w:vertAlign w:val="superscript"/>
          <w:lang w:eastAsia="en-GB"/>
        </w:rPr>
        <w:t xml:space="preserve"> </w:t>
      </w:r>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López-Herce</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J</w:t>
      </w:r>
      <w:r w:rsidR="00E84284">
        <w:rPr>
          <w:rFonts w:ascii="Times New Roman" w:eastAsia="Times New Roman" w:hAnsi="Times New Roman" w:cs="Times New Roman"/>
          <w:color w:val="000000"/>
          <w:vertAlign w:val="superscript"/>
          <w:lang w:eastAsia="en-GB"/>
        </w:rPr>
        <w:t>f</w:t>
      </w:r>
      <w:proofErr w:type="spellEnd"/>
      <w:r>
        <w:rPr>
          <w:rFonts w:ascii="Times New Roman" w:eastAsia="Times New Roman" w:hAnsi="Times New Roman" w:cs="Times New Roman"/>
          <w:color w:val="000000"/>
          <w:lang w:eastAsia="en-GB"/>
        </w:rPr>
        <w:t xml:space="preserve">, </w:t>
      </w:r>
      <w:r w:rsidRPr="00870CC5">
        <w:rPr>
          <w:rFonts w:ascii="Times New Roman" w:eastAsia="Times New Roman" w:hAnsi="Times New Roman" w:cs="Times New Roman"/>
          <w:color w:val="000000"/>
          <w:lang w:eastAsia="en-GB"/>
        </w:rPr>
        <w:t xml:space="preserve">Hope WW </w:t>
      </w:r>
      <w:r w:rsidR="00E84284">
        <w:rPr>
          <w:rFonts w:ascii="Times New Roman" w:eastAsia="Times New Roman" w:hAnsi="Times New Roman" w:cs="Times New Roman"/>
          <w:color w:val="000000"/>
          <w:vertAlign w:val="superscript"/>
          <w:lang w:eastAsia="en-GB"/>
        </w:rPr>
        <w:t>a</w:t>
      </w:r>
      <w:r w:rsidRPr="00870CC5">
        <w:rPr>
          <w:rFonts w:ascii="Times New Roman" w:eastAsia="Times New Roman" w:hAnsi="Times New Roman" w:cs="Times New Roman"/>
          <w:color w:val="000000"/>
          <w:vertAlign w:val="superscript"/>
          <w:lang w:eastAsia="en-GB"/>
        </w:rPr>
        <w:t>#</w:t>
      </w:r>
    </w:p>
    <w:p w14:paraId="0F58277B" w14:textId="77777777" w:rsidR="00BA02DA" w:rsidRDefault="00BA02DA" w:rsidP="00FA4C9E">
      <w:pPr>
        <w:spacing w:line="480" w:lineRule="auto"/>
        <w:rPr>
          <w:rFonts w:ascii="Times New Roman" w:eastAsia="Times New Roman" w:hAnsi="Times New Roman" w:cs="Times New Roman"/>
          <w:color w:val="000000"/>
          <w:vertAlign w:val="superscript"/>
          <w:lang w:eastAsia="en-GB"/>
        </w:rPr>
      </w:pPr>
    </w:p>
    <w:p w14:paraId="43EF472A" w14:textId="77777777" w:rsidR="00900B2E" w:rsidRDefault="009A00FA" w:rsidP="00FA4C9E">
      <w:pPr>
        <w:spacing w:line="480" w:lineRule="auto"/>
        <w:rPr>
          <w:rFonts w:ascii="Calibri" w:eastAsia="Times New Roman" w:hAnsi="Calibri" w:cs="Times New Roman"/>
          <w:color w:val="000000"/>
          <w:lang w:eastAsia="en-GB"/>
        </w:rPr>
      </w:pPr>
      <w:r>
        <w:rPr>
          <w:rFonts w:ascii="Times New Roman" w:eastAsia="Times New Roman" w:hAnsi="Times New Roman" w:cs="Times New Roman"/>
          <w:color w:val="000000"/>
          <w:vertAlign w:val="superscript"/>
          <w:lang w:eastAsia="en-GB"/>
        </w:rPr>
        <w:t>a</w:t>
      </w:r>
      <w:r w:rsidR="00900B2E" w:rsidRPr="00870CC5">
        <w:rPr>
          <w:rFonts w:ascii="Times New Roman" w:eastAsia="Times New Roman" w:hAnsi="Times New Roman" w:cs="Times New Roman"/>
          <w:b/>
          <w:bCs/>
          <w:color w:val="000000"/>
          <w:vertAlign w:val="superscript"/>
          <w:lang w:eastAsia="en-GB"/>
        </w:rPr>
        <w:t xml:space="preserve"> </w:t>
      </w:r>
      <w:r w:rsidR="00900B2E" w:rsidRPr="00870CC5">
        <w:rPr>
          <w:rFonts w:ascii="Times New Roman" w:eastAsia="Times New Roman" w:hAnsi="Times New Roman" w:cs="Times New Roman"/>
          <w:color w:val="000000"/>
          <w:lang w:eastAsia="en-GB"/>
        </w:rPr>
        <w:t>Molecular and Clinical Pharmacology Department, Institute of Translational Medicine, University of Liverpool, United Kingdom.</w:t>
      </w:r>
      <w:r w:rsidR="00900B2E">
        <w:rPr>
          <w:rFonts w:ascii="Calibri" w:eastAsia="Times New Roman" w:hAnsi="Calibri" w:cs="Times New Roman"/>
          <w:color w:val="000000"/>
          <w:lang w:eastAsia="en-GB"/>
        </w:rPr>
        <w:t xml:space="preserve"> </w:t>
      </w:r>
    </w:p>
    <w:p w14:paraId="4D89F9E9" w14:textId="77777777" w:rsidR="00900B2E" w:rsidRDefault="009A00FA" w:rsidP="00FA4C9E">
      <w:pPr>
        <w:spacing w:line="480" w:lineRule="auto"/>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vertAlign w:val="superscript"/>
          <w:lang w:eastAsia="en-GB"/>
        </w:rPr>
        <w:t>b</w:t>
      </w:r>
      <w:r w:rsidR="00900B2E" w:rsidRPr="00870CC5">
        <w:rPr>
          <w:rFonts w:ascii="Times New Roman" w:eastAsia="Times New Roman" w:hAnsi="Times New Roman" w:cs="Times New Roman"/>
          <w:color w:val="000000"/>
          <w:lang w:eastAsia="en-GB"/>
        </w:rPr>
        <w:t>Alder</w:t>
      </w:r>
      <w:proofErr w:type="spellEnd"/>
      <w:r w:rsidR="00900B2E" w:rsidRPr="00870CC5">
        <w:rPr>
          <w:rFonts w:ascii="Times New Roman" w:eastAsia="Times New Roman" w:hAnsi="Times New Roman" w:cs="Times New Roman"/>
          <w:color w:val="000000"/>
          <w:lang w:eastAsia="en-GB"/>
        </w:rPr>
        <w:t xml:space="preserve"> Hey Children’s NHS Foundation Trust, Liverpool, United Kingdom. </w:t>
      </w:r>
    </w:p>
    <w:p w14:paraId="41454FD0" w14:textId="32D7B18A" w:rsidR="00900B2E" w:rsidRPr="00FB1687" w:rsidRDefault="009A00FA" w:rsidP="00FA4C9E">
      <w:pPr>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vertAlign w:val="superscript"/>
          <w:lang w:eastAsia="en-GB"/>
        </w:rPr>
        <w:t>c</w:t>
      </w:r>
      <w:r w:rsidR="00900B2E">
        <w:rPr>
          <w:rFonts w:ascii="Times New Roman" w:eastAsia="Times New Roman" w:hAnsi="Times New Roman" w:cs="Times New Roman"/>
          <w:color w:val="000000"/>
          <w:vertAlign w:val="superscript"/>
          <w:lang w:eastAsia="en-GB"/>
        </w:rPr>
        <w:t xml:space="preserve"> </w:t>
      </w:r>
      <w:r w:rsidR="00900B2E">
        <w:rPr>
          <w:rFonts w:ascii="Times New Roman" w:eastAsia="Times New Roman" w:hAnsi="Times New Roman" w:cs="Times New Roman"/>
          <w:color w:val="000000"/>
          <w:lang w:eastAsia="en-GB"/>
        </w:rPr>
        <w:t xml:space="preserve">Laboratory of Applied Pharmacokinetics and Bioinformatics, The </w:t>
      </w:r>
      <w:proofErr w:type="spellStart"/>
      <w:r w:rsidR="00900B2E">
        <w:rPr>
          <w:rFonts w:ascii="Times New Roman" w:eastAsia="Times New Roman" w:hAnsi="Times New Roman" w:cs="Times New Roman"/>
          <w:color w:val="000000"/>
          <w:lang w:eastAsia="en-GB"/>
        </w:rPr>
        <w:t>Saban</w:t>
      </w:r>
      <w:proofErr w:type="spellEnd"/>
      <w:r w:rsidR="00900B2E">
        <w:rPr>
          <w:rFonts w:ascii="Times New Roman" w:eastAsia="Times New Roman" w:hAnsi="Times New Roman" w:cs="Times New Roman"/>
          <w:color w:val="000000"/>
          <w:lang w:eastAsia="en-GB"/>
        </w:rPr>
        <w:t xml:space="preserve"> Research Institute and The Division of Pediatric Infectious Diseases, Children´s Hospital Los Angeles, University of Southern California, Los Angeles, California.</w:t>
      </w:r>
    </w:p>
    <w:p w14:paraId="1B13B52F" w14:textId="77777777" w:rsidR="00900B2E" w:rsidRDefault="009A00FA" w:rsidP="00FA4C9E">
      <w:pPr>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vertAlign w:val="superscript"/>
          <w:lang w:eastAsia="en-GB"/>
        </w:rPr>
        <w:t>d</w:t>
      </w:r>
      <w:r w:rsidR="00900B2E">
        <w:rPr>
          <w:rFonts w:ascii="Times New Roman" w:eastAsia="Times New Roman" w:hAnsi="Times New Roman" w:cs="Times New Roman"/>
          <w:color w:val="000000"/>
          <w:lang w:eastAsia="en-GB"/>
        </w:rPr>
        <w:t xml:space="preserve"> Liverpool Women´s NHS Foundation Trust, Liverpool, United Kingdom.</w:t>
      </w:r>
    </w:p>
    <w:p w14:paraId="5E1A7EA6" w14:textId="77777777" w:rsidR="00900B2E" w:rsidRDefault="009A00FA" w:rsidP="00FA4C9E">
      <w:pPr>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vertAlign w:val="superscript"/>
          <w:lang w:eastAsia="en-GB"/>
        </w:rPr>
        <w:t>e</w:t>
      </w:r>
      <w:r w:rsidR="00900B2E" w:rsidRPr="00870CC5">
        <w:rPr>
          <w:rFonts w:ascii="Times New Roman" w:eastAsia="Times New Roman" w:hAnsi="Times New Roman" w:cs="Times New Roman"/>
          <w:color w:val="000000"/>
          <w:lang w:eastAsia="en-GB"/>
        </w:rPr>
        <w:t xml:space="preserve"> Department of Women´s and Children´s Health, Institute of Translational Medicine, University of Liverpool, Liverpool, United Kingdom.</w:t>
      </w:r>
    </w:p>
    <w:p w14:paraId="39799772" w14:textId="541796AE" w:rsidR="00BA02DA" w:rsidRPr="00E1546D" w:rsidRDefault="009A00FA" w:rsidP="00FA4C9E">
      <w:pPr>
        <w:spacing w:line="480" w:lineRule="auto"/>
        <w:rPr>
          <w:rFonts w:ascii="Times New Roman" w:eastAsia="Times New Roman" w:hAnsi="Times New Roman" w:cs="Times New Roman"/>
          <w:color w:val="000000"/>
          <w:lang w:val="es-ES" w:eastAsia="en-GB"/>
        </w:rPr>
      </w:pPr>
      <w:proofErr w:type="gramStart"/>
      <w:r w:rsidRPr="00837C21">
        <w:rPr>
          <w:rFonts w:ascii="Times New Roman" w:eastAsia="Times New Roman" w:hAnsi="Times New Roman" w:cs="Times New Roman"/>
          <w:color w:val="000000"/>
          <w:vertAlign w:val="superscript"/>
          <w:lang w:val="es-ES" w:eastAsia="en-GB"/>
        </w:rPr>
        <w:t>f</w:t>
      </w:r>
      <w:r w:rsidR="00BA02DA" w:rsidRPr="00837C21">
        <w:rPr>
          <w:rFonts w:ascii="Times New Roman" w:eastAsia="Times New Roman" w:hAnsi="Times New Roman" w:cs="Times New Roman"/>
          <w:color w:val="000000"/>
          <w:vertAlign w:val="superscript"/>
          <w:lang w:val="es-ES" w:eastAsia="en-GB"/>
        </w:rPr>
        <w:t xml:space="preserve"> </w:t>
      </w:r>
      <w:r w:rsidR="007C5E47" w:rsidRPr="00837C21">
        <w:rPr>
          <w:rFonts w:ascii="Times New Roman" w:eastAsia="Times New Roman" w:hAnsi="Times New Roman" w:cs="Times New Roman"/>
          <w:color w:val="000000"/>
          <w:lang w:val="es-ES" w:eastAsia="en-GB"/>
        </w:rPr>
        <w:t xml:space="preserve"> Servicio</w:t>
      </w:r>
      <w:proofErr w:type="gramEnd"/>
      <w:r w:rsidR="007C5E47" w:rsidRPr="00837C21">
        <w:rPr>
          <w:rFonts w:ascii="Times New Roman" w:eastAsia="Times New Roman" w:hAnsi="Times New Roman" w:cs="Times New Roman"/>
          <w:color w:val="000000"/>
          <w:lang w:val="es-ES" w:eastAsia="en-GB"/>
        </w:rPr>
        <w:t xml:space="preserve"> de Cuidados Intensivos Pediátricos, </w:t>
      </w:r>
      <w:r w:rsidR="00BA02DA" w:rsidRPr="00837C21">
        <w:rPr>
          <w:rFonts w:ascii="Times New Roman" w:eastAsia="Times New Roman" w:hAnsi="Times New Roman" w:cs="Times New Roman"/>
          <w:color w:val="000000"/>
          <w:lang w:val="es-ES" w:eastAsia="en-GB"/>
        </w:rPr>
        <w:t xml:space="preserve">Hospital General Universitario Gregorio Marañón, Madrid, </w:t>
      </w:r>
      <w:proofErr w:type="spellStart"/>
      <w:r w:rsidR="00BA02DA" w:rsidRPr="00837C21">
        <w:rPr>
          <w:rFonts w:ascii="Times New Roman" w:eastAsia="Times New Roman" w:hAnsi="Times New Roman" w:cs="Times New Roman"/>
          <w:color w:val="000000"/>
          <w:lang w:val="es-ES" w:eastAsia="en-GB"/>
        </w:rPr>
        <w:t>Spain</w:t>
      </w:r>
      <w:proofErr w:type="spellEnd"/>
      <w:r w:rsidR="007C5E47" w:rsidRPr="00837C21">
        <w:rPr>
          <w:rFonts w:ascii="Times New Roman" w:eastAsia="Times New Roman" w:hAnsi="Times New Roman" w:cs="Times New Roman"/>
          <w:color w:val="000000"/>
          <w:lang w:val="es-ES" w:eastAsia="en-GB"/>
        </w:rPr>
        <w:t xml:space="preserve">. </w:t>
      </w:r>
      <w:r w:rsidR="007C5E47" w:rsidRPr="00E1546D">
        <w:rPr>
          <w:rFonts w:ascii="Times New Roman" w:eastAsia="Times New Roman" w:hAnsi="Times New Roman" w:cs="Times New Roman"/>
          <w:color w:val="000000"/>
          <w:lang w:val="es-ES" w:eastAsia="en-GB"/>
        </w:rPr>
        <w:t xml:space="preserve">Instituto de Investigación Sanitaria del Hospital Gregorio Marañón, Facultad de Medicina, Universidad Complutense de Madrid, </w:t>
      </w:r>
      <w:proofErr w:type="spellStart"/>
      <w:r w:rsidR="007C5E47" w:rsidRPr="00E1546D">
        <w:rPr>
          <w:rFonts w:ascii="Times New Roman" w:eastAsia="Times New Roman" w:hAnsi="Times New Roman" w:cs="Times New Roman"/>
          <w:color w:val="000000"/>
          <w:lang w:val="es-ES" w:eastAsia="en-GB"/>
        </w:rPr>
        <w:t>Spain</w:t>
      </w:r>
      <w:proofErr w:type="spellEnd"/>
      <w:r w:rsidR="007C5E47" w:rsidRPr="00E1546D">
        <w:rPr>
          <w:rFonts w:ascii="Times New Roman" w:eastAsia="Times New Roman" w:hAnsi="Times New Roman" w:cs="Times New Roman"/>
          <w:color w:val="000000"/>
          <w:lang w:val="es-ES" w:eastAsia="en-GB"/>
        </w:rPr>
        <w:t>.</w:t>
      </w:r>
    </w:p>
    <w:p w14:paraId="08B3D4E6" w14:textId="77777777" w:rsidR="00900B2E" w:rsidRPr="00E1546D" w:rsidRDefault="00900B2E" w:rsidP="00FA4C9E">
      <w:pPr>
        <w:spacing w:line="480" w:lineRule="auto"/>
        <w:rPr>
          <w:rFonts w:ascii="Times New Roman" w:eastAsia="Times New Roman" w:hAnsi="Times New Roman" w:cs="Times New Roman"/>
          <w:color w:val="000000"/>
          <w:lang w:val="es-ES" w:eastAsia="en-GB"/>
        </w:rPr>
      </w:pPr>
    </w:p>
    <w:p w14:paraId="75FB1EEB" w14:textId="77777777" w:rsidR="0005159C" w:rsidRDefault="00900B2E" w:rsidP="00FA4C9E">
      <w:pPr>
        <w:spacing w:line="480" w:lineRule="auto"/>
        <w:rPr>
          <w:rFonts w:ascii="Times New Roman" w:hAnsi="Times New Roman" w:cs="Times New Roman"/>
          <w:sz w:val="28"/>
          <w:szCs w:val="28"/>
        </w:rPr>
      </w:pPr>
      <w:r>
        <w:rPr>
          <w:rFonts w:ascii="Times New Roman" w:hAnsi="Times New Roman" w:cs="Times New Roman"/>
        </w:rPr>
        <w:t xml:space="preserve"># </w:t>
      </w:r>
      <w:r w:rsidRPr="003A2FD1">
        <w:rPr>
          <w:rFonts w:ascii="Times New Roman" w:hAnsi="Times New Roman" w:cs="Times New Roman"/>
        </w:rPr>
        <w:t>Antimicrobial Pharmacodynamics and Therapeutics</w:t>
      </w:r>
      <w:r>
        <w:rPr>
          <w:rFonts w:ascii="Times New Roman" w:hAnsi="Times New Roman" w:cs="Times New Roman"/>
        </w:rPr>
        <w:t xml:space="preserve">, </w:t>
      </w:r>
      <w:r w:rsidRPr="003A2FD1">
        <w:rPr>
          <w:rFonts w:ascii="Times New Roman" w:hAnsi="Times New Roman" w:cs="Times New Roman"/>
        </w:rPr>
        <w:t>Department of Mole</w:t>
      </w:r>
      <w:r>
        <w:rPr>
          <w:rFonts w:ascii="Times New Roman" w:hAnsi="Times New Roman" w:cs="Times New Roman"/>
        </w:rPr>
        <w:t xml:space="preserve">cular and Clinical Pharmacology, University of Liverpool, </w:t>
      </w:r>
      <w:r w:rsidRPr="003A2FD1">
        <w:rPr>
          <w:rFonts w:ascii="Times New Roman" w:hAnsi="Times New Roman" w:cs="Times New Roman"/>
        </w:rPr>
        <w:t>1.09 Sherrington Building</w:t>
      </w:r>
      <w:r>
        <w:rPr>
          <w:rFonts w:ascii="Times New Roman" w:hAnsi="Times New Roman" w:cs="Times New Roman"/>
        </w:rPr>
        <w:t xml:space="preserve">, </w:t>
      </w:r>
      <w:r w:rsidRPr="003A2FD1">
        <w:rPr>
          <w:rFonts w:ascii="Times New Roman" w:hAnsi="Times New Roman" w:cs="Times New Roman"/>
        </w:rPr>
        <w:t>Liverpool L69 3GE</w:t>
      </w:r>
      <w:r>
        <w:rPr>
          <w:rFonts w:ascii="Times New Roman" w:hAnsi="Times New Roman" w:cs="Times New Roman"/>
        </w:rPr>
        <w:t xml:space="preserve">, </w:t>
      </w:r>
      <w:r w:rsidRPr="003A2FD1">
        <w:rPr>
          <w:rFonts w:ascii="Times New Roman" w:hAnsi="Times New Roman" w:cs="Times New Roman"/>
        </w:rPr>
        <w:t>United Kingdom</w:t>
      </w:r>
      <w:r>
        <w:rPr>
          <w:rFonts w:ascii="Times New Roman" w:hAnsi="Times New Roman" w:cs="Times New Roman"/>
        </w:rPr>
        <w:t xml:space="preserve">. </w:t>
      </w:r>
      <w:r w:rsidRPr="003A2FD1">
        <w:rPr>
          <w:rFonts w:ascii="Times New Roman" w:hAnsi="Times New Roman" w:cs="Times New Roman"/>
        </w:rPr>
        <w:t>T: +44 (0) 151 794 5941</w:t>
      </w:r>
      <w:r>
        <w:rPr>
          <w:rFonts w:ascii="Times New Roman" w:hAnsi="Times New Roman" w:cs="Times New Roman"/>
        </w:rPr>
        <w:t xml:space="preserve"> </w:t>
      </w:r>
      <w:r w:rsidRPr="003A2FD1">
        <w:rPr>
          <w:rFonts w:ascii="Times New Roman" w:hAnsi="Times New Roman" w:cs="Times New Roman"/>
        </w:rPr>
        <w:t xml:space="preserve">E: </w:t>
      </w:r>
      <w:hyperlink r:id="rId8" w:history="1">
        <w:r>
          <w:rPr>
            <w:rStyle w:val="Hyperlink"/>
            <w:rFonts w:ascii="Times New Roman" w:hAnsi="Times New Roman" w:cs="Times New Roman"/>
          </w:rPr>
          <w:t>w</w:t>
        </w:r>
        <w:r w:rsidRPr="003A2FD1">
          <w:rPr>
            <w:rStyle w:val="Hyperlink"/>
            <w:rFonts w:ascii="Times New Roman" w:hAnsi="Times New Roman" w:cs="Times New Roman"/>
          </w:rPr>
          <w:t>illiam.</w:t>
        </w:r>
        <w:r>
          <w:rPr>
            <w:rStyle w:val="Hyperlink"/>
            <w:rFonts w:ascii="Times New Roman" w:hAnsi="Times New Roman" w:cs="Times New Roman"/>
          </w:rPr>
          <w:t>h</w:t>
        </w:r>
        <w:r w:rsidRPr="003A2FD1">
          <w:rPr>
            <w:rStyle w:val="Hyperlink"/>
            <w:rFonts w:ascii="Times New Roman" w:hAnsi="Times New Roman" w:cs="Times New Roman"/>
          </w:rPr>
          <w:t>ope@liverpool.ac.uk</w:t>
        </w:r>
      </w:hyperlink>
    </w:p>
    <w:p w14:paraId="0B9A73BE" w14:textId="77777777" w:rsidR="0005159C" w:rsidRDefault="0005159C" w:rsidP="00FA4C9E">
      <w:pPr>
        <w:spacing w:line="480" w:lineRule="auto"/>
        <w:rPr>
          <w:rFonts w:ascii="Times New Roman" w:hAnsi="Times New Roman" w:cs="Times New Roman"/>
          <w:sz w:val="28"/>
          <w:szCs w:val="28"/>
        </w:rPr>
      </w:pPr>
    </w:p>
    <w:p w14:paraId="3F56EB08" w14:textId="77777777" w:rsidR="0005159C" w:rsidRDefault="0005159C" w:rsidP="00FA4C9E">
      <w:pPr>
        <w:spacing w:line="480" w:lineRule="auto"/>
        <w:rPr>
          <w:rFonts w:ascii="Times New Roman" w:hAnsi="Times New Roman" w:cs="Times New Roman"/>
          <w:sz w:val="28"/>
          <w:szCs w:val="28"/>
        </w:rPr>
      </w:pPr>
    </w:p>
    <w:p w14:paraId="048375CA" w14:textId="77777777" w:rsidR="0005159C" w:rsidRDefault="0005159C" w:rsidP="00FA4C9E">
      <w:pPr>
        <w:spacing w:line="480" w:lineRule="auto"/>
        <w:rPr>
          <w:rFonts w:ascii="Times New Roman" w:hAnsi="Times New Roman" w:cs="Times New Roman"/>
          <w:sz w:val="28"/>
          <w:szCs w:val="28"/>
        </w:rPr>
        <w:sectPr w:rsidR="0005159C" w:rsidSect="006D5EC2">
          <w:footerReference w:type="even" r:id="rId9"/>
          <w:footerReference w:type="default" r:id="rId10"/>
          <w:pgSz w:w="11900" w:h="16840"/>
          <w:pgMar w:top="1418" w:right="1701" w:bottom="1418" w:left="1701" w:header="709" w:footer="709" w:gutter="0"/>
          <w:lnNumType w:countBy="1" w:restart="continuous"/>
          <w:cols w:space="708"/>
          <w:docGrid w:linePitch="360"/>
        </w:sectPr>
      </w:pPr>
    </w:p>
    <w:p w14:paraId="424A7EBB" w14:textId="6EB9FD65" w:rsidR="0005159C" w:rsidRPr="00323506" w:rsidRDefault="0005159C" w:rsidP="006D2919">
      <w:pPr>
        <w:spacing w:line="480" w:lineRule="auto"/>
        <w:jc w:val="both"/>
        <w:rPr>
          <w:rFonts w:ascii="Times New Roman" w:hAnsi="Times New Roman" w:cs="Times New Roman"/>
          <w:b/>
        </w:rPr>
      </w:pPr>
      <w:r w:rsidRPr="00323506">
        <w:rPr>
          <w:rFonts w:ascii="Times New Roman" w:hAnsi="Times New Roman" w:cs="Times New Roman"/>
          <w:b/>
        </w:rPr>
        <w:lastRenderedPageBreak/>
        <w:t>ABSTRACT</w:t>
      </w:r>
      <w:r w:rsidR="00D169D8">
        <w:rPr>
          <w:rFonts w:ascii="Times New Roman" w:hAnsi="Times New Roman" w:cs="Times New Roman"/>
          <w:b/>
        </w:rPr>
        <w:t xml:space="preserve"> </w:t>
      </w:r>
    </w:p>
    <w:p w14:paraId="3EEC9630" w14:textId="77777777" w:rsidR="0005159C" w:rsidRDefault="0005159C" w:rsidP="006D2919">
      <w:pPr>
        <w:spacing w:line="480" w:lineRule="auto"/>
        <w:jc w:val="both"/>
        <w:rPr>
          <w:rFonts w:ascii="Times New Roman" w:hAnsi="Times New Roman" w:cs="Times New Roman"/>
          <w:sz w:val="28"/>
          <w:szCs w:val="28"/>
        </w:rPr>
      </w:pPr>
    </w:p>
    <w:p w14:paraId="7F4B5297" w14:textId="729E2EA9" w:rsidR="0005159C" w:rsidRDefault="0081327F" w:rsidP="006D2919">
      <w:pPr>
        <w:spacing w:line="480" w:lineRule="auto"/>
        <w:jc w:val="both"/>
        <w:rPr>
          <w:rFonts w:ascii="Times New Roman" w:hAnsi="Times New Roman" w:cs="Times New Roman"/>
        </w:rPr>
      </w:pPr>
      <w:r w:rsidRPr="0081327F">
        <w:rPr>
          <w:rFonts w:ascii="Times New Roman" w:hAnsi="Times New Roman" w:cs="Times New Roman"/>
        </w:rPr>
        <w:t xml:space="preserve"> </w:t>
      </w:r>
      <w:bookmarkStart w:id="4" w:name="OLE_LINK5"/>
      <w:bookmarkStart w:id="5" w:name="OLE_LINK6"/>
      <w:r w:rsidR="005B3694">
        <w:rPr>
          <w:rFonts w:ascii="Times New Roman" w:hAnsi="Times New Roman" w:cs="Times New Roman"/>
        </w:rPr>
        <w:t xml:space="preserve">The aim of the study was to develop a population PK model for </w:t>
      </w:r>
      <w:proofErr w:type="spellStart"/>
      <w:r w:rsidR="005B3694">
        <w:rPr>
          <w:rFonts w:ascii="Times New Roman" w:hAnsi="Times New Roman" w:cs="Times New Roman"/>
        </w:rPr>
        <w:t>teicoplanin</w:t>
      </w:r>
      <w:proofErr w:type="spellEnd"/>
      <w:r w:rsidR="005B3694">
        <w:rPr>
          <w:rFonts w:ascii="Times New Roman" w:hAnsi="Times New Roman" w:cs="Times New Roman"/>
        </w:rPr>
        <w:t xml:space="preserve"> across childhood</w:t>
      </w:r>
      <w:r w:rsidR="00C14AA4">
        <w:rPr>
          <w:rFonts w:ascii="Times New Roman" w:hAnsi="Times New Roman" w:cs="Times New Roman"/>
        </w:rPr>
        <w:t xml:space="preserve"> age ranges</w:t>
      </w:r>
      <w:r w:rsidR="005B3694">
        <w:rPr>
          <w:rFonts w:ascii="Times New Roman" w:hAnsi="Times New Roman" w:cs="Times New Roman"/>
        </w:rPr>
        <w:t xml:space="preserve"> to be used as Bayesian prior</w:t>
      </w:r>
      <w:r w:rsidR="002B66E5">
        <w:rPr>
          <w:rFonts w:ascii="Times New Roman" w:hAnsi="Times New Roman" w:cs="Times New Roman"/>
        </w:rPr>
        <w:t xml:space="preserve"> information</w:t>
      </w:r>
      <w:r w:rsidR="005B3694">
        <w:rPr>
          <w:rFonts w:ascii="Times New Roman" w:hAnsi="Times New Roman" w:cs="Times New Roman"/>
        </w:rPr>
        <w:t xml:space="preserve"> in the const</w:t>
      </w:r>
      <w:r w:rsidR="00EC2CC2">
        <w:rPr>
          <w:rFonts w:ascii="Times New Roman" w:hAnsi="Times New Roman" w:cs="Times New Roman"/>
        </w:rPr>
        <w:t>ructed software for individualiz</w:t>
      </w:r>
      <w:r w:rsidR="005B3694">
        <w:rPr>
          <w:rFonts w:ascii="Times New Roman" w:hAnsi="Times New Roman" w:cs="Times New Roman"/>
        </w:rPr>
        <w:t>ed therapy.</w:t>
      </w:r>
      <w:r w:rsidR="005F3B51">
        <w:rPr>
          <w:rFonts w:ascii="Times New Roman" w:hAnsi="Times New Roman" w:cs="Times New Roman"/>
        </w:rPr>
        <w:t xml:space="preserve"> </w:t>
      </w:r>
      <w:r>
        <w:rPr>
          <w:rFonts w:ascii="Times New Roman" w:hAnsi="Times New Roman" w:cs="Times New Roman"/>
        </w:rPr>
        <w:t>We develop</w:t>
      </w:r>
      <w:r w:rsidR="00423A94">
        <w:rPr>
          <w:rFonts w:ascii="Times New Roman" w:hAnsi="Times New Roman" w:cs="Times New Roman"/>
        </w:rPr>
        <w:t xml:space="preserve">ed a non-parametric population </w:t>
      </w:r>
      <w:r>
        <w:rPr>
          <w:rFonts w:ascii="Times New Roman" w:hAnsi="Times New Roman" w:cs="Times New Roman"/>
        </w:rPr>
        <w:t xml:space="preserve">model </w:t>
      </w:r>
      <w:r w:rsidR="00400442">
        <w:rPr>
          <w:rFonts w:ascii="Times New Roman" w:hAnsi="Times New Roman" w:cs="Times New Roman"/>
        </w:rPr>
        <w:t>fitted to PK data from</w:t>
      </w:r>
      <w:r w:rsidR="00666263">
        <w:rPr>
          <w:rFonts w:ascii="Times New Roman" w:hAnsi="Times New Roman" w:cs="Times New Roman"/>
        </w:rPr>
        <w:t xml:space="preserve"> neonates</w:t>
      </w:r>
      <w:r w:rsidR="00976E63">
        <w:rPr>
          <w:rFonts w:ascii="Times New Roman" w:hAnsi="Times New Roman" w:cs="Times New Roman"/>
        </w:rPr>
        <w:t>, infants</w:t>
      </w:r>
      <w:r w:rsidR="00666263">
        <w:rPr>
          <w:rFonts w:ascii="Times New Roman" w:hAnsi="Times New Roman" w:cs="Times New Roman"/>
        </w:rPr>
        <w:t xml:space="preserve"> and</w:t>
      </w:r>
      <w:r w:rsidR="00976E63">
        <w:rPr>
          <w:rFonts w:ascii="Times New Roman" w:hAnsi="Times New Roman" w:cs="Times New Roman"/>
        </w:rPr>
        <w:t xml:space="preserve"> older</w:t>
      </w:r>
      <w:r w:rsidR="00666263">
        <w:rPr>
          <w:rFonts w:ascii="Times New Roman" w:hAnsi="Times New Roman" w:cs="Times New Roman"/>
        </w:rPr>
        <w:t xml:space="preserve"> </w:t>
      </w:r>
      <w:r w:rsidR="00423A94">
        <w:rPr>
          <w:rFonts w:ascii="Times New Roman" w:hAnsi="Times New Roman" w:cs="Times New Roman"/>
        </w:rPr>
        <w:t>children.</w:t>
      </w:r>
      <w:r w:rsidRPr="0081327F">
        <w:rPr>
          <w:rFonts w:ascii="Times New Roman" w:hAnsi="Times New Roman" w:cs="Times New Roman"/>
        </w:rPr>
        <w:t xml:space="preserve"> </w:t>
      </w:r>
      <w:r>
        <w:rPr>
          <w:rFonts w:ascii="Times New Roman" w:hAnsi="Times New Roman" w:cs="Times New Roman"/>
        </w:rPr>
        <w:t xml:space="preserve">We then implemented it in the </w:t>
      </w:r>
      <w:proofErr w:type="spellStart"/>
      <w:r>
        <w:rPr>
          <w:rFonts w:ascii="Times New Roman" w:hAnsi="Times New Roman" w:cs="Times New Roman"/>
        </w:rPr>
        <w:t>BestDose</w:t>
      </w:r>
      <w:proofErr w:type="spellEnd"/>
      <w:r>
        <w:rPr>
          <w:rFonts w:ascii="Times New Roman" w:hAnsi="Times New Roman" w:cs="Times New Roman"/>
        </w:rPr>
        <w:t xml:space="preserve"> multiple-model Bayesian adaptive control algorithm to sho</w:t>
      </w:r>
      <w:r w:rsidR="005B3694">
        <w:rPr>
          <w:rFonts w:ascii="Times New Roman" w:hAnsi="Times New Roman" w:cs="Times New Roman"/>
        </w:rPr>
        <w:t>w its clinical utility</w:t>
      </w:r>
      <w:r w:rsidR="002B66E5">
        <w:rPr>
          <w:rFonts w:ascii="Times New Roman" w:hAnsi="Times New Roman" w:cs="Times New Roman"/>
        </w:rPr>
        <w:t>. It was used</w:t>
      </w:r>
      <w:r w:rsidR="005B3694">
        <w:rPr>
          <w:rFonts w:ascii="Times New Roman" w:hAnsi="Times New Roman" w:cs="Times New Roman"/>
        </w:rPr>
        <w:t xml:space="preserve"> </w:t>
      </w:r>
      <w:r>
        <w:rPr>
          <w:rFonts w:ascii="Times New Roman" w:hAnsi="Times New Roman" w:cs="Times New Roman"/>
        </w:rPr>
        <w:t xml:space="preserve">to predict the required dosages to achieve </w:t>
      </w:r>
      <w:proofErr w:type="spellStart"/>
      <w:r>
        <w:rPr>
          <w:rFonts w:ascii="Times New Roman" w:hAnsi="Times New Roman" w:cs="Times New Roman"/>
        </w:rPr>
        <w:t>teicoplanin</w:t>
      </w:r>
      <w:proofErr w:type="spellEnd"/>
      <w:r>
        <w:rPr>
          <w:rFonts w:ascii="Times New Roman" w:hAnsi="Times New Roman" w:cs="Times New Roman"/>
        </w:rPr>
        <w:t xml:space="preserve"> optimal </w:t>
      </w:r>
      <w:r w:rsidR="00976E63">
        <w:rPr>
          <w:rFonts w:ascii="Times New Roman" w:hAnsi="Times New Roman" w:cs="Times New Roman"/>
        </w:rPr>
        <w:t xml:space="preserve">pre-dose </w:t>
      </w:r>
      <w:r>
        <w:rPr>
          <w:rFonts w:ascii="Times New Roman" w:hAnsi="Times New Roman" w:cs="Times New Roman"/>
        </w:rPr>
        <w:t>targets</w:t>
      </w:r>
      <w:r w:rsidR="001D7AC7">
        <w:rPr>
          <w:rFonts w:ascii="Times New Roman" w:hAnsi="Times New Roman" w:cs="Times New Roman"/>
        </w:rPr>
        <w:t xml:space="preserve"> (15 mg/L</w:t>
      </w:r>
      <w:r w:rsidR="008F1FE4">
        <w:rPr>
          <w:rFonts w:ascii="Times New Roman" w:hAnsi="Times New Roman" w:cs="Times New Roman"/>
        </w:rPr>
        <w:t>)</w:t>
      </w:r>
      <w:r w:rsidR="00976E63">
        <w:rPr>
          <w:rFonts w:ascii="Times New Roman" w:hAnsi="Times New Roman" w:cs="Times New Roman"/>
        </w:rPr>
        <w:t xml:space="preserve"> from</w:t>
      </w:r>
      <w:r w:rsidR="001D7AC7">
        <w:rPr>
          <w:rFonts w:ascii="Times New Roman" w:hAnsi="Times New Roman" w:cs="Times New Roman"/>
        </w:rPr>
        <w:t xml:space="preserve"> day 3</w:t>
      </w:r>
      <w:r w:rsidR="00AA00CB">
        <w:rPr>
          <w:rFonts w:ascii="Times New Roman" w:hAnsi="Times New Roman" w:cs="Times New Roman"/>
        </w:rPr>
        <w:t xml:space="preserve"> of therapy</w:t>
      </w:r>
      <w:r w:rsidR="001D7AC7">
        <w:rPr>
          <w:rFonts w:ascii="Times New Roman" w:hAnsi="Times New Roman" w:cs="Times New Roman"/>
        </w:rPr>
        <w:t>. We performed individual simulations</w:t>
      </w:r>
      <w:r w:rsidR="00F23BB1">
        <w:rPr>
          <w:rFonts w:ascii="Times New Roman" w:hAnsi="Times New Roman" w:cs="Times New Roman"/>
        </w:rPr>
        <w:t xml:space="preserve"> in an infant</w:t>
      </w:r>
      <w:r>
        <w:rPr>
          <w:rFonts w:ascii="Times New Roman" w:hAnsi="Times New Roman" w:cs="Times New Roman"/>
        </w:rPr>
        <w:t xml:space="preserve"> and a chil</w:t>
      </w:r>
      <w:r w:rsidR="001D7AC7">
        <w:rPr>
          <w:rFonts w:ascii="Times New Roman" w:hAnsi="Times New Roman" w:cs="Times New Roman"/>
        </w:rPr>
        <w:t>d fro</w:t>
      </w:r>
      <w:r w:rsidR="005B3694">
        <w:rPr>
          <w:rFonts w:ascii="Times New Roman" w:hAnsi="Times New Roman" w:cs="Times New Roman"/>
        </w:rPr>
        <w:t>m the original population, who</w:t>
      </w:r>
      <w:r w:rsidR="007F12CD">
        <w:rPr>
          <w:rFonts w:ascii="Times New Roman" w:hAnsi="Times New Roman" w:cs="Times New Roman"/>
        </w:rPr>
        <w:t xml:space="preserve"> provided early first dosing interval</w:t>
      </w:r>
      <w:r w:rsidR="005B3694">
        <w:rPr>
          <w:rFonts w:ascii="Times New Roman" w:hAnsi="Times New Roman" w:cs="Times New Roman"/>
        </w:rPr>
        <w:t xml:space="preserve"> concentration time-data.</w:t>
      </w:r>
      <w:r w:rsidRPr="0081327F">
        <w:rPr>
          <w:rFonts w:ascii="Times New Roman" w:hAnsi="Times New Roman" w:cs="Times New Roman"/>
        </w:rPr>
        <w:t xml:space="preserve"> </w:t>
      </w:r>
      <w:r>
        <w:rPr>
          <w:rFonts w:ascii="Times New Roman" w:hAnsi="Times New Roman" w:cs="Times New Roman"/>
        </w:rPr>
        <w:t xml:space="preserve">An </w:t>
      </w:r>
      <w:proofErr w:type="spellStart"/>
      <w:r>
        <w:rPr>
          <w:rFonts w:ascii="Times New Roman" w:hAnsi="Times New Roman" w:cs="Times New Roman"/>
        </w:rPr>
        <w:t>allometric</w:t>
      </w:r>
      <w:proofErr w:type="spellEnd"/>
      <w:r>
        <w:rPr>
          <w:rFonts w:ascii="Times New Roman" w:hAnsi="Times New Roman" w:cs="Times New Roman"/>
        </w:rPr>
        <w:t xml:space="preserve"> model that linked weight to clearance and volume of distribution (</w:t>
      </w:r>
      <w:proofErr w:type="spellStart"/>
      <w:r>
        <w:rPr>
          <w:rFonts w:ascii="Times New Roman" w:hAnsi="Times New Roman" w:cs="Times New Roman"/>
        </w:rPr>
        <w:t>Ke</w:t>
      </w:r>
      <w:proofErr w:type="spellEnd"/>
      <w:r>
        <w:rPr>
          <w:rFonts w:ascii="Times New Roman" w:hAnsi="Times New Roman" w:cs="Times New Roman"/>
        </w:rPr>
        <w:t xml:space="preserve"> and V) and incorporating renal functi</w:t>
      </w:r>
      <w:r w:rsidR="00400442">
        <w:rPr>
          <w:rFonts w:ascii="Times New Roman" w:hAnsi="Times New Roman" w:cs="Times New Roman"/>
        </w:rPr>
        <w:t>on as a power function of estimated glomerular filtration rate (</w:t>
      </w:r>
      <w:proofErr w:type="spellStart"/>
      <w:r w:rsidR="00400442">
        <w:rPr>
          <w:rFonts w:ascii="Times New Roman" w:hAnsi="Times New Roman" w:cs="Times New Roman"/>
        </w:rPr>
        <w:t>eGFR</w:t>
      </w:r>
      <w:proofErr w:type="spellEnd"/>
      <w:r w:rsidR="00400442">
        <w:rPr>
          <w:rFonts w:ascii="Times New Roman" w:hAnsi="Times New Roman" w:cs="Times New Roman"/>
        </w:rPr>
        <w:t xml:space="preserve">) or Post-natal age </w:t>
      </w:r>
      <w:r w:rsidR="00400442" w:rsidRPr="008B30B9">
        <w:rPr>
          <w:rFonts w:ascii="Times New Roman" w:hAnsi="Times New Roman" w:cs="Times New Roman"/>
        </w:rPr>
        <w:t>(</w:t>
      </w:r>
      <w:r w:rsidRPr="008B30B9">
        <w:rPr>
          <w:rFonts w:ascii="Times New Roman" w:hAnsi="Times New Roman" w:cs="Times New Roman"/>
        </w:rPr>
        <w:t>PNA</w:t>
      </w:r>
      <w:r w:rsidR="00400442" w:rsidRPr="008B30B9">
        <w:rPr>
          <w:rFonts w:ascii="Times New Roman" w:hAnsi="Times New Roman" w:cs="Times New Roman"/>
        </w:rPr>
        <w:t>)</w:t>
      </w:r>
      <w:r w:rsidRPr="008B30B9">
        <w:rPr>
          <w:rFonts w:ascii="Times New Roman" w:hAnsi="Times New Roman" w:cs="Times New Roman"/>
        </w:rPr>
        <w:t>/</w:t>
      </w:r>
      <w:r w:rsidR="00400442" w:rsidRPr="008B30B9">
        <w:rPr>
          <w:rFonts w:ascii="Times New Roman" w:hAnsi="Times New Roman" w:cs="Times New Roman"/>
        </w:rPr>
        <w:t xml:space="preserve"> serum </w:t>
      </w:r>
      <w:r w:rsidRPr="008B30B9">
        <w:rPr>
          <w:rFonts w:ascii="Times New Roman" w:hAnsi="Times New Roman" w:cs="Times New Roman"/>
        </w:rPr>
        <w:t>creati</w:t>
      </w:r>
      <w:r w:rsidR="00AA00CB" w:rsidRPr="008B30B9">
        <w:rPr>
          <w:rFonts w:ascii="Times New Roman" w:hAnsi="Times New Roman" w:cs="Times New Roman"/>
        </w:rPr>
        <w:t>ni</w:t>
      </w:r>
      <w:r w:rsidRPr="008B30B9">
        <w:rPr>
          <w:rFonts w:ascii="Times New Roman" w:hAnsi="Times New Roman" w:cs="Times New Roman"/>
        </w:rPr>
        <w:t>ne</w:t>
      </w:r>
      <w:r w:rsidR="00400442" w:rsidRPr="008B30B9">
        <w:rPr>
          <w:rFonts w:ascii="Times New Roman" w:hAnsi="Times New Roman" w:cs="Times New Roman"/>
        </w:rPr>
        <w:t>(</w:t>
      </w:r>
      <w:proofErr w:type="spellStart"/>
      <w:r w:rsidR="00400442" w:rsidRPr="008B30B9">
        <w:rPr>
          <w:rFonts w:ascii="Times New Roman" w:hAnsi="Times New Roman" w:cs="Times New Roman"/>
        </w:rPr>
        <w:t>SCr</w:t>
      </w:r>
      <w:proofErr w:type="spellEnd"/>
      <w:r w:rsidR="00400442" w:rsidRPr="008B30B9">
        <w:rPr>
          <w:rFonts w:ascii="Times New Roman" w:hAnsi="Times New Roman" w:cs="Times New Roman"/>
        </w:rPr>
        <w:t>)</w:t>
      </w:r>
      <w:r w:rsidRPr="008B30B9">
        <w:rPr>
          <w:rFonts w:ascii="Times New Roman" w:hAnsi="Times New Roman" w:cs="Times New Roman"/>
        </w:rPr>
        <w:t xml:space="preserve"> for infants &lt; 3 months,</w:t>
      </w:r>
      <w:r>
        <w:rPr>
          <w:rFonts w:ascii="Times New Roman" w:hAnsi="Times New Roman" w:cs="Times New Roman"/>
        </w:rPr>
        <w:t xml:space="preserve"> best described the data</w:t>
      </w:r>
      <w:r w:rsidRPr="00A9665D">
        <w:rPr>
          <w:rFonts w:ascii="Times New Roman" w:hAnsi="Times New Roman" w:cs="Times New Roman"/>
        </w:rPr>
        <w:t>. The median population PK parameter</w:t>
      </w:r>
      <w:r>
        <w:rPr>
          <w:rFonts w:ascii="Times New Roman" w:hAnsi="Times New Roman" w:cs="Times New Roman"/>
        </w:rPr>
        <w:t xml:space="preserve">s were as follows: </w:t>
      </w:r>
      <w:proofErr w:type="spellStart"/>
      <w:r>
        <w:rPr>
          <w:rFonts w:ascii="Times New Roman" w:hAnsi="Times New Roman" w:cs="Times New Roman"/>
        </w:rPr>
        <w:t>Ke</w:t>
      </w:r>
      <w:proofErr w:type="spellEnd"/>
      <w:r>
        <w:rPr>
          <w:rFonts w:ascii="Times New Roman" w:hAnsi="Times New Roman" w:cs="Times New Roman"/>
        </w:rPr>
        <w:t>= 0.03</w:t>
      </w:r>
      <w:r w:rsidRPr="00A9665D">
        <w:rPr>
          <w:rFonts w:ascii="Times New Roman" w:hAnsi="Times New Roman" w:cs="Times New Roman"/>
        </w:rPr>
        <w:t>*(</w:t>
      </w:r>
      <w:proofErr w:type="spellStart"/>
      <w:r w:rsidRPr="00A9665D">
        <w:rPr>
          <w:rFonts w:ascii="Times New Roman" w:hAnsi="Times New Roman" w:cs="Times New Roman"/>
        </w:rPr>
        <w:t>wt</w:t>
      </w:r>
      <w:proofErr w:type="spellEnd"/>
      <w:r w:rsidRPr="00A9665D">
        <w:rPr>
          <w:rFonts w:ascii="Times New Roman" w:hAnsi="Times New Roman" w:cs="Times New Roman"/>
        </w:rPr>
        <w:t>/70)</w:t>
      </w:r>
      <w:r w:rsidRPr="00A9665D">
        <w:rPr>
          <w:rFonts w:ascii="Times New Roman" w:hAnsi="Times New Roman" w:cs="Times New Roman"/>
          <w:vertAlign w:val="superscript"/>
        </w:rPr>
        <w:t xml:space="preserve">-0.25 </w:t>
      </w:r>
      <w:r w:rsidRPr="00A9665D">
        <w:rPr>
          <w:rFonts w:ascii="Times New Roman" w:hAnsi="Times New Roman" w:cs="Times New Roman"/>
        </w:rPr>
        <w:t>*</w:t>
      </w:r>
      <w:r w:rsidRPr="00A9665D">
        <w:rPr>
          <w:rFonts w:ascii="Times New Roman" w:hAnsi="Times New Roman" w:cs="Times New Roman"/>
          <w:bCs/>
        </w:rPr>
        <w:t xml:space="preserve"> Renal</w:t>
      </w:r>
      <w:r>
        <w:rPr>
          <w:rFonts w:ascii="Times New Roman" w:hAnsi="Times New Roman" w:cs="Times New Roman"/>
          <w:bCs/>
        </w:rPr>
        <w:t xml:space="preserve"> (h</w:t>
      </w:r>
      <w:r>
        <w:rPr>
          <w:rFonts w:ascii="Times New Roman" w:hAnsi="Times New Roman" w:cs="Times New Roman"/>
          <w:bCs/>
          <w:vertAlign w:val="superscript"/>
        </w:rPr>
        <w:t>-1</w:t>
      </w:r>
      <w:r>
        <w:rPr>
          <w:rFonts w:ascii="Times New Roman" w:hAnsi="Times New Roman" w:cs="Times New Roman"/>
          <w:bCs/>
        </w:rPr>
        <w:t>); V=19.5*(</w:t>
      </w:r>
      <w:proofErr w:type="spellStart"/>
      <w:r>
        <w:rPr>
          <w:rFonts w:ascii="Times New Roman" w:hAnsi="Times New Roman" w:cs="Times New Roman"/>
          <w:bCs/>
        </w:rPr>
        <w:t>wt</w:t>
      </w:r>
      <w:proofErr w:type="spellEnd"/>
      <w:r>
        <w:rPr>
          <w:rFonts w:ascii="Times New Roman" w:hAnsi="Times New Roman" w:cs="Times New Roman"/>
          <w:bCs/>
        </w:rPr>
        <w:t>/70) (L), being</w:t>
      </w:r>
      <w:r w:rsidRPr="00A9665D">
        <w:rPr>
          <w:rFonts w:ascii="Times New Roman" w:hAnsi="Times New Roman" w:cs="Times New Roman"/>
          <w:bCs/>
        </w:rPr>
        <w:t xml:space="preserve"> Renal</w:t>
      </w:r>
      <w:r>
        <w:rPr>
          <w:rFonts w:ascii="Times New Roman" w:hAnsi="Times New Roman" w:cs="Times New Roman"/>
          <w:bCs/>
        </w:rPr>
        <w:t>=</w:t>
      </w:r>
      <w:r w:rsidRPr="00A9665D">
        <w:rPr>
          <w:rFonts w:ascii="Times New Roman" w:hAnsi="Times New Roman" w:cs="Times New Roman"/>
          <w:bCs/>
        </w:rPr>
        <w:t xml:space="preserve"> eGFR</w:t>
      </w:r>
      <w:r w:rsidRPr="00A9665D">
        <w:rPr>
          <w:rFonts w:ascii="Times New Roman" w:hAnsi="Times New Roman" w:cs="Times New Roman"/>
          <w:bCs/>
          <w:vertAlign w:val="superscript"/>
        </w:rPr>
        <w:t>0.07</w:t>
      </w:r>
      <w:r>
        <w:rPr>
          <w:rFonts w:ascii="Times New Roman" w:hAnsi="Times New Roman" w:cs="Times New Roman"/>
          <w:bCs/>
          <w:vertAlign w:val="superscript"/>
        </w:rPr>
        <w:t xml:space="preserve"> </w:t>
      </w:r>
      <w:r>
        <w:rPr>
          <w:rFonts w:ascii="Times New Roman" w:hAnsi="Times New Roman" w:cs="Times New Roman"/>
          <w:bCs/>
        </w:rPr>
        <w:t>(ml/min/1.73m</w:t>
      </w:r>
      <w:r>
        <w:rPr>
          <w:rFonts w:ascii="Times New Roman" w:hAnsi="Times New Roman" w:cs="Times New Roman"/>
          <w:bCs/>
          <w:vertAlign w:val="superscript"/>
        </w:rPr>
        <w:t>2</w:t>
      </w:r>
      <w:r w:rsidR="00400442">
        <w:rPr>
          <w:rFonts w:ascii="Times New Roman" w:hAnsi="Times New Roman" w:cs="Times New Roman"/>
          <w:bCs/>
        </w:rPr>
        <w:t>) or PNA/</w:t>
      </w:r>
      <w:proofErr w:type="spellStart"/>
      <w:r w:rsidR="00400442">
        <w:rPr>
          <w:rFonts w:ascii="Times New Roman" w:hAnsi="Times New Roman" w:cs="Times New Roman"/>
          <w:bCs/>
        </w:rPr>
        <w:t>SCr</w:t>
      </w:r>
      <w:proofErr w:type="spellEnd"/>
      <w:r>
        <w:rPr>
          <w:rFonts w:ascii="Times New Roman" w:hAnsi="Times New Roman" w:cs="Times New Roman"/>
          <w:bCs/>
        </w:rPr>
        <w:t xml:space="preserve"> (</w:t>
      </w:r>
      <w:r>
        <w:rPr>
          <w:rFonts w:ascii="Times New Roman" w:hAnsi="Times New Roman" w:cs="Times New Roman"/>
          <w:bCs/>
        </w:rPr>
        <w:sym w:font="Symbol" w:char="F06D"/>
      </w:r>
      <w:proofErr w:type="spellStart"/>
      <w:r w:rsidR="0031274F">
        <w:rPr>
          <w:rFonts w:ascii="Times New Roman" w:hAnsi="Times New Roman" w:cs="Times New Roman"/>
          <w:bCs/>
        </w:rPr>
        <w:t>mol</w:t>
      </w:r>
      <w:proofErr w:type="spellEnd"/>
      <w:r w:rsidR="004A1E2D">
        <w:rPr>
          <w:rFonts w:ascii="Times New Roman" w:hAnsi="Times New Roman" w:cs="Times New Roman"/>
          <w:bCs/>
        </w:rPr>
        <w:t>/L</w:t>
      </w:r>
      <w:r w:rsidR="00400442">
        <w:rPr>
          <w:rFonts w:ascii="Times New Roman" w:hAnsi="Times New Roman" w:cs="Times New Roman"/>
          <w:bCs/>
        </w:rPr>
        <w:t>)</w:t>
      </w:r>
      <w:r w:rsidR="005045C9">
        <w:rPr>
          <w:rFonts w:ascii="Times New Roman" w:hAnsi="Times New Roman" w:cs="Times New Roman"/>
        </w:rPr>
        <w:t xml:space="preserve">. </w:t>
      </w:r>
      <w:r>
        <w:rPr>
          <w:rFonts w:ascii="Times New Roman" w:hAnsi="Times New Roman" w:cs="Times New Roman"/>
        </w:rPr>
        <w:t xml:space="preserve">Increased </w:t>
      </w:r>
      <w:proofErr w:type="spellStart"/>
      <w:r w:rsidR="001D7AC7">
        <w:rPr>
          <w:rFonts w:ascii="Times New Roman" w:hAnsi="Times New Roman" w:cs="Times New Roman"/>
        </w:rPr>
        <w:t>teicoplanin</w:t>
      </w:r>
      <w:proofErr w:type="spellEnd"/>
      <w:r w:rsidR="001D7AC7">
        <w:rPr>
          <w:rFonts w:ascii="Times New Roman" w:hAnsi="Times New Roman" w:cs="Times New Roman"/>
        </w:rPr>
        <w:t xml:space="preserve"> </w:t>
      </w:r>
      <w:r>
        <w:rPr>
          <w:rFonts w:ascii="Times New Roman" w:hAnsi="Times New Roman" w:cs="Times New Roman"/>
        </w:rPr>
        <w:t>dosages</w:t>
      </w:r>
      <w:r w:rsidR="00400442">
        <w:rPr>
          <w:rFonts w:ascii="Times New Roman" w:hAnsi="Times New Roman" w:cs="Times New Roman"/>
        </w:rPr>
        <w:t xml:space="preserve"> </w:t>
      </w:r>
      <w:r>
        <w:rPr>
          <w:rFonts w:ascii="Times New Roman" w:hAnsi="Times New Roman" w:cs="Times New Roman"/>
        </w:rPr>
        <w:t>and alternative administration techniques</w:t>
      </w:r>
      <w:r w:rsidR="00E90351">
        <w:rPr>
          <w:rFonts w:ascii="Times New Roman" w:hAnsi="Times New Roman" w:cs="Times New Roman"/>
        </w:rPr>
        <w:t xml:space="preserve"> (extended infusions and</w:t>
      </w:r>
      <w:r w:rsidR="001D7AC7">
        <w:rPr>
          <w:rFonts w:ascii="Times New Roman" w:hAnsi="Times New Roman" w:cs="Times New Roman"/>
        </w:rPr>
        <w:t xml:space="preserve"> fractionated multiple dosing)</w:t>
      </w:r>
      <w:r>
        <w:rPr>
          <w:rFonts w:ascii="Times New Roman" w:hAnsi="Times New Roman" w:cs="Times New Roman"/>
        </w:rPr>
        <w:t xml:space="preserve"> were required in o</w:t>
      </w:r>
      <w:r w:rsidR="00737A43">
        <w:rPr>
          <w:rFonts w:ascii="Times New Roman" w:hAnsi="Times New Roman" w:cs="Times New Roman"/>
        </w:rPr>
        <w:t>rder to achieve the targets safely</w:t>
      </w:r>
      <w:r w:rsidR="00976E63">
        <w:rPr>
          <w:rFonts w:ascii="Times New Roman" w:hAnsi="Times New Roman" w:cs="Times New Roman"/>
        </w:rPr>
        <w:t xml:space="preserve"> by day 3 in</w:t>
      </w:r>
      <w:r>
        <w:rPr>
          <w:rFonts w:ascii="Times New Roman" w:hAnsi="Times New Roman" w:cs="Times New Roman"/>
        </w:rPr>
        <w:t xml:space="preserve"> simulated cases.</w:t>
      </w:r>
      <w:r w:rsidR="00D55CCE">
        <w:rPr>
          <w:rFonts w:ascii="Times New Roman" w:hAnsi="Times New Roman" w:cs="Times New Roman"/>
        </w:rPr>
        <w:t xml:space="preserve"> </w:t>
      </w:r>
      <w:r w:rsidR="00A9665D">
        <w:rPr>
          <w:rFonts w:ascii="Times New Roman" w:hAnsi="Times New Roman" w:cs="Times New Roman"/>
        </w:rPr>
        <w:t>The software was able to predict</w:t>
      </w:r>
      <w:r w:rsidR="00C14AA4">
        <w:rPr>
          <w:rFonts w:ascii="Times New Roman" w:hAnsi="Times New Roman" w:cs="Times New Roman"/>
        </w:rPr>
        <w:t xml:space="preserve"> </w:t>
      </w:r>
      <w:r w:rsidR="001D7AC7">
        <w:rPr>
          <w:rFonts w:ascii="Times New Roman" w:hAnsi="Times New Roman" w:cs="Times New Roman"/>
        </w:rPr>
        <w:t xml:space="preserve">individual </w:t>
      </w:r>
      <w:r w:rsidR="00996D87">
        <w:rPr>
          <w:rFonts w:ascii="Times New Roman" w:hAnsi="Times New Roman" w:cs="Times New Roman"/>
        </w:rPr>
        <w:t>measured concentrations and the</w:t>
      </w:r>
      <w:r w:rsidR="003C3F90">
        <w:rPr>
          <w:rFonts w:ascii="Times New Roman" w:hAnsi="Times New Roman" w:cs="Times New Roman"/>
        </w:rPr>
        <w:t xml:space="preserve"> required dosages</w:t>
      </w:r>
      <w:r w:rsidR="001D7AC7">
        <w:rPr>
          <w:rFonts w:ascii="Times New Roman" w:hAnsi="Times New Roman" w:cs="Times New Roman"/>
        </w:rPr>
        <w:t xml:space="preserve"> and administration techniques to achieve the desired target concentrations early in therapy. Prospective evaluation is now needed in or</w:t>
      </w:r>
      <w:r w:rsidR="007F12CD">
        <w:rPr>
          <w:rFonts w:ascii="Times New Roman" w:hAnsi="Times New Roman" w:cs="Times New Roman"/>
        </w:rPr>
        <w:t xml:space="preserve">der to ensure that this </w:t>
      </w:r>
      <w:proofErr w:type="spellStart"/>
      <w:r w:rsidR="007F12CD">
        <w:rPr>
          <w:rFonts w:ascii="Times New Roman" w:hAnsi="Times New Roman" w:cs="Times New Roman"/>
        </w:rPr>
        <w:t>teicoplanin</w:t>
      </w:r>
      <w:proofErr w:type="spellEnd"/>
      <w:r w:rsidR="007F12CD">
        <w:rPr>
          <w:rFonts w:ascii="Times New Roman" w:hAnsi="Times New Roman" w:cs="Times New Roman"/>
        </w:rPr>
        <w:t xml:space="preserve"> </w:t>
      </w:r>
      <w:r w:rsidR="00EC2CC2">
        <w:rPr>
          <w:rFonts w:ascii="Times New Roman" w:hAnsi="Times New Roman" w:cs="Times New Roman"/>
        </w:rPr>
        <w:t>individualiz</w:t>
      </w:r>
      <w:r w:rsidR="001D7AC7">
        <w:rPr>
          <w:rFonts w:ascii="Times New Roman" w:hAnsi="Times New Roman" w:cs="Times New Roman"/>
        </w:rPr>
        <w:t>ed therapy</w:t>
      </w:r>
      <w:r w:rsidR="003C3F90">
        <w:rPr>
          <w:rFonts w:ascii="Times New Roman" w:hAnsi="Times New Roman" w:cs="Times New Roman"/>
        </w:rPr>
        <w:t xml:space="preserve"> </w:t>
      </w:r>
      <w:r w:rsidR="001D7AC7">
        <w:rPr>
          <w:rFonts w:ascii="Times New Roman" w:hAnsi="Times New Roman" w:cs="Times New Roman"/>
        </w:rPr>
        <w:t>approach is applicable in the clinical setting.</w:t>
      </w:r>
    </w:p>
    <w:bookmarkEnd w:id="4"/>
    <w:bookmarkEnd w:id="5"/>
    <w:p w14:paraId="7EA1F89A" w14:textId="77777777" w:rsidR="00976E63" w:rsidRPr="007F12CD" w:rsidRDefault="00976E63" w:rsidP="006D2919">
      <w:pPr>
        <w:spacing w:line="480" w:lineRule="auto"/>
        <w:jc w:val="both"/>
        <w:rPr>
          <w:rFonts w:ascii="Times New Roman" w:hAnsi="Times New Roman" w:cs="Times New Roman"/>
          <w:b/>
        </w:rPr>
      </w:pPr>
    </w:p>
    <w:p w14:paraId="26CB2063" w14:textId="77777777" w:rsidR="0005159C" w:rsidRDefault="0005159C" w:rsidP="006D2919">
      <w:pPr>
        <w:spacing w:line="480" w:lineRule="auto"/>
        <w:jc w:val="both"/>
        <w:rPr>
          <w:rFonts w:ascii="Times New Roman" w:hAnsi="Times New Roman" w:cs="Times New Roman"/>
          <w:sz w:val="28"/>
          <w:szCs w:val="28"/>
        </w:rPr>
        <w:sectPr w:rsidR="0005159C" w:rsidSect="006D5EC2">
          <w:pgSz w:w="11900" w:h="16840"/>
          <w:pgMar w:top="1418" w:right="1701" w:bottom="1418" w:left="1701" w:header="709" w:footer="709" w:gutter="0"/>
          <w:lnNumType w:countBy="1" w:restart="continuous"/>
          <w:cols w:space="708"/>
          <w:docGrid w:linePitch="360"/>
        </w:sectPr>
      </w:pPr>
    </w:p>
    <w:p w14:paraId="59A633EE" w14:textId="007956B7" w:rsidR="0005159C" w:rsidRPr="00323506" w:rsidRDefault="0005159C" w:rsidP="006D2919">
      <w:pPr>
        <w:spacing w:line="480" w:lineRule="auto"/>
        <w:jc w:val="both"/>
        <w:rPr>
          <w:rFonts w:ascii="Times New Roman" w:hAnsi="Times New Roman" w:cs="Times New Roman"/>
          <w:b/>
        </w:rPr>
      </w:pPr>
      <w:r w:rsidRPr="00323506">
        <w:rPr>
          <w:rFonts w:ascii="Times New Roman" w:hAnsi="Times New Roman" w:cs="Times New Roman"/>
          <w:b/>
        </w:rPr>
        <w:lastRenderedPageBreak/>
        <w:t>INTRODUCTION</w:t>
      </w:r>
    </w:p>
    <w:p w14:paraId="54B46C4A" w14:textId="09BD73F5" w:rsidR="00AC7E1D" w:rsidRDefault="000431E1" w:rsidP="006D2919">
      <w:pPr>
        <w:spacing w:line="480" w:lineRule="auto"/>
        <w:ind w:firstLine="708"/>
        <w:jc w:val="both"/>
        <w:rPr>
          <w:rFonts w:ascii="Times New Roman" w:hAnsi="Times New Roman" w:cs="Times New Roman"/>
        </w:rPr>
      </w:pPr>
      <w:r>
        <w:rPr>
          <w:rFonts w:ascii="Times New Roman" w:hAnsi="Times New Roman" w:cs="Times New Roman"/>
        </w:rPr>
        <w:t>The</w:t>
      </w:r>
      <w:r w:rsidR="008346CB" w:rsidRPr="008346CB">
        <w:rPr>
          <w:rFonts w:ascii="Times New Roman" w:hAnsi="Times New Roman" w:cs="Times New Roman"/>
        </w:rPr>
        <w:t xml:space="preserve"> </w:t>
      </w:r>
      <w:r w:rsidR="003C1A7F">
        <w:rPr>
          <w:rFonts w:ascii="Times New Roman" w:hAnsi="Times New Roman" w:cs="Times New Roman"/>
        </w:rPr>
        <w:t>pharmacokinetics (</w:t>
      </w:r>
      <w:r w:rsidR="008346CB" w:rsidRPr="008346CB">
        <w:rPr>
          <w:rFonts w:ascii="Times New Roman" w:hAnsi="Times New Roman" w:cs="Times New Roman"/>
        </w:rPr>
        <w:t>PK</w:t>
      </w:r>
      <w:r w:rsidR="003C1A7F">
        <w:rPr>
          <w:rFonts w:ascii="Times New Roman" w:hAnsi="Times New Roman" w:cs="Times New Roman"/>
        </w:rPr>
        <w:t>)</w:t>
      </w:r>
      <w:r w:rsidR="008346CB" w:rsidRPr="008346CB">
        <w:rPr>
          <w:rFonts w:ascii="Times New Roman" w:hAnsi="Times New Roman" w:cs="Times New Roman"/>
        </w:rPr>
        <w:t xml:space="preserve"> </w:t>
      </w:r>
      <w:r>
        <w:rPr>
          <w:rFonts w:ascii="Times New Roman" w:hAnsi="Times New Roman" w:cs="Times New Roman"/>
        </w:rPr>
        <w:t xml:space="preserve">of </w:t>
      </w:r>
      <w:proofErr w:type="spellStart"/>
      <w:r>
        <w:rPr>
          <w:rFonts w:ascii="Times New Roman" w:hAnsi="Times New Roman" w:cs="Times New Roman"/>
        </w:rPr>
        <w:t>teicoplanin</w:t>
      </w:r>
      <w:proofErr w:type="spellEnd"/>
      <w:r>
        <w:rPr>
          <w:rFonts w:ascii="Times New Roman" w:hAnsi="Times New Roman" w:cs="Times New Roman"/>
        </w:rPr>
        <w:t xml:space="preserve"> </w:t>
      </w:r>
      <w:r w:rsidR="003C1A7F">
        <w:rPr>
          <w:rFonts w:ascii="Times New Roman" w:hAnsi="Times New Roman" w:cs="Times New Roman"/>
        </w:rPr>
        <w:t xml:space="preserve">are </w:t>
      </w:r>
      <w:r w:rsidR="008346CB">
        <w:rPr>
          <w:rFonts w:ascii="Times New Roman" w:hAnsi="Times New Roman" w:cs="Times New Roman"/>
        </w:rPr>
        <w:t xml:space="preserve">highly variable in children and neonates </w:t>
      </w:r>
      <w:r w:rsidR="008346CB">
        <w:rPr>
          <w:rFonts w:ascii="Times New Roman" w:hAnsi="Times New Roman" w:cs="Times New Roman"/>
        </w:rPr>
        <w:fldChar w:fldCharType="begin" w:fldLock="1"/>
      </w:r>
      <w:r w:rsidR="003F682E">
        <w:rPr>
          <w:rFonts w:ascii="Times New Roman" w:hAnsi="Times New Roman" w:cs="Times New Roman"/>
        </w:rPr>
        <w:instrText>ADDIN CSL_CITATION { "citationItems" : [ { "id" : "ITEM-1", "itemData" : { "DOI" : "10.1128/AAC.03685-14", "ISSN" : "0066-4804", "author" : [ { "dropping-particle" : "", "family" : "Ramos-Martin", "given" : "V.", "non-dropping-particle" : "", "parse-names" : false, "suffix" : "" }, { "dropping-particle" : "", "family" : "Paulus", "given" : "S.", "non-dropping-particle" : "", "parse-names" : false, "suffix" : "" }, { "dropping-particle" : "", "family" : "Siner", "given" : "S.", "non-dropping-particle" : "", "parse-names" : false, "suffix" : "" }, { "dropping-particle" : "", "family" : "Scott", "given" : "E.", "non-dropping-particle" : "", "parse-names" : false, "suffix" : "" }, { "dropping-particle" : "", "family" : "Padmore", "given" : "K.", "non-dropping-particle" : "", "parse-names" : false, "suffix" : "" }, { "dropping-particle" : "", "family" : "Newland", "given" : "P.", "non-dropping-particle" : "", "parse-names" : false, "suffix" : "" }, { "dropping-particle" : "", "family" : "Drew", "given" : "R. J.", "non-dropping-particle" : "", "parse-names" : false, "suffix" : "" }, { "dropping-particle" : "", "family" : "Felton", "given" : "T. W.", "non-dropping-particle" : "", "parse-names" : false, "suffix" : "" }, { "dropping-particle" : "", "family" : "Docobo-Perez", "given" : "F.", "non-dropping-particle" : "", "parse-names" : false, "suffix" : "" }, { "dropping-particle" : "", "family" : "Pizer", "given" : "B.", "non-dropping-particle" : "", "parse-names" : false, "suffix" : "" }, { "dropping-particle" : "", "family" : "Pea", "given" : "F.", "non-dropping-particle" : "", "parse-names" : false, "suffix" : "" }, { "dropping-particle" : "", "family" : "Peak", "given" : "M.", "non-dropping-particle" : "", "parse-names" : false, "suffix" : "" }, { "dropping-particle" : "", "family" : "Turner", "given" : "M. a.", "non-dropping-particle" : "", "parse-names" : false, "suffix" : "" }, { "dropping-particle" : "", "family" : "Beresford", "given" : "M. W.", "non-dropping-particle" : "", "parse-names" : false, "suffix" : "" }, { "dropping-particle" : "", "family" : "Hope", "given" : "W. W.", "non-dropping-particle" : "", "parse-names" : false, "suffix" : "" } ], "container-title" : "Antimicrobial Agents and Chemotherapy", "id" : "ITEM-1", "issue" : "11", "issued" : { "date-parts" : [ [ "2014" ] ] }, "page" : "6920-6927", "title" : "Population Pharmacokinetics of Teicoplanin in Children", "type" : "article-journal", "volume" : "58" }, "uris" : [ "http://www.mendeley.com/documents/?uuid=07ab5f41-6cb7-4aa1-9bf4-fe389315ad74" ] }, { "id" : "ITEM-2", "itemData" : { "DOI" : "10.1093/jac/dkw295", "ISBN" : "1517945941", "ISSN" : "0305-7453", "author" : [ { "dropping-particle" : "", "family" : "Ramos-Mart\u00edn", "given" : "V.", "non-dropping-particle" : "", "parse-names" : false, "suffix" : "" }, { "dropping-particle" : "", "family" : "Neely", "given" : "M. N.", "non-dropping-particle" : "", "parse-names" : false, "suffix" : "" }, { "dropping-particle" : "", "family" : "McGowan", "given" : "P.", "non-dropping-particle" : "", "parse-names" : false, "suffix" : "" }, { "dropping-particle" : "", "family" : "Siner", "given" : "S.", "non-dropping-particle" : "", "parse-names" : false, "suffix" : "" }, { "dropping-particle" : "", "family" : "Padmore", "given" : "K.", "non-dropping-particle" : "", "parse-names" : false, "suffix" : "" }, { "dropping-particle" : "", "family" : "Peak", "given" : "M.", "non-dropping-particle" : "", "parse-names" : false, "suffix" : "" }, { "dropping-particle" : "", "family" : "Beresford", "given" : "M. W.", "non-dropping-particle" : "", "parse-names" : false, "suffix" : "" }, { "dropping-particle" : "", "family" : "Turner", "given" : "M. A.", "non-dropping-particle" : "", "parse-names" : false, "suffix" : "" }, { "dropping-particle" : "", "family" : "Paulus", "given" : "S.", "non-dropping-particle" : "", "parse-names" : false, "suffix" : "" }, { "dropping-particle" : "", "family" : "Hope", "given" : "W. W.", "non-dropping-particle" : "", "parse-names" : false, "suffix" : "" } ], "container-title" : "Journal of Antimicrobial Chemotherapy", "id" : "ITEM-2", "issued" : { "date-parts" : [ [ "2016" ] ] }, "page" : "dkw295", "title" : "Population pharmacokinetics and pharmacodynamics of teicoplanin in neonates: making better use of C-reactive protein to deliver individualized therapy", "type" : "article-journal" }, "uris" : [ "http://www.mendeley.com/documents/?uuid=51c219c6-2659-4adb-a6f8-b2b11f899eec" ] } ], "mendeley" : { "formattedCitation" : "(1, 2)", "plainTextFormattedCitation" : "(1, 2)", "previouslyFormattedCitation" : "(1, 2)" }, "properties" : { "noteIndex" : 0 }, "schema" : "https://github.com/citation-style-language/schema/raw/master/csl-citation.json" }</w:instrText>
      </w:r>
      <w:r w:rsidR="008346CB">
        <w:rPr>
          <w:rFonts w:ascii="Times New Roman" w:hAnsi="Times New Roman" w:cs="Times New Roman"/>
        </w:rPr>
        <w:fldChar w:fldCharType="separate"/>
      </w:r>
      <w:r w:rsidR="003F682E" w:rsidRPr="003F682E">
        <w:rPr>
          <w:rFonts w:ascii="Times New Roman" w:hAnsi="Times New Roman" w:cs="Times New Roman"/>
          <w:noProof/>
        </w:rPr>
        <w:t>(1, 2)</w:t>
      </w:r>
      <w:r w:rsidR="008346CB">
        <w:rPr>
          <w:rFonts w:ascii="Times New Roman" w:hAnsi="Times New Roman" w:cs="Times New Roman"/>
        </w:rPr>
        <w:fldChar w:fldCharType="end"/>
      </w:r>
      <w:r w:rsidR="00AC7E1D">
        <w:rPr>
          <w:rFonts w:ascii="Times New Roman" w:hAnsi="Times New Roman" w:cs="Times New Roman"/>
        </w:rPr>
        <w:t xml:space="preserve">. </w:t>
      </w:r>
      <w:r w:rsidR="003050F3">
        <w:rPr>
          <w:rFonts w:ascii="Times New Roman" w:hAnsi="Times New Roman" w:cs="Times New Roman"/>
        </w:rPr>
        <w:t>Weight</w:t>
      </w:r>
      <w:r w:rsidR="009F7768">
        <w:rPr>
          <w:rFonts w:ascii="Times New Roman" w:hAnsi="Times New Roman" w:cs="Times New Roman"/>
        </w:rPr>
        <w:t>-based dosing is advocated</w:t>
      </w:r>
      <w:r w:rsidR="0086213C">
        <w:rPr>
          <w:rFonts w:ascii="Times New Roman" w:hAnsi="Times New Roman" w:cs="Times New Roman"/>
        </w:rPr>
        <w:t xml:space="preserve"> </w:t>
      </w:r>
      <w:r w:rsidR="0086213C">
        <w:rPr>
          <w:rFonts w:ascii="Times New Roman" w:hAnsi="Times New Roman" w:cs="Times New Roman"/>
        </w:rPr>
        <w:fldChar w:fldCharType="begin" w:fldLock="1"/>
      </w:r>
      <w:r w:rsidR="003F682E">
        <w:rPr>
          <w:rFonts w:ascii="Times New Roman" w:hAnsi="Times New Roman" w:cs="Times New Roman"/>
        </w:rPr>
        <w:instrText>ADDIN CSL_CITATION { "citationItems" : [ { "id" : "ITEM-1", "itemData" : { "ISBN" : "978 0 85711 164 7", "author" : [ { "dropping-particle" : "", "family" : "BMJ Group, the Royal Pharmaceutical Society of Great Britain", "given" : "and RCPCH Publications Ltd.2014.", "non-dropping-particle" : "", "parse-names" : false, "suffix" : "" } ], "edition" : "2015-2016", "id" : "ITEM-1", "issued" : { "date-parts" : [ [ "2015" ] ] }, "publisher" : "BMJ Group", "publisher-place" : "London", "title" : "British National Formulary for Children-Antibacterial drugs-Teicoplanin.", "type" : "book" }, "uris" : [ "http://www.mendeley.com/documents/?uuid=5dbab8bd-0223-360e-8eb2-3a42033acd1a" ] } ], "mendeley" : { "formattedCitation" : "(3)", "plainTextFormattedCitation" : "(3)", "previouslyFormattedCitation" : "(3)" }, "properties" : { "noteIndex" : 0 }, "schema" : "https://github.com/citation-style-language/schema/raw/master/csl-citation.json" }</w:instrText>
      </w:r>
      <w:r w:rsidR="0086213C">
        <w:rPr>
          <w:rFonts w:ascii="Times New Roman" w:hAnsi="Times New Roman" w:cs="Times New Roman"/>
        </w:rPr>
        <w:fldChar w:fldCharType="separate"/>
      </w:r>
      <w:r w:rsidR="003F682E" w:rsidRPr="003F682E">
        <w:rPr>
          <w:rFonts w:ascii="Times New Roman" w:hAnsi="Times New Roman" w:cs="Times New Roman"/>
          <w:noProof/>
        </w:rPr>
        <w:t>(3)</w:t>
      </w:r>
      <w:r w:rsidR="0086213C">
        <w:rPr>
          <w:rFonts w:ascii="Times New Roman" w:hAnsi="Times New Roman" w:cs="Times New Roman"/>
        </w:rPr>
        <w:fldChar w:fldCharType="end"/>
      </w:r>
      <w:r w:rsidR="00666263">
        <w:rPr>
          <w:rFonts w:ascii="Times New Roman" w:hAnsi="Times New Roman" w:cs="Times New Roman"/>
        </w:rPr>
        <w:t xml:space="preserve">. </w:t>
      </w:r>
      <w:r w:rsidR="000D5FD6">
        <w:rPr>
          <w:rFonts w:ascii="Times New Roman" w:hAnsi="Times New Roman" w:cs="Times New Roman"/>
        </w:rPr>
        <w:t>Weight</w:t>
      </w:r>
      <w:r w:rsidR="00E84C67">
        <w:rPr>
          <w:rFonts w:ascii="Times New Roman" w:hAnsi="Times New Roman" w:cs="Times New Roman"/>
        </w:rPr>
        <w:t xml:space="preserve"> </w:t>
      </w:r>
      <w:r w:rsidR="009F7768">
        <w:rPr>
          <w:rFonts w:ascii="Times New Roman" w:hAnsi="Times New Roman" w:cs="Times New Roman"/>
        </w:rPr>
        <w:t>affects estimates of clearance and has been inco</w:t>
      </w:r>
      <w:r w:rsidR="0086213C">
        <w:rPr>
          <w:rFonts w:ascii="Times New Roman" w:hAnsi="Times New Roman" w:cs="Times New Roman"/>
        </w:rPr>
        <w:t>r</w:t>
      </w:r>
      <w:r w:rsidR="009F7768">
        <w:rPr>
          <w:rFonts w:ascii="Times New Roman" w:hAnsi="Times New Roman" w:cs="Times New Roman"/>
        </w:rPr>
        <w:t>por</w:t>
      </w:r>
      <w:r w:rsidR="0086213C">
        <w:rPr>
          <w:rFonts w:ascii="Times New Roman" w:hAnsi="Times New Roman" w:cs="Times New Roman"/>
        </w:rPr>
        <w:t>a</w:t>
      </w:r>
      <w:r w:rsidR="009F7768">
        <w:rPr>
          <w:rFonts w:ascii="Times New Roman" w:hAnsi="Times New Roman" w:cs="Times New Roman"/>
        </w:rPr>
        <w:t xml:space="preserve">ted into structural PK models using linear and </w:t>
      </w:r>
      <w:proofErr w:type="spellStart"/>
      <w:r w:rsidR="009F7768">
        <w:rPr>
          <w:rFonts w:ascii="Times New Roman" w:hAnsi="Times New Roman" w:cs="Times New Roman"/>
        </w:rPr>
        <w:t>allometric</w:t>
      </w:r>
      <w:proofErr w:type="spellEnd"/>
      <w:r w:rsidR="009F7768">
        <w:rPr>
          <w:rFonts w:ascii="Times New Roman" w:hAnsi="Times New Roman" w:cs="Times New Roman"/>
        </w:rPr>
        <w:t xml:space="preserve"> scaling </w:t>
      </w:r>
      <w:r w:rsidR="007532D4">
        <w:rPr>
          <w:rFonts w:ascii="Times New Roman" w:hAnsi="Times New Roman" w:cs="Times New Roman"/>
        </w:rPr>
        <w:t xml:space="preserve">functions </w:t>
      </w:r>
      <w:r w:rsidR="00E84C67">
        <w:rPr>
          <w:rFonts w:ascii="Times New Roman" w:hAnsi="Times New Roman" w:cs="Times New Roman"/>
        </w:rPr>
        <w:fldChar w:fldCharType="begin" w:fldLock="1"/>
      </w:r>
      <w:r w:rsidR="003F682E">
        <w:rPr>
          <w:rFonts w:ascii="Times New Roman" w:hAnsi="Times New Roman" w:cs="Times New Roman"/>
        </w:rPr>
        <w:instrText>ADDIN CSL_CITATION { "citationItems" : [ { "id" : "ITEM-1", "itemData" : { "DOI" : "10.2165/00003088-200443060-00004", "ISSN" : "0312-5963", "author" : [ { "dropping-particle" : "", "family" : "Pea", "given" : "Federico", "non-dropping-particle" : "", "parse-names" : false, "suffix" : "" }, { "dropping-particle" : "", "family" : "Viale", "given" : "Pierluigi", "non-dropping-particle" : "", "parse-names" : false, "suffix" : "" }, { "dropping-particle" : "", "family" : "Candoni", "given" : "Anna", "non-dropping-particle" : "", "parse-names" : false, "suffix" : "" }, { "dropping-particle" : "", "family" : "Pavan", "given" : "Federica", "non-dropping-particle" : "", "parse-names" : false, "suffix" : "" }, { "dropping-particle" : "", "family" : "Pagani", "given" : "Leonardo", "non-dropping-particle" : "", "parse-names" : false, "suffix" : "" }, { "dropping-particle" : "", "family" : "Damiani", "given" : "Daniela", "non-dropping-particle" : "", "parse-names" : false, "suffix" : "" }, { "dropping-particle" : "", "family" : "Casini", "given" : "Marco", "non-dropping-particle" : "", "parse-names" : false, "suffix" : "" }, { "dropping-particle" : "", "family" : "Furlanut", "given" : "Mario", "non-dropping-particle" : "", "parse-names" : false, "suffix" : "" } ], "container-title" : "Clinical Pharmacokinetics", "id" : "ITEM-1", "issue" : "6", "issued" : { "date-parts" : [ [ "2004" ] ] }, "page" : "405-415", "title" : "Teicoplanin in Patients with Acute Leukaemia and Febrile Neutropenia", "type" : "article-journal", "volume" : "43" }, "uris" : [ "http://www.mendeley.com/documents/?uuid=3f54b198-cef0-4815-9d48-b00a656ad083" ] }, { "id" : "ITEM-2", "itemData" : { "DOI" : "10.1093/jac/dkw295", "ISBN" : "1517945941", "ISSN" : "0305-7453", "author" : [ { "dropping-particle" : "", "family" : "Ramos-Mart\u00edn", "given" : "V.", "non-dropping-particle" : "", "parse-names" : false, "suffix" : "" }, { "dropping-particle" : "", "family" : "Neely", "given" : "M. N.", "non-dropping-particle" : "", "parse-names" : false, "suffix" : "" }, { "dropping-particle" : "", "family" : "McGowan", "given" : "P.", "non-dropping-particle" : "", "parse-names" : false, "suffix" : "" }, { "dropping-particle" : "", "family" : "Siner", "given" : "S.", "non-dropping-particle" : "", "parse-names" : false, "suffix" : "" }, { "dropping-particle" : "", "family" : "Padmore", "given" : "K.", "non-dropping-particle" : "", "parse-names" : false, "suffix" : "" }, { "dropping-particle" : "", "family" : "Peak", "given" : "M.", "non-dropping-particle" : "", "parse-names" : false, "suffix" : "" }, { "dropping-particle" : "", "family" : "Beresford", "given" : "M. W.", "non-dropping-particle" : "", "parse-names" : false, "suffix" : "" }, { "dropping-particle" : "", "family" : "Turner", "given" : "M. A.", "non-dropping-particle" : "", "parse-names" : false, "suffix" : "" }, { "dropping-particle" : "", "family" : "Paulus", "given" : "S.", "non-dropping-particle" : "", "parse-names" : false, "suffix" : "" }, { "dropping-particle" : "", "family" : "Hope", "given" : "W. W.", "non-dropping-particle" : "", "parse-names" : false, "suffix" : "" } ], "container-title" : "Journal of Antimicrobial Chemotherapy", "id" : "ITEM-2", "issued" : { "date-parts" : [ [ "2016" ] ] }, "page" : "dkw295", "title" : "Population pharmacokinetics and pharmacodynamics of teicoplanin in neonates: making better use of C-reactive protein to deliver individualized therapy", "type" : "article-journal" }, "uris" : [ "http://www.mendeley.com/documents/?uuid=51c219c6-2659-4adb-a6f8-b2b11f899eec" ] }, { "id" : "ITEM-3", "itemData" : { "ISSN" : "0891-3668", "PMID" : "8783345", "abstract" : "BACKGROUND The incidence of methicillin-resistant Gram-positive bacteria infections in febrile neutropenic children is high. Teicoplanin is an alternative treatment to vancomycin in these patients but few pharmacokinetic studies of teicoplanin in children have been conducted and optimal dosages have not been well-established. OBJECTIVES To assess the pharmacokinetics of teicoplanin in combination with another antibiotic in Gram-positive infections in pediatric patients undergoing bone marrow transplantation and to determine the most appropriate dosage regimen for this type of patient. METHODS We studied 21 patients divided into 2 groups. In Group A (n = 9) the dosage regimen consisted of 3 loading doses of 10 mg/kg at 12-h intervals, followed by a maintenance dosage of 10 mg/kg/day. Group B (n = 12) received the same loading dose and a maintenance dosage of 20 mg/kg/day. Plasma teicoplanin concentrations were monitored in all patients from the second day after the start of treatment and periodically thereafter. Serum concentrations above 10 mg/l were established as desirable trough values. RESULTS In Group A trough values &gt; 10 mg/l were not reached in five patients and treatment was modified owing to persistent fever. In Group B all patients attained trough values &gt; 10 mg/l. Tolerance to treatment was excellent. CONCLUSION In febrile neutropenic pediatric patients undergoing bone marrow transplantation, maintenance dosages of teicoplanin between 15 and 20 mg/kg/day assure serum concentrations above 10 mg/l. Dosages of 10 mg/kg/day do not assure serum through values above 10 mg/l.", "author" : [ { "dropping-particle" : "", "family" : "Dufort", "given" : "G", "non-dropping-particle" : "", "parse-names" : false, "suffix" : "" }, { "dropping-particle" : "", "family" : "Ventura", "given" : "C", "non-dropping-particle" : "", "parse-names" : false, "suffix" : "" }, { "dropping-particle" : "", "family" : "Oliv\u00e9", "given" : "T", "non-dropping-particle" : "", "parse-names" : false, "suffix" : "" }, { "dropping-particle" : "", "family" : "Ortega", "given" : "J J", "non-dropping-particle" : "", "parse-names" : false, "suffix" : "" } ], "container-title" : "The Pediatric infectious disease journal", "id" : "ITEM-3", "issue" : "6", "issued" : { "date-parts" : [ [ "1996", "6" ] ] }, "page" : "494-8", "title" : "Teicoplanin pharmacokinetics in pediatric patients.", "type" : "article-journal", "volume" : "15" }, "uris" : [ "http://www.mendeley.com/documents/?uuid=968dd00b-36ef-3851-b650-7d1201ee7802" ] }, { "id" : "ITEM-4", "itemData" : { "DOI" : "10.1093/jac/44.3.407", "ISBN" : "3491586801", "ISSN" : "03057453", "PMID" : "10511412", "abstract" : "Twenty-one critically ill children aged between 7 days and 12 years were treated with teicoplanin (three loading dosages of 10 mg/kg at 12 h intervals, followed by a maintenance dosage of 10 mg/kg/day). Serum teicoplanin concentrations were monitored by HPLC. Mean concentrations in plasma 30 min after drug administration were 20 +/- 16.1 mg/L. The volume of distribution was 0.30 L/kg and the terminal half-life was 17.41 h. Only 11% of trough values were &gt;10 mg/L (established as desirable values). In critically ill children a dosage of 10 mg/kg/day does not assure serum trough values &gt;10 mg/L.", "author" : [ { "dropping-particle" : "", "family" : "S\u00e1nchez", "given" : "Amelia", "non-dropping-particle" : "", "parse-names" : false, "suffix" : "" }, { "dropping-particle" : "", "family" : "L\u00f3pez-Herce", "given" : "Jes\u00fas", "non-dropping-particle" : "", "parse-names" : false, "suffix" : "" }, { "dropping-particle" : "", "family" : "Cueto", "given" : "Elisa", "non-dropping-particle" : "", "parse-names" : false, "suffix" : "" }, { "dropping-particle" : "", "family" : "Carrillo", "given" : "Angel", "non-dropping-particle" : "", "parse-names" : false, "suffix" : "" }, { "dropping-particle" : "", "family" : "Moral", "given" : "Ram\u00f3n", "non-dropping-particle" : "", "parse-names" : false, "suffix" : "" } ], "container-title" : "Journal of Antimicrobial Chemotherapy", "id" : "ITEM-4", "issued" : { "date-parts" : [ [ "1999" ] ] }, "page" : "407-409", "title" : "Teicoplanin pharmacokinetics in critically ill paediatric patients", "type" : "article-journal", "volume" : "44" }, "uris" : [ "http://www.mendeley.com/documents/?uuid=0d745799-38aa-4fd3-911e-58476a2e1c07" ] }, { "id" : "ITEM-5", "itemData" : { "DOI" : "10.1111/bcp.12710", "ISSN" : "03065251", "author" : [ { "dropping-particle" : "", "family" : "Zhao", "given" : "Wei", "non-dropping-particle" : "", "parse-names" : false, "suffix" : "" }, { "dropping-particle" : "", "family" : "Zhang", "given" : "Daolun", "non-dropping-particle" : "", "parse-names" : false, "suffix" : "" }, { "dropping-particle" : "", "family" : "Storme", "given" : "Thomas", "non-dropping-particle" : "", "parse-names" : false, "suffix" : "" }, { "dropping-particle" : "", "family" : "Baruchel", "given" : "Andr\u00e9", "non-dropping-particle" : "", "parse-names" : false, "suffix" : "" }, { "dropping-particle" : "", "family" : "Decl\u00e8ves", "given" : "Xavier", "non-dropping-particle" : "", "parse-names" : false, "suffix" : "" }, { "dropping-particle" : "", "family" : "Jacqz-Aigrain", "given" : "Evelyne", "non-dropping-particle" : "", "parse-names" : false, "suffix" : "" } ], "container-title" : "British Journal of Clinical Pharmacology", "id" : "ITEM-5", "issue" : "5", "issued" : { "date-parts" : [ [ "2015", "11" ] ] }, "page" : "1197-1207", "title" : "Population pharmacokinetics and dosing optimization of teicoplanin in children with malignant haematological disease", "type" : "article-journal", "volume" : "80" }, "uris" : [ "http://www.mendeley.com/documents/?uuid=bfe67b12-5fda-3ecb-ac30-f977f0f78042" ] } ], "mendeley" : { "formattedCitation" : "(2, 4\u20137)", "plainTextFormattedCitation" : "(2, 4\u20137)", "previouslyFormattedCitation" : "(2, 4\u20137)" }, "properties" : { "noteIndex" : 0 }, "schema" : "https://github.com/citation-style-language/schema/raw/master/csl-citation.json" }</w:instrText>
      </w:r>
      <w:r w:rsidR="00E84C67">
        <w:rPr>
          <w:rFonts w:ascii="Times New Roman" w:hAnsi="Times New Roman" w:cs="Times New Roman"/>
        </w:rPr>
        <w:fldChar w:fldCharType="separate"/>
      </w:r>
      <w:r w:rsidR="003F682E" w:rsidRPr="003F682E">
        <w:rPr>
          <w:rFonts w:ascii="Times New Roman" w:hAnsi="Times New Roman" w:cs="Times New Roman"/>
          <w:noProof/>
        </w:rPr>
        <w:t>(2, 4–7)</w:t>
      </w:r>
      <w:r w:rsidR="00E84C67">
        <w:rPr>
          <w:rFonts w:ascii="Times New Roman" w:hAnsi="Times New Roman" w:cs="Times New Roman"/>
        </w:rPr>
        <w:fldChar w:fldCharType="end"/>
      </w:r>
      <w:r w:rsidR="005C3B59">
        <w:rPr>
          <w:rFonts w:ascii="Times New Roman" w:hAnsi="Times New Roman" w:cs="Times New Roman"/>
        </w:rPr>
        <w:t>.</w:t>
      </w:r>
      <w:r w:rsidR="00AC7E1D">
        <w:rPr>
          <w:rFonts w:ascii="Times New Roman" w:hAnsi="Times New Roman" w:cs="Times New Roman"/>
        </w:rPr>
        <w:t xml:space="preserve"> </w:t>
      </w:r>
      <w:r w:rsidR="009F7768">
        <w:rPr>
          <w:rFonts w:ascii="Times New Roman" w:hAnsi="Times New Roman" w:cs="Times New Roman"/>
        </w:rPr>
        <w:t>Diff</w:t>
      </w:r>
      <w:r w:rsidR="0088369B">
        <w:rPr>
          <w:rFonts w:ascii="Times New Roman" w:hAnsi="Times New Roman" w:cs="Times New Roman"/>
        </w:rPr>
        <w:t>e</w:t>
      </w:r>
      <w:r w:rsidR="009F7768">
        <w:rPr>
          <w:rFonts w:ascii="Times New Roman" w:hAnsi="Times New Roman" w:cs="Times New Roman"/>
        </w:rPr>
        <w:t>rent levels</w:t>
      </w:r>
      <w:r w:rsidR="0088369B">
        <w:rPr>
          <w:rFonts w:ascii="Times New Roman" w:hAnsi="Times New Roman" w:cs="Times New Roman"/>
        </w:rPr>
        <w:t xml:space="preserve"> of</w:t>
      </w:r>
      <w:r w:rsidR="001919F4">
        <w:rPr>
          <w:rFonts w:ascii="Times New Roman" w:hAnsi="Times New Roman" w:cs="Times New Roman"/>
        </w:rPr>
        <w:t xml:space="preserve"> renal function</w:t>
      </w:r>
      <w:r w:rsidR="006A016C">
        <w:rPr>
          <w:rFonts w:ascii="Times New Roman" w:hAnsi="Times New Roman" w:cs="Times New Roman"/>
        </w:rPr>
        <w:t xml:space="preserve"> </w:t>
      </w:r>
      <w:r w:rsidR="006E6036">
        <w:rPr>
          <w:rFonts w:ascii="Times New Roman" w:hAnsi="Times New Roman" w:cs="Times New Roman"/>
        </w:rPr>
        <w:t>(</w:t>
      </w:r>
      <w:r w:rsidR="009F7768">
        <w:rPr>
          <w:rFonts w:ascii="Times New Roman" w:hAnsi="Times New Roman" w:cs="Times New Roman"/>
        </w:rPr>
        <w:t>quantified in terms of</w:t>
      </w:r>
      <w:r w:rsidR="00E90351">
        <w:rPr>
          <w:rFonts w:ascii="Times New Roman" w:hAnsi="Times New Roman" w:cs="Times New Roman"/>
        </w:rPr>
        <w:t xml:space="preserve"> serum creatinine and</w:t>
      </w:r>
      <w:r w:rsidR="006E6036">
        <w:rPr>
          <w:rFonts w:ascii="Times New Roman" w:hAnsi="Times New Roman" w:cs="Times New Roman"/>
        </w:rPr>
        <w:t xml:space="preserve"> </w:t>
      </w:r>
      <w:proofErr w:type="spellStart"/>
      <w:r w:rsidR="006E6036">
        <w:rPr>
          <w:rFonts w:ascii="Times New Roman" w:hAnsi="Times New Roman" w:cs="Times New Roman"/>
        </w:rPr>
        <w:t>eGFR</w:t>
      </w:r>
      <w:proofErr w:type="spellEnd"/>
      <w:r w:rsidR="00B1589B">
        <w:rPr>
          <w:rFonts w:ascii="Times New Roman" w:hAnsi="Times New Roman" w:cs="Times New Roman"/>
        </w:rPr>
        <w:t>)</w:t>
      </w:r>
      <w:r w:rsidR="001919F4">
        <w:rPr>
          <w:rFonts w:ascii="Times New Roman" w:hAnsi="Times New Roman" w:cs="Times New Roman"/>
        </w:rPr>
        <w:t xml:space="preserve"> </w:t>
      </w:r>
      <w:r w:rsidR="00A04F0E">
        <w:rPr>
          <w:rFonts w:ascii="Times New Roman" w:hAnsi="Times New Roman" w:cs="Times New Roman"/>
        </w:rPr>
        <w:t xml:space="preserve">also </w:t>
      </w:r>
      <w:r w:rsidR="001919F4">
        <w:rPr>
          <w:rFonts w:ascii="Times New Roman" w:hAnsi="Times New Roman" w:cs="Times New Roman"/>
        </w:rPr>
        <w:t>explain a portion of PK variability</w:t>
      </w:r>
      <w:r w:rsidR="006E6036">
        <w:rPr>
          <w:rFonts w:ascii="Times New Roman" w:hAnsi="Times New Roman" w:cs="Times New Roman"/>
        </w:rPr>
        <w:t xml:space="preserve"> in</w:t>
      </w:r>
      <w:r w:rsidR="009E09A8">
        <w:rPr>
          <w:rFonts w:ascii="Times New Roman" w:hAnsi="Times New Roman" w:cs="Times New Roman"/>
        </w:rPr>
        <w:t xml:space="preserve"> adults and</w:t>
      </w:r>
      <w:r w:rsidR="006E6036">
        <w:rPr>
          <w:rFonts w:ascii="Times New Roman" w:hAnsi="Times New Roman" w:cs="Times New Roman"/>
        </w:rPr>
        <w:t xml:space="preserve"> children </w:t>
      </w:r>
      <w:r w:rsidR="009E09A8">
        <w:rPr>
          <w:rFonts w:ascii="Times New Roman" w:hAnsi="Times New Roman" w:cs="Times New Roman"/>
        </w:rPr>
        <w:fldChar w:fldCharType="begin" w:fldLock="1"/>
      </w:r>
      <w:r w:rsidR="003F682E">
        <w:rPr>
          <w:rFonts w:ascii="Times New Roman" w:hAnsi="Times New Roman" w:cs="Times New Roman"/>
        </w:rPr>
        <w:instrText>ADDIN CSL_CITATION { "citationItems" : [ { "id" : "ITEM-1", "itemData" : { "DOI" : "10.1111/bcp.12710", "ISSN" : "03065251", "author" : [ { "dropping-particle" : "", "family" : "Zhao", "given" : "Wei", "non-dropping-particle" : "", "parse-names" : false, "suffix" : "" }, { "dropping-particle" : "", "family" : "Zhang", "given" : "Daolun", "non-dropping-particle" : "", "parse-names" : false, "suffix" : "" }, { "dropping-particle" : "", "family" : "Storme", "given" : "Thomas", "non-dropping-particle" : "", "parse-names" : false, "suffix" : "" }, { "dropping-particle" : "", "family" : "Baruchel", "given" : "Andr\u00e9", "non-dropping-particle" : "", "parse-names" : false, "suffix" : "" }, { "dropping-particle" : "", "family" : "Decl\u00e8ves", "given" : "Xavier", "non-dropping-particle" : "", "parse-names" : false, "suffix" : "" }, { "dropping-particle" : "", "family" : "Jacqz-Aigrain", "given" : "Evelyne", "non-dropping-particle" : "", "parse-names" : false, "suffix" : "" } ], "container-title" : "British Journal of Clinical Pharmacology", "id" : "ITEM-1", "issue" : "5", "issued" : { "date-parts" : [ [ "2015", "11" ] ] }, "page" : "1197-1207", "title" : "Population pharmacokinetics and dosing optimization of teicoplanin in children with malignant haematological disease", "type" : "article-journal", "volume" : "80" }, "uris" : [ "http://www.mendeley.com/documents/?uuid=bfe67b12-5fda-3ecb-ac30-f977f0f78042" ] }, { "id" : "ITEM-2", "itemData" : { "DOI" : "10.1016/j.ijantimicag.2012.05.025", "ISSN" : "09248579", "PMID" : "22818770", "abstract" : "The purpose of this study was (i) to determine the optimal dosage of teicoplanin for each patient group stratified by renal function and weight based on a population pharmacokinetic model and observed distribution of patient characteristics and (ii) to develop new simplified dosing regimens designed to achieve 15-30 \u03bcg/mL. Patient data were collected retrospectively from routine therapeutic drug monitoring files of adult patients who were given the standard loading dose regimen of teicoplanin (400 mg twice on Day 1, followed by 400 mg once daily for 2 days) and whose trough concentration was measured just before administration on Day 4. Monte Carlo simulation was conducted to estimate the trough concentration at 72 h after the initial loading dose (Cmin 72 h) and at steady state (Css min). The percentage of observed Cmin 72 h in patients who received the standard loading dose regimen outside the non-parametric 90% prediction interval (from 5th to 95th percentile) of the simulated Cmin 72 h was &lt;10%. Simplified loading dose and maintenance dose regimens for each group stratified by renal function and weight were created to achieve Cmin 72 h and Css min of 15 \u03bcg/mL and 20-25 \u03bcg/mL, respectively. The percentage of Cmin 72 h and Css min in the range 15-30 \u03bcg/mL was 43-65% and 61-82% across each renal function and weight strata, respectively. These new simplified dosing regimens of teicoplanin could be helpful in individual adjustment of the loading and maintenance doses to achieve 15-30 \u03bcg/mL. \u00a9 2012 Elsevier B.V. and the International Society of Chemotherapy. All rights reserved.", "author" : [ { "dropping-particle" : "", "family" : "Yamada", "given" : "Takaaki", "non-dropping-particle" : "", "parse-names" : false, "suffix" : "" }, { "dropping-particle" : "", "family" : "Nonaka", "given" : "Toshiharu", "non-dropping-particle" : "", "parse-names" : false, "suffix" : "" }, { "dropping-particle" : "", "family" : "Yano", "given" : "Takahisa", "non-dropping-particle" : "", "parse-names" : false, "suffix" : "" }, { "dropping-particle" : "", "family" : "Kubota", "given" : "Toshio", "non-dropping-particle" : "", "parse-names" : false, "suffix" : "" }, { "dropping-particle" : "", "family" : "Egashira", "given" : "Nobuaki", "non-dropping-particle" : "", "parse-names" : false, "suffix" : "" }, { "dropping-particle" : "", "family" : "Kawashiri", "given" : "Takehiro", "non-dropping-particle" : "", "parse-names" : false, "suffix" : "" }, { "dropping-particle" : "", "family" : "Oishi", "given" : "Ryozo", "non-dropping-particle" : "", "parse-names" : false, "suffix" : "" } ], "container-title" : "International Journal of Antimicrobial Agents", "id" : "ITEM-2", "issue" : "4", "issued" : { "date-parts" : [ [ "2012" ] ] }, "page" : "344-348", "title" : "Simplified dosing regimens of teicoplanin for patient groups stratified by renal function and weight using Monte Carlo simulation", "type" : "article-journal", "volume" : "40" }, "uris" : [ "http://www.mendeley.com/documents/?uuid=18554948-e443-4c8c-ad53-d595483ac308" ] } ], "mendeley" : { "formattedCitation" : "(7, 8)", "plainTextFormattedCitation" : "(7, 8)", "previouslyFormattedCitation" : "(7, 8)" }, "properties" : { "noteIndex" : 0 }, "schema" : "https://github.com/citation-style-language/schema/raw/master/csl-citation.json" }</w:instrText>
      </w:r>
      <w:r w:rsidR="009E09A8">
        <w:rPr>
          <w:rFonts w:ascii="Times New Roman" w:hAnsi="Times New Roman" w:cs="Times New Roman"/>
        </w:rPr>
        <w:fldChar w:fldCharType="separate"/>
      </w:r>
      <w:r w:rsidR="003F682E" w:rsidRPr="003F682E">
        <w:rPr>
          <w:rFonts w:ascii="Times New Roman" w:hAnsi="Times New Roman" w:cs="Times New Roman"/>
          <w:noProof/>
        </w:rPr>
        <w:t>(7, 8)</w:t>
      </w:r>
      <w:r w:rsidR="009E09A8">
        <w:rPr>
          <w:rFonts w:ascii="Times New Roman" w:hAnsi="Times New Roman" w:cs="Times New Roman"/>
        </w:rPr>
        <w:fldChar w:fldCharType="end"/>
      </w:r>
      <w:r w:rsidR="006E6036">
        <w:rPr>
          <w:rFonts w:ascii="Times New Roman" w:hAnsi="Times New Roman" w:cs="Times New Roman"/>
        </w:rPr>
        <w:t>.</w:t>
      </w:r>
      <w:r w:rsidR="00ED00E7" w:rsidRPr="00ED00E7">
        <w:rPr>
          <w:rFonts w:ascii="Times New Roman" w:hAnsi="Times New Roman" w:cs="Times New Roman"/>
        </w:rPr>
        <w:t xml:space="preserve"> </w:t>
      </w:r>
      <w:r w:rsidR="001919F4">
        <w:rPr>
          <w:rFonts w:ascii="Times New Roman" w:hAnsi="Times New Roman" w:cs="Times New Roman"/>
        </w:rPr>
        <w:t xml:space="preserve">However, most of the </w:t>
      </w:r>
      <w:r w:rsidR="00ED00E7">
        <w:rPr>
          <w:rFonts w:ascii="Times New Roman" w:hAnsi="Times New Roman" w:cs="Times New Roman"/>
        </w:rPr>
        <w:t xml:space="preserve">inter-patient </w:t>
      </w:r>
      <w:r w:rsidR="009F7768">
        <w:rPr>
          <w:rFonts w:ascii="Times New Roman" w:hAnsi="Times New Roman" w:cs="Times New Roman"/>
        </w:rPr>
        <w:t xml:space="preserve">variability in </w:t>
      </w:r>
      <w:r w:rsidR="00ED00E7">
        <w:rPr>
          <w:rFonts w:ascii="Times New Roman" w:hAnsi="Times New Roman" w:cs="Times New Roman"/>
        </w:rPr>
        <w:t>PK rema</w:t>
      </w:r>
      <w:r w:rsidR="001919F4">
        <w:rPr>
          <w:rFonts w:ascii="Times New Roman" w:hAnsi="Times New Roman" w:cs="Times New Roman"/>
        </w:rPr>
        <w:t xml:space="preserve">ins unexplained </w:t>
      </w:r>
      <w:r w:rsidR="00ED00E7">
        <w:rPr>
          <w:rFonts w:ascii="Times New Roman" w:hAnsi="Times New Roman" w:cs="Times New Roman"/>
        </w:rPr>
        <w:fldChar w:fldCharType="begin" w:fldLock="1"/>
      </w:r>
      <w:r w:rsidR="003F682E">
        <w:rPr>
          <w:rFonts w:ascii="Times New Roman" w:hAnsi="Times New Roman" w:cs="Times New Roman"/>
        </w:rPr>
        <w:instrText>ADDIN CSL_CITATION { "citationItems" : [ { "id" : "ITEM-1", "itemData" : { "DOI" : "10.1111/bcp.12710", "ISSN" : "03065251", "author" : [ { "dropping-particle" : "", "family" : "Zhao", "given" : "Wei", "non-dropping-particle" : "", "parse-names" : false, "suffix" : "" }, { "dropping-particle" : "", "family" : "Zhang", "given" : "Daolun", "non-dropping-particle" : "", "parse-names" : false, "suffix" : "" }, { "dropping-particle" : "", "family" : "Storme", "given" : "Thomas", "non-dropping-particle" : "", "parse-names" : false, "suffix" : "" }, { "dropping-particle" : "", "family" : "Baruchel", "given" : "Andr\u00e9", "non-dropping-particle" : "", "parse-names" : false, "suffix" : "" }, { "dropping-particle" : "", "family" : "Decl\u00e8ves", "given" : "Xavier", "non-dropping-particle" : "", "parse-names" : false, "suffix" : "" }, { "dropping-particle" : "", "family" : "Jacqz-Aigrain", "given" : "Evelyne", "non-dropping-particle" : "", "parse-names" : false, "suffix" : "" } ], "container-title" : "British Journal of Clinical Pharmacology", "id" : "ITEM-1", "issue" : "5", "issued" : { "date-parts" : [ [ "2015", "11" ] ] }, "page" : "1197-1207", "title" : "Population pharmacokinetics and dosing optimization of teicoplanin in children with malignant haematological disease", "type" : "article-journal", "volume" : "80" }, "uris" : [ "http://www.mendeley.com/documents/?uuid=bfe67b12-5fda-3ecb-ac30-f977f0f78042" ] }, { "id" : "ITEM-2", "itemData" : { "DOI" : "10.1016/j.ijantimicag.2015.05.019", "ISSN" : "09248579", "PMID" : "26228465", "abstract" : "In 2010, our hospital introduced a higher target teicoplanin trough concentration of \u226520 mg/L by Day 3 for haematological malignancy patients. This study aimed to explore whether target trough concentrations were achieved, to identify factors associated with trough concentrations attained, and to assess clinical efficacy with teicoplanin treatments and nephrotoxicity. This was a retrospective, single-centre, cohort study of 172 teicoplanin treatments in 104 adults with haematological malignancy. Mixed-effects regression was used to evaluate factors affecting trough concentrations, and logistic regression was used to assess the relationship between trough concentrations and treatment outcomes. Nephrotoxicity was assessed using the RIFLE criteria. Considerable variability in trough concentrations was observed, with trough concentrations \u226520 mg/L rarely achieved early in therapy. A mixed-effects regression model explaining 52% of the variation in trough concentrations was developed. Dose and day of therapy were positively associated with trough concentration, whilst estimated renal function and, interestingly, acute myeloid leukaemia diagnosis were negatively associated (P&lt;0.05). Results suggested a positive relationship between trough concentration and the likelihood of a favourable outcome for coagulase-negative staphylococcal central line-associated bloodstream infections. Elucidation of a specific target concentration requires further investigation. Teicoplanin was well tolerated renally. Findings suggest a risk of underexposure if conventional teicoplanin doses are used in haematological malignancy patients. Given the variability in trough concentrations observed, the identified factors affecting trough concentrations attained and the suggested link with clinical outcome, individualised initial dosing followed by therapeutic drug monitoring is recommended to ensure early adequate exposure in this vulnerable patient group.", "author" : [ { "dropping-particle" : "", "family" : "Byrne", "given" : "Catherine J.", "non-dropping-particle" : "", "parse-names" : false, "suffix" : "" }, { "dropping-particle" : "", "family" : "Egan", "given" : "Sean", "non-dropping-particle" : "", "parse-names" : false, "suffix" : "" }, { "dropping-particle" : "", "family" : "Fennell", "given" : "J\u00e9r\u00f4me P.", "non-dropping-particle" : "", "parse-names" : false, "suffix" : "" }, { "dropping-particle" : "", "family" : "O\u2019Byrne", "given" : "Philomena", "non-dropping-particle" : "", "parse-names" : false, "suffix" : "" }, { "dropping-particle" : "", "family" : "Enright", "given" : "Helen", "non-dropping-particle" : "", "parse-names" : false, "suffix" : "" }, { "dropping-particle" : "", "family" : "Deasy", "given" : "Evelyn", "non-dropping-particle" : "", "parse-names" : false, "suffix" : "" }, { "dropping-particle" : "", "family" : "Ryder", "given" : "Sheila A.", "non-dropping-particle" : "", "parse-names" : false, "suffix" : "" }, { "dropping-particle" : "", "family" : "D\u2019Arcy", "given" : "Deirdre M.", "non-dropping-particle" : "", "parse-names" : false, "suffix" : "" }, { "dropping-particle" : "", "family" : "McHugh", "given" : "Johnny", "non-dropping-particle" : "", "parse-names" : false, "suffix" : "" } ], "container-title" : "International Journal of Antimicrobial Agents", "id" : "ITEM-2", "issue" : "4", "issued" : { "date-parts" : [ [ "2015", "10" ] ] }, "page" : "406-412", "title" : "Teicoplanin use in adult patients with haematological malignancy: Exploring relationships between dose, trough concentrations, efficacy and nephrotoxicity", "type" : "article-journal", "volume" : "46" }, "uris" : [ "http://www.mendeley.com/documents/?uuid=7277db48-cabb-3f36-b155-6be3c658457e" ] } ], "mendeley" : { "formattedCitation" : "(7, 9)", "plainTextFormattedCitation" : "(7, 9)", "previouslyFormattedCitation" : "(7, 9)" }, "properties" : { "noteIndex" : 0 }, "schema" : "https://github.com/citation-style-language/schema/raw/master/csl-citation.json" }</w:instrText>
      </w:r>
      <w:r w:rsidR="00ED00E7">
        <w:rPr>
          <w:rFonts w:ascii="Times New Roman" w:hAnsi="Times New Roman" w:cs="Times New Roman"/>
        </w:rPr>
        <w:fldChar w:fldCharType="separate"/>
      </w:r>
      <w:r w:rsidR="003F682E" w:rsidRPr="003F682E">
        <w:rPr>
          <w:rFonts w:ascii="Times New Roman" w:hAnsi="Times New Roman" w:cs="Times New Roman"/>
          <w:noProof/>
        </w:rPr>
        <w:t>(7, 9)</w:t>
      </w:r>
      <w:r w:rsidR="00ED00E7">
        <w:rPr>
          <w:rFonts w:ascii="Times New Roman" w:hAnsi="Times New Roman" w:cs="Times New Roman"/>
        </w:rPr>
        <w:fldChar w:fldCharType="end"/>
      </w:r>
      <w:r w:rsidR="009F7768">
        <w:rPr>
          <w:rFonts w:ascii="Times New Roman" w:hAnsi="Times New Roman" w:cs="Times New Roman"/>
        </w:rPr>
        <w:t>.</w:t>
      </w:r>
      <w:r w:rsidR="001919F4">
        <w:rPr>
          <w:rFonts w:ascii="Times New Roman" w:hAnsi="Times New Roman" w:cs="Times New Roman"/>
        </w:rPr>
        <w:t xml:space="preserve"> </w:t>
      </w:r>
      <w:r w:rsidR="009F7768">
        <w:rPr>
          <w:rFonts w:ascii="Times New Roman" w:hAnsi="Times New Roman" w:cs="Times New Roman"/>
        </w:rPr>
        <w:t xml:space="preserve">Consequently, </w:t>
      </w:r>
      <w:r w:rsidR="001919F4">
        <w:rPr>
          <w:rFonts w:ascii="Times New Roman" w:hAnsi="Times New Roman" w:cs="Times New Roman"/>
        </w:rPr>
        <w:t xml:space="preserve">nomograms </w:t>
      </w:r>
      <w:r w:rsidR="009F7768">
        <w:rPr>
          <w:rFonts w:ascii="Times New Roman" w:hAnsi="Times New Roman" w:cs="Times New Roman"/>
        </w:rPr>
        <w:t xml:space="preserve">based on </w:t>
      </w:r>
      <w:r w:rsidR="003C1BEC">
        <w:rPr>
          <w:rFonts w:ascii="Times New Roman" w:hAnsi="Times New Roman" w:cs="Times New Roman"/>
        </w:rPr>
        <w:t xml:space="preserve">simple </w:t>
      </w:r>
      <w:r w:rsidR="009F7768">
        <w:rPr>
          <w:rFonts w:ascii="Times New Roman" w:hAnsi="Times New Roman" w:cs="Times New Roman"/>
        </w:rPr>
        <w:t>covar</w:t>
      </w:r>
      <w:r w:rsidR="0088369B">
        <w:rPr>
          <w:rFonts w:ascii="Times New Roman" w:hAnsi="Times New Roman" w:cs="Times New Roman"/>
        </w:rPr>
        <w:t>ia</w:t>
      </w:r>
      <w:r w:rsidR="009F7768">
        <w:rPr>
          <w:rFonts w:ascii="Times New Roman" w:hAnsi="Times New Roman" w:cs="Times New Roman"/>
        </w:rPr>
        <w:t xml:space="preserve">tes cannot be used </w:t>
      </w:r>
      <w:r w:rsidR="003C1BEC">
        <w:rPr>
          <w:rFonts w:ascii="Times New Roman" w:hAnsi="Times New Roman" w:cs="Times New Roman"/>
        </w:rPr>
        <w:t>to adjust dosages to ac</w:t>
      </w:r>
      <w:r w:rsidR="0088369B">
        <w:rPr>
          <w:rFonts w:ascii="Times New Roman" w:hAnsi="Times New Roman" w:cs="Times New Roman"/>
        </w:rPr>
        <w:t>hie</w:t>
      </w:r>
      <w:r w:rsidR="003C1BEC">
        <w:rPr>
          <w:rFonts w:ascii="Times New Roman" w:hAnsi="Times New Roman" w:cs="Times New Roman"/>
        </w:rPr>
        <w:t>ve therapeutic targets that are deemed safe and maximally effective</w:t>
      </w:r>
      <w:r w:rsidR="001919F4">
        <w:rPr>
          <w:rFonts w:ascii="Times New Roman" w:hAnsi="Times New Roman" w:cs="Times New Roman"/>
        </w:rPr>
        <w:t>.</w:t>
      </w:r>
    </w:p>
    <w:p w14:paraId="28AB2F32" w14:textId="01E2E94B" w:rsidR="008479FC" w:rsidRDefault="003C1BEC" w:rsidP="006D2919">
      <w:pPr>
        <w:spacing w:line="480" w:lineRule="auto"/>
        <w:ind w:firstLine="708"/>
        <w:jc w:val="both"/>
        <w:rPr>
          <w:rFonts w:ascii="Times New Roman" w:hAnsi="Times New Roman" w:cs="Times New Roman"/>
        </w:rPr>
      </w:pPr>
      <w:r>
        <w:rPr>
          <w:rFonts w:ascii="Times New Roman" w:hAnsi="Times New Roman" w:cs="Times New Roman"/>
        </w:rPr>
        <w:t>The</w:t>
      </w:r>
      <w:r w:rsidR="007C7070">
        <w:rPr>
          <w:rFonts w:ascii="Times New Roman" w:hAnsi="Times New Roman" w:cs="Times New Roman"/>
        </w:rPr>
        <w:t xml:space="preserve"> </w:t>
      </w:r>
      <w:r w:rsidR="001919F4">
        <w:rPr>
          <w:rFonts w:ascii="Times New Roman" w:hAnsi="Times New Roman" w:cs="Times New Roman"/>
        </w:rPr>
        <w:t>area under the concentration-time curve (</w:t>
      </w:r>
      <w:r w:rsidR="00ED00E7">
        <w:rPr>
          <w:rFonts w:ascii="Times New Roman" w:hAnsi="Times New Roman" w:cs="Times New Roman"/>
        </w:rPr>
        <w:t>AUC</w:t>
      </w:r>
      <w:r w:rsidR="001919F4">
        <w:rPr>
          <w:rFonts w:ascii="Times New Roman" w:hAnsi="Times New Roman" w:cs="Times New Roman"/>
        </w:rPr>
        <w:t>)</w:t>
      </w:r>
      <w:r w:rsidR="007C7070">
        <w:rPr>
          <w:rFonts w:ascii="Times New Roman" w:hAnsi="Times New Roman" w:cs="Times New Roman"/>
        </w:rPr>
        <w:t xml:space="preserve"> to minimum inhibitory concentration (MIC)</w:t>
      </w:r>
      <w:r w:rsidR="00BE57D6">
        <w:rPr>
          <w:rFonts w:ascii="Times New Roman" w:hAnsi="Times New Roman" w:cs="Times New Roman"/>
        </w:rPr>
        <w:t xml:space="preserve"> </w:t>
      </w:r>
      <w:r>
        <w:rPr>
          <w:rFonts w:ascii="Times New Roman" w:hAnsi="Times New Roman" w:cs="Times New Roman"/>
        </w:rPr>
        <w:t>is</w:t>
      </w:r>
      <w:r w:rsidR="0088369B">
        <w:rPr>
          <w:rFonts w:ascii="Times New Roman" w:hAnsi="Times New Roman" w:cs="Times New Roman"/>
        </w:rPr>
        <w:t xml:space="preserve"> the</w:t>
      </w:r>
      <w:r w:rsidR="00ED00E7">
        <w:rPr>
          <w:rFonts w:ascii="Times New Roman" w:hAnsi="Times New Roman" w:cs="Times New Roman"/>
        </w:rPr>
        <w:t xml:space="preserve"> </w:t>
      </w:r>
      <w:proofErr w:type="spellStart"/>
      <w:r>
        <w:rPr>
          <w:rFonts w:ascii="Times New Roman" w:hAnsi="Times New Roman" w:cs="Times New Roman"/>
        </w:rPr>
        <w:t>pharmacodynamic</w:t>
      </w:r>
      <w:proofErr w:type="spellEnd"/>
      <w:r>
        <w:rPr>
          <w:rFonts w:ascii="Times New Roman" w:hAnsi="Times New Roman" w:cs="Times New Roman"/>
        </w:rPr>
        <w:t xml:space="preserve"> index that best links </w:t>
      </w:r>
      <w:proofErr w:type="spellStart"/>
      <w:r w:rsidR="00C14AA4">
        <w:rPr>
          <w:rFonts w:ascii="Times New Roman" w:hAnsi="Times New Roman" w:cs="Times New Roman"/>
        </w:rPr>
        <w:t>teicoplanin</w:t>
      </w:r>
      <w:proofErr w:type="spellEnd"/>
      <w:r w:rsidR="00C14AA4">
        <w:rPr>
          <w:rFonts w:ascii="Times New Roman" w:hAnsi="Times New Roman" w:cs="Times New Roman"/>
        </w:rPr>
        <w:t xml:space="preserve"> </w:t>
      </w:r>
      <w:r>
        <w:rPr>
          <w:rFonts w:ascii="Times New Roman" w:hAnsi="Times New Roman" w:cs="Times New Roman"/>
        </w:rPr>
        <w:t>d</w:t>
      </w:r>
      <w:r w:rsidR="0086213C">
        <w:rPr>
          <w:rFonts w:ascii="Times New Roman" w:hAnsi="Times New Roman" w:cs="Times New Roman"/>
        </w:rPr>
        <w:t>rug exposure</w:t>
      </w:r>
      <w:r>
        <w:rPr>
          <w:rFonts w:ascii="Times New Roman" w:hAnsi="Times New Roman" w:cs="Times New Roman"/>
        </w:rPr>
        <w:t xml:space="preserve"> with the observed effect</w:t>
      </w:r>
      <w:r w:rsidR="005F3B51">
        <w:rPr>
          <w:rFonts w:ascii="Times New Roman" w:hAnsi="Times New Roman" w:cs="Times New Roman"/>
        </w:rPr>
        <w:t xml:space="preserve"> against methicillin-resistant </w:t>
      </w:r>
      <w:r w:rsidR="005F3B51" w:rsidRPr="005F3B51">
        <w:rPr>
          <w:rFonts w:ascii="Times New Roman" w:hAnsi="Times New Roman" w:cs="Times New Roman"/>
          <w:i/>
        </w:rPr>
        <w:t>Staphylococcus aureus</w:t>
      </w:r>
      <w:r w:rsidR="005F3B51">
        <w:rPr>
          <w:rFonts w:ascii="Times New Roman" w:hAnsi="Times New Roman" w:cs="Times New Roman"/>
        </w:rPr>
        <w:t xml:space="preserve"> (MR</w:t>
      </w:r>
      <w:r w:rsidR="0088369B">
        <w:rPr>
          <w:rFonts w:ascii="Times New Roman" w:hAnsi="Times New Roman" w:cs="Times New Roman"/>
        </w:rPr>
        <w:t>SA</w:t>
      </w:r>
      <w:r w:rsidR="005F3B51">
        <w:rPr>
          <w:rFonts w:ascii="Times New Roman" w:hAnsi="Times New Roman" w:cs="Times New Roman"/>
        </w:rPr>
        <w:t>)</w:t>
      </w:r>
      <w:r>
        <w:rPr>
          <w:rFonts w:ascii="Times New Roman" w:hAnsi="Times New Roman" w:cs="Times New Roman"/>
        </w:rPr>
        <w:t xml:space="preserve"> </w:t>
      </w:r>
      <w:r w:rsidR="00BE57D6" w:rsidRPr="00E84284">
        <w:rPr>
          <w:rFonts w:ascii="Times New Roman" w:hAnsi="Times New Roman" w:cs="Times New Roman"/>
        </w:rPr>
        <w:t>(</w:t>
      </w:r>
      <w:r w:rsidR="005A6A1D">
        <w:rPr>
          <w:rFonts w:ascii="Times New Roman" w:hAnsi="Times New Roman" w:cs="Times New Roman"/>
        </w:rPr>
        <w:t xml:space="preserve">V. Ramos-Martín, A. Johnson, L. </w:t>
      </w:r>
      <w:proofErr w:type="spellStart"/>
      <w:r w:rsidR="005A6A1D">
        <w:rPr>
          <w:rFonts w:ascii="Times New Roman" w:hAnsi="Times New Roman" w:cs="Times New Roman"/>
        </w:rPr>
        <w:t>McEntee</w:t>
      </w:r>
      <w:proofErr w:type="spellEnd"/>
      <w:r w:rsidR="005A6A1D">
        <w:rPr>
          <w:rFonts w:ascii="Times New Roman" w:hAnsi="Times New Roman" w:cs="Times New Roman"/>
        </w:rPr>
        <w:t>, N. Farrington, K.</w:t>
      </w:r>
      <w:r w:rsidR="00682F7E">
        <w:rPr>
          <w:rFonts w:ascii="Times New Roman" w:hAnsi="Times New Roman" w:cs="Times New Roman"/>
        </w:rPr>
        <w:t xml:space="preserve"> </w:t>
      </w:r>
      <w:proofErr w:type="spellStart"/>
      <w:r w:rsidR="005A6A1D">
        <w:rPr>
          <w:rFonts w:ascii="Times New Roman" w:hAnsi="Times New Roman" w:cs="Times New Roman"/>
        </w:rPr>
        <w:t>Padmore</w:t>
      </w:r>
      <w:proofErr w:type="spellEnd"/>
      <w:r w:rsidR="00682F7E">
        <w:rPr>
          <w:rFonts w:ascii="Times New Roman" w:hAnsi="Times New Roman" w:cs="Times New Roman"/>
        </w:rPr>
        <w:t xml:space="preserve">, P. </w:t>
      </w:r>
      <w:proofErr w:type="spellStart"/>
      <w:r w:rsidR="00682F7E">
        <w:rPr>
          <w:rFonts w:ascii="Times New Roman" w:hAnsi="Times New Roman" w:cs="Times New Roman"/>
        </w:rPr>
        <w:t>Cojutti</w:t>
      </w:r>
      <w:proofErr w:type="spellEnd"/>
      <w:r w:rsidR="00682F7E">
        <w:rPr>
          <w:rFonts w:ascii="Times New Roman" w:hAnsi="Times New Roman" w:cs="Times New Roman"/>
        </w:rPr>
        <w:t>, F. Pea, M. Neely, W</w:t>
      </w:r>
      <w:r w:rsidR="005A6A1D">
        <w:rPr>
          <w:rFonts w:ascii="Times New Roman" w:hAnsi="Times New Roman" w:cs="Times New Roman"/>
        </w:rPr>
        <w:t xml:space="preserve">. Hope, </w:t>
      </w:r>
      <w:r w:rsidRPr="00E84284">
        <w:rPr>
          <w:rFonts w:ascii="Times New Roman" w:hAnsi="Times New Roman" w:cs="Times New Roman"/>
        </w:rPr>
        <w:t>submitted</w:t>
      </w:r>
      <w:r w:rsidR="00E84284" w:rsidRPr="00E84284">
        <w:rPr>
          <w:rFonts w:ascii="Times New Roman" w:hAnsi="Times New Roman" w:cs="Times New Roman"/>
        </w:rPr>
        <w:t xml:space="preserve"> for publication</w:t>
      </w:r>
      <w:r w:rsidR="00BE57D6" w:rsidRPr="00E84284">
        <w:rPr>
          <w:rFonts w:ascii="Times New Roman" w:hAnsi="Times New Roman" w:cs="Times New Roman"/>
        </w:rPr>
        <w:t>).</w:t>
      </w:r>
      <w:r w:rsidR="00BE57D6">
        <w:rPr>
          <w:rFonts w:ascii="Times New Roman" w:hAnsi="Times New Roman" w:cs="Times New Roman"/>
        </w:rPr>
        <w:t xml:space="preserve"> </w:t>
      </w:r>
      <w:r w:rsidR="00890208">
        <w:rPr>
          <w:rFonts w:ascii="Times New Roman" w:hAnsi="Times New Roman" w:cs="Times New Roman"/>
        </w:rPr>
        <w:t>Nevertheless,</w:t>
      </w:r>
      <w:r w:rsidR="0086213C">
        <w:rPr>
          <w:rFonts w:ascii="Times New Roman" w:hAnsi="Times New Roman" w:cs="Times New Roman"/>
        </w:rPr>
        <w:t xml:space="preserve"> the</w:t>
      </w:r>
      <w:r w:rsidR="00890208">
        <w:rPr>
          <w:rFonts w:ascii="Times New Roman" w:hAnsi="Times New Roman" w:cs="Times New Roman"/>
        </w:rPr>
        <w:t xml:space="preserve"> p</w:t>
      </w:r>
      <w:r w:rsidR="0086213C">
        <w:rPr>
          <w:rFonts w:ascii="Times New Roman" w:hAnsi="Times New Roman" w:cs="Times New Roman"/>
        </w:rPr>
        <w:t>re-dose concentration</w:t>
      </w:r>
      <w:r w:rsidR="001919F4">
        <w:rPr>
          <w:rFonts w:ascii="Times New Roman" w:hAnsi="Times New Roman" w:cs="Times New Roman"/>
        </w:rPr>
        <w:t xml:space="preserve"> (</w:t>
      </w:r>
      <w:proofErr w:type="spellStart"/>
      <w:r>
        <w:rPr>
          <w:rFonts w:ascii="Times New Roman" w:hAnsi="Times New Roman" w:cs="Times New Roman"/>
        </w:rPr>
        <w:t>Cmin</w:t>
      </w:r>
      <w:proofErr w:type="spellEnd"/>
      <w:r>
        <w:rPr>
          <w:rFonts w:ascii="Times New Roman" w:hAnsi="Times New Roman" w:cs="Times New Roman"/>
        </w:rPr>
        <w:t xml:space="preserve"> (mg/L)</w:t>
      </w:r>
      <w:r w:rsidR="001919F4">
        <w:rPr>
          <w:rFonts w:ascii="Times New Roman" w:hAnsi="Times New Roman" w:cs="Times New Roman"/>
        </w:rPr>
        <w:t xml:space="preserve">) is the </w:t>
      </w:r>
      <w:r>
        <w:rPr>
          <w:rFonts w:ascii="Times New Roman" w:hAnsi="Times New Roman" w:cs="Times New Roman"/>
        </w:rPr>
        <w:t xml:space="preserve">most widely used </w:t>
      </w:r>
      <w:r w:rsidR="001919F4">
        <w:rPr>
          <w:rFonts w:ascii="Times New Roman" w:hAnsi="Times New Roman" w:cs="Times New Roman"/>
        </w:rPr>
        <w:t>measure of drug exposure</w:t>
      </w:r>
      <w:r w:rsidR="00890208">
        <w:rPr>
          <w:rFonts w:ascii="Times New Roman" w:hAnsi="Times New Roman" w:cs="Times New Roman"/>
        </w:rPr>
        <w:t xml:space="preserve"> to guide </w:t>
      </w:r>
      <w:r w:rsidR="00400442">
        <w:rPr>
          <w:rFonts w:ascii="Times New Roman" w:hAnsi="Times New Roman" w:cs="Times New Roman"/>
        </w:rPr>
        <w:t>therapeutic drug monitoring (</w:t>
      </w:r>
      <w:r w:rsidR="00890208">
        <w:rPr>
          <w:rFonts w:ascii="Times New Roman" w:hAnsi="Times New Roman" w:cs="Times New Roman"/>
        </w:rPr>
        <w:t>TDM</w:t>
      </w:r>
      <w:r w:rsidR="00400442">
        <w:rPr>
          <w:rFonts w:ascii="Times New Roman" w:hAnsi="Times New Roman" w:cs="Times New Roman"/>
        </w:rPr>
        <w:t>)</w:t>
      </w:r>
      <w:r w:rsidR="007532D4">
        <w:rPr>
          <w:rFonts w:ascii="Times New Roman" w:hAnsi="Times New Roman" w:cs="Times New Roman"/>
        </w:rPr>
        <w:t xml:space="preserve"> </w:t>
      </w:r>
      <w:r w:rsidR="00991859">
        <w:rPr>
          <w:rFonts w:ascii="Times New Roman" w:hAnsi="Times New Roman" w:cs="Times New Roman"/>
        </w:rPr>
        <w:fldChar w:fldCharType="begin" w:fldLock="1"/>
      </w:r>
      <w:r w:rsidR="003F682E">
        <w:rPr>
          <w:rFonts w:ascii="Times New Roman" w:hAnsi="Times New Roman" w:cs="Times New Roman"/>
        </w:rPr>
        <w:instrText>ADDIN CSL_CITATION { "citationItems" : [ { "id" : "ITEM-1", "itemData" : { "DOI" : "10.1093/jac/dkq266", "ISSN" : "03057453", "PMID" : "20682566", "abstract" : "Objectives An analysis of the trough serum concentrations sent to the UK Antimicrobial Reference Laboratory for teicoplanin therapeutic drug monitoring (TDM). Methods All trough concentrations over a 13 year period were analysed and the percentages were calculated for the following: &lt;10 mg/L (a sub-optimal concentration for all); \u226510-&lt;20 mg/L (the target used for ordinary Gram-positive infections); \u226520-&lt;60 mg/L (the target for all severe staphylococcal infections including endocarditis); and \u226560 mg/L (the concentration associated with toxicity). Results The percentage of patients with concentrations of &lt;10 mg/L decreased each year to 13% in 2006. Almost 40% of the samples each year were in the \u226510-&lt;20 mg/L range. In 1996, the percentage of samples in the \u226520-&lt;60 mg/L range reached a study high of \u223c70%. That percentage then fell to 30% and increased slowly to 50% at the end of the study. Fewer than 5% of the samples were \u226560 mg/L. Conclusions Our study shows that there is a need to increase the initial dose or extend the number of days that the loading dose is used in a significant number of patients. With such a wide optimal range and a low potential for toxicity, it is unclear why optimal therapy is not achieved in a higher percentage of patients.", "author" : [ { "dropping-particle" : "", "family" : "Tobin", "given" : "C. M.", "non-dropping-particle" : "", "parse-names" : false, "suffix" : "" }, { "dropping-particle" : "", "family" : "Lovering", "given" : "A. M.", "non-dropping-particle" : "", "parse-names" : false, "suffix" : "" }, { "dropping-particle" : "", "family" : "Sweeney", "given" : "E.", "non-dropping-particle" : "", "parse-names" : false, "suffix" : "" }, { "dropping-particle" : "", "family" : "MacGowan", "given" : "A. P.", "non-dropping-particle" : "", "parse-names" : false, "suffix" : "" } ], "container-title" : "Journal of Antimicrobial Chemotherapy", "id" : "ITEM-1", "issue" : "10", "issued" : { "date-parts" : [ [ "2010" ] ] }, "note" : "NULL", "page" : "2155-2157", "title" : "Analyses of teicoplanin concentrations from 1994 to 2006 from a UK assay service", "type" : "article-journal", "volume" : "65" }, "uris" : [ "http://www.mendeley.com/documents/?uuid=11701d5e-13d3-41c9-8243-3d31da657987" ] } ], "mendeley" : { "formattedCitation" : "(10)", "plainTextFormattedCitation" : "(10)", "previouslyFormattedCitation" : "(10)" }, "properties" : { "noteIndex" : 0 }, "schema" : "https://github.com/citation-style-language/schema/raw/master/csl-citation.json" }</w:instrText>
      </w:r>
      <w:r w:rsidR="00991859">
        <w:rPr>
          <w:rFonts w:ascii="Times New Roman" w:hAnsi="Times New Roman" w:cs="Times New Roman"/>
        </w:rPr>
        <w:fldChar w:fldCharType="separate"/>
      </w:r>
      <w:r w:rsidR="003F682E" w:rsidRPr="003F682E">
        <w:rPr>
          <w:rFonts w:ascii="Times New Roman" w:hAnsi="Times New Roman" w:cs="Times New Roman"/>
          <w:noProof/>
        </w:rPr>
        <w:t>(10)</w:t>
      </w:r>
      <w:r w:rsidR="00991859">
        <w:rPr>
          <w:rFonts w:ascii="Times New Roman" w:hAnsi="Times New Roman" w:cs="Times New Roman"/>
        </w:rPr>
        <w:fldChar w:fldCharType="end"/>
      </w:r>
      <w:r>
        <w:rPr>
          <w:rFonts w:ascii="Times New Roman" w:hAnsi="Times New Roman" w:cs="Times New Roman"/>
        </w:rPr>
        <w:t>.</w:t>
      </w:r>
      <w:r w:rsidR="00BE57D6">
        <w:rPr>
          <w:rFonts w:ascii="Times New Roman" w:hAnsi="Times New Roman" w:cs="Times New Roman"/>
        </w:rPr>
        <w:t xml:space="preserve"> </w:t>
      </w:r>
      <w:r w:rsidR="003E2419">
        <w:rPr>
          <w:rFonts w:ascii="Times New Roman" w:hAnsi="Times New Roman" w:cs="Times New Roman"/>
        </w:rPr>
        <w:t xml:space="preserve">A </w:t>
      </w:r>
      <w:proofErr w:type="spellStart"/>
      <w:r w:rsidR="00890208">
        <w:rPr>
          <w:rFonts w:ascii="Times New Roman" w:hAnsi="Times New Roman" w:cs="Times New Roman"/>
        </w:rPr>
        <w:t>Cmin</w:t>
      </w:r>
      <w:proofErr w:type="spellEnd"/>
      <w:r w:rsidR="00E21FC7">
        <w:rPr>
          <w:rFonts w:ascii="Times New Roman" w:hAnsi="Times New Roman" w:cs="Times New Roman"/>
        </w:rPr>
        <w:t xml:space="preserve"> </w:t>
      </w:r>
      <w:r w:rsidR="003E2419">
        <w:rPr>
          <w:rFonts w:ascii="Times New Roman" w:hAnsi="Times New Roman" w:cs="Times New Roman"/>
        </w:rPr>
        <w:t xml:space="preserve">target </w:t>
      </w:r>
      <w:r w:rsidR="00E21FC7">
        <w:rPr>
          <w:rFonts w:ascii="Times New Roman" w:hAnsi="Times New Roman" w:cs="Times New Roman"/>
        </w:rPr>
        <w:sym w:font="Symbol" w:char="F0B3"/>
      </w:r>
      <w:r w:rsidR="00E21FC7">
        <w:rPr>
          <w:rFonts w:ascii="Times New Roman" w:hAnsi="Times New Roman" w:cs="Times New Roman"/>
        </w:rPr>
        <w:t xml:space="preserve"> 15 mg/L by days 3-5 of therapy </w:t>
      </w:r>
      <w:r w:rsidR="003E2419">
        <w:rPr>
          <w:rFonts w:ascii="Times New Roman" w:hAnsi="Times New Roman" w:cs="Times New Roman"/>
        </w:rPr>
        <w:t xml:space="preserve">is </w:t>
      </w:r>
      <w:r w:rsidR="00890208">
        <w:rPr>
          <w:rFonts w:ascii="Times New Roman" w:hAnsi="Times New Roman" w:cs="Times New Roman"/>
        </w:rPr>
        <w:t xml:space="preserve">recommended </w:t>
      </w:r>
      <w:r w:rsidR="00E21FC7">
        <w:rPr>
          <w:rFonts w:ascii="Times New Roman" w:hAnsi="Times New Roman" w:cs="Times New Roman"/>
        </w:rPr>
        <w:t>for most indications</w:t>
      </w:r>
      <w:r w:rsidR="007532D4">
        <w:rPr>
          <w:rFonts w:ascii="Times New Roman" w:hAnsi="Times New Roman" w:cs="Times New Roman"/>
        </w:rPr>
        <w:t xml:space="preserve"> </w:t>
      </w:r>
      <w:r w:rsidR="005324D3">
        <w:rPr>
          <w:rFonts w:ascii="Times New Roman" w:hAnsi="Times New Roman" w:cs="Times New Roman"/>
        </w:rPr>
        <w:fldChar w:fldCharType="begin" w:fldLock="1"/>
      </w:r>
      <w:r w:rsidR="003F682E">
        <w:rPr>
          <w:rFonts w:ascii="Times New Roman" w:hAnsi="Times New Roman" w:cs="Times New Roman"/>
        </w:rPr>
        <w:instrText>ADDIN CSL_CITATION { "citationItems" : [ { "id" : "ITEM-1", "itemData" : { "URL" : "http://www.medicines.org.uk/emc/medicine/27319/SPC", "accessed" : { "date-parts" : [ [ "2016", "1", "19" ] ] }, "author" : [ { "dropping-particle" : "", "family" : "The Electronic Medicines Compendium", "given" : "", "non-dropping-particle" : "", "parse-names" : false, "suffix" : "" } ], "id" : "ITEM-1", "issued" : { "date-parts" : [ [ "2014" ] ] }, "title" : "Targocid 200mg - Summary of Product Characteristics (SPC) - (eMC)", "type" : "webpage" }, "uris" : [ "http://www.mendeley.com/documents/?uuid=c87de902-3ab2-487e-b975-f602ec9b9712" ] } ], "mendeley" : { "formattedCitation" : "(11)", "plainTextFormattedCitation" : "(11)", "previouslyFormattedCitation" : "(11)" }, "properties" : { "noteIndex" : 0 }, "schema" : "https://github.com/citation-style-language/schema/raw/master/csl-citation.json" }</w:instrText>
      </w:r>
      <w:r w:rsidR="005324D3">
        <w:rPr>
          <w:rFonts w:ascii="Times New Roman" w:hAnsi="Times New Roman" w:cs="Times New Roman"/>
        </w:rPr>
        <w:fldChar w:fldCharType="separate"/>
      </w:r>
      <w:r w:rsidR="003F682E" w:rsidRPr="003F682E">
        <w:rPr>
          <w:rFonts w:ascii="Times New Roman" w:hAnsi="Times New Roman" w:cs="Times New Roman"/>
          <w:noProof/>
        </w:rPr>
        <w:t>(11)</w:t>
      </w:r>
      <w:r w:rsidR="005324D3">
        <w:rPr>
          <w:rFonts w:ascii="Times New Roman" w:hAnsi="Times New Roman" w:cs="Times New Roman"/>
        </w:rPr>
        <w:fldChar w:fldCharType="end"/>
      </w:r>
      <w:r w:rsidR="005324D3">
        <w:rPr>
          <w:rFonts w:ascii="Times New Roman" w:hAnsi="Times New Roman" w:cs="Times New Roman"/>
        </w:rPr>
        <w:t xml:space="preserve">. </w:t>
      </w:r>
      <w:r w:rsidR="00E42500">
        <w:rPr>
          <w:rFonts w:ascii="Times New Roman" w:hAnsi="Times New Roman" w:cs="Times New Roman"/>
        </w:rPr>
        <w:t>These targets have</w:t>
      </w:r>
      <w:r w:rsidR="00E21FC7">
        <w:rPr>
          <w:rFonts w:ascii="Times New Roman" w:hAnsi="Times New Roman" w:cs="Times New Roman"/>
        </w:rPr>
        <w:t xml:space="preserve"> recently increased to 20 and 30-40 mg/L</w:t>
      </w:r>
      <w:r w:rsidR="006072A9">
        <w:rPr>
          <w:rFonts w:ascii="Times New Roman" w:hAnsi="Times New Roman" w:cs="Times New Roman"/>
        </w:rPr>
        <w:t xml:space="preserve"> in the Summary of Product C</w:t>
      </w:r>
      <w:r w:rsidR="002E3605">
        <w:rPr>
          <w:rFonts w:ascii="Times New Roman" w:hAnsi="Times New Roman" w:cs="Times New Roman"/>
        </w:rPr>
        <w:t>haracteristics (SPC)</w:t>
      </w:r>
      <w:r w:rsidR="00E21FC7">
        <w:rPr>
          <w:rFonts w:ascii="Times New Roman" w:hAnsi="Times New Roman" w:cs="Times New Roman"/>
        </w:rPr>
        <w:t xml:space="preserve"> for the treatment of deep-seated infections</w:t>
      </w:r>
      <w:r w:rsidR="002B66E5">
        <w:rPr>
          <w:rFonts w:ascii="Times New Roman" w:hAnsi="Times New Roman" w:cs="Times New Roman"/>
        </w:rPr>
        <w:t xml:space="preserve"> (bone and joint infections)</w:t>
      </w:r>
      <w:r w:rsidR="00FE01EA">
        <w:rPr>
          <w:rFonts w:ascii="Times New Roman" w:hAnsi="Times New Roman" w:cs="Times New Roman"/>
        </w:rPr>
        <w:t xml:space="preserve"> and infective endocarditis, respectively</w:t>
      </w:r>
      <w:r w:rsidR="004078A0">
        <w:rPr>
          <w:rFonts w:ascii="Times New Roman" w:hAnsi="Times New Roman" w:cs="Times New Roman"/>
        </w:rPr>
        <w:t xml:space="preserve"> </w:t>
      </w:r>
      <w:r w:rsidR="004078A0">
        <w:rPr>
          <w:rFonts w:ascii="Times New Roman" w:hAnsi="Times New Roman" w:cs="Times New Roman"/>
        </w:rPr>
        <w:fldChar w:fldCharType="begin" w:fldLock="1"/>
      </w:r>
      <w:r w:rsidR="003F682E">
        <w:rPr>
          <w:rFonts w:ascii="Times New Roman" w:hAnsi="Times New Roman" w:cs="Times New Roman"/>
        </w:rPr>
        <w:instrText>ADDIN CSL_CITATION { "citationItems" : [ { "id" : "ITEM-1", "itemData" : { "URL" : "http://www.medicines.org.uk/emc/medicine/27319/SPC", "accessed" : { "date-parts" : [ [ "2016", "1", "19" ] ] }, "author" : [ { "dropping-particle" : "", "family" : "The Electronic Medicines Compendium", "given" : "", "non-dropping-particle" : "", "parse-names" : false, "suffix" : "" } ], "id" : "ITEM-1", "issued" : { "date-parts" : [ [ "2014" ] ] }, "title" : "Targocid 200mg - Summary of Product Characteristics (SPC) - (eMC)", "type" : "webpage" }, "uris" : [ "http://www.mendeley.com/documents/?uuid=c87de902-3ab2-487e-b975-f602ec9b9712" ] } ], "mendeley" : { "formattedCitation" : "(11)", "plainTextFormattedCitation" : "(11)", "previouslyFormattedCitation" : "(11)" }, "properties" : { "noteIndex" : 0 }, "schema" : "https://github.com/citation-style-language/schema/raw/master/csl-citation.json" }</w:instrText>
      </w:r>
      <w:r w:rsidR="004078A0">
        <w:rPr>
          <w:rFonts w:ascii="Times New Roman" w:hAnsi="Times New Roman" w:cs="Times New Roman"/>
        </w:rPr>
        <w:fldChar w:fldCharType="separate"/>
      </w:r>
      <w:r w:rsidR="003F682E" w:rsidRPr="003F682E">
        <w:rPr>
          <w:rFonts w:ascii="Times New Roman" w:hAnsi="Times New Roman" w:cs="Times New Roman"/>
          <w:noProof/>
        </w:rPr>
        <w:t>(11)</w:t>
      </w:r>
      <w:r w:rsidR="004078A0">
        <w:rPr>
          <w:rFonts w:ascii="Times New Roman" w:hAnsi="Times New Roman" w:cs="Times New Roman"/>
        </w:rPr>
        <w:fldChar w:fldCharType="end"/>
      </w:r>
      <w:r w:rsidR="005324D3">
        <w:rPr>
          <w:rFonts w:ascii="Times New Roman" w:hAnsi="Times New Roman" w:cs="Times New Roman"/>
        </w:rPr>
        <w:t>. Currently recommended</w:t>
      </w:r>
      <w:r w:rsidR="002E3605">
        <w:rPr>
          <w:rFonts w:ascii="Times New Roman" w:hAnsi="Times New Roman" w:cs="Times New Roman"/>
        </w:rPr>
        <w:t xml:space="preserve"> targets are based on small retrospective studies in adult</w:t>
      </w:r>
      <w:r w:rsidR="00B44863">
        <w:rPr>
          <w:rFonts w:ascii="Times New Roman" w:hAnsi="Times New Roman" w:cs="Times New Roman"/>
        </w:rPr>
        <w:t>s that have explored</w:t>
      </w:r>
      <w:r w:rsidR="002E3605">
        <w:rPr>
          <w:rFonts w:ascii="Times New Roman" w:hAnsi="Times New Roman" w:cs="Times New Roman"/>
        </w:rPr>
        <w:t xml:space="preserve"> the relationship between </w:t>
      </w:r>
      <w:proofErr w:type="spellStart"/>
      <w:r w:rsidR="002E3605">
        <w:rPr>
          <w:rFonts w:ascii="Times New Roman" w:hAnsi="Times New Roman" w:cs="Times New Roman"/>
        </w:rPr>
        <w:t>teicoplanin</w:t>
      </w:r>
      <w:proofErr w:type="spellEnd"/>
      <w:r w:rsidR="002E3605">
        <w:rPr>
          <w:rFonts w:ascii="Times New Roman" w:hAnsi="Times New Roman" w:cs="Times New Roman"/>
        </w:rPr>
        <w:t xml:space="preserve"> trough exposure and clinical outcome</w:t>
      </w:r>
      <w:r w:rsidR="007532D4">
        <w:rPr>
          <w:rFonts w:ascii="Times New Roman" w:hAnsi="Times New Roman" w:cs="Times New Roman"/>
        </w:rPr>
        <w:t xml:space="preserve">s </w:t>
      </w:r>
      <w:r w:rsidR="002E3605">
        <w:rPr>
          <w:rFonts w:ascii="Times New Roman" w:hAnsi="Times New Roman" w:cs="Times New Roman"/>
        </w:rPr>
        <w:fldChar w:fldCharType="begin" w:fldLock="1"/>
      </w:r>
      <w:r w:rsidR="003F682E">
        <w:rPr>
          <w:rFonts w:ascii="Times New Roman" w:hAnsi="Times New Roman" w:cs="Times New Roman"/>
        </w:rPr>
        <w:instrText>ADDIN CSL_CITATION { "citationItems" : [ { "id" : "ITEM-1", "itemData" : { "DOI" : "10.1007/s10156-011-0325-z", "ISSN" : "1437-7780", "PMID" : "22065089", "abstract" : "Minimum inhibitory concentration (MIC) creep in vancomycin has prompted guidelines that recommend a target trough concentration (C (min)) of 15-20\u00a0mg/L, and it is also considered necessary to set a C (min) of &gt;15\u00a0mg/L for teicoplanin (TEIC), especially in patients with complicated methicillin-resistant Staphylococcus aureus (MRSA) infections. The aim of this study was to investigate the appropriate TEIC regimen for reaching the revised target C (min) (15-30\u00a0mg/L) in patients with normal renal function and those with renal dysfunction. We analyzed patients with MRSA infections who were treated with TEIC between July 2006 and December 2009. Two-day loading regimen was studied in patients with non-renal-dysfunction (group 1). The 1-day loading regimen was studied in patients with non-renal-dysfunction (group 2, control) and in patients with renal dysfunction (group 3). The 178 patients in the study consisted of 76, 28, and 74 patients in groups 1, 2, and 3, respectively. C (min) on day 4 was 14.6\u00a0\u00b1\u00a05.6, 11.9\u00a0\u00b1\u00a04.1, and 13.5\u00a0\u00b1\u00a04.2\u00a0mg/L, and the proportion of patients achieving the revised target range was 34.2%, 17.9%, and 20.3%, respectively. Only one patient in group 1 revealed C (min) of &gt;30\u00a0mg/L. Treatment success rates, nephrotoxicity, and hepatotoxicity were similar among the three groups. It was difficult to achieve the revised target C (min) with the 2-day loading regimen in patients without renal dysfunction and with the standard TEIC regimen, even in patients with renal dysfunction. Further investigation of an even higher TEIC dosing regimen is considered necessary.", "author" : [ { "dropping-particle" : "", "family" : "Ueda", "given" : "Takashi", "non-dropping-particle" : "", "parse-names" : false, "suffix" : "" }, { "dropping-particle" : "", "family" : "Takesue", "given" : "Yoshio", "non-dropping-particle" : "", "parse-names" : false, "suffix" : "" }, { "dropping-particle" : "", "family" : "Nakajima", "given" : "Kazuhiko", "non-dropping-particle" : "", "parse-names" : false, "suffix" : "" }, { "dropping-particle" : "", "family" : "Ichki", "given" : "Kaoru", "non-dropping-particle" : "", "parse-names" : false, "suffix" : "" }, { "dropping-particle" : "", "family" : "Wada", "given" : "Yasunao", "non-dropping-particle" : "", "parse-names" : false, "suffix" : "" }, { "dropping-particle" : "", "family" : "Tsuchida", "given" : "Toshie", "non-dropping-particle" : "", "parse-names" : false, "suffix" : "" }, { "dropping-particle" : "", "family" : "Takahashi", "given" : "Yoshiko", "non-dropping-particle" : "", "parse-names" : false, "suffix" : "" }, { "dropping-particle" : "", "family" : "Ishihara", "given" : "Mika", "non-dropping-particle" : "", "parse-names" : false, "suffix" : "" }, { "dropping-particle" : "", "family" : "Tatsumi", "given" : "Sumiyo", "non-dropping-particle" : "", "parse-names" : false, "suffix" : "" }, { "dropping-particle" : "", "family" : "Kimura", "given" : "Takeshi", "non-dropping-particle" : "", "parse-names" : false, "suffix" : "" }, { "dropping-particle" : "", "family" : "Ikeuchi", "given" : "Hiroki", "non-dropping-particle" : "", "parse-names" : false, "suffix" : "" }, { "dropping-particle" : "", "family" : "Uchino", "given" : "Motoi", "non-dropping-particle" : "", "parse-names" : false, "suffix" : "" } ], "container-title" : "Journal of infection and chemotherapy : official journal of the Japan Society of Chemotherapy", "id" : "ITEM-1", "issue" : "3", "issued" : { "date-parts" : [ [ "2012", "6" ] ] }, "page" : "296-302", "title" : "Evaluation of teicoplanin dosing designs to achieve a new target trough concentration.", "type" : "article-journal", "volume" : "18" }, "uris" : [ "http://www.mendeley.com/documents/?uuid=1c0bb471-8061-409e-8f44-5322e52e42fd" ] }, { "id" : "ITEM-2", "itemData" : { "ISSN" : "0305-7453", "PMID" : "10837438", "abstract" : "Logistic regression analysis was performed on data drawn from a clinical trials database for Staphylococcus aureus septicaemia treated with teicoplanin. Variables analysed were age, body weight, mean pre-dose and post-dose serum teicoplanin concentrations, mean dose (mg or mg/kg body weight) and combination versus monotherapy. Only two variables correlated with clinical outcome at a significance level better than 0.05: age (P = 0.012) and mean pre-dose serum concentration (P = 0.010). The probability of successful treatment declined with age and increased with mean pre-dose serum concentration.", "author" : [ { "dropping-particle" : "", "family" : "Harding", "given" : "I", "non-dropping-particle" : "", "parse-names" : false, "suffix" : "" }, { "dropping-particle" : "", "family" : "MacGowan", "given" : "a P", "non-dropping-particle" : "", "parse-names" : false, "suffix" : "" }, { "dropping-particle" : "", "family" : "White", "given" : "L O", "non-dropping-particle" : "", "parse-names" : false, "suffix" : "" }, { "dropping-particle" : "", "family" : "Darley", "given" : "E S", "non-dropping-particle" : "", "parse-names" : false, "suffix" : "" }, { "dropping-particle" : "", "family" : "Reed", "given" : "V", "non-dropping-particle" : "", "parse-names" : false, "suffix" : "" } ], "container-title" : "The Journal of antimicrobial chemotherapy", "id" : "ITEM-2", "issue" : "6", "issued" : { "date-parts" : [ [ "2000" ] ] }, "page" : "835-41", "title" : "Teicoplanin therapy for Staphylococcus aureus septicaemia: relationship between pre-dose serum concentrations and outcome.", "type" : "article-journal", "volume" : "45" }, "uris" : [ "http://www.mendeley.com/documents/?uuid=1c681da2-85d8-4151-9a36-1fc423879991" ] } ], "mendeley" : { "formattedCitation" : "(12, 13)", "plainTextFormattedCitation" : "(12, 13)", "previouslyFormattedCitation" : "(12, 13)" }, "properties" : { "noteIndex" : 0 }, "schema" : "https://github.com/citation-style-language/schema/raw/master/csl-citation.json" }</w:instrText>
      </w:r>
      <w:r w:rsidR="002E3605">
        <w:rPr>
          <w:rFonts w:ascii="Times New Roman" w:hAnsi="Times New Roman" w:cs="Times New Roman"/>
        </w:rPr>
        <w:fldChar w:fldCharType="separate"/>
      </w:r>
      <w:r w:rsidR="003F682E" w:rsidRPr="003F682E">
        <w:rPr>
          <w:rFonts w:ascii="Times New Roman" w:hAnsi="Times New Roman" w:cs="Times New Roman"/>
          <w:noProof/>
        </w:rPr>
        <w:t>(12, 13)</w:t>
      </w:r>
      <w:r w:rsidR="002E3605">
        <w:rPr>
          <w:rFonts w:ascii="Times New Roman" w:hAnsi="Times New Roman" w:cs="Times New Roman"/>
        </w:rPr>
        <w:fldChar w:fldCharType="end"/>
      </w:r>
      <w:r w:rsidR="00E21FC7">
        <w:rPr>
          <w:rFonts w:ascii="Times New Roman" w:hAnsi="Times New Roman" w:cs="Times New Roman"/>
        </w:rPr>
        <w:t>.</w:t>
      </w:r>
      <w:r w:rsidR="00880EFA">
        <w:rPr>
          <w:rFonts w:ascii="Times New Roman" w:hAnsi="Times New Roman" w:cs="Times New Roman"/>
        </w:rPr>
        <w:t xml:space="preserve"> </w:t>
      </w:r>
      <w:r w:rsidR="007C6F93">
        <w:rPr>
          <w:rFonts w:ascii="Times New Roman" w:hAnsi="Times New Roman" w:cs="Times New Roman"/>
        </w:rPr>
        <w:t xml:space="preserve">More recently, </w:t>
      </w:r>
      <w:r w:rsidR="00E42500">
        <w:rPr>
          <w:rFonts w:ascii="Times New Roman" w:hAnsi="Times New Roman" w:cs="Times New Roman"/>
        </w:rPr>
        <w:t xml:space="preserve">daily </w:t>
      </w:r>
      <w:r w:rsidR="007C6F93">
        <w:rPr>
          <w:rFonts w:ascii="Times New Roman" w:hAnsi="Times New Roman" w:cs="Times New Roman"/>
        </w:rPr>
        <w:t>AUCs &gt;750</w:t>
      </w:r>
      <w:r w:rsidR="002E3605">
        <w:rPr>
          <w:rFonts w:ascii="Times New Roman" w:hAnsi="Times New Roman" w:cs="Times New Roman"/>
        </w:rPr>
        <w:t>-800</w:t>
      </w:r>
      <w:r w:rsidR="007C6F93">
        <w:rPr>
          <w:rFonts w:ascii="Times New Roman" w:hAnsi="Times New Roman" w:cs="Times New Roman"/>
        </w:rPr>
        <w:t xml:space="preserve"> mg*h/L</w:t>
      </w:r>
      <w:r w:rsidR="00C61B35">
        <w:rPr>
          <w:rFonts w:ascii="Times New Roman" w:hAnsi="Times New Roman" w:cs="Times New Roman"/>
        </w:rPr>
        <w:t xml:space="preserve"> by day </w:t>
      </w:r>
      <w:r w:rsidR="007532D4">
        <w:rPr>
          <w:rFonts w:ascii="Times New Roman" w:hAnsi="Times New Roman" w:cs="Times New Roman"/>
        </w:rPr>
        <w:t xml:space="preserve">three </w:t>
      </w:r>
      <w:r w:rsidR="00C61B35">
        <w:rPr>
          <w:rFonts w:ascii="Times New Roman" w:hAnsi="Times New Roman" w:cs="Times New Roman"/>
        </w:rPr>
        <w:t>of therapy</w:t>
      </w:r>
      <w:r w:rsidR="007C6F93">
        <w:rPr>
          <w:rFonts w:ascii="Times New Roman" w:hAnsi="Times New Roman" w:cs="Times New Roman"/>
        </w:rPr>
        <w:t xml:space="preserve"> have been linked to microbiological cure of </w:t>
      </w:r>
      <w:r w:rsidR="002E3605">
        <w:rPr>
          <w:rFonts w:ascii="Times New Roman" w:hAnsi="Times New Roman" w:cs="Times New Roman"/>
        </w:rPr>
        <w:t>adult</w:t>
      </w:r>
      <w:r w:rsidR="007532D4">
        <w:rPr>
          <w:rFonts w:ascii="Times New Roman" w:hAnsi="Times New Roman" w:cs="Times New Roman"/>
        </w:rPr>
        <w:t>s</w:t>
      </w:r>
      <w:r w:rsidR="002E3605">
        <w:rPr>
          <w:rFonts w:ascii="Times New Roman" w:hAnsi="Times New Roman" w:cs="Times New Roman"/>
        </w:rPr>
        <w:t xml:space="preserve"> </w:t>
      </w:r>
      <w:r w:rsidR="006072A9">
        <w:rPr>
          <w:rFonts w:ascii="Times New Roman" w:hAnsi="Times New Roman" w:cs="Times New Roman"/>
        </w:rPr>
        <w:t>with MRSA infection</w:t>
      </w:r>
      <w:r w:rsidR="002E3605">
        <w:rPr>
          <w:rFonts w:ascii="Times New Roman" w:hAnsi="Times New Roman" w:cs="Times New Roman"/>
        </w:rPr>
        <w:t xml:space="preserve"> </w:t>
      </w:r>
      <w:r w:rsidR="007F6B48">
        <w:rPr>
          <w:rFonts w:ascii="Times New Roman" w:hAnsi="Times New Roman" w:cs="Times New Roman"/>
        </w:rPr>
        <w:fldChar w:fldCharType="begin" w:fldLock="1"/>
      </w:r>
      <w:r w:rsidR="003F682E">
        <w:rPr>
          <w:rFonts w:ascii="Times New Roman" w:hAnsi="Times New Roman" w:cs="Times New Roman"/>
        </w:rPr>
        <w:instrText>ADDIN CSL_CITATION { "citationItems" : [ { "id" : "ITEM-1", "itemData" : { "DOI" : "10.1007/s10156-010-0105-1", "ISSN" : "1341321X", "author" : [ { "dropping-particle" : "", "family" : "Kanazawa", "given" : "Naoko", "non-dropping-particle" : "", "parse-names" : false, "suffix" : "" }, { "dropping-particle" : "", "family" : "Matsumoto", "given" : "Kazuaki", "non-dropping-particle" : "", "parse-names" : false, "suffix" : "" }, { "dropping-particle" : "", "family" : "Fukamizu", "given" : "Tomohide", "non-dropping-particle" : "", "parse-names" : false, "suffix" : "" }, { "dropping-particle" : "", "family" : "Shigemi", "given" : "Akari", "non-dropping-particle" : "", "parse-names" : false, "suffix" : "" }, { "dropping-particle" : "", "family" : "Yaji", "given" : "Keiko", "non-dropping-particle" : "", "parse-names" : false, "suffix" : "" }, { "dropping-particle" : "", "family" : "Shimodozono", "given" : "Yoshihiro", "non-dropping-particle" : "", "parse-names" : false, "suffix" : "" }, { "dropping-particle" : "", "family" : "Takeda", "given" : "Yasuo", "non-dropping-particle" : "", "parse-names" : false, "suffix" : "" }, { "dropping-particle" : "", "family" : "Yamada", "given" : "Katsushi", "non-dropping-particle" : "", "parse-names" : false, "suffix" : "" }, { "dropping-particle" : "", "family" : "Ikawa", "given" : "Kazuro", "non-dropping-particle" : "", "parse-names" : false, "suffix" : "" }, { "dropping-particle" : "", "family" : "Morikawa", "given" : "Norifumi", "non-dropping-particle" : "", "parse-names" : false, "suffix" : "" } ], "container-title" : "Journal of Infection and Chemotherapy", "id" : "ITEM-1", "issue" : "2", "issued" : { "date-parts" : [ [ "2011" ] ] }, "page" : "297-300", "title" : "An initial dosing method for teicoplanin based on the area under the serum concentration time curve required for MRSA eradication", "type" : "article-journal", "volume" : "17" }, "uris" : [ "http://www.mendeley.com/documents/?uuid=281fa6e3-a4f6-30af-9c71-9540fc049625" ] }, { "id" : "ITEM-2", "itemData" : { "DOI" : "10.1007/s10156-011-0272-8", "ISBN" : "1437-7780; 1341-321X", "ISSN" : "1341321X", "PMID" : "21710160", "abstract" : "Severely ill intensive care unit (ICU) patients are frequently at risk of developing methicillin-resistant Staphylococcus aureus (MRSA) infections. It is generally accepted that a trough level of &gt;10 \u03bcg/mL teicoplanin (TEC) is appropriate for most such infections. The present study was designed to determine how TEC exposure and patient characteristics affect microbiological response in the treatment of MRSA infections. All patients studied were admitted to Aichi Medical University Hospital ICU between May 2005 and April 2010. Fifty-nine patients were prescribed TEC and 33 of those patients used to treat MRSA infection. Outcome was classified as either cure or failure, and logistic regression analysis was performed to determine which covariates, including severity, significantly influenced the microbiological response. Satisfactory outcomes were obtained in 19 of the 33 patients. Although the cured and failed groups showed adequate trough concentrations, the area under the serum concentration curve (AUC(0-24)) on the third day was significantly higher for the cured group (897.6 \u00b1 71.7) than for the failed group (652.9 \u00b1 83.4) (p &lt; 0.05). The results suggested that at least 800 \u03bcg h/mL TEC AUC(0-24) were required to obtain microbiological cure. The higher AUC(0-24), the better the outcome. In our study, higher initial AUC(0-24) was associated with a better microbiological outcome, which demonstrates the importance of the loading dose of TEC, especially for ICU patients. Moreover, the present findings are useful for optimizing the individual dose of TEC using AUC(0-24) in the treatment of MRSA-infected patients.", "author" : [ { "dropping-particle" : "", "family" : "Hagihara", "given" : "Mao", "non-dropping-particle" : "", "parse-names" : false, "suffix" : "" }, { "dropping-particle" : "", "family" : "Umemura", "given" : "Takumi", "non-dropping-particle" : "", "parse-names" : false, "suffix" : "" }, { "dropping-particle" : "", "family" : "Kimura", "given" : "Masao", "non-dropping-particle" : "", "parse-names" : false, "suffix" : "" }, { "dropping-particle" : "", "family" : "Mori", "given" : "Takeshi", "non-dropping-particle" : "", "parse-names" : false, "suffix" : "" }, { "dropping-particle" : "", "family" : "Hasegawa", "given" : "Takaaki", "non-dropping-particle" : "", "parse-names" : false, "suffix" : "" }, { "dropping-particle" : "", "family" : "Mikamo", "given" : "Hiroshige", "non-dropping-particle" : "", "parse-names" : false, "suffix" : "" } ], "container-title" : "Journal of Infection and Chemotherapy", "id" : "ITEM-2", "issue" : "1", "issued" : { "date-parts" : [ [ "2012" ] ] }, "page" : "10-16", "title" : "Exploration of optimal teicoplanin dosage based on pharmacokinetic parameters for the treatment of intensive care unit patients infected with methicillin-resistant Staphylococcus aureus", "type" : "article-journal", "volume" : "18" }, "uris" : [ "http://www.mendeley.com/documents/?uuid=109795bb-af20-4c83-b527-168ce44b0a23" ] } ], "mendeley" : { "formattedCitation" : "(14, 15)", "plainTextFormattedCitation" : "(14, 15)", "previouslyFormattedCitation" : "(14, 15)" }, "properties" : { "noteIndex" : 0 }, "schema" : "https://github.com/citation-style-language/schema/raw/master/csl-citation.json" }</w:instrText>
      </w:r>
      <w:r w:rsidR="007F6B48">
        <w:rPr>
          <w:rFonts w:ascii="Times New Roman" w:hAnsi="Times New Roman" w:cs="Times New Roman"/>
        </w:rPr>
        <w:fldChar w:fldCharType="separate"/>
      </w:r>
      <w:r w:rsidR="003F682E" w:rsidRPr="003F682E">
        <w:rPr>
          <w:rFonts w:ascii="Times New Roman" w:hAnsi="Times New Roman" w:cs="Times New Roman"/>
          <w:noProof/>
        </w:rPr>
        <w:t>(14, 15)</w:t>
      </w:r>
      <w:r w:rsidR="007F6B48">
        <w:rPr>
          <w:rFonts w:ascii="Times New Roman" w:hAnsi="Times New Roman" w:cs="Times New Roman"/>
        </w:rPr>
        <w:fldChar w:fldCharType="end"/>
      </w:r>
      <w:r w:rsidR="003D231D">
        <w:rPr>
          <w:rFonts w:ascii="Times New Roman" w:hAnsi="Times New Roman" w:cs="Times New Roman"/>
        </w:rPr>
        <w:t>.</w:t>
      </w:r>
    </w:p>
    <w:p w14:paraId="4A3E629C" w14:textId="58A429D5" w:rsidR="0005159C" w:rsidRDefault="008479FC" w:rsidP="006D2919">
      <w:pPr>
        <w:spacing w:line="480" w:lineRule="auto"/>
        <w:ind w:firstLine="708"/>
        <w:jc w:val="both"/>
        <w:rPr>
          <w:rFonts w:ascii="Times New Roman" w:hAnsi="Times New Roman" w:cs="Times New Roman"/>
        </w:rPr>
      </w:pPr>
      <w:r>
        <w:rPr>
          <w:rFonts w:ascii="Times New Roman" w:hAnsi="Times New Roman" w:cs="Times New Roman"/>
        </w:rPr>
        <w:lastRenderedPageBreak/>
        <w:t>I</w:t>
      </w:r>
      <w:r w:rsidR="004078A0">
        <w:rPr>
          <w:rFonts w:ascii="Times New Roman" w:hAnsi="Times New Roman" w:cs="Times New Roman"/>
        </w:rPr>
        <w:t>n this study</w:t>
      </w:r>
      <w:r w:rsidR="00880EFA">
        <w:rPr>
          <w:rFonts w:ascii="Times New Roman" w:hAnsi="Times New Roman" w:cs="Times New Roman"/>
        </w:rPr>
        <w:t xml:space="preserve">, we report </w:t>
      </w:r>
      <w:r w:rsidR="00890208">
        <w:rPr>
          <w:rFonts w:ascii="Times New Roman" w:hAnsi="Times New Roman" w:cs="Times New Roman"/>
        </w:rPr>
        <w:t xml:space="preserve">the development of </w:t>
      </w:r>
      <w:r w:rsidR="00880EFA">
        <w:rPr>
          <w:rFonts w:ascii="Times New Roman" w:hAnsi="Times New Roman" w:cs="Times New Roman"/>
        </w:rPr>
        <w:t xml:space="preserve">a </w:t>
      </w:r>
      <w:r w:rsidR="009301EE">
        <w:rPr>
          <w:rFonts w:ascii="Times New Roman" w:hAnsi="Times New Roman" w:cs="Times New Roman"/>
        </w:rPr>
        <w:t>n</w:t>
      </w:r>
      <w:r w:rsidR="00880EFA">
        <w:rPr>
          <w:rFonts w:ascii="Times New Roman" w:hAnsi="Times New Roman" w:cs="Times New Roman"/>
        </w:rPr>
        <w:t>on-parametric population</w:t>
      </w:r>
      <w:r w:rsidR="00F11513">
        <w:rPr>
          <w:rFonts w:ascii="Times New Roman" w:hAnsi="Times New Roman" w:cs="Times New Roman"/>
        </w:rPr>
        <w:t xml:space="preserve"> PK</w:t>
      </w:r>
      <w:r w:rsidR="00880EFA">
        <w:rPr>
          <w:rFonts w:ascii="Times New Roman" w:hAnsi="Times New Roman" w:cs="Times New Roman"/>
        </w:rPr>
        <w:t xml:space="preserve"> model of </w:t>
      </w:r>
      <w:proofErr w:type="spellStart"/>
      <w:r w:rsidR="00880EFA">
        <w:rPr>
          <w:rFonts w:ascii="Times New Roman" w:hAnsi="Times New Roman" w:cs="Times New Roman"/>
        </w:rPr>
        <w:t>t</w:t>
      </w:r>
      <w:r w:rsidR="00761768">
        <w:rPr>
          <w:rFonts w:ascii="Times New Roman" w:hAnsi="Times New Roman" w:cs="Times New Roman"/>
        </w:rPr>
        <w:t>eicoplanin</w:t>
      </w:r>
      <w:proofErr w:type="spellEnd"/>
      <w:r w:rsidR="00761768">
        <w:rPr>
          <w:rFonts w:ascii="Times New Roman" w:hAnsi="Times New Roman" w:cs="Times New Roman"/>
        </w:rPr>
        <w:t xml:space="preserve"> </w:t>
      </w:r>
      <w:r w:rsidR="005B3694">
        <w:rPr>
          <w:rFonts w:ascii="Times New Roman" w:hAnsi="Times New Roman" w:cs="Times New Roman"/>
        </w:rPr>
        <w:t>in</w:t>
      </w:r>
      <w:r w:rsidR="00890208">
        <w:rPr>
          <w:rFonts w:ascii="Times New Roman" w:hAnsi="Times New Roman" w:cs="Times New Roman"/>
        </w:rPr>
        <w:t xml:space="preserve"> </w:t>
      </w:r>
      <w:r w:rsidR="00EC2CC2">
        <w:rPr>
          <w:rFonts w:ascii="Times New Roman" w:hAnsi="Times New Roman" w:cs="Times New Roman"/>
        </w:rPr>
        <w:t>hospitaliz</w:t>
      </w:r>
      <w:r w:rsidR="00761768">
        <w:rPr>
          <w:rFonts w:ascii="Times New Roman" w:hAnsi="Times New Roman" w:cs="Times New Roman"/>
        </w:rPr>
        <w:t>ed neonates, infants and older children</w:t>
      </w:r>
      <w:r w:rsidR="00C14AA4">
        <w:rPr>
          <w:rFonts w:ascii="Times New Roman" w:hAnsi="Times New Roman" w:cs="Times New Roman"/>
        </w:rPr>
        <w:t xml:space="preserve"> (up to 16 years old)</w:t>
      </w:r>
      <w:r w:rsidR="00761768">
        <w:rPr>
          <w:rFonts w:ascii="Times New Roman" w:hAnsi="Times New Roman" w:cs="Times New Roman"/>
        </w:rPr>
        <w:t xml:space="preserve">. </w:t>
      </w:r>
      <w:r w:rsidR="00890208">
        <w:rPr>
          <w:rFonts w:ascii="Times New Roman" w:hAnsi="Times New Roman" w:cs="Times New Roman"/>
        </w:rPr>
        <w:t>We then</w:t>
      </w:r>
      <w:r w:rsidR="000459C3">
        <w:rPr>
          <w:rFonts w:ascii="Times New Roman" w:hAnsi="Times New Roman" w:cs="Times New Roman"/>
        </w:rPr>
        <w:t xml:space="preserve"> describe </w:t>
      </w:r>
      <w:r w:rsidR="00890208">
        <w:rPr>
          <w:rFonts w:ascii="Times New Roman" w:hAnsi="Times New Roman" w:cs="Times New Roman"/>
        </w:rPr>
        <w:t xml:space="preserve">the </w:t>
      </w:r>
      <w:r w:rsidR="000459C3">
        <w:rPr>
          <w:rFonts w:ascii="Times New Roman" w:hAnsi="Times New Roman" w:cs="Times New Roman"/>
        </w:rPr>
        <w:t>application</w:t>
      </w:r>
      <w:r w:rsidR="00D22A5B">
        <w:rPr>
          <w:rFonts w:ascii="Times New Roman" w:hAnsi="Times New Roman" w:cs="Times New Roman"/>
        </w:rPr>
        <w:t xml:space="preserve"> </w:t>
      </w:r>
      <w:r w:rsidR="005B3694">
        <w:rPr>
          <w:rFonts w:ascii="Times New Roman" w:hAnsi="Times New Roman" w:cs="Times New Roman"/>
        </w:rPr>
        <w:t xml:space="preserve">of this model </w:t>
      </w:r>
      <w:r w:rsidR="00B44863">
        <w:rPr>
          <w:rFonts w:ascii="Times New Roman" w:hAnsi="Times New Roman" w:cs="Times New Roman"/>
        </w:rPr>
        <w:t xml:space="preserve">for </w:t>
      </w:r>
      <w:r w:rsidR="005B3694">
        <w:rPr>
          <w:rFonts w:ascii="Times New Roman" w:hAnsi="Times New Roman" w:cs="Times New Roman"/>
        </w:rPr>
        <w:t>the construction</w:t>
      </w:r>
      <w:r w:rsidR="00890208">
        <w:rPr>
          <w:rFonts w:ascii="Times New Roman" w:hAnsi="Times New Roman" w:cs="Times New Roman"/>
        </w:rPr>
        <w:t xml:space="preserve"> of software that provides decision support for </w:t>
      </w:r>
      <w:r w:rsidR="00EC2CC2">
        <w:rPr>
          <w:rFonts w:ascii="Times New Roman" w:hAnsi="Times New Roman" w:cs="Times New Roman"/>
        </w:rPr>
        <w:t>dose individualiz</w:t>
      </w:r>
      <w:r w:rsidR="00B44863">
        <w:rPr>
          <w:rFonts w:ascii="Times New Roman" w:hAnsi="Times New Roman" w:cs="Times New Roman"/>
        </w:rPr>
        <w:t xml:space="preserve">ation of </w:t>
      </w:r>
      <w:proofErr w:type="spellStart"/>
      <w:r w:rsidR="00737A43">
        <w:rPr>
          <w:rFonts w:ascii="Times New Roman" w:hAnsi="Times New Roman" w:cs="Times New Roman"/>
        </w:rPr>
        <w:t>teicoplanin</w:t>
      </w:r>
      <w:proofErr w:type="spellEnd"/>
      <w:r w:rsidR="00737A43">
        <w:rPr>
          <w:rFonts w:ascii="Times New Roman" w:hAnsi="Times New Roman" w:cs="Times New Roman"/>
        </w:rPr>
        <w:t xml:space="preserve">. </w:t>
      </w:r>
      <w:r w:rsidR="00890208">
        <w:rPr>
          <w:rFonts w:ascii="Times New Roman" w:hAnsi="Times New Roman" w:cs="Times New Roman"/>
        </w:rPr>
        <w:t>Su</w:t>
      </w:r>
      <w:r w:rsidR="006072A9">
        <w:rPr>
          <w:rFonts w:ascii="Times New Roman" w:hAnsi="Times New Roman" w:cs="Times New Roman"/>
        </w:rPr>
        <w:t>ch an approach enables the achie</w:t>
      </w:r>
      <w:r w:rsidR="00890208">
        <w:rPr>
          <w:rFonts w:ascii="Times New Roman" w:hAnsi="Times New Roman" w:cs="Times New Roman"/>
        </w:rPr>
        <w:t>v</w:t>
      </w:r>
      <w:r w:rsidR="003D231D">
        <w:rPr>
          <w:rFonts w:ascii="Times New Roman" w:hAnsi="Times New Roman" w:cs="Times New Roman"/>
        </w:rPr>
        <w:t>e</w:t>
      </w:r>
      <w:r w:rsidR="00890208">
        <w:rPr>
          <w:rFonts w:ascii="Times New Roman" w:hAnsi="Times New Roman" w:cs="Times New Roman"/>
        </w:rPr>
        <w:t xml:space="preserve">ment of desired drug exposure targets in an optimally precise manner and at </w:t>
      </w:r>
      <w:proofErr w:type="spellStart"/>
      <w:r w:rsidR="00890208">
        <w:rPr>
          <w:rFonts w:ascii="Times New Roman" w:hAnsi="Times New Roman" w:cs="Times New Roman"/>
        </w:rPr>
        <w:t>anytime</w:t>
      </w:r>
      <w:proofErr w:type="spellEnd"/>
      <w:r w:rsidR="00890208">
        <w:rPr>
          <w:rFonts w:ascii="Times New Roman" w:hAnsi="Times New Roman" w:cs="Times New Roman"/>
        </w:rPr>
        <w:t xml:space="preserve"> duri</w:t>
      </w:r>
      <w:r w:rsidR="005B3694">
        <w:rPr>
          <w:rFonts w:ascii="Times New Roman" w:hAnsi="Times New Roman" w:cs="Times New Roman"/>
        </w:rPr>
        <w:t>ng the therapeutic course. This approach constitutes</w:t>
      </w:r>
      <w:r w:rsidR="00890208">
        <w:rPr>
          <w:rFonts w:ascii="Times New Roman" w:hAnsi="Times New Roman" w:cs="Times New Roman"/>
        </w:rPr>
        <w:t xml:space="preserve"> a further extension of our broad goal of developing the tools </w:t>
      </w:r>
      <w:r w:rsidR="00EC2CC2">
        <w:rPr>
          <w:rFonts w:ascii="Times New Roman" w:hAnsi="Times New Roman" w:cs="Times New Roman"/>
        </w:rPr>
        <w:t>and knowledge to deliver optimiz</w:t>
      </w:r>
      <w:r w:rsidR="00890208">
        <w:rPr>
          <w:rFonts w:ascii="Times New Roman" w:hAnsi="Times New Roman" w:cs="Times New Roman"/>
        </w:rPr>
        <w:t>ed antimicrobial the</w:t>
      </w:r>
      <w:r w:rsidR="00C14AA4">
        <w:rPr>
          <w:rFonts w:ascii="Times New Roman" w:hAnsi="Times New Roman" w:cs="Times New Roman"/>
        </w:rPr>
        <w:t xml:space="preserve">rapy in neonates and children. </w:t>
      </w:r>
    </w:p>
    <w:p w14:paraId="5659E585" w14:textId="77777777" w:rsidR="004078A0" w:rsidRPr="00687D48" w:rsidRDefault="004078A0" w:rsidP="006D2919">
      <w:pPr>
        <w:spacing w:line="480" w:lineRule="auto"/>
        <w:ind w:firstLine="708"/>
        <w:jc w:val="both"/>
        <w:rPr>
          <w:rFonts w:ascii="Times New Roman" w:hAnsi="Times New Roman" w:cs="Times New Roman"/>
        </w:rPr>
      </w:pPr>
    </w:p>
    <w:p w14:paraId="51C6F9E7" w14:textId="77777777" w:rsidR="0005159C" w:rsidRDefault="0005159C" w:rsidP="006D2919">
      <w:pPr>
        <w:spacing w:line="480" w:lineRule="auto"/>
        <w:jc w:val="both"/>
        <w:rPr>
          <w:rFonts w:ascii="Times New Roman" w:hAnsi="Times New Roman" w:cs="Times New Roman"/>
          <w:sz w:val="28"/>
          <w:szCs w:val="28"/>
        </w:rPr>
        <w:sectPr w:rsidR="0005159C" w:rsidSect="006D5EC2">
          <w:pgSz w:w="11900" w:h="16840"/>
          <w:pgMar w:top="1418" w:right="1701" w:bottom="1418" w:left="1701" w:header="709" w:footer="709" w:gutter="0"/>
          <w:lnNumType w:countBy="1" w:restart="continuous"/>
          <w:cols w:space="708"/>
          <w:docGrid w:linePitch="360"/>
        </w:sectPr>
      </w:pPr>
    </w:p>
    <w:p w14:paraId="12B2055A" w14:textId="77777777" w:rsidR="00556887" w:rsidRDefault="00556887" w:rsidP="00556887">
      <w:pPr>
        <w:spacing w:line="480" w:lineRule="auto"/>
        <w:jc w:val="both"/>
        <w:rPr>
          <w:rFonts w:ascii="Times New Roman" w:hAnsi="Times New Roman" w:cs="Times New Roman"/>
          <w:b/>
        </w:rPr>
      </w:pPr>
      <w:r w:rsidRPr="00B3453E">
        <w:rPr>
          <w:rFonts w:ascii="Times New Roman" w:hAnsi="Times New Roman" w:cs="Times New Roman"/>
          <w:b/>
        </w:rPr>
        <w:lastRenderedPageBreak/>
        <w:t>RESULTS</w:t>
      </w:r>
    </w:p>
    <w:p w14:paraId="52840B96" w14:textId="77777777" w:rsidR="00556887" w:rsidRDefault="00556887" w:rsidP="00556887">
      <w:pPr>
        <w:spacing w:line="480" w:lineRule="auto"/>
        <w:jc w:val="both"/>
        <w:rPr>
          <w:rFonts w:ascii="Times New Roman" w:hAnsi="Times New Roman" w:cs="Times New Roman"/>
          <w:b/>
        </w:rPr>
      </w:pPr>
      <w:r>
        <w:rPr>
          <w:rFonts w:ascii="Times New Roman" w:hAnsi="Times New Roman" w:cs="Times New Roman"/>
          <w:b/>
        </w:rPr>
        <w:t>Demographics</w:t>
      </w:r>
    </w:p>
    <w:p w14:paraId="2EBD54AE" w14:textId="77777777" w:rsidR="00556887" w:rsidRPr="00C10EC7" w:rsidRDefault="00556887" w:rsidP="00556887">
      <w:pPr>
        <w:spacing w:line="480" w:lineRule="auto"/>
        <w:ind w:firstLine="708"/>
        <w:jc w:val="both"/>
        <w:rPr>
          <w:rFonts w:ascii="Times New Roman" w:hAnsi="Times New Roman" w:cs="Times New Roman"/>
        </w:rPr>
      </w:pPr>
      <w:r w:rsidRPr="00583704">
        <w:rPr>
          <w:rFonts w:ascii="Times New Roman" w:hAnsi="Times New Roman" w:cs="Times New Roman"/>
        </w:rPr>
        <w:t xml:space="preserve">The demographics and clinical characteristics of the 57 patients used in the </w:t>
      </w:r>
      <w:r>
        <w:rPr>
          <w:rFonts w:ascii="Times New Roman" w:hAnsi="Times New Roman" w:cs="Times New Roman"/>
        </w:rPr>
        <w:t>population PK model are summariz</w:t>
      </w:r>
      <w:r w:rsidRPr="00583704">
        <w:rPr>
          <w:rFonts w:ascii="Times New Roman" w:hAnsi="Times New Roman" w:cs="Times New Roman"/>
        </w:rPr>
        <w:t xml:space="preserve">ed in </w:t>
      </w:r>
      <w:r>
        <w:rPr>
          <w:rFonts w:ascii="Times New Roman" w:hAnsi="Times New Roman" w:cs="Times New Roman"/>
          <w:b/>
        </w:rPr>
        <w:t>T</w:t>
      </w:r>
      <w:r w:rsidRPr="001A4DAA">
        <w:rPr>
          <w:rFonts w:ascii="Times New Roman" w:hAnsi="Times New Roman" w:cs="Times New Roman"/>
          <w:b/>
        </w:rPr>
        <w:t>able 1</w:t>
      </w:r>
      <w:r w:rsidRPr="008B30B9">
        <w:rPr>
          <w:rFonts w:ascii="Times New Roman" w:hAnsi="Times New Roman" w:cs="Times New Roman"/>
          <w:b/>
        </w:rPr>
        <w:t xml:space="preserve">. </w:t>
      </w:r>
      <w:r w:rsidRPr="008B30B9">
        <w:rPr>
          <w:rFonts w:ascii="Times New Roman" w:hAnsi="Times New Roman" w:cs="Times New Roman"/>
          <w:color w:val="191919"/>
        </w:rPr>
        <w:t>The total population (n=57) was comprised of neonates (n=18), infants and toddlers 1-23 months old (n=16), children 2-11 years old (n=20), and children 11-16 years old (n=3).</w:t>
      </w:r>
      <w:r>
        <w:rPr>
          <w:rFonts w:ascii="Times New Roman" w:hAnsi="Times New Roman" w:cs="Times New Roman"/>
          <w:color w:val="191919"/>
        </w:rPr>
        <w:t xml:space="preserve"> </w:t>
      </w:r>
      <w:r w:rsidRPr="00E33609">
        <w:rPr>
          <w:rFonts w:ascii="Times New Roman" w:hAnsi="Times New Roman" w:cs="Times New Roman"/>
        </w:rPr>
        <w:t>The majority of patients</w:t>
      </w:r>
      <w:r>
        <w:rPr>
          <w:rFonts w:ascii="Times New Roman" w:hAnsi="Times New Roman" w:cs="Times New Roman"/>
        </w:rPr>
        <w:t xml:space="preserve"> (n=23, 40.35%)</w:t>
      </w:r>
      <w:r w:rsidRPr="00E33609">
        <w:rPr>
          <w:rFonts w:ascii="Times New Roman" w:hAnsi="Times New Roman" w:cs="Times New Roman"/>
        </w:rPr>
        <w:t xml:space="preserve"> were recruited from the ICU, in most case</w:t>
      </w:r>
      <w:r>
        <w:rPr>
          <w:rFonts w:ascii="Times New Roman" w:hAnsi="Times New Roman" w:cs="Times New Roman"/>
        </w:rPr>
        <w:t>s after cardiac surgery. Other subjects included oncologic patients with febrile neutropenia (n=17, 29.8%), general medical (n=8, 28.1%) and cardiac medical conditions (n=1, 1.75%).  A total of 394 PK samples were available for analysis with each patient contributing a mean of 5.3 and 7.6 observations in the neonates and older children, respectively.</w:t>
      </w:r>
    </w:p>
    <w:p w14:paraId="30667339" w14:textId="77777777" w:rsidR="00556887" w:rsidRDefault="00556887" w:rsidP="00556887">
      <w:pPr>
        <w:spacing w:line="480" w:lineRule="auto"/>
        <w:jc w:val="both"/>
        <w:rPr>
          <w:rFonts w:ascii="Times New Roman" w:hAnsi="Times New Roman" w:cs="Times New Roman"/>
          <w:b/>
        </w:rPr>
      </w:pPr>
    </w:p>
    <w:p w14:paraId="655F2DA4" w14:textId="77777777" w:rsidR="00556887" w:rsidRDefault="00556887" w:rsidP="00556887">
      <w:pPr>
        <w:spacing w:line="480" w:lineRule="auto"/>
        <w:jc w:val="both"/>
        <w:rPr>
          <w:rFonts w:ascii="Times New Roman" w:hAnsi="Times New Roman" w:cs="Times New Roman"/>
          <w:b/>
        </w:rPr>
      </w:pPr>
      <w:r>
        <w:rPr>
          <w:rFonts w:ascii="Times New Roman" w:hAnsi="Times New Roman" w:cs="Times New Roman"/>
          <w:b/>
        </w:rPr>
        <w:t xml:space="preserve">Population PK of </w:t>
      </w:r>
      <w:proofErr w:type="spellStart"/>
      <w:r>
        <w:rPr>
          <w:rFonts w:ascii="Times New Roman" w:hAnsi="Times New Roman" w:cs="Times New Roman"/>
          <w:b/>
        </w:rPr>
        <w:t>Teicoplanin</w:t>
      </w:r>
      <w:proofErr w:type="spellEnd"/>
      <w:r>
        <w:rPr>
          <w:rFonts w:ascii="Times New Roman" w:hAnsi="Times New Roman" w:cs="Times New Roman"/>
          <w:b/>
        </w:rPr>
        <w:t xml:space="preserve"> in Neonates and Children</w:t>
      </w:r>
    </w:p>
    <w:p w14:paraId="0F66E7EA" w14:textId="578DCCD8" w:rsidR="00556887" w:rsidRPr="008B30B9" w:rsidRDefault="00556887" w:rsidP="00556887">
      <w:pPr>
        <w:spacing w:line="480" w:lineRule="auto"/>
        <w:jc w:val="both"/>
        <w:rPr>
          <w:rFonts w:ascii="Times New Roman" w:hAnsi="Times New Roman" w:cs="Times New Roman"/>
        </w:rPr>
      </w:pPr>
      <w:r>
        <w:rPr>
          <w:rFonts w:ascii="Times New Roman" w:hAnsi="Times New Roman" w:cs="Times New Roman"/>
          <w:b/>
        </w:rPr>
        <w:tab/>
        <w:t>Fig.</w:t>
      </w:r>
      <w:r w:rsidRPr="0014121C">
        <w:rPr>
          <w:rFonts w:ascii="Times New Roman" w:hAnsi="Times New Roman" w:cs="Times New Roman"/>
          <w:b/>
        </w:rPr>
        <w:t xml:space="preserve"> 1</w:t>
      </w:r>
      <w:r>
        <w:rPr>
          <w:rFonts w:ascii="Times New Roman" w:hAnsi="Times New Roman" w:cs="Times New Roman"/>
        </w:rPr>
        <w:t xml:space="preserve"> shows the </w:t>
      </w:r>
      <w:r w:rsidRPr="008B30B9">
        <w:rPr>
          <w:rFonts w:ascii="Times New Roman" w:hAnsi="Times New Roman" w:cs="Times New Roman"/>
        </w:rPr>
        <w:t>relationships between the posterior median estimates</w:t>
      </w:r>
      <w:r>
        <w:rPr>
          <w:rFonts w:ascii="Times New Roman" w:hAnsi="Times New Roman" w:cs="Times New Roman"/>
        </w:rPr>
        <w:t xml:space="preserve"> from the PK parameters for each patient from the base model and potentially relevant covariates.  </w:t>
      </w:r>
      <w:proofErr w:type="spellStart"/>
      <w:r>
        <w:rPr>
          <w:rFonts w:ascii="Times New Roman" w:hAnsi="Times New Roman" w:cs="Times New Roman"/>
        </w:rPr>
        <w:t>Allometric</w:t>
      </w:r>
      <w:proofErr w:type="spellEnd"/>
      <w:r>
        <w:rPr>
          <w:rFonts w:ascii="Times New Roman" w:hAnsi="Times New Roman" w:cs="Times New Roman"/>
        </w:rPr>
        <w:t xml:space="preserve"> relationships were apparent betw</w:t>
      </w:r>
      <w:r w:rsidR="00887F08">
        <w:rPr>
          <w:rFonts w:ascii="Times New Roman" w:hAnsi="Times New Roman" w:cs="Times New Roman"/>
        </w:rPr>
        <w:t>een both clearance (</w:t>
      </w:r>
      <w:r w:rsidR="00887F08" w:rsidRPr="00247A79">
        <w:rPr>
          <w:rFonts w:ascii="Times New Roman" w:hAnsi="Times New Roman" w:cs="Times New Roman"/>
          <w:highlight w:val="yellow"/>
        </w:rPr>
        <w:t>Figure 1 A and B</w:t>
      </w:r>
      <w:r w:rsidR="00887F08">
        <w:rPr>
          <w:rFonts w:ascii="Times New Roman" w:hAnsi="Times New Roman" w:cs="Times New Roman"/>
        </w:rPr>
        <w:t xml:space="preserve">) and volume </w:t>
      </w:r>
      <w:r w:rsidR="00887F08" w:rsidRPr="00247A79">
        <w:rPr>
          <w:rFonts w:ascii="Times New Roman" w:hAnsi="Times New Roman" w:cs="Times New Roman"/>
          <w:highlight w:val="yellow"/>
        </w:rPr>
        <w:t>(Figure 1 C and D</w:t>
      </w:r>
      <w:r>
        <w:rPr>
          <w:rFonts w:ascii="Times New Roman" w:hAnsi="Times New Roman" w:cs="Times New Roman"/>
        </w:rPr>
        <w:t>) and weight. A linear rela</w:t>
      </w:r>
      <w:r w:rsidR="00247A79">
        <w:rPr>
          <w:rFonts w:ascii="Times New Roman" w:hAnsi="Times New Roman" w:cs="Times New Roman"/>
        </w:rPr>
        <w:t>tionship between Cl and age (</w:t>
      </w:r>
      <w:r w:rsidR="00247A79" w:rsidRPr="00247A79">
        <w:rPr>
          <w:rFonts w:ascii="Times New Roman" w:hAnsi="Times New Roman" w:cs="Times New Roman"/>
          <w:highlight w:val="yellow"/>
        </w:rPr>
        <w:t>E</w:t>
      </w:r>
      <w:r w:rsidR="00247A79">
        <w:rPr>
          <w:rFonts w:ascii="Times New Roman" w:hAnsi="Times New Roman" w:cs="Times New Roman"/>
        </w:rPr>
        <w:t>) and volume and age (</w:t>
      </w:r>
      <w:r w:rsidR="00247A79" w:rsidRPr="00247A79">
        <w:rPr>
          <w:rFonts w:ascii="Times New Roman" w:hAnsi="Times New Roman" w:cs="Times New Roman"/>
          <w:highlight w:val="yellow"/>
        </w:rPr>
        <w:t>F</w:t>
      </w:r>
      <w:r>
        <w:rPr>
          <w:rFonts w:ascii="Times New Roman" w:hAnsi="Times New Roman" w:cs="Times New Roman"/>
        </w:rPr>
        <w:t xml:space="preserve">) was also apparent. There was an exponential relationship between </w:t>
      </w:r>
      <w:proofErr w:type="spellStart"/>
      <w:r>
        <w:rPr>
          <w:rFonts w:ascii="Times New Roman" w:hAnsi="Times New Roman" w:cs="Times New Roman"/>
        </w:rPr>
        <w:t>eGFR</w:t>
      </w:r>
      <w:proofErr w:type="spellEnd"/>
      <w:r>
        <w:rPr>
          <w:rFonts w:ascii="Times New Roman" w:hAnsi="Times New Roman" w:cs="Times New Roman"/>
        </w:rPr>
        <w:t xml:space="preserve"> and clearance (</w:t>
      </w:r>
      <w:r w:rsidR="00247A79">
        <w:rPr>
          <w:rFonts w:ascii="Times New Roman" w:hAnsi="Times New Roman" w:cs="Times New Roman"/>
        </w:rPr>
        <w:t xml:space="preserve">Fig 1 </w:t>
      </w:r>
      <w:r w:rsidR="00247A79" w:rsidRPr="00247A79">
        <w:rPr>
          <w:rFonts w:ascii="Times New Roman" w:hAnsi="Times New Roman" w:cs="Times New Roman"/>
          <w:highlight w:val="yellow"/>
        </w:rPr>
        <w:t>G</w:t>
      </w:r>
      <w:r>
        <w:rPr>
          <w:rFonts w:ascii="Times New Roman" w:hAnsi="Times New Roman" w:cs="Times New Roman"/>
        </w:rPr>
        <w:t xml:space="preserve">) with </w:t>
      </w:r>
      <w:proofErr w:type="spellStart"/>
      <w:r>
        <w:rPr>
          <w:rFonts w:ascii="Times New Roman" w:hAnsi="Times New Roman" w:cs="Times New Roman"/>
        </w:rPr>
        <w:t>progresively</w:t>
      </w:r>
      <w:proofErr w:type="spellEnd"/>
      <w:r>
        <w:rPr>
          <w:rFonts w:ascii="Times New Roman" w:hAnsi="Times New Roman" w:cs="Times New Roman"/>
        </w:rPr>
        <w:t xml:space="preserve"> higher estimates of clearance as </w:t>
      </w:r>
      <w:proofErr w:type="spellStart"/>
      <w:r>
        <w:rPr>
          <w:rFonts w:ascii="Times New Roman" w:hAnsi="Times New Roman" w:cs="Times New Roman"/>
        </w:rPr>
        <w:t>eGFR</w:t>
      </w:r>
      <w:proofErr w:type="spellEnd"/>
      <w:r>
        <w:rPr>
          <w:rFonts w:ascii="Times New Roman" w:hAnsi="Times New Roman" w:cs="Times New Roman"/>
        </w:rPr>
        <w:t xml:space="preserve"> increased.  There were two distinct periods of change in </w:t>
      </w:r>
      <w:proofErr w:type="spellStart"/>
      <w:r>
        <w:rPr>
          <w:rFonts w:ascii="Times New Roman" w:hAnsi="Times New Roman" w:cs="Times New Roman"/>
        </w:rPr>
        <w:t>eGFR</w:t>
      </w:r>
      <w:proofErr w:type="spellEnd"/>
      <w:r>
        <w:rPr>
          <w:rFonts w:ascii="Times New Roman" w:hAnsi="Times New Roman" w:cs="Times New Roman"/>
        </w:rPr>
        <w:t xml:space="preserve"> as a function of age, which formed the basis for using separate functions that described the effect of changes in renal function on the elimi</w:t>
      </w:r>
      <w:r w:rsidR="00247A79">
        <w:rPr>
          <w:rFonts w:ascii="Times New Roman" w:hAnsi="Times New Roman" w:cs="Times New Roman"/>
        </w:rPr>
        <w:t xml:space="preserve">nation of </w:t>
      </w:r>
      <w:proofErr w:type="spellStart"/>
      <w:r w:rsidR="00247A79">
        <w:rPr>
          <w:rFonts w:ascii="Times New Roman" w:hAnsi="Times New Roman" w:cs="Times New Roman"/>
        </w:rPr>
        <w:t>teicoplanin</w:t>
      </w:r>
      <w:proofErr w:type="spellEnd"/>
      <w:r w:rsidR="00247A79">
        <w:rPr>
          <w:rFonts w:ascii="Times New Roman" w:hAnsi="Times New Roman" w:cs="Times New Roman"/>
        </w:rPr>
        <w:t xml:space="preserve"> (Fig 1 </w:t>
      </w:r>
      <w:r w:rsidR="00247A79" w:rsidRPr="00247A79">
        <w:rPr>
          <w:rFonts w:ascii="Times New Roman" w:hAnsi="Times New Roman" w:cs="Times New Roman"/>
          <w:highlight w:val="yellow"/>
        </w:rPr>
        <w:t>H,</w:t>
      </w:r>
      <w:r w:rsidR="00247A79">
        <w:rPr>
          <w:rFonts w:ascii="Times New Roman" w:hAnsi="Times New Roman" w:cs="Times New Roman"/>
          <w:highlight w:val="yellow"/>
        </w:rPr>
        <w:t xml:space="preserve"> </w:t>
      </w:r>
      <w:r w:rsidR="00247A79" w:rsidRPr="00247A79">
        <w:rPr>
          <w:rFonts w:ascii="Times New Roman" w:hAnsi="Times New Roman" w:cs="Times New Roman"/>
          <w:highlight w:val="yellow"/>
        </w:rPr>
        <w:t>I</w:t>
      </w:r>
      <w:r>
        <w:rPr>
          <w:rFonts w:ascii="Times New Roman" w:hAnsi="Times New Roman" w:cs="Times New Roman"/>
        </w:rPr>
        <w:t xml:space="preserve">). For neonates and </w:t>
      </w:r>
      <w:r w:rsidRPr="008B30B9">
        <w:rPr>
          <w:rFonts w:ascii="Times New Roman" w:hAnsi="Times New Roman" w:cs="Times New Roman"/>
        </w:rPr>
        <w:t xml:space="preserve">young infants &lt;3 months PNA/creatinine was used as an alternative measure of renal function in this age-group.  For infants &gt;3 months and children, </w:t>
      </w:r>
      <w:proofErr w:type="spellStart"/>
      <w:r w:rsidRPr="008B30B9">
        <w:rPr>
          <w:rFonts w:ascii="Times New Roman" w:hAnsi="Times New Roman" w:cs="Times New Roman"/>
        </w:rPr>
        <w:t>eGFR</w:t>
      </w:r>
      <w:r w:rsidRPr="008B30B9">
        <w:rPr>
          <w:rFonts w:ascii="Times New Roman" w:hAnsi="Times New Roman" w:cs="Times New Roman"/>
          <w:vertAlign w:val="superscript"/>
        </w:rPr>
        <w:t>pw</w:t>
      </w:r>
      <w:proofErr w:type="spellEnd"/>
      <w:r w:rsidRPr="008B30B9">
        <w:rPr>
          <w:rFonts w:ascii="Times New Roman" w:hAnsi="Times New Roman" w:cs="Times New Roman"/>
        </w:rPr>
        <w:t xml:space="preserve"> was used.  </w:t>
      </w:r>
      <w:r w:rsidRPr="008B30B9">
        <w:rPr>
          <w:rFonts w:ascii="Times New Roman" w:hAnsi="Times New Roman" w:cs="Times New Roman"/>
        </w:rPr>
        <w:lastRenderedPageBreak/>
        <w:t xml:space="preserve">There was no relationship between serum albumin and the Bayesian estimates of clearance and volume; thus, albumin was not included as a covariate in the final model. </w:t>
      </w:r>
    </w:p>
    <w:p w14:paraId="79DBAEBB" w14:textId="77777777" w:rsidR="00556887" w:rsidRPr="008B30B9" w:rsidRDefault="00556887" w:rsidP="00556887">
      <w:pPr>
        <w:spacing w:line="480" w:lineRule="auto"/>
        <w:ind w:firstLine="708"/>
        <w:jc w:val="both"/>
        <w:rPr>
          <w:rFonts w:ascii="Times New Roman" w:hAnsi="Times New Roman" w:cs="Times New Roman"/>
        </w:rPr>
      </w:pPr>
      <w:r w:rsidRPr="008B30B9">
        <w:rPr>
          <w:rFonts w:ascii="Times New Roman" w:hAnsi="Times New Roman" w:cs="Times New Roman"/>
        </w:rPr>
        <w:t xml:space="preserve">A model comparison and diagnostics between the standard model without covariates and the final model is shown in </w:t>
      </w:r>
      <w:r w:rsidRPr="008B30B9">
        <w:rPr>
          <w:rFonts w:ascii="Times New Roman" w:hAnsi="Times New Roman" w:cs="Times New Roman"/>
          <w:b/>
        </w:rPr>
        <w:t>Table 2.</w:t>
      </w:r>
      <w:r w:rsidRPr="008B30B9">
        <w:rPr>
          <w:rFonts w:ascii="Times New Roman" w:hAnsi="Times New Roman" w:cs="Times New Roman"/>
        </w:rPr>
        <w:t xml:space="preserve"> A number of candidate models that examined the impact of age on </w:t>
      </w:r>
      <w:proofErr w:type="spellStart"/>
      <w:r w:rsidRPr="008B30B9">
        <w:rPr>
          <w:rFonts w:ascii="Times New Roman" w:hAnsi="Times New Roman" w:cs="Times New Roman"/>
        </w:rPr>
        <w:t>Ke</w:t>
      </w:r>
      <w:proofErr w:type="spellEnd"/>
      <w:r w:rsidRPr="008B30B9">
        <w:rPr>
          <w:rFonts w:ascii="Times New Roman" w:hAnsi="Times New Roman" w:cs="Times New Roman"/>
        </w:rPr>
        <w:t xml:space="preserve"> and V using both linear scaling functions and sigmoidal functions were developed, but did not describe the data better than the use of </w:t>
      </w:r>
      <w:proofErr w:type="spellStart"/>
      <w:r w:rsidRPr="008B30B9">
        <w:rPr>
          <w:rFonts w:ascii="Times New Roman" w:hAnsi="Times New Roman" w:cs="Times New Roman"/>
        </w:rPr>
        <w:t>allometric</w:t>
      </w:r>
      <w:proofErr w:type="spellEnd"/>
      <w:r w:rsidRPr="008B30B9">
        <w:rPr>
          <w:rFonts w:ascii="Times New Roman" w:hAnsi="Times New Roman" w:cs="Times New Roman"/>
        </w:rPr>
        <w:t xml:space="preserve"> scaling using weight.</w:t>
      </w:r>
    </w:p>
    <w:p w14:paraId="7BCB3B02" w14:textId="62734551" w:rsidR="00556887" w:rsidRPr="008B30B9" w:rsidRDefault="00556887" w:rsidP="00556887">
      <w:pPr>
        <w:spacing w:line="480" w:lineRule="auto"/>
        <w:ind w:firstLine="708"/>
        <w:jc w:val="both"/>
        <w:rPr>
          <w:rFonts w:ascii="Times New Roman" w:hAnsi="Times New Roman" w:cs="Times New Roman"/>
        </w:rPr>
      </w:pPr>
      <w:r w:rsidRPr="008B30B9">
        <w:rPr>
          <w:rFonts w:ascii="Times New Roman" w:hAnsi="Times New Roman" w:cs="Times New Roman"/>
        </w:rPr>
        <w:t xml:space="preserve">The parameter values (means, medians and standard deviation) for the final model are summarized in </w:t>
      </w:r>
      <w:r w:rsidRPr="008B30B9">
        <w:rPr>
          <w:rFonts w:ascii="Times New Roman" w:hAnsi="Times New Roman" w:cs="Times New Roman"/>
          <w:b/>
        </w:rPr>
        <w:t>Table 3</w:t>
      </w:r>
      <w:r w:rsidRPr="008B30B9">
        <w:rPr>
          <w:rFonts w:ascii="Times New Roman" w:hAnsi="Times New Roman" w:cs="Times New Roman"/>
        </w:rPr>
        <w:t>.  For the final model, the linear regression of observed versus Bayesian-predicted values had a coefficient of determination of r</w:t>
      </w:r>
      <w:r w:rsidRPr="008B30B9">
        <w:rPr>
          <w:rFonts w:ascii="Times New Roman" w:hAnsi="Times New Roman" w:cs="Times New Roman"/>
          <w:vertAlign w:val="superscript"/>
        </w:rPr>
        <w:t xml:space="preserve">2 </w:t>
      </w:r>
      <w:r w:rsidRPr="008B30B9">
        <w:rPr>
          <w:rFonts w:ascii="Times New Roman" w:hAnsi="Times New Roman" w:cs="Times New Roman"/>
        </w:rPr>
        <w:t>= 0.92 with measures of bias and precision of -0.15 mg/L and 0.9 mg</w:t>
      </w:r>
      <w:r w:rsidRPr="008B30B9">
        <w:rPr>
          <w:rFonts w:ascii="Times New Roman" w:hAnsi="Times New Roman" w:cs="Times New Roman"/>
          <w:vertAlign w:val="superscript"/>
        </w:rPr>
        <w:t>2</w:t>
      </w:r>
      <w:r w:rsidRPr="008B30B9">
        <w:rPr>
          <w:rFonts w:ascii="Times New Roman" w:hAnsi="Times New Roman" w:cs="Times New Roman"/>
        </w:rPr>
        <w:t>/L</w:t>
      </w:r>
      <w:r w:rsidRPr="008B30B9">
        <w:rPr>
          <w:rFonts w:ascii="Times New Roman" w:hAnsi="Times New Roman" w:cs="Times New Roman"/>
          <w:vertAlign w:val="superscript"/>
        </w:rPr>
        <w:t>2</w:t>
      </w:r>
      <w:r w:rsidRPr="008B30B9">
        <w:rPr>
          <w:rFonts w:ascii="Times New Roman" w:hAnsi="Times New Roman" w:cs="Times New Roman"/>
        </w:rPr>
        <w:t xml:space="preserve">, respectively. The population and individual observed versus predicted plots of the final model are shown in </w:t>
      </w:r>
      <w:r w:rsidRPr="008B30B9">
        <w:rPr>
          <w:rFonts w:ascii="Times New Roman" w:hAnsi="Times New Roman" w:cs="Times New Roman"/>
          <w:b/>
        </w:rPr>
        <w:t>Fig. 2.</w:t>
      </w:r>
      <w:r w:rsidRPr="008B30B9">
        <w:rPr>
          <w:rFonts w:ascii="Times New Roman" w:hAnsi="Times New Roman" w:cs="Times New Roman"/>
        </w:rPr>
        <w:t xml:space="preserve"> </w:t>
      </w:r>
      <w:r w:rsidR="008B30B9">
        <w:rPr>
          <w:rFonts w:ascii="Times New Roman" w:hAnsi="Times New Roman" w:cs="Times New Roman"/>
        </w:rPr>
        <w:t xml:space="preserve">Normalized distribution </w:t>
      </w:r>
      <w:proofErr w:type="spellStart"/>
      <w:r w:rsidR="008B30B9">
        <w:rPr>
          <w:rFonts w:ascii="Times New Roman" w:hAnsi="Times New Roman" w:cs="Times New Roman"/>
        </w:rPr>
        <w:t>predition</w:t>
      </w:r>
      <w:proofErr w:type="spellEnd"/>
      <w:r w:rsidR="008B30B9">
        <w:rPr>
          <w:rFonts w:ascii="Times New Roman" w:hAnsi="Times New Roman" w:cs="Times New Roman"/>
        </w:rPr>
        <w:t xml:space="preserve"> error (</w:t>
      </w:r>
      <w:r w:rsidRPr="008B30B9">
        <w:rPr>
          <w:rFonts w:ascii="Times New Roman" w:hAnsi="Times New Roman" w:cs="Times New Roman"/>
        </w:rPr>
        <w:t>NPDE</w:t>
      </w:r>
      <w:r w:rsidR="008B30B9">
        <w:rPr>
          <w:rFonts w:ascii="Times New Roman" w:hAnsi="Times New Roman" w:cs="Times New Roman"/>
        </w:rPr>
        <w:t>)</w:t>
      </w:r>
      <w:r w:rsidRPr="008B30B9">
        <w:rPr>
          <w:rFonts w:ascii="Times New Roman" w:hAnsi="Times New Roman" w:cs="Times New Roman"/>
        </w:rPr>
        <w:t xml:space="preserve"> results (Q-Q plot and histogram) are summarized graphically in </w:t>
      </w:r>
      <w:r w:rsidRPr="008B30B9">
        <w:rPr>
          <w:rFonts w:ascii="Times New Roman" w:hAnsi="Times New Roman" w:cs="Times New Roman"/>
          <w:b/>
        </w:rPr>
        <w:t>Fig. 3.</w:t>
      </w:r>
      <w:r w:rsidRPr="008B30B9">
        <w:rPr>
          <w:rFonts w:ascii="Times New Roman" w:hAnsi="Times New Roman" w:cs="Times New Roman"/>
        </w:rPr>
        <w:t xml:space="preserve"> The weighted residual error distributions are shown in </w:t>
      </w:r>
      <w:r w:rsidRPr="008B30B9">
        <w:rPr>
          <w:rFonts w:ascii="Times New Roman" w:hAnsi="Times New Roman" w:cs="Times New Roman"/>
          <w:b/>
        </w:rPr>
        <w:t xml:space="preserve">Fig. 4.  </w:t>
      </w:r>
      <w:r w:rsidRPr="008B30B9">
        <w:rPr>
          <w:rFonts w:ascii="Times New Roman" w:hAnsi="Times New Roman" w:cs="Times New Roman"/>
        </w:rPr>
        <w:t>The NDPE and weighted residual error distributions both suggest that the fit of the model to the data was acceptable.</w:t>
      </w:r>
    </w:p>
    <w:p w14:paraId="3EA3BE54" w14:textId="77777777" w:rsidR="00556887" w:rsidRPr="008B30B9" w:rsidRDefault="00556887" w:rsidP="00556887">
      <w:pPr>
        <w:spacing w:line="480" w:lineRule="auto"/>
        <w:jc w:val="both"/>
        <w:rPr>
          <w:rFonts w:ascii="Times New Roman" w:hAnsi="Times New Roman" w:cs="Times New Roman"/>
          <w:b/>
        </w:rPr>
      </w:pPr>
    </w:p>
    <w:p w14:paraId="2AC96712" w14:textId="77777777" w:rsidR="00556887" w:rsidRPr="008B30B9" w:rsidRDefault="00556887" w:rsidP="00556887">
      <w:pPr>
        <w:spacing w:line="480" w:lineRule="auto"/>
        <w:jc w:val="both"/>
        <w:rPr>
          <w:rFonts w:ascii="Times New Roman" w:hAnsi="Times New Roman" w:cs="Times New Roman"/>
          <w:b/>
        </w:rPr>
      </w:pPr>
      <w:r w:rsidRPr="008B30B9">
        <w:rPr>
          <w:rFonts w:ascii="Times New Roman" w:hAnsi="Times New Roman" w:cs="Times New Roman"/>
          <w:b/>
        </w:rPr>
        <w:t xml:space="preserve">Performance and simulations to demonstrate the clinical utility of the </w:t>
      </w:r>
      <w:proofErr w:type="spellStart"/>
      <w:r w:rsidRPr="008B30B9">
        <w:rPr>
          <w:rFonts w:ascii="Times New Roman" w:hAnsi="Times New Roman" w:cs="Times New Roman"/>
          <w:b/>
        </w:rPr>
        <w:t>teicoplanin</w:t>
      </w:r>
      <w:proofErr w:type="spellEnd"/>
      <w:r w:rsidRPr="008B30B9">
        <w:rPr>
          <w:rFonts w:ascii="Times New Roman" w:hAnsi="Times New Roman" w:cs="Times New Roman"/>
          <w:b/>
        </w:rPr>
        <w:t xml:space="preserve"> dose optimization software</w:t>
      </w:r>
    </w:p>
    <w:p w14:paraId="0B83ED1E" w14:textId="77777777" w:rsidR="00556887" w:rsidRPr="008B30B9" w:rsidRDefault="00556887" w:rsidP="00556887">
      <w:pPr>
        <w:spacing w:line="480" w:lineRule="auto"/>
        <w:ind w:firstLine="708"/>
        <w:jc w:val="both"/>
        <w:rPr>
          <w:rFonts w:ascii="Times New Roman" w:hAnsi="Times New Roman" w:cs="Times New Roman"/>
        </w:rPr>
      </w:pPr>
      <w:r w:rsidRPr="008B30B9">
        <w:rPr>
          <w:rFonts w:ascii="Times New Roman" w:hAnsi="Times New Roman" w:cs="Times New Roman"/>
        </w:rPr>
        <w:t xml:space="preserve">The dose optimization software predicted the PK profile of the individual patients and achieved a target with minimal bias and imprecision. The </w:t>
      </w:r>
      <w:r w:rsidRPr="008B30B9">
        <w:rPr>
          <w:rFonts w:ascii="Times New Roman" w:hAnsi="Times New Roman" w:cs="Times New Roman"/>
          <w:b/>
        </w:rPr>
        <w:t>Table 4</w:t>
      </w:r>
      <w:r w:rsidRPr="008B30B9">
        <w:rPr>
          <w:rFonts w:ascii="Times New Roman" w:hAnsi="Times New Roman" w:cs="Times New Roman"/>
        </w:rPr>
        <w:t xml:space="preserve"> shows the bias, % bias, imprecision, % imprecision and the coefficient of determination (r</w:t>
      </w:r>
      <w:r w:rsidRPr="008B30B9">
        <w:rPr>
          <w:rFonts w:ascii="Times New Roman" w:hAnsi="Times New Roman" w:cs="Times New Roman"/>
          <w:vertAlign w:val="superscript"/>
        </w:rPr>
        <w:t>2</w:t>
      </w:r>
      <w:r w:rsidRPr="008B30B9">
        <w:rPr>
          <w:rFonts w:ascii="Times New Roman" w:hAnsi="Times New Roman" w:cs="Times New Roman"/>
        </w:rPr>
        <w:t xml:space="preserve">) of the linear regression of the observed </w:t>
      </w:r>
      <w:r w:rsidRPr="008B30B9">
        <w:rPr>
          <w:rFonts w:ascii="Times New Roman" w:hAnsi="Times New Roman" w:cs="Times New Roman"/>
          <w:i/>
        </w:rPr>
        <w:t>vs</w:t>
      </w:r>
      <w:r w:rsidRPr="008B30B9">
        <w:rPr>
          <w:rFonts w:ascii="Times New Roman" w:hAnsi="Times New Roman" w:cs="Times New Roman"/>
        </w:rPr>
        <w:t xml:space="preserve"> predicted measured concentrations. Individual weighted mean PK parameter values were obtained. The median (range) average daily AUC</w:t>
      </w:r>
      <w:r w:rsidRPr="008B30B9">
        <w:rPr>
          <w:rFonts w:ascii="Times New Roman" w:hAnsi="Times New Roman" w:cs="Times New Roman"/>
          <w:vertAlign w:val="subscript"/>
        </w:rPr>
        <w:t>0-24</w:t>
      </w:r>
      <w:r w:rsidRPr="008B30B9">
        <w:rPr>
          <w:rFonts w:ascii="Times New Roman" w:hAnsi="Times New Roman" w:cs="Times New Roman"/>
        </w:rPr>
        <w:t xml:space="preserve"> for each patient is shown.</w:t>
      </w:r>
    </w:p>
    <w:p w14:paraId="5F2C47A0" w14:textId="095FED7B" w:rsidR="00556887" w:rsidRPr="008B30B9" w:rsidRDefault="00556887" w:rsidP="00556887">
      <w:pPr>
        <w:spacing w:line="480" w:lineRule="auto"/>
        <w:ind w:firstLine="708"/>
        <w:jc w:val="both"/>
        <w:rPr>
          <w:rFonts w:ascii="Times New Roman" w:hAnsi="Times New Roman" w:cs="Times New Roman"/>
        </w:rPr>
      </w:pPr>
      <w:r w:rsidRPr="008B30B9">
        <w:rPr>
          <w:rFonts w:ascii="Times New Roman" w:hAnsi="Times New Roman" w:cs="Times New Roman"/>
          <w:b/>
        </w:rPr>
        <w:lastRenderedPageBreak/>
        <w:t xml:space="preserve">Fig. 5 and 6 </w:t>
      </w:r>
      <w:r w:rsidRPr="008B30B9">
        <w:rPr>
          <w:rFonts w:ascii="Times New Roman" w:hAnsi="Times New Roman" w:cs="Times New Roman"/>
        </w:rPr>
        <w:t>show representative plots from the dose controller for the infant and the older child, respectively. They represent the software predicted PK profiles with their respective measured concentrations (circles) and the target concentration (squares).  In the case of the infant, all required optimized doses by day 2 of therapy and a day 3 pre-dose target of 15 mg/L were 1.8 to 2.2 times higher than currently recommended maintenance dose (10 mg/kg) for 12-h extended infusions and a 24-hourly bolus administration, respectively (</w:t>
      </w:r>
      <w:r w:rsidRPr="004C21D6">
        <w:rPr>
          <w:rFonts w:ascii="Times New Roman" w:hAnsi="Times New Roman" w:cs="Times New Roman"/>
          <w:b/>
          <w:highlight w:val="yellow"/>
        </w:rPr>
        <w:t>Fig. 5</w:t>
      </w:r>
      <w:r w:rsidRPr="008B30B9">
        <w:rPr>
          <w:rFonts w:ascii="Times New Roman" w:hAnsi="Times New Roman" w:cs="Times New Roman"/>
        </w:rPr>
        <w:t xml:space="preserve">). The regimen with daily 24-hour infusions required similar and subsequent slightly decreased dosages. Increased dosages and differing infusion times did not reach peak concentrations &gt;60 mg/L, except for the first case (bolus administration by day 2 of </w:t>
      </w:r>
      <w:proofErr w:type="gramStart"/>
      <w:r w:rsidRPr="008B30B9">
        <w:rPr>
          <w:rFonts w:ascii="Times New Roman" w:hAnsi="Times New Roman" w:cs="Times New Roman"/>
        </w:rPr>
        <w:t>therapy)</w:t>
      </w:r>
      <w:r w:rsidR="004C21D6">
        <w:rPr>
          <w:rFonts w:ascii="Times New Roman" w:hAnsi="Times New Roman" w:cs="Times New Roman"/>
        </w:rPr>
        <w:t>(</w:t>
      </w:r>
      <w:proofErr w:type="gramEnd"/>
      <w:r w:rsidR="004C21D6">
        <w:rPr>
          <w:rFonts w:ascii="Times New Roman" w:hAnsi="Times New Roman" w:cs="Times New Roman"/>
          <w:b/>
          <w:highlight w:val="yellow"/>
        </w:rPr>
        <w:t>Fig.</w:t>
      </w:r>
      <w:r w:rsidR="004C21D6" w:rsidRPr="004C21D6">
        <w:rPr>
          <w:rFonts w:ascii="Times New Roman" w:hAnsi="Times New Roman" w:cs="Times New Roman"/>
          <w:b/>
          <w:highlight w:val="yellow"/>
        </w:rPr>
        <w:t xml:space="preserve"> 5A</w:t>
      </w:r>
      <w:r w:rsidR="004C21D6">
        <w:rPr>
          <w:rFonts w:ascii="Times New Roman" w:hAnsi="Times New Roman" w:cs="Times New Roman"/>
        </w:rPr>
        <w:t>)</w:t>
      </w:r>
      <w:r w:rsidRPr="008B30B9">
        <w:rPr>
          <w:rFonts w:ascii="Times New Roman" w:hAnsi="Times New Roman" w:cs="Times New Roman"/>
        </w:rPr>
        <w:t>. In the case of the 5-year old child, a higher bolus administration of 18.4 mg/kg (as opposed to 10 mg/kg maintenance dose) was required for the day 3 pre-dose 15 mg/L target, although producing peaks &gt; 60 mg/L (</w:t>
      </w:r>
      <w:r w:rsidRPr="008B30B9">
        <w:rPr>
          <w:rFonts w:ascii="Times New Roman" w:hAnsi="Times New Roman" w:cs="Times New Roman"/>
          <w:b/>
        </w:rPr>
        <w:t xml:space="preserve">Fig. </w:t>
      </w:r>
      <w:r w:rsidRPr="004C21D6">
        <w:rPr>
          <w:rFonts w:ascii="Times New Roman" w:hAnsi="Times New Roman" w:cs="Times New Roman"/>
          <w:b/>
          <w:highlight w:val="yellow"/>
        </w:rPr>
        <w:t>6</w:t>
      </w:r>
      <w:r w:rsidR="004C21D6" w:rsidRPr="004C21D6">
        <w:rPr>
          <w:rFonts w:ascii="Times New Roman" w:hAnsi="Times New Roman" w:cs="Times New Roman"/>
          <w:b/>
          <w:highlight w:val="yellow"/>
        </w:rPr>
        <w:t>A</w:t>
      </w:r>
      <w:r w:rsidRPr="008B30B9">
        <w:rPr>
          <w:rFonts w:ascii="Times New Roman" w:hAnsi="Times New Roman" w:cs="Times New Roman"/>
        </w:rPr>
        <w:t>). In this patient, extended 12 and 24-h infusions and even a multiple fractionated 12-hourly dose would have been safer alternatives (</w:t>
      </w:r>
      <w:r w:rsidR="004C21D6">
        <w:rPr>
          <w:rFonts w:ascii="Times New Roman" w:hAnsi="Times New Roman" w:cs="Times New Roman"/>
          <w:b/>
        </w:rPr>
        <w:t xml:space="preserve">Fig. </w:t>
      </w:r>
      <w:r w:rsidR="004C21D6" w:rsidRPr="004C21D6">
        <w:rPr>
          <w:rFonts w:ascii="Times New Roman" w:hAnsi="Times New Roman" w:cs="Times New Roman"/>
          <w:b/>
          <w:highlight w:val="yellow"/>
        </w:rPr>
        <w:t>6B</w:t>
      </w:r>
      <w:r w:rsidRPr="008B30B9">
        <w:rPr>
          <w:rFonts w:ascii="Times New Roman" w:hAnsi="Times New Roman" w:cs="Times New Roman"/>
        </w:rPr>
        <w:t xml:space="preserve">). Increased predicted and optimal dosages were from 13.9 mg/kg (1.4 times higher) to 3.7, 2.6 and 2.2 mg/kg for the multiple fractionated doses and pre-dose targets of 15 mg/L. There was not a significant impact, when the simulated patients had an average age-related </w:t>
      </w:r>
      <w:proofErr w:type="spellStart"/>
      <w:r w:rsidRPr="008B30B9">
        <w:rPr>
          <w:rFonts w:ascii="Times New Roman" w:hAnsi="Times New Roman" w:cs="Times New Roman"/>
        </w:rPr>
        <w:t>eGFR</w:t>
      </w:r>
      <w:proofErr w:type="spellEnd"/>
      <w:r w:rsidRPr="008B30B9">
        <w:rPr>
          <w:rFonts w:ascii="Times New Roman" w:hAnsi="Times New Roman" w:cs="Times New Roman"/>
        </w:rPr>
        <w:t xml:space="preserve">, higher than actual estimates. In these particular cases, they both required slightly increased dosages (≤2%). </w:t>
      </w:r>
    </w:p>
    <w:p w14:paraId="40C4BA03" w14:textId="77777777" w:rsidR="00556887" w:rsidRPr="00C300F8" w:rsidRDefault="00556887" w:rsidP="00556887">
      <w:pPr>
        <w:spacing w:line="480" w:lineRule="auto"/>
        <w:ind w:firstLine="708"/>
        <w:jc w:val="both"/>
        <w:rPr>
          <w:rFonts w:ascii="Times New Roman" w:hAnsi="Times New Roman" w:cs="Times New Roman"/>
        </w:rPr>
      </w:pPr>
      <w:r w:rsidRPr="008B30B9">
        <w:rPr>
          <w:rFonts w:ascii="Times New Roman" w:hAnsi="Times New Roman" w:cs="Times New Roman"/>
        </w:rPr>
        <w:t xml:space="preserve">The Monte Carlo simulations suggested that the best performing regimen (3 loading doses of 25 mg/kg followed by a daily maintenance dose of 10 mg/kg) only achieved a 30% of patients with </w:t>
      </w:r>
      <w:proofErr w:type="spellStart"/>
      <w:r w:rsidRPr="008B30B9">
        <w:rPr>
          <w:rFonts w:ascii="Times New Roman" w:hAnsi="Times New Roman" w:cs="Times New Roman"/>
        </w:rPr>
        <w:t>Cmin</w:t>
      </w:r>
      <w:proofErr w:type="spellEnd"/>
      <w:r w:rsidRPr="008B30B9">
        <w:rPr>
          <w:rFonts w:ascii="Times New Roman" w:hAnsi="Times New Roman" w:cs="Times New Roman"/>
        </w:rPr>
        <w:t xml:space="preserve"> concentrations of 15-60 mg/L and 13% had potentially toxic levels (&gt; 60 mg/L).</w:t>
      </w:r>
    </w:p>
    <w:p w14:paraId="579E3FBA" w14:textId="77777777" w:rsidR="00556887" w:rsidRDefault="00556887" w:rsidP="006D2919">
      <w:pPr>
        <w:spacing w:line="480" w:lineRule="auto"/>
        <w:jc w:val="both"/>
        <w:rPr>
          <w:rFonts w:ascii="Times New Roman" w:hAnsi="Times New Roman" w:cs="Times New Roman"/>
          <w:b/>
        </w:rPr>
      </w:pPr>
    </w:p>
    <w:p w14:paraId="5699314D" w14:textId="77777777" w:rsidR="0005159C" w:rsidRDefault="0005159C" w:rsidP="006D2919">
      <w:pPr>
        <w:spacing w:line="480" w:lineRule="auto"/>
        <w:jc w:val="both"/>
        <w:rPr>
          <w:rFonts w:ascii="Times New Roman" w:hAnsi="Times New Roman" w:cs="Times New Roman"/>
          <w:sz w:val="28"/>
          <w:szCs w:val="28"/>
        </w:rPr>
      </w:pPr>
    </w:p>
    <w:p w14:paraId="4E054D95" w14:textId="77777777" w:rsidR="0005159C" w:rsidRDefault="0005159C" w:rsidP="006D2919">
      <w:pPr>
        <w:spacing w:line="480" w:lineRule="auto"/>
        <w:jc w:val="both"/>
        <w:rPr>
          <w:rFonts w:ascii="Times New Roman" w:hAnsi="Times New Roman" w:cs="Times New Roman"/>
          <w:sz w:val="28"/>
          <w:szCs w:val="28"/>
        </w:rPr>
        <w:sectPr w:rsidR="0005159C" w:rsidSect="006D5EC2">
          <w:pgSz w:w="11900" w:h="16840"/>
          <w:pgMar w:top="1418" w:right="1701" w:bottom="1418" w:left="1701" w:header="709" w:footer="709" w:gutter="0"/>
          <w:lnNumType w:countBy="1" w:restart="continuous"/>
          <w:cols w:space="708"/>
          <w:docGrid w:linePitch="360"/>
        </w:sectPr>
      </w:pPr>
    </w:p>
    <w:p w14:paraId="05F4E58F" w14:textId="65CB72DC" w:rsidR="0005159C" w:rsidRDefault="0005159C" w:rsidP="006D2919">
      <w:pPr>
        <w:spacing w:line="480" w:lineRule="auto"/>
        <w:jc w:val="both"/>
        <w:rPr>
          <w:rFonts w:ascii="Times New Roman" w:hAnsi="Times New Roman" w:cs="Times New Roman"/>
          <w:b/>
        </w:rPr>
      </w:pPr>
      <w:r w:rsidRPr="004F6F95">
        <w:rPr>
          <w:rFonts w:ascii="Times New Roman" w:hAnsi="Times New Roman" w:cs="Times New Roman"/>
          <w:b/>
        </w:rPr>
        <w:lastRenderedPageBreak/>
        <w:t>DISCUSSION</w:t>
      </w:r>
      <w:r w:rsidR="004F2D75">
        <w:rPr>
          <w:rFonts w:ascii="Times New Roman" w:hAnsi="Times New Roman" w:cs="Times New Roman"/>
          <w:b/>
        </w:rPr>
        <w:t xml:space="preserve"> </w:t>
      </w:r>
    </w:p>
    <w:p w14:paraId="5D998792" w14:textId="7E95330C" w:rsidR="000367AC" w:rsidRPr="008B30B9" w:rsidRDefault="003B13F5" w:rsidP="006D2919">
      <w:pPr>
        <w:spacing w:line="480" w:lineRule="auto"/>
        <w:ind w:firstLine="708"/>
        <w:jc w:val="both"/>
        <w:rPr>
          <w:rFonts w:ascii="Times New Roman" w:hAnsi="Times New Roman" w:cs="Times New Roman"/>
        </w:rPr>
      </w:pPr>
      <w:r w:rsidRPr="008B30B9">
        <w:rPr>
          <w:rFonts w:ascii="Times New Roman" w:hAnsi="Times New Roman" w:cs="Times New Roman"/>
        </w:rPr>
        <w:t>An improved understanding</w:t>
      </w:r>
      <w:r w:rsidR="00FA56CE" w:rsidRPr="008B30B9">
        <w:rPr>
          <w:rFonts w:ascii="Times New Roman" w:hAnsi="Times New Roman" w:cs="Times New Roman"/>
        </w:rPr>
        <w:t xml:space="preserve"> </w:t>
      </w:r>
      <w:r w:rsidR="007532D4" w:rsidRPr="008B30B9">
        <w:rPr>
          <w:rFonts w:ascii="Times New Roman" w:hAnsi="Times New Roman" w:cs="Times New Roman"/>
        </w:rPr>
        <w:t>of the</w:t>
      </w:r>
      <w:r w:rsidR="00FA56CE" w:rsidRPr="008B30B9">
        <w:rPr>
          <w:rFonts w:ascii="Times New Roman" w:hAnsi="Times New Roman" w:cs="Times New Roman"/>
        </w:rPr>
        <w:t xml:space="preserve"> PK-PD</w:t>
      </w:r>
      <w:r w:rsidR="000367AC" w:rsidRPr="008B30B9">
        <w:rPr>
          <w:rFonts w:ascii="Times New Roman" w:hAnsi="Times New Roman" w:cs="Times New Roman"/>
        </w:rPr>
        <w:t xml:space="preserve"> </w:t>
      </w:r>
      <w:r w:rsidR="007532D4" w:rsidRPr="008B30B9">
        <w:rPr>
          <w:rFonts w:ascii="Times New Roman" w:hAnsi="Times New Roman" w:cs="Times New Roman"/>
        </w:rPr>
        <w:t xml:space="preserve">of </w:t>
      </w:r>
      <w:proofErr w:type="spellStart"/>
      <w:r w:rsidR="007532D4" w:rsidRPr="008B30B9">
        <w:rPr>
          <w:rFonts w:ascii="Times New Roman" w:hAnsi="Times New Roman" w:cs="Times New Roman"/>
        </w:rPr>
        <w:t>teicoplanin</w:t>
      </w:r>
      <w:proofErr w:type="spellEnd"/>
      <w:r w:rsidR="007532D4" w:rsidRPr="008B30B9">
        <w:rPr>
          <w:rFonts w:ascii="Times New Roman" w:hAnsi="Times New Roman" w:cs="Times New Roman"/>
        </w:rPr>
        <w:t xml:space="preserve"> </w:t>
      </w:r>
      <w:r w:rsidRPr="008B30B9">
        <w:rPr>
          <w:rFonts w:ascii="Times New Roman" w:hAnsi="Times New Roman" w:cs="Times New Roman"/>
        </w:rPr>
        <w:t xml:space="preserve">is </w:t>
      </w:r>
      <w:r w:rsidR="007532D4" w:rsidRPr="008B30B9">
        <w:rPr>
          <w:rFonts w:ascii="Times New Roman" w:hAnsi="Times New Roman" w:cs="Times New Roman"/>
        </w:rPr>
        <w:t>fundamental to the optimal use of this agent</w:t>
      </w:r>
      <w:r w:rsidR="0082472E" w:rsidRPr="008B30B9">
        <w:rPr>
          <w:rFonts w:ascii="Times New Roman" w:hAnsi="Times New Roman" w:cs="Times New Roman"/>
        </w:rPr>
        <w:t xml:space="preserve"> </w:t>
      </w:r>
      <w:r w:rsidR="0082472E" w:rsidRPr="008B30B9">
        <w:rPr>
          <w:rFonts w:ascii="Times New Roman" w:hAnsi="Times New Roman" w:cs="Times New Roman"/>
        </w:rPr>
        <w:fldChar w:fldCharType="begin" w:fldLock="1"/>
      </w:r>
      <w:r w:rsidR="00071129" w:rsidRPr="008B30B9">
        <w:rPr>
          <w:rFonts w:ascii="Times New Roman" w:hAnsi="Times New Roman" w:cs="Times New Roman"/>
        </w:rPr>
        <w:instrText>ADDIN CSL_CITATION { "citationItems" : [ { "id" : "ITEM-1", "itemData" : { "URL" : "http://www.ncbi.nlm.nih.gov/pubmed/15031728", "accessed" : { "date-parts" : [ [ "2016", "3", "30" ] ] }, "author" : [ { "dropping-particle" : "", "family" : "Drusano", "given" : "G.L.", "non-dropping-particle" : "", "parse-names" : false, "suffix" : "" } ], "container-title" : "Nature Rev Microb", "id" : "ITEM-1", "issued" : { "date-parts" : [ [ "2004" ] ] }, "title" : "Antimicrobial pharmacodynamics: critical interactions of 'bug and drug'", "type" : "webpage" }, "uris" : [ "http://www.mendeley.com/documents/?uuid=39997b15-8624-4b3f-b22a-27e51ee8befb" ] } ], "mendeley" : { "formattedCitation" : "(29)", "plainTextFormattedCitation" : "(29)", "previouslyFormattedCitation" : "(29)" }, "properties" : { "noteIndex" : 0 }, "schema" : "https://github.com/citation-style-language/schema/raw/master/csl-citation.json" }</w:instrText>
      </w:r>
      <w:r w:rsidR="0082472E" w:rsidRPr="008B30B9">
        <w:rPr>
          <w:rFonts w:ascii="Times New Roman" w:hAnsi="Times New Roman" w:cs="Times New Roman"/>
        </w:rPr>
        <w:fldChar w:fldCharType="separate"/>
      </w:r>
      <w:r w:rsidR="00065350" w:rsidRPr="008B30B9">
        <w:rPr>
          <w:rFonts w:ascii="Times New Roman" w:hAnsi="Times New Roman" w:cs="Times New Roman"/>
          <w:noProof/>
        </w:rPr>
        <w:t>(29)</w:t>
      </w:r>
      <w:r w:rsidR="0082472E" w:rsidRPr="008B30B9">
        <w:rPr>
          <w:rFonts w:ascii="Times New Roman" w:hAnsi="Times New Roman" w:cs="Times New Roman"/>
        </w:rPr>
        <w:fldChar w:fldCharType="end"/>
      </w:r>
      <w:r w:rsidR="00FA56CE" w:rsidRPr="008B30B9">
        <w:rPr>
          <w:rFonts w:ascii="Times New Roman" w:hAnsi="Times New Roman" w:cs="Times New Roman"/>
        </w:rPr>
        <w:t xml:space="preserve">. </w:t>
      </w:r>
      <w:r w:rsidR="002048F7" w:rsidRPr="008B30B9">
        <w:rPr>
          <w:rFonts w:ascii="Times New Roman" w:hAnsi="Times New Roman" w:cs="Times New Roman"/>
        </w:rPr>
        <w:t>In this study, we</w:t>
      </w:r>
      <w:r w:rsidR="00B56A8F" w:rsidRPr="008B30B9">
        <w:rPr>
          <w:rFonts w:ascii="Times New Roman" w:hAnsi="Times New Roman" w:cs="Times New Roman"/>
        </w:rPr>
        <w:t xml:space="preserve"> </w:t>
      </w:r>
      <w:r w:rsidR="002048F7" w:rsidRPr="008B30B9">
        <w:rPr>
          <w:rFonts w:ascii="Times New Roman" w:hAnsi="Times New Roman" w:cs="Times New Roman"/>
        </w:rPr>
        <w:t xml:space="preserve">developed a population PK model </w:t>
      </w:r>
      <w:r w:rsidR="008250BB" w:rsidRPr="008B30B9">
        <w:rPr>
          <w:rFonts w:ascii="Times New Roman" w:hAnsi="Times New Roman" w:cs="Times New Roman"/>
        </w:rPr>
        <w:t xml:space="preserve">in neonates, infants and </w:t>
      </w:r>
      <w:r w:rsidR="002A4B59" w:rsidRPr="008B30B9">
        <w:rPr>
          <w:rFonts w:ascii="Times New Roman" w:hAnsi="Times New Roman" w:cs="Times New Roman"/>
        </w:rPr>
        <w:t xml:space="preserve">older </w:t>
      </w:r>
      <w:r w:rsidR="008250BB" w:rsidRPr="008B30B9">
        <w:rPr>
          <w:rFonts w:ascii="Times New Roman" w:hAnsi="Times New Roman" w:cs="Times New Roman"/>
        </w:rPr>
        <w:t>children</w:t>
      </w:r>
      <w:r w:rsidR="00A15B49" w:rsidRPr="008B30B9">
        <w:rPr>
          <w:rFonts w:ascii="Times New Roman" w:hAnsi="Times New Roman" w:cs="Times New Roman"/>
        </w:rPr>
        <w:t xml:space="preserve"> to identify PK variability and its explanatory covariates</w:t>
      </w:r>
      <w:r w:rsidR="003D74A4" w:rsidRPr="008B30B9">
        <w:rPr>
          <w:rFonts w:ascii="Times New Roman" w:hAnsi="Times New Roman" w:cs="Times New Roman"/>
        </w:rPr>
        <w:t xml:space="preserve">. </w:t>
      </w:r>
      <w:r w:rsidR="00267904" w:rsidRPr="008B30B9">
        <w:rPr>
          <w:rFonts w:ascii="Times New Roman" w:hAnsi="Times New Roman" w:cs="Times New Roman"/>
        </w:rPr>
        <w:t xml:space="preserve">After considering </w:t>
      </w:r>
      <w:r w:rsidR="004960B6" w:rsidRPr="008B30B9">
        <w:rPr>
          <w:rFonts w:ascii="Times New Roman" w:hAnsi="Times New Roman" w:cs="Times New Roman"/>
        </w:rPr>
        <w:t xml:space="preserve">the available covariates, the </w:t>
      </w:r>
      <w:r w:rsidR="00267904" w:rsidRPr="008B30B9">
        <w:rPr>
          <w:rFonts w:ascii="Times New Roman" w:hAnsi="Times New Roman" w:cs="Times New Roman"/>
        </w:rPr>
        <w:t xml:space="preserve">final pharmacokinetic </w:t>
      </w:r>
      <w:r w:rsidR="004960B6" w:rsidRPr="008B30B9">
        <w:rPr>
          <w:rFonts w:ascii="Times New Roman" w:hAnsi="Times New Roman" w:cs="Times New Roman"/>
        </w:rPr>
        <w:t>model account</w:t>
      </w:r>
      <w:r w:rsidR="00267904" w:rsidRPr="008B30B9">
        <w:rPr>
          <w:rFonts w:ascii="Times New Roman" w:hAnsi="Times New Roman" w:cs="Times New Roman"/>
        </w:rPr>
        <w:t>s</w:t>
      </w:r>
      <w:r w:rsidR="004960B6" w:rsidRPr="008B30B9">
        <w:rPr>
          <w:rFonts w:ascii="Times New Roman" w:hAnsi="Times New Roman" w:cs="Times New Roman"/>
        </w:rPr>
        <w:t xml:space="preserve"> for </w:t>
      </w:r>
      <w:r w:rsidR="00267904" w:rsidRPr="008B30B9">
        <w:rPr>
          <w:rFonts w:ascii="Times New Roman" w:hAnsi="Times New Roman" w:cs="Times New Roman"/>
        </w:rPr>
        <w:t xml:space="preserve">only </w:t>
      </w:r>
      <w:r w:rsidR="004960B6" w:rsidRPr="008B30B9">
        <w:rPr>
          <w:rFonts w:ascii="Times New Roman" w:hAnsi="Times New Roman" w:cs="Times New Roman"/>
        </w:rPr>
        <w:t xml:space="preserve">28% of the observed </w:t>
      </w:r>
      <w:r w:rsidR="00267904" w:rsidRPr="008B30B9">
        <w:rPr>
          <w:rFonts w:ascii="Times New Roman" w:hAnsi="Times New Roman" w:cs="Times New Roman"/>
        </w:rPr>
        <w:t xml:space="preserve">PK </w:t>
      </w:r>
      <w:r w:rsidR="004960B6" w:rsidRPr="008B30B9">
        <w:rPr>
          <w:rFonts w:ascii="Times New Roman" w:hAnsi="Times New Roman" w:cs="Times New Roman"/>
        </w:rPr>
        <w:t xml:space="preserve">variability </w:t>
      </w:r>
      <w:r w:rsidR="001352B4" w:rsidRPr="008B30B9">
        <w:rPr>
          <w:rFonts w:ascii="Times New Roman" w:hAnsi="Times New Roman" w:cs="Times New Roman"/>
        </w:rPr>
        <w:t>(</w:t>
      </w:r>
      <w:r w:rsidR="001352B4" w:rsidRPr="008B30B9">
        <w:rPr>
          <w:rFonts w:ascii="Times New Roman" w:hAnsi="Times New Roman" w:cs="Times New Roman"/>
          <w:b/>
        </w:rPr>
        <w:t>Fig.2</w:t>
      </w:r>
      <w:r w:rsidR="004960B6" w:rsidRPr="008B30B9">
        <w:rPr>
          <w:rFonts w:ascii="Times New Roman" w:hAnsi="Times New Roman" w:cs="Times New Roman"/>
        </w:rPr>
        <w:t xml:space="preserve">, top), which is consistent with other population PK studies in children and adults </w:t>
      </w:r>
      <w:r w:rsidR="004960B6" w:rsidRPr="008B30B9">
        <w:rPr>
          <w:rFonts w:ascii="Times New Roman" w:hAnsi="Times New Roman" w:cs="Times New Roman"/>
        </w:rPr>
        <w:fldChar w:fldCharType="begin" w:fldLock="1"/>
      </w:r>
      <w:r w:rsidR="003F682E" w:rsidRPr="008B30B9">
        <w:rPr>
          <w:rFonts w:ascii="Times New Roman" w:hAnsi="Times New Roman" w:cs="Times New Roman"/>
        </w:rPr>
        <w:instrText>ADDIN CSL_CITATION { "citationItems" : [ { "id" : "ITEM-1", "itemData" : { "DOI" : "10.1111/bcp.12710", "ISSN" : "03065251", "author" : [ { "dropping-particle" : "", "family" : "Zhao", "given" : "Wei", "non-dropping-particle" : "", "parse-names" : false, "suffix" : "" }, { "dropping-particle" : "", "family" : "Zhang", "given" : "Daolun", "non-dropping-particle" : "", "parse-names" : false, "suffix" : "" }, { "dropping-particle" : "", "family" : "Storme", "given" : "Thomas", "non-dropping-particle" : "", "parse-names" : false, "suffix" : "" }, { "dropping-particle" : "", "family" : "Baruchel", "given" : "Andr\u00e9", "non-dropping-particle" : "", "parse-names" : false, "suffix" : "" }, { "dropping-particle" : "", "family" : "Decl\u00e8ves", "given" : "Xavier", "non-dropping-particle" : "", "parse-names" : false, "suffix" : "" }, { "dropping-particle" : "", "family" : "Jacqz-Aigrain", "given" : "Evelyne", "non-dropping-particle" : "", "parse-names" : false, "suffix" : "" } ], "container-title" : "British Journal of Clinical Pharmacology", "id" : "ITEM-1", "issue" : "5", "issued" : { "date-parts" : [ [ "2015", "11" ] ] }, "page" : "1197-1207", "title" : "Population pharmacokinetics and dosing optimization of teicoplanin in children with malignant haematological disease", "type" : "article-journal", "volume" : "80" }, "uris" : [ "http://www.mendeley.com/documents/?uuid=bfe67b12-5fda-3ecb-ac30-f977f0f78042" ] }, { "id" : "ITEM-2", "itemData" : { "DOI" : "10.1016/j.ijantimicag.2015.05.019", "ISSN" : "09248579", "PMID" : "26228465", "abstract" : "In 2010, our hospital introduced a higher target teicoplanin trough concentration of \u226520 mg/L by Day 3 for haematological malignancy patients. This study aimed to explore whether target trough concentrations were achieved, to identify factors associated with trough concentrations attained, and to assess clinical efficacy with teicoplanin treatments and nephrotoxicity. This was a retrospective, single-centre, cohort study of 172 teicoplanin treatments in 104 adults with haematological malignancy. Mixed-effects regression was used to evaluate factors affecting trough concentrations, and logistic regression was used to assess the relationship between trough concentrations and treatment outcomes. Nephrotoxicity was assessed using the RIFLE criteria. Considerable variability in trough concentrations was observed, with trough concentrations \u226520 mg/L rarely achieved early in therapy. A mixed-effects regression model explaining 52% of the variation in trough concentrations was developed. Dose and day of therapy were positively associated with trough concentration, whilst estimated renal function and, interestingly, acute myeloid leukaemia diagnosis were negatively associated (P&lt;0.05). Results suggested a positive relationship between trough concentration and the likelihood of a favourable outcome for coagulase-negative staphylococcal central line-associated bloodstream infections. Elucidation of a specific target concentration requires further investigation. Teicoplanin was well tolerated renally. Findings suggest a risk of underexposure if conventional teicoplanin doses are used in haematological malignancy patients. Given the variability in trough concentrations observed, the identified factors affecting trough concentrations attained and the suggested link with clinical outcome, individualised initial dosing followed by therapeutic drug monitoring is recommended to ensure early adequate exposure in this vulnerable patient group.", "author" : [ { "dropping-particle" : "", "family" : "Byrne", "given" : "Catherine J.", "non-dropping-particle" : "", "parse-names" : false, "suffix" : "" }, { "dropping-particle" : "", "family" : "Egan", "given" : "Sean", "non-dropping-particle" : "", "parse-names" : false, "suffix" : "" }, { "dropping-particle" : "", "family" : "Fennell", "given" : "J\u00e9r\u00f4me P.", "non-dropping-particle" : "", "parse-names" : false, "suffix" : "" }, { "dropping-particle" : "", "family" : "O\u2019Byrne", "given" : "Philomena", "non-dropping-particle" : "", "parse-names" : false, "suffix" : "" }, { "dropping-particle" : "", "family" : "Enright", "given" : "Helen", "non-dropping-particle" : "", "parse-names" : false, "suffix" : "" }, { "dropping-particle" : "", "family" : "Deasy", "given" : "Evelyn", "non-dropping-particle" : "", "parse-names" : false, "suffix" : "" }, { "dropping-particle" : "", "family" : "Ryder", "given" : "Sheila A.", "non-dropping-particle" : "", "parse-names" : false, "suffix" : "" }, { "dropping-particle" : "", "family" : "D\u2019Arcy", "given" : "Deirdre M.", "non-dropping-particle" : "", "parse-names" : false, "suffix" : "" }, { "dropping-particle" : "", "family" : "McHugh", "given" : "Johnny", "non-dropping-particle" : "", "parse-names" : false, "suffix" : "" } ], "container-title" : "International Journal of Antimicrobial Agents", "id" : "ITEM-2", "issue" : "4", "issued" : { "date-parts" : [ [ "2015", "10" ] ] }, "page" : "406-412", "title" : "Teicoplanin use in adult patients with haematological malignancy: Exploring relationships between dose, trough concentrations, efficacy and nephrotoxicity", "type" : "article-journal", "volume" : "46" }, "uris" : [ "http://www.mendeley.com/documents/?uuid=7277db48-cabb-3f36-b155-6be3c658457e" ] } ], "mendeley" : { "formattedCitation" : "(7, 9)", "plainTextFormattedCitation" : "(7, 9)", "previouslyFormattedCitation" : "(7, 9)" }, "properties" : { "noteIndex" : 0 }, "schema" : "https://github.com/citation-style-language/schema/raw/master/csl-citation.json" }</w:instrText>
      </w:r>
      <w:r w:rsidR="004960B6" w:rsidRPr="008B30B9">
        <w:rPr>
          <w:rFonts w:ascii="Times New Roman" w:hAnsi="Times New Roman" w:cs="Times New Roman"/>
        </w:rPr>
        <w:fldChar w:fldCharType="separate"/>
      </w:r>
      <w:r w:rsidR="003F682E" w:rsidRPr="008B30B9">
        <w:rPr>
          <w:rFonts w:ascii="Times New Roman" w:hAnsi="Times New Roman" w:cs="Times New Roman"/>
          <w:noProof/>
        </w:rPr>
        <w:t>(7, 9)</w:t>
      </w:r>
      <w:r w:rsidR="004960B6" w:rsidRPr="008B30B9">
        <w:rPr>
          <w:rFonts w:ascii="Times New Roman" w:hAnsi="Times New Roman" w:cs="Times New Roman"/>
        </w:rPr>
        <w:fldChar w:fldCharType="end"/>
      </w:r>
      <w:r w:rsidR="0082472E" w:rsidRPr="008B30B9">
        <w:rPr>
          <w:rFonts w:ascii="Times New Roman" w:hAnsi="Times New Roman" w:cs="Times New Roman"/>
        </w:rPr>
        <w:t xml:space="preserve">. </w:t>
      </w:r>
      <w:r w:rsidR="002C1836" w:rsidRPr="008B30B9">
        <w:rPr>
          <w:rFonts w:ascii="Times New Roman" w:hAnsi="Times New Roman" w:cs="Times New Roman"/>
        </w:rPr>
        <w:t>The high and largely unexplained variability is a strong argument for the use of TDM to minimize both sub-optimal and potentially toxic antimicrobial exposure</w:t>
      </w:r>
      <w:r w:rsidR="003039C3" w:rsidRPr="008B30B9">
        <w:rPr>
          <w:rFonts w:ascii="Times New Roman" w:hAnsi="Times New Roman" w:cs="Times New Roman"/>
        </w:rPr>
        <w:t>s</w:t>
      </w:r>
      <w:r w:rsidR="002C1836" w:rsidRPr="008B30B9">
        <w:rPr>
          <w:rFonts w:ascii="Times New Roman" w:hAnsi="Times New Roman" w:cs="Times New Roman"/>
        </w:rPr>
        <w:t xml:space="preserve"> </w:t>
      </w:r>
      <w:r w:rsidR="002C1836" w:rsidRPr="008B30B9">
        <w:rPr>
          <w:rFonts w:ascii="Times New Roman" w:hAnsi="Times New Roman" w:cs="Times New Roman"/>
        </w:rPr>
        <w:fldChar w:fldCharType="begin" w:fldLock="1"/>
      </w:r>
      <w:r w:rsidR="002C1836" w:rsidRPr="008B30B9">
        <w:rPr>
          <w:rFonts w:ascii="Times New Roman" w:hAnsi="Times New Roman" w:cs="Times New Roman"/>
        </w:rPr>
        <w:instrText>ADDIN CSL_CITATION { "citationItems" : [ { "id" : "ITEM-1", "itemData" : { "DOI" : "10.1128/AAC.03685-14", "ISSN" : "0066-4804", "author" : [ { "dropping-particle" : "", "family" : "Ramos-Martin", "given" : "V.", "non-dropping-particle" : "", "parse-names" : false, "suffix" : "" }, { "dropping-particle" : "", "family" : "Paulus", "given" : "S.", "non-dropping-particle" : "", "parse-names" : false, "suffix" : "" }, { "dropping-particle" : "", "family" : "Siner", "given" : "S.", "non-dropping-particle" : "", "parse-names" : false, "suffix" : "" }, { "dropping-particle" : "", "family" : "Scott", "given" : "E.", "non-dropping-particle" : "", "parse-names" : false, "suffix" : "" }, { "dropping-particle" : "", "family" : "Padmore", "given" : "K.", "non-dropping-particle" : "", "parse-names" : false, "suffix" : "" }, { "dropping-particle" : "", "family" : "Newland", "given" : "P.", "non-dropping-particle" : "", "parse-names" : false, "suffix" : "" }, { "dropping-particle" : "", "family" : "Drew", "given" : "R. J.", "non-dropping-particle" : "", "parse-names" : false, "suffix" : "" }, { "dropping-particle" : "", "family" : "Felton", "given" : "T. W.", "non-dropping-particle" : "", "parse-names" : false, "suffix" : "" }, { "dropping-particle" : "", "family" : "Docobo-Perez", "given" : "F.", "non-dropping-particle" : "", "parse-names" : false, "suffix" : "" }, { "dropping-particle" : "", "family" : "Pizer", "given" : "B.", "non-dropping-particle" : "", "parse-names" : false, "suffix" : "" }, { "dropping-particle" : "", "family" : "Pea", "given" : "F.", "non-dropping-particle" : "", "parse-names" : false, "suffix" : "" }, { "dropping-particle" : "", "family" : "Peak", "given" : "M.", "non-dropping-particle" : "", "parse-names" : false, "suffix" : "" }, { "dropping-particle" : "", "family" : "Turner", "given" : "M. a.", "non-dropping-particle" : "", "parse-names" : false, "suffix" : "" }, { "dropping-particle" : "", "family" : "Beresford", "given" : "M. W.", "non-dropping-particle" : "", "parse-names" : false, "suffix" : "" }, { "dropping-particle" : "", "family" : "Hope", "given" : "W. W.", "non-dropping-particle" : "", "parse-names" : false, "suffix" : "" } ], "container-title" : "Antimicrobial Agents and Chemotherapy", "id" : "ITEM-1", "issue" : "11", "issued" : { "date-parts" : [ [ "2014" ] ] }, "page" : "6920-6927", "title" : "Population Pharmacokinetics of Teicoplanin in Children", "type" : "article-journal", "volume" : "58" }, "uris" : [ "http://www.mendeley.com/documents/?uuid=07ab5f41-6cb7-4aa1-9bf4-fe389315ad74" ] }, { "id" : "ITEM-2", "itemData" : { "DOI" : "10.1093/jac/dkw295", "ISBN" : "1517945941", "ISSN" : "0305-7453", "author" : [ { "dropping-particle" : "", "family" : "Ramos-Mart\u00edn", "given" : "V.", "non-dropping-particle" : "", "parse-names" : false, "suffix" : "" }, { "dropping-particle" : "", "family" : "Neely", "given" : "M. N.", "non-dropping-particle" : "", "parse-names" : false, "suffix" : "" }, { "dropping-particle" : "", "family" : "McGowan", "given" : "P.", "non-dropping-particle" : "", "parse-names" : false, "suffix" : "" }, { "dropping-particle" : "", "family" : "Siner", "given" : "S.", "non-dropping-particle" : "", "parse-names" : false, "suffix" : "" }, { "dropping-particle" : "", "family" : "Padmore", "given" : "K.", "non-dropping-particle" : "", "parse-names" : false, "suffix" : "" }, { "dropping-particle" : "", "family" : "Peak", "given" : "M.", "non-dropping-particle" : "", "parse-names" : false, "suffix" : "" }, { "dropping-particle" : "", "family" : "Beresford", "given" : "M. W.", "non-dropping-particle" : "", "parse-names" : false, "suffix" : "" }, { "dropping-particle" : "", "family" : "Turner", "given" : "M. A.", "non-dropping-particle" : "", "parse-names" : false, "suffix" : "" }, { "dropping-particle" : "", "family" : "Paulus", "given" : "S.", "non-dropping-particle" : "", "parse-names" : false, "suffix" : "" }, { "dropping-particle" : "", "family" : "Hope", "given" : "W. W.", "non-dropping-particle" : "", "parse-names" : false, "suffix" : "" } ], "container-title" : "Journal of Antimicrobial Chemotherapy", "id" : "ITEM-2", "issued" : { "date-parts" : [ [ "2016" ] ] }, "page" : "dkw295", "title" : "Population pharmacokinetics and pharmacodynamics of teicoplanin in neonates: making better use of C-reactive protein to deliver individualized therapy", "type" : "article-journal" }, "uris" : [ "http://www.mendeley.com/documents/?uuid=51c219c6-2659-4adb-a6f8-b2b11f899eec" ] } ], "mendeley" : { "formattedCitation" : "(1, 2)", "plainTextFormattedCitation" : "(1, 2)", "previouslyFormattedCitation" : "(1, 2)" }, "properties" : { "noteIndex" : 0 }, "schema" : "https://github.com/citation-style-language/schema/raw/master/csl-citation.json" }</w:instrText>
      </w:r>
      <w:r w:rsidR="002C1836" w:rsidRPr="008B30B9">
        <w:rPr>
          <w:rFonts w:ascii="Times New Roman" w:hAnsi="Times New Roman" w:cs="Times New Roman"/>
        </w:rPr>
        <w:fldChar w:fldCharType="separate"/>
      </w:r>
      <w:r w:rsidR="002C1836" w:rsidRPr="008B30B9">
        <w:rPr>
          <w:rFonts w:ascii="Times New Roman" w:hAnsi="Times New Roman" w:cs="Times New Roman"/>
          <w:noProof/>
        </w:rPr>
        <w:t>(1, 2)</w:t>
      </w:r>
      <w:r w:rsidR="002C1836" w:rsidRPr="008B30B9">
        <w:rPr>
          <w:rFonts w:ascii="Times New Roman" w:hAnsi="Times New Roman" w:cs="Times New Roman"/>
        </w:rPr>
        <w:fldChar w:fldCharType="end"/>
      </w:r>
      <w:r w:rsidR="002C1836" w:rsidRPr="008B30B9">
        <w:rPr>
          <w:rFonts w:ascii="Times New Roman" w:hAnsi="Times New Roman" w:cs="Times New Roman"/>
        </w:rPr>
        <w:t>.</w:t>
      </w:r>
      <w:r w:rsidR="003D74A4" w:rsidRPr="008B30B9">
        <w:rPr>
          <w:rFonts w:ascii="Times New Roman" w:hAnsi="Times New Roman" w:cs="Times New Roman"/>
        </w:rPr>
        <w:t xml:space="preserve"> </w:t>
      </w:r>
      <w:r w:rsidR="002C1836" w:rsidRPr="008B30B9">
        <w:rPr>
          <w:rFonts w:ascii="Times New Roman" w:hAnsi="Times New Roman" w:cs="Times New Roman"/>
        </w:rPr>
        <w:t>T</w:t>
      </w:r>
      <w:r w:rsidR="004960B6" w:rsidRPr="008B30B9">
        <w:rPr>
          <w:rFonts w:ascii="Times New Roman" w:hAnsi="Times New Roman" w:cs="Times New Roman"/>
        </w:rPr>
        <w:t xml:space="preserve">he </w:t>
      </w:r>
      <w:r w:rsidR="002C1836" w:rsidRPr="008B30B9">
        <w:rPr>
          <w:rFonts w:ascii="Times New Roman" w:hAnsi="Times New Roman" w:cs="Times New Roman"/>
        </w:rPr>
        <w:t xml:space="preserve">combination of </w:t>
      </w:r>
      <w:r w:rsidR="00383E95" w:rsidRPr="008B30B9">
        <w:rPr>
          <w:rFonts w:ascii="Times New Roman" w:hAnsi="Times New Roman" w:cs="Times New Roman"/>
        </w:rPr>
        <w:t xml:space="preserve">a </w:t>
      </w:r>
      <w:r w:rsidR="000F08A9" w:rsidRPr="008B30B9">
        <w:rPr>
          <w:rFonts w:ascii="Times New Roman" w:hAnsi="Times New Roman" w:cs="Times New Roman"/>
        </w:rPr>
        <w:t xml:space="preserve">pharmacokinetic </w:t>
      </w:r>
      <w:r w:rsidR="004960B6" w:rsidRPr="008B30B9">
        <w:rPr>
          <w:rFonts w:ascii="Times New Roman" w:hAnsi="Times New Roman" w:cs="Times New Roman"/>
        </w:rPr>
        <w:t xml:space="preserve">model with </w:t>
      </w:r>
      <w:r w:rsidR="002C1836" w:rsidRPr="008B30B9">
        <w:rPr>
          <w:rFonts w:ascii="Times New Roman" w:hAnsi="Times New Roman" w:cs="Times New Roman"/>
        </w:rPr>
        <w:t xml:space="preserve">measurements from </w:t>
      </w:r>
      <w:r w:rsidR="00A306E4" w:rsidRPr="008B30B9">
        <w:rPr>
          <w:rFonts w:ascii="Times New Roman" w:hAnsi="Times New Roman" w:cs="Times New Roman"/>
        </w:rPr>
        <w:t xml:space="preserve">an </w:t>
      </w:r>
      <w:r w:rsidR="004960B6" w:rsidRPr="008B30B9">
        <w:rPr>
          <w:rFonts w:ascii="Times New Roman" w:hAnsi="Times New Roman" w:cs="Times New Roman"/>
        </w:rPr>
        <w:t xml:space="preserve">individual patient </w:t>
      </w:r>
      <w:r w:rsidR="008C4B6C" w:rsidRPr="008B30B9">
        <w:rPr>
          <w:rFonts w:ascii="Times New Roman" w:hAnsi="Times New Roman" w:cs="Times New Roman"/>
        </w:rPr>
        <w:t xml:space="preserve">and </w:t>
      </w:r>
      <w:r w:rsidR="002C1836" w:rsidRPr="008B30B9">
        <w:rPr>
          <w:rFonts w:ascii="Times New Roman" w:hAnsi="Times New Roman" w:cs="Times New Roman"/>
        </w:rPr>
        <w:t>software</w:t>
      </w:r>
      <w:r w:rsidR="008C4B6C" w:rsidRPr="008B30B9">
        <w:rPr>
          <w:rFonts w:ascii="Times New Roman" w:hAnsi="Times New Roman" w:cs="Times New Roman"/>
        </w:rPr>
        <w:t>-guided</w:t>
      </w:r>
      <w:r w:rsidR="002C1836" w:rsidRPr="008B30B9">
        <w:rPr>
          <w:rFonts w:ascii="Times New Roman" w:hAnsi="Times New Roman" w:cs="Times New Roman"/>
        </w:rPr>
        <w:t xml:space="preserve"> </w:t>
      </w:r>
      <w:r w:rsidR="008C4B6C" w:rsidRPr="008B30B9">
        <w:rPr>
          <w:rFonts w:ascii="Times New Roman" w:hAnsi="Times New Roman" w:cs="Times New Roman"/>
        </w:rPr>
        <w:t>dosage adjustment</w:t>
      </w:r>
      <w:r w:rsidR="0064130B" w:rsidRPr="008B30B9">
        <w:rPr>
          <w:rFonts w:ascii="Times New Roman" w:hAnsi="Times New Roman" w:cs="Times New Roman"/>
        </w:rPr>
        <w:t xml:space="preserve"> </w:t>
      </w:r>
      <w:r w:rsidR="008C4B6C" w:rsidRPr="008B30B9">
        <w:rPr>
          <w:rFonts w:ascii="Times New Roman" w:hAnsi="Times New Roman" w:cs="Times New Roman"/>
        </w:rPr>
        <w:t xml:space="preserve">provided a way </w:t>
      </w:r>
      <w:r w:rsidR="0064130B" w:rsidRPr="008B30B9">
        <w:rPr>
          <w:rFonts w:ascii="Times New Roman" w:hAnsi="Times New Roman" w:cs="Times New Roman"/>
        </w:rPr>
        <w:t xml:space="preserve">future </w:t>
      </w:r>
      <w:r w:rsidR="003C7130" w:rsidRPr="008B30B9">
        <w:rPr>
          <w:rFonts w:ascii="Times New Roman" w:hAnsi="Times New Roman" w:cs="Times New Roman"/>
        </w:rPr>
        <w:t xml:space="preserve">target </w:t>
      </w:r>
      <w:r w:rsidR="0064130B" w:rsidRPr="008B30B9">
        <w:rPr>
          <w:rFonts w:ascii="Times New Roman" w:hAnsi="Times New Roman" w:cs="Times New Roman"/>
        </w:rPr>
        <w:t>conc</w:t>
      </w:r>
      <w:r w:rsidR="002C1836" w:rsidRPr="008B30B9">
        <w:rPr>
          <w:rFonts w:ascii="Times New Roman" w:hAnsi="Times New Roman" w:cs="Times New Roman"/>
        </w:rPr>
        <w:t>e</w:t>
      </w:r>
      <w:r w:rsidR="0064130B" w:rsidRPr="008B30B9">
        <w:rPr>
          <w:rFonts w:ascii="Times New Roman" w:hAnsi="Times New Roman" w:cs="Times New Roman"/>
        </w:rPr>
        <w:t>n</w:t>
      </w:r>
      <w:r w:rsidR="002C1836" w:rsidRPr="008B30B9">
        <w:rPr>
          <w:rFonts w:ascii="Times New Roman" w:hAnsi="Times New Roman" w:cs="Times New Roman"/>
        </w:rPr>
        <w:t xml:space="preserve">trations </w:t>
      </w:r>
      <w:r w:rsidR="008C4B6C" w:rsidRPr="008B30B9">
        <w:rPr>
          <w:rFonts w:ascii="Times New Roman" w:hAnsi="Times New Roman" w:cs="Times New Roman"/>
        </w:rPr>
        <w:t xml:space="preserve">can </w:t>
      </w:r>
      <w:r w:rsidR="002C1836" w:rsidRPr="008B30B9">
        <w:rPr>
          <w:rFonts w:ascii="Times New Roman" w:hAnsi="Times New Roman" w:cs="Times New Roman"/>
        </w:rPr>
        <w:t>be achieved</w:t>
      </w:r>
      <w:r w:rsidR="008C4B6C" w:rsidRPr="008B30B9">
        <w:rPr>
          <w:rFonts w:ascii="Times New Roman" w:hAnsi="Times New Roman" w:cs="Times New Roman"/>
        </w:rPr>
        <w:t xml:space="preserve"> in a timely and optimally precise manner</w:t>
      </w:r>
      <w:r w:rsidR="002C1836" w:rsidRPr="008B30B9">
        <w:rPr>
          <w:rFonts w:ascii="Times New Roman" w:hAnsi="Times New Roman" w:cs="Times New Roman"/>
        </w:rPr>
        <w:t>.</w:t>
      </w:r>
    </w:p>
    <w:p w14:paraId="65F2C341" w14:textId="5EB339A1" w:rsidR="00371CC1" w:rsidRPr="008B30B9" w:rsidRDefault="00371CC1" w:rsidP="006D2919">
      <w:pPr>
        <w:spacing w:line="480" w:lineRule="auto"/>
        <w:ind w:firstLine="708"/>
        <w:jc w:val="both"/>
        <w:rPr>
          <w:rFonts w:ascii="Times New Roman" w:hAnsi="Times New Roman" w:cs="Times New Roman"/>
        </w:rPr>
      </w:pPr>
      <w:r w:rsidRPr="008B30B9">
        <w:rPr>
          <w:rFonts w:ascii="Times New Roman" w:hAnsi="Times New Roman" w:cs="Times New Roman"/>
        </w:rPr>
        <w:t xml:space="preserve">For </w:t>
      </w:r>
      <w:proofErr w:type="spellStart"/>
      <w:r w:rsidRPr="008B30B9">
        <w:rPr>
          <w:rFonts w:ascii="Times New Roman" w:hAnsi="Times New Roman" w:cs="Times New Roman"/>
        </w:rPr>
        <w:t>t</w:t>
      </w:r>
      <w:r w:rsidR="003A2247" w:rsidRPr="008B30B9">
        <w:rPr>
          <w:rFonts w:ascii="Times New Roman" w:hAnsi="Times New Roman" w:cs="Times New Roman"/>
        </w:rPr>
        <w:t>eicoplanin</w:t>
      </w:r>
      <w:proofErr w:type="spellEnd"/>
      <w:r w:rsidRPr="008B30B9">
        <w:rPr>
          <w:rFonts w:ascii="Times New Roman" w:hAnsi="Times New Roman" w:cs="Times New Roman"/>
        </w:rPr>
        <w:t>,</w:t>
      </w:r>
      <w:r w:rsidR="003A2247" w:rsidRPr="008B30B9">
        <w:rPr>
          <w:rFonts w:ascii="Times New Roman" w:hAnsi="Times New Roman" w:cs="Times New Roman"/>
        </w:rPr>
        <w:t xml:space="preserve"> a relationship between plasma concentration and toxicity has not been established</w:t>
      </w:r>
      <w:r w:rsidR="0071542D" w:rsidRPr="008B30B9">
        <w:rPr>
          <w:rFonts w:ascii="Times New Roman" w:hAnsi="Times New Roman" w:cs="Times New Roman"/>
        </w:rPr>
        <w:t xml:space="preserve"> </w:t>
      </w:r>
      <w:r w:rsidR="003B4D95" w:rsidRPr="008B30B9">
        <w:rPr>
          <w:rFonts w:ascii="Times New Roman" w:hAnsi="Times New Roman" w:cs="Times New Roman"/>
        </w:rPr>
        <w:fldChar w:fldCharType="begin" w:fldLock="1"/>
      </w:r>
      <w:r w:rsidR="00071129" w:rsidRPr="008B30B9">
        <w:rPr>
          <w:rFonts w:ascii="Times New Roman" w:hAnsi="Times New Roman" w:cs="Times New Roman"/>
        </w:rPr>
        <w:instrText>ADDIN CSL_CITATION { "citationItems" : [ { "id" : "ITEM-1", "itemData" : { "DOI" : "10.1093/jac/dkq266", "ISSN" : "03057453", "PMID" : "20682566", "abstract" : "Objectives An analysis of the trough serum concentrations sent to the UK Antimicrobial Reference Laboratory for teicoplanin therapeutic drug monitoring (TDM). Methods All trough concentrations over a 13 year period were analysed and the percentages were calculated for the following: &lt;10 mg/L (a sub-optimal concentration for all); \u226510-&lt;20 mg/L (the target used for ordinary Gram-positive infections); \u226520-&lt;60 mg/L (the target for all severe staphylococcal infections including endocarditis); and \u226560 mg/L (the concentration associated with toxicity). Results The percentage of patients with concentrations of &lt;10 mg/L decreased each year to 13% in 2006. Almost 40% of the samples each year were in the \u226510-&lt;20 mg/L range. In 1996, the percentage of samples in the \u226520-&lt;60 mg/L range reached a study high of \u223c70%. That percentage then fell to 30% and increased slowly to 50% at the end of the study. Fewer than 5% of the samples were \u226560 mg/L. Conclusions Our study shows that there is a need to increase the initial dose or extend the number of days that the loading dose is used in a significant number of patients. With such a wide optimal range and a low potential for toxicity, it is unclear why optimal therapy is not achieved in a higher percentage of patients.", "author" : [ { "dropping-particle" : "", "family" : "Tobin", "given" : "C. M.", "non-dropping-particle" : "", "parse-names" : false, "suffix" : "" }, { "dropping-particle" : "", "family" : "Lovering", "given" : "A. M.", "non-dropping-particle" : "", "parse-names" : false, "suffix" : "" }, { "dropping-particle" : "", "family" : "Sweeney", "given" : "E.", "non-dropping-particle" : "", "parse-names" : false, "suffix" : "" }, { "dropping-particle" : "", "family" : "MacGowan", "given" : "A. P.", "non-dropping-particle" : "", "parse-names" : false, "suffix" : "" } ], "container-title" : "Journal of Antimicrobial Chemotherapy", "id" : "ITEM-1", "issue" : "10", "issued" : { "date-parts" : [ [ "2010" ] ] }, "note" : "NULL", "page" : "2155-2157", "title" : "Analyses of teicoplanin concentrations from 1994 to 2006 from a UK assay service", "type" : "article-journal", "volume" : "65" }, "uris" : [ "http://www.mendeley.com/documents/?uuid=11701d5e-13d3-41c9-8243-3d31da657987" ] }, { "id" : "ITEM-2", "itemData" : { "DOI" : "10.1016/j.jinf.2013.08.018", "ISBN" : "1532-2742", "ISSN" : "01634453", "PMID" : "24012820", "abstract" : "Objective: Teicoplanin is widely used for the treatment of severe gram-positive infection, aiming to achieve trough serum levels of 20-60mg/L for patients with severe infection. A standard 400mg daily dose is frequently associated with sub-therapeutic levels, and we have therefore changed our routine approach to 600mg daily (following loading doses in each case). We set out to investigate the impact of this dose increase on drug levels and potential side-effects. Methods: We undertook a retrospective study of 549 consecutive adult Out-Patient Antimicrobial Treatment (OPAT) episodes treated with intravenous teicoplanin. Results: Therapeutic teicoplanin levels were more frequently achieved in patients treated with 600mg compared to 400mg daily (68% vs. 37% respectively, p&lt;0.0001), without an increased frequency of potentially toxic levels, defined as &gt;60mg/L (6% vs. 8% respectively, p=0.4). There was no difference in the incidence of neutropaenia, eosinophilia, thrombocytopaenia, acute renal injury or treatment cessation in patients treated with the higher teicoplanin dose. Conclusions: In the majority of stable adult patients with normal renal function, we advocate a loading regimen (600mg b.d. for two doses) followed by a 600mg daily teicoplanin dose in order to achieve therapeutic trough levels. \u00a9 2013 The British Infection Association.", "author" : [ { "dropping-particle" : "", "family" : "Matthews", "given" : "Philippa C.", "non-dropping-particle" : "", "parse-names" : false, "suffix" : "" }, { "dropping-particle" : "", "family" : "Chue", "given" : "Amy L.", "non-dropping-particle" : "", "parse-names" : false, "suffix" : "" }, { "dropping-particle" : "", "family" : "Wyllie", "given" : "David", "non-dropping-particle" : "", "parse-names" : false, "suffix" : "" }, { "dropping-particle" : "", "family" : "Barnett", "given" : "Adam", "non-dropping-particle" : "", "parse-names" : false, "suffix" : "" }, { "dropping-particle" : "", "family" : "Isinkaye", "given" : "Tomide", "non-dropping-particle" : "", "parse-names" : false, "suffix" : "" }, { "dropping-particle" : "", "family" : "Jefferies", "given" : "Lorrayne", "non-dropping-particle" : "", "parse-names" : false, "suffix" : "" }, { "dropping-particle" : "", "family" : "Lovering", "given" : "Andrew", "non-dropping-particle" : "", "parse-names" : false, "suffix" : "" }, { "dropping-particle" : "", "family" : "Scarborough", "given" : "Matthew", "non-dropping-particle" : "", "parse-names" : false, "suffix" : "" } ], "container-title" : "Journal of Infection", "id" : "ITEM-2", "issue" : "1", "issued" : { "date-parts" : [ [ "2014" ] ] }, "page" : "43-49", "publisher" : "Elsevier Ltd", "title" : "Increased teicoplanin doses are associated with improved serum levels but not drug toxicity", "type" : "article-journal", "volume" : "68" }, "uris" : [ "http://www.mendeley.com/documents/?uuid=3f406758-b0ae-4028-a0ae-11648ed90e79" ] }, { "id" : "ITEM-3", "itemData" : { "DOI" : "10.1097/INF.0000000000001456", "ISBN" : "0000000000", "ISSN" : "0891-3668", "author" : [ { "dropping-particle" : "", "family" : "Yamada", "given" : "Takaaki", "non-dropping-particle" : "", "parse-names" : false, "suffix" : "" }, { "dropping-particle" : "", "family" : "Kubota", "given" : "Toshio", "non-dropping-particle" : "", "parse-names" : false, "suffix" : "" }, { "dropping-particle" : "", "family" : "Yonezawa", "given" : "Mahoro", "non-dropping-particle" : "", "parse-names" : false, "suffix" : "" }, { "dropping-particle" : "", "family" : "Nishio", "given" : "Hisanori", "non-dropping-particle" : "", "parse-names" : false, "suffix" : "" }, { "dropping-particle" : "", "family" : "Kanno", "given" : "Shunsuke", "non-dropping-particle" : "", "parse-names" : false, "suffix" : "" }, { "dropping-particle" : "", "family" : "Yano", "given" : "Takahisa", "non-dropping-particle" : "", "parse-names" : false, "suffix" : "" }, { "dropping-particle" : "", "family" : "Kobayashi", "given" : "Daisuke", "non-dropping-particle" : "", "parse-names" : false, "suffix" : "" }, { "dropping-particle" : "", "family" : "Egashira", "given" : "Nobuaki", "non-dropping-particle" : "", "parse-names" : false, "suffix" : "" }, { "dropping-particle" : "", "family" : "Takada", "given" : "Hidetoshi", "non-dropping-particle" : "", "parse-names" : false, "suffix" : "" }, { "dropping-particle" : "", "family" : "Hara", "given" : "Toshiro", "non-dropping-particle" : "", "parse-names" : false, "suffix" : "" }, { "dropping-particle" : "", "family" : "Masuda", "given" : "Satohiro", "non-dropping-particle" : "", "parse-names" : false, "suffix" : "" } ], "container-title" : "The Pediatric Infectious Disease Journal", "id" : "ITEM-3", "issue" : "4", "issued" : { "date-parts" : [ [ "2017" ] ] }, "page" : "398-400", "title" : "Evaluation of Teicoplanin Trough Values After the Recommended Loading Dose in Children With Associated Safety Analysis", "type" : "article-journal", "volume" : "36" }, "uris" : [ "http://www.mendeley.com/documents/?uuid=4c415ee2-da5a-4eb2-8020-15aafcb2a1ee" ] }, { "id" : "ITEM-4", "itemData" : { "DOI" : "10.1016/j.ijantimicag.2014.07.005", "ISSN" : "1872-7913", "PMID" : "25218156", "abstract" : "The aims of this study were (i) to evaluate the relationship between teicoplanin (TEIC) dosage and subsequent trough concentration, (ii) to investigate factors that affect TEIC serum concentration fluctuations and (iii) to examine the association between serum concentration of TEIC and adverse reactions in neonates. A total of 37 eligible neonates (&lt;28 days of age) treated with TEIC from 2008-2012 were included in this study. The median trough concentration in the loading dose regimen of &gt;12-16 mg/kg on Day 1, followed by &gt;6-8 mg/kg every 24 h (q24 h) was 19.6 \u03bcg/mL on Day 3 or 4, and the median trough concentration in the maintenance dose regimen of &gt;6-8 mg/kg q24 h was 18.5 \u03bcg/mL at steady-state. There were significant correlations between serum creatinine and concentration/dose (C/D) ratio (r=0.475, P=0.019), body weight and C/D ratio (r=-0.425, P=0.038) and corrected gestational age and C/D ratio (r=-0.482, P=0.017) after administering the loading dose. The incidence of hepatic dysfunction, renal impairment and thrombocytopenia was 14.8%, 20.0% and 14.8%, respectively. There was no significant difference in the incidence of adverse reactions between the trough concentration &lt;20 \u03bcg/mL and \u226520 \u03bcg/mL groups. These data suggest that the recommended TEIC dosage for neonates is appropriate to achieve and maintain a trough concentration range of 15-30 \u03bcg/mL, and it is possible to set the target trough concentration at \u226520 \u03bcg/mL for deep-seated infections such as endocarditis, bone and joint infections, and osteomyelitis.", "author" : [ { "dropping-particle" : "", "family" : "Yamada", "given" : "Takaaki", "non-dropping-particle" : "", "parse-names" : false, "suffix" : "" }, { "dropping-particle" : "", "family" : "Kubota", "given" : "Toshio", "non-dropping-particle" : "", "parse-names" : false, "suffix" : "" }, { "dropping-particle" : "", "family" : "Nakamura", "given" : "Masako", "non-dropping-particle" : "", "parse-names" : false, "suffix" : "" }, { "dropping-particle" : "", "family" : "Ochiai", "given" : "Masayuki", "non-dropping-particle" : "", "parse-names" : false, "suffix" : "" }, { "dropping-particle" : "", "family" : "Yonezawa", "given" : "Mahoro", "non-dropping-particle" : "", "parse-names" : false, "suffix" : "" }, { "dropping-particle" : "", "family" : "Yano", "given" : "Takahisa", "non-dropping-particle" : "", "parse-names" : false, "suffix" : "" }, { "dropping-particle" : "", "family" : "Kawashiri", "given" : "Takehiro", "non-dropping-particle" : "", "parse-names" : false, "suffix" : "" }, { "dropping-particle" : "", "family" : "Egashira", "given" : "Nobuaki", "non-dropping-particle" : "", "parse-names" : false, "suffix" : "" }, { "dropping-particle" : "", "family" : "Hara", "given" : "Toshiro", "non-dropping-particle" : "", "parse-names" : false, "suffix" : "" }, { "dropping-particle" : "", "family" : "Masuda", "given" : "Satohiro", "non-dropping-particle" : "", "parse-names" : false, "suffix" : "" } ], "container-title" : "International journal of antimicrobial agents", "id" : "ITEM-4", "issue" : "5", "issued" : { "date-parts" : [ [ "2014", "11" ] ] }, "page" : "458-62", "title" : "Evaluation of teicoplanin concentrations and safety analysis in neonates.", "type" : "article-journal", "volume" : "44" }, "uris" : [ "http://www.mendeley.com/documents/?uuid=79324e1b-d051-4406-b7a5-48948051023a" ] } ], "mendeley" : { "formattedCitation" : "(10, 30\u201332)", "plainTextFormattedCitation" : "(10, 30\u201332)", "previouslyFormattedCitation" : "(10, 30\u201332)" }, "properties" : { "noteIndex" : 0 }, "schema" : "https://github.com/citation-style-language/schema/raw/master/csl-citation.json" }</w:instrText>
      </w:r>
      <w:r w:rsidR="003B4D95" w:rsidRPr="008B30B9">
        <w:rPr>
          <w:rFonts w:ascii="Times New Roman" w:hAnsi="Times New Roman" w:cs="Times New Roman"/>
        </w:rPr>
        <w:fldChar w:fldCharType="separate"/>
      </w:r>
      <w:r w:rsidR="00065350" w:rsidRPr="008B30B9">
        <w:rPr>
          <w:rFonts w:ascii="Times New Roman" w:hAnsi="Times New Roman" w:cs="Times New Roman"/>
          <w:noProof/>
        </w:rPr>
        <w:t>(10, 30–32)</w:t>
      </w:r>
      <w:r w:rsidR="003B4D95" w:rsidRPr="008B30B9">
        <w:rPr>
          <w:rFonts w:ascii="Times New Roman" w:hAnsi="Times New Roman" w:cs="Times New Roman"/>
        </w:rPr>
        <w:fldChar w:fldCharType="end"/>
      </w:r>
      <w:r w:rsidR="003B4D95" w:rsidRPr="008B30B9">
        <w:rPr>
          <w:rFonts w:ascii="Times New Roman" w:hAnsi="Times New Roman" w:cs="Times New Roman"/>
        </w:rPr>
        <w:t>,</w:t>
      </w:r>
      <w:r w:rsidRPr="008B30B9">
        <w:rPr>
          <w:rFonts w:ascii="Times New Roman" w:hAnsi="Times New Roman" w:cs="Times New Roman"/>
        </w:rPr>
        <w:t xml:space="preserve"> which may reduce the incentive for </w:t>
      </w:r>
      <w:r w:rsidR="00CB0EC3" w:rsidRPr="008B30B9">
        <w:rPr>
          <w:rFonts w:ascii="Times New Roman" w:hAnsi="Times New Roman" w:cs="Times New Roman"/>
        </w:rPr>
        <w:t xml:space="preserve">clinicians </w:t>
      </w:r>
      <w:r w:rsidRPr="008B30B9">
        <w:rPr>
          <w:rFonts w:ascii="Times New Roman" w:hAnsi="Times New Roman" w:cs="Times New Roman"/>
        </w:rPr>
        <w:t>to routinely monitor the drug</w:t>
      </w:r>
      <w:r w:rsidR="00A513E0" w:rsidRPr="008B30B9">
        <w:rPr>
          <w:rFonts w:ascii="Times New Roman" w:hAnsi="Times New Roman" w:cs="Times New Roman"/>
        </w:rPr>
        <w:t>.</w:t>
      </w:r>
      <w:r w:rsidR="003039C3" w:rsidRPr="008B30B9">
        <w:rPr>
          <w:rFonts w:ascii="Times New Roman" w:hAnsi="Times New Roman" w:cs="Times New Roman"/>
        </w:rPr>
        <w:t xml:space="preserve"> </w:t>
      </w:r>
      <w:r w:rsidRPr="008B30B9">
        <w:rPr>
          <w:rFonts w:ascii="Times New Roman" w:hAnsi="Times New Roman" w:cs="Times New Roman"/>
        </w:rPr>
        <w:t>However, exposure control to maximize efficacy should not be negl</w:t>
      </w:r>
      <w:r w:rsidR="003D74A4" w:rsidRPr="008B30B9">
        <w:rPr>
          <w:rFonts w:ascii="Times New Roman" w:hAnsi="Times New Roman" w:cs="Times New Roman"/>
        </w:rPr>
        <w:t xml:space="preserve">ected. </w:t>
      </w:r>
      <w:r w:rsidR="0071542D" w:rsidRPr="008B30B9">
        <w:rPr>
          <w:rFonts w:ascii="Times New Roman" w:hAnsi="Times New Roman" w:cs="Times New Roman"/>
        </w:rPr>
        <w:t xml:space="preserve">The </w:t>
      </w:r>
      <w:r w:rsidR="002C54A8" w:rsidRPr="008B30B9">
        <w:rPr>
          <w:rFonts w:ascii="Times New Roman" w:hAnsi="Times New Roman" w:cs="Times New Roman"/>
        </w:rPr>
        <w:t>British National Formulary for Children (</w:t>
      </w:r>
      <w:r w:rsidR="0071542D" w:rsidRPr="008B30B9">
        <w:rPr>
          <w:rFonts w:ascii="Times New Roman" w:hAnsi="Times New Roman" w:cs="Times New Roman"/>
        </w:rPr>
        <w:t>BNFC</w:t>
      </w:r>
      <w:r w:rsidR="002C54A8" w:rsidRPr="008B30B9">
        <w:rPr>
          <w:rFonts w:ascii="Times New Roman" w:hAnsi="Times New Roman" w:cs="Times New Roman"/>
        </w:rPr>
        <w:t>)</w:t>
      </w:r>
      <w:r w:rsidR="0071542D" w:rsidRPr="008B30B9">
        <w:rPr>
          <w:rFonts w:ascii="Times New Roman" w:hAnsi="Times New Roman" w:cs="Times New Roman"/>
        </w:rPr>
        <w:t xml:space="preserve"> suggests a therapeutic window of </w:t>
      </w:r>
      <w:r w:rsidR="00A41E0F" w:rsidRPr="008B30B9">
        <w:rPr>
          <w:rFonts w:ascii="Times New Roman" w:hAnsi="Times New Roman" w:cs="Times New Roman"/>
        </w:rPr>
        <w:t>&gt;</w:t>
      </w:r>
      <w:r w:rsidR="0071542D" w:rsidRPr="008B30B9">
        <w:rPr>
          <w:rFonts w:ascii="Times New Roman" w:hAnsi="Times New Roman" w:cs="Times New Roman"/>
        </w:rPr>
        <w:t>15</w:t>
      </w:r>
      <w:r w:rsidR="00A41E0F" w:rsidRPr="008B30B9">
        <w:rPr>
          <w:rFonts w:ascii="Times New Roman" w:hAnsi="Times New Roman" w:cs="Times New Roman"/>
        </w:rPr>
        <w:t xml:space="preserve"> to </w:t>
      </w:r>
      <w:r w:rsidR="0071542D" w:rsidRPr="008B30B9">
        <w:rPr>
          <w:rFonts w:ascii="Times New Roman" w:hAnsi="Times New Roman" w:cs="Times New Roman"/>
        </w:rPr>
        <w:t>60 mg/L</w:t>
      </w:r>
      <w:r w:rsidRPr="008B30B9">
        <w:rPr>
          <w:rFonts w:ascii="Times New Roman" w:hAnsi="Times New Roman" w:cs="Times New Roman"/>
        </w:rPr>
        <w:t xml:space="preserve"> for children and </w:t>
      </w:r>
      <w:r w:rsidR="00C46B68" w:rsidRPr="008B30B9">
        <w:rPr>
          <w:rFonts w:ascii="Times New Roman" w:hAnsi="Times New Roman" w:cs="Times New Roman"/>
        </w:rPr>
        <w:t>a</w:t>
      </w:r>
      <w:r w:rsidR="00B56A8F" w:rsidRPr="008B30B9">
        <w:rPr>
          <w:rFonts w:ascii="Times New Roman" w:hAnsi="Times New Roman" w:cs="Times New Roman"/>
        </w:rPr>
        <w:t>dult</w:t>
      </w:r>
      <w:r w:rsidRPr="008B30B9">
        <w:rPr>
          <w:rFonts w:ascii="Times New Roman" w:hAnsi="Times New Roman" w:cs="Times New Roman"/>
        </w:rPr>
        <w:t>s</w:t>
      </w:r>
      <w:r w:rsidR="003039C3" w:rsidRPr="008B30B9">
        <w:rPr>
          <w:rFonts w:ascii="Times New Roman" w:hAnsi="Times New Roman" w:cs="Times New Roman"/>
        </w:rPr>
        <w:t xml:space="preserve"> </w:t>
      </w:r>
      <w:r w:rsidR="00B56A8F" w:rsidRPr="008B30B9">
        <w:rPr>
          <w:rFonts w:ascii="Times New Roman" w:hAnsi="Times New Roman" w:cs="Times New Roman"/>
        </w:rPr>
        <w:fldChar w:fldCharType="begin" w:fldLock="1"/>
      </w:r>
      <w:r w:rsidR="003F682E" w:rsidRPr="008B30B9">
        <w:rPr>
          <w:rFonts w:ascii="Times New Roman" w:hAnsi="Times New Roman" w:cs="Times New Roman"/>
        </w:rPr>
        <w:instrText>ADDIN CSL_CITATION { "citationItems" : [ { "id" : "ITEM-1", "itemData" : { "ISBN" : "978 0 85711 164 7", "author" : [ { "dropping-particle" : "", "family" : "BMJ Group, the Royal Pharmaceutical Society of Great Britain", "given" : "and RCPCH Publications Ltd.2014.", "non-dropping-particle" : "", "parse-names" : false, "suffix" : "" } ], "edition" : "2015-2016", "id" : "ITEM-1", "issued" : { "date-parts" : [ [ "2015" ] ] }, "publisher" : "BMJ Group", "publisher-place" : "London", "title" : "British National Formulary for Children-Antibacterial drugs-Teicoplanin.", "type" : "book" }, "uris" : [ "http://www.mendeley.com/documents/?uuid=5dbab8bd-0223-360e-8eb2-3a42033acd1a" ] } ], "mendeley" : { "formattedCitation" : "(3)", "plainTextFormattedCitation" : "(3)", "previouslyFormattedCitation" : "(3)" }, "properties" : { "noteIndex" : 0 }, "schema" : "https://github.com/citation-style-language/schema/raw/master/csl-citation.json" }</w:instrText>
      </w:r>
      <w:r w:rsidR="00B56A8F" w:rsidRPr="008B30B9">
        <w:rPr>
          <w:rFonts w:ascii="Times New Roman" w:hAnsi="Times New Roman" w:cs="Times New Roman"/>
        </w:rPr>
        <w:fldChar w:fldCharType="separate"/>
      </w:r>
      <w:r w:rsidR="003F682E" w:rsidRPr="008B30B9">
        <w:rPr>
          <w:rFonts w:ascii="Times New Roman" w:hAnsi="Times New Roman" w:cs="Times New Roman"/>
          <w:noProof/>
        </w:rPr>
        <w:t>(3)</w:t>
      </w:r>
      <w:r w:rsidR="00B56A8F" w:rsidRPr="008B30B9">
        <w:rPr>
          <w:rFonts w:ascii="Times New Roman" w:hAnsi="Times New Roman" w:cs="Times New Roman"/>
        </w:rPr>
        <w:fldChar w:fldCharType="end"/>
      </w:r>
      <w:r w:rsidR="00B56A8F" w:rsidRPr="008B30B9">
        <w:rPr>
          <w:rFonts w:ascii="Times New Roman" w:hAnsi="Times New Roman" w:cs="Times New Roman"/>
        </w:rPr>
        <w:t xml:space="preserve">. </w:t>
      </w:r>
      <w:r w:rsidR="003039C3" w:rsidRPr="008B30B9">
        <w:rPr>
          <w:rFonts w:ascii="Times New Roman" w:hAnsi="Times New Roman" w:cs="Times New Roman"/>
        </w:rPr>
        <w:t>These recommendations are</w:t>
      </w:r>
      <w:r w:rsidR="0071542D" w:rsidRPr="008B30B9">
        <w:rPr>
          <w:rFonts w:ascii="Times New Roman" w:hAnsi="Times New Roman" w:cs="Times New Roman"/>
        </w:rPr>
        <w:t xml:space="preserve"> </w:t>
      </w:r>
      <w:r w:rsidR="003039C3" w:rsidRPr="008B30B9">
        <w:rPr>
          <w:rFonts w:ascii="Times New Roman" w:hAnsi="Times New Roman" w:cs="Times New Roman"/>
        </w:rPr>
        <w:t xml:space="preserve">largely </w:t>
      </w:r>
      <w:r w:rsidR="0071542D" w:rsidRPr="008B30B9">
        <w:rPr>
          <w:rFonts w:ascii="Times New Roman" w:hAnsi="Times New Roman" w:cs="Times New Roman"/>
        </w:rPr>
        <w:t xml:space="preserve">based on </w:t>
      </w:r>
      <w:r w:rsidRPr="008B30B9">
        <w:rPr>
          <w:rFonts w:ascii="Times New Roman" w:hAnsi="Times New Roman" w:cs="Times New Roman"/>
        </w:rPr>
        <w:t xml:space="preserve">retrospective </w:t>
      </w:r>
      <w:r w:rsidR="003039C3" w:rsidRPr="008B30B9">
        <w:rPr>
          <w:rFonts w:ascii="Times New Roman" w:hAnsi="Times New Roman" w:cs="Times New Roman"/>
        </w:rPr>
        <w:t xml:space="preserve">studies </w:t>
      </w:r>
      <w:r w:rsidR="008120E0" w:rsidRPr="008B30B9">
        <w:rPr>
          <w:rFonts w:ascii="Times New Roman" w:hAnsi="Times New Roman" w:cs="Times New Roman"/>
        </w:rPr>
        <w:t>of</w:t>
      </w:r>
      <w:r w:rsidR="0064130B" w:rsidRPr="008B30B9">
        <w:rPr>
          <w:rFonts w:ascii="Times New Roman" w:hAnsi="Times New Roman" w:cs="Times New Roman"/>
        </w:rPr>
        <w:t xml:space="preserve"> MRSA infection </w:t>
      </w:r>
      <w:r w:rsidR="00B56A8F" w:rsidRPr="008B30B9">
        <w:rPr>
          <w:rFonts w:ascii="Times New Roman" w:hAnsi="Times New Roman" w:cs="Times New Roman"/>
        </w:rPr>
        <w:fldChar w:fldCharType="begin" w:fldLock="1"/>
      </w:r>
      <w:r w:rsidR="00071129" w:rsidRPr="008B30B9">
        <w:rPr>
          <w:rFonts w:ascii="Times New Roman" w:hAnsi="Times New Roman" w:cs="Times New Roman"/>
        </w:rPr>
        <w:instrText>ADDIN CSL_CITATION { "citationItems" : [ { "id" : "ITEM-1", "itemData" : { "ISSN" : "0305-7453", "PMID" : "10837438", "abstract" : "Logistic regression analysis was performed on data drawn from a clinical trials database for Staphylococcus aureus septicaemia treated with teicoplanin. Variables analysed were age, body weight, mean pre-dose and post-dose serum teicoplanin concentrations, mean dose (mg or mg/kg body weight) and combination versus monotherapy. Only two variables correlated with clinical outcome at a significance level better than 0.05: age (P = 0.012) and mean pre-dose serum concentration (P = 0.010). The probability of successful treatment declined with age and increased with mean pre-dose serum concentration.", "author" : [ { "dropping-particle" : "", "family" : "Harding", "given" : "I", "non-dropping-particle" : "", "parse-names" : false, "suffix" : "" }, { "dropping-particle" : "", "family" : "MacGowan", "given" : "a P", "non-dropping-particle" : "", "parse-names" : false, "suffix" : "" }, { "dropping-particle" : "", "family" : "White", "given" : "L O", "non-dropping-particle" : "", "parse-names" : false, "suffix" : "" }, { "dropping-particle" : "", "family" : "Darley", "given" : "E S", "non-dropping-particle" : "", "parse-names" : false, "suffix" : "" }, { "dropping-particle" : "", "family" : "Reed", "given" : "V", "non-dropping-particle" : "", "parse-names" : false, "suffix" : "" } ], "container-title" : "The Journal of antimicrobial chemotherapy", "id" : "ITEM-1", "issue" : "6", "issued" : { "date-parts" : [ [ "2000" ] ] }, "page" : "835-41", "title" : "Teicoplanin therapy for Staphylococcus aureus septicaemia: relationship between pre-dose serum concentrations and outcome.", "type" : "article-journal", "volume" : "45" }, "uris" : [ "http://www.mendeley.com/documents/?uuid=1c681da2-85d8-4151-9a36-1fc423879991" ] }, { "id" : "ITEM-2", "itemData" : { "DOI" : "10.1093/jac/dkt176", "ISSN" : "0305-7453", "PMID" : "23702837", "abstract" : "OBJECTIVES Teicoplanin is a glycopeptide antibiotic active against Gram-positive bacteria, including methicillin-resistant staphylococci. While teicoplanin trough levels (TTLs) &gt;10 mg/L are commonly considered appropriate, levels &gt;20 mg/L are aimed for in the treatment of severe infections. Due to toxicity, it is recommended to avoid levels &gt;60 mg/L. PATIENTS AND METHODS In our institution, the initial dosing schedule of teicoplanin (10-15 mg/kg every 12 h for three loading doses and every 24 h thereafter) is adapted according to TTLs analysed by a fluorescence polarization immunoassay on treatment days 2 to 4. Teicoplanin peak levels (TPLs) are analysed in selected cases 30 min after the end of infusion. In a retrospective analysis we evaluated 1357 TTLs and 333 TPLs from 410 treatment episodes from 2005 to 2011. RESULTS Initial TTLs were &lt;10 mg/L in 14.1% and &lt;20 mg/L in 72.6% of episodes. Toddlers had significantly lower TTLs, with a 2-fold and 2.5-fold increased risk of having levels &lt;10 mg/L (24.6%) and &lt;20 mg/L (82.6%), respectively. For the entire cohort, follow-up TTLs were less likely to be &lt;10 mg/L and more likely to be &gt;20 mg/L when compared with initial TTLs (P &lt; 0.001, each). Adolescent girls had significantly higher initial TPLs (P = 0.001) and significantly higher follow-up TTLs (P = 0.016) than adolescent boys. In parallel, adolescent girls had initial TPLs &gt;60 mg/L significantly more frequently (P = 0.012) and follow-up TTLs &lt;10 mg/L significantly less frequently (P = 0.005). CONCLUSIONS More tailored dosing regimens with higher loading doses, especially for toddlers, should be considered. While further pharmacokinetic data in paediatric patients are pending, therapeutic drug monitoring is mandatory.", "author" : [ { "dropping-particle" : "", "family" : "Strenger", "given" : "V.", "non-dropping-particle" : "", "parse-names" : false, "suffix" : "" }, { "dropping-particle" : "", "family" : "Hofer", "given" : "N.", "non-dropping-particle" : "", "parse-names" : false, "suffix" : "" }, { "dropping-particle" : "", "family" : "Rodl", "given" : "S.", "non-dropping-particle" : "", "parse-names" : false, "suffix" : "" }, { "dropping-particle" : "", "family" : "Honigl", "given" : "M.", "non-dropping-particle" : "", "parse-names" : false, "suffix" : "" }, { "dropping-particle" : "", "family" : "Raggam", "given" : "R.", "non-dropping-particle" : "", "parse-names" : false, "suffix" : "" }, { "dropping-particle" : "", "family" : "Seidel", "given" : "M. G.", "non-dropping-particle" : "", "parse-names" : false, "suffix" : "" }, { "dropping-particle" : "", "family" : "Dornbusch", "given" : "H. J.", "non-dropping-particle" : "", "parse-names" : false, "suffix" : "" }, { "dropping-particle" : "", "family" : "Sperl", "given" : "D.", "non-dropping-particle" : "", "parse-names" : false, "suffix" : "" }, { "dropping-particle" : "", "family" : "Lackner", "given" : "H.", "non-dropping-particle" : "", "parse-names" : false, "suffix" : "" }, { "dropping-particle" : "", "family" : "Schwinger", "given" : "W.", "non-dropping-particle" : "", "parse-names" : false, "suffix" : "" }, { "dropping-particle" : "", "family" : "Sovinz", "given" : "P.", "non-dropping-particle" : "", "parse-names" : false, "suffix" : "" }, { "dropping-particle" : "", "family" : "Benesch", "given" : "M.", "non-dropping-particle" : "", "parse-names" : false, "suffix" : "" }, { "dropping-particle" : "", "family" : "Urlesberger", "given" : "B.", "non-dropping-particle" : "", "parse-names" : false, "suffix" : "" }, { "dropping-particle" : "", "family" : "Urban", "given" : "C.", "non-dropping-particle" : "", "parse-names" : false, "suffix" : "" } ], "container-title" : "Journal of Antimicrobial Chemotherapy", "id" : "ITEM-2", "issue" : "10", "issued" : { "date-parts" : [ [ "2013", "5", "23" ] ] }, "page" : "2318-23", "title" : "Age- and gender-related differences in teicoplanin levels in paediatric patients", "type" : "article-journal", "volume" : "68" }, "uris" : [ "http://www.mendeley.com/documents/?uuid=72ed868e-9431-3b5a-aa2b-2499f34fd7ce" ] }, { "id" : "ITEM-3", "itemData" : { "DOI" : "10.1007/s10156-011-0325-z", "ISSN" : "1437-7780", "PMID" : "22065089", "abstract" : "Minimum inhibitory concentration (MIC) creep in vancomycin has prompted guidelines that recommend a target trough concentration (C (min)) of 15-20\u00a0mg/L, and it is also considered necessary to set a C (min) of &gt;15\u00a0mg/L for teicoplanin (TEIC), especially in patients with complicated methicillin-resistant Staphylococcus aureus (MRSA) infections. The aim of this study was to investigate the appropriate TEIC regimen for reaching the revised target C (min) (15-30\u00a0mg/L) in patients with normal renal function and those with renal dysfunction. We analyzed patients with MRSA infections who were treated with TEIC between July 2006 and December 2009. Two-day loading regimen was studied in patients with non-renal-dysfunction (group 1). The 1-day loading regimen was studied in patients with non-renal-dysfunction (group 2, control) and in patients with renal dysfunction (group 3). The 178 patients in the study consisted of 76, 28, and 74 patients in groups 1, 2, and 3, respectively. C (min) on day 4 was 14.6\u00a0\u00b1\u00a05.6, 11.9\u00a0\u00b1\u00a04.1, and 13.5\u00a0\u00b1\u00a04.2\u00a0mg/L, and the proportion of patients achieving the revised target range was 34.2%, 17.9%, and 20.3%, respectively. Only one patient in group 1 revealed C (min) of &gt;30\u00a0mg/L. Treatment success rates, nephrotoxicity, and hepatotoxicity were similar among the three groups. It was difficult to achieve the revised target C (min) with the 2-day loading regimen in patients without renal dysfunction and with the standard TEIC regimen, even in patients with renal dysfunction. Further investigation of an even higher TEIC dosing regimen is considered necessary.", "author" : [ { "dropping-particle" : "", "family" : "Ueda", "given" : "Takashi", "non-dropping-particle" : "", "parse-names" : false, "suffix" : "" }, { "dropping-particle" : "", "family" : "Takesue", "given" : "Yoshio", "non-dropping-particle" : "", "parse-names" : false, "suffix" : "" }, { "dropping-particle" : "", "family" : "Nakajima", "given" : "Kazuhiko", "non-dropping-particle" : "", "parse-names" : false, "suffix" : "" }, { "dropping-particle" : "", "family" : "Ichki", "given" : "Kaoru", "non-dropping-particle" : "", "parse-names" : false, "suffix" : "" }, { "dropping-particle" : "", "family" : "Wada", "given" : "Yasunao", "non-dropping-particle" : "", "parse-names" : false, "suffix" : "" }, { "dropping-particle" : "", "family" : "Tsuchida", "given" : "Toshie", "non-dropping-particle" : "", "parse-names" : false, "suffix" : "" }, { "dropping-particle" : "", "family" : "Takahashi", "given" : "Yoshiko", "non-dropping-particle" : "", "parse-names" : false, "suffix" : "" }, { "dropping-particle" : "", "family" : "Ishihara", "given" : "Mika", "non-dropping-particle" : "", "parse-names" : false, "suffix" : "" }, { "dropping-particle" : "", "family" : "Tatsumi", "given" : "Sumiyo", "non-dropping-particle" : "", "parse-names" : false, "suffix" : "" }, { "dropping-particle" : "", "family" : "Kimura", "given" : "Takeshi", "non-dropping-particle" : "", "parse-names" : false, "suffix" : "" }, { "dropping-particle" : "", "family" : "Ikeuchi", "given" : "Hiroki", "non-dropping-particle" : "", "parse-names" : false, "suffix" : "" }, { "dropping-particle" : "", "family" : "Uchino", "given" : "Motoi", "non-dropping-particle" : "", "parse-names" : false, "suffix" : "" } ], "container-title" : "Journal of infection and chemotherapy : official journal of the Japan Society of Chemotherapy", "id" : "ITEM-3", "issue" : "3", "issued" : { "date-parts" : [ [ "2012", "6" ] ] }, "page" : "296-302", "title" : "Evaluation of teicoplanin dosing designs to achieve a new target trough concentration.", "type" : "article-journal", "volume" : "18" }, "uris" : [ "http://www.mendeley.com/documents/?uuid=1c0bb471-8061-409e-8f44-5322e52e42fd" ] }, { "id" : "ITEM-4", "itemData" : { "DOI" : "10.1016/j.jinf.2013.08.018", "ISBN" : "1532-2742", "ISSN" : "01634453", "PMID" : "24012820", "abstract" : "Objective: Teicoplanin is widely used for the treatment of severe gram-positive infection, aiming to achieve trough serum levels of 20-60mg/L for patients with severe infection. A standard 400mg daily dose is frequently associated with sub-therapeutic levels, and we have therefore changed our routine approach to 600mg daily (following loading doses in each case). We set out to investigate the impact of this dose increase on drug levels and potential side-effects. Methods: We undertook a retrospective study of 549 consecutive adult Out-Patient Antimicrobial Treatment (OPAT) episodes treated with intravenous teicoplanin. Results: Therapeutic teicoplanin levels were more frequently achieved in patients treated with 600mg compared to 400mg daily (68% vs. 37% respectively, p&lt;0.0001), without an increased frequency of potentially toxic levels, defined as &gt;60mg/L (6% vs. 8% respectively, p=0.4). There was no difference in the incidence of neutropaenia, eosinophilia, thrombocytopaenia, acute renal injury or treatment cessation in patients treated with the higher teicoplanin dose. Conclusions: In the majority of stable adult patients with normal renal function, we advocate a loading regimen (600mg b.d. for two doses) followed by a 600mg daily teicoplanin dose in order to achieve therapeutic trough levels. \u00a9 2013 The British Infection Association.", "author" : [ { "dropping-particle" : "", "family" : "Matthews", "given" : "Philippa C.", "non-dropping-particle" : "", "parse-names" : false, "suffix" : "" }, { "dropping-particle" : "", "family" : "Chue", "given" : "Amy L.", "non-dropping-particle" : "", "parse-names" : false, "suffix" : "" }, { "dropping-particle" : "", "family" : "Wyllie", "given" : "David", "non-dropping-particle" : "", "parse-names" : false, "suffix" : "" }, { "dropping-particle" : "", "family" : "Barnett", "given" : "Adam", "non-dropping-particle" : "", "parse-names" : false, "suffix" : "" }, { "dropping-particle" : "", "family" : "Isinkaye", "given" : "Tomide", "non-dropping-particle" : "", "parse-names" : false, "suffix" : "" }, { "dropping-particle" : "", "family" : "Jefferies", "given" : "Lorrayne", "non-dropping-particle" : "", "parse-names" : false, "suffix" : "" }, { "dropping-particle" : "", "family" : "Lovering", "given" : "Andrew", "non-dropping-particle" : "", "parse-names" : false, "suffix" : "" }, { "dropping-particle" : "", "family" : "Scarborough", "given" : "Matthew", "non-dropping-particle" : "", "parse-names" : false, "suffix" : "" } ], "container-title" : "Journal of Infection", "id" : "ITEM-4", "issue" : "1", "issued" : { "date-parts" : [ [ "2014" ] ] }, "page" : "43-49", "publisher" : "Elsevier Ltd", "title" : "Increased teicoplanin doses are associated with improved serum levels but not drug toxicity", "type" : "article-journal", "volume" : "68" }, "uris" : [ "http://www.mendeley.com/documents/?uuid=3f406758-b0ae-4028-a0ae-11648ed90e79" ] } ], "mendeley" : { "formattedCitation" : "(12, 13, 30, 33)", "plainTextFormattedCitation" : "(12, 13, 30, 33)", "previouslyFormattedCitation" : "(12, 13, 30, 33)" }, "properties" : { "noteIndex" : 0 }, "schema" : "https://github.com/citation-style-language/schema/raw/master/csl-citation.json" }</w:instrText>
      </w:r>
      <w:r w:rsidR="00B56A8F" w:rsidRPr="008B30B9">
        <w:rPr>
          <w:rFonts w:ascii="Times New Roman" w:hAnsi="Times New Roman" w:cs="Times New Roman"/>
        </w:rPr>
        <w:fldChar w:fldCharType="separate"/>
      </w:r>
      <w:r w:rsidR="00065350" w:rsidRPr="008B30B9">
        <w:rPr>
          <w:rFonts w:ascii="Times New Roman" w:hAnsi="Times New Roman" w:cs="Times New Roman"/>
          <w:noProof/>
        </w:rPr>
        <w:t>(12, 13, 30, 33)</w:t>
      </w:r>
      <w:r w:rsidR="00B56A8F" w:rsidRPr="008B30B9">
        <w:rPr>
          <w:rFonts w:ascii="Times New Roman" w:hAnsi="Times New Roman" w:cs="Times New Roman"/>
        </w:rPr>
        <w:fldChar w:fldCharType="end"/>
      </w:r>
      <w:r w:rsidR="0071542D" w:rsidRPr="008B30B9">
        <w:rPr>
          <w:rFonts w:ascii="Times New Roman" w:hAnsi="Times New Roman" w:cs="Times New Roman"/>
        </w:rPr>
        <w:t>.</w:t>
      </w:r>
      <w:r w:rsidR="00A513E0" w:rsidRPr="008B30B9">
        <w:rPr>
          <w:rFonts w:ascii="Times New Roman" w:hAnsi="Times New Roman" w:cs="Times New Roman"/>
        </w:rPr>
        <w:t xml:space="preserve"> </w:t>
      </w:r>
      <w:r w:rsidR="003039C3" w:rsidRPr="008B30B9">
        <w:rPr>
          <w:rFonts w:ascii="Times New Roman" w:hAnsi="Times New Roman" w:cs="Times New Roman"/>
        </w:rPr>
        <w:t>L</w:t>
      </w:r>
      <w:r w:rsidR="000346D9" w:rsidRPr="008B30B9">
        <w:rPr>
          <w:rFonts w:ascii="Times New Roman" w:hAnsi="Times New Roman" w:cs="Times New Roman"/>
        </w:rPr>
        <w:t xml:space="preserve">ow drug exposures increase the probability of clinical failure and </w:t>
      </w:r>
      <w:r w:rsidR="008120E0" w:rsidRPr="008B30B9">
        <w:rPr>
          <w:rFonts w:ascii="Times New Roman" w:hAnsi="Times New Roman" w:cs="Times New Roman"/>
        </w:rPr>
        <w:t>potentially</w:t>
      </w:r>
      <w:r w:rsidR="003039C3" w:rsidRPr="008B30B9">
        <w:rPr>
          <w:rFonts w:ascii="Times New Roman" w:hAnsi="Times New Roman" w:cs="Times New Roman"/>
        </w:rPr>
        <w:t xml:space="preserve"> promote the </w:t>
      </w:r>
      <w:r w:rsidR="000346D9" w:rsidRPr="008B30B9">
        <w:rPr>
          <w:rFonts w:ascii="Times New Roman" w:hAnsi="Times New Roman" w:cs="Times New Roman"/>
        </w:rPr>
        <w:t xml:space="preserve">development of drug resistance </w:t>
      </w:r>
      <w:r w:rsidR="000346D9" w:rsidRPr="008B30B9">
        <w:rPr>
          <w:rFonts w:ascii="Times New Roman" w:hAnsi="Times New Roman" w:cs="Times New Roman"/>
        </w:rPr>
        <w:fldChar w:fldCharType="begin" w:fldLock="1"/>
      </w:r>
      <w:r w:rsidR="00071129" w:rsidRPr="008B30B9">
        <w:rPr>
          <w:rFonts w:ascii="Times New Roman" w:hAnsi="Times New Roman" w:cs="Times New Roman"/>
        </w:rPr>
        <w:instrText>ADDIN CSL_CITATION { "citationItems" : [ { "id" : "ITEM-1", "itemData" : { "DOI" : "10.1038/nrmicro862", "ISSN" : "1740-1526", "PMID" : "15031728", "author" : [ { "dropping-particle" : "", "family" : "Drusano", "given" : "George L.", "non-dropping-particle" : "", "parse-names" : false, "suffix" : "" } ], "container-title" : "Nature Reviews Microbiology", "id" : "ITEM-1", "issue" : "4", "issued" : { "date-parts" : [ [ "2004", "4" ] ] }, "page" : "289-300", "title" : "Antimicrobial pharmacodynamics: critical interactions of 'bug and drug'", "type" : "article-journal", "volume" : "2" }, "uris" : [ "http://www.mendeley.com/documents/?uuid=362cdf34-a0e7-3f90-a572-f093f12ec7dd" ] }, { "id" : "ITEM-2", "itemData" : { "DOI" : "10.1093/jac/dkr531", "ISSN" : "0305-7453", "PMID" : "22169187", "abstract" : "OBJECTIVES Higher vancomycin MIC values (\u22651.5 mg/L via Etest) may be associated with vancomycin treatment failure among patients with serious methicillin-resistant Staphylococcus aureus (MRSA) infections. As there were limited similar data for teicoplanin, this retrospective cohort study intended to determine the predictive value of teicoplanin MICs for treatment failure among patients with MRSA bacteraemia. PATIENTS AND METHODS All patients with at least one blood culture positive for MRSA admitted to the hospital between January 2010 and January 2011 were reviewed. Patients with an age \u226518 years and receipt of teicoplanin therapy throughout the course or receipt of &lt;72 h of vancomycin therapy and then teicoplanin for &gt;3 days were enrolled. Teicoplanin Etest(\u00ae) MICs and treatment outcomes for MRSA bacteraemia were reviewed to identify the breakpoint of teicoplanin MICs influencing treatment outcomes. RESULTS Of the 101 patients enrolled, 56 had a lower teicoplanin MIC (\u22641.5 mg/L) for MRSA and 45 had a higher MIC (&gt;1.5 mg/L) for MRSA. A lower teicoplanin MIC was associated with a favourable outcome [37 (66.1%) versus 13 (28.9%); P&lt;0.001] and a lower rate of bloodstream infection-related mortality [15 (26.8%) versus 22 (48.9%); P=0.022]. Patients with chronic obstructive pulmonary disease, bacteraemic pneumonia or higher Pittsburgh bacteraemia score had an unfavourable outcome (P=0.028, 0.022 and &lt;0.001, respectively). Multivariate analysis showed that teicoplanin MIC &gt;1.5 mg/L, higher Pittsburgh bacteraemia score and bacteraemic pneumonia were independent risk factors for unfavourable outcome. CONCLUSIONS A higher teicoplanin MIC value (&gt;1.5 mg/L) may predict an unfavourable outcome and higher mortality rate among teicoplanin-treated MRSA bacteraemic patients.", "author" : [ { "dropping-particle" : "", "family" : "Chang", "given" : "H.-J.", "non-dropping-particle" : "", "parse-names" : false, "suffix" : "" }, { "dropping-particle" : "", "family" : "Hsu", "given" : "P.-C.", "non-dropping-particle" : "", "parse-names" : false, "suffix" : "" }, { "dropping-particle" : "", "family" : "Yang", "given" : "C.-C.", "non-dropping-particle" : "", "parse-names" : false, "suffix" : "" }, { "dropping-particle" : "", "family" : "Siu", "given" : "L.-K.", "non-dropping-particle" : "", "parse-names" : false, "suffix" : "" }, { "dropping-particle" : "", "family" : "Kuo", "given" : "A.-J.", "non-dropping-particle" : "", "parse-names" : false, "suffix" : "" }, { "dropping-particle" : "", "family" : "Chia", "given" : "J.-H.", "non-dropping-particle" : "", "parse-names" : false, "suffix" : "" }, { "dropping-particle" : "", "family" : "Wu", "given" : "T.-L.", "non-dropping-particle" : "", "parse-names" : false, "suffix" : "" }, { "dropping-particle" : "", "family" : "Huang", "given" : "C.-T.", "non-dropping-particle" : "", "parse-names" : false, "suffix" : "" }, { "dropping-particle" : "", "family" : "Lee", "given" : "M.-H.", "non-dropping-particle" : "", "parse-names" : false, "suffix" : "" } ], "container-title" : "Journal of Antimicrobial Chemotherapy", "id" : "ITEM-2", "issue" : "3", "issued" : { "date-parts" : [ [ "2012", "3", "1" ] ] }, "note" : "NULL", "page" : "736-741", "title" : "Influence of teicoplanin MICs on treatment outcomes among patients with teicoplanin-treated methicillin-resistant Staphylococcus aureus bacteraemia: a hospital-based retrospective study", "type" : "article-journal", "volume" : "67" }, "uris" : [ "http://www.mendeley.com/documents/?uuid=0b74c182-ad9d-3ceb-a092-8b14beffe0c3" ] } ], "mendeley" : { "formattedCitation" : "(34, 35)", "plainTextFormattedCitation" : "(34, 35)", "previouslyFormattedCitation" : "(34, 35)" }, "properties" : { "noteIndex" : 0 }, "schema" : "https://github.com/citation-style-language/schema/raw/master/csl-citation.json" }</w:instrText>
      </w:r>
      <w:r w:rsidR="000346D9" w:rsidRPr="008B30B9">
        <w:rPr>
          <w:rFonts w:ascii="Times New Roman" w:hAnsi="Times New Roman" w:cs="Times New Roman"/>
        </w:rPr>
        <w:fldChar w:fldCharType="separate"/>
      </w:r>
      <w:r w:rsidR="00065350" w:rsidRPr="008B30B9">
        <w:rPr>
          <w:rFonts w:ascii="Times New Roman" w:hAnsi="Times New Roman" w:cs="Times New Roman"/>
          <w:noProof/>
        </w:rPr>
        <w:t>(34, 35)</w:t>
      </w:r>
      <w:r w:rsidR="000346D9" w:rsidRPr="008B30B9">
        <w:rPr>
          <w:rFonts w:ascii="Times New Roman" w:hAnsi="Times New Roman" w:cs="Times New Roman"/>
        </w:rPr>
        <w:fldChar w:fldCharType="end"/>
      </w:r>
      <w:r w:rsidR="003D74A4" w:rsidRPr="008B30B9">
        <w:rPr>
          <w:rFonts w:ascii="Times New Roman" w:hAnsi="Times New Roman" w:cs="Times New Roman"/>
        </w:rPr>
        <w:t xml:space="preserve">. </w:t>
      </w:r>
      <w:r w:rsidR="0064130B" w:rsidRPr="008B30B9">
        <w:rPr>
          <w:rFonts w:ascii="Times New Roman" w:hAnsi="Times New Roman" w:cs="Times New Roman"/>
        </w:rPr>
        <w:t xml:space="preserve">This </w:t>
      </w:r>
      <w:r w:rsidR="008120E0" w:rsidRPr="008B30B9">
        <w:rPr>
          <w:rFonts w:ascii="Times New Roman" w:hAnsi="Times New Roman" w:cs="Times New Roman"/>
        </w:rPr>
        <w:t>is the predominant argument</w:t>
      </w:r>
      <w:r w:rsidR="0064130B" w:rsidRPr="008B30B9">
        <w:rPr>
          <w:rFonts w:ascii="Times New Roman" w:hAnsi="Times New Roman" w:cs="Times New Roman"/>
        </w:rPr>
        <w:t xml:space="preserve"> for the routine monitoring of </w:t>
      </w:r>
      <w:proofErr w:type="spellStart"/>
      <w:r w:rsidR="008120E0" w:rsidRPr="008B30B9">
        <w:rPr>
          <w:rFonts w:ascii="Times New Roman" w:hAnsi="Times New Roman" w:cs="Times New Roman"/>
        </w:rPr>
        <w:t>teicoplanin</w:t>
      </w:r>
      <w:proofErr w:type="spellEnd"/>
      <w:r w:rsidR="0064130B" w:rsidRPr="008B30B9">
        <w:rPr>
          <w:rFonts w:ascii="Times New Roman" w:hAnsi="Times New Roman" w:cs="Times New Roman"/>
        </w:rPr>
        <w:t xml:space="preserve"> concentrations and active dosage adjustment.</w:t>
      </w:r>
    </w:p>
    <w:p w14:paraId="40A57EED" w14:textId="755FB16D" w:rsidR="00CB0EC3" w:rsidRPr="008B30B9" w:rsidRDefault="0098067C" w:rsidP="006D2919">
      <w:pPr>
        <w:spacing w:line="480" w:lineRule="auto"/>
        <w:ind w:firstLine="708"/>
        <w:jc w:val="both"/>
        <w:rPr>
          <w:rFonts w:ascii="Times New Roman" w:hAnsi="Times New Roman" w:cs="Times New Roman"/>
        </w:rPr>
      </w:pPr>
      <w:proofErr w:type="spellStart"/>
      <w:r w:rsidRPr="008B30B9">
        <w:rPr>
          <w:rFonts w:ascii="Times New Roman" w:hAnsi="Times New Roman" w:cs="Times New Roman"/>
        </w:rPr>
        <w:t>Teicoplanin</w:t>
      </w:r>
      <w:proofErr w:type="spellEnd"/>
      <w:r w:rsidRPr="008B30B9">
        <w:rPr>
          <w:rFonts w:ascii="Times New Roman" w:hAnsi="Times New Roman" w:cs="Times New Roman"/>
        </w:rPr>
        <w:t xml:space="preserve"> dosage</w:t>
      </w:r>
      <w:r w:rsidR="00C30DD0" w:rsidRPr="008B30B9">
        <w:rPr>
          <w:rFonts w:ascii="Times New Roman" w:hAnsi="Times New Roman" w:cs="Times New Roman"/>
        </w:rPr>
        <w:t>s</w:t>
      </w:r>
      <w:r w:rsidR="006A48A6" w:rsidRPr="008B30B9">
        <w:rPr>
          <w:rFonts w:ascii="Times New Roman" w:hAnsi="Times New Roman" w:cs="Times New Roman"/>
        </w:rPr>
        <w:t xml:space="preserve"> </w:t>
      </w:r>
      <w:r w:rsidRPr="008B30B9">
        <w:rPr>
          <w:rFonts w:ascii="Times New Roman" w:hAnsi="Times New Roman" w:cs="Times New Roman"/>
        </w:rPr>
        <w:t xml:space="preserve">that are </w:t>
      </w:r>
      <w:r w:rsidR="00437085" w:rsidRPr="008B30B9">
        <w:rPr>
          <w:rFonts w:ascii="Times New Roman" w:hAnsi="Times New Roman" w:cs="Times New Roman"/>
        </w:rPr>
        <w:t xml:space="preserve">adjusted </w:t>
      </w:r>
      <w:r w:rsidR="006A48A6" w:rsidRPr="008B30B9">
        <w:rPr>
          <w:rFonts w:ascii="Times New Roman" w:hAnsi="Times New Roman" w:cs="Times New Roman"/>
        </w:rPr>
        <w:t>by weight and/or renal function improve the achievement of target concentrations in adults</w:t>
      </w:r>
      <w:r w:rsidR="003F682E" w:rsidRPr="008B30B9">
        <w:rPr>
          <w:rFonts w:ascii="Times New Roman" w:hAnsi="Times New Roman" w:cs="Times New Roman"/>
        </w:rPr>
        <w:t xml:space="preserve"> </w:t>
      </w:r>
      <w:r w:rsidR="006A48A6" w:rsidRPr="008B30B9">
        <w:rPr>
          <w:rFonts w:ascii="Times New Roman" w:hAnsi="Times New Roman" w:cs="Times New Roman"/>
        </w:rPr>
        <w:fldChar w:fldCharType="begin" w:fldLock="1"/>
      </w:r>
      <w:r w:rsidR="00071129" w:rsidRPr="008B30B9">
        <w:rPr>
          <w:rFonts w:ascii="Times New Roman" w:hAnsi="Times New Roman" w:cs="Times New Roman"/>
        </w:rPr>
        <w:instrText>ADDIN CSL_CITATION { "citationItems" : [ { "id" : "ITEM-1", "itemData" : { "DOI" : "10.1016/j.ijantimicag.2012.05.025", "ISSN" : "09248579", "PMID" : "22818770", "abstract" : "The purpose of this study was (i) to determine the optimal dosage of teicoplanin for each patient group stratified by renal function and weight based on a population pharmacokinetic model and observed distribution of patient characteristics and (ii) to develop new simplified dosing regimens designed to achieve 15-30 \u03bcg/mL. Patient data were collected retrospectively from routine therapeutic drug monitoring files of adult patients who were given the standard loading dose regimen of teicoplanin (400 mg twice on Day 1, followed by 400 mg once daily for 2 days) and whose trough concentration was measured just before administration on Day 4. Monte Carlo simulation was conducted to estimate the trough concentration at 72 h after the initial loading dose (C(min)(72 h)) and at steady state (C(ss)(min)). The percentage of observed C(min)(72 h) in patients who received the standard loading dose regimen outside the non-parametric 90% prediction interval (from 5th to 95th percentile) of the simulated C(min)(72 h) was &lt;10%. Simplified loading dose and maintenance dose regimens for each group stratified by renal function and weight were created to achieve C(min)(72 h) and C(ss)(min) of 15 \u03bcg/mL and 20-25 \u03bcg/mL, respectively. The percentage of C(min)(72 h) and C(ss)(min) in the range 15-30 \u03bcg/mL was 43-65% and 61-82% across each renal function and weight strata, respectively. These new simplified dosing regimens of teicoplanin could be helpful in individual adjustment of the loading and maintenance doses to achieve 15-30 \u03bcg/mL.", "author" : [ { "dropping-particle" : "", "family" : "Yamada", "given" : "Takaaki", "non-dropping-particle" : "", "parse-names" : false, "suffix" : "" }, { "dropping-particle" : "", "family" : "Nonaka", "given" : "Toshiharu", "non-dropping-particle" : "", "parse-names" : false, "suffix" : "" }, { "dropping-particle" : "", "family" : "Yano", "given" : "Takahisa", "non-dropping-particle" : "", "parse-names" : false, "suffix" : "" }, { "dropping-particle" : "", "family" : "Kubota", "given" : "Toshio", "non-dropping-particle" : "", "parse-names" : false, "suffix" : "" }, { "dropping-particle" : "", "family" : "Egashira", "given" : "Nobuaki", "non-dropping-particle" : "", "parse-names" : false, "suffix" : "" }, { "dropping-particle" : "", "family" : "Kawashiri", "given" : "Takehiro", "non-dropping-particle" : "", "parse-names" : false, "suffix" : "" }, { "dropping-particle" : "", "family" : "Oishi", "given" : "Ryozo", "non-dropping-particle" : "", "parse-names" : false, "suffix" : "" } ], "container-title" : "International Journal of Antimicrobial Agents", "id" : "ITEM-1", "issue" : "4", "issued" : { "date-parts" : [ [ "2012", "10" ] ] }, "page" : "344-348", "title" : "Simplified dosing regimens of teicoplanin for patient groups stratified by renal function and weight using Monte Carlo simulation", "type" : "article-journal", "volume" : "40" }, "uris" : [ "http://www.mendeley.com/documents/?uuid=0d47bf9e-7e87-368f-ad9b-aeda0c72e6c6" ] }, { "id" : "ITEM-2", "itemData" : { "DOI" : "10.1016/j.ijantimicag.2009.12.018", "ISSN" : "09248579", "PMID" : "20185275", "abstract" : "An initial loading dose of teicoplanin is required to reach the optimal trough concentration (???10. ??g/mL) rapidly. To attain the optimal teicoplanin concentration efficiently, an individual loading dose regimen based on population pharmacokinetics, in which the target trough concentration was set to 15 ??g/mL, was defined. Among 70 patients, 33 patients received the individual loading dose regimen, 33 patients received the conventional loading dose regimen (200. mg or 400. mg every 12. h on Day 1 followed by 200. mg once daily) and 4 patients received no loading dose. The proportion of patients showing an optimal plasma concentration was 88% in the individual loading dose regimen but only 33% in the conventional loading dose regimen. No patient without a loading dose showed the optimal concentration. Both total loading dose and plasma concentration were significantly (P&lt;0.001) higher in the individual loading dose group than in the conventional loading dose group. Notably, the trough concentration was almost constant in patients with individual loading doses ranging from 800. mg to 1800. mg. These findings suggest that individual adjustment of the initial loading dose of teicoplanin is potentially useful to attain the optimal concentration rapidly. ?? 2010 Elsevier B.V. and the International Society of Chemotherapy.", "author" : [ { "dropping-particle" : "", "family" : "Niwa", "given" : "Takashi", "non-dropping-particle" : "", "parse-names" : false, "suffix" : "" }, { "dropping-particle" : "", "family" : "Imanishi", "given" : "Yoshinori", "non-dropping-particle" : "", "parse-names" : false, "suffix" : "" }, { "dropping-particle" : "", "family" : "Ohmori", "given" : "Tomofumi", "non-dropping-particle" : "", "parse-names" : false, "suffix" : "" }, { "dropping-particle" : "", "family" : "Matsuura", "given" : "Katsuhiko", "non-dropping-particle" : "", "parse-names" : false, "suffix" : "" }, { "dropping-particle" : "", "family" : "Murakami", "given" : "Nobuo", "non-dropping-particle" : "", "parse-names" : false, "suffix" : "" }, { "dropping-particle" : "", "family" : "Itoh", "given" : "Yoshinori", "non-dropping-particle" : "", "parse-names" : false, "suffix" : "" } ], "container-title" : "International Journal of Antimicrobial Agents", "id" : "ITEM-2", "issue" : "5", "issued" : { "date-parts" : [ [ "2010" ] ] }, "note" : "NULL", "page" : "507-510", "publisher" : "Elsevier B.V.", "title" : "Significance of individual adjustment of initial loading dosage of teicoplanin based on population pharmacokinetics", "type" : "article-journal", "volume" : "35" }, "uris" : [ "http://www.mendeley.com/documents/?uuid=a49d8972-2c4b-4ba2-8bdd-545ed9dbe0c6" ] } ], "mendeley" : { "formattedCitation" : "(36, 37)", "plainTextFormattedCitation" : "(36, 37)", "previouslyFormattedCitation" : "(36, 37)" }, "properties" : { "noteIndex" : 0 }, "schema" : "https://github.com/citation-style-language/schema/raw/master/csl-citation.json" }</w:instrText>
      </w:r>
      <w:r w:rsidR="006A48A6" w:rsidRPr="008B30B9">
        <w:rPr>
          <w:rFonts w:ascii="Times New Roman" w:hAnsi="Times New Roman" w:cs="Times New Roman"/>
        </w:rPr>
        <w:fldChar w:fldCharType="separate"/>
      </w:r>
      <w:r w:rsidR="00065350" w:rsidRPr="008B30B9">
        <w:rPr>
          <w:rFonts w:ascii="Times New Roman" w:hAnsi="Times New Roman" w:cs="Times New Roman"/>
          <w:noProof/>
        </w:rPr>
        <w:t>(36, 37)</w:t>
      </w:r>
      <w:r w:rsidR="006A48A6" w:rsidRPr="008B30B9">
        <w:rPr>
          <w:rFonts w:ascii="Times New Roman" w:hAnsi="Times New Roman" w:cs="Times New Roman"/>
        </w:rPr>
        <w:fldChar w:fldCharType="end"/>
      </w:r>
      <w:r w:rsidR="006A48A6" w:rsidRPr="008B30B9">
        <w:rPr>
          <w:rFonts w:ascii="Times New Roman" w:hAnsi="Times New Roman" w:cs="Times New Roman"/>
        </w:rPr>
        <w:t xml:space="preserve">. However, high and unexplained PK variability </w:t>
      </w:r>
      <w:r w:rsidR="00C30DD0" w:rsidRPr="008B30B9">
        <w:rPr>
          <w:rFonts w:ascii="Times New Roman" w:hAnsi="Times New Roman" w:cs="Times New Roman"/>
        </w:rPr>
        <w:t>make</w:t>
      </w:r>
      <w:r w:rsidR="00E27D5E" w:rsidRPr="008B30B9">
        <w:rPr>
          <w:rFonts w:ascii="Times New Roman" w:hAnsi="Times New Roman" w:cs="Times New Roman"/>
        </w:rPr>
        <w:t>s</w:t>
      </w:r>
      <w:r w:rsidR="00C30DD0" w:rsidRPr="008B30B9">
        <w:rPr>
          <w:rFonts w:ascii="Times New Roman" w:hAnsi="Times New Roman" w:cs="Times New Roman"/>
        </w:rPr>
        <w:t xml:space="preserve"> this </w:t>
      </w:r>
      <w:r w:rsidR="00437085" w:rsidRPr="008B30B9">
        <w:rPr>
          <w:rFonts w:ascii="Times New Roman" w:hAnsi="Times New Roman" w:cs="Times New Roman"/>
        </w:rPr>
        <w:t>approach less effective</w:t>
      </w:r>
      <w:r w:rsidR="00C30DD0" w:rsidRPr="008B30B9">
        <w:rPr>
          <w:rFonts w:ascii="Times New Roman" w:hAnsi="Times New Roman" w:cs="Times New Roman"/>
        </w:rPr>
        <w:t xml:space="preserve"> </w:t>
      </w:r>
      <w:r w:rsidR="006A48A6" w:rsidRPr="008B30B9">
        <w:rPr>
          <w:rFonts w:ascii="Times New Roman" w:hAnsi="Times New Roman" w:cs="Times New Roman"/>
        </w:rPr>
        <w:t>in children and neonates</w:t>
      </w:r>
      <w:r w:rsidR="00C30DD0" w:rsidRPr="008B30B9">
        <w:rPr>
          <w:rFonts w:ascii="Times New Roman" w:hAnsi="Times New Roman" w:cs="Times New Roman"/>
        </w:rPr>
        <w:t xml:space="preserve">. </w:t>
      </w:r>
      <w:r w:rsidR="003A2247" w:rsidRPr="008B30B9">
        <w:rPr>
          <w:rFonts w:ascii="Times New Roman" w:hAnsi="Times New Roman" w:cs="Times New Roman"/>
        </w:rPr>
        <w:t xml:space="preserve">Hence, </w:t>
      </w:r>
      <w:r w:rsidR="00DC734B" w:rsidRPr="008B30B9">
        <w:rPr>
          <w:rFonts w:ascii="Times New Roman" w:hAnsi="Times New Roman" w:cs="Times New Roman"/>
        </w:rPr>
        <w:t xml:space="preserve">an </w:t>
      </w:r>
      <w:r w:rsidR="00E27D5E" w:rsidRPr="008B30B9">
        <w:rPr>
          <w:rFonts w:ascii="Times New Roman" w:hAnsi="Times New Roman" w:cs="Times New Roman"/>
        </w:rPr>
        <w:t>alternative dosing strategy</w:t>
      </w:r>
      <w:r w:rsidR="0098148A" w:rsidRPr="008B30B9">
        <w:rPr>
          <w:rFonts w:ascii="Times New Roman" w:hAnsi="Times New Roman" w:cs="Times New Roman"/>
        </w:rPr>
        <w:t xml:space="preserve"> </w:t>
      </w:r>
      <w:r w:rsidR="00DC734B" w:rsidRPr="008B30B9">
        <w:rPr>
          <w:rFonts w:ascii="Times New Roman" w:hAnsi="Times New Roman" w:cs="Times New Roman"/>
        </w:rPr>
        <w:t>is required.</w:t>
      </w:r>
      <w:r w:rsidR="002A4B59" w:rsidRPr="008B30B9">
        <w:rPr>
          <w:rFonts w:ascii="Times New Roman" w:hAnsi="Times New Roman" w:cs="Times New Roman"/>
        </w:rPr>
        <w:t xml:space="preserve"> </w:t>
      </w:r>
      <w:r w:rsidR="0098148A" w:rsidRPr="008B30B9">
        <w:rPr>
          <w:rFonts w:ascii="Times New Roman" w:hAnsi="Times New Roman" w:cs="Times New Roman"/>
        </w:rPr>
        <w:t xml:space="preserve">Bayesian tools offer a way to achieve </w:t>
      </w:r>
      <w:r w:rsidR="0098148A" w:rsidRPr="008B30B9">
        <w:rPr>
          <w:rFonts w:ascii="Times New Roman" w:hAnsi="Times New Roman" w:cs="Times New Roman"/>
        </w:rPr>
        <w:lastRenderedPageBreak/>
        <w:t xml:space="preserve">target concentrations </w:t>
      </w:r>
      <w:r w:rsidR="00DC734B" w:rsidRPr="008B30B9">
        <w:rPr>
          <w:rFonts w:ascii="Times New Roman" w:hAnsi="Times New Roman" w:cs="Times New Roman"/>
        </w:rPr>
        <w:t>in</w:t>
      </w:r>
      <w:r w:rsidR="003B2F2F" w:rsidRPr="008B30B9">
        <w:rPr>
          <w:rFonts w:ascii="Times New Roman" w:hAnsi="Times New Roman" w:cs="Times New Roman"/>
        </w:rPr>
        <w:t xml:space="preserve"> a timel</w:t>
      </w:r>
      <w:r w:rsidR="00DC734B" w:rsidRPr="008B30B9">
        <w:rPr>
          <w:rFonts w:ascii="Times New Roman" w:hAnsi="Times New Roman" w:cs="Times New Roman"/>
        </w:rPr>
        <w:t xml:space="preserve">y and </w:t>
      </w:r>
      <w:r w:rsidR="0064130B" w:rsidRPr="008B30B9">
        <w:rPr>
          <w:rFonts w:ascii="Times New Roman" w:hAnsi="Times New Roman" w:cs="Times New Roman"/>
        </w:rPr>
        <w:t xml:space="preserve">optimally </w:t>
      </w:r>
      <w:r w:rsidR="00DC734B" w:rsidRPr="008B30B9">
        <w:rPr>
          <w:rFonts w:ascii="Times New Roman" w:hAnsi="Times New Roman" w:cs="Times New Roman"/>
        </w:rPr>
        <w:t>precise manner</w:t>
      </w:r>
      <w:r w:rsidR="001352B4" w:rsidRPr="008B30B9">
        <w:rPr>
          <w:rFonts w:ascii="Times New Roman" w:hAnsi="Times New Roman" w:cs="Times New Roman"/>
        </w:rPr>
        <w:t xml:space="preserve"> </w:t>
      </w:r>
      <w:r w:rsidR="004B4AD6" w:rsidRPr="008B30B9">
        <w:rPr>
          <w:rFonts w:ascii="Times New Roman" w:hAnsi="Times New Roman" w:cs="Times New Roman"/>
        </w:rPr>
        <w:fldChar w:fldCharType="begin" w:fldLock="1"/>
      </w:r>
      <w:r w:rsidR="00071129" w:rsidRPr="008B30B9">
        <w:rPr>
          <w:rFonts w:ascii="Times New Roman" w:hAnsi="Times New Roman" w:cs="Times New Roman"/>
        </w:rPr>
        <w:instrText>ADDIN CSL_CITATION { "citationItems" : [ { "id" : "ITEM-1", "itemData" : { "DOI" : "10.1097/FTD.0b013e318161a38c", "ISSN" : "0163-4356", "PMID" : "18223465", "abstract" : "This study compared the abilities of three Bayesian algorithms-simple multiple model (SMM) using a single creatinine measurement; richer data multiple model (RMM) using all creatinine measurements; and the sequential interacting multiple model (IMM)-to describe gentamicin and vancomycin concentration-time data from patients within a cardiothoracic surgery unit who had variable renal function. All algorithms start with multiple sets of discrete parameter support points obtained from nonparametric population modeling. The SMM and RMM Bayesian algorithms then estimate their Bayesian posterior probabilities by conventionally assuming that the estimated parameter distributions are fixed and unchanging throughout the period of data analysis. In contrast, the IMM sequential Bayesian algorithm permits parameter estimates to jump from one population model support point to another, as new data are analyzed, if the probability of a different support point fitting the more recent data is more likely. Several initial IMM jump probability settings were examined-0.0001%, 0.1%, 3%, and 10%-and a probability range of 0.0001% to 50%. The data sets comprised 550 gentamicin concentration measurements from 135 patients and 555 vancomycin concentration measurements from 139 patients. The SMM algorithm performed poorly with both antibiotics. Improved precision was obtained with the RMM algorithm. However, the IMM algorithm fitted the data with the highest precision. A 3% jump probability gave the best estimates. In contrast, the IMM 0.0001% to 50% range setting performed poorly, especially for vancomycin. In summary, the IMM algorithm described and tracked drug concentration data well in these clinically unstable patients. Further investigation of this new approach in routine clinical care and optimal dosage design is warranted.", "author" : [ { "dropping-particle" : "", "family" : "Macdonald", "given" : "Iona", "non-dropping-particle" : "", "parse-names" : false, "suffix" : "" }, { "dropping-particle" : "", "family" : "Staatz", "given" : "Christine E", "non-dropping-particle" : "", "parse-names" : false, "suffix" : "" }, { "dropping-particle" : "", "family" : "Jelliffe", "given" : "Roger W", "non-dropping-particle" : "", "parse-names" : false, "suffix" : "" }, { "dropping-particle" : "", "family" : "Thomson", "given" : "Alison H", "non-dropping-particle" : "", "parse-names" : false, "suffix" : "" } ], "container-title" : "Therapeutic Drug Monitoring", "id" : "ITEM-1", "issue" : "1", "issued" : { "date-parts" : [ [ "2008", "2" ] ] }, "page" : "67-74", "title" : "Evaluation and Comparison of Simple Multiple Model, Richer Data Multiple Model, and Sequential Interacting Multiple Model (IMM) Bayesian Analyses of Gentamicin and Vancomycin Data Collected From Patients Undergoing Cardiothoracic Surgery", "type" : "article-journal", "volume" : "30" }, "uris" : [ "http://www.mendeley.com/documents/?uuid=5c2f4762-965a-32e5-8eaf-0af33ae771b6" ] } ], "mendeley" : { "formattedCitation" : "(38)", "plainTextFormattedCitation" : "(38)", "previouslyFormattedCitation" : "(38)" }, "properties" : { "noteIndex" : 0 }, "schema" : "https://github.com/citation-style-language/schema/raw/master/csl-citation.json" }</w:instrText>
      </w:r>
      <w:r w:rsidR="004B4AD6" w:rsidRPr="008B30B9">
        <w:rPr>
          <w:rFonts w:ascii="Times New Roman" w:hAnsi="Times New Roman" w:cs="Times New Roman"/>
        </w:rPr>
        <w:fldChar w:fldCharType="separate"/>
      </w:r>
      <w:r w:rsidR="00065350" w:rsidRPr="008B30B9">
        <w:rPr>
          <w:rFonts w:ascii="Times New Roman" w:hAnsi="Times New Roman" w:cs="Times New Roman"/>
          <w:noProof/>
        </w:rPr>
        <w:t>(38)</w:t>
      </w:r>
      <w:r w:rsidR="004B4AD6" w:rsidRPr="008B30B9">
        <w:rPr>
          <w:rFonts w:ascii="Times New Roman" w:hAnsi="Times New Roman" w:cs="Times New Roman"/>
        </w:rPr>
        <w:fldChar w:fldCharType="end"/>
      </w:r>
      <w:r w:rsidR="0064130B" w:rsidRPr="008B30B9">
        <w:rPr>
          <w:rFonts w:ascii="Times New Roman" w:hAnsi="Times New Roman" w:cs="Times New Roman"/>
        </w:rPr>
        <w:t>.</w:t>
      </w:r>
      <w:r w:rsidR="00E27D5E" w:rsidRPr="008B30B9">
        <w:rPr>
          <w:rFonts w:ascii="Times New Roman" w:hAnsi="Times New Roman" w:cs="Times New Roman"/>
        </w:rPr>
        <w:t xml:space="preserve"> </w:t>
      </w:r>
      <w:r w:rsidR="0064130B" w:rsidRPr="008B30B9">
        <w:rPr>
          <w:rFonts w:ascii="Times New Roman" w:hAnsi="Times New Roman" w:cs="Times New Roman"/>
        </w:rPr>
        <w:t>A</w:t>
      </w:r>
      <w:r w:rsidR="00E27D5E" w:rsidRPr="008B30B9">
        <w:rPr>
          <w:rFonts w:ascii="Times New Roman" w:hAnsi="Times New Roman" w:cs="Times New Roman"/>
        </w:rPr>
        <w:t xml:space="preserve"> number of </w:t>
      </w:r>
      <w:r w:rsidR="003C7130" w:rsidRPr="008B30B9">
        <w:rPr>
          <w:rFonts w:ascii="Times New Roman" w:hAnsi="Times New Roman" w:cs="Times New Roman"/>
        </w:rPr>
        <w:t xml:space="preserve">Bayesian </w:t>
      </w:r>
      <w:r w:rsidR="008120E0" w:rsidRPr="008B30B9">
        <w:rPr>
          <w:rFonts w:ascii="Times New Roman" w:hAnsi="Times New Roman" w:cs="Times New Roman"/>
        </w:rPr>
        <w:t>forecasting</w:t>
      </w:r>
      <w:r w:rsidR="003C7130" w:rsidRPr="008B30B9">
        <w:rPr>
          <w:rFonts w:ascii="Times New Roman" w:hAnsi="Times New Roman" w:cs="Times New Roman"/>
        </w:rPr>
        <w:t xml:space="preserve"> tools</w:t>
      </w:r>
      <w:r w:rsidR="00E27D5E" w:rsidRPr="008B30B9">
        <w:rPr>
          <w:rFonts w:ascii="Times New Roman" w:hAnsi="Times New Roman" w:cs="Times New Roman"/>
        </w:rPr>
        <w:t xml:space="preserve"> </w:t>
      </w:r>
      <w:r w:rsidR="006D0BB0" w:rsidRPr="008B30B9">
        <w:rPr>
          <w:rFonts w:ascii="Times New Roman" w:hAnsi="Times New Roman" w:cs="Times New Roman"/>
        </w:rPr>
        <w:t>can</w:t>
      </w:r>
      <w:r w:rsidR="003C7130" w:rsidRPr="008B30B9">
        <w:rPr>
          <w:rFonts w:ascii="Times New Roman" w:hAnsi="Times New Roman" w:cs="Times New Roman"/>
        </w:rPr>
        <w:t xml:space="preserve"> be used to deliver dosage adjustment</w:t>
      </w:r>
      <w:r w:rsidR="003D74A4" w:rsidRPr="008B30B9">
        <w:rPr>
          <w:rFonts w:ascii="Times New Roman" w:hAnsi="Times New Roman" w:cs="Times New Roman"/>
        </w:rPr>
        <w:t xml:space="preserve">. </w:t>
      </w:r>
      <w:r w:rsidR="004367EE" w:rsidRPr="008B30B9">
        <w:rPr>
          <w:rFonts w:ascii="Times New Roman" w:hAnsi="Times New Roman" w:cs="Times New Roman"/>
        </w:rPr>
        <w:t>In this study, the multiple model algorithm embedded in the softw</w:t>
      </w:r>
      <w:r w:rsidR="003D74A4" w:rsidRPr="008B30B9">
        <w:rPr>
          <w:rFonts w:ascii="Times New Roman" w:hAnsi="Times New Roman" w:cs="Times New Roman"/>
        </w:rPr>
        <w:t xml:space="preserve">are package </w:t>
      </w:r>
      <w:proofErr w:type="spellStart"/>
      <w:r w:rsidR="003D74A4" w:rsidRPr="008B30B9">
        <w:rPr>
          <w:rFonts w:ascii="Times New Roman" w:hAnsi="Times New Roman" w:cs="Times New Roman"/>
        </w:rPr>
        <w:t>BestDose</w:t>
      </w:r>
      <w:proofErr w:type="spellEnd"/>
      <w:r w:rsidR="003D74A4" w:rsidRPr="008B30B9">
        <w:rPr>
          <w:rFonts w:ascii="Times New Roman" w:hAnsi="Times New Roman" w:cs="Times New Roman"/>
        </w:rPr>
        <w:t xml:space="preserve"> was used. </w:t>
      </w:r>
    </w:p>
    <w:p w14:paraId="11C78D5D" w14:textId="135CD64A" w:rsidR="00E714E9" w:rsidRPr="008B30B9" w:rsidRDefault="003C7130" w:rsidP="006D2919">
      <w:pPr>
        <w:spacing w:line="480" w:lineRule="auto"/>
        <w:ind w:firstLine="708"/>
        <w:jc w:val="both"/>
        <w:rPr>
          <w:rFonts w:ascii="Times New Roman" w:hAnsi="Times New Roman" w:cs="Times New Roman"/>
        </w:rPr>
      </w:pPr>
      <w:r w:rsidRPr="008B30B9">
        <w:rPr>
          <w:rFonts w:ascii="Times New Roman" w:hAnsi="Times New Roman" w:cs="Times New Roman"/>
        </w:rPr>
        <w:t>T</w:t>
      </w:r>
      <w:r w:rsidR="0064130B" w:rsidRPr="008B30B9">
        <w:rPr>
          <w:rFonts w:ascii="Times New Roman" w:hAnsi="Times New Roman" w:cs="Times New Roman"/>
        </w:rPr>
        <w:t>he following steps</w:t>
      </w:r>
      <w:r w:rsidRPr="008B30B9">
        <w:rPr>
          <w:rFonts w:ascii="Times New Roman" w:hAnsi="Times New Roman" w:cs="Times New Roman"/>
        </w:rPr>
        <w:t xml:space="preserve"> are required</w:t>
      </w:r>
      <w:r w:rsidR="004367EE" w:rsidRPr="008B30B9">
        <w:rPr>
          <w:rFonts w:ascii="Times New Roman" w:hAnsi="Times New Roman" w:cs="Times New Roman"/>
        </w:rPr>
        <w:t xml:space="preserve"> to achieve dosage individualization using the multiple model algorithm</w:t>
      </w:r>
      <w:r w:rsidR="003D74A4" w:rsidRPr="008B30B9">
        <w:rPr>
          <w:rFonts w:ascii="Times New Roman" w:hAnsi="Times New Roman" w:cs="Times New Roman"/>
        </w:rPr>
        <w:t xml:space="preserve">. </w:t>
      </w:r>
      <w:r w:rsidR="0064130B" w:rsidRPr="008B30B9">
        <w:rPr>
          <w:rFonts w:ascii="Times New Roman" w:hAnsi="Times New Roman" w:cs="Times New Roman"/>
        </w:rPr>
        <w:t>Firstly, the entire patient population is described by a matrix of support points, which consist of individual set</w:t>
      </w:r>
      <w:r w:rsidR="003D74A4" w:rsidRPr="008B30B9">
        <w:rPr>
          <w:rFonts w:ascii="Times New Roman" w:hAnsi="Times New Roman" w:cs="Times New Roman"/>
        </w:rPr>
        <w:t xml:space="preserve">s of parameter values. </w:t>
      </w:r>
      <w:r w:rsidR="0064130B" w:rsidRPr="008B30B9">
        <w:rPr>
          <w:rFonts w:ascii="Times New Roman" w:hAnsi="Times New Roman" w:cs="Times New Roman"/>
        </w:rPr>
        <w:t xml:space="preserve">Each support point has an associated probability, which reflects how </w:t>
      </w:r>
      <w:r w:rsidR="008120E0" w:rsidRPr="008B30B9">
        <w:rPr>
          <w:rFonts w:ascii="Times New Roman" w:hAnsi="Times New Roman" w:cs="Times New Roman"/>
        </w:rPr>
        <w:t>well</w:t>
      </w:r>
      <w:r w:rsidR="0064130B" w:rsidRPr="008B30B9">
        <w:rPr>
          <w:rFonts w:ascii="Times New Roman" w:hAnsi="Times New Roman" w:cs="Times New Roman"/>
        </w:rPr>
        <w:t xml:space="preserve"> it describe</w:t>
      </w:r>
      <w:r w:rsidR="008120E0" w:rsidRPr="008B30B9">
        <w:rPr>
          <w:rFonts w:ascii="Times New Roman" w:hAnsi="Times New Roman" w:cs="Times New Roman"/>
        </w:rPr>
        <w:t>s</w:t>
      </w:r>
      <w:r w:rsidR="0064130B" w:rsidRPr="008B30B9">
        <w:rPr>
          <w:rFonts w:ascii="Times New Roman" w:hAnsi="Times New Roman" w:cs="Times New Roman"/>
        </w:rPr>
        <w:t xml:space="preserve"> individual patients</w:t>
      </w:r>
      <w:r w:rsidR="00640790" w:rsidRPr="008B30B9">
        <w:rPr>
          <w:rFonts w:ascii="Times New Roman" w:hAnsi="Times New Roman" w:cs="Times New Roman"/>
        </w:rPr>
        <w:t xml:space="preserve"> within the population</w:t>
      </w:r>
      <w:r w:rsidR="0064130B" w:rsidRPr="008B30B9">
        <w:rPr>
          <w:rFonts w:ascii="Times New Roman" w:hAnsi="Times New Roman" w:cs="Times New Roman"/>
        </w:rPr>
        <w:t xml:space="preserve">. The population is described by multiple support points, </w:t>
      </w:r>
      <w:r w:rsidR="00C31DF9" w:rsidRPr="008B30B9">
        <w:rPr>
          <w:rFonts w:ascii="Times New Roman" w:hAnsi="Times New Roman" w:cs="Times New Roman"/>
        </w:rPr>
        <w:t>because</w:t>
      </w:r>
      <w:r w:rsidR="008120E0" w:rsidRPr="008B30B9">
        <w:rPr>
          <w:rFonts w:ascii="Times New Roman" w:hAnsi="Times New Roman" w:cs="Times New Roman"/>
        </w:rPr>
        <w:t xml:space="preserve"> there are both</w:t>
      </w:r>
      <w:r w:rsidR="0064130B" w:rsidRPr="008B30B9">
        <w:rPr>
          <w:rFonts w:ascii="Times New Roman" w:hAnsi="Times New Roman" w:cs="Times New Roman"/>
        </w:rPr>
        <w:t xml:space="preserve"> </w:t>
      </w:r>
      <w:r w:rsidR="008120E0" w:rsidRPr="008B30B9">
        <w:rPr>
          <w:rFonts w:ascii="Times New Roman" w:hAnsi="Times New Roman" w:cs="Times New Roman"/>
        </w:rPr>
        <w:t xml:space="preserve">multiple patients and </w:t>
      </w:r>
      <w:r w:rsidR="00C31DF9" w:rsidRPr="008B30B9">
        <w:rPr>
          <w:rFonts w:ascii="Times New Roman" w:hAnsi="Times New Roman" w:cs="Times New Roman"/>
        </w:rPr>
        <w:t xml:space="preserve">there is typically </w:t>
      </w:r>
      <w:r w:rsidR="0064130B" w:rsidRPr="008B30B9">
        <w:rPr>
          <w:rFonts w:ascii="Times New Roman" w:hAnsi="Times New Roman" w:cs="Times New Roman"/>
        </w:rPr>
        <w:t xml:space="preserve">considerable </w:t>
      </w:r>
      <w:r w:rsidR="00CB0EC3" w:rsidRPr="008B30B9">
        <w:rPr>
          <w:rFonts w:ascii="Times New Roman" w:hAnsi="Times New Roman" w:cs="Times New Roman"/>
        </w:rPr>
        <w:t xml:space="preserve">inter-individual </w:t>
      </w:r>
      <w:r w:rsidR="0064130B" w:rsidRPr="008B30B9">
        <w:rPr>
          <w:rFonts w:ascii="Times New Roman" w:hAnsi="Times New Roman" w:cs="Times New Roman"/>
        </w:rPr>
        <w:t xml:space="preserve">pharmacokinetic </w:t>
      </w:r>
      <w:r w:rsidR="003D74A4" w:rsidRPr="008B30B9">
        <w:rPr>
          <w:rFonts w:ascii="Times New Roman" w:hAnsi="Times New Roman" w:cs="Times New Roman"/>
        </w:rPr>
        <w:t xml:space="preserve">variability. </w:t>
      </w:r>
      <w:r w:rsidRPr="008B30B9">
        <w:rPr>
          <w:rFonts w:ascii="Times New Roman" w:hAnsi="Times New Roman" w:cs="Times New Roman"/>
        </w:rPr>
        <w:t>The set of support points constitu</w:t>
      </w:r>
      <w:r w:rsidR="00640790" w:rsidRPr="008B30B9">
        <w:rPr>
          <w:rFonts w:ascii="Times New Roman" w:hAnsi="Times New Roman" w:cs="Times New Roman"/>
        </w:rPr>
        <w:t>t</w:t>
      </w:r>
      <w:r w:rsidRPr="008B30B9">
        <w:rPr>
          <w:rFonts w:ascii="Times New Roman" w:hAnsi="Times New Roman" w:cs="Times New Roman"/>
        </w:rPr>
        <w:t>e the Bayesian prior and are a mathematical summary of drug behavior in the population</w:t>
      </w:r>
      <w:r w:rsidR="003D74A4" w:rsidRPr="008B30B9">
        <w:rPr>
          <w:rFonts w:ascii="Times New Roman" w:hAnsi="Times New Roman" w:cs="Times New Roman"/>
        </w:rPr>
        <w:t xml:space="preserve">. </w:t>
      </w:r>
      <w:r w:rsidRPr="008B30B9">
        <w:rPr>
          <w:rFonts w:ascii="Times New Roman" w:hAnsi="Times New Roman" w:cs="Times New Roman"/>
        </w:rPr>
        <w:t xml:space="preserve">In the next step, </w:t>
      </w:r>
      <w:r w:rsidR="00640790" w:rsidRPr="008B30B9">
        <w:rPr>
          <w:rFonts w:ascii="Times New Roman" w:hAnsi="Times New Roman" w:cs="Times New Roman"/>
        </w:rPr>
        <w:t>pharmacokinetic measurements</w:t>
      </w:r>
      <w:r w:rsidRPr="008B30B9">
        <w:rPr>
          <w:rFonts w:ascii="Times New Roman" w:hAnsi="Times New Roman" w:cs="Times New Roman"/>
        </w:rPr>
        <w:t xml:space="preserve"> </w:t>
      </w:r>
      <w:r w:rsidR="008120E0" w:rsidRPr="008B30B9">
        <w:rPr>
          <w:rFonts w:ascii="Times New Roman" w:hAnsi="Times New Roman" w:cs="Times New Roman"/>
        </w:rPr>
        <w:t xml:space="preserve">are obtained </w:t>
      </w:r>
      <w:r w:rsidRPr="008B30B9">
        <w:rPr>
          <w:rFonts w:ascii="Times New Roman" w:hAnsi="Times New Roman" w:cs="Times New Roman"/>
        </w:rPr>
        <w:t xml:space="preserve">from the patient whose dosage needs to be </w:t>
      </w:r>
      <w:r w:rsidR="008120E0" w:rsidRPr="008B30B9">
        <w:rPr>
          <w:rFonts w:ascii="Times New Roman" w:hAnsi="Times New Roman" w:cs="Times New Roman"/>
        </w:rPr>
        <w:t>individualized</w:t>
      </w:r>
      <w:r w:rsidR="003D74A4" w:rsidRPr="008B30B9">
        <w:rPr>
          <w:rFonts w:ascii="Times New Roman" w:hAnsi="Times New Roman" w:cs="Times New Roman"/>
        </w:rPr>
        <w:t>.</w:t>
      </w:r>
      <w:r w:rsidRPr="008B30B9">
        <w:rPr>
          <w:rFonts w:ascii="Times New Roman" w:hAnsi="Times New Roman" w:cs="Times New Roman"/>
        </w:rPr>
        <w:t xml:space="preserve"> The </w:t>
      </w:r>
      <w:r w:rsidR="008120E0" w:rsidRPr="008B30B9">
        <w:rPr>
          <w:rFonts w:ascii="Times New Roman" w:hAnsi="Times New Roman" w:cs="Times New Roman"/>
        </w:rPr>
        <w:t>probabilities</w:t>
      </w:r>
      <w:r w:rsidRPr="008B30B9">
        <w:rPr>
          <w:rFonts w:ascii="Times New Roman" w:hAnsi="Times New Roman" w:cs="Times New Roman"/>
        </w:rPr>
        <w:t xml:space="preserve"> of support points </w:t>
      </w:r>
      <w:r w:rsidR="008120E0" w:rsidRPr="008B30B9">
        <w:rPr>
          <w:rFonts w:ascii="Times New Roman" w:hAnsi="Times New Roman" w:cs="Times New Roman"/>
        </w:rPr>
        <w:t>that best</w:t>
      </w:r>
      <w:r w:rsidRPr="008B30B9">
        <w:rPr>
          <w:rFonts w:ascii="Times New Roman" w:hAnsi="Times New Roman" w:cs="Times New Roman"/>
        </w:rPr>
        <w:t xml:space="preserve"> describe that </w:t>
      </w:r>
      <w:r w:rsidR="008120E0" w:rsidRPr="008B30B9">
        <w:rPr>
          <w:rFonts w:ascii="Times New Roman" w:hAnsi="Times New Roman" w:cs="Times New Roman"/>
        </w:rPr>
        <w:t xml:space="preserve">PK of that </w:t>
      </w:r>
      <w:r w:rsidRPr="008B30B9">
        <w:rPr>
          <w:rFonts w:ascii="Times New Roman" w:hAnsi="Times New Roman" w:cs="Times New Roman"/>
        </w:rPr>
        <w:t xml:space="preserve">patient </w:t>
      </w:r>
      <w:r w:rsidR="003B2F2F" w:rsidRPr="008B30B9">
        <w:rPr>
          <w:rFonts w:ascii="Times New Roman" w:hAnsi="Times New Roman" w:cs="Times New Roman"/>
        </w:rPr>
        <w:t>are</w:t>
      </w:r>
      <w:r w:rsidRPr="008B30B9">
        <w:rPr>
          <w:rFonts w:ascii="Times New Roman" w:hAnsi="Times New Roman" w:cs="Times New Roman"/>
        </w:rPr>
        <w:t xml:space="preserve"> </w:t>
      </w:r>
      <w:r w:rsidR="00640790" w:rsidRPr="008B30B9">
        <w:rPr>
          <w:rFonts w:ascii="Times New Roman" w:hAnsi="Times New Roman" w:cs="Times New Roman"/>
        </w:rPr>
        <w:t xml:space="preserve">then </w:t>
      </w:r>
      <w:r w:rsidRPr="008B30B9">
        <w:rPr>
          <w:rFonts w:ascii="Times New Roman" w:hAnsi="Times New Roman" w:cs="Times New Roman"/>
        </w:rPr>
        <w:t>revised</w:t>
      </w:r>
      <w:r w:rsidR="003D74A4" w:rsidRPr="008B30B9">
        <w:rPr>
          <w:rFonts w:ascii="Times New Roman" w:hAnsi="Times New Roman" w:cs="Times New Roman"/>
        </w:rPr>
        <w:t xml:space="preserve">. </w:t>
      </w:r>
      <w:r w:rsidR="00640790" w:rsidRPr="008B30B9">
        <w:rPr>
          <w:rFonts w:ascii="Times New Roman" w:hAnsi="Times New Roman" w:cs="Times New Roman"/>
        </w:rPr>
        <w:t>Those</w:t>
      </w:r>
      <w:r w:rsidRPr="008B30B9">
        <w:rPr>
          <w:rFonts w:ascii="Times New Roman" w:hAnsi="Times New Roman" w:cs="Times New Roman"/>
        </w:rPr>
        <w:t xml:space="preserve"> points </w:t>
      </w:r>
      <w:r w:rsidR="00640790" w:rsidRPr="008B30B9">
        <w:rPr>
          <w:rFonts w:ascii="Times New Roman" w:hAnsi="Times New Roman" w:cs="Times New Roman"/>
        </w:rPr>
        <w:t xml:space="preserve">that </w:t>
      </w:r>
      <w:r w:rsidR="00C31DF9" w:rsidRPr="008B30B9">
        <w:rPr>
          <w:rFonts w:ascii="Times New Roman" w:hAnsi="Times New Roman" w:cs="Times New Roman"/>
        </w:rPr>
        <w:t>poorly</w:t>
      </w:r>
      <w:r w:rsidRPr="008B30B9">
        <w:rPr>
          <w:rFonts w:ascii="Times New Roman" w:hAnsi="Times New Roman" w:cs="Times New Roman"/>
        </w:rPr>
        <w:t xml:space="preserve"> describe the observed pharmacokinetics </w:t>
      </w:r>
      <w:r w:rsidR="00640790" w:rsidRPr="008B30B9">
        <w:rPr>
          <w:rFonts w:ascii="Times New Roman" w:hAnsi="Times New Roman" w:cs="Times New Roman"/>
        </w:rPr>
        <w:t>have</w:t>
      </w:r>
      <w:r w:rsidRPr="008B30B9">
        <w:rPr>
          <w:rFonts w:ascii="Times New Roman" w:hAnsi="Times New Roman" w:cs="Times New Roman"/>
        </w:rPr>
        <w:t xml:space="preserve"> their pr</w:t>
      </w:r>
      <w:r w:rsidR="003D74A4" w:rsidRPr="008B30B9">
        <w:rPr>
          <w:rFonts w:ascii="Times New Roman" w:hAnsi="Times New Roman" w:cs="Times New Roman"/>
        </w:rPr>
        <w:t xml:space="preserve">obability revised downward. </w:t>
      </w:r>
      <w:r w:rsidRPr="008B30B9">
        <w:rPr>
          <w:rFonts w:ascii="Times New Roman" w:hAnsi="Times New Roman" w:cs="Times New Roman"/>
        </w:rPr>
        <w:t xml:space="preserve">Other points that </w:t>
      </w:r>
      <w:r w:rsidR="008120E0" w:rsidRPr="008B30B9">
        <w:rPr>
          <w:rFonts w:ascii="Times New Roman" w:hAnsi="Times New Roman" w:cs="Times New Roman"/>
        </w:rPr>
        <w:t>perform better</w:t>
      </w:r>
      <w:r w:rsidRPr="008B30B9">
        <w:rPr>
          <w:rFonts w:ascii="Times New Roman" w:hAnsi="Times New Roman" w:cs="Times New Roman"/>
        </w:rPr>
        <w:t xml:space="preserve"> have their probability increased. </w:t>
      </w:r>
      <w:r w:rsidR="001B0CB8" w:rsidRPr="008B30B9">
        <w:rPr>
          <w:rFonts w:ascii="Times New Roman" w:hAnsi="Times New Roman" w:cs="Times New Roman"/>
        </w:rPr>
        <w:t>Hence, e</w:t>
      </w:r>
      <w:r w:rsidR="00CB0EC3" w:rsidRPr="008B30B9">
        <w:rPr>
          <w:rFonts w:ascii="Times New Roman" w:hAnsi="Times New Roman" w:cs="Times New Roman"/>
        </w:rPr>
        <w:t xml:space="preserve">ach individual patient has </w:t>
      </w:r>
      <w:r w:rsidR="004367EE" w:rsidRPr="008B30B9">
        <w:rPr>
          <w:rFonts w:ascii="Times New Roman" w:hAnsi="Times New Roman" w:cs="Times New Roman"/>
        </w:rPr>
        <w:t xml:space="preserve">the same </w:t>
      </w:r>
      <w:r w:rsidR="00CB0EC3" w:rsidRPr="008B30B9">
        <w:rPr>
          <w:rFonts w:ascii="Times New Roman" w:hAnsi="Times New Roman" w:cs="Times New Roman"/>
        </w:rPr>
        <w:t>set of support points</w:t>
      </w:r>
      <w:r w:rsidR="004367EE" w:rsidRPr="008B30B9">
        <w:rPr>
          <w:rFonts w:ascii="Times New Roman" w:hAnsi="Times New Roman" w:cs="Times New Roman"/>
        </w:rPr>
        <w:t xml:space="preserve"> as</w:t>
      </w:r>
      <w:r w:rsidR="00CB0EC3" w:rsidRPr="008B30B9">
        <w:rPr>
          <w:rFonts w:ascii="Times New Roman" w:hAnsi="Times New Roman" w:cs="Times New Roman"/>
        </w:rPr>
        <w:t xml:space="preserve"> the </w:t>
      </w:r>
      <w:r w:rsidR="004367EE" w:rsidRPr="008B30B9">
        <w:rPr>
          <w:rFonts w:ascii="Times New Roman" w:hAnsi="Times New Roman" w:cs="Times New Roman"/>
        </w:rPr>
        <w:t xml:space="preserve">total </w:t>
      </w:r>
      <w:r w:rsidR="00CB0EC3" w:rsidRPr="008B30B9">
        <w:rPr>
          <w:rFonts w:ascii="Times New Roman" w:hAnsi="Times New Roman" w:cs="Times New Roman"/>
        </w:rPr>
        <w:t>population</w:t>
      </w:r>
      <w:r w:rsidR="004367EE" w:rsidRPr="008B30B9">
        <w:rPr>
          <w:rFonts w:ascii="Times New Roman" w:hAnsi="Times New Roman" w:cs="Times New Roman"/>
        </w:rPr>
        <w:t>, but</w:t>
      </w:r>
      <w:r w:rsidR="00CB0EC3" w:rsidRPr="008B30B9">
        <w:rPr>
          <w:rFonts w:ascii="Times New Roman" w:hAnsi="Times New Roman" w:cs="Times New Roman"/>
        </w:rPr>
        <w:t xml:space="preserve"> with a rev</w:t>
      </w:r>
      <w:r w:rsidR="003D74A4" w:rsidRPr="008B30B9">
        <w:rPr>
          <w:rFonts w:ascii="Times New Roman" w:hAnsi="Times New Roman" w:cs="Times New Roman"/>
        </w:rPr>
        <w:t xml:space="preserve">ised probability distribution. </w:t>
      </w:r>
      <w:r w:rsidR="006D0BB0" w:rsidRPr="008B30B9">
        <w:rPr>
          <w:rFonts w:ascii="Times New Roman" w:hAnsi="Times New Roman" w:cs="Times New Roman"/>
        </w:rPr>
        <w:t xml:space="preserve">In the final step the dosage required to achieve the target concentration </w:t>
      </w:r>
      <w:r w:rsidR="00640790" w:rsidRPr="008B30B9">
        <w:rPr>
          <w:rFonts w:ascii="Times New Roman" w:hAnsi="Times New Roman" w:cs="Times New Roman"/>
        </w:rPr>
        <w:t>for the ind</w:t>
      </w:r>
      <w:r w:rsidR="003D74A4" w:rsidRPr="008B30B9">
        <w:rPr>
          <w:rFonts w:ascii="Times New Roman" w:hAnsi="Times New Roman" w:cs="Times New Roman"/>
        </w:rPr>
        <w:t xml:space="preserve">ividual patient is calculated. </w:t>
      </w:r>
      <w:r w:rsidR="00640790" w:rsidRPr="008B30B9">
        <w:rPr>
          <w:rFonts w:ascii="Times New Roman" w:hAnsi="Times New Roman" w:cs="Times New Roman"/>
        </w:rPr>
        <w:t xml:space="preserve">This is achieved by calculating the dose that is required </w:t>
      </w:r>
      <w:r w:rsidR="008120E0" w:rsidRPr="008B30B9">
        <w:rPr>
          <w:rFonts w:ascii="Times New Roman" w:hAnsi="Times New Roman" w:cs="Times New Roman"/>
        </w:rPr>
        <w:t>for</w:t>
      </w:r>
      <w:r w:rsidR="00640790" w:rsidRPr="008B30B9">
        <w:rPr>
          <w:rFonts w:ascii="Times New Roman" w:hAnsi="Times New Roman" w:cs="Times New Roman"/>
        </w:rPr>
        <w:t xml:space="preserve"> each support point to achieve the</w:t>
      </w:r>
      <w:r w:rsidR="003D74A4" w:rsidRPr="008B30B9">
        <w:rPr>
          <w:rFonts w:ascii="Times New Roman" w:hAnsi="Times New Roman" w:cs="Times New Roman"/>
        </w:rPr>
        <w:t xml:space="preserve"> desired target concentration. </w:t>
      </w:r>
      <w:r w:rsidR="00640790" w:rsidRPr="008B30B9">
        <w:rPr>
          <w:rFonts w:ascii="Times New Roman" w:hAnsi="Times New Roman" w:cs="Times New Roman"/>
        </w:rPr>
        <w:t>The</w:t>
      </w:r>
      <w:r w:rsidR="007A2246" w:rsidRPr="008B30B9">
        <w:rPr>
          <w:rFonts w:ascii="Times New Roman" w:hAnsi="Times New Roman" w:cs="Times New Roman"/>
        </w:rPr>
        <w:t>se</w:t>
      </w:r>
      <w:r w:rsidR="00640790" w:rsidRPr="008B30B9">
        <w:rPr>
          <w:rFonts w:ascii="Times New Roman" w:hAnsi="Times New Roman" w:cs="Times New Roman"/>
        </w:rPr>
        <w:t xml:space="preserve"> dosages are </w:t>
      </w:r>
      <w:r w:rsidR="007A2246" w:rsidRPr="008B30B9">
        <w:rPr>
          <w:rFonts w:ascii="Times New Roman" w:hAnsi="Times New Roman" w:cs="Times New Roman"/>
        </w:rPr>
        <w:t xml:space="preserve">then </w:t>
      </w:r>
      <w:r w:rsidR="00640790" w:rsidRPr="008B30B9">
        <w:rPr>
          <w:rFonts w:ascii="Times New Roman" w:hAnsi="Times New Roman" w:cs="Times New Roman"/>
        </w:rPr>
        <w:t xml:space="preserve">weighted by the probability of each support point and summed to obtain a </w:t>
      </w:r>
      <w:r w:rsidR="008E352D" w:rsidRPr="008B30B9">
        <w:rPr>
          <w:rFonts w:ascii="Times New Roman" w:hAnsi="Times New Roman" w:cs="Times New Roman"/>
        </w:rPr>
        <w:t xml:space="preserve">mean </w:t>
      </w:r>
      <w:r w:rsidR="00640790" w:rsidRPr="008B30B9">
        <w:rPr>
          <w:rFonts w:ascii="Times New Roman" w:hAnsi="Times New Roman" w:cs="Times New Roman"/>
        </w:rPr>
        <w:t xml:space="preserve">weighted </w:t>
      </w:r>
      <w:r w:rsidR="007A2246" w:rsidRPr="008B30B9">
        <w:rPr>
          <w:rFonts w:ascii="Times New Roman" w:hAnsi="Times New Roman" w:cs="Times New Roman"/>
        </w:rPr>
        <w:t>dose</w:t>
      </w:r>
      <w:r w:rsidR="003D74A4" w:rsidRPr="008B30B9">
        <w:rPr>
          <w:rFonts w:ascii="Times New Roman" w:hAnsi="Times New Roman" w:cs="Times New Roman"/>
        </w:rPr>
        <w:t xml:space="preserve">. </w:t>
      </w:r>
    </w:p>
    <w:p w14:paraId="2F86E9E6" w14:textId="27A757FC" w:rsidR="004A61ED" w:rsidRPr="008B30B9" w:rsidRDefault="003D4B4B" w:rsidP="006D2919">
      <w:pPr>
        <w:spacing w:line="480" w:lineRule="auto"/>
        <w:ind w:firstLine="708"/>
        <w:jc w:val="both"/>
        <w:rPr>
          <w:rFonts w:ascii="Times New Roman" w:hAnsi="Times New Roman" w:cs="Times New Roman"/>
        </w:rPr>
      </w:pPr>
      <w:r w:rsidRPr="008B30B9">
        <w:rPr>
          <w:rFonts w:ascii="Times New Roman" w:hAnsi="Times New Roman" w:cs="Times New Roman"/>
        </w:rPr>
        <w:t xml:space="preserve">The approach </w:t>
      </w:r>
      <w:r w:rsidR="004367EE" w:rsidRPr="008B30B9">
        <w:rPr>
          <w:rFonts w:ascii="Times New Roman" w:hAnsi="Times New Roman" w:cs="Times New Roman"/>
        </w:rPr>
        <w:t xml:space="preserve">used in this study </w:t>
      </w:r>
      <w:r w:rsidRPr="008B30B9">
        <w:rPr>
          <w:rFonts w:ascii="Times New Roman" w:hAnsi="Times New Roman" w:cs="Times New Roman"/>
        </w:rPr>
        <w:t xml:space="preserve">has several </w:t>
      </w:r>
      <w:r w:rsidR="002A4B59" w:rsidRPr="008B30B9">
        <w:rPr>
          <w:rFonts w:ascii="Times New Roman" w:hAnsi="Times New Roman" w:cs="Times New Roman"/>
        </w:rPr>
        <w:t xml:space="preserve">attractive features. </w:t>
      </w:r>
      <w:r w:rsidR="00383E95" w:rsidRPr="008B30B9">
        <w:rPr>
          <w:rFonts w:ascii="Times New Roman" w:hAnsi="Times New Roman" w:cs="Times New Roman"/>
        </w:rPr>
        <w:t>Firstly</w:t>
      </w:r>
      <w:r w:rsidR="008120E0" w:rsidRPr="008B30B9">
        <w:rPr>
          <w:rFonts w:ascii="Times New Roman" w:hAnsi="Times New Roman" w:cs="Times New Roman"/>
        </w:rPr>
        <w:t xml:space="preserve">, </w:t>
      </w:r>
      <w:r w:rsidR="00E60DB7" w:rsidRPr="008B30B9">
        <w:rPr>
          <w:rFonts w:ascii="Times New Roman" w:hAnsi="Times New Roman" w:cs="Times New Roman"/>
        </w:rPr>
        <w:t xml:space="preserve">dosage </w:t>
      </w:r>
      <w:r w:rsidR="008120E0" w:rsidRPr="008B30B9">
        <w:rPr>
          <w:rFonts w:ascii="Times New Roman" w:hAnsi="Times New Roman" w:cs="Times New Roman"/>
        </w:rPr>
        <w:t>individualization</w:t>
      </w:r>
      <w:r w:rsidR="003B2F2F" w:rsidRPr="008B30B9">
        <w:rPr>
          <w:rFonts w:ascii="Times New Roman" w:hAnsi="Times New Roman" w:cs="Times New Roman"/>
        </w:rPr>
        <w:t xml:space="preserve"> can commence </w:t>
      </w:r>
      <w:proofErr w:type="spellStart"/>
      <w:r w:rsidR="00383E95" w:rsidRPr="008B30B9">
        <w:rPr>
          <w:rFonts w:ascii="Times New Roman" w:hAnsi="Times New Roman" w:cs="Times New Roman"/>
        </w:rPr>
        <w:t>immediatley</w:t>
      </w:r>
      <w:proofErr w:type="spellEnd"/>
      <w:r w:rsidR="003B2F2F" w:rsidRPr="008B30B9">
        <w:rPr>
          <w:rFonts w:ascii="Times New Roman" w:hAnsi="Times New Roman" w:cs="Times New Roman"/>
        </w:rPr>
        <w:t xml:space="preserve"> </w:t>
      </w:r>
      <w:r w:rsidR="008120E0" w:rsidRPr="008B30B9">
        <w:rPr>
          <w:rFonts w:ascii="Times New Roman" w:hAnsi="Times New Roman" w:cs="Times New Roman"/>
        </w:rPr>
        <w:t>without waiting for</w:t>
      </w:r>
      <w:r w:rsidR="00E60DB7" w:rsidRPr="008B30B9">
        <w:rPr>
          <w:rFonts w:ascii="Times New Roman" w:hAnsi="Times New Roman" w:cs="Times New Roman"/>
        </w:rPr>
        <w:t xml:space="preserve"> </w:t>
      </w:r>
      <w:r w:rsidRPr="008B30B9">
        <w:rPr>
          <w:rFonts w:ascii="Times New Roman" w:hAnsi="Times New Roman" w:cs="Times New Roman"/>
        </w:rPr>
        <w:t>steady state</w:t>
      </w:r>
      <w:r w:rsidR="002A4B59" w:rsidRPr="008B30B9">
        <w:rPr>
          <w:rFonts w:ascii="Times New Roman" w:hAnsi="Times New Roman" w:cs="Times New Roman"/>
        </w:rPr>
        <w:t xml:space="preserve">. </w:t>
      </w:r>
      <w:r w:rsidR="00383E95" w:rsidRPr="008B30B9">
        <w:rPr>
          <w:rFonts w:ascii="Times New Roman" w:hAnsi="Times New Roman" w:cs="Times New Roman"/>
        </w:rPr>
        <w:t>Secondly</w:t>
      </w:r>
      <w:r w:rsidR="003B2F2F" w:rsidRPr="008B30B9">
        <w:rPr>
          <w:rFonts w:ascii="Times New Roman" w:hAnsi="Times New Roman" w:cs="Times New Roman"/>
        </w:rPr>
        <w:t xml:space="preserve">, patients can be controlled without </w:t>
      </w:r>
      <w:r w:rsidR="008120E0" w:rsidRPr="008B30B9">
        <w:rPr>
          <w:rFonts w:ascii="Times New Roman" w:hAnsi="Times New Roman" w:cs="Times New Roman"/>
        </w:rPr>
        <w:t xml:space="preserve">an explicit </w:t>
      </w:r>
      <w:r w:rsidR="003B2F2F" w:rsidRPr="008B30B9">
        <w:rPr>
          <w:rFonts w:ascii="Times New Roman" w:hAnsi="Times New Roman" w:cs="Times New Roman"/>
        </w:rPr>
        <w:t xml:space="preserve">understanding </w:t>
      </w:r>
      <w:r w:rsidR="008120E0" w:rsidRPr="008B30B9">
        <w:rPr>
          <w:rFonts w:ascii="Times New Roman" w:hAnsi="Times New Roman" w:cs="Times New Roman"/>
        </w:rPr>
        <w:t xml:space="preserve">of </w:t>
      </w:r>
      <w:r w:rsidR="003B2F2F" w:rsidRPr="008B30B9">
        <w:rPr>
          <w:rFonts w:ascii="Times New Roman" w:hAnsi="Times New Roman" w:cs="Times New Roman"/>
        </w:rPr>
        <w:t xml:space="preserve">the sources or </w:t>
      </w:r>
      <w:r w:rsidR="003B2F2F" w:rsidRPr="008B30B9">
        <w:rPr>
          <w:rFonts w:ascii="Times New Roman" w:hAnsi="Times New Roman" w:cs="Times New Roman"/>
        </w:rPr>
        <w:lastRenderedPageBreak/>
        <w:t xml:space="preserve">causes of </w:t>
      </w:r>
      <w:r w:rsidR="001B0CB8" w:rsidRPr="008B30B9">
        <w:rPr>
          <w:rFonts w:ascii="Times New Roman" w:hAnsi="Times New Roman" w:cs="Times New Roman"/>
        </w:rPr>
        <w:t xml:space="preserve">pharmacokinetic </w:t>
      </w:r>
      <w:r w:rsidR="003B2F2F" w:rsidRPr="008B30B9">
        <w:rPr>
          <w:rFonts w:ascii="Times New Roman" w:hAnsi="Times New Roman" w:cs="Times New Roman"/>
        </w:rPr>
        <w:t>variability.</w:t>
      </w:r>
      <w:r w:rsidRPr="008B30B9">
        <w:rPr>
          <w:rFonts w:ascii="Times New Roman" w:hAnsi="Times New Roman" w:cs="Times New Roman"/>
        </w:rPr>
        <w:t xml:space="preserve"> </w:t>
      </w:r>
      <w:r w:rsidR="00471F78" w:rsidRPr="008B30B9">
        <w:rPr>
          <w:rFonts w:ascii="Times New Roman" w:hAnsi="Times New Roman" w:cs="Times New Roman"/>
        </w:rPr>
        <w:t xml:space="preserve">The control of </w:t>
      </w:r>
      <w:r w:rsidR="00063D2D" w:rsidRPr="008B30B9">
        <w:rPr>
          <w:rFonts w:ascii="Times New Roman" w:hAnsi="Times New Roman" w:cs="Times New Roman"/>
        </w:rPr>
        <w:t>critically ill patients</w:t>
      </w:r>
      <w:r w:rsidR="009F7698" w:rsidRPr="008B30B9">
        <w:rPr>
          <w:rFonts w:ascii="Times New Roman" w:hAnsi="Times New Roman" w:cs="Times New Roman"/>
        </w:rPr>
        <w:t xml:space="preserve"> who are </w:t>
      </w:r>
      <w:r w:rsidR="00437085" w:rsidRPr="008B30B9">
        <w:rPr>
          <w:rFonts w:ascii="Times New Roman" w:hAnsi="Times New Roman" w:cs="Times New Roman"/>
        </w:rPr>
        <w:t xml:space="preserve">clinically </w:t>
      </w:r>
      <w:r w:rsidR="009F7698" w:rsidRPr="008B30B9">
        <w:rPr>
          <w:rFonts w:ascii="Times New Roman" w:hAnsi="Times New Roman" w:cs="Times New Roman"/>
        </w:rPr>
        <w:t>unstable</w:t>
      </w:r>
      <w:r w:rsidR="00C870E4" w:rsidRPr="008B30B9">
        <w:rPr>
          <w:rFonts w:ascii="Times New Roman" w:hAnsi="Times New Roman" w:cs="Times New Roman"/>
        </w:rPr>
        <w:t xml:space="preserve"> </w:t>
      </w:r>
      <w:r w:rsidR="000131F9" w:rsidRPr="008B30B9">
        <w:rPr>
          <w:rFonts w:ascii="Times New Roman" w:hAnsi="Times New Roman" w:cs="Times New Roman"/>
        </w:rPr>
        <w:fldChar w:fldCharType="begin" w:fldLock="1"/>
      </w:r>
      <w:r w:rsidR="00071129" w:rsidRPr="008B30B9">
        <w:rPr>
          <w:rFonts w:ascii="Times New Roman" w:hAnsi="Times New Roman" w:cs="Times New Roman"/>
        </w:rPr>
        <w:instrText>ADDIN CSL_CITATION { "citationItems" : [ { "id" : "ITEM-1", "itemData" : { "DOI" : "10.1002/jps.23574", "ISSN" : "00223549", "PMID" : "23650116", "abstract" : "The pharmacokinetic behavior of medicines used in humans follows largely predictable patterns across the human age range from premature babies to elderly adults. Most of the differences associated with age are in fact due to differences in size. Additional considerations are required to describe the processes of maturation of clearance processes and postnatal changes in body composition. Application of standard approaches to reporting pharmacokinetic parameters is essential for comparative human pharmacokinetic studies from babies to adults. A standardized comparison of pharmacokinetic parameters obtained in children and adults is shown for 46 drugs. Appropriate size scaling shows that children (over 2 years old) are similar to adults. Maturation changes are generally completed within the first 2 years of postnatal life; consequently babies may be considered as immature children, whereas children are just small adults.", "author" : [ { "dropping-particle" : "", "family" : "Holford", "given" : "Nick", "non-dropping-particle" : "", "parse-names" : false, "suffix" : "" }, { "dropping-particle" : "", "family" : "Heo", "given" : "Young-A", "non-dropping-particle" : "", "parse-names" : false, "suffix" : "" }, { "dropping-particle" : "", "family" : "Anderson", "given" : "Brian", "non-dropping-particle" : "", "parse-names" : false, "suffix" : "" } ], "container-title" : "Journal of Pharmaceutical Sciences", "id" : "ITEM-1", "issue" : "9", "issued" : { "date-parts" : [ [ "2013", "9" ] ] }, "page" : "2941-2952", "title" : "A Pharmacokinetic Standard for Babies and Adults", "type" : "article-journal", "volume" : "102" }, "uris" : [ "http://www.mendeley.com/documents/?uuid=bf4d4b6d-81ae-3238-a89d-a241d10fa53c" ] }, { "id" : "ITEM-2", "itemData" : { "DOI" : "10.1016/j.addr.2014.07.006", "ISBN" : "1872-8294; 0169-409X", "ISSN" : "18728294", "PMID" : "25038549", "abstract" : "Critically ill patients are at high risk for development of life-threatening infection leading to sepsis and multiple organ failure. Adequate antimicrobial therapy is pivotal for optimizing the chances of survival. However, efficient dosing is problematic because pathophysiological changes associated with critical illness impact on pharmacokinetics of mainly hydrophilic antimicrobials. Concentrations of hydrophilic antimicrobials may be increased because of decreased renal clearance due to acute kidney injury. Alternatively, antimicrobial concentrations may be decreased because of increased volume of distribution and augmented renal clearance provoked by systemic inflammatory response syndrome, capillary leak, decreased protein binding and administration of intravenous fluids and inotropes. Often multiple conditions that may influence pharmacokinetics are present at the same time thereby excessively complicating the prediction of adequate concentrations. In general, conditions leading to underdosing are predominant. Yet, since prediction of serum concentrations remains difficult, therapeutic drug monitoring for individual fine-tuning of antimicrobial therapy seems the way forward.", "author" : [ { "dropping-particle" : "", "family" : "Blot", "given" : "Stijn I.", "non-dropping-particle" : "", "parse-names" : false, "suffix" : "" }, { "dropping-particle" : "", "family" : "Pea", "given" : "Federico", "non-dropping-particle" : "", "parse-names" : false, "suffix" : "" }, { "dropping-particle" : "", "family" : "Lipman", "given" : "Jeffrey", "non-dropping-particle" : "", "parse-names" : false, "suffix" : "" } ], "container-title" : "Advanced Drug Delivery Reviews", "id" : "ITEM-2", "issued" : { "date-parts" : [ [ "2014" ] ] }, "note" : "NULL", "page" : "3-11", "publisher" : "Elsevier B.V.", "title" : "The effect of pathophysiology on pharmacokinetics in the critically ill patient - Concepts appraised by the example of antimicrobial agents", "type" : "article-journal", "volume" : "77" }, "uris" : [ "http://www.mendeley.com/documents/?uuid=e312139d-efd9-430c-9c34-cabf00bf365e" ] } ], "mendeley" : { "formattedCitation" : "(20, 39)", "plainTextFormattedCitation" : "(20, 39)", "previouslyFormattedCitation" : "(20, 39)" }, "properties" : { "noteIndex" : 0 }, "schema" : "https://github.com/citation-style-language/schema/raw/master/csl-citation.json" }</w:instrText>
      </w:r>
      <w:r w:rsidR="000131F9" w:rsidRPr="008B30B9">
        <w:rPr>
          <w:rFonts w:ascii="Times New Roman" w:hAnsi="Times New Roman" w:cs="Times New Roman"/>
        </w:rPr>
        <w:fldChar w:fldCharType="separate"/>
      </w:r>
      <w:r w:rsidR="00065350" w:rsidRPr="008B30B9">
        <w:rPr>
          <w:rFonts w:ascii="Times New Roman" w:hAnsi="Times New Roman" w:cs="Times New Roman"/>
          <w:noProof/>
        </w:rPr>
        <w:t>(20, 39)</w:t>
      </w:r>
      <w:r w:rsidR="000131F9" w:rsidRPr="008B30B9">
        <w:rPr>
          <w:rFonts w:ascii="Times New Roman" w:hAnsi="Times New Roman" w:cs="Times New Roman"/>
        </w:rPr>
        <w:fldChar w:fldCharType="end"/>
      </w:r>
      <w:r w:rsidR="00471F78" w:rsidRPr="008B30B9">
        <w:rPr>
          <w:rFonts w:ascii="Times New Roman" w:hAnsi="Times New Roman" w:cs="Times New Roman"/>
        </w:rPr>
        <w:t xml:space="preserve"> represents an ongoing challenge</w:t>
      </w:r>
      <w:r w:rsidR="00DC2B13" w:rsidRPr="008B30B9">
        <w:rPr>
          <w:rFonts w:ascii="Times New Roman" w:hAnsi="Times New Roman" w:cs="Times New Roman"/>
        </w:rPr>
        <w:t>.</w:t>
      </w:r>
      <w:r w:rsidR="00C870E4" w:rsidRPr="008B30B9">
        <w:rPr>
          <w:rFonts w:ascii="Times New Roman" w:hAnsi="Times New Roman" w:cs="Times New Roman"/>
        </w:rPr>
        <w:t xml:space="preserve"> </w:t>
      </w:r>
      <w:r w:rsidR="00471F78" w:rsidRPr="008B30B9">
        <w:rPr>
          <w:rFonts w:ascii="Times New Roman" w:hAnsi="Times New Roman" w:cs="Times New Roman"/>
        </w:rPr>
        <w:t xml:space="preserve">One limitation of </w:t>
      </w:r>
      <w:r w:rsidR="00D92B65" w:rsidRPr="008B30B9">
        <w:rPr>
          <w:rFonts w:ascii="Times New Roman" w:hAnsi="Times New Roman" w:cs="Times New Roman"/>
        </w:rPr>
        <w:t>current approaches (including this study) is that a patient’s PK are assumed to be invariant</w:t>
      </w:r>
      <w:r w:rsidR="002A4B59" w:rsidRPr="008B30B9">
        <w:rPr>
          <w:rFonts w:ascii="Times New Roman" w:hAnsi="Times New Roman" w:cs="Times New Roman"/>
        </w:rPr>
        <w:t xml:space="preserve">. </w:t>
      </w:r>
      <w:r w:rsidR="000B2A1E" w:rsidRPr="008B30B9">
        <w:rPr>
          <w:rFonts w:ascii="Times New Roman" w:hAnsi="Times New Roman" w:cs="Times New Roman"/>
        </w:rPr>
        <w:t>This can lead to poor fitting if the PK change and ultimately lead</w:t>
      </w:r>
      <w:r w:rsidR="00712F70" w:rsidRPr="008B30B9">
        <w:rPr>
          <w:rFonts w:ascii="Times New Roman" w:hAnsi="Times New Roman" w:cs="Times New Roman"/>
        </w:rPr>
        <w:t>s</w:t>
      </w:r>
      <w:r w:rsidR="002A4B59" w:rsidRPr="008B30B9">
        <w:rPr>
          <w:rFonts w:ascii="Times New Roman" w:hAnsi="Times New Roman" w:cs="Times New Roman"/>
        </w:rPr>
        <w:t xml:space="preserve"> to suboptimal control. </w:t>
      </w:r>
      <w:r w:rsidR="000B2A1E" w:rsidRPr="008B30B9">
        <w:rPr>
          <w:rFonts w:ascii="Times New Roman" w:hAnsi="Times New Roman" w:cs="Times New Roman"/>
        </w:rPr>
        <w:t>The only way to circumvent this problem at the current time is to use</w:t>
      </w:r>
      <w:r w:rsidR="00640790" w:rsidRPr="008B30B9">
        <w:rPr>
          <w:rFonts w:ascii="Times New Roman" w:hAnsi="Times New Roman" w:cs="Times New Roman"/>
        </w:rPr>
        <w:t xml:space="preserve"> </w:t>
      </w:r>
      <w:r w:rsidR="000B2A1E" w:rsidRPr="008B30B9">
        <w:rPr>
          <w:rFonts w:ascii="Times New Roman" w:hAnsi="Times New Roman" w:cs="Times New Roman"/>
        </w:rPr>
        <w:t xml:space="preserve">the most recent </w:t>
      </w:r>
      <w:r w:rsidR="00640790" w:rsidRPr="008B30B9">
        <w:rPr>
          <w:rFonts w:ascii="Times New Roman" w:hAnsi="Times New Roman" w:cs="Times New Roman"/>
        </w:rPr>
        <w:t xml:space="preserve">pharmacokinetic data </w:t>
      </w:r>
      <w:r w:rsidR="00E76FB2" w:rsidRPr="008B30B9">
        <w:rPr>
          <w:rFonts w:ascii="Times New Roman" w:hAnsi="Times New Roman" w:cs="Times New Roman"/>
        </w:rPr>
        <w:t xml:space="preserve">to estimate a patient’s PK </w:t>
      </w:r>
      <w:r w:rsidR="00640790" w:rsidRPr="008B30B9">
        <w:rPr>
          <w:rFonts w:ascii="Times New Roman" w:hAnsi="Times New Roman" w:cs="Times New Roman"/>
        </w:rPr>
        <w:t xml:space="preserve">and updated covariate information. </w:t>
      </w:r>
      <w:r w:rsidR="008120E0" w:rsidRPr="008B30B9">
        <w:rPr>
          <w:rFonts w:ascii="Times New Roman" w:hAnsi="Times New Roman" w:cs="Times New Roman"/>
        </w:rPr>
        <w:t xml:space="preserve">In this </w:t>
      </w:r>
      <w:r w:rsidR="004367EE" w:rsidRPr="008B30B9">
        <w:rPr>
          <w:rFonts w:ascii="Times New Roman" w:hAnsi="Times New Roman" w:cs="Times New Roman"/>
        </w:rPr>
        <w:t xml:space="preserve">case the </w:t>
      </w:r>
      <w:r w:rsidR="006D413D" w:rsidRPr="008B30B9">
        <w:rPr>
          <w:rFonts w:ascii="Times New Roman" w:hAnsi="Times New Roman" w:cs="Times New Roman"/>
        </w:rPr>
        <w:t xml:space="preserve">probability for each </w:t>
      </w:r>
      <w:r w:rsidR="004367EE" w:rsidRPr="008B30B9">
        <w:rPr>
          <w:rFonts w:ascii="Times New Roman" w:hAnsi="Times New Roman" w:cs="Times New Roman"/>
        </w:rPr>
        <w:t xml:space="preserve">support point </w:t>
      </w:r>
      <w:r w:rsidR="006D413D" w:rsidRPr="008B30B9">
        <w:rPr>
          <w:rFonts w:ascii="Times New Roman" w:hAnsi="Times New Roman" w:cs="Times New Roman"/>
        </w:rPr>
        <w:t xml:space="preserve">describing the PK </w:t>
      </w:r>
      <w:r w:rsidR="004367EE" w:rsidRPr="008B30B9">
        <w:rPr>
          <w:rFonts w:ascii="Times New Roman" w:hAnsi="Times New Roman" w:cs="Times New Roman"/>
        </w:rPr>
        <w:t>for the new</w:t>
      </w:r>
      <w:r w:rsidR="008120E0" w:rsidRPr="008B30B9">
        <w:rPr>
          <w:rFonts w:ascii="Times New Roman" w:hAnsi="Times New Roman" w:cs="Times New Roman"/>
        </w:rPr>
        <w:t xml:space="preserve"> episode are </w:t>
      </w:r>
      <w:r w:rsidR="006D413D" w:rsidRPr="008B30B9">
        <w:rPr>
          <w:rFonts w:ascii="Times New Roman" w:hAnsi="Times New Roman" w:cs="Times New Roman"/>
        </w:rPr>
        <w:t xml:space="preserve">recalculated </w:t>
      </w:r>
      <w:r w:rsidR="008120E0" w:rsidRPr="008B30B9">
        <w:rPr>
          <w:rFonts w:ascii="Times New Roman" w:hAnsi="Times New Roman" w:cs="Times New Roman"/>
        </w:rPr>
        <w:t xml:space="preserve">and </w:t>
      </w:r>
      <w:r w:rsidR="00E76FB2" w:rsidRPr="008B30B9">
        <w:rPr>
          <w:rFonts w:ascii="Times New Roman" w:hAnsi="Times New Roman" w:cs="Times New Roman"/>
        </w:rPr>
        <w:t>are then</w:t>
      </w:r>
      <w:r w:rsidR="004367EE" w:rsidRPr="008B30B9">
        <w:rPr>
          <w:rFonts w:ascii="Times New Roman" w:hAnsi="Times New Roman" w:cs="Times New Roman"/>
        </w:rPr>
        <w:t xml:space="preserve"> </w:t>
      </w:r>
      <w:r w:rsidR="008120E0" w:rsidRPr="008B30B9">
        <w:rPr>
          <w:rFonts w:ascii="Times New Roman" w:hAnsi="Times New Roman" w:cs="Times New Roman"/>
        </w:rPr>
        <w:t>use</w:t>
      </w:r>
      <w:r w:rsidR="004367EE" w:rsidRPr="008B30B9">
        <w:rPr>
          <w:rFonts w:ascii="Times New Roman" w:hAnsi="Times New Roman" w:cs="Times New Roman"/>
        </w:rPr>
        <w:t>d</w:t>
      </w:r>
      <w:r w:rsidR="008120E0" w:rsidRPr="008B30B9">
        <w:rPr>
          <w:rFonts w:ascii="Times New Roman" w:hAnsi="Times New Roman" w:cs="Times New Roman"/>
        </w:rPr>
        <w:t xml:space="preserve"> to control subsequent dosing.</w:t>
      </w:r>
      <w:r w:rsidR="002A4B59" w:rsidRPr="008B30B9">
        <w:rPr>
          <w:rFonts w:ascii="Times New Roman" w:hAnsi="Times New Roman" w:cs="Times New Roman"/>
        </w:rPr>
        <w:t xml:space="preserve"> </w:t>
      </w:r>
      <w:r w:rsidR="000B2A1E" w:rsidRPr="008B30B9">
        <w:rPr>
          <w:rFonts w:ascii="Times New Roman" w:hAnsi="Times New Roman" w:cs="Times New Roman"/>
        </w:rPr>
        <w:t>The incorporation of the interacting multiple model app</w:t>
      </w:r>
      <w:r w:rsidR="002A4B59" w:rsidRPr="008B30B9">
        <w:rPr>
          <w:rFonts w:ascii="Times New Roman" w:hAnsi="Times New Roman" w:cs="Times New Roman"/>
        </w:rPr>
        <w:t>roach</w:t>
      </w:r>
      <w:r w:rsidR="000B2A1E" w:rsidRPr="008B30B9">
        <w:rPr>
          <w:rFonts w:ascii="Times New Roman" w:hAnsi="Times New Roman" w:cs="Times New Roman"/>
        </w:rPr>
        <w:t xml:space="preserve"> into dosage adjustment algorithms</w:t>
      </w:r>
      <w:r w:rsidR="00712F70" w:rsidRPr="008B30B9">
        <w:rPr>
          <w:rFonts w:ascii="Times New Roman" w:hAnsi="Times New Roman" w:cs="Times New Roman"/>
        </w:rPr>
        <w:t xml:space="preserve"> </w:t>
      </w:r>
      <w:r w:rsidR="00E76FB2" w:rsidRPr="008B30B9">
        <w:rPr>
          <w:rFonts w:ascii="Times New Roman" w:hAnsi="Times New Roman" w:cs="Times New Roman"/>
        </w:rPr>
        <w:t xml:space="preserve">potentially </w:t>
      </w:r>
      <w:r w:rsidR="00712F70" w:rsidRPr="008B30B9">
        <w:rPr>
          <w:rFonts w:ascii="Times New Roman" w:hAnsi="Times New Roman" w:cs="Times New Roman"/>
        </w:rPr>
        <w:t xml:space="preserve">provides a way </w:t>
      </w:r>
      <w:r w:rsidR="00E76FB2" w:rsidRPr="008B30B9">
        <w:rPr>
          <w:rFonts w:ascii="Times New Roman" w:hAnsi="Times New Roman" w:cs="Times New Roman"/>
        </w:rPr>
        <w:t>to control unstable patients, but this is yet to be done</w:t>
      </w:r>
      <w:r w:rsidR="00BD192D" w:rsidRPr="008B30B9">
        <w:rPr>
          <w:rFonts w:ascii="Times New Roman" w:hAnsi="Times New Roman" w:cs="Times New Roman"/>
        </w:rPr>
        <w:t xml:space="preserve"> </w:t>
      </w:r>
      <w:r w:rsidR="00BD192D" w:rsidRPr="008B30B9">
        <w:rPr>
          <w:rFonts w:ascii="Times New Roman" w:hAnsi="Times New Roman" w:cs="Times New Roman"/>
        </w:rPr>
        <w:fldChar w:fldCharType="begin" w:fldLock="1"/>
      </w:r>
      <w:r w:rsidR="00BD192D" w:rsidRPr="008B30B9">
        <w:rPr>
          <w:rFonts w:ascii="Times New Roman" w:hAnsi="Times New Roman" w:cs="Times New Roman"/>
        </w:rPr>
        <w:instrText>ADDIN CSL_CITATION { "citationItems" : [ { "id" : "ITEM-1", "itemData" : { "DOI" : "10.1097/FTD.0b013e318161a38c", "ISSN" : "0163-4356", "PMID" : "18223465", "abstract" : "This study compared the abilities of three Bayesian algorithms-simple multiple model (SMM) using a single creatinine measurement; richer data multiple model (RMM) using all creatinine measurements; and the sequential interacting multiple model (IMM)-to describe gentamicin and vancomycin concentration-time data from patients within a cardiothoracic surgery unit who had variable renal function. All algorithms start with multiple sets of discrete parameter support points obtained from nonparametric population modeling. The SMM and RMM Bayesian algorithms then estimate their Bayesian posterior probabilities by conventionally assuming that the estimated parameter distributions are fixed and unchanging throughout the period of data analysis. In contrast, the IMM sequential Bayesian algorithm permits parameter estimates to jump from one population model support point to another, as new data are analyzed, if the probability of a different support point fitting the more recent data is more likely. Several initial IMM jump probability settings were examined-0.0001%, 0.1%, 3%, and 10%-and a probability range of 0.0001% to 50%. The data sets comprised 550 gentamicin concentration measurements from 135 patients and 555 vancomycin concentration measurements from 139 patients. The SMM algorithm performed poorly with both antibiotics. Improved precision was obtained with the RMM algorithm. However, the IMM algorithm fitted the data with the highest precision. A 3% jump probability gave the best estimates. In contrast, the IMM 0.0001% to 50% range setting performed poorly, especially for vancomycin. In summary, the IMM algorithm described and tracked drug concentration data well in these clinically unstable patients. Further investigation of this new approach in routine clinical care and optimal dosage design is warranted.", "author" : [ { "dropping-particle" : "", "family" : "Macdonald", "given" : "Iona", "non-dropping-particle" : "", "parse-names" : false, "suffix" : "" }, { "dropping-particle" : "", "family" : "Staatz", "given" : "Christine E", "non-dropping-particle" : "", "parse-names" : false, "suffix" : "" }, { "dropping-particle" : "", "family" : "Jelliffe", "given" : "Roger W", "non-dropping-particle" : "", "parse-names" : false, "suffix" : "" }, { "dropping-particle" : "", "family" : "Thomson", "given" : "Alison H", "non-dropping-particle" : "", "parse-names" : false, "suffix" : "" } ], "container-title" : "Therapeutic Drug Monitoring", "id" : "ITEM-1", "issue" : "1", "issued" : { "date-parts" : [ [ "2008", "2" ] ] }, "page" : "67-74", "title" : "Evaluation and Comparison of Simple Multiple Model, Richer Data Multiple Model, and Sequential Interacting Multiple Model (IMM) Bayesian Analyses of Gentamicin and Vancomycin Data Collected From Patients Undergoing Cardiothoracic Surgery", "type" : "article-journal", "volume" : "30" }, "uris" : [ "http://www.mendeley.com/documents/?uuid=5c2f4762-965a-32e5-8eaf-0af33ae771b6" ] } ], "mendeley" : { "formattedCitation" : "(38)", "plainTextFormattedCitation" : "(38)", "previouslyFormattedCitation" : "(38)" }, "properties" : { "noteIndex" : 0 }, "schema" : "https://github.com/citation-style-language/schema/raw/master/csl-citation.json" }</w:instrText>
      </w:r>
      <w:r w:rsidR="00BD192D" w:rsidRPr="008B30B9">
        <w:rPr>
          <w:rFonts w:ascii="Times New Roman" w:hAnsi="Times New Roman" w:cs="Times New Roman"/>
        </w:rPr>
        <w:fldChar w:fldCharType="separate"/>
      </w:r>
      <w:r w:rsidR="00BD192D" w:rsidRPr="008B30B9">
        <w:rPr>
          <w:rFonts w:ascii="Times New Roman" w:hAnsi="Times New Roman" w:cs="Times New Roman"/>
          <w:noProof/>
        </w:rPr>
        <w:t>(38)</w:t>
      </w:r>
      <w:r w:rsidR="00BD192D" w:rsidRPr="008B30B9">
        <w:rPr>
          <w:rFonts w:ascii="Times New Roman" w:hAnsi="Times New Roman" w:cs="Times New Roman"/>
        </w:rPr>
        <w:fldChar w:fldCharType="end"/>
      </w:r>
      <w:r w:rsidR="00712F70" w:rsidRPr="008B30B9">
        <w:rPr>
          <w:rFonts w:ascii="Times New Roman" w:hAnsi="Times New Roman" w:cs="Times New Roman"/>
        </w:rPr>
        <w:t>.</w:t>
      </w:r>
    </w:p>
    <w:p w14:paraId="65C7F079" w14:textId="12488710" w:rsidR="00AE6D8B" w:rsidRDefault="004A61ED" w:rsidP="006D2919">
      <w:pPr>
        <w:spacing w:line="480" w:lineRule="auto"/>
        <w:ind w:firstLine="708"/>
        <w:jc w:val="both"/>
        <w:rPr>
          <w:rFonts w:ascii="Times New Roman" w:hAnsi="Times New Roman" w:cs="Times New Roman"/>
        </w:rPr>
      </w:pPr>
      <w:r>
        <w:rPr>
          <w:rFonts w:ascii="Times New Roman" w:hAnsi="Times New Roman" w:cs="Times New Roman"/>
        </w:rPr>
        <w:t>Another interesting aspect of our work was the use of post-natal age</w:t>
      </w:r>
      <w:r w:rsidR="00FE5CAF">
        <w:rPr>
          <w:rFonts w:ascii="Times New Roman" w:hAnsi="Times New Roman" w:cs="Times New Roman"/>
        </w:rPr>
        <w:t xml:space="preserve"> (PNA)</w:t>
      </w:r>
      <w:r>
        <w:rPr>
          <w:rFonts w:ascii="Times New Roman" w:hAnsi="Times New Roman" w:cs="Times New Roman"/>
        </w:rPr>
        <w:t xml:space="preserve"> divided by serum creatinine </w:t>
      </w:r>
      <w:r w:rsidR="00FE5CAF">
        <w:rPr>
          <w:rFonts w:ascii="Times New Roman" w:hAnsi="Times New Roman" w:cs="Times New Roman"/>
        </w:rPr>
        <w:t>(</w:t>
      </w:r>
      <w:proofErr w:type="spellStart"/>
      <w:r w:rsidR="00FE5CAF">
        <w:rPr>
          <w:rFonts w:ascii="Times New Roman" w:hAnsi="Times New Roman" w:cs="Times New Roman"/>
        </w:rPr>
        <w:t>SCr</w:t>
      </w:r>
      <w:proofErr w:type="spellEnd"/>
      <w:r w:rsidR="00FE5CAF">
        <w:rPr>
          <w:rFonts w:ascii="Times New Roman" w:hAnsi="Times New Roman" w:cs="Times New Roman"/>
        </w:rPr>
        <w:t xml:space="preserve">) </w:t>
      </w:r>
      <w:r>
        <w:rPr>
          <w:rFonts w:ascii="Times New Roman" w:hAnsi="Times New Roman" w:cs="Times New Roman"/>
        </w:rPr>
        <w:t>as a novel marker</w:t>
      </w:r>
      <w:r w:rsidR="00DE6324">
        <w:rPr>
          <w:rFonts w:ascii="Times New Roman" w:hAnsi="Times New Roman" w:cs="Times New Roman"/>
        </w:rPr>
        <w:t xml:space="preserve"> of renal function.  When model</w:t>
      </w:r>
      <w:r>
        <w:rPr>
          <w:rFonts w:ascii="Times New Roman" w:hAnsi="Times New Roman" w:cs="Times New Roman"/>
        </w:rPr>
        <w:t>ing an</w:t>
      </w:r>
      <w:r w:rsidR="00DE6324">
        <w:rPr>
          <w:rFonts w:ascii="Times New Roman" w:hAnsi="Times New Roman" w:cs="Times New Roman"/>
        </w:rPr>
        <w:t>d controlling drug behavio</w:t>
      </w:r>
      <w:r>
        <w:rPr>
          <w:rFonts w:ascii="Times New Roman" w:hAnsi="Times New Roman" w:cs="Times New Roman"/>
        </w:rPr>
        <w:t xml:space="preserve">r, it is not necessary to </w:t>
      </w:r>
      <w:r w:rsidR="00871644">
        <w:rPr>
          <w:rFonts w:ascii="Times New Roman" w:hAnsi="Times New Roman" w:cs="Times New Roman"/>
        </w:rPr>
        <w:t>describe renal function using traditional equations that estimate GFR, although we did use the Sc</w:t>
      </w:r>
      <w:r w:rsidR="004B4AD6">
        <w:rPr>
          <w:rFonts w:ascii="Times New Roman" w:hAnsi="Times New Roman" w:cs="Times New Roman"/>
        </w:rPr>
        <w:t>hwartz equation for the infants</w:t>
      </w:r>
      <w:r w:rsidR="00871644">
        <w:rPr>
          <w:rFonts w:ascii="Times New Roman" w:hAnsi="Times New Roman" w:cs="Times New Roman"/>
        </w:rPr>
        <w:t xml:space="preserve"> &gt;3 months of age</w:t>
      </w:r>
      <w:r w:rsidR="0082472E">
        <w:rPr>
          <w:rFonts w:ascii="Times New Roman" w:hAnsi="Times New Roman" w:cs="Times New Roman"/>
        </w:rPr>
        <w:t xml:space="preserve">. </w:t>
      </w:r>
      <w:r w:rsidR="00FE5CAF">
        <w:rPr>
          <w:rFonts w:ascii="Times New Roman" w:hAnsi="Times New Roman" w:cs="Times New Roman"/>
        </w:rPr>
        <w:t xml:space="preserve">The goal in </w:t>
      </w:r>
      <w:proofErr w:type="spellStart"/>
      <w:r w:rsidR="00FE5CAF">
        <w:rPr>
          <w:rFonts w:ascii="Times New Roman" w:hAnsi="Times New Roman" w:cs="Times New Roman"/>
        </w:rPr>
        <w:t>pharmacometrics</w:t>
      </w:r>
      <w:proofErr w:type="spellEnd"/>
      <w:r w:rsidR="00FE5CAF">
        <w:rPr>
          <w:rFonts w:ascii="Times New Roman" w:hAnsi="Times New Roman" w:cs="Times New Roman"/>
        </w:rPr>
        <w:t xml:space="preserve"> is to find the best descript</w:t>
      </w:r>
      <w:r w:rsidR="00DE6324">
        <w:rPr>
          <w:rFonts w:ascii="Times New Roman" w:hAnsi="Times New Roman" w:cs="Times New Roman"/>
        </w:rPr>
        <w:t>ors of drug behavio</w:t>
      </w:r>
      <w:r w:rsidR="00FE5CAF">
        <w:rPr>
          <w:rFonts w:ascii="Times New Roman" w:hAnsi="Times New Roman" w:cs="Times New Roman"/>
        </w:rPr>
        <w:t>r, in this case related to renal function and maturation.  We feel that PNA/</w:t>
      </w:r>
      <w:proofErr w:type="spellStart"/>
      <w:r w:rsidR="00FE5CAF">
        <w:rPr>
          <w:rFonts w:ascii="Times New Roman" w:hAnsi="Times New Roman" w:cs="Times New Roman"/>
        </w:rPr>
        <w:t>SCr</w:t>
      </w:r>
      <w:proofErr w:type="spellEnd"/>
      <w:r w:rsidR="00FE5CAF">
        <w:rPr>
          <w:rFonts w:ascii="Times New Roman" w:hAnsi="Times New Roman" w:cs="Times New Roman"/>
        </w:rPr>
        <w:t xml:space="preserve"> has advantages over any other estimation of renal function, including Schwartz, in that it does not use length (height), which can be notoriously inaccurate in infants. We have previously found PNA/</w:t>
      </w:r>
      <w:proofErr w:type="spellStart"/>
      <w:r w:rsidR="00FE5CAF">
        <w:rPr>
          <w:rFonts w:ascii="Times New Roman" w:hAnsi="Times New Roman" w:cs="Times New Roman"/>
        </w:rPr>
        <w:t>SCr</w:t>
      </w:r>
      <w:proofErr w:type="spellEnd"/>
      <w:r w:rsidR="00FE5CAF">
        <w:rPr>
          <w:rFonts w:ascii="Times New Roman" w:hAnsi="Times New Roman" w:cs="Times New Roman"/>
        </w:rPr>
        <w:t xml:space="preserve"> to be a useful predictor for both vancomycin</w:t>
      </w:r>
      <w:r w:rsidR="005A6A1D">
        <w:rPr>
          <w:rFonts w:ascii="Times New Roman" w:hAnsi="Times New Roman" w:cs="Times New Roman"/>
        </w:rPr>
        <w:t xml:space="preserve"> </w:t>
      </w:r>
      <w:r w:rsidR="00457F4F">
        <w:rPr>
          <w:rFonts w:ascii="Times New Roman" w:hAnsi="Times New Roman" w:cs="Times New Roman"/>
        </w:rPr>
        <w:fldChar w:fldCharType="begin" w:fldLock="1"/>
      </w:r>
      <w:r w:rsidR="00071129">
        <w:rPr>
          <w:rFonts w:ascii="Times New Roman" w:hAnsi="Times New Roman" w:cs="Times New Roman"/>
        </w:rPr>
        <w:instrText>ADDIN CSL_CITATION { "citationItems" : [ { "id" : "ITEM-1", "itemData" : { "URL" : "http://iatdmct2015.org/abstracts/347-2/", "author" : [ { "dropping-particle" : "", "family" : "Yamada", "given" : "YM", "non-dropping-particle" : "", "parse-names" : false, "suffix" : "" }, { "dropping-particle" : "", "family" : "Schaiquevich", "given" : "P", "non-dropping-particle" : "", "parse-names" : false, "suffix" : "" }, { "dropping-particle" : "", "family" : "&amp; Neely", "given" : "MN", "non-dropping-particle" : "", "parse-names" : false, "suffix" : "" } ], "container-title" : "4th International Congress of Therapeutic Drug Monitoring and Toxicology, Rotterdam, NL, October 11-15, 2015, Abstract 347.", "id" : "ITEM-1", "issued" : { "date-parts" : [ [ "2015" ] ] }, "title" : "AUC-targeted vancomycin dosing in term and pre-term neonates", "type" : "webpage" }, "uris" : [ "http://www.mendeley.com/documents/?uuid=50151fcd-9890-48cd-94f3-c88d6f274a9b" ] } ], "mendeley" : { "formattedCitation" : "(40)", "plainTextFormattedCitation" : "(40)", "previouslyFormattedCitation" : "(40)" }, "properties" : { "noteIndex" : 0 }, "schema" : "https://github.com/citation-style-language/schema/raw/master/csl-citation.json" }</w:instrText>
      </w:r>
      <w:r w:rsidR="00457F4F">
        <w:rPr>
          <w:rFonts w:ascii="Times New Roman" w:hAnsi="Times New Roman" w:cs="Times New Roman"/>
        </w:rPr>
        <w:fldChar w:fldCharType="separate"/>
      </w:r>
      <w:r w:rsidR="00065350" w:rsidRPr="00065350">
        <w:rPr>
          <w:rFonts w:ascii="Times New Roman" w:hAnsi="Times New Roman" w:cs="Times New Roman"/>
          <w:noProof/>
        </w:rPr>
        <w:t>(40)</w:t>
      </w:r>
      <w:r w:rsidR="00457F4F">
        <w:rPr>
          <w:rFonts w:ascii="Times New Roman" w:hAnsi="Times New Roman" w:cs="Times New Roman"/>
        </w:rPr>
        <w:fldChar w:fldCharType="end"/>
      </w:r>
      <w:r w:rsidR="00457F4F">
        <w:rPr>
          <w:rFonts w:ascii="Times New Roman" w:hAnsi="Times New Roman" w:cs="Times New Roman"/>
        </w:rPr>
        <w:t xml:space="preserve"> and gentamicin PK </w:t>
      </w:r>
      <w:r w:rsidR="00457F4F">
        <w:rPr>
          <w:rFonts w:ascii="Times New Roman" w:hAnsi="Times New Roman" w:cs="Times New Roman"/>
        </w:rPr>
        <w:fldChar w:fldCharType="begin" w:fldLock="1"/>
      </w:r>
      <w:r w:rsidR="00071129">
        <w:rPr>
          <w:rFonts w:ascii="Times New Roman" w:hAnsi="Times New Roman" w:cs="Times New Roman"/>
        </w:rPr>
        <w:instrText>ADDIN CSL_CITATION { "citationItems" : [ { "id" : "ITEM-1", "itemData" : { "author" : [ { "dropping-particle" : "", "family" : "Neely", "given" : "MN", "non-dropping-particle" : "", "parse-names" : false, "suffix" : "" }, { "dropping-particle" : "", "family" : "Floyd", "given" : "R", "non-dropping-particle" : "", "parse-names" : false, "suffix" : "" } ], "container-title" : "Clinical Pharmacology in Drug Development", "id" : "ITEM-1", "issue" : "4", "issued" : { "date-parts" : [ [ "2015" ] ] }, "note" : "NULL", "page" : "1\u201360", "title" : "Schwartz Creatinine Clearance is Not the Best Description of Infant Gentamicin Elimination.", "type" : "paper-conference", "volume" : "1" }, "uris" : [ "http://www.mendeley.com/documents/?uuid=9af61ee4-71e4-400c-afb9-f2ec57dd5d7f" ] } ], "mendeley" : { "formattedCitation" : "(41)", "plainTextFormattedCitation" : "(41)", "previouslyFormattedCitation" : "(41)" }, "properties" : { "noteIndex" : 0 }, "schema" : "https://github.com/citation-style-language/schema/raw/master/csl-citation.json" }</w:instrText>
      </w:r>
      <w:r w:rsidR="00457F4F">
        <w:rPr>
          <w:rFonts w:ascii="Times New Roman" w:hAnsi="Times New Roman" w:cs="Times New Roman"/>
        </w:rPr>
        <w:fldChar w:fldCharType="separate"/>
      </w:r>
      <w:r w:rsidR="00065350" w:rsidRPr="00065350">
        <w:rPr>
          <w:rFonts w:ascii="Times New Roman" w:hAnsi="Times New Roman" w:cs="Times New Roman"/>
          <w:noProof/>
        </w:rPr>
        <w:t>(41)</w:t>
      </w:r>
      <w:r w:rsidR="00457F4F">
        <w:rPr>
          <w:rFonts w:ascii="Times New Roman" w:hAnsi="Times New Roman" w:cs="Times New Roman"/>
        </w:rPr>
        <w:fldChar w:fldCharType="end"/>
      </w:r>
      <w:r w:rsidR="00457F4F">
        <w:rPr>
          <w:rFonts w:ascii="Times New Roman" w:hAnsi="Times New Roman" w:cs="Times New Roman"/>
        </w:rPr>
        <w:t xml:space="preserve"> in infants.</w:t>
      </w:r>
    </w:p>
    <w:p w14:paraId="275DE5D0" w14:textId="6AFF29FE" w:rsidR="00FE292E" w:rsidRDefault="00B32CF8" w:rsidP="006D2919">
      <w:pPr>
        <w:spacing w:line="480" w:lineRule="auto"/>
        <w:ind w:firstLine="708"/>
        <w:jc w:val="both"/>
        <w:rPr>
          <w:rFonts w:ascii="Times New Roman" w:hAnsi="Times New Roman" w:cs="Times New Roman"/>
        </w:rPr>
      </w:pPr>
      <w:r>
        <w:rPr>
          <w:rFonts w:ascii="Times New Roman" w:hAnsi="Times New Roman" w:cs="Times New Roman"/>
        </w:rPr>
        <w:t xml:space="preserve">In conclusion, </w:t>
      </w:r>
      <w:r w:rsidR="005C43CB">
        <w:rPr>
          <w:rFonts w:ascii="Times New Roman" w:hAnsi="Times New Roman" w:cs="Times New Roman"/>
        </w:rPr>
        <w:t xml:space="preserve">we present a tool to rapidly and accurately predict </w:t>
      </w:r>
      <w:proofErr w:type="spellStart"/>
      <w:r w:rsidR="005C43CB">
        <w:rPr>
          <w:rFonts w:ascii="Times New Roman" w:hAnsi="Times New Roman" w:cs="Times New Roman"/>
        </w:rPr>
        <w:t>teicoplanin</w:t>
      </w:r>
      <w:proofErr w:type="spellEnd"/>
      <w:r w:rsidR="005C43CB">
        <w:rPr>
          <w:rFonts w:ascii="Times New Roman" w:hAnsi="Times New Roman" w:cs="Times New Roman"/>
        </w:rPr>
        <w:t xml:space="preserve"> concentrations and calculate doses that optimally achieve desired concentrations in </w:t>
      </w:r>
      <w:r w:rsidR="00DE6324">
        <w:rPr>
          <w:rFonts w:ascii="Times New Roman" w:hAnsi="Times New Roman" w:cs="Times New Roman"/>
        </w:rPr>
        <w:t>p</w:t>
      </w:r>
      <w:r w:rsidR="00457F4F">
        <w:rPr>
          <w:rFonts w:ascii="Times New Roman" w:hAnsi="Times New Roman" w:cs="Times New Roman"/>
        </w:rPr>
        <w:t>ediatrics</w:t>
      </w:r>
      <w:r w:rsidR="005C43CB">
        <w:rPr>
          <w:rFonts w:ascii="Times New Roman" w:hAnsi="Times New Roman" w:cs="Times New Roman"/>
        </w:rPr>
        <w:t xml:space="preserve">.  </w:t>
      </w:r>
      <w:r w:rsidR="005C43CB" w:rsidRPr="008B30B9">
        <w:rPr>
          <w:rFonts w:ascii="Times New Roman" w:hAnsi="Times New Roman" w:cs="Times New Roman"/>
        </w:rPr>
        <w:t>We further validate PNA/</w:t>
      </w:r>
      <w:proofErr w:type="spellStart"/>
      <w:r w:rsidR="005C43CB" w:rsidRPr="008B30B9">
        <w:rPr>
          <w:rFonts w:ascii="Times New Roman" w:hAnsi="Times New Roman" w:cs="Times New Roman"/>
        </w:rPr>
        <w:t>SCr</w:t>
      </w:r>
      <w:proofErr w:type="spellEnd"/>
      <w:r w:rsidR="005C43CB" w:rsidRPr="008B30B9">
        <w:rPr>
          <w:rFonts w:ascii="Times New Roman" w:hAnsi="Times New Roman" w:cs="Times New Roman"/>
        </w:rPr>
        <w:t xml:space="preserve"> as a novel predictor of renal drug elimination in </w:t>
      </w:r>
      <w:r w:rsidR="00457F4F" w:rsidRPr="008B30B9">
        <w:rPr>
          <w:rFonts w:ascii="Times New Roman" w:hAnsi="Times New Roman" w:cs="Times New Roman"/>
        </w:rPr>
        <w:t xml:space="preserve">neonates and </w:t>
      </w:r>
      <w:r w:rsidR="005C43CB" w:rsidRPr="008B30B9">
        <w:rPr>
          <w:rFonts w:ascii="Times New Roman" w:hAnsi="Times New Roman" w:cs="Times New Roman"/>
        </w:rPr>
        <w:t xml:space="preserve">young infants. </w:t>
      </w:r>
      <w:r w:rsidR="00FE7876" w:rsidRPr="008B30B9">
        <w:rPr>
          <w:rFonts w:ascii="Times New Roman" w:hAnsi="Times New Roman" w:cs="Times New Roman"/>
        </w:rPr>
        <w:t xml:space="preserve">A </w:t>
      </w:r>
      <w:r w:rsidR="00667FE9" w:rsidRPr="008B30B9">
        <w:rPr>
          <w:rFonts w:ascii="Times New Roman" w:hAnsi="Times New Roman" w:cs="Times New Roman"/>
        </w:rPr>
        <w:t xml:space="preserve">number of </w:t>
      </w:r>
      <w:r w:rsidR="00FE7876" w:rsidRPr="008B30B9">
        <w:rPr>
          <w:rFonts w:ascii="Times New Roman" w:hAnsi="Times New Roman" w:cs="Times New Roman"/>
        </w:rPr>
        <w:t xml:space="preserve">prospective </w:t>
      </w:r>
      <w:r w:rsidR="00C31DF9" w:rsidRPr="008B30B9">
        <w:rPr>
          <w:rFonts w:ascii="Times New Roman" w:hAnsi="Times New Roman" w:cs="Times New Roman"/>
        </w:rPr>
        <w:t xml:space="preserve">clinical </w:t>
      </w:r>
      <w:r w:rsidR="00667FE9" w:rsidRPr="008B30B9">
        <w:rPr>
          <w:rFonts w:ascii="Times New Roman" w:hAnsi="Times New Roman" w:cs="Times New Roman"/>
        </w:rPr>
        <w:t>studies can now be considered</w:t>
      </w:r>
      <w:r w:rsidR="003D74A4" w:rsidRPr="008B30B9">
        <w:rPr>
          <w:rFonts w:ascii="Times New Roman" w:hAnsi="Times New Roman" w:cs="Times New Roman"/>
        </w:rPr>
        <w:t xml:space="preserve">. </w:t>
      </w:r>
      <w:r w:rsidR="00C31DF9" w:rsidRPr="008B30B9">
        <w:rPr>
          <w:rFonts w:ascii="Times New Roman" w:hAnsi="Times New Roman" w:cs="Times New Roman"/>
        </w:rPr>
        <w:t xml:space="preserve">At the simplest level these may consist of studies that have drug exposure as </w:t>
      </w:r>
      <w:r w:rsidR="00C31DF9" w:rsidRPr="008B30B9">
        <w:rPr>
          <w:rFonts w:ascii="Times New Roman" w:hAnsi="Times New Roman" w:cs="Times New Roman"/>
        </w:rPr>
        <w:lastRenderedPageBreak/>
        <w:t xml:space="preserve">the primary </w:t>
      </w:r>
      <w:r w:rsidR="003D74A4" w:rsidRPr="008B30B9">
        <w:rPr>
          <w:rFonts w:ascii="Times New Roman" w:hAnsi="Times New Roman" w:cs="Times New Roman"/>
        </w:rPr>
        <w:t xml:space="preserve">endpoint. </w:t>
      </w:r>
      <w:r w:rsidR="00C31DF9" w:rsidRPr="008B30B9">
        <w:rPr>
          <w:rFonts w:ascii="Times New Roman" w:hAnsi="Times New Roman" w:cs="Times New Roman"/>
        </w:rPr>
        <w:t>More complex studies that have clinical outcomes and/or toxicity as primary endpoints will require a significant</w:t>
      </w:r>
      <w:r w:rsidR="00F61977" w:rsidRPr="008B30B9">
        <w:rPr>
          <w:rFonts w:ascii="Times New Roman" w:hAnsi="Times New Roman" w:cs="Times New Roman"/>
        </w:rPr>
        <w:t>ly larger</w:t>
      </w:r>
      <w:r w:rsidR="00C31DF9" w:rsidRPr="008B30B9">
        <w:rPr>
          <w:rFonts w:ascii="Times New Roman" w:hAnsi="Times New Roman" w:cs="Times New Roman"/>
        </w:rPr>
        <w:t xml:space="preserve"> number of patients and a multicenter </w:t>
      </w:r>
      <w:r w:rsidR="00E00E06" w:rsidRPr="008B30B9">
        <w:rPr>
          <w:rFonts w:ascii="Times New Roman" w:hAnsi="Times New Roman" w:cs="Times New Roman"/>
        </w:rPr>
        <w:t>design</w:t>
      </w:r>
      <w:r w:rsidR="00C31DF9" w:rsidRPr="008B30B9">
        <w:rPr>
          <w:rFonts w:ascii="Times New Roman" w:hAnsi="Times New Roman" w:cs="Times New Roman"/>
        </w:rPr>
        <w:t>.</w:t>
      </w:r>
      <w:r w:rsidR="00C31DF9">
        <w:rPr>
          <w:rFonts w:ascii="Times New Roman" w:hAnsi="Times New Roman" w:cs="Times New Roman"/>
        </w:rPr>
        <w:t xml:space="preserve"> </w:t>
      </w:r>
    </w:p>
    <w:p w14:paraId="5846338E" w14:textId="77777777" w:rsidR="00B22360" w:rsidRDefault="00B22360" w:rsidP="00BD192D">
      <w:pPr>
        <w:spacing w:line="480" w:lineRule="auto"/>
        <w:ind w:firstLine="708"/>
        <w:rPr>
          <w:rFonts w:ascii="Times New Roman" w:hAnsi="Times New Roman" w:cs="Times New Roman"/>
          <w:sz w:val="28"/>
          <w:szCs w:val="28"/>
        </w:rPr>
      </w:pPr>
    </w:p>
    <w:p w14:paraId="1834A402" w14:textId="77777777" w:rsidR="00FE292E" w:rsidRDefault="00FE292E">
      <w:pPr>
        <w:spacing w:line="480" w:lineRule="auto"/>
        <w:rPr>
          <w:rFonts w:ascii="Times New Roman" w:hAnsi="Times New Roman" w:cs="Times New Roman"/>
          <w:sz w:val="28"/>
          <w:szCs w:val="28"/>
        </w:rPr>
        <w:sectPr w:rsidR="00FE292E" w:rsidSect="006D5EC2">
          <w:pgSz w:w="11900" w:h="16840"/>
          <w:pgMar w:top="1418" w:right="1701" w:bottom="1418" w:left="1701" w:header="709" w:footer="709" w:gutter="0"/>
          <w:lnNumType w:countBy="1" w:restart="continuous"/>
          <w:cols w:space="708"/>
          <w:docGrid w:linePitch="360"/>
        </w:sectPr>
      </w:pPr>
    </w:p>
    <w:p w14:paraId="36474D9C" w14:textId="77777777" w:rsidR="00556887" w:rsidRPr="00323506" w:rsidRDefault="00556887" w:rsidP="00556887">
      <w:pPr>
        <w:spacing w:line="480" w:lineRule="auto"/>
        <w:jc w:val="both"/>
        <w:rPr>
          <w:rFonts w:ascii="Times New Roman" w:hAnsi="Times New Roman" w:cs="Times New Roman"/>
          <w:b/>
        </w:rPr>
      </w:pPr>
      <w:r>
        <w:rPr>
          <w:rFonts w:ascii="Times New Roman" w:hAnsi="Times New Roman" w:cs="Times New Roman"/>
          <w:b/>
        </w:rPr>
        <w:lastRenderedPageBreak/>
        <w:t>PATIENTS</w:t>
      </w:r>
      <w:r w:rsidRPr="00323506">
        <w:rPr>
          <w:rFonts w:ascii="Times New Roman" w:hAnsi="Times New Roman" w:cs="Times New Roman"/>
          <w:b/>
        </w:rPr>
        <w:t xml:space="preserve"> AND METHODS</w:t>
      </w:r>
    </w:p>
    <w:p w14:paraId="68793289" w14:textId="77777777" w:rsidR="00556887" w:rsidRDefault="00556887" w:rsidP="00556887">
      <w:pPr>
        <w:spacing w:line="480" w:lineRule="auto"/>
        <w:jc w:val="both"/>
        <w:rPr>
          <w:rFonts w:ascii="Times New Roman" w:hAnsi="Times New Roman" w:cs="Times New Roman"/>
          <w:b/>
        </w:rPr>
      </w:pPr>
      <w:r w:rsidRPr="00DA249E">
        <w:rPr>
          <w:rFonts w:ascii="Times New Roman" w:hAnsi="Times New Roman" w:cs="Times New Roman"/>
          <w:b/>
        </w:rPr>
        <w:t xml:space="preserve">Pharmacokinetic study of </w:t>
      </w:r>
      <w:proofErr w:type="spellStart"/>
      <w:r w:rsidRPr="00DA249E">
        <w:rPr>
          <w:rFonts w:ascii="Times New Roman" w:hAnsi="Times New Roman" w:cs="Times New Roman"/>
          <w:b/>
        </w:rPr>
        <w:t>teicoplanin</w:t>
      </w:r>
      <w:proofErr w:type="spellEnd"/>
      <w:r w:rsidRPr="00DA249E">
        <w:rPr>
          <w:rFonts w:ascii="Times New Roman" w:hAnsi="Times New Roman" w:cs="Times New Roman"/>
          <w:b/>
        </w:rPr>
        <w:t xml:space="preserve"> in children and neonates</w:t>
      </w:r>
    </w:p>
    <w:p w14:paraId="0C949BF2" w14:textId="77777777" w:rsidR="00556887" w:rsidRPr="008B30B9" w:rsidRDefault="00556887" w:rsidP="00556887">
      <w:pPr>
        <w:spacing w:line="480" w:lineRule="auto"/>
        <w:ind w:firstLine="708"/>
        <w:jc w:val="both"/>
        <w:rPr>
          <w:rFonts w:ascii="Times New Roman" w:hAnsi="Times New Roman" w:cs="Times New Roman"/>
        </w:rPr>
      </w:pPr>
      <w:r>
        <w:rPr>
          <w:rFonts w:ascii="Times New Roman" w:hAnsi="Times New Roman" w:cs="Times New Roman"/>
        </w:rPr>
        <w:t>P</w:t>
      </w:r>
      <w:r w:rsidRPr="00323506">
        <w:rPr>
          <w:rFonts w:ascii="Times New Roman" w:hAnsi="Times New Roman" w:cs="Times New Roman"/>
        </w:rPr>
        <w:t>harmacokinetic data</w:t>
      </w:r>
      <w:r>
        <w:rPr>
          <w:rFonts w:ascii="Times New Roman" w:hAnsi="Times New Roman" w:cs="Times New Roman"/>
        </w:rPr>
        <w:t xml:space="preserve"> from 57 children (39 children aged 1 month-16 years old and 18 neonates between 26-44 postmenstrual age-PMA- weeks) was available for model building. Patients were</w:t>
      </w:r>
      <w:r w:rsidRPr="00E03FE7">
        <w:rPr>
          <w:rFonts w:ascii="Times New Roman" w:hAnsi="Times New Roman" w:cs="Times New Roman"/>
        </w:rPr>
        <w:t xml:space="preserve"> </w:t>
      </w:r>
      <w:r>
        <w:rPr>
          <w:rFonts w:ascii="Times New Roman" w:hAnsi="Times New Roman" w:cs="Times New Roman"/>
        </w:rPr>
        <w:t xml:space="preserve">prospectively enrolled from two different hospitals in Liverpool (Alder Hey NHS Children´s Foundation Trust and Liverpool Women´s Hospital) over a 20 month-period (April 2013 and January 2015).  These PK data have been previously reported in two separate population models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"10.1128/AAC.03685-14", "ISSN" : "0066-4804", "author" : [ { "dropping-particle" : "", "family" : "Ramos-Martin", "given" : "V.", "non-dropping-particle" : "", "parse-names" : false, "suffix" : "" }, { "dropping-particle" : "", "family" : "Paulus", "given" : "S.", "non-dropping-particle" : "", "parse-names" : false, "suffix" : "" }, { "dropping-particle" : "", "family" : "Siner", "given" : "S.", "non-dropping-particle" : "", "parse-names" : false, "suffix" : "" }, { "dropping-particle" : "", "family" : "Scott", "given" : "E.", "non-dropping-particle" : "", "parse-names" : false, "suffix" : "" }, { "dropping-particle" : "", "family" : "Padmore", "given" : "K.", "non-dropping-particle" : "", "parse-names" : false, "suffix" : "" }, { "dropping-particle" : "", "family" : "Newland", "given" : "P.", "non-dropping-particle" : "", "parse-names" : false, "suffix" : "" }, { "dropping-particle" : "", "family" : "Drew", "given" : "R. J.", "non-dropping-particle" : "", "parse-names" : false, "suffix" : "" }, { "dropping-particle" : "", "family" : "Felton", "given" : "T. W.", "non-dropping-particle" : "", "parse-names" : false, "suffix" : "" }, { "dropping-particle" : "", "family" : "Docobo-Perez", "given" : "F.", "non-dropping-particle" : "", "parse-names" : false, "suffix" : "" }, { "dropping-particle" : "", "family" : "Pizer", "given" : "B.", "non-dropping-particle" : "", "parse-names" : false, "suffix" : "" }, { "dropping-particle" : "", "family" : "Pea", "given" : "F.", "non-dropping-particle" : "", "parse-names" : false, "suffix" : "" }, { "dropping-particle" : "", "family" : "Peak", "given" : "M.", "non-dropping-particle" : "", "parse-names" : false, "suffix" : "" }, { "dropping-particle" : "", "family" : "Turner", "given" : "M. a.", "non-dropping-particle" : "", "parse-names" : false, "suffix" : "" }, { "dropping-particle" : "", "family" : "Beresford", "given" : "M. W.", "non-dropping-particle" : "", "parse-names" : false, "suffix" : "" }, { "dropping-particle" : "", "family" : "Hope", "given" : "W. W.", "non-dropping-particle" : "", "parse-names" : false, "suffix" : "" } ], "container-title" : "Antimicrobial Agents and Chemotherapy", "id" : "ITEM-1", "issue" : "11", "issued" : { "date-parts" : [ [ "2014" ] ] }, "page" : "6920-6927", "title" : "Population Pharmacokinetics of Teicoplanin in Children", "type" : "article-journal", "volume" : "58" }, "uris" : [ "http://www.mendeley.com/documents/?uuid=07ab5f41-6cb7-4aa1-9bf4-fe389315ad74" ] }, { "id" : "ITEM-2", "itemData" : { "DOI" : "10.1093/jac/dkw295", "ISBN" : "1517945941", "ISSN" : "0305-7453", "author" : [ { "dropping-particle" : "", "family" : "Ramos-Mart\u00edn", "given" : "V.", "non-dropping-particle" : "", "parse-names" : false, "suffix" : "" }, { "dropping-particle" : "", "family" : "Neely", "given" : "M. N.", "non-dropping-particle" : "", "parse-names" : false, "suffix" : "" }, { "dropping-particle" : "", "family" : "McGowan", "given" : "P.", "non-dropping-particle" : "", "parse-names" : false, "suffix" : "" }, { "dropping-particle" : "", "family" : "Siner", "given" : "S.", "non-dropping-particle" : "", "parse-names" : false, "suffix" : "" }, { "dropping-particle" : "", "family" : "Padmore", "given" : "K.", "non-dropping-particle" : "", "parse-names" : false, "suffix" : "" }, { "dropping-particle" : "", "family" : "Peak", "given" : "M.", "non-dropping-particle" : "", "parse-names" : false, "suffix" : "" }, { "dropping-particle" : "", "family" : "Beresford", "given" : "M. W.", "non-dropping-particle" : "", "parse-names" : false, "suffix" : "" }, { "dropping-particle" : "", "family" : "Turner", "given" : "M. A.", "non-dropping-particle" : "", "parse-names" : false, "suffix" : "" }, { "dropping-particle" : "", "family" : "Paulus", "given" : "S.", "non-dropping-particle" : "", "parse-names" : false, "suffix" : "" }, { "dropping-particle" : "", "family" : "Hope", "given" : "W. W.", "non-dropping-particle" : "", "parse-names" : false, "suffix" : "" } ], "container-title" : "Journal of Antimicrobial Chemotherapy", "id" : "ITEM-2", "issued" : { "date-parts" : [ [ "2016" ] ] }, "page" : "dkw295", "title" : "Population pharmacokinetics and pharmacodynamics of teicoplanin in neonates: making better use of C-reactive protein to deliver individualized therapy", "type" : "article-journal" }, "uris" : [ "http://www.mendeley.com/documents/?uuid=51c219c6-2659-4adb-a6f8-b2b11f899eec" ] } ], "mendeley" : { "formattedCitation" : "(1, 2)", "plainTextFormattedCitation" : "(1, 2)", "previouslyFormattedCitation" : "(1, 2)" }, "properties" : { "noteIndex" : 0 }, "schema" : "https://github.com/citation-style-language/schema/raw/master/csl-citation.json" }</w:instrText>
      </w:r>
      <w:r>
        <w:rPr>
          <w:rFonts w:ascii="Times New Roman" w:hAnsi="Times New Roman" w:cs="Times New Roman"/>
        </w:rPr>
        <w:fldChar w:fldCharType="separate"/>
      </w:r>
      <w:r w:rsidRPr="003F682E">
        <w:rPr>
          <w:rFonts w:ascii="Times New Roman" w:hAnsi="Times New Roman" w:cs="Times New Roman"/>
          <w:noProof/>
        </w:rPr>
        <w:t>(1, 2)</w:t>
      </w:r>
      <w:r>
        <w:rPr>
          <w:rFonts w:ascii="Times New Roman" w:hAnsi="Times New Roman" w:cs="Times New Roman"/>
        </w:rPr>
        <w:fldChar w:fldCharType="end"/>
      </w:r>
      <w:r>
        <w:rPr>
          <w:rFonts w:ascii="Times New Roman" w:hAnsi="Times New Roman" w:cs="Times New Roman"/>
        </w:rPr>
        <w:t xml:space="preserve">. </w:t>
      </w:r>
      <w:r w:rsidRPr="00307E8A">
        <w:rPr>
          <w:rFonts w:ascii="Times New Roman" w:hAnsi="Times New Roman" w:cs="Times New Roman"/>
        </w:rPr>
        <w:t xml:space="preserve">In this study, we combined these datasets to develop a joint population PK model fitted to data from </w:t>
      </w:r>
      <w:r w:rsidRPr="008B30B9">
        <w:rPr>
          <w:rFonts w:ascii="Times New Roman" w:hAnsi="Times New Roman" w:cs="Times New Roman"/>
        </w:rPr>
        <w:t>neonates to older children that can be used for dosage individualization. Such an approach avoids the problem of having multiple pharmacokinetic models for the same drug, each with an arbitrarily chosen cut-off value for age or size.</w:t>
      </w:r>
    </w:p>
    <w:p w14:paraId="3C2F5527" w14:textId="77777777" w:rsidR="00556887" w:rsidRPr="008B30B9" w:rsidRDefault="00556887" w:rsidP="00556887">
      <w:pPr>
        <w:spacing w:line="480" w:lineRule="auto"/>
        <w:ind w:firstLine="708"/>
        <w:jc w:val="both"/>
        <w:rPr>
          <w:rFonts w:ascii="Times New Roman" w:hAnsi="Times New Roman" w:cs="Times New Roman"/>
        </w:rPr>
      </w:pPr>
      <w:r w:rsidRPr="008B30B9">
        <w:rPr>
          <w:rFonts w:ascii="Times New Roman" w:hAnsi="Times New Roman" w:cs="Times New Roman"/>
        </w:rPr>
        <w:t>The study was approved by the Medicines and Healthcare Products Regulatory Agency (clinical trial authorization number: 21362/00003/001-0001) and the National Research Ethics Service and Regional Committee (REC: 13/NW/0023). The trial was registered with the European Clinical Trials Database Registry. EudraCT: 2012-005738-12. Written informed consent was obtained from parents and/or legal guardians.</w:t>
      </w:r>
    </w:p>
    <w:p w14:paraId="7EE28285" w14:textId="77777777" w:rsidR="00556887" w:rsidRPr="008B30B9" w:rsidRDefault="00556887" w:rsidP="00556887">
      <w:pPr>
        <w:spacing w:line="480" w:lineRule="auto"/>
        <w:ind w:firstLine="708"/>
        <w:jc w:val="both"/>
        <w:rPr>
          <w:rFonts w:ascii="Times New Roman" w:hAnsi="Times New Roman" w:cs="Times New Roman"/>
        </w:rPr>
      </w:pPr>
      <w:r w:rsidRPr="008B30B9">
        <w:rPr>
          <w:rFonts w:ascii="Times New Roman" w:hAnsi="Times New Roman" w:cs="Times New Roman"/>
        </w:rPr>
        <w:t xml:space="preserve">Neonates ≤ 44 weeks PMA (post-menstrual age) received a loading dose of 16 mg/kg followed by 8 mg/kg once daily via a 30 minute </w:t>
      </w:r>
      <w:proofErr w:type="spellStart"/>
      <w:r w:rsidRPr="008B30B9">
        <w:rPr>
          <w:rFonts w:ascii="Times New Roman" w:hAnsi="Times New Roman" w:cs="Times New Roman"/>
        </w:rPr>
        <w:t>i.v.</w:t>
      </w:r>
      <w:proofErr w:type="spellEnd"/>
      <w:r w:rsidRPr="008B30B9">
        <w:rPr>
          <w:rFonts w:ascii="Times New Roman" w:hAnsi="Times New Roman" w:cs="Times New Roman"/>
        </w:rPr>
        <w:t xml:space="preserve"> infusion. Children &gt; 1 month of age received three loading dosages (LD) of 10 mg/kg every 12 hours, followed by 10 mg/kg once daily via a bolus iv infusion (2-5 min), according to dosages currently recommended by the SPC </w:t>
      </w:r>
      <w:r w:rsidRPr="008B30B9">
        <w:rPr>
          <w:rFonts w:ascii="Times New Roman" w:hAnsi="Times New Roman" w:cs="Times New Roman"/>
        </w:rPr>
        <w:fldChar w:fldCharType="begin" w:fldLock="1"/>
      </w:r>
      <w:r w:rsidRPr="008B30B9">
        <w:rPr>
          <w:rFonts w:ascii="Times New Roman" w:hAnsi="Times New Roman" w:cs="Times New Roman"/>
        </w:rPr>
        <w:instrText>ADDIN CSL_CITATION { "citationItems" : [ { "id" : "ITEM-1", "itemData" : { "URL" : "http://www.medicines.org.uk/emc/medicine/27319/SPC", "accessed" : { "date-parts" : [ [ "2016", "1", "19" ] ] }, "author" : [ { "dropping-particle" : "", "family" : "The Electronic Medicines Compendium", "given" : "", "non-dropping-particle" : "", "parse-names" : false, "suffix" : "" } ], "id" : "ITEM-1", "issued" : { "date-parts" : [ [ "2014" ] ] }, "title" : "Targocid 200mg - Summary of Product Characteristics (SPC) - (eMC)", "type" : "webpage" }, "uris" : [ "http://www.mendeley.com/documents/?uuid=c87de902-3ab2-487e-b975-f602ec9b9712" ] } ], "mendeley" : { "formattedCitation" : "(11)", "plainTextFormattedCitation" : "(11)", "previouslyFormattedCitation" : "(11)" }, "properties" : { "noteIndex" : 0 }, "schema" : "https://github.com/citation-style-language/schema/raw/master/csl-citation.json" }</w:instrText>
      </w:r>
      <w:r w:rsidRPr="008B30B9">
        <w:rPr>
          <w:rFonts w:ascii="Times New Roman" w:hAnsi="Times New Roman" w:cs="Times New Roman"/>
        </w:rPr>
        <w:fldChar w:fldCharType="separate"/>
      </w:r>
      <w:r w:rsidRPr="008B30B9">
        <w:rPr>
          <w:rFonts w:ascii="Times New Roman" w:hAnsi="Times New Roman" w:cs="Times New Roman"/>
          <w:noProof/>
        </w:rPr>
        <w:t>(11)</w:t>
      </w:r>
      <w:r w:rsidRPr="008B30B9">
        <w:rPr>
          <w:rFonts w:ascii="Times New Roman" w:hAnsi="Times New Roman" w:cs="Times New Roman"/>
        </w:rPr>
        <w:fldChar w:fldCharType="end"/>
      </w:r>
      <w:r w:rsidRPr="008B30B9">
        <w:rPr>
          <w:rFonts w:ascii="Times New Roman" w:hAnsi="Times New Roman" w:cs="Times New Roman"/>
        </w:rPr>
        <w:t xml:space="preserve">. Plasma samples were collected during the first dosage interval and then at steady state (1, 3, 6, 24 hours post-dose) on days 3-7 of therapy. Neonates &lt; 1000 grams contributed two samples per dosing interval because of constraints on sample volume. The duration of the treatment course was at the </w:t>
      </w:r>
      <w:r w:rsidRPr="008B30B9">
        <w:rPr>
          <w:rFonts w:ascii="Times New Roman" w:hAnsi="Times New Roman" w:cs="Times New Roman"/>
        </w:rPr>
        <w:lastRenderedPageBreak/>
        <w:t xml:space="preserve">discretion of the treating physician. All patients received </w:t>
      </w:r>
      <w:proofErr w:type="spellStart"/>
      <w:r w:rsidRPr="008B30B9">
        <w:rPr>
          <w:rFonts w:ascii="Times New Roman" w:hAnsi="Times New Roman" w:cs="Times New Roman"/>
        </w:rPr>
        <w:t>teicoplanin</w:t>
      </w:r>
      <w:proofErr w:type="spellEnd"/>
      <w:r w:rsidRPr="008B30B9">
        <w:rPr>
          <w:rFonts w:ascii="Times New Roman" w:hAnsi="Times New Roman" w:cs="Times New Roman"/>
        </w:rPr>
        <w:t xml:space="preserve"> for proven or suspected methicillin-resistant staphylococcal (either coagulase negative staphylococci-</w:t>
      </w:r>
      <w:proofErr w:type="spellStart"/>
      <w:r w:rsidRPr="008B30B9">
        <w:rPr>
          <w:rFonts w:ascii="Times New Roman" w:hAnsi="Times New Roman" w:cs="Times New Roman"/>
        </w:rPr>
        <w:t>CoNS</w:t>
      </w:r>
      <w:proofErr w:type="spellEnd"/>
      <w:r w:rsidRPr="008B30B9">
        <w:rPr>
          <w:rFonts w:ascii="Times New Roman" w:hAnsi="Times New Roman" w:cs="Times New Roman"/>
        </w:rPr>
        <w:t>- or MRSA) sepsis and/or central-line associated bloodstream infection. Demographic variables included weight, height, age in years, post-menstrual age (PMA) in weeks, postnatal age (PNA) in days, albumin (g/L) and serum creatinine.  The estimated glomerular filtration rate (</w:t>
      </w:r>
      <w:proofErr w:type="spellStart"/>
      <w:r w:rsidRPr="008B30B9">
        <w:rPr>
          <w:rFonts w:ascii="Times New Roman" w:hAnsi="Times New Roman" w:cs="Times New Roman"/>
        </w:rPr>
        <w:t>eGFR</w:t>
      </w:r>
      <w:proofErr w:type="spellEnd"/>
      <w:r w:rsidRPr="008B30B9">
        <w:rPr>
          <w:rFonts w:ascii="Times New Roman" w:hAnsi="Times New Roman" w:cs="Times New Roman"/>
        </w:rPr>
        <w:t xml:space="preserve">) (Schwartz-Haycock) </w:t>
      </w:r>
      <w:r w:rsidRPr="008B30B9">
        <w:rPr>
          <w:rFonts w:ascii="Times New Roman" w:hAnsi="Times New Roman" w:cs="Times New Roman"/>
        </w:rPr>
        <w:fldChar w:fldCharType="begin" w:fldLock="1"/>
      </w:r>
      <w:r w:rsidRPr="008B30B9">
        <w:rPr>
          <w:rFonts w:ascii="Times New Roman" w:hAnsi="Times New Roman" w:cs="Times New Roman"/>
        </w:rPr>
        <w:instrText>ADDIN CSL_CITATION { "citationItems" : [ { "id" : "ITEM-1", "itemData" : { "ISSN" : "0022-3476", "PMID" : "6726515", "abstract" : "An estimate of glomerular filtration rate has been derived for children from body length (L, in centimeters) and plasma creatinine (Pcr, in milligrams per deciliter): GFR = 0.55 L/Pcr. The near universality of this estimate in children led us to seek a similar formula for estimating GFR in full-term infants during the first year of life. We measured Pcr in 137 healthy infants and performed creatinine clearance (Ccr) studies in 63 of them aged greater than or equal to 5 days. Beyond the first week, Pcr averaged 0.39 +/- 0.01 (0.10 SD) mg/dl. The estimate of GFR from 0.55 L/Pcr overestimated Ccr by 24% (P less than 0.001). Based on the calculation of a new constant from Ccr X Pcr/L, GFR was more accurately estimated from 0.45 L/Pcr (mean difference of Ccr - 0.45 L/Pcr = -0.4 +/- 3.7 (SE) ml/min X 1.73 m2) in full-term infants between 1 and 52 weeks of age. Because the constant 0.45 and Pcr do not change significantly during this period, GFR can be approximated at the bedside from body length of the healthy full-term infant (GFR = 0.45 L/0.39 = 1.1 L).", "author" : [ { "dropping-particle" : "", "family" : "Schwartz", "given" : "G J", "non-dropping-particle" : "", "parse-names" : false, "suffix" : "" }, { "dropping-particle" : "", "family" : "Feld", "given" : "L G", "non-dropping-particle" : "", "parse-names" : false, "suffix" : "" }, { "dropping-particle" : "", "family" : "Langford", "given" : "D J", "non-dropping-particle" : "", "parse-names" : false, "suffix" : "" } ], "container-title" : "The Journal of pediatrics", "id" : "ITEM-1", "issue" : "6", "issued" : { "date-parts" : [ [ "1984", "6" ] ] }, "page" : "849-54", "title" : "A simple estimate of glomerular filtration rate in full-term infants during the first year of life.", "type" : "article-journal", "volume" : "104" }, "uris" : [ "http://www.mendeley.com/documents/?uuid=c95278cc-b9c0-4d74-bdaa-4d3ea1ed9e47" ] } ], "mendeley" : { "formattedCitation" : "(16)", "plainTextFormattedCitation" : "(16)", "previouslyFormattedCitation" : "(16)" }, "properties" : { "noteIndex" : 0 }, "schema" : "https://github.com/citation-style-language/schema/raw/master/csl-citation.json" }</w:instrText>
      </w:r>
      <w:r w:rsidRPr="008B30B9">
        <w:rPr>
          <w:rFonts w:ascii="Times New Roman" w:hAnsi="Times New Roman" w:cs="Times New Roman"/>
        </w:rPr>
        <w:fldChar w:fldCharType="separate"/>
      </w:r>
      <w:r w:rsidRPr="008B30B9">
        <w:rPr>
          <w:rFonts w:ascii="Times New Roman" w:hAnsi="Times New Roman" w:cs="Times New Roman"/>
          <w:noProof/>
        </w:rPr>
        <w:t>(16)</w:t>
      </w:r>
      <w:r w:rsidRPr="008B30B9">
        <w:rPr>
          <w:rFonts w:ascii="Times New Roman" w:hAnsi="Times New Roman" w:cs="Times New Roman"/>
        </w:rPr>
        <w:fldChar w:fldCharType="end"/>
      </w:r>
      <w:r w:rsidRPr="008B30B9">
        <w:rPr>
          <w:rFonts w:ascii="Times New Roman" w:hAnsi="Times New Roman" w:cs="Times New Roman"/>
        </w:rPr>
        <w:t xml:space="preserve"> was also available for each patient.</w:t>
      </w:r>
    </w:p>
    <w:p w14:paraId="52B621D9" w14:textId="77777777" w:rsidR="00556887" w:rsidRPr="008B30B9" w:rsidRDefault="00556887" w:rsidP="00556887">
      <w:pPr>
        <w:spacing w:line="480" w:lineRule="auto"/>
        <w:ind w:firstLine="720"/>
        <w:jc w:val="both"/>
        <w:rPr>
          <w:rFonts w:ascii="Times New Roman" w:hAnsi="Times New Roman" w:cs="Times New Roman"/>
        </w:rPr>
      </w:pPr>
      <w:proofErr w:type="spellStart"/>
      <w:r w:rsidRPr="008B30B9">
        <w:rPr>
          <w:rFonts w:ascii="Times New Roman" w:hAnsi="Times New Roman" w:cs="Times New Roman"/>
        </w:rPr>
        <w:t>Teicoplanin</w:t>
      </w:r>
      <w:proofErr w:type="spellEnd"/>
      <w:r w:rsidRPr="008B30B9">
        <w:rPr>
          <w:rFonts w:ascii="Times New Roman" w:hAnsi="Times New Roman" w:cs="Times New Roman"/>
        </w:rPr>
        <w:t xml:space="preserve"> concentrations were measured using a commercially available fluorescence polarization immunoassay (FPIA; </w:t>
      </w:r>
      <w:proofErr w:type="spellStart"/>
      <w:r w:rsidRPr="008B30B9">
        <w:rPr>
          <w:rFonts w:ascii="Times New Roman" w:hAnsi="Times New Roman" w:cs="Times New Roman"/>
        </w:rPr>
        <w:t>Thermo</w:t>
      </w:r>
      <w:proofErr w:type="spellEnd"/>
      <w:r w:rsidRPr="008B30B9">
        <w:rPr>
          <w:rFonts w:ascii="Times New Roman" w:hAnsi="Times New Roman" w:cs="Times New Roman"/>
        </w:rPr>
        <w:t xml:space="preserve"> Fisher Scientific, Germany). The limit of quantification (LOQ) was &lt; 3.0 mg/L. The dynamic range was 3-100 mg/L and overall precision (intra and inter-day variability) was &lt; 6%. </w:t>
      </w:r>
    </w:p>
    <w:p w14:paraId="303D73A6" w14:textId="77777777" w:rsidR="00556887" w:rsidRPr="008B30B9" w:rsidRDefault="00556887" w:rsidP="00556887">
      <w:pPr>
        <w:spacing w:line="480" w:lineRule="auto"/>
        <w:ind w:firstLine="720"/>
        <w:jc w:val="both"/>
        <w:rPr>
          <w:rFonts w:ascii="Times New Roman" w:hAnsi="Times New Roman" w:cs="Times New Roman"/>
        </w:rPr>
      </w:pPr>
    </w:p>
    <w:p w14:paraId="408A7DC6" w14:textId="77777777" w:rsidR="00556887" w:rsidRPr="008B30B9" w:rsidRDefault="00556887" w:rsidP="00556887">
      <w:pPr>
        <w:spacing w:line="480" w:lineRule="auto"/>
        <w:jc w:val="both"/>
        <w:rPr>
          <w:rFonts w:ascii="Times New Roman" w:hAnsi="Times New Roman" w:cs="Times New Roman"/>
          <w:b/>
        </w:rPr>
      </w:pPr>
      <w:r w:rsidRPr="008B30B9">
        <w:rPr>
          <w:rFonts w:ascii="Times New Roman" w:hAnsi="Times New Roman" w:cs="Times New Roman"/>
          <w:b/>
        </w:rPr>
        <w:t>Development of a population PK model</w:t>
      </w:r>
    </w:p>
    <w:p w14:paraId="1C07DFEF" w14:textId="77777777" w:rsidR="00556887" w:rsidRPr="008B30B9" w:rsidRDefault="00556887" w:rsidP="00556887">
      <w:pPr>
        <w:spacing w:line="480" w:lineRule="auto"/>
        <w:ind w:firstLine="720"/>
        <w:jc w:val="both"/>
        <w:rPr>
          <w:rFonts w:ascii="Times New Roman" w:hAnsi="Times New Roman" w:cs="Times New Roman"/>
        </w:rPr>
      </w:pPr>
      <w:r w:rsidRPr="008B30B9">
        <w:rPr>
          <w:rFonts w:ascii="Times New Roman" w:hAnsi="Times New Roman" w:cs="Times New Roman"/>
        </w:rPr>
        <w:t xml:space="preserve">A PK model was fitted to the data using </w:t>
      </w:r>
      <w:proofErr w:type="spellStart"/>
      <w:r w:rsidRPr="008B30B9">
        <w:rPr>
          <w:rFonts w:ascii="Times New Roman" w:hAnsi="Times New Roman" w:cs="Times New Roman"/>
        </w:rPr>
        <w:t>Pmetrics</w:t>
      </w:r>
      <w:proofErr w:type="spellEnd"/>
      <w:r w:rsidRPr="008B30B9">
        <w:rPr>
          <w:rFonts w:ascii="Times New Roman" w:hAnsi="Times New Roman" w:cs="Times New Roman"/>
        </w:rPr>
        <w:t xml:space="preserve"> 1.4.2 for R statistical package 3.2.2 that utilizes the non-parametric adaptive grid (NPAG) algorithm </w:t>
      </w:r>
      <w:r w:rsidRPr="008B30B9">
        <w:rPr>
          <w:rFonts w:ascii="Times New Roman" w:hAnsi="Times New Roman" w:cs="Times New Roman"/>
        </w:rPr>
        <w:fldChar w:fldCharType="begin" w:fldLock="1"/>
      </w:r>
      <w:r w:rsidRPr="008B30B9">
        <w:rPr>
          <w:rFonts w:ascii="Times New Roman" w:hAnsi="Times New Roman" w:cs="Times New Roman"/>
        </w:rPr>
        <w:instrText>ADDIN CSL_CITATION { "citationItems" : [ { "id" : "ITEM-1", "itemData" : { "DOI" : "10.1097/FTD.0b013e31825c4ba6", "ISSN" : "0163-4356", "PMID" : "22722776", "abstract" : "INTRODUCTION: Nonparametric population modeling algorithms have a theoretical superiority over parametric methods to detect pharmacokinetic and pharmacodynamic subgroups and outliers within a study population.\\n\\nMETHODS: The authors created \"Pmetrics,\" a new Windows and Unix R software package that updates the older MM-USCPACK software for nonparametric and parametric population modeling and simulation of pharmacokinetic and pharmacodynamic systems. The parametric iterative 2-stage Bayesian and the nonparametric adaptive grid (NPAG) approaches in Pmetrics were used to fit a simulated population with bimodal elimination (Kel) and unimodal volume of distribution (Vd), plus an extreme outlier, for a 1-compartment model of an intravenous drug.\\n\\nRESULTS: The true means (SD) for Kel and Vd in the population sample were 0.19 (0.17) and 102 (22.3), respectively. Those found by NPAG were 0.19 (0.16) and 104 (22.6). The iterative 2-stage Bayesian estimated them to be 0.18 (0.16) and 104 (24.4). However, given the bimodality of Kel, no subject had a value near the mean for the population. Only NPAG was able to accurately detect the bimodal distribution for Kel and to find the outlier in both the population model and in the Bayesian posterior parameter estimates.\\n\\nCONCLUSIONS: Built on over 3 decades of work, Pmetrics adopts a robust, reliable, and mature nonparametric approach to population modeling, which was better than the parametric method at discovering true pharmacokinetic subgroups and an outlier.", "author" : [ { "dropping-particle" : "", "family" : "Neely", "given" : "Michael N.", "non-dropping-particle" : "", "parse-names" : false, "suffix" : "" }, { "dropping-particle" : "", "family" : "Guilder", "given" : "Michael G.", "non-dropping-particle" : "van", "parse-names" : false, "suffix" : "" }, { "dropping-particle" : "", "family" : "Yamada", "given" : "Walter M.", "non-dropping-particle" : "", "parse-names" : false, "suffix" : "" }, { "dropping-particle" : "", "family" : "Schumitzky", "given" : "Alan", "non-dropping-particle" : "", "parse-names" : false, "suffix" : "" }, { "dropping-particle" : "", "family" : "Jelliffe", "given" : "Roger W.", "non-dropping-particle" : "", "parse-names" : false, "suffix" : "" } ], "container-title" : "Therapeutic Drug Monitoring", "id" : "ITEM-1", "issue" : "4", "issued" : { "date-parts" : [ [ "2012" ] ] }, "page" : "467-476", "title" : "Accurate Detection of Outliers and Subpopulations With Pmetrics, a Nonparametric and Parametric Pharmacometric Modeling and Simulation Package for R", "type" : "article-journal", "volume" : "34" }, "uris" : [ "http://www.mendeley.com/documents/?uuid=eacaeaf6-bbc3-4a43-9afb-b464da8eb150" ] } ], "mendeley" : { "formattedCitation" : "(17)", "plainTextFormattedCitation" : "(17)", "previouslyFormattedCitation" : "(17)" }, "properties" : { "noteIndex" : 0 }, "schema" : "https://github.com/citation-style-language/schema/raw/master/csl-citation.json" }</w:instrText>
      </w:r>
      <w:r w:rsidRPr="008B30B9">
        <w:rPr>
          <w:rFonts w:ascii="Times New Roman" w:hAnsi="Times New Roman" w:cs="Times New Roman"/>
        </w:rPr>
        <w:fldChar w:fldCharType="separate"/>
      </w:r>
      <w:r w:rsidRPr="008B30B9">
        <w:rPr>
          <w:rFonts w:ascii="Times New Roman" w:hAnsi="Times New Roman" w:cs="Times New Roman"/>
          <w:noProof/>
        </w:rPr>
        <w:t>(17)</w:t>
      </w:r>
      <w:r w:rsidRPr="008B30B9">
        <w:rPr>
          <w:rFonts w:ascii="Times New Roman" w:hAnsi="Times New Roman" w:cs="Times New Roman"/>
        </w:rPr>
        <w:fldChar w:fldCharType="end"/>
      </w:r>
      <w:r w:rsidRPr="008B30B9">
        <w:rPr>
          <w:rFonts w:ascii="Times New Roman" w:hAnsi="Times New Roman" w:cs="Times New Roman"/>
        </w:rPr>
        <w:t>. The inverse of the estimated assay variance was used to weight the data. Initially, a standard two-compartment model with time-delimited zero-order intravenous (iv) input and first-order elimination from central compartment was developed. The standard model is described by the differential equations 1a and 1b below.</w:t>
      </w:r>
    </w:p>
    <w:p w14:paraId="7526A6D8" w14:textId="77777777" w:rsidR="00556887" w:rsidRPr="008B30B9" w:rsidRDefault="00556887" w:rsidP="00556887">
      <w:pPr>
        <w:spacing w:line="480" w:lineRule="auto"/>
        <w:jc w:val="both"/>
        <w:rPr>
          <w:rFonts w:ascii="Times New Roman" w:hAnsi="Times New Roman" w:cs="Times New Roman"/>
        </w:rPr>
      </w:pPr>
    </w:p>
    <w:p w14:paraId="66DB9032" w14:textId="77777777" w:rsidR="00556887" w:rsidRPr="008B30B9" w:rsidRDefault="008609C1" w:rsidP="00556887">
      <w:pPr>
        <w:spacing w:line="480" w:lineRule="auto"/>
        <w:jc w:val="both"/>
        <w:rPr>
          <w:rFonts w:ascii="Times New Roman" w:hAnsi="Times New Roman" w:cs="Times New Roman"/>
        </w:rPr>
      </w:pPr>
      <m:oMathPara>
        <m:oMathParaPr>
          <m:jc m:val="left"/>
        </m:oMathParaPr>
        <m:oMath>
          <m:f>
            <m:fPr>
              <m:ctrlPr>
                <w:rPr>
                  <w:rFonts w:ascii="Cambria Math" w:hAnsi="Cambria Math" w:cs="Times New Roman"/>
                  <w:i/>
                </w:rPr>
              </m:ctrlPr>
            </m:fPr>
            <m:num>
              <m:r>
                <w:rPr>
                  <w:rFonts w:ascii="Cambria Math" w:hAnsi="Cambria Math" w:cs="Times New Roman"/>
                </w:rPr>
                <m:t>dX</m:t>
              </m:r>
              <m:d>
                <m:dPr>
                  <m:ctrlPr>
                    <w:rPr>
                      <w:rFonts w:ascii="Cambria Math" w:hAnsi="Cambria Math" w:cs="Times New Roman"/>
                      <w:i/>
                    </w:rPr>
                  </m:ctrlPr>
                </m:dPr>
                <m:e>
                  <m:r>
                    <w:rPr>
                      <w:rFonts w:ascii="Cambria Math" w:hAnsi="Cambria Math" w:cs="Times New Roman"/>
                    </w:rPr>
                    <m:t>1</m:t>
                  </m:r>
                </m:e>
              </m:d>
            </m:num>
            <m:den>
              <m:r>
                <w:rPr>
                  <w:rFonts w:ascii="Cambria Math" w:hAnsi="Cambria Math" w:cs="Times New Roman"/>
                </w:rPr>
                <m:t>dt</m:t>
              </m:r>
            </m:den>
          </m:f>
          <m:r>
            <w:rPr>
              <w:rFonts w:ascii="Cambria Math" w:hAnsi="Cambria Math" w:cs="Times New Roman"/>
            </w:rPr>
            <m:t>=R</m:t>
          </m:r>
          <m:d>
            <m:dPr>
              <m:ctrlPr>
                <w:rPr>
                  <w:rFonts w:ascii="Cambria Math" w:hAnsi="Cambria Math" w:cs="Times New Roman"/>
                  <w:i/>
                </w:rPr>
              </m:ctrlPr>
            </m:dPr>
            <m:e>
              <m:r>
                <w:rPr>
                  <w:rFonts w:ascii="Cambria Math" w:hAnsi="Cambria Math" w:cs="Times New Roman"/>
                </w:rPr>
                <m:t>1</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Kcp+Cl/V</m:t>
              </m:r>
            </m:e>
          </m:d>
          <m:r>
            <w:rPr>
              <w:rFonts w:ascii="Cambria Math" w:hAnsi="Cambria Math" w:cs="Times New Roman"/>
            </w:rPr>
            <m:t>∙X</m:t>
          </m:r>
          <m:d>
            <m:dPr>
              <m:ctrlPr>
                <w:rPr>
                  <w:rFonts w:ascii="Cambria Math" w:hAnsi="Cambria Math" w:cs="Times New Roman"/>
                  <w:i/>
                </w:rPr>
              </m:ctrlPr>
            </m:dPr>
            <m:e>
              <m:r>
                <w:rPr>
                  <w:rFonts w:ascii="Cambria Math" w:hAnsi="Cambria Math" w:cs="Times New Roman"/>
                </w:rPr>
                <m:t>1</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Kpc∙X</m:t>
              </m:r>
              <m:d>
                <m:dPr>
                  <m:ctrlPr>
                    <w:rPr>
                      <w:rFonts w:ascii="Cambria Math" w:hAnsi="Cambria Math" w:cs="Times New Roman"/>
                      <w:i/>
                    </w:rPr>
                  </m:ctrlPr>
                </m:dPr>
                <m:e>
                  <m:r>
                    <w:rPr>
                      <w:rFonts w:ascii="Cambria Math" w:hAnsi="Cambria Math" w:cs="Times New Roman"/>
                    </w:rPr>
                    <m:t>2</m:t>
                  </m:r>
                </m:e>
              </m:d>
            </m:e>
          </m:d>
          <m:r>
            <w:rPr>
              <w:rFonts w:ascii="Cambria Math" w:hAnsi="Cambria Math" w:cs="Times New Roman"/>
            </w:rPr>
            <m:t xml:space="preserve">  (1a)</m:t>
          </m:r>
        </m:oMath>
      </m:oMathPara>
    </w:p>
    <w:p w14:paraId="1037C561" w14:textId="77777777" w:rsidR="00556887" w:rsidRPr="008B30B9" w:rsidRDefault="008609C1" w:rsidP="00556887">
      <w:pPr>
        <w:spacing w:line="480" w:lineRule="auto"/>
        <w:jc w:val="both"/>
        <w:rPr>
          <w:rFonts w:ascii="Times New Roman" w:hAnsi="Times New Roman" w:cs="Times New Roman"/>
        </w:rPr>
      </w:pPr>
      <m:oMathPara>
        <m:oMathParaPr>
          <m:jc m:val="left"/>
        </m:oMathParaPr>
        <m:oMath>
          <m:f>
            <m:fPr>
              <m:ctrlPr>
                <w:rPr>
                  <w:rFonts w:ascii="Cambria Math" w:hAnsi="Cambria Math" w:cs="Times New Roman"/>
                  <w:i/>
                </w:rPr>
              </m:ctrlPr>
            </m:fPr>
            <m:num>
              <m:r>
                <w:rPr>
                  <w:rFonts w:ascii="Cambria Math" w:hAnsi="Cambria Math" w:cs="Times New Roman"/>
                </w:rPr>
                <m:t>dX</m:t>
              </m:r>
              <m:d>
                <m:dPr>
                  <m:ctrlPr>
                    <w:rPr>
                      <w:rFonts w:ascii="Cambria Math" w:hAnsi="Cambria Math" w:cs="Times New Roman"/>
                      <w:i/>
                    </w:rPr>
                  </m:ctrlPr>
                </m:dPr>
                <m:e>
                  <m:r>
                    <w:rPr>
                      <w:rFonts w:ascii="Cambria Math" w:hAnsi="Cambria Math" w:cs="Times New Roman"/>
                    </w:rPr>
                    <m:t>2</m:t>
                  </m:r>
                </m:e>
              </m:d>
            </m:num>
            <m:den>
              <m:r>
                <w:rPr>
                  <w:rFonts w:ascii="Cambria Math" w:hAnsi="Cambria Math" w:cs="Times New Roman"/>
                </w:rPr>
                <m:t>dt</m:t>
              </m:r>
            </m:den>
          </m:f>
          <m:r>
            <w:rPr>
              <w:rFonts w:ascii="Cambria Math" w:hAnsi="Cambria Math" w:cs="Times New Roman"/>
            </w:rPr>
            <m:t>=Kcp∙X</m:t>
          </m:r>
          <m:d>
            <m:dPr>
              <m:ctrlPr>
                <w:rPr>
                  <w:rFonts w:ascii="Cambria Math" w:hAnsi="Cambria Math" w:cs="Times New Roman"/>
                  <w:i/>
                </w:rPr>
              </m:ctrlPr>
            </m:dPr>
            <m:e>
              <m:r>
                <w:rPr>
                  <w:rFonts w:ascii="Cambria Math" w:hAnsi="Cambria Math" w:cs="Times New Roman"/>
                </w:rPr>
                <m:t>1</m:t>
              </m:r>
            </m:e>
          </m:d>
          <m:r>
            <w:rPr>
              <w:rFonts w:ascii="Cambria Math" w:hAnsi="Cambria Math" w:cs="Times New Roman"/>
            </w:rPr>
            <m:t>-Kpc∙X</m:t>
          </m:r>
          <m:d>
            <m:dPr>
              <m:ctrlPr>
                <w:rPr>
                  <w:rFonts w:ascii="Cambria Math" w:hAnsi="Cambria Math" w:cs="Times New Roman"/>
                  <w:i/>
                </w:rPr>
              </m:ctrlPr>
            </m:dPr>
            <m:e>
              <m:r>
                <w:rPr>
                  <w:rFonts w:ascii="Cambria Math" w:hAnsi="Cambria Math" w:cs="Times New Roman"/>
                </w:rPr>
                <m:t>2</m:t>
              </m:r>
            </m:e>
          </m:d>
          <m:r>
            <w:rPr>
              <w:rFonts w:ascii="Cambria Math" w:hAnsi="Cambria Math" w:cs="Times New Roman"/>
            </w:rPr>
            <m:t xml:space="preserve">                                    (1b)</m:t>
          </m:r>
        </m:oMath>
      </m:oMathPara>
    </w:p>
    <w:p w14:paraId="469BCD57" w14:textId="77777777" w:rsidR="00556887" w:rsidRPr="008B30B9" w:rsidRDefault="00556887" w:rsidP="00556887">
      <w:pPr>
        <w:spacing w:line="480" w:lineRule="auto"/>
        <w:ind w:firstLine="708"/>
        <w:jc w:val="both"/>
        <w:rPr>
          <w:rFonts w:ascii="Times New Roman" w:hAnsi="Times New Roman" w:cs="Times New Roman"/>
        </w:rPr>
      </w:pPr>
    </w:p>
    <w:p w14:paraId="622157CC" w14:textId="77777777" w:rsidR="00556887" w:rsidRPr="008B30B9" w:rsidRDefault="00556887" w:rsidP="00556887">
      <w:pPr>
        <w:spacing w:line="480" w:lineRule="auto"/>
        <w:ind w:firstLine="720"/>
        <w:jc w:val="both"/>
        <w:rPr>
          <w:rFonts w:ascii="Times New Roman" w:hAnsi="Times New Roman" w:cs="Times New Roman"/>
        </w:rPr>
      </w:pPr>
      <w:r w:rsidRPr="008B30B9">
        <w:rPr>
          <w:rFonts w:ascii="Times New Roman" w:hAnsi="Times New Roman" w:cs="Times New Roman"/>
        </w:rPr>
        <w:lastRenderedPageBreak/>
        <w:t xml:space="preserve">Where </w:t>
      </w:r>
      <w:proofErr w:type="gramStart"/>
      <w:r w:rsidRPr="008B30B9">
        <w:rPr>
          <w:rFonts w:ascii="Times New Roman" w:hAnsi="Times New Roman" w:cs="Times New Roman"/>
        </w:rPr>
        <w:t>X(</w:t>
      </w:r>
      <w:proofErr w:type="gramEnd"/>
      <w:r w:rsidRPr="008B30B9">
        <w:rPr>
          <w:rFonts w:ascii="Times New Roman" w:hAnsi="Times New Roman" w:cs="Times New Roman"/>
        </w:rPr>
        <w:t xml:space="preserve">1) and X(2) represent the amount of </w:t>
      </w:r>
      <w:proofErr w:type="spellStart"/>
      <w:r w:rsidRPr="008B30B9">
        <w:rPr>
          <w:rFonts w:ascii="Times New Roman" w:hAnsi="Times New Roman" w:cs="Times New Roman"/>
        </w:rPr>
        <w:t>teicoplanin</w:t>
      </w:r>
      <w:proofErr w:type="spellEnd"/>
      <w:r w:rsidRPr="008B30B9">
        <w:rPr>
          <w:rFonts w:ascii="Times New Roman" w:hAnsi="Times New Roman" w:cs="Times New Roman"/>
        </w:rPr>
        <w:t xml:space="preserve"> (mg) in the central (c) and peripheral (p) compartments, respectively. </w:t>
      </w:r>
      <w:proofErr w:type="gramStart"/>
      <w:r w:rsidRPr="008B30B9">
        <w:rPr>
          <w:rFonts w:ascii="Times New Roman" w:hAnsi="Times New Roman" w:cs="Times New Roman"/>
        </w:rPr>
        <w:t>R(</w:t>
      </w:r>
      <w:proofErr w:type="gramEnd"/>
      <w:r w:rsidRPr="008B30B9">
        <w:rPr>
          <w:rFonts w:ascii="Times New Roman" w:hAnsi="Times New Roman" w:cs="Times New Roman"/>
        </w:rPr>
        <w:t xml:space="preserve">1) is the rate of infusion of drug into the central compartment (mg/h). There is clearance (Cl) from the central compartment measured in L/h, which has Volume (V) measured in liters (L). The central and peripheral compartments are connected by the first-order rate constants </w:t>
      </w:r>
      <w:proofErr w:type="spellStart"/>
      <w:r w:rsidRPr="008B30B9">
        <w:rPr>
          <w:rFonts w:ascii="Times New Roman" w:hAnsi="Times New Roman" w:cs="Times New Roman"/>
        </w:rPr>
        <w:t>Kcp</w:t>
      </w:r>
      <w:proofErr w:type="spellEnd"/>
      <w:r w:rsidRPr="008B30B9">
        <w:rPr>
          <w:rFonts w:ascii="Times New Roman" w:hAnsi="Times New Roman" w:cs="Times New Roman"/>
        </w:rPr>
        <w:t xml:space="preserve"> and </w:t>
      </w:r>
      <w:proofErr w:type="spellStart"/>
      <w:r w:rsidRPr="008B30B9">
        <w:rPr>
          <w:rFonts w:ascii="Times New Roman" w:hAnsi="Times New Roman" w:cs="Times New Roman"/>
        </w:rPr>
        <w:t>Kpc</w:t>
      </w:r>
      <w:proofErr w:type="spellEnd"/>
      <w:r w:rsidRPr="008B30B9">
        <w:rPr>
          <w:rFonts w:ascii="Times New Roman" w:hAnsi="Times New Roman" w:cs="Times New Roman"/>
        </w:rPr>
        <w:t xml:space="preserve"> (h</w:t>
      </w:r>
      <w:r w:rsidRPr="008B30B9">
        <w:rPr>
          <w:rFonts w:ascii="Times New Roman" w:hAnsi="Times New Roman" w:cs="Times New Roman"/>
          <w:vertAlign w:val="superscript"/>
        </w:rPr>
        <w:t>-1</w:t>
      </w:r>
      <w:r w:rsidRPr="008B30B9">
        <w:rPr>
          <w:rFonts w:ascii="Times New Roman" w:hAnsi="Times New Roman" w:cs="Times New Roman"/>
        </w:rPr>
        <w:t>).</w:t>
      </w:r>
    </w:p>
    <w:p w14:paraId="34321B1B" w14:textId="77777777" w:rsidR="00556887" w:rsidRPr="008B30B9" w:rsidRDefault="00556887" w:rsidP="00556887">
      <w:pPr>
        <w:spacing w:line="480" w:lineRule="auto"/>
        <w:ind w:firstLine="720"/>
        <w:jc w:val="both"/>
        <w:rPr>
          <w:rFonts w:ascii="Times New Roman" w:hAnsi="Times New Roman" w:cs="Times New Roman"/>
        </w:rPr>
      </w:pPr>
      <w:r w:rsidRPr="008B30B9">
        <w:rPr>
          <w:rFonts w:ascii="Times New Roman" w:hAnsi="Times New Roman" w:cs="Times New Roman"/>
        </w:rPr>
        <w:t xml:space="preserve">Once the standard model was developed, the potential effect of growth (size) and development (maturity) on the PK of </w:t>
      </w:r>
      <w:proofErr w:type="spellStart"/>
      <w:r w:rsidRPr="008B30B9">
        <w:rPr>
          <w:rFonts w:ascii="Times New Roman" w:hAnsi="Times New Roman" w:cs="Times New Roman"/>
        </w:rPr>
        <w:t>teicoplanin</w:t>
      </w:r>
      <w:proofErr w:type="spellEnd"/>
      <w:r w:rsidRPr="008B30B9">
        <w:rPr>
          <w:rFonts w:ascii="Times New Roman" w:hAnsi="Times New Roman" w:cs="Times New Roman"/>
        </w:rPr>
        <w:t xml:space="preserve"> was investigated. This was conducted using clinical measures that are readily </w:t>
      </w:r>
      <w:proofErr w:type="spellStart"/>
      <w:r w:rsidRPr="008B30B9">
        <w:rPr>
          <w:rFonts w:ascii="Times New Roman" w:hAnsi="Times New Roman" w:cs="Times New Roman"/>
        </w:rPr>
        <w:t>accesible</w:t>
      </w:r>
      <w:proofErr w:type="spellEnd"/>
      <w:r w:rsidRPr="008B30B9">
        <w:rPr>
          <w:rFonts w:ascii="Times New Roman" w:hAnsi="Times New Roman" w:cs="Times New Roman"/>
        </w:rPr>
        <w:t xml:space="preserve">, such as weight and age. We also examined the relationships between other potentially relevant covariates and the PK (e.g. albumin). The Bayesian individual posterior median estimates for clearance and volume of distribution were obtained from the standard model for each patient. These were then plotted against the covariates of interest to interrogate any possible relationships. </w:t>
      </w:r>
    </w:p>
    <w:p w14:paraId="0146A72A" w14:textId="765073D4" w:rsidR="00556887" w:rsidRPr="008B30B9" w:rsidRDefault="00556887" w:rsidP="00556887">
      <w:pPr>
        <w:widowControl w:val="0"/>
        <w:autoSpaceDE w:val="0"/>
        <w:autoSpaceDN w:val="0"/>
        <w:adjustRightInd w:val="0"/>
        <w:spacing w:line="480" w:lineRule="auto"/>
        <w:ind w:firstLine="708"/>
        <w:jc w:val="both"/>
        <w:rPr>
          <w:rFonts w:ascii="Times New Roman" w:hAnsi="Times New Roman" w:cs="Times New Roman"/>
          <w:color w:val="191919"/>
        </w:rPr>
      </w:pPr>
      <w:r w:rsidRPr="008B30B9">
        <w:rPr>
          <w:rFonts w:ascii="Times New Roman" w:hAnsi="Times New Roman" w:cs="Times New Roman"/>
        </w:rPr>
        <w:t>In neonates and children, clearance generally scales with size in a nonlinear manner that is best described using a power function. A scaling exponent of 0.75 is most frequently used (i.e. Clearance is proportional to weight</w:t>
      </w:r>
      <w:r w:rsidRPr="008B30B9">
        <w:rPr>
          <w:rFonts w:ascii="Times New Roman" w:hAnsi="Times New Roman" w:cs="Times New Roman"/>
          <w:vertAlign w:val="superscript"/>
        </w:rPr>
        <w:t>0.75</w:t>
      </w:r>
      <w:r w:rsidRPr="008B30B9">
        <w:rPr>
          <w:rFonts w:ascii="Times New Roman" w:hAnsi="Times New Roman" w:cs="Times New Roman"/>
        </w:rPr>
        <w:t xml:space="preserve">). In addition, physiological maturation may also affect clearance and this is especially important for neonates and young infants </w:t>
      </w:r>
      <w:r w:rsidRPr="008B30B9">
        <w:rPr>
          <w:rFonts w:ascii="Times New Roman" w:hAnsi="Times New Roman" w:cs="Times New Roman"/>
        </w:rPr>
        <w:fldChar w:fldCharType="begin" w:fldLock="1"/>
      </w:r>
      <w:r w:rsidRPr="008B30B9">
        <w:rPr>
          <w:rFonts w:ascii="Times New Roman" w:hAnsi="Times New Roman" w:cs="Times New Roman"/>
        </w:rPr>
        <w:instrText>ADDIN CSL_CITATION { "citationItems" : [ { "id" : "ITEM-1", "itemData" : { "DOI" : "10.1146/annurev.pharmtox.48.113006.094708", "ISBN" : "0362-1642", "ISSN" : "0362-1642", "PMID" : "17914927", "abstract" : "Growth and development can be investigated using readily observable demographic factors such as weight and age. Size is the primary covariate and can be referenced to a 70-kg person with allometry using a coefficient of 0.75 for clearance and 1 for volume. The use of these coefficients is supported by fractal geometric concepts and observations from diverse areas in biology. Fat free mass (FFM) might be expected to do better than total body weight when there are wide variations in fat affecting body composition. Clearance pathways develop in the fetus before birth. The use of postnatal age as a descriptor of maturation is unsatisfactory because birth may occur prematurely; therefore postmenstrual age is a superior predictor of elimination function. A sigmoid E(max) model (Hill equation) describes gradual maturation of clearance in early life leading to a mature adult clearance achieved at a later age.", "author" : [ { "dropping-particle" : "", "family" : "Anderson", "given" : "B J", "non-dropping-particle" : "", "parse-names" : false, "suffix" : "" }, { "dropping-particle" : "", "family" : "Holford", "given" : "N H G", "non-dropping-particle" : "", "parse-names" : false, "suffix" : "" } ], "container-title" : "Annual Review of Pharmacology and Toxicology", "id" : "ITEM-1", "issued" : { "date-parts" : [ [ "2008" ] ] }, "page" : "303-332", "title" : "Mechanism-based concepts of size and maturity in pharmacokinetics", "type" : "article-journal", "volume" : "48" }, "uris" : [ "http://www.mendeley.com/documents/?uuid=5671f101-63d5-4783-be14-e69de67ce7a5" ] }, { "id" : "ITEM-2", "itemData" : { "DOI" : "10.1111/bcp.13160", "ISSN" : "1365-2125", "PMID" : "27767204", "abstract" : "AIM(S) When different models for weight and age are used in paediatric pharmacokinetic studies it is difficult to compare parameters between studies or perform model-based meta-analysis. This study aimed to compare published models with the proposed standard (allometric weight(0.75) and sigmoidal maturation function). METHODS A systematic literature search was undertaken to identify published clearance (CL) reports for gentamicin and midazolam and all published models for scaling clearance in children. Each model was fitted to the CL values for gentamicin and midazolam, and the results compared with the standard model (allometric weight exponent of 0.75, along with a sigmoidal maturation function estimating the time in weeks of postmenstrual age to reach half the mature value and a shape parameter). For comparison we also looked at allometric size models with no age effect, the influence of estimating the allometric exponent in the standard model and, for gentamicin, using a fixed allometric exponent of 0.632 as per a study on glomerular filtration rate maturation. Akaike Information Criteria (AIC) and visual predictive checks were used for evaluation. RESULTS No model gave an improved AIC in all age groups, but one model for gentamicin and three models for midazolam gave slightly improved global AIC fits albeit using more parameters: AIC drop (number of parameters) -4.1(5), -9.2(4), -10.8(5) and -10.1(5) respectively. The 95%CI of estimated CL for all top performing models overlapped. CONCLUSIONS No evidence to reject the standard model was found; given the benefits of standardised parameterisation, it's use should therefore be recommended.", "author" : [ { "dropping-particle" : "", "family" : "Germovsek", "given" : "Eva", "non-dropping-particle" : "", "parse-names" : false, "suffix" : "" }, { "dropping-particle" : "", "family" : "Barker", "given" : "Charlotte", "non-dropping-particle" : "", "parse-names" : false, "suffix" : "" }, { "dropping-particle" : "", "family" : "Sharland", "given" : "Mike", "non-dropping-particle" : "", "parse-names" : false, "suffix" : "" }, { "dropping-particle" : "", "family" : "Standing", "given" : "Joseph F", "non-dropping-particle" : "", "parse-names" : false, "suffix" : "" } ], "container-title" : "British journal of clinical pharmacology", "id" : "ITEM-2", "issue" : "1", "issued" : { "date-parts" : [ [ "2016" ] ] }, "page" : "1-14", "title" : "Scaling Clearance in Paediatric Pharmacokinetics: all models are wrong, which are useful?", "type" : "article-journal" }, "uris" : [ "http://www.mendeley.com/documents/?uuid=c445d9b5-2abe-48f8-938a-2a729c15864f" ] } ], "mendeley" : { "formattedCitation" : "(18, 19)", "plainTextFormattedCitation" : "(18, 19)", "previouslyFormattedCitation" : "(18, 19)" }, "properties" : { "noteIndex" : 0 }, "schema" : "https://github.com/citation-style-language/schema/raw/master/csl-citation.json" }</w:instrText>
      </w:r>
      <w:r w:rsidRPr="008B30B9">
        <w:rPr>
          <w:rFonts w:ascii="Times New Roman" w:hAnsi="Times New Roman" w:cs="Times New Roman"/>
        </w:rPr>
        <w:fldChar w:fldCharType="separate"/>
      </w:r>
      <w:r w:rsidRPr="008B30B9">
        <w:rPr>
          <w:rFonts w:ascii="Times New Roman" w:hAnsi="Times New Roman" w:cs="Times New Roman"/>
          <w:noProof/>
        </w:rPr>
        <w:t>(18, 19)</w:t>
      </w:r>
      <w:r w:rsidRPr="008B30B9">
        <w:rPr>
          <w:rFonts w:ascii="Times New Roman" w:hAnsi="Times New Roman" w:cs="Times New Roman"/>
        </w:rPr>
        <w:fldChar w:fldCharType="end"/>
      </w:r>
      <w:r w:rsidRPr="008B30B9">
        <w:rPr>
          <w:rFonts w:ascii="Times New Roman" w:hAnsi="Times New Roman" w:cs="Times New Roman"/>
        </w:rPr>
        <w:t xml:space="preserve">. In our model building process, we switched from clearance to using </w:t>
      </w:r>
      <w:proofErr w:type="spellStart"/>
      <w:r w:rsidRPr="008B30B9">
        <w:rPr>
          <w:rFonts w:ascii="Times New Roman" w:hAnsi="Times New Roman" w:cs="Times New Roman"/>
        </w:rPr>
        <w:t>Ke</w:t>
      </w:r>
      <w:proofErr w:type="spellEnd"/>
      <w:r w:rsidRPr="008B30B9">
        <w:rPr>
          <w:rFonts w:ascii="Times New Roman" w:hAnsi="Times New Roman" w:cs="Times New Roman"/>
        </w:rPr>
        <w:t xml:space="preserve"> (h</w:t>
      </w:r>
      <w:r w:rsidRPr="008B30B9">
        <w:rPr>
          <w:rFonts w:ascii="Times New Roman" w:hAnsi="Times New Roman" w:cs="Times New Roman"/>
          <w:vertAlign w:val="superscript"/>
        </w:rPr>
        <w:t>-1</w:t>
      </w:r>
      <w:r w:rsidRPr="008B30B9">
        <w:rPr>
          <w:rFonts w:ascii="Times New Roman" w:hAnsi="Times New Roman" w:cs="Times New Roman"/>
        </w:rPr>
        <w:t xml:space="preserve">) as the first-order elimination rate constant, where </w:t>
      </w:r>
      <w:proofErr w:type="spellStart"/>
      <w:r w:rsidRPr="008B30B9">
        <w:rPr>
          <w:rFonts w:ascii="Times New Roman" w:hAnsi="Times New Roman" w:cs="Times New Roman"/>
        </w:rPr>
        <w:t>Ke</w:t>
      </w:r>
      <w:proofErr w:type="spellEnd"/>
      <w:r w:rsidRPr="008B30B9">
        <w:rPr>
          <w:rFonts w:ascii="Times New Roman" w:hAnsi="Times New Roman" w:cs="Times New Roman"/>
        </w:rPr>
        <w:t xml:space="preserve"> = Cl/V and </w:t>
      </w:r>
      <w:proofErr w:type="spellStart"/>
      <w:r w:rsidRPr="008B30B9">
        <w:rPr>
          <w:rFonts w:ascii="Times New Roman" w:hAnsi="Times New Roman" w:cs="Times New Roman"/>
        </w:rPr>
        <w:t>Ke</w:t>
      </w:r>
      <w:proofErr w:type="spellEnd"/>
      <w:r w:rsidRPr="008B30B9">
        <w:rPr>
          <w:rFonts w:ascii="Times New Roman" w:hAnsi="Times New Roman" w:cs="Times New Roman"/>
        </w:rPr>
        <w:t xml:space="preserve"> is proportional to weight</w:t>
      </w:r>
      <w:r w:rsidRPr="008B30B9">
        <w:rPr>
          <w:rFonts w:ascii="Times New Roman" w:hAnsi="Times New Roman" w:cs="Times New Roman"/>
          <w:vertAlign w:val="superscript"/>
        </w:rPr>
        <w:t>-0.25</w:t>
      </w:r>
      <w:r w:rsidRPr="008B30B9">
        <w:rPr>
          <w:rFonts w:ascii="Times New Roman" w:hAnsi="Times New Roman" w:cs="Times New Roman"/>
        </w:rPr>
        <w:t xml:space="preserve">. While it is possible to directly estimate the scaling exponents, we chose to fix these values as previously described by us and others </w:t>
      </w:r>
      <w:r w:rsidRPr="008B30B9">
        <w:rPr>
          <w:rFonts w:ascii="Times New Roman" w:hAnsi="Times New Roman" w:cs="Times New Roman"/>
        </w:rPr>
        <w:fldChar w:fldCharType="begin" w:fldLock="1"/>
      </w:r>
      <w:r w:rsidRPr="008B30B9">
        <w:rPr>
          <w:rFonts w:ascii="Times New Roman" w:hAnsi="Times New Roman" w:cs="Times New Roman"/>
        </w:rPr>
        <w:instrText>ADDIN CSL_CITATION { "citationItems" : [ { "id" : "ITEM-1", "itemData" : { "DOI" : "10.1002/jps.23574", "ISSN" : "00223549", "PMID" : "23650116", "abstract" : "The pharmacokinetic behavior of medicines used in humans follows largely predictable patterns across the human age range from premature babies to elderly adults. Most of the differences associated with age are in fact due to differences in size. Additional considerations are required to describe the processes of maturation of clearance processes and postnatal changes in body composition. Application of standard approaches to reporting pharmacokinetic parameters is essential for comparative human pharmacokinetic studies from babies to adults. A standardized comparison of pharmacokinetic parameters obtained in children and adults is shown for 46 drugs. Appropriate size scaling shows that children (over 2 years old) are similar to adults. Maturation changes are generally completed within the first 2 years of postnatal life; consequently babies may be considered as immature children, whereas children are just small adults.", "author" : [ { "dropping-particle" : "", "family" : "Holford", "given" : "Nick", "non-dropping-particle" : "", "parse-names" : false, "suffix" : "" }, { "dropping-particle" : "", "family" : "Heo", "given" : "Young-A", "non-dropping-particle" : "", "parse-names" : false, "suffix" : "" }, { "dropping-particle" : "", "family" : "Anderson", "given" : "Brian", "non-dropping-particle" : "", "parse-names" : false, "suffix" : "" } ], "container-title" : "Journal of Pharmaceutical Sciences", "id" : "ITEM-1", "issue" : "9", "issued" : { "date-parts" : [ [ "2013", "9" ] ] }, "page" : "2941-2952", "title" : "A Pharmacokinetic Standard for Babies and Adults", "type" : "article-journal", "volume" : "102" }, "uris" : [ "http://www.mendeley.com/documents/?uuid=bf4d4b6d-81ae-3238-a89d-a241d10fa53c" ] }, { "id" : "ITEM-2", "itemData" : { "DOI" : "10.1111/bcp.13160", "ISSN" : "1365-2125", "PMID" : "27767204", "abstract" : "AIM(S) When different models for weight and age are used in paediatric pharmacokinetic studies it is difficult to compare parameters between studies or perform model-based meta-analysis. This study aimed to compare published models with the proposed standard (allometric weight(0.75) and sigmoidal maturation function). METHODS A systematic literature search was undertaken to identify published clearance (CL) reports for gentamicin and midazolam and all published models for scaling clearance in children. Each model was fitted to the CL values for gentamicin and midazolam, and the results compared with the standard model (allometric weight exponent of 0.75, along with a sigmoidal maturation function estimating the time in weeks of postmenstrual age to reach half the mature value and a shape parameter). For comparison we also looked at allometric size models with no age effect, the influence of estimating the allometric exponent in the standard model and, for gentamicin, using a fixed allometric exponent of 0.632 as per a study on glomerular filtration rate maturation. Akaike Information Criteria (AIC) and visual predictive checks were used for evaluation. RESULTS No model gave an improved AIC in all age groups, but one model for gentamicin and three models for midazolam gave slightly improved global AIC fits albeit using more parameters: AIC drop (number of parameters) -4.1(5), -9.2(4), -10.8(5) and -10.1(5) respectively. The 95%CI of estimated CL for all top performing models overlapped. CONCLUSIONS No evidence to reject the standard model was found; given the benefits of standardised parameterisation, it's use should therefore be recommended.", "author" : [ { "dropping-particle" : "", "family" : "Germovsek", "given" : "Eva", "non-dropping-particle" : "", "parse-names" : false, "suffix" : "" }, { "dropping-particle" : "", "family" : "Barker", "given" : "Charlotte", "non-dropping-particle" : "", "parse-names" : false, "suffix" : "" }, { "dropping-particle" : "", "family" : "Sharland", "given" : "Mike", "non-dropping-particle" : "", "parse-names" : false, "suffix" : "" }, { "dropping-particle" : "", "family" : "Standing", "given" : "Joseph F", "non-dropping-particle" : "", "parse-names" : false, "suffix" : "" } ], "container-title" : "British journal of clinical pharmacology", "id" : "ITEM-2", "issue" : "1", "issued" : { "date-parts" : [ [ "2016" ] ] }, "page" : "1-14", "title" : "Scaling Clearance in Paediatric Pharmacokinetics: all models are wrong, which are useful?", "type" : "article-journal" }, "uris" : [ "http://www.mendeley.com/documents/?uuid=c445d9b5-2abe-48f8-938a-2a729c15864f" ] }, { "id" : "ITEM-3", "itemData" : { "DOI" : "10.1146/annurev.pharmtox.48.113006.094708", "ISBN" : "0362-1642", "ISSN" : "0362-1642", "PMID" : "17914927", "abstract" : "Growth and development can be investigated using readily observable demographic factors such as weight and age. Size is the primary covariate and can be referenced to a 70-kg person with allometry using a coefficient of 0.75 for clearance and 1 for volume. The use of these coefficients is supported by fractal geometric concepts and observations from diverse areas in biology. Fat free mass (FFM) might be expected to do better than total body weight when there are wide variations in fat affecting body composition. Clearance pathways develop in the fetus before birth. The use of postnatal age as a descriptor of maturation is unsatisfactory because birth may occur prematurely; therefore postmenstrual age is a superior predictor of elimination function. A sigmoid E(max) model (Hill equation) describes gradual maturation of clearance in early life leading to a mature adult clearance achieved at a later age.", "author" : [ { "dropping-particle" : "", "family" : "Anderson", "given" : "B J", "non-dropping-particle" : "", "parse-names" : false, "suffix" : "" }, { "dropping-particle" : "", "family" : "Holford", "given" : "N H G", "non-dropping-particle" : "", "parse-names" : false, "suffix" : "" } ], "container-title" : "Annual Review of Pharmacology and Toxicology", "id" : "ITEM-3", "issued" : { "date-parts" : [ [ "2008" ] ] }, "page" : "303-332", "title" : "Mechanism-based concepts of size and maturity in pharmacokinetics", "type" : "article-journal", "volume" : "48" }, "uris" : [ "http://www.mendeley.com/documents/?uuid=5671f101-63d5-4783-be14-e69de67ce7a5" ] } ], "mendeley" : { "formattedCitation" : "(18\u201320)", "plainTextFormattedCitation" : "(18\u201320)", "previouslyFormattedCitation" : "(18\u201320)" }, "properties" : { "noteIndex" : 0 }, "schema" : "https://github.com/citation-style-language/schema/raw/master/csl-citation.json" }</w:instrText>
      </w:r>
      <w:r w:rsidRPr="008B30B9">
        <w:rPr>
          <w:rFonts w:ascii="Times New Roman" w:hAnsi="Times New Roman" w:cs="Times New Roman"/>
        </w:rPr>
        <w:fldChar w:fldCharType="separate"/>
      </w:r>
      <w:r w:rsidRPr="008B30B9">
        <w:rPr>
          <w:rFonts w:ascii="Times New Roman" w:hAnsi="Times New Roman" w:cs="Times New Roman"/>
          <w:noProof/>
        </w:rPr>
        <w:t>(18–20)</w:t>
      </w:r>
      <w:r w:rsidRPr="008B30B9">
        <w:rPr>
          <w:rFonts w:ascii="Times New Roman" w:hAnsi="Times New Roman" w:cs="Times New Roman"/>
        </w:rPr>
        <w:fldChar w:fldCharType="end"/>
      </w:r>
      <w:r w:rsidRPr="008B30B9">
        <w:rPr>
          <w:rFonts w:ascii="Times New Roman" w:hAnsi="Times New Roman" w:cs="Times New Roman"/>
        </w:rPr>
        <w:t xml:space="preserve">. There is a theoretical basis for using fixed scaling exponents that is related to fundamental relationships between size and a range of biological functions. Weight for each individual patient was normalized to a 70 kg adult </w:t>
      </w:r>
      <w:r w:rsidRPr="008B30B9">
        <w:rPr>
          <w:rFonts w:ascii="Times New Roman" w:hAnsi="Times New Roman" w:cs="Times New Roman"/>
        </w:rPr>
        <w:fldChar w:fldCharType="begin" w:fldLock="1"/>
      </w:r>
      <w:r w:rsidRPr="008B30B9">
        <w:rPr>
          <w:rFonts w:ascii="Times New Roman" w:hAnsi="Times New Roman" w:cs="Times New Roman"/>
        </w:rPr>
        <w:instrText>ADDIN CSL_CITATION { "citationItems" : [ { "id" : "ITEM-1", "itemData" : { "ISSN" : "0036-8075", "PMID" : "10356399", "abstract" : "Fractal-like networks effectively endow life with an additional fourth spatial dimension. This is the origin of quarter-power scaling that is so pervasive in biology. Organisms have evolved hierarchical branching networks that terminate in size-invariant units, such as capillaries, leaves, mitochondria, and oxidase molecules. Natural selection has tended to maximize both metabolic capacity, by maximizing the scaling of exchange surface areas, and internal efficiency, by minimizing the scaling of transport distances and times. These design principles are independent of detailed dynamics and explicit models and should apply to virtually all organisms.", "author" : [ { "dropping-particle" : "", "family" : "West", "given" : "G B", "non-dropping-particle" : "", "parse-names" : false, "suffix" : "" }, { "dropping-particle" : "", "family" : "Brown", "given" : "J H", "non-dropping-particle" : "", "parse-names" : false, "suffix" : "" }, { "dropping-particle" : "", "family" : "Enquist", "given" : "B J", "non-dropping-particle" : "", "parse-names" : false, "suffix" : "" } ], "container-title" : "Science (New York, N.Y.)", "id" : "ITEM-1", "issue" : "5420", "issued" : { "date-parts" : [ [ "1999", "6", "4" ] ] }, "page" : "1677-9", "title" : "The fourth dimension of life: fractal geometry and allometric scaling of organisms.", "type" : "article-journal", "volume" : "284" }, "uris" : [ "http://www.mendeley.com/documents/?uuid=4fb8c0f4-ad7d-3508-897c-0a711555e096" ] }, { "id" : "ITEM-2", "itemData" : { "DOI" : "10.1111/bcp.13160", "ISSN" : "1365-2125", "PMID" : "27767204", "abstract" : "AIM(S) When different models for weight and age are used in paediatric pharmacokinetic studies it is difficult to compare parameters between studies or perform model-based meta-analysis. This study aimed to compare published models with the proposed standard (allometric weight(0.75) and sigmoidal maturation function). METHODS A systematic literature search was undertaken to identify published clearance (CL) reports for gentamicin and midazolam and all published models for scaling clearance in children. Each model was fitted to the CL values for gentamicin and midazolam, and the results compared with the standard model (allometric weight exponent of 0.75, along with a sigmoidal maturation function estimating the time in weeks of postmenstrual age to reach half the mature value and a shape parameter). For comparison we also looked at allometric size models with no age effect, the influence of estimating the allometric exponent in the standard model and, for gentamicin, using a fixed allometric exponent of 0.632 as per a study on glomerular filtration rate maturation. Akaike Information Criteria (AIC) and visual predictive checks were used for evaluation. RESULTS No model gave an improved AIC in all age groups, but one model for gentamicin and three models for midazolam gave slightly improved global AIC fits albeit using more parameters: AIC drop (number of parameters) -4.1(5), -9.2(4), -10.8(5) and -10.1(5) respectively. The 95%CI of estimated CL for all top performing models overlapped. CONCLUSIONS No evidence to reject the standard model was found; given the benefits of standardised parameterisation, it's use should therefore be recommended.", "author" : [ { "dropping-particle" : "", "family" : "Germovsek", "given" : "Eva", "non-dropping-particle" : "", "parse-names" : false, "suffix" : "" }, { "dropping-particle" : "", "family" : "Barker", "given" : "Charlotte", "non-dropping-particle" : "", "parse-names" : false, "suffix" : "" }, { "dropping-particle" : "", "family" : "Sharland", "given" : "Mike", "non-dropping-particle" : "", "parse-names" : false, "suffix" : "" }, { "dropping-particle" : "", "family" : "Standing", "given" : "Joseph F", "non-dropping-particle" : "", "parse-names" : false, "suffix" : "" } ], "container-title" : "British journal of clinical pharmacology", "id" : "ITEM-2", "issue" : "1", "issued" : { "date-parts" : [ [ "2016" ] ] }, "page" : "1-14", "title" : "Scaling Clearance in Paediatric Pharmacokinetics: all models are wrong, which are useful?", "type" : "article-journal" }, "uris" : [ "http://www.mendeley.com/documents/?uuid=c445d9b5-2abe-48f8-938a-2a729c15864f" ] } ], "mendeley" : { "formattedCitation" : "(19, 21)", "plainTextFormattedCitation" : "(19, 21)", "previouslyFormattedCitation" : "(19, 21)" }, "properties" : { "noteIndex" : 0 }, "schema" : "https://github.com/citation-style-language/schema/raw/master/csl-citation.json" }</w:instrText>
      </w:r>
      <w:r w:rsidRPr="008B30B9">
        <w:rPr>
          <w:rFonts w:ascii="Times New Roman" w:hAnsi="Times New Roman" w:cs="Times New Roman"/>
        </w:rPr>
        <w:fldChar w:fldCharType="separate"/>
      </w:r>
      <w:r w:rsidRPr="008B30B9">
        <w:rPr>
          <w:rFonts w:ascii="Times New Roman" w:hAnsi="Times New Roman" w:cs="Times New Roman"/>
          <w:noProof/>
        </w:rPr>
        <w:t>(19, 21)</w:t>
      </w:r>
      <w:r w:rsidRPr="008B30B9">
        <w:rPr>
          <w:rFonts w:ascii="Times New Roman" w:hAnsi="Times New Roman" w:cs="Times New Roman"/>
        </w:rPr>
        <w:fldChar w:fldCharType="end"/>
      </w:r>
      <w:r w:rsidRPr="008B30B9">
        <w:rPr>
          <w:rFonts w:ascii="Times New Roman" w:hAnsi="Times New Roman" w:cs="Times New Roman"/>
        </w:rPr>
        <w:t xml:space="preserve">. Consequently, values </w:t>
      </w:r>
      <w:r w:rsidRPr="008B30B9">
        <w:rPr>
          <w:rFonts w:ascii="Times New Roman" w:hAnsi="Times New Roman" w:cs="Times New Roman"/>
        </w:rPr>
        <w:lastRenderedPageBreak/>
        <w:t>for Ke0 and V0 approximate adult values.</w:t>
      </w:r>
    </w:p>
    <w:p w14:paraId="0E87AD42" w14:textId="77777777" w:rsidR="00556887" w:rsidRPr="008B30B9" w:rsidRDefault="00556887" w:rsidP="00556887">
      <w:pPr>
        <w:spacing w:line="480" w:lineRule="auto"/>
        <w:ind w:firstLine="720"/>
        <w:jc w:val="both"/>
        <w:rPr>
          <w:rFonts w:ascii="Times New Roman" w:hAnsi="Times New Roman" w:cs="Times New Roman"/>
        </w:rPr>
      </w:pPr>
      <w:r w:rsidRPr="008B30B9">
        <w:rPr>
          <w:rFonts w:ascii="Times New Roman" w:hAnsi="Times New Roman" w:cs="Times New Roman"/>
        </w:rPr>
        <w:t xml:space="preserve">The potential impact of development (or maturation) on </w:t>
      </w:r>
      <w:proofErr w:type="spellStart"/>
      <w:r w:rsidRPr="008B30B9">
        <w:rPr>
          <w:rFonts w:ascii="Times New Roman" w:hAnsi="Times New Roman" w:cs="Times New Roman"/>
        </w:rPr>
        <w:t>teicoplanin</w:t>
      </w:r>
      <w:proofErr w:type="spellEnd"/>
      <w:r w:rsidRPr="008B30B9">
        <w:rPr>
          <w:rFonts w:ascii="Times New Roman" w:hAnsi="Times New Roman" w:cs="Times New Roman"/>
        </w:rPr>
        <w:t xml:space="preserve"> elimination was studied by using age (years), and PMA (weeks) and/or PNA (days) for the neonates and younger infants. The effect of age (years) was explored linearly with </w:t>
      </w:r>
      <w:proofErr w:type="spellStart"/>
      <w:r w:rsidRPr="008B30B9">
        <w:rPr>
          <w:rFonts w:ascii="Times New Roman" w:hAnsi="Times New Roman" w:cs="Times New Roman"/>
        </w:rPr>
        <w:t>Ke</w:t>
      </w:r>
      <w:proofErr w:type="spellEnd"/>
      <w:r w:rsidRPr="008B30B9">
        <w:rPr>
          <w:rFonts w:ascii="Times New Roman" w:hAnsi="Times New Roman" w:cs="Times New Roman"/>
        </w:rPr>
        <w:t xml:space="preserve"> and by using a sigmoidal maturation factor driven by PMA, as previously described </w:t>
      </w:r>
      <w:r w:rsidRPr="008B30B9">
        <w:rPr>
          <w:rFonts w:ascii="Times New Roman" w:hAnsi="Times New Roman" w:cs="Times New Roman"/>
        </w:rPr>
        <w:fldChar w:fldCharType="begin" w:fldLock="1"/>
      </w:r>
      <w:r w:rsidRPr="008B30B9">
        <w:rPr>
          <w:rFonts w:ascii="Times New Roman" w:hAnsi="Times New Roman" w:cs="Times New Roman"/>
        </w:rPr>
        <w:instrText>ADDIN CSL_CITATION { "citationItems" : [ { "id" : "ITEM-1", "itemData" : { "DOI" : "10.1002/jps.23574", "ISSN" : "00223549", "PMID" : "23650116", "abstract" : "The pharmacokinetic behavior of medicines used in humans follows largely predictable patterns across the human age range from premature babies to elderly adults. Most of the differences associated with age are in fact due to differences in size. Additional considerations are required to describe the processes of maturation of clearance processes and postnatal changes in body composition. Application of standard approaches to reporting pharmacokinetic parameters is essential for comparative human pharmacokinetic studies from babies to adults. A standardized comparison of pharmacokinetic parameters obtained in children and adults is shown for 46 drugs. Appropriate size scaling shows that children (over 2 years old) are similar to adults. Maturation changes are generally completed within the first 2 years of postnatal life; consequently babies may be considered as immature children, whereas children are just small adults.", "author" : [ { "dropping-particle" : "", "family" : "Holford", "given" : "Nick", "non-dropping-particle" : "", "parse-names" : false, "suffix" : "" }, { "dropping-particle" : "", "family" : "Heo", "given" : "Young-A", "non-dropping-particle" : "", "parse-names" : false, "suffix" : "" }, { "dropping-particle" : "", "family" : "Anderson", "given" : "Brian", "non-dropping-particle" : "", "parse-names" : false, "suffix" : "" } ], "container-title" : "Journal of Pharmaceutical Sciences", "id" : "ITEM-1", "issue" : "9", "issued" : { "date-parts" : [ [ "2013", "9" ] ] }, "page" : "2941-2952", "title" : "A Pharmacokinetic Standard for Babies and Adults", "type" : "article-journal", "volume" : "102" }, "uris" : [ "http://www.mendeley.com/documents/?uuid=bf4d4b6d-81ae-3238-a89d-a241d10fa53c" ] } ], "mendeley" : { "formattedCitation" : "(20)", "plainTextFormattedCitation" : "(20)", "previouslyFormattedCitation" : "(20)" }, "properties" : { "noteIndex" : 0 }, "schema" : "https://github.com/citation-style-language/schema/raw/master/csl-citation.json" }</w:instrText>
      </w:r>
      <w:r w:rsidRPr="008B30B9">
        <w:rPr>
          <w:rFonts w:ascii="Times New Roman" w:hAnsi="Times New Roman" w:cs="Times New Roman"/>
        </w:rPr>
        <w:fldChar w:fldCharType="separate"/>
      </w:r>
      <w:r w:rsidRPr="008B30B9">
        <w:rPr>
          <w:rFonts w:ascii="Times New Roman" w:hAnsi="Times New Roman" w:cs="Times New Roman"/>
          <w:noProof/>
        </w:rPr>
        <w:t>(20)</w:t>
      </w:r>
      <w:r w:rsidRPr="008B30B9">
        <w:rPr>
          <w:rFonts w:ascii="Times New Roman" w:hAnsi="Times New Roman" w:cs="Times New Roman"/>
        </w:rPr>
        <w:fldChar w:fldCharType="end"/>
      </w:r>
      <w:r w:rsidRPr="008B30B9">
        <w:rPr>
          <w:rFonts w:ascii="Times New Roman" w:hAnsi="Times New Roman" w:cs="Times New Roman"/>
        </w:rPr>
        <w:t>.  Ultimately, none of these functions were incorporated into the final model.</w:t>
      </w:r>
    </w:p>
    <w:p w14:paraId="060E7CE5" w14:textId="77777777" w:rsidR="00556887" w:rsidRPr="008B30B9" w:rsidRDefault="00556887" w:rsidP="00556887">
      <w:pPr>
        <w:spacing w:line="480" w:lineRule="auto"/>
        <w:ind w:firstLine="708"/>
        <w:jc w:val="both"/>
        <w:rPr>
          <w:rFonts w:ascii="Times New Roman" w:hAnsi="Times New Roman" w:cs="Times New Roman"/>
        </w:rPr>
      </w:pPr>
      <w:r w:rsidRPr="008B30B9">
        <w:rPr>
          <w:rFonts w:ascii="Times New Roman" w:hAnsi="Times New Roman" w:cs="Times New Roman"/>
        </w:rPr>
        <w:t xml:space="preserve">Finally, we also explored the impact of renal function on the PK of </w:t>
      </w:r>
      <w:proofErr w:type="spellStart"/>
      <w:r w:rsidRPr="008B30B9">
        <w:rPr>
          <w:rFonts w:ascii="Times New Roman" w:hAnsi="Times New Roman" w:cs="Times New Roman"/>
        </w:rPr>
        <w:t>teicoplanin</w:t>
      </w:r>
      <w:proofErr w:type="spellEnd"/>
      <w:r w:rsidRPr="008B30B9">
        <w:rPr>
          <w:rFonts w:ascii="Times New Roman" w:hAnsi="Times New Roman" w:cs="Times New Roman"/>
        </w:rPr>
        <w:t>. Before doing this, we inspected the relationship between renal function and age in all patients to ensure appropriate estimates of renal function were used in the model building process. GFR was estimated (</w:t>
      </w:r>
      <w:proofErr w:type="spellStart"/>
      <w:r w:rsidRPr="008B30B9">
        <w:rPr>
          <w:rFonts w:ascii="Times New Roman" w:hAnsi="Times New Roman" w:cs="Times New Roman"/>
        </w:rPr>
        <w:t>eGFR</w:t>
      </w:r>
      <w:proofErr w:type="spellEnd"/>
      <w:r w:rsidRPr="008B30B9">
        <w:rPr>
          <w:rFonts w:ascii="Times New Roman" w:hAnsi="Times New Roman" w:cs="Times New Roman"/>
        </w:rPr>
        <w:t xml:space="preserve">) using the Haycock-Schwartz formula (k*Height/ serum creatinine) </w:t>
      </w:r>
      <w:r w:rsidRPr="008B30B9">
        <w:rPr>
          <w:rFonts w:ascii="Times New Roman" w:hAnsi="Times New Roman" w:cs="Times New Roman"/>
        </w:rPr>
        <w:fldChar w:fldCharType="begin" w:fldLock="1"/>
      </w:r>
      <w:r w:rsidRPr="008B30B9">
        <w:rPr>
          <w:rFonts w:ascii="Times New Roman" w:hAnsi="Times New Roman" w:cs="Times New Roman"/>
        </w:rPr>
        <w:instrText>ADDIN CSL_CITATION { "citationItems" : [ { "id" : "ITEM-1", "itemData" : { "ISSN" : "0803-5253", "PMID" : "14599069", "abstract" : "AIM: Inulin clearance (Cin) is the gold standard for assessing glomerular filtration rate (GFR). Other methods are based on the plasma creatinine concentration (Pcreat), creatinine clearance (Ccreat), the Haycock-Schwartz formula and the plasma concentration of cystatin C (PcysC), a 13 kDa basic protein produced at a constant rate by all nucleated cells. The present prospective study was thus designed to evaluate the reliability of PcysC as a marker of GFR in comparison with that of Pcreat, Ccreat and the Haycock-Schwartz formula, using Cin as the gold standard.\n\nMETHODS: Ninety-nine children (51 m/48 f), with a median age of 8.3 y (1.0-17.9) were studied. Using a cut-off for Cin of 100 ml/min per 1.73 m2, 54 children (54.5%) had impaired GFR. Those with normal GFR were comparable for age, height, weight and body mass index.\n\nRESULTS: Logistic regression, ROC analysis and linear regression all showed that Ccreat was the best parameter to discriminate between impaired and normal GFR, followed by the Haycock-Schwartz formula, PcysC, and finally Pcreat, each one being significantly more predictive than the next.\n\nCONCLUSION: GFR is better assessed by the Haycock-Schwartz formula than by PcysC or Pcreat alone. It is therefore concluded that when urine collection is not possible, simply measuring the child's Pcreat and height is the best, easiest and cheapest way to assess GFR.", "author" : [ { "dropping-particle" : "", "family" : "Martini", "given" : "S", "non-dropping-particle" : "", "parse-names" : false, "suffix" : "" }, { "dropping-particle" : "", "family" : "Pr\u00e9vot", "given" : "A", "non-dropping-particle" : "", "parse-names" : false, "suffix" : "" }, { "dropping-particle" : "", "family" : "Mosig", "given" : "D", "non-dropping-particle" : "", "parse-names" : false, "suffix" : "" }, { "dropping-particle" : "", "family" : "Werner", "given" : "D", "non-dropping-particle" : "", "parse-names" : false, "suffix" : "" }, { "dropping-particle" : "", "family" : "Melle", "given" : "G", "non-dropping-particle" : "van", "parse-names" : false, "suffix" : "" }, { "dropping-particle" : "", "family" : "Guignard", "given" : "J P", "non-dropping-particle" : "", "parse-names" : false, "suffix" : "" } ], "container-title" : "Acta paediatrica (Oslo, Norway : 1992)", "id" : "ITEM-1", "issue" : "9", "issued" : { "date-parts" : [ [ "2003", "9" ] ] }, "page" : "1052-7", "title" : "Glomerular filtration rate: measure creatinine and height rather than cystatin C!", "type" : "article-journal", "volume" : "92" }, "uris" : [ "http://www.mendeley.com/documents/?uuid=e4ff0fc3-62a9-4739-9da8-508bb3b386a4" ] } ], "mendeley" : { "formattedCitation" : "(23)", "plainTextFormattedCitation" : "(23)", "previouslyFormattedCitation" : "(23)" }, "properties" : { "noteIndex" : 0 }, "schema" : "https://github.com/citation-style-language/schema/raw/master/csl-citation.json" }</w:instrText>
      </w:r>
      <w:r w:rsidRPr="008B30B9">
        <w:rPr>
          <w:rFonts w:ascii="Times New Roman" w:hAnsi="Times New Roman" w:cs="Times New Roman"/>
        </w:rPr>
        <w:fldChar w:fldCharType="separate"/>
      </w:r>
      <w:r w:rsidRPr="008B30B9">
        <w:rPr>
          <w:rFonts w:ascii="Times New Roman" w:hAnsi="Times New Roman" w:cs="Times New Roman"/>
          <w:noProof/>
        </w:rPr>
        <w:t>(23)</w:t>
      </w:r>
      <w:r w:rsidRPr="008B30B9">
        <w:rPr>
          <w:rFonts w:ascii="Times New Roman" w:hAnsi="Times New Roman" w:cs="Times New Roman"/>
        </w:rPr>
        <w:fldChar w:fldCharType="end"/>
      </w:r>
      <w:r w:rsidRPr="008B30B9">
        <w:rPr>
          <w:rFonts w:ascii="Times New Roman" w:hAnsi="Times New Roman" w:cs="Times New Roman"/>
        </w:rPr>
        <w:t xml:space="preserve">. A value for k=0.33 was used for pre-term neonates and k=0.45 for term neonates and older children (k=0.41). The different values of k reflects the smaller percentage of muscle mass in pre-term </w:t>
      </w:r>
      <w:r w:rsidRPr="008B30B9">
        <w:rPr>
          <w:rFonts w:ascii="Times New Roman" w:hAnsi="Times New Roman" w:cs="Times New Roman"/>
          <w:i/>
        </w:rPr>
        <w:t>vs</w:t>
      </w:r>
      <w:r w:rsidRPr="008B30B9">
        <w:rPr>
          <w:rFonts w:ascii="Times New Roman" w:hAnsi="Times New Roman" w:cs="Times New Roman"/>
        </w:rPr>
        <w:t xml:space="preserve"> term infants </w:t>
      </w:r>
      <w:r w:rsidRPr="008B30B9">
        <w:rPr>
          <w:rFonts w:ascii="Times New Roman" w:hAnsi="Times New Roman" w:cs="Times New Roman"/>
        </w:rPr>
        <w:fldChar w:fldCharType="begin" w:fldLock="1"/>
      </w:r>
      <w:r w:rsidRPr="008B30B9">
        <w:rPr>
          <w:rFonts w:ascii="Times New Roman" w:hAnsi="Times New Roman" w:cs="Times New Roman"/>
        </w:rPr>
        <w:instrText>ADDIN CSL_CITATION { "citationItems" : [ { "id" : "ITEM-1", "itemData" : { "ISSN" : "0022-3476", "PMID" : "3761090", "abstract" : "The management of the preterm infant often requires rapid assessment of glomerular filtration rate (GFR). We sought to develop a screening test using GFR = kL/Pcr, where GFR is expressed as ml/min/1.73 m2, L is body length in centimeters, Pcr is plasma creatinine concentration, and k is a constant that depends on muscle mass. The value for k in 118 appropriate for gestational age preterm infants (0.34 +/- 0.01 SE) was significantly less than that of full-term infants (0.43 +/- 0.02, P less than 0.001). There was no difference between 12- to 24-hour single-injection inulin clearance and either 0.33 L/Pcr or creatinine clearance in preterm infants. We compared the body habitus of preterm and full-term infants using the assessment of muscle mass from urinary creatinine excretion (UcrV) and from upper arm muscle area (AMA) and volume (AMV), and that of fatness from the sum of five skinfold thickness measurements. During the first year of life, premature infants were found to have a lower percentage of muscle mass than term infants did. On the other hand, they took on a relatively greater amount of subcutaneous fat. There was a very good correlation between AMA or AMV and urinary creatinine excretion (r = 0.91 and 0.94, respectively) in 68 infants with heterogeneous body composition during the first year, indicating the validity of the urinary creatinine measurement. Absolute GFR (ml/min) was also well estimated from AMA or AMV factored by Pcr. We conclude that GFR can be well estimated from 0.33 L/Pcr in preterm infants. The lower value for k reflects the smaller percentage of muscle mass in preterm versus term infants. As a screening test, 1.5 X k or 0.05 L/Pcr predicted low values of GFR with an efficiency of 73%, specificity of 67%, and sensitivity of 88%.", "author" : [ { "dropping-particle" : "", "family" : "Brion", "given" : "L P", "non-dropping-particle" : "", "parse-names" : false, "suffix" : "" }, { "dropping-particle" : "", "family" : "Fleischman", "given" : "A R", "non-dropping-particle" : "", "parse-names" : false, "suffix" : "" }, { "dropping-particle" : "", "family" : "McCarton", "given" : "C", "non-dropping-particle" : "", "parse-names" : false, "suffix" : "" }, { "dropping-particle" : "", "family" : "Schwartz", "given" : "G J", "non-dropping-particle" : "", "parse-names" : false, "suffix" : "" } ], "container-title" : "The Journal of pediatrics", "id" : "ITEM-1", "issue" : "4", "issued" : { "date-parts" : [ [ "1986", "10" ] ] }, "page" : "698-707", "title" : "A simple estimate of glomerular filtration rate in low birth weight infants during the first year of life: noninvasive assessment of body composition and growth.", "type" : "article-journal", "volume" : "109" }, "uris" : [ "http://www.mendeley.com/documents/?uuid=3168d649-5ecd-4d78-b4c7-7d9dae5d5aec" ] }, { "id" : "ITEM-2", "itemData" : { "ISSN" : "0022-3476", "PMID" : "6726515", "abstract" : "An estimate of glomerular filtration rate has been derived for children from body length (L, in centimeters) and plasma creatinine (Pcr, in milligrams per deciliter): GFR = 0.55 L/Pcr. The near universality of this estimate in children led us to seek a similar formula for estimating GFR in full-term infants during the first year of life. We measured Pcr in 137 healthy infants and performed creatinine clearance (Ccr) studies in 63 of them aged greater than or equal to 5 days. Beyond the first week, Pcr averaged 0.39 +/- 0.01 (0.10 SD) mg/dl. The estimate of GFR from 0.55 L/Pcr overestimated Ccr by 24% (P less than 0.001). Based on the calculation of a new constant from Ccr X Pcr/L, GFR was more accurately estimated from 0.45 L/Pcr (mean difference of Ccr - 0.45 L/Pcr = -0.4 +/- 3.7 (SE) ml/min X 1.73 m2) in full-term infants between 1 and 52 weeks of age. Because the constant 0.45 and Pcr do not change significantly during this period, GFR can be approximated at the bedside from body length of the healthy full-term infant (GFR = 0.45 L/0.39 = 1.1 L).", "author" : [ { "dropping-particle" : "", "family" : "Schwartz", "given" : "G J", "non-dropping-particle" : "", "parse-names" : false, "suffix" : "" }, { "dropping-particle" : "", "family" : "Feld", "given" : "L G", "non-dropping-particle" : "", "parse-names" : false, "suffix" : "" }, { "dropping-particle" : "", "family" : "Langford", "given" : "D J", "non-dropping-particle" : "", "parse-names" : false, "suffix" : "" } ], "container-title" : "The Journal of pediatrics", "id" : "ITEM-2", "issue" : "6", "issued" : { "date-parts" : [ [ "1984", "6" ] ] }, "page" : "849-54", "title" : "A simple estimate of glomerular filtration rate in full-term infants during the first year of life.", "type" : "article-journal", "volume" : "104" }, "uris" : [ "http://www.mendeley.com/documents/?uuid=c95278cc-b9c0-4d74-bdaa-4d3ea1ed9e47" ] } ], "mendeley" : { "formattedCitation" : "(16, 24)", "plainTextFormattedCitation" : "(16, 24)", "previouslyFormattedCitation" : "(16, 24)" }, "properties" : { "noteIndex" : 0 }, "schema" : "https://github.com/citation-style-language/schema/raw/master/csl-citation.json" }</w:instrText>
      </w:r>
      <w:r w:rsidRPr="008B30B9">
        <w:rPr>
          <w:rFonts w:ascii="Times New Roman" w:hAnsi="Times New Roman" w:cs="Times New Roman"/>
        </w:rPr>
        <w:fldChar w:fldCharType="separate"/>
      </w:r>
      <w:r w:rsidRPr="008B30B9">
        <w:rPr>
          <w:rFonts w:ascii="Times New Roman" w:hAnsi="Times New Roman" w:cs="Times New Roman"/>
          <w:noProof/>
        </w:rPr>
        <w:t>(16, 24)</w:t>
      </w:r>
      <w:r w:rsidRPr="008B30B9">
        <w:rPr>
          <w:rFonts w:ascii="Times New Roman" w:hAnsi="Times New Roman" w:cs="Times New Roman"/>
        </w:rPr>
        <w:fldChar w:fldCharType="end"/>
      </w:r>
      <w:r w:rsidRPr="008B30B9">
        <w:rPr>
          <w:rFonts w:ascii="Times New Roman" w:hAnsi="Times New Roman" w:cs="Times New Roman"/>
        </w:rPr>
        <w:t xml:space="preserve">. If height (or length) was not directly recorded, values from UK pediatric growth charts for age and gender were used. We also considered the use of the </w:t>
      </w:r>
      <w:proofErr w:type="spellStart"/>
      <w:r w:rsidRPr="008B30B9">
        <w:rPr>
          <w:rFonts w:ascii="Times New Roman" w:hAnsi="Times New Roman" w:cs="Times New Roman"/>
        </w:rPr>
        <w:t>post natal</w:t>
      </w:r>
      <w:proofErr w:type="spellEnd"/>
      <w:r w:rsidRPr="008B30B9">
        <w:rPr>
          <w:rFonts w:ascii="Times New Roman" w:hAnsi="Times New Roman" w:cs="Times New Roman"/>
        </w:rPr>
        <w:t xml:space="preserve"> age (PNA)/serum creatinine ratio as an alternative measure to </w:t>
      </w:r>
      <w:proofErr w:type="spellStart"/>
      <w:r w:rsidRPr="008B30B9">
        <w:rPr>
          <w:rFonts w:ascii="Times New Roman" w:hAnsi="Times New Roman" w:cs="Times New Roman"/>
        </w:rPr>
        <w:t>eGFR</w:t>
      </w:r>
      <w:proofErr w:type="spellEnd"/>
      <w:r w:rsidRPr="008B30B9">
        <w:rPr>
          <w:rFonts w:ascii="Times New Roman" w:hAnsi="Times New Roman" w:cs="Times New Roman"/>
        </w:rPr>
        <w:t xml:space="preserve"> to estimate renal function in relation to age in neonates and young infants. </w:t>
      </w:r>
    </w:p>
    <w:p w14:paraId="74DA19D8" w14:textId="77777777" w:rsidR="00556887" w:rsidRPr="008B30B9" w:rsidRDefault="00556887" w:rsidP="00556887">
      <w:pPr>
        <w:spacing w:line="480" w:lineRule="auto"/>
        <w:jc w:val="both"/>
        <w:rPr>
          <w:rFonts w:ascii="Times New Roman" w:hAnsi="Times New Roman" w:cs="Times New Roman"/>
        </w:rPr>
      </w:pPr>
    </w:p>
    <w:p w14:paraId="6E1E61F3" w14:textId="77777777" w:rsidR="00556887" w:rsidRPr="008B30B9" w:rsidRDefault="00556887" w:rsidP="00556887">
      <w:pPr>
        <w:spacing w:line="480" w:lineRule="auto"/>
        <w:jc w:val="both"/>
        <w:rPr>
          <w:rFonts w:ascii="Times New Roman" w:hAnsi="Times New Roman" w:cs="Times New Roman"/>
        </w:rPr>
      </w:pPr>
      <w:r w:rsidRPr="008B30B9">
        <w:rPr>
          <w:rFonts w:ascii="Times New Roman" w:hAnsi="Times New Roman" w:cs="Times New Roman"/>
        </w:rPr>
        <w:t>The final structural took the following form:</w:t>
      </w:r>
    </w:p>
    <w:p w14:paraId="1EA08DDB" w14:textId="77777777" w:rsidR="00556887" w:rsidRPr="008B30B9" w:rsidRDefault="00556887" w:rsidP="00556887">
      <w:pPr>
        <w:spacing w:line="480" w:lineRule="auto"/>
        <w:jc w:val="both"/>
        <w:rPr>
          <w:rFonts w:ascii="Times New Roman" w:hAnsi="Times New Roman" w:cs="Times New Roman"/>
        </w:rPr>
      </w:pPr>
    </w:p>
    <w:p w14:paraId="106ED7AA" w14:textId="77777777" w:rsidR="00556887" w:rsidRPr="008B30B9" w:rsidRDefault="008609C1" w:rsidP="00556887">
      <w:pPr>
        <w:spacing w:line="480" w:lineRule="auto"/>
        <w:jc w:val="both"/>
        <w:rPr>
          <w:rFonts w:ascii="Times New Roman" w:hAnsi="Times New Roman" w:cs="Times New Roman"/>
        </w:rPr>
      </w:pPr>
      <m:oMathPara>
        <m:oMathParaPr>
          <m:jc m:val="left"/>
        </m:oMathParaPr>
        <m:oMath>
          <m:f>
            <m:fPr>
              <m:ctrlPr>
                <w:rPr>
                  <w:rFonts w:ascii="Cambria Math" w:hAnsi="Cambria Math" w:cs="Times New Roman"/>
                  <w:i/>
                </w:rPr>
              </m:ctrlPr>
            </m:fPr>
            <m:num>
              <m:r>
                <w:rPr>
                  <w:rFonts w:ascii="Cambria Math" w:hAnsi="Cambria Math" w:cs="Times New Roman"/>
                </w:rPr>
                <m:t>dX</m:t>
              </m:r>
              <m:d>
                <m:dPr>
                  <m:ctrlPr>
                    <w:rPr>
                      <w:rFonts w:ascii="Cambria Math" w:hAnsi="Cambria Math" w:cs="Times New Roman"/>
                      <w:i/>
                    </w:rPr>
                  </m:ctrlPr>
                </m:dPr>
                <m:e>
                  <m:r>
                    <w:rPr>
                      <w:rFonts w:ascii="Cambria Math" w:hAnsi="Cambria Math" w:cs="Times New Roman"/>
                    </w:rPr>
                    <m:t>1</m:t>
                  </m:r>
                </m:e>
              </m:d>
            </m:num>
            <m:den>
              <m:r>
                <w:rPr>
                  <w:rFonts w:ascii="Cambria Math" w:hAnsi="Cambria Math" w:cs="Times New Roman"/>
                </w:rPr>
                <m:t>dt</m:t>
              </m:r>
            </m:den>
          </m:f>
          <m:r>
            <w:rPr>
              <w:rFonts w:ascii="Cambria Math" w:hAnsi="Cambria Math" w:cs="Times New Roman"/>
            </w:rPr>
            <m:t>=R</m:t>
          </m:r>
          <m:d>
            <m:dPr>
              <m:ctrlPr>
                <w:rPr>
                  <w:rFonts w:ascii="Cambria Math" w:hAnsi="Cambria Math" w:cs="Times New Roman"/>
                  <w:i/>
                </w:rPr>
              </m:ctrlPr>
            </m:dPr>
            <m:e>
              <m:r>
                <w:rPr>
                  <w:rFonts w:ascii="Cambria Math" w:hAnsi="Cambria Math" w:cs="Times New Roman"/>
                </w:rPr>
                <m:t>1</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Kcp+</m:t>
              </m:r>
              <m:d>
                <m:dPr>
                  <m:ctrlPr>
                    <w:rPr>
                      <w:rFonts w:ascii="Cambria Math" w:hAnsi="Cambria Math" w:cs="Times New Roman"/>
                      <w:i/>
                    </w:rPr>
                  </m:ctrlPr>
                </m:dPr>
                <m:e>
                  <m:r>
                    <w:rPr>
                      <w:rFonts w:ascii="Cambria Math" w:hAnsi="Cambria Math" w:cs="Times New Roman"/>
                    </w:rPr>
                    <m:t>Ke0∙</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wt</m:t>
                              </m:r>
                            </m:num>
                            <m:den>
                              <m:r>
                                <w:rPr>
                                  <w:rFonts w:ascii="Cambria Math" w:hAnsi="Cambria Math" w:cs="Times New Roman"/>
                                </w:rPr>
                                <m:t>70</m:t>
                              </m:r>
                            </m:den>
                          </m:f>
                        </m:e>
                      </m:d>
                    </m:e>
                    <m:sup>
                      <m:r>
                        <w:rPr>
                          <w:rFonts w:ascii="Cambria Math" w:hAnsi="Cambria Math" w:cs="Times New Roman"/>
                        </w:rPr>
                        <m:t>-0.25</m:t>
                      </m:r>
                    </m:sup>
                  </m:sSup>
                </m:e>
              </m:d>
              <m:r>
                <w:rPr>
                  <w:rFonts w:ascii="Cambria Math" w:hAnsi="Cambria Math" w:cs="Times New Roman"/>
                </w:rPr>
                <m:t>∙Renal</m:t>
              </m:r>
            </m:e>
          </m:d>
          <m:r>
            <w:rPr>
              <w:rFonts w:ascii="Cambria Math" w:hAnsi="Cambria Math" w:cs="Times New Roman"/>
            </w:rPr>
            <m:t>∙X</m:t>
          </m:r>
          <m:d>
            <m:dPr>
              <m:ctrlPr>
                <w:rPr>
                  <w:rFonts w:ascii="Cambria Math" w:hAnsi="Cambria Math" w:cs="Times New Roman"/>
                  <w:i/>
                </w:rPr>
              </m:ctrlPr>
            </m:dPr>
            <m:e>
              <m:r>
                <w:rPr>
                  <w:rFonts w:ascii="Cambria Math" w:hAnsi="Cambria Math" w:cs="Times New Roman"/>
                </w:rPr>
                <m:t>1</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Kpc∙X</m:t>
              </m:r>
              <m:d>
                <m:dPr>
                  <m:ctrlPr>
                    <w:rPr>
                      <w:rFonts w:ascii="Cambria Math" w:hAnsi="Cambria Math" w:cs="Times New Roman"/>
                      <w:i/>
                    </w:rPr>
                  </m:ctrlPr>
                </m:dPr>
                <m:e>
                  <m:r>
                    <w:rPr>
                      <w:rFonts w:ascii="Cambria Math" w:hAnsi="Cambria Math" w:cs="Times New Roman"/>
                    </w:rPr>
                    <m:t>2</m:t>
                  </m:r>
                </m:e>
              </m:d>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2a</m:t>
              </m:r>
            </m:e>
          </m:d>
        </m:oMath>
      </m:oMathPara>
    </w:p>
    <w:p w14:paraId="075444B7" w14:textId="77777777" w:rsidR="00556887" w:rsidRPr="008B30B9" w:rsidRDefault="008609C1" w:rsidP="00556887">
      <w:pPr>
        <w:spacing w:line="480" w:lineRule="auto"/>
        <w:jc w:val="both"/>
        <w:rPr>
          <w:rFonts w:ascii="Times New Roman" w:hAnsi="Times New Roman" w:cs="Times New Roman"/>
        </w:rPr>
      </w:pPr>
      <m:oMathPara>
        <m:oMathParaPr>
          <m:jc m:val="left"/>
        </m:oMathParaPr>
        <m:oMath>
          <m:f>
            <m:fPr>
              <m:ctrlPr>
                <w:rPr>
                  <w:rFonts w:ascii="Cambria Math" w:hAnsi="Cambria Math" w:cs="Times New Roman"/>
                  <w:i/>
                </w:rPr>
              </m:ctrlPr>
            </m:fPr>
            <m:num>
              <m:r>
                <w:rPr>
                  <w:rFonts w:ascii="Cambria Math" w:hAnsi="Cambria Math" w:cs="Times New Roman"/>
                </w:rPr>
                <m:t>dX</m:t>
              </m:r>
              <m:d>
                <m:dPr>
                  <m:ctrlPr>
                    <w:rPr>
                      <w:rFonts w:ascii="Cambria Math" w:hAnsi="Cambria Math" w:cs="Times New Roman"/>
                      <w:i/>
                    </w:rPr>
                  </m:ctrlPr>
                </m:dPr>
                <m:e>
                  <m:r>
                    <w:rPr>
                      <w:rFonts w:ascii="Cambria Math" w:hAnsi="Cambria Math" w:cs="Times New Roman"/>
                    </w:rPr>
                    <m:t>2</m:t>
                  </m:r>
                </m:e>
              </m:d>
            </m:num>
            <m:den>
              <m:r>
                <w:rPr>
                  <w:rFonts w:ascii="Cambria Math" w:hAnsi="Cambria Math" w:cs="Times New Roman"/>
                </w:rPr>
                <m:t>dt</m:t>
              </m:r>
            </m:den>
          </m:f>
          <m:r>
            <w:rPr>
              <w:rFonts w:ascii="Cambria Math" w:hAnsi="Cambria Math" w:cs="Times New Roman"/>
            </w:rPr>
            <m:t>=Kcp∙X</m:t>
          </m:r>
          <m:d>
            <m:dPr>
              <m:ctrlPr>
                <w:rPr>
                  <w:rFonts w:ascii="Cambria Math" w:hAnsi="Cambria Math" w:cs="Times New Roman"/>
                  <w:i/>
                </w:rPr>
              </m:ctrlPr>
            </m:dPr>
            <m:e>
              <m:r>
                <w:rPr>
                  <w:rFonts w:ascii="Cambria Math" w:hAnsi="Cambria Math" w:cs="Times New Roman"/>
                </w:rPr>
                <m:t>1</m:t>
              </m:r>
            </m:e>
          </m:d>
          <m:r>
            <w:rPr>
              <w:rFonts w:ascii="Cambria Math" w:hAnsi="Cambria Math" w:cs="Times New Roman"/>
            </w:rPr>
            <m:t>-Kpc∙X</m:t>
          </m:r>
          <m:d>
            <m:dPr>
              <m:ctrlPr>
                <w:rPr>
                  <w:rFonts w:ascii="Cambria Math" w:hAnsi="Cambria Math" w:cs="Times New Roman"/>
                  <w:i/>
                </w:rPr>
              </m:ctrlPr>
            </m:dPr>
            <m:e>
              <m:r>
                <w:rPr>
                  <w:rFonts w:ascii="Cambria Math" w:hAnsi="Cambria Math" w:cs="Times New Roman"/>
                </w:rPr>
                <m:t>2</m:t>
              </m:r>
            </m:e>
          </m:d>
          <m:r>
            <w:rPr>
              <w:rFonts w:ascii="Cambria Math" w:hAnsi="Cambria Math" w:cs="Times New Roman"/>
            </w:rPr>
            <m:t xml:space="preserve">                                    (2b)</m:t>
          </m:r>
        </m:oMath>
      </m:oMathPara>
    </w:p>
    <w:p w14:paraId="46DCDD8C" w14:textId="77777777" w:rsidR="00556887" w:rsidRPr="008B30B9" w:rsidRDefault="00556887" w:rsidP="00556887">
      <w:pPr>
        <w:spacing w:line="480" w:lineRule="auto"/>
        <w:jc w:val="both"/>
        <w:rPr>
          <w:rFonts w:ascii="Times New Roman" w:hAnsi="Times New Roman" w:cs="Times New Roman"/>
        </w:rPr>
      </w:pPr>
    </w:p>
    <w:p w14:paraId="222C1F20" w14:textId="77777777" w:rsidR="00556887" w:rsidRPr="008B30B9" w:rsidRDefault="00556887" w:rsidP="00556887">
      <w:pPr>
        <w:spacing w:line="480" w:lineRule="auto"/>
        <w:jc w:val="both"/>
        <w:rPr>
          <w:rFonts w:ascii="Times" w:hAnsi="Times" w:cs="Times New Roman"/>
        </w:rPr>
      </w:pPr>
      <w:r w:rsidRPr="008B30B9">
        <w:rPr>
          <w:rFonts w:ascii="Times New Roman" w:hAnsi="Times New Roman" w:cs="Times New Roman"/>
        </w:rPr>
        <w:lastRenderedPageBreak/>
        <w:t xml:space="preserve">With output equation </w:t>
      </w:r>
      <w:r w:rsidRPr="008B30B9">
        <w:rPr>
          <w:rFonts w:ascii="Times" w:hAnsi="Times" w:cs="Times New Roman"/>
        </w:rPr>
        <w:t>Y(</w:t>
      </w:r>
      <w:proofErr w:type="gramStart"/>
      <w:r w:rsidRPr="008B30B9">
        <w:rPr>
          <w:rFonts w:ascii="Times" w:hAnsi="Times" w:cs="Times New Roman"/>
        </w:rPr>
        <w:t>1)=</w:t>
      </w:r>
      <w:proofErr w:type="gramEnd"/>
      <w:r w:rsidRPr="008B30B9">
        <w:rPr>
          <w:rFonts w:ascii="Times" w:hAnsi="Times" w:cs="Times New Roman"/>
        </w:rPr>
        <w:t xml:space="preserve">X(1)/V, which described the time course of </w:t>
      </w:r>
      <w:proofErr w:type="spellStart"/>
      <w:r w:rsidRPr="008B30B9">
        <w:rPr>
          <w:rFonts w:ascii="Times" w:hAnsi="Times" w:cs="Times New Roman"/>
        </w:rPr>
        <w:t>teicoplanin</w:t>
      </w:r>
      <w:proofErr w:type="spellEnd"/>
      <w:r w:rsidRPr="008B30B9">
        <w:rPr>
          <w:rFonts w:ascii="Times" w:hAnsi="Times" w:cs="Times New Roman"/>
        </w:rPr>
        <w:t xml:space="preserve"> concentrations.</w:t>
      </w:r>
    </w:p>
    <w:p w14:paraId="11B2CB3F" w14:textId="60519F11" w:rsidR="00556887" w:rsidRPr="008B30B9" w:rsidRDefault="00556887" w:rsidP="00556887">
      <w:pPr>
        <w:spacing w:line="480" w:lineRule="auto"/>
        <w:jc w:val="both"/>
        <w:rPr>
          <w:rFonts w:ascii="Times New Roman" w:hAnsi="Times New Roman" w:cs="Times New Roman"/>
        </w:rPr>
      </w:pPr>
      <w:r w:rsidRPr="008B30B9">
        <w:rPr>
          <w:rFonts w:ascii="Times" w:hAnsi="Times" w:cs="Times New Roman"/>
        </w:rPr>
        <w:t>Where:</w:t>
      </w:r>
      <w:r w:rsidRPr="008B30B9">
        <w:rPr>
          <w:rFonts w:ascii="Times New Roman" w:hAnsi="Times New Roman" w:cs="Times New Roman"/>
        </w:rPr>
        <w:t xml:space="preserve">  </w:t>
      </w:r>
      <w:proofErr w:type="spellStart"/>
      <w:r w:rsidRPr="008B30B9">
        <w:rPr>
          <w:rFonts w:ascii="Times New Roman" w:hAnsi="Times New Roman" w:cs="Times New Roman"/>
        </w:rPr>
        <w:t>Ke</w:t>
      </w:r>
      <w:proofErr w:type="spellEnd"/>
      <w:r w:rsidRPr="008B30B9">
        <w:rPr>
          <w:rFonts w:ascii="Times New Roman" w:hAnsi="Times New Roman" w:cs="Times New Roman"/>
        </w:rPr>
        <w:t>=(Ke0*(</w:t>
      </w:r>
      <w:proofErr w:type="spellStart"/>
      <w:r w:rsidRPr="008B30B9">
        <w:rPr>
          <w:rFonts w:ascii="Times New Roman" w:hAnsi="Times New Roman" w:cs="Times New Roman"/>
        </w:rPr>
        <w:t>wt</w:t>
      </w:r>
      <w:proofErr w:type="spellEnd"/>
      <w:r w:rsidRPr="008B30B9">
        <w:rPr>
          <w:rFonts w:ascii="Times New Roman" w:hAnsi="Times New Roman" w:cs="Times New Roman"/>
        </w:rPr>
        <w:t>/</w:t>
      </w:r>
      <w:proofErr w:type="gramStart"/>
      <w:r w:rsidRPr="008B30B9">
        <w:rPr>
          <w:rFonts w:ascii="Times New Roman" w:hAnsi="Times New Roman" w:cs="Times New Roman"/>
        </w:rPr>
        <w:t>70)</w:t>
      </w:r>
      <w:r w:rsidRPr="008B30B9">
        <w:rPr>
          <w:rFonts w:ascii="Times New Roman" w:hAnsi="Times New Roman" w:cs="Times New Roman"/>
          <w:vertAlign w:val="superscript"/>
        </w:rPr>
        <w:t>(</w:t>
      </w:r>
      <w:proofErr w:type="gramEnd"/>
      <w:r w:rsidRPr="008B30B9">
        <w:rPr>
          <w:rFonts w:ascii="Times New Roman" w:hAnsi="Times New Roman" w:cs="Times New Roman"/>
          <w:vertAlign w:val="superscript"/>
        </w:rPr>
        <w:t>-0.25)</w:t>
      </w:r>
      <w:r w:rsidRPr="008B30B9">
        <w:rPr>
          <w:rFonts w:ascii="Times New Roman" w:hAnsi="Times New Roman" w:cs="Times New Roman"/>
        </w:rPr>
        <w:t>)*Renal (the exponent is -0.25 because Ke0*(</w:t>
      </w:r>
      <w:proofErr w:type="spellStart"/>
      <w:r w:rsidRPr="008B30B9">
        <w:rPr>
          <w:rFonts w:ascii="Times New Roman" w:hAnsi="Times New Roman" w:cs="Times New Roman"/>
        </w:rPr>
        <w:t>wt</w:t>
      </w:r>
      <w:proofErr w:type="spellEnd"/>
      <w:r w:rsidRPr="008B30B9">
        <w:rPr>
          <w:rFonts w:ascii="Times New Roman" w:hAnsi="Times New Roman" w:cs="Times New Roman"/>
        </w:rPr>
        <w:t>/70)</w:t>
      </w:r>
      <w:r w:rsidRPr="008B30B9">
        <w:rPr>
          <w:rFonts w:ascii="Times New Roman" w:hAnsi="Times New Roman" w:cs="Times New Roman"/>
          <w:vertAlign w:val="superscript"/>
        </w:rPr>
        <w:t>-0.25</w:t>
      </w:r>
      <w:r w:rsidRPr="008B30B9">
        <w:rPr>
          <w:rFonts w:ascii="Times New Roman" w:hAnsi="Times New Roman" w:cs="Times New Roman"/>
        </w:rPr>
        <w:t xml:space="preserve"> is algebraically equivalent to (Cl/V)*(</w:t>
      </w:r>
      <w:proofErr w:type="spellStart"/>
      <w:r w:rsidRPr="008B30B9">
        <w:rPr>
          <w:rFonts w:ascii="Times New Roman" w:hAnsi="Times New Roman" w:cs="Times New Roman"/>
        </w:rPr>
        <w:t>wt</w:t>
      </w:r>
      <w:proofErr w:type="spellEnd"/>
      <w:r w:rsidRPr="008B30B9">
        <w:rPr>
          <w:rFonts w:ascii="Times New Roman" w:hAnsi="Times New Roman" w:cs="Times New Roman"/>
        </w:rPr>
        <w:t>/70)</w:t>
      </w:r>
      <w:r w:rsidRPr="008B30B9">
        <w:rPr>
          <w:rFonts w:ascii="Times New Roman" w:hAnsi="Times New Roman" w:cs="Times New Roman"/>
          <w:vertAlign w:val="superscript"/>
        </w:rPr>
        <w:t>0.75</w:t>
      </w:r>
      <w:r w:rsidRPr="008B30B9">
        <w:rPr>
          <w:rFonts w:ascii="Times New Roman" w:hAnsi="Times New Roman" w:cs="Times New Roman"/>
        </w:rPr>
        <w:t>); V=(V0*(</w:t>
      </w:r>
      <w:proofErr w:type="spellStart"/>
      <w:r w:rsidRPr="008B30B9">
        <w:rPr>
          <w:rFonts w:ascii="Times New Roman" w:hAnsi="Times New Roman" w:cs="Times New Roman"/>
        </w:rPr>
        <w:t>wt</w:t>
      </w:r>
      <w:proofErr w:type="spellEnd"/>
      <w:r w:rsidRPr="008B30B9">
        <w:rPr>
          <w:rFonts w:ascii="Times New Roman" w:hAnsi="Times New Roman" w:cs="Times New Roman"/>
        </w:rPr>
        <w:t xml:space="preserve">/70)); where </w:t>
      </w:r>
      <w:proofErr w:type="spellStart"/>
      <w:r w:rsidRPr="008B30B9">
        <w:rPr>
          <w:rFonts w:ascii="Times New Roman" w:hAnsi="Times New Roman" w:cs="Times New Roman"/>
        </w:rPr>
        <w:t>wt</w:t>
      </w:r>
      <w:proofErr w:type="spellEnd"/>
      <w:r w:rsidRPr="008B30B9">
        <w:rPr>
          <w:rFonts w:ascii="Times New Roman" w:hAnsi="Times New Roman" w:cs="Times New Roman"/>
        </w:rPr>
        <w:t xml:space="preserve"> is the patient´s weight (kg). A cut-off age in the maturation of renal function was apparent when </w:t>
      </w:r>
      <w:proofErr w:type="spellStart"/>
      <w:r w:rsidRPr="008B30B9">
        <w:rPr>
          <w:rFonts w:ascii="Times New Roman" w:hAnsi="Times New Roman" w:cs="Times New Roman"/>
        </w:rPr>
        <w:t>eGFR</w:t>
      </w:r>
      <w:proofErr w:type="spellEnd"/>
      <w:r w:rsidRPr="008B30B9">
        <w:rPr>
          <w:rFonts w:ascii="Times New Roman" w:hAnsi="Times New Roman" w:cs="Times New Roman"/>
        </w:rPr>
        <w:t xml:space="preserve"> was</w:t>
      </w:r>
      <w:r w:rsidR="004805A2">
        <w:rPr>
          <w:rFonts w:ascii="Times New Roman" w:hAnsi="Times New Roman" w:cs="Times New Roman"/>
        </w:rPr>
        <w:t xml:space="preserve"> plotted against age (Fig. </w:t>
      </w:r>
      <w:r w:rsidR="004805A2" w:rsidRPr="004805A2">
        <w:rPr>
          <w:rFonts w:ascii="Times New Roman" w:hAnsi="Times New Roman" w:cs="Times New Roman"/>
          <w:highlight w:val="yellow"/>
        </w:rPr>
        <w:t>1</w:t>
      </w:r>
      <w:proofErr w:type="gramStart"/>
      <w:r w:rsidR="004805A2" w:rsidRPr="004805A2">
        <w:rPr>
          <w:rFonts w:ascii="Times New Roman" w:hAnsi="Times New Roman" w:cs="Times New Roman"/>
          <w:highlight w:val="yellow"/>
        </w:rPr>
        <w:t>H,I</w:t>
      </w:r>
      <w:proofErr w:type="gramEnd"/>
      <w:r w:rsidRPr="008B30B9">
        <w:rPr>
          <w:rFonts w:ascii="Times New Roman" w:hAnsi="Times New Roman" w:cs="Times New Roman"/>
        </w:rPr>
        <w:t>) with an inflection point at 3 months (0.25 years).  Hence, renal function (“Renal”) for infants and children &gt;3 months of age was described as the estimated glomerular filtration rate (</w:t>
      </w:r>
      <w:proofErr w:type="spellStart"/>
      <w:r w:rsidRPr="008B30B9">
        <w:rPr>
          <w:rFonts w:ascii="Times New Roman" w:hAnsi="Times New Roman" w:cs="Times New Roman"/>
        </w:rPr>
        <w:t>eGFR</w:t>
      </w:r>
      <w:proofErr w:type="spellEnd"/>
      <w:r w:rsidRPr="008B30B9">
        <w:rPr>
          <w:rFonts w:ascii="Times New Roman" w:hAnsi="Times New Roman" w:cs="Times New Roman"/>
        </w:rPr>
        <w:t>) (mL/min/1.73 m</w:t>
      </w:r>
      <w:r w:rsidRPr="008B30B9">
        <w:rPr>
          <w:rFonts w:ascii="Times New Roman" w:hAnsi="Times New Roman" w:cs="Times New Roman"/>
          <w:vertAlign w:val="superscript"/>
        </w:rPr>
        <w:t>2</w:t>
      </w:r>
      <w:r w:rsidRPr="008B30B9">
        <w:rPr>
          <w:rFonts w:ascii="Times New Roman" w:hAnsi="Times New Roman" w:cs="Times New Roman"/>
        </w:rPr>
        <w:t>) to an estimated power function (pw). If age was &lt; 0.25 years (i.e. 3 months) “Renal” was the post-natal age (PNA (years)), divided by the serum creatinine (µ</w:t>
      </w:r>
      <w:proofErr w:type="spellStart"/>
      <w:r w:rsidRPr="008B30B9">
        <w:rPr>
          <w:rFonts w:ascii="Times New Roman" w:hAnsi="Times New Roman" w:cs="Times New Roman"/>
        </w:rPr>
        <w:t>mol</w:t>
      </w:r>
      <w:proofErr w:type="spellEnd"/>
      <w:r w:rsidRPr="008B30B9">
        <w:rPr>
          <w:rFonts w:ascii="Times New Roman" w:hAnsi="Times New Roman" w:cs="Times New Roman"/>
        </w:rPr>
        <w:t xml:space="preserve">/L).  Ke0 and V0 are the weight standardized parameters for the elimination rate constant and volume, respectively.  </w:t>
      </w:r>
    </w:p>
    <w:p w14:paraId="132BE158" w14:textId="77777777" w:rsidR="00556887" w:rsidRPr="008B30B9" w:rsidRDefault="00556887" w:rsidP="00556887">
      <w:pPr>
        <w:spacing w:line="480" w:lineRule="auto"/>
        <w:ind w:firstLine="708"/>
        <w:jc w:val="both"/>
        <w:rPr>
          <w:rFonts w:ascii="Times New Roman" w:hAnsi="Times New Roman" w:cs="Times New Roman"/>
        </w:rPr>
      </w:pPr>
      <w:r w:rsidRPr="008B30B9">
        <w:rPr>
          <w:rFonts w:ascii="Times New Roman" w:hAnsi="Times New Roman" w:cs="Times New Roman"/>
        </w:rPr>
        <w:t xml:space="preserve">There were two sampling periods denoted by IOV=1 and IOV=2 for concentrations collected &lt;96 hours and </w:t>
      </w:r>
      <w:proofErr w:type="spellStart"/>
      <w:r w:rsidRPr="008B30B9">
        <w:rPr>
          <w:rFonts w:ascii="Times New Roman" w:hAnsi="Times New Roman" w:cs="Times New Roman"/>
        </w:rPr>
        <w:t>and</w:t>
      </w:r>
      <w:proofErr w:type="spellEnd"/>
      <w:r w:rsidRPr="008B30B9">
        <w:rPr>
          <w:rFonts w:ascii="Times New Roman" w:hAnsi="Times New Roman" w:cs="Times New Roman"/>
        </w:rPr>
        <w:t xml:space="preserve"> ≥ 96 hours, respectively.  For the first sampling period (i.e. IOV=1) Ke0=Ke01 and V0=V01.  For the second sampling period (i.e. IOV=2), Ke0=Ke02 and V0=V02. </w:t>
      </w:r>
    </w:p>
    <w:p w14:paraId="15709BF4" w14:textId="3D25B873" w:rsidR="00556887" w:rsidRPr="002657EF" w:rsidRDefault="00556887" w:rsidP="00556887">
      <w:pPr>
        <w:spacing w:line="480" w:lineRule="auto"/>
        <w:ind w:firstLine="708"/>
        <w:jc w:val="both"/>
        <w:rPr>
          <w:rFonts w:ascii="Times New Roman" w:hAnsi="Times New Roman" w:cs="Times New Roman"/>
        </w:rPr>
      </w:pPr>
      <w:r w:rsidRPr="008B30B9">
        <w:rPr>
          <w:rFonts w:ascii="Times New Roman" w:hAnsi="Times New Roman" w:cs="Times New Roman"/>
        </w:rPr>
        <w:t xml:space="preserve">The fit of each exploratory model to the data was assessed using a combination of the following: (1) the log-likelihood value, (2) the </w:t>
      </w:r>
      <w:proofErr w:type="spellStart"/>
      <w:r w:rsidRPr="008B30B9">
        <w:rPr>
          <w:rFonts w:ascii="Times New Roman" w:hAnsi="Times New Roman" w:cs="Times New Roman"/>
        </w:rPr>
        <w:t>Akaike</w:t>
      </w:r>
      <w:proofErr w:type="spellEnd"/>
      <w:r w:rsidRPr="008B30B9">
        <w:rPr>
          <w:rFonts w:ascii="Times New Roman" w:hAnsi="Times New Roman" w:cs="Times New Roman"/>
        </w:rPr>
        <w:t xml:space="preserve"> information criterion (AIC) (3) the coefficients of determination (r</w:t>
      </w:r>
      <w:r w:rsidRPr="008B30B9">
        <w:rPr>
          <w:rFonts w:ascii="Times New Roman" w:hAnsi="Times New Roman" w:cs="Times New Roman"/>
          <w:vertAlign w:val="superscript"/>
        </w:rPr>
        <w:t>2</w:t>
      </w:r>
      <w:r w:rsidRPr="008B30B9">
        <w:rPr>
          <w:rFonts w:ascii="Times New Roman" w:hAnsi="Times New Roman" w:cs="Times New Roman"/>
        </w:rPr>
        <w:t xml:space="preserve">) from the linear regression of the observed-predicted plots before and after the Bayesian step, (4) minimization of bias and imprecisions of the observed-predicted plots; (5) </w:t>
      </w:r>
      <w:r w:rsidR="008B30B9">
        <w:rPr>
          <w:rFonts w:ascii="Times New Roman" w:hAnsi="Times New Roman" w:cs="Times New Roman"/>
        </w:rPr>
        <w:t xml:space="preserve">the </w:t>
      </w:r>
      <w:r w:rsidRPr="008B30B9">
        <w:rPr>
          <w:rFonts w:ascii="Times New Roman" w:hAnsi="Times New Roman" w:cs="Times New Roman"/>
        </w:rPr>
        <w:t xml:space="preserve">NPDE and 6) the distribution of the weighted residual errors. A model comparison was made using the </w:t>
      </w:r>
      <w:proofErr w:type="gramStart"/>
      <w:r w:rsidRPr="008B30B9">
        <w:rPr>
          <w:rFonts w:ascii="Times New Roman" w:hAnsi="Times New Roman" w:cs="Times New Roman"/>
        </w:rPr>
        <w:t>above named</w:t>
      </w:r>
      <w:proofErr w:type="gramEnd"/>
      <w:r w:rsidRPr="008B30B9">
        <w:rPr>
          <w:rFonts w:ascii="Times New Roman" w:hAnsi="Times New Roman" w:cs="Times New Roman"/>
        </w:rPr>
        <w:t xml:space="preserve"> diagnostics in order to choose the best final model.</w:t>
      </w:r>
    </w:p>
    <w:p w14:paraId="1C1B8ED9" w14:textId="77777777" w:rsidR="00556887" w:rsidRDefault="00556887" w:rsidP="00556887">
      <w:pPr>
        <w:spacing w:line="480" w:lineRule="auto"/>
        <w:ind w:firstLine="708"/>
        <w:jc w:val="both"/>
        <w:rPr>
          <w:rFonts w:ascii="Times New Roman" w:hAnsi="Times New Roman" w:cs="Times New Roman"/>
        </w:rPr>
      </w:pPr>
    </w:p>
    <w:p w14:paraId="6843DEF1" w14:textId="77777777" w:rsidR="00556887" w:rsidRDefault="00556887" w:rsidP="00556887">
      <w:pPr>
        <w:spacing w:line="480" w:lineRule="auto"/>
        <w:jc w:val="both"/>
        <w:rPr>
          <w:rFonts w:ascii="Times" w:hAnsi="Times" w:cs="Times New Roman"/>
          <w:highlight w:val="yellow"/>
        </w:rPr>
      </w:pPr>
    </w:p>
    <w:p w14:paraId="0ECCA1AA" w14:textId="77777777" w:rsidR="00556887" w:rsidRDefault="00556887" w:rsidP="00556887">
      <w:pPr>
        <w:spacing w:line="480" w:lineRule="auto"/>
        <w:jc w:val="both"/>
        <w:rPr>
          <w:rFonts w:ascii="Times New Roman" w:hAnsi="Times New Roman" w:cs="Times New Roman"/>
          <w:b/>
        </w:rPr>
      </w:pPr>
      <w:r w:rsidRPr="00DA249E">
        <w:rPr>
          <w:rFonts w:ascii="Times New Roman" w:hAnsi="Times New Roman" w:cs="Times New Roman"/>
          <w:b/>
        </w:rPr>
        <w:lastRenderedPageBreak/>
        <w:t>Build</w:t>
      </w:r>
      <w:r>
        <w:rPr>
          <w:rFonts w:ascii="Times New Roman" w:hAnsi="Times New Roman" w:cs="Times New Roman"/>
          <w:b/>
        </w:rPr>
        <w:t xml:space="preserve">ing the </w:t>
      </w:r>
      <w:proofErr w:type="spellStart"/>
      <w:r>
        <w:rPr>
          <w:rFonts w:ascii="Times New Roman" w:hAnsi="Times New Roman" w:cs="Times New Roman"/>
          <w:b/>
        </w:rPr>
        <w:t>teicoplanin</w:t>
      </w:r>
      <w:proofErr w:type="spellEnd"/>
      <w:r>
        <w:rPr>
          <w:rFonts w:ascii="Times New Roman" w:hAnsi="Times New Roman" w:cs="Times New Roman"/>
          <w:b/>
        </w:rPr>
        <w:t xml:space="preserve"> dose </w:t>
      </w:r>
      <w:proofErr w:type="spellStart"/>
      <w:r>
        <w:rPr>
          <w:rFonts w:ascii="Times New Roman" w:hAnsi="Times New Roman" w:cs="Times New Roman"/>
          <w:b/>
        </w:rPr>
        <w:t>optimis</w:t>
      </w:r>
      <w:r w:rsidRPr="00DA249E">
        <w:rPr>
          <w:rFonts w:ascii="Times New Roman" w:hAnsi="Times New Roman" w:cs="Times New Roman"/>
          <w:b/>
        </w:rPr>
        <w:t>ation</w:t>
      </w:r>
      <w:proofErr w:type="spellEnd"/>
      <w:r w:rsidRPr="00DA249E">
        <w:rPr>
          <w:rFonts w:ascii="Times New Roman" w:hAnsi="Times New Roman" w:cs="Times New Roman"/>
          <w:b/>
        </w:rPr>
        <w:t xml:space="preserve"> software</w:t>
      </w:r>
    </w:p>
    <w:p w14:paraId="5B62AFA1" w14:textId="77777777" w:rsidR="00556887" w:rsidRDefault="00556887" w:rsidP="00556887">
      <w:pPr>
        <w:spacing w:line="480" w:lineRule="auto"/>
        <w:ind w:firstLine="708"/>
        <w:jc w:val="both"/>
        <w:rPr>
          <w:rFonts w:ascii="Times New Roman" w:hAnsi="Times New Roman" w:cs="Times New Roman"/>
        </w:rPr>
      </w:pPr>
      <w:r w:rsidRPr="00C414A2">
        <w:rPr>
          <w:rFonts w:ascii="Times New Roman" w:hAnsi="Times New Roman" w:cs="Times New Roman"/>
        </w:rPr>
        <w:t xml:space="preserve">We incorporated the final </w:t>
      </w:r>
      <w:r>
        <w:rPr>
          <w:rFonts w:ascii="Times New Roman" w:hAnsi="Times New Roman" w:cs="Times New Roman"/>
        </w:rPr>
        <w:t xml:space="preserve">population PK </w:t>
      </w:r>
      <w:r w:rsidRPr="00C414A2">
        <w:rPr>
          <w:rFonts w:ascii="Times New Roman" w:hAnsi="Times New Roman" w:cs="Times New Roman"/>
        </w:rPr>
        <w:t>model</w:t>
      </w:r>
      <w:r>
        <w:rPr>
          <w:rFonts w:ascii="Times New Roman" w:hAnsi="Times New Roman" w:cs="Times New Roman"/>
        </w:rPr>
        <w:t xml:space="preserve"> into a </w:t>
      </w:r>
      <w:proofErr w:type="spellStart"/>
      <w:r>
        <w:rPr>
          <w:rFonts w:ascii="Times New Roman" w:hAnsi="Times New Roman" w:cs="Times New Roman"/>
        </w:rPr>
        <w:t>teicoplanin</w:t>
      </w:r>
      <w:proofErr w:type="spellEnd"/>
      <w:r>
        <w:rPr>
          <w:rFonts w:ascii="Times New Roman" w:hAnsi="Times New Roman" w:cs="Times New Roman"/>
        </w:rPr>
        <w:t xml:space="preserve"> multiple-model Bayesian adaptive dosing controller (the software “cartridge”). The controller is based on the concepts and software (</w:t>
      </w:r>
      <w:proofErr w:type="spellStart"/>
      <w:r>
        <w:rPr>
          <w:rFonts w:ascii="Times New Roman" w:hAnsi="Times New Roman" w:cs="Times New Roman"/>
        </w:rPr>
        <w:t>BestDose</w:t>
      </w:r>
      <w:proofErr w:type="spellEnd"/>
      <w:r>
        <w:rPr>
          <w:rFonts w:ascii="Times New Roman" w:hAnsi="Times New Roman" w:cs="Times New Roman"/>
        </w:rPr>
        <w:t>) developed by the University of Southern California Laboratory for Applied Pharmacokinetics and Bioinformatics (LAPKB)</w:t>
      </w:r>
      <w:r w:rsidRPr="001868C1">
        <w:t xml:space="preserve"> </w:t>
      </w:r>
      <w:r w:rsidRPr="001868C1">
        <w:rPr>
          <w:rFonts w:ascii="Times New Roman" w:hAnsi="Times New Roman" w:cs="Times New Roman"/>
        </w:rPr>
        <w:t>(</w:t>
      </w:r>
      <w:hyperlink r:id="rId11" w:history="1">
        <w:r w:rsidRPr="007C1265">
          <w:rPr>
            <w:rStyle w:val="Hyperlink"/>
            <w:rFonts w:ascii="Times New Roman" w:hAnsi="Times New Roman" w:cs="Times New Roman"/>
          </w:rPr>
          <w:t>http://www.lapk.org</w:t>
        </w:r>
        <w:r w:rsidRPr="00FB0663">
          <w:rPr>
            <w:rStyle w:val="Hyperlink"/>
            <w:rFonts w:ascii="Times New Roman" w:hAnsi="Times New Roman" w:cs="Times New Roman"/>
          </w:rPr>
          <w:t>)</w:t>
        </w:r>
      </w:hyperlink>
      <w:r>
        <w:rPr>
          <w:rStyle w:val="Hyperlink"/>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"10.1128/AAC.02025-12", "ISBN" : "1098-6596 (Electronic)\\r0066-4804 (Linking)", "ISSN" : "00664804", "PMID" : "23380734", "abstract" : "The efficacy of voriconazole is potentially compromised by considerable pharmacokinetic variability. There are increasing insights into voriconazole concentrations that are safe and effective for treatment of invasive fungal infections. Therapeutic drug monitoring is increasingly advocated. Software to aid in the individualization of dosing would be an extremely useful clinical tool. We developed software to enable the individualization of voriconazole dosing to attain predefined serum concentration targets. The process of individualized voriconazole therapy was based on concepts of Bayesian stochastic adaptive control. Multiple-model dosage design with feedback control was used to calculate dosages that achieved desired concentration targets with maximum precision. The performance of the software program was assessed using the data from 10 recipients of an allogeneic hematopoietic stem cell transplant (HSCT) receiving intravenous (i.v.) voriconazole. The program was able to model the plasma concentrations with a high level of precision, despite the wide range of concentration trajectories and interindividual pharmacokinetic variability. The voriconazole concentrations predicted after the last dosages were largely concordant with those actually measured. Simulations provided an illustration of the way in which the software can be used to adjust dosages of patients falling outside desired concentration targets. This software appears to be an extremely useful tool to further optimize voriconazole therapy and aid in therapeutic drug monitoring. Further prospective studies are now required to define the utility of the controller in daily clinical practice.", "author" : [ { "dropping-particle" : "", "family" : "Hope", "given" : "William W.", "non-dropping-particle" : "", "parse-names" : false, "suffix" : "" }, { "dropping-particle" : "", "family" : "Guilder", "given" : "Michael", "non-dropping-particle" : "Van", "parse-names" : false, "suffix" : "" }, { "dropping-particle" : "", "family" : "Donnelly", "given" : "J. Peter", "non-dropping-particle" : "", "parse-names" : false, "suffix" : "" }, { "dropping-particle" : "", "family" : "Blijlevens", "given" : "Nicole M a", "non-dropping-particle" : "", "parse-names" : false, "suffix" : "" }, { "dropping-particle" : "", "family" : "Br\u00fcggemann", "given" : "Roger J M", "non-dropping-particle" : "", "parse-names" : false, "suffix" : "" }, { "dropping-particle" : "", "family" : "Jelliffe", "given" : "Roger W.", "non-dropping-particle" : "", "parse-names" : false, "suffix" : "" }, { "dropping-particle" : "", "family" : "Neely", "given" : "Michael N.", "non-dropping-particle" : "", "parse-names" : false, "suffix" : "" } ], "container-title" : "Antimicrobial Agents and Chemotherapy", "id" : "ITEM-1", "issued" : { "date-parts" : [ [ "2013" ] ] }, "page" : "1888-1894", "title" : "Software for dosage individualization of voriconazole for immunocompromised patients", "type" : "article-journal", "volume" : "57" }, "uris" : [ "http://www.mendeley.com/documents/?uuid=559460f1-1576-4ca0-bc39-47f1dee558cd" ] }, { "id" : "ITEM-2", "itemData" : { "DOI" : "10.1128/AAC.00032-15", "ISBN" : "0066-4804", "ISSN" : "10986596", "PMID" : "25779580", "abstract" : "Despite the documented benefit of voriconazole therapeutic drug monitoring, nonlinear pharmacokinetics make the timing of steady-state trough sampling and appropriate dose adjustments unpredictable by conventional methods. We developed a nonparametric population model with data from 141 previously richly sampled children and adults. We then used it in our multiple-model Bayesian adaptive control algorithm to predict measured concentrations and doses in a separate cohort of 33 pediatric patients aged 8 months to 17 years who were receiving voriconazole and enrolled in a pharmacokinetic study. Using all available samples to estimate the individual Bayesian posterior parameter values, the median percent prediction bias relative to a measured target trough concentration in the patients was 1.1% (interquartile range, -17.1 to 10%). Compared to the actual dose that resulted in the target concentration, the percent bias of the predicted dose was -0.7% (interquartile range, -7 to 20%). Using only trough concentrations to generate the Bayesian posterior parameter values, the target bias was 6.4% (interquartile range, -1.4 to 14.7%; P = 0.16 versus the full posterior parameter value) and the dose bias was -6.7% (interquartile range, -18.7 to 2.4%; P = 0.15). Use of a sample collected at an optimal time of 4 h after a dose, in addition to the trough concentration, resulted in a nonsignificantly improved target bias of 3.8% (interquartile range, -13.1 to 18%; P = 0.32) and a dose bias of -3.5% (interquartile range, -18 to 14%; P = 0.33). With the nonparametric population model and trough concentrations, our control algorithm can accurately manage voriconazole therapy in children independently of steady-state conditions, and it is generalizable to any drug with a nonparametric pharmacokinetic model. (This study has been registered at ClinicalTrials.gov under registration no. NCT01976078.).", "author" : [ { "dropping-particle" : "", "family" : "Neely", "given" : "Michael", "non-dropping-particle" : "", "parse-names" : false, "suffix" : "" }, { "dropping-particle" : "", "family" : "Margol", "given" : "Ashley", "non-dropping-particle" : "", "parse-names" : false, "suffix" : "" }, { "dropping-particle" : "", "family" : "Fu", "given" : "Xiaowei", "non-dropping-particle" : "", "parse-names" : false, "suffix" : "" }, { "dropping-particle" : "", "family" : "Guilder", "given" : "Michael", "non-dropping-particle" : "Van", "parse-names" : false, "suffix" : "" }, { "dropping-particle" : "", "family" : "Bayard", "given" : "David", "non-dropping-particle" : "", "parse-names" : false, "suffix" : "" }, { "dropping-particle" : "", "family" : "Schumitzky", "given" : "Alan", "non-dropping-particle" : "", "parse-names" : false, "suffix" : "" }, { "dropping-particle" : "", "family" : "Orbach", "given" : "Regina", "non-dropping-particle" : "", "parse-names" : false, "suffix" : "" }, { "dropping-particle" : "", "family" : "Liu", "given" : "Siyu", "non-dropping-particle" : "", "parse-names" : false, "suffix" : "" }, { "dropping-particle" : "", "family" : "Louie", "given" : "Stan", "non-dropping-particle" : "", "parse-names" : false, "suffix" : "" }, { "dropping-particle" : "", "family" : "Hope", "given" : "William", "non-dropping-particle" : "", "parse-names" : false, "suffix" : "" } ], "container-title" : "Antimicrobial Agents and Chemotherapy", "id" : "ITEM-2", "issue" : "6", "issued" : { "date-parts" : [ [ "2015" ] ] }, "page" : "3090-3097", "title" : "Achieving target voriconazole concentrations more accurately in children and adolescents", "type" : "article-journal", "volume" : "59" }, "uris" : [ "http://www.mendeley.com/documents/?uuid=59d5967d-2af4-434d-a5b8-f63809644628" ] } ], "mendeley" : { "formattedCitation" : "(26, 27)", "plainTextFormattedCitation" : "(26, 27)", "previouslyFormattedCitation" : "(26, 27)" }, "properties" : { "noteIndex" : 0 }, "schema" : "https://github.com/citation-style-language/schema/raw/master/csl-citation.json" }</w:instrText>
      </w:r>
      <w:r>
        <w:rPr>
          <w:rFonts w:ascii="Times New Roman" w:hAnsi="Times New Roman" w:cs="Times New Roman"/>
        </w:rPr>
        <w:fldChar w:fldCharType="separate"/>
      </w:r>
      <w:r w:rsidRPr="00065350">
        <w:rPr>
          <w:rFonts w:ascii="Times New Roman" w:hAnsi="Times New Roman" w:cs="Times New Roman"/>
          <w:noProof/>
        </w:rPr>
        <w:t>(26, 27)</w:t>
      </w:r>
      <w:r>
        <w:rPr>
          <w:rFonts w:ascii="Times New Roman" w:hAnsi="Times New Roman" w:cs="Times New Roman"/>
        </w:rPr>
        <w:fldChar w:fldCharType="end"/>
      </w:r>
      <w:r>
        <w:rPr>
          <w:rFonts w:ascii="Times New Roman" w:hAnsi="Times New Roman" w:cs="Times New Roman"/>
        </w:rPr>
        <w:t xml:space="preserve">. The </w:t>
      </w:r>
      <w:proofErr w:type="spellStart"/>
      <w:r>
        <w:rPr>
          <w:rFonts w:ascii="Times New Roman" w:hAnsi="Times New Roman" w:cs="Times New Roman"/>
        </w:rPr>
        <w:t>teicoplanin</w:t>
      </w:r>
      <w:proofErr w:type="spellEnd"/>
      <w:r>
        <w:rPr>
          <w:rFonts w:ascii="Times New Roman" w:hAnsi="Times New Roman" w:cs="Times New Roman"/>
        </w:rPr>
        <w:t xml:space="preserve"> cartridge included the structural final model equations relating input (dosing information) to output (plasma concentrations) and the discrete joint probability distribution of the values of the equation variables (PK parameters) in the population, consisting of a discrete number of support points and their associated probability (the Bayesian prior). The cartridge was implemented in </w:t>
      </w:r>
      <w:proofErr w:type="spellStart"/>
      <w:r>
        <w:rPr>
          <w:rFonts w:ascii="Times New Roman" w:hAnsi="Times New Roman" w:cs="Times New Roman"/>
        </w:rPr>
        <w:t>BestDose</w:t>
      </w:r>
      <w:proofErr w:type="spellEnd"/>
      <w:r>
        <w:rPr>
          <w:rFonts w:ascii="Times New Roman" w:hAnsi="Times New Roman" w:cs="Times New Roman"/>
        </w:rPr>
        <w:t xml:space="preserve"> version 0.2.4 for R, which used the cartridge and each patient´s weight, age, PNA, serum creatinine, </w:t>
      </w:r>
      <w:proofErr w:type="spellStart"/>
      <w:r>
        <w:rPr>
          <w:rFonts w:ascii="Times New Roman" w:hAnsi="Times New Roman" w:cs="Times New Roman"/>
        </w:rPr>
        <w:t>eGFR</w:t>
      </w:r>
      <w:proofErr w:type="spellEnd"/>
      <w:r>
        <w:rPr>
          <w:rFonts w:ascii="Times New Roman" w:hAnsi="Times New Roman" w:cs="Times New Roman"/>
        </w:rPr>
        <w:t xml:space="preserve"> and </w:t>
      </w:r>
      <w:proofErr w:type="spellStart"/>
      <w:r>
        <w:rPr>
          <w:rFonts w:ascii="Times New Roman" w:hAnsi="Times New Roman" w:cs="Times New Roman"/>
        </w:rPr>
        <w:t>teicoplanin</w:t>
      </w:r>
      <w:proofErr w:type="spellEnd"/>
      <w:r>
        <w:rPr>
          <w:rFonts w:ascii="Times New Roman" w:hAnsi="Times New Roman" w:cs="Times New Roman"/>
        </w:rPr>
        <w:t xml:space="preserve"> dosing- concentration data to find the least biased and most precise dosage regimen relative to a target concentration, as previously described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"10.1128/AAC.02025-12", "ISBN" : "1098-6596 (Electronic)\\r0066-4804 (Linking)", "ISSN" : "00664804", "PMID" : "23380734", "abstract" : "The efficacy of voriconazole is potentially compromised by considerable pharmacokinetic variability. There are increasing insights into voriconazole concentrations that are safe and effective for treatment of invasive fungal infections. Therapeutic drug monitoring is increasingly advocated. Software to aid in the individualization of dosing would be an extremely useful clinical tool. We developed software to enable the individualization of voriconazole dosing to attain predefined serum concentration targets. The process of individualized voriconazole therapy was based on concepts of Bayesian stochastic adaptive control. Multiple-model dosage design with feedback control was used to calculate dosages that achieved desired concentration targets with maximum precision. The performance of the software program was assessed using the data from 10 recipients of an allogeneic hematopoietic stem cell transplant (HSCT) receiving intravenous (i.v.) voriconazole. The program was able to model the plasma concentrations with a high level of precision, despite the wide range of concentration trajectories and interindividual pharmacokinetic variability. The voriconazole concentrations predicted after the last dosages were largely concordant with those actually measured. Simulations provided an illustration of the way in which the software can be used to adjust dosages of patients falling outside desired concentration targets. This software appears to be an extremely useful tool to further optimize voriconazole therapy and aid in therapeutic drug monitoring. Further prospective studies are now required to define the utility of the controller in daily clinical practice.", "author" : [ { "dropping-particle" : "", "family" : "Hope", "given" : "William W.", "non-dropping-particle" : "", "parse-names" : false, "suffix" : "" }, { "dropping-particle" : "", "family" : "Guilder", "given" : "Michael", "non-dropping-particle" : "Van", "parse-names" : false, "suffix" : "" }, { "dropping-particle" : "", "family" : "Donnelly", "given" : "J. Peter", "non-dropping-particle" : "", "parse-names" : false, "suffix" : "" }, { "dropping-particle" : "", "family" : "Blijlevens", "given" : "Nicole M a", "non-dropping-particle" : "", "parse-names" : false, "suffix" : "" }, { "dropping-particle" : "", "family" : "Br\u00fcggemann", "given" : "Roger J M", "non-dropping-particle" : "", "parse-names" : false, "suffix" : "" }, { "dropping-particle" : "", "family" : "Jelliffe", "given" : "Roger W.", "non-dropping-particle" : "", "parse-names" : false, "suffix" : "" }, { "dropping-particle" : "", "family" : "Neely", "given" : "Michael N.", "non-dropping-particle" : "", "parse-names" : false, "suffix" : "" } ], "container-title" : "Antimicrobial Agents and Chemotherapy", "id" : "ITEM-1", "issued" : { "date-parts" : [ [ "2013" ] ] }, "page" : "1888-1894", "title" : "Software for dosage individualization of voriconazole for immunocompromised patients", "type" : "article-journal", "volume" : "57" }, "uris" : [ "http://www.mendeley.com/documents/?uuid=559460f1-1576-4ca0-bc39-47f1dee558cd" ] } ], "mendeley" : { "formattedCitation" : "(26)", "plainTextFormattedCitation" : "(26)", "previouslyFormattedCitation" : "(26)" }, "properties" : { "noteIndex" : 0 }, "schema" : "https://github.com/citation-style-language/schema/raw/master/csl-citation.json" }</w:instrText>
      </w:r>
      <w:r>
        <w:rPr>
          <w:rFonts w:ascii="Times New Roman" w:hAnsi="Times New Roman" w:cs="Times New Roman"/>
        </w:rPr>
        <w:fldChar w:fldCharType="separate"/>
      </w:r>
      <w:r w:rsidRPr="00065350">
        <w:rPr>
          <w:rFonts w:ascii="Times New Roman" w:hAnsi="Times New Roman" w:cs="Times New Roman"/>
          <w:noProof/>
        </w:rPr>
        <w:t>(26)</w:t>
      </w:r>
      <w:r>
        <w:rPr>
          <w:rFonts w:ascii="Times New Roman" w:hAnsi="Times New Roman" w:cs="Times New Roman"/>
        </w:rPr>
        <w:fldChar w:fldCharType="end"/>
      </w:r>
      <w:r>
        <w:rPr>
          <w:rFonts w:ascii="Times New Roman" w:hAnsi="Times New Roman" w:cs="Times New Roman"/>
        </w:rPr>
        <w:t>.</w:t>
      </w:r>
    </w:p>
    <w:p w14:paraId="73F88828" w14:textId="77777777" w:rsidR="00556887" w:rsidRDefault="00556887" w:rsidP="00556887">
      <w:pPr>
        <w:spacing w:line="480" w:lineRule="auto"/>
        <w:jc w:val="both"/>
        <w:rPr>
          <w:rFonts w:ascii="Times New Roman" w:hAnsi="Times New Roman" w:cs="Times New Roman"/>
          <w:b/>
        </w:rPr>
      </w:pPr>
    </w:p>
    <w:p w14:paraId="208C4A1D" w14:textId="77777777" w:rsidR="00556887" w:rsidRDefault="00556887" w:rsidP="00556887">
      <w:pPr>
        <w:spacing w:line="480" w:lineRule="auto"/>
        <w:jc w:val="both"/>
        <w:rPr>
          <w:rFonts w:ascii="Times New Roman" w:hAnsi="Times New Roman" w:cs="Times New Roman"/>
        </w:rPr>
      </w:pPr>
      <w:r w:rsidRPr="00F27B0F">
        <w:rPr>
          <w:rFonts w:ascii="Times New Roman" w:hAnsi="Times New Roman" w:cs="Times New Roman"/>
          <w:b/>
        </w:rPr>
        <w:t>Simulations to demonstrate</w:t>
      </w:r>
      <w:r>
        <w:rPr>
          <w:rFonts w:ascii="Times New Roman" w:hAnsi="Times New Roman" w:cs="Times New Roman"/>
          <w:b/>
        </w:rPr>
        <w:t xml:space="preserve"> the utility of the dose optimiz</w:t>
      </w:r>
      <w:r w:rsidRPr="00F27B0F">
        <w:rPr>
          <w:rFonts w:ascii="Times New Roman" w:hAnsi="Times New Roman" w:cs="Times New Roman"/>
          <w:b/>
        </w:rPr>
        <w:t>ation software</w:t>
      </w:r>
    </w:p>
    <w:p w14:paraId="4103FD72" w14:textId="77777777" w:rsidR="00556887" w:rsidRPr="00733945" w:rsidRDefault="00556887" w:rsidP="00556887">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T</w:t>
      </w:r>
      <w:r w:rsidRPr="00097B15">
        <w:rPr>
          <w:rFonts w:ascii="Times New Roman" w:hAnsi="Times New Roman" w:cs="Times New Roman"/>
        </w:rPr>
        <w:t xml:space="preserve">o show </w:t>
      </w:r>
      <w:r>
        <w:rPr>
          <w:rFonts w:ascii="Times New Roman" w:hAnsi="Times New Roman" w:cs="Times New Roman"/>
        </w:rPr>
        <w:t>the</w:t>
      </w:r>
      <w:r w:rsidRPr="00097B15">
        <w:rPr>
          <w:rFonts w:ascii="Times New Roman" w:hAnsi="Times New Roman" w:cs="Times New Roman"/>
        </w:rPr>
        <w:t xml:space="preserve"> </w:t>
      </w:r>
      <w:r>
        <w:rPr>
          <w:rFonts w:ascii="Times New Roman" w:hAnsi="Times New Roman" w:cs="Times New Roman"/>
        </w:rPr>
        <w:t>potential value of the dose optimiz</w:t>
      </w:r>
      <w:r w:rsidRPr="00733945">
        <w:rPr>
          <w:rFonts w:ascii="Times New Roman" w:hAnsi="Times New Roman" w:cs="Times New Roman"/>
        </w:rPr>
        <w:t>ation software</w:t>
      </w:r>
      <w:r>
        <w:rPr>
          <w:rFonts w:ascii="Times New Roman" w:hAnsi="Times New Roman" w:cs="Times New Roman"/>
        </w:rPr>
        <w:t xml:space="preserve"> as a clinical tool</w:t>
      </w:r>
      <w:r w:rsidRPr="00097B15">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t</w:t>
      </w:r>
      <w:r w:rsidRPr="00733945">
        <w:rPr>
          <w:rFonts w:ascii="Times New Roman" w:hAnsi="Times New Roman" w:cs="Times New Roman"/>
        </w:rPr>
        <w:t xml:space="preserve">he </w:t>
      </w:r>
      <w:r>
        <w:rPr>
          <w:rFonts w:ascii="Times New Roman" w:hAnsi="Times New Roman" w:cs="Times New Roman"/>
        </w:rPr>
        <w:t xml:space="preserve">software was used to predict the required dosage by day 2 of therapy to achieve a pre-determined </w:t>
      </w:r>
      <w:proofErr w:type="spellStart"/>
      <w:r>
        <w:rPr>
          <w:rFonts w:ascii="Times New Roman" w:hAnsi="Times New Roman" w:cs="Times New Roman"/>
        </w:rPr>
        <w:t>teicoplanin</w:t>
      </w:r>
      <w:proofErr w:type="spellEnd"/>
      <w:r>
        <w:rPr>
          <w:rFonts w:ascii="Times New Roman" w:hAnsi="Times New Roman" w:cs="Times New Roman"/>
        </w:rPr>
        <w:t xml:space="preserve"> concentration (15 mg/L) from day 3 in two representative subjects selected from the study population chosen based on age</w:t>
      </w:r>
      <w:r w:rsidRPr="00976E63">
        <w:rPr>
          <w:rFonts w:ascii="Times New Roman" w:hAnsi="Times New Roman" w:cs="Times New Roman"/>
        </w:rPr>
        <w:t>: 1) a critically ill infant (5 months old</w:t>
      </w:r>
      <w:r>
        <w:rPr>
          <w:rFonts w:ascii="Times New Roman" w:hAnsi="Times New Roman" w:cs="Times New Roman"/>
        </w:rPr>
        <w:t>-0.46 years old-</w:t>
      </w:r>
      <w:r w:rsidRPr="00976E63">
        <w:rPr>
          <w:rFonts w:ascii="Times New Roman" w:hAnsi="Times New Roman" w:cs="Times New Roman"/>
        </w:rPr>
        <w:t xml:space="preserve">, 6.3 kg, </w:t>
      </w:r>
      <w:proofErr w:type="spellStart"/>
      <w:r w:rsidRPr="00976E63">
        <w:rPr>
          <w:rFonts w:ascii="Times New Roman" w:hAnsi="Times New Roman" w:cs="Times New Roman"/>
        </w:rPr>
        <w:t>eGFR</w:t>
      </w:r>
      <w:proofErr w:type="spellEnd"/>
      <w:r w:rsidRPr="00976E63">
        <w:rPr>
          <w:rFonts w:ascii="Times New Roman" w:hAnsi="Times New Roman" w:cs="Times New Roman"/>
        </w:rPr>
        <w:t xml:space="preserve"> 63.84 ml/min/1.73m</w:t>
      </w:r>
      <w:r w:rsidRPr="00976E63">
        <w:rPr>
          <w:rFonts w:ascii="Times New Roman" w:hAnsi="Times New Roman" w:cs="Times New Roman"/>
          <w:vertAlign w:val="superscript"/>
        </w:rPr>
        <w:t>2</w:t>
      </w:r>
      <w:r w:rsidRPr="00976E63">
        <w:rPr>
          <w:rFonts w:ascii="Times New Roman" w:hAnsi="Times New Roman" w:cs="Times New Roman"/>
        </w:rPr>
        <w:t>)</w:t>
      </w:r>
      <w:r>
        <w:rPr>
          <w:rFonts w:ascii="Times New Roman" w:hAnsi="Times New Roman" w:cs="Times New Roman"/>
        </w:rPr>
        <w:t xml:space="preserve"> and 2) a critically ill older child (5.78 years old, 16.3 kg, </w:t>
      </w:r>
      <w:proofErr w:type="spellStart"/>
      <w:r>
        <w:rPr>
          <w:rFonts w:ascii="Times New Roman" w:hAnsi="Times New Roman" w:cs="Times New Roman"/>
        </w:rPr>
        <w:t>eGFR</w:t>
      </w:r>
      <w:proofErr w:type="spellEnd"/>
      <w:r>
        <w:rPr>
          <w:rFonts w:ascii="Times New Roman" w:hAnsi="Times New Roman" w:cs="Times New Roman"/>
        </w:rPr>
        <w:t xml:space="preserve"> 108.41 ml/min/1.73 m</w:t>
      </w:r>
      <w:r>
        <w:rPr>
          <w:rFonts w:ascii="Times New Roman" w:hAnsi="Times New Roman" w:cs="Times New Roman"/>
          <w:vertAlign w:val="superscript"/>
        </w:rPr>
        <w:t>2</w:t>
      </w:r>
      <w:r>
        <w:rPr>
          <w:rFonts w:ascii="Times New Roman" w:hAnsi="Times New Roman" w:cs="Times New Roman"/>
        </w:rPr>
        <w:t>). We used the past real concentration-time and dosing data from these two patients during the first dosing interval plus a 48h trough (n=4 observations) to predict the optimized dose and infusion time to achieve the desired target concentration safely (</w:t>
      </w:r>
      <w:proofErr w:type="spellStart"/>
      <w:r>
        <w:rPr>
          <w:rFonts w:ascii="Times New Roman" w:hAnsi="Times New Roman" w:cs="Times New Roman"/>
        </w:rPr>
        <w:t>i.e</w:t>
      </w:r>
      <w:proofErr w:type="spellEnd"/>
      <w:r>
        <w:rPr>
          <w:rFonts w:ascii="Times New Roman" w:hAnsi="Times New Roman" w:cs="Times New Roman"/>
        </w:rPr>
        <w:t xml:space="preserve"> avoiding peaks &gt; 60 mg/L, </w:t>
      </w:r>
      <w:r>
        <w:rPr>
          <w:rFonts w:ascii="Times New Roman" w:hAnsi="Times New Roman" w:cs="Times New Roman"/>
        </w:rPr>
        <w:lastRenderedPageBreak/>
        <w:t xml:space="preserve">regarded as potentially toxic levels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"ISBN" : "978 0 85711 164 7", "author" : [ { "dropping-particle" : "", "family" : "BMJ Group, the Royal Pharmaceutical Society of Great Britain", "given" : "and RCPCH Publications Ltd.2014.", "non-dropping-particle" : "", "parse-names" : false, "suffix" : "" } ], "edition" : "2015-2016", "id" : "ITEM-1", "issued" : { "date-parts" : [ [ "2015" ] ] }, "publisher" : "BMJ Group", "publisher-place" : "London", "title" : "British National Formulary for Children-Antibacterial drugs-Teicoplanin.", "type" : "book" }, "uris" : [ "http://www.mendeley.com/documents/?uuid=5dbab8bd-0223-360e-8eb2-3a42033acd1a" ] } ], "mendeley" : { "formattedCitation" : "(3)", "plainTextFormattedCitation" : "(3)", "previouslyFormattedCitation" : "(3)" }, "properties" : { "noteIndex" : 0 }, "schema" : "https://github.com/citation-style-language/schema/raw/master/csl-citation.json" }</w:instrText>
      </w:r>
      <w:r>
        <w:rPr>
          <w:rFonts w:ascii="Times New Roman" w:hAnsi="Times New Roman" w:cs="Times New Roman"/>
        </w:rPr>
        <w:fldChar w:fldCharType="separate"/>
      </w:r>
      <w:r w:rsidRPr="003F682E">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xml:space="preserve">). A “past” data-file contained the observed concentrations for each patient. A “future” data-file contained the required timings of future dosages and target, an initial guess of the likely future dose(s) that would be required, as well as the infusion time was prepared. The same patients were also investigated with different simulated age-related average </w:t>
      </w:r>
      <w:proofErr w:type="spellStart"/>
      <w:r>
        <w:rPr>
          <w:rFonts w:ascii="Times New Roman" w:hAnsi="Times New Roman" w:cs="Times New Roman"/>
        </w:rPr>
        <w:t>eGFR</w:t>
      </w:r>
      <w:proofErr w:type="spellEnd"/>
      <w:r>
        <w:rPr>
          <w:rFonts w:ascii="Times New Roman" w:hAnsi="Times New Roman" w:cs="Times New Roman"/>
        </w:rPr>
        <w:t>: 77 and 127</w:t>
      </w:r>
      <w:r w:rsidRPr="0026511E">
        <w:rPr>
          <w:rFonts w:ascii="Times New Roman" w:hAnsi="Times New Roman" w:cs="Times New Roman"/>
        </w:rPr>
        <w:t xml:space="preserve"> </w:t>
      </w:r>
      <w:r>
        <w:rPr>
          <w:rFonts w:ascii="Times New Roman" w:hAnsi="Times New Roman" w:cs="Times New Roman"/>
        </w:rPr>
        <w:t>ml/min/1.73m</w:t>
      </w:r>
      <w:r>
        <w:rPr>
          <w:rFonts w:ascii="Times New Roman" w:hAnsi="Times New Roman" w:cs="Times New Roman"/>
          <w:vertAlign w:val="superscript"/>
        </w:rPr>
        <w:t>2</w:t>
      </w:r>
      <w:r>
        <w:rPr>
          <w:rFonts w:ascii="Times New Roman" w:hAnsi="Times New Roman" w:cs="Times New Roman"/>
        </w:rPr>
        <w:t xml:space="preserve">, respectively) to evaluate the impact of renal function in the patient´s PK profile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"0931-041X", "PMID" : "2025537", "abstract" : "We have reviewed the studies that provide the current standards of reference for glomerular filtration rate (GFR) in normal children from 14 days to 12 years of postnatal age. These standards currently are presented as ml/min per 1.73 m2, i.e., adjusted to average adult body surface area. Children from birth to 1 year of age have adjusted values below the adult range, making comparisons of observed to reference values difficult. Currently, there is no accepted way of obtaining reference values that vary smoothly with age. An analysis of the absolute GFR values in normal children taken from published studies led to an equation that estimates average GFR in relation to weight and term-adjusted age from -2 months (7 months gestational age) to 12 years in children at least 14 days post delivery. When these data are transformed to percentage of normal (% nl) for age and weight (i.e., percentage of the estimated average), it is possible to describe approximate apparent lower limits of normal GFR as is now done for adults and older children. For children with loss of renal mass, GFR expressed as % nl for age and weight provides a convenient standardization which has several useful applications. First, results expressed as % nl for children of different ages, particularly under 1 year of age, can be combined with those of older children for summary purposes. Second, the course of GFR measured serially in children is more appropriately described using this method for expressing GFR. Reporting GFR in absolute values is also useful, particularly in patients whose body mass is significantly distorted or whose absolute GFR is low.", "author" : [ { "dropping-particle" : "", "family" : "Heilbron", "given" : "D C", "non-dropping-particle" : "", "parse-names" : false, "suffix" : "" }, { "dropping-particle" : "", "family" : "Holliday", "given" : "M A", "non-dropping-particle" : "", "parse-names" : false, "suffix" : "" }, { "dropping-particle" : "", "family" : "al-Dahwi", "given" : "A", "non-dropping-particle" : "", "parse-names" : false, "suffix" : "" }, { "dropping-particle" : "", "family" : "Kogan", "given" : "B A", "non-dropping-particle" : "", "parse-names" : false, "suffix" : "" } ], "container-title" : "Pediatric nephrology (Berlin, Germany)", "id" : "ITEM-1", "issue" : "1", "issued" : { "date-parts" : [ [ "1991", "1" ] ] }, "page" : "5-11", "title" : "Expressing glomerular filtration rate in children.", "type" : "article-journal", "volume" : "5" }, "uris" : [ "http://www.mendeley.com/documents/?uuid=15aeb620-03ab-35ba-94a8-e2cd0a7f3956" ] } ], "mendeley" : { "formattedCitation" : "(28)", "plainTextFormattedCitation" : "(28)", "previouslyFormattedCitation" : "(28)" }, "properties" : { "noteIndex" : 0 }, "schema" : "https://github.com/citation-style-language/schema/raw/master/csl-citation.json" }</w:instrText>
      </w:r>
      <w:r>
        <w:rPr>
          <w:rFonts w:ascii="Times New Roman" w:hAnsi="Times New Roman" w:cs="Times New Roman"/>
        </w:rPr>
        <w:fldChar w:fldCharType="separate"/>
      </w:r>
      <w:r w:rsidRPr="00065350">
        <w:rPr>
          <w:rFonts w:ascii="Times New Roman" w:hAnsi="Times New Roman" w:cs="Times New Roman"/>
          <w:noProof/>
        </w:rPr>
        <w:t>(28)</w:t>
      </w:r>
      <w:r>
        <w:rPr>
          <w:rFonts w:ascii="Times New Roman" w:hAnsi="Times New Roman" w:cs="Times New Roman"/>
        </w:rPr>
        <w:fldChar w:fldCharType="end"/>
      </w:r>
      <w:r>
        <w:rPr>
          <w:rFonts w:ascii="Times New Roman" w:hAnsi="Times New Roman" w:cs="Times New Roman"/>
        </w:rPr>
        <w:t>.</w:t>
      </w:r>
    </w:p>
    <w:p w14:paraId="511EE01F" w14:textId="77777777" w:rsidR="00556887" w:rsidRPr="00AB5567" w:rsidRDefault="00556887" w:rsidP="00556887">
      <w:pPr>
        <w:spacing w:line="480" w:lineRule="auto"/>
        <w:ind w:firstLine="708"/>
        <w:jc w:val="both"/>
        <w:rPr>
          <w:rFonts w:ascii="Times New Roman" w:hAnsi="Times New Roman" w:cs="Times New Roman"/>
          <w:i/>
        </w:rPr>
      </w:pPr>
      <w:r>
        <w:rPr>
          <w:rFonts w:ascii="Times New Roman" w:hAnsi="Times New Roman" w:cs="Times New Roman"/>
        </w:rPr>
        <w:t>The dose optimiz</w:t>
      </w:r>
      <w:r w:rsidRPr="00933665">
        <w:rPr>
          <w:rFonts w:ascii="Times New Roman" w:hAnsi="Times New Roman" w:cs="Times New Roman"/>
        </w:rPr>
        <w:t>ation software was tested by comparing the estimated predicted PK profile plot against the observations, as well as by the linear regression of the observed versus predicted concentrations for</w:t>
      </w:r>
      <w:r>
        <w:rPr>
          <w:rFonts w:ascii="Times New Roman" w:hAnsi="Times New Roman" w:cs="Times New Roman"/>
        </w:rPr>
        <w:t xml:space="preserve"> each individual patient. </w:t>
      </w:r>
      <w:r w:rsidRPr="00933665">
        <w:rPr>
          <w:rFonts w:ascii="Times New Roman" w:hAnsi="Times New Roman" w:cs="Times New Roman"/>
        </w:rPr>
        <w:t xml:space="preserve">From the predicted concentrations based on the median individual Bayesian posterior parameter distribution, we calculated the bias, which is equal to the mean weighted predicted error (∑ </w:t>
      </w:r>
      <w:proofErr w:type="spellStart"/>
      <w:r w:rsidRPr="00933665">
        <w:rPr>
          <w:rFonts w:ascii="Times New Roman" w:hAnsi="Times New Roman" w:cs="Times New Roman"/>
        </w:rPr>
        <w:t>wpe</w:t>
      </w:r>
      <w:proofErr w:type="spellEnd"/>
      <w:r w:rsidRPr="00933665">
        <w:rPr>
          <w:rFonts w:ascii="Times New Roman" w:hAnsi="Times New Roman" w:cs="Times New Roman"/>
        </w:rPr>
        <w:t xml:space="preserve">/N), with </w:t>
      </w:r>
      <w:proofErr w:type="spellStart"/>
      <w:r w:rsidRPr="00933665">
        <w:rPr>
          <w:rFonts w:ascii="Times New Roman" w:hAnsi="Times New Roman" w:cs="Times New Roman"/>
        </w:rPr>
        <w:t>wpe</w:t>
      </w:r>
      <w:proofErr w:type="spellEnd"/>
      <w:r w:rsidRPr="00933665">
        <w:rPr>
          <w:rFonts w:ascii="Times New Roman" w:hAnsi="Times New Roman" w:cs="Times New Roman"/>
        </w:rPr>
        <w:t xml:space="preserve"> = /predicted concentration – the actual concentration)/SD for each prediction/observation, and the % bias. We also computed the imprecision, which is the mean bias adjusted weighted squared error (∑ </w:t>
      </w:r>
      <w:proofErr w:type="spellStart"/>
      <w:r w:rsidRPr="00933665">
        <w:rPr>
          <w:rFonts w:ascii="Times New Roman" w:hAnsi="Times New Roman" w:cs="Times New Roman"/>
        </w:rPr>
        <w:t>wspe</w:t>
      </w:r>
      <w:proofErr w:type="spellEnd"/>
      <w:r w:rsidRPr="00933665">
        <w:rPr>
          <w:rFonts w:ascii="Times New Roman" w:hAnsi="Times New Roman" w:cs="Times New Roman"/>
        </w:rPr>
        <w:t>/N-mwpe</w:t>
      </w:r>
      <w:r w:rsidRPr="00933665">
        <w:rPr>
          <w:rFonts w:ascii="Times New Roman" w:hAnsi="Times New Roman" w:cs="Times New Roman"/>
          <w:vertAlign w:val="superscript"/>
        </w:rPr>
        <w:t>2</w:t>
      </w:r>
      <w:r w:rsidRPr="00933665">
        <w:rPr>
          <w:rFonts w:ascii="Times New Roman" w:hAnsi="Times New Roman" w:cs="Times New Roman"/>
        </w:rPr>
        <w:t xml:space="preserve">), and its respective percentage for each patient and each experimental run. The weighted mean individual PK parameter values and an average 24h AUC </w:t>
      </w:r>
      <w:r>
        <w:rPr>
          <w:rFonts w:ascii="Times New Roman" w:hAnsi="Times New Roman" w:cs="Times New Roman"/>
        </w:rPr>
        <w:t>estimated by</w:t>
      </w:r>
      <w:r w:rsidRPr="00933665">
        <w:rPr>
          <w:rFonts w:ascii="Times New Roman" w:hAnsi="Times New Roman" w:cs="Times New Roman"/>
        </w:rPr>
        <w:t xml:space="preserve"> the trapezoidal approximation to hourly predictions for each subject were also computed by the software</w:t>
      </w:r>
      <w:r>
        <w:rPr>
          <w:rFonts w:ascii="Times New Roman" w:hAnsi="Times New Roman" w:cs="Times New Roman"/>
        </w:rPr>
        <w:t>.</w:t>
      </w:r>
    </w:p>
    <w:p w14:paraId="2888D9B5" w14:textId="77777777" w:rsidR="00556887" w:rsidRPr="00C300F8" w:rsidRDefault="00556887" w:rsidP="00556887">
      <w:pPr>
        <w:spacing w:line="480" w:lineRule="auto"/>
        <w:ind w:firstLine="708"/>
        <w:jc w:val="both"/>
        <w:rPr>
          <w:rFonts w:ascii="Times New Roman" w:hAnsi="Times New Roman" w:cs="Times New Roman"/>
        </w:rPr>
      </w:pPr>
      <w:r w:rsidRPr="008B30B9">
        <w:rPr>
          <w:rFonts w:ascii="Times New Roman" w:hAnsi="Times New Roman" w:cs="Times New Roman"/>
        </w:rPr>
        <w:t xml:space="preserve">Monte Carlo simulations were performed to assess the proportion of patients receiving fixed regimens with a </w:t>
      </w:r>
      <w:proofErr w:type="spellStart"/>
      <w:r w:rsidRPr="008B30B9">
        <w:rPr>
          <w:rFonts w:ascii="Times New Roman" w:hAnsi="Times New Roman" w:cs="Times New Roman"/>
        </w:rPr>
        <w:t>Cmin</w:t>
      </w:r>
      <w:proofErr w:type="spellEnd"/>
      <w:r w:rsidRPr="008B30B9">
        <w:rPr>
          <w:rFonts w:ascii="Times New Roman" w:hAnsi="Times New Roman" w:cs="Times New Roman"/>
        </w:rPr>
        <w:t xml:space="preserve"> (i.e. trough concentration) of 15-60 mg/L by day 3 of therapy and the proportion with potentially toxic concentrations (&gt;60 mg/L). Four candidate regimens were examined: (1) 30 mg/kg x 3 LD every 12 h + 20 mg/kg q24 h; (2) 20 mg/kg x 3 LD q12h + 15 mg/kg q24 h; (3) 25 mg/kg x 3 LD q12 h + 10 mg/kg q24 h; and (</w:t>
      </w:r>
      <w:proofErr w:type="gramStart"/>
      <w:r w:rsidRPr="008B30B9">
        <w:rPr>
          <w:rFonts w:ascii="Times New Roman" w:hAnsi="Times New Roman" w:cs="Times New Roman"/>
        </w:rPr>
        <w:t>4 )</w:t>
      </w:r>
      <w:proofErr w:type="gramEnd"/>
      <w:r w:rsidRPr="008B30B9">
        <w:rPr>
          <w:rFonts w:ascii="Times New Roman" w:hAnsi="Times New Roman" w:cs="Times New Roman"/>
        </w:rPr>
        <w:t xml:space="preserve"> 30 mg/kg x 2 LD q12 h+ 10 mg/kg q24 h. One-hundred concentration-</w:t>
      </w:r>
      <w:r w:rsidRPr="008B30B9">
        <w:rPr>
          <w:rFonts w:ascii="Times New Roman" w:hAnsi="Times New Roman" w:cs="Times New Roman"/>
        </w:rPr>
        <w:lastRenderedPageBreak/>
        <w:t xml:space="preserve">time profiles were simulated for each regimen. The range of the covariates used in the simulations (i.e. weight, age and the renal function descriptor) were the same as the original population. The simulations were performed using </w:t>
      </w:r>
      <w:proofErr w:type="spellStart"/>
      <w:r w:rsidRPr="008B30B9">
        <w:rPr>
          <w:rFonts w:ascii="Times New Roman" w:hAnsi="Times New Roman" w:cs="Times New Roman"/>
        </w:rPr>
        <w:t>Pmetrics</w:t>
      </w:r>
      <w:proofErr w:type="spellEnd"/>
      <w:r w:rsidRPr="008B30B9">
        <w:rPr>
          <w:rFonts w:ascii="Times New Roman" w:hAnsi="Times New Roman" w:cs="Times New Roman"/>
        </w:rPr>
        <w:t>.</w:t>
      </w:r>
    </w:p>
    <w:p w14:paraId="00EF88F3" w14:textId="7B37142E" w:rsidR="008B30B9" w:rsidRDefault="008B30B9">
      <w:pPr>
        <w:rPr>
          <w:rFonts w:ascii="Times New Roman" w:hAnsi="Times New Roman" w:cs="Times New Roman"/>
          <w:b/>
        </w:rPr>
      </w:pPr>
      <w:r>
        <w:rPr>
          <w:rFonts w:ascii="Times New Roman" w:hAnsi="Times New Roman" w:cs="Times New Roman"/>
          <w:b/>
        </w:rPr>
        <w:br w:type="page"/>
      </w:r>
    </w:p>
    <w:p w14:paraId="368496E7" w14:textId="77777777" w:rsidR="00142A05" w:rsidRPr="00743210" w:rsidRDefault="00142A05">
      <w:pPr>
        <w:spacing w:line="480" w:lineRule="auto"/>
        <w:rPr>
          <w:rFonts w:ascii="Times New Roman" w:hAnsi="Times New Roman" w:cs="Times New Roman"/>
          <w:b/>
        </w:rPr>
      </w:pPr>
      <w:r w:rsidRPr="00743210">
        <w:rPr>
          <w:rFonts w:ascii="Times New Roman" w:hAnsi="Times New Roman" w:cs="Times New Roman"/>
          <w:b/>
        </w:rPr>
        <w:lastRenderedPageBreak/>
        <w:t>ACKNOWLEDGEMENTS</w:t>
      </w:r>
    </w:p>
    <w:p w14:paraId="179DDBE9" w14:textId="77777777" w:rsidR="00142A05" w:rsidRDefault="00142A05">
      <w:pPr>
        <w:spacing w:line="480" w:lineRule="auto"/>
        <w:rPr>
          <w:rFonts w:ascii="Times New Roman" w:hAnsi="Times New Roman" w:cs="Times New Roman"/>
        </w:rPr>
      </w:pPr>
      <w:r>
        <w:rPr>
          <w:rFonts w:ascii="Times New Roman" w:hAnsi="Times New Roman" w:cs="Times New Roman"/>
          <w:b/>
          <w:sz w:val="28"/>
          <w:szCs w:val="28"/>
        </w:rPr>
        <w:tab/>
      </w:r>
      <w:r w:rsidRPr="00142A05">
        <w:rPr>
          <w:rFonts w:ascii="Times New Roman" w:hAnsi="Times New Roman" w:cs="Times New Roman"/>
        </w:rPr>
        <w:t>We thank</w:t>
      </w:r>
      <w:r>
        <w:rPr>
          <w:rFonts w:ascii="Times New Roman" w:hAnsi="Times New Roman" w:cs="Times New Roman"/>
        </w:rPr>
        <w:t xml:space="preserve"> all the patients and families that participated in the </w:t>
      </w:r>
      <w:proofErr w:type="spellStart"/>
      <w:r>
        <w:rPr>
          <w:rFonts w:ascii="Times New Roman" w:hAnsi="Times New Roman" w:cs="Times New Roman"/>
        </w:rPr>
        <w:t>teicoplanin</w:t>
      </w:r>
      <w:proofErr w:type="spellEnd"/>
      <w:r>
        <w:rPr>
          <w:rFonts w:ascii="Times New Roman" w:hAnsi="Times New Roman" w:cs="Times New Roman"/>
        </w:rPr>
        <w:t xml:space="preserve"> PK study.</w:t>
      </w:r>
      <w:r w:rsidR="009A00FA">
        <w:rPr>
          <w:rFonts w:ascii="Times New Roman" w:hAnsi="Times New Roman" w:cs="Times New Roman"/>
        </w:rPr>
        <w:t xml:space="preserve"> </w:t>
      </w:r>
      <w:r>
        <w:rPr>
          <w:rFonts w:ascii="Times New Roman" w:hAnsi="Times New Roman" w:cs="Times New Roman"/>
        </w:rPr>
        <w:t>We thank the NIHR Alder Hey Clinical Research Facility (CRF) and Alder Hey NHS Foundation Trust Business Unit for supporting the PK study.</w:t>
      </w:r>
    </w:p>
    <w:p w14:paraId="1E0A31C5" w14:textId="67CF117D" w:rsidR="00142A05" w:rsidRDefault="00142A05">
      <w:pPr>
        <w:spacing w:line="480" w:lineRule="auto"/>
        <w:rPr>
          <w:rFonts w:ascii="Times New Roman" w:hAnsi="Times New Roman" w:cs="Times New Roman"/>
        </w:rPr>
      </w:pPr>
      <w:r>
        <w:rPr>
          <w:rFonts w:ascii="Times New Roman" w:hAnsi="Times New Roman" w:cs="Times New Roman"/>
        </w:rPr>
        <w:tab/>
        <w:t xml:space="preserve">We thank the Laboratory of Applied Pharmacokinetics and Bioinformatics (LAPKB), led by Dr. Michael </w:t>
      </w:r>
      <w:r w:rsidR="00DE6324">
        <w:rPr>
          <w:rFonts w:ascii="Times New Roman" w:hAnsi="Times New Roman" w:cs="Times New Roman"/>
        </w:rPr>
        <w:t>Neely, Associate Professor of P</w:t>
      </w:r>
      <w:r>
        <w:rPr>
          <w:rFonts w:ascii="Times New Roman" w:hAnsi="Times New Roman" w:cs="Times New Roman"/>
        </w:rPr>
        <w:t>ediatrics and Infectious Diseases at The University of Southern California, Keck Medical School and The Children´s Hospital of Los Angeles, CA. To each and every memb</w:t>
      </w:r>
      <w:r w:rsidR="00E84284">
        <w:rPr>
          <w:rFonts w:ascii="Times New Roman" w:hAnsi="Times New Roman" w:cs="Times New Roman"/>
        </w:rPr>
        <w:t>er of the</w:t>
      </w:r>
      <w:r w:rsidR="007D3682">
        <w:rPr>
          <w:rFonts w:ascii="Times New Roman" w:hAnsi="Times New Roman" w:cs="Times New Roman"/>
        </w:rPr>
        <w:t xml:space="preserve"> team for supporting VRM´s</w:t>
      </w:r>
      <w:r>
        <w:rPr>
          <w:rFonts w:ascii="Times New Roman" w:hAnsi="Times New Roman" w:cs="Times New Roman"/>
        </w:rPr>
        <w:t xml:space="preserve"> training visit during February-March 2016: Aida </w:t>
      </w:r>
      <w:proofErr w:type="spellStart"/>
      <w:r>
        <w:rPr>
          <w:rFonts w:ascii="Times New Roman" w:hAnsi="Times New Roman" w:cs="Times New Roman"/>
        </w:rPr>
        <w:t>Bustad</w:t>
      </w:r>
      <w:proofErr w:type="spellEnd"/>
      <w:r>
        <w:rPr>
          <w:rFonts w:ascii="Times New Roman" w:hAnsi="Times New Roman" w:cs="Times New Roman"/>
        </w:rPr>
        <w:t xml:space="preserve">, Dr. Yamada, Mike Van Guilder and Founder and Director Emeritus, Prof. Roger </w:t>
      </w:r>
      <w:proofErr w:type="spellStart"/>
      <w:r>
        <w:rPr>
          <w:rFonts w:ascii="Times New Roman" w:hAnsi="Times New Roman" w:cs="Times New Roman"/>
        </w:rPr>
        <w:t>Jelliffe</w:t>
      </w:r>
      <w:proofErr w:type="spellEnd"/>
      <w:r>
        <w:rPr>
          <w:rFonts w:ascii="Times New Roman" w:hAnsi="Times New Roman" w:cs="Times New Roman"/>
        </w:rPr>
        <w:t>.</w:t>
      </w:r>
    </w:p>
    <w:p w14:paraId="082407EB" w14:textId="77777777" w:rsidR="00142A05" w:rsidRDefault="00142A05">
      <w:pPr>
        <w:spacing w:line="480" w:lineRule="auto"/>
        <w:rPr>
          <w:rFonts w:ascii="Times New Roman" w:hAnsi="Times New Roman" w:cs="Times New Roman"/>
        </w:rPr>
      </w:pPr>
      <w:r>
        <w:rPr>
          <w:rFonts w:ascii="Times New Roman" w:hAnsi="Times New Roman" w:cs="Times New Roman"/>
        </w:rPr>
        <w:tab/>
        <w:t xml:space="preserve">We thank ESCMID and ESCMID Study Group </w:t>
      </w:r>
      <w:r w:rsidR="007D3682">
        <w:rPr>
          <w:rFonts w:ascii="Times New Roman" w:hAnsi="Times New Roman" w:cs="Times New Roman"/>
        </w:rPr>
        <w:t>“PK-PD of Anti-</w:t>
      </w:r>
      <w:proofErr w:type="spellStart"/>
      <w:r w:rsidR="007D3682">
        <w:rPr>
          <w:rFonts w:ascii="Times New Roman" w:hAnsi="Times New Roman" w:cs="Times New Roman"/>
        </w:rPr>
        <w:t>Infectives</w:t>
      </w:r>
      <w:proofErr w:type="spellEnd"/>
      <w:r w:rsidR="007D3682">
        <w:rPr>
          <w:rFonts w:ascii="Times New Roman" w:hAnsi="Times New Roman" w:cs="Times New Roman"/>
        </w:rPr>
        <w:t>” (EPASG) Executive Committee for awarding a study grant (2016) that supported VRM´s training visit to the LAPKB, The</w:t>
      </w:r>
      <w:r w:rsidR="009A00FA">
        <w:rPr>
          <w:rFonts w:ascii="Times New Roman" w:hAnsi="Times New Roman" w:cs="Times New Roman"/>
        </w:rPr>
        <w:t xml:space="preserve"> </w:t>
      </w:r>
      <w:proofErr w:type="spellStart"/>
      <w:r w:rsidR="009A00FA">
        <w:rPr>
          <w:rFonts w:ascii="Times New Roman" w:hAnsi="Times New Roman" w:cs="Times New Roman"/>
        </w:rPr>
        <w:t>Saban</w:t>
      </w:r>
      <w:proofErr w:type="spellEnd"/>
      <w:r w:rsidR="009A00FA">
        <w:rPr>
          <w:rFonts w:ascii="Times New Roman" w:hAnsi="Times New Roman" w:cs="Times New Roman"/>
        </w:rPr>
        <w:t xml:space="preserve"> Research Institute, University of</w:t>
      </w:r>
      <w:r w:rsidR="007D3682">
        <w:rPr>
          <w:rFonts w:ascii="Times New Roman" w:hAnsi="Times New Roman" w:cs="Times New Roman"/>
        </w:rPr>
        <w:t xml:space="preserve"> Southern California, Los Angeles, CA.</w:t>
      </w:r>
    </w:p>
    <w:p w14:paraId="28EC6FB7" w14:textId="77777777" w:rsidR="00017DFB" w:rsidRPr="00142A05" w:rsidRDefault="00017DFB">
      <w:pPr>
        <w:spacing w:line="480" w:lineRule="auto"/>
        <w:rPr>
          <w:rFonts w:ascii="Times New Roman" w:hAnsi="Times New Roman" w:cs="Times New Roman"/>
        </w:rPr>
      </w:pPr>
    </w:p>
    <w:p w14:paraId="6950826F" w14:textId="77777777" w:rsidR="00142A05" w:rsidRPr="00743210" w:rsidRDefault="00142A05">
      <w:pPr>
        <w:spacing w:line="480" w:lineRule="auto"/>
        <w:rPr>
          <w:rFonts w:ascii="Times New Roman" w:hAnsi="Times New Roman" w:cs="Times New Roman"/>
          <w:b/>
        </w:rPr>
      </w:pPr>
      <w:r w:rsidRPr="00743210">
        <w:rPr>
          <w:rFonts w:ascii="Times New Roman" w:hAnsi="Times New Roman" w:cs="Times New Roman"/>
          <w:b/>
        </w:rPr>
        <w:t>FUNDING</w:t>
      </w:r>
    </w:p>
    <w:p w14:paraId="50A8C1C7" w14:textId="77777777" w:rsidR="00142A05" w:rsidRDefault="007D3682">
      <w:pPr>
        <w:spacing w:line="480" w:lineRule="auto"/>
        <w:rPr>
          <w:rFonts w:ascii="Times New Roman" w:hAnsi="Times New Roman" w:cs="Times New Roman"/>
        </w:rPr>
      </w:pPr>
      <w:r>
        <w:rPr>
          <w:rFonts w:ascii="Times New Roman" w:hAnsi="Times New Roman" w:cs="Times New Roman"/>
          <w:b/>
          <w:sz w:val="28"/>
          <w:szCs w:val="28"/>
        </w:rPr>
        <w:tab/>
      </w:r>
      <w:r w:rsidRPr="007D3682">
        <w:rPr>
          <w:rFonts w:ascii="Times New Roman" w:hAnsi="Times New Roman" w:cs="Times New Roman"/>
        </w:rPr>
        <w:t xml:space="preserve">The PK study and VRM </w:t>
      </w:r>
      <w:r>
        <w:rPr>
          <w:rFonts w:ascii="Times New Roman" w:hAnsi="Times New Roman" w:cs="Times New Roman"/>
        </w:rPr>
        <w:t>were supported by the NIHR Alder Hey Clinical Research Facility for Experimental Medicine and Alder Hey NHS Foundation Trust Business Unit.</w:t>
      </w:r>
    </w:p>
    <w:p w14:paraId="751EC6E2" w14:textId="77777777" w:rsidR="007D3682" w:rsidRDefault="007D3682">
      <w:pPr>
        <w:spacing w:line="480" w:lineRule="auto"/>
        <w:rPr>
          <w:rFonts w:ascii="Times New Roman" w:hAnsi="Times New Roman" w:cs="Times New Roman"/>
        </w:rPr>
      </w:pPr>
      <w:r>
        <w:rPr>
          <w:rFonts w:ascii="Times New Roman" w:hAnsi="Times New Roman" w:cs="Times New Roman"/>
        </w:rPr>
        <w:tab/>
        <w:t>MNN is supported by National Institutes of Health Research (NIHR) study grants: NIH R01 HD070886 and R01 GM068968.</w:t>
      </w:r>
    </w:p>
    <w:p w14:paraId="38C0B2E7" w14:textId="77777777" w:rsidR="009A00FA" w:rsidRPr="00E1546D" w:rsidRDefault="007D3682">
      <w:pPr>
        <w:spacing w:line="480" w:lineRule="auto"/>
        <w:rPr>
          <w:rFonts w:ascii="Calibri Bold Italic" w:hAnsi="Calibri Bold Italic" w:cs="Calibri Bold Italic"/>
          <w:sz w:val="29"/>
          <w:szCs w:val="29"/>
          <w:lang w:val="en-GB"/>
        </w:rPr>
      </w:pPr>
      <w:r>
        <w:rPr>
          <w:rFonts w:ascii="Times New Roman" w:hAnsi="Times New Roman" w:cs="Times New Roman"/>
        </w:rPr>
        <w:tab/>
        <w:t>WWH is supported by a National Institutes of Health Research (NIHR) Clinician Scientist Fellowship.</w:t>
      </w:r>
      <w:r w:rsidR="00837CA6" w:rsidRPr="00E1546D">
        <w:rPr>
          <w:rFonts w:ascii="Calibri Bold Italic" w:hAnsi="Calibri Bold Italic" w:cs="Calibri Bold Italic"/>
          <w:sz w:val="29"/>
          <w:szCs w:val="29"/>
          <w:lang w:val="en-GB"/>
        </w:rPr>
        <w:t xml:space="preserve"> </w:t>
      </w:r>
    </w:p>
    <w:p w14:paraId="539C29D9" w14:textId="77777777" w:rsidR="00E84284" w:rsidRPr="00E1546D" w:rsidRDefault="00E84284">
      <w:pPr>
        <w:spacing w:line="480" w:lineRule="auto"/>
        <w:rPr>
          <w:rFonts w:ascii="Calibri Bold Italic" w:hAnsi="Calibri Bold Italic" w:cs="Calibri Bold Italic"/>
          <w:sz w:val="29"/>
          <w:szCs w:val="29"/>
          <w:lang w:val="en-GB"/>
        </w:rPr>
        <w:sectPr w:rsidR="00E84284" w:rsidRPr="00E1546D" w:rsidSect="006D5EC2">
          <w:pgSz w:w="11900" w:h="16840"/>
          <w:pgMar w:top="1418" w:right="1701" w:bottom="1418" w:left="1701" w:header="709" w:footer="709" w:gutter="0"/>
          <w:lnNumType w:countBy="1" w:restart="continuous"/>
          <w:cols w:space="708"/>
          <w:docGrid w:linePitch="360"/>
        </w:sectPr>
      </w:pPr>
    </w:p>
    <w:p w14:paraId="28FE532F" w14:textId="77777777" w:rsidR="00E84284" w:rsidRPr="00E1546D" w:rsidRDefault="00E84284">
      <w:pPr>
        <w:spacing w:line="480" w:lineRule="auto"/>
        <w:rPr>
          <w:rFonts w:ascii="Times" w:hAnsi="Times" w:cs="Calibri Bold Italic"/>
          <w:b/>
          <w:sz w:val="28"/>
          <w:szCs w:val="28"/>
          <w:lang w:val="en-GB"/>
        </w:rPr>
      </w:pPr>
      <w:r w:rsidRPr="00E1546D">
        <w:rPr>
          <w:rFonts w:ascii="Times" w:hAnsi="Times" w:cs="Calibri Bold Italic"/>
          <w:b/>
          <w:sz w:val="28"/>
          <w:szCs w:val="28"/>
          <w:lang w:val="en-GB"/>
        </w:rPr>
        <w:lastRenderedPageBreak/>
        <w:t>Competing interests</w:t>
      </w:r>
    </w:p>
    <w:p w14:paraId="41B14A4A" w14:textId="118695CD" w:rsidR="00E84284" w:rsidRPr="00E1546D" w:rsidRDefault="009A00FA">
      <w:pPr>
        <w:spacing w:line="480" w:lineRule="auto"/>
        <w:ind w:firstLine="708"/>
        <w:rPr>
          <w:rFonts w:ascii="Times" w:hAnsi="Times" w:cs="Calibri Bold Italic"/>
          <w:lang w:val="en-GB"/>
        </w:rPr>
      </w:pPr>
      <w:r w:rsidRPr="00E1546D">
        <w:rPr>
          <w:rFonts w:ascii="Times" w:hAnsi="Times" w:cs="Calibri Bold Italic"/>
          <w:lang w:val="en-GB"/>
        </w:rPr>
        <w:t>WWH</w:t>
      </w:r>
      <w:r w:rsidR="00837CA6" w:rsidRPr="00E1546D">
        <w:rPr>
          <w:rFonts w:ascii="Times" w:hAnsi="Times" w:cs="Calibri Bold Italic"/>
          <w:lang w:val="en-GB"/>
        </w:rPr>
        <w:t xml:space="preserve"> has received research funding from Pfizer, Gilead, </w:t>
      </w:r>
      <w:proofErr w:type="spellStart"/>
      <w:r w:rsidR="00837CA6" w:rsidRPr="00E1546D">
        <w:rPr>
          <w:rFonts w:ascii="Times" w:hAnsi="Times" w:cs="Calibri Bold Italic"/>
          <w:lang w:val="en-GB"/>
        </w:rPr>
        <w:t>Astellas</w:t>
      </w:r>
      <w:proofErr w:type="spellEnd"/>
      <w:r w:rsidR="00837CA6" w:rsidRPr="00E1546D">
        <w:rPr>
          <w:rFonts w:ascii="Times" w:hAnsi="Times" w:cs="Calibri Bold Italic"/>
          <w:lang w:val="en-GB"/>
        </w:rPr>
        <w:t xml:space="preserve">, </w:t>
      </w:r>
      <w:proofErr w:type="spellStart"/>
      <w:r w:rsidR="00837CA6" w:rsidRPr="00E1546D">
        <w:rPr>
          <w:rFonts w:ascii="Times" w:hAnsi="Times" w:cs="Calibri Bold Italic"/>
          <w:lang w:val="en-GB"/>
        </w:rPr>
        <w:t>AiCuris</w:t>
      </w:r>
      <w:proofErr w:type="spellEnd"/>
      <w:r w:rsidR="00837CA6" w:rsidRPr="00E1546D">
        <w:rPr>
          <w:rFonts w:ascii="Times" w:hAnsi="Times" w:cs="Calibri Bold Italic"/>
          <w:lang w:val="en-GB"/>
        </w:rPr>
        <w:t xml:space="preserve">, </w:t>
      </w:r>
      <w:proofErr w:type="spellStart"/>
      <w:r w:rsidR="00837CA6" w:rsidRPr="00E1546D">
        <w:rPr>
          <w:rFonts w:ascii="Times" w:hAnsi="Times" w:cs="Calibri Bold Italic"/>
          <w:lang w:val="en-GB"/>
        </w:rPr>
        <w:t>Amplyx</w:t>
      </w:r>
      <w:proofErr w:type="spellEnd"/>
      <w:r w:rsidR="00837CA6" w:rsidRPr="00E1546D">
        <w:rPr>
          <w:rFonts w:ascii="Times" w:hAnsi="Times" w:cs="Calibri Bold Italic"/>
          <w:lang w:val="en-GB"/>
        </w:rPr>
        <w:t xml:space="preserve">, </w:t>
      </w:r>
      <w:proofErr w:type="spellStart"/>
      <w:r w:rsidR="00837CA6" w:rsidRPr="00E1546D">
        <w:rPr>
          <w:rFonts w:ascii="Times" w:hAnsi="Times" w:cs="Calibri Bold Italic"/>
          <w:lang w:val="en-GB"/>
        </w:rPr>
        <w:t>Spero</w:t>
      </w:r>
      <w:proofErr w:type="spellEnd"/>
      <w:r w:rsidR="00837CA6" w:rsidRPr="00E1546D">
        <w:rPr>
          <w:rFonts w:ascii="Times" w:hAnsi="Times" w:cs="Calibri Bold Italic"/>
          <w:lang w:val="en-GB"/>
        </w:rPr>
        <w:t xml:space="preserve"> Therapeutics and F2G, and acted as a consultant and/or given talks for Pfizer, </w:t>
      </w:r>
      <w:proofErr w:type="spellStart"/>
      <w:r w:rsidR="00837CA6" w:rsidRPr="00E1546D">
        <w:rPr>
          <w:rFonts w:ascii="Times" w:hAnsi="Times" w:cs="Calibri Bold Italic"/>
          <w:lang w:val="en-GB"/>
        </w:rPr>
        <w:t>Basilea</w:t>
      </w:r>
      <w:proofErr w:type="spellEnd"/>
      <w:r w:rsidR="00837CA6" w:rsidRPr="00E1546D">
        <w:rPr>
          <w:rFonts w:ascii="Times" w:hAnsi="Times" w:cs="Calibri Bold Italic"/>
          <w:lang w:val="en-GB"/>
        </w:rPr>
        <w:t xml:space="preserve">, </w:t>
      </w:r>
      <w:proofErr w:type="spellStart"/>
      <w:r w:rsidR="00837CA6" w:rsidRPr="00E1546D">
        <w:rPr>
          <w:rFonts w:ascii="Times" w:hAnsi="Times" w:cs="Calibri Bold Italic"/>
          <w:lang w:val="en-GB"/>
        </w:rPr>
        <w:t>Astellas</w:t>
      </w:r>
      <w:proofErr w:type="spellEnd"/>
      <w:r w:rsidR="00837CA6" w:rsidRPr="00E1546D">
        <w:rPr>
          <w:rFonts w:ascii="Times" w:hAnsi="Times" w:cs="Calibri Bold Italic"/>
          <w:lang w:val="en-GB"/>
        </w:rPr>
        <w:t xml:space="preserve">, F2G, Nordic </w:t>
      </w:r>
      <w:proofErr w:type="gramStart"/>
      <w:r w:rsidR="00837CA6" w:rsidRPr="00E1546D">
        <w:rPr>
          <w:rFonts w:ascii="Times" w:hAnsi="Times" w:cs="Calibri Bold Italic"/>
          <w:lang w:val="en-GB"/>
        </w:rPr>
        <w:t>Pharma,  Medicines</w:t>
      </w:r>
      <w:proofErr w:type="gramEnd"/>
      <w:r w:rsidR="00837CA6" w:rsidRPr="00E1546D">
        <w:rPr>
          <w:rFonts w:ascii="Times" w:hAnsi="Times" w:cs="Calibri Bold Italic"/>
          <w:lang w:val="en-GB"/>
        </w:rPr>
        <w:t xml:space="preserve"> Company, </w:t>
      </w:r>
      <w:proofErr w:type="spellStart"/>
      <w:r w:rsidR="00837CA6" w:rsidRPr="00E1546D">
        <w:rPr>
          <w:rFonts w:ascii="Times" w:hAnsi="Times" w:cs="Calibri Bold Italic"/>
          <w:lang w:val="en-GB"/>
        </w:rPr>
        <w:t>Amplyx</w:t>
      </w:r>
      <w:proofErr w:type="spellEnd"/>
      <w:r w:rsidR="00837CA6" w:rsidRPr="00E1546D">
        <w:rPr>
          <w:rFonts w:ascii="Times" w:hAnsi="Times" w:cs="Calibri Bold Italic"/>
          <w:lang w:val="en-GB"/>
        </w:rPr>
        <w:t xml:space="preserve">, Mayne Pharma, </w:t>
      </w:r>
      <w:proofErr w:type="spellStart"/>
      <w:r w:rsidR="00837CA6" w:rsidRPr="00E1546D">
        <w:rPr>
          <w:rFonts w:ascii="Times" w:hAnsi="Times" w:cs="Calibri Bold Italic"/>
          <w:lang w:val="en-GB"/>
        </w:rPr>
        <w:t>Spero</w:t>
      </w:r>
      <w:proofErr w:type="spellEnd"/>
      <w:r w:rsidR="00837CA6" w:rsidRPr="00E1546D">
        <w:rPr>
          <w:rFonts w:ascii="Times" w:hAnsi="Times" w:cs="Calibri Bold Italic"/>
          <w:lang w:val="en-GB"/>
        </w:rPr>
        <w:t xml:space="preserve"> Therapeutics, </w:t>
      </w:r>
      <w:proofErr w:type="spellStart"/>
      <w:r w:rsidR="00837CA6" w:rsidRPr="00E1546D">
        <w:rPr>
          <w:rFonts w:ascii="Times" w:hAnsi="Times" w:cs="Calibri Bold Italic"/>
          <w:lang w:val="en-GB"/>
        </w:rPr>
        <w:t>Auspherix</w:t>
      </w:r>
      <w:proofErr w:type="spellEnd"/>
      <w:r w:rsidR="00837CA6" w:rsidRPr="00E1546D">
        <w:rPr>
          <w:rFonts w:ascii="Times" w:hAnsi="Times" w:cs="Calibri Bold Italic"/>
          <w:lang w:val="en-GB"/>
        </w:rPr>
        <w:t xml:space="preserve">, </w:t>
      </w:r>
      <w:proofErr w:type="spellStart"/>
      <w:r w:rsidR="00837CA6" w:rsidRPr="00E1546D">
        <w:rPr>
          <w:rFonts w:ascii="Times" w:hAnsi="Times" w:cs="Calibri Bold Italic"/>
          <w:lang w:val="en-GB"/>
        </w:rPr>
        <w:t>Cardeas</w:t>
      </w:r>
      <w:proofErr w:type="spellEnd"/>
      <w:r w:rsidR="00837CA6" w:rsidRPr="00E1546D">
        <w:rPr>
          <w:rFonts w:ascii="Times" w:hAnsi="Times" w:cs="Calibri Bold Italic"/>
          <w:lang w:val="en-GB"/>
        </w:rPr>
        <w:t xml:space="preserve"> and </w:t>
      </w:r>
      <w:proofErr w:type="spellStart"/>
      <w:r w:rsidR="00837CA6" w:rsidRPr="00E1546D">
        <w:rPr>
          <w:rFonts w:ascii="Times" w:hAnsi="Times" w:cs="Calibri Bold Italic"/>
          <w:lang w:val="en-GB"/>
        </w:rPr>
        <w:t>Pulmocide</w:t>
      </w:r>
      <w:proofErr w:type="spellEnd"/>
      <w:r w:rsidR="00837CA6" w:rsidRPr="00E1546D">
        <w:rPr>
          <w:rFonts w:ascii="Calibri Bold Italic" w:hAnsi="Calibri Bold Italic" w:cs="Calibri Bold Italic"/>
          <w:sz w:val="29"/>
          <w:szCs w:val="29"/>
          <w:lang w:val="en-GB"/>
        </w:rPr>
        <w:t>.</w:t>
      </w:r>
    </w:p>
    <w:p w14:paraId="497BC7EF" w14:textId="77777777" w:rsidR="00E84284" w:rsidRDefault="00E84284">
      <w:pPr>
        <w:spacing w:line="480" w:lineRule="auto"/>
        <w:rPr>
          <w:rFonts w:ascii="Times New Roman" w:hAnsi="Times New Roman" w:cs="Times New Roman"/>
        </w:rPr>
      </w:pPr>
    </w:p>
    <w:p w14:paraId="2CB1E781" w14:textId="77777777" w:rsidR="00E84284" w:rsidRDefault="00E84284">
      <w:pPr>
        <w:spacing w:line="480" w:lineRule="auto"/>
        <w:rPr>
          <w:rFonts w:ascii="Times New Roman" w:hAnsi="Times New Roman" w:cs="Times New Roman"/>
        </w:rPr>
        <w:sectPr w:rsidR="00E84284" w:rsidSect="006D5EC2">
          <w:pgSz w:w="11900" w:h="16840"/>
          <w:pgMar w:top="1418" w:right="1701" w:bottom="1418" w:left="1701" w:header="709" w:footer="709" w:gutter="0"/>
          <w:lnNumType w:countBy="1" w:restart="continuous"/>
          <w:cols w:space="708"/>
          <w:docGrid w:linePitch="360"/>
        </w:sectPr>
      </w:pPr>
    </w:p>
    <w:p w14:paraId="01C6C405" w14:textId="77777777" w:rsidR="00CA1A09" w:rsidRDefault="00CA1A09">
      <w:pPr>
        <w:spacing w:line="480" w:lineRule="auto"/>
        <w:rPr>
          <w:rFonts w:ascii="Times New Roman" w:hAnsi="Times New Roman" w:cs="Times New Roman"/>
          <w:b/>
          <w:sz w:val="28"/>
          <w:szCs w:val="28"/>
        </w:rPr>
      </w:pPr>
      <w:r w:rsidRPr="00CA1A09">
        <w:rPr>
          <w:rFonts w:ascii="Times New Roman" w:hAnsi="Times New Roman" w:cs="Times New Roman"/>
          <w:b/>
          <w:sz w:val="28"/>
          <w:szCs w:val="28"/>
        </w:rPr>
        <w:lastRenderedPageBreak/>
        <w:t>REFERENCES</w:t>
      </w:r>
    </w:p>
    <w:p w14:paraId="415AA199" w14:textId="77777777" w:rsidR="006150F7" w:rsidRPr="006150F7" w:rsidRDefault="006150F7">
      <w:pPr>
        <w:spacing w:line="480" w:lineRule="auto"/>
        <w:rPr>
          <w:rFonts w:ascii="Times New Roman" w:hAnsi="Times New Roman" w:cs="Times New Roman"/>
          <w:b/>
          <w:sz w:val="28"/>
          <w:szCs w:val="28"/>
        </w:rPr>
      </w:pPr>
    </w:p>
    <w:p w14:paraId="68DA3213" w14:textId="1D308D2B" w:rsidR="00BD192D" w:rsidRPr="00E1546D" w:rsidRDefault="00CA1A09" w:rsidP="00BD192D">
      <w:pPr>
        <w:widowControl w:val="0"/>
        <w:autoSpaceDE w:val="0"/>
        <w:autoSpaceDN w:val="0"/>
        <w:adjustRightInd w:val="0"/>
        <w:spacing w:line="480" w:lineRule="auto"/>
        <w:ind w:left="640" w:hanging="640"/>
        <w:rPr>
          <w:rFonts w:ascii="Times New Roman" w:hAnsi="Times New Roman"/>
          <w:noProof/>
          <w:lang w:val="en-GB"/>
        </w:rPr>
      </w:pPr>
      <w:r w:rsidRPr="00CA1A09">
        <w:rPr>
          <w:rFonts w:ascii="Times New Roman" w:hAnsi="Times New Roman" w:cs="Times New Roman"/>
        </w:rPr>
        <w:fldChar w:fldCharType="begin" w:fldLock="1"/>
      </w:r>
      <w:r w:rsidRPr="00CA1A09">
        <w:rPr>
          <w:rFonts w:ascii="Times New Roman" w:hAnsi="Times New Roman" w:cs="Times New Roman"/>
        </w:rPr>
        <w:instrText xml:space="preserve">ADDIN Mendeley Bibliography CSL_BIBLIOGRAPHY </w:instrText>
      </w:r>
      <w:r w:rsidRPr="00CA1A09">
        <w:rPr>
          <w:rFonts w:ascii="Times New Roman" w:hAnsi="Times New Roman" w:cs="Times New Roman"/>
        </w:rPr>
        <w:fldChar w:fldCharType="separate"/>
      </w:r>
      <w:r w:rsidR="00BD192D" w:rsidRPr="00E1546D">
        <w:rPr>
          <w:rFonts w:ascii="Times New Roman" w:hAnsi="Times New Roman"/>
          <w:noProof/>
          <w:lang w:val="en-GB"/>
        </w:rPr>
        <w:t xml:space="preserve">1. </w:t>
      </w:r>
      <w:r w:rsidR="00BD192D" w:rsidRPr="00E1546D">
        <w:rPr>
          <w:rFonts w:ascii="Times New Roman" w:hAnsi="Times New Roman"/>
          <w:noProof/>
          <w:lang w:val="en-GB"/>
        </w:rPr>
        <w:tab/>
      </w:r>
      <w:r w:rsidR="00BD192D" w:rsidRPr="00E1546D">
        <w:rPr>
          <w:rFonts w:ascii="Times New Roman" w:hAnsi="Times New Roman"/>
          <w:b/>
          <w:bCs/>
          <w:noProof/>
          <w:lang w:val="en-GB"/>
        </w:rPr>
        <w:t>Ramos-Martin V</w:t>
      </w:r>
      <w:r w:rsidR="00BD192D" w:rsidRPr="00E1546D">
        <w:rPr>
          <w:rFonts w:ascii="Times New Roman" w:hAnsi="Times New Roman"/>
          <w:noProof/>
          <w:lang w:val="en-GB"/>
        </w:rPr>
        <w:t xml:space="preserve">, </w:t>
      </w:r>
      <w:r w:rsidR="00BD192D" w:rsidRPr="00E1546D">
        <w:rPr>
          <w:rFonts w:ascii="Times New Roman" w:hAnsi="Times New Roman"/>
          <w:b/>
          <w:bCs/>
          <w:noProof/>
          <w:lang w:val="en-GB"/>
        </w:rPr>
        <w:t>Paulus S</w:t>
      </w:r>
      <w:r w:rsidR="00BD192D" w:rsidRPr="00E1546D">
        <w:rPr>
          <w:rFonts w:ascii="Times New Roman" w:hAnsi="Times New Roman"/>
          <w:noProof/>
          <w:lang w:val="en-GB"/>
        </w:rPr>
        <w:t xml:space="preserve">, </w:t>
      </w:r>
      <w:r w:rsidR="00BD192D" w:rsidRPr="00E1546D">
        <w:rPr>
          <w:rFonts w:ascii="Times New Roman" w:hAnsi="Times New Roman"/>
          <w:b/>
          <w:bCs/>
          <w:noProof/>
          <w:lang w:val="en-GB"/>
        </w:rPr>
        <w:t>Siner S</w:t>
      </w:r>
      <w:r w:rsidR="00BD192D" w:rsidRPr="00E1546D">
        <w:rPr>
          <w:rFonts w:ascii="Times New Roman" w:hAnsi="Times New Roman"/>
          <w:noProof/>
          <w:lang w:val="en-GB"/>
        </w:rPr>
        <w:t xml:space="preserve">, </w:t>
      </w:r>
      <w:r w:rsidR="00BD192D" w:rsidRPr="00E1546D">
        <w:rPr>
          <w:rFonts w:ascii="Times New Roman" w:hAnsi="Times New Roman"/>
          <w:b/>
          <w:bCs/>
          <w:noProof/>
          <w:lang w:val="en-GB"/>
        </w:rPr>
        <w:t>Scott E</w:t>
      </w:r>
      <w:r w:rsidR="00BD192D" w:rsidRPr="00E1546D">
        <w:rPr>
          <w:rFonts w:ascii="Times New Roman" w:hAnsi="Times New Roman"/>
          <w:noProof/>
          <w:lang w:val="en-GB"/>
        </w:rPr>
        <w:t xml:space="preserve">, </w:t>
      </w:r>
      <w:r w:rsidR="00BD192D" w:rsidRPr="00E1546D">
        <w:rPr>
          <w:rFonts w:ascii="Times New Roman" w:hAnsi="Times New Roman"/>
          <w:b/>
          <w:bCs/>
          <w:noProof/>
          <w:lang w:val="en-GB"/>
        </w:rPr>
        <w:t>Padmore K</w:t>
      </w:r>
      <w:r w:rsidR="00BD192D" w:rsidRPr="00E1546D">
        <w:rPr>
          <w:rFonts w:ascii="Times New Roman" w:hAnsi="Times New Roman"/>
          <w:noProof/>
          <w:lang w:val="en-GB"/>
        </w:rPr>
        <w:t xml:space="preserve">, </w:t>
      </w:r>
      <w:r w:rsidR="00BD192D" w:rsidRPr="00E1546D">
        <w:rPr>
          <w:rFonts w:ascii="Times New Roman" w:hAnsi="Times New Roman"/>
          <w:b/>
          <w:bCs/>
          <w:noProof/>
          <w:lang w:val="en-GB"/>
        </w:rPr>
        <w:t>Newland P</w:t>
      </w:r>
      <w:r w:rsidR="00BD192D" w:rsidRPr="00E1546D">
        <w:rPr>
          <w:rFonts w:ascii="Times New Roman" w:hAnsi="Times New Roman"/>
          <w:noProof/>
          <w:lang w:val="en-GB"/>
        </w:rPr>
        <w:t xml:space="preserve">, </w:t>
      </w:r>
      <w:r w:rsidR="00BD192D" w:rsidRPr="00E1546D">
        <w:rPr>
          <w:rFonts w:ascii="Times New Roman" w:hAnsi="Times New Roman"/>
          <w:b/>
          <w:bCs/>
          <w:noProof/>
          <w:lang w:val="en-GB"/>
        </w:rPr>
        <w:t>Drew RJ</w:t>
      </w:r>
      <w:r w:rsidR="00BD192D" w:rsidRPr="00E1546D">
        <w:rPr>
          <w:rFonts w:ascii="Times New Roman" w:hAnsi="Times New Roman"/>
          <w:noProof/>
          <w:lang w:val="en-GB"/>
        </w:rPr>
        <w:t xml:space="preserve">, </w:t>
      </w:r>
      <w:r w:rsidR="00BD192D" w:rsidRPr="00E1546D">
        <w:rPr>
          <w:rFonts w:ascii="Times New Roman" w:hAnsi="Times New Roman"/>
          <w:b/>
          <w:bCs/>
          <w:noProof/>
          <w:lang w:val="en-GB"/>
        </w:rPr>
        <w:t>Felton TW</w:t>
      </w:r>
      <w:r w:rsidR="00BD192D" w:rsidRPr="00E1546D">
        <w:rPr>
          <w:rFonts w:ascii="Times New Roman" w:hAnsi="Times New Roman"/>
          <w:noProof/>
          <w:lang w:val="en-GB"/>
        </w:rPr>
        <w:t xml:space="preserve">, </w:t>
      </w:r>
      <w:r w:rsidR="00BD192D" w:rsidRPr="00E1546D">
        <w:rPr>
          <w:rFonts w:ascii="Times New Roman" w:hAnsi="Times New Roman"/>
          <w:b/>
          <w:bCs/>
          <w:noProof/>
          <w:lang w:val="en-GB"/>
        </w:rPr>
        <w:t>Docobo-Perez F</w:t>
      </w:r>
      <w:r w:rsidR="00BD192D" w:rsidRPr="00E1546D">
        <w:rPr>
          <w:rFonts w:ascii="Times New Roman" w:hAnsi="Times New Roman"/>
          <w:noProof/>
          <w:lang w:val="en-GB"/>
        </w:rPr>
        <w:t xml:space="preserve">, </w:t>
      </w:r>
      <w:r w:rsidR="00BD192D" w:rsidRPr="00E1546D">
        <w:rPr>
          <w:rFonts w:ascii="Times New Roman" w:hAnsi="Times New Roman"/>
          <w:b/>
          <w:bCs/>
          <w:noProof/>
          <w:lang w:val="en-GB"/>
        </w:rPr>
        <w:t>Pizer B</w:t>
      </w:r>
      <w:r w:rsidR="00BD192D" w:rsidRPr="00E1546D">
        <w:rPr>
          <w:rFonts w:ascii="Times New Roman" w:hAnsi="Times New Roman"/>
          <w:noProof/>
          <w:lang w:val="en-GB"/>
        </w:rPr>
        <w:t xml:space="preserve">, </w:t>
      </w:r>
      <w:r w:rsidR="00BD192D" w:rsidRPr="00E1546D">
        <w:rPr>
          <w:rFonts w:ascii="Times New Roman" w:hAnsi="Times New Roman"/>
          <w:b/>
          <w:bCs/>
          <w:noProof/>
          <w:lang w:val="en-GB"/>
        </w:rPr>
        <w:t>Pea F</w:t>
      </w:r>
      <w:r w:rsidR="00BD192D" w:rsidRPr="00E1546D">
        <w:rPr>
          <w:rFonts w:ascii="Times New Roman" w:hAnsi="Times New Roman"/>
          <w:noProof/>
          <w:lang w:val="en-GB"/>
        </w:rPr>
        <w:t xml:space="preserve">, </w:t>
      </w:r>
      <w:r w:rsidR="00BD192D" w:rsidRPr="00E1546D">
        <w:rPr>
          <w:rFonts w:ascii="Times New Roman" w:hAnsi="Times New Roman"/>
          <w:b/>
          <w:bCs/>
          <w:noProof/>
          <w:lang w:val="en-GB"/>
        </w:rPr>
        <w:t>Peak M</w:t>
      </w:r>
      <w:r w:rsidR="00BD192D" w:rsidRPr="00E1546D">
        <w:rPr>
          <w:rFonts w:ascii="Times New Roman" w:hAnsi="Times New Roman"/>
          <w:noProof/>
          <w:lang w:val="en-GB"/>
        </w:rPr>
        <w:t xml:space="preserve">, </w:t>
      </w:r>
      <w:r w:rsidR="00BD192D" w:rsidRPr="00E1546D">
        <w:rPr>
          <w:rFonts w:ascii="Times New Roman" w:hAnsi="Times New Roman"/>
          <w:b/>
          <w:bCs/>
          <w:noProof/>
          <w:lang w:val="en-GB"/>
        </w:rPr>
        <w:t>Turner M a.</w:t>
      </w:r>
      <w:r w:rsidR="00BD192D" w:rsidRPr="00E1546D">
        <w:rPr>
          <w:rFonts w:ascii="Times New Roman" w:hAnsi="Times New Roman"/>
          <w:noProof/>
          <w:lang w:val="en-GB"/>
        </w:rPr>
        <w:t xml:space="preserve">, </w:t>
      </w:r>
      <w:r w:rsidR="00BD192D" w:rsidRPr="00E1546D">
        <w:rPr>
          <w:rFonts w:ascii="Times New Roman" w:hAnsi="Times New Roman"/>
          <w:b/>
          <w:bCs/>
          <w:noProof/>
          <w:lang w:val="en-GB"/>
        </w:rPr>
        <w:t>Beresford MW</w:t>
      </w:r>
      <w:r w:rsidR="00BD192D" w:rsidRPr="00E1546D">
        <w:rPr>
          <w:rFonts w:ascii="Times New Roman" w:hAnsi="Times New Roman"/>
          <w:noProof/>
          <w:lang w:val="en-GB"/>
        </w:rPr>
        <w:t xml:space="preserve">, </w:t>
      </w:r>
      <w:r w:rsidR="00BD192D" w:rsidRPr="00E1546D">
        <w:rPr>
          <w:rFonts w:ascii="Times New Roman" w:hAnsi="Times New Roman"/>
          <w:b/>
          <w:bCs/>
          <w:noProof/>
          <w:lang w:val="en-GB"/>
        </w:rPr>
        <w:t>Hope WW</w:t>
      </w:r>
      <w:r w:rsidR="00BD192D" w:rsidRPr="00E1546D">
        <w:rPr>
          <w:rFonts w:ascii="Times New Roman" w:hAnsi="Times New Roman"/>
          <w:noProof/>
          <w:lang w:val="en-GB"/>
        </w:rPr>
        <w:t xml:space="preserve">. 2014. Population Pharmacokinetics of Teicoplanin in Children. Antimicrob. Agents Chemother. </w:t>
      </w:r>
      <w:r w:rsidR="00BD192D" w:rsidRPr="00E1546D">
        <w:rPr>
          <w:rFonts w:ascii="Times New Roman" w:hAnsi="Times New Roman"/>
          <w:b/>
          <w:bCs/>
          <w:noProof/>
          <w:lang w:val="en-GB"/>
        </w:rPr>
        <w:t>58</w:t>
      </w:r>
      <w:r w:rsidR="00BD192D" w:rsidRPr="00E1546D">
        <w:rPr>
          <w:rFonts w:ascii="Times New Roman" w:hAnsi="Times New Roman"/>
          <w:noProof/>
          <w:lang w:val="en-GB"/>
        </w:rPr>
        <w:t>:6920–6927.</w:t>
      </w:r>
    </w:p>
    <w:p w14:paraId="15BFF240" w14:textId="0988EA7D"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2. </w:t>
      </w:r>
      <w:r w:rsidRPr="00E1546D">
        <w:rPr>
          <w:rFonts w:ascii="Times New Roman" w:hAnsi="Times New Roman"/>
          <w:noProof/>
          <w:lang w:val="en-GB"/>
        </w:rPr>
        <w:tab/>
      </w:r>
      <w:r w:rsidRPr="00E1546D">
        <w:rPr>
          <w:rFonts w:ascii="Times New Roman" w:hAnsi="Times New Roman"/>
          <w:b/>
          <w:bCs/>
          <w:noProof/>
          <w:lang w:val="en-GB"/>
        </w:rPr>
        <w:t>Ramos-Martín V</w:t>
      </w:r>
      <w:r w:rsidRPr="00E1546D">
        <w:rPr>
          <w:rFonts w:ascii="Times New Roman" w:hAnsi="Times New Roman"/>
          <w:noProof/>
          <w:lang w:val="en-GB"/>
        </w:rPr>
        <w:t xml:space="preserve">, </w:t>
      </w:r>
      <w:r w:rsidRPr="00E1546D">
        <w:rPr>
          <w:rFonts w:ascii="Times New Roman" w:hAnsi="Times New Roman"/>
          <w:b/>
          <w:bCs/>
          <w:noProof/>
          <w:lang w:val="en-GB"/>
        </w:rPr>
        <w:t>Neely MN</w:t>
      </w:r>
      <w:r w:rsidRPr="00E1546D">
        <w:rPr>
          <w:rFonts w:ascii="Times New Roman" w:hAnsi="Times New Roman"/>
          <w:noProof/>
          <w:lang w:val="en-GB"/>
        </w:rPr>
        <w:t xml:space="preserve">, </w:t>
      </w:r>
      <w:r w:rsidRPr="00E1546D">
        <w:rPr>
          <w:rFonts w:ascii="Times New Roman" w:hAnsi="Times New Roman"/>
          <w:b/>
          <w:bCs/>
          <w:noProof/>
          <w:lang w:val="en-GB"/>
        </w:rPr>
        <w:t>McGowan P</w:t>
      </w:r>
      <w:r w:rsidRPr="00E1546D">
        <w:rPr>
          <w:rFonts w:ascii="Times New Roman" w:hAnsi="Times New Roman"/>
          <w:noProof/>
          <w:lang w:val="en-GB"/>
        </w:rPr>
        <w:t xml:space="preserve">, </w:t>
      </w:r>
      <w:r w:rsidRPr="00E1546D">
        <w:rPr>
          <w:rFonts w:ascii="Times New Roman" w:hAnsi="Times New Roman"/>
          <w:b/>
          <w:bCs/>
          <w:noProof/>
          <w:lang w:val="en-GB"/>
        </w:rPr>
        <w:t>Siner S</w:t>
      </w:r>
      <w:r w:rsidRPr="00E1546D">
        <w:rPr>
          <w:rFonts w:ascii="Times New Roman" w:hAnsi="Times New Roman"/>
          <w:noProof/>
          <w:lang w:val="en-GB"/>
        </w:rPr>
        <w:t xml:space="preserve">, </w:t>
      </w:r>
      <w:r w:rsidRPr="00E1546D">
        <w:rPr>
          <w:rFonts w:ascii="Times New Roman" w:hAnsi="Times New Roman"/>
          <w:b/>
          <w:bCs/>
          <w:noProof/>
          <w:lang w:val="en-GB"/>
        </w:rPr>
        <w:t>Padmore K</w:t>
      </w:r>
      <w:r w:rsidRPr="00E1546D">
        <w:rPr>
          <w:rFonts w:ascii="Times New Roman" w:hAnsi="Times New Roman"/>
          <w:noProof/>
          <w:lang w:val="en-GB"/>
        </w:rPr>
        <w:t xml:space="preserve">, </w:t>
      </w:r>
      <w:r w:rsidRPr="00E1546D">
        <w:rPr>
          <w:rFonts w:ascii="Times New Roman" w:hAnsi="Times New Roman"/>
          <w:b/>
          <w:bCs/>
          <w:noProof/>
          <w:lang w:val="en-GB"/>
        </w:rPr>
        <w:t>Peak M</w:t>
      </w:r>
      <w:r w:rsidRPr="00E1546D">
        <w:rPr>
          <w:rFonts w:ascii="Times New Roman" w:hAnsi="Times New Roman"/>
          <w:noProof/>
          <w:lang w:val="en-GB"/>
        </w:rPr>
        <w:t xml:space="preserve">, </w:t>
      </w:r>
      <w:r w:rsidRPr="00E1546D">
        <w:rPr>
          <w:rFonts w:ascii="Times New Roman" w:hAnsi="Times New Roman"/>
          <w:b/>
          <w:bCs/>
          <w:noProof/>
          <w:lang w:val="en-GB"/>
        </w:rPr>
        <w:t>Beresford MW</w:t>
      </w:r>
      <w:r w:rsidRPr="00E1546D">
        <w:rPr>
          <w:rFonts w:ascii="Times New Roman" w:hAnsi="Times New Roman"/>
          <w:noProof/>
          <w:lang w:val="en-GB"/>
        </w:rPr>
        <w:t xml:space="preserve">, </w:t>
      </w:r>
      <w:r w:rsidRPr="00E1546D">
        <w:rPr>
          <w:rFonts w:ascii="Times New Roman" w:hAnsi="Times New Roman"/>
          <w:b/>
          <w:bCs/>
          <w:noProof/>
          <w:lang w:val="en-GB"/>
        </w:rPr>
        <w:t>Turner MA</w:t>
      </w:r>
      <w:r w:rsidRPr="00E1546D">
        <w:rPr>
          <w:rFonts w:ascii="Times New Roman" w:hAnsi="Times New Roman"/>
          <w:noProof/>
          <w:lang w:val="en-GB"/>
        </w:rPr>
        <w:t xml:space="preserve">, </w:t>
      </w:r>
      <w:r w:rsidRPr="00E1546D">
        <w:rPr>
          <w:rFonts w:ascii="Times New Roman" w:hAnsi="Times New Roman"/>
          <w:b/>
          <w:bCs/>
          <w:noProof/>
          <w:lang w:val="en-GB"/>
        </w:rPr>
        <w:t>Paulus S</w:t>
      </w:r>
      <w:r w:rsidRPr="00E1546D">
        <w:rPr>
          <w:rFonts w:ascii="Times New Roman" w:hAnsi="Times New Roman"/>
          <w:noProof/>
          <w:lang w:val="en-GB"/>
        </w:rPr>
        <w:t xml:space="preserve">, </w:t>
      </w:r>
      <w:r w:rsidRPr="00E1546D">
        <w:rPr>
          <w:rFonts w:ascii="Times New Roman" w:hAnsi="Times New Roman"/>
          <w:b/>
          <w:bCs/>
          <w:noProof/>
          <w:lang w:val="en-GB"/>
        </w:rPr>
        <w:t>Hope WW</w:t>
      </w:r>
      <w:r w:rsidRPr="00E1546D">
        <w:rPr>
          <w:rFonts w:ascii="Times New Roman" w:hAnsi="Times New Roman"/>
          <w:noProof/>
          <w:lang w:val="en-GB"/>
        </w:rPr>
        <w:t>. 2016. Population pharmacokinetics and pharmacodynamics of teicoplanin in neonates: making better use of C-reactive protein to deliver individualized therapy. J</w:t>
      </w:r>
      <w:r w:rsidR="00D03DA2">
        <w:rPr>
          <w:rFonts w:ascii="Times New Roman" w:hAnsi="Times New Roman"/>
          <w:noProof/>
          <w:lang w:val="en-GB"/>
        </w:rPr>
        <w:t xml:space="preserve">. Antimicrob. Chemother. </w:t>
      </w:r>
      <w:r w:rsidR="00D03DA2" w:rsidRPr="00D03DA2">
        <w:rPr>
          <w:rFonts w:ascii="Times New Roman" w:hAnsi="Times New Roman"/>
          <w:b/>
          <w:noProof/>
          <w:lang w:val="en-GB"/>
        </w:rPr>
        <w:t>71</w:t>
      </w:r>
      <w:r w:rsidR="00D03DA2">
        <w:rPr>
          <w:rFonts w:ascii="Times New Roman" w:hAnsi="Times New Roman"/>
          <w:noProof/>
          <w:lang w:val="en-GB"/>
        </w:rPr>
        <w:t>: 3168-3178.</w:t>
      </w:r>
    </w:p>
    <w:p w14:paraId="7FBD3193"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3. </w:t>
      </w:r>
      <w:r w:rsidRPr="00E1546D">
        <w:rPr>
          <w:rFonts w:ascii="Times New Roman" w:hAnsi="Times New Roman"/>
          <w:noProof/>
          <w:lang w:val="en-GB"/>
        </w:rPr>
        <w:tab/>
      </w:r>
      <w:r w:rsidRPr="00E1546D">
        <w:rPr>
          <w:rFonts w:ascii="Times New Roman" w:hAnsi="Times New Roman"/>
          <w:b/>
          <w:bCs/>
          <w:noProof/>
          <w:lang w:val="en-GB"/>
        </w:rPr>
        <w:t>BMJ Group, the Royal Pharmaceutical Society of Great Britain  and RPL 2014.</w:t>
      </w:r>
      <w:r w:rsidRPr="00E1546D">
        <w:rPr>
          <w:rFonts w:ascii="Times New Roman" w:hAnsi="Times New Roman"/>
          <w:noProof/>
          <w:lang w:val="en-GB"/>
        </w:rPr>
        <w:t xml:space="preserve"> 2015. British National Formulary for Children-Antibacterial drugs-Teicoplanin., 2015th–2016thed. BMJ Group, London.</w:t>
      </w:r>
    </w:p>
    <w:p w14:paraId="1823DAAD" w14:textId="77777777" w:rsidR="00BD192D" w:rsidRPr="00BD192D" w:rsidRDefault="00BD192D" w:rsidP="00BD192D">
      <w:pPr>
        <w:widowControl w:val="0"/>
        <w:autoSpaceDE w:val="0"/>
        <w:autoSpaceDN w:val="0"/>
        <w:adjustRightInd w:val="0"/>
        <w:spacing w:line="480" w:lineRule="auto"/>
        <w:ind w:left="640" w:hanging="640"/>
        <w:rPr>
          <w:rFonts w:ascii="Times New Roman" w:hAnsi="Times New Roman"/>
          <w:noProof/>
          <w:lang w:val="es-ES"/>
        </w:rPr>
      </w:pPr>
      <w:r w:rsidRPr="00E1546D">
        <w:rPr>
          <w:rFonts w:ascii="Times New Roman" w:hAnsi="Times New Roman"/>
          <w:noProof/>
          <w:lang w:val="en-GB"/>
        </w:rPr>
        <w:t xml:space="preserve">4. </w:t>
      </w:r>
      <w:r w:rsidRPr="00E1546D">
        <w:rPr>
          <w:rFonts w:ascii="Times New Roman" w:hAnsi="Times New Roman"/>
          <w:noProof/>
          <w:lang w:val="en-GB"/>
        </w:rPr>
        <w:tab/>
      </w:r>
      <w:r w:rsidRPr="00E1546D">
        <w:rPr>
          <w:rFonts w:ascii="Times New Roman" w:hAnsi="Times New Roman"/>
          <w:b/>
          <w:bCs/>
          <w:noProof/>
          <w:lang w:val="en-GB"/>
        </w:rPr>
        <w:t>Pea F</w:t>
      </w:r>
      <w:r w:rsidRPr="00E1546D">
        <w:rPr>
          <w:rFonts w:ascii="Times New Roman" w:hAnsi="Times New Roman"/>
          <w:noProof/>
          <w:lang w:val="en-GB"/>
        </w:rPr>
        <w:t xml:space="preserve">, </w:t>
      </w:r>
      <w:r w:rsidRPr="00E1546D">
        <w:rPr>
          <w:rFonts w:ascii="Times New Roman" w:hAnsi="Times New Roman"/>
          <w:b/>
          <w:bCs/>
          <w:noProof/>
          <w:lang w:val="en-GB"/>
        </w:rPr>
        <w:t>Viale P</w:t>
      </w:r>
      <w:r w:rsidRPr="00E1546D">
        <w:rPr>
          <w:rFonts w:ascii="Times New Roman" w:hAnsi="Times New Roman"/>
          <w:noProof/>
          <w:lang w:val="en-GB"/>
        </w:rPr>
        <w:t xml:space="preserve">, </w:t>
      </w:r>
      <w:r w:rsidRPr="00E1546D">
        <w:rPr>
          <w:rFonts w:ascii="Times New Roman" w:hAnsi="Times New Roman"/>
          <w:b/>
          <w:bCs/>
          <w:noProof/>
          <w:lang w:val="en-GB"/>
        </w:rPr>
        <w:t>Candoni A</w:t>
      </w:r>
      <w:r w:rsidRPr="00E1546D">
        <w:rPr>
          <w:rFonts w:ascii="Times New Roman" w:hAnsi="Times New Roman"/>
          <w:noProof/>
          <w:lang w:val="en-GB"/>
        </w:rPr>
        <w:t xml:space="preserve">, </w:t>
      </w:r>
      <w:r w:rsidRPr="00E1546D">
        <w:rPr>
          <w:rFonts w:ascii="Times New Roman" w:hAnsi="Times New Roman"/>
          <w:b/>
          <w:bCs/>
          <w:noProof/>
          <w:lang w:val="en-GB"/>
        </w:rPr>
        <w:t>Pavan F</w:t>
      </w:r>
      <w:r w:rsidRPr="00E1546D">
        <w:rPr>
          <w:rFonts w:ascii="Times New Roman" w:hAnsi="Times New Roman"/>
          <w:noProof/>
          <w:lang w:val="en-GB"/>
        </w:rPr>
        <w:t xml:space="preserve">, </w:t>
      </w:r>
      <w:r w:rsidRPr="00E1546D">
        <w:rPr>
          <w:rFonts w:ascii="Times New Roman" w:hAnsi="Times New Roman"/>
          <w:b/>
          <w:bCs/>
          <w:noProof/>
          <w:lang w:val="en-GB"/>
        </w:rPr>
        <w:t>Pagani L</w:t>
      </w:r>
      <w:r w:rsidRPr="00E1546D">
        <w:rPr>
          <w:rFonts w:ascii="Times New Roman" w:hAnsi="Times New Roman"/>
          <w:noProof/>
          <w:lang w:val="en-GB"/>
        </w:rPr>
        <w:t xml:space="preserve">, </w:t>
      </w:r>
      <w:r w:rsidRPr="00E1546D">
        <w:rPr>
          <w:rFonts w:ascii="Times New Roman" w:hAnsi="Times New Roman"/>
          <w:b/>
          <w:bCs/>
          <w:noProof/>
          <w:lang w:val="en-GB"/>
        </w:rPr>
        <w:t>Damiani D</w:t>
      </w:r>
      <w:r w:rsidRPr="00E1546D">
        <w:rPr>
          <w:rFonts w:ascii="Times New Roman" w:hAnsi="Times New Roman"/>
          <w:noProof/>
          <w:lang w:val="en-GB"/>
        </w:rPr>
        <w:t xml:space="preserve">, </w:t>
      </w:r>
      <w:r w:rsidRPr="00E1546D">
        <w:rPr>
          <w:rFonts w:ascii="Times New Roman" w:hAnsi="Times New Roman"/>
          <w:b/>
          <w:bCs/>
          <w:noProof/>
          <w:lang w:val="en-GB"/>
        </w:rPr>
        <w:t>Casini M</w:t>
      </w:r>
      <w:r w:rsidRPr="00E1546D">
        <w:rPr>
          <w:rFonts w:ascii="Times New Roman" w:hAnsi="Times New Roman"/>
          <w:noProof/>
          <w:lang w:val="en-GB"/>
        </w:rPr>
        <w:t xml:space="preserve">, </w:t>
      </w:r>
      <w:r w:rsidRPr="00E1546D">
        <w:rPr>
          <w:rFonts w:ascii="Times New Roman" w:hAnsi="Times New Roman"/>
          <w:b/>
          <w:bCs/>
          <w:noProof/>
          <w:lang w:val="en-GB"/>
        </w:rPr>
        <w:t>Furlanut M</w:t>
      </w:r>
      <w:r w:rsidRPr="00E1546D">
        <w:rPr>
          <w:rFonts w:ascii="Times New Roman" w:hAnsi="Times New Roman"/>
          <w:noProof/>
          <w:lang w:val="en-GB"/>
        </w:rPr>
        <w:t xml:space="preserve">. 2004. Teicoplanin in Patients with Acute Leukaemia and Febrile Neutropenia. </w:t>
      </w:r>
      <w:r w:rsidRPr="00BD192D">
        <w:rPr>
          <w:rFonts w:ascii="Times New Roman" w:hAnsi="Times New Roman"/>
          <w:noProof/>
          <w:lang w:val="es-ES"/>
        </w:rPr>
        <w:t xml:space="preserve">Clin. Pharmacokinet. </w:t>
      </w:r>
      <w:r w:rsidRPr="00BD192D">
        <w:rPr>
          <w:rFonts w:ascii="Times New Roman" w:hAnsi="Times New Roman"/>
          <w:b/>
          <w:bCs/>
          <w:noProof/>
          <w:lang w:val="es-ES"/>
        </w:rPr>
        <w:t>43</w:t>
      </w:r>
      <w:r w:rsidRPr="00BD192D">
        <w:rPr>
          <w:rFonts w:ascii="Times New Roman" w:hAnsi="Times New Roman"/>
          <w:noProof/>
          <w:lang w:val="es-ES"/>
        </w:rPr>
        <w:t>:405–415.</w:t>
      </w:r>
    </w:p>
    <w:p w14:paraId="3288E582" w14:textId="77777777" w:rsidR="00BD192D" w:rsidRPr="00BD192D" w:rsidRDefault="00BD192D" w:rsidP="00BD192D">
      <w:pPr>
        <w:widowControl w:val="0"/>
        <w:autoSpaceDE w:val="0"/>
        <w:autoSpaceDN w:val="0"/>
        <w:adjustRightInd w:val="0"/>
        <w:spacing w:line="480" w:lineRule="auto"/>
        <w:ind w:left="640" w:hanging="640"/>
        <w:rPr>
          <w:rFonts w:ascii="Times New Roman" w:hAnsi="Times New Roman"/>
          <w:noProof/>
          <w:lang w:val="es-ES"/>
        </w:rPr>
      </w:pPr>
      <w:r w:rsidRPr="00BD192D">
        <w:rPr>
          <w:rFonts w:ascii="Times New Roman" w:hAnsi="Times New Roman"/>
          <w:noProof/>
          <w:lang w:val="es-ES"/>
        </w:rPr>
        <w:t xml:space="preserve">5. </w:t>
      </w:r>
      <w:r w:rsidRPr="00BD192D">
        <w:rPr>
          <w:rFonts w:ascii="Times New Roman" w:hAnsi="Times New Roman"/>
          <w:noProof/>
          <w:lang w:val="es-ES"/>
        </w:rPr>
        <w:tab/>
      </w:r>
      <w:r w:rsidRPr="00BD192D">
        <w:rPr>
          <w:rFonts w:ascii="Times New Roman" w:hAnsi="Times New Roman"/>
          <w:b/>
          <w:bCs/>
          <w:noProof/>
          <w:lang w:val="es-ES"/>
        </w:rPr>
        <w:t>Dufort G</w:t>
      </w:r>
      <w:r w:rsidRPr="00BD192D">
        <w:rPr>
          <w:rFonts w:ascii="Times New Roman" w:hAnsi="Times New Roman"/>
          <w:noProof/>
          <w:lang w:val="es-ES"/>
        </w:rPr>
        <w:t xml:space="preserve">, </w:t>
      </w:r>
      <w:r w:rsidRPr="00BD192D">
        <w:rPr>
          <w:rFonts w:ascii="Times New Roman" w:hAnsi="Times New Roman"/>
          <w:b/>
          <w:bCs/>
          <w:noProof/>
          <w:lang w:val="es-ES"/>
        </w:rPr>
        <w:t>Ventura C</w:t>
      </w:r>
      <w:r w:rsidRPr="00BD192D">
        <w:rPr>
          <w:rFonts w:ascii="Times New Roman" w:hAnsi="Times New Roman"/>
          <w:noProof/>
          <w:lang w:val="es-ES"/>
        </w:rPr>
        <w:t xml:space="preserve">, </w:t>
      </w:r>
      <w:r w:rsidRPr="00BD192D">
        <w:rPr>
          <w:rFonts w:ascii="Times New Roman" w:hAnsi="Times New Roman"/>
          <w:b/>
          <w:bCs/>
          <w:noProof/>
          <w:lang w:val="es-ES"/>
        </w:rPr>
        <w:t>Olivé T</w:t>
      </w:r>
      <w:r w:rsidRPr="00BD192D">
        <w:rPr>
          <w:rFonts w:ascii="Times New Roman" w:hAnsi="Times New Roman"/>
          <w:noProof/>
          <w:lang w:val="es-ES"/>
        </w:rPr>
        <w:t xml:space="preserve">, </w:t>
      </w:r>
      <w:r w:rsidRPr="00BD192D">
        <w:rPr>
          <w:rFonts w:ascii="Times New Roman" w:hAnsi="Times New Roman"/>
          <w:b/>
          <w:bCs/>
          <w:noProof/>
          <w:lang w:val="es-ES"/>
        </w:rPr>
        <w:t>Ortega JJ</w:t>
      </w:r>
      <w:r w:rsidRPr="00BD192D">
        <w:rPr>
          <w:rFonts w:ascii="Times New Roman" w:hAnsi="Times New Roman"/>
          <w:noProof/>
          <w:lang w:val="es-ES"/>
        </w:rPr>
        <w:t xml:space="preserve">. 1996. </w:t>
      </w:r>
      <w:r w:rsidRPr="00E1546D">
        <w:rPr>
          <w:rFonts w:ascii="Times New Roman" w:hAnsi="Times New Roman"/>
          <w:noProof/>
          <w:lang w:val="en-GB"/>
        </w:rPr>
        <w:t xml:space="preserve">Teicoplanin pharmacokinetics in pediatric patients. </w:t>
      </w:r>
      <w:r w:rsidRPr="00BD192D">
        <w:rPr>
          <w:rFonts w:ascii="Times New Roman" w:hAnsi="Times New Roman"/>
          <w:noProof/>
          <w:lang w:val="es-ES"/>
        </w:rPr>
        <w:t xml:space="preserve">Pediatr. Infect. Dis. J. </w:t>
      </w:r>
      <w:r w:rsidRPr="00BD192D">
        <w:rPr>
          <w:rFonts w:ascii="Times New Roman" w:hAnsi="Times New Roman"/>
          <w:b/>
          <w:bCs/>
          <w:noProof/>
          <w:lang w:val="es-ES"/>
        </w:rPr>
        <w:t>15</w:t>
      </w:r>
      <w:r w:rsidRPr="00BD192D">
        <w:rPr>
          <w:rFonts w:ascii="Times New Roman" w:hAnsi="Times New Roman"/>
          <w:noProof/>
          <w:lang w:val="es-ES"/>
        </w:rPr>
        <w:t>:494–8.</w:t>
      </w:r>
    </w:p>
    <w:p w14:paraId="48D96AB7"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BD192D">
        <w:rPr>
          <w:rFonts w:ascii="Times New Roman" w:hAnsi="Times New Roman"/>
          <w:noProof/>
          <w:lang w:val="es-ES"/>
        </w:rPr>
        <w:t xml:space="preserve">6. </w:t>
      </w:r>
      <w:r w:rsidRPr="00BD192D">
        <w:rPr>
          <w:rFonts w:ascii="Times New Roman" w:hAnsi="Times New Roman"/>
          <w:noProof/>
          <w:lang w:val="es-ES"/>
        </w:rPr>
        <w:tab/>
      </w:r>
      <w:r w:rsidRPr="00BD192D">
        <w:rPr>
          <w:rFonts w:ascii="Times New Roman" w:hAnsi="Times New Roman"/>
          <w:b/>
          <w:bCs/>
          <w:noProof/>
          <w:lang w:val="es-ES"/>
        </w:rPr>
        <w:t>Sánchez A</w:t>
      </w:r>
      <w:r w:rsidRPr="00BD192D">
        <w:rPr>
          <w:rFonts w:ascii="Times New Roman" w:hAnsi="Times New Roman"/>
          <w:noProof/>
          <w:lang w:val="es-ES"/>
        </w:rPr>
        <w:t xml:space="preserve">, </w:t>
      </w:r>
      <w:r w:rsidRPr="00BD192D">
        <w:rPr>
          <w:rFonts w:ascii="Times New Roman" w:hAnsi="Times New Roman"/>
          <w:b/>
          <w:bCs/>
          <w:noProof/>
          <w:lang w:val="es-ES"/>
        </w:rPr>
        <w:t>López-Herce J</w:t>
      </w:r>
      <w:r w:rsidRPr="00BD192D">
        <w:rPr>
          <w:rFonts w:ascii="Times New Roman" w:hAnsi="Times New Roman"/>
          <w:noProof/>
          <w:lang w:val="es-ES"/>
        </w:rPr>
        <w:t xml:space="preserve">, </w:t>
      </w:r>
      <w:r w:rsidRPr="00BD192D">
        <w:rPr>
          <w:rFonts w:ascii="Times New Roman" w:hAnsi="Times New Roman"/>
          <w:b/>
          <w:bCs/>
          <w:noProof/>
          <w:lang w:val="es-ES"/>
        </w:rPr>
        <w:t>Cueto E</w:t>
      </w:r>
      <w:r w:rsidRPr="00BD192D">
        <w:rPr>
          <w:rFonts w:ascii="Times New Roman" w:hAnsi="Times New Roman"/>
          <w:noProof/>
          <w:lang w:val="es-ES"/>
        </w:rPr>
        <w:t xml:space="preserve">, </w:t>
      </w:r>
      <w:r w:rsidRPr="00BD192D">
        <w:rPr>
          <w:rFonts w:ascii="Times New Roman" w:hAnsi="Times New Roman"/>
          <w:b/>
          <w:bCs/>
          <w:noProof/>
          <w:lang w:val="es-ES"/>
        </w:rPr>
        <w:t>Carrillo A</w:t>
      </w:r>
      <w:r w:rsidRPr="00BD192D">
        <w:rPr>
          <w:rFonts w:ascii="Times New Roman" w:hAnsi="Times New Roman"/>
          <w:noProof/>
          <w:lang w:val="es-ES"/>
        </w:rPr>
        <w:t xml:space="preserve">, </w:t>
      </w:r>
      <w:r w:rsidRPr="00BD192D">
        <w:rPr>
          <w:rFonts w:ascii="Times New Roman" w:hAnsi="Times New Roman"/>
          <w:b/>
          <w:bCs/>
          <w:noProof/>
          <w:lang w:val="es-ES"/>
        </w:rPr>
        <w:t>Moral R</w:t>
      </w:r>
      <w:r w:rsidRPr="00BD192D">
        <w:rPr>
          <w:rFonts w:ascii="Times New Roman" w:hAnsi="Times New Roman"/>
          <w:noProof/>
          <w:lang w:val="es-ES"/>
        </w:rPr>
        <w:t xml:space="preserve">. 1999. </w:t>
      </w:r>
      <w:r w:rsidRPr="00E1546D">
        <w:rPr>
          <w:rFonts w:ascii="Times New Roman" w:hAnsi="Times New Roman"/>
          <w:noProof/>
          <w:lang w:val="en-GB"/>
        </w:rPr>
        <w:t xml:space="preserve">Teicoplanin pharmacokinetics in critically ill paediatric patients. J. Antimicrob. Chemother. </w:t>
      </w:r>
      <w:r w:rsidRPr="00E1546D">
        <w:rPr>
          <w:rFonts w:ascii="Times New Roman" w:hAnsi="Times New Roman"/>
          <w:b/>
          <w:bCs/>
          <w:noProof/>
          <w:lang w:val="en-GB"/>
        </w:rPr>
        <w:t>44</w:t>
      </w:r>
      <w:r w:rsidRPr="00E1546D">
        <w:rPr>
          <w:rFonts w:ascii="Times New Roman" w:hAnsi="Times New Roman"/>
          <w:noProof/>
          <w:lang w:val="en-GB"/>
        </w:rPr>
        <w:t>:407–409.</w:t>
      </w:r>
    </w:p>
    <w:p w14:paraId="57DFDB0D"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7. </w:t>
      </w:r>
      <w:r w:rsidRPr="00E1546D">
        <w:rPr>
          <w:rFonts w:ascii="Times New Roman" w:hAnsi="Times New Roman"/>
          <w:noProof/>
          <w:lang w:val="en-GB"/>
        </w:rPr>
        <w:tab/>
      </w:r>
      <w:r w:rsidRPr="00E1546D">
        <w:rPr>
          <w:rFonts w:ascii="Times New Roman" w:hAnsi="Times New Roman"/>
          <w:b/>
          <w:bCs/>
          <w:noProof/>
          <w:lang w:val="en-GB"/>
        </w:rPr>
        <w:t>Zhao W</w:t>
      </w:r>
      <w:r w:rsidRPr="00E1546D">
        <w:rPr>
          <w:rFonts w:ascii="Times New Roman" w:hAnsi="Times New Roman"/>
          <w:noProof/>
          <w:lang w:val="en-GB"/>
        </w:rPr>
        <w:t xml:space="preserve">, </w:t>
      </w:r>
      <w:r w:rsidRPr="00E1546D">
        <w:rPr>
          <w:rFonts w:ascii="Times New Roman" w:hAnsi="Times New Roman"/>
          <w:b/>
          <w:bCs/>
          <w:noProof/>
          <w:lang w:val="en-GB"/>
        </w:rPr>
        <w:t>Zhang D</w:t>
      </w:r>
      <w:r w:rsidRPr="00E1546D">
        <w:rPr>
          <w:rFonts w:ascii="Times New Roman" w:hAnsi="Times New Roman"/>
          <w:noProof/>
          <w:lang w:val="en-GB"/>
        </w:rPr>
        <w:t xml:space="preserve">, </w:t>
      </w:r>
      <w:r w:rsidRPr="00E1546D">
        <w:rPr>
          <w:rFonts w:ascii="Times New Roman" w:hAnsi="Times New Roman"/>
          <w:b/>
          <w:bCs/>
          <w:noProof/>
          <w:lang w:val="en-GB"/>
        </w:rPr>
        <w:t>Storme T</w:t>
      </w:r>
      <w:r w:rsidRPr="00E1546D">
        <w:rPr>
          <w:rFonts w:ascii="Times New Roman" w:hAnsi="Times New Roman"/>
          <w:noProof/>
          <w:lang w:val="en-GB"/>
        </w:rPr>
        <w:t xml:space="preserve">, </w:t>
      </w:r>
      <w:r w:rsidRPr="00E1546D">
        <w:rPr>
          <w:rFonts w:ascii="Times New Roman" w:hAnsi="Times New Roman"/>
          <w:b/>
          <w:bCs/>
          <w:noProof/>
          <w:lang w:val="en-GB"/>
        </w:rPr>
        <w:t>Baruchel A</w:t>
      </w:r>
      <w:r w:rsidRPr="00E1546D">
        <w:rPr>
          <w:rFonts w:ascii="Times New Roman" w:hAnsi="Times New Roman"/>
          <w:noProof/>
          <w:lang w:val="en-GB"/>
        </w:rPr>
        <w:t xml:space="preserve">, </w:t>
      </w:r>
      <w:r w:rsidRPr="00E1546D">
        <w:rPr>
          <w:rFonts w:ascii="Times New Roman" w:hAnsi="Times New Roman"/>
          <w:b/>
          <w:bCs/>
          <w:noProof/>
          <w:lang w:val="en-GB"/>
        </w:rPr>
        <w:t>Declèves X</w:t>
      </w:r>
      <w:r w:rsidRPr="00E1546D">
        <w:rPr>
          <w:rFonts w:ascii="Times New Roman" w:hAnsi="Times New Roman"/>
          <w:noProof/>
          <w:lang w:val="en-GB"/>
        </w:rPr>
        <w:t xml:space="preserve">, </w:t>
      </w:r>
      <w:r w:rsidRPr="00E1546D">
        <w:rPr>
          <w:rFonts w:ascii="Times New Roman" w:hAnsi="Times New Roman"/>
          <w:b/>
          <w:bCs/>
          <w:noProof/>
          <w:lang w:val="en-GB"/>
        </w:rPr>
        <w:t>Jacqz-Aigrain E</w:t>
      </w:r>
      <w:r w:rsidRPr="00E1546D">
        <w:rPr>
          <w:rFonts w:ascii="Times New Roman" w:hAnsi="Times New Roman"/>
          <w:noProof/>
          <w:lang w:val="en-GB"/>
        </w:rPr>
        <w:t xml:space="preserve">. 2015. Population pharmacokinetics and dosing optimization of teicoplanin in children with malignant haematological disease. Br. J. Clin. Pharmacol. </w:t>
      </w:r>
      <w:r w:rsidRPr="00E1546D">
        <w:rPr>
          <w:rFonts w:ascii="Times New Roman" w:hAnsi="Times New Roman"/>
          <w:b/>
          <w:bCs/>
          <w:noProof/>
          <w:lang w:val="en-GB"/>
        </w:rPr>
        <w:t>80</w:t>
      </w:r>
      <w:r w:rsidRPr="00E1546D">
        <w:rPr>
          <w:rFonts w:ascii="Times New Roman" w:hAnsi="Times New Roman"/>
          <w:noProof/>
          <w:lang w:val="en-GB"/>
        </w:rPr>
        <w:t>:1197–</w:t>
      </w:r>
      <w:r w:rsidRPr="00E1546D">
        <w:rPr>
          <w:rFonts w:ascii="Times New Roman" w:hAnsi="Times New Roman"/>
          <w:noProof/>
          <w:lang w:val="en-GB"/>
        </w:rPr>
        <w:lastRenderedPageBreak/>
        <w:t>1207.</w:t>
      </w:r>
    </w:p>
    <w:p w14:paraId="41E36321"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8. </w:t>
      </w:r>
      <w:r w:rsidRPr="00E1546D">
        <w:rPr>
          <w:rFonts w:ascii="Times New Roman" w:hAnsi="Times New Roman"/>
          <w:noProof/>
          <w:lang w:val="en-GB"/>
        </w:rPr>
        <w:tab/>
      </w:r>
      <w:r w:rsidRPr="00E1546D">
        <w:rPr>
          <w:rFonts w:ascii="Times New Roman" w:hAnsi="Times New Roman"/>
          <w:b/>
          <w:bCs/>
          <w:noProof/>
          <w:lang w:val="en-GB"/>
        </w:rPr>
        <w:t>Yamada T</w:t>
      </w:r>
      <w:r w:rsidRPr="00E1546D">
        <w:rPr>
          <w:rFonts w:ascii="Times New Roman" w:hAnsi="Times New Roman"/>
          <w:noProof/>
          <w:lang w:val="en-GB"/>
        </w:rPr>
        <w:t xml:space="preserve">, </w:t>
      </w:r>
      <w:r w:rsidRPr="00E1546D">
        <w:rPr>
          <w:rFonts w:ascii="Times New Roman" w:hAnsi="Times New Roman"/>
          <w:b/>
          <w:bCs/>
          <w:noProof/>
          <w:lang w:val="en-GB"/>
        </w:rPr>
        <w:t>Nonaka T</w:t>
      </w:r>
      <w:r w:rsidRPr="00E1546D">
        <w:rPr>
          <w:rFonts w:ascii="Times New Roman" w:hAnsi="Times New Roman"/>
          <w:noProof/>
          <w:lang w:val="en-GB"/>
        </w:rPr>
        <w:t xml:space="preserve">, </w:t>
      </w:r>
      <w:r w:rsidRPr="00E1546D">
        <w:rPr>
          <w:rFonts w:ascii="Times New Roman" w:hAnsi="Times New Roman"/>
          <w:b/>
          <w:bCs/>
          <w:noProof/>
          <w:lang w:val="en-GB"/>
        </w:rPr>
        <w:t>Yano T</w:t>
      </w:r>
      <w:r w:rsidRPr="00E1546D">
        <w:rPr>
          <w:rFonts w:ascii="Times New Roman" w:hAnsi="Times New Roman"/>
          <w:noProof/>
          <w:lang w:val="en-GB"/>
        </w:rPr>
        <w:t xml:space="preserve">, </w:t>
      </w:r>
      <w:r w:rsidRPr="00E1546D">
        <w:rPr>
          <w:rFonts w:ascii="Times New Roman" w:hAnsi="Times New Roman"/>
          <w:b/>
          <w:bCs/>
          <w:noProof/>
          <w:lang w:val="en-GB"/>
        </w:rPr>
        <w:t>Kubota T</w:t>
      </w:r>
      <w:r w:rsidRPr="00E1546D">
        <w:rPr>
          <w:rFonts w:ascii="Times New Roman" w:hAnsi="Times New Roman"/>
          <w:noProof/>
          <w:lang w:val="en-GB"/>
        </w:rPr>
        <w:t xml:space="preserve">, </w:t>
      </w:r>
      <w:r w:rsidRPr="00E1546D">
        <w:rPr>
          <w:rFonts w:ascii="Times New Roman" w:hAnsi="Times New Roman"/>
          <w:b/>
          <w:bCs/>
          <w:noProof/>
          <w:lang w:val="en-GB"/>
        </w:rPr>
        <w:t>Egashira N</w:t>
      </w:r>
      <w:r w:rsidRPr="00E1546D">
        <w:rPr>
          <w:rFonts w:ascii="Times New Roman" w:hAnsi="Times New Roman"/>
          <w:noProof/>
          <w:lang w:val="en-GB"/>
        </w:rPr>
        <w:t xml:space="preserve">, </w:t>
      </w:r>
      <w:r w:rsidRPr="00E1546D">
        <w:rPr>
          <w:rFonts w:ascii="Times New Roman" w:hAnsi="Times New Roman"/>
          <w:b/>
          <w:bCs/>
          <w:noProof/>
          <w:lang w:val="en-GB"/>
        </w:rPr>
        <w:t>Kawashiri T</w:t>
      </w:r>
      <w:r w:rsidRPr="00E1546D">
        <w:rPr>
          <w:rFonts w:ascii="Times New Roman" w:hAnsi="Times New Roman"/>
          <w:noProof/>
          <w:lang w:val="en-GB"/>
        </w:rPr>
        <w:t xml:space="preserve">, </w:t>
      </w:r>
      <w:r w:rsidRPr="00E1546D">
        <w:rPr>
          <w:rFonts w:ascii="Times New Roman" w:hAnsi="Times New Roman"/>
          <w:b/>
          <w:bCs/>
          <w:noProof/>
          <w:lang w:val="en-GB"/>
        </w:rPr>
        <w:t>Oishi R</w:t>
      </w:r>
      <w:r w:rsidRPr="00E1546D">
        <w:rPr>
          <w:rFonts w:ascii="Times New Roman" w:hAnsi="Times New Roman"/>
          <w:noProof/>
          <w:lang w:val="en-GB"/>
        </w:rPr>
        <w:t xml:space="preserve">. 2012. Simplified dosing regimens of teicoplanin for patient groups stratified by renal function and weight using Monte Carlo simulation. Int. J. Antimicrob. Agents </w:t>
      </w:r>
      <w:r w:rsidRPr="00E1546D">
        <w:rPr>
          <w:rFonts w:ascii="Times New Roman" w:hAnsi="Times New Roman"/>
          <w:b/>
          <w:bCs/>
          <w:noProof/>
          <w:lang w:val="en-GB"/>
        </w:rPr>
        <w:t>40</w:t>
      </w:r>
      <w:r w:rsidRPr="00E1546D">
        <w:rPr>
          <w:rFonts w:ascii="Times New Roman" w:hAnsi="Times New Roman"/>
          <w:noProof/>
          <w:lang w:val="en-GB"/>
        </w:rPr>
        <w:t>:344–348.</w:t>
      </w:r>
    </w:p>
    <w:p w14:paraId="4B5EC7EC"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9. </w:t>
      </w:r>
      <w:r w:rsidRPr="00E1546D">
        <w:rPr>
          <w:rFonts w:ascii="Times New Roman" w:hAnsi="Times New Roman"/>
          <w:noProof/>
          <w:lang w:val="en-GB"/>
        </w:rPr>
        <w:tab/>
      </w:r>
      <w:r w:rsidRPr="00E1546D">
        <w:rPr>
          <w:rFonts w:ascii="Times New Roman" w:hAnsi="Times New Roman"/>
          <w:b/>
          <w:bCs/>
          <w:noProof/>
          <w:lang w:val="en-GB"/>
        </w:rPr>
        <w:t>Byrne CJ</w:t>
      </w:r>
      <w:r w:rsidRPr="00E1546D">
        <w:rPr>
          <w:rFonts w:ascii="Times New Roman" w:hAnsi="Times New Roman"/>
          <w:noProof/>
          <w:lang w:val="en-GB"/>
        </w:rPr>
        <w:t xml:space="preserve">, </w:t>
      </w:r>
      <w:r w:rsidRPr="00E1546D">
        <w:rPr>
          <w:rFonts w:ascii="Times New Roman" w:hAnsi="Times New Roman"/>
          <w:b/>
          <w:bCs/>
          <w:noProof/>
          <w:lang w:val="en-GB"/>
        </w:rPr>
        <w:t>Egan S</w:t>
      </w:r>
      <w:r w:rsidRPr="00E1546D">
        <w:rPr>
          <w:rFonts w:ascii="Times New Roman" w:hAnsi="Times New Roman"/>
          <w:noProof/>
          <w:lang w:val="en-GB"/>
        </w:rPr>
        <w:t xml:space="preserve">, </w:t>
      </w:r>
      <w:r w:rsidRPr="00E1546D">
        <w:rPr>
          <w:rFonts w:ascii="Times New Roman" w:hAnsi="Times New Roman"/>
          <w:b/>
          <w:bCs/>
          <w:noProof/>
          <w:lang w:val="en-GB"/>
        </w:rPr>
        <w:t>Fennell JP</w:t>
      </w:r>
      <w:r w:rsidRPr="00E1546D">
        <w:rPr>
          <w:rFonts w:ascii="Times New Roman" w:hAnsi="Times New Roman"/>
          <w:noProof/>
          <w:lang w:val="en-GB"/>
        </w:rPr>
        <w:t xml:space="preserve">, </w:t>
      </w:r>
      <w:r w:rsidRPr="00E1546D">
        <w:rPr>
          <w:rFonts w:ascii="Times New Roman" w:hAnsi="Times New Roman"/>
          <w:b/>
          <w:bCs/>
          <w:noProof/>
          <w:lang w:val="en-GB"/>
        </w:rPr>
        <w:t>O’Byrne P</w:t>
      </w:r>
      <w:r w:rsidRPr="00E1546D">
        <w:rPr>
          <w:rFonts w:ascii="Times New Roman" w:hAnsi="Times New Roman"/>
          <w:noProof/>
          <w:lang w:val="en-GB"/>
        </w:rPr>
        <w:t xml:space="preserve">, </w:t>
      </w:r>
      <w:r w:rsidRPr="00E1546D">
        <w:rPr>
          <w:rFonts w:ascii="Times New Roman" w:hAnsi="Times New Roman"/>
          <w:b/>
          <w:bCs/>
          <w:noProof/>
          <w:lang w:val="en-GB"/>
        </w:rPr>
        <w:t>Enright H</w:t>
      </w:r>
      <w:r w:rsidRPr="00E1546D">
        <w:rPr>
          <w:rFonts w:ascii="Times New Roman" w:hAnsi="Times New Roman"/>
          <w:noProof/>
          <w:lang w:val="en-GB"/>
        </w:rPr>
        <w:t xml:space="preserve">, </w:t>
      </w:r>
      <w:r w:rsidRPr="00E1546D">
        <w:rPr>
          <w:rFonts w:ascii="Times New Roman" w:hAnsi="Times New Roman"/>
          <w:b/>
          <w:bCs/>
          <w:noProof/>
          <w:lang w:val="en-GB"/>
        </w:rPr>
        <w:t>Deasy E</w:t>
      </w:r>
      <w:r w:rsidRPr="00E1546D">
        <w:rPr>
          <w:rFonts w:ascii="Times New Roman" w:hAnsi="Times New Roman"/>
          <w:noProof/>
          <w:lang w:val="en-GB"/>
        </w:rPr>
        <w:t xml:space="preserve">, </w:t>
      </w:r>
      <w:r w:rsidRPr="00E1546D">
        <w:rPr>
          <w:rFonts w:ascii="Times New Roman" w:hAnsi="Times New Roman"/>
          <w:b/>
          <w:bCs/>
          <w:noProof/>
          <w:lang w:val="en-GB"/>
        </w:rPr>
        <w:t>Ryder SA</w:t>
      </w:r>
      <w:r w:rsidRPr="00E1546D">
        <w:rPr>
          <w:rFonts w:ascii="Times New Roman" w:hAnsi="Times New Roman"/>
          <w:noProof/>
          <w:lang w:val="en-GB"/>
        </w:rPr>
        <w:t xml:space="preserve">, </w:t>
      </w:r>
      <w:r w:rsidRPr="00E1546D">
        <w:rPr>
          <w:rFonts w:ascii="Times New Roman" w:hAnsi="Times New Roman"/>
          <w:b/>
          <w:bCs/>
          <w:noProof/>
          <w:lang w:val="en-GB"/>
        </w:rPr>
        <w:t>D’Arcy DM</w:t>
      </w:r>
      <w:r w:rsidRPr="00E1546D">
        <w:rPr>
          <w:rFonts w:ascii="Times New Roman" w:hAnsi="Times New Roman"/>
          <w:noProof/>
          <w:lang w:val="en-GB"/>
        </w:rPr>
        <w:t xml:space="preserve">, </w:t>
      </w:r>
      <w:r w:rsidRPr="00E1546D">
        <w:rPr>
          <w:rFonts w:ascii="Times New Roman" w:hAnsi="Times New Roman"/>
          <w:b/>
          <w:bCs/>
          <w:noProof/>
          <w:lang w:val="en-GB"/>
        </w:rPr>
        <w:t>McHugh J</w:t>
      </w:r>
      <w:r w:rsidRPr="00E1546D">
        <w:rPr>
          <w:rFonts w:ascii="Times New Roman" w:hAnsi="Times New Roman"/>
          <w:noProof/>
          <w:lang w:val="en-GB"/>
        </w:rPr>
        <w:t xml:space="preserve">. 2015. Teicoplanin use in adult patients with haematological malignancy: Exploring relationships between dose, trough concentrations, efficacy and nephrotoxicity. Int. J. Antimicrob. Agents </w:t>
      </w:r>
      <w:r w:rsidRPr="00E1546D">
        <w:rPr>
          <w:rFonts w:ascii="Times New Roman" w:hAnsi="Times New Roman"/>
          <w:b/>
          <w:bCs/>
          <w:noProof/>
          <w:lang w:val="en-GB"/>
        </w:rPr>
        <w:t>46</w:t>
      </w:r>
      <w:r w:rsidRPr="00E1546D">
        <w:rPr>
          <w:rFonts w:ascii="Times New Roman" w:hAnsi="Times New Roman"/>
          <w:noProof/>
          <w:lang w:val="en-GB"/>
        </w:rPr>
        <w:t>:406–412.</w:t>
      </w:r>
    </w:p>
    <w:p w14:paraId="0E2887E6"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10. </w:t>
      </w:r>
      <w:r w:rsidRPr="00E1546D">
        <w:rPr>
          <w:rFonts w:ascii="Times New Roman" w:hAnsi="Times New Roman"/>
          <w:noProof/>
          <w:lang w:val="en-GB"/>
        </w:rPr>
        <w:tab/>
      </w:r>
      <w:r w:rsidRPr="00E1546D">
        <w:rPr>
          <w:rFonts w:ascii="Times New Roman" w:hAnsi="Times New Roman"/>
          <w:b/>
          <w:bCs/>
          <w:noProof/>
          <w:lang w:val="en-GB"/>
        </w:rPr>
        <w:t>Tobin CM</w:t>
      </w:r>
      <w:r w:rsidRPr="00E1546D">
        <w:rPr>
          <w:rFonts w:ascii="Times New Roman" w:hAnsi="Times New Roman"/>
          <w:noProof/>
          <w:lang w:val="en-GB"/>
        </w:rPr>
        <w:t xml:space="preserve">, </w:t>
      </w:r>
      <w:r w:rsidRPr="00E1546D">
        <w:rPr>
          <w:rFonts w:ascii="Times New Roman" w:hAnsi="Times New Roman"/>
          <w:b/>
          <w:bCs/>
          <w:noProof/>
          <w:lang w:val="en-GB"/>
        </w:rPr>
        <w:t>Lovering AM</w:t>
      </w:r>
      <w:r w:rsidRPr="00E1546D">
        <w:rPr>
          <w:rFonts w:ascii="Times New Roman" w:hAnsi="Times New Roman"/>
          <w:noProof/>
          <w:lang w:val="en-GB"/>
        </w:rPr>
        <w:t xml:space="preserve">, </w:t>
      </w:r>
      <w:r w:rsidRPr="00E1546D">
        <w:rPr>
          <w:rFonts w:ascii="Times New Roman" w:hAnsi="Times New Roman"/>
          <w:b/>
          <w:bCs/>
          <w:noProof/>
          <w:lang w:val="en-GB"/>
        </w:rPr>
        <w:t>Sweeney E</w:t>
      </w:r>
      <w:r w:rsidRPr="00E1546D">
        <w:rPr>
          <w:rFonts w:ascii="Times New Roman" w:hAnsi="Times New Roman"/>
          <w:noProof/>
          <w:lang w:val="en-GB"/>
        </w:rPr>
        <w:t xml:space="preserve">, </w:t>
      </w:r>
      <w:r w:rsidRPr="00E1546D">
        <w:rPr>
          <w:rFonts w:ascii="Times New Roman" w:hAnsi="Times New Roman"/>
          <w:b/>
          <w:bCs/>
          <w:noProof/>
          <w:lang w:val="en-GB"/>
        </w:rPr>
        <w:t>MacGowan AP</w:t>
      </w:r>
      <w:r w:rsidRPr="00E1546D">
        <w:rPr>
          <w:rFonts w:ascii="Times New Roman" w:hAnsi="Times New Roman"/>
          <w:noProof/>
          <w:lang w:val="en-GB"/>
        </w:rPr>
        <w:t xml:space="preserve">. 2010. Analyses of teicoplanin concentrations from 1994 to 2006 from a UK assay service. J. Antimicrob. Chemother. </w:t>
      </w:r>
      <w:r w:rsidRPr="00E1546D">
        <w:rPr>
          <w:rFonts w:ascii="Times New Roman" w:hAnsi="Times New Roman"/>
          <w:b/>
          <w:bCs/>
          <w:noProof/>
          <w:lang w:val="en-GB"/>
        </w:rPr>
        <w:t>65</w:t>
      </w:r>
      <w:r w:rsidRPr="00E1546D">
        <w:rPr>
          <w:rFonts w:ascii="Times New Roman" w:hAnsi="Times New Roman"/>
          <w:noProof/>
          <w:lang w:val="en-GB"/>
        </w:rPr>
        <w:t>:2155–2157.</w:t>
      </w:r>
    </w:p>
    <w:p w14:paraId="43F229E4"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11. </w:t>
      </w:r>
      <w:r w:rsidRPr="00E1546D">
        <w:rPr>
          <w:rFonts w:ascii="Times New Roman" w:hAnsi="Times New Roman"/>
          <w:noProof/>
          <w:lang w:val="en-GB"/>
        </w:rPr>
        <w:tab/>
      </w:r>
      <w:r w:rsidRPr="00E1546D">
        <w:rPr>
          <w:rFonts w:ascii="Times New Roman" w:hAnsi="Times New Roman"/>
          <w:b/>
          <w:bCs/>
          <w:noProof/>
          <w:lang w:val="en-GB"/>
        </w:rPr>
        <w:t>The Electronic Medicines Compendium</w:t>
      </w:r>
      <w:r w:rsidRPr="00E1546D">
        <w:rPr>
          <w:rFonts w:ascii="Times New Roman" w:hAnsi="Times New Roman"/>
          <w:noProof/>
          <w:lang w:val="en-GB"/>
        </w:rPr>
        <w:t>. 2014. Targocid 200mg - Summary of Product Characteristics (SPC) - (eMC).</w:t>
      </w:r>
    </w:p>
    <w:p w14:paraId="3C3DF788"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12. </w:t>
      </w:r>
      <w:r w:rsidRPr="00E1546D">
        <w:rPr>
          <w:rFonts w:ascii="Times New Roman" w:hAnsi="Times New Roman"/>
          <w:noProof/>
          <w:lang w:val="en-GB"/>
        </w:rPr>
        <w:tab/>
      </w:r>
      <w:r w:rsidRPr="00E1546D">
        <w:rPr>
          <w:rFonts w:ascii="Times New Roman" w:hAnsi="Times New Roman"/>
          <w:b/>
          <w:bCs/>
          <w:noProof/>
          <w:lang w:val="en-GB"/>
        </w:rPr>
        <w:t>Ueda T</w:t>
      </w:r>
      <w:r w:rsidRPr="00E1546D">
        <w:rPr>
          <w:rFonts w:ascii="Times New Roman" w:hAnsi="Times New Roman"/>
          <w:noProof/>
          <w:lang w:val="en-GB"/>
        </w:rPr>
        <w:t xml:space="preserve">, </w:t>
      </w:r>
      <w:r w:rsidRPr="00E1546D">
        <w:rPr>
          <w:rFonts w:ascii="Times New Roman" w:hAnsi="Times New Roman"/>
          <w:b/>
          <w:bCs/>
          <w:noProof/>
          <w:lang w:val="en-GB"/>
        </w:rPr>
        <w:t>Takesue Y</w:t>
      </w:r>
      <w:r w:rsidRPr="00E1546D">
        <w:rPr>
          <w:rFonts w:ascii="Times New Roman" w:hAnsi="Times New Roman"/>
          <w:noProof/>
          <w:lang w:val="en-GB"/>
        </w:rPr>
        <w:t xml:space="preserve">, </w:t>
      </w:r>
      <w:r w:rsidRPr="00E1546D">
        <w:rPr>
          <w:rFonts w:ascii="Times New Roman" w:hAnsi="Times New Roman"/>
          <w:b/>
          <w:bCs/>
          <w:noProof/>
          <w:lang w:val="en-GB"/>
        </w:rPr>
        <w:t>Nakajima K</w:t>
      </w:r>
      <w:r w:rsidRPr="00E1546D">
        <w:rPr>
          <w:rFonts w:ascii="Times New Roman" w:hAnsi="Times New Roman"/>
          <w:noProof/>
          <w:lang w:val="en-GB"/>
        </w:rPr>
        <w:t xml:space="preserve">, </w:t>
      </w:r>
      <w:r w:rsidRPr="00E1546D">
        <w:rPr>
          <w:rFonts w:ascii="Times New Roman" w:hAnsi="Times New Roman"/>
          <w:b/>
          <w:bCs/>
          <w:noProof/>
          <w:lang w:val="en-GB"/>
        </w:rPr>
        <w:t>Ichki K</w:t>
      </w:r>
      <w:r w:rsidRPr="00E1546D">
        <w:rPr>
          <w:rFonts w:ascii="Times New Roman" w:hAnsi="Times New Roman"/>
          <w:noProof/>
          <w:lang w:val="en-GB"/>
        </w:rPr>
        <w:t xml:space="preserve">, </w:t>
      </w:r>
      <w:r w:rsidRPr="00E1546D">
        <w:rPr>
          <w:rFonts w:ascii="Times New Roman" w:hAnsi="Times New Roman"/>
          <w:b/>
          <w:bCs/>
          <w:noProof/>
          <w:lang w:val="en-GB"/>
        </w:rPr>
        <w:t>Wada Y</w:t>
      </w:r>
      <w:r w:rsidRPr="00E1546D">
        <w:rPr>
          <w:rFonts w:ascii="Times New Roman" w:hAnsi="Times New Roman"/>
          <w:noProof/>
          <w:lang w:val="en-GB"/>
        </w:rPr>
        <w:t xml:space="preserve">, </w:t>
      </w:r>
      <w:r w:rsidRPr="00E1546D">
        <w:rPr>
          <w:rFonts w:ascii="Times New Roman" w:hAnsi="Times New Roman"/>
          <w:b/>
          <w:bCs/>
          <w:noProof/>
          <w:lang w:val="en-GB"/>
        </w:rPr>
        <w:t>Tsuchida T</w:t>
      </w:r>
      <w:r w:rsidRPr="00E1546D">
        <w:rPr>
          <w:rFonts w:ascii="Times New Roman" w:hAnsi="Times New Roman"/>
          <w:noProof/>
          <w:lang w:val="en-GB"/>
        </w:rPr>
        <w:t xml:space="preserve">, </w:t>
      </w:r>
      <w:r w:rsidRPr="00E1546D">
        <w:rPr>
          <w:rFonts w:ascii="Times New Roman" w:hAnsi="Times New Roman"/>
          <w:b/>
          <w:bCs/>
          <w:noProof/>
          <w:lang w:val="en-GB"/>
        </w:rPr>
        <w:t>Takahashi Y</w:t>
      </w:r>
      <w:r w:rsidRPr="00E1546D">
        <w:rPr>
          <w:rFonts w:ascii="Times New Roman" w:hAnsi="Times New Roman"/>
          <w:noProof/>
          <w:lang w:val="en-GB"/>
        </w:rPr>
        <w:t xml:space="preserve">, </w:t>
      </w:r>
      <w:r w:rsidRPr="00E1546D">
        <w:rPr>
          <w:rFonts w:ascii="Times New Roman" w:hAnsi="Times New Roman"/>
          <w:b/>
          <w:bCs/>
          <w:noProof/>
          <w:lang w:val="en-GB"/>
        </w:rPr>
        <w:t>Ishihara M</w:t>
      </w:r>
      <w:r w:rsidRPr="00E1546D">
        <w:rPr>
          <w:rFonts w:ascii="Times New Roman" w:hAnsi="Times New Roman"/>
          <w:noProof/>
          <w:lang w:val="en-GB"/>
        </w:rPr>
        <w:t xml:space="preserve">, </w:t>
      </w:r>
      <w:r w:rsidRPr="00E1546D">
        <w:rPr>
          <w:rFonts w:ascii="Times New Roman" w:hAnsi="Times New Roman"/>
          <w:b/>
          <w:bCs/>
          <w:noProof/>
          <w:lang w:val="en-GB"/>
        </w:rPr>
        <w:t>Tatsumi S</w:t>
      </w:r>
      <w:r w:rsidRPr="00E1546D">
        <w:rPr>
          <w:rFonts w:ascii="Times New Roman" w:hAnsi="Times New Roman"/>
          <w:noProof/>
          <w:lang w:val="en-GB"/>
        </w:rPr>
        <w:t xml:space="preserve">, </w:t>
      </w:r>
      <w:r w:rsidRPr="00E1546D">
        <w:rPr>
          <w:rFonts w:ascii="Times New Roman" w:hAnsi="Times New Roman"/>
          <w:b/>
          <w:bCs/>
          <w:noProof/>
          <w:lang w:val="en-GB"/>
        </w:rPr>
        <w:t>Kimura T</w:t>
      </w:r>
      <w:r w:rsidRPr="00E1546D">
        <w:rPr>
          <w:rFonts w:ascii="Times New Roman" w:hAnsi="Times New Roman"/>
          <w:noProof/>
          <w:lang w:val="en-GB"/>
        </w:rPr>
        <w:t xml:space="preserve">, </w:t>
      </w:r>
      <w:r w:rsidRPr="00E1546D">
        <w:rPr>
          <w:rFonts w:ascii="Times New Roman" w:hAnsi="Times New Roman"/>
          <w:b/>
          <w:bCs/>
          <w:noProof/>
          <w:lang w:val="en-GB"/>
        </w:rPr>
        <w:t>Ikeuchi H</w:t>
      </w:r>
      <w:r w:rsidRPr="00E1546D">
        <w:rPr>
          <w:rFonts w:ascii="Times New Roman" w:hAnsi="Times New Roman"/>
          <w:noProof/>
          <w:lang w:val="en-GB"/>
        </w:rPr>
        <w:t xml:space="preserve">, </w:t>
      </w:r>
      <w:r w:rsidRPr="00E1546D">
        <w:rPr>
          <w:rFonts w:ascii="Times New Roman" w:hAnsi="Times New Roman"/>
          <w:b/>
          <w:bCs/>
          <w:noProof/>
          <w:lang w:val="en-GB"/>
        </w:rPr>
        <w:t>Uchino M</w:t>
      </w:r>
      <w:r w:rsidRPr="00E1546D">
        <w:rPr>
          <w:rFonts w:ascii="Times New Roman" w:hAnsi="Times New Roman"/>
          <w:noProof/>
          <w:lang w:val="en-GB"/>
        </w:rPr>
        <w:t xml:space="preserve">. 2012. Evaluation of teicoplanin dosing designs to achieve a new target trough concentration. J. Infect. Chemother. </w:t>
      </w:r>
      <w:r w:rsidRPr="00E1546D">
        <w:rPr>
          <w:rFonts w:ascii="Times New Roman" w:hAnsi="Times New Roman"/>
          <w:b/>
          <w:bCs/>
          <w:noProof/>
          <w:lang w:val="en-GB"/>
        </w:rPr>
        <w:t>18</w:t>
      </w:r>
      <w:r w:rsidRPr="00E1546D">
        <w:rPr>
          <w:rFonts w:ascii="Times New Roman" w:hAnsi="Times New Roman"/>
          <w:noProof/>
          <w:lang w:val="en-GB"/>
        </w:rPr>
        <w:t>:296–302.</w:t>
      </w:r>
    </w:p>
    <w:p w14:paraId="304DDEDE"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13. </w:t>
      </w:r>
      <w:r w:rsidRPr="00E1546D">
        <w:rPr>
          <w:rFonts w:ascii="Times New Roman" w:hAnsi="Times New Roman"/>
          <w:noProof/>
          <w:lang w:val="en-GB"/>
        </w:rPr>
        <w:tab/>
      </w:r>
      <w:r w:rsidRPr="00E1546D">
        <w:rPr>
          <w:rFonts w:ascii="Times New Roman" w:hAnsi="Times New Roman"/>
          <w:b/>
          <w:bCs/>
          <w:noProof/>
          <w:lang w:val="en-GB"/>
        </w:rPr>
        <w:t>Harding I</w:t>
      </w:r>
      <w:r w:rsidRPr="00E1546D">
        <w:rPr>
          <w:rFonts w:ascii="Times New Roman" w:hAnsi="Times New Roman"/>
          <w:noProof/>
          <w:lang w:val="en-GB"/>
        </w:rPr>
        <w:t xml:space="preserve">, </w:t>
      </w:r>
      <w:r w:rsidRPr="00E1546D">
        <w:rPr>
          <w:rFonts w:ascii="Times New Roman" w:hAnsi="Times New Roman"/>
          <w:b/>
          <w:bCs/>
          <w:noProof/>
          <w:lang w:val="en-GB"/>
        </w:rPr>
        <w:t>MacGowan  a P</w:t>
      </w:r>
      <w:r w:rsidRPr="00E1546D">
        <w:rPr>
          <w:rFonts w:ascii="Times New Roman" w:hAnsi="Times New Roman"/>
          <w:noProof/>
          <w:lang w:val="en-GB"/>
        </w:rPr>
        <w:t xml:space="preserve">, </w:t>
      </w:r>
      <w:r w:rsidRPr="00E1546D">
        <w:rPr>
          <w:rFonts w:ascii="Times New Roman" w:hAnsi="Times New Roman"/>
          <w:b/>
          <w:bCs/>
          <w:noProof/>
          <w:lang w:val="en-GB"/>
        </w:rPr>
        <w:t>White LO</w:t>
      </w:r>
      <w:r w:rsidRPr="00E1546D">
        <w:rPr>
          <w:rFonts w:ascii="Times New Roman" w:hAnsi="Times New Roman"/>
          <w:noProof/>
          <w:lang w:val="en-GB"/>
        </w:rPr>
        <w:t xml:space="preserve">, </w:t>
      </w:r>
      <w:r w:rsidRPr="00E1546D">
        <w:rPr>
          <w:rFonts w:ascii="Times New Roman" w:hAnsi="Times New Roman"/>
          <w:b/>
          <w:bCs/>
          <w:noProof/>
          <w:lang w:val="en-GB"/>
        </w:rPr>
        <w:t>Darley ES</w:t>
      </w:r>
      <w:r w:rsidRPr="00E1546D">
        <w:rPr>
          <w:rFonts w:ascii="Times New Roman" w:hAnsi="Times New Roman"/>
          <w:noProof/>
          <w:lang w:val="en-GB"/>
        </w:rPr>
        <w:t xml:space="preserve">, </w:t>
      </w:r>
      <w:r w:rsidRPr="00E1546D">
        <w:rPr>
          <w:rFonts w:ascii="Times New Roman" w:hAnsi="Times New Roman"/>
          <w:b/>
          <w:bCs/>
          <w:noProof/>
          <w:lang w:val="en-GB"/>
        </w:rPr>
        <w:t>Reed V</w:t>
      </w:r>
      <w:r w:rsidRPr="00E1546D">
        <w:rPr>
          <w:rFonts w:ascii="Times New Roman" w:hAnsi="Times New Roman"/>
          <w:noProof/>
          <w:lang w:val="en-GB"/>
        </w:rPr>
        <w:t xml:space="preserve">. 2000. Teicoplanin therapy for Staphylococcus aureus septicaemia: relationship between pre-dose serum concentrations and outcome. J. Antimicrob. Chemother. </w:t>
      </w:r>
      <w:r w:rsidRPr="00E1546D">
        <w:rPr>
          <w:rFonts w:ascii="Times New Roman" w:hAnsi="Times New Roman"/>
          <w:b/>
          <w:bCs/>
          <w:noProof/>
          <w:lang w:val="en-GB"/>
        </w:rPr>
        <w:t>45</w:t>
      </w:r>
      <w:r w:rsidRPr="00E1546D">
        <w:rPr>
          <w:rFonts w:ascii="Times New Roman" w:hAnsi="Times New Roman"/>
          <w:noProof/>
          <w:lang w:val="en-GB"/>
        </w:rPr>
        <w:t>:835–41.</w:t>
      </w:r>
    </w:p>
    <w:p w14:paraId="366BC8E9"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14. </w:t>
      </w:r>
      <w:r w:rsidRPr="00E1546D">
        <w:rPr>
          <w:rFonts w:ascii="Times New Roman" w:hAnsi="Times New Roman"/>
          <w:noProof/>
          <w:lang w:val="en-GB"/>
        </w:rPr>
        <w:tab/>
      </w:r>
      <w:r w:rsidRPr="00E1546D">
        <w:rPr>
          <w:rFonts w:ascii="Times New Roman" w:hAnsi="Times New Roman"/>
          <w:b/>
          <w:bCs/>
          <w:noProof/>
          <w:lang w:val="en-GB"/>
        </w:rPr>
        <w:t>Kanazawa N</w:t>
      </w:r>
      <w:r w:rsidRPr="00E1546D">
        <w:rPr>
          <w:rFonts w:ascii="Times New Roman" w:hAnsi="Times New Roman"/>
          <w:noProof/>
          <w:lang w:val="en-GB"/>
        </w:rPr>
        <w:t xml:space="preserve">, </w:t>
      </w:r>
      <w:r w:rsidRPr="00E1546D">
        <w:rPr>
          <w:rFonts w:ascii="Times New Roman" w:hAnsi="Times New Roman"/>
          <w:b/>
          <w:bCs/>
          <w:noProof/>
          <w:lang w:val="en-GB"/>
        </w:rPr>
        <w:t>Matsumoto K</w:t>
      </w:r>
      <w:r w:rsidRPr="00E1546D">
        <w:rPr>
          <w:rFonts w:ascii="Times New Roman" w:hAnsi="Times New Roman"/>
          <w:noProof/>
          <w:lang w:val="en-GB"/>
        </w:rPr>
        <w:t xml:space="preserve">, </w:t>
      </w:r>
      <w:r w:rsidRPr="00E1546D">
        <w:rPr>
          <w:rFonts w:ascii="Times New Roman" w:hAnsi="Times New Roman"/>
          <w:b/>
          <w:bCs/>
          <w:noProof/>
          <w:lang w:val="en-GB"/>
        </w:rPr>
        <w:t>Fukamizu T</w:t>
      </w:r>
      <w:r w:rsidRPr="00E1546D">
        <w:rPr>
          <w:rFonts w:ascii="Times New Roman" w:hAnsi="Times New Roman"/>
          <w:noProof/>
          <w:lang w:val="en-GB"/>
        </w:rPr>
        <w:t xml:space="preserve">, </w:t>
      </w:r>
      <w:r w:rsidRPr="00E1546D">
        <w:rPr>
          <w:rFonts w:ascii="Times New Roman" w:hAnsi="Times New Roman"/>
          <w:b/>
          <w:bCs/>
          <w:noProof/>
          <w:lang w:val="en-GB"/>
        </w:rPr>
        <w:t>Shigemi A</w:t>
      </w:r>
      <w:r w:rsidRPr="00E1546D">
        <w:rPr>
          <w:rFonts w:ascii="Times New Roman" w:hAnsi="Times New Roman"/>
          <w:noProof/>
          <w:lang w:val="en-GB"/>
        </w:rPr>
        <w:t xml:space="preserve">, </w:t>
      </w:r>
      <w:r w:rsidRPr="00E1546D">
        <w:rPr>
          <w:rFonts w:ascii="Times New Roman" w:hAnsi="Times New Roman"/>
          <w:b/>
          <w:bCs/>
          <w:noProof/>
          <w:lang w:val="en-GB"/>
        </w:rPr>
        <w:t>Yaji K</w:t>
      </w:r>
      <w:r w:rsidRPr="00E1546D">
        <w:rPr>
          <w:rFonts w:ascii="Times New Roman" w:hAnsi="Times New Roman"/>
          <w:noProof/>
          <w:lang w:val="en-GB"/>
        </w:rPr>
        <w:t xml:space="preserve">, </w:t>
      </w:r>
      <w:r w:rsidRPr="00E1546D">
        <w:rPr>
          <w:rFonts w:ascii="Times New Roman" w:hAnsi="Times New Roman"/>
          <w:b/>
          <w:bCs/>
          <w:noProof/>
          <w:lang w:val="en-GB"/>
        </w:rPr>
        <w:t>Shimodozono Y</w:t>
      </w:r>
      <w:r w:rsidRPr="00E1546D">
        <w:rPr>
          <w:rFonts w:ascii="Times New Roman" w:hAnsi="Times New Roman"/>
          <w:noProof/>
          <w:lang w:val="en-GB"/>
        </w:rPr>
        <w:t xml:space="preserve">, </w:t>
      </w:r>
      <w:r w:rsidRPr="00E1546D">
        <w:rPr>
          <w:rFonts w:ascii="Times New Roman" w:hAnsi="Times New Roman"/>
          <w:b/>
          <w:bCs/>
          <w:noProof/>
          <w:lang w:val="en-GB"/>
        </w:rPr>
        <w:t>Takeda Y</w:t>
      </w:r>
      <w:r w:rsidRPr="00E1546D">
        <w:rPr>
          <w:rFonts w:ascii="Times New Roman" w:hAnsi="Times New Roman"/>
          <w:noProof/>
          <w:lang w:val="en-GB"/>
        </w:rPr>
        <w:t xml:space="preserve">, </w:t>
      </w:r>
      <w:r w:rsidRPr="00E1546D">
        <w:rPr>
          <w:rFonts w:ascii="Times New Roman" w:hAnsi="Times New Roman"/>
          <w:b/>
          <w:bCs/>
          <w:noProof/>
          <w:lang w:val="en-GB"/>
        </w:rPr>
        <w:t>Yamada K</w:t>
      </w:r>
      <w:r w:rsidRPr="00E1546D">
        <w:rPr>
          <w:rFonts w:ascii="Times New Roman" w:hAnsi="Times New Roman"/>
          <w:noProof/>
          <w:lang w:val="en-GB"/>
        </w:rPr>
        <w:t xml:space="preserve">, </w:t>
      </w:r>
      <w:r w:rsidRPr="00E1546D">
        <w:rPr>
          <w:rFonts w:ascii="Times New Roman" w:hAnsi="Times New Roman"/>
          <w:b/>
          <w:bCs/>
          <w:noProof/>
          <w:lang w:val="en-GB"/>
        </w:rPr>
        <w:t>Ikawa K</w:t>
      </w:r>
      <w:r w:rsidRPr="00E1546D">
        <w:rPr>
          <w:rFonts w:ascii="Times New Roman" w:hAnsi="Times New Roman"/>
          <w:noProof/>
          <w:lang w:val="en-GB"/>
        </w:rPr>
        <w:t xml:space="preserve">, </w:t>
      </w:r>
      <w:r w:rsidRPr="00E1546D">
        <w:rPr>
          <w:rFonts w:ascii="Times New Roman" w:hAnsi="Times New Roman"/>
          <w:b/>
          <w:bCs/>
          <w:noProof/>
          <w:lang w:val="en-GB"/>
        </w:rPr>
        <w:t>Morikawa N</w:t>
      </w:r>
      <w:r w:rsidRPr="00E1546D">
        <w:rPr>
          <w:rFonts w:ascii="Times New Roman" w:hAnsi="Times New Roman"/>
          <w:noProof/>
          <w:lang w:val="en-GB"/>
        </w:rPr>
        <w:t xml:space="preserve">. 2011. An initial dosing method for teicoplanin based on the area under the serum concentration time </w:t>
      </w:r>
      <w:r w:rsidRPr="00E1546D">
        <w:rPr>
          <w:rFonts w:ascii="Times New Roman" w:hAnsi="Times New Roman"/>
          <w:noProof/>
          <w:lang w:val="en-GB"/>
        </w:rPr>
        <w:lastRenderedPageBreak/>
        <w:t xml:space="preserve">curve required for MRSA eradication. J. Infect. Chemother. </w:t>
      </w:r>
      <w:r w:rsidRPr="00E1546D">
        <w:rPr>
          <w:rFonts w:ascii="Times New Roman" w:hAnsi="Times New Roman"/>
          <w:b/>
          <w:bCs/>
          <w:noProof/>
          <w:lang w:val="en-GB"/>
        </w:rPr>
        <w:t>17</w:t>
      </w:r>
      <w:r w:rsidRPr="00E1546D">
        <w:rPr>
          <w:rFonts w:ascii="Times New Roman" w:hAnsi="Times New Roman"/>
          <w:noProof/>
          <w:lang w:val="en-GB"/>
        </w:rPr>
        <w:t>:297–300.</w:t>
      </w:r>
    </w:p>
    <w:p w14:paraId="60075973"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15. </w:t>
      </w:r>
      <w:r w:rsidRPr="00E1546D">
        <w:rPr>
          <w:rFonts w:ascii="Times New Roman" w:hAnsi="Times New Roman"/>
          <w:noProof/>
          <w:lang w:val="en-GB"/>
        </w:rPr>
        <w:tab/>
      </w:r>
      <w:r w:rsidRPr="00E1546D">
        <w:rPr>
          <w:rFonts w:ascii="Times New Roman" w:hAnsi="Times New Roman"/>
          <w:b/>
          <w:bCs/>
          <w:noProof/>
          <w:lang w:val="en-GB"/>
        </w:rPr>
        <w:t>Hagihara M</w:t>
      </w:r>
      <w:r w:rsidRPr="00E1546D">
        <w:rPr>
          <w:rFonts w:ascii="Times New Roman" w:hAnsi="Times New Roman"/>
          <w:noProof/>
          <w:lang w:val="en-GB"/>
        </w:rPr>
        <w:t xml:space="preserve">, </w:t>
      </w:r>
      <w:r w:rsidRPr="00E1546D">
        <w:rPr>
          <w:rFonts w:ascii="Times New Roman" w:hAnsi="Times New Roman"/>
          <w:b/>
          <w:bCs/>
          <w:noProof/>
          <w:lang w:val="en-GB"/>
        </w:rPr>
        <w:t>Umemura T</w:t>
      </w:r>
      <w:r w:rsidRPr="00E1546D">
        <w:rPr>
          <w:rFonts w:ascii="Times New Roman" w:hAnsi="Times New Roman"/>
          <w:noProof/>
          <w:lang w:val="en-GB"/>
        </w:rPr>
        <w:t xml:space="preserve">, </w:t>
      </w:r>
      <w:r w:rsidRPr="00E1546D">
        <w:rPr>
          <w:rFonts w:ascii="Times New Roman" w:hAnsi="Times New Roman"/>
          <w:b/>
          <w:bCs/>
          <w:noProof/>
          <w:lang w:val="en-GB"/>
        </w:rPr>
        <w:t>Kimura M</w:t>
      </w:r>
      <w:r w:rsidRPr="00E1546D">
        <w:rPr>
          <w:rFonts w:ascii="Times New Roman" w:hAnsi="Times New Roman"/>
          <w:noProof/>
          <w:lang w:val="en-GB"/>
        </w:rPr>
        <w:t xml:space="preserve">, </w:t>
      </w:r>
      <w:r w:rsidRPr="00E1546D">
        <w:rPr>
          <w:rFonts w:ascii="Times New Roman" w:hAnsi="Times New Roman"/>
          <w:b/>
          <w:bCs/>
          <w:noProof/>
          <w:lang w:val="en-GB"/>
        </w:rPr>
        <w:t>Mori T</w:t>
      </w:r>
      <w:r w:rsidRPr="00E1546D">
        <w:rPr>
          <w:rFonts w:ascii="Times New Roman" w:hAnsi="Times New Roman"/>
          <w:noProof/>
          <w:lang w:val="en-GB"/>
        </w:rPr>
        <w:t xml:space="preserve">, </w:t>
      </w:r>
      <w:r w:rsidRPr="00E1546D">
        <w:rPr>
          <w:rFonts w:ascii="Times New Roman" w:hAnsi="Times New Roman"/>
          <w:b/>
          <w:bCs/>
          <w:noProof/>
          <w:lang w:val="en-GB"/>
        </w:rPr>
        <w:t>Hasegawa T</w:t>
      </w:r>
      <w:r w:rsidRPr="00E1546D">
        <w:rPr>
          <w:rFonts w:ascii="Times New Roman" w:hAnsi="Times New Roman"/>
          <w:noProof/>
          <w:lang w:val="en-GB"/>
        </w:rPr>
        <w:t xml:space="preserve">, </w:t>
      </w:r>
      <w:r w:rsidRPr="00E1546D">
        <w:rPr>
          <w:rFonts w:ascii="Times New Roman" w:hAnsi="Times New Roman"/>
          <w:b/>
          <w:bCs/>
          <w:noProof/>
          <w:lang w:val="en-GB"/>
        </w:rPr>
        <w:t>Mikamo H</w:t>
      </w:r>
      <w:r w:rsidRPr="00E1546D">
        <w:rPr>
          <w:rFonts w:ascii="Times New Roman" w:hAnsi="Times New Roman"/>
          <w:noProof/>
          <w:lang w:val="en-GB"/>
        </w:rPr>
        <w:t xml:space="preserve">. 2012. Exploration of optimal teicoplanin dosage based on pharmacokinetic parameters for the treatment of intensive care unit patients infected with methicillin-resistant Staphylococcus aureus. J. Infect. Chemother. </w:t>
      </w:r>
      <w:r w:rsidRPr="00E1546D">
        <w:rPr>
          <w:rFonts w:ascii="Times New Roman" w:hAnsi="Times New Roman"/>
          <w:b/>
          <w:bCs/>
          <w:noProof/>
          <w:lang w:val="en-GB"/>
        </w:rPr>
        <w:t>18</w:t>
      </w:r>
      <w:r w:rsidRPr="00E1546D">
        <w:rPr>
          <w:rFonts w:ascii="Times New Roman" w:hAnsi="Times New Roman"/>
          <w:noProof/>
          <w:lang w:val="en-GB"/>
        </w:rPr>
        <w:t>:10–16.</w:t>
      </w:r>
    </w:p>
    <w:p w14:paraId="14FF8392"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16. </w:t>
      </w:r>
      <w:r w:rsidRPr="00E1546D">
        <w:rPr>
          <w:rFonts w:ascii="Times New Roman" w:hAnsi="Times New Roman"/>
          <w:noProof/>
          <w:lang w:val="en-GB"/>
        </w:rPr>
        <w:tab/>
      </w:r>
      <w:r w:rsidRPr="00E1546D">
        <w:rPr>
          <w:rFonts w:ascii="Times New Roman" w:hAnsi="Times New Roman"/>
          <w:b/>
          <w:bCs/>
          <w:noProof/>
          <w:lang w:val="en-GB"/>
        </w:rPr>
        <w:t>Schwartz GJ</w:t>
      </w:r>
      <w:r w:rsidRPr="00E1546D">
        <w:rPr>
          <w:rFonts w:ascii="Times New Roman" w:hAnsi="Times New Roman"/>
          <w:noProof/>
          <w:lang w:val="en-GB"/>
        </w:rPr>
        <w:t xml:space="preserve">, </w:t>
      </w:r>
      <w:r w:rsidRPr="00E1546D">
        <w:rPr>
          <w:rFonts w:ascii="Times New Roman" w:hAnsi="Times New Roman"/>
          <w:b/>
          <w:bCs/>
          <w:noProof/>
          <w:lang w:val="en-GB"/>
        </w:rPr>
        <w:t>Feld LG</w:t>
      </w:r>
      <w:r w:rsidRPr="00E1546D">
        <w:rPr>
          <w:rFonts w:ascii="Times New Roman" w:hAnsi="Times New Roman"/>
          <w:noProof/>
          <w:lang w:val="en-GB"/>
        </w:rPr>
        <w:t xml:space="preserve">, </w:t>
      </w:r>
      <w:r w:rsidRPr="00E1546D">
        <w:rPr>
          <w:rFonts w:ascii="Times New Roman" w:hAnsi="Times New Roman"/>
          <w:b/>
          <w:bCs/>
          <w:noProof/>
          <w:lang w:val="en-GB"/>
        </w:rPr>
        <w:t>Langford DJ</w:t>
      </w:r>
      <w:r w:rsidRPr="00E1546D">
        <w:rPr>
          <w:rFonts w:ascii="Times New Roman" w:hAnsi="Times New Roman"/>
          <w:noProof/>
          <w:lang w:val="en-GB"/>
        </w:rPr>
        <w:t xml:space="preserve">. 1984. A simple estimate of glomerular filtration rate in full-term infants during the first year of life. J. Pediatr. </w:t>
      </w:r>
      <w:r w:rsidRPr="00E1546D">
        <w:rPr>
          <w:rFonts w:ascii="Times New Roman" w:hAnsi="Times New Roman"/>
          <w:b/>
          <w:bCs/>
          <w:noProof/>
          <w:lang w:val="en-GB"/>
        </w:rPr>
        <w:t>104</w:t>
      </w:r>
      <w:r w:rsidRPr="00E1546D">
        <w:rPr>
          <w:rFonts w:ascii="Times New Roman" w:hAnsi="Times New Roman"/>
          <w:noProof/>
          <w:lang w:val="en-GB"/>
        </w:rPr>
        <w:t>:849–54.</w:t>
      </w:r>
    </w:p>
    <w:p w14:paraId="29673602"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17. </w:t>
      </w:r>
      <w:r w:rsidRPr="00E1546D">
        <w:rPr>
          <w:rFonts w:ascii="Times New Roman" w:hAnsi="Times New Roman"/>
          <w:noProof/>
          <w:lang w:val="en-GB"/>
        </w:rPr>
        <w:tab/>
      </w:r>
      <w:r w:rsidRPr="00E1546D">
        <w:rPr>
          <w:rFonts w:ascii="Times New Roman" w:hAnsi="Times New Roman"/>
          <w:b/>
          <w:bCs/>
          <w:noProof/>
          <w:lang w:val="en-GB"/>
        </w:rPr>
        <w:t>Neely MN</w:t>
      </w:r>
      <w:r w:rsidRPr="00E1546D">
        <w:rPr>
          <w:rFonts w:ascii="Times New Roman" w:hAnsi="Times New Roman"/>
          <w:noProof/>
          <w:lang w:val="en-GB"/>
        </w:rPr>
        <w:t xml:space="preserve">, </w:t>
      </w:r>
      <w:r w:rsidRPr="00E1546D">
        <w:rPr>
          <w:rFonts w:ascii="Times New Roman" w:hAnsi="Times New Roman"/>
          <w:b/>
          <w:bCs/>
          <w:noProof/>
          <w:lang w:val="en-GB"/>
        </w:rPr>
        <w:t>van Guilder MG</w:t>
      </w:r>
      <w:r w:rsidRPr="00E1546D">
        <w:rPr>
          <w:rFonts w:ascii="Times New Roman" w:hAnsi="Times New Roman"/>
          <w:noProof/>
          <w:lang w:val="en-GB"/>
        </w:rPr>
        <w:t xml:space="preserve">, </w:t>
      </w:r>
      <w:r w:rsidRPr="00E1546D">
        <w:rPr>
          <w:rFonts w:ascii="Times New Roman" w:hAnsi="Times New Roman"/>
          <w:b/>
          <w:bCs/>
          <w:noProof/>
          <w:lang w:val="en-GB"/>
        </w:rPr>
        <w:t>Yamada WM</w:t>
      </w:r>
      <w:r w:rsidRPr="00E1546D">
        <w:rPr>
          <w:rFonts w:ascii="Times New Roman" w:hAnsi="Times New Roman"/>
          <w:noProof/>
          <w:lang w:val="en-GB"/>
        </w:rPr>
        <w:t xml:space="preserve">, </w:t>
      </w:r>
      <w:r w:rsidRPr="00E1546D">
        <w:rPr>
          <w:rFonts w:ascii="Times New Roman" w:hAnsi="Times New Roman"/>
          <w:b/>
          <w:bCs/>
          <w:noProof/>
          <w:lang w:val="en-GB"/>
        </w:rPr>
        <w:t>Schumitzky A</w:t>
      </w:r>
      <w:r w:rsidRPr="00E1546D">
        <w:rPr>
          <w:rFonts w:ascii="Times New Roman" w:hAnsi="Times New Roman"/>
          <w:noProof/>
          <w:lang w:val="en-GB"/>
        </w:rPr>
        <w:t xml:space="preserve">, </w:t>
      </w:r>
      <w:r w:rsidRPr="00E1546D">
        <w:rPr>
          <w:rFonts w:ascii="Times New Roman" w:hAnsi="Times New Roman"/>
          <w:b/>
          <w:bCs/>
          <w:noProof/>
          <w:lang w:val="en-GB"/>
        </w:rPr>
        <w:t>Jelliffe RW</w:t>
      </w:r>
      <w:r w:rsidRPr="00E1546D">
        <w:rPr>
          <w:rFonts w:ascii="Times New Roman" w:hAnsi="Times New Roman"/>
          <w:noProof/>
          <w:lang w:val="en-GB"/>
        </w:rPr>
        <w:t xml:space="preserve">. 2012. Accurate Detection of Outliers and Subpopulations With Pmetrics, a Nonparametric and Parametric Pharmacometric Modeling and Simulation Package for R. Ther. Drug Monit. </w:t>
      </w:r>
      <w:r w:rsidRPr="00E1546D">
        <w:rPr>
          <w:rFonts w:ascii="Times New Roman" w:hAnsi="Times New Roman"/>
          <w:b/>
          <w:bCs/>
          <w:noProof/>
          <w:lang w:val="en-GB"/>
        </w:rPr>
        <w:t>34</w:t>
      </w:r>
      <w:r w:rsidRPr="00E1546D">
        <w:rPr>
          <w:rFonts w:ascii="Times New Roman" w:hAnsi="Times New Roman"/>
          <w:noProof/>
          <w:lang w:val="en-GB"/>
        </w:rPr>
        <w:t>:467–476.</w:t>
      </w:r>
    </w:p>
    <w:p w14:paraId="778FA684"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18. </w:t>
      </w:r>
      <w:r w:rsidRPr="00E1546D">
        <w:rPr>
          <w:rFonts w:ascii="Times New Roman" w:hAnsi="Times New Roman"/>
          <w:noProof/>
          <w:lang w:val="en-GB"/>
        </w:rPr>
        <w:tab/>
      </w:r>
      <w:r w:rsidRPr="00E1546D">
        <w:rPr>
          <w:rFonts w:ascii="Times New Roman" w:hAnsi="Times New Roman"/>
          <w:b/>
          <w:bCs/>
          <w:noProof/>
          <w:lang w:val="en-GB"/>
        </w:rPr>
        <w:t>Anderson BJ</w:t>
      </w:r>
      <w:r w:rsidRPr="00E1546D">
        <w:rPr>
          <w:rFonts w:ascii="Times New Roman" w:hAnsi="Times New Roman"/>
          <w:noProof/>
          <w:lang w:val="en-GB"/>
        </w:rPr>
        <w:t xml:space="preserve">, </w:t>
      </w:r>
      <w:r w:rsidRPr="00E1546D">
        <w:rPr>
          <w:rFonts w:ascii="Times New Roman" w:hAnsi="Times New Roman"/>
          <w:b/>
          <w:bCs/>
          <w:noProof/>
          <w:lang w:val="en-GB"/>
        </w:rPr>
        <w:t>Holford NHG</w:t>
      </w:r>
      <w:r w:rsidRPr="00E1546D">
        <w:rPr>
          <w:rFonts w:ascii="Times New Roman" w:hAnsi="Times New Roman"/>
          <w:noProof/>
          <w:lang w:val="en-GB"/>
        </w:rPr>
        <w:t xml:space="preserve">. 2008. Mechanism-based concepts of size and maturity in pharmacokinetics. Annu. Rev. Pharmacol. Toxicol. </w:t>
      </w:r>
      <w:r w:rsidRPr="00E1546D">
        <w:rPr>
          <w:rFonts w:ascii="Times New Roman" w:hAnsi="Times New Roman"/>
          <w:b/>
          <w:bCs/>
          <w:noProof/>
          <w:lang w:val="en-GB"/>
        </w:rPr>
        <w:t>48</w:t>
      </w:r>
      <w:r w:rsidRPr="00E1546D">
        <w:rPr>
          <w:rFonts w:ascii="Times New Roman" w:hAnsi="Times New Roman"/>
          <w:noProof/>
          <w:lang w:val="en-GB"/>
        </w:rPr>
        <w:t>:303–332.</w:t>
      </w:r>
    </w:p>
    <w:p w14:paraId="5CF41435"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19. </w:t>
      </w:r>
      <w:r w:rsidRPr="00E1546D">
        <w:rPr>
          <w:rFonts w:ascii="Times New Roman" w:hAnsi="Times New Roman"/>
          <w:noProof/>
          <w:lang w:val="en-GB"/>
        </w:rPr>
        <w:tab/>
      </w:r>
      <w:r w:rsidRPr="00E1546D">
        <w:rPr>
          <w:rFonts w:ascii="Times New Roman" w:hAnsi="Times New Roman"/>
          <w:b/>
          <w:bCs/>
          <w:noProof/>
          <w:lang w:val="en-GB"/>
        </w:rPr>
        <w:t>Germovsek E</w:t>
      </w:r>
      <w:r w:rsidRPr="00E1546D">
        <w:rPr>
          <w:rFonts w:ascii="Times New Roman" w:hAnsi="Times New Roman"/>
          <w:noProof/>
          <w:lang w:val="en-GB"/>
        </w:rPr>
        <w:t xml:space="preserve">, </w:t>
      </w:r>
      <w:r w:rsidRPr="00E1546D">
        <w:rPr>
          <w:rFonts w:ascii="Times New Roman" w:hAnsi="Times New Roman"/>
          <w:b/>
          <w:bCs/>
          <w:noProof/>
          <w:lang w:val="en-GB"/>
        </w:rPr>
        <w:t>Barker C</w:t>
      </w:r>
      <w:r w:rsidRPr="00E1546D">
        <w:rPr>
          <w:rFonts w:ascii="Times New Roman" w:hAnsi="Times New Roman"/>
          <w:noProof/>
          <w:lang w:val="en-GB"/>
        </w:rPr>
        <w:t xml:space="preserve">, </w:t>
      </w:r>
      <w:r w:rsidRPr="00E1546D">
        <w:rPr>
          <w:rFonts w:ascii="Times New Roman" w:hAnsi="Times New Roman"/>
          <w:b/>
          <w:bCs/>
          <w:noProof/>
          <w:lang w:val="en-GB"/>
        </w:rPr>
        <w:t>Sharland M</w:t>
      </w:r>
      <w:r w:rsidRPr="00E1546D">
        <w:rPr>
          <w:rFonts w:ascii="Times New Roman" w:hAnsi="Times New Roman"/>
          <w:noProof/>
          <w:lang w:val="en-GB"/>
        </w:rPr>
        <w:t xml:space="preserve">, </w:t>
      </w:r>
      <w:r w:rsidRPr="00E1546D">
        <w:rPr>
          <w:rFonts w:ascii="Times New Roman" w:hAnsi="Times New Roman"/>
          <w:b/>
          <w:bCs/>
          <w:noProof/>
          <w:lang w:val="en-GB"/>
        </w:rPr>
        <w:t>Standing JF</w:t>
      </w:r>
      <w:r w:rsidRPr="00E1546D">
        <w:rPr>
          <w:rFonts w:ascii="Times New Roman" w:hAnsi="Times New Roman"/>
          <w:noProof/>
          <w:lang w:val="en-GB"/>
        </w:rPr>
        <w:t>. 2016. Scaling Clearance in Paediatric Pharmacokinetics: all models are wrong, which are useful? Br. J. Clin. Pharmacol. 1–14.</w:t>
      </w:r>
    </w:p>
    <w:p w14:paraId="1AB811A5"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20. </w:t>
      </w:r>
      <w:r w:rsidRPr="00E1546D">
        <w:rPr>
          <w:rFonts w:ascii="Times New Roman" w:hAnsi="Times New Roman"/>
          <w:noProof/>
          <w:lang w:val="en-GB"/>
        </w:rPr>
        <w:tab/>
      </w:r>
      <w:r w:rsidRPr="00E1546D">
        <w:rPr>
          <w:rFonts w:ascii="Times New Roman" w:hAnsi="Times New Roman"/>
          <w:b/>
          <w:bCs/>
          <w:noProof/>
          <w:lang w:val="en-GB"/>
        </w:rPr>
        <w:t>Holford N</w:t>
      </w:r>
      <w:r w:rsidRPr="00E1546D">
        <w:rPr>
          <w:rFonts w:ascii="Times New Roman" w:hAnsi="Times New Roman"/>
          <w:noProof/>
          <w:lang w:val="en-GB"/>
        </w:rPr>
        <w:t xml:space="preserve">, </w:t>
      </w:r>
      <w:r w:rsidRPr="00E1546D">
        <w:rPr>
          <w:rFonts w:ascii="Times New Roman" w:hAnsi="Times New Roman"/>
          <w:b/>
          <w:bCs/>
          <w:noProof/>
          <w:lang w:val="en-GB"/>
        </w:rPr>
        <w:t>Heo Y-A</w:t>
      </w:r>
      <w:r w:rsidRPr="00E1546D">
        <w:rPr>
          <w:rFonts w:ascii="Times New Roman" w:hAnsi="Times New Roman"/>
          <w:noProof/>
          <w:lang w:val="en-GB"/>
        </w:rPr>
        <w:t xml:space="preserve">, </w:t>
      </w:r>
      <w:r w:rsidRPr="00E1546D">
        <w:rPr>
          <w:rFonts w:ascii="Times New Roman" w:hAnsi="Times New Roman"/>
          <w:b/>
          <w:bCs/>
          <w:noProof/>
          <w:lang w:val="en-GB"/>
        </w:rPr>
        <w:t>Anderson B</w:t>
      </w:r>
      <w:r w:rsidRPr="00E1546D">
        <w:rPr>
          <w:rFonts w:ascii="Times New Roman" w:hAnsi="Times New Roman"/>
          <w:noProof/>
          <w:lang w:val="en-GB"/>
        </w:rPr>
        <w:t xml:space="preserve">. 2013. A Pharmacokinetic Standard for Babies and Adults. J. Pharm. Sci. </w:t>
      </w:r>
      <w:r w:rsidRPr="00E1546D">
        <w:rPr>
          <w:rFonts w:ascii="Times New Roman" w:hAnsi="Times New Roman"/>
          <w:b/>
          <w:bCs/>
          <w:noProof/>
          <w:lang w:val="en-GB"/>
        </w:rPr>
        <w:t>102</w:t>
      </w:r>
      <w:r w:rsidRPr="00E1546D">
        <w:rPr>
          <w:rFonts w:ascii="Times New Roman" w:hAnsi="Times New Roman"/>
          <w:noProof/>
          <w:lang w:val="en-GB"/>
        </w:rPr>
        <w:t>:2941–2952.</w:t>
      </w:r>
    </w:p>
    <w:p w14:paraId="228998FF"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21. </w:t>
      </w:r>
      <w:r w:rsidRPr="00E1546D">
        <w:rPr>
          <w:rFonts w:ascii="Times New Roman" w:hAnsi="Times New Roman"/>
          <w:noProof/>
          <w:lang w:val="en-GB"/>
        </w:rPr>
        <w:tab/>
      </w:r>
      <w:r w:rsidRPr="00E1546D">
        <w:rPr>
          <w:rFonts w:ascii="Times New Roman" w:hAnsi="Times New Roman"/>
          <w:b/>
          <w:bCs/>
          <w:noProof/>
          <w:lang w:val="en-GB"/>
        </w:rPr>
        <w:t>West GB</w:t>
      </w:r>
      <w:r w:rsidRPr="00E1546D">
        <w:rPr>
          <w:rFonts w:ascii="Times New Roman" w:hAnsi="Times New Roman"/>
          <w:noProof/>
          <w:lang w:val="en-GB"/>
        </w:rPr>
        <w:t xml:space="preserve">, </w:t>
      </w:r>
      <w:r w:rsidRPr="00E1546D">
        <w:rPr>
          <w:rFonts w:ascii="Times New Roman" w:hAnsi="Times New Roman"/>
          <w:b/>
          <w:bCs/>
          <w:noProof/>
          <w:lang w:val="en-GB"/>
        </w:rPr>
        <w:t>Brown JH</w:t>
      </w:r>
      <w:r w:rsidRPr="00E1546D">
        <w:rPr>
          <w:rFonts w:ascii="Times New Roman" w:hAnsi="Times New Roman"/>
          <w:noProof/>
          <w:lang w:val="en-GB"/>
        </w:rPr>
        <w:t xml:space="preserve">, </w:t>
      </w:r>
      <w:r w:rsidRPr="00E1546D">
        <w:rPr>
          <w:rFonts w:ascii="Times New Roman" w:hAnsi="Times New Roman"/>
          <w:b/>
          <w:bCs/>
          <w:noProof/>
          <w:lang w:val="en-GB"/>
        </w:rPr>
        <w:t>Enquist BJ</w:t>
      </w:r>
      <w:r w:rsidRPr="00E1546D">
        <w:rPr>
          <w:rFonts w:ascii="Times New Roman" w:hAnsi="Times New Roman"/>
          <w:noProof/>
          <w:lang w:val="en-GB"/>
        </w:rPr>
        <w:t xml:space="preserve">. 1999. The fourth dimension of life: fractal geometry and allometric scaling of organisms. Science </w:t>
      </w:r>
      <w:r w:rsidRPr="00E1546D">
        <w:rPr>
          <w:rFonts w:ascii="Times New Roman" w:hAnsi="Times New Roman"/>
          <w:b/>
          <w:bCs/>
          <w:noProof/>
          <w:lang w:val="en-GB"/>
        </w:rPr>
        <w:t>284</w:t>
      </w:r>
      <w:r w:rsidRPr="00E1546D">
        <w:rPr>
          <w:rFonts w:ascii="Times New Roman" w:hAnsi="Times New Roman"/>
          <w:noProof/>
          <w:lang w:val="en-GB"/>
        </w:rPr>
        <w:t>:1677–9.</w:t>
      </w:r>
    </w:p>
    <w:p w14:paraId="13BF2F01"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22. </w:t>
      </w:r>
      <w:r w:rsidRPr="00E1546D">
        <w:rPr>
          <w:rFonts w:ascii="Times New Roman" w:hAnsi="Times New Roman"/>
          <w:noProof/>
          <w:lang w:val="en-GB"/>
        </w:rPr>
        <w:tab/>
      </w:r>
      <w:r w:rsidRPr="00E1546D">
        <w:rPr>
          <w:rFonts w:ascii="Times New Roman" w:hAnsi="Times New Roman"/>
          <w:b/>
          <w:bCs/>
          <w:noProof/>
          <w:lang w:val="en-GB"/>
        </w:rPr>
        <w:t>Rhodin MM</w:t>
      </w:r>
      <w:r w:rsidRPr="00E1546D">
        <w:rPr>
          <w:rFonts w:ascii="Times New Roman" w:hAnsi="Times New Roman"/>
          <w:noProof/>
          <w:lang w:val="en-GB"/>
        </w:rPr>
        <w:t xml:space="preserve">, </w:t>
      </w:r>
      <w:r w:rsidRPr="00E1546D">
        <w:rPr>
          <w:rFonts w:ascii="Times New Roman" w:hAnsi="Times New Roman"/>
          <w:b/>
          <w:bCs/>
          <w:noProof/>
          <w:lang w:val="en-GB"/>
        </w:rPr>
        <w:t>Anderson BJ</w:t>
      </w:r>
      <w:r w:rsidRPr="00E1546D">
        <w:rPr>
          <w:rFonts w:ascii="Times New Roman" w:hAnsi="Times New Roman"/>
          <w:noProof/>
          <w:lang w:val="en-GB"/>
        </w:rPr>
        <w:t xml:space="preserve">, </w:t>
      </w:r>
      <w:r w:rsidRPr="00E1546D">
        <w:rPr>
          <w:rFonts w:ascii="Times New Roman" w:hAnsi="Times New Roman"/>
          <w:b/>
          <w:bCs/>
          <w:noProof/>
          <w:lang w:val="en-GB"/>
        </w:rPr>
        <w:t>Peters  a. M</w:t>
      </w:r>
      <w:r w:rsidRPr="00E1546D">
        <w:rPr>
          <w:rFonts w:ascii="Times New Roman" w:hAnsi="Times New Roman"/>
          <w:noProof/>
          <w:lang w:val="en-GB"/>
        </w:rPr>
        <w:t xml:space="preserve">, </w:t>
      </w:r>
      <w:r w:rsidRPr="00E1546D">
        <w:rPr>
          <w:rFonts w:ascii="Times New Roman" w:hAnsi="Times New Roman"/>
          <w:b/>
          <w:bCs/>
          <w:noProof/>
          <w:lang w:val="en-GB"/>
        </w:rPr>
        <w:t>Coulthard MG</w:t>
      </w:r>
      <w:r w:rsidRPr="00E1546D">
        <w:rPr>
          <w:rFonts w:ascii="Times New Roman" w:hAnsi="Times New Roman"/>
          <w:noProof/>
          <w:lang w:val="en-GB"/>
        </w:rPr>
        <w:t xml:space="preserve">, </w:t>
      </w:r>
      <w:r w:rsidRPr="00E1546D">
        <w:rPr>
          <w:rFonts w:ascii="Times New Roman" w:hAnsi="Times New Roman"/>
          <w:b/>
          <w:bCs/>
          <w:noProof/>
          <w:lang w:val="en-GB"/>
        </w:rPr>
        <w:t>Wilkins B</w:t>
      </w:r>
      <w:r w:rsidRPr="00E1546D">
        <w:rPr>
          <w:rFonts w:ascii="Times New Roman" w:hAnsi="Times New Roman"/>
          <w:noProof/>
          <w:lang w:val="en-GB"/>
        </w:rPr>
        <w:t xml:space="preserve">, </w:t>
      </w:r>
      <w:r w:rsidRPr="00E1546D">
        <w:rPr>
          <w:rFonts w:ascii="Times New Roman" w:hAnsi="Times New Roman"/>
          <w:b/>
          <w:bCs/>
          <w:noProof/>
          <w:lang w:val="en-GB"/>
        </w:rPr>
        <w:t>Cole M</w:t>
      </w:r>
      <w:r w:rsidRPr="00E1546D">
        <w:rPr>
          <w:rFonts w:ascii="Times New Roman" w:hAnsi="Times New Roman"/>
          <w:noProof/>
          <w:lang w:val="en-GB"/>
        </w:rPr>
        <w:t xml:space="preserve">, </w:t>
      </w:r>
      <w:r w:rsidRPr="00E1546D">
        <w:rPr>
          <w:rFonts w:ascii="Times New Roman" w:hAnsi="Times New Roman"/>
          <w:b/>
          <w:bCs/>
          <w:noProof/>
          <w:lang w:val="en-GB"/>
        </w:rPr>
        <w:t>Chatelut E</w:t>
      </w:r>
      <w:r w:rsidRPr="00E1546D">
        <w:rPr>
          <w:rFonts w:ascii="Times New Roman" w:hAnsi="Times New Roman"/>
          <w:noProof/>
          <w:lang w:val="en-GB"/>
        </w:rPr>
        <w:t xml:space="preserve">, </w:t>
      </w:r>
      <w:r w:rsidRPr="00E1546D">
        <w:rPr>
          <w:rFonts w:ascii="Times New Roman" w:hAnsi="Times New Roman"/>
          <w:b/>
          <w:bCs/>
          <w:noProof/>
          <w:lang w:val="en-GB"/>
        </w:rPr>
        <w:t>Grubb A</w:t>
      </w:r>
      <w:r w:rsidRPr="00E1546D">
        <w:rPr>
          <w:rFonts w:ascii="Times New Roman" w:hAnsi="Times New Roman"/>
          <w:noProof/>
          <w:lang w:val="en-GB"/>
        </w:rPr>
        <w:t xml:space="preserve">, </w:t>
      </w:r>
      <w:r w:rsidRPr="00E1546D">
        <w:rPr>
          <w:rFonts w:ascii="Times New Roman" w:hAnsi="Times New Roman"/>
          <w:b/>
          <w:bCs/>
          <w:noProof/>
          <w:lang w:val="en-GB"/>
        </w:rPr>
        <w:t>Veal GJ</w:t>
      </w:r>
      <w:r w:rsidRPr="00E1546D">
        <w:rPr>
          <w:rFonts w:ascii="Times New Roman" w:hAnsi="Times New Roman"/>
          <w:noProof/>
          <w:lang w:val="en-GB"/>
        </w:rPr>
        <w:t xml:space="preserve">, </w:t>
      </w:r>
      <w:r w:rsidRPr="00E1546D">
        <w:rPr>
          <w:rFonts w:ascii="Times New Roman" w:hAnsi="Times New Roman"/>
          <w:b/>
          <w:bCs/>
          <w:noProof/>
          <w:lang w:val="en-GB"/>
        </w:rPr>
        <w:t>Keir MJ</w:t>
      </w:r>
      <w:r w:rsidRPr="00E1546D">
        <w:rPr>
          <w:rFonts w:ascii="Times New Roman" w:hAnsi="Times New Roman"/>
          <w:noProof/>
          <w:lang w:val="en-GB"/>
        </w:rPr>
        <w:t xml:space="preserve">, </w:t>
      </w:r>
      <w:r w:rsidRPr="00E1546D">
        <w:rPr>
          <w:rFonts w:ascii="Times New Roman" w:hAnsi="Times New Roman"/>
          <w:b/>
          <w:bCs/>
          <w:noProof/>
          <w:lang w:val="en-GB"/>
        </w:rPr>
        <w:t>Holford NHG</w:t>
      </w:r>
      <w:r w:rsidRPr="00E1546D">
        <w:rPr>
          <w:rFonts w:ascii="Times New Roman" w:hAnsi="Times New Roman"/>
          <w:noProof/>
          <w:lang w:val="en-GB"/>
        </w:rPr>
        <w:t xml:space="preserve">. 2009. Human renal function maturation: A quantitative description using weight and postmenstrual age. Pediatr. Nephrol. </w:t>
      </w:r>
      <w:r w:rsidRPr="00E1546D">
        <w:rPr>
          <w:rFonts w:ascii="Times New Roman" w:hAnsi="Times New Roman"/>
          <w:b/>
          <w:bCs/>
          <w:noProof/>
          <w:lang w:val="en-GB"/>
        </w:rPr>
        <w:t>24</w:t>
      </w:r>
      <w:r w:rsidRPr="00E1546D">
        <w:rPr>
          <w:rFonts w:ascii="Times New Roman" w:hAnsi="Times New Roman"/>
          <w:noProof/>
          <w:lang w:val="en-GB"/>
        </w:rPr>
        <w:t>:67–76.</w:t>
      </w:r>
    </w:p>
    <w:p w14:paraId="287AEDF7"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lastRenderedPageBreak/>
        <w:t xml:space="preserve">23. </w:t>
      </w:r>
      <w:r w:rsidRPr="00E1546D">
        <w:rPr>
          <w:rFonts w:ascii="Times New Roman" w:hAnsi="Times New Roman"/>
          <w:noProof/>
          <w:lang w:val="en-GB"/>
        </w:rPr>
        <w:tab/>
      </w:r>
      <w:r w:rsidRPr="00E1546D">
        <w:rPr>
          <w:rFonts w:ascii="Times New Roman" w:hAnsi="Times New Roman"/>
          <w:b/>
          <w:bCs/>
          <w:noProof/>
          <w:lang w:val="en-GB"/>
        </w:rPr>
        <w:t>Martini S</w:t>
      </w:r>
      <w:r w:rsidRPr="00E1546D">
        <w:rPr>
          <w:rFonts w:ascii="Times New Roman" w:hAnsi="Times New Roman"/>
          <w:noProof/>
          <w:lang w:val="en-GB"/>
        </w:rPr>
        <w:t xml:space="preserve">, </w:t>
      </w:r>
      <w:r w:rsidRPr="00E1546D">
        <w:rPr>
          <w:rFonts w:ascii="Times New Roman" w:hAnsi="Times New Roman"/>
          <w:b/>
          <w:bCs/>
          <w:noProof/>
          <w:lang w:val="en-GB"/>
        </w:rPr>
        <w:t>Prévot A</w:t>
      </w:r>
      <w:r w:rsidRPr="00E1546D">
        <w:rPr>
          <w:rFonts w:ascii="Times New Roman" w:hAnsi="Times New Roman"/>
          <w:noProof/>
          <w:lang w:val="en-GB"/>
        </w:rPr>
        <w:t xml:space="preserve">, </w:t>
      </w:r>
      <w:r w:rsidRPr="00E1546D">
        <w:rPr>
          <w:rFonts w:ascii="Times New Roman" w:hAnsi="Times New Roman"/>
          <w:b/>
          <w:bCs/>
          <w:noProof/>
          <w:lang w:val="en-GB"/>
        </w:rPr>
        <w:t>Mosig D</w:t>
      </w:r>
      <w:r w:rsidRPr="00E1546D">
        <w:rPr>
          <w:rFonts w:ascii="Times New Roman" w:hAnsi="Times New Roman"/>
          <w:noProof/>
          <w:lang w:val="en-GB"/>
        </w:rPr>
        <w:t xml:space="preserve">, </w:t>
      </w:r>
      <w:r w:rsidRPr="00E1546D">
        <w:rPr>
          <w:rFonts w:ascii="Times New Roman" w:hAnsi="Times New Roman"/>
          <w:b/>
          <w:bCs/>
          <w:noProof/>
          <w:lang w:val="en-GB"/>
        </w:rPr>
        <w:t>Werner D</w:t>
      </w:r>
      <w:r w:rsidRPr="00E1546D">
        <w:rPr>
          <w:rFonts w:ascii="Times New Roman" w:hAnsi="Times New Roman"/>
          <w:noProof/>
          <w:lang w:val="en-GB"/>
        </w:rPr>
        <w:t xml:space="preserve">, </w:t>
      </w:r>
      <w:r w:rsidRPr="00E1546D">
        <w:rPr>
          <w:rFonts w:ascii="Times New Roman" w:hAnsi="Times New Roman"/>
          <w:b/>
          <w:bCs/>
          <w:noProof/>
          <w:lang w:val="en-GB"/>
        </w:rPr>
        <w:t>van Melle G</w:t>
      </w:r>
      <w:r w:rsidRPr="00E1546D">
        <w:rPr>
          <w:rFonts w:ascii="Times New Roman" w:hAnsi="Times New Roman"/>
          <w:noProof/>
          <w:lang w:val="en-GB"/>
        </w:rPr>
        <w:t xml:space="preserve">, </w:t>
      </w:r>
      <w:r w:rsidRPr="00E1546D">
        <w:rPr>
          <w:rFonts w:ascii="Times New Roman" w:hAnsi="Times New Roman"/>
          <w:b/>
          <w:bCs/>
          <w:noProof/>
          <w:lang w:val="en-GB"/>
        </w:rPr>
        <w:t>Guignard JP</w:t>
      </w:r>
      <w:r w:rsidRPr="00E1546D">
        <w:rPr>
          <w:rFonts w:ascii="Times New Roman" w:hAnsi="Times New Roman"/>
          <w:noProof/>
          <w:lang w:val="en-GB"/>
        </w:rPr>
        <w:t xml:space="preserve">. 2003. Glomerular filtration rate: measure creatinine and height rather than cystatin C! Acta Paediatr. </w:t>
      </w:r>
      <w:r w:rsidRPr="00E1546D">
        <w:rPr>
          <w:rFonts w:ascii="Times New Roman" w:hAnsi="Times New Roman"/>
          <w:b/>
          <w:bCs/>
          <w:noProof/>
          <w:lang w:val="en-GB"/>
        </w:rPr>
        <w:t>92</w:t>
      </w:r>
      <w:r w:rsidRPr="00E1546D">
        <w:rPr>
          <w:rFonts w:ascii="Times New Roman" w:hAnsi="Times New Roman"/>
          <w:noProof/>
          <w:lang w:val="en-GB"/>
        </w:rPr>
        <w:t>:1052–7.</w:t>
      </w:r>
    </w:p>
    <w:p w14:paraId="0F07E3D7"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24. </w:t>
      </w:r>
      <w:r w:rsidRPr="00E1546D">
        <w:rPr>
          <w:rFonts w:ascii="Times New Roman" w:hAnsi="Times New Roman"/>
          <w:noProof/>
          <w:lang w:val="en-GB"/>
        </w:rPr>
        <w:tab/>
      </w:r>
      <w:r w:rsidRPr="00E1546D">
        <w:rPr>
          <w:rFonts w:ascii="Times New Roman" w:hAnsi="Times New Roman"/>
          <w:b/>
          <w:bCs/>
          <w:noProof/>
          <w:lang w:val="en-GB"/>
        </w:rPr>
        <w:t>Brion LP</w:t>
      </w:r>
      <w:r w:rsidRPr="00E1546D">
        <w:rPr>
          <w:rFonts w:ascii="Times New Roman" w:hAnsi="Times New Roman"/>
          <w:noProof/>
          <w:lang w:val="en-GB"/>
        </w:rPr>
        <w:t xml:space="preserve">, </w:t>
      </w:r>
      <w:r w:rsidRPr="00E1546D">
        <w:rPr>
          <w:rFonts w:ascii="Times New Roman" w:hAnsi="Times New Roman"/>
          <w:b/>
          <w:bCs/>
          <w:noProof/>
          <w:lang w:val="en-GB"/>
        </w:rPr>
        <w:t>Fleischman AR</w:t>
      </w:r>
      <w:r w:rsidRPr="00E1546D">
        <w:rPr>
          <w:rFonts w:ascii="Times New Roman" w:hAnsi="Times New Roman"/>
          <w:noProof/>
          <w:lang w:val="en-GB"/>
        </w:rPr>
        <w:t xml:space="preserve">, </w:t>
      </w:r>
      <w:r w:rsidRPr="00E1546D">
        <w:rPr>
          <w:rFonts w:ascii="Times New Roman" w:hAnsi="Times New Roman"/>
          <w:b/>
          <w:bCs/>
          <w:noProof/>
          <w:lang w:val="en-GB"/>
        </w:rPr>
        <w:t>McCarton C</w:t>
      </w:r>
      <w:r w:rsidRPr="00E1546D">
        <w:rPr>
          <w:rFonts w:ascii="Times New Roman" w:hAnsi="Times New Roman"/>
          <w:noProof/>
          <w:lang w:val="en-GB"/>
        </w:rPr>
        <w:t xml:space="preserve">, </w:t>
      </w:r>
      <w:r w:rsidRPr="00E1546D">
        <w:rPr>
          <w:rFonts w:ascii="Times New Roman" w:hAnsi="Times New Roman"/>
          <w:b/>
          <w:bCs/>
          <w:noProof/>
          <w:lang w:val="en-GB"/>
        </w:rPr>
        <w:t>Schwartz GJ</w:t>
      </w:r>
      <w:r w:rsidRPr="00E1546D">
        <w:rPr>
          <w:rFonts w:ascii="Times New Roman" w:hAnsi="Times New Roman"/>
          <w:noProof/>
          <w:lang w:val="en-GB"/>
        </w:rPr>
        <w:t xml:space="preserve">. 1986. A simple estimate of glomerular filtration rate in low birth weight infants during the first year of life: noninvasive assessment of body composition and growth. J. Pediatr. </w:t>
      </w:r>
      <w:r w:rsidRPr="00E1546D">
        <w:rPr>
          <w:rFonts w:ascii="Times New Roman" w:hAnsi="Times New Roman"/>
          <w:b/>
          <w:bCs/>
          <w:noProof/>
          <w:lang w:val="en-GB"/>
        </w:rPr>
        <w:t>109</w:t>
      </w:r>
      <w:r w:rsidRPr="00E1546D">
        <w:rPr>
          <w:rFonts w:ascii="Times New Roman" w:hAnsi="Times New Roman"/>
          <w:noProof/>
          <w:lang w:val="en-GB"/>
        </w:rPr>
        <w:t>:698–707.</w:t>
      </w:r>
    </w:p>
    <w:p w14:paraId="3CBC710B"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25. </w:t>
      </w:r>
      <w:r w:rsidRPr="00E1546D">
        <w:rPr>
          <w:rFonts w:ascii="Times New Roman" w:hAnsi="Times New Roman"/>
          <w:noProof/>
          <w:lang w:val="en-GB"/>
        </w:rPr>
        <w:tab/>
      </w:r>
      <w:r w:rsidRPr="00E1546D">
        <w:rPr>
          <w:rFonts w:ascii="Times New Roman" w:hAnsi="Times New Roman"/>
          <w:b/>
          <w:bCs/>
          <w:noProof/>
          <w:lang w:val="en-GB"/>
        </w:rPr>
        <w:t>Karlsson MO</w:t>
      </w:r>
      <w:r w:rsidRPr="00E1546D">
        <w:rPr>
          <w:rFonts w:ascii="Times New Roman" w:hAnsi="Times New Roman"/>
          <w:noProof/>
          <w:lang w:val="en-GB"/>
        </w:rPr>
        <w:t xml:space="preserve">, </w:t>
      </w:r>
      <w:r w:rsidRPr="00E1546D">
        <w:rPr>
          <w:rFonts w:ascii="Times New Roman" w:hAnsi="Times New Roman"/>
          <w:b/>
          <w:bCs/>
          <w:noProof/>
          <w:lang w:val="en-GB"/>
        </w:rPr>
        <w:t>Sheiner LB</w:t>
      </w:r>
      <w:r w:rsidRPr="00E1546D">
        <w:rPr>
          <w:rFonts w:ascii="Times New Roman" w:hAnsi="Times New Roman"/>
          <w:noProof/>
          <w:lang w:val="en-GB"/>
        </w:rPr>
        <w:t xml:space="preserve">. 1993. The importance of modeling interoccasion variability in population pharmacokinetic analyses. J. Pharmacokinet. Biopharm. </w:t>
      </w:r>
      <w:r w:rsidRPr="00E1546D">
        <w:rPr>
          <w:rFonts w:ascii="Times New Roman" w:hAnsi="Times New Roman"/>
          <w:b/>
          <w:bCs/>
          <w:noProof/>
          <w:lang w:val="en-GB"/>
        </w:rPr>
        <w:t>21</w:t>
      </w:r>
      <w:r w:rsidRPr="00E1546D">
        <w:rPr>
          <w:rFonts w:ascii="Times New Roman" w:hAnsi="Times New Roman"/>
          <w:noProof/>
          <w:lang w:val="en-GB"/>
        </w:rPr>
        <w:t>:735–50.</w:t>
      </w:r>
    </w:p>
    <w:p w14:paraId="244986D8"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26. </w:t>
      </w:r>
      <w:r w:rsidRPr="00E1546D">
        <w:rPr>
          <w:rFonts w:ascii="Times New Roman" w:hAnsi="Times New Roman"/>
          <w:noProof/>
          <w:lang w:val="en-GB"/>
        </w:rPr>
        <w:tab/>
      </w:r>
      <w:r w:rsidRPr="00E1546D">
        <w:rPr>
          <w:rFonts w:ascii="Times New Roman" w:hAnsi="Times New Roman"/>
          <w:b/>
          <w:bCs/>
          <w:noProof/>
          <w:lang w:val="en-GB"/>
        </w:rPr>
        <w:t>Hope WW</w:t>
      </w:r>
      <w:r w:rsidRPr="00E1546D">
        <w:rPr>
          <w:rFonts w:ascii="Times New Roman" w:hAnsi="Times New Roman"/>
          <w:noProof/>
          <w:lang w:val="en-GB"/>
        </w:rPr>
        <w:t xml:space="preserve">, </w:t>
      </w:r>
      <w:r w:rsidRPr="00E1546D">
        <w:rPr>
          <w:rFonts w:ascii="Times New Roman" w:hAnsi="Times New Roman"/>
          <w:b/>
          <w:bCs/>
          <w:noProof/>
          <w:lang w:val="en-GB"/>
        </w:rPr>
        <w:t>Van Guilder M</w:t>
      </w:r>
      <w:r w:rsidRPr="00E1546D">
        <w:rPr>
          <w:rFonts w:ascii="Times New Roman" w:hAnsi="Times New Roman"/>
          <w:noProof/>
          <w:lang w:val="en-GB"/>
        </w:rPr>
        <w:t xml:space="preserve">, </w:t>
      </w:r>
      <w:r w:rsidRPr="00E1546D">
        <w:rPr>
          <w:rFonts w:ascii="Times New Roman" w:hAnsi="Times New Roman"/>
          <w:b/>
          <w:bCs/>
          <w:noProof/>
          <w:lang w:val="en-GB"/>
        </w:rPr>
        <w:t>Donnelly JP</w:t>
      </w:r>
      <w:r w:rsidRPr="00E1546D">
        <w:rPr>
          <w:rFonts w:ascii="Times New Roman" w:hAnsi="Times New Roman"/>
          <w:noProof/>
          <w:lang w:val="en-GB"/>
        </w:rPr>
        <w:t xml:space="preserve">, </w:t>
      </w:r>
      <w:r w:rsidRPr="00E1546D">
        <w:rPr>
          <w:rFonts w:ascii="Times New Roman" w:hAnsi="Times New Roman"/>
          <w:b/>
          <w:bCs/>
          <w:noProof/>
          <w:lang w:val="en-GB"/>
        </w:rPr>
        <w:t>Blijlevens NM a</w:t>
      </w:r>
      <w:r w:rsidRPr="00E1546D">
        <w:rPr>
          <w:rFonts w:ascii="Times New Roman" w:hAnsi="Times New Roman"/>
          <w:noProof/>
          <w:lang w:val="en-GB"/>
        </w:rPr>
        <w:t xml:space="preserve">, </w:t>
      </w:r>
      <w:r w:rsidRPr="00E1546D">
        <w:rPr>
          <w:rFonts w:ascii="Times New Roman" w:hAnsi="Times New Roman"/>
          <w:b/>
          <w:bCs/>
          <w:noProof/>
          <w:lang w:val="en-GB"/>
        </w:rPr>
        <w:t>Brüggemann RJM</w:t>
      </w:r>
      <w:r w:rsidRPr="00E1546D">
        <w:rPr>
          <w:rFonts w:ascii="Times New Roman" w:hAnsi="Times New Roman"/>
          <w:noProof/>
          <w:lang w:val="en-GB"/>
        </w:rPr>
        <w:t xml:space="preserve">, </w:t>
      </w:r>
      <w:r w:rsidRPr="00E1546D">
        <w:rPr>
          <w:rFonts w:ascii="Times New Roman" w:hAnsi="Times New Roman"/>
          <w:b/>
          <w:bCs/>
          <w:noProof/>
          <w:lang w:val="en-GB"/>
        </w:rPr>
        <w:t>Jelliffe RW</w:t>
      </w:r>
      <w:r w:rsidRPr="00E1546D">
        <w:rPr>
          <w:rFonts w:ascii="Times New Roman" w:hAnsi="Times New Roman"/>
          <w:noProof/>
          <w:lang w:val="en-GB"/>
        </w:rPr>
        <w:t xml:space="preserve">, </w:t>
      </w:r>
      <w:r w:rsidRPr="00E1546D">
        <w:rPr>
          <w:rFonts w:ascii="Times New Roman" w:hAnsi="Times New Roman"/>
          <w:b/>
          <w:bCs/>
          <w:noProof/>
          <w:lang w:val="en-GB"/>
        </w:rPr>
        <w:t>Neely MN</w:t>
      </w:r>
      <w:r w:rsidRPr="00E1546D">
        <w:rPr>
          <w:rFonts w:ascii="Times New Roman" w:hAnsi="Times New Roman"/>
          <w:noProof/>
          <w:lang w:val="en-GB"/>
        </w:rPr>
        <w:t xml:space="preserve">. 2013. Software for dosage individualization of voriconazole for immunocompromised patients. Antimicrob. Agents Chemother. </w:t>
      </w:r>
      <w:r w:rsidRPr="00E1546D">
        <w:rPr>
          <w:rFonts w:ascii="Times New Roman" w:hAnsi="Times New Roman"/>
          <w:b/>
          <w:bCs/>
          <w:noProof/>
          <w:lang w:val="en-GB"/>
        </w:rPr>
        <w:t>57</w:t>
      </w:r>
      <w:r w:rsidRPr="00E1546D">
        <w:rPr>
          <w:rFonts w:ascii="Times New Roman" w:hAnsi="Times New Roman"/>
          <w:noProof/>
          <w:lang w:val="en-GB"/>
        </w:rPr>
        <w:t>:1888–1894.</w:t>
      </w:r>
    </w:p>
    <w:p w14:paraId="33C6C9C3"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27. </w:t>
      </w:r>
      <w:r w:rsidRPr="00E1546D">
        <w:rPr>
          <w:rFonts w:ascii="Times New Roman" w:hAnsi="Times New Roman"/>
          <w:noProof/>
          <w:lang w:val="en-GB"/>
        </w:rPr>
        <w:tab/>
      </w:r>
      <w:r w:rsidRPr="00E1546D">
        <w:rPr>
          <w:rFonts w:ascii="Times New Roman" w:hAnsi="Times New Roman"/>
          <w:b/>
          <w:bCs/>
          <w:noProof/>
          <w:lang w:val="en-GB"/>
        </w:rPr>
        <w:t>Neely M</w:t>
      </w:r>
      <w:r w:rsidRPr="00E1546D">
        <w:rPr>
          <w:rFonts w:ascii="Times New Roman" w:hAnsi="Times New Roman"/>
          <w:noProof/>
          <w:lang w:val="en-GB"/>
        </w:rPr>
        <w:t xml:space="preserve">, </w:t>
      </w:r>
      <w:r w:rsidRPr="00E1546D">
        <w:rPr>
          <w:rFonts w:ascii="Times New Roman" w:hAnsi="Times New Roman"/>
          <w:b/>
          <w:bCs/>
          <w:noProof/>
          <w:lang w:val="en-GB"/>
        </w:rPr>
        <w:t>Margol A</w:t>
      </w:r>
      <w:r w:rsidRPr="00E1546D">
        <w:rPr>
          <w:rFonts w:ascii="Times New Roman" w:hAnsi="Times New Roman"/>
          <w:noProof/>
          <w:lang w:val="en-GB"/>
        </w:rPr>
        <w:t xml:space="preserve">, </w:t>
      </w:r>
      <w:r w:rsidRPr="00E1546D">
        <w:rPr>
          <w:rFonts w:ascii="Times New Roman" w:hAnsi="Times New Roman"/>
          <w:b/>
          <w:bCs/>
          <w:noProof/>
          <w:lang w:val="en-GB"/>
        </w:rPr>
        <w:t>Fu X</w:t>
      </w:r>
      <w:r w:rsidRPr="00E1546D">
        <w:rPr>
          <w:rFonts w:ascii="Times New Roman" w:hAnsi="Times New Roman"/>
          <w:noProof/>
          <w:lang w:val="en-GB"/>
        </w:rPr>
        <w:t xml:space="preserve">, </w:t>
      </w:r>
      <w:r w:rsidRPr="00E1546D">
        <w:rPr>
          <w:rFonts w:ascii="Times New Roman" w:hAnsi="Times New Roman"/>
          <w:b/>
          <w:bCs/>
          <w:noProof/>
          <w:lang w:val="en-GB"/>
        </w:rPr>
        <w:t>Van Guilder M</w:t>
      </w:r>
      <w:r w:rsidRPr="00E1546D">
        <w:rPr>
          <w:rFonts w:ascii="Times New Roman" w:hAnsi="Times New Roman"/>
          <w:noProof/>
          <w:lang w:val="en-GB"/>
        </w:rPr>
        <w:t xml:space="preserve">, </w:t>
      </w:r>
      <w:r w:rsidRPr="00E1546D">
        <w:rPr>
          <w:rFonts w:ascii="Times New Roman" w:hAnsi="Times New Roman"/>
          <w:b/>
          <w:bCs/>
          <w:noProof/>
          <w:lang w:val="en-GB"/>
        </w:rPr>
        <w:t>Bayard D</w:t>
      </w:r>
      <w:r w:rsidRPr="00E1546D">
        <w:rPr>
          <w:rFonts w:ascii="Times New Roman" w:hAnsi="Times New Roman"/>
          <w:noProof/>
          <w:lang w:val="en-GB"/>
        </w:rPr>
        <w:t xml:space="preserve">, </w:t>
      </w:r>
      <w:r w:rsidRPr="00E1546D">
        <w:rPr>
          <w:rFonts w:ascii="Times New Roman" w:hAnsi="Times New Roman"/>
          <w:b/>
          <w:bCs/>
          <w:noProof/>
          <w:lang w:val="en-GB"/>
        </w:rPr>
        <w:t>Schumitzky A</w:t>
      </w:r>
      <w:r w:rsidRPr="00E1546D">
        <w:rPr>
          <w:rFonts w:ascii="Times New Roman" w:hAnsi="Times New Roman"/>
          <w:noProof/>
          <w:lang w:val="en-GB"/>
        </w:rPr>
        <w:t xml:space="preserve">, </w:t>
      </w:r>
      <w:r w:rsidRPr="00E1546D">
        <w:rPr>
          <w:rFonts w:ascii="Times New Roman" w:hAnsi="Times New Roman"/>
          <w:b/>
          <w:bCs/>
          <w:noProof/>
          <w:lang w:val="en-GB"/>
        </w:rPr>
        <w:t>Orbach R</w:t>
      </w:r>
      <w:r w:rsidRPr="00E1546D">
        <w:rPr>
          <w:rFonts w:ascii="Times New Roman" w:hAnsi="Times New Roman"/>
          <w:noProof/>
          <w:lang w:val="en-GB"/>
        </w:rPr>
        <w:t xml:space="preserve">, </w:t>
      </w:r>
      <w:r w:rsidRPr="00E1546D">
        <w:rPr>
          <w:rFonts w:ascii="Times New Roman" w:hAnsi="Times New Roman"/>
          <w:b/>
          <w:bCs/>
          <w:noProof/>
          <w:lang w:val="en-GB"/>
        </w:rPr>
        <w:t>Liu S</w:t>
      </w:r>
      <w:r w:rsidRPr="00E1546D">
        <w:rPr>
          <w:rFonts w:ascii="Times New Roman" w:hAnsi="Times New Roman"/>
          <w:noProof/>
          <w:lang w:val="en-GB"/>
        </w:rPr>
        <w:t xml:space="preserve">, </w:t>
      </w:r>
      <w:r w:rsidRPr="00E1546D">
        <w:rPr>
          <w:rFonts w:ascii="Times New Roman" w:hAnsi="Times New Roman"/>
          <w:b/>
          <w:bCs/>
          <w:noProof/>
          <w:lang w:val="en-GB"/>
        </w:rPr>
        <w:t>Louie S</w:t>
      </w:r>
      <w:r w:rsidRPr="00E1546D">
        <w:rPr>
          <w:rFonts w:ascii="Times New Roman" w:hAnsi="Times New Roman"/>
          <w:noProof/>
          <w:lang w:val="en-GB"/>
        </w:rPr>
        <w:t xml:space="preserve">, </w:t>
      </w:r>
      <w:r w:rsidRPr="00E1546D">
        <w:rPr>
          <w:rFonts w:ascii="Times New Roman" w:hAnsi="Times New Roman"/>
          <w:b/>
          <w:bCs/>
          <w:noProof/>
          <w:lang w:val="en-GB"/>
        </w:rPr>
        <w:t>Hope W</w:t>
      </w:r>
      <w:r w:rsidRPr="00E1546D">
        <w:rPr>
          <w:rFonts w:ascii="Times New Roman" w:hAnsi="Times New Roman"/>
          <w:noProof/>
          <w:lang w:val="en-GB"/>
        </w:rPr>
        <w:t xml:space="preserve">. 2015. Achieving target voriconazole concentrations more accurately in children and adolescents. Antimicrob. Agents Chemother. </w:t>
      </w:r>
      <w:r w:rsidRPr="00E1546D">
        <w:rPr>
          <w:rFonts w:ascii="Times New Roman" w:hAnsi="Times New Roman"/>
          <w:b/>
          <w:bCs/>
          <w:noProof/>
          <w:lang w:val="en-GB"/>
        </w:rPr>
        <w:t>59</w:t>
      </w:r>
      <w:r w:rsidRPr="00E1546D">
        <w:rPr>
          <w:rFonts w:ascii="Times New Roman" w:hAnsi="Times New Roman"/>
          <w:noProof/>
          <w:lang w:val="en-GB"/>
        </w:rPr>
        <w:t>:3090–3097.</w:t>
      </w:r>
    </w:p>
    <w:p w14:paraId="6C3707A4"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28. </w:t>
      </w:r>
      <w:r w:rsidRPr="00E1546D">
        <w:rPr>
          <w:rFonts w:ascii="Times New Roman" w:hAnsi="Times New Roman"/>
          <w:noProof/>
          <w:lang w:val="en-GB"/>
        </w:rPr>
        <w:tab/>
      </w:r>
      <w:r w:rsidRPr="00E1546D">
        <w:rPr>
          <w:rFonts w:ascii="Times New Roman" w:hAnsi="Times New Roman"/>
          <w:b/>
          <w:bCs/>
          <w:noProof/>
          <w:lang w:val="en-GB"/>
        </w:rPr>
        <w:t>Heilbron DC</w:t>
      </w:r>
      <w:r w:rsidRPr="00E1546D">
        <w:rPr>
          <w:rFonts w:ascii="Times New Roman" w:hAnsi="Times New Roman"/>
          <w:noProof/>
          <w:lang w:val="en-GB"/>
        </w:rPr>
        <w:t xml:space="preserve">, </w:t>
      </w:r>
      <w:r w:rsidRPr="00E1546D">
        <w:rPr>
          <w:rFonts w:ascii="Times New Roman" w:hAnsi="Times New Roman"/>
          <w:b/>
          <w:bCs/>
          <w:noProof/>
          <w:lang w:val="en-GB"/>
        </w:rPr>
        <w:t>Holliday MA</w:t>
      </w:r>
      <w:r w:rsidRPr="00E1546D">
        <w:rPr>
          <w:rFonts w:ascii="Times New Roman" w:hAnsi="Times New Roman"/>
          <w:noProof/>
          <w:lang w:val="en-GB"/>
        </w:rPr>
        <w:t xml:space="preserve">, </w:t>
      </w:r>
      <w:r w:rsidRPr="00E1546D">
        <w:rPr>
          <w:rFonts w:ascii="Times New Roman" w:hAnsi="Times New Roman"/>
          <w:b/>
          <w:bCs/>
          <w:noProof/>
          <w:lang w:val="en-GB"/>
        </w:rPr>
        <w:t>al-Dahwi A</w:t>
      </w:r>
      <w:r w:rsidRPr="00E1546D">
        <w:rPr>
          <w:rFonts w:ascii="Times New Roman" w:hAnsi="Times New Roman"/>
          <w:noProof/>
          <w:lang w:val="en-GB"/>
        </w:rPr>
        <w:t xml:space="preserve">, </w:t>
      </w:r>
      <w:r w:rsidRPr="00E1546D">
        <w:rPr>
          <w:rFonts w:ascii="Times New Roman" w:hAnsi="Times New Roman"/>
          <w:b/>
          <w:bCs/>
          <w:noProof/>
          <w:lang w:val="en-GB"/>
        </w:rPr>
        <w:t>Kogan BA</w:t>
      </w:r>
      <w:r w:rsidRPr="00E1546D">
        <w:rPr>
          <w:rFonts w:ascii="Times New Roman" w:hAnsi="Times New Roman"/>
          <w:noProof/>
          <w:lang w:val="en-GB"/>
        </w:rPr>
        <w:t xml:space="preserve">. 1991. Expressing glomerular filtration rate in children. Pediatr. Nephrol. </w:t>
      </w:r>
      <w:r w:rsidRPr="00E1546D">
        <w:rPr>
          <w:rFonts w:ascii="Times New Roman" w:hAnsi="Times New Roman"/>
          <w:b/>
          <w:bCs/>
          <w:noProof/>
          <w:lang w:val="en-GB"/>
        </w:rPr>
        <w:t>5</w:t>
      </w:r>
      <w:r w:rsidRPr="00E1546D">
        <w:rPr>
          <w:rFonts w:ascii="Times New Roman" w:hAnsi="Times New Roman"/>
          <w:noProof/>
          <w:lang w:val="en-GB"/>
        </w:rPr>
        <w:t>:5–11.</w:t>
      </w:r>
    </w:p>
    <w:p w14:paraId="162D1B90"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29. </w:t>
      </w:r>
      <w:r w:rsidRPr="00E1546D">
        <w:rPr>
          <w:rFonts w:ascii="Times New Roman" w:hAnsi="Times New Roman"/>
          <w:noProof/>
          <w:lang w:val="en-GB"/>
        </w:rPr>
        <w:tab/>
      </w:r>
      <w:r w:rsidRPr="00E1546D">
        <w:rPr>
          <w:rFonts w:ascii="Times New Roman" w:hAnsi="Times New Roman"/>
          <w:b/>
          <w:bCs/>
          <w:noProof/>
          <w:lang w:val="en-GB"/>
        </w:rPr>
        <w:t>Drusano GL</w:t>
      </w:r>
      <w:r w:rsidRPr="00E1546D">
        <w:rPr>
          <w:rFonts w:ascii="Times New Roman" w:hAnsi="Times New Roman"/>
          <w:noProof/>
          <w:lang w:val="en-GB"/>
        </w:rPr>
        <w:t>. 2004. Antimicrobial pharmacodynamics: critical interactions of “bug and drug.” Nat. Rev Microb.</w:t>
      </w:r>
    </w:p>
    <w:p w14:paraId="5B8715E3"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30. </w:t>
      </w:r>
      <w:r w:rsidRPr="00E1546D">
        <w:rPr>
          <w:rFonts w:ascii="Times New Roman" w:hAnsi="Times New Roman"/>
          <w:noProof/>
          <w:lang w:val="en-GB"/>
        </w:rPr>
        <w:tab/>
      </w:r>
      <w:r w:rsidRPr="00E1546D">
        <w:rPr>
          <w:rFonts w:ascii="Times New Roman" w:hAnsi="Times New Roman"/>
          <w:b/>
          <w:bCs/>
          <w:noProof/>
          <w:lang w:val="en-GB"/>
        </w:rPr>
        <w:t>Matthews PC</w:t>
      </w:r>
      <w:r w:rsidRPr="00E1546D">
        <w:rPr>
          <w:rFonts w:ascii="Times New Roman" w:hAnsi="Times New Roman"/>
          <w:noProof/>
          <w:lang w:val="en-GB"/>
        </w:rPr>
        <w:t xml:space="preserve">, </w:t>
      </w:r>
      <w:r w:rsidRPr="00E1546D">
        <w:rPr>
          <w:rFonts w:ascii="Times New Roman" w:hAnsi="Times New Roman"/>
          <w:b/>
          <w:bCs/>
          <w:noProof/>
          <w:lang w:val="en-GB"/>
        </w:rPr>
        <w:t>Chue AL</w:t>
      </w:r>
      <w:r w:rsidRPr="00E1546D">
        <w:rPr>
          <w:rFonts w:ascii="Times New Roman" w:hAnsi="Times New Roman"/>
          <w:noProof/>
          <w:lang w:val="en-GB"/>
        </w:rPr>
        <w:t xml:space="preserve">, </w:t>
      </w:r>
      <w:r w:rsidRPr="00E1546D">
        <w:rPr>
          <w:rFonts w:ascii="Times New Roman" w:hAnsi="Times New Roman"/>
          <w:b/>
          <w:bCs/>
          <w:noProof/>
          <w:lang w:val="en-GB"/>
        </w:rPr>
        <w:t>Wyllie D</w:t>
      </w:r>
      <w:r w:rsidRPr="00E1546D">
        <w:rPr>
          <w:rFonts w:ascii="Times New Roman" w:hAnsi="Times New Roman"/>
          <w:noProof/>
          <w:lang w:val="en-GB"/>
        </w:rPr>
        <w:t xml:space="preserve">, </w:t>
      </w:r>
      <w:r w:rsidRPr="00E1546D">
        <w:rPr>
          <w:rFonts w:ascii="Times New Roman" w:hAnsi="Times New Roman"/>
          <w:b/>
          <w:bCs/>
          <w:noProof/>
          <w:lang w:val="en-GB"/>
        </w:rPr>
        <w:t>Barnett A</w:t>
      </w:r>
      <w:r w:rsidRPr="00E1546D">
        <w:rPr>
          <w:rFonts w:ascii="Times New Roman" w:hAnsi="Times New Roman"/>
          <w:noProof/>
          <w:lang w:val="en-GB"/>
        </w:rPr>
        <w:t xml:space="preserve">, </w:t>
      </w:r>
      <w:r w:rsidRPr="00E1546D">
        <w:rPr>
          <w:rFonts w:ascii="Times New Roman" w:hAnsi="Times New Roman"/>
          <w:b/>
          <w:bCs/>
          <w:noProof/>
          <w:lang w:val="en-GB"/>
        </w:rPr>
        <w:t>Isinkaye T</w:t>
      </w:r>
      <w:r w:rsidRPr="00E1546D">
        <w:rPr>
          <w:rFonts w:ascii="Times New Roman" w:hAnsi="Times New Roman"/>
          <w:noProof/>
          <w:lang w:val="en-GB"/>
        </w:rPr>
        <w:t xml:space="preserve">, </w:t>
      </w:r>
      <w:r w:rsidRPr="00E1546D">
        <w:rPr>
          <w:rFonts w:ascii="Times New Roman" w:hAnsi="Times New Roman"/>
          <w:b/>
          <w:bCs/>
          <w:noProof/>
          <w:lang w:val="en-GB"/>
        </w:rPr>
        <w:t>Jefferies L</w:t>
      </w:r>
      <w:r w:rsidRPr="00E1546D">
        <w:rPr>
          <w:rFonts w:ascii="Times New Roman" w:hAnsi="Times New Roman"/>
          <w:noProof/>
          <w:lang w:val="en-GB"/>
        </w:rPr>
        <w:t xml:space="preserve">, </w:t>
      </w:r>
      <w:r w:rsidRPr="00E1546D">
        <w:rPr>
          <w:rFonts w:ascii="Times New Roman" w:hAnsi="Times New Roman"/>
          <w:b/>
          <w:bCs/>
          <w:noProof/>
          <w:lang w:val="en-GB"/>
        </w:rPr>
        <w:t>Lovering A</w:t>
      </w:r>
      <w:r w:rsidRPr="00E1546D">
        <w:rPr>
          <w:rFonts w:ascii="Times New Roman" w:hAnsi="Times New Roman"/>
          <w:noProof/>
          <w:lang w:val="en-GB"/>
        </w:rPr>
        <w:t xml:space="preserve">, </w:t>
      </w:r>
      <w:r w:rsidRPr="00E1546D">
        <w:rPr>
          <w:rFonts w:ascii="Times New Roman" w:hAnsi="Times New Roman"/>
          <w:b/>
          <w:bCs/>
          <w:noProof/>
          <w:lang w:val="en-GB"/>
        </w:rPr>
        <w:t>Scarborough M</w:t>
      </w:r>
      <w:r w:rsidRPr="00E1546D">
        <w:rPr>
          <w:rFonts w:ascii="Times New Roman" w:hAnsi="Times New Roman"/>
          <w:noProof/>
          <w:lang w:val="en-GB"/>
        </w:rPr>
        <w:t xml:space="preserve">. 2014. Increased teicoplanin doses are associated with improved serum levels but not drug toxicity. J. Infect. </w:t>
      </w:r>
      <w:r w:rsidRPr="00E1546D">
        <w:rPr>
          <w:rFonts w:ascii="Times New Roman" w:hAnsi="Times New Roman"/>
          <w:b/>
          <w:bCs/>
          <w:noProof/>
          <w:lang w:val="en-GB"/>
        </w:rPr>
        <w:t>68</w:t>
      </w:r>
      <w:r w:rsidRPr="00E1546D">
        <w:rPr>
          <w:rFonts w:ascii="Times New Roman" w:hAnsi="Times New Roman"/>
          <w:noProof/>
          <w:lang w:val="en-GB"/>
        </w:rPr>
        <w:t>:43–49.</w:t>
      </w:r>
    </w:p>
    <w:p w14:paraId="685F969B"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lastRenderedPageBreak/>
        <w:t xml:space="preserve">31. </w:t>
      </w:r>
      <w:r w:rsidRPr="00E1546D">
        <w:rPr>
          <w:rFonts w:ascii="Times New Roman" w:hAnsi="Times New Roman"/>
          <w:noProof/>
          <w:lang w:val="en-GB"/>
        </w:rPr>
        <w:tab/>
      </w:r>
      <w:r w:rsidRPr="00E1546D">
        <w:rPr>
          <w:rFonts w:ascii="Times New Roman" w:hAnsi="Times New Roman"/>
          <w:b/>
          <w:bCs/>
          <w:noProof/>
          <w:lang w:val="en-GB"/>
        </w:rPr>
        <w:t>Yamada T</w:t>
      </w:r>
      <w:r w:rsidRPr="00E1546D">
        <w:rPr>
          <w:rFonts w:ascii="Times New Roman" w:hAnsi="Times New Roman"/>
          <w:noProof/>
          <w:lang w:val="en-GB"/>
        </w:rPr>
        <w:t xml:space="preserve">, </w:t>
      </w:r>
      <w:r w:rsidRPr="00E1546D">
        <w:rPr>
          <w:rFonts w:ascii="Times New Roman" w:hAnsi="Times New Roman"/>
          <w:b/>
          <w:bCs/>
          <w:noProof/>
          <w:lang w:val="en-GB"/>
        </w:rPr>
        <w:t>Kubota T</w:t>
      </w:r>
      <w:r w:rsidRPr="00E1546D">
        <w:rPr>
          <w:rFonts w:ascii="Times New Roman" w:hAnsi="Times New Roman"/>
          <w:noProof/>
          <w:lang w:val="en-GB"/>
        </w:rPr>
        <w:t xml:space="preserve">, </w:t>
      </w:r>
      <w:r w:rsidRPr="00E1546D">
        <w:rPr>
          <w:rFonts w:ascii="Times New Roman" w:hAnsi="Times New Roman"/>
          <w:b/>
          <w:bCs/>
          <w:noProof/>
          <w:lang w:val="en-GB"/>
        </w:rPr>
        <w:t>Yonezawa M</w:t>
      </w:r>
      <w:r w:rsidRPr="00E1546D">
        <w:rPr>
          <w:rFonts w:ascii="Times New Roman" w:hAnsi="Times New Roman"/>
          <w:noProof/>
          <w:lang w:val="en-GB"/>
        </w:rPr>
        <w:t xml:space="preserve">, </w:t>
      </w:r>
      <w:r w:rsidRPr="00E1546D">
        <w:rPr>
          <w:rFonts w:ascii="Times New Roman" w:hAnsi="Times New Roman"/>
          <w:b/>
          <w:bCs/>
          <w:noProof/>
          <w:lang w:val="en-GB"/>
        </w:rPr>
        <w:t>Nishio H</w:t>
      </w:r>
      <w:r w:rsidRPr="00E1546D">
        <w:rPr>
          <w:rFonts w:ascii="Times New Roman" w:hAnsi="Times New Roman"/>
          <w:noProof/>
          <w:lang w:val="en-GB"/>
        </w:rPr>
        <w:t xml:space="preserve">, </w:t>
      </w:r>
      <w:r w:rsidRPr="00E1546D">
        <w:rPr>
          <w:rFonts w:ascii="Times New Roman" w:hAnsi="Times New Roman"/>
          <w:b/>
          <w:bCs/>
          <w:noProof/>
          <w:lang w:val="en-GB"/>
        </w:rPr>
        <w:t>Kanno S</w:t>
      </w:r>
      <w:r w:rsidRPr="00E1546D">
        <w:rPr>
          <w:rFonts w:ascii="Times New Roman" w:hAnsi="Times New Roman"/>
          <w:noProof/>
          <w:lang w:val="en-GB"/>
        </w:rPr>
        <w:t xml:space="preserve">, </w:t>
      </w:r>
      <w:r w:rsidRPr="00E1546D">
        <w:rPr>
          <w:rFonts w:ascii="Times New Roman" w:hAnsi="Times New Roman"/>
          <w:b/>
          <w:bCs/>
          <w:noProof/>
          <w:lang w:val="en-GB"/>
        </w:rPr>
        <w:t>Yano T</w:t>
      </w:r>
      <w:r w:rsidRPr="00E1546D">
        <w:rPr>
          <w:rFonts w:ascii="Times New Roman" w:hAnsi="Times New Roman"/>
          <w:noProof/>
          <w:lang w:val="en-GB"/>
        </w:rPr>
        <w:t xml:space="preserve">, </w:t>
      </w:r>
      <w:r w:rsidRPr="00E1546D">
        <w:rPr>
          <w:rFonts w:ascii="Times New Roman" w:hAnsi="Times New Roman"/>
          <w:b/>
          <w:bCs/>
          <w:noProof/>
          <w:lang w:val="en-GB"/>
        </w:rPr>
        <w:t>Kobayashi D</w:t>
      </w:r>
      <w:r w:rsidRPr="00E1546D">
        <w:rPr>
          <w:rFonts w:ascii="Times New Roman" w:hAnsi="Times New Roman"/>
          <w:noProof/>
          <w:lang w:val="en-GB"/>
        </w:rPr>
        <w:t xml:space="preserve">, </w:t>
      </w:r>
      <w:r w:rsidRPr="00E1546D">
        <w:rPr>
          <w:rFonts w:ascii="Times New Roman" w:hAnsi="Times New Roman"/>
          <w:b/>
          <w:bCs/>
          <w:noProof/>
          <w:lang w:val="en-GB"/>
        </w:rPr>
        <w:t>Egashira N</w:t>
      </w:r>
      <w:r w:rsidRPr="00E1546D">
        <w:rPr>
          <w:rFonts w:ascii="Times New Roman" w:hAnsi="Times New Roman"/>
          <w:noProof/>
          <w:lang w:val="en-GB"/>
        </w:rPr>
        <w:t xml:space="preserve">, </w:t>
      </w:r>
      <w:r w:rsidRPr="00E1546D">
        <w:rPr>
          <w:rFonts w:ascii="Times New Roman" w:hAnsi="Times New Roman"/>
          <w:b/>
          <w:bCs/>
          <w:noProof/>
          <w:lang w:val="en-GB"/>
        </w:rPr>
        <w:t>Takada H</w:t>
      </w:r>
      <w:r w:rsidRPr="00E1546D">
        <w:rPr>
          <w:rFonts w:ascii="Times New Roman" w:hAnsi="Times New Roman"/>
          <w:noProof/>
          <w:lang w:val="en-GB"/>
        </w:rPr>
        <w:t xml:space="preserve">, </w:t>
      </w:r>
      <w:r w:rsidRPr="00E1546D">
        <w:rPr>
          <w:rFonts w:ascii="Times New Roman" w:hAnsi="Times New Roman"/>
          <w:b/>
          <w:bCs/>
          <w:noProof/>
          <w:lang w:val="en-GB"/>
        </w:rPr>
        <w:t>Hara T</w:t>
      </w:r>
      <w:r w:rsidRPr="00E1546D">
        <w:rPr>
          <w:rFonts w:ascii="Times New Roman" w:hAnsi="Times New Roman"/>
          <w:noProof/>
          <w:lang w:val="en-GB"/>
        </w:rPr>
        <w:t xml:space="preserve">, </w:t>
      </w:r>
      <w:r w:rsidRPr="00E1546D">
        <w:rPr>
          <w:rFonts w:ascii="Times New Roman" w:hAnsi="Times New Roman"/>
          <w:b/>
          <w:bCs/>
          <w:noProof/>
          <w:lang w:val="en-GB"/>
        </w:rPr>
        <w:t>Masuda S</w:t>
      </w:r>
      <w:r w:rsidRPr="00E1546D">
        <w:rPr>
          <w:rFonts w:ascii="Times New Roman" w:hAnsi="Times New Roman"/>
          <w:noProof/>
          <w:lang w:val="en-GB"/>
        </w:rPr>
        <w:t xml:space="preserve">. 2017. Evaluation of Teicoplanin Trough Values After the Recommended Loading Dose in Children With Associated Safety Analysis. Pediatr. Infect. Dis. J. </w:t>
      </w:r>
      <w:r w:rsidRPr="00E1546D">
        <w:rPr>
          <w:rFonts w:ascii="Times New Roman" w:hAnsi="Times New Roman"/>
          <w:b/>
          <w:bCs/>
          <w:noProof/>
          <w:lang w:val="en-GB"/>
        </w:rPr>
        <w:t>36</w:t>
      </w:r>
      <w:r w:rsidRPr="00E1546D">
        <w:rPr>
          <w:rFonts w:ascii="Times New Roman" w:hAnsi="Times New Roman"/>
          <w:noProof/>
          <w:lang w:val="en-GB"/>
        </w:rPr>
        <w:t>:398–400.</w:t>
      </w:r>
    </w:p>
    <w:p w14:paraId="36219CCA"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32. </w:t>
      </w:r>
      <w:r w:rsidRPr="00E1546D">
        <w:rPr>
          <w:rFonts w:ascii="Times New Roman" w:hAnsi="Times New Roman"/>
          <w:noProof/>
          <w:lang w:val="en-GB"/>
        </w:rPr>
        <w:tab/>
      </w:r>
      <w:r w:rsidRPr="00E1546D">
        <w:rPr>
          <w:rFonts w:ascii="Times New Roman" w:hAnsi="Times New Roman"/>
          <w:b/>
          <w:bCs/>
          <w:noProof/>
          <w:lang w:val="en-GB"/>
        </w:rPr>
        <w:t>Yamada T</w:t>
      </w:r>
      <w:r w:rsidRPr="00E1546D">
        <w:rPr>
          <w:rFonts w:ascii="Times New Roman" w:hAnsi="Times New Roman"/>
          <w:noProof/>
          <w:lang w:val="en-GB"/>
        </w:rPr>
        <w:t xml:space="preserve">, </w:t>
      </w:r>
      <w:r w:rsidRPr="00E1546D">
        <w:rPr>
          <w:rFonts w:ascii="Times New Roman" w:hAnsi="Times New Roman"/>
          <w:b/>
          <w:bCs/>
          <w:noProof/>
          <w:lang w:val="en-GB"/>
        </w:rPr>
        <w:t>Kubota T</w:t>
      </w:r>
      <w:r w:rsidRPr="00E1546D">
        <w:rPr>
          <w:rFonts w:ascii="Times New Roman" w:hAnsi="Times New Roman"/>
          <w:noProof/>
          <w:lang w:val="en-GB"/>
        </w:rPr>
        <w:t xml:space="preserve">, </w:t>
      </w:r>
      <w:r w:rsidRPr="00E1546D">
        <w:rPr>
          <w:rFonts w:ascii="Times New Roman" w:hAnsi="Times New Roman"/>
          <w:b/>
          <w:bCs/>
          <w:noProof/>
          <w:lang w:val="en-GB"/>
        </w:rPr>
        <w:t>Nakamura M</w:t>
      </w:r>
      <w:r w:rsidRPr="00E1546D">
        <w:rPr>
          <w:rFonts w:ascii="Times New Roman" w:hAnsi="Times New Roman"/>
          <w:noProof/>
          <w:lang w:val="en-GB"/>
        </w:rPr>
        <w:t xml:space="preserve">, </w:t>
      </w:r>
      <w:r w:rsidRPr="00E1546D">
        <w:rPr>
          <w:rFonts w:ascii="Times New Roman" w:hAnsi="Times New Roman"/>
          <w:b/>
          <w:bCs/>
          <w:noProof/>
          <w:lang w:val="en-GB"/>
        </w:rPr>
        <w:t>Ochiai M</w:t>
      </w:r>
      <w:r w:rsidRPr="00E1546D">
        <w:rPr>
          <w:rFonts w:ascii="Times New Roman" w:hAnsi="Times New Roman"/>
          <w:noProof/>
          <w:lang w:val="en-GB"/>
        </w:rPr>
        <w:t xml:space="preserve">, </w:t>
      </w:r>
      <w:r w:rsidRPr="00E1546D">
        <w:rPr>
          <w:rFonts w:ascii="Times New Roman" w:hAnsi="Times New Roman"/>
          <w:b/>
          <w:bCs/>
          <w:noProof/>
          <w:lang w:val="en-GB"/>
        </w:rPr>
        <w:t>Yonezawa M</w:t>
      </w:r>
      <w:r w:rsidRPr="00E1546D">
        <w:rPr>
          <w:rFonts w:ascii="Times New Roman" w:hAnsi="Times New Roman"/>
          <w:noProof/>
          <w:lang w:val="en-GB"/>
        </w:rPr>
        <w:t xml:space="preserve">, </w:t>
      </w:r>
      <w:r w:rsidRPr="00E1546D">
        <w:rPr>
          <w:rFonts w:ascii="Times New Roman" w:hAnsi="Times New Roman"/>
          <w:b/>
          <w:bCs/>
          <w:noProof/>
          <w:lang w:val="en-GB"/>
        </w:rPr>
        <w:t>Yano T</w:t>
      </w:r>
      <w:r w:rsidRPr="00E1546D">
        <w:rPr>
          <w:rFonts w:ascii="Times New Roman" w:hAnsi="Times New Roman"/>
          <w:noProof/>
          <w:lang w:val="en-GB"/>
        </w:rPr>
        <w:t xml:space="preserve">, </w:t>
      </w:r>
      <w:r w:rsidRPr="00E1546D">
        <w:rPr>
          <w:rFonts w:ascii="Times New Roman" w:hAnsi="Times New Roman"/>
          <w:b/>
          <w:bCs/>
          <w:noProof/>
          <w:lang w:val="en-GB"/>
        </w:rPr>
        <w:t>Kawashiri T</w:t>
      </w:r>
      <w:r w:rsidRPr="00E1546D">
        <w:rPr>
          <w:rFonts w:ascii="Times New Roman" w:hAnsi="Times New Roman"/>
          <w:noProof/>
          <w:lang w:val="en-GB"/>
        </w:rPr>
        <w:t xml:space="preserve">, </w:t>
      </w:r>
      <w:r w:rsidRPr="00E1546D">
        <w:rPr>
          <w:rFonts w:ascii="Times New Roman" w:hAnsi="Times New Roman"/>
          <w:b/>
          <w:bCs/>
          <w:noProof/>
          <w:lang w:val="en-GB"/>
        </w:rPr>
        <w:t>Egashira N</w:t>
      </w:r>
      <w:r w:rsidRPr="00E1546D">
        <w:rPr>
          <w:rFonts w:ascii="Times New Roman" w:hAnsi="Times New Roman"/>
          <w:noProof/>
          <w:lang w:val="en-GB"/>
        </w:rPr>
        <w:t xml:space="preserve">, </w:t>
      </w:r>
      <w:r w:rsidRPr="00E1546D">
        <w:rPr>
          <w:rFonts w:ascii="Times New Roman" w:hAnsi="Times New Roman"/>
          <w:b/>
          <w:bCs/>
          <w:noProof/>
          <w:lang w:val="en-GB"/>
        </w:rPr>
        <w:t>Hara T</w:t>
      </w:r>
      <w:r w:rsidRPr="00E1546D">
        <w:rPr>
          <w:rFonts w:ascii="Times New Roman" w:hAnsi="Times New Roman"/>
          <w:noProof/>
          <w:lang w:val="en-GB"/>
        </w:rPr>
        <w:t xml:space="preserve">, </w:t>
      </w:r>
      <w:r w:rsidRPr="00E1546D">
        <w:rPr>
          <w:rFonts w:ascii="Times New Roman" w:hAnsi="Times New Roman"/>
          <w:b/>
          <w:bCs/>
          <w:noProof/>
          <w:lang w:val="en-GB"/>
        </w:rPr>
        <w:t>Masuda S</w:t>
      </w:r>
      <w:r w:rsidRPr="00E1546D">
        <w:rPr>
          <w:rFonts w:ascii="Times New Roman" w:hAnsi="Times New Roman"/>
          <w:noProof/>
          <w:lang w:val="en-GB"/>
        </w:rPr>
        <w:t xml:space="preserve">. 2014. Evaluation of teicoplanin concentrations and safety analysis in neonates. Int. J. Antimicrob. Agents </w:t>
      </w:r>
      <w:r w:rsidRPr="00E1546D">
        <w:rPr>
          <w:rFonts w:ascii="Times New Roman" w:hAnsi="Times New Roman"/>
          <w:b/>
          <w:bCs/>
          <w:noProof/>
          <w:lang w:val="en-GB"/>
        </w:rPr>
        <w:t>44</w:t>
      </w:r>
      <w:r w:rsidRPr="00E1546D">
        <w:rPr>
          <w:rFonts w:ascii="Times New Roman" w:hAnsi="Times New Roman"/>
          <w:noProof/>
          <w:lang w:val="en-GB"/>
        </w:rPr>
        <w:t>:458–62.</w:t>
      </w:r>
    </w:p>
    <w:p w14:paraId="4288BB1D"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33. </w:t>
      </w:r>
      <w:r w:rsidRPr="00E1546D">
        <w:rPr>
          <w:rFonts w:ascii="Times New Roman" w:hAnsi="Times New Roman"/>
          <w:noProof/>
          <w:lang w:val="en-GB"/>
        </w:rPr>
        <w:tab/>
      </w:r>
      <w:r w:rsidRPr="00E1546D">
        <w:rPr>
          <w:rFonts w:ascii="Times New Roman" w:hAnsi="Times New Roman"/>
          <w:b/>
          <w:bCs/>
          <w:noProof/>
          <w:lang w:val="en-GB"/>
        </w:rPr>
        <w:t>Strenger V</w:t>
      </w:r>
      <w:r w:rsidRPr="00E1546D">
        <w:rPr>
          <w:rFonts w:ascii="Times New Roman" w:hAnsi="Times New Roman"/>
          <w:noProof/>
          <w:lang w:val="en-GB"/>
        </w:rPr>
        <w:t xml:space="preserve">, </w:t>
      </w:r>
      <w:r w:rsidRPr="00E1546D">
        <w:rPr>
          <w:rFonts w:ascii="Times New Roman" w:hAnsi="Times New Roman"/>
          <w:b/>
          <w:bCs/>
          <w:noProof/>
          <w:lang w:val="en-GB"/>
        </w:rPr>
        <w:t>Hofer N</w:t>
      </w:r>
      <w:r w:rsidRPr="00E1546D">
        <w:rPr>
          <w:rFonts w:ascii="Times New Roman" w:hAnsi="Times New Roman"/>
          <w:noProof/>
          <w:lang w:val="en-GB"/>
        </w:rPr>
        <w:t xml:space="preserve">, </w:t>
      </w:r>
      <w:r w:rsidRPr="00E1546D">
        <w:rPr>
          <w:rFonts w:ascii="Times New Roman" w:hAnsi="Times New Roman"/>
          <w:b/>
          <w:bCs/>
          <w:noProof/>
          <w:lang w:val="en-GB"/>
        </w:rPr>
        <w:t>Rodl S</w:t>
      </w:r>
      <w:r w:rsidRPr="00E1546D">
        <w:rPr>
          <w:rFonts w:ascii="Times New Roman" w:hAnsi="Times New Roman"/>
          <w:noProof/>
          <w:lang w:val="en-GB"/>
        </w:rPr>
        <w:t xml:space="preserve">, </w:t>
      </w:r>
      <w:r w:rsidRPr="00E1546D">
        <w:rPr>
          <w:rFonts w:ascii="Times New Roman" w:hAnsi="Times New Roman"/>
          <w:b/>
          <w:bCs/>
          <w:noProof/>
          <w:lang w:val="en-GB"/>
        </w:rPr>
        <w:t>Honigl M</w:t>
      </w:r>
      <w:r w:rsidRPr="00E1546D">
        <w:rPr>
          <w:rFonts w:ascii="Times New Roman" w:hAnsi="Times New Roman"/>
          <w:noProof/>
          <w:lang w:val="en-GB"/>
        </w:rPr>
        <w:t xml:space="preserve">, </w:t>
      </w:r>
      <w:r w:rsidRPr="00E1546D">
        <w:rPr>
          <w:rFonts w:ascii="Times New Roman" w:hAnsi="Times New Roman"/>
          <w:b/>
          <w:bCs/>
          <w:noProof/>
          <w:lang w:val="en-GB"/>
        </w:rPr>
        <w:t>Raggam R</w:t>
      </w:r>
      <w:r w:rsidRPr="00E1546D">
        <w:rPr>
          <w:rFonts w:ascii="Times New Roman" w:hAnsi="Times New Roman"/>
          <w:noProof/>
          <w:lang w:val="en-GB"/>
        </w:rPr>
        <w:t xml:space="preserve">, </w:t>
      </w:r>
      <w:r w:rsidRPr="00E1546D">
        <w:rPr>
          <w:rFonts w:ascii="Times New Roman" w:hAnsi="Times New Roman"/>
          <w:b/>
          <w:bCs/>
          <w:noProof/>
          <w:lang w:val="en-GB"/>
        </w:rPr>
        <w:t>Seidel MG</w:t>
      </w:r>
      <w:r w:rsidRPr="00E1546D">
        <w:rPr>
          <w:rFonts w:ascii="Times New Roman" w:hAnsi="Times New Roman"/>
          <w:noProof/>
          <w:lang w:val="en-GB"/>
        </w:rPr>
        <w:t xml:space="preserve">, </w:t>
      </w:r>
      <w:r w:rsidRPr="00E1546D">
        <w:rPr>
          <w:rFonts w:ascii="Times New Roman" w:hAnsi="Times New Roman"/>
          <w:b/>
          <w:bCs/>
          <w:noProof/>
          <w:lang w:val="en-GB"/>
        </w:rPr>
        <w:t>Dornbusch HJ</w:t>
      </w:r>
      <w:r w:rsidRPr="00E1546D">
        <w:rPr>
          <w:rFonts w:ascii="Times New Roman" w:hAnsi="Times New Roman"/>
          <w:noProof/>
          <w:lang w:val="en-GB"/>
        </w:rPr>
        <w:t xml:space="preserve">, </w:t>
      </w:r>
      <w:r w:rsidRPr="00E1546D">
        <w:rPr>
          <w:rFonts w:ascii="Times New Roman" w:hAnsi="Times New Roman"/>
          <w:b/>
          <w:bCs/>
          <w:noProof/>
          <w:lang w:val="en-GB"/>
        </w:rPr>
        <w:t>Sperl D</w:t>
      </w:r>
      <w:r w:rsidRPr="00E1546D">
        <w:rPr>
          <w:rFonts w:ascii="Times New Roman" w:hAnsi="Times New Roman"/>
          <w:noProof/>
          <w:lang w:val="en-GB"/>
        </w:rPr>
        <w:t xml:space="preserve">, </w:t>
      </w:r>
      <w:r w:rsidRPr="00E1546D">
        <w:rPr>
          <w:rFonts w:ascii="Times New Roman" w:hAnsi="Times New Roman"/>
          <w:b/>
          <w:bCs/>
          <w:noProof/>
          <w:lang w:val="en-GB"/>
        </w:rPr>
        <w:t>Lackner H</w:t>
      </w:r>
      <w:r w:rsidRPr="00E1546D">
        <w:rPr>
          <w:rFonts w:ascii="Times New Roman" w:hAnsi="Times New Roman"/>
          <w:noProof/>
          <w:lang w:val="en-GB"/>
        </w:rPr>
        <w:t xml:space="preserve">, </w:t>
      </w:r>
      <w:r w:rsidRPr="00E1546D">
        <w:rPr>
          <w:rFonts w:ascii="Times New Roman" w:hAnsi="Times New Roman"/>
          <w:b/>
          <w:bCs/>
          <w:noProof/>
          <w:lang w:val="en-GB"/>
        </w:rPr>
        <w:t>Schwinger W</w:t>
      </w:r>
      <w:r w:rsidRPr="00E1546D">
        <w:rPr>
          <w:rFonts w:ascii="Times New Roman" w:hAnsi="Times New Roman"/>
          <w:noProof/>
          <w:lang w:val="en-GB"/>
        </w:rPr>
        <w:t xml:space="preserve">, </w:t>
      </w:r>
      <w:r w:rsidRPr="00E1546D">
        <w:rPr>
          <w:rFonts w:ascii="Times New Roman" w:hAnsi="Times New Roman"/>
          <w:b/>
          <w:bCs/>
          <w:noProof/>
          <w:lang w:val="en-GB"/>
        </w:rPr>
        <w:t>Sovinz P</w:t>
      </w:r>
      <w:r w:rsidRPr="00E1546D">
        <w:rPr>
          <w:rFonts w:ascii="Times New Roman" w:hAnsi="Times New Roman"/>
          <w:noProof/>
          <w:lang w:val="en-GB"/>
        </w:rPr>
        <w:t xml:space="preserve">, </w:t>
      </w:r>
      <w:r w:rsidRPr="00E1546D">
        <w:rPr>
          <w:rFonts w:ascii="Times New Roman" w:hAnsi="Times New Roman"/>
          <w:b/>
          <w:bCs/>
          <w:noProof/>
          <w:lang w:val="en-GB"/>
        </w:rPr>
        <w:t>Benesch M</w:t>
      </w:r>
      <w:r w:rsidRPr="00E1546D">
        <w:rPr>
          <w:rFonts w:ascii="Times New Roman" w:hAnsi="Times New Roman"/>
          <w:noProof/>
          <w:lang w:val="en-GB"/>
        </w:rPr>
        <w:t xml:space="preserve">, </w:t>
      </w:r>
      <w:r w:rsidRPr="00E1546D">
        <w:rPr>
          <w:rFonts w:ascii="Times New Roman" w:hAnsi="Times New Roman"/>
          <w:b/>
          <w:bCs/>
          <w:noProof/>
          <w:lang w:val="en-GB"/>
        </w:rPr>
        <w:t>Urlesberger B</w:t>
      </w:r>
      <w:r w:rsidRPr="00E1546D">
        <w:rPr>
          <w:rFonts w:ascii="Times New Roman" w:hAnsi="Times New Roman"/>
          <w:noProof/>
          <w:lang w:val="en-GB"/>
        </w:rPr>
        <w:t xml:space="preserve">, </w:t>
      </w:r>
      <w:r w:rsidRPr="00E1546D">
        <w:rPr>
          <w:rFonts w:ascii="Times New Roman" w:hAnsi="Times New Roman"/>
          <w:b/>
          <w:bCs/>
          <w:noProof/>
          <w:lang w:val="en-GB"/>
        </w:rPr>
        <w:t>Urban C</w:t>
      </w:r>
      <w:r w:rsidRPr="00E1546D">
        <w:rPr>
          <w:rFonts w:ascii="Times New Roman" w:hAnsi="Times New Roman"/>
          <w:noProof/>
          <w:lang w:val="en-GB"/>
        </w:rPr>
        <w:t xml:space="preserve">. 2013. Age- and gender-related differences in teicoplanin levels in paediatric patients. J. Antimicrob. Chemother. </w:t>
      </w:r>
      <w:r w:rsidRPr="00E1546D">
        <w:rPr>
          <w:rFonts w:ascii="Times New Roman" w:hAnsi="Times New Roman"/>
          <w:b/>
          <w:bCs/>
          <w:noProof/>
          <w:lang w:val="en-GB"/>
        </w:rPr>
        <w:t>68</w:t>
      </w:r>
      <w:r w:rsidRPr="00E1546D">
        <w:rPr>
          <w:rFonts w:ascii="Times New Roman" w:hAnsi="Times New Roman"/>
          <w:noProof/>
          <w:lang w:val="en-GB"/>
        </w:rPr>
        <w:t>:2318–23.</w:t>
      </w:r>
    </w:p>
    <w:p w14:paraId="127F1730"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34. </w:t>
      </w:r>
      <w:r w:rsidRPr="00E1546D">
        <w:rPr>
          <w:rFonts w:ascii="Times New Roman" w:hAnsi="Times New Roman"/>
          <w:noProof/>
          <w:lang w:val="en-GB"/>
        </w:rPr>
        <w:tab/>
      </w:r>
      <w:r w:rsidRPr="00E1546D">
        <w:rPr>
          <w:rFonts w:ascii="Times New Roman" w:hAnsi="Times New Roman"/>
          <w:b/>
          <w:bCs/>
          <w:noProof/>
          <w:lang w:val="en-GB"/>
        </w:rPr>
        <w:t>Drusano GL</w:t>
      </w:r>
      <w:r w:rsidRPr="00E1546D">
        <w:rPr>
          <w:rFonts w:ascii="Times New Roman" w:hAnsi="Times New Roman"/>
          <w:noProof/>
          <w:lang w:val="en-GB"/>
        </w:rPr>
        <w:t xml:space="preserve">. 2004. Antimicrobial pharmacodynamics: critical interactions of “bug and drug.” Nat. Rev. Microbiol. </w:t>
      </w:r>
      <w:r w:rsidRPr="00E1546D">
        <w:rPr>
          <w:rFonts w:ascii="Times New Roman" w:hAnsi="Times New Roman"/>
          <w:b/>
          <w:bCs/>
          <w:noProof/>
          <w:lang w:val="en-GB"/>
        </w:rPr>
        <w:t>2</w:t>
      </w:r>
      <w:r w:rsidRPr="00E1546D">
        <w:rPr>
          <w:rFonts w:ascii="Times New Roman" w:hAnsi="Times New Roman"/>
          <w:noProof/>
          <w:lang w:val="en-GB"/>
        </w:rPr>
        <w:t>:289–300.</w:t>
      </w:r>
    </w:p>
    <w:p w14:paraId="30A94323"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35. </w:t>
      </w:r>
      <w:r w:rsidRPr="00E1546D">
        <w:rPr>
          <w:rFonts w:ascii="Times New Roman" w:hAnsi="Times New Roman"/>
          <w:noProof/>
          <w:lang w:val="en-GB"/>
        </w:rPr>
        <w:tab/>
      </w:r>
      <w:r w:rsidRPr="00E1546D">
        <w:rPr>
          <w:rFonts w:ascii="Times New Roman" w:hAnsi="Times New Roman"/>
          <w:b/>
          <w:bCs/>
          <w:noProof/>
          <w:lang w:val="en-GB"/>
        </w:rPr>
        <w:t>Chang H-J</w:t>
      </w:r>
      <w:r w:rsidRPr="00E1546D">
        <w:rPr>
          <w:rFonts w:ascii="Times New Roman" w:hAnsi="Times New Roman"/>
          <w:noProof/>
          <w:lang w:val="en-GB"/>
        </w:rPr>
        <w:t xml:space="preserve">, </w:t>
      </w:r>
      <w:r w:rsidRPr="00E1546D">
        <w:rPr>
          <w:rFonts w:ascii="Times New Roman" w:hAnsi="Times New Roman"/>
          <w:b/>
          <w:bCs/>
          <w:noProof/>
          <w:lang w:val="en-GB"/>
        </w:rPr>
        <w:t>Hsu P-C</w:t>
      </w:r>
      <w:r w:rsidRPr="00E1546D">
        <w:rPr>
          <w:rFonts w:ascii="Times New Roman" w:hAnsi="Times New Roman"/>
          <w:noProof/>
          <w:lang w:val="en-GB"/>
        </w:rPr>
        <w:t xml:space="preserve">, </w:t>
      </w:r>
      <w:r w:rsidRPr="00E1546D">
        <w:rPr>
          <w:rFonts w:ascii="Times New Roman" w:hAnsi="Times New Roman"/>
          <w:b/>
          <w:bCs/>
          <w:noProof/>
          <w:lang w:val="en-GB"/>
        </w:rPr>
        <w:t>Yang C-C</w:t>
      </w:r>
      <w:r w:rsidRPr="00E1546D">
        <w:rPr>
          <w:rFonts w:ascii="Times New Roman" w:hAnsi="Times New Roman"/>
          <w:noProof/>
          <w:lang w:val="en-GB"/>
        </w:rPr>
        <w:t xml:space="preserve">, </w:t>
      </w:r>
      <w:r w:rsidRPr="00E1546D">
        <w:rPr>
          <w:rFonts w:ascii="Times New Roman" w:hAnsi="Times New Roman"/>
          <w:b/>
          <w:bCs/>
          <w:noProof/>
          <w:lang w:val="en-GB"/>
        </w:rPr>
        <w:t>Siu L-K</w:t>
      </w:r>
      <w:r w:rsidRPr="00E1546D">
        <w:rPr>
          <w:rFonts w:ascii="Times New Roman" w:hAnsi="Times New Roman"/>
          <w:noProof/>
          <w:lang w:val="en-GB"/>
        </w:rPr>
        <w:t xml:space="preserve">, </w:t>
      </w:r>
      <w:r w:rsidRPr="00E1546D">
        <w:rPr>
          <w:rFonts w:ascii="Times New Roman" w:hAnsi="Times New Roman"/>
          <w:b/>
          <w:bCs/>
          <w:noProof/>
          <w:lang w:val="en-GB"/>
        </w:rPr>
        <w:t>Kuo A-J</w:t>
      </w:r>
      <w:r w:rsidRPr="00E1546D">
        <w:rPr>
          <w:rFonts w:ascii="Times New Roman" w:hAnsi="Times New Roman"/>
          <w:noProof/>
          <w:lang w:val="en-GB"/>
        </w:rPr>
        <w:t xml:space="preserve">, </w:t>
      </w:r>
      <w:r w:rsidRPr="00E1546D">
        <w:rPr>
          <w:rFonts w:ascii="Times New Roman" w:hAnsi="Times New Roman"/>
          <w:b/>
          <w:bCs/>
          <w:noProof/>
          <w:lang w:val="en-GB"/>
        </w:rPr>
        <w:t>Chia J-H</w:t>
      </w:r>
      <w:r w:rsidRPr="00E1546D">
        <w:rPr>
          <w:rFonts w:ascii="Times New Roman" w:hAnsi="Times New Roman"/>
          <w:noProof/>
          <w:lang w:val="en-GB"/>
        </w:rPr>
        <w:t xml:space="preserve">, </w:t>
      </w:r>
      <w:r w:rsidRPr="00E1546D">
        <w:rPr>
          <w:rFonts w:ascii="Times New Roman" w:hAnsi="Times New Roman"/>
          <w:b/>
          <w:bCs/>
          <w:noProof/>
          <w:lang w:val="en-GB"/>
        </w:rPr>
        <w:t>Wu T-L</w:t>
      </w:r>
      <w:r w:rsidRPr="00E1546D">
        <w:rPr>
          <w:rFonts w:ascii="Times New Roman" w:hAnsi="Times New Roman"/>
          <w:noProof/>
          <w:lang w:val="en-GB"/>
        </w:rPr>
        <w:t xml:space="preserve">, </w:t>
      </w:r>
      <w:r w:rsidRPr="00E1546D">
        <w:rPr>
          <w:rFonts w:ascii="Times New Roman" w:hAnsi="Times New Roman"/>
          <w:b/>
          <w:bCs/>
          <w:noProof/>
          <w:lang w:val="en-GB"/>
        </w:rPr>
        <w:t>Huang C-T</w:t>
      </w:r>
      <w:r w:rsidRPr="00E1546D">
        <w:rPr>
          <w:rFonts w:ascii="Times New Roman" w:hAnsi="Times New Roman"/>
          <w:noProof/>
          <w:lang w:val="en-GB"/>
        </w:rPr>
        <w:t xml:space="preserve">, </w:t>
      </w:r>
      <w:r w:rsidRPr="00E1546D">
        <w:rPr>
          <w:rFonts w:ascii="Times New Roman" w:hAnsi="Times New Roman"/>
          <w:b/>
          <w:bCs/>
          <w:noProof/>
          <w:lang w:val="en-GB"/>
        </w:rPr>
        <w:t>Lee M-H</w:t>
      </w:r>
      <w:r w:rsidRPr="00E1546D">
        <w:rPr>
          <w:rFonts w:ascii="Times New Roman" w:hAnsi="Times New Roman"/>
          <w:noProof/>
          <w:lang w:val="en-GB"/>
        </w:rPr>
        <w:t xml:space="preserve">. 2012. Influence of teicoplanin MICs on treatment outcomes among patients with teicoplanin-treated methicillin-resistant Staphylococcus aureus bacteraemia: a hospital-based retrospective study. J. Antimicrob. Chemother. </w:t>
      </w:r>
      <w:r w:rsidRPr="00E1546D">
        <w:rPr>
          <w:rFonts w:ascii="Times New Roman" w:hAnsi="Times New Roman"/>
          <w:b/>
          <w:bCs/>
          <w:noProof/>
          <w:lang w:val="en-GB"/>
        </w:rPr>
        <w:t>67</w:t>
      </w:r>
      <w:r w:rsidRPr="00E1546D">
        <w:rPr>
          <w:rFonts w:ascii="Times New Roman" w:hAnsi="Times New Roman"/>
          <w:noProof/>
          <w:lang w:val="en-GB"/>
        </w:rPr>
        <w:t>:736–741.</w:t>
      </w:r>
    </w:p>
    <w:p w14:paraId="6881601E"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36. </w:t>
      </w:r>
      <w:r w:rsidRPr="00E1546D">
        <w:rPr>
          <w:rFonts w:ascii="Times New Roman" w:hAnsi="Times New Roman"/>
          <w:noProof/>
          <w:lang w:val="en-GB"/>
        </w:rPr>
        <w:tab/>
      </w:r>
      <w:r w:rsidRPr="00E1546D">
        <w:rPr>
          <w:rFonts w:ascii="Times New Roman" w:hAnsi="Times New Roman"/>
          <w:b/>
          <w:bCs/>
          <w:noProof/>
          <w:lang w:val="en-GB"/>
        </w:rPr>
        <w:t>Yamada T</w:t>
      </w:r>
      <w:r w:rsidRPr="00E1546D">
        <w:rPr>
          <w:rFonts w:ascii="Times New Roman" w:hAnsi="Times New Roman"/>
          <w:noProof/>
          <w:lang w:val="en-GB"/>
        </w:rPr>
        <w:t xml:space="preserve">, </w:t>
      </w:r>
      <w:r w:rsidRPr="00E1546D">
        <w:rPr>
          <w:rFonts w:ascii="Times New Roman" w:hAnsi="Times New Roman"/>
          <w:b/>
          <w:bCs/>
          <w:noProof/>
          <w:lang w:val="en-GB"/>
        </w:rPr>
        <w:t>Nonaka T</w:t>
      </w:r>
      <w:r w:rsidRPr="00E1546D">
        <w:rPr>
          <w:rFonts w:ascii="Times New Roman" w:hAnsi="Times New Roman"/>
          <w:noProof/>
          <w:lang w:val="en-GB"/>
        </w:rPr>
        <w:t xml:space="preserve">, </w:t>
      </w:r>
      <w:r w:rsidRPr="00E1546D">
        <w:rPr>
          <w:rFonts w:ascii="Times New Roman" w:hAnsi="Times New Roman"/>
          <w:b/>
          <w:bCs/>
          <w:noProof/>
          <w:lang w:val="en-GB"/>
        </w:rPr>
        <w:t>Yano T</w:t>
      </w:r>
      <w:r w:rsidRPr="00E1546D">
        <w:rPr>
          <w:rFonts w:ascii="Times New Roman" w:hAnsi="Times New Roman"/>
          <w:noProof/>
          <w:lang w:val="en-GB"/>
        </w:rPr>
        <w:t xml:space="preserve">, </w:t>
      </w:r>
      <w:r w:rsidRPr="00E1546D">
        <w:rPr>
          <w:rFonts w:ascii="Times New Roman" w:hAnsi="Times New Roman"/>
          <w:b/>
          <w:bCs/>
          <w:noProof/>
          <w:lang w:val="en-GB"/>
        </w:rPr>
        <w:t>Kubota T</w:t>
      </w:r>
      <w:r w:rsidRPr="00E1546D">
        <w:rPr>
          <w:rFonts w:ascii="Times New Roman" w:hAnsi="Times New Roman"/>
          <w:noProof/>
          <w:lang w:val="en-GB"/>
        </w:rPr>
        <w:t xml:space="preserve">, </w:t>
      </w:r>
      <w:r w:rsidRPr="00E1546D">
        <w:rPr>
          <w:rFonts w:ascii="Times New Roman" w:hAnsi="Times New Roman"/>
          <w:b/>
          <w:bCs/>
          <w:noProof/>
          <w:lang w:val="en-GB"/>
        </w:rPr>
        <w:t>Egashira N</w:t>
      </w:r>
      <w:r w:rsidRPr="00E1546D">
        <w:rPr>
          <w:rFonts w:ascii="Times New Roman" w:hAnsi="Times New Roman"/>
          <w:noProof/>
          <w:lang w:val="en-GB"/>
        </w:rPr>
        <w:t xml:space="preserve">, </w:t>
      </w:r>
      <w:r w:rsidRPr="00E1546D">
        <w:rPr>
          <w:rFonts w:ascii="Times New Roman" w:hAnsi="Times New Roman"/>
          <w:b/>
          <w:bCs/>
          <w:noProof/>
          <w:lang w:val="en-GB"/>
        </w:rPr>
        <w:t>Kawashiri T</w:t>
      </w:r>
      <w:r w:rsidRPr="00E1546D">
        <w:rPr>
          <w:rFonts w:ascii="Times New Roman" w:hAnsi="Times New Roman"/>
          <w:noProof/>
          <w:lang w:val="en-GB"/>
        </w:rPr>
        <w:t xml:space="preserve">, </w:t>
      </w:r>
      <w:r w:rsidRPr="00E1546D">
        <w:rPr>
          <w:rFonts w:ascii="Times New Roman" w:hAnsi="Times New Roman"/>
          <w:b/>
          <w:bCs/>
          <w:noProof/>
          <w:lang w:val="en-GB"/>
        </w:rPr>
        <w:t>Oishi R</w:t>
      </w:r>
      <w:r w:rsidRPr="00E1546D">
        <w:rPr>
          <w:rFonts w:ascii="Times New Roman" w:hAnsi="Times New Roman"/>
          <w:noProof/>
          <w:lang w:val="en-GB"/>
        </w:rPr>
        <w:t xml:space="preserve">. 2012. Simplified dosing regimens of teicoplanin for patient groups stratified by renal function and weight using Monte Carlo simulation. Int. J. Antimicrob. Agents </w:t>
      </w:r>
      <w:r w:rsidRPr="00E1546D">
        <w:rPr>
          <w:rFonts w:ascii="Times New Roman" w:hAnsi="Times New Roman"/>
          <w:b/>
          <w:bCs/>
          <w:noProof/>
          <w:lang w:val="en-GB"/>
        </w:rPr>
        <w:t>40</w:t>
      </w:r>
      <w:r w:rsidRPr="00E1546D">
        <w:rPr>
          <w:rFonts w:ascii="Times New Roman" w:hAnsi="Times New Roman"/>
          <w:noProof/>
          <w:lang w:val="en-GB"/>
        </w:rPr>
        <w:t>:344–348.</w:t>
      </w:r>
    </w:p>
    <w:p w14:paraId="465146E6"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37. </w:t>
      </w:r>
      <w:r w:rsidRPr="00E1546D">
        <w:rPr>
          <w:rFonts w:ascii="Times New Roman" w:hAnsi="Times New Roman"/>
          <w:noProof/>
          <w:lang w:val="en-GB"/>
        </w:rPr>
        <w:tab/>
      </w:r>
      <w:r w:rsidRPr="00E1546D">
        <w:rPr>
          <w:rFonts w:ascii="Times New Roman" w:hAnsi="Times New Roman"/>
          <w:b/>
          <w:bCs/>
          <w:noProof/>
          <w:lang w:val="en-GB"/>
        </w:rPr>
        <w:t>Niwa T</w:t>
      </w:r>
      <w:r w:rsidRPr="00E1546D">
        <w:rPr>
          <w:rFonts w:ascii="Times New Roman" w:hAnsi="Times New Roman"/>
          <w:noProof/>
          <w:lang w:val="en-GB"/>
        </w:rPr>
        <w:t xml:space="preserve">, </w:t>
      </w:r>
      <w:r w:rsidRPr="00E1546D">
        <w:rPr>
          <w:rFonts w:ascii="Times New Roman" w:hAnsi="Times New Roman"/>
          <w:b/>
          <w:bCs/>
          <w:noProof/>
          <w:lang w:val="en-GB"/>
        </w:rPr>
        <w:t>Imanishi Y</w:t>
      </w:r>
      <w:r w:rsidRPr="00E1546D">
        <w:rPr>
          <w:rFonts w:ascii="Times New Roman" w:hAnsi="Times New Roman"/>
          <w:noProof/>
          <w:lang w:val="en-GB"/>
        </w:rPr>
        <w:t xml:space="preserve">, </w:t>
      </w:r>
      <w:r w:rsidRPr="00E1546D">
        <w:rPr>
          <w:rFonts w:ascii="Times New Roman" w:hAnsi="Times New Roman"/>
          <w:b/>
          <w:bCs/>
          <w:noProof/>
          <w:lang w:val="en-GB"/>
        </w:rPr>
        <w:t>Ohmori T</w:t>
      </w:r>
      <w:r w:rsidRPr="00E1546D">
        <w:rPr>
          <w:rFonts w:ascii="Times New Roman" w:hAnsi="Times New Roman"/>
          <w:noProof/>
          <w:lang w:val="en-GB"/>
        </w:rPr>
        <w:t xml:space="preserve">, </w:t>
      </w:r>
      <w:r w:rsidRPr="00E1546D">
        <w:rPr>
          <w:rFonts w:ascii="Times New Roman" w:hAnsi="Times New Roman"/>
          <w:b/>
          <w:bCs/>
          <w:noProof/>
          <w:lang w:val="en-GB"/>
        </w:rPr>
        <w:t>Matsuura K</w:t>
      </w:r>
      <w:r w:rsidRPr="00E1546D">
        <w:rPr>
          <w:rFonts w:ascii="Times New Roman" w:hAnsi="Times New Roman"/>
          <w:noProof/>
          <w:lang w:val="en-GB"/>
        </w:rPr>
        <w:t xml:space="preserve">, </w:t>
      </w:r>
      <w:r w:rsidRPr="00E1546D">
        <w:rPr>
          <w:rFonts w:ascii="Times New Roman" w:hAnsi="Times New Roman"/>
          <w:b/>
          <w:bCs/>
          <w:noProof/>
          <w:lang w:val="en-GB"/>
        </w:rPr>
        <w:t>Murakami N</w:t>
      </w:r>
      <w:r w:rsidRPr="00E1546D">
        <w:rPr>
          <w:rFonts w:ascii="Times New Roman" w:hAnsi="Times New Roman"/>
          <w:noProof/>
          <w:lang w:val="en-GB"/>
        </w:rPr>
        <w:t xml:space="preserve">, </w:t>
      </w:r>
      <w:r w:rsidRPr="00E1546D">
        <w:rPr>
          <w:rFonts w:ascii="Times New Roman" w:hAnsi="Times New Roman"/>
          <w:b/>
          <w:bCs/>
          <w:noProof/>
          <w:lang w:val="en-GB"/>
        </w:rPr>
        <w:t>Itoh Y</w:t>
      </w:r>
      <w:r w:rsidRPr="00E1546D">
        <w:rPr>
          <w:rFonts w:ascii="Times New Roman" w:hAnsi="Times New Roman"/>
          <w:noProof/>
          <w:lang w:val="en-GB"/>
        </w:rPr>
        <w:t xml:space="preserve">. 2010. Significance of individual adjustment of initial loading dosage of teicoplanin </w:t>
      </w:r>
      <w:r w:rsidRPr="00E1546D">
        <w:rPr>
          <w:rFonts w:ascii="Times New Roman" w:hAnsi="Times New Roman"/>
          <w:noProof/>
          <w:lang w:val="en-GB"/>
        </w:rPr>
        <w:lastRenderedPageBreak/>
        <w:t xml:space="preserve">based on population pharmacokinetics. Int. J. Antimicrob. Agents </w:t>
      </w:r>
      <w:r w:rsidRPr="00E1546D">
        <w:rPr>
          <w:rFonts w:ascii="Times New Roman" w:hAnsi="Times New Roman"/>
          <w:b/>
          <w:bCs/>
          <w:noProof/>
          <w:lang w:val="en-GB"/>
        </w:rPr>
        <w:t>35</w:t>
      </w:r>
      <w:r w:rsidRPr="00E1546D">
        <w:rPr>
          <w:rFonts w:ascii="Times New Roman" w:hAnsi="Times New Roman"/>
          <w:noProof/>
          <w:lang w:val="en-GB"/>
        </w:rPr>
        <w:t>:507–510.</w:t>
      </w:r>
    </w:p>
    <w:p w14:paraId="3719C3E4"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38. </w:t>
      </w:r>
      <w:r w:rsidRPr="00E1546D">
        <w:rPr>
          <w:rFonts w:ascii="Times New Roman" w:hAnsi="Times New Roman"/>
          <w:noProof/>
          <w:lang w:val="en-GB"/>
        </w:rPr>
        <w:tab/>
      </w:r>
      <w:r w:rsidRPr="00E1546D">
        <w:rPr>
          <w:rFonts w:ascii="Times New Roman" w:hAnsi="Times New Roman"/>
          <w:b/>
          <w:bCs/>
          <w:noProof/>
          <w:lang w:val="en-GB"/>
        </w:rPr>
        <w:t>Macdonald I</w:t>
      </w:r>
      <w:r w:rsidRPr="00E1546D">
        <w:rPr>
          <w:rFonts w:ascii="Times New Roman" w:hAnsi="Times New Roman"/>
          <w:noProof/>
          <w:lang w:val="en-GB"/>
        </w:rPr>
        <w:t xml:space="preserve">, </w:t>
      </w:r>
      <w:r w:rsidRPr="00E1546D">
        <w:rPr>
          <w:rFonts w:ascii="Times New Roman" w:hAnsi="Times New Roman"/>
          <w:b/>
          <w:bCs/>
          <w:noProof/>
          <w:lang w:val="en-GB"/>
        </w:rPr>
        <w:t>Staatz CE</w:t>
      </w:r>
      <w:r w:rsidRPr="00E1546D">
        <w:rPr>
          <w:rFonts w:ascii="Times New Roman" w:hAnsi="Times New Roman"/>
          <w:noProof/>
          <w:lang w:val="en-GB"/>
        </w:rPr>
        <w:t xml:space="preserve">, </w:t>
      </w:r>
      <w:r w:rsidRPr="00E1546D">
        <w:rPr>
          <w:rFonts w:ascii="Times New Roman" w:hAnsi="Times New Roman"/>
          <w:b/>
          <w:bCs/>
          <w:noProof/>
          <w:lang w:val="en-GB"/>
        </w:rPr>
        <w:t>Jelliffe RW</w:t>
      </w:r>
      <w:r w:rsidRPr="00E1546D">
        <w:rPr>
          <w:rFonts w:ascii="Times New Roman" w:hAnsi="Times New Roman"/>
          <w:noProof/>
          <w:lang w:val="en-GB"/>
        </w:rPr>
        <w:t xml:space="preserve">, </w:t>
      </w:r>
      <w:r w:rsidRPr="00E1546D">
        <w:rPr>
          <w:rFonts w:ascii="Times New Roman" w:hAnsi="Times New Roman"/>
          <w:b/>
          <w:bCs/>
          <w:noProof/>
          <w:lang w:val="en-GB"/>
        </w:rPr>
        <w:t>Thomson AH</w:t>
      </w:r>
      <w:r w:rsidRPr="00E1546D">
        <w:rPr>
          <w:rFonts w:ascii="Times New Roman" w:hAnsi="Times New Roman"/>
          <w:noProof/>
          <w:lang w:val="en-GB"/>
        </w:rPr>
        <w:t xml:space="preserve">. 2008. Evaluation and Comparison of Simple Multiple Model, Richer Data Multiple Model, and Sequential Interacting Multiple Model (IMM) Bayesian Analyses of Gentamicin and Vancomycin Data Collected From Patients Undergoing Cardiothoracic Surgery. Ther. Drug Monit. </w:t>
      </w:r>
      <w:r w:rsidRPr="00E1546D">
        <w:rPr>
          <w:rFonts w:ascii="Times New Roman" w:hAnsi="Times New Roman"/>
          <w:b/>
          <w:bCs/>
          <w:noProof/>
          <w:lang w:val="en-GB"/>
        </w:rPr>
        <w:t>30</w:t>
      </w:r>
      <w:r w:rsidRPr="00E1546D">
        <w:rPr>
          <w:rFonts w:ascii="Times New Roman" w:hAnsi="Times New Roman"/>
          <w:noProof/>
          <w:lang w:val="en-GB"/>
        </w:rPr>
        <w:t>:67–74.</w:t>
      </w:r>
    </w:p>
    <w:p w14:paraId="727CCF9A"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39. </w:t>
      </w:r>
      <w:r w:rsidRPr="00E1546D">
        <w:rPr>
          <w:rFonts w:ascii="Times New Roman" w:hAnsi="Times New Roman"/>
          <w:noProof/>
          <w:lang w:val="en-GB"/>
        </w:rPr>
        <w:tab/>
      </w:r>
      <w:r w:rsidRPr="00E1546D">
        <w:rPr>
          <w:rFonts w:ascii="Times New Roman" w:hAnsi="Times New Roman"/>
          <w:b/>
          <w:bCs/>
          <w:noProof/>
          <w:lang w:val="en-GB"/>
        </w:rPr>
        <w:t>Blot SI</w:t>
      </w:r>
      <w:r w:rsidRPr="00E1546D">
        <w:rPr>
          <w:rFonts w:ascii="Times New Roman" w:hAnsi="Times New Roman"/>
          <w:noProof/>
          <w:lang w:val="en-GB"/>
        </w:rPr>
        <w:t xml:space="preserve">, </w:t>
      </w:r>
      <w:r w:rsidRPr="00E1546D">
        <w:rPr>
          <w:rFonts w:ascii="Times New Roman" w:hAnsi="Times New Roman"/>
          <w:b/>
          <w:bCs/>
          <w:noProof/>
          <w:lang w:val="en-GB"/>
        </w:rPr>
        <w:t>Pea F</w:t>
      </w:r>
      <w:r w:rsidRPr="00E1546D">
        <w:rPr>
          <w:rFonts w:ascii="Times New Roman" w:hAnsi="Times New Roman"/>
          <w:noProof/>
          <w:lang w:val="en-GB"/>
        </w:rPr>
        <w:t xml:space="preserve">, </w:t>
      </w:r>
      <w:r w:rsidRPr="00E1546D">
        <w:rPr>
          <w:rFonts w:ascii="Times New Roman" w:hAnsi="Times New Roman"/>
          <w:b/>
          <w:bCs/>
          <w:noProof/>
          <w:lang w:val="en-GB"/>
        </w:rPr>
        <w:t>Lipman J</w:t>
      </w:r>
      <w:r w:rsidRPr="00E1546D">
        <w:rPr>
          <w:rFonts w:ascii="Times New Roman" w:hAnsi="Times New Roman"/>
          <w:noProof/>
          <w:lang w:val="en-GB"/>
        </w:rPr>
        <w:t xml:space="preserve">. 2014. The effect of pathophysiology on pharmacokinetics in the critically ill patient - Concepts appraised by the example of antimicrobial agents. Adv. Drug Deliv. Rev. </w:t>
      </w:r>
      <w:r w:rsidRPr="00E1546D">
        <w:rPr>
          <w:rFonts w:ascii="Times New Roman" w:hAnsi="Times New Roman"/>
          <w:b/>
          <w:bCs/>
          <w:noProof/>
          <w:lang w:val="en-GB"/>
        </w:rPr>
        <w:t>77</w:t>
      </w:r>
      <w:r w:rsidRPr="00E1546D">
        <w:rPr>
          <w:rFonts w:ascii="Times New Roman" w:hAnsi="Times New Roman"/>
          <w:noProof/>
          <w:lang w:val="en-GB"/>
        </w:rPr>
        <w:t>:3–11.</w:t>
      </w:r>
    </w:p>
    <w:p w14:paraId="3935359D" w14:textId="77777777" w:rsidR="00BD192D" w:rsidRPr="00E1546D" w:rsidRDefault="00BD192D" w:rsidP="00BD192D">
      <w:pPr>
        <w:widowControl w:val="0"/>
        <w:autoSpaceDE w:val="0"/>
        <w:autoSpaceDN w:val="0"/>
        <w:adjustRightInd w:val="0"/>
        <w:spacing w:line="480" w:lineRule="auto"/>
        <w:ind w:left="640" w:hanging="640"/>
        <w:rPr>
          <w:rFonts w:ascii="Times New Roman" w:hAnsi="Times New Roman"/>
          <w:noProof/>
          <w:lang w:val="en-GB"/>
        </w:rPr>
      </w:pPr>
      <w:r w:rsidRPr="00E1546D">
        <w:rPr>
          <w:rFonts w:ascii="Times New Roman" w:hAnsi="Times New Roman"/>
          <w:noProof/>
          <w:lang w:val="en-GB"/>
        </w:rPr>
        <w:t xml:space="preserve">40. </w:t>
      </w:r>
      <w:r w:rsidRPr="00E1546D">
        <w:rPr>
          <w:rFonts w:ascii="Times New Roman" w:hAnsi="Times New Roman"/>
          <w:noProof/>
          <w:lang w:val="en-GB"/>
        </w:rPr>
        <w:tab/>
      </w:r>
      <w:r w:rsidRPr="00E1546D">
        <w:rPr>
          <w:rFonts w:ascii="Times New Roman" w:hAnsi="Times New Roman"/>
          <w:b/>
          <w:bCs/>
          <w:noProof/>
          <w:lang w:val="en-GB"/>
        </w:rPr>
        <w:t>Yamada Y</w:t>
      </w:r>
      <w:r w:rsidRPr="00E1546D">
        <w:rPr>
          <w:rFonts w:ascii="Times New Roman" w:hAnsi="Times New Roman"/>
          <w:noProof/>
          <w:lang w:val="en-GB"/>
        </w:rPr>
        <w:t xml:space="preserve">, </w:t>
      </w:r>
      <w:r w:rsidRPr="00E1546D">
        <w:rPr>
          <w:rFonts w:ascii="Times New Roman" w:hAnsi="Times New Roman"/>
          <w:b/>
          <w:bCs/>
          <w:noProof/>
          <w:lang w:val="en-GB"/>
        </w:rPr>
        <w:t>Schaiquevich P</w:t>
      </w:r>
      <w:r w:rsidRPr="00E1546D">
        <w:rPr>
          <w:rFonts w:ascii="Times New Roman" w:hAnsi="Times New Roman"/>
          <w:noProof/>
          <w:lang w:val="en-GB"/>
        </w:rPr>
        <w:t xml:space="preserve">, </w:t>
      </w:r>
      <w:r w:rsidRPr="00E1546D">
        <w:rPr>
          <w:rFonts w:ascii="Times New Roman" w:hAnsi="Times New Roman"/>
          <w:b/>
          <w:bCs/>
          <w:noProof/>
          <w:lang w:val="en-GB"/>
        </w:rPr>
        <w:t>&amp; Neely M</w:t>
      </w:r>
      <w:r w:rsidRPr="00E1546D">
        <w:rPr>
          <w:rFonts w:ascii="Times New Roman" w:hAnsi="Times New Roman"/>
          <w:noProof/>
          <w:lang w:val="en-GB"/>
        </w:rPr>
        <w:t>. 2015. AUC-targeted vancomycin dosing in term and pre-term neonates. 4th Int. Congr. Ther. Drug Monit. Toxicol. Rotterdam, NL, Oct. 11-15, 2015, Abstr. 347.</w:t>
      </w:r>
    </w:p>
    <w:p w14:paraId="4956ACD0" w14:textId="77777777" w:rsidR="00BD192D" w:rsidRPr="00BD192D" w:rsidRDefault="00BD192D" w:rsidP="00BD192D">
      <w:pPr>
        <w:widowControl w:val="0"/>
        <w:autoSpaceDE w:val="0"/>
        <w:autoSpaceDN w:val="0"/>
        <w:adjustRightInd w:val="0"/>
        <w:spacing w:line="480" w:lineRule="auto"/>
        <w:ind w:left="640" w:hanging="640"/>
        <w:rPr>
          <w:rFonts w:ascii="Times New Roman" w:hAnsi="Times New Roman"/>
          <w:noProof/>
        </w:rPr>
      </w:pPr>
      <w:r w:rsidRPr="00E1546D">
        <w:rPr>
          <w:rFonts w:ascii="Times New Roman" w:hAnsi="Times New Roman"/>
          <w:noProof/>
          <w:lang w:val="en-GB"/>
        </w:rPr>
        <w:t xml:space="preserve">41. </w:t>
      </w:r>
      <w:r w:rsidRPr="00E1546D">
        <w:rPr>
          <w:rFonts w:ascii="Times New Roman" w:hAnsi="Times New Roman"/>
          <w:noProof/>
          <w:lang w:val="en-GB"/>
        </w:rPr>
        <w:tab/>
      </w:r>
      <w:r w:rsidRPr="00E1546D">
        <w:rPr>
          <w:rFonts w:ascii="Times New Roman" w:hAnsi="Times New Roman"/>
          <w:b/>
          <w:bCs/>
          <w:noProof/>
          <w:lang w:val="en-GB"/>
        </w:rPr>
        <w:t>Neely M</w:t>
      </w:r>
      <w:r w:rsidRPr="00E1546D">
        <w:rPr>
          <w:rFonts w:ascii="Times New Roman" w:hAnsi="Times New Roman"/>
          <w:noProof/>
          <w:lang w:val="en-GB"/>
        </w:rPr>
        <w:t xml:space="preserve">, </w:t>
      </w:r>
      <w:r w:rsidRPr="00E1546D">
        <w:rPr>
          <w:rFonts w:ascii="Times New Roman" w:hAnsi="Times New Roman"/>
          <w:b/>
          <w:bCs/>
          <w:noProof/>
          <w:lang w:val="en-GB"/>
        </w:rPr>
        <w:t>Floyd R</w:t>
      </w:r>
      <w:r w:rsidRPr="00E1546D">
        <w:rPr>
          <w:rFonts w:ascii="Times New Roman" w:hAnsi="Times New Roman"/>
          <w:noProof/>
          <w:lang w:val="en-GB"/>
        </w:rPr>
        <w:t xml:space="preserve">. 2015. Schwartz Creatinine Clearance is Not the Best Description of Infant Gentamicin Elimination., p. 1–60. </w:t>
      </w:r>
      <w:r w:rsidRPr="005045C9">
        <w:rPr>
          <w:rFonts w:ascii="Times New Roman" w:hAnsi="Times New Roman"/>
          <w:i/>
          <w:iCs/>
          <w:noProof/>
          <w:lang w:val="en-GB"/>
        </w:rPr>
        <w:t>In</w:t>
      </w:r>
      <w:r w:rsidRPr="005045C9">
        <w:rPr>
          <w:rFonts w:ascii="Times New Roman" w:hAnsi="Times New Roman"/>
          <w:noProof/>
          <w:lang w:val="en-GB"/>
        </w:rPr>
        <w:t xml:space="preserve"> Clinical Pharmacology in Drug Development.</w:t>
      </w:r>
    </w:p>
    <w:p w14:paraId="306A1B61" w14:textId="2FDBA278" w:rsidR="0005159C" w:rsidRDefault="00CA1A09" w:rsidP="00BD192D">
      <w:pPr>
        <w:widowControl w:val="0"/>
        <w:autoSpaceDE w:val="0"/>
        <w:autoSpaceDN w:val="0"/>
        <w:adjustRightInd w:val="0"/>
        <w:spacing w:line="480" w:lineRule="auto"/>
        <w:ind w:left="640" w:hanging="640"/>
        <w:rPr>
          <w:rFonts w:ascii="Times New Roman" w:hAnsi="Times New Roman" w:cs="Times New Roman"/>
        </w:rPr>
      </w:pPr>
      <w:r w:rsidRPr="00CA1A09">
        <w:rPr>
          <w:rFonts w:ascii="Times New Roman" w:hAnsi="Times New Roman" w:cs="Times New Roman"/>
        </w:rPr>
        <w:fldChar w:fldCharType="end"/>
      </w:r>
    </w:p>
    <w:p w14:paraId="71A9208B" w14:textId="77777777" w:rsidR="00A9665D" w:rsidRDefault="00A9665D">
      <w:pPr>
        <w:widowControl w:val="0"/>
        <w:autoSpaceDE w:val="0"/>
        <w:autoSpaceDN w:val="0"/>
        <w:adjustRightInd w:val="0"/>
        <w:spacing w:line="480" w:lineRule="auto"/>
        <w:ind w:left="640" w:hanging="640"/>
        <w:rPr>
          <w:rFonts w:ascii="Times New Roman" w:hAnsi="Times New Roman" w:cs="Times New Roman"/>
        </w:rPr>
      </w:pPr>
    </w:p>
    <w:p w14:paraId="00525934" w14:textId="77777777" w:rsidR="00A9665D" w:rsidRDefault="00A9665D">
      <w:pPr>
        <w:widowControl w:val="0"/>
        <w:autoSpaceDE w:val="0"/>
        <w:autoSpaceDN w:val="0"/>
        <w:adjustRightInd w:val="0"/>
        <w:spacing w:line="480" w:lineRule="auto"/>
        <w:ind w:left="640" w:hanging="640"/>
        <w:rPr>
          <w:rFonts w:ascii="Times New Roman" w:hAnsi="Times New Roman" w:cs="Times New Roman"/>
        </w:rPr>
      </w:pPr>
    </w:p>
    <w:p w14:paraId="7234D829" w14:textId="77777777" w:rsidR="00A9665D" w:rsidRDefault="00A9665D">
      <w:pPr>
        <w:widowControl w:val="0"/>
        <w:autoSpaceDE w:val="0"/>
        <w:autoSpaceDN w:val="0"/>
        <w:adjustRightInd w:val="0"/>
        <w:spacing w:line="360" w:lineRule="auto"/>
        <w:ind w:left="640" w:hanging="640"/>
        <w:rPr>
          <w:rFonts w:ascii="Times New Roman" w:hAnsi="Times New Roman" w:cs="Times New Roman"/>
          <w:sz w:val="28"/>
          <w:szCs w:val="28"/>
        </w:rPr>
        <w:sectPr w:rsidR="00A9665D" w:rsidSect="006D5EC2">
          <w:pgSz w:w="11900" w:h="16840"/>
          <w:pgMar w:top="1418" w:right="1701" w:bottom="1418" w:left="1701" w:header="709" w:footer="709" w:gutter="0"/>
          <w:lnNumType w:countBy="1" w:restart="continuous"/>
          <w:cols w:space="708"/>
          <w:docGrid w:linePitch="360"/>
        </w:sectPr>
      </w:pPr>
    </w:p>
    <w:p w14:paraId="7055868B" w14:textId="6BD93065" w:rsidR="00A9665D" w:rsidRDefault="006D5EC2">
      <w:pPr>
        <w:widowControl w:val="0"/>
        <w:autoSpaceDE w:val="0"/>
        <w:autoSpaceDN w:val="0"/>
        <w:adjustRightInd w:val="0"/>
        <w:spacing w:line="360" w:lineRule="auto"/>
        <w:ind w:left="640" w:hanging="640"/>
        <w:rPr>
          <w:rFonts w:ascii="Times New Roman" w:hAnsi="Times New Roman" w:cs="Times New Roman"/>
          <w:b/>
          <w:sz w:val="28"/>
          <w:szCs w:val="28"/>
        </w:rPr>
      </w:pPr>
      <w:r>
        <w:rPr>
          <w:rFonts w:ascii="Times New Roman" w:hAnsi="Times New Roman" w:cs="Times New Roman"/>
          <w:b/>
          <w:sz w:val="28"/>
          <w:szCs w:val="28"/>
        </w:rPr>
        <w:lastRenderedPageBreak/>
        <w:t>Tables/Figures</w:t>
      </w:r>
      <w:r w:rsidR="00474E61">
        <w:rPr>
          <w:rFonts w:ascii="Times New Roman" w:hAnsi="Times New Roman" w:cs="Times New Roman"/>
          <w:b/>
          <w:sz w:val="28"/>
          <w:szCs w:val="28"/>
        </w:rPr>
        <w:t xml:space="preserve"> </w:t>
      </w:r>
    </w:p>
    <w:p w14:paraId="794943D1" w14:textId="77777777" w:rsidR="00474E61" w:rsidRDefault="00474E61">
      <w:pPr>
        <w:widowControl w:val="0"/>
        <w:autoSpaceDE w:val="0"/>
        <w:autoSpaceDN w:val="0"/>
        <w:adjustRightInd w:val="0"/>
        <w:spacing w:line="360" w:lineRule="auto"/>
        <w:ind w:left="640" w:hanging="640"/>
        <w:rPr>
          <w:rFonts w:ascii="Times New Roman" w:hAnsi="Times New Roman" w:cs="Times New Roman"/>
          <w:b/>
          <w:sz w:val="28"/>
          <w:szCs w:val="28"/>
        </w:rPr>
      </w:pPr>
    </w:p>
    <w:p w14:paraId="617BA698" w14:textId="796FE14A" w:rsidR="00474E61" w:rsidRPr="00BD192D" w:rsidRDefault="00474E61">
      <w:pPr>
        <w:widowControl w:val="0"/>
        <w:autoSpaceDE w:val="0"/>
        <w:autoSpaceDN w:val="0"/>
        <w:adjustRightInd w:val="0"/>
        <w:rPr>
          <w:rFonts w:ascii="Times New Roman" w:hAnsi="Times New Roman" w:cs="Times New Roman"/>
        </w:rPr>
      </w:pPr>
      <w:r w:rsidRPr="00BD192D">
        <w:rPr>
          <w:rFonts w:ascii="Times New Roman" w:hAnsi="Times New Roman" w:cs="Times New Roman"/>
        </w:rPr>
        <w:t>Table 1. Demographics and clinical characteristics of patients</w:t>
      </w:r>
      <w:r w:rsidR="00BD192D">
        <w:rPr>
          <w:rFonts w:ascii="Times New Roman" w:hAnsi="Times New Roman" w:cs="Times New Roman"/>
        </w:rPr>
        <w:t>.</w:t>
      </w:r>
      <w:r w:rsidRPr="00BD192D">
        <w:rPr>
          <w:rFonts w:ascii="Times New Roman" w:hAnsi="Times New Roman" w:cs="Times New Roman"/>
        </w:rPr>
        <w:t xml:space="preserve"> </w:t>
      </w:r>
    </w:p>
    <w:p w14:paraId="17E4D937" w14:textId="77777777" w:rsidR="00474E61" w:rsidRPr="006D5EC2" w:rsidRDefault="00474E61">
      <w:pPr>
        <w:widowControl w:val="0"/>
        <w:autoSpaceDE w:val="0"/>
        <w:autoSpaceDN w:val="0"/>
        <w:adjustRightInd w:val="0"/>
        <w:spacing w:line="360" w:lineRule="auto"/>
        <w:ind w:left="640" w:hanging="640"/>
        <w:rPr>
          <w:rFonts w:ascii="Times New Roman" w:hAnsi="Times New Roman" w:cs="Times New Roman"/>
          <w:b/>
          <w:sz w:val="28"/>
          <w:szCs w:val="28"/>
        </w:rPr>
      </w:pPr>
    </w:p>
    <w:tbl>
      <w:tblPr>
        <w:tblStyle w:val="TableGrid"/>
        <w:tblW w:w="8890"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985"/>
        <w:gridCol w:w="1985"/>
        <w:gridCol w:w="2368"/>
      </w:tblGrid>
      <w:tr w:rsidR="00C75643" w14:paraId="47BCC3DE" w14:textId="77777777" w:rsidTr="00C75643">
        <w:tc>
          <w:tcPr>
            <w:tcW w:w="2552" w:type="dxa"/>
            <w:tcBorders>
              <w:bottom w:val="single" w:sz="4" w:space="0" w:color="auto"/>
            </w:tcBorders>
          </w:tcPr>
          <w:p w14:paraId="04F565C2" w14:textId="4B0A11F9" w:rsidR="00474E61" w:rsidRPr="00741CA6" w:rsidRDefault="00474E61" w:rsidP="00741CA6">
            <w:pPr>
              <w:widowControl w:val="0"/>
              <w:autoSpaceDE w:val="0"/>
              <w:autoSpaceDN w:val="0"/>
              <w:adjustRightInd w:val="0"/>
              <w:spacing w:line="480" w:lineRule="auto"/>
              <w:rPr>
                <w:rFonts w:ascii="Times New Roman" w:hAnsi="Times New Roman" w:cs="Times New Roman"/>
                <w:sz w:val="20"/>
                <w:szCs w:val="20"/>
              </w:rPr>
            </w:pPr>
            <w:r w:rsidRPr="00741CA6">
              <w:rPr>
                <w:rFonts w:ascii="Times New Roman" w:hAnsi="Times New Roman" w:cs="Times New Roman"/>
                <w:sz w:val="20"/>
                <w:szCs w:val="20"/>
              </w:rPr>
              <w:t xml:space="preserve">Demographic </w:t>
            </w:r>
            <w:r w:rsidR="00BD192D">
              <w:rPr>
                <w:rFonts w:ascii="Times New Roman" w:hAnsi="Times New Roman" w:cs="Times New Roman"/>
                <w:sz w:val="20"/>
                <w:szCs w:val="20"/>
              </w:rPr>
              <w:t xml:space="preserve">/ </w:t>
            </w:r>
            <w:r w:rsidRPr="00741CA6">
              <w:rPr>
                <w:rFonts w:ascii="Times New Roman" w:hAnsi="Times New Roman" w:cs="Times New Roman"/>
                <w:sz w:val="20"/>
                <w:szCs w:val="20"/>
              </w:rPr>
              <w:t>clinic characteristic</w:t>
            </w:r>
          </w:p>
        </w:tc>
        <w:tc>
          <w:tcPr>
            <w:tcW w:w="6338" w:type="dxa"/>
            <w:gridSpan w:val="3"/>
            <w:tcBorders>
              <w:left w:val="nil"/>
              <w:bottom w:val="single" w:sz="4" w:space="0" w:color="auto"/>
            </w:tcBorders>
          </w:tcPr>
          <w:p w14:paraId="1643F28D" w14:textId="0BEE89EB" w:rsidR="00474E61" w:rsidRPr="00741CA6" w:rsidRDefault="00474E61">
            <w:pPr>
              <w:widowControl w:val="0"/>
              <w:autoSpaceDE w:val="0"/>
              <w:autoSpaceDN w:val="0"/>
              <w:adjustRightInd w:val="0"/>
              <w:spacing w:line="480" w:lineRule="auto"/>
              <w:jc w:val="center"/>
              <w:rPr>
                <w:rFonts w:ascii="Times New Roman" w:hAnsi="Times New Roman" w:cs="Times New Roman"/>
                <w:sz w:val="20"/>
                <w:szCs w:val="20"/>
              </w:rPr>
            </w:pPr>
            <w:r w:rsidRPr="00BD192D">
              <w:rPr>
                <w:rFonts w:ascii="Times New Roman" w:hAnsi="Times New Roman" w:cs="Times New Roman"/>
                <w:sz w:val="20"/>
                <w:szCs w:val="20"/>
              </w:rPr>
              <w:t xml:space="preserve">Median </w:t>
            </w:r>
            <w:r w:rsidR="005466C1">
              <w:rPr>
                <w:rFonts w:ascii="Times New Roman" w:hAnsi="Times New Roman" w:cs="Times New Roman"/>
                <w:sz w:val="20"/>
                <w:szCs w:val="20"/>
              </w:rPr>
              <w:t>(range</w:t>
            </w:r>
            <w:r w:rsidRPr="00BD192D">
              <w:rPr>
                <w:rFonts w:ascii="Times New Roman" w:hAnsi="Times New Roman" w:cs="Times New Roman"/>
                <w:sz w:val="20"/>
                <w:szCs w:val="20"/>
              </w:rPr>
              <w:t>)</w:t>
            </w:r>
            <w:r w:rsidR="005466C1">
              <w:rPr>
                <w:rFonts w:ascii="Times New Roman" w:hAnsi="Times New Roman" w:cs="Times New Roman"/>
                <w:sz w:val="20"/>
                <w:szCs w:val="20"/>
              </w:rPr>
              <w:t xml:space="preserve"> </w:t>
            </w:r>
          </w:p>
        </w:tc>
      </w:tr>
      <w:tr w:rsidR="00C75643" w14:paraId="775E08C3" w14:textId="77777777" w:rsidTr="00C75643">
        <w:tc>
          <w:tcPr>
            <w:tcW w:w="2552" w:type="dxa"/>
            <w:tcBorders>
              <w:top w:val="single" w:sz="4" w:space="0" w:color="auto"/>
              <w:bottom w:val="single" w:sz="4" w:space="0" w:color="auto"/>
            </w:tcBorders>
          </w:tcPr>
          <w:p w14:paraId="2FB301C7" w14:textId="77777777" w:rsidR="00474E61" w:rsidRPr="0047592B" w:rsidRDefault="00474E61" w:rsidP="005A5EE9">
            <w:pPr>
              <w:widowControl w:val="0"/>
              <w:autoSpaceDE w:val="0"/>
              <w:autoSpaceDN w:val="0"/>
              <w:adjustRightInd w:val="0"/>
              <w:spacing w:line="480" w:lineRule="auto"/>
              <w:rPr>
                <w:rFonts w:ascii="Times New Roman" w:hAnsi="Times New Roman" w:cs="Times New Roman"/>
                <w:b/>
                <w:sz w:val="20"/>
                <w:szCs w:val="20"/>
              </w:rPr>
            </w:pPr>
          </w:p>
        </w:tc>
        <w:tc>
          <w:tcPr>
            <w:tcW w:w="1985" w:type="dxa"/>
            <w:tcBorders>
              <w:top w:val="single" w:sz="4" w:space="0" w:color="auto"/>
              <w:left w:val="nil"/>
              <w:bottom w:val="single" w:sz="4" w:space="0" w:color="auto"/>
            </w:tcBorders>
          </w:tcPr>
          <w:p w14:paraId="0157F8E0" w14:textId="77777777" w:rsidR="00474E61" w:rsidRPr="00741CA6" w:rsidRDefault="00474E61" w:rsidP="00741CA6">
            <w:pPr>
              <w:widowControl w:val="0"/>
              <w:autoSpaceDE w:val="0"/>
              <w:autoSpaceDN w:val="0"/>
              <w:adjustRightInd w:val="0"/>
              <w:spacing w:line="480" w:lineRule="auto"/>
              <w:rPr>
                <w:rFonts w:ascii="Times New Roman" w:hAnsi="Times New Roman" w:cs="Times New Roman"/>
                <w:sz w:val="20"/>
                <w:szCs w:val="20"/>
              </w:rPr>
            </w:pPr>
            <w:r w:rsidRPr="00741CA6">
              <w:rPr>
                <w:rFonts w:ascii="Times New Roman" w:hAnsi="Times New Roman" w:cs="Times New Roman"/>
                <w:sz w:val="20"/>
                <w:szCs w:val="20"/>
              </w:rPr>
              <w:t>Children &gt;1 month</w:t>
            </w:r>
          </w:p>
        </w:tc>
        <w:tc>
          <w:tcPr>
            <w:tcW w:w="1985" w:type="dxa"/>
            <w:tcBorders>
              <w:top w:val="single" w:sz="4" w:space="0" w:color="auto"/>
              <w:bottom w:val="single" w:sz="4" w:space="0" w:color="auto"/>
            </w:tcBorders>
          </w:tcPr>
          <w:p w14:paraId="26F36B17" w14:textId="77777777" w:rsidR="00474E61" w:rsidRPr="00741CA6" w:rsidRDefault="00474E61" w:rsidP="00741CA6">
            <w:pPr>
              <w:widowControl w:val="0"/>
              <w:autoSpaceDE w:val="0"/>
              <w:autoSpaceDN w:val="0"/>
              <w:adjustRightInd w:val="0"/>
              <w:spacing w:line="480" w:lineRule="auto"/>
              <w:rPr>
                <w:rFonts w:ascii="Times New Roman" w:hAnsi="Times New Roman" w:cs="Times New Roman"/>
                <w:sz w:val="20"/>
                <w:szCs w:val="20"/>
              </w:rPr>
            </w:pPr>
            <w:r w:rsidRPr="00741CA6">
              <w:rPr>
                <w:rFonts w:ascii="Times New Roman" w:hAnsi="Times New Roman" w:cs="Times New Roman"/>
                <w:sz w:val="20"/>
                <w:szCs w:val="20"/>
              </w:rPr>
              <w:t>Neonates</w:t>
            </w:r>
          </w:p>
        </w:tc>
        <w:tc>
          <w:tcPr>
            <w:tcW w:w="2368" w:type="dxa"/>
            <w:tcBorders>
              <w:top w:val="single" w:sz="4" w:space="0" w:color="auto"/>
              <w:bottom w:val="single" w:sz="4" w:space="0" w:color="auto"/>
            </w:tcBorders>
          </w:tcPr>
          <w:p w14:paraId="6360104B" w14:textId="77777777" w:rsidR="00474E61" w:rsidRPr="00741CA6" w:rsidRDefault="00474E61" w:rsidP="00741CA6">
            <w:pPr>
              <w:widowControl w:val="0"/>
              <w:autoSpaceDE w:val="0"/>
              <w:autoSpaceDN w:val="0"/>
              <w:adjustRightInd w:val="0"/>
              <w:spacing w:line="480" w:lineRule="auto"/>
              <w:rPr>
                <w:rFonts w:ascii="Times New Roman" w:hAnsi="Times New Roman" w:cs="Times New Roman"/>
                <w:sz w:val="20"/>
                <w:szCs w:val="20"/>
              </w:rPr>
            </w:pPr>
            <w:r w:rsidRPr="00741CA6">
              <w:rPr>
                <w:rFonts w:ascii="Times New Roman" w:hAnsi="Times New Roman" w:cs="Times New Roman"/>
                <w:sz w:val="20"/>
                <w:szCs w:val="20"/>
              </w:rPr>
              <w:t>Total</w:t>
            </w:r>
          </w:p>
        </w:tc>
      </w:tr>
      <w:tr w:rsidR="00C75643" w14:paraId="13B0FCCD" w14:textId="77777777" w:rsidTr="00C75643">
        <w:tc>
          <w:tcPr>
            <w:tcW w:w="2552" w:type="dxa"/>
            <w:tcBorders>
              <w:top w:val="single" w:sz="4" w:space="0" w:color="auto"/>
            </w:tcBorders>
          </w:tcPr>
          <w:p w14:paraId="6D831E91" w14:textId="7878FE18" w:rsidR="00474E61" w:rsidRPr="00BD192D" w:rsidRDefault="00474E61" w:rsidP="00BD192D">
            <w:pPr>
              <w:widowControl w:val="0"/>
              <w:autoSpaceDE w:val="0"/>
              <w:autoSpaceDN w:val="0"/>
              <w:adjustRightInd w:val="0"/>
              <w:spacing w:line="480" w:lineRule="auto"/>
              <w:rPr>
                <w:rFonts w:ascii="Times New Roman" w:hAnsi="Times New Roman" w:cs="Times New Roman"/>
                <w:sz w:val="20"/>
                <w:szCs w:val="20"/>
              </w:rPr>
            </w:pPr>
            <w:r w:rsidRPr="00BD192D">
              <w:rPr>
                <w:rFonts w:ascii="Times New Roman" w:hAnsi="Times New Roman" w:cs="Times New Roman"/>
                <w:sz w:val="20"/>
                <w:szCs w:val="20"/>
              </w:rPr>
              <w:t xml:space="preserve">n. of patients </w:t>
            </w:r>
          </w:p>
        </w:tc>
        <w:tc>
          <w:tcPr>
            <w:tcW w:w="1985" w:type="dxa"/>
            <w:tcBorders>
              <w:top w:val="single" w:sz="4" w:space="0" w:color="auto"/>
              <w:left w:val="nil"/>
            </w:tcBorders>
          </w:tcPr>
          <w:p w14:paraId="5A389916" w14:textId="77777777"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47592B">
              <w:rPr>
                <w:rFonts w:ascii="Times New Roman" w:hAnsi="Times New Roman" w:cs="Times New Roman"/>
                <w:sz w:val="20"/>
                <w:szCs w:val="20"/>
              </w:rPr>
              <w:t>39/39</w:t>
            </w:r>
          </w:p>
        </w:tc>
        <w:tc>
          <w:tcPr>
            <w:tcW w:w="1985" w:type="dxa"/>
            <w:tcBorders>
              <w:top w:val="single" w:sz="4" w:space="0" w:color="auto"/>
            </w:tcBorders>
          </w:tcPr>
          <w:p w14:paraId="4855B6EF" w14:textId="77777777"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47592B">
              <w:rPr>
                <w:rFonts w:ascii="Times New Roman" w:hAnsi="Times New Roman" w:cs="Times New Roman"/>
                <w:sz w:val="20"/>
                <w:szCs w:val="20"/>
              </w:rPr>
              <w:t>18/18</w:t>
            </w:r>
          </w:p>
        </w:tc>
        <w:tc>
          <w:tcPr>
            <w:tcW w:w="2368" w:type="dxa"/>
            <w:tcBorders>
              <w:top w:val="single" w:sz="4" w:space="0" w:color="auto"/>
            </w:tcBorders>
          </w:tcPr>
          <w:p w14:paraId="1B57D5C7" w14:textId="77777777"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57</w:t>
            </w:r>
          </w:p>
        </w:tc>
      </w:tr>
      <w:tr w:rsidR="00C75643" w14:paraId="05F11BE2" w14:textId="77777777" w:rsidTr="00C75643">
        <w:trPr>
          <w:trHeight w:val="154"/>
        </w:trPr>
        <w:tc>
          <w:tcPr>
            <w:tcW w:w="2552" w:type="dxa"/>
          </w:tcPr>
          <w:p w14:paraId="07DEFF38" w14:textId="08B1273C" w:rsidR="00474E61" w:rsidRPr="00BD192D" w:rsidRDefault="00C75643" w:rsidP="00BD192D">
            <w:pPr>
              <w:widowControl w:val="0"/>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Mean</w:t>
            </w:r>
            <w:r w:rsidR="00474E61" w:rsidRPr="00BD192D">
              <w:rPr>
                <w:rFonts w:ascii="Times New Roman" w:hAnsi="Times New Roman" w:cs="Times New Roman"/>
                <w:sz w:val="20"/>
                <w:szCs w:val="20"/>
              </w:rPr>
              <w:t xml:space="preserve"> observations</w:t>
            </w:r>
            <w:r>
              <w:rPr>
                <w:rFonts w:ascii="Times New Roman" w:hAnsi="Times New Roman" w:cs="Times New Roman"/>
                <w:sz w:val="20"/>
                <w:szCs w:val="20"/>
              </w:rPr>
              <w:t>/</w:t>
            </w:r>
            <w:r w:rsidR="00474E61" w:rsidRPr="00BD192D">
              <w:rPr>
                <w:rFonts w:ascii="Times New Roman" w:hAnsi="Times New Roman" w:cs="Times New Roman"/>
                <w:sz w:val="20"/>
                <w:szCs w:val="20"/>
              </w:rPr>
              <w:t>patient</w:t>
            </w:r>
          </w:p>
        </w:tc>
        <w:tc>
          <w:tcPr>
            <w:tcW w:w="1985" w:type="dxa"/>
            <w:tcBorders>
              <w:left w:val="nil"/>
            </w:tcBorders>
          </w:tcPr>
          <w:p w14:paraId="10F1CA68" w14:textId="77777777"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7.6</w:t>
            </w:r>
          </w:p>
        </w:tc>
        <w:tc>
          <w:tcPr>
            <w:tcW w:w="1985" w:type="dxa"/>
          </w:tcPr>
          <w:p w14:paraId="26EEC110" w14:textId="77777777"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5.3</w:t>
            </w:r>
          </w:p>
        </w:tc>
        <w:tc>
          <w:tcPr>
            <w:tcW w:w="2368" w:type="dxa"/>
          </w:tcPr>
          <w:p w14:paraId="30714F04" w14:textId="77777777"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6.9</w:t>
            </w:r>
          </w:p>
        </w:tc>
      </w:tr>
      <w:tr w:rsidR="00C75643" w14:paraId="382F2872" w14:textId="77777777" w:rsidTr="00C75643">
        <w:trPr>
          <w:trHeight w:val="153"/>
        </w:trPr>
        <w:tc>
          <w:tcPr>
            <w:tcW w:w="2552" w:type="dxa"/>
          </w:tcPr>
          <w:p w14:paraId="0DC74EE6" w14:textId="50FA5848" w:rsidR="00474E61" w:rsidRPr="00BD192D" w:rsidRDefault="00C75643" w:rsidP="00BD192D">
            <w:pPr>
              <w:widowControl w:val="0"/>
              <w:autoSpaceDE w:val="0"/>
              <w:autoSpaceDN w:val="0"/>
              <w:adjustRightInd w:val="0"/>
              <w:spacing w:line="480" w:lineRule="auto"/>
              <w:rPr>
                <w:rFonts w:ascii="Times New Roman" w:hAnsi="Times New Roman" w:cs="Times New Roman"/>
                <w:sz w:val="20"/>
                <w:szCs w:val="20"/>
              </w:rPr>
            </w:pPr>
            <w:r>
              <w:rPr>
                <w:rFonts w:ascii="Times New Roman" w:hAnsi="Times New Roman" w:cs="Times New Roman"/>
                <w:sz w:val="20"/>
                <w:szCs w:val="20"/>
              </w:rPr>
              <w:t>Sex</w:t>
            </w:r>
            <w:r w:rsidRPr="00BD192D">
              <w:rPr>
                <w:rFonts w:ascii="Times New Roman" w:hAnsi="Times New Roman" w:cs="Times New Roman"/>
                <w:sz w:val="20"/>
                <w:szCs w:val="20"/>
              </w:rPr>
              <w:t xml:space="preserve"> </w:t>
            </w:r>
            <w:r w:rsidR="00474E61" w:rsidRPr="00BD192D">
              <w:rPr>
                <w:rFonts w:ascii="Times New Roman" w:hAnsi="Times New Roman" w:cs="Times New Roman"/>
                <w:sz w:val="20"/>
                <w:szCs w:val="20"/>
              </w:rPr>
              <w:t>(</w:t>
            </w:r>
            <w:proofErr w:type="spellStart"/>
            <w:proofErr w:type="gramStart"/>
            <w:r w:rsidR="00474E61" w:rsidRPr="00BD192D">
              <w:rPr>
                <w:rFonts w:ascii="Times New Roman" w:hAnsi="Times New Roman" w:cs="Times New Roman"/>
                <w:sz w:val="20"/>
                <w:szCs w:val="20"/>
              </w:rPr>
              <w:t>male:female</w:t>
            </w:r>
            <w:proofErr w:type="spellEnd"/>
            <w:proofErr w:type="gramEnd"/>
            <w:r w:rsidR="00474E61" w:rsidRPr="00BD192D">
              <w:rPr>
                <w:rFonts w:ascii="Times New Roman" w:hAnsi="Times New Roman" w:cs="Times New Roman"/>
                <w:sz w:val="20"/>
                <w:szCs w:val="20"/>
              </w:rPr>
              <w:t>)</w:t>
            </w:r>
          </w:p>
        </w:tc>
        <w:tc>
          <w:tcPr>
            <w:tcW w:w="1985" w:type="dxa"/>
            <w:tcBorders>
              <w:left w:val="nil"/>
            </w:tcBorders>
          </w:tcPr>
          <w:p w14:paraId="322A7DF6" w14:textId="77777777" w:rsidR="00474E61"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21:18</w:t>
            </w:r>
          </w:p>
        </w:tc>
        <w:tc>
          <w:tcPr>
            <w:tcW w:w="1985" w:type="dxa"/>
          </w:tcPr>
          <w:p w14:paraId="232F06E2" w14:textId="77777777" w:rsidR="00474E61"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12:6</w:t>
            </w:r>
          </w:p>
        </w:tc>
        <w:tc>
          <w:tcPr>
            <w:tcW w:w="2368" w:type="dxa"/>
          </w:tcPr>
          <w:p w14:paraId="5E27CEA3" w14:textId="77777777" w:rsidR="00474E61"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33:24</w:t>
            </w:r>
          </w:p>
        </w:tc>
      </w:tr>
      <w:tr w:rsidR="00C75643" w14:paraId="47364B80" w14:textId="77777777" w:rsidTr="00C75643">
        <w:tc>
          <w:tcPr>
            <w:tcW w:w="2552" w:type="dxa"/>
          </w:tcPr>
          <w:p w14:paraId="042F601B" w14:textId="3B9BCF09" w:rsidR="00474E61" w:rsidRPr="00BD192D" w:rsidRDefault="00474E61" w:rsidP="00BD192D">
            <w:pPr>
              <w:widowControl w:val="0"/>
              <w:autoSpaceDE w:val="0"/>
              <w:autoSpaceDN w:val="0"/>
              <w:adjustRightInd w:val="0"/>
              <w:spacing w:line="480" w:lineRule="auto"/>
              <w:rPr>
                <w:rFonts w:ascii="Times New Roman" w:hAnsi="Times New Roman" w:cs="Times New Roman"/>
                <w:sz w:val="20"/>
                <w:szCs w:val="20"/>
              </w:rPr>
            </w:pPr>
            <w:r w:rsidRPr="00BD192D">
              <w:rPr>
                <w:rFonts w:ascii="Times New Roman" w:hAnsi="Times New Roman" w:cs="Times New Roman"/>
                <w:sz w:val="20"/>
                <w:szCs w:val="20"/>
              </w:rPr>
              <w:t>W</w:t>
            </w:r>
            <w:r w:rsidR="00C75643">
              <w:rPr>
                <w:rFonts w:ascii="Times New Roman" w:hAnsi="Times New Roman" w:cs="Times New Roman"/>
                <w:sz w:val="20"/>
                <w:szCs w:val="20"/>
              </w:rPr>
              <w:t>eight</w:t>
            </w:r>
            <w:r w:rsidRPr="00BD192D">
              <w:rPr>
                <w:rFonts w:ascii="Times New Roman" w:hAnsi="Times New Roman" w:cs="Times New Roman"/>
                <w:sz w:val="20"/>
                <w:szCs w:val="20"/>
              </w:rPr>
              <w:t xml:space="preserve"> </w:t>
            </w:r>
            <w:r w:rsidRPr="00C75643">
              <w:rPr>
                <w:rFonts w:ascii="Times New Roman" w:hAnsi="Times New Roman" w:cs="Times New Roman"/>
                <w:sz w:val="20"/>
                <w:szCs w:val="20"/>
              </w:rPr>
              <w:t>(kg)</w:t>
            </w:r>
          </w:p>
        </w:tc>
        <w:tc>
          <w:tcPr>
            <w:tcW w:w="1985" w:type="dxa"/>
            <w:tcBorders>
              <w:left w:val="nil"/>
            </w:tcBorders>
          </w:tcPr>
          <w:p w14:paraId="4DA55BB2" w14:textId="32611312"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14.8 (3-62.2)</w:t>
            </w:r>
          </w:p>
        </w:tc>
        <w:tc>
          <w:tcPr>
            <w:tcW w:w="1985" w:type="dxa"/>
          </w:tcPr>
          <w:p w14:paraId="448BDCBF" w14:textId="1563FF9F"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2.04 (0.69-5.08)</w:t>
            </w:r>
          </w:p>
        </w:tc>
        <w:tc>
          <w:tcPr>
            <w:tcW w:w="2368" w:type="dxa"/>
          </w:tcPr>
          <w:p w14:paraId="56138DDD" w14:textId="0DAC9669"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7.5 (0.69-62.2)</w:t>
            </w:r>
          </w:p>
        </w:tc>
      </w:tr>
      <w:tr w:rsidR="00C75643" w14:paraId="646EA262" w14:textId="77777777" w:rsidTr="00C75643">
        <w:tc>
          <w:tcPr>
            <w:tcW w:w="2552" w:type="dxa"/>
          </w:tcPr>
          <w:p w14:paraId="08FB3CC7" w14:textId="77777777" w:rsidR="00474E61" w:rsidRPr="00BD192D" w:rsidRDefault="00474E61" w:rsidP="00BD192D">
            <w:pPr>
              <w:widowControl w:val="0"/>
              <w:autoSpaceDE w:val="0"/>
              <w:autoSpaceDN w:val="0"/>
              <w:adjustRightInd w:val="0"/>
              <w:spacing w:line="480" w:lineRule="auto"/>
              <w:rPr>
                <w:rFonts w:ascii="Times New Roman" w:hAnsi="Times New Roman" w:cs="Times New Roman"/>
                <w:sz w:val="20"/>
                <w:szCs w:val="20"/>
              </w:rPr>
            </w:pPr>
            <w:r w:rsidRPr="00BD192D">
              <w:rPr>
                <w:rFonts w:ascii="Times New Roman" w:hAnsi="Times New Roman" w:cs="Times New Roman"/>
                <w:sz w:val="20"/>
                <w:szCs w:val="20"/>
              </w:rPr>
              <w:t xml:space="preserve">Height </w:t>
            </w:r>
            <w:r w:rsidRPr="00C75643">
              <w:rPr>
                <w:rFonts w:ascii="Times New Roman" w:hAnsi="Times New Roman" w:cs="Times New Roman"/>
                <w:sz w:val="20"/>
                <w:szCs w:val="20"/>
              </w:rPr>
              <w:t>(cm)</w:t>
            </w:r>
          </w:p>
        </w:tc>
        <w:tc>
          <w:tcPr>
            <w:tcW w:w="1985" w:type="dxa"/>
            <w:tcBorders>
              <w:left w:val="nil"/>
            </w:tcBorders>
          </w:tcPr>
          <w:p w14:paraId="16EB789A" w14:textId="42705C31"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97.9 (45-</w:t>
            </w:r>
            <w:proofErr w:type="gramStart"/>
            <w:r>
              <w:rPr>
                <w:rFonts w:ascii="Times New Roman" w:hAnsi="Times New Roman" w:cs="Times New Roman"/>
                <w:sz w:val="20"/>
                <w:szCs w:val="20"/>
              </w:rPr>
              <w:t>170)*</w:t>
            </w:r>
            <w:proofErr w:type="gramEnd"/>
          </w:p>
        </w:tc>
        <w:tc>
          <w:tcPr>
            <w:tcW w:w="1985" w:type="dxa"/>
          </w:tcPr>
          <w:p w14:paraId="26F6EEB3" w14:textId="695AA5D2"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48 (36-</w:t>
            </w:r>
            <w:proofErr w:type="gramStart"/>
            <w:r>
              <w:rPr>
                <w:rFonts w:ascii="Times New Roman" w:hAnsi="Times New Roman" w:cs="Times New Roman"/>
                <w:sz w:val="20"/>
                <w:szCs w:val="20"/>
              </w:rPr>
              <w:t>52)*</w:t>
            </w:r>
            <w:proofErr w:type="gramEnd"/>
            <w:r>
              <w:rPr>
                <w:rFonts w:ascii="Times New Roman" w:hAnsi="Times New Roman" w:cs="Times New Roman"/>
                <w:sz w:val="20"/>
                <w:szCs w:val="20"/>
              </w:rPr>
              <w:t>*</w:t>
            </w:r>
          </w:p>
        </w:tc>
        <w:tc>
          <w:tcPr>
            <w:tcW w:w="2368" w:type="dxa"/>
          </w:tcPr>
          <w:p w14:paraId="5018D9F6" w14:textId="7D8D8B92"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72 (36-170) ***</w:t>
            </w:r>
          </w:p>
        </w:tc>
      </w:tr>
      <w:tr w:rsidR="00C75643" w14:paraId="32B73DC9" w14:textId="77777777" w:rsidTr="00C75643">
        <w:tc>
          <w:tcPr>
            <w:tcW w:w="2552" w:type="dxa"/>
          </w:tcPr>
          <w:p w14:paraId="035878A6" w14:textId="77777777" w:rsidR="00474E61" w:rsidRPr="00BD192D" w:rsidRDefault="00474E61" w:rsidP="00BD192D">
            <w:pPr>
              <w:widowControl w:val="0"/>
              <w:autoSpaceDE w:val="0"/>
              <w:autoSpaceDN w:val="0"/>
              <w:adjustRightInd w:val="0"/>
              <w:spacing w:line="480" w:lineRule="auto"/>
              <w:rPr>
                <w:rFonts w:ascii="Times New Roman" w:hAnsi="Times New Roman" w:cs="Times New Roman"/>
                <w:sz w:val="20"/>
                <w:szCs w:val="20"/>
              </w:rPr>
            </w:pPr>
            <w:r w:rsidRPr="00BD192D">
              <w:rPr>
                <w:rFonts w:ascii="Times New Roman" w:hAnsi="Times New Roman" w:cs="Times New Roman"/>
                <w:sz w:val="20"/>
                <w:szCs w:val="20"/>
              </w:rPr>
              <w:t xml:space="preserve">Age </w:t>
            </w:r>
            <w:r w:rsidRPr="00C75643">
              <w:rPr>
                <w:rFonts w:ascii="Times New Roman" w:hAnsi="Times New Roman" w:cs="Times New Roman"/>
                <w:sz w:val="20"/>
                <w:szCs w:val="20"/>
              </w:rPr>
              <w:t>(years)</w:t>
            </w:r>
          </w:p>
        </w:tc>
        <w:tc>
          <w:tcPr>
            <w:tcW w:w="1985" w:type="dxa"/>
            <w:tcBorders>
              <w:left w:val="nil"/>
            </w:tcBorders>
          </w:tcPr>
          <w:p w14:paraId="05CB1CA8" w14:textId="1859CB61"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3.3 (0.12-15.8)</w:t>
            </w:r>
          </w:p>
        </w:tc>
        <w:tc>
          <w:tcPr>
            <w:tcW w:w="1985" w:type="dxa"/>
          </w:tcPr>
          <w:p w14:paraId="7DEE0A60" w14:textId="6479EE27"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0.05 (0.01-0.19)</w:t>
            </w:r>
          </w:p>
        </w:tc>
        <w:tc>
          <w:tcPr>
            <w:tcW w:w="2368" w:type="dxa"/>
          </w:tcPr>
          <w:p w14:paraId="15E5FA12" w14:textId="77BFF11D" w:rsidR="00474E61" w:rsidRPr="0047592B" w:rsidRDefault="00B70B52"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0.88 (0.01-15.82)</w:t>
            </w:r>
          </w:p>
        </w:tc>
      </w:tr>
      <w:tr w:rsidR="00C75643" w14:paraId="3AD2F66C" w14:textId="77777777" w:rsidTr="00C75643">
        <w:tc>
          <w:tcPr>
            <w:tcW w:w="2552" w:type="dxa"/>
          </w:tcPr>
          <w:p w14:paraId="3ACA192B" w14:textId="77777777" w:rsidR="00474E61" w:rsidRPr="00BD192D" w:rsidRDefault="00474E61" w:rsidP="00BD192D">
            <w:pPr>
              <w:widowControl w:val="0"/>
              <w:autoSpaceDE w:val="0"/>
              <w:autoSpaceDN w:val="0"/>
              <w:adjustRightInd w:val="0"/>
              <w:spacing w:line="480" w:lineRule="auto"/>
              <w:rPr>
                <w:rFonts w:ascii="Times New Roman" w:hAnsi="Times New Roman" w:cs="Times New Roman"/>
                <w:sz w:val="20"/>
                <w:szCs w:val="20"/>
              </w:rPr>
            </w:pPr>
            <w:r w:rsidRPr="00BD192D">
              <w:rPr>
                <w:rFonts w:ascii="Times New Roman" w:hAnsi="Times New Roman" w:cs="Times New Roman"/>
                <w:sz w:val="20"/>
                <w:szCs w:val="20"/>
              </w:rPr>
              <w:t xml:space="preserve">PMA </w:t>
            </w:r>
            <w:r w:rsidRPr="00C75643">
              <w:rPr>
                <w:rFonts w:ascii="Times New Roman" w:hAnsi="Times New Roman" w:cs="Times New Roman"/>
                <w:sz w:val="20"/>
                <w:szCs w:val="20"/>
              </w:rPr>
              <w:t>(weeks)</w:t>
            </w:r>
          </w:p>
        </w:tc>
        <w:tc>
          <w:tcPr>
            <w:tcW w:w="1985" w:type="dxa"/>
            <w:tcBorders>
              <w:left w:val="nil"/>
            </w:tcBorders>
          </w:tcPr>
          <w:p w14:paraId="76345598" w14:textId="77777777"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NA</w:t>
            </w:r>
          </w:p>
        </w:tc>
        <w:tc>
          <w:tcPr>
            <w:tcW w:w="1985" w:type="dxa"/>
          </w:tcPr>
          <w:p w14:paraId="20536D74" w14:textId="0D5937DB"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37</w:t>
            </w:r>
            <w:r w:rsidR="005466C1">
              <w:rPr>
                <w:rFonts w:ascii="Times New Roman" w:hAnsi="Times New Roman" w:cs="Times New Roman"/>
                <w:sz w:val="20"/>
                <w:szCs w:val="20"/>
              </w:rPr>
              <w:t xml:space="preserve"> </w:t>
            </w:r>
            <w:r>
              <w:rPr>
                <w:rFonts w:ascii="Times New Roman" w:hAnsi="Times New Roman" w:cs="Times New Roman"/>
                <w:sz w:val="20"/>
                <w:szCs w:val="20"/>
              </w:rPr>
              <w:t>(26-44)</w:t>
            </w:r>
          </w:p>
        </w:tc>
        <w:tc>
          <w:tcPr>
            <w:tcW w:w="2368" w:type="dxa"/>
          </w:tcPr>
          <w:p w14:paraId="3B9AC060" w14:textId="77777777"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NA</w:t>
            </w:r>
          </w:p>
        </w:tc>
      </w:tr>
      <w:tr w:rsidR="00C75643" w14:paraId="54A68847" w14:textId="77777777" w:rsidTr="00C75643">
        <w:tc>
          <w:tcPr>
            <w:tcW w:w="2552" w:type="dxa"/>
          </w:tcPr>
          <w:p w14:paraId="4A445504" w14:textId="77777777" w:rsidR="00474E61" w:rsidRPr="00BD192D" w:rsidRDefault="00474E61" w:rsidP="00BD192D">
            <w:pPr>
              <w:widowControl w:val="0"/>
              <w:autoSpaceDE w:val="0"/>
              <w:autoSpaceDN w:val="0"/>
              <w:adjustRightInd w:val="0"/>
              <w:spacing w:line="480" w:lineRule="auto"/>
              <w:rPr>
                <w:rFonts w:ascii="Times New Roman" w:hAnsi="Times New Roman" w:cs="Times New Roman"/>
                <w:sz w:val="20"/>
                <w:szCs w:val="20"/>
              </w:rPr>
            </w:pPr>
            <w:r w:rsidRPr="00BD192D">
              <w:rPr>
                <w:rFonts w:ascii="Times New Roman" w:hAnsi="Times New Roman" w:cs="Times New Roman"/>
                <w:sz w:val="20"/>
                <w:szCs w:val="20"/>
              </w:rPr>
              <w:t xml:space="preserve">PNA </w:t>
            </w:r>
            <w:r w:rsidRPr="00C75643">
              <w:rPr>
                <w:rFonts w:ascii="Times New Roman" w:hAnsi="Times New Roman" w:cs="Times New Roman"/>
                <w:sz w:val="20"/>
                <w:szCs w:val="20"/>
              </w:rPr>
              <w:t>(days)</w:t>
            </w:r>
          </w:p>
        </w:tc>
        <w:tc>
          <w:tcPr>
            <w:tcW w:w="1985" w:type="dxa"/>
            <w:tcBorders>
              <w:left w:val="nil"/>
            </w:tcBorders>
          </w:tcPr>
          <w:p w14:paraId="1B85D225" w14:textId="7042F276"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1204.5 (43.8-5774.3)</w:t>
            </w:r>
          </w:p>
        </w:tc>
        <w:tc>
          <w:tcPr>
            <w:tcW w:w="1985" w:type="dxa"/>
          </w:tcPr>
          <w:p w14:paraId="3E1A5A48" w14:textId="18E6557D"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17</w:t>
            </w:r>
            <w:r w:rsidR="005466C1">
              <w:rPr>
                <w:rFonts w:ascii="Times New Roman" w:hAnsi="Times New Roman" w:cs="Times New Roman"/>
                <w:sz w:val="20"/>
                <w:szCs w:val="20"/>
              </w:rPr>
              <w:t xml:space="preserve"> </w:t>
            </w:r>
            <w:r>
              <w:rPr>
                <w:rFonts w:ascii="Times New Roman" w:hAnsi="Times New Roman" w:cs="Times New Roman"/>
                <w:sz w:val="20"/>
                <w:szCs w:val="20"/>
              </w:rPr>
              <w:t>(4-69)</w:t>
            </w:r>
          </w:p>
        </w:tc>
        <w:tc>
          <w:tcPr>
            <w:tcW w:w="2368" w:type="dxa"/>
          </w:tcPr>
          <w:p w14:paraId="529C639E" w14:textId="281FD877"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321.2 (4-5774.3)</w:t>
            </w:r>
          </w:p>
        </w:tc>
      </w:tr>
      <w:tr w:rsidR="00C75643" w14:paraId="2C18E9B3" w14:textId="77777777" w:rsidTr="00C75643">
        <w:trPr>
          <w:trHeight w:val="74"/>
        </w:trPr>
        <w:tc>
          <w:tcPr>
            <w:tcW w:w="2552" w:type="dxa"/>
          </w:tcPr>
          <w:p w14:paraId="13C6EA81" w14:textId="1ACD9E57" w:rsidR="00474E61" w:rsidRPr="00BD192D" w:rsidRDefault="00474E61" w:rsidP="00BD192D">
            <w:pPr>
              <w:widowControl w:val="0"/>
              <w:autoSpaceDE w:val="0"/>
              <w:autoSpaceDN w:val="0"/>
              <w:adjustRightInd w:val="0"/>
              <w:spacing w:line="480" w:lineRule="auto"/>
              <w:rPr>
                <w:rFonts w:ascii="Times New Roman" w:hAnsi="Times New Roman" w:cs="Times New Roman"/>
                <w:sz w:val="20"/>
                <w:szCs w:val="20"/>
              </w:rPr>
            </w:pPr>
            <w:proofErr w:type="spellStart"/>
            <w:r w:rsidRPr="00BD192D">
              <w:rPr>
                <w:rFonts w:ascii="Times New Roman" w:hAnsi="Times New Roman" w:cs="Times New Roman"/>
                <w:sz w:val="20"/>
                <w:szCs w:val="20"/>
              </w:rPr>
              <w:t>eGFR</w:t>
            </w:r>
            <w:proofErr w:type="spellEnd"/>
            <w:r w:rsidRPr="00BD192D">
              <w:rPr>
                <w:rFonts w:ascii="Times New Roman" w:hAnsi="Times New Roman" w:cs="Times New Roman"/>
                <w:sz w:val="20"/>
                <w:szCs w:val="20"/>
              </w:rPr>
              <w:t xml:space="preserve"> </w:t>
            </w:r>
            <w:r w:rsidRPr="00C75643">
              <w:rPr>
                <w:rFonts w:ascii="Times New Roman" w:hAnsi="Times New Roman" w:cs="Times New Roman"/>
                <w:sz w:val="20"/>
                <w:szCs w:val="20"/>
              </w:rPr>
              <w:t>(m</w:t>
            </w:r>
            <w:r w:rsidR="00C75643">
              <w:rPr>
                <w:rFonts w:ascii="Times New Roman" w:hAnsi="Times New Roman" w:cs="Times New Roman"/>
                <w:sz w:val="20"/>
                <w:szCs w:val="20"/>
              </w:rPr>
              <w:t>L</w:t>
            </w:r>
            <w:r w:rsidR="00BD192D">
              <w:rPr>
                <w:rFonts w:ascii="Times New Roman" w:hAnsi="Times New Roman" w:cs="Times New Roman"/>
                <w:sz w:val="20"/>
                <w:szCs w:val="20"/>
              </w:rPr>
              <w:t xml:space="preserve">/min/1.73 </w:t>
            </w:r>
            <w:r w:rsidRPr="00C75643">
              <w:rPr>
                <w:rFonts w:ascii="Times New Roman" w:hAnsi="Times New Roman" w:cs="Times New Roman"/>
                <w:sz w:val="20"/>
                <w:szCs w:val="20"/>
              </w:rPr>
              <w:t>m</w:t>
            </w:r>
            <w:r w:rsidRPr="00C75643">
              <w:rPr>
                <w:rFonts w:ascii="Times New Roman" w:hAnsi="Times New Roman" w:cs="Times New Roman"/>
                <w:sz w:val="20"/>
                <w:szCs w:val="20"/>
                <w:vertAlign w:val="superscript"/>
              </w:rPr>
              <w:t>2</w:t>
            </w:r>
            <w:r w:rsidRPr="00C75643">
              <w:rPr>
                <w:rFonts w:ascii="Times New Roman" w:hAnsi="Times New Roman" w:cs="Times New Roman"/>
                <w:sz w:val="20"/>
                <w:szCs w:val="20"/>
              </w:rPr>
              <w:t>)</w:t>
            </w:r>
          </w:p>
        </w:tc>
        <w:tc>
          <w:tcPr>
            <w:tcW w:w="1985" w:type="dxa"/>
            <w:tcBorders>
              <w:left w:val="nil"/>
            </w:tcBorders>
          </w:tcPr>
          <w:p w14:paraId="324655F7" w14:textId="0BE113D4"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78.94 (6.43-160.3)</w:t>
            </w:r>
          </w:p>
        </w:tc>
        <w:tc>
          <w:tcPr>
            <w:tcW w:w="1985" w:type="dxa"/>
          </w:tcPr>
          <w:p w14:paraId="3030A4F1" w14:textId="706E17CA"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42.8 (5.4-95.2)</w:t>
            </w:r>
          </w:p>
        </w:tc>
        <w:tc>
          <w:tcPr>
            <w:tcW w:w="2368" w:type="dxa"/>
          </w:tcPr>
          <w:p w14:paraId="5A41DF1B" w14:textId="37A13099"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62.06 (5.4-160.3)</w:t>
            </w:r>
          </w:p>
        </w:tc>
      </w:tr>
      <w:tr w:rsidR="00C75643" w14:paraId="7ECBB5FD" w14:textId="77777777" w:rsidTr="00C75643">
        <w:trPr>
          <w:trHeight w:val="73"/>
        </w:trPr>
        <w:tc>
          <w:tcPr>
            <w:tcW w:w="2552" w:type="dxa"/>
            <w:tcBorders>
              <w:bottom w:val="single" w:sz="4" w:space="0" w:color="auto"/>
            </w:tcBorders>
          </w:tcPr>
          <w:p w14:paraId="52CA382A" w14:textId="1D2203CE" w:rsidR="00474E61" w:rsidRPr="00BD192D" w:rsidRDefault="00474E61" w:rsidP="00BD192D">
            <w:pPr>
              <w:widowControl w:val="0"/>
              <w:autoSpaceDE w:val="0"/>
              <w:autoSpaceDN w:val="0"/>
              <w:adjustRightInd w:val="0"/>
              <w:spacing w:line="480" w:lineRule="auto"/>
              <w:ind w:right="-286"/>
              <w:rPr>
                <w:rFonts w:ascii="Times New Roman" w:hAnsi="Times New Roman" w:cs="Times New Roman"/>
                <w:sz w:val="20"/>
                <w:szCs w:val="20"/>
              </w:rPr>
            </w:pPr>
            <w:r w:rsidRPr="00BD192D">
              <w:rPr>
                <w:rFonts w:ascii="Times New Roman" w:hAnsi="Times New Roman" w:cs="Times New Roman"/>
                <w:sz w:val="20"/>
                <w:szCs w:val="20"/>
              </w:rPr>
              <w:t xml:space="preserve">Serum Creatinine </w:t>
            </w:r>
            <w:r w:rsidR="00C75643" w:rsidRPr="00C75643">
              <w:rPr>
                <w:rFonts w:ascii="Times New Roman" w:hAnsi="Times New Roman" w:cs="Times New Roman"/>
                <w:sz w:val="20"/>
                <w:szCs w:val="20"/>
              </w:rPr>
              <w:t>(</w:t>
            </w:r>
            <w:r w:rsidR="00C75643" w:rsidRPr="00C75643">
              <w:rPr>
                <w:rFonts w:ascii="Times New Roman" w:hAnsi="Times New Roman" w:cs="Times New Roman"/>
                <w:sz w:val="20"/>
                <w:szCs w:val="20"/>
              </w:rPr>
              <w:sym w:font="Symbol" w:char="F06D"/>
            </w:r>
            <w:proofErr w:type="spellStart"/>
            <w:r w:rsidR="00C75643" w:rsidRPr="00C75643">
              <w:rPr>
                <w:rFonts w:ascii="Times New Roman" w:hAnsi="Times New Roman" w:cs="Times New Roman"/>
                <w:sz w:val="20"/>
                <w:szCs w:val="20"/>
              </w:rPr>
              <w:t>mol</w:t>
            </w:r>
            <w:proofErr w:type="spellEnd"/>
            <w:r w:rsidR="00C75643" w:rsidRPr="00C75643">
              <w:rPr>
                <w:rFonts w:ascii="Times New Roman" w:hAnsi="Times New Roman" w:cs="Times New Roman"/>
                <w:sz w:val="20"/>
                <w:szCs w:val="20"/>
              </w:rPr>
              <w:t>/L)</w:t>
            </w:r>
            <w:r w:rsidR="00C75643" w:rsidRPr="00C75643" w:rsidDel="00C75643">
              <w:rPr>
                <w:rFonts w:ascii="Times New Roman" w:hAnsi="Times New Roman" w:cs="Times New Roman"/>
                <w:sz w:val="20"/>
                <w:szCs w:val="20"/>
              </w:rPr>
              <w:t xml:space="preserve"> </w:t>
            </w:r>
          </w:p>
        </w:tc>
        <w:tc>
          <w:tcPr>
            <w:tcW w:w="1985" w:type="dxa"/>
            <w:tcBorders>
              <w:left w:val="nil"/>
              <w:bottom w:val="single" w:sz="4" w:space="0" w:color="auto"/>
            </w:tcBorders>
          </w:tcPr>
          <w:p w14:paraId="5F69D9AE" w14:textId="063053AC"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41 (27-308)</w:t>
            </w:r>
          </w:p>
        </w:tc>
        <w:tc>
          <w:tcPr>
            <w:tcW w:w="1985" w:type="dxa"/>
            <w:tcBorders>
              <w:bottom w:val="single" w:sz="4" w:space="0" w:color="auto"/>
            </w:tcBorders>
          </w:tcPr>
          <w:p w14:paraId="37B0E760" w14:textId="4D218A5A"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44.5 (21-265)</w:t>
            </w:r>
          </w:p>
        </w:tc>
        <w:tc>
          <w:tcPr>
            <w:tcW w:w="2368" w:type="dxa"/>
            <w:tcBorders>
              <w:bottom w:val="single" w:sz="4" w:space="0" w:color="auto"/>
            </w:tcBorders>
          </w:tcPr>
          <w:p w14:paraId="2BA1F1F3" w14:textId="57F5E554" w:rsidR="00474E61" w:rsidRPr="0047592B" w:rsidRDefault="00474E61" w:rsidP="00BD192D">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Pr>
                <w:rFonts w:ascii="Times New Roman" w:hAnsi="Times New Roman" w:cs="Times New Roman"/>
                <w:sz w:val="20"/>
                <w:szCs w:val="20"/>
              </w:rPr>
              <w:t>41 (21-308)</w:t>
            </w:r>
          </w:p>
        </w:tc>
      </w:tr>
    </w:tbl>
    <w:p w14:paraId="7CD15845" w14:textId="77777777" w:rsidR="00C75643" w:rsidRDefault="00C75643" w:rsidP="005A5EE9">
      <w:pPr>
        <w:widowControl w:val="0"/>
        <w:autoSpaceDE w:val="0"/>
        <w:autoSpaceDN w:val="0"/>
        <w:adjustRightInd w:val="0"/>
        <w:spacing w:line="480" w:lineRule="auto"/>
        <w:rPr>
          <w:rFonts w:ascii="Times New Roman" w:hAnsi="Times New Roman" w:cs="Times New Roman"/>
          <w:sz w:val="20"/>
          <w:szCs w:val="20"/>
        </w:rPr>
      </w:pPr>
    </w:p>
    <w:p w14:paraId="7235AB24" w14:textId="67819782" w:rsidR="00474E61" w:rsidRPr="00741CA6" w:rsidRDefault="00F607D3" w:rsidP="003675EB">
      <w:pPr>
        <w:widowControl w:val="0"/>
        <w:autoSpaceDE w:val="0"/>
        <w:autoSpaceDN w:val="0"/>
        <w:adjustRightInd w:val="0"/>
        <w:spacing w:line="480" w:lineRule="auto"/>
        <w:jc w:val="both"/>
        <w:rPr>
          <w:rFonts w:ascii="Times New Roman" w:hAnsi="Times New Roman" w:cs="Times New Roman"/>
          <w:sz w:val="20"/>
          <w:szCs w:val="20"/>
        </w:rPr>
      </w:pPr>
      <w:r w:rsidRPr="008B30B9">
        <w:rPr>
          <w:rFonts w:ascii="Times New Roman" w:hAnsi="Times New Roman" w:cs="Times New Roman"/>
          <w:sz w:val="20"/>
          <w:szCs w:val="20"/>
        </w:rPr>
        <w:t xml:space="preserve">PMA=post-menstrual age; PNA=post-natal age; </w:t>
      </w:r>
      <w:proofErr w:type="spellStart"/>
      <w:r w:rsidRPr="008B30B9">
        <w:rPr>
          <w:rFonts w:ascii="Times New Roman" w:hAnsi="Times New Roman" w:cs="Times New Roman"/>
          <w:sz w:val="20"/>
          <w:szCs w:val="20"/>
        </w:rPr>
        <w:t>eGFR</w:t>
      </w:r>
      <w:proofErr w:type="spellEnd"/>
      <w:r w:rsidRPr="008B30B9">
        <w:rPr>
          <w:rFonts w:ascii="Times New Roman" w:hAnsi="Times New Roman" w:cs="Times New Roman"/>
          <w:sz w:val="20"/>
          <w:szCs w:val="20"/>
        </w:rPr>
        <w:t xml:space="preserve">= estimated glomerular filtration </w:t>
      </w:r>
      <w:proofErr w:type="gramStart"/>
      <w:r w:rsidRPr="008B30B9">
        <w:rPr>
          <w:rFonts w:ascii="Times New Roman" w:hAnsi="Times New Roman" w:cs="Times New Roman"/>
          <w:sz w:val="20"/>
          <w:szCs w:val="20"/>
        </w:rPr>
        <w:t>rate;</w:t>
      </w:r>
      <w:r w:rsidR="00DE1572" w:rsidRPr="008B30B9">
        <w:rPr>
          <w:rFonts w:ascii="Times New Roman" w:hAnsi="Times New Roman" w:cs="Times New Roman"/>
          <w:sz w:val="20"/>
          <w:szCs w:val="20"/>
        </w:rPr>
        <w:t>*</w:t>
      </w:r>
      <w:proofErr w:type="gramEnd"/>
      <w:r w:rsidR="00DE1572" w:rsidRPr="008B30B9">
        <w:rPr>
          <w:rFonts w:ascii="Times New Roman" w:hAnsi="Times New Roman" w:cs="Times New Roman"/>
          <w:sz w:val="20"/>
          <w:szCs w:val="20"/>
        </w:rPr>
        <w:t>n=30</w:t>
      </w:r>
      <w:r w:rsidRPr="00F607D3">
        <w:rPr>
          <w:rFonts w:ascii="Times New Roman" w:hAnsi="Times New Roman" w:cs="Times New Roman"/>
          <w:sz w:val="20"/>
          <w:szCs w:val="20"/>
        </w:rPr>
        <w:t xml:space="preserve"> provided data</w:t>
      </w:r>
      <w:r w:rsidR="00DE1572" w:rsidRPr="00741CA6">
        <w:rPr>
          <w:rFonts w:ascii="Times New Roman" w:hAnsi="Times New Roman" w:cs="Times New Roman"/>
          <w:sz w:val="20"/>
          <w:szCs w:val="20"/>
        </w:rPr>
        <w:t>; **=UK</w:t>
      </w:r>
      <w:r w:rsidRPr="00F607D3">
        <w:rPr>
          <w:rFonts w:ascii="Times New Roman" w:hAnsi="Times New Roman" w:cs="Times New Roman"/>
          <w:sz w:val="20"/>
          <w:szCs w:val="20"/>
        </w:rPr>
        <w:t xml:space="preserve"> median</w:t>
      </w:r>
      <w:r w:rsidR="00C75643" w:rsidRPr="00741CA6">
        <w:rPr>
          <w:rFonts w:ascii="Times New Roman" w:hAnsi="Times New Roman" w:cs="Times New Roman"/>
          <w:sz w:val="20"/>
          <w:szCs w:val="20"/>
        </w:rPr>
        <w:t xml:space="preserve"> </w:t>
      </w:r>
      <w:r w:rsidR="00DE1572" w:rsidRPr="00741CA6">
        <w:rPr>
          <w:rFonts w:ascii="Times New Roman" w:hAnsi="Times New Roman" w:cs="Times New Roman"/>
          <w:sz w:val="20"/>
          <w:szCs w:val="20"/>
        </w:rPr>
        <w:t>length</w:t>
      </w:r>
      <w:r w:rsidRPr="00F607D3">
        <w:rPr>
          <w:rFonts w:ascii="Times New Roman" w:hAnsi="Times New Roman" w:cs="Times New Roman"/>
          <w:sz w:val="20"/>
          <w:szCs w:val="20"/>
        </w:rPr>
        <w:t xml:space="preserve"> value</w:t>
      </w:r>
      <w:r w:rsidR="00DE1572" w:rsidRPr="00741CA6">
        <w:rPr>
          <w:rFonts w:ascii="Times New Roman" w:hAnsi="Times New Roman" w:cs="Times New Roman"/>
          <w:sz w:val="20"/>
          <w:szCs w:val="20"/>
        </w:rPr>
        <w:t xml:space="preserve"> for g</w:t>
      </w:r>
      <w:r w:rsidRPr="00F607D3">
        <w:rPr>
          <w:rFonts w:ascii="Times New Roman" w:hAnsi="Times New Roman" w:cs="Times New Roman"/>
          <w:sz w:val="20"/>
          <w:szCs w:val="20"/>
        </w:rPr>
        <w:t xml:space="preserve">ender and age; ***n=30 provided data for height, the remaining </w:t>
      </w:r>
      <w:r w:rsidR="00DE1572" w:rsidRPr="00741CA6">
        <w:rPr>
          <w:rFonts w:ascii="Times New Roman" w:hAnsi="Times New Roman" w:cs="Times New Roman"/>
          <w:sz w:val="20"/>
          <w:szCs w:val="20"/>
        </w:rPr>
        <w:t xml:space="preserve">data </w:t>
      </w:r>
      <w:r w:rsidRPr="00F607D3">
        <w:rPr>
          <w:rFonts w:ascii="Times New Roman" w:hAnsi="Times New Roman" w:cs="Times New Roman"/>
          <w:sz w:val="20"/>
          <w:szCs w:val="20"/>
        </w:rPr>
        <w:t>were</w:t>
      </w:r>
      <w:r w:rsidR="00DE1572" w:rsidRPr="00741CA6">
        <w:rPr>
          <w:rFonts w:ascii="Times New Roman" w:hAnsi="Times New Roman" w:cs="Times New Roman"/>
          <w:sz w:val="20"/>
          <w:szCs w:val="20"/>
        </w:rPr>
        <w:t xml:space="preserve"> obtained from the UK pediatric gr</w:t>
      </w:r>
      <w:r w:rsidRPr="00F607D3">
        <w:rPr>
          <w:rFonts w:ascii="Times New Roman" w:hAnsi="Times New Roman" w:cs="Times New Roman"/>
          <w:sz w:val="20"/>
          <w:szCs w:val="20"/>
        </w:rPr>
        <w:t>owth charts as the median value for height</w:t>
      </w:r>
      <w:r w:rsidR="00DE1572" w:rsidRPr="00741CA6">
        <w:rPr>
          <w:rFonts w:ascii="Times New Roman" w:hAnsi="Times New Roman" w:cs="Times New Roman"/>
          <w:sz w:val="20"/>
          <w:szCs w:val="20"/>
        </w:rPr>
        <w:t xml:space="preserve"> corresponding to the gender and age</w:t>
      </w:r>
      <w:r w:rsidRPr="00F607D3">
        <w:rPr>
          <w:rFonts w:ascii="Times New Roman" w:hAnsi="Times New Roman" w:cs="Times New Roman"/>
          <w:sz w:val="20"/>
          <w:szCs w:val="20"/>
        </w:rPr>
        <w:t xml:space="preserve">; </w:t>
      </w:r>
      <w:r w:rsidR="00DE1572" w:rsidRPr="00741CA6">
        <w:rPr>
          <w:rFonts w:ascii="Times New Roman" w:hAnsi="Times New Roman" w:cs="Times New Roman"/>
          <w:sz w:val="20"/>
          <w:szCs w:val="20"/>
        </w:rPr>
        <w:t>NA=not-applicable.</w:t>
      </w:r>
    </w:p>
    <w:p w14:paraId="3FEA34FE" w14:textId="2BDD3662" w:rsidR="00426681" w:rsidRDefault="00426681" w:rsidP="005466C1">
      <w:pPr>
        <w:rPr>
          <w:rFonts w:ascii="Times New Roman" w:hAnsi="Times New Roman" w:cs="Times New Roman"/>
          <w:b/>
          <w:sz w:val="20"/>
          <w:szCs w:val="20"/>
        </w:rPr>
      </w:pPr>
      <w:r>
        <w:rPr>
          <w:rFonts w:ascii="Times New Roman" w:hAnsi="Times New Roman" w:cs="Times New Roman"/>
          <w:b/>
          <w:sz w:val="20"/>
          <w:szCs w:val="20"/>
        </w:rPr>
        <w:br w:type="page"/>
      </w:r>
    </w:p>
    <w:p w14:paraId="1D9595F2" w14:textId="65E45B12" w:rsidR="00426681" w:rsidRPr="00741CA6" w:rsidRDefault="00426681" w:rsidP="005466C1">
      <w:pPr>
        <w:widowControl w:val="0"/>
        <w:autoSpaceDE w:val="0"/>
        <w:autoSpaceDN w:val="0"/>
        <w:adjustRightInd w:val="0"/>
        <w:spacing w:line="480" w:lineRule="auto"/>
        <w:rPr>
          <w:rFonts w:ascii="Times New Roman" w:hAnsi="Times New Roman" w:cs="Times New Roman"/>
        </w:rPr>
      </w:pPr>
      <w:r w:rsidRPr="00741CA6">
        <w:rPr>
          <w:rFonts w:ascii="Times New Roman" w:hAnsi="Times New Roman" w:cs="Times New Roman"/>
        </w:rPr>
        <w:lastRenderedPageBreak/>
        <w:t>Table 2. Model comparison and model diagnostics with and without covariates for models</w:t>
      </w:r>
      <w:r w:rsidR="004107AD" w:rsidRPr="00741CA6">
        <w:rPr>
          <w:rFonts w:ascii="Times New Roman" w:hAnsi="Times New Roman" w:cs="Times New Roman"/>
        </w:rPr>
        <w:t>.</w:t>
      </w:r>
      <w:r w:rsidR="0014092C">
        <w:rPr>
          <w:rFonts w:ascii="Times New Roman" w:hAnsi="Times New Roman" w:cs="Times New Roman"/>
        </w:rPr>
        <w:t xml:space="preserve"> </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2159"/>
        <w:gridCol w:w="2159"/>
        <w:gridCol w:w="2160"/>
      </w:tblGrid>
      <w:tr w:rsidR="00F607D3" w:rsidRPr="005466C1" w14:paraId="1728C83A" w14:textId="77777777" w:rsidTr="00F607D3">
        <w:trPr>
          <w:trHeight w:val="833"/>
          <w:jc w:val="center"/>
        </w:trPr>
        <w:tc>
          <w:tcPr>
            <w:tcW w:w="2159" w:type="dxa"/>
            <w:tcBorders>
              <w:top w:val="nil"/>
              <w:bottom w:val="single" w:sz="4" w:space="0" w:color="auto"/>
              <w:right w:val="nil"/>
            </w:tcBorders>
          </w:tcPr>
          <w:p w14:paraId="5A69D338" w14:textId="53FB0684" w:rsidR="00F607D3" w:rsidRPr="00741CA6" w:rsidRDefault="00F607D3" w:rsidP="005466C1">
            <w:pPr>
              <w:widowControl w:val="0"/>
              <w:autoSpaceDE w:val="0"/>
              <w:autoSpaceDN w:val="0"/>
              <w:adjustRightInd w:val="0"/>
              <w:spacing w:line="480" w:lineRule="auto"/>
              <w:rPr>
                <w:rFonts w:ascii="Times New Roman" w:hAnsi="Times New Roman" w:cs="Times New Roman"/>
                <w:sz w:val="20"/>
                <w:szCs w:val="20"/>
              </w:rPr>
            </w:pPr>
            <w:r w:rsidRPr="00741CA6">
              <w:rPr>
                <w:rFonts w:ascii="Times New Roman" w:hAnsi="Times New Roman" w:cs="Times New Roman"/>
                <w:sz w:val="20"/>
                <w:szCs w:val="20"/>
              </w:rPr>
              <w:t>Model</w:t>
            </w:r>
          </w:p>
        </w:tc>
        <w:tc>
          <w:tcPr>
            <w:tcW w:w="2159" w:type="dxa"/>
            <w:tcBorders>
              <w:top w:val="nil"/>
              <w:left w:val="nil"/>
              <w:bottom w:val="single" w:sz="4" w:space="0" w:color="auto"/>
              <w:right w:val="nil"/>
            </w:tcBorders>
          </w:tcPr>
          <w:p w14:paraId="1E685448" w14:textId="2BBCF49F" w:rsidR="00F607D3" w:rsidRPr="00741CA6" w:rsidRDefault="00F607D3" w:rsidP="00F607D3">
            <w:pPr>
              <w:widowControl w:val="0"/>
              <w:autoSpaceDE w:val="0"/>
              <w:autoSpaceDN w:val="0"/>
              <w:adjustRightInd w:val="0"/>
              <w:spacing w:line="480" w:lineRule="auto"/>
              <w:rPr>
                <w:rFonts w:ascii="Times New Roman" w:hAnsi="Times New Roman" w:cs="Times New Roman"/>
                <w:sz w:val="20"/>
                <w:szCs w:val="20"/>
              </w:rPr>
            </w:pPr>
            <w:r w:rsidRPr="00741CA6">
              <w:rPr>
                <w:rFonts w:ascii="Times New Roman" w:hAnsi="Times New Roman" w:cs="Times New Roman"/>
                <w:sz w:val="20"/>
                <w:szCs w:val="20"/>
              </w:rPr>
              <w:t>Standard</w:t>
            </w:r>
          </w:p>
          <w:p w14:paraId="28D901EB" w14:textId="2376121E" w:rsidR="00F607D3" w:rsidRPr="00F607D3" w:rsidRDefault="00F607D3" w:rsidP="00F607D3">
            <w:pPr>
              <w:widowControl w:val="0"/>
              <w:autoSpaceDE w:val="0"/>
              <w:autoSpaceDN w:val="0"/>
              <w:adjustRightInd w:val="0"/>
              <w:spacing w:line="480" w:lineRule="auto"/>
              <w:rPr>
                <w:rFonts w:ascii="Times New Roman" w:hAnsi="Times New Roman" w:cs="Times New Roman"/>
                <w:sz w:val="16"/>
                <w:szCs w:val="16"/>
              </w:rPr>
            </w:pPr>
            <w:r w:rsidRPr="00741CA6">
              <w:rPr>
                <w:rFonts w:ascii="Times New Roman" w:hAnsi="Times New Roman" w:cs="Times New Roman"/>
                <w:sz w:val="16"/>
                <w:szCs w:val="16"/>
              </w:rPr>
              <w:t>(without covariates)</w:t>
            </w:r>
          </w:p>
        </w:tc>
        <w:tc>
          <w:tcPr>
            <w:tcW w:w="2160" w:type="dxa"/>
            <w:tcBorders>
              <w:top w:val="nil"/>
              <w:left w:val="nil"/>
              <w:bottom w:val="single" w:sz="4" w:space="0" w:color="auto"/>
            </w:tcBorders>
          </w:tcPr>
          <w:p w14:paraId="1014AF6C" w14:textId="4EE2CD5E" w:rsidR="00F607D3" w:rsidRPr="00F607D3" w:rsidRDefault="00F607D3" w:rsidP="00F607D3">
            <w:pPr>
              <w:widowControl w:val="0"/>
              <w:autoSpaceDE w:val="0"/>
              <w:autoSpaceDN w:val="0"/>
              <w:adjustRightInd w:val="0"/>
              <w:spacing w:line="480" w:lineRule="auto"/>
              <w:rPr>
                <w:rFonts w:ascii="Times New Roman" w:hAnsi="Times New Roman" w:cs="Times New Roman"/>
                <w:sz w:val="20"/>
                <w:szCs w:val="20"/>
              </w:rPr>
            </w:pPr>
            <w:r w:rsidRPr="00F607D3">
              <w:rPr>
                <w:rFonts w:ascii="Times New Roman" w:hAnsi="Times New Roman" w:cs="Times New Roman"/>
                <w:sz w:val="20"/>
                <w:szCs w:val="20"/>
              </w:rPr>
              <w:t>Final model</w:t>
            </w:r>
          </w:p>
          <w:p w14:paraId="24E242C8" w14:textId="0943CD66" w:rsidR="00F607D3" w:rsidRPr="00741CA6" w:rsidRDefault="00F607D3" w:rsidP="00741CA6">
            <w:pPr>
              <w:widowControl w:val="0"/>
              <w:autoSpaceDE w:val="0"/>
              <w:autoSpaceDN w:val="0"/>
              <w:adjustRightInd w:val="0"/>
              <w:spacing w:line="480" w:lineRule="auto"/>
              <w:rPr>
                <w:rFonts w:ascii="Times New Roman" w:hAnsi="Times New Roman" w:cs="Times New Roman"/>
                <w:sz w:val="16"/>
                <w:szCs w:val="16"/>
              </w:rPr>
            </w:pPr>
            <w:r w:rsidRPr="00F607D3">
              <w:rPr>
                <w:rFonts w:ascii="Times New Roman" w:hAnsi="Times New Roman" w:cs="Times New Roman"/>
                <w:sz w:val="16"/>
                <w:szCs w:val="16"/>
              </w:rPr>
              <w:t>(</w:t>
            </w:r>
            <w:proofErr w:type="spellStart"/>
            <w:r w:rsidRPr="00F607D3">
              <w:rPr>
                <w:rFonts w:ascii="Times New Roman" w:hAnsi="Times New Roman" w:cs="Times New Roman"/>
                <w:sz w:val="16"/>
                <w:szCs w:val="16"/>
              </w:rPr>
              <w:t>allometric</w:t>
            </w:r>
            <w:proofErr w:type="spellEnd"/>
            <w:r w:rsidRPr="00F607D3">
              <w:rPr>
                <w:rFonts w:ascii="Times New Roman" w:hAnsi="Times New Roman" w:cs="Times New Roman"/>
                <w:sz w:val="16"/>
                <w:szCs w:val="16"/>
              </w:rPr>
              <w:t xml:space="preserve"> without age)</w:t>
            </w:r>
          </w:p>
        </w:tc>
      </w:tr>
      <w:tr w:rsidR="00F607D3" w:rsidRPr="005466C1" w14:paraId="62DBA50F" w14:textId="77777777" w:rsidTr="00F607D3">
        <w:trPr>
          <w:jc w:val="center"/>
        </w:trPr>
        <w:tc>
          <w:tcPr>
            <w:tcW w:w="2159" w:type="dxa"/>
            <w:tcBorders>
              <w:top w:val="single" w:sz="4" w:space="0" w:color="auto"/>
              <w:bottom w:val="nil"/>
              <w:right w:val="nil"/>
            </w:tcBorders>
          </w:tcPr>
          <w:p w14:paraId="12961D2F" w14:textId="0098E837" w:rsidR="00F607D3" w:rsidRPr="00741CA6" w:rsidRDefault="00F607D3" w:rsidP="005A5EE9">
            <w:pPr>
              <w:widowControl w:val="0"/>
              <w:autoSpaceDE w:val="0"/>
              <w:autoSpaceDN w:val="0"/>
              <w:adjustRightInd w:val="0"/>
              <w:spacing w:line="480" w:lineRule="auto"/>
              <w:rPr>
                <w:rFonts w:ascii="Times New Roman" w:hAnsi="Times New Roman" w:cs="Times New Roman"/>
                <w:sz w:val="20"/>
                <w:szCs w:val="20"/>
              </w:rPr>
            </w:pPr>
            <w:r w:rsidRPr="00741CA6">
              <w:rPr>
                <w:rFonts w:ascii="Times New Roman" w:hAnsi="Times New Roman" w:cs="Times New Roman"/>
                <w:sz w:val="20"/>
                <w:szCs w:val="20"/>
              </w:rPr>
              <w:t>N. of variables</w:t>
            </w:r>
          </w:p>
        </w:tc>
        <w:tc>
          <w:tcPr>
            <w:tcW w:w="2159" w:type="dxa"/>
            <w:tcBorders>
              <w:top w:val="single" w:sz="4" w:space="0" w:color="auto"/>
              <w:left w:val="nil"/>
              <w:bottom w:val="nil"/>
              <w:right w:val="nil"/>
            </w:tcBorders>
          </w:tcPr>
          <w:p w14:paraId="23EA4BD3" w14:textId="7D7A3D4D" w:rsidR="00F607D3" w:rsidRPr="005466C1" w:rsidRDefault="00F607D3"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5466C1">
              <w:rPr>
                <w:rFonts w:ascii="Times New Roman" w:hAnsi="Times New Roman" w:cs="Times New Roman"/>
                <w:sz w:val="20"/>
                <w:szCs w:val="20"/>
              </w:rPr>
              <w:t>4</w:t>
            </w:r>
          </w:p>
        </w:tc>
        <w:tc>
          <w:tcPr>
            <w:tcW w:w="2160" w:type="dxa"/>
            <w:tcBorders>
              <w:top w:val="single" w:sz="4" w:space="0" w:color="auto"/>
              <w:left w:val="nil"/>
              <w:bottom w:val="nil"/>
            </w:tcBorders>
          </w:tcPr>
          <w:p w14:paraId="307A675A" w14:textId="2280BB87" w:rsidR="00F607D3" w:rsidRPr="00741CA6" w:rsidRDefault="00F607D3" w:rsidP="00741CA6">
            <w:pPr>
              <w:widowControl w:val="0"/>
              <w:autoSpaceDE w:val="0"/>
              <w:autoSpaceDN w:val="0"/>
              <w:adjustRightInd w:val="0"/>
              <w:spacing w:line="480" w:lineRule="auto"/>
              <w:rPr>
                <w:rFonts w:ascii="Times New Roman" w:hAnsi="Times New Roman" w:cs="Times New Roman"/>
                <w:sz w:val="20"/>
                <w:szCs w:val="20"/>
              </w:rPr>
            </w:pPr>
            <w:r w:rsidRPr="005466C1">
              <w:rPr>
                <w:rFonts w:ascii="Times New Roman" w:hAnsi="Times New Roman" w:cs="Times New Roman"/>
                <w:sz w:val="20"/>
                <w:szCs w:val="20"/>
              </w:rPr>
              <w:t>7</w:t>
            </w:r>
          </w:p>
        </w:tc>
      </w:tr>
      <w:tr w:rsidR="00F607D3" w:rsidRPr="005466C1" w14:paraId="21416C77" w14:textId="77777777" w:rsidTr="00F607D3">
        <w:trPr>
          <w:jc w:val="center"/>
        </w:trPr>
        <w:tc>
          <w:tcPr>
            <w:tcW w:w="2159" w:type="dxa"/>
            <w:tcBorders>
              <w:top w:val="nil"/>
              <w:bottom w:val="nil"/>
              <w:right w:val="nil"/>
            </w:tcBorders>
          </w:tcPr>
          <w:p w14:paraId="1F582796" w14:textId="5702AA7A" w:rsidR="00F607D3" w:rsidRPr="00741CA6" w:rsidRDefault="00F607D3" w:rsidP="005A5EE9">
            <w:pPr>
              <w:widowControl w:val="0"/>
              <w:autoSpaceDE w:val="0"/>
              <w:autoSpaceDN w:val="0"/>
              <w:adjustRightInd w:val="0"/>
              <w:spacing w:line="480" w:lineRule="auto"/>
              <w:rPr>
                <w:rFonts w:ascii="Times New Roman" w:hAnsi="Times New Roman" w:cs="Times New Roman"/>
                <w:sz w:val="20"/>
                <w:szCs w:val="20"/>
              </w:rPr>
            </w:pPr>
            <w:r w:rsidRPr="00741CA6">
              <w:rPr>
                <w:rFonts w:ascii="Times New Roman" w:hAnsi="Times New Roman" w:cs="Times New Roman"/>
                <w:sz w:val="20"/>
                <w:szCs w:val="20"/>
              </w:rPr>
              <w:t>Log-likelihood value</w:t>
            </w:r>
          </w:p>
        </w:tc>
        <w:tc>
          <w:tcPr>
            <w:tcW w:w="2159" w:type="dxa"/>
            <w:tcBorders>
              <w:top w:val="nil"/>
              <w:left w:val="nil"/>
              <w:bottom w:val="nil"/>
              <w:right w:val="nil"/>
            </w:tcBorders>
          </w:tcPr>
          <w:p w14:paraId="13F377FE" w14:textId="7A70AA57" w:rsidR="00F607D3" w:rsidRPr="005466C1" w:rsidRDefault="00F607D3"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5466C1">
              <w:rPr>
                <w:rFonts w:ascii="Times New Roman" w:hAnsi="Times New Roman" w:cs="Times New Roman"/>
                <w:sz w:val="20"/>
                <w:szCs w:val="20"/>
              </w:rPr>
              <w:t>2523</w:t>
            </w:r>
          </w:p>
        </w:tc>
        <w:tc>
          <w:tcPr>
            <w:tcW w:w="2160" w:type="dxa"/>
            <w:tcBorders>
              <w:top w:val="nil"/>
              <w:left w:val="nil"/>
              <w:bottom w:val="nil"/>
            </w:tcBorders>
          </w:tcPr>
          <w:p w14:paraId="377BBE54" w14:textId="7E72342C" w:rsidR="00F607D3" w:rsidRPr="00741CA6" w:rsidRDefault="00F607D3" w:rsidP="00741CA6">
            <w:pPr>
              <w:widowControl w:val="0"/>
              <w:autoSpaceDE w:val="0"/>
              <w:autoSpaceDN w:val="0"/>
              <w:adjustRightInd w:val="0"/>
              <w:spacing w:line="480" w:lineRule="auto"/>
              <w:rPr>
                <w:rFonts w:ascii="Times New Roman" w:hAnsi="Times New Roman" w:cs="Times New Roman"/>
                <w:sz w:val="20"/>
                <w:szCs w:val="20"/>
              </w:rPr>
            </w:pPr>
            <w:r w:rsidRPr="005466C1">
              <w:rPr>
                <w:rFonts w:ascii="Times New Roman" w:hAnsi="Times New Roman" w:cs="Times New Roman"/>
                <w:sz w:val="20"/>
                <w:szCs w:val="20"/>
              </w:rPr>
              <w:t>2360</w:t>
            </w:r>
          </w:p>
        </w:tc>
      </w:tr>
      <w:tr w:rsidR="00F607D3" w:rsidRPr="005466C1" w14:paraId="7200DB99" w14:textId="77777777" w:rsidTr="00F607D3">
        <w:trPr>
          <w:jc w:val="center"/>
        </w:trPr>
        <w:tc>
          <w:tcPr>
            <w:tcW w:w="2159" w:type="dxa"/>
            <w:tcBorders>
              <w:top w:val="nil"/>
              <w:bottom w:val="nil"/>
              <w:right w:val="nil"/>
            </w:tcBorders>
          </w:tcPr>
          <w:p w14:paraId="65EAE3CD" w14:textId="594EB75D" w:rsidR="00F607D3" w:rsidRPr="00741CA6" w:rsidRDefault="00F607D3" w:rsidP="005A5EE9">
            <w:pPr>
              <w:widowControl w:val="0"/>
              <w:autoSpaceDE w:val="0"/>
              <w:autoSpaceDN w:val="0"/>
              <w:adjustRightInd w:val="0"/>
              <w:spacing w:line="480" w:lineRule="auto"/>
              <w:rPr>
                <w:rFonts w:ascii="Times New Roman" w:hAnsi="Times New Roman" w:cs="Times New Roman"/>
                <w:sz w:val="20"/>
                <w:szCs w:val="20"/>
              </w:rPr>
            </w:pPr>
            <w:r w:rsidRPr="00741CA6">
              <w:rPr>
                <w:rFonts w:ascii="Times New Roman" w:hAnsi="Times New Roman" w:cs="Times New Roman"/>
                <w:sz w:val="20"/>
                <w:szCs w:val="20"/>
              </w:rPr>
              <w:t>AIC</w:t>
            </w:r>
          </w:p>
        </w:tc>
        <w:tc>
          <w:tcPr>
            <w:tcW w:w="2159" w:type="dxa"/>
            <w:tcBorders>
              <w:top w:val="nil"/>
              <w:left w:val="nil"/>
              <w:bottom w:val="nil"/>
              <w:right w:val="nil"/>
            </w:tcBorders>
          </w:tcPr>
          <w:p w14:paraId="7F320FC1" w14:textId="49A9CA3A" w:rsidR="00F607D3" w:rsidRPr="005466C1" w:rsidRDefault="00F607D3"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5466C1">
              <w:rPr>
                <w:rFonts w:ascii="Times New Roman" w:hAnsi="Times New Roman" w:cs="Times New Roman"/>
                <w:sz w:val="20"/>
                <w:szCs w:val="20"/>
              </w:rPr>
              <w:t>2533</w:t>
            </w:r>
          </w:p>
        </w:tc>
        <w:tc>
          <w:tcPr>
            <w:tcW w:w="2160" w:type="dxa"/>
            <w:tcBorders>
              <w:top w:val="nil"/>
              <w:left w:val="nil"/>
              <w:bottom w:val="nil"/>
            </w:tcBorders>
          </w:tcPr>
          <w:p w14:paraId="33557F49" w14:textId="41DBA17D" w:rsidR="00F607D3" w:rsidRPr="00741CA6" w:rsidRDefault="00F607D3" w:rsidP="00741CA6">
            <w:pPr>
              <w:widowControl w:val="0"/>
              <w:autoSpaceDE w:val="0"/>
              <w:autoSpaceDN w:val="0"/>
              <w:adjustRightInd w:val="0"/>
              <w:spacing w:line="480" w:lineRule="auto"/>
              <w:rPr>
                <w:rFonts w:ascii="Times New Roman" w:hAnsi="Times New Roman" w:cs="Times New Roman"/>
                <w:sz w:val="20"/>
                <w:szCs w:val="20"/>
              </w:rPr>
            </w:pPr>
            <w:r w:rsidRPr="005466C1">
              <w:rPr>
                <w:rFonts w:ascii="Times New Roman" w:hAnsi="Times New Roman" w:cs="Times New Roman"/>
                <w:sz w:val="20"/>
                <w:szCs w:val="20"/>
              </w:rPr>
              <w:t>2376</w:t>
            </w:r>
          </w:p>
        </w:tc>
      </w:tr>
      <w:tr w:rsidR="00F607D3" w:rsidRPr="005466C1" w14:paraId="43AFA28E" w14:textId="77777777" w:rsidTr="00F607D3">
        <w:trPr>
          <w:jc w:val="center"/>
        </w:trPr>
        <w:tc>
          <w:tcPr>
            <w:tcW w:w="2159" w:type="dxa"/>
            <w:tcBorders>
              <w:top w:val="nil"/>
              <w:bottom w:val="nil"/>
              <w:right w:val="nil"/>
            </w:tcBorders>
          </w:tcPr>
          <w:p w14:paraId="25F572BF" w14:textId="3779B6F9" w:rsidR="00F607D3" w:rsidRPr="00741CA6" w:rsidRDefault="00F607D3" w:rsidP="005A5EE9">
            <w:pPr>
              <w:widowControl w:val="0"/>
              <w:autoSpaceDE w:val="0"/>
              <w:autoSpaceDN w:val="0"/>
              <w:adjustRightInd w:val="0"/>
              <w:spacing w:line="480" w:lineRule="auto"/>
              <w:rPr>
                <w:rFonts w:ascii="Times New Roman" w:hAnsi="Times New Roman" w:cs="Times New Roman"/>
                <w:sz w:val="20"/>
                <w:szCs w:val="20"/>
              </w:rPr>
            </w:pPr>
            <w:r w:rsidRPr="00741CA6">
              <w:rPr>
                <w:rFonts w:ascii="Times New Roman" w:hAnsi="Times New Roman" w:cs="Times New Roman"/>
                <w:sz w:val="20"/>
                <w:szCs w:val="20"/>
              </w:rPr>
              <w:t>Pop/post Bias</w:t>
            </w:r>
          </w:p>
        </w:tc>
        <w:tc>
          <w:tcPr>
            <w:tcW w:w="2159" w:type="dxa"/>
            <w:tcBorders>
              <w:top w:val="nil"/>
              <w:left w:val="nil"/>
              <w:bottom w:val="nil"/>
              <w:right w:val="nil"/>
            </w:tcBorders>
          </w:tcPr>
          <w:p w14:paraId="543FCE18" w14:textId="4470AC02" w:rsidR="00F607D3" w:rsidRPr="005466C1" w:rsidRDefault="00F607D3"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5466C1">
              <w:rPr>
                <w:rFonts w:ascii="Times New Roman" w:hAnsi="Times New Roman" w:cs="Times New Roman"/>
                <w:sz w:val="20"/>
                <w:szCs w:val="20"/>
              </w:rPr>
              <w:t>3.8/-0.02</w:t>
            </w:r>
          </w:p>
        </w:tc>
        <w:tc>
          <w:tcPr>
            <w:tcW w:w="2160" w:type="dxa"/>
            <w:tcBorders>
              <w:top w:val="nil"/>
              <w:left w:val="nil"/>
              <w:bottom w:val="nil"/>
            </w:tcBorders>
          </w:tcPr>
          <w:p w14:paraId="5775223F" w14:textId="566C75A8" w:rsidR="00F607D3" w:rsidRPr="00741CA6" w:rsidRDefault="00F607D3" w:rsidP="00741CA6">
            <w:pPr>
              <w:widowControl w:val="0"/>
              <w:autoSpaceDE w:val="0"/>
              <w:autoSpaceDN w:val="0"/>
              <w:adjustRightInd w:val="0"/>
              <w:spacing w:line="480" w:lineRule="auto"/>
              <w:rPr>
                <w:rFonts w:ascii="Times New Roman" w:hAnsi="Times New Roman" w:cs="Times New Roman"/>
                <w:sz w:val="20"/>
                <w:szCs w:val="20"/>
              </w:rPr>
            </w:pPr>
            <w:r w:rsidRPr="005466C1">
              <w:rPr>
                <w:rFonts w:ascii="Times New Roman" w:hAnsi="Times New Roman" w:cs="Times New Roman"/>
                <w:sz w:val="20"/>
                <w:szCs w:val="20"/>
              </w:rPr>
              <w:t>1.1/-0.15</w:t>
            </w:r>
          </w:p>
        </w:tc>
      </w:tr>
      <w:tr w:rsidR="00F607D3" w:rsidRPr="005466C1" w14:paraId="00C67911" w14:textId="77777777" w:rsidTr="00F607D3">
        <w:trPr>
          <w:jc w:val="center"/>
        </w:trPr>
        <w:tc>
          <w:tcPr>
            <w:tcW w:w="2159" w:type="dxa"/>
            <w:tcBorders>
              <w:top w:val="nil"/>
              <w:bottom w:val="nil"/>
              <w:right w:val="nil"/>
            </w:tcBorders>
          </w:tcPr>
          <w:p w14:paraId="43FBE8FE" w14:textId="421C3A9F" w:rsidR="00F607D3" w:rsidRPr="00741CA6" w:rsidRDefault="00F607D3" w:rsidP="005A5EE9">
            <w:pPr>
              <w:widowControl w:val="0"/>
              <w:autoSpaceDE w:val="0"/>
              <w:autoSpaceDN w:val="0"/>
              <w:adjustRightInd w:val="0"/>
              <w:spacing w:line="480" w:lineRule="auto"/>
              <w:rPr>
                <w:rFonts w:ascii="Times New Roman" w:hAnsi="Times New Roman" w:cs="Times New Roman"/>
                <w:sz w:val="20"/>
                <w:szCs w:val="20"/>
              </w:rPr>
            </w:pPr>
            <w:r w:rsidRPr="00741CA6">
              <w:rPr>
                <w:rFonts w:ascii="Times New Roman" w:hAnsi="Times New Roman" w:cs="Times New Roman"/>
                <w:sz w:val="20"/>
                <w:szCs w:val="20"/>
              </w:rPr>
              <w:t>Pop/post Imprecision</w:t>
            </w:r>
          </w:p>
        </w:tc>
        <w:tc>
          <w:tcPr>
            <w:tcW w:w="2159" w:type="dxa"/>
            <w:tcBorders>
              <w:top w:val="nil"/>
              <w:left w:val="nil"/>
              <w:bottom w:val="nil"/>
              <w:right w:val="nil"/>
            </w:tcBorders>
          </w:tcPr>
          <w:p w14:paraId="32263616" w14:textId="5AF930C4" w:rsidR="00F607D3" w:rsidRPr="005466C1" w:rsidRDefault="00F607D3"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5466C1">
              <w:rPr>
                <w:rFonts w:ascii="Times New Roman" w:hAnsi="Times New Roman" w:cs="Times New Roman"/>
                <w:sz w:val="20"/>
                <w:szCs w:val="20"/>
              </w:rPr>
              <w:t>72.2/1.5</w:t>
            </w:r>
          </w:p>
        </w:tc>
        <w:tc>
          <w:tcPr>
            <w:tcW w:w="2160" w:type="dxa"/>
            <w:tcBorders>
              <w:top w:val="nil"/>
              <w:left w:val="nil"/>
              <w:bottom w:val="nil"/>
            </w:tcBorders>
          </w:tcPr>
          <w:p w14:paraId="32083ADA" w14:textId="5892A2ED" w:rsidR="00F607D3" w:rsidRPr="00741CA6" w:rsidRDefault="00F607D3" w:rsidP="00741CA6">
            <w:pPr>
              <w:widowControl w:val="0"/>
              <w:autoSpaceDE w:val="0"/>
              <w:autoSpaceDN w:val="0"/>
              <w:adjustRightInd w:val="0"/>
              <w:spacing w:line="480" w:lineRule="auto"/>
              <w:rPr>
                <w:rFonts w:ascii="Times New Roman" w:hAnsi="Times New Roman" w:cs="Times New Roman"/>
                <w:sz w:val="20"/>
                <w:szCs w:val="20"/>
              </w:rPr>
            </w:pPr>
            <w:r w:rsidRPr="005466C1">
              <w:rPr>
                <w:rFonts w:ascii="Times New Roman" w:hAnsi="Times New Roman" w:cs="Times New Roman"/>
                <w:sz w:val="20"/>
                <w:szCs w:val="20"/>
              </w:rPr>
              <w:t>12.3/0.9</w:t>
            </w:r>
          </w:p>
        </w:tc>
      </w:tr>
      <w:tr w:rsidR="00F607D3" w:rsidRPr="005466C1" w14:paraId="258B2309" w14:textId="77777777" w:rsidTr="00F607D3">
        <w:trPr>
          <w:jc w:val="center"/>
        </w:trPr>
        <w:tc>
          <w:tcPr>
            <w:tcW w:w="2159" w:type="dxa"/>
            <w:tcBorders>
              <w:top w:val="nil"/>
              <w:bottom w:val="nil"/>
              <w:right w:val="nil"/>
            </w:tcBorders>
          </w:tcPr>
          <w:p w14:paraId="591F39AC" w14:textId="12ADCF85" w:rsidR="00F607D3" w:rsidRPr="00741CA6" w:rsidRDefault="00F607D3" w:rsidP="005A5EE9">
            <w:pPr>
              <w:widowControl w:val="0"/>
              <w:autoSpaceDE w:val="0"/>
              <w:autoSpaceDN w:val="0"/>
              <w:adjustRightInd w:val="0"/>
              <w:spacing w:line="480" w:lineRule="auto"/>
              <w:rPr>
                <w:rFonts w:ascii="Times New Roman" w:hAnsi="Times New Roman" w:cs="Times New Roman"/>
                <w:sz w:val="20"/>
                <w:szCs w:val="20"/>
                <w:vertAlign w:val="superscript"/>
              </w:rPr>
            </w:pPr>
            <w:r w:rsidRPr="00741CA6">
              <w:rPr>
                <w:rFonts w:ascii="Times New Roman" w:hAnsi="Times New Roman" w:cs="Times New Roman"/>
                <w:sz w:val="20"/>
                <w:szCs w:val="20"/>
              </w:rPr>
              <w:t>Pop r</w:t>
            </w:r>
            <w:r w:rsidRPr="00741CA6">
              <w:rPr>
                <w:rFonts w:ascii="Times New Roman" w:hAnsi="Times New Roman" w:cs="Times New Roman"/>
                <w:sz w:val="20"/>
                <w:szCs w:val="20"/>
                <w:vertAlign w:val="superscript"/>
              </w:rPr>
              <w:t>2</w:t>
            </w:r>
          </w:p>
        </w:tc>
        <w:tc>
          <w:tcPr>
            <w:tcW w:w="2159" w:type="dxa"/>
            <w:tcBorders>
              <w:top w:val="nil"/>
              <w:left w:val="nil"/>
              <w:bottom w:val="nil"/>
              <w:right w:val="nil"/>
            </w:tcBorders>
          </w:tcPr>
          <w:p w14:paraId="1DF453AE" w14:textId="0D692802" w:rsidR="00F607D3" w:rsidRPr="005466C1" w:rsidRDefault="00F607D3"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5466C1">
              <w:rPr>
                <w:rFonts w:ascii="Times New Roman" w:hAnsi="Times New Roman" w:cs="Times New Roman"/>
                <w:sz w:val="20"/>
                <w:szCs w:val="20"/>
              </w:rPr>
              <w:t>0.12</w:t>
            </w:r>
          </w:p>
        </w:tc>
        <w:tc>
          <w:tcPr>
            <w:tcW w:w="2160" w:type="dxa"/>
            <w:tcBorders>
              <w:top w:val="nil"/>
              <w:left w:val="nil"/>
              <w:bottom w:val="nil"/>
            </w:tcBorders>
          </w:tcPr>
          <w:p w14:paraId="0D4184AA" w14:textId="7531986F" w:rsidR="00F607D3" w:rsidRPr="00741CA6" w:rsidRDefault="00F607D3" w:rsidP="00741CA6">
            <w:pPr>
              <w:widowControl w:val="0"/>
              <w:autoSpaceDE w:val="0"/>
              <w:autoSpaceDN w:val="0"/>
              <w:adjustRightInd w:val="0"/>
              <w:spacing w:line="480" w:lineRule="auto"/>
              <w:rPr>
                <w:rFonts w:ascii="Times New Roman" w:hAnsi="Times New Roman" w:cs="Times New Roman"/>
                <w:sz w:val="20"/>
                <w:szCs w:val="20"/>
              </w:rPr>
            </w:pPr>
            <w:r w:rsidRPr="005466C1">
              <w:rPr>
                <w:rFonts w:ascii="Times New Roman" w:hAnsi="Times New Roman" w:cs="Times New Roman"/>
                <w:sz w:val="20"/>
                <w:szCs w:val="20"/>
              </w:rPr>
              <w:t>0.9</w:t>
            </w:r>
          </w:p>
        </w:tc>
      </w:tr>
      <w:tr w:rsidR="00F607D3" w:rsidRPr="005466C1" w14:paraId="67F00F4E" w14:textId="77777777" w:rsidTr="00F607D3">
        <w:trPr>
          <w:jc w:val="center"/>
        </w:trPr>
        <w:tc>
          <w:tcPr>
            <w:tcW w:w="2159" w:type="dxa"/>
            <w:tcBorders>
              <w:top w:val="nil"/>
              <w:right w:val="nil"/>
            </w:tcBorders>
          </w:tcPr>
          <w:p w14:paraId="65CBC95D" w14:textId="7D134976" w:rsidR="00F607D3" w:rsidRPr="00741CA6" w:rsidRDefault="00F607D3" w:rsidP="005A5EE9">
            <w:pPr>
              <w:widowControl w:val="0"/>
              <w:autoSpaceDE w:val="0"/>
              <w:autoSpaceDN w:val="0"/>
              <w:adjustRightInd w:val="0"/>
              <w:spacing w:line="480" w:lineRule="auto"/>
              <w:rPr>
                <w:rFonts w:ascii="Times New Roman" w:hAnsi="Times New Roman" w:cs="Times New Roman"/>
                <w:sz w:val="20"/>
                <w:szCs w:val="20"/>
                <w:vertAlign w:val="superscript"/>
              </w:rPr>
            </w:pPr>
            <w:r w:rsidRPr="00741CA6">
              <w:rPr>
                <w:rFonts w:ascii="Times New Roman" w:hAnsi="Times New Roman" w:cs="Times New Roman"/>
                <w:sz w:val="20"/>
                <w:szCs w:val="20"/>
              </w:rPr>
              <w:t>Post r</w:t>
            </w:r>
            <w:r w:rsidRPr="00741CA6">
              <w:rPr>
                <w:rFonts w:ascii="Times New Roman" w:hAnsi="Times New Roman" w:cs="Times New Roman"/>
                <w:sz w:val="20"/>
                <w:szCs w:val="20"/>
                <w:vertAlign w:val="superscript"/>
              </w:rPr>
              <w:t>2</w:t>
            </w:r>
          </w:p>
        </w:tc>
        <w:tc>
          <w:tcPr>
            <w:tcW w:w="2159" w:type="dxa"/>
            <w:tcBorders>
              <w:top w:val="nil"/>
              <w:left w:val="nil"/>
              <w:right w:val="nil"/>
            </w:tcBorders>
          </w:tcPr>
          <w:p w14:paraId="55F8DE5C" w14:textId="1E883667" w:rsidR="00F607D3" w:rsidRPr="005466C1" w:rsidRDefault="00F607D3"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5466C1">
              <w:rPr>
                <w:rFonts w:ascii="Times New Roman" w:hAnsi="Times New Roman" w:cs="Times New Roman"/>
                <w:sz w:val="20"/>
                <w:szCs w:val="20"/>
              </w:rPr>
              <w:t>0.8</w:t>
            </w:r>
          </w:p>
        </w:tc>
        <w:tc>
          <w:tcPr>
            <w:tcW w:w="2160" w:type="dxa"/>
            <w:tcBorders>
              <w:top w:val="nil"/>
              <w:left w:val="nil"/>
            </w:tcBorders>
          </w:tcPr>
          <w:p w14:paraId="45DDC58A" w14:textId="4C0CDAF6" w:rsidR="00F607D3" w:rsidRPr="00741CA6" w:rsidRDefault="00F607D3" w:rsidP="00741CA6">
            <w:pPr>
              <w:widowControl w:val="0"/>
              <w:autoSpaceDE w:val="0"/>
              <w:autoSpaceDN w:val="0"/>
              <w:adjustRightInd w:val="0"/>
              <w:spacing w:line="480" w:lineRule="auto"/>
              <w:rPr>
                <w:rFonts w:ascii="Times New Roman" w:hAnsi="Times New Roman" w:cs="Times New Roman"/>
                <w:sz w:val="20"/>
                <w:szCs w:val="20"/>
              </w:rPr>
            </w:pPr>
            <w:r w:rsidRPr="005466C1">
              <w:rPr>
                <w:rFonts w:ascii="Times New Roman" w:hAnsi="Times New Roman" w:cs="Times New Roman"/>
                <w:sz w:val="20"/>
                <w:szCs w:val="20"/>
              </w:rPr>
              <w:t>0.92</w:t>
            </w:r>
          </w:p>
        </w:tc>
      </w:tr>
    </w:tbl>
    <w:p w14:paraId="026078FC" w14:textId="77777777" w:rsidR="005466C1" w:rsidRDefault="005466C1" w:rsidP="005A5EE9">
      <w:pPr>
        <w:widowControl w:val="0"/>
        <w:autoSpaceDE w:val="0"/>
        <w:autoSpaceDN w:val="0"/>
        <w:adjustRightInd w:val="0"/>
        <w:spacing w:line="480" w:lineRule="auto"/>
        <w:rPr>
          <w:rFonts w:ascii="Times New Roman" w:hAnsi="Times New Roman" w:cs="Times New Roman"/>
          <w:sz w:val="20"/>
          <w:szCs w:val="20"/>
        </w:rPr>
      </w:pPr>
    </w:p>
    <w:p w14:paraId="0EE61B0B" w14:textId="1EB11C4C" w:rsidR="000835E4" w:rsidRPr="00F607D3" w:rsidRDefault="0081232D" w:rsidP="003675EB">
      <w:pPr>
        <w:widowControl w:val="0"/>
        <w:autoSpaceDE w:val="0"/>
        <w:autoSpaceDN w:val="0"/>
        <w:adjustRightInd w:val="0"/>
        <w:spacing w:line="480" w:lineRule="auto"/>
        <w:jc w:val="both"/>
        <w:rPr>
          <w:rFonts w:ascii="Times New Roman" w:hAnsi="Times New Roman" w:cs="Times New Roman"/>
          <w:sz w:val="20"/>
          <w:szCs w:val="20"/>
        </w:rPr>
      </w:pPr>
      <w:proofErr w:type="spellStart"/>
      <w:proofErr w:type="gramStart"/>
      <w:r w:rsidRPr="00F607D3">
        <w:rPr>
          <w:rFonts w:ascii="Times New Roman" w:hAnsi="Times New Roman" w:cs="Times New Roman"/>
          <w:sz w:val="20"/>
          <w:szCs w:val="20"/>
        </w:rPr>
        <w:t>AIC</w:t>
      </w:r>
      <w:r w:rsidR="005466C1" w:rsidRPr="00F607D3">
        <w:rPr>
          <w:rFonts w:ascii="Times New Roman" w:hAnsi="Times New Roman" w:cs="Times New Roman"/>
          <w:sz w:val="20"/>
          <w:szCs w:val="20"/>
        </w:rPr>
        <w:t>:</w:t>
      </w:r>
      <w:r w:rsidRPr="00F607D3">
        <w:rPr>
          <w:rFonts w:ascii="Times New Roman" w:hAnsi="Times New Roman" w:cs="Times New Roman"/>
          <w:sz w:val="20"/>
          <w:szCs w:val="20"/>
        </w:rPr>
        <w:t>Akaike</w:t>
      </w:r>
      <w:proofErr w:type="spellEnd"/>
      <w:proofErr w:type="gramEnd"/>
      <w:r w:rsidRPr="00F607D3">
        <w:rPr>
          <w:rFonts w:ascii="Times New Roman" w:hAnsi="Times New Roman" w:cs="Times New Roman"/>
          <w:sz w:val="20"/>
          <w:szCs w:val="20"/>
        </w:rPr>
        <w:t xml:space="preserve"> information criterion; Pop/post Bias</w:t>
      </w:r>
      <w:r w:rsidR="005466C1" w:rsidRPr="00F607D3">
        <w:rPr>
          <w:rFonts w:ascii="Times New Roman" w:hAnsi="Times New Roman" w:cs="Times New Roman"/>
          <w:sz w:val="20"/>
          <w:szCs w:val="20"/>
        </w:rPr>
        <w:t>:</w:t>
      </w:r>
      <w:r w:rsidRPr="00F607D3">
        <w:rPr>
          <w:rFonts w:ascii="Times New Roman" w:hAnsi="Times New Roman" w:cs="Times New Roman"/>
          <w:sz w:val="20"/>
          <w:szCs w:val="20"/>
        </w:rPr>
        <w:t xml:space="preserve"> </w:t>
      </w:r>
      <w:r w:rsidR="00B70B52" w:rsidRPr="00F607D3">
        <w:rPr>
          <w:rFonts w:ascii="Times New Roman" w:hAnsi="Times New Roman" w:cs="Times New Roman"/>
          <w:sz w:val="20"/>
          <w:szCs w:val="20"/>
        </w:rPr>
        <w:t xml:space="preserve">population and posterior </w:t>
      </w:r>
      <w:r w:rsidRPr="00F607D3">
        <w:rPr>
          <w:rFonts w:ascii="Times New Roman" w:hAnsi="Times New Roman" w:cs="Times New Roman"/>
          <w:sz w:val="20"/>
          <w:szCs w:val="20"/>
        </w:rPr>
        <w:t>mean weighted error respectively; Pop/post Imprecision</w:t>
      </w:r>
      <w:r w:rsidR="005466C1" w:rsidRPr="00F607D3">
        <w:rPr>
          <w:rFonts w:ascii="Times New Roman" w:hAnsi="Times New Roman" w:cs="Times New Roman"/>
          <w:sz w:val="20"/>
          <w:szCs w:val="20"/>
        </w:rPr>
        <w:t>:</w:t>
      </w:r>
      <w:r w:rsidRPr="00F607D3">
        <w:rPr>
          <w:rFonts w:ascii="Times New Roman" w:hAnsi="Times New Roman" w:cs="Times New Roman"/>
          <w:sz w:val="20"/>
          <w:szCs w:val="20"/>
        </w:rPr>
        <w:t xml:space="preserve"> </w:t>
      </w:r>
      <w:r w:rsidR="00B70B52" w:rsidRPr="00F607D3">
        <w:rPr>
          <w:rFonts w:ascii="Times New Roman" w:hAnsi="Times New Roman" w:cs="Times New Roman"/>
          <w:sz w:val="20"/>
          <w:szCs w:val="20"/>
        </w:rPr>
        <w:t xml:space="preserve">population and posterior </w:t>
      </w:r>
      <w:r w:rsidRPr="00F607D3">
        <w:rPr>
          <w:rFonts w:ascii="Times New Roman" w:hAnsi="Times New Roman" w:cs="Times New Roman"/>
          <w:sz w:val="20"/>
          <w:szCs w:val="20"/>
        </w:rPr>
        <w:t xml:space="preserve">mean bias-adjusted </w:t>
      </w:r>
      <w:r w:rsidR="00B70B52" w:rsidRPr="00F607D3">
        <w:rPr>
          <w:rFonts w:ascii="Times New Roman" w:hAnsi="Times New Roman" w:cs="Times New Roman"/>
          <w:sz w:val="20"/>
          <w:szCs w:val="20"/>
        </w:rPr>
        <w:t>weighted squared error</w:t>
      </w:r>
      <w:r w:rsidR="005466C1" w:rsidRPr="00F607D3">
        <w:rPr>
          <w:rFonts w:ascii="Times New Roman" w:hAnsi="Times New Roman" w:cs="Times New Roman"/>
          <w:sz w:val="20"/>
          <w:szCs w:val="20"/>
        </w:rPr>
        <w:t>;</w:t>
      </w:r>
      <w:r w:rsidR="00B70B52" w:rsidRPr="00F607D3">
        <w:rPr>
          <w:rFonts w:ascii="Times New Roman" w:hAnsi="Times New Roman" w:cs="Times New Roman"/>
          <w:sz w:val="20"/>
          <w:szCs w:val="20"/>
        </w:rPr>
        <w:t xml:space="preserve"> </w:t>
      </w:r>
      <w:r w:rsidRPr="00F607D3">
        <w:rPr>
          <w:rFonts w:ascii="Times New Roman" w:hAnsi="Times New Roman" w:cs="Times New Roman"/>
          <w:sz w:val="20"/>
          <w:szCs w:val="20"/>
        </w:rPr>
        <w:t>Pop/Post r</w:t>
      </w:r>
      <w:r w:rsidRPr="00F607D3">
        <w:rPr>
          <w:rFonts w:ascii="Times New Roman" w:hAnsi="Times New Roman" w:cs="Times New Roman"/>
          <w:sz w:val="20"/>
          <w:szCs w:val="20"/>
          <w:vertAlign w:val="superscript"/>
        </w:rPr>
        <w:t xml:space="preserve">2 </w:t>
      </w:r>
      <w:r w:rsidRPr="00F607D3">
        <w:rPr>
          <w:rFonts w:ascii="Times New Roman" w:hAnsi="Times New Roman" w:cs="Times New Roman"/>
          <w:sz w:val="20"/>
          <w:szCs w:val="20"/>
        </w:rPr>
        <w:t xml:space="preserve">= coefficient of determination for the linear regression of the observed </w:t>
      </w:r>
      <w:r w:rsidRPr="00F607D3">
        <w:rPr>
          <w:rFonts w:ascii="Times New Roman" w:hAnsi="Times New Roman" w:cs="Times New Roman"/>
          <w:i/>
          <w:sz w:val="20"/>
          <w:szCs w:val="20"/>
        </w:rPr>
        <w:t>vs</w:t>
      </w:r>
      <w:r w:rsidRPr="00F607D3">
        <w:rPr>
          <w:rFonts w:ascii="Times New Roman" w:hAnsi="Times New Roman" w:cs="Times New Roman"/>
          <w:sz w:val="20"/>
          <w:szCs w:val="20"/>
        </w:rPr>
        <w:t xml:space="preserve"> predicted plots for the population and the posterior fits, respectively.</w:t>
      </w:r>
    </w:p>
    <w:p w14:paraId="2CA8216E" w14:textId="39B3B9F4" w:rsidR="00474E61" w:rsidRDefault="00474E61" w:rsidP="0014092C">
      <w:pPr>
        <w:spacing w:line="480" w:lineRule="auto"/>
        <w:rPr>
          <w:rFonts w:ascii="Times New Roman" w:hAnsi="Times New Roman" w:cs="Times New Roman"/>
          <w:b/>
          <w:sz w:val="20"/>
          <w:szCs w:val="20"/>
        </w:rPr>
      </w:pPr>
      <w:r>
        <w:rPr>
          <w:rFonts w:ascii="Times New Roman" w:hAnsi="Times New Roman" w:cs="Times New Roman"/>
          <w:b/>
          <w:sz w:val="20"/>
          <w:szCs w:val="20"/>
        </w:rPr>
        <w:br w:type="page"/>
      </w:r>
    </w:p>
    <w:p w14:paraId="7276F3CB" w14:textId="77777777" w:rsidR="001277B5" w:rsidRDefault="001277B5">
      <w:pPr>
        <w:widowControl w:val="0"/>
        <w:autoSpaceDE w:val="0"/>
        <w:autoSpaceDN w:val="0"/>
        <w:adjustRightInd w:val="0"/>
        <w:ind w:left="640" w:hanging="640"/>
        <w:rPr>
          <w:rFonts w:ascii="Times New Roman" w:hAnsi="Times New Roman" w:cs="Times New Roman"/>
          <w:sz w:val="28"/>
          <w:szCs w:val="28"/>
        </w:rPr>
        <w:sectPr w:rsidR="001277B5" w:rsidSect="006D5EC2">
          <w:pgSz w:w="11900" w:h="16840"/>
          <w:pgMar w:top="1418" w:right="1701" w:bottom="1418" w:left="1701" w:header="709" w:footer="709" w:gutter="0"/>
          <w:lnNumType w:countBy="1" w:restart="continuous"/>
          <w:cols w:space="708"/>
          <w:docGrid w:linePitch="360"/>
        </w:sectPr>
      </w:pPr>
    </w:p>
    <w:p w14:paraId="37E2D29B" w14:textId="77777777" w:rsidR="00A068FB" w:rsidRPr="006D2919" w:rsidRDefault="00A068FB">
      <w:pPr>
        <w:widowControl w:val="0"/>
        <w:autoSpaceDE w:val="0"/>
        <w:autoSpaceDN w:val="0"/>
        <w:adjustRightInd w:val="0"/>
        <w:ind w:left="640" w:hanging="640"/>
        <w:rPr>
          <w:rFonts w:ascii="Times New Roman" w:hAnsi="Times New Roman" w:cs="Times New Roman"/>
        </w:rPr>
      </w:pPr>
      <w:r w:rsidRPr="006D2919">
        <w:rPr>
          <w:rFonts w:ascii="Times New Roman" w:hAnsi="Times New Roman" w:cs="Times New Roman"/>
        </w:rPr>
        <w:lastRenderedPageBreak/>
        <w:t>Table 3. Population PK parameter estimates from the final model.</w:t>
      </w:r>
    </w:p>
    <w:p w14:paraId="13B65143" w14:textId="77777777" w:rsidR="00A068FB" w:rsidRDefault="00A068FB">
      <w:pPr>
        <w:widowControl w:val="0"/>
        <w:autoSpaceDE w:val="0"/>
        <w:autoSpaceDN w:val="0"/>
        <w:adjustRightInd w:val="0"/>
        <w:ind w:left="640" w:hanging="640"/>
        <w:rPr>
          <w:rFonts w:ascii="Times New Roman" w:hAnsi="Times New Roman" w:cs="Times New Roman"/>
          <w:b/>
          <w:sz w:val="20"/>
          <w:szCs w:val="20"/>
        </w:rPr>
      </w:pPr>
    </w:p>
    <w:tbl>
      <w:tblPr>
        <w:tblStyle w:val="TableGrid"/>
        <w:tblW w:w="8527" w:type="dxa"/>
        <w:tblInd w:w="64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5"/>
        <w:gridCol w:w="1179"/>
        <w:gridCol w:w="1134"/>
        <w:gridCol w:w="918"/>
        <w:gridCol w:w="918"/>
        <w:gridCol w:w="1140"/>
        <w:gridCol w:w="993"/>
        <w:gridCol w:w="667"/>
        <w:gridCol w:w="33"/>
      </w:tblGrid>
      <w:tr w:rsidR="0014092C" w:rsidRPr="008B30B9" w14:paraId="1C23DD50" w14:textId="77777777" w:rsidTr="0014092C">
        <w:trPr>
          <w:gridAfter w:val="1"/>
          <w:wAfter w:w="33" w:type="dxa"/>
        </w:trPr>
        <w:tc>
          <w:tcPr>
            <w:tcW w:w="1545" w:type="dxa"/>
            <w:tcBorders>
              <w:bottom w:val="single" w:sz="4" w:space="0" w:color="auto"/>
            </w:tcBorders>
          </w:tcPr>
          <w:p w14:paraId="01DD831D" w14:textId="1FD7680C" w:rsidR="004107AD" w:rsidRPr="008B30B9" w:rsidRDefault="0014092C">
            <w:pPr>
              <w:widowControl w:val="0"/>
              <w:autoSpaceDE w:val="0"/>
              <w:autoSpaceDN w:val="0"/>
              <w:adjustRightInd w:val="0"/>
              <w:spacing w:line="480" w:lineRule="auto"/>
              <w:rPr>
                <w:rFonts w:ascii="Times New Roman" w:hAnsi="Times New Roman" w:cs="Times New Roman"/>
                <w:sz w:val="20"/>
                <w:szCs w:val="20"/>
              </w:rPr>
            </w:pPr>
            <w:r w:rsidRPr="008B30B9">
              <w:rPr>
                <w:rFonts w:ascii="Times New Roman" w:hAnsi="Times New Roman" w:cs="Times New Roman"/>
                <w:sz w:val="20"/>
                <w:szCs w:val="20"/>
              </w:rPr>
              <w:t>Parameter</w:t>
            </w:r>
          </w:p>
        </w:tc>
        <w:tc>
          <w:tcPr>
            <w:tcW w:w="1179" w:type="dxa"/>
            <w:tcBorders>
              <w:bottom w:val="single" w:sz="4" w:space="0" w:color="auto"/>
            </w:tcBorders>
          </w:tcPr>
          <w:p w14:paraId="29FB9BD2" w14:textId="25BC9278" w:rsidR="004107AD" w:rsidRPr="008B30B9" w:rsidRDefault="004107AD" w:rsidP="00741CA6">
            <w:pPr>
              <w:widowControl w:val="0"/>
              <w:autoSpaceDE w:val="0"/>
              <w:autoSpaceDN w:val="0"/>
              <w:adjustRightInd w:val="0"/>
              <w:spacing w:line="480" w:lineRule="auto"/>
              <w:rPr>
                <w:rFonts w:ascii="Times New Roman" w:hAnsi="Times New Roman" w:cs="Times New Roman"/>
                <w:sz w:val="20"/>
                <w:szCs w:val="20"/>
              </w:rPr>
            </w:pPr>
            <w:r w:rsidRPr="008B30B9">
              <w:rPr>
                <w:rFonts w:ascii="Times New Roman" w:hAnsi="Times New Roman" w:cs="Times New Roman"/>
                <w:sz w:val="20"/>
                <w:szCs w:val="20"/>
              </w:rPr>
              <w:t>Ke01 (h</w:t>
            </w:r>
            <w:r w:rsidRPr="008B30B9">
              <w:rPr>
                <w:rFonts w:ascii="Times New Roman" w:hAnsi="Times New Roman" w:cs="Times New Roman"/>
                <w:sz w:val="20"/>
                <w:szCs w:val="20"/>
                <w:vertAlign w:val="superscript"/>
              </w:rPr>
              <w:t>-1</w:t>
            </w:r>
            <w:r w:rsidRPr="008B30B9">
              <w:rPr>
                <w:rFonts w:ascii="Times New Roman" w:hAnsi="Times New Roman" w:cs="Times New Roman"/>
                <w:sz w:val="20"/>
                <w:szCs w:val="20"/>
              </w:rPr>
              <w:t>)</w:t>
            </w:r>
          </w:p>
        </w:tc>
        <w:tc>
          <w:tcPr>
            <w:tcW w:w="1134" w:type="dxa"/>
            <w:tcBorders>
              <w:bottom w:val="single" w:sz="4" w:space="0" w:color="auto"/>
            </w:tcBorders>
          </w:tcPr>
          <w:p w14:paraId="3495882E" w14:textId="008BB851" w:rsidR="004107AD" w:rsidRPr="008B30B9" w:rsidRDefault="004107AD" w:rsidP="00741CA6">
            <w:pPr>
              <w:widowControl w:val="0"/>
              <w:autoSpaceDE w:val="0"/>
              <w:autoSpaceDN w:val="0"/>
              <w:adjustRightInd w:val="0"/>
              <w:spacing w:line="480" w:lineRule="auto"/>
              <w:rPr>
                <w:rFonts w:ascii="Times New Roman" w:hAnsi="Times New Roman" w:cs="Times New Roman"/>
                <w:sz w:val="20"/>
                <w:szCs w:val="20"/>
              </w:rPr>
            </w:pPr>
            <w:r w:rsidRPr="008B30B9">
              <w:rPr>
                <w:rFonts w:ascii="Times New Roman" w:hAnsi="Times New Roman" w:cs="Times New Roman"/>
                <w:sz w:val="20"/>
                <w:szCs w:val="20"/>
              </w:rPr>
              <w:t>Ke02 (h</w:t>
            </w:r>
            <w:r w:rsidRPr="008B30B9">
              <w:rPr>
                <w:rFonts w:ascii="Times New Roman" w:hAnsi="Times New Roman" w:cs="Times New Roman"/>
                <w:sz w:val="20"/>
                <w:szCs w:val="20"/>
                <w:vertAlign w:val="superscript"/>
              </w:rPr>
              <w:t>-1</w:t>
            </w:r>
            <w:r w:rsidRPr="008B30B9">
              <w:rPr>
                <w:rFonts w:ascii="Times New Roman" w:hAnsi="Times New Roman" w:cs="Times New Roman"/>
                <w:sz w:val="20"/>
                <w:szCs w:val="20"/>
              </w:rPr>
              <w:t>)</w:t>
            </w:r>
          </w:p>
        </w:tc>
        <w:tc>
          <w:tcPr>
            <w:tcW w:w="918" w:type="dxa"/>
            <w:tcBorders>
              <w:bottom w:val="single" w:sz="4" w:space="0" w:color="auto"/>
            </w:tcBorders>
          </w:tcPr>
          <w:p w14:paraId="679622BA" w14:textId="2238DBC7" w:rsidR="004107AD" w:rsidRPr="008B30B9" w:rsidRDefault="004107AD" w:rsidP="00741CA6">
            <w:pPr>
              <w:widowControl w:val="0"/>
              <w:autoSpaceDE w:val="0"/>
              <w:autoSpaceDN w:val="0"/>
              <w:adjustRightInd w:val="0"/>
              <w:spacing w:line="480" w:lineRule="auto"/>
              <w:rPr>
                <w:rFonts w:ascii="Times New Roman" w:hAnsi="Times New Roman" w:cs="Times New Roman"/>
                <w:sz w:val="20"/>
                <w:szCs w:val="20"/>
              </w:rPr>
            </w:pPr>
            <w:r w:rsidRPr="008B30B9">
              <w:rPr>
                <w:rFonts w:ascii="Times New Roman" w:hAnsi="Times New Roman" w:cs="Times New Roman"/>
                <w:sz w:val="20"/>
                <w:szCs w:val="20"/>
              </w:rPr>
              <w:t>V01 (L)</w:t>
            </w:r>
          </w:p>
        </w:tc>
        <w:tc>
          <w:tcPr>
            <w:tcW w:w="918" w:type="dxa"/>
            <w:tcBorders>
              <w:bottom w:val="single" w:sz="4" w:space="0" w:color="auto"/>
            </w:tcBorders>
          </w:tcPr>
          <w:p w14:paraId="05BF277E" w14:textId="296FB1C5" w:rsidR="004107AD" w:rsidRPr="008B30B9" w:rsidRDefault="004107AD" w:rsidP="00741CA6">
            <w:pPr>
              <w:widowControl w:val="0"/>
              <w:autoSpaceDE w:val="0"/>
              <w:autoSpaceDN w:val="0"/>
              <w:adjustRightInd w:val="0"/>
              <w:spacing w:line="480" w:lineRule="auto"/>
              <w:rPr>
                <w:rFonts w:ascii="Times New Roman" w:hAnsi="Times New Roman" w:cs="Times New Roman"/>
                <w:sz w:val="20"/>
                <w:szCs w:val="20"/>
              </w:rPr>
            </w:pPr>
            <w:r w:rsidRPr="008B30B9">
              <w:rPr>
                <w:rFonts w:ascii="Times New Roman" w:hAnsi="Times New Roman" w:cs="Times New Roman"/>
                <w:sz w:val="20"/>
                <w:szCs w:val="20"/>
              </w:rPr>
              <w:t>V02 (L)</w:t>
            </w:r>
          </w:p>
        </w:tc>
        <w:tc>
          <w:tcPr>
            <w:tcW w:w="1140" w:type="dxa"/>
            <w:tcBorders>
              <w:bottom w:val="single" w:sz="4" w:space="0" w:color="auto"/>
            </w:tcBorders>
          </w:tcPr>
          <w:p w14:paraId="115AD229" w14:textId="3E5C4C63" w:rsidR="004107AD" w:rsidRPr="008B30B9" w:rsidRDefault="004107AD" w:rsidP="00741CA6">
            <w:pPr>
              <w:widowControl w:val="0"/>
              <w:autoSpaceDE w:val="0"/>
              <w:autoSpaceDN w:val="0"/>
              <w:adjustRightInd w:val="0"/>
              <w:spacing w:line="480" w:lineRule="auto"/>
              <w:rPr>
                <w:rFonts w:ascii="Times New Roman" w:hAnsi="Times New Roman" w:cs="Times New Roman"/>
                <w:sz w:val="20"/>
                <w:szCs w:val="20"/>
              </w:rPr>
            </w:pPr>
            <w:proofErr w:type="spellStart"/>
            <w:r w:rsidRPr="008B30B9">
              <w:rPr>
                <w:rFonts w:ascii="Times New Roman" w:hAnsi="Times New Roman" w:cs="Times New Roman"/>
                <w:sz w:val="20"/>
                <w:szCs w:val="20"/>
              </w:rPr>
              <w:t>Kcp</w:t>
            </w:r>
            <w:proofErr w:type="spellEnd"/>
            <w:r w:rsidRPr="008B30B9">
              <w:rPr>
                <w:rFonts w:ascii="Times New Roman" w:hAnsi="Times New Roman" w:cs="Times New Roman"/>
                <w:sz w:val="20"/>
                <w:szCs w:val="20"/>
              </w:rPr>
              <w:t xml:space="preserve"> (h</w:t>
            </w:r>
            <w:r w:rsidRPr="008B30B9">
              <w:rPr>
                <w:rFonts w:ascii="Times New Roman" w:hAnsi="Times New Roman" w:cs="Times New Roman"/>
                <w:sz w:val="20"/>
                <w:szCs w:val="20"/>
                <w:vertAlign w:val="superscript"/>
              </w:rPr>
              <w:t>-1</w:t>
            </w:r>
            <w:r w:rsidRPr="008B30B9">
              <w:rPr>
                <w:rFonts w:ascii="Times New Roman" w:hAnsi="Times New Roman" w:cs="Times New Roman"/>
                <w:sz w:val="20"/>
                <w:szCs w:val="20"/>
              </w:rPr>
              <w:t>)</w:t>
            </w:r>
          </w:p>
        </w:tc>
        <w:tc>
          <w:tcPr>
            <w:tcW w:w="993" w:type="dxa"/>
            <w:tcBorders>
              <w:bottom w:val="single" w:sz="4" w:space="0" w:color="auto"/>
            </w:tcBorders>
          </w:tcPr>
          <w:p w14:paraId="643D2A03" w14:textId="3BDCC032" w:rsidR="004107AD" w:rsidRPr="008B30B9" w:rsidRDefault="004107AD" w:rsidP="00741CA6">
            <w:pPr>
              <w:widowControl w:val="0"/>
              <w:autoSpaceDE w:val="0"/>
              <w:autoSpaceDN w:val="0"/>
              <w:adjustRightInd w:val="0"/>
              <w:spacing w:line="480" w:lineRule="auto"/>
              <w:rPr>
                <w:rFonts w:ascii="Times New Roman" w:hAnsi="Times New Roman" w:cs="Times New Roman"/>
                <w:sz w:val="20"/>
                <w:szCs w:val="20"/>
              </w:rPr>
            </w:pPr>
            <w:proofErr w:type="spellStart"/>
            <w:r w:rsidRPr="008B30B9">
              <w:rPr>
                <w:rFonts w:ascii="Times New Roman" w:hAnsi="Times New Roman" w:cs="Times New Roman"/>
                <w:sz w:val="20"/>
                <w:szCs w:val="20"/>
              </w:rPr>
              <w:t>Kpc</w:t>
            </w:r>
            <w:proofErr w:type="spellEnd"/>
            <w:r w:rsidRPr="008B30B9">
              <w:rPr>
                <w:rFonts w:ascii="Times New Roman" w:hAnsi="Times New Roman" w:cs="Times New Roman"/>
                <w:sz w:val="20"/>
                <w:szCs w:val="20"/>
              </w:rPr>
              <w:t xml:space="preserve"> (h</w:t>
            </w:r>
            <w:r w:rsidRPr="008B30B9">
              <w:rPr>
                <w:rFonts w:ascii="Times New Roman" w:hAnsi="Times New Roman" w:cs="Times New Roman"/>
                <w:sz w:val="20"/>
                <w:szCs w:val="20"/>
                <w:vertAlign w:val="superscript"/>
              </w:rPr>
              <w:t>-1</w:t>
            </w:r>
            <w:r w:rsidRPr="008B30B9">
              <w:rPr>
                <w:rFonts w:ascii="Times New Roman" w:hAnsi="Times New Roman" w:cs="Times New Roman"/>
                <w:sz w:val="20"/>
                <w:szCs w:val="20"/>
              </w:rPr>
              <w:t>)</w:t>
            </w:r>
          </w:p>
        </w:tc>
        <w:tc>
          <w:tcPr>
            <w:tcW w:w="667" w:type="dxa"/>
            <w:tcBorders>
              <w:bottom w:val="single" w:sz="4" w:space="0" w:color="auto"/>
            </w:tcBorders>
          </w:tcPr>
          <w:p w14:paraId="19819AFF" w14:textId="5C31653D" w:rsidR="004107AD" w:rsidRPr="008B30B9" w:rsidRDefault="004107AD" w:rsidP="00741CA6">
            <w:pPr>
              <w:widowControl w:val="0"/>
              <w:autoSpaceDE w:val="0"/>
              <w:autoSpaceDN w:val="0"/>
              <w:adjustRightInd w:val="0"/>
              <w:spacing w:line="480" w:lineRule="auto"/>
              <w:rPr>
                <w:rFonts w:ascii="Times New Roman" w:hAnsi="Times New Roman" w:cs="Times New Roman"/>
                <w:sz w:val="20"/>
                <w:szCs w:val="20"/>
              </w:rPr>
            </w:pPr>
            <w:r w:rsidRPr="008B30B9">
              <w:rPr>
                <w:rFonts w:ascii="Times New Roman" w:hAnsi="Times New Roman" w:cs="Times New Roman"/>
                <w:sz w:val="20"/>
                <w:szCs w:val="20"/>
              </w:rPr>
              <w:t>pw</w:t>
            </w:r>
          </w:p>
        </w:tc>
      </w:tr>
      <w:tr w:rsidR="0014092C" w:rsidRPr="0014092C" w14:paraId="740DCE71" w14:textId="77777777" w:rsidTr="0014092C">
        <w:trPr>
          <w:gridAfter w:val="1"/>
          <w:wAfter w:w="33" w:type="dxa"/>
        </w:trPr>
        <w:tc>
          <w:tcPr>
            <w:tcW w:w="1545" w:type="dxa"/>
            <w:tcBorders>
              <w:top w:val="single" w:sz="4" w:space="0" w:color="auto"/>
              <w:bottom w:val="nil"/>
            </w:tcBorders>
          </w:tcPr>
          <w:p w14:paraId="26EE1424" w14:textId="6E5609AE" w:rsidR="004107AD" w:rsidRPr="00741CA6" w:rsidRDefault="004107AD" w:rsidP="005A5EE9">
            <w:pPr>
              <w:widowControl w:val="0"/>
              <w:autoSpaceDE w:val="0"/>
              <w:autoSpaceDN w:val="0"/>
              <w:adjustRightInd w:val="0"/>
              <w:spacing w:line="480" w:lineRule="auto"/>
              <w:rPr>
                <w:rFonts w:ascii="Times New Roman" w:hAnsi="Times New Roman" w:cs="Times New Roman"/>
                <w:sz w:val="20"/>
                <w:szCs w:val="20"/>
              </w:rPr>
            </w:pPr>
            <w:r w:rsidRPr="00741CA6">
              <w:rPr>
                <w:rFonts w:ascii="Times New Roman" w:hAnsi="Times New Roman" w:cs="Times New Roman"/>
                <w:sz w:val="20"/>
                <w:szCs w:val="20"/>
              </w:rPr>
              <w:t>Mean</w:t>
            </w:r>
          </w:p>
        </w:tc>
        <w:tc>
          <w:tcPr>
            <w:tcW w:w="1179" w:type="dxa"/>
            <w:tcBorders>
              <w:top w:val="single" w:sz="4" w:space="0" w:color="auto"/>
              <w:bottom w:val="nil"/>
            </w:tcBorders>
          </w:tcPr>
          <w:p w14:paraId="168766E6" w14:textId="6F39D7D2" w:rsidR="004107AD"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0.038</w:t>
            </w:r>
          </w:p>
        </w:tc>
        <w:tc>
          <w:tcPr>
            <w:tcW w:w="1134" w:type="dxa"/>
            <w:tcBorders>
              <w:top w:val="single" w:sz="4" w:space="0" w:color="auto"/>
              <w:bottom w:val="nil"/>
            </w:tcBorders>
          </w:tcPr>
          <w:p w14:paraId="63833369" w14:textId="0A6CDB1B" w:rsidR="004107AD"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0.036</w:t>
            </w:r>
          </w:p>
        </w:tc>
        <w:tc>
          <w:tcPr>
            <w:tcW w:w="918" w:type="dxa"/>
            <w:tcBorders>
              <w:top w:val="single" w:sz="4" w:space="0" w:color="auto"/>
              <w:bottom w:val="nil"/>
            </w:tcBorders>
          </w:tcPr>
          <w:p w14:paraId="3B582347" w14:textId="4268A572" w:rsidR="004107AD"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22.636</w:t>
            </w:r>
          </w:p>
        </w:tc>
        <w:tc>
          <w:tcPr>
            <w:tcW w:w="918" w:type="dxa"/>
            <w:tcBorders>
              <w:top w:val="single" w:sz="4" w:space="0" w:color="auto"/>
              <w:bottom w:val="nil"/>
            </w:tcBorders>
          </w:tcPr>
          <w:p w14:paraId="3F4E365B" w14:textId="3719522D" w:rsidR="004107AD"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22.472</w:t>
            </w:r>
          </w:p>
        </w:tc>
        <w:tc>
          <w:tcPr>
            <w:tcW w:w="1140" w:type="dxa"/>
            <w:tcBorders>
              <w:top w:val="single" w:sz="4" w:space="0" w:color="auto"/>
              <w:bottom w:val="nil"/>
            </w:tcBorders>
          </w:tcPr>
          <w:p w14:paraId="3688198D" w14:textId="06A73960" w:rsidR="004107AD"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0.490</w:t>
            </w:r>
          </w:p>
        </w:tc>
        <w:tc>
          <w:tcPr>
            <w:tcW w:w="993" w:type="dxa"/>
            <w:tcBorders>
              <w:top w:val="single" w:sz="4" w:space="0" w:color="auto"/>
              <w:bottom w:val="nil"/>
            </w:tcBorders>
          </w:tcPr>
          <w:p w14:paraId="1E48FD8F" w14:textId="05A5641D" w:rsidR="004107AD"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0.214</w:t>
            </w:r>
          </w:p>
        </w:tc>
        <w:tc>
          <w:tcPr>
            <w:tcW w:w="667" w:type="dxa"/>
            <w:tcBorders>
              <w:top w:val="single" w:sz="4" w:space="0" w:color="auto"/>
              <w:bottom w:val="nil"/>
            </w:tcBorders>
          </w:tcPr>
          <w:p w14:paraId="7134076D" w14:textId="1FDAE196" w:rsidR="004107AD"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0.125</w:t>
            </w:r>
          </w:p>
        </w:tc>
      </w:tr>
      <w:tr w:rsidR="0014092C" w:rsidRPr="0014092C" w14:paraId="285C98D2" w14:textId="77777777" w:rsidTr="0014092C">
        <w:trPr>
          <w:gridAfter w:val="1"/>
          <w:wAfter w:w="33" w:type="dxa"/>
        </w:trPr>
        <w:tc>
          <w:tcPr>
            <w:tcW w:w="1545" w:type="dxa"/>
            <w:tcBorders>
              <w:bottom w:val="nil"/>
            </w:tcBorders>
          </w:tcPr>
          <w:p w14:paraId="50B5A9FA" w14:textId="74E8DD07" w:rsidR="004107AD" w:rsidRPr="00741CA6" w:rsidRDefault="004107AD" w:rsidP="005A5EE9">
            <w:pPr>
              <w:widowControl w:val="0"/>
              <w:autoSpaceDE w:val="0"/>
              <w:autoSpaceDN w:val="0"/>
              <w:adjustRightInd w:val="0"/>
              <w:spacing w:line="480" w:lineRule="auto"/>
              <w:rPr>
                <w:rFonts w:ascii="Times New Roman" w:hAnsi="Times New Roman" w:cs="Times New Roman"/>
                <w:sz w:val="20"/>
                <w:szCs w:val="20"/>
              </w:rPr>
            </w:pPr>
            <w:r w:rsidRPr="00741CA6">
              <w:rPr>
                <w:rFonts w:ascii="Times New Roman" w:hAnsi="Times New Roman" w:cs="Times New Roman"/>
                <w:sz w:val="20"/>
                <w:szCs w:val="20"/>
              </w:rPr>
              <w:t>Median</w:t>
            </w:r>
          </w:p>
        </w:tc>
        <w:tc>
          <w:tcPr>
            <w:tcW w:w="1179" w:type="dxa"/>
            <w:tcBorders>
              <w:bottom w:val="nil"/>
            </w:tcBorders>
          </w:tcPr>
          <w:p w14:paraId="6446CF6F" w14:textId="60D12401" w:rsidR="004107AD"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0.03</w:t>
            </w:r>
          </w:p>
        </w:tc>
        <w:tc>
          <w:tcPr>
            <w:tcW w:w="1134" w:type="dxa"/>
            <w:tcBorders>
              <w:bottom w:val="nil"/>
            </w:tcBorders>
          </w:tcPr>
          <w:p w14:paraId="0B90B995" w14:textId="11AC793E" w:rsidR="004107AD"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0.025</w:t>
            </w:r>
          </w:p>
        </w:tc>
        <w:tc>
          <w:tcPr>
            <w:tcW w:w="918" w:type="dxa"/>
            <w:tcBorders>
              <w:bottom w:val="nil"/>
            </w:tcBorders>
          </w:tcPr>
          <w:p w14:paraId="4A2C3DF4" w14:textId="05D37993" w:rsidR="004107AD"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19.52</w:t>
            </w:r>
          </w:p>
        </w:tc>
        <w:tc>
          <w:tcPr>
            <w:tcW w:w="918" w:type="dxa"/>
            <w:tcBorders>
              <w:bottom w:val="nil"/>
            </w:tcBorders>
          </w:tcPr>
          <w:p w14:paraId="1E5195A8" w14:textId="6720BCCD" w:rsidR="004107AD"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22.7</w:t>
            </w:r>
          </w:p>
        </w:tc>
        <w:tc>
          <w:tcPr>
            <w:tcW w:w="1140" w:type="dxa"/>
            <w:tcBorders>
              <w:bottom w:val="nil"/>
            </w:tcBorders>
          </w:tcPr>
          <w:p w14:paraId="3AE7039B" w14:textId="144F7D32" w:rsidR="004107AD"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0.23</w:t>
            </w:r>
          </w:p>
        </w:tc>
        <w:tc>
          <w:tcPr>
            <w:tcW w:w="993" w:type="dxa"/>
            <w:tcBorders>
              <w:bottom w:val="nil"/>
            </w:tcBorders>
          </w:tcPr>
          <w:p w14:paraId="4B822647" w14:textId="58369038" w:rsidR="004107AD"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0.12</w:t>
            </w:r>
          </w:p>
        </w:tc>
        <w:tc>
          <w:tcPr>
            <w:tcW w:w="667" w:type="dxa"/>
            <w:tcBorders>
              <w:bottom w:val="nil"/>
            </w:tcBorders>
          </w:tcPr>
          <w:p w14:paraId="5B034AE2" w14:textId="680D553A" w:rsidR="004107AD"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0.07</w:t>
            </w:r>
          </w:p>
        </w:tc>
      </w:tr>
      <w:tr w:rsidR="0014092C" w:rsidRPr="0014092C" w14:paraId="4EFDB67F" w14:textId="77777777" w:rsidTr="0014092C">
        <w:trPr>
          <w:gridAfter w:val="1"/>
          <w:wAfter w:w="33" w:type="dxa"/>
          <w:trHeight w:val="74"/>
        </w:trPr>
        <w:tc>
          <w:tcPr>
            <w:tcW w:w="1545" w:type="dxa"/>
            <w:tcBorders>
              <w:bottom w:val="single" w:sz="4" w:space="0" w:color="auto"/>
            </w:tcBorders>
          </w:tcPr>
          <w:p w14:paraId="035F662B" w14:textId="13F6BF2A" w:rsidR="000F1BF4" w:rsidRPr="00741CA6" w:rsidRDefault="000F1BF4" w:rsidP="005A5EE9">
            <w:pPr>
              <w:widowControl w:val="0"/>
              <w:autoSpaceDE w:val="0"/>
              <w:autoSpaceDN w:val="0"/>
              <w:adjustRightInd w:val="0"/>
              <w:spacing w:line="480" w:lineRule="auto"/>
              <w:rPr>
                <w:rFonts w:ascii="Times New Roman" w:hAnsi="Times New Roman" w:cs="Times New Roman"/>
                <w:sz w:val="20"/>
                <w:szCs w:val="20"/>
              </w:rPr>
            </w:pPr>
            <w:r w:rsidRPr="00741CA6">
              <w:rPr>
                <w:rFonts w:ascii="Times New Roman" w:hAnsi="Times New Roman" w:cs="Times New Roman"/>
                <w:sz w:val="20"/>
                <w:szCs w:val="20"/>
              </w:rPr>
              <w:t>SD</w:t>
            </w:r>
          </w:p>
        </w:tc>
        <w:tc>
          <w:tcPr>
            <w:tcW w:w="1179" w:type="dxa"/>
            <w:tcBorders>
              <w:bottom w:val="single" w:sz="4" w:space="0" w:color="auto"/>
            </w:tcBorders>
          </w:tcPr>
          <w:p w14:paraId="7DDF23BC" w14:textId="670448FC" w:rsidR="000F1BF4"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0.04</w:t>
            </w:r>
          </w:p>
        </w:tc>
        <w:tc>
          <w:tcPr>
            <w:tcW w:w="1134" w:type="dxa"/>
            <w:tcBorders>
              <w:bottom w:val="single" w:sz="4" w:space="0" w:color="auto"/>
            </w:tcBorders>
          </w:tcPr>
          <w:p w14:paraId="746AD243" w14:textId="1160EAFE" w:rsidR="000F1BF4"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0.03</w:t>
            </w:r>
          </w:p>
        </w:tc>
        <w:tc>
          <w:tcPr>
            <w:tcW w:w="918" w:type="dxa"/>
            <w:tcBorders>
              <w:bottom w:val="single" w:sz="4" w:space="0" w:color="auto"/>
            </w:tcBorders>
          </w:tcPr>
          <w:p w14:paraId="411154FE" w14:textId="5FCD10EF" w:rsidR="000F1BF4"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14.23</w:t>
            </w:r>
          </w:p>
        </w:tc>
        <w:tc>
          <w:tcPr>
            <w:tcW w:w="918" w:type="dxa"/>
            <w:tcBorders>
              <w:bottom w:val="single" w:sz="4" w:space="0" w:color="auto"/>
            </w:tcBorders>
          </w:tcPr>
          <w:p w14:paraId="50F66977" w14:textId="65FD52C7" w:rsidR="000F1BF4"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7.95</w:t>
            </w:r>
          </w:p>
        </w:tc>
        <w:tc>
          <w:tcPr>
            <w:tcW w:w="1140" w:type="dxa"/>
            <w:tcBorders>
              <w:bottom w:val="single" w:sz="4" w:space="0" w:color="auto"/>
            </w:tcBorders>
          </w:tcPr>
          <w:p w14:paraId="1838E83A" w14:textId="592D1918" w:rsidR="000F1BF4"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0.48</w:t>
            </w:r>
          </w:p>
        </w:tc>
        <w:tc>
          <w:tcPr>
            <w:tcW w:w="993" w:type="dxa"/>
            <w:tcBorders>
              <w:bottom w:val="single" w:sz="4" w:space="0" w:color="auto"/>
            </w:tcBorders>
          </w:tcPr>
          <w:p w14:paraId="5A31C56C" w14:textId="3D760EB4" w:rsidR="000F1BF4"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0.27</w:t>
            </w:r>
          </w:p>
        </w:tc>
        <w:tc>
          <w:tcPr>
            <w:tcW w:w="667" w:type="dxa"/>
            <w:tcBorders>
              <w:bottom w:val="single" w:sz="4" w:space="0" w:color="auto"/>
            </w:tcBorders>
          </w:tcPr>
          <w:p w14:paraId="426F9D98" w14:textId="1F222441" w:rsidR="000F1BF4" w:rsidRPr="0014092C" w:rsidRDefault="000F1BF4"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14092C">
              <w:rPr>
                <w:rFonts w:ascii="Times New Roman" w:hAnsi="Times New Roman" w:cs="Times New Roman"/>
                <w:sz w:val="20"/>
                <w:szCs w:val="20"/>
              </w:rPr>
              <w:t>0.15</w:t>
            </w:r>
          </w:p>
        </w:tc>
      </w:tr>
      <w:tr w:rsidR="0014092C" w:rsidRPr="000F1BF4" w14:paraId="0D0DDF90" w14:textId="77777777" w:rsidTr="0014092C">
        <w:trPr>
          <w:trHeight w:val="73"/>
        </w:trPr>
        <w:tc>
          <w:tcPr>
            <w:tcW w:w="8527" w:type="dxa"/>
            <w:gridSpan w:val="9"/>
            <w:tcBorders>
              <w:top w:val="single" w:sz="4" w:space="0" w:color="auto"/>
            </w:tcBorders>
          </w:tcPr>
          <w:p w14:paraId="68FAD7A4" w14:textId="77777777" w:rsidR="00F9591E" w:rsidRDefault="00F9591E" w:rsidP="005A5EE9">
            <w:pPr>
              <w:widowControl w:val="0"/>
              <w:autoSpaceDE w:val="0"/>
              <w:autoSpaceDN w:val="0"/>
              <w:adjustRightInd w:val="0"/>
              <w:spacing w:line="480" w:lineRule="auto"/>
              <w:rPr>
                <w:rFonts w:ascii="Times New Roman" w:hAnsi="Times New Roman" w:cs="Times New Roman"/>
              </w:rPr>
            </w:pPr>
          </w:p>
          <w:p w14:paraId="51999C4C" w14:textId="693A9004" w:rsidR="000F1BF4" w:rsidRPr="00741CA6" w:rsidRDefault="000F1BF4" w:rsidP="003675EB">
            <w:pPr>
              <w:widowControl w:val="0"/>
              <w:autoSpaceDE w:val="0"/>
              <w:autoSpaceDN w:val="0"/>
              <w:adjustRightInd w:val="0"/>
              <w:spacing w:line="480" w:lineRule="auto"/>
              <w:jc w:val="both"/>
              <w:rPr>
                <w:rFonts w:ascii="Times New Roman" w:hAnsi="Times New Roman" w:cs="Times New Roman"/>
                <w:sz w:val="20"/>
                <w:szCs w:val="20"/>
              </w:rPr>
            </w:pPr>
            <w:proofErr w:type="spellStart"/>
            <w:r w:rsidRPr="00F607D3">
              <w:rPr>
                <w:rFonts w:ascii="Times New Roman" w:hAnsi="Times New Roman" w:cs="Times New Roman"/>
                <w:sz w:val="20"/>
                <w:szCs w:val="20"/>
              </w:rPr>
              <w:t>Ke</w:t>
            </w:r>
            <w:proofErr w:type="spellEnd"/>
            <w:r w:rsidRPr="00F607D3">
              <w:rPr>
                <w:rFonts w:ascii="Times New Roman" w:hAnsi="Times New Roman" w:cs="Times New Roman"/>
                <w:sz w:val="20"/>
                <w:szCs w:val="20"/>
              </w:rPr>
              <w:t xml:space="preserve">= </w:t>
            </w:r>
            <w:r w:rsidR="00F55162">
              <w:rPr>
                <w:rFonts w:ascii="Times New Roman" w:hAnsi="Times New Roman" w:cs="Times New Roman"/>
                <w:sz w:val="20"/>
                <w:szCs w:val="20"/>
              </w:rPr>
              <w:t>Weight normalized r</w:t>
            </w:r>
            <w:r w:rsidRPr="00F607D3">
              <w:rPr>
                <w:rFonts w:ascii="Times New Roman" w:hAnsi="Times New Roman" w:cs="Times New Roman"/>
                <w:sz w:val="20"/>
                <w:szCs w:val="20"/>
              </w:rPr>
              <w:t>ate constant of elimination= Ke0*(</w:t>
            </w:r>
            <w:proofErr w:type="spellStart"/>
            <w:r w:rsidRPr="00F607D3">
              <w:rPr>
                <w:rFonts w:ascii="Times New Roman" w:hAnsi="Times New Roman" w:cs="Times New Roman"/>
                <w:sz w:val="20"/>
                <w:szCs w:val="20"/>
              </w:rPr>
              <w:t>wt</w:t>
            </w:r>
            <w:proofErr w:type="spellEnd"/>
            <w:r w:rsidRPr="00F607D3">
              <w:rPr>
                <w:rFonts w:ascii="Times New Roman" w:hAnsi="Times New Roman" w:cs="Times New Roman"/>
                <w:sz w:val="20"/>
                <w:szCs w:val="20"/>
              </w:rPr>
              <w:t>/70)</w:t>
            </w:r>
            <w:r w:rsidRPr="00F607D3">
              <w:rPr>
                <w:rFonts w:ascii="Times New Roman" w:hAnsi="Times New Roman" w:cs="Times New Roman"/>
                <w:sz w:val="20"/>
                <w:szCs w:val="20"/>
                <w:vertAlign w:val="superscript"/>
              </w:rPr>
              <w:t xml:space="preserve">-0.25 </w:t>
            </w:r>
            <w:r w:rsidRPr="00F607D3">
              <w:rPr>
                <w:rFonts w:ascii="Times New Roman" w:hAnsi="Times New Roman" w:cs="Times New Roman"/>
                <w:sz w:val="20"/>
                <w:szCs w:val="20"/>
              </w:rPr>
              <w:t>*</w:t>
            </w:r>
            <w:r w:rsidRPr="00F607D3">
              <w:rPr>
                <w:rFonts w:ascii="Times New Roman" w:hAnsi="Times New Roman" w:cs="Times New Roman"/>
                <w:bCs/>
                <w:sz w:val="20"/>
                <w:szCs w:val="20"/>
              </w:rPr>
              <w:t xml:space="preserve">Renal; </w:t>
            </w:r>
            <w:r w:rsidR="00C75643" w:rsidRPr="00F607D3">
              <w:rPr>
                <w:rFonts w:ascii="Times New Roman" w:hAnsi="Times New Roman" w:cs="Times New Roman"/>
                <w:sz w:val="20"/>
                <w:szCs w:val="20"/>
              </w:rPr>
              <w:t>Renal=</w:t>
            </w:r>
            <w:proofErr w:type="spellStart"/>
            <w:r w:rsidR="00C75643" w:rsidRPr="00F607D3">
              <w:rPr>
                <w:rFonts w:ascii="Times New Roman" w:hAnsi="Times New Roman" w:cs="Times New Roman"/>
                <w:sz w:val="20"/>
                <w:szCs w:val="20"/>
              </w:rPr>
              <w:t>eGFR</w:t>
            </w:r>
            <w:r w:rsidR="00C75643" w:rsidRPr="00F607D3">
              <w:rPr>
                <w:rFonts w:ascii="Times New Roman" w:hAnsi="Times New Roman" w:cs="Times New Roman"/>
                <w:sz w:val="20"/>
                <w:szCs w:val="20"/>
                <w:vertAlign w:val="superscript"/>
              </w:rPr>
              <w:t>pw</w:t>
            </w:r>
            <w:proofErr w:type="spellEnd"/>
            <w:r w:rsidR="00C75643" w:rsidRPr="00F607D3">
              <w:rPr>
                <w:rFonts w:ascii="Times New Roman" w:hAnsi="Times New Roman" w:cs="Times New Roman"/>
                <w:sz w:val="20"/>
                <w:szCs w:val="20"/>
                <w:vertAlign w:val="superscript"/>
              </w:rPr>
              <w:t xml:space="preserve"> </w:t>
            </w:r>
            <w:r w:rsidR="00C75643" w:rsidRPr="00F607D3">
              <w:rPr>
                <w:rFonts w:ascii="Times New Roman" w:hAnsi="Times New Roman" w:cs="Times New Roman"/>
                <w:sz w:val="20"/>
                <w:szCs w:val="20"/>
              </w:rPr>
              <w:t xml:space="preserve">or PNA/creatinine if &lt; 0.25 years old; </w:t>
            </w:r>
            <w:r w:rsidRPr="00F607D3">
              <w:rPr>
                <w:rFonts w:ascii="Times New Roman" w:hAnsi="Times New Roman" w:cs="Times New Roman"/>
                <w:bCs/>
                <w:sz w:val="20"/>
                <w:szCs w:val="20"/>
              </w:rPr>
              <w:t>V=</w:t>
            </w:r>
            <w:r w:rsidR="00F55162">
              <w:rPr>
                <w:rFonts w:ascii="Times New Roman" w:hAnsi="Times New Roman" w:cs="Times New Roman"/>
                <w:sz w:val="20"/>
                <w:szCs w:val="20"/>
              </w:rPr>
              <w:t xml:space="preserve"> Weight normalized </w:t>
            </w:r>
            <w:r w:rsidR="00F55162">
              <w:rPr>
                <w:rFonts w:ascii="Times New Roman" w:hAnsi="Times New Roman" w:cs="Times New Roman"/>
                <w:bCs/>
                <w:sz w:val="20"/>
                <w:szCs w:val="20"/>
              </w:rPr>
              <w:t>v</w:t>
            </w:r>
            <w:r w:rsidR="00F55162" w:rsidRPr="00F607D3">
              <w:rPr>
                <w:rFonts w:ascii="Times New Roman" w:hAnsi="Times New Roman" w:cs="Times New Roman"/>
                <w:bCs/>
                <w:sz w:val="20"/>
                <w:szCs w:val="20"/>
              </w:rPr>
              <w:t xml:space="preserve">olume </w:t>
            </w:r>
            <w:r w:rsidR="00F9591E" w:rsidRPr="00F607D3">
              <w:rPr>
                <w:rFonts w:ascii="Times New Roman" w:hAnsi="Times New Roman" w:cs="Times New Roman"/>
                <w:bCs/>
                <w:sz w:val="20"/>
                <w:szCs w:val="20"/>
              </w:rPr>
              <w:t xml:space="preserve">of </w:t>
            </w:r>
            <w:r w:rsidRPr="00F607D3">
              <w:rPr>
                <w:rFonts w:ascii="Times New Roman" w:hAnsi="Times New Roman" w:cs="Times New Roman"/>
                <w:bCs/>
                <w:sz w:val="20"/>
                <w:szCs w:val="20"/>
              </w:rPr>
              <w:t>the central compartment=V0*</w:t>
            </w:r>
            <w:r w:rsidRPr="00F607D3">
              <w:rPr>
                <w:rFonts w:ascii="Times New Roman" w:hAnsi="Times New Roman" w:cs="Times New Roman"/>
                <w:sz w:val="20"/>
                <w:szCs w:val="20"/>
              </w:rPr>
              <w:t>(</w:t>
            </w:r>
            <w:proofErr w:type="spellStart"/>
            <w:r w:rsidRPr="00F607D3">
              <w:rPr>
                <w:rFonts w:ascii="Times New Roman" w:hAnsi="Times New Roman" w:cs="Times New Roman"/>
                <w:sz w:val="20"/>
                <w:szCs w:val="20"/>
              </w:rPr>
              <w:t>wt</w:t>
            </w:r>
            <w:proofErr w:type="spellEnd"/>
            <w:r w:rsidRPr="00F607D3">
              <w:rPr>
                <w:rFonts w:ascii="Times New Roman" w:hAnsi="Times New Roman" w:cs="Times New Roman"/>
                <w:sz w:val="20"/>
                <w:szCs w:val="20"/>
              </w:rPr>
              <w:t xml:space="preserve">/70); </w:t>
            </w:r>
            <w:proofErr w:type="spellStart"/>
            <w:r w:rsidRPr="00F607D3">
              <w:rPr>
                <w:rFonts w:ascii="Times New Roman" w:hAnsi="Times New Roman" w:cs="Times New Roman"/>
                <w:sz w:val="20"/>
                <w:szCs w:val="20"/>
              </w:rPr>
              <w:t>Kcp</w:t>
            </w:r>
            <w:proofErr w:type="spellEnd"/>
            <w:r w:rsidRPr="00F607D3">
              <w:rPr>
                <w:rFonts w:ascii="Times New Roman" w:hAnsi="Times New Roman" w:cs="Times New Roman"/>
                <w:sz w:val="20"/>
                <w:szCs w:val="20"/>
              </w:rPr>
              <w:t xml:space="preserve"> and </w:t>
            </w:r>
            <w:proofErr w:type="spellStart"/>
            <w:r w:rsidRPr="00F607D3">
              <w:rPr>
                <w:rFonts w:ascii="Times New Roman" w:hAnsi="Times New Roman" w:cs="Times New Roman"/>
                <w:sz w:val="20"/>
                <w:szCs w:val="20"/>
              </w:rPr>
              <w:t>Kpc</w:t>
            </w:r>
            <w:proofErr w:type="spellEnd"/>
            <w:r w:rsidR="00C75643" w:rsidRPr="00F607D3">
              <w:rPr>
                <w:rFonts w:ascii="Times New Roman" w:hAnsi="Times New Roman" w:cs="Times New Roman"/>
                <w:sz w:val="20"/>
                <w:szCs w:val="20"/>
              </w:rPr>
              <w:t xml:space="preserve"> are the</w:t>
            </w:r>
            <w:r w:rsidRPr="00F607D3">
              <w:rPr>
                <w:rFonts w:ascii="Times New Roman" w:hAnsi="Times New Roman" w:cs="Times New Roman"/>
                <w:sz w:val="20"/>
                <w:szCs w:val="20"/>
              </w:rPr>
              <w:t xml:space="preserve"> firs</w:t>
            </w:r>
            <w:r w:rsidR="00F9591E" w:rsidRPr="00F607D3">
              <w:rPr>
                <w:rFonts w:ascii="Times New Roman" w:hAnsi="Times New Roman" w:cs="Times New Roman"/>
                <w:sz w:val="20"/>
                <w:szCs w:val="20"/>
              </w:rPr>
              <w:t>t</w:t>
            </w:r>
            <w:r w:rsidRPr="00F607D3">
              <w:rPr>
                <w:rFonts w:ascii="Times New Roman" w:hAnsi="Times New Roman" w:cs="Times New Roman"/>
                <w:sz w:val="20"/>
                <w:szCs w:val="20"/>
              </w:rPr>
              <w:t xml:space="preserve">-order </w:t>
            </w:r>
            <w:proofErr w:type="spellStart"/>
            <w:r w:rsidR="00C75643" w:rsidRPr="00F607D3">
              <w:rPr>
                <w:rFonts w:ascii="Times New Roman" w:hAnsi="Times New Roman" w:cs="Times New Roman"/>
                <w:sz w:val="20"/>
                <w:szCs w:val="20"/>
              </w:rPr>
              <w:t>intercompartmental</w:t>
            </w:r>
            <w:proofErr w:type="spellEnd"/>
            <w:r w:rsidR="00C75643" w:rsidRPr="00F607D3">
              <w:rPr>
                <w:rFonts w:ascii="Times New Roman" w:hAnsi="Times New Roman" w:cs="Times New Roman"/>
                <w:sz w:val="20"/>
                <w:szCs w:val="20"/>
              </w:rPr>
              <w:t xml:space="preserve"> </w:t>
            </w:r>
            <w:r w:rsidRPr="00F607D3">
              <w:rPr>
                <w:rFonts w:ascii="Times New Roman" w:hAnsi="Times New Roman" w:cs="Times New Roman"/>
                <w:sz w:val="20"/>
                <w:szCs w:val="20"/>
              </w:rPr>
              <w:t>rate constants; pw=power function</w:t>
            </w:r>
            <w:r w:rsidR="00F607D3" w:rsidRPr="00F607D3">
              <w:rPr>
                <w:rFonts w:ascii="Times New Roman" w:hAnsi="Times New Roman" w:cs="Times New Roman"/>
                <w:sz w:val="20"/>
                <w:szCs w:val="20"/>
              </w:rPr>
              <w:t>.</w:t>
            </w:r>
            <w:r w:rsidRPr="00F607D3">
              <w:rPr>
                <w:rFonts w:ascii="Times New Roman" w:hAnsi="Times New Roman" w:cs="Times New Roman"/>
                <w:sz w:val="20"/>
                <w:szCs w:val="20"/>
              </w:rPr>
              <w:t xml:space="preserve"> </w:t>
            </w:r>
            <w:r w:rsidR="00C75643" w:rsidRPr="00F607D3">
              <w:rPr>
                <w:rFonts w:ascii="Times New Roman" w:hAnsi="Times New Roman" w:cs="Times New Roman"/>
                <w:sz w:val="20"/>
                <w:szCs w:val="20"/>
              </w:rPr>
              <w:t xml:space="preserve">The </w:t>
            </w:r>
            <w:r w:rsidR="002014F9">
              <w:rPr>
                <w:rFonts w:ascii="Times New Roman" w:hAnsi="Times New Roman" w:cs="Times New Roman"/>
                <w:sz w:val="20"/>
                <w:szCs w:val="20"/>
              </w:rPr>
              <w:t>suffix</w:t>
            </w:r>
            <w:r w:rsidR="002014F9" w:rsidRPr="00F607D3">
              <w:rPr>
                <w:rFonts w:ascii="Times New Roman" w:hAnsi="Times New Roman" w:cs="Times New Roman"/>
                <w:sz w:val="20"/>
                <w:szCs w:val="20"/>
              </w:rPr>
              <w:t xml:space="preserve"> </w:t>
            </w:r>
            <w:r w:rsidRPr="00F607D3">
              <w:rPr>
                <w:rFonts w:ascii="Times New Roman" w:hAnsi="Times New Roman" w:cs="Times New Roman"/>
                <w:sz w:val="20"/>
                <w:szCs w:val="20"/>
              </w:rPr>
              <w:t xml:space="preserve">01 and 02 </w:t>
            </w:r>
            <w:r w:rsidR="00C75643" w:rsidRPr="00F607D3">
              <w:rPr>
                <w:rFonts w:ascii="Times New Roman" w:hAnsi="Times New Roman" w:cs="Times New Roman"/>
                <w:sz w:val="20"/>
                <w:szCs w:val="20"/>
              </w:rPr>
              <w:t xml:space="preserve">denote </w:t>
            </w:r>
            <w:r w:rsidRPr="00F607D3">
              <w:rPr>
                <w:rFonts w:ascii="Times New Roman" w:hAnsi="Times New Roman" w:cs="Times New Roman"/>
                <w:sz w:val="20"/>
                <w:szCs w:val="20"/>
              </w:rPr>
              <w:t>the</w:t>
            </w:r>
            <w:r w:rsidR="00C75643" w:rsidRPr="00F607D3">
              <w:rPr>
                <w:rFonts w:ascii="Times New Roman" w:hAnsi="Times New Roman" w:cs="Times New Roman"/>
                <w:sz w:val="20"/>
                <w:szCs w:val="20"/>
              </w:rPr>
              <w:t xml:space="preserve"> occasion</w:t>
            </w:r>
            <w:r w:rsidRPr="00F607D3">
              <w:rPr>
                <w:rFonts w:ascii="Times New Roman" w:hAnsi="Times New Roman" w:cs="Times New Roman"/>
                <w:sz w:val="20"/>
                <w:szCs w:val="20"/>
              </w:rPr>
              <w:t xml:space="preserve">. Ke0=Ke01 and V0=V01 </w:t>
            </w:r>
            <w:r w:rsidR="00C75643" w:rsidRPr="00F607D3">
              <w:rPr>
                <w:rFonts w:ascii="Times New Roman" w:hAnsi="Times New Roman" w:cs="Times New Roman"/>
                <w:sz w:val="20"/>
                <w:szCs w:val="20"/>
              </w:rPr>
              <w:t>for time &lt;</w:t>
            </w:r>
            <w:r w:rsidRPr="00F607D3">
              <w:rPr>
                <w:rFonts w:ascii="Times New Roman" w:hAnsi="Times New Roman" w:cs="Times New Roman"/>
                <w:sz w:val="20"/>
                <w:szCs w:val="20"/>
              </w:rPr>
              <w:t xml:space="preserve"> 96 hours</w:t>
            </w:r>
            <w:r w:rsidR="00C75643" w:rsidRPr="00F607D3">
              <w:rPr>
                <w:rFonts w:ascii="Times New Roman" w:hAnsi="Times New Roman" w:cs="Times New Roman"/>
                <w:sz w:val="20"/>
                <w:szCs w:val="20"/>
              </w:rPr>
              <w:t>;</w:t>
            </w:r>
            <w:r w:rsidRPr="00F607D3">
              <w:rPr>
                <w:rFonts w:ascii="Times New Roman" w:hAnsi="Times New Roman" w:cs="Times New Roman"/>
                <w:sz w:val="20"/>
                <w:szCs w:val="20"/>
              </w:rPr>
              <w:t xml:space="preserve"> otherwise, Ke0=Ke02 and V0=V02</w:t>
            </w:r>
            <w:r w:rsidR="00C75643" w:rsidRPr="00F607D3">
              <w:rPr>
                <w:rFonts w:ascii="Times New Roman" w:hAnsi="Times New Roman" w:cs="Times New Roman"/>
                <w:sz w:val="20"/>
                <w:szCs w:val="20"/>
              </w:rPr>
              <w:t>.</w:t>
            </w:r>
            <w:r w:rsidRPr="00F607D3">
              <w:rPr>
                <w:rFonts w:ascii="Times New Roman" w:hAnsi="Times New Roman" w:cs="Times New Roman"/>
                <w:sz w:val="20"/>
                <w:szCs w:val="20"/>
              </w:rPr>
              <w:t xml:space="preserve"> </w:t>
            </w:r>
          </w:p>
        </w:tc>
      </w:tr>
    </w:tbl>
    <w:p w14:paraId="33316D9A" w14:textId="77777777" w:rsidR="00FE292E" w:rsidRDefault="00FE292E" w:rsidP="005A5EE9">
      <w:pPr>
        <w:widowControl w:val="0"/>
        <w:autoSpaceDE w:val="0"/>
        <w:autoSpaceDN w:val="0"/>
        <w:adjustRightInd w:val="0"/>
        <w:spacing w:line="480" w:lineRule="auto"/>
        <w:rPr>
          <w:rFonts w:ascii="Times New Roman" w:hAnsi="Times New Roman" w:cs="Times New Roman"/>
          <w:sz w:val="28"/>
          <w:szCs w:val="28"/>
        </w:rPr>
      </w:pPr>
    </w:p>
    <w:p w14:paraId="48ECB008" w14:textId="77777777" w:rsidR="0041491B" w:rsidRDefault="0041491B">
      <w:pPr>
        <w:widowControl w:val="0"/>
        <w:autoSpaceDE w:val="0"/>
        <w:autoSpaceDN w:val="0"/>
        <w:adjustRightInd w:val="0"/>
        <w:ind w:left="640" w:hanging="640"/>
        <w:rPr>
          <w:rFonts w:ascii="Times New Roman" w:hAnsi="Times New Roman" w:cs="Times New Roman"/>
          <w:b/>
          <w:sz w:val="20"/>
          <w:szCs w:val="20"/>
        </w:rPr>
      </w:pPr>
    </w:p>
    <w:p w14:paraId="3B2A0AAF" w14:textId="77777777" w:rsidR="0041491B" w:rsidRDefault="0041491B">
      <w:pPr>
        <w:widowControl w:val="0"/>
        <w:autoSpaceDE w:val="0"/>
        <w:autoSpaceDN w:val="0"/>
        <w:adjustRightInd w:val="0"/>
        <w:rPr>
          <w:rFonts w:ascii="Times New Roman" w:hAnsi="Times New Roman" w:cs="Times New Roman"/>
          <w:b/>
          <w:sz w:val="20"/>
          <w:szCs w:val="20"/>
        </w:rPr>
        <w:sectPr w:rsidR="0041491B" w:rsidSect="006D5EC2">
          <w:pgSz w:w="11900" w:h="16840"/>
          <w:pgMar w:top="1418" w:right="1701" w:bottom="1418" w:left="1701" w:header="709" w:footer="709" w:gutter="0"/>
          <w:lnNumType w:countBy="1" w:restart="continuous"/>
          <w:cols w:space="708"/>
          <w:docGrid w:linePitch="360"/>
        </w:sectPr>
      </w:pPr>
    </w:p>
    <w:p w14:paraId="5BE5448F" w14:textId="62D54D4E" w:rsidR="00A068FB" w:rsidRDefault="00A068FB">
      <w:pPr>
        <w:widowControl w:val="0"/>
        <w:autoSpaceDE w:val="0"/>
        <w:autoSpaceDN w:val="0"/>
        <w:adjustRightInd w:val="0"/>
        <w:spacing w:line="480" w:lineRule="auto"/>
        <w:ind w:left="640"/>
        <w:rPr>
          <w:rFonts w:ascii="Times New Roman" w:hAnsi="Times New Roman" w:cs="Times New Roman"/>
        </w:rPr>
      </w:pPr>
      <w:r w:rsidRPr="006D2919">
        <w:rPr>
          <w:rFonts w:ascii="Times New Roman" w:hAnsi="Times New Roman" w:cs="Times New Roman"/>
        </w:rPr>
        <w:lastRenderedPageBreak/>
        <w:t>Table 4. Summary of the individual prediction diagnostics from the dosing optimization software for the two patients</w:t>
      </w:r>
      <w:r w:rsidRPr="003F682E">
        <w:rPr>
          <w:rFonts w:ascii="Times New Roman" w:hAnsi="Times New Roman" w:cs="Times New Roman"/>
          <w:b/>
        </w:rPr>
        <w:t xml:space="preserve"> </w:t>
      </w:r>
      <w:r w:rsidRPr="003F682E">
        <w:rPr>
          <w:rFonts w:ascii="Times New Roman" w:hAnsi="Times New Roman" w:cs="Times New Roman"/>
        </w:rPr>
        <w:t xml:space="preserve">(using past-real data in order to obtain a target of 15 mg/L </w:t>
      </w:r>
      <w:r w:rsidR="00F607D3">
        <w:rPr>
          <w:rFonts w:ascii="Times New Roman" w:hAnsi="Times New Roman" w:cs="Times New Roman"/>
        </w:rPr>
        <w:t>from</w:t>
      </w:r>
      <w:r w:rsidR="00F9591E" w:rsidRPr="003F682E">
        <w:rPr>
          <w:rFonts w:ascii="Times New Roman" w:hAnsi="Times New Roman" w:cs="Times New Roman"/>
        </w:rPr>
        <w:t xml:space="preserve"> </w:t>
      </w:r>
      <w:r w:rsidRPr="003F682E">
        <w:rPr>
          <w:rFonts w:ascii="Times New Roman" w:hAnsi="Times New Roman" w:cs="Times New Roman"/>
        </w:rPr>
        <w:t>day 3 of therapy).</w:t>
      </w:r>
    </w:p>
    <w:tbl>
      <w:tblPr>
        <w:tblStyle w:val="TableGrid"/>
        <w:tblW w:w="0" w:type="auto"/>
        <w:tblInd w:w="640" w:type="dxa"/>
        <w:tblBorders>
          <w:top w:val="none" w:sz="0" w:space="0" w:color="auto"/>
          <w:insideH w:val="none" w:sz="0" w:space="0" w:color="auto"/>
          <w:insideV w:val="none" w:sz="0" w:space="0" w:color="auto"/>
        </w:tblBorders>
        <w:tblLook w:val="04A0" w:firstRow="1" w:lastRow="0" w:firstColumn="1" w:lastColumn="0" w:noHBand="0" w:noVBand="1"/>
      </w:tblPr>
      <w:tblGrid>
        <w:gridCol w:w="2713"/>
        <w:gridCol w:w="2683"/>
        <w:gridCol w:w="2678"/>
      </w:tblGrid>
      <w:tr w:rsidR="004107AD" w14:paraId="25616C00" w14:textId="77777777" w:rsidTr="000F1BF4">
        <w:tc>
          <w:tcPr>
            <w:tcW w:w="2713" w:type="dxa"/>
            <w:tcBorders>
              <w:left w:val="nil"/>
              <w:bottom w:val="single" w:sz="4" w:space="0" w:color="auto"/>
            </w:tcBorders>
          </w:tcPr>
          <w:p w14:paraId="05BFCDA0" w14:textId="0DED7D0C" w:rsidR="004107AD" w:rsidRPr="004107AD" w:rsidRDefault="004107AD" w:rsidP="00741CA6">
            <w:pPr>
              <w:widowControl w:val="0"/>
              <w:autoSpaceDE w:val="0"/>
              <w:autoSpaceDN w:val="0"/>
              <w:adjustRightInd w:val="0"/>
              <w:spacing w:line="480" w:lineRule="auto"/>
              <w:rPr>
                <w:rFonts w:ascii="Times New Roman" w:eastAsiaTheme="majorEastAsia" w:hAnsi="Times New Roman" w:cs="Times New Roman"/>
                <w:b/>
                <w:color w:val="404040" w:themeColor="text1" w:themeTint="BF"/>
                <w:sz w:val="20"/>
                <w:szCs w:val="20"/>
              </w:rPr>
            </w:pPr>
            <w:r w:rsidRPr="004107AD">
              <w:rPr>
                <w:rFonts w:ascii="Times New Roman" w:hAnsi="Times New Roman" w:cs="Times New Roman"/>
                <w:b/>
                <w:sz w:val="20"/>
                <w:szCs w:val="20"/>
              </w:rPr>
              <w:t>Subject</w:t>
            </w:r>
          </w:p>
        </w:tc>
        <w:tc>
          <w:tcPr>
            <w:tcW w:w="2683" w:type="dxa"/>
            <w:tcBorders>
              <w:bottom w:val="single" w:sz="4" w:space="0" w:color="auto"/>
            </w:tcBorders>
          </w:tcPr>
          <w:p w14:paraId="2A40342A" w14:textId="111CE880" w:rsidR="004107AD" w:rsidRPr="004107AD" w:rsidRDefault="004107AD" w:rsidP="00741CA6">
            <w:pPr>
              <w:widowControl w:val="0"/>
              <w:autoSpaceDE w:val="0"/>
              <w:autoSpaceDN w:val="0"/>
              <w:adjustRightInd w:val="0"/>
              <w:spacing w:line="480" w:lineRule="auto"/>
              <w:rPr>
                <w:rFonts w:ascii="Times New Roman" w:eastAsiaTheme="majorEastAsia" w:hAnsi="Times New Roman" w:cs="Times New Roman"/>
                <w:b/>
                <w:color w:val="404040" w:themeColor="text1" w:themeTint="BF"/>
                <w:sz w:val="20"/>
                <w:szCs w:val="20"/>
              </w:rPr>
            </w:pPr>
            <w:r w:rsidRPr="004107AD">
              <w:rPr>
                <w:rFonts w:ascii="Times New Roman" w:hAnsi="Times New Roman" w:cs="Times New Roman"/>
                <w:b/>
                <w:sz w:val="20"/>
                <w:szCs w:val="20"/>
              </w:rPr>
              <w:t>1_Infant</w:t>
            </w:r>
          </w:p>
        </w:tc>
        <w:tc>
          <w:tcPr>
            <w:tcW w:w="2678" w:type="dxa"/>
            <w:tcBorders>
              <w:bottom w:val="single" w:sz="4" w:space="0" w:color="auto"/>
              <w:right w:val="nil"/>
            </w:tcBorders>
          </w:tcPr>
          <w:p w14:paraId="7C1DFC35" w14:textId="40C2AE32" w:rsidR="004107AD" w:rsidRPr="004107AD" w:rsidRDefault="004107AD" w:rsidP="00741CA6">
            <w:pPr>
              <w:widowControl w:val="0"/>
              <w:autoSpaceDE w:val="0"/>
              <w:autoSpaceDN w:val="0"/>
              <w:adjustRightInd w:val="0"/>
              <w:spacing w:line="480" w:lineRule="auto"/>
              <w:rPr>
                <w:rFonts w:ascii="Times New Roman" w:eastAsiaTheme="majorEastAsia" w:hAnsi="Times New Roman" w:cs="Times New Roman"/>
                <w:b/>
                <w:color w:val="404040" w:themeColor="text1" w:themeTint="BF"/>
                <w:sz w:val="20"/>
                <w:szCs w:val="20"/>
              </w:rPr>
            </w:pPr>
            <w:r w:rsidRPr="004107AD">
              <w:rPr>
                <w:rFonts w:ascii="Times New Roman" w:hAnsi="Times New Roman" w:cs="Times New Roman"/>
                <w:b/>
                <w:sz w:val="20"/>
                <w:szCs w:val="20"/>
              </w:rPr>
              <w:t>2_Child</w:t>
            </w:r>
          </w:p>
        </w:tc>
      </w:tr>
      <w:tr w:rsidR="004107AD" w14:paraId="3DBA69A6" w14:textId="77777777" w:rsidTr="000F1BF4">
        <w:tc>
          <w:tcPr>
            <w:tcW w:w="2713" w:type="dxa"/>
            <w:tcBorders>
              <w:top w:val="single" w:sz="4" w:space="0" w:color="auto"/>
              <w:left w:val="nil"/>
            </w:tcBorders>
          </w:tcPr>
          <w:p w14:paraId="25790176" w14:textId="0537A9E5" w:rsidR="004107AD" w:rsidRPr="004107AD" w:rsidRDefault="004107AD" w:rsidP="005A5EE9">
            <w:pPr>
              <w:widowControl w:val="0"/>
              <w:autoSpaceDE w:val="0"/>
              <w:autoSpaceDN w:val="0"/>
              <w:adjustRightInd w:val="0"/>
              <w:spacing w:line="480" w:lineRule="auto"/>
              <w:rPr>
                <w:rFonts w:ascii="Times New Roman" w:hAnsi="Times New Roman" w:cs="Times New Roman"/>
                <w:b/>
                <w:sz w:val="20"/>
                <w:szCs w:val="20"/>
                <w:vertAlign w:val="superscript"/>
              </w:rPr>
            </w:pPr>
            <w:r w:rsidRPr="004107AD">
              <w:rPr>
                <w:rFonts w:ascii="Times New Roman" w:hAnsi="Times New Roman" w:cs="Times New Roman"/>
                <w:b/>
                <w:sz w:val="20"/>
                <w:szCs w:val="20"/>
              </w:rPr>
              <w:t>r</w:t>
            </w:r>
            <w:r w:rsidRPr="004107AD">
              <w:rPr>
                <w:rFonts w:ascii="Times New Roman" w:hAnsi="Times New Roman" w:cs="Times New Roman"/>
                <w:b/>
                <w:sz w:val="20"/>
                <w:szCs w:val="20"/>
                <w:vertAlign w:val="superscript"/>
              </w:rPr>
              <w:t>2</w:t>
            </w:r>
          </w:p>
        </w:tc>
        <w:tc>
          <w:tcPr>
            <w:tcW w:w="2683" w:type="dxa"/>
            <w:tcBorders>
              <w:top w:val="single" w:sz="4" w:space="0" w:color="auto"/>
            </w:tcBorders>
          </w:tcPr>
          <w:p w14:paraId="2E39CDF5" w14:textId="26DE4761" w:rsidR="004107AD" w:rsidRPr="004107AD" w:rsidRDefault="004107AD"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4107AD">
              <w:rPr>
                <w:rFonts w:ascii="Times New Roman" w:hAnsi="Times New Roman" w:cs="Times New Roman"/>
                <w:sz w:val="20"/>
                <w:szCs w:val="20"/>
              </w:rPr>
              <w:t>1</w:t>
            </w:r>
          </w:p>
        </w:tc>
        <w:tc>
          <w:tcPr>
            <w:tcW w:w="2678" w:type="dxa"/>
            <w:tcBorders>
              <w:top w:val="single" w:sz="4" w:space="0" w:color="auto"/>
              <w:right w:val="nil"/>
            </w:tcBorders>
          </w:tcPr>
          <w:p w14:paraId="7A9EEB6B" w14:textId="0FE5135E" w:rsidR="004107AD" w:rsidRPr="004107AD" w:rsidRDefault="004107AD"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4107AD">
              <w:rPr>
                <w:rFonts w:ascii="Times New Roman" w:hAnsi="Times New Roman" w:cs="Times New Roman"/>
                <w:sz w:val="20"/>
                <w:szCs w:val="20"/>
              </w:rPr>
              <w:t>0.97</w:t>
            </w:r>
          </w:p>
        </w:tc>
      </w:tr>
      <w:tr w:rsidR="004107AD" w14:paraId="64749608" w14:textId="77777777" w:rsidTr="000F1BF4">
        <w:tc>
          <w:tcPr>
            <w:tcW w:w="2713" w:type="dxa"/>
            <w:tcBorders>
              <w:left w:val="nil"/>
            </w:tcBorders>
          </w:tcPr>
          <w:p w14:paraId="3373CFDC" w14:textId="7AF0B96B" w:rsidR="004107AD" w:rsidRPr="004107AD" w:rsidRDefault="004107AD" w:rsidP="005A5EE9">
            <w:pPr>
              <w:widowControl w:val="0"/>
              <w:autoSpaceDE w:val="0"/>
              <w:autoSpaceDN w:val="0"/>
              <w:adjustRightInd w:val="0"/>
              <w:spacing w:line="480" w:lineRule="auto"/>
              <w:rPr>
                <w:rFonts w:ascii="Times New Roman" w:hAnsi="Times New Roman" w:cs="Times New Roman"/>
                <w:b/>
                <w:sz w:val="20"/>
                <w:szCs w:val="20"/>
              </w:rPr>
            </w:pPr>
            <w:r w:rsidRPr="004107AD">
              <w:rPr>
                <w:rFonts w:ascii="Times New Roman" w:hAnsi="Times New Roman" w:cs="Times New Roman"/>
                <w:b/>
                <w:sz w:val="20"/>
                <w:szCs w:val="20"/>
              </w:rPr>
              <w:t>Bias</w:t>
            </w:r>
          </w:p>
        </w:tc>
        <w:tc>
          <w:tcPr>
            <w:tcW w:w="2683" w:type="dxa"/>
          </w:tcPr>
          <w:p w14:paraId="7CF9FA7E" w14:textId="127147FD" w:rsidR="004107AD" w:rsidRPr="004107AD" w:rsidRDefault="004107AD"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4107AD">
              <w:rPr>
                <w:rFonts w:ascii="Times New Roman" w:hAnsi="Times New Roman" w:cs="Times New Roman"/>
                <w:sz w:val="20"/>
                <w:szCs w:val="20"/>
              </w:rPr>
              <w:t>-0.42</w:t>
            </w:r>
          </w:p>
        </w:tc>
        <w:tc>
          <w:tcPr>
            <w:tcW w:w="2678" w:type="dxa"/>
            <w:tcBorders>
              <w:right w:val="nil"/>
            </w:tcBorders>
          </w:tcPr>
          <w:p w14:paraId="1D0BB03B" w14:textId="33EC655C" w:rsidR="004107AD" w:rsidRPr="004107AD" w:rsidRDefault="004107AD"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4107AD">
              <w:rPr>
                <w:rFonts w:ascii="Times New Roman" w:hAnsi="Times New Roman" w:cs="Times New Roman"/>
                <w:sz w:val="20"/>
                <w:szCs w:val="20"/>
              </w:rPr>
              <w:t>0.4</w:t>
            </w:r>
          </w:p>
        </w:tc>
      </w:tr>
      <w:tr w:rsidR="004107AD" w14:paraId="09F0F180" w14:textId="77777777" w:rsidTr="000F1BF4">
        <w:tc>
          <w:tcPr>
            <w:tcW w:w="2713" w:type="dxa"/>
            <w:tcBorders>
              <w:left w:val="nil"/>
            </w:tcBorders>
          </w:tcPr>
          <w:p w14:paraId="67AC9F80" w14:textId="3C27C048" w:rsidR="004107AD" w:rsidRPr="004107AD" w:rsidRDefault="004107AD" w:rsidP="005A5EE9">
            <w:pPr>
              <w:widowControl w:val="0"/>
              <w:autoSpaceDE w:val="0"/>
              <w:autoSpaceDN w:val="0"/>
              <w:adjustRightInd w:val="0"/>
              <w:spacing w:line="480" w:lineRule="auto"/>
              <w:rPr>
                <w:rFonts w:ascii="Times New Roman" w:hAnsi="Times New Roman" w:cs="Times New Roman"/>
                <w:b/>
                <w:sz w:val="20"/>
                <w:szCs w:val="20"/>
              </w:rPr>
            </w:pPr>
            <w:r w:rsidRPr="004107AD">
              <w:rPr>
                <w:rFonts w:ascii="Times New Roman" w:hAnsi="Times New Roman" w:cs="Times New Roman"/>
                <w:b/>
                <w:sz w:val="20"/>
                <w:szCs w:val="20"/>
              </w:rPr>
              <w:t>% Bias</w:t>
            </w:r>
          </w:p>
        </w:tc>
        <w:tc>
          <w:tcPr>
            <w:tcW w:w="2683" w:type="dxa"/>
          </w:tcPr>
          <w:p w14:paraId="646FCF3C" w14:textId="49C63E89" w:rsidR="004107AD" w:rsidRPr="004107AD" w:rsidRDefault="004107AD"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4107AD">
              <w:rPr>
                <w:rFonts w:ascii="Times New Roman" w:hAnsi="Times New Roman" w:cs="Times New Roman"/>
                <w:sz w:val="20"/>
                <w:szCs w:val="20"/>
              </w:rPr>
              <w:t>-2.54</w:t>
            </w:r>
          </w:p>
        </w:tc>
        <w:tc>
          <w:tcPr>
            <w:tcW w:w="2678" w:type="dxa"/>
            <w:tcBorders>
              <w:right w:val="nil"/>
            </w:tcBorders>
          </w:tcPr>
          <w:p w14:paraId="306E138E" w14:textId="18CBEABF" w:rsidR="004107AD" w:rsidRPr="004107AD" w:rsidRDefault="004107AD"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4107AD">
              <w:rPr>
                <w:rFonts w:ascii="Times New Roman" w:hAnsi="Times New Roman" w:cs="Times New Roman"/>
                <w:sz w:val="20"/>
                <w:szCs w:val="20"/>
              </w:rPr>
              <w:t>8.46</w:t>
            </w:r>
          </w:p>
        </w:tc>
      </w:tr>
      <w:tr w:rsidR="004107AD" w14:paraId="48617BA5" w14:textId="77777777" w:rsidTr="000F1BF4">
        <w:tc>
          <w:tcPr>
            <w:tcW w:w="2713" w:type="dxa"/>
            <w:tcBorders>
              <w:left w:val="nil"/>
            </w:tcBorders>
          </w:tcPr>
          <w:p w14:paraId="7B6D76D7" w14:textId="21D75754" w:rsidR="004107AD" w:rsidRPr="004107AD" w:rsidRDefault="004107AD" w:rsidP="005A5EE9">
            <w:pPr>
              <w:widowControl w:val="0"/>
              <w:autoSpaceDE w:val="0"/>
              <w:autoSpaceDN w:val="0"/>
              <w:adjustRightInd w:val="0"/>
              <w:spacing w:line="480" w:lineRule="auto"/>
              <w:rPr>
                <w:rFonts w:ascii="Times New Roman" w:hAnsi="Times New Roman" w:cs="Times New Roman"/>
                <w:b/>
                <w:sz w:val="20"/>
                <w:szCs w:val="20"/>
              </w:rPr>
            </w:pPr>
            <w:r w:rsidRPr="004107AD">
              <w:rPr>
                <w:rFonts w:ascii="Times New Roman" w:hAnsi="Times New Roman" w:cs="Times New Roman"/>
                <w:b/>
                <w:sz w:val="20"/>
                <w:szCs w:val="20"/>
              </w:rPr>
              <w:t>Imprecision</w:t>
            </w:r>
          </w:p>
        </w:tc>
        <w:tc>
          <w:tcPr>
            <w:tcW w:w="2683" w:type="dxa"/>
          </w:tcPr>
          <w:p w14:paraId="317510EA" w14:textId="30A0B268" w:rsidR="004107AD" w:rsidRPr="004107AD" w:rsidRDefault="004107AD"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4107AD">
              <w:rPr>
                <w:rFonts w:ascii="Times New Roman" w:hAnsi="Times New Roman" w:cs="Times New Roman"/>
                <w:sz w:val="20"/>
                <w:szCs w:val="20"/>
              </w:rPr>
              <w:t>0.3</w:t>
            </w:r>
          </w:p>
        </w:tc>
        <w:tc>
          <w:tcPr>
            <w:tcW w:w="2678" w:type="dxa"/>
            <w:tcBorders>
              <w:right w:val="nil"/>
            </w:tcBorders>
          </w:tcPr>
          <w:p w14:paraId="7316AFC1" w14:textId="61D52BF6" w:rsidR="004107AD" w:rsidRPr="004107AD" w:rsidRDefault="004107AD"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4107AD">
              <w:rPr>
                <w:rFonts w:ascii="Times New Roman" w:hAnsi="Times New Roman" w:cs="Times New Roman"/>
                <w:sz w:val="20"/>
                <w:szCs w:val="20"/>
              </w:rPr>
              <w:t>1.64</w:t>
            </w:r>
          </w:p>
        </w:tc>
      </w:tr>
      <w:tr w:rsidR="004107AD" w14:paraId="5E963E26" w14:textId="77777777" w:rsidTr="000F1BF4">
        <w:tc>
          <w:tcPr>
            <w:tcW w:w="2713" w:type="dxa"/>
            <w:tcBorders>
              <w:left w:val="nil"/>
              <w:bottom w:val="nil"/>
            </w:tcBorders>
          </w:tcPr>
          <w:p w14:paraId="5ED13E95" w14:textId="38C0B411" w:rsidR="004107AD" w:rsidRPr="004107AD" w:rsidRDefault="004107AD" w:rsidP="005A5EE9">
            <w:pPr>
              <w:widowControl w:val="0"/>
              <w:autoSpaceDE w:val="0"/>
              <w:autoSpaceDN w:val="0"/>
              <w:adjustRightInd w:val="0"/>
              <w:spacing w:line="480" w:lineRule="auto"/>
              <w:rPr>
                <w:rFonts w:ascii="Times New Roman" w:hAnsi="Times New Roman" w:cs="Times New Roman"/>
                <w:b/>
                <w:sz w:val="20"/>
                <w:szCs w:val="20"/>
              </w:rPr>
            </w:pPr>
            <w:r w:rsidRPr="004107AD">
              <w:rPr>
                <w:rFonts w:ascii="Times New Roman" w:hAnsi="Times New Roman" w:cs="Times New Roman"/>
                <w:b/>
                <w:sz w:val="20"/>
                <w:szCs w:val="20"/>
              </w:rPr>
              <w:t>% Imprecision</w:t>
            </w:r>
          </w:p>
        </w:tc>
        <w:tc>
          <w:tcPr>
            <w:tcW w:w="2683" w:type="dxa"/>
            <w:tcBorders>
              <w:bottom w:val="nil"/>
            </w:tcBorders>
          </w:tcPr>
          <w:p w14:paraId="1C5ACB93" w14:textId="54662912" w:rsidR="004107AD" w:rsidRPr="004107AD" w:rsidRDefault="004107AD"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4107AD">
              <w:rPr>
                <w:rFonts w:ascii="Times New Roman" w:hAnsi="Times New Roman" w:cs="Times New Roman"/>
                <w:sz w:val="20"/>
                <w:szCs w:val="20"/>
              </w:rPr>
              <w:t>0.05</w:t>
            </w:r>
          </w:p>
        </w:tc>
        <w:tc>
          <w:tcPr>
            <w:tcW w:w="2678" w:type="dxa"/>
            <w:tcBorders>
              <w:bottom w:val="nil"/>
              <w:right w:val="nil"/>
            </w:tcBorders>
          </w:tcPr>
          <w:p w14:paraId="62407A07" w14:textId="73EC12B5" w:rsidR="004107AD" w:rsidRPr="004107AD" w:rsidRDefault="004107AD"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4107AD">
              <w:rPr>
                <w:rFonts w:ascii="Times New Roman" w:hAnsi="Times New Roman" w:cs="Times New Roman"/>
                <w:sz w:val="20"/>
                <w:szCs w:val="20"/>
              </w:rPr>
              <w:t>1.54</w:t>
            </w:r>
          </w:p>
        </w:tc>
      </w:tr>
      <w:tr w:rsidR="004107AD" w14:paraId="35488C1F" w14:textId="77777777" w:rsidTr="000F1BF4">
        <w:tc>
          <w:tcPr>
            <w:tcW w:w="2713" w:type="dxa"/>
            <w:tcBorders>
              <w:left w:val="nil"/>
              <w:bottom w:val="single" w:sz="4" w:space="0" w:color="auto"/>
            </w:tcBorders>
          </w:tcPr>
          <w:p w14:paraId="44DB2F51" w14:textId="12D35572" w:rsidR="004107AD" w:rsidRPr="004107AD" w:rsidRDefault="004107AD" w:rsidP="005A5EE9">
            <w:pPr>
              <w:widowControl w:val="0"/>
              <w:autoSpaceDE w:val="0"/>
              <w:autoSpaceDN w:val="0"/>
              <w:adjustRightInd w:val="0"/>
              <w:rPr>
                <w:rFonts w:ascii="Times New Roman" w:hAnsi="Times New Roman" w:cs="Times New Roman"/>
                <w:b/>
                <w:sz w:val="20"/>
                <w:szCs w:val="20"/>
              </w:rPr>
            </w:pPr>
            <w:r w:rsidRPr="004107AD">
              <w:rPr>
                <w:rFonts w:ascii="Times New Roman" w:hAnsi="Times New Roman" w:cs="Times New Roman"/>
                <w:b/>
                <w:sz w:val="20"/>
                <w:szCs w:val="20"/>
              </w:rPr>
              <w:t>Median (range) of average 24h AUC</w:t>
            </w:r>
            <w:r>
              <w:rPr>
                <w:rFonts w:ascii="Times New Roman" w:hAnsi="Times New Roman" w:cs="Times New Roman"/>
                <w:b/>
                <w:sz w:val="20"/>
                <w:szCs w:val="20"/>
              </w:rPr>
              <w:t xml:space="preserve"> </w:t>
            </w:r>
            <w:r w:rsidRPr="004107AD">
              <w:rPr>
                <w:rFonts w:ascii="Times New Roman" w:hAnsi="Times New Roman" w:cs="Times New Roman"/>
                <w:b/>
                <w:sz w:val="20"/>
                <w:szCs w:val="20"/>
              </w:rPr>
              <w:t>(mg*h/L) along the treatment course</w:t>
            </w:r>
          </w:p>
        </w:tc>
        <w:tc>
          <w:tcPr>
            <w:tcW w:w="2683" w:type="dxa"/>
            <w:tcBorders>
              <w:bottom w:val="single" w:sz="4" w:space="0" w:color="auto"/>
            </w:tcBorders>
          </w:tcPr>
          <w:p w14:paraId="27B30567" w14:textId="0A59550B" w:rsidR="004107AD" w:rsidRPr="004107AD" w:rsidRDefault="004107AD"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4107AD">
              <w:rPr>
                <w:rFonts w:ascii="Times New Roman" w:hAnsi="Times New Roman" w:cs="Times New Roman"/>
                <w:sz w:val="20"/>
                <w:szCs w:val="20"/>
              </w:rPr>
              <w:t>493.8 (355.8-574)</w:t>
            </w:r>
          </w:p>
        </w:tc>
        <w:tc>
          <w:tcPr>
            <w:tcW w:w="2678" w:type="dxa"/>
            <w:tcBorders>
              <w:bottom w:val="single" w:sz="4" w:space="0" w:color="auto"/>
              <w:right w:val="nil"/>
            </w:tcBorders>
          </w:tcPr>
          <w:p w14:paraId="19E30521" w14:textId="1E2BB829" w:rsidR="004107AD" w:rsidRPr="004107AD" w:rsidRDefault="004107AD" w:rsidP="00741CA6">
            <w:pPr>
              <w:widowControl w:val="0"/>
              <w:autoSpaceDE w:val="0"/>
              <w:autoSpaceDN w:val="0"/>
              <w:adjustRightInd w:val="0"/>
              <w:spacing w:line="480" w:lineRule="auto"/>
              <w:rPr>
                <w:rFonts w:ascii="Times New Roman" w:eastAsiaTheme="majorEastAsia" w:hAnsi="Times New Roman" w:cs="Times New Roman"/>
                <w:color w:val="404040" w:themeColor="text1" w:themeTint="BF"/>
                <w:sz w:val="20"/>
                <w:szCs w:val="20"/>
              </w:rPr>
            </w:pPr>
            <w:r w:rsidRPr="004107AD">
              <w:rPr>
                <w:rFonts w:ascii="Times New Roman" w:hAnsi="Times New Roman" w:cs="Times New Roman"/>
                <w:sz w:val="20"/>
                <w:szCs w:val="20"/>
              </w:rPr>
              <w:t>368.1 (318.9-388.4)</w:t>
            </w:r>
          </w:p>
        </w:tc>
      </w:tr>
      <w:tr w:rsidR="004107AD" w14:paraId="761A087D" w14:textId="77777777" w:rsidTr="000F1BF4">
        <w:trPr>
          <w:trHeight w:val="1114"/>
        </w:trPr>
        <w:tc>
          <w:tcPr>
            <w:tcW w:w="8074" w:type="dxa"/>
            <w:gridSpan w:val="3"/>
            <w:tcBorders>
              <w:top w:val="single" w:sz="4" w:space="0" w:color="auto"/>
              <w:left w:val="nil"/>
              <w:bottom w:val="single" w:sz="4" w:space="0" w:color="auto"/>
              <w:right w:val="nil"/>
            </w:tcBorders>
          </w:tcPr>
          <w:p w14:paraId="0B2C5261" w14:textId="77777777" w:rsidR="00F9591E" w:rsidRDefault="00F9591E" w:rsidP="005A5EE9">
            <w:pPr>
              <w:widowControl w:val="0"/>
              <w:autoSpaceDE w:val="0"/>
              <w:autoSpaceDN w:val="0"/>
              <w:adjustRightInd w:val="0"/>
              <w:spacing w:line="480" w:lineRule="auto"/>
              <w:rPr>
                <w:rFonts w:ascii="Times New Roman" w:hAnsi="Times New Roman" w:cs="Times New Roman"/>
                <w:sz w:val="20"/>
                <w:szCs w:val="20"/>
              </w:rPr>
            </w:pPr>
          </w:p>
          <w:p w14:paraId="6E600E85" w14:textId="42707E08" w:rsidR="004107AD" w:rsidRPr="000E6D76" w:rsidRDefault="004107AD" w:rsidP="003675EB">
            <w:pPr>
              <w:widowControl w:val="0"/>
              <w:autoSpaceDE w:val="0"/>
              <w:autoSpaceDN w:val="0"/>
              <w:adjustRightInd w:val="0"/>
              <w:spacing w:line="480" w:lineRule="auto"/>
              <w:jc w:val="both"/>
              <w:rPr>
                <w:rFonts w:ascii="Times New Roman" w:hAnsi="Times New Roman" w:cs="Times New Roman"/>
              </w:rPr>
            </w:pPr>
            <w:r w:rsidRPr="000E6D76">
              <w:rPr>
                <w:rFonts w:ascii="Times New Roman" w:hAnsi="Times New Roman" w:cs="Times New Roman"/>
                <w:sz w:val="20"/>
                <w:szCs w:val="20"/>
              </w:rPr>
              <w:t>r</w:t>
            </w:r>
            <w:r w:rsidRPr="000E6D76">
              <w:rPr>
                <w:rFonts w:ascii="Times New Roman" w:hAnsi="Times New Roman" w:cs="Times New Roman"/>
                <w:sz w:val="20"/>
                <w:szCs w:val="20"/>
                <w:vertAlign w:val="superscript"/>
              </w:rPr>
              <w:t>2</w:t>
            </w:r>
            <w:r w:rsidRPr="000E6D76">
              <w:rPr>
                <w:rFonts w:ascii="Times New Roman" w:hAnsi="Times New Roman" w:cs="Times New Roman"/>
                <w:sz w:val="20"/>
                <w:szCs w:val="20"/>
              </w:rPr>
              <w:t xml:space="preserve">= coefficient of determination of the linear regression of the predicted </w:t>
            </w:r>
            <w:r w:rsidRPr="000E6D76">
              <w:rPr>
                <w:rFonts w:ascii="Times New Roman" w:hAnsi="Times New Roman" w:cs="Times New Roman"/>
                <w:i/>
                <w:sz w:val="20"/>
                <w:szCs w:val="20"/>
              </w:rPr>
              <w:t>vs</w:t>
            </w:r>
            <w:r w:rsidRPr="000E6D76">
              <w:rPr>
                <w:rFonts w:ascii="Times New Roman" w:hAnsi="Times New Roman" w:cs="Times New Roman"/>
                <w:sz w:val="20"/>
                <w:szCs w:val="20"/>
              </w:rPr>
              <w:t xml:space="preserve"> observed concentrations; Bias=mean weighted predicted-observed error; % Bias= 100* [mean weighted predicted-observed error/observed]; Imprecision= bias-adjusted mean squared error; %Imprecision= 100*[bias-adjusted mean squared error/observed].</w:t>
            </w:r>
          </w:p>
        </w:tc>
      </w:tr>
    </w:tbl>
    <w:p w14:paraId="2B6FF843" w14:textId="77777777" w:rsidR="0052484D" w:rsidRDefault="0052484D" w:rsidP="005A5EE9">
      <w:pPr>
        <w:widowControl w:val="0"/>
        <w:autoSpaceDE w:val="0"/>
        <w:autoSpaceDN w:val="0"/>
        <w:adjustRightInd w:val="0"/>
        <w:rPr>
          <w:rFonts w:ascii="Times New Roman" w:hAnsi="Times New Roman" w:cs="Times New Roman"/>
          <w:b/>
          <w:sz w:val="20"/>
          <w:szCs w:val="20"/>
        </w:rPr>
      </w:pPr>
    </w:p>
    <w:p w14:paraId="0193EC39" w14:textId="77777777" w:rsidR="0052484D" w:rsidRDefault="0052484D">
      <w:pPr>
        <w:widowControl w:val="0"/>
        <w:autoSpaceDE w:val="0"/>
        <w:autoSpaceDN w:val="0"/>
        <w:adjustRightInd w:val="0"/>
        <w:rPr>
          <w:rFonts w:ascii="Times New Roman" w:hAnsi="Times New Roman" w:cs="Times New Roman"/>
          <w:b/>
          <w:sz w:val="20"/>
          <w:szCs w:val="20"/>
        </w:rPr>
        <w:sectPr w:rsidR="0052484D" w:rsidSect="006D5EC2">
          <w:pgSz w:w="11900" w:h="16840"/>
          <w:pgMar w:top="1418" w:right="1701" w:bottom="1418" w:left="1701" w:header="709" w:footer="709" w:gutter="0"/>
          <w:lnNumType w:countBy="1" w:restart="continuous"/>
          <w:cols w:space="708"/>
          <w:docGrid w:linePitch="360"/>
        </w:sectPr>
      </w:pPr>
    </w:p>
    <w:p w14:paraId="22D9FDEE" w14:textId="4B96331F" w:rsidR="00911F59" w:rsidRDefault="00911F59">
      <w:pPr>
        <w:widowControl w:val="0"/>
        <w:autoSpaceDE w:val="0"/>
        <w:autoSpaceDN w:val="0"/>
        <w:adjustRightInd w:val="0"/>
        <w:rPr>
          <w:rFonts w:ascii="Times New Roman" w:hAnsi="Times New Roman" w:cs="Times New Roman"/>
          <w:sz w:val="28"/>
          <w:szCs w:val="28"/>
        </w:rPr>
      </w:pPr>
      <w:bookmarkStart w:id="6" w:name="_GoBack"/>
      <w:bookmarkEnd w:id="6"/>
    </w:p>
    <w:p w14:paraId="1FEF6849" w14:textId="77777777" w:rsidR="00911F59" w:rsidRDefault="00911F59">
      <w:pPr>
        <w:widowControl w:val="0"/>
        <w:autoSpaceDE w:val="0"/>
        <w:autoSpaceDN w:val="0"/>
        <w:adjustRightInd w:val="0"/>
        <w:rPr>
          <w:rFonts w:ascii="Times New Roman" w:hAnsi="Times New Roman" w:cs="Times New Roman"/>
          <w:b/>
          <w:sz w:val="20"/>
          <w:szCs w:val="20"/>
        </w:rPr>
      </w:pPr>
    </w:p>
    <w:p w14:paraId="4A5DD9B1" w14:textId="7F5565B5" w:rsidR="00D74D88" w:rsidRPr="008B30B9" w:rsidRDefault="005E7B85" w:rsidP="00741CA6">
      <w:pPr>
        <w:widowControl w:val="0"/>
        <w:autoSpaceDE w:val="0"/>
        <w:autoSpaceDN w:val="0"/>
        <w:adjustRightInd w:val="0"/>
        <w:spacing w:line="480" w:lineRule="auto"/>
        <w:rPr>
          <w:rFonts w:ascii="Times New Roman" w:hAnsi="Times New Roman" w:cs="Times New Roman"/>
        </w:rPr>
      </w:pPr>
      <w:r w:rsidRPr="008B30B9">
        <w:rPr>
          <w:rFonts w:ascii="Times New Roman" w:hAnsi="Times New Roman" w:cs="Times New Roman"/>
        </w:rPr>
        <w:t xml:space="preserve">Figure 1. </w:t>
      </w:r>
      <w:r w:rsidR="00426681" w:rsidRPr="008B30B9">
        <w:rPr>
          <w:rFonts w:ascii="Times New Roman" w:hAnsi="Times New Roman" w:cs="Times New Roman"/>
        </w:rPr>
        <w:t>R</w:t>
      </w:r>
      <w:r w:rsidRPr="008B30B9">
        <w:rPr>
          <w:rFonts w:ascii="Times New Roman" w:hAnsi="Times New Roman" w:cs="Times New Roman"/>
        </w:rPr>
        <w:t xml:space="preserve">elationships between </w:t>
      </w:r>
      <w:r w:rsidR="00426681" w:rsidRPr="008B30B9">
        <w:rPr>
          <w:rFonts w:ascii="Times New Roman" w:hAnsi="Times New Roman" w:cs="Times New Roman"/>
        </w:rPr>
        <w:t>covariates</w:t>
      </w:r>
      <w:r w:rsidR="00426681" w:rsidRPr="008B30B9" w:rsidDel="00426681">
        <w:rPr>
          <w:rFonts w:ascii="Times New Roman" w:hAnsi="Times New Roman" w:cs="Times New Roman"/>
        </w:rPr>
        <w:t xml:space="preserve"> </w:t>
      </w:r>
      <w:r w:rsidR="00426681" w:rsidRPr="008B30B9">
        <w:rPr>
          <w:rFonts w:ascii="Times New Roman" w:hAnsi="Times New Roman" w:cs="Times New Roman"/>
        </w:rPr>
        <w:t xml:space="preserve">and the </w:t>
      </w:r>
      <w:r w:rsidRPr="008B30B9">
        <w:rPr>
          <w:rFonts w:ascii="Times New Roman" w:hAnsi="Times New Roman" w:cs="Times New Roman"/>
        </w:rPr>
        <w:t>Bayesian posterior estimates for clearance</w:t>
      </w:r>
      <w:r w:rsidR="00017DFB" w:rsidRPr="008B30B9">
        <w:rPr>
          <w:rFonts w:ascii="Times New Roman" w:hAnsi="Times New Roman" w:cs="Times New Roman"/>
        </w:rPr>
        <w:t xml:space="preserve"> (Cl)</w:t>
      </w:r>
      <w:r w:rsidR="00E55180" w:rsidRPr="008B30B9">
        <w:rPr>
          <w:rFonts w:ascii="Times New Roman" w:hAnsi="Times New Roman" w:cs="Times New Roman"/>
        </w:rPr>
        <w:t xml:space="preserve"> and volume</w:t>
      </w:r>
      <w:r w:rsidR="00017DFB" w:rsidRPr="008B30B9">
        <w:rPr>
          <w:rFonts w:ascii="Times New Roman" w:hAnsi="Times New Roman" w:cs="Times New Roman"/>
        </w:rPr>
        <w:t xml:space="preserve"> (V)</w:t>
      </w:r>
      <w:r w:rsidR="00E55180" w:rsidRPr="008B30B9">
        <w:rPr>
          <w:rFonts w:ascii="Times New Roman" w:hAnsi="Times New Roman" w:cs="Times New Roman"/>
        </w:rPr>
        <w:t xml:space="preserve"> </w:t>
      </w:r>
      <w:r w:rsidR="00426681" w:rsidRPr="008B30B9">
        <w:rPr>
          <w:rFonts w:ascii="Times New Roman" w:hAnsi="Times New Roman" w:cs="Times New Roman"/>
        </w:rPr>
        <w:t xml:space="preserve">obtained </w:t>
      </w:r>
      <w:r w:rsidR="00E55180" w:rsidRPr="008B30B9">
        <w:rPr>
          <w:rFonts w:ascii="Times New Roman" w:hAnsi="Times New Roman" w:cs="Times New Roman"/>
        </w:rPr>
        <w:t xml:space="preserve">from the </w:t>
      </w:r>
      <w:r w:rsidR="00906CED" w:rsidRPr="008B30B9">
        <w:rPr>
          <w:rFonts w:ascii="Times New Roman" w:hAnsi="Times New Roman" w:cs="Times New Roman"/>
        </w:rPr>
        <w:t xml:space="preserve">base </w:t>
      </w:r>
      <w:r w:rsidR="00E55180" w:rsidRPr="008B30B9">
        <w:rPr>
          <w:rFonts w:ascii="Times New Roman" w:hAnsi="Times New Roman" w:cs="Times New Roman"/>
        </w:rPr>
        <w:t>model</w:t>
      </w:r>
      <w:r w:rsidR="00426681" w:rsidRPr="008B30B9">
        <w:rPr>
          <w:rFonts w:ascii="Times New Roman" w:hAnsi="Times New Roman" w:cs="Times New Roman"/>
        </w:rPr>
        <w:t xml:space="preserve">.  </w:t>
      </w:r>
    </w:p>
    <w:p w14:paraId="3E8068D0" w14:textId="61370D2D" w:rsidR="004D4F5A" w:rsidRPr="003F682E" w:rsidRDefault="00426681">
      <w:pPr>
        <w:widowControl w:val="0"/>
        <w:autoSpaceDE w:val="0"/>
        <w:autoSpaceDN w:val="0"/>
        <w:adjustRightInd w:val="0"/>
        <w:spacing w:line="480" w:lineRule="auto"/>
        <w:rPr>
          <w:rFonts w:ascii="Times New Roman" w:hAnsi="Times New Roman" w:cs="Times New Roman"/>
        </w:rPr>
      </w:pPr>
      <w:r w:rsidRPr="008B30B9">
        <w:rPr>
          <w:rFonts w:ascii="Times New Roman" w:hAnsi="Times New Roman" w:cs="Times New Roman"/>
        </w:rPr>
        <w:t>Panel</w:t>
      </w:r>
      <w:r w:rsidR="00E55180" w:rsidRPr="008B30B9">
        <w:rPr>
          <w:rFonts w:ascii="Times New Roman" w:hAnsi="Times New Roman" w:cs="Times New Roman"/>
        </w:rPr>
        <w:t xml:space="preserve"> </w:t>
      </w:r>
      <w:r w:rsidR="004805A2" w:rsidRPr="004805A2">
        <w:rPr>
          <w:rFonts w:ascii="Times New Roman" w:hAnsi="Times New Roman" w:cs="Times New Roman"/>
          <w:highlight w:val="yellow"/>
        </w:rPr>
        <w:t>A</w:t>
      </w:r>
      <w:r w:rsidR="00972C7E" w:rsidRPr="008B30B9">
        <w:rPr>
          <w:rFonts w:ascii="Times New Roman" w:hAnsi="Times New Roman" w:cs="Times New Roman"/>
        </w:rPr>
        <w:t>)</w:t>
      </w:r>
      <w:r w:rsidR="00E55180" w:rsidRPr="008B30B9">
        <w:rPr>
          <w:rFonts w:ascii="Times New Roman" w:hAnsi="Times New Roman" w:cs="Times New Roman"/>
        </w:rPr>
        <w:t xml:space="preserve"> linear and </w:t>
      </w:r>
      <w:r w:rsidR="004805A2" w:rsidRPr="004805A2">
        <w:rPr>
          <w:rFonts w:ascii="Times New Roman" w:hAnsi="Times New Roman" w:cs="Times New Roman"/>
          <w:highlight w:val="yellow"/>
        </w:rPr>
        <w:t>B</w:t>
      </w:r>
      <w:r w:rsidR="000E6D76" w:rsidRPr="008B30B9">
        <w:rPr>
          <w:rFonts w:ascii="Times New Roman" w:hAnsi="Times New Roman" w:cs="Times New Roman"/>
        </w:rPr>
        <w:t xml:space="preserve">) </w:t>
      </w:r>
      <w:r w:rsidR="00972C7E" w:rsidRPr="008B30B9">
        <w:rPr>
          <w:rFonts w:ascii="Times New Roman" w:hAnsi="Times New Roman" w:cs="Times New Roman"/>
        </w:rPr>
        <w:t>log</w:t>
      </w:r>
      <w:r w:rsidR="00182489" w:rsidRPr="008B30B9">
        <w:rPr>
          <w:rFonts w:ascii="Times New Roman" w:hAnsi="Times New Roman" w:cs="Times New Roman"/>
          <w:vertAlign w:val="subscript"/>
        </w:rPr>
        <w:t>10</w:t>
      </w:r>
      <w:r w:rsidR="00182489" w:rsidRPr="008B30B9">
        <w:rPr>
          <w:rFonts w:ascii="Times New Roman" w:hAnsi="Times New Roman" w:cs="Times New Roman"/>
        </w:rPr>
        <w:t>-log</w:t>
      </w:r>
      <w:r w:rsidR="00182489" w:rsidRPr="008B30B9">
        <w:rPr>
          <w:rFonts w:ascii="Times New Roman" w:hAnsi="Times New Roman" w:cs="Times New Roman"/>
          <w:vertAlign w:val="subscript"/>
        </w:rPr>
        <w:t>10</w:t>
      </w:r>
      <w:r w:rsidR="00EB7698" w:rsidRPr="008B30B9">
        <w:rPr>
          <w:rFonts w:ascii="Times New Roman" w:hAnsi="Times New Roman" w:cs="Times New Roman"/>
        </w:rPr>
        <w:t xml:space="preserve"> relationship</w:t>
      </w:r>
      <w:r w:rsidR="00E55180" w:rsidRPr="008B30B9">
        <w:rPr>
          <w:rFonts w:ascii="Times New Roman" w:hAnsi="Times New Roman" w:cs="Times New Roman"/>
        </w:rPr>
        <w:t xml:space="preserve"> between Cl and weight</w:t>
      </w:r>
      <w:r w:rsidR="00017DFB" w:rsidRPr="008B30B9">
        <w:rPr>
          <w:rFonts w:ascii="Times New Roman" w:hAnsi="Times New Roman" w:cs="Times New Roman"/>
        </w:rPr>
        <w:t xml:space="preserve"> (</w:t>
      </w:r>
      <w:proofErr w:type="spellStart"/>
      <w:r w:rsidR="00017DFB" w:rsidRPr="008B30B9">
        <w:rPr>
          <w:rFonts w:ascii="Times New Roman" w:hAnsi="Times New Roman" w:cs="Times New Roman"/>
        </w:rPr>
        <w:t>wt</w:t>
      </w:r>
      <w:proofErr w:type="spellEnd"/>
      <w:r w:rsidR="00017DFB" w:rsidRPr="008B30B9">
        <w:rPr>
          <w:rFonts w:ascii="Times New Roman" w:hAnsi="Times New Roman" w:cs="Times New Roman"/>
        </w:rPr>
        <w:t>)</w:t>
      </w:r>
      <w:r w:rsidR="006D413D" w:rsidRPr="008B30B9">
        <w:rPr>
          <w:rFonts w:ascii="Times New Roman" w:hAnsi="Times New Roman" w:cs="Times New Roman"/>
        </w:rPr>
        <w:t>, respectively</w:t>
      </w:r>
      <w:r w:rsidR="004805A2">
        <w:rPr>
          <w:rFonts w:ascii="Times New Roman" w:hAnsi="Times New Roman" w:cs="Times New Roman"/>
        </w:rPr>
        <w:t xml:space="preserve">; </w:t>
      </w:r>
      <w:r w:rsidR="004805A2" w:rsidRPr="004805A2">
        <w:rPr>
          <w:rFonts w:ascii="Times New Roman" w:hAnsi="Times New Roman" w:cs="Times New Roman"/>
          <w:highlight w:val="yellow"/>
        </w:rPr>
        <w:t>C</w:t>
      </w:r>
      <w:r w:rsidR="00972C7E" w:rsidRPr="008B30B9">
        <w:rPr>
          <w:rFonts w:ascii="Times New Roman" w:hAnsi="Times New Roman" w:cs="Times New Roman"/>
        </w:rPr>
        <w:t xml:space="preserve">) </w:t>
      </w:r>
      <w:r w:rsidR="004805A2">
        <w:rPr>
          <w:rFonts w:ascii="Times New Roman" w:hAnsi="Times New Roman" w:cs="Times New Roman"/>
        </w:rPr>
        <w:t xml:space="preserve">linear and </w:t>
      </w:r>
      <w:r w:rsidR="004805A2" w:rsidRPr="004805A2">
        <w:rPr>
          <w:rFonts w:ascii="Times New Roman" w:hAnsi="Times New Roman" w:cs="Times New Roman"/>
          <w:highlight w:val="yellow"/>
        </w:rPr>
        <w:t>D</w:t>
      </w:r>
      <w:r w:rsidR="000E6D76" w:rsidRPr="008B30B9">
        <w:rPr>
          <w:rFonts w:ascii="Times New Roman" w:hAnsi="Times New Roman" w:cs="Times New Roman"/>
        </w:rPr>
        <w:t>)</w:t>
      </w:r>
      <w:r w:rsidR="00EB7698" w:rsidRPr="008B30B9">
        <w:rPr>
          <w:rFonts w:ascii="Times New Roman" w:hAnsi="Times New Roman" w:cs="Times New Roman"/>
        </w:rPr>
        <w:t xml:space="preserve"> log</w:t>
      </w:r>
      <w:r w:rsidR="00EB7698" w:rsidRPr="008B30B9">
        <w:rPr>
          <w:rFonts w:ascii="Times New Roman" w:hAnsi="Times New Roman" w:cs="Times New Roman"/>
          <w:vertAlign w:val="subscript"/>
        </w:rPr>
        <w:t>10</w:t>
      </w:r>
      <w:r w:rsidR="00EB7698" w:rsidRPr="008B30B9">
        <w:rPr>
          <w:rFonts w:ascii="Times New Roman" w:hAnsi="Times New Roman" w:cs="Times New Roman"/>
        </w:rPr>
        <w:t>-log</w:t>
      </w:r>
      <w:r w:rsidR="00EB7698" w:rsidRPr="008B30B9">
        <w:rPr>
          <w:rFonts w:ascii="Times New Roman" w:hAnsi="Times New Roman" w:cs="Times New Roman"/>
          <w:vertAlign w:val="subscript"/>
        </w:rPr>
        <w:t>10</w:t>
      </w:r>
      <w:r w:rsidR="000E6D76" w:rsidRPr="008B30B9">
        <w:rPr>
          <w:rFonts w:ascii="Times New Roman" w:hAnsi="Times New Roman" w:cs="Times New Roman"/>
        </w:rPr>
        <w:t xml:space="preserve"> relationship</w:t>
      </w:r>
      <w:r w:rsidR="00E55180" w:rsidRPr="008B30B9">
        <w:rPr>
          <w:rFonts w:ascii="Times New Roman" w:hAnsi="Times New Roman" w:cs="Times New Roman"/>
        </w:rPr>
        <w:t xml:space="preserve"> betw</w:t>
      </w:r>
      <w:r w:rsidR="00017DFB" w:rsidRPr="008B30B9">
        <w:rPr>
          <w:rFonts w:ascii="Times New Roman" w:hAnsi="Times New Roman" w:cs="Times New Roman"/>
        </w:rPr>
        <w:t xml:space="preserve">een V and </w:t>
      </w:r>
      <w:proofErr w:type="spellStart"/>
      <w:r w:rsidR="00017DFB" w:rsidRPr="008B30B9">
        <w:rPr>
          <w:rFonts w:ascii="Times New Roman" w:hAnsi="Times New Roman" w:cs="Times New Roman"/>
        </w:rPr>
        <w:t>wt</w:t>
      </w:r>
      <w:proofErr w:type="spellEnd"/>
      <w:r w:rsidR="006D413D" w:rsidRPr="008B30B9">
        <w:rPr>
          <w:rFonts w:ascii="Times New Roman" w:hAnsi="Times New Roman" w:cs="Times New Roman"/>
        </w:rPr>
        <w:t>, respectively</w:t>
      </w:r>
      <w:r w:rsidR="004805A2">
        <w:rPr>
          <w:rFonts w:ascii="Times New Roman" w:hAnsi="Times New Roman" w:cs="Times New Roman"/>
        </w:rPr>
        <w:t xml:space="preserve">; </w:t>
      </w:r>
      <w:r w:rsidR="004805A2" w:rsidRPr="004805A2">
        <w:rPr>
          <w:rFonts w:ascii="Times New Roman" w:hAnsi="Times New Roman" w:cs="Times New Roman"/>
          <w:highlight w:val="yellow"/>
        </w:rPr>
        <w:t>E</w:t>
      </w:r>
      <w:r w:rsidR="00DF50D4" w:rsidRPr="008B30B9">
        <w:rPr>
          <w:rFonts w:ascii="Times New Roman" w:hAnsi="Times New Roman" w:cs="Times New Roman"/>
        </w:rPr>
        <w:t>)</w:t>
      </w:r>
      <w:r w:rsidR="00017DFB" w:rsidRPr="008B30B9">
        <w:rPr>
          <w:rFonts w:ascii="Times New Roman" w:hAnsi="Times New Roman" w:cs="Times New Roman"/>
        </w:rPr>
        <w:t xml:space="preserve"> Linear relationship</w:t>
      </w:r>
      <w:r w:rsidR="00DF50D4" w:rsidRPr="008B30B9">
        <w:rPr>
          <w:rFonts w:ascii="Times New Roman" w:hAnsi="Times New Roman" w:cs="Times New Roman"/>
        </w:rPr>
        <w:t xml:space="preserve"> between Cl</w:t>
      </w:r>
      <w:r w:rsidR="000E6D76" w:rsidRPr="008B30B9">
        <w:rPr>
          <w:rFonts w:ascii="Times New Roman" w:hAnsi="Times New Roman" w:cs="Times New Roman"/>
        </w:rPr>
        <w:t xml:space="preserve"> and age</w:t>
      </w:r>
      <w:r w:rsidR="00EB7698" w:rsidRPr="008B30B9">
        <w:rPr>
          <w:rFonts w:ascii="Times New Roman" w:hAnsi="Times New Roman" w:cs="Times New Roman"/>
        </w:rPr>
        <w:t xml:space="preserve"> (years)</w:t>
      </w:r>
      <w:r w:rsidR="00DF50D4" w:rsidRPr="008B30B9">
        <w:rPr>
          <w:rFonts w:ascii="Times New Roman" w:hAnsi="Times New Roman" w:cs="Times New Roman"/>
        </w:rPr>
        <w:t xml:space="preserve">, </w:t>
      </w:r>
      <w:r w:rsidR="004805A2" w:rsidRPr="004805A2">
        <w:rPr>
          <w:rFonts w:ascii="Times New Roman" w:hAnsi="Times New Roman" w:cs="Times New Roman"/>
          <w:highlight w:val="yellow"/>
        </w:rPr>
        <w:t>F</w:t>
      </w:r>
      <w:r w:rsidR="000E6D76" w:rsidRPr="008B30B9">
        <w:rPr>
          <w:rFonts w:ascii="Times New Roman" w:hAnsi="Times New Roman" w:cs="Times New Roman"/>
        </w:rPr>
        <w:t xml:space="preserve">) </w:t>
      </w:r>
      <w:r w:rsidR="00DF50D4" w:rsidRPr="008B30B9">
        <w:rPr>
          <w:rFonts w:ascii="Times New Roman" w:hAnsi="Times New Roman" w:cs="Times New Roman"/>
        </w:rPr>
        <w:t>V and age</w:t>
      </w:r>
      <w:r w:rsidR="00EB7698" w:rsidRPr="008B30B9">
        <w:rPr>
          <w:rFonts w:ascii="Times New Roman" w:hAnsi="Times New Roman" w:cs="Times New Roman"/>
        </w:rPr>
        <w:t xml:space="preserve"> (years)</w:t>
      </w:r>
      <w:r w:rsidR="00DF50D4" w:rsidRPr="008B30B9">
        <w:rPr>
          <w:rFonts w:ascii="Times New Roman" w:hAnsi="Times New Roman" w:cs="Times New Roman"/>
        </w:rPr>
        <w:t>;</w:t>
      </w:r>
      <w:r w:rsidR="00C234A5" w:rsidRPr="008B30B9">
        <w:rPr>
          <w:rFonts w:ascii="Times New Roman" w:hAnsi="Times New Roman" w:cs="Times New Roman"/>
        </w:rPr>
        <w:t xml:space="preserve"> </w:t>
      </w:r>
      <w:r w:rsidR="004805A2" w:rsidRPr="004805A2">
        <w:rPr>
          <w:rFonts w:ascii="Times New Roman" w:hAnsi="Times New Roman" w:cs="Times New Roman"/>
          <w:highlight w:val="yellow"/>
        </w:rPr>
        <w:t>G</w:t>
      </w:r>
      <w:r w:rsidR="00DF50D4" w:rsidRPr="008B30B9">
        <w:rPr>
          <w:rFonts w:ascii="Times New Roman" w:hAnsi="Times New Roman" w:cs="Times New Roman"/>
        </w:rPr>
        <w:t xml:space="preserve">) Cl and </w:t>
      </w:r>
      <w:proofErr w:type="spellStart"/>
      <w:r w:rsidR="00DF50D4" w:rsidRPr="008B30B9">
        <w:rPr>
          <w:rFonts w:ascii="Times New Roman" w:hAnsi="Times New Roman" w:cs="Times New Roman"/>
        </w:rPr>
        <w:t>eGFR</w:t>
      </w:r>
      <w:proofErr w:type="spellEnd"/>
      <w:r w:rsidR="00DF50D4" w:rsidRPr="008B30B9">
        <w:rPr>
          <w:rFonts w:ascii="Times New Roman" w:hAnsi="Times New Roman" w:cs="Times New Roman"/>
        </w:rPr>
        <w:t>,</w:t>
      </w:r>
      <w:r w:rsidR="004805A2">
        <w:rPr>
          <w:rFonts w:ascii="Times New Roman" w:hAnsi="Times New Roman" w:cs="Times New Roman"/>
        </w:rPr>
        <w:t xml:space="preserve"> </w:t>
      </w:r>
      <w:r w:rsidR="004805A2" w:rsidRPr="004805A2">
        <w:rPr>
          <w:rFonts w:ascii="Times New Roman" w:hAnsi="Times New Roman" w:cs="Times New Roman"/>
          <w:highlight w:val="yellow"/>
        </w:rPr>
        <w:t>H</w:t>
      </w:r>
      <w:r w:rsidR="000E6D76" w:rsidRPr="008B30B9">
        <w:rPr>
          <w:rFonts w:ascii="Times New Roman" w:hAnsi="Times New Roman" w:cs="Times New Roman"/>
        </w:rPr>
        <w:t>)</w:t>
      </w:r>
      <w:r w:rsidR="004805A2">
        <w:rPr>
          <w:rFonts w:ascii="Times New Roman" w:hAnsi="Times New Roman" w:cs="Times New Roman"/>
        </w:rPr>
        <w:t xml:space="preserve"> </w:t>
      </w:r>
      <w:proofErr w:type="spellStart"/>
      <w:r w:rsidR="004805A2">
        <w:rPr>
          <w:rFonts w:ascii="Times New Roman" w:hAnsi="Times New Roman" w:cs="Times New Roman"/>
        </w:rPr>
        <w:t>eGFR</w:t>
      </w:r>
      <w:proofErr w:type="spellEnd"/>
      <w:r w:rsidR="004805A2">
        <w:rPr>
          <w:rFonts w:ascii="Times New Roman" w:hAnsi="Times New Roman" w:cs="Times New Roman"/>
        </w:rPr>
        <w:t xml:space="preserve"> and age (years); </w:t>
      </w:r>
      <w:r w:rsidR="004805A2" w:rsidRPr="004805A2">
        <w:rPr>
          <w:rFonts w:ascii="Times New Roman" w:hAnsi="Times New Roman" w:cs="Times New Roman"/>
          <w:highlight w:val="yellow"/>
        </w:rPr>
        <w:t>I</w:t>
      </w:r>
      <w:r w:rsidR="00972C7E" w:rsidRPr="008B30B9">
        <w:rPr>
          <w:rFonts w:ascii="Times New Roman" w:hAnsi="Times New Roman" w:cs="Times New Roman"/>
        </w:rPr>
        <w:t xml:space="preserve">) </w:t>
      </w:r>
      <w:proofErr w:type="spellStart"/>
      <w:r w:rsidR="00DF50D4" w:rsidRPr="008B30B9">
        <w:rPr>
          <w:rFonts w:ascii="Times New Roman" w:hAnsi="Times New Roman" w:cs="Times New Roman"/>
        </w:rPr>
        <w:t>e</w:t>
      </w:r>
      <w:r w:rsidR="00972C7E" w:rsidRPr="008B30B9">
        <w:rPr>
          <w:rFonts w:ascii="Times New Roman" w:hAnsi="Times New Roman" w:cs="Times New Roman"/>
        </w:rPr>
        <w:t>GFR</w:t>
      </w:r>
      <w:proofErr w:type="spellEnd"/>
      <w:r w:rsidR="005E7B85" w:rsidRPr="008B30B9">
        <w:rPr>
          <w:rFonts w:ascii="Times New Roman" w:hAnsi="Times New Roman" w:cs="Times New Roman"/>
        </w:rPr>
        <w:t xml:space="preserve"> </w:t>
      </w:r>
      <w:r w:rsidR="006D413D" w:rsidRPr="008B30B9">
        <w:rPr>
          <w:rFonts w:ascii="Times New Roman" w:hAnsi="Times New Roman" w:cs="Times New Roman"/>
        </w:rPr>
        <w:t>versus</w:t>
      </w:r>
      <w:r w:rsidR="005E7B85" w:rsidRPr="008B30B9">
        <w:rPr>
          <w:rFonts w:ascii="Times New Roman" w:hAnsi="Times New Roman" w:cs="Times New Roman"/>
        </w:rPr>
        <w:t xml:space="preserve"> age</w:t>
      </w:r>
      <w:r w:rsidR="00DF50D4" w:rsidRPr="008B30B9">
        <w:rPr>
          <w:rFonts w:ascii="Times New Roman" w:hAnsi="Times New Roman" w:cs="Times New Roman"/>
        </w:rPr>
        <w:t xml:space="preserve"> </w:t>
      </w:r>
      <w:r w:rsidR="006D413D" w:rsidRPr="008B30B9">
        <w:rPr>
          <w:rFonts w:ascii="Times New Roman" w:hAnsi="Times New Roman" w:cs="Times New Roman"/>
        </w:rPr>
        <w:t xml:space="preserve">&lt;12 months, which shows two distinct periods of change in </w:t>
      </w:r>
      <w:proofErr w:type="spellStart"/>
      <w:r w:rsidR="006D413D" w:rsidRPr="008B30B9">
        <w:rPr>
          <w:rFonts w:ascii="Times New Roman" w:hAnsi="Times New Roman" w:cs="Times New Roman"/>
        </w:rPr>
        <w:t>eGFR</w:t>
      </w:r>
      <w:proofErr w:type="spellEnd"/>
      <w:r w:rsidR="006D413D" w:rsidRPr="008B30B9">
        <w:rPr>
          <w:rFonts w:ascii="Times New Roman" w:hAnsi="Times New Roman" w:cs="Times New Roman"/>
        </w:rPr>
        <w:t xml:space="preserve"> with age (i.e. &lt;0.25 and ≥0.25 </w:t>
      </w:r>
      <w:proofErr w:type="gramStart"/>
      <w:r w:rsidR="006D413D" w:rsidRPr="008B30B9">
        <w:rPr>
          <w:rFonts w:ascii="Times New Roman" w:hAnsi="Times New Roman" w:cs="Times New Roman"/>
        </w:rPr>
        <w:t>years</w:t>
      </w:r>
      <w:r w:rsidR="00E93940" w:rsidRPr="008B30B9">
        <w:rPr>
          <w:rFonts w:ascii="Times New Roman" w:hAnsi="Times New Roman" w:cs="Times New Roman"/>
        </w:rPr>
        <w:t xml:space="preserve"> .</w:t>
      </w:r>
      <w:proofErr w:type="gramEnd"/>
      <w:r w:rsidR="004805A2">
        <w:rPr>
          <w:rFonts w:ascii="Times New Roman" w:hAnsi="Times New Roman" w:cs="Times New Roman"/>
        </w:rPr>
        <w:t xml:space="preserve"> </w:t>
      </w:r>
      <w:r w:rsidR="004805A2" w:rsidRPr="004805A2">
        <w:rPr>
          <w:rFonts w:ascii="Times New Roman" w:hAnsi="Times New Roman" w:cs="Times New Roman"/>
          <w:highlight w:val="yellow"/>
        </w:rPr>
        <w:t>J</w:t>
      </w:r>
      <w:r w:rsidR="000E6D76" w:rsidRPr="008B30B9">
        <w:rPr>
          <w:rFonts w:ascii="Times New Roman" w:hAnsi="Times New Roman" w:cs="Times New Roman"/>
        </w:rPr>
        <w:t xml:space="preserve">) </w:t>
      </w:r>
      <w:r w:rsidR="00BD42F2" w:rsidRPr="008B30B9">
        <w:rPr>
          <w:rFonts w:ascii="Times New Roman" w:hAnsi="Times New Roman" w:cs="Times New Roman"/>
        </w:rPr>
        <w:t>The relationship</w:t>
      </w:r>
      <w:r w:rsidR="00DF50D4" w:rsidRPr="008B30B9">
        <w:rPr>
          <w:rFonts w:ascii="Times New Roman" w:hAnsi="Times New Roman" w:cs="Times New Roman"/>
        </w:rPr>
        <w:t xml:space="preserve"> between </w:t>
      </w:r>
      <w:proofErr w:type="spellStart"/>
      <w:r w:rsidR="00DF50D4" w:rsidRPr="008B30B9">
        <w:rPr>
          <w:rFonts w:ascii="Times New Roman" w:hAnsi="Times New Roman" w:cs="Times New Roman"/>
        </w:rPr>
        <w:t>eGFR</w:t>
      </w:r>
      <w:proofErr w:type="spellEnd"/>
      <w:r w:rsidR="00DF50D4" w:rsidRPr="008B30B9">
        <w:rPr>
          <w:rFonts w:ascii="Times New Roman" w:hAnsi="Times New Roman" w:cs="Times New Roman"/>
        </w:rPr>
        <w:t xml:space="preserve"> and</w:t>
      </w:r>
      <w:r w:rsidR="000E6D76" w:rsidRPr="008B30B9">
        <w:rPr>
          <w:rFonts w:ascii="Times New Roman" w:hAnsi="Times New Roman" w:cs="Times New Roman"/>
        </w:rPr>
        <w:t xml:space="preserve"> PMA (weeks)</w:t>
      </w:r>
      <w:r w:rsidR="006D2919" w:rsidRPr="008B30B9">
        <w:rPr>
          <w:rFonts w:ascii="Times New Roman" w:hAnsi="Times New Roman" w:cs="Times New Roman"/>
        </w:rPr>
        <w:t xml:space="preserve">, which </w:t>
      </w:r>
      <w:r w:rsidR="006D413D" w:rsidRPr="008B30B9">
        <w:rPr>
          <w:rFonts w:ascii="Times New Roman" w:hAnsi="Times New Roman" w:cs="Times New Roman"/>
        </w:rPr>
        <w:t xml:space="preserve">is </w:t>
      </w:r>
      <w:r w:rsidR="006D2919" w:rsidRPr="008B30B9">
        <w:rPr>
          <w:rFonts w:ascii="Times New Roman" w:hAnsi="Times New Roman" w:cs="Times New Roman"/>
        </w:rPr>
        <w:t xml:space="preserve">less informative </w:t>
      </w:r>
      <w:r w:rsidR="003675EB" w:rsidRPr="008B30B9">
        <w:rPr>
          <w:rFonts w:ascii="Times New Roman" w:hAnsi="Times New Roman" w:cs="Times New Roman"/>
        </w:rPr>
        <w:t>than age (years)</w:t>
      </w:r>
      <w:r w:rsidR="006D413D" w:rsidRPr="008B30B9">
        <w:rPr>
          <w:rFonts w:ascii="Times New Roman" w:hAnsi="Times New Roman" w:cs="Times New Roman"/>
        </w:rPr>
        <w:t xml:space="preserve"> </w:t>
      </w:r>
      <w:r w:rsidR="006D2919" w:rsidRPr="008B30B9">
        <w:rPr>
          <w:rFonts w:ascii="Times New Roman" w:hAnsi="Times New Roman" w:cs="Times New Roman"/>
        </w:rPr>
        <w:t>for the young infants.</w:t>
      </w:r>
      <w:r w:rsidR="006D413D" w:rsidRPr="008B30B9">
        <w:rPr>
          <w:rFonts w:ascii="Times New Roman" w:hAnsi="Times New Roman" w:cs="Times New Roman"/>
        </w:rPr>
        <w:t xml:space="preserve">  </w:t>
      </w:r>
      <w:r w:rsidR="00911F59" w:rsidRPr="008B30B9">
        <w:rPr>
          <w:rFonts w:ascii="Times New Roman" w:hAnsi="Times New Roman" w:cs="Times New Roman"/>
        </w:rPr>
        <w:t>The continuous line shows the linear regres</w:t>
      </w:r>
      <w:r w:rsidR="00DF50D4" w:rsidRPr="008B30B9">
        <w:rPr>
          <w:rFonts w:ascii="Times New Roman" w:hAnsi="Times New Roman" w:cs="Times New Roman"/>
        </w:rPr>
        <w:t xml:space="preserve">sion line and the dashed </w:t>
      </w:r>
      <w:r w:rsidR="00911F59" w:rsidRPr="008B30B9">
        <w:rPr>
          <w:rFonts w:ascii="Times New Roman" w:hAnsi="Times New Roman" w:cs="Times New Roman"/>
        </w:rPr>
        <w:t xml:space="preserve">line shows the LOWESS (locally weighted scatterplot smoothing) or local regression line, which highlights a </w:t>
      </w:r>
      <w:r w:rsidR="00017DFB" w:rsidRPr="008B30B9">
        <w:rPr>
          <w:rFonts w:ascii="Times New Roman" w:hAnsi="Times New Roman" w:cs="Times New Roman"/>
        </w:rPr>
        <w:t>Cl</w:t>
      </w:r>
      <w:r w:rsidR="006D413D" w:rsidRPr="008B30B9">
        <w:rPr>
          <w:rFonts w:ascii="Times New Roman" w:hAnsi="Times New Roman" w:cs="Times New Roman"/>
        </w:rPr>
        <w:t xml:space="preserve"> versus </w:t>
      </w:r>
      <w:proofErr w:type="spellStart"/>
      <w:r w:rsidR="00017DFB" w:rsidRPr="008B30B9">
        <w:rPr>
          <w:rFonts w:ascii="Times New Roman" w:hAnsi="Times New Roman" w:cs="Times New Roman"/>
        </w:rPr>
        <w:t>eGFR</w:t>
      </w:r>
      <w:proofErr w:type="spellEnd"/>
      <w:r w:rsidR="00017DFB" w:rsidRPr="008B30B9">
        <w:rPr>
          <w:rFonts w:ascii="Times New Roman" w:hAnsi="Times New Roman" w:cs="Times New Roman"/>
        </w:rPr>
        <w:t xml:space="preserve"> </w:t>
      </w:r>
      <w:r w:rsidR="00911F59" w:rsidRPr="008B30B9">
        <w:rPr>
          <w:rFonts w:ascii="Times New Roman" w:hAnsi="Times New Roman" w:cs="Times New Roman"/>
        </w:rPr>
        <w:t>relationship compatible with a power function, where GFR is the</w:t>
      </w:r>
      <w:r w:rsidR="00911F59" w:rsidRPr="003F682E">
        <w:rPr>
          <w:rFonts w:ascii="Times New Roman" w:hAnsi="Times New Roman" w:cs="Times New Roman"/>
        </w:rPr>
        <w:t xml:space="preserve"> independent var</w:t>
      </w:r>
      <w:r w:rsidR="00614E78" w:rsidRPr="003F682E">
        <w:rPr>
          <w:rFonts w:ascii="Times New Roman" w:hAnsi="Times New Roman" w:cs="Times New Roman"/>
        </w:rPr>
        <w:t>iable raised to a constant (pw)</w:t>
      </w:r>
      <w:r w:rsidR="00DF50D4" w:rsidRPr="003F682E">
        <w:rPr>
          <w:rFonts w:ascii="Times New Roman" w:hAnsi="Times New Roman" w:cs="Times New Roman"/>
        </w:rPr>
        <w:t xml:space="preserve"> in </w:t>
      </w:r>
      <w:r w:rsidR="004805A2" w:rsidRPr="004805A2">
        <w:rPr>
          <w:rFonts w:ascii="Times New Roman" w:hAnsi="Times New Roman" w:cs="Times New Roman"/>
          <w:highlight w:val="yellow"/>
        </w:rPr>
        <w:t>G</w:t>
      </w:r>
      <w:r w:rsidR="00614E78" w:rsidRPr="003675EB">
        <w:rPr>
          <w:rFonts w:ascii="Times New Roman" w:hAnsi="Times New Roman" w:cs="Times New Roman"/>
        </w:rPr>
        <w:t>.</w:t>
      </w:r>
    </w:p>
    <w:p w14:paraId="1C7054A1" w14:textId="77777777" w:rsidR="003F682E" w:rsidRDefault="003F682E">
      <w:pPr>
        <w:widowControl w:val="0"/>
        <w:autoSpaceDE w:val="0"/>
        <w:autoSpaceDN w:val="0"/>
        <w:adjustRightInd w:val="0"/>
        <w:spacing w:line="480" w:lineRule="auto"/>
        <w:rPr>
          <w:rFonts w:ascii="Times New Roman" w:hAnsi="Times New Roman" w:cs="Times New Roman"/>
          <w:b/>
        </w:rPr>
        <w:sectPr w:rsidR="003F682E" w:rsidSect="006D5EC2">
          <w:pgSz w:w="11900" w:h="16840"/>
          <w:pgMar w:top="1418" w:right="1701" w:bottom="1418" w:left="1701" w:header="709" w:footer="709" w:gutter="0"/>
          <w:lnNumType w:countBy="1" w:restart="continuous"/>
          <w:cols w:space="708"/>
          <w:docGrid w:linePitch="360"/>
        </w:sectPr>
      </w:pPr>
    </w:p>
    <w:p w14:paraId="5F41BCCE" w14:textId="05CCCA0F" w:rsidR="00972C7E" w:rsidRPr="003F682E" w:rsidRDefault="00972C7E">
      <w:pPr>
        <w:widowControl w:val="0"/>
        <w:autoSpaceDE w:val="0"/>
        <w:autoSpaceDN w:val="0"/>
        <w:adjustRightInd w:val="0"/>
        <w:spacing w:line="480" w:lineRule="auto"/>
        <w:rPr>
          <w:rFonts w:ascii="Times New Roman" w:hAnsi="Times New Roman" w:cs="Times New Roman"/>
          <w:b/>
        </w:rPr>
      </w:pPr>
    </w:p>
    <w:p w14:paraId="77F506B2" w14:textId="77777777" w:rsidR="00950544" w:rsidRDefault="00950544">
      <w:pPr>
        <w:widowControl w:val="0"/>
        <w:autoSpaceDE w:val="0"/>
        <w:autoSpaceDN w:val="0"/>
        <w:adjustRightInd w:val="0"/>
        <w:rPr>
          <w:rFonts w:ascii="Times New Roman" w:hAnsi="Times New Roman" w:cs="Times New Roman"/>
          <w:b/>
          <w:sz w:val="20"/>
          <w:szCs w:val="20"/>
        </w:rPr>
      </w:pPr>
    </w:p>
    <w:p w14:paraId="0E0ECF08" w14:textId="261C3F42" w:rsidR="00DB7015" w:rsidRDefault="00DB7015">
      <w:pPr>
        <w:widowControl w:val="0"/>
        <w:autoSpaceDE w:val="0"/>
        <w:autoSpaceDN w:val="0"/>
        <w:adjustRightInd w:val="0"/>
        <w:rPr>
          <w:rFonts w:ascii="Times New Roman" w:hAnsi="Times New Roman" w:cs="Times New Roman"/>
          <w:b/>
          <w:sz w:val="20"/>
          <w:szCs w:val="20"/>
        </w:rPr>
      </w:pPr>
    </w:p>
    <w:p w14:paraId="69291CD4" w14:textId="795FC374" w:rsidR="00950544" w:rsidRPr="006D2919" w:rsidRDefault="00C51E2D">
      <w:pPr>
        <w:widowControl w:val="0"/>
        <w:autoSpaceDE w:val="0"/>
        <w:autoSpaceDN w:val="0"/>
        <w:adjustRightInd w:val="0"/>
        <w:spacing w:line="480" w:lineRule="auto"/>
        <w:rPr>
          <w:rFonts w:ascii="Times New Roman" w:hAnsi="Times New Roman" w:cs="Times New Roman"/>
        </w:rPr>
      </w:pPr>
      <w:r w:rsidRPr="006D2919">
        <w:rPr>
          <w:rFonts w:ascii="Times New Roman" w:hAnsi="Times New Roman" w:cs="Times New Roman"/>
        </w:rPr>
        <w:t>Figure 2. Observed-predicted concentrations scatter plots for the final PK model before (population) (top) and after (individual posteriors) the Bayesian step (bottom</w:t>
      </w:r>
      <w:r w:rsidR="00FA4C9E" w:rsidRPr="006D2919">
        <w:rPr>
          <w:rFonts w:ascii="Times New Roman" w:hAnsi="Times New Roman" w:cs="Times New Roman"/>
        </w:rPr>
        <w:t>)</w:t>
      </w:r>
      <w:r w:rsidR="00840690" w:rsidRPr="006D2919">
        <w:rPr>
          <w:rFonts w:ascii="Times New Roman" w:hAnsi="Times New Roman" w:cs="Times New Roman"/>
        </w:rPr>
        <w:t xml:space="preserve"> using the median parameter values</w:t>
      </w:r>
      <w:r w:rsidR="00FA4C9E" w:rsidRPr="006D2919">
        <w:rPr>
          <w:rFonts w:ascii="Times New Roman" w:hAnsi="Times New Roman" w:cs="Times New Roman"/>
        </w:rPr>
        <w:t>.</w:t>
      </w:r>
      <w:r w:rsidR="006461EE" w:rsidRPr="006D2919">
        <w:rPr>
          <w:rFonts w:ascii="Times New Roman" w:hAnsi="Times New Roman" w:cs="Times New Roman"/>
        </w:rPr>
        <w:t xml:space="preserve"> </w:t>
      </w:r>
    </w:p>
    <w:p w14:paraId="699BDBCA" w14:textId="77777777" w:rsidR="00342DB2" w:rsidRDefault="00342DB2">
      <w:pPr>
        <w:widowControl w:val="0"/>
        <w:autoSpaceDE w:val="0"/>
        <w:autoSpaceDN w:val="0"/>
        <w:adjustRightInd w:val="0"/>
        <w:rPr>
          <w:rFonts w:ascii="Times New Roman" w:hAnsi="Times New Roman" w:cs="Times New Roman"/>
          <w:b/>
          <w:sz w:val="20"/>
          <w:szCs w:val="20"/>
        </w:rPr>
      </w:pPr>
    </w:p>
    <w:p w14:paraId="1B4BB3D8" w14:textId="77777777" w:rsidR="00E84284" w:rsidRDefault="00E84284">
      <w:pPr>
        <w:widowControl w:val="0"/>
        <w:autoSpaceDE w:val="0"/>
        <w:autoSpaceDN w:val="0"/>
        <w:adjustRightInd w:val="0"/>
        <w:rPr>
          <w:rFonts w:ascii="Times New Roman" w:hAnsi="Times New Roman" w:cs="Times New Roman"/>
          <w:b/>
          <w:sz w:val="20"/>
          <w:szCs w:val="20"/>
        </w:rPr>
        <w:sectPr w:rsidR="00E84284" w:rsidSect="006D5EC2">
          <w:pgSz w:w="11900" w:h="16840"/>
          <w:pgMar w:top="1418" w:right="1701" w:bottom="1418" w:left="1701" w:header="709" w:footer="709" w:gutter="0"/>
          <w:lnNumType w:countBy="1" w:restart="continuous"/>
          <w:cols w:space="708"/>
          <w:docGrid w:linePitch="360"/>
        </w:sectPr>
      </w:pPr>
    </w:p>
    <w:p w14:paraId="423F28AE" w14:textId="64AC16EF" w:rsidR="00342DB2" w:rsidRDefault="00342DB2">
      <w:pPr>
        <w:widowControl w:val="0"/>
        <w:autoSpaceDE w:val="0"/>
        <w:autoSpaceDN w:val="0"/>
        <w:adjustRightInd w:val="0"/>
        <w:rPr>
          <w:rFonts w:ascii="Times New Roman" w:hAnsi="Times New Roman" w:cs="Times New Roman"/>
          <w:b/>
          <w:sz w:val="20"/>
          <w:szCs w:val="20"/>
        </w:rPr>
      </w:pPr>
    </w:p>
    <w:p w14:paraId="51B90FA3" w14:textId="77777777" w:rsidR="0014092C" w:rsidRDefault="0014092C">
      <w:pPr>
        <w:widowControl w:val="0"/>
        <w:autoSpaceDE w:val="0"/>
        <w:autoSpaceDN w:val="0"/>
        <w:adjustRightInd w:val="0"/>
        <w:rPr>
          <w:rFonts w:ascii="Times New Roman" w:hAnsi="Times New Roman" w:cs="Times New Roman"/>
          <w:b/>
          <w:sz w:val="20"/>
          <w:szCs w:val="20"/>
        </w:rPr>
      </w:pPr>
    </w:p>
    <w:p w14:paraId="78143ABB" w14:textId="0B1FE4AE" w:rsidR="00E93E17" w:rsidRDefault="00E93E17">
      <w:pPr>
        <w:widowControl w:val="0"/>
        <w:autoSpaceDE w:val="0"/>
        <w:autoSpaceDN w:val="0"/>
        <w:adjustRightInd w:val="0"/>
        <w:rPr>
          <w:rFonts w:ascii="Times New Roman" w:hAnsi="Times New Roman" w:cs="Times New Roman"/>
          <w:b/>
          <w:sz w:val="20"/>
          <w:szCs w:val="20"/>
        </w:rPr>
      </w:pPr>
    </w:p>
    <w:p w14:paraId="0A6BDD44" w14:textId="4A62B326" w:rsidR="002C6BA5" w:rsidRPr="006D2919" w:rsidRDefault="007A6FC1">
      <w:pPr>
        <w:widowControl w:val="0"/>
        <w:autoSpaceDE w:val="0"/>
        <w:autoSpaceDN w:val="0"/>
        <w:adjustRightInd w:val="0"/>
        <w:spacing w:line="480" w:lineRule="auto"/>
        <w:rPr>
          <w:rFonts w:ascii="Times New Roman" w:hAnsi="Times New Roman" w:cs="Times New Roman"/>
        </w:rPr>
      </w:pPr>
      <w:r w:rsidRPr="008B30B9">
        <w:rPr>
          <w:rFonts w:ascii="Times New Roman" w:hAnsi="Times New Roman" w:cs="Times New Roman"/>
        </w:rPr>
        <w:t xml:space="preserve">Figure 3. </w:t>
      </w:r>
      <w:r w:rsidR="002C6BA5" w:rsidRPr="008B30B9">
        <w:rPr>
          <w:rFonts w:ascii="Times New Roman" w:hAnsi="Times New Roman" w:cs="Times New Roman"/>
        </w:rPr>
        <w:t>Normalized distribution predicted error (NPDE)</w:t>
      </w:r>
      <w:r w:rsidR="001376AE" w:rsidRPr="008B30B9">
        <w:rPr>
          <w:rFonts w:ascii="Times New Roman" w:hAnsi="Times New Roman" w:cs="Times New Roman"/>
        </w:rPr>
        <w:t>.</w:t>
      </w:r>
      <w:r w:rsidRPr="008B30B9">
        <w:rPr>
          <w:rFonts w:ascii="Times New Roman" w:hAnsi="Times New Roman" w:cs="Times New Roman"/>
        </w:rPr>
        <w:t xml:space="preserve"> </w:t>
      </w:r>
      <w:r w:rsidR="003675EB" w:rsidRPr="008B30B9">
        <w:rPr>
          <w:rFonts w:ascii="Times New Roman" w:hAnsi="Times New Roman" w:cs="Times New Roman"/>
        </w:rPr>
        <w:t>A:</w:t>
      </w:r>
      <w:r w:rsidR="00CF58AD" w:rsidRPr="008B30B9">
        <w:rPr>
          <w:rFonts w:ascii="Times New Roman" w:hAnsi="Times New Roman" w:cs="Times New Roman"/>
        </w:rPr>
        <w:t xml:space="preserve"> </w:t>
      </w:r>
      <w:r w:rsidR="002C6BA5" w:rsidRPr="008B30B9">
        <w:rPr>
          <w:rFonts w:ascii="Times New Roman" w:hAnsi="Times New Roman" w:cs="Times New Roman"/>
        </w:rPr>
        <w:t>Q-Q plot of the distribution of the NPDE versus the theoretical N (0</w:t>
      </w:r>
      <w:r w:rsidR="00EB14B5" w:rsidRPr="008B30B9">
        <w:rPr>
          <w:rFonts w:ascii="Times New Roman" w:hAnsi="Times New Roman" w:cs="Times New Roman"/>
        </w:rPr>
        <w:t>,</w:t>
      </w:r>
      <w:r w:rsidR="002C6BA5" w:rsidRPr="008B30B9">
        <w:rPr>
          <w:rFonts w:ascii="Times New Roman" w:hAnsi="Times New Roman" w:cs="Times New Roman"/>
        </w:rPr>
        <w:t>1) distribution</w:t>
      </w:r>
      <w:r w:rsidR="00F8473F" w:rsidRPr="008B30B9">
        <w:rPr>
          <w:rFonts w:ascii="Times New Roman" w:hAnsi="Times New Roman" w:cs="Times New Roman"/>
        </w:rPr>
        <w:t>;</w:t>
      </w:r>
      <w:r w:rsidR="006669D6" w:rsidRPr="008B30B9">
        <w:rPr>
          <w:rFonts w:ascii="Times New Roman" w:hAnsi="Times New Roman" w:cs="Times New Roman"/>
        </w:rPr>
        <w:t xml:space="preserve"> </w:t>
      </w:r>
      <w:r w:rsidR="003675EB" w:rsidRPr="008B30B9">
        <w:rPr>
          <w:rFonts w:ascii="Times New Roman" w:hAnsi="Times New Roman" w:cs="Times New Roman"/>
        </w:rPr>
        <w:t>B:</w:t>
      </w:r>
      <w:r w:rsidR="002C6BA5" w:rsidRPr="008B30B9">
        <w:rPr>
          <w:rFonts w:ascii="Times New Roman" w:hAnsi="Times New Roman" w:cs="Times New Roman"/>
        </w:rPr>
        <w:t xml:space="preserve"> a histogram of the distribution of the NPDE with the density of the standard Gaussian distribution overlaid. </w:t>
      </w:r>
      <w:r w:rsidR="00F55162" w:rsidRPr="008B30B9">
        <w:rPr>
          <w:rFonts w:ascii="Times New Roman" w:hAnsi="Times New Roman" w:cs="Times New Roman"/>
        </w:rPr>
        <w:t xml:space="preserve"> The results suggest</w:t>
      </w:r>
      <w:r w:rsidR="006D2919" w:rsidRPr="008B30B9">
        <w:rPr>
          <w:rFonts w:ascii="Times New Roman" w:hAnsi="Times New Roman" w:cs="Times New Roman"/>
        </w:rPr>
        <w:t xml:space="preserve"> an</w:t>
      </w:r>
      <w:r w:rsidR="00F55162" w:rsidRPr="008B30B9">
        <w:rPr>
          <w:rFonts w:ascii="Times New Roman" w:hAnsi="Times New Roman" w:cs="Times New Roman"/>
        </w:rPr>
        <w:t xml:space="preserve"> acceptable fit of the final model to the data</w:t>
      </w:r>
      <w:r w:rsidR="006D2919" w:rsidRPr="008B30B9">
        <w:rPr>
          <w:rFonts w:ascii="Times New Roman" w:hAnsi="Times New Roman" w:cs="Times New Roman"/>
        </w:rPr>
        <w:t>.</w:t>
      </w:r>
    </w:p>
    <w:p w14:paraId="12A570C7" w14:textId="77777777" w:rsidR="002C6BA5" w:rsidRDefault="002C6BA5">
      <w:pPr>
        <w:widowControl w:val="0"/>
        <w:autoSpaceDE w:val="0"/>
        <w:autoSpaceDN w:val="0"/>
        <w:adjustRightInd w:val="0"/>
        <w:spacing w:line="480" w:lineRule="auto"/>
        <w:rPr>
          <w:rFonts w:ascii="Times New Roman" w:hAnsi="Times New Roman" w:cs="Times New Roman"/>
          <w:b/>
        </w:rPr>
      </w:pPr>
    </w:p>
    <w:p w14:paraId="3E197507" w14:textId="1862E994" w:rsidR="008870ED" w:rsidRDefault="008870ED">
      <w:pPr>
        <w:rPr>
          <w:rFonts w:ascii="Times New Roman" w:hAnsi="Times New Roman" w:cs="Times New Roman"/>
          <w:b/>
        </w:rPr>
      </w:pPr>
      <w:r>
        <w:rPr>
          <w:rFonts w:ascii="Times New Roman" w:hAnsi="Times New Roman" w:cs="Times New Roman"/>
          <w:b/>
        </w:rPr>
        <w:br w:type="page"/>
      </w:r>
    </w:p>
    <w:p w14:paraId="25A79065" w14:textId="77777777" w:rsidR="002C6BA5" w:rsidRDefault="002C6BA5">
      <w:pPr>
        <w:widowControl w:val="0"/>
        <w:autoSpaceDE w:val="0"/>
        <w:autoSpaceDN w:val="0"/>
        <w:adjustRightInd w:val="0"/>
        <w:spacing w:line="480" w:lineRule="auto"/>
        <w:rPr>
          <w:rFonts w:ascii="Times New Roman" w:hAnsi="Times New Roman" w:cs="Times New Roman"/>
          <w:b/>
        </w:rPr>
      </w:pPr>
    </w:p>
    <w:p w14:paraId="28C2756D" w14:textId="26B1A8BF" w:rsidR="002C6BA5" w:rsidRDefault="002C6BA5">
      <w:pPr>
        <w:widowControl w:val="0"/>
        <w:autoSpaceDE w:val="0"/>
        <w:autoSpaceDN w:val="0"/>
        <w:adjustRightInd w:val="0"/>
        <w:spacing w:line="480" w:lineRule="auto"/>
        <w:rPr>
          <w:rFonts w:ascii="Times New Roman" w:hAnsi="Times New Roman" w:cs="Times New Roman"/>
          <w:b/>
        </w:rPr>
      </w:pPr>
    </w:p>
    <w:p w14:paraId="5389BFA5" w14:textId="77F0AE38" w:rsidR="002C6BA5" w:rsidRDefault="002C6BA5">
      <w:pPr>
        <w:widowControl w:val="0"/>
        <w:autoSpaceDE w:val="0"/>
        <w:autoSpaceDN w:val="0"/>
        <w:adjustRightInd w:val="0"/>
        <w:spacing w:line="480" w:lineRule="auto"/>
        <w:rPr>
          <w:rFonts w:ascii="Times New Roman" w:hAnsi="Times New Roman" w:cs="Times New Roman"/>
          <w:b/>
        </w:rPr>
      </w:pPr>
    </w:p>
    <w:p w14:paraId="43B41BE9" w14:textId="3AD3D8FA" w:rsidR="00485CE6" w:rsidRPr="008B30B9" w:rsidRDefault="007A6FC1">
      <w:pPr>
        <w:widowControl w:val="0"/>
        <w:autoSpaceDE w:val="0"/>
        <w:autoSpaceDN w:val="0"/>
        <w:adjustRightInd w:val="0"/>
        <w:spacing w:line="480" w:lineRule="auto"/>
        <w:rPr>
          <w:rFonts w:ascii="Times New Roman" w:hAnsi="Times New Roman" w:cs="Times New Roman"/>
        </w:rPr>
      </w:pPr>
      <w:r w:rsidRPr="008B30B9">
        <w:rPr>
          <w:rFonts w:ascii="Times New Roman" w:hAnsi="Times New Roman" w:cs="Times New Roman"/>
        </w:rPr>
        <w:t>Figure 4. Weighted resi</w:t>
      </w:r>
      <w:r w:rsidR="00485CE6" w:rsidRPr="008B30B9">
        <w:rPr>
          <w:rFonts w:ascii="Times New Roman" w:hAnsi="Times New Roman" w:cs="Times New Roman"/>
        </w:rPr>
        <w:t xml:space="preserve">dual error (predicted-observations) distributions. </w:t>
      </w:r>
    </w:p>
    <w:p w14:paraId="1241DCD0" w14:textId="413EB88B" w:rsidR="007A6FC1" w:rsidRPr="00485CE6" w:rsidRDefault="003675EB">
      <w:pPr>
        <w:widowControl w:val="0"/>
        <w:autoSpaceDE w:val="0"/>
        <w:autoSpaceDN w:val="0"/>
        <w:adjustRightInd w:val="0"/>
        <w:spacing w:line="480" w:lineRule="auto"/>
        <w:rPr>
          <w:rFonts w:ascii="Times New Roman" w:hAnsi="Times New Roman" w:cs="Times New Roman"/>
        </w:rPr>
      </w:pPr>
      <w:r w:rsidRPr="008B30B9">
        <w:rPr>
          <w:rFonts w:ascii="Times New Roman" w:hAnsi="Times New Roman" w:cs="Times New Roman"/>
        </w:rPr>
        <w:t>Panel A:</w:t>
      </w:r>
      <w:r w:rsidR="00485CE6" w:rsidRPr="008B30B9">
        <w:rPr>
          <w:rFonts w:ascii="Times New Roman" w:hAnsi="Times New Roman" w:cs="Times New Roman"/>
        </w:rPr>
        <w:t xml:space="preserve"> </w:t>
      </w:r>
      <w:r w:rsidR="00671433" w:rsidRPr="008B30B9">
        <w:rPr>
          <w:rFonts w:ascii="Times New Roman" w:hAnsi="Times New Roman" w:cs="Times New Roman"/>
        </w:rPr>
        <w:t>w</w:t>
      </w:r>
      <w:r w:rsidR="00485CE6" w:rsidRPr="008B30B9">
        <w:rPr>
          <w:rFonts w:ascii="Times New Roman" w:hAnsi="Times New Roman" w:cs="Times New Roman"/>
        </w:rPr>
        <w:t xml:space="preserve">eighted residuals vs. predictions; </w:t>
      </w:r>
      <w:r w:rsidRPr="008B30B9">
        <w:rPr>
          <w:rFonts w:ascii="Times New Roman" w:hAnsi="Times New Roman" w:cs="Times New Roman"/>
        </w:rPr>
        <w:t>B:</w:t>
      </w:r>
      <w:r w:rsidR="00485CE6" w:rsidRPr="008B30B9">
        <w:rPr>
          <w:rFonts w:ascii="Times New Roman" w:hAnsi="Times New Roman" w:cs="Times New Roman"/>
        </w:rPr>
        <w:t xml:space="preserve"> weighted residuals vs. time</w:t>
      </w:r>
      <w:r w:rsidR="00671433" w:rsidRPr="008B30B9">
        <w:rPr>
          <w:rFonts w:ascii="Times New Roman" w:hAnsi="Times New Roman" w:cs="Times New Roman"/>
        </w:rPr>
        <w:t>;</w:t>
      </w:r>
      <w:r w:rsidR="00485CE6" w:rsidRPr="008B30B9">
        <w:rPr>
          <w:rFonts w:ascii="Times New Roman" w:hAnsi="Times New Roman" w:cs="Times New Roman"/>
        </w:rPr>
        <w:t xml:space="preserve"> and </w:t>
      </w:r>
      <w:r w:rsidRPr="008B30B9">
        <w:rPr>
          <w:rFonts w:ascii="Times New Roman" w:hAnsi="Times New Roman" w:cs="Times New Roman"/>
        </w:rPr>
        <w:t>C:</w:t>
      </w:r>
      <w:r w:rsidR="00485CE6" w:rsidRPr="008B30B9">
        <w:rPr>
          <w:rFonts w:ascii="Times New Roman" w:hAnsi="Times New Roman" w:cs="Times New Roman"/>
        </w:rPr>
        <w:t xml:space="preserve"> histogram of residuals with a superimposed normal curve.</w:t>
      </w:r>
    </w:p>
    <w:p w14:paraId="535705A1" w14:textId="77777777" w:rsidR="007A6FC1" w:rsidRDefault="007A6FC1">
      <w:pPr>
        <w:widowControl w:val="0"/>
        <w:autoSpaceDE w:val="0"/>
        <w:autoSpaceDN w:val="0"/>
        <w:adjustRightInd w:val="0"/>
        <w:spacing w:line="480" w:lineRule="auto"/>
        <w:rPr>
          <w:rFonts w:ascii="Times New Roman" w:hAnsi="Times New Roman" w:cs="Times New Roman"/>
          <w:b/>
        </w:rPr>
      </w:pPr>
    </w:p>
    <w:p w14:paraId="3B1AA9EC" w14:textId="77777777" w:rsidR="008D2595" w:rsidRPr="00C51E2D" w:rsidRDefault="008D2595">
      <w:pPr>
        <w:widowControl w:val="0"/>
        <w:autoSpaceDE w:val="0"/>
        <w:autoSpaceDN w:val="0"/>
        <w:adjustRightInd w:val="0"/>
        <w:rPr>
          <w:rFonts w:ascii="Times New Roman" w:hAnsi="Times New Roman" w:cs="Times New Roman"/>
          <w:sz w:val="20"/>
          <w:szCs w:val="20"/>
        </w:rPr>
      </w:pPr>
    </w:p>
    <w:p w14:paraId="08F592E9" w14:textId="77777777" w:rsidR="001400EC" w:rsidRDefault="001400EC">
      <w:pPr>
        <w:widowControl w:val="0"/>
        <w:autoSpaceDE w:val="0"/>
        <w:autoSpaceDN w:val="0"/>
        <w:adjustRightInd w:val="0"/>
        <w:rPr>
          <w:rFonts w:ascii="Times New Roman" w:hAnsi="Times New Roman" w:cs="Times New Roman"/>
          <w:b/>
          <w:sz w:val="20"/>
          <w:szCs w:val="20"/>
        </w:rPr>
        <w:sectPr w:rsidR="001400EC" w:rsidSect="006D5EC2">
          <w:pgSz w:w="11900" w:h="16840"/>
          <w:pgMar w:top="1418" w:right="1701" w:bottom="1418" w:left="1701" w:header="709" w:footer="709" w:gutter="0"/>
          <w:lnNumType w:countBy="1" w:restart="continuous"/>
          <w:cols w:space="708"/>
          <w:docGrid w:linePitch="360"/>
        </w:sectPr>
      </w:pPr>
    </w:p>
    <w:p w14:paraId="5011B5C2" w14:textId="523326C6" w:rsidR="00857E51" w:rsidRDefault="00857E51">
      <w:pPr>
        <w:widowControl w:val="0"/>
        <w:autoSpaceDE w:val="0"/>
        <w:autoSpaceDN w:val="0"/>
        <w:adjustRightInd w:val="0"/>
        <w:rPr>
          <w:rFonts w:ascii="Times New Roman" w:hAnsi="Times New Roman" w:cs="Times New Roman"/>
          <w:b/>
          <w:sz w:val="20"/>
          <w:szCs w:val="20"/>
        </w:rPr>
      </w:pPr>
    </w:p>
    <w:p w14:paraId="5276A765" w14:textId="77777777" w:rsidR="001101D0" w:rsidRDefault="001101D0">
      <w:pPr>
        <w:widowControl w:val="0"/>
        <w:autoSpaceDE w:val="0"/>
        <w:autoSpaceDN w:val="0"/>
        <w:adjustRightInd w:val="0"/>
        <w:rPr>
          <w:rFonts w:ascii="Times New Roman" w:hAnsi="Times New Roman" w:cs="Times New Roman"/>
          <w:b/>
          <w:sz w:val="20"/>
          <w:szCs w:val="20"/>
        </w:rPr>
      </w:pPr>
    </w:p>
    <w:p w14:paraId="63013F62" w14:textId="200F7E60" w:rsidR="00C1422F" w:rsidRPr="006D2919" w:rsidRDefault="004805A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Figure </w:t>
      </w:r>
      <w:r w:rsidRPr="004805A2">
        <w:rPr>
          <w:rFonts w:ascii="Times New Roman" w:hAnsi="Times New Roman" w:cs="Times New Roman"/>
          <w:highlight w:val="yellow"/>
        </w:rPr>
        <w:t>5</w:t>
      </w:r>
      <w:r w:rsidR="00C16B33" w:rsidRPr="004805A2">
        <w:rPr>
          <w:rFonts w:ascii="Times New Roman" w:hAnsi="Times New Roman" w:cs="Times New Roman"/>
          <w:highlight w:val="yellow"/>
        </w:rPr>
        <w:t>.</w:t>
      </w:r>
      <w:r w:rsidR="00C16B33" w:rsidRPr="006D2919">
        <w:rPr>
          <w:rFonts w:ascii="Times New Roman" w:hAnsi="Times New Roman" w:cs="Times New Roman"/>
        </w:rPr>
        <w:t xml:space="preserve"> </w:t>
      </w:r>
      <w:r w:rsidR="00492655" w:rsidRPr="006D2919">
        <w:rPr>
          <w:rFonts w:ascii="Times New Roman" w:hAnsi="Times New Roman" w:cs="Times New Roman"/>
        </w:rPr>
        <w:t>Representat</w:t>
      </w:r>
      <w:r w:rsidR="00A519A9" w:rsidRPr="006D2919">
        <w:rPr>
          <w:rFonts w:ascii="Times New Roman" w:hAnsi="Times New Roman" w:cs="Times New Roman"/>
        </w:rPr>
        <w:t>ive plots from a</w:t>
      </w:r>
      <w:r w:rsidR="00A16011" w:rsidRPr="006D2919">
        <w:rPr>
          <w:rFonts w:ascii="Times New Roman" w:hAnsi="Times New Roman" w:cs="Times New Roman"/>
        </w:rPr>
        <w:t>n</w:t>
      </w:r>
      <w:r w:rsidR="00A519A9" w:rsidRPr="006D2919">
        <w:rPr>
          <w:rFonts w:ascii="Times New Roman" w:hAnsi="Times New Roman" w:cs="Times New Roman"/>
        </w:rPr>
        <w:t xml:space="preserve"> </w:t>
      </w:r>
      <w:r w:rsidR="00A16011" w:rsidRPr="006D2919">
        <w:rPr>
          <w:rFonts w:ascii="Times New Roman" w:hAnsi="Times New Roman" w:cs="Times New Roman"/>
        </w:rPr>
        <w:t>infant</w:t>
      </w:r>
      <w:r w:rsidR="00492655" w:rsidRPr="006D2919">
        <w:rPr>
          <w:rFonts w:ascii="Times New Roman" w:hAnsi="Times New Roman" w:cs="Times New Roman"/>
        </w:rPr>
        <w:t xml:space="preserve"> patient receiving </w:t>
      </w:r>
      <w:proofErr w:type="spellStart"/>
      <w:r w:rsidR="00492655" w:rsidRPr="006D2919">
        <w:rPr>
          <w:rFonts w:ascii="Times New Roman" w:hAnsi="Times New Roman" w:cs="Times New Roman"/>
        </w:rPr>
        <w:t>teicoplanin</w:t>
      </w:r>
      <w:proofErr w:type="spellEnd"/>
      <w:r w:rsidR="00492655" w:rsidRPr="006D2919">
        <w:rPr>
          <w:rFonts w:ascii="Times New Roman" w:hAnsi="Times New Roman" w:cs="Times New Roman"/>
        </w:rPr>
        <w:t xml:space="preserve"> for a </w:t>
      </w:r>
      <w:r w:rsidR="00C8734D" w:rsidRPr="006D2919">
        <w:rPr>
          <w:rFonts w:ascii="Times New Roman" w:hAnsi="Times New Roman" w:cs="Times New Roman"/>
        </w:rPr>
        <w:t xml:space="preserve">pre-dose </w:t>
      </w:r>
      <w:r w:rsidR="00492655" w:rsidRPr="006D2919">
        <w:rPr>
          <w:rFonts w:ascii="Times New Roman" w:hAnsi="Times New Roman" w:cs="Times New Roman"/>
        </w:rPr>
        <w:t xml:space="preserve">target of </w:t>
      </w:r>
      <w:r w:rsidR="00C8734D" w:rsidRPr="006D2919">
        <w:rPr>
          <w:rFonts w:ascii="Times New Roman" w:hAnsi="Times New Roman" w:cs="Times New Roman"/>
        </w:rPr>
        <w:t>15 mg/L from</w:t>
      </w:r>
      <w:r>
        <w:rPr>
          <w:rFonts w:ascii="Times New Roman" w:hAnsi="Times New Roman" w:cs="Times New Roman"/>
        </w:rPr>
        <w:t xml:space="preserve"> day 3 of therapy following </w:t>
      </w:r>
      <w:r w:rsidRPr="00EF09A1">
        <w:rPr>
          <w:rFonts w:ascii="Times New Roman" w:hAnsi="Times New Roman" w:cs="Times New Roman"/>
          <w:highlight w:val="yellow"/>
        </w:rPr>
        <w:t>A</w:t>
      </w:r>
      <w:r w:rsidR="00492655" w:rsidRPr="006D2919">
        <w:rPr>
          <w:rFonts w:ascii="Times New Roman" w:hAnsi="Times New Roman" w:cs="Times New Roman"/>
        </w:rPr>
        <w:t>) bolus admi</w:t>
      </w:r>
      <w:r>
        <w:rPr>
          <w:rFonts w:ascii="Times New Roman" w:hAnsi="Times New Roman" w:cs="Times New Roman"/>
        </w:rPr>
        <w:t xml:space="preserve">nistration; </w:t>
      </w:r>
      <w:r w:rsidRPr="00EF09A1">
        <w:rPr>
          <w:rFonts w:ascii="Times New Roman" w:hAnsi="Times New Roman" w:cs="Times New Roman"/>
          <w:highlight w:val="yellow"/>
        </w:rPr>
        <w:t>B</w:t>
      </w:r>
      <w:r>
        <w:rPr>
          <w:rFonts w:ascii="Times New Roman" w:hAnsi="Times New Roman" w:cs="Times New Roman"/>
        </w:rPr>
        <w:t>) 12h infusion. [</w:t>
      </w:r>
      <w:r w:rsidRPr="00EF09A1">
        <w:rPr>
          <w:rFonts w:ascii="Times New Roman" w:hAnsi="Times New Roman" w:cs="Times New Roman"/>
          <w:highlight w:val="yellow"/>
        </w:rPr>
        <w:t>A</w:t>
      </w:r>
      <w:r w:rsidR="00C1422F" w:rsidRPr="006D2919">
        <w:rPr>
          <w:rFonts w:ascii="Times New Roman" w:hAnsi="Times New Roman" w:cs="Times New Roman"/>
        </w:rPr>
        <w:t>)</w:t>
      </w:r>
      <w:r w:rsidR="00E84284" w:rsidRPr="006D2919">
        <w:rPr>
          <w:rFonts w:ascii="Times New Roman" w:hAnsi="Times New Roman" w:cs="Times New Roman"/>
        </w:rPr>
        <w:t xml:space="preserve"> </w:t>
      </w:r>
      <w:r w:rsidR="00C1422F" w:rsidRPr="006D2919">
        <w:rPr>
          <w:rFonts w:ascii="Times New Roman" w:hAnsi="Times New Roman" w:cs="Times New Roman"/>
        </w:rPr>
        <w:t>Bolus administration: Dose required by day 2: 143.4 mg (22.3 mg/kg); day 3: 97.22 mg (15.4 mg/k</w:t>
      </w:r>
      <w:r>
        <w:rPr>
          <w:rFonts w:ascii="Times New Roman" w:hAnsi="Times New Roman" w:cs="Times New Roman"/>
        </w:rPr>
        <w:t xml:space="preserve">g); day 4: 87.74 (13.9 mg/kg); </w:t>
      </w:r>
      <w:r w:rsidRPr="00EF09A1">
        <w:rPr>
          <w:rFonts w:ascii="Times New Roman" w:hAnsi="Times New Roman" w:cs="Times New Roman"/>
          <w:highlight w:val="yellow"/>
        </w:rPr>
        <w:t>B</w:t>
      </w:r>
      <w:r w:rsidR="00C1422F" w:rsidRPr="006D2919">
        <w:rPr>
          <w:rFonts w:ascii="Times New Roman" w:hAnsi="Times New Roman" w:cs="Times New Roman"/>
        </w:rPr>
        <w:t>) 12h infusion: Dose required by day 2: 112.02 mg (17.8 mg/kg); day 3: 81.72 mg (12.97 mg/kg); day 4: 74.64 mg (11.8 mg/</w:t>
      </w:r>
      <w:r w:rsidR="00EF09A1">
        <w:rPr>
          <w:rFonts w:ascii="Times New Roman" w:hAnsi="Times New Roman" w:cs="Times New Roman"/>
        </w:rPr>
        <w:t>kg)</w:t>
      </w:r>
      <w:r w:rsidR="00C1422F" w:rsidRPr="006D2919">
        <w:rPr>
          <w:rFonts w:ascii="Times New Roman" w:hAnsi="Times New Roman" w:cs="Times New Roman"/>
        </w:rPr>
        <w:t>].</w:t>
      </w:r>
    </w:p>
    <w:p w14:paraId="34D20720" w14:textId="77777777" w:rsidR="00DC2CC6" w:rsidRDefault="00DC2CC6">
      <w:pPr>
        <w:widowControl w:val="0"/>
        <w:autoSpaceDE w:val="0"/>
        <w:autoSpaceDN w:val="0"/>
        <w:adjustRightInd w:val="0"/>
        <w:rPr>
          <w:rFonts w:ascii="Times New Roman" w:hAnsi="Times New Roman" w:cs="Times New Roman"/>
          <w:b/>
          <w:sz w:val="20"/>
          <w:szCs w:val="20"/>
        </w:rPr>
      </w:pPr>
    </w:p>
    <w:p w14:paraId="78683256" w14:textId="77777777" w:rsidR="00362B77" w:rsidRDefault="00362B77">
      <w:pPr>
        <w:widowControl w:val="0"/>
        <w:autoSpaceDE w:val="0"/>
        <w:autoSpaceDN w:val="0"/>
        <w:adjustRightInd w:val="0"/>
        <w:rPr>
          <w:rFonts w:ascii="Times New Roman" w:hAnsi="Times New Roman" w:cs="Times New Roman"/>
          <w:b/>
          <w:sz w:val="20"/>
          <w:szCs w:val="20"/>
        </w:rPr>
        <w:sectPr w:rsidR="00362B77" w:rsidSect="006D5EC2">
          <w:pgSz w:w="11900" w:h="16840"/>
          <w:pgMar w:top="1418" w:right="1701" w:bottom="1418" w:left="1701" w:header="709" w:footer="709" w:gutter="0"/>
          <w:lnNumType w:countBy="1" w:restart="continuous"/>
          <w:cols w:space="708"/>
          <w:docGrid w:linePitch="360"/>
        </w:sectPr>
      </w:pPr>
    </w:p>
    <w:p w14:paraId="505FF3AB" w14:textId="54D5A069" w:rsidR="000E06D8" w:rsidRDefault="000E06D8">
      <w:pPr>
        <w:widowControl w:val="0"/>
        <w:autoSpaceDE w:val="0"/>
        <w:autoSpaceDN w:val="0"/>
        <w:adjustRightInd w:val="0"/>
        <w:rPr>
          <w:rFonts w:ascii="Times New Roman" w:hAnsi="Times New Roman" w:cs="Times New Roman"/>
          <w:b/>
          <w:sz w:val="20"/>
          <w:szCs w:val="20"/>
        </w:rPr>
      </w:pPr>
    </w:p>
    <w:p w14:paraId="0C13CCA7" w14:textId="4A38C28C" w:rsidR="001E5EA1" w:rsidRDefault="001E5EA1">
      <w:pPr>
        <w:widowControl w:val="0"/>
        <w:autoSpaceDE w:val="0"/>
        <w:autoSpaceDN w:val="0"/>
        <w:adjustRightInd w:val="0"/>
        <w:rPr>
          <w:rFonts w:ascii="Times New Roman" w:hAnsi="Times New Roman" w:cs="Times New Roman"/>
          <w:b/>
          <w:sz w:val="20"/>
          <w:szCs w:val="20"/>
        </w:rPr>
      </w:pPr>
    </w:p>
    <w:p w14:paraId="5F3F32F7" w14:textId="701AE68E" w:rsidR="00A519A9" w:rsidRPr="00EF09A1" w:rsidRDefault="004805A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Figure </w:t>
      </w:r>
      <w:r w:rsidRPr="00EF09A1">
        <w:rPr>
          <w:rFonts w:ascii="Times New Roman" w:hAnsi="Times New Roman" w:cs="Times New Roman"/>
          <w:highlight w:val="yellow"/>
        </w:rPr>
        <w:t>6</w:t>
      </w:r>
      <w:r w:rsidR="00A519A9" w:rsidRPr="006D2919">
        <w:rPr>
          <w:rFonts w:ascii="Times New Roman" w:hAnsi="Times New Roman" w:cs="Times New Roman"/>
        </w:rPr>
        <w:t xml:space="preserve">. Representative plots from an older child patient receiving </w:t>
      </w:r>
      <w:proofErr w:type="spellStart"/>
      <w:r w:rsidR="00A519A9" w:rsidRPr="006D2919">
        <w:rPr>
          <w:rFonts w:ascii="Times New Roman" w:hAnsi="Times New Roman" w:cs="Times New Roman"/>
        </w:rPr>
        <w:t>teicoplanin</w:t>
      </w:r>
      <w:proofErr w:type="spellEnd"/>
      <w:r w:rsidR="00A519A9" w:rsidRPr="006D2919">
        <w:rPr>
          <w:rFonts w:ascii="Times New Roman" w:hAnsi="Times New Roman" w:cs="Times New Roman"/>
        </w:rPr>
        <w:t xml:space="preserve"> for </w:t>
      </w:r>
      <w:r w:rsidR="00F1478F" w:rsidRPr="006D2919">
        <w:rPr>
          <w:rFonts w:ascii="Times New Roman" w:hAnsi="Times New Roman" w:cs="Times New Roman"/>
        </w:rPr>
        <w:t>a</w:t>
      </w:r>
      <w:r w:rsidR="00C8734D" w:rsidRPr="006D2919">
        <w:rPr>
          <w:rFonts w:ascii="Times New Roman" w:hAnsi="Times New Roman" w:cs="Times New Roman"/>
        </w:rPr>
        <w:t xml:space="preserve"> pre-dose</w:t>
      </w:r>
      <w:r w:rsidR="00F1478F" w:rsidRPr="006D2919">
        <w:rPr>
          <w:rFonts w:ascii="Times New Roman" w:hAnsi="Times New Roman" w:cs="Times New Roman"/>
        </w:rPr>
        <w:t xml:space="preserve"> target of 15 mg/L </w:t>
      </w:r>
      <w:r w:rsidR="00C8734D" w:rsidRPr="006D2919">
        <w:rPr>
          <w:rFonts w:ascii="Times New Roman" w:hAnsi="Times New Roman" w:cs="Times New Roman"/>
        </w:rPr>
        <w:t xml:space="preserve">from </w:t>
      </w:r>
      <w:r w:rsidR="00EF09A1">
        <w:rPr>
          <w:rFonts w:ascii="Times New Roman" w:hAnsi="Times New Roman" w:cs="Times New Roman"/>
        </w:rPr>
        <w:t xml:space="preserve">day 3 of therapy following </w:t>
      </w:r>
      <w:r w:rsidR="00EF09A1" w:rsidRPr="00EF09A1">
        <w:rPr>
          <w:rFonts w:ascii="Times New Roman" w:hAnsi="Times New Roman" w:cs="Times New Roman"/>
          <w:highlight w:val="yellow"/>
        </w:rPr>
        <w:t>A</w:t>
      </w:r>
      <w:r w:rsidR="00EF09A1">
        <w:rPr>
          <w:rFonts w:ascii="Times New Roman" w:hAnsi="Times New Roman" w:cs="Times New Roman"/>
        </w:rPr>
        <w:t xml:space="preserve">) bolus administration; </w:t>
      </w:r>
      <w:r w:rsidR="00EF09A1" w:rsidRPr="00EF09A1">
        <w:rPr>
          <w:rFonts w:ascii="Times New Roman" w:hAnsi="Times New Roman" w:cs="Times New Roman"/>
          <w:highlight w:val="yellow"/>
        </w:rPr>
        <w:t>B</w:t>
      </w:r>
      <w:r w:rsidR="00A519A9" w:rsidRPr="006D2919">
        <w:rPr>
          <w:rFonts w:ascii="Times New Roman" w:hAnsi="Times New Roman" w:cs="Times New Roman"/>
        </w:rPr>
        <w:t>) 1</w:t>
      </w:r>
      <w:r w:rsidR="00EF09A1">
        <w:rPr>
          <w:rFonts w:ascii="Times New Roman" w:hAnsi="Times New Roman" w:cs="Times New Roman"/>
        </w:rPr>
        <w:t xml:space="preserve">2h </w:t>
      </w:r>
      <w:proofErr w:type="gramStart"/>
      <w:r w:rsidR="00EF09A1">
        <w:rPr>
          <w:rFonts w:ascii="Times New Roman" w:hAnsi="Times New Roman" w:cs="Times New Roman"/>
        </w:rPr>
        <w:t>infusion.[</w:t>
      </w:r>
      <w:proofErr w:type="gramEnd"/>
      <w:r w:rsidR="00EF09A1" w:rsidRPr="00EF09A1">
        <w:rPr>
          <w:rFonts w:ascii="Times New Roman" w:hAnsi="Times New Roman" w:cs="Times New Roman"/>
          <w:highlight w:val="yellow"/>
        </w:rPr>
        <w:t>A</w:t>
      </w:r>
      <w:r w:rsidR="00C1422F" w:rsidRPr="006D2919">
        <w:rPr>
          <w:rFonts w:ascii="Times New Roman" w:hAnsi="Times New Roman" w:cs="Times New Roman"/>
        </w:rPr>
        <w:t>) Bolus administration: Dose required by day 2: 300.62 mg (18.4 mg/kg); day 3: 78.64 mg (4.8 mg/kg)</w:t>
      </w:r>
      <w:r w:rsidR="00EF09A1">
        <w:rPr>
          <w:rFonts w:ascii="Times New Roman" w:hAnsi="Times New Roman" w:cs="Times New Roman"/>
        </w:rPr>
        <w:t xml:space="preserve">; day 4: 61.75 mg (3.8 mg/kg); </w:t>
      </w:r>
      <w:r w:rsidR="00EF09A1" w:rsidRPr="00EF09A1">
        <w:rPr>
          <w:rFonts w:ascii="Times New Roman" w:hAnsi="Times New Roman" w:cs="Times New Roman"/>
          <w:highlight w:val="yellow"/>
        </w:rPr>
        <w:t>B</w:t>
      </w:r>
      <w:r w:rsidR="00C1422F" w:rsidRPr="006D2919">
        <w:rPr>
          <w:rFonts w:ascii="Times New Roman" w:hAnsi="Times New Roman" w:cs="Times New Roman"/>
        </w:rPr>
        <w:t>) 12h infusion: Dose required by day 2: 276.5 mg (17 mg/kg); day 3: 83.71 mg (5.1 mg/kg) and day 4: 62.38 mg (3.8 mg/kg</w:t>
      </w:r>
      <w:r w:rsidR="00EF09A1">
        <w:rPr>
          <w:rFonts w:ascii="Times New Roman" w:hAnsi="Times New Roman" w:cs="Times New Roman"/>
        </w:rPr>
        <w:t>)</w:t>
      </w:r>
      <w:r w:rsidR="00C1422F" w:rsidRPr="006D2919">
        <w:rPr>
          <w:rFonts w:ascii="Times New Roman" w:hAnsi="Times New Roman" w:cs="Times New Roman"/>
        </w:rPr>
        <w:t>].</w:t>
      </w:r>
    </w:p>
    <w:p w14:paraId="1693101D" w14:textId="77777777" w:rsidR="00A519A9" w:rsidRPr="003F682E" w:rsidRDefault="00A519A9">
      <w:pPr>
        <w:widowControl w:val="0"/>
        <w:autoSpaceDE w:val="0"/>
        <w:autoSpaceDN w:val="0"/>
        <w:adjustRightInd w:val="0"/>
        <w:spacing w:line="480" w:lineRule="auto"/>
        <w:rPr>
          <w:rFonts w:ascii="Times New Roman" w:hAnsi="Times New Roman" w:cs="Times New Roman"/>
          <w:b/>
        </w:rPr>
      </w:pPr>
    </w:p>
    <w:sectPr w:rsidR="00A519A9" w:rsidRPr="003F682E" w:rsidSect="006D5EC2">
      <w:pgSz w:w="11900" w:h="16840"/>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21A1" w14:textId="77777777" w:rsidR="00901624" w:rsidRDefault="00901624" w:rsidP="004C6D18">
      <w:r>
        <w:separator/>
      </w:r>
    </w:p>
  </w:endnote>
  <w:endnote w:type="continuationSeparator" w:id="0">
    <w:p w14:paraId="1E2AEB44" w14:textId="77777777" w:rsidR="00901624" w:rsidRDefault="00901624" w:rsidP="004C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Bold Italic">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3095D" w14:textId="77777777" w:rsidR="008609C1" w:rsidRDefault="008609C1" w:rsidP="004C6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B0DA8" w14:textId="77777777" w:rsidR="008609C1" w:rsidRDefault="008609C1" w:rsidP="004C6D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C7ED" w14:textId="77777777" w:rsidR="008609C1" w:rsidRDefault="008609C1" w:rsidP="004C6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13F">
      <w:rPr>
        <w:rStyle w:val="PageNumber"/>
        <w:noProof/>
      </w:rPr>
      <w:t>37</w:t>
    </w:r>
    <w:r>
      <w:rPr>
        <w:rStyle w:val="PageNumber"/>
      </w:rPr>
      <w:fldChar w:fldCharType="end"/>
    </w:r>
  </w:p>
  <w:p w14:paraId="5DC18079" w14:textId="77777777" w:rsidR="008609C1" w:rsidRDefault="008609C1" w:rsidP="004C6D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2133B" w14:textId="77777777" w:rsidR="00901624" w:rsidRDefault="00901624" w:rsidP="004C6D18">
      <w:r>
        <w:separator/>
      </w:r>
    </w:p>
  </w:footnote>
  <w:footnote w:type="continuationSeparator" w:id="0">
    <w:p w14:paraId="4DC91C41" w14:textId="77777777" w:rsidR="00901624" w:rsidRDefault="00901624" w:rsidP="004C6D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1C5341"/>
    <w:multiLevelType w:val="hybridMultilevel"/>
    <w:tmpl w:val="678AB2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FD02DB9"/>
    <w:multiLevelType w:val="hybridMultilevel"/>
    <w:tmpl w:val="5B3696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3FD62D3"/>
    <w:multiLevelType w:val="hybridMultilevel"/>
    <w:tmpl w:val="D4FEC5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67D17C8"/>
    <w:multiLevelType w:val="hybridMultilevel"/>
    <w:tmpl w:val="9224E5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8F6715D"/>
    <w:multiLevelType w:val="hybridMultilevel"/>
    <w:tmpl w:val="C00638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BDA57E0"/>
    <w:multiLevelType w:val="hybridMultilevel"/>
    <w:tmpl w:val="25B03CA8"/>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107EDB"/>
    <w:multiLevelType w:val="hybridMultilevel"/>
    <w:tmpl w:val="755CBF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9C"/>
    <w:rsid w:val="00011BF7"/>
    <w:rsid w:val="00012896"/>
    <w:rsid w:val="000131F9"/>
    <w:rsid w:val="000152B1"/>
    <w:rsid w:val="00017DFB"/>
    <w:rsid w:val="00020630"/>
    <w:rsid w:val="0002427F"/>
    <w:rsid w:val="0002564F"/>
    <w:rsid w:val="00031C9B"/>
    <w:rsid w:val="000346D9"/>
    <w:rsid w:val="000367AC"/>
    <w:rsid w:val="0003719F"/>
    <w:rsid w:val="00040D4E"/>
    <w:rsid w:val="000431E1"/>
    <w:rsid w:val="00043EDC"/>
    <w:rsid w:val="00044789"/>
    <w:rsid w:val="000459C3"/>
    <w:rsid w:val="00050EFF"/>
    <w:rsid w:val="0005159C"/>
    <w:rsid w:val="000541AA"/>
    <w:rsid w:val="00056145"/>
    <w:rsid w:val="00060380"/>
    <w:rsid w:val="00063D2D"/>
    <w:rsid w:val="00065350"/>
    <w:rsid w:val="00067981"/>
    <w:rsid w:val="00071129"/>
    <w:rsid w:val="0007152B"/>
    <w:rsid w:val="0007679B"/>
    <w:rsid w:val="00077ED6"/>
    <w:rsid w:val="00080E75"/>
    <w:rsid w:val="000835E4"/>
    <w:rsid w:val="00085AAF"/>
    <w:rsid w:val="000933D9"/>
    <w:rsid w:val="00094264"/>
    <w:rsid w:val="00094D67"/>
    <w:rsid w:val="00097B15"/>
    <w:rsid w:val="000A1176"/>
    <w:rsid w:val="000B16A4"/>
    <w:rsid w:val="000B2A1E"/>
    <w:rsid w:val="000B2CE6"/>
    <w:rsid w:val="000B2EB8"/>
    <w:rsid w:val="000C0176"/>
    <w:rsid w:val="000C3A38"/>
    <w:rsid w:val="000C720D"/>
    <w:rsid w:val="000D55E9"/>
    <w:rsid w:val="000D5FD6"/>
    <w:rsid w:val="000D66CA"/>
    <w:rsid w:val="000D7BC0"/>
    <w:rsid w:val="000E06D8"/>
    <w:rsid w:val="000E31FF"/>
    <w:rsid w:val="000E486C"/>
    <w:rsid w:val="000E6D76"/>
    <w:rsid w:val="000F08A9"/>
    <w:rsid w:val="000F0ACA"/>
    <w:rsid w:val="000F1BF4"/>
    <w:rsid w:val="000F23CA"/>
    <w:rsid w:val="000F3E57"/>
    <w:rsid w:val="001049CB"/>
    <w:rsid w:val="001101D0"/>
    <w:rsid w:val="001108A3"/>
    <w:rsid w:val="00110DA4"/>
    <w:rsid w:val="00110E7C"/>
    <w:rsid w:val="0011493A"/>
    <w:rsid w:val="00117188"/>
    <w:rsid w:val="001172FB"/>
    <w:rsid w:val="0012011E"/>
    <w:rsid w:val="001218B9"/>
    <w:rsid w:val="00122CC6"/>
    <w:rsid w:val="00126EEA"/>
    <w:rsid w:val="001277B5"/>
    <w:rsid w:val="00127F48"/>
    <w:rsid w:val="0013157A"/>
    <w:rsid w:val="001352B4"/>
    <w:rsid w:val="00136432"/>
    <w:rsid w:val="001376AE"/>
    <w:rsid w:val="001400EC"/>
    <w:rsid w:val="0014092C"/>
    <w:rsid w:val="0014121C"/>
    <w:rsid w:val="00142A05"/>
    <w:rsid w:val="0015293E"/>
    <w:rsid w:val="00154A7F"/>
    <w:rsid w:val="00160BCB"/>
    <w:rsid w:val="00162531"/>
    <w:rsid w:val="00163963"/>
    <w:rsid w:val="00176A54"/>
    <w:rsid w:val="00180959"/>
    <w:rsid w:val="00182489"/>
    <w:rsid w:val="00182947"/>
    <w:rsid w:val="001868C1"/>
    <w:rsid w:val="00187444"/>
    <w:rsid w:val="001919F4"/>
    <w:rsid w:val="00192063"/>
    <w:rsid w:val="001955CF"/>
    <w:rsid w:val="00195B7A"/>
    <w:rsid w:val="00197137"/>
    <w:rsid w:val="001A1397"/>
    <w:rsid w:val="001A33D8"/>
    <w:rsid w:val="001A4DAA"/>
    <w:rsid w:val="001B0CB8"/>
    <w:rsid w:val="001B1AA6"/>
    <w:rsid w:val="001B29FB"/>
    <w:rsid w:val="001C1D35"/>
    <w:rsid w:val="001C5B4F"/>
    <w:rsid w:val="001C5F65"/>
    <w:rsid w:val="001C788E"/>
    <w:rsid w:val="001C78B2"/>
    <w:rsid w:val="001D19F6"/>
    <w:rsid w:val="001D625B"/>
    <w:rsid w:val="001D7AC7"/>
    <w:rsid w:val="001E5EA1"/>
    <w:rsid w:val="001E6257"/>
    <w:rsid w:val="001F05D7"/>
    <w:rsid w:val="001F1F42"/>
    <w:rsid w:val="001F5556"/>
    <w:rsid w:val="002014F9"/>
    <w:rsid w:val="0020374D"/>
    <w:rsid w:val="002048F7"/>
    <w:rsid w:val="00204E35"/>
    <w:rsid w:val="0021138E"/>
    <w:rsid w:val="00212C8C"/>
    <w:rsid w:val="00214F6E"/>
    <w:rsid w:val="00241239"/>
    <w:rsid w:val="00247A79"/>
    <w:rsid w:val="00250318"/>
    <w:rsid w:val="002545C4"/>
    <w:rsid w:val="00257FA3"/>
    <w:rsid w:val="0026229F"/>
    <w:rsid w:val="00264AFE"/>
    <w:rsid w:val="0026511E"/>
    <w:rsid w:val="002653E2"/>
    <w:rsid w:val="002657EF"/>
    <w:rsid w:val="00267904"/>
    <w:rsid w:val="00267FEF"/>
    <w:rsid w:val="00271738"/>
    <w:rsid w:val="00274CD2"/>
    <w:rsid w:val="00274D9B"/>
    <w:rsid w:val="00283ABC"/>
    <w:rsid w:val="00285742"/>
    <w:rsid w:val="00291480"/>
    <w:rsid w:val="002A0A45"/>
    <w:rsid w:val="002A4B44"/>
    <w:rsid w:val="002A4B59"/>
    <w:rsid w:val="002A4BF5"/>
    <w:rsid w:val="002A63C3"/>
    <w:rsid w:val="002A660A"/>
    <w:rsid w:val="002A6BC4"/>
    <w:rsid w:val="002B63BC"/>
    <w:rsid w:val="002B66E5"/>
    <w:rsid w:val="002C1836"/>
    <w:rsid w:val="002C54A8"/>
    <w:rsid w:val="002C5C90"/>
    <w:rsid w:val="002C6BA5"/>
    <w:rsid w:val="002D2D9E"/>
    <w:rsid w:val="002D3973"/>
    <w:rsid w:val="002D43F9"/>
    <w:rsid w:val="002E0520"/>
    <w:rsid w:val="002E211F"/>
    <w:rsid w:val="002E3605"/>
    <w:rsid w:val="002E52D9"/>
    <w:rsid w:val="002F3289"/>
    <w:rsid w:val="002F359A"/>
    <w:rsid w:val="002F695B"/>
    <w:rsid w:val="002F787D"/>
    <w:rsid w:val="003025EE"/>
    <w:rsid w:val="003039C3"/>
    <w:rsid w:val="00304B3A"/>
    <w:rsid w:val="00304D59"/>
    <w:rsid w:val="003050F3"/>
    <w:rsid w:val="00305430"/>
    <w:rsid w:val="003058B8"/>
    <w:rsid w:val="00307E8A"/>
    <w:rsid w:val="0031274F"/>
    <w:rsid w:val="0031310A"/>
    <w:rsid w:val="00316E6E"/>
    <w:rsid w:val="00317218"/>
    <w:rsid w:val="00323506"/>
    <w:rsid w:val="00331037"/>
    <w:rsid w:val="00332680"/>
    <w:rsid w:val="00333B14"/>
    <w:rsid w:val="00334EB3"/>
    <w:rsid w:val="00342DB2"/>
    <w:rsid w:val="00344930"/>
    <w:rsid w:val="00344C72"/>
    <w:rsid w:val="0036107C"/>
    <w:rsid w:val="00361FB9"/>
    <w:rsid w:val="00362B77"/>
    <w:rsid w:val="003675EB"/>
    <w:rsid w:val="00371CC1"/>
    <w:rsid w:val="0037311F"/>
    <w:rsid w:val="00373A7B"/>
    <w:rsid w:val="00373C88"/>
    <w:rsid w:val="003749F3"/>
    <w:rsid w:val="00376BB9"/>
    <w:rsid w:val="00383E95"/>
    <w:rsid w:val="00385119"/>
    <w:rsid w:val="003908DC"/>
    <w:rsid w:val="003A2247"/>
    <w:rsid w:val="003A6997"/>
    <w:rsid w:val="003A78D1"/>
    <w:rsid w:val="003B13F5"/>
    <w:rsid w:val="003B2F2F"/>
    <w:rsid w:val="003B48DF"/>
    <w:rsid w:val="003B4D95"/>
    <w:rsid w:val="003C1A7F"/>
    <w:rsid w:val="003C1BEC"/>
    <w:rsid w:val="003C202F"/>
    <w:rsid w:val="003C3F90"/>
    <w:rsid w:val="003C6A85"/>
    <w:rsid w:val="003C7130"/>
    <w:rsid w:val="003D0288"/>
    <w:rsid w:val="003D2057"/>
    <w:rsid w:val="003D231D"/>
    <w:rsid w:val="003D299A"/>
    <w:rsid w:val="003D4B4B"/>
    <w:rsid w:val="003D74A4"/>
    <w:rsid w:val="003D7C9D"/>
    <w:rsid w:val="003D7FCF"/>
    <w:rsid w:val="003E2419"/>
    <w:rsid w:val="003E53CF"/>
    <w:rsid w:val="003E6AD3"/>
    <w:rsid w:val="003E7CCD"/>
    <w:rsid w:val="003F5BA9"/>
    <w:rsid w:val="003F682E"/>
    <w:rsid w:val="00400442"/>
    <w:rsid w:val="00401465"/>
    <w:rsid w:val="004078A0"/>
    <w:rsid w:val="004107AD"/>
    <w:rsid w:val="004130D7"/>
    <w:rsid w:val="0041491B"/>
    <w:rsid w:val="00420BCF"/>
    <w:rsid w:val="00423A94"/>
    <w:rsid w:val="00423F36"/>
    <w:rsid w:val="00426681"/>
    <w:rsid w:val="004269A5"/>
    <w:rsid w:val="004273BE"/>
    <w:rsid w:val="00427A0E"/>
    <w:rsid w:val="004302F8"/>
    <w:rsid w:val="0043305B"/>
    <w:rsid w:val="00433FFD"/>
    <w:rsid w:val="00436597"/>
    <w:rsid w:val="004367EE"/>
    <w:rsid w:val="00437085"/>
    <w:rsid w:val="004379C5"/>
    <w:rsid w:val="004433BA"/>
    <w:rsid w:val="00444585"/>
    <w:rsid w:val="00445D6D"/>
    <w:rsid w:val="00455DD6"/>
    <w:rsid w:val="00456737"/>
    <w:rsid w:val="00457F4F"/>
    <w:rsid w:val="00463CFD"/>
    <w:rsid w:val="004676D9"/>
    <w:rsid w:val="00471F78"/>
    <w:rsid w:val="00472980"/>
    <w:rsid w:val="00474E61"/>
    <w:rsid w:val="0047592B"/>
    <w:rsid w:val="004800AA"/>
    <w:rsid w:val="004803A7"/>
    <w:rsid w:val="004805A2"/>
    <w:rsid w:val="00485864"/>
    <w:rsid w:val="00485CE6"/>
    <w:rsid w:val="004914B4"/>
    <w:rsid w:val="00492655"/>
    <w:rsid w:val="004960B6"/>
    <w:rsid w:val="004972AE"/>
    <w:rsid w:val="004A1E2D"/>
    <w:rsid w:val="004A61ED"/>
    <w:rsid w:val="004B1234"/>
    <w:rsid w:val="004B48C9"/>
    <w:rsid w:val="004B4AD6"/>
    <w:rsid w:val="004B59EC"/>
    <w:rsid w:val="004C0421"/>
    <w:rsid w:val="004C21D6"/>
    <w:rsid w:val="004C2C99"/>
    <w:rsid w:val="004C31B6"/>
    <w:rsid w:val="004C6539"/>
    <w:rsid w:val="004C6D18"/>
    <w:rsid w:val="004C71F0"/>
    <w:rsid w:val="004D1899"/>
    <w:rsid w:val="004D4F5A"/>
    <w:rsid w:val="004D53E5"/>
    <w:rsid w:val="004E4506"/>
    <w:rsid w:val="004E6547"/>
    <w:rsid w:val="004F0F17"/>
    <w:rsid w:val="004F2D75"/>
    <w:rsid w:val="004F2DD2"/>
    <w:rsid w:val="004F3FF9"/>
    <w:rsid w:val="004F4DAC"/>
    <w:rsid w:val="004F504F"/>
    <w:rsid w:val="004F5055"/>
    <w:rsid w:val="004F6F95"/>
    <w:rsid w:val="005018AD"/>
    <w:rsid w:val="005045C9"/>
    <w:rsid w:val="005062F5"/>
    <w:rsid w:val="00520145"/>
    <w:rsid w:val="0052232C"/>
    <w:rsid w:val="005223E8"/>
    <w:rsid w:val="00522A8F"/>
    <w:rsid w:val="005231BF"/>
    <w:rsid w:val="0052484D"/>
    <w:rsid w:val="00531CD9"/>
    <w:rsid w:val="005324D3"/>
    <w:rsid w:val="00535CD0"/>
    <w:rsid w:val="005405A4"/>
    <w:rsid w:val="0054289A"/>
    <w:rsid w:val="00542D2B"/>
    <w:rsid w:val="00543A3A"/>
    <w:rsid w:val="005466C1"/>
    <w:rsid w:val="00547F9F"/>
    <w:rsid w:val="00551E31"/>
    <w:rsid w:val="0055502B"/>
    <w:rsid w:val="00556887"/>
    <w:rsid w:val="00561D8D"/>
    <w:rsid w:val="00567310"/>
    <w:rsid w:val="005727F9"/>
    <w:rsid w:val="00572DC9"/>
    <w:rsid w:val="0057616C"/>
    <w:rsid w:val="00583704"/>
    <w:rsid w:val="00584C71"/>
    <w:rsid w:val="00585BA7"/>
    <w:rsid w:val="0059097C"/>
    <w:rsid w:val="00590CC3"/>
    <w:rsid w:val="00593BD6"/>
    <w:rsid w:val="005A20F2"/>
    <w:rsid w:val="005A5EE9"/>
    <w:rsid w:val="005A6A1D"/>
    <w:rsid w:val="005B01CC"/>
    <w:rsid w:val="005B0AE1"/>
    <w:rsid w:val="005B3694"/>
    <w:rsid w:val="005B3E96"/>
    <w:rsid w:val="005B4323"/>
    <w:rsid w:val="005B650B"/>
    <w:rsid w:val="005C1B43"/>
    <w:rsid w:val="005C3B59"/>
    <w:rsid w:val="005C43CB"/>
    <w:rsid w:val="005C6E11"/>
    <w:rsid w:val="005E0753"/>
    <w:rsid w:val="005E7B85"/>
    <w:rsid w:val="005F1D05"/>
    <w:rsid w:val="005F3B51"/>
    <w:rsid w:val="005F4E18"/>
    <w:rsid w:val="005F5C4A"/>
    <w:rsid w:val="005F6551"/>
    <w:rsid w:val="006000F6"/>
    <w:rsid w:val="00601157"/>
    <w:rsid w:val="00604549"/>
    <w:rsid w:val="006063C4"/>
    <w:rsid w:val="00606753"/>
    <w:rsid w:val="006072A9"/>
    <w:rsid w:val="00612815"/>
    <w:rsid w:val="00614E78"/>
    <w:rsid w:val="006150F7"/>
    <w:rsid w:val="0062001E"/>
    <w:rsid w:val="00626F44"/>
    <w:rsid w:val="0064002A"/>
    <w:rsid w:val="00640790"/>
    <w:rsid w:val="0064130B"/>
    <w:rsid w:val="006461EE"/>
    <w:rsid w:val="00646F32"/>
    <w:rsid w:val="006541B1"/>
    <w:rsid w:val="00654F3D"/>
    <w:rsid w:val="006647F4"/>
    <w:rsid w:val="00666263"/>
    <w:rsid w:val="006669D6"/>
    <w:rsid w:val="00667FE9"/>
    <w:rsid w:val="00670388"/>
    <w:rsid w:val="00670DCB"/>
    <w:rsid w:val="00671373"/>
    <w:rsid w:val="00671433"/>
    <w:rsid w:val="0067467F"/>
    <w:rsid w:val="006803E9"/>
    <w:rsid w:val="00682497"/>
    <w:rsid w:val="00682F7E"/>
    <w:rsid w:val="00683CD0"/>
    <w:rsid w:val="0068613F"/>
    <w:rsid w:val="00687D48"/>
    <w:rsid w:val="00695A0F"/>
    <w:rsid w:val="006A016C"/>
    <w:rsid w:val="006A0982"/>
    <w:rsid w:val="006A2F48"/>
    <w:rsid w:val="006A48A6"/>
    <w:rsid w:val="006A4DF7"/>
    <w:rsid w:val="006A6AE3"/>
    <w:rsid w:val="006B12AF"/>
    <w:rsid w:val="006B483D"/>
    <w:rsid w:val="006B6D33"/>
    <w:rsid w:val="006B721E"/>
    <w:rsid w:val="006C07B2"/>
    <w:rsid w:val="006C13C0"/>
    <w:rsid w:val="006C241C"/>
    <w:rsid w:val="006C2BEA"/>
    <w:rsid w:val="006D0BB0"/>
    <w:rsid w:val="006D2919"/>
    <w:rsid w:val="006D413D"/>
    <w:rsid w:val="006D5EC2"/>
    <w:rsid w:val="006E0FA5"/>
    <w:rsid w:val="006E3EBD"/>
    <w:rsid w:val="006E58C9"/>
    <w:rsid w:val="006E6036"/>
    <w:rsid w:val="006F6DCE"/>
    <w:rsid w:val="006F7797"/>
    <w:rsid w:val="006F79E9"/>
    <w:rsid w:val="0070095E"/>
    <w:rsid w:val="007021FB"/>
    <w:rsid w:val="00706FCC"/>
    <w:rsid w:val="0070735E"/>
    <w:rsid w:val="00710807"/>
    <w:rsid w:val="00712F70"/>
    <w:rsid w:val="00713462"/>
    <w:rsid w:val="00713C33"/>
    <w:rsid w:val="0071442B"/>
    <w:rsid w:val="0071542D"/>
    <w:rsid w:val="007206ED"/>
    <w:rsid w:val="00720A9C"/>
    <w:rsid w:val="00721976"/>
    <w:rsid w:val="00722A78"/>
    <w:rsid w:val="00724982"/>
    <w:rsid w:val="007252D9"/>
    <w:rsid w:val="00726C30"/>
    <w:rsid w:val="00733945"/>
    <w:rsid w:val="007362D7"/>
    <w:rsid w:val="00737A43"/>
    <w:rsid w:val="00741CA6"/>
    <w:rsid w:val="00743210"/>
    <w:rsid w:val="0075108A"/>
    <w:rsid w:val="007532D4"/>
    <w:rsid w:val="00753966"/>
    <w:rsid w:val="00755DEA"/>
    <w:rsid w:val="0075635C"/>
    <w:rsid w:val="0075703C"/>
    <w:rsid w:val="00761768"/>
    <w:rsid w:val="00761DC7"/>
    <w:rsid w:val="00764AB4"/>
    <w:rsid w:val="00765013"/>
    <w:rsid w:val="00765324"/>
    <w:rsid w:val="007660D5"/>
    <w:rsid w:val="00767D6E"/>
    <w:rsid w:val="00772484"/>
    <w:rsid w:val="0077318F"/>
    <w:rsid w:val="00774A0E"/>
    <w:rsid w:val="007779C4"/>
    <w:rsid w:val="007951C5"/>
    <w:rsid w:val="007A00A3"/>
    <w:rsid w:val="007A1CE9"/>
    <w:rsid w:val="007A2246"/>
    <w:rsid w:val="007A4151"/>
    <w:rsid w:val="007A6FC1"/>
    <w:rsid w:val="007B5A52"/>
    <w:rsid w:val="007C0B2D"/>
    <w:rsid w:val="007C1265"/>
    <w:rsid w:val="007C5933"/>
    <w:rsid w:val="007C5E47"/>
    <w:rsid w:val="007C6F93"/>
    <w:rsid w:val="007C7070"/>
    <w:rsid w:val="007D3682"/>
    <w:rsid w:val="007E056D"/>
    <w:rsid w:val="007E1BB7"/>
    <w:rsid w:val="007E30DF"/>
    <w:rsid w:val="007E4A9E"/>
    <w:rsid w:val="007E5B65"/>
    <w:rsid w:val="007F0E31"/>
    <w:rsid w:val="007F10F9"/>
    <w:rsid w:val="007F12CD"/>
    <w:rsid w:val="007F6B48"/>
    <w:rsid w:val="00800D48"/>
    <w:rsid w:val="00800D9D"/>
    <w:rsid w:val="00804FB1"/>
    <w:rsid w:val="0080745E"/>
    <w:rsid w:val="00810DBC"/>
    <w:rsid w:val="008110AF"/>
    <w:rsid w:val="008120E0"/>
    <w:rsid w:val="0081232D"/>
    <w:rsid w:val="0081327F"/>
    <w:rsid w:val="00820C23"/>
    <w:rsid w:val="00821300"/>
    <w:rsid w:val="0082472E"/>
    <w:rsid w:val="008250BB"/>
    <w:rsid w:val="00827FAD"/>
    <w:rsid w:val="008311A4"/>
    <w:rsid w:val="00831AF5"/>
    <w:rsid w:val="008346CB"/>
    <w:rsid w:val="0083763B"/>
    <w:rsid w:val="00837C21"/>
    <w:rsid w:val="00837CA6"/>
    <w:rsid w:val="00840690"/>
    <w:rsid w:val="00840BC0"/>
    <w:rsid w:val="00845A36"/>
    <w:rsid w:val="008479FC"/>
    <w:rsid w:val="00857E51"/>
    <w:rsid w:val="008609C1"/>
    <w:rsid w:val="0086213C"/>
    <w:rsid w:val="0086451D"/>
    <w:rsid w:val="00865C54"/>
    <w:rsid w:val="00871644"/>
    <w:rsid w:val="00880EFA"/>
    <w:rsid w:val="00882EBB"/>
    <w:rsid w:val="0088337E"/>
    <w:rsid w:val="0088369B"/>
    <w:rsid w:val="0088588D"/>
    <w:rsid w:val="0088591D"/>
    <w:rsid w:val="00885DFD"/>
    <w:rsid w:val="008870ED"/>
    <w:rsid w:val="00887F08"/>
    <w:rsid w:val="00890208"/>
    <w:rsid w:val="0089414B"/>
    <w:rsid w:val="008A0705"/>
    <w:rsid w:val="008B17BB"/>
    <w:rsid w:val="008B2283"/>
    <w:rsid w:val="008B2B54"/>
    <w:rsid w:val="008B30B9"/>
    <w:rsid w:val="008B4A29"/>
    <w:rsid w:val="008B5918"/>
    <w:rsid w:val="008B5D4F"/>
    <w:rsid w:val="008B6B36"/>
    <w:rsid w:val="008C4B31"/>
    <w:rsid w:val="008C4B6C"/>
    <w:rsid w:val="008D220D"/>
    <w:rsid w:val="008D2595"/>
    <w:rsid w:val="008D5588"/>
    <w:rsid w:val="008D70EE"/>
    <w:rsid w:val="008E352D"/>
    <w:rsid w:val="008F140F"/>
    <w:rsid w:val="008F1FE4"/>
    <w:rsid w:val="008F4D78"/>
    <w:rsid w:val="008F618A"/>
    <w:rsid w:val="008F7774"/>
    <w:rsid w:val="00900B2E"/>
    <w:rsid w:val="00901624"/>
    <w:rsid w:val="00902416"/>
    <w:rsid w:val="009040B7"/>
    <w:rsid w:val="00906CED"/>
    <w:rsid w:val="009070AC"/>
    <w:rsid w:val="009075AD"/>
    <w:rsid w:val="00907B26"/>
    <w:rsid w:val="00910F85"/>
    <w:rsid w:val="00911F59"/>
    <w:rsid w:val="0092668D"/>
    <w:rsid w:val="009301EE"/>
    <w:rsid w:val="00930C08"/>
    <w:rsid w:val="00932F57"/>
    <w:rsid w:val="00933665"/>
    <w:rsid w:val="00941BF8"/>
    <w:rsid w:val="00944B18"/>
    <w:rsid w:val="00950544"/>
    <w:rsid w:val="009515A4"/>
    <w:rsid w:val="00953BE9"/>
    <w:rsid w:val="009548C3"/>
    <w:rsid w:val="00972C7E"/>
    <w:rsid w:val="009737E2"/>
    <w:rsid w:val="00976E63"/>
    <w:rsid w:val="00977718"/>
    <w:rsid w:val="0098067C"/>
    <w:rsid w:val="00980F16"/>
    <w:rsid w:val="0098148A"/>
    <w:rsid w:val="00990A16"/>
    <w:rsid w:val="00991859"/>
    <w:rsid w:val="00992047"/>
    <w:rsid w:val="0099312C"/>
    <w:rsid w:val="00995339"/>
    <w:rsid w:val="00996A1D"/>
    <w:rsid w:val="00996D87"/>
    <w:rsid w:val="009A00FA"/>
    <w:rsid w:val="009A73F1"/>
    <w:rsid w:val="009B5F01"/>
    <w:rsid w:val="009B78B8"/>
    <w:rsid w:val="009C1B4F"/>
    <w:rsid w:val="009D248B"/>
    <w:rsid w:val="009E09A8"/>
    <w:rsid w:val="009E571A"/>
    <w:rsid w:val="009E5BA6"/>
    <w:rsid w:val="009E60B1"/>
    <w:rsid w:val="009F028A"/>
    <w:rsid w:val="009F390E"/>
    <w:rsid w:val="009F6DE3"/>
    <w:rsid w:val="009F7698"/>
    <w:rsid w:val="009F7768"/>
    <w:rsid w:val="009F7913"/>
    <w:rsid w:val="00A039B1"/>
    <w:rsid w:val="00A04F0E"/>
    <w:rsid w:val="00A068FB"/>
    <w:rsid w:val="00A12AE3"/>
    <w:rsid w:val="00A15B49"/>
    <w:rsid w:val="00A16011"/>
    <w:rsid w:val="00A306E4"/>
    <w:rsid w:val="00A41E0F"/>
    <w:rsid w:val="00A4250A"/>
    <w:rsid w:val="00A513E0"/>
    <w:rsid w:val="00A519A9"/>
    <w:rsid w:val="00A548A2"/>
    <w:rsid w:val="00A54EDA"/>
    <w:rsid w:val="00A602EC"/>
    <w:rsid w:val="00A61B26"/>
    <w:rsid w:val="00A62D68"/>
    <w:rsid w:val="00A6458C"/>
    <w:rsid w:val="00A64B07"/>
    <w:rsid w:val="00A65073"/>
    <w:rsid w:val="00A652F0"/>
    <w:rsid w:val="00A82E0C"/>
    <w:rsid w:val="00A914BB"/>
    <w:rsid w:val="00A917DC"/>
    <w:rsid w:val="00A924C5"/>
    <w:rsid w:val="00A9665D"/>
    <w:rsid w:val="00AA00CB"/>
    <w:rsid w:val="00AA4C06"/>
    <w:rsid w:val="00AA69D3"/>
    <w:rsid w:val="00AB5567"/>
    <w:rsid w:val="00AC5A11"/>
    <w:rsid w:val="00AC62DE"/>
    <w:rsid w:val="00AC7E1D"/>
    <w:rsid w:val="00AE0AFC"/>
    <w:rsid w:val="00AE6006"/>
    <w:rsid w:val="00AE6D8B"/>
    <w:rsid w:val="00AF2B48"/>
    <w:rsid w:val="00AF39AC"/>
    <w:rsid w:val="00AF699E"/>
    <w:rsid w:val="00AF7A5E"/>
    <w:rsid w:val="00B0095E"/>
    <w:rsid w:val="00B06503"/>
    <w:rsid w:val="00B102D7"/>
    <w:rsid w:val="00B131BC"/>
    <w:rsid w:val="00B142B8"/>
    <w:rsid w:val="00B1589B"/>
    <w:rsid w:val="00B16A1E"/>
    <w:rsid w:val="00B22360"/>
    <w:rsid w:val="00B261A2"/>
    <w:rsid w:val="00B267D4"/>
    <w:rsid w:val="00B327A1"/>
    <w:rsid w:val="00B32CF8"/>
    <w:rsid w:val="00B33878"/>
    <w:rsid w:val="00B33BBA"/>
    <w:rsid w:val="00B3453E"/>
    <w:rsid w:val="00B3620E"/>
    <w:rsid w:val="00B36561"/>
    <w:rsid w:val="00B367DD"/>
    <w:rsid w:val="00B3738C"/>
    <w:rsid w:val="00B430C7"/>
    <w:rsid w:val="00B44555"/>
    <w:rsid w:val="00B44863"/>
    <w:rsid w:val="00B56A8F"/>
    <w:rsid w:val="00B61326"/>
    <w:rsid w:val="00B671DD"/>
    <w:rsid w:val="00B67B78"/>
    <w:rsid w:val="00B67D1D"/>
    <w:rsid w:val="00B67FEB"/>
    <w:rsid w:val="00B70B52"/>
    <w:rsid w:val="00B811F9"/>
    <w:rsid w:val="00B9177C"/>
    <w:rsid w:val="00B9520D"/>
    <w:rsid w:val="00B95ED2"/>
    <w:rsid w:val="00B96ACE"/>
    <w:rsid w:val="00BA02DA"/>
    <w:rsid w:val="00BA2488"/>
    <w:rsid w:val="00BA4F89"/>
    <w:rsid w:val="00BB0FDD"/>
    <w:rsid w:val="00BC1B99"/>
    <w:rsid w:val="00BD0CD2"/>
    <w:rsid w:val="00BD192D"/>
    <w:rsid w:val="00BD42F2"/>
    <w:rsid w:val="00BD52E2"/>
    <w:rsid w:val="00BE57D6"/>
    <w:rsid w:val="00BF4F40"/>
    <w:rsid w:val="00BF5F48"/>
    <w:rsid w:val="00C039BA"/>
    <w:rsid w:val="00C067F9"/>
    <w:rsid w:val="00C10670"/>
    <w:rsid w:val="00C10EC7"/>
    <w:rsid w:val="00C11488"/>
    <w:rsid w:val="00C12F4B"/>
    <w:rsid w:val="00C1422F"/>
    <w:rsid w:val="00C14AA4"/>
    <w:rsid w:val="00C16B33"/>
    <w:rsid w:val="00C2218E"/>
    <w:rsid w:val="00C22EE5"/>
    <w:rsid w:val="00C234A5"/>
    <w:rsid w:val="00C2541A"/>
    <w:rsid w:val="00C300F8"/>
    <w:rsid w:val="00C30DD0"/>
    <w:rsid w:val="00C30F35"/>
    <w:rsid w:val="00C31DF9"/>
    <w:rsid w:val="00C35722"/>
    <w:rsid w:val="00C414A2"/>
    <w:rsid w:val="00C425EB"/>
    <w:rsid w:val="00C43355"/>
    <w:rsid w:val="00C46B68"/>
    <w:rsid w:val="00C51E2D"/>
    <w:rsid w:val="00C52BB6"/>
    <w:rsid w:val="00C55041"/>
    <w:rsid w:val="00C60611"/>
    <w:rsid w:val="00C61B35"/>
    <w:rsid w:val="00C653B1"/>
    <w:rsid w:val="00C65A87"/>
    <w:rsid w:val="00C7121B"/>
    <w:rsid w:val="00C726D6"/>
    <w:rsid w:val="00C75643"/>
    <w:rsid w:val="00C82D96"/>
    <w:rsid w:val="00C82EE4"/>
    <w:rsid w:val="00C8439C"/>
    <w:rsid w:val="00C86774"/>
    <w:rsid w:val="00C870E4"/>
    <w:rsid w:val="00C8734D"/>
    <w:rsid w:val="00C91848"/>
    <w:rsid w:val="00C91CAE"/>
    <w:rsid w:val="00CA1A09"/>
    <w:rsid w:val="00CA659A"/>
    <w:rsid w:val="00CB0EC3"/>
    <w:rsid w:val="00CB1FAB"/>
    <w:rsid w:val="00CB4D0F"/>
    <w:rsid w:val="00CB51B1"/>
    <w:rsid w:val="00CC1AC1"/>
    <w:rsid w:val="00CC390C"/>
    <w:rsid w:val="00CC3FEE"/>
    <w:rsid w:val="00CC74E0"/>
    <w:rsid w:val="00CC7AD4"/>
    <w:rsid w:val="00CD3A57"/>
    <w:rsid w:val="00CD463F"/>
    <w:rsid w:val="00CD49F0"/>
    <w:rsid w:val="00CE4446"/>
    <w:rsid w:val="00CE70F6"/>
    <w:rsid w:val="00CF2214"/>
    <w:rsid w:val="00CF58AD"/>
    <w:rsid w:val="00CF7F31"/>
    <w:rsid w:val="00D02CE7"/>
    <w:rsid w:val="00D03DA2"/>
    <w:rsid w:val="00D169D8"/>
    <w:rsid w:val="00D20F18"/>
    <w:rsid w:val="00D2186B"/>
    <w:rsid w:val="00D22A5B"/>
    <w:rsid w:val="00D241DB"/>
    <w:rsid w:val="00D338F7"/>
    <w:rsid w:val="00D33F5F"/>
    <w:rsid w:val="00D36158"/>
    <w:rsid w:val="00D36391"/>
    <w:rsid w:val="00D3715F"/>
    <w:rsid w:val="00D40B6E"/>
    <w:rsid w:val="00D41238"/>
    <w:rsid w:val="00D416ED"/>
    <w:rsid w:val="00D42FB7"/>
    <w:rsid w:val="00D43E5D"/>
    <w:rsid w:val="00D45BF0"/>
    <w:rsid w:val="00D55CCE"/>
    <w:rsid w:val="00D574BA"/>
    <w:rsid w:val="00D640F7"/>
    <w:rsid w:val="00D7158A"/>
    <w:rsid w:val="00D74D88"/>
    <w:rsid w:val="00D77CD6"/>
    <w:rsid w:val="00D80C5C"/>
    <w:rsid w:val="00D82D00"/>
    <w:rsid w:val="00D857A3"/>
    <w:rsid w:val="00D90395"/>
    <w:rsid w:val="00D92B65"/>
    <w:rsid w:val="00D95F5C"/>
    <w:rsid w:val="00D96A4D"/>
    <w:rsid w:val="00DA22B3"/>
    <w:rsid w:val="00DA249E"/>
    <w:rsid w:val="00DA4AEC"/>
    <w:rsid w:val="00DA7F7A"/>
    <w:rsid w:val="00DB33F0"/>
    <w:rsid w:val="00DB6B4A"/>
    <w:rsid w:val="00DB7015"/>
    <w:rsid w:val="00DC0D79"/>
    <w:rsid w:val="00DC143B"/>
    <w:rsid w:val="00DC1EBE"/>
    <w:rsid w:val="00DC2B13"/>
    <w:rsid w:val="00DC2CC6"/>
    <w:rsid w:val="00DC3039"/>
    <w:rsid w:val="00DC369F"/>
    <w:rsid w:val="00DC6141"/>
    <w:rsid w:val="00DC734B"/>
    <w:rsid w:val="00DD1823"/>
    <w:rsid w:val="00DD6679"/>
    <w:rsid w:val="00DE1572"/>
    <w:rsid w:val="00DE49B4"/>
    <w:rsid w:val="00DE4A4E"/>
    <w:rsid w:val="00DE5C8B"/>
    <w:rsid w:val="00DE6324"/>
    <w:rsid w:val="00DE6346"/>
    <w:rsid w:val="00DE63F3"/>
    <w:rsid w:val="00DF1EBE"/>
    <w:rsid w:val="00DF50D4"/>
    <w:rsid w:val="00E00E06"/>
    <w:rsid w:val="00E01C5C"/>
    <w:rsid w:val="00E01E76"/>
    <w:rsid w:val="00E02B38"/>
    <w:rsid w:val="00E03FE7"/>
    <w:rsid w:val="00E067B0"/>
    <w:rsid w:val="00E12855"/>
    <w:rsid w:val="00E1546D"/>
    <w:rsid w:val="00E15CA9"/>
    <w:rsid w:val="00E21FC7"/>
    <w:rsid w:val="00E27D5E"/>
    <w:rsid w:val="00E33609"/>
    <w:rsid w:val="00E40C52"/>
    <w:rsid w:val="00E42500"/>
    <w:rsid w:val="00E44F19"/>
    <w:rsid w:val="00E51024"/>
    <w:rsid w:val="00E51C87"/>
    <w:rsid w:val="00E55180"/>
    <w:rsid w:val="00E577DC"/>
    <w:rsid w:val="00E60DB7"/>
    <w:rsid w:val="00E6207C"/>
    <w:rsid w:val="00E62A5A"/>
    <w:rsid w:val="00E641D5"/>
    <w:rsid w:val="00E667DD"/>
    <w:rsid w:val="00E66D82"/>
    <w:rsid w:val="00E71229"/>
    <w:rsid w:val="00E714E9"/>
    <w:rsid w:val="00E72239"/>
    <w:rsid w:val="00E76204"/>
    <w:rsid w:val="00E76FB2"/>
    <w:rsid w:val="00E82434"/>
    <w:rsid w:val="00E84284"/>
    <w:rsid w:val="00E84C67"/>
    <w:rsid w:val="00E85496"/>
    <w:rsid w:val="00E85707"/>
    <w:rsid w:val="00E90351"/>
    <w:rsid w:val="00E93940"/>
    <w:rsid w:val="00E93E17"/>
    <w:rsid w:val="00E95B7B"/>
    <w:rsid w:val="00EA60C9"/>
    <w:rsid w:val="00EA6723"/>
    <w:rsid w:val="00EA689A"/>
    <w:rsid w:val="00EA76BA"/>
    <w:rsid w:val="00EB0788"/>
    <w:rsid w:val="00EB1042"/>
    <w:rsid w:val="00EB14B5"/>
    <w:rsid w:val="00EB55DE"/>
    <w:rsid w:val="00EB73D4"/>
    <w:rsid w:val="00EB7698"/>
    <w:rsid w:val="00EC2CC2"/>
    <w:rsid w:val="00EC32D3"/>
    <w:rsid w:val="00EC3AF2"/>
    <w:rsid w:val="00EC5B6E"/>
    <w:rsid w:val="00ED00E7"/>
    <w:rsid w:val="00EE176D"/>
    <w:rsid w:val="00EF0616"/>
    <w:rsid w:val="00EF09A1"/>
    <w:rsid w:val="00EF336A"/>
    <w:rsid w:val="00EF3F24"/>
    <w:rsid w:val="00EF541F"/>
    <w:rsid w:val="00EF54DB"/>
    <w:rsid w:val="00EF6F60"/>
    <w:rsid w:val="00F02380"/>
    <w:rsid w:val="00F1123F"/>
    <w:rsid w:val="00F11513"/>
    <w:rsid w:val="00F126E8"/>
    <w:rsid w:val="00F1478F"/>
    <w:rsid w:val="00F1527C"/>
    <w:rsid w:val="00F22855"/>
    <w:rsid w:val="00F23BB1"/>
    <w:rsid w:val="00F2459C"/>
    <w:rsid w:val="00F250B2"/>
    <w:rsid w:val="00F25539"/>
    <w:rsid w:val="00F27B0F"/>
    <w:rsid w:val="00F32DA1"/>
    <w:rsid w:val="00F32DE5"/>
    <w:rsid w:val="00F4116A"/>
    <w:rsid w:val="00F4336E"/>
    <w:rsid w:val="00F44D82"/>
    <w:rsid w:val="00F45F8B"/>
    <w:rsid w:val="00F53B6A"/>
    <w:rsid w:val="00F55162"/>
    <w:rsid w:val="00F607D3"/>
    <w:rsid w:val="00F61977"/>
    <w:rsid w:val="00F63598"/>
    <w:rsid w:val="00F65B27"/>
    <w:rsid w:val="00F7341F"/>
    <w:rsid w:val="00F82CB6"/>
    <w:rsid w:val="00F8473F"/>
    <w:rsid w:val="00F84CFD"/>
    <w:rsid w:val="00F86D37"/>
    <w:rsid w:val="00F9037A"/>
    <w:rsid w:val="00F91943"/>
    <w:rsid w:val="00F9591E"/>
    <w:rsid w:val="00FA232D"/>
    <w:rsid w:val="00FA4C9E"/>
    <w:rsid w:val="00FA56CE"/>
    <w:rsid w:val="00FB1D60"/>
    <w:rsid w:val="00FC162C"/>
    <w:rsid w:val="00FC2E3F"/>
    <w:rsid w:val="00FC4FB1"/>
    <w:rsid w:val="00FC5533"/>
    <w:rsid w:val="00FC745C"/>
    <w:rsid w:val="00FC7E58"/>
    <w:rsid w:val="00FD1034"/>
    <w:rsid w:val="00FD79D2"/>
    <w:rsid w:val="00FE01EA"/>
    <w:rsid w:val="00FE1B26"/>
    <w:rsid w:val="00FE20E5"/>
    <w:rsid w:val="00FE292E"/>
    <w:rsid w:val="00FE31EE"/>
    <w:rsid w:val="00FE5901"/>
    <w:rsid w:val="00FE5CAF"/>
    <w:rsid w:val="00FE7876"/>
    <w:rsid w:val="00FF0F7D"/>
    <w:rsid w:val="00FF1F6D"/>
    <w:rsid w:val="00FF5754"/>
    <w:rsid w:val="00FF57D1"/>
    <w:rsid w:val="00FF60FB"/>
    <w:rsid w:val="00FF7112"/>
  </w:rsids>
  <m:mathPr>
    <m:mathFont m:val="Cambria Math"/>
    <m:brkBin m:val="before"/>
    <m:brkBinSub m:val="--"/>
    <m:smallFrac m:val="0"/>
    <m:dispDef/>
    <m:lMargin m:val="0"/>
    <m:rMargin m:val="0"/>
    <m:defJc m:val="centerGroup"/>
    <m:wrapIndent m:val="1440"/>
    <m:intLim m:val="subSup"/>
    <m:naryLim m:val="undOvr"/>
  </m:mathPr>
  <w:themeFontLang w:val="es-ES_trad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17F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B2E"/>
    <w:rPr>
      <w:color w:val="0000FF" w:themeColor="hyperlink"/>
      <w:u w:val="single"/>
    </w:rPr>
  </w:style>
  <w:style w:type="paragraph" w:styleId="BalloonText">
    <w:name w:val="Balloon Text"/>
    <w:basedOn w:val="Normal"/>
    <w:link w:val="BalloonTextChar"/>
    <w:uiPriority w:val="99"/>
    <w:semiHidden/>
    <w:unhideWhenUsed/>
    <w:rsid w:val="004803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3A7"/>
    <w:rPr>
      <w:rFonts w:ascii="Lucida Grande" w:hAnsi="Lucida Grande" w:cs="Lucida Grande"/>
      <w:sz w:val="18"/>
      <w:szCs w:val="18"/>
      <w:lang w:val="en-GB"/>
    </w:rPr>
  </w:style>
  <w:style w:type="table" w:styleId="TableGrid">
    <w:name w:val="Table Grid"/>
    <w:basedOn w:val="TableNormal"/>
    <w:uiPriority w:val="59"/>
    <w:rsid w:val="00885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C6D18"/>
    <w:pPr>
      <w:tabs>
        <w:tab w:val="center" w:pos="4419"/>
        <w:tab w:val="right" w:pos="8838"/>
      </w:tabs>
    </w:pPr>
  </w:style>
  <w:style w:type="character" w:customStyle="1" w:styleId="FooterChar">
    <w:name w:val="Footer Char"/>
    <w:basedOn w:val="DefaultParagraphFont"/>
    <w:link w:val="Footer"/>
    <w:uiPriority w:val="99"/>
    <w:rsid w:val="004C6D18"/>
    <w:rPr>
      <w:lang w:val="en-GB"/>
    </w:rPr>
  </w:style>
  <w:style w:type="character" w:styleId="PageNumber">
    <w:name w:val="page number"/>
    <w:basedOn w:val="DefaultParagraphFont"/>
    <w:uiPriority w:val="99"/>
    <w:semiHidden/>
    <w:unhideWhenUsed/>
    <w:rsid w:val="004C6D18"/>
  </w:style>
  <w:style w:type="paragraph" w:styleId="ListParagraph">
    <w:name w:val="List Paragraph"/>
    <w:basedOn w:val="Normal"/>
    <w:uiPriority w:val="34"/>
    <w:qFormat/>
    <w:rsid w:val="00085AAF"/>
    <w:pPr>
      <w:ind w:left="720"/>
      <w:contextualSpacing/>
    </w:pPr>
  </w:style>
  <w:style w:type="character" w:styleId="Strong">
    <w:name w:val="Strong"/>
    <w:basedOn w:val="DefaultParagraphFont"/>
    <w:uiPriority w:val="22"/>
    <w:qFormat/>
    <w:rsid w:val="00C30F35"/>
    <w:rPr>
      <w:b/>
      <w:bCs/>
    </w:rPr>
  </w:style>
  <w:style w:type="character" w:styleId="CommentReference">
    <w:name w:val="annotation reference"/>
    <w:basedOn w:val="DefaultParagraphFont"/>
    <w:uiPriority w:val="99"/>
    <w:semiHidden/>
    <w:unhideWhenUsed/>
    <w:rsid w:val="00C039BA"/>
    <w:rPr>
      <w:sz w:val="18"/>
      <w:szCs w:val="18"/>
    </w:rPr>
  </w:style>
  <w:style w:type="paragraph" w:styleId="CommentText">
    <w:name w:val="annotation text"/>
    <w:basedOn w:val="Normal"/>
    <w:link w:val="CommentTextChar"/>
    <w:uiPriority w:val="99"/>
    <w:semiHidden/>
    <w:unhideWhenUsed/>
    <w:rsid w:val="00C039BA"/>
  </w:style>
  <w:style w:type="character" w:customStyle="1" w:styleId="CommentTextChar">
    <w:name w:val="Comment Text Char"/>
    <w:basedOn w:val="DefaultParagraphFont"/>
    <w:link w:val="CommentText"/>
    <w:uiPriority w:val="99"/>
    <w:semiHidden/>
    <w:rsid w:val="00C039BA"/>
    <w:rPr>
      <w:lang w:val="en-GB"/>
    </w:rPr>
  </w:style>
  <w:style w:type="paragraph" w:styleId="CommentSubject">
    <w:name w:val="annotation subject"/>
    <w:basedOn w:val="CommentText"/>
    <w:next w:val="CommentText"/>
    <w:link w:val="CommentSubjectChar"/>
    <w:uiPriority w:val="99"/>
    <w:semiHidden/>
    <w:unhideWhenUsed/>
    <w:rsid w:val="00C039BA"/>
    <w:rPr>
      <w:b/>
      <w:bCs/>
      <w:sz w:val="20"/>
      <w:szCs w:val="20"/>
    </w:rPr>
  </w:style>
  <w:style w:type="character" w:customStyle="1" w:styleId="CommentSubjectChar">
    <w:name w:val="Comment Subject Char"/>
    <w:basedOn w:val="CommentTextChar"/>
    <w:link w:val="CommentSubject"/>
    <w:uiPriority w:val="99"/>
    <w:semiHidden/>
    <w:rsid w:val="00C039BA"/>
    <w:rPr>
      <w:b/>
      <w:bCs/>
      <w:sz w:val="20"/>
      <w:szCs w:val="20"/>
      <w:lang w:val="en-GB"/>
    </w:rPr>
  </w:style>
  <w:style w:type="paragraph" w:styleId="Revision">
    <w:name w:val="Revision"/>
    <w:hidden/>
    <w:uiPriority w:val="99"/>
    <w:semiHidden/>
    <w:rsid w:val="008479FC"/>
    <w:rPr>
      <w:lang w:val="en-GB"/>
    </w:rPr>
  </w:style>
  <w:style w:type="character" w:styleId="LineNumber">
    <w:name w:val="line number"/>
    <w:basedOn w:val="DefaultParagraphFont"/>
    <w:uiPriority w:val="99"/>
    <w:semiHidden/>
    <w:unhideWhenUsed/>
    <w:rsid w:val="006D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035865">
      <w:bodyDiv w:val="1"/>
      <w:marLeft w:val="0"/>
      <w:marRight w:val="0"/>
      <w:marTop w:val="0"/>
      <w:marBottom w:val="0"/>
      <w:divBdr>
        <w:top w:val="none" w:sz="0" w:space="0" w:color="auto"/>
        <w:left w:val="none" w:sz="0" w:space="0" w:color="auto"/>
        <w:bottom w:val="none" w:sz="0" w:space="0" w:color="auto"/>
        <w:right w:val="none" w:sz="0" w:space="0" w:color="auto"/>
      </w:divBdr>
    </w:div>
    <w:div w:id="1594779295">
      <w:bodyDiv w:val="1"/>
      <w:marLeft w:val="0"/>
      <w:marRight w:val="0"/>
      <w:marTop w:val="0"/>
      <w:marBottom w:val="0"/>
      <w:divBdr>
        <w:top w:val="none" w:sz="0" w:space="0" w:color="auto"/>
        <w:left w:val="none" w:sz="0" w:space="0" w:color="auto"/>
        <w:bottom w:val="none" w:sz="0" w:space="0" w:color="auto"/>
        <w:right w:val="none" w:sz="0" w:space="0" w:color="auto"/>
      </w:divBdr>
    </w:div>
    <w:div w:id="1610354954">
      <w:bodyDiv w:val="1"/>
      <w:marLeft w:val="0"/>
      <w:marRight w:val="0"/>
      <w:marTop w:val="0"/>
      <w:marBottom w:val="0"/>
      <w:divBdr>
        <w:top w:val="none" w:sz="0" w:space="0" w:color="auto"/>
        <w:left w:val="none" w:sz="0" w:space="0" w:color="auto"/>
        <w:bottom w:val="none" w:sz="0" w:space="0" w:color="auto"/>
        <w:right w:val="none" w:sz="0" w:space="0" w:color="auto"/>
      </w:divBdr>
    </w:div>
    <w:div w:id="1731462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pk.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liam.Hope@liverpool.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C5BAAD-6FEE-3140-AC0E-738299AF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30250</Words>
  <Characters>172426</Characters>
  <Application>Microsoft Macintosh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Ramos Martin</dc:creator>
  <cp:keywords/>
  <dc:description/>
  <cp:lastModifiedBy>Ramos Martin, DR VIRGINIA RAMOS MARTIN</cp:lastModifiedBy>
  <cp:revision>2</cp:revision>
  <dcterms:created xsi:type="dcterms:W3CDTF">2017-07-23T21:12:00Z</dcterms:created>
  <dcterms:modified xsi:type="dcterms:W3CDTF">2017-07-23T21:12:00Z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24fccfcf-4244-32d8-a610-f9fbea6dc76c</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http://www.zotero.org/styles/antimicrobial-agents-and-chemotherapy</vt:lpwstr>
  </property>
  <property fmtid="{D5CDD505-2E9C-101B-9397-08002B2CF9AE}" pid="9" name="Mendeley Recent Style Name 2_1">
    <vt:lpwstr>Antimicrobial Agents and Chemotherapy</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http://www.zotero.org/styles/current-opinion-in-pharmacology</vt:lpwstr>
  </property>
  <property fmtid="{D5CDD505-2E9C-101B-9397-08002B2CF9AE}" pid="13" name="Mendeley Recent Style Name 4_1">
    <vt:lpwstr>Current Opinion in Pharmacology</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http://www.zotero.org/styles/intensive-care-medicine</vt:lpwstr>
  </property>
  <property fmtid="{D5CDD505-2E9C-101B-9397-08002B2CF9AE}" pid="19" name="Mendeley Recent Style Name 7_1">
    <vt:lpwstr>Intensive Care Medicine</vt:lpwstr>
  </property>
  <property fmtid="{D5CDD505-2E9C-101B-9397-08002B2CF9AE}" pid="20" name="Mendeley Recent Style Id 8_1">
    <vt:lpwstr>http://www.zotero.org/styles/international-journal-of-antimicrobial-agents</vt:lpwstr>
  </property>
  <property fmtid="{D5CDD505-2E9C-101B-9397-08002B2CF9AE}" pid="21" name="Mendeley Recent Style Name 8_1">
    <vt:lpwstr>International Journal of Antimicrobial Agents</vt:lpwstr>
  </property>
  <property fmtid="{D5CDD505-2E9C-101B-9397-08002B2CF9AE}" pid="22" name="Mendeley Recent Style Id 9_1">
    <vt:lpwstr>http://www.zotero.org/styles/journal-of-antimicrobial-chemotherapy</vt:lpwstr>
  </property>
  <property fmtid="{D5CDD505-2E9C-101B-9397-08002B2CF9AE}" pid="23" name="Mendeley Recent Style Name 9_1">
    <vt:lpwstr>Journal of Antimicrobial Chemotherapy</vt:lpwstr>
  </property>
  <property fmtid="{D5CDD505-2E9C-101B-9397-08002B2CF9AE}" pid="24" name="Mendeley Citation Style_1">
    <vt:lpwstr>http://www.zotero.org/styles/antimicrobial-agents-and-chemotherapy</vt:lpwstr>
  </property>
</Properties>
</file>