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6" w:rsidRPr="00C72730" w:rsidRDefault="00A55E86" w:rsidP="00DC066F">
      <w:pPr>
        <w:shd w:val="clear" w:color="auto" w:fill="FFFFFF"/>
        <w:spacing w:after="0" w:line="360" w:lineRule="auto"/>
        <w:jc w:val="center"/>
        <w:textAlignment w:val="center"/>
        <w:outlineLvl w:val="0"/>
        <w:rPr>
          <w:rFonts w:ascii="Calibri" w:eastAsia="Times New Roman" w:hAnsi="Calibri" w:cs="Times New Roman"/>
          <w:sz w:val="28"/>
          <w:szCs w:val="28"/>
          <w:lang w:eastAsia="en-GB"/>
        </w:rPr>
      </w:pPr>
      <w:bookmarkStart w:id="0" w:name="_GoBack"/>
      <w:bookmarkEnd w:id="0"/>
      <w:r w:rsidRPr="00C72730">
        <w:rPr>
          <w:rFonts w:ascii="Garamond" w:eastAsia="Times New Roman" w:hAnsi="Garamond" w:cs="Times New Roman"/>
          <w:b/>
          <w:bCs/>
          <w:sz w:val="28"/>
          <w:szCs w:val="28"/>
          <w:lang w:eastAsia="en-GB"/>
        </w:rPr>
        <w:t xml:space="preserve">The Conservative Party Leadership Election of 2016: </w:t>
      </w:r>
    </w:p>
    <w:p w:rsidR="00A55E86" w:rsidRPr="00C72730" w:rsidRDefault="00A55E86" w:rsidP="00DC066F">
      <w:pPr>
        <w:shd w:val="clear" w:color="auto" w:fill="FFFFFF"/>
        <w:spacing w:after="0" w:line="360" w:lineRule="auto"/>
        <w:jc w:val="center"/>
        <w:textAlignment w:val="center"/>
        <w:rPr>
          <w:rFonts w:ascii="Calibri" w:eastAsia="Times New Roman" w:hAnsi="Calibri" w:cs="Times New Roman"/>
          <w:sz w:val="28"/>
          <w:szCs w:val="28"/>
          <w:lang w:eastAsia="en-GB"/>
        </w:rPr>
      </w:pPr>
      <w:r w:rsidRPr="00C72730">
        <w:rPr>
          <w:rFonts w:ascii="Garamond" w:eastAsia="Times New Roman" w:hAnsi="Garamond" w:cs="Times New Roman"/>
          <w:b/>
          <w:bCs/>
          <w:sz w:val="28"/>
          <w:szCs w:val="28"/>
          <w:lang w:eastAsia="en-GB"/>
        </w:rPr>
        <w:t>An Analysis of the Voting Motivations of Conservative Parliamentarians</w:t>
      </w:r>
    </w:p>
    <w:p w:rsidR="00DC066F" w:rsidRPr="00C72730" w:rsidRDefault="00DC066F" w:rsidP="00DC066F">
      <w:pPr>
        <w:shd w:val="clear" w:color="auto" w:fill="FFFFFF"/>
        <w:spacing w:after="0" w:line="360" w:lineRule="auto"/>
        <w:textAlignment w:val="center"/>
        <w:rPr>
          <w:rFonts w:ascii="Calibri" w:eastAsia="Times New Roman" w:hAnsi="Calibri"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
          <w:iCs/>
          <w:sz w:val="24"/>
          <w:szCs w:val="24"/>
          <w:lang w:eastAsia="en-GB"/>
        </w:rPr>
      </w:pPr>
      <w:r w:rsidRPr="00C72730">
        <w:rPr>
          <w:rFonts w:ascii="Garamond" w:eastAsia="Times New Roman" w:hAnsi="Garamond" w:cs="Times New Roman"/>
          <w:b/>
          <w:iCs/>
          <w:sz w:val="24"/>
          <w:szCs w:val="24"/>
          <w:lang w:eastAsia="en-GB"/>
        </w:rPr>
        <w:t>Abstract</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
          <w:iCs/>
          <w:sz w:val="24"/>
          <w:szCs w:val="24"/>
          <w:lang w:eastAsia="en-GB"/>
        </w:rPr>
      </w:pPr>
    </w:p>
    <w:p w:rsidR="00187248" w:rsidRPr="00C72730" w:rsidRDefault="00A55E86" w:rsidP="00DC066F">
      <w:pPr>
        <w:shd w:val="clear" w:color="auto" w:fill="FFFFFF"/>
        <w:spacing w:after="0" w:line="360" w:lineRule="auto"/>
        <w:jc w:val="both"/>
        <w:textAlignment w:val="center"/>
        <w:rPr>
          <w:rFonts w:ascii="Garamond" w:eastAsia="Times New Roman" w:hAnsi="Garamond" w:cs="Times New Roman"/>
          <w:i/>
          <w:iCs/>
          <w:sz w:val="24"/>
          <w:szCs w:val="24"/>
          <w:lang w:eastAsia="en-GB"/>
        </w:rPr>
      </w:pPr>
      <w:r w:rsidRPr="00C72730">
        <w:rPr>
          <w:rFonts w:ascii="Garamond" w:eastAsia="Times New Roman" w:hAnsi="Garamond" w:cs="Times New Roman"/>
          <w:i/>
          <w:iCs/>
          <w:sz w:val="24"/>
          <w:szCs w:val="24"/>
          <w:lang w:eastAsia="en-GB"/>
        </w:rPr>
        <w:t>This article provides the first systematic examination of the voting motivations o</w:t>
      </w:r>
      <w:r w:rsidR="00AA519A" w:rsidRPr="00C72730">
        <w:rPr>
          <w:rFonts w:ascii="Garamond" w:eastAsia="Times New Roman" w:hAnsi="Garamond" w:cs="Times New Roman"/>
          <w:i/>
          <w:iCs/>
          <w:sz w:val="24"/>
          <w:szCs w:val="24"/>
          <w:lang w:eastAsia="en-GB"/>
        </w:rPr>
        <w:t xml:space="preserve">f Conservative MPs in the final </w:t>
      </w:r>
      <w:r w:rsidRPr="00C72730">
        <w:rPr>
          <w:rFonts w:ascii="Garamond" w:eastAsia="Times New Roman" w:hAnsi="Garamond" w:cs="Times New Roman"/>
          <w:i/>
          <w:iCs/>
          <w:sz w:val="24"/>
          <w:szCs w:val="24"/>
          <w:lang w:eastAsia="en-GB"/>
        </w:rPr>
        <w:t>parliamentary ballot of the Conservative Party leadership election of 2016. We identify the voting behaviour of each Conservative parliamentarian as part of a unique dataset that we use to test, through the use of multivariate analysis, a series of hypotheses based around social ba</w:t>
      </w:r>
      <w:r w:rsidR="009B3448" w:rsidRPr="00C72730">
        <w:rPr>
          <w:rFonts w:ascii="Garamond" w:eastAsia="Times New Roman" w:hAnsi="Garamond" w:cs="Times New Roman"/>
          <w:i/>
          <w:iCs/>
          <w:sz w:val="24"/>
          <w:szCs w:val="24"/>
          <w:lang w:eastAsia="en-GB"/>
        </w:rPr>
        <w:t>ckground variables (i.e. gender and education</w:t>
      </w:r>
      <w:r w:rsidRPr="00C72730">
        <w:rPr>
          <w:rFonts w:ascii="Garamond" w:eastAsia="Times New Roman" w:hAnsi="Garamond" w:cs="Times New Roman"/>
          <w:i/>
          <w:iCs/>
          <w:sz w:val="24"/>
          <w:szCs w:val="24"/>
          <w:lang w:eastAsia="en-GB"/>
        </w:rPr>
        <w:t>); political variables (i.e. parliamentary experience, electoral marginality</w:t>
      </w:r>
      <w:r w:rsidR="00E03859" w:rsidRPr="00C72730">
        <w:rPr>
          <w:rFonts w:ascii="Garamond" w:eastAsia="Times New Roman" w:hAnsi="Garamond" w:cs="Times New Roman"/>
          <w:i/>
          <w:iCs/>
          <w:sz w:val="24"/>
          <w:szCs w:val="24"/>
          <w:lang w:eastAsia="en-GB"/>
        </w:rPr>
        <w:t>,</w:t>
      </w:r>
      <w:r w:rsidR="00AA519A" w:rsidRPr="00C72730">
        <w:rPr>
          <w:rFonts w:ascii="Garamond" w:eastAsia="Times New Roman" w:hAnsi="Garamond" w:cs="Times New Roman"/>
          <w:i/>
          <w:iCs/>
          <w:sz w:val="24"/>
          <w:szCs w:val="24"/>
          <w:lang w:eastAsia="en-GB"/>
        </w:rPr>
        <w:t xml:space="preserve"> the </w:t>
      </w:r>
      <w:r w:rsidR="00DC48BE" w:rsidRPr="00C72730">
        <w:rPr>
          <w:rFonts w:ascii="Garamond" w:eastAsia="Times New Roman" w:hAnsi="Garamond" w:cs="Times New Roman"/>
          <w:i/>
          <w:iCs/>
          <w:sz w:val="24"/>
          <w:szCs w:val="24"/>
          <w:lang w:eastAsia="en-GB"/>
        </w:rPr>
        <w:t xml:space="preserve">electoral </w:t>
      </w:r>
      <w:r w:rsidR="00AA519A" w:rsidRPr="00C72730">
        <w:rPr>
          <w:rFonts w:ascii="Garamond" w:eastAsia="Times New Roman" w:hAnsi="Garamond" w:cs="Times New Roman"/>
          <w:i/>
          <w:iCs/>
          <w:sz w:val="24"/>
          <w:szCs w:val="24"/>
          <w:lang w:eastAsia="en-GB"/>
        </w:rPr>
        <w:t>threat posed by UKIP</w:t>
      </w:r>
      <w:r w:rsidR="00D82D9B" w:rsidRPr="00C72730">
        <w:rPr>
          <w:rFonts w:ascii="Garamond" w:eastAsia="Times New Roman" w:hAnsi="Garamond" w:cs="Times New Roman"/>
          <w:i/>
          <w:iCs/>
          <w:sz w:val="24"/>
          <w:szCs w:val="24"/>
          <w:lang w:eastAsia="en-GB"/>
        </w:rPr>
        <w:t>,</w:t>
      </w:r>
      <w:r w:rsidR="00AA519A" w:rsidRPr="00C72730">
        <w:rPr>
          <w:rFonts w:ascii="Garamond" w:eastAsia="Times New Roman" w:hAnsi="Garamond" w:cs="Times New Roman"/>
          <w:i/>
          <w:iCs/>
          <w:sz w:val="24"/>
          <w:szCs w:val="24"/>
          <w:lang w:eastAsia="en-GB"/>
        </w:rPr>
        <w:t xml:space="preserve"> </w:t>
      </w:r>
      <w:r w:rsidRPr="00C72730">
        <w:rPr>
          <w:rFonts w:ascii="Garamond" w:eastAsia="Times New Roman" w:hAnsi="Garamond" w:cs="Times New Roman"/>
          <w:i/>
          <w:iCs/>
          <w:sz w:val="24"/>
          <w:szCs w:val="24"/>
          <w:lang w:eastAsia="en-GB"/>
        </w:rPr>
        <w:t>and minister</w:t>
      </w:r>
      <w:r w:rsidR="00DC48BE" w:rsidRPr="00C72730">
        <w:rPr>
          <w:rFonts w:ascii="Garamond" w:eastAsia="Times New Roman" w:hAnsi="Garamond" w:cs="Times New Roman"/>
          <w:i/>
          <w:iCs/>
          <w:sz w:val="24"/>
          <w:szCs w:val="24"/>
          <w:lang w:eastAsia="en-GB"/>
        </w:rPr>
        <w:t>ial status</w:t>
      </w:r>
      <w:r w:rsidRPr="00C72730">
        <w:rPr>
          <w:rFonts w:ascii="Garamond" w:eastAsia="Times New Roman" w:hAnsi="Garamond" w:cs="Times New Roman"/>
          <w:i/>
          <w:iCs/>
          <w:sz w:val="24"/>
          <w:szCs w:val="24"/>
          <w:lang w:eastAsia="en-GB"/>
        </w:rPr>
        <w:t xml:space="preserve">); and ideological variables (i.e. attitudes towards same sex marriage and Brexit). Our findings </w:t>
      </w:r>
      <w:r w:rsidR="00187248" w:rsidRPr="00C72730">
        <w:rPr>
          <w:rFonts w:ascii="Garamond" w:eastAsia="Times New Roman" w:hAnsi="Garamond" w:cs="Times New Roman"/>
          <w:i/>
          <w:iCs/>
          <w:sz w:val="24"/>
          <w:szCs w:val="24"/>
          <w:lang w:eastAsia="en-GB"/>
        </w:rPr>
        <w:t>demonstrate</w:t>
      </w:r>
      <w:r w:rsidRPr="00C72730">
        <w:rPr>
          <w:rFonts w:ascii="Garamond" w:eastAsia="Times New Roman" w:hAnsi="Garamond" w:cs="Times New Roman"/>
          <w:i/>
          <w:iCs/>
          <w:sz w:val="24"/>
          <w:szCs w:val="24"/>
          <w:lang w:eastAsia="en-GB"/>
        </w:rPr>
        <w:t xml:space="preserve"> that </w:t>
      </w:r>
      <w:r w:rsidR="00187248" w:rsidRPr="00C72730">
        <w:rPr>
          <w:rFonts w:ascii="Garamond" w:eastAsia="Times New Roman" w:hAnsi="Garamond" w:cs="Times New Roman"/>
          <w:i/>
          <w:iCs/>
          <w:sz w:val="24"/>
          <w:szCs w:val="24"/>
          <w:lang w:eastAsia="en-GB"/>
        </w:rPr>
        <w:t>ideology did matter in terms of voting. A</w:t>
      </w:r>
      <w:r w:rsidRPr="00C72730">
        <w:rPr>
          <w:rFonts w:ascii="Garamond" w:eastAsia="Times New Roman" w:hAnsi="Garamond" w:cs="Times New Roman"/>
          <w:i/>
          <w:iCs/>
          <w:sz w:val="24"/>
          <w:szCs w:val="24"/>
          <w:lang w:eastAsia="en-GB"/>
        </w:rPr>
        <w:t>ttitudes towards Brexit</w:t>
      </w:r>
      <w:r w:rsidR="00187248" w:rsidRPr="00C72730">
        <w:rPr>
          <w:rFonts w:ascii="Garamond" w:eastAsia="Times New Roman" w:hAnsi="Garamond" w:cs="Times New Roman"/>
          <w:i/>
          <w:iCs/>
          <w:sz w:val="24"/>
          <w:szCs w:val="24"/>
          <w:lang w:eastAsia="en-GB"/>
        </w:rPr>
        <w:t xml:space="preserve"> </w:t>
      </w:r>
      <w:r w:rsidR="00D82D9B" w:rsidRPr="00C72730">
        <w:rPr>
          <w:rFonts w:ascii="Garamond" w:eastAsia="Times New Roman" w:hAnsi="Garamond" w:cs="Times New Roman"/>
          <w:i/>
          <w:iCs/>
          <w:sz w:val="24"/>
          <w:szCs w:val="24"/>
          <w:lang w:eastAsia="en-GB"/>
        </w:rPr>
        <w:t xml:space="preserve">were </w:t>
      </w:r>
      <w:r w:rsidR="00187248" w:rsidRPr="00C72730">
        <w:rPr>
          <w:rFonts w:ascii="Garamond" w:eastAsia="Times New Roman" w:hAnsi="Garamond" w:cs="Times New Roman"/>
          <w:i/>
          <w:iCs/>
          <w:sz w:val="24"/>
          <w:szCs w:val="24"/>
          <w:lang w:eastAsia="en-GB"/>
        </w:rPr>
        <w:t>central to the appeal</w:t>
      </w:r>
      <w:r w:rsidR="00A64B35" w:rsidRPr="00C72730">
        <w:rPr>
          <w:rFonts w:ascii="Garamond" w:eastAsia="Times New Roman" w:hAnsi="Garamond" w:cs="Times New Roman"/>
          <w:i/>
          <w:iCs/>
          <w:sz w:val="24"/>
          <w:szCs w:val="24"/>
          <w:lang w:eastAsia="en-GB"/>
        </w:rPr>
        <w:t>s</w:t>
      </w:r>
      <w:r w:rsidR="00187248" w:rsidRPr="00C72730">
        <w:rPr>
          <w:rFonts w:ascii="Garamond" w:eastAsia="Times New Roman" w:hAnsi="Garamond" w:cs="Times New Roman"/>
          <w:i/>
          <w:iCs/>
          <w:sz w:val="24"/>
          <w:szCs w:val="24"/>
          <w:lang w:eastAsia="en-GB"/>
        </w:rPr>
        <w:t xml:space="preserve"> </w:t>
      </w:r>
      <w:r w:rsidR="0074608D" w:rsidRPr="00C72730">
        <w:rPr>
          <w:rFonts w:ascii="Garamond" w:eastAsia="Times New Roman" w:hAnsi="Garamond" w:cs="Times New Roman"/>
          <w:i/>
          <w:iCs/>
          <w:sz w:val="24"/>
          <w:szCs w:val="24"/>
          <w:lang w:eastAsia="en-GB"/>
        </w:rPr>
        <w:t xml:space="preserve">of both </w:t>
      </w:r>
      <w:r w:rsidR="00187248" w:rsidRPr="00C72730">
        <w:rPr>
          <w:rFonts w:ascii="Garamond" w:eastAsia="Times New Roman" w:hAnsi="Garamond" w:cs="Times New Roman"/>
          <w:i/>
          <w:iCs/>
          <w:sz w:val="24"/>
          <w:szCs w:val="24"/>
          <w:lang w:eastAsia="en-GB"/>
        </w:rPr>
        <w:t xml:space="preserve">May </w:t>
      </w:r>
      <w:r w:rsidR="00A64B35" w:rsidRPr="00C72730">
        <w:rPr>
          <w:rFonts w:ascii="Garamond" w:eastAsia="Times New Roman" w:hAnsi="Garamond" w:cs="Times New Roman"/>
          <w:i/>
          <w:iCs/>
          <w:sz w:val="24"/>
          <w:szCs w:val="24"/>
          <w:lang w:eastAsia="en-GB"/>
        </w:rPr>
        <w:t xml:space="preserve">(to </w:t>
      </w:r>
      <w:proofErr w:type="spellStart"/>
      <w:r w:rsidR="00A64B35" w:rsidRPr="00C72730">
        <w:rPr>
          <w:rFonts w:ascii="Garamond" w:eastAsia="Times New Roman" w:hAnsi="Garamond" w:cs="Times New Roman"/>
          <w:i/>
          <w:iCs/>
          <w:sz w:val="24"/>
          <w:szCs w:val="24"/>
          <w:lang w:eastAsia="en-GB"/>
        </w:rPr>
        <w:t>Remainers</w:t>
      </w:r>
      <w:proofErr w:type="spellEnd"/>
      <w:r w:rsidR="00C72730">
        <w:rPr>
          <w:rFonts w:ascii="Garamond" w:eastAsia="Times New Roman" w:hAnsi="Garamond" w:cs="Times New Roman"/>
          <w:i/>
          <w:iCs/>
          <w:sz w:val="24"/>
          <w:szCs w:val="24"/>
          <w:lang w:eastAsia="en-GB"/>
        </w:rPr>
        <w:t>)</w:t>
      </w:r>
      <w:r w:rsidR="00A64B35" w:rsidRPr="00C72730">
        <w:rPr>
          <w:rFonts w:ascii="Garamond" w:eastAsia="Times New Roman" w:hAnsi="Garamond" w:cs="Times New Roman"/>
          <w:i/>
          <w:iCs/>
          <w:sz w:val="24"/>
          <w:szCs w:val="24"/>
          <w:lang w:eastAsia="en-GB"/>
        </w:rPr>
        <w:t xml:space="preserve"> </w:t>
      </w:r>
      <w:r w:rsidR="0074608D" w:rsidRPr="00C72730">
        <w:rPr>
          <w:rFonts w:ascii="Garamond" w:eastAsia="Times New Roman" w:hAnsi="Garamond" w:cs="Times New Roman"/>
          <w:i/>
          <w:iCs/>
          <w:sz w:val="24"/>
          <w:szCs w:val="24"/>
          <w:lang w:eastAsia="en-GB"/>
        </w:rPr>
        <w:t xml:space="preserve">and </w:t>
      </w:r>
      <w:proofErr w:type="spellStart"/>
      <w:r w:rsidR="0074608D" w:rsidRPr="00C72730">
        <w:rPr>
          <w:rFonts w:ascii="Garamond" w:eastAsia="Times New Roman" w:hAnsi="Garamond" w:cs="Times New Roman"/>
          <w:i/>
          <w:iCs/>
          <w:sz w:val="24"/>
          <w:szCs w:val="24"/>
          <w:lang w:eastAsia="en-GB"/>
        </w:rPr>
        <w:t>Leadsom</w:t>
      </w:r>
      <w:proofErr w:type="spellEnd"/>
      <w:r w:rsidR="00A64B35" w:rsidRPr="00C72730">
        <w:rPr>
          <w:rFonts w:ascii="Garamond" w:eastAsia="Times New Roman" w:hAnsi="Garamond" w:cs="Times New Roman"/>
          <w:i/>
          <w:iCs/>
          <w:sz w:val="24"/>
          <w:szCs w:val="24"/>
          <w:lang w:eastAsia="en-GB"/>
        </w:rPr>
        <w:t xml:space="preserve"> </w:t>
      </w:r>
      <w:r w:rsidR="00187248" w:rsidRPr="00C72730">
        <w:rPr>
          <w:rFonts w:ascii="Garamond" w:eastAsia="Times New Roman" w:hAnsi="Garamond" w:cs="Times New Roman"/>
          <w:i/>
          <w:iCs/>
          <w:sz w:val="24"/>
          <w:szCs w:val="24"/>
          <w:lang w:eastAsia="en-GB"/>
        </w:rPr>
        <w:t>(</w:t>
      </w:r>
      <w:r w:rsidR="00A64B35" w:rsidRPr="00C72730">
        <w:rPr>
          <w:rFonts w:ascii="Garamond" w:eastAsia="Times New Roman" w:hAnsi="Garamond" w:cs="Times New Roman"/>
          <w:i/>
          <w:iCs/>
          <w:sz w:val="24"/>
          <w:szCs w:val="24"/>
          <w:lang w:eastAsia="en-GB"/>
        </w:rPr>
        <w:t>to Leavers).</w:t>
      </w:r>
      <w:r w:rsidR="00187248" w:rsidRPr="00C72730">
        <w:rPr>
          <w:rFonts w:ascii="Garamond" w:eastAsia="Times New Roman" w:hAnsi="Garamond" w:cs="Times New Roman"/>
          <w:i/>
          <w:iCs/>
          <w:sz w:val="24"/>
          <w:szCs w:val="24"/>
          <w:lang w:eastAsia="en-GB"/>
        </w:rPr>
        <w:t xml:space="preserve"> We also dem</w:t>
      </w:r>
      <w:r w:rsidR="001E5015" w:rsidRPr="00C72730">
        <w:rPr>
          <w:rFonts w:ascii="Garamond" w:eastAsia="Times New Roman" w:hAnsi="Garamond" w:cs="Times New Roman"/>
          <w:i/>
          <w:iCs/>
          <w:sz w:val="24"/>
          <w:szCs w:val="24"/>
          <w:lang w:eastAsia="en-GB"/>
        </w:rPr>
        <w:t>onstrate that in terms of support</w:t>
      </w:r>
      <w:r w:rsidR="00187248" w:rsidRPr="00C72730">
        <w:rPr>
          <w:rFonts w:ascii="Garamond" w:eastAsia="Times New Roman" w:hAnsi="Garamond" w:cs="Times New Roman"/>
          <w:i/>
          <w:iCs/>
          <w:sz w:val="24"/>
          <w:szCs w:val="24"/>
          <w:lang w:eastAsia="en-GB"/>
        </w:rPr>
        <w:t xml:space="preserve"> for Leadsom, Brexit was not the only significant driver</w:t>
      </w:r>
      <w:r w:rsidR="008B53A2" w:rsidRPr="00C72730">
        <w:rPr>
          <w:rFonts w:ascii="Garamond" w:eastAsia="Times New Roman" w:hAnsi="Garamond" w:cs="Times New Roman"/>
          <w:i/>
          <w:iCs/>
          <w:sz w:val="24"/>
          <w:szCs w:val="24"/>
          <w:lang w:eastAsia="en-GB"/>
        </w:rPr>
        <w:t xml:space="preserve"> </w:t>
      </w:r>
      <w:r w:rsidR="00187248" w:rsidRPr="00C72730">
        <w:rPr>
          <w:rFonts w:ascii="Garamond" w:eastAsia="Times New Roman" w:hAnsi="Garamond" w:cs="Times New Roman"/>
          <w:i/>
          <w:iCs/>
          <w:sz w:val="24"/>
          <w:szCs w:val="24"/>
          <w:lang w:eastAsia="en-GB"/>
        </w:rPr>
        <w:t>as opinion on same sex marriage, year of entry and ministerial status also influenced voting</w:t>
      </w:r>
      <w:r w:rsidR="00C72730">
        <w:rPr>
          <w:rFonts w:ascii="Garamond" w:eastAsia="Times New Roman" w:hAnsi="Garamond" w:cs="Times New Roman"/>
          <w:i/>
          <w:iCs/>
          <w:sz w:val="24"/>
          <w:szCs w:val="24"/>
          <w:lang w:eastAsia="en-GB"/>
        </w:rPr>
        <w:t xml:space="preserve"> behaviour</w:t>
      </w:r>
      <w:r w:rsidR="00187248" w:rsidRPr="00C72730">
        <w:rPr>
          <w:rFonts w:ascii="Garamond" w:eastAsia="Times New Roman" w:hAnsi="Garamond" w:cs="Times New Roman"/>
          <w:i/>
          <w:iCs/>
          <w:sz w:val="24"/>
          <w:szCs w:val="24"/>
          <w:lang w:eastAsia="en-GB"/>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i/>
          <w:iCs/>
          <w:sz w:val="24"/>
          <w:szCs w:val="24"/>
          <w:lang w:eastAsia="en-GB"/>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b/>
          <w:sz w:val="24"/>
          <w:szCs w:val="24"/>
          <w:lang w:eastAsia="en-GB"/>
        </w:rPr>
        <w:t xml:space="preserve">Keywords: </w:t>
      </w:r>
      <w:r w:rsidRPr="00C72730">
        <w:rPr>
          <w:rFonts w:ascii="Garamond" w:eastAsia="Times New Roman" w:hAnsi="Garamond" w:cs="Times New Roman"/>
          <w:sz w:val="24"/>
          <w:szCs w:val="24"/>
          <w:lang w:eastAsia="en-GB"/>
        </w:rPr>
        <w:t xml:space="preserve">Conservative Party, leadership elections, parliamentary behaviour, Theresa May, Brexit. </w:t>
      </w:r>
    </w:p>
    <w:p w:rsidR="001E5843" w:rsidRPr="00C72730" w:rsidRDefault="001E5843" w:rsidP="001E5843">
      <w:pPr>
        <w:shd w:val="clear" w:color="auto" w:fill="FFFFFF"/>
        <w:spacing w:after="0" w:line="360" w:lineRule="auto"/>
        <w:jc w:val="both"/>
        <w:textAlignment w:val="center"/>
        <w:outlineLvl w:val="0"/>
        <w:rPr>
          <w:rFonts w:ascii="Calibri" w:eastAsia="Times New Roman" w:hAnsi="Calibri" w:cs="Times New Roman"/>
          <w:sz w:val="24"/>
          <w:szCs w:val="24"/>
          <w:lang w:eastAsia="en-GB"/>
        </w:rPr>
      </w:pPr>
    </w:p>
    <w:p w:rsidR="00956D6F" w:rsidRPr="00C72730" w:rsidRDefault="00A55E86" w:rsidP="00DC066F">
      <w:pPr>
        <w:spacing w:after="0" w:line="360" w:lineRule="auto"/>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There is </w:t>
      </w:r>
      <w:r w:rsidR="006A5C1D">
        <w:rPr>
          <w:rFonts w:ascii="Garamond" w:eastAsia="Times New Roman" w:hAnsi="Garamond" w:cs="Times New Roman"/>
          <w:sz w:val="24"/>
          <w:szCs w:val="24"/>
          <w:lang w:eastAsia="en-GB"/>
        </w:rPr>
        <w:t xml:space="preserve">an </w:t>
      </w:r>
      <w:r w:rsidRPr="00C72730">
        <w:rPr>
          <w:rFonts w:ascii="Garamond" w:eastAsia="Times New Roman" w:hAnsi="Garamond" w:cs="Times New Roman"/>
          <w:sz w:val="24"/>
          <w:szCs w:val="24"/>
          <w:lang w:eastAsia="en-GB"/>
        </w:rPr>
        <w:t>extensive academic literature on leadership selection within the Conservative Party. This article contributes to that literature by assessing voting motivations of Conservative parliamentarians in the second parliamentary ballot of their July 2016 leadership election.</w:t>
      </w:r>
      <w:r w:rsidR="008D3336" w:rsidRPr="00C72730">
        <w:rPr>
          <w:rFonts w:ascii="Garamond" w:eastAsia="Times New Roman" w:hAnsi="Garamond" w:cs="Times New Roman"/>
          <w:sz w:val="24"/>
          <w:szCs w:val="24"/>
          <w:lang w:eastAsia="en-GB"/>
        </w:rPr>
        <w:t xml:space="preserve"> </w:t>
      </w:r>
      <w:r w:rsidR="00EF5B05" w:rsidRPr="00C72730">
        <w:rPr>
          <w:rFonts w:ascii="Garamond" w:eastAsia="Times New Roman" w:hAnsi="Garamond" w:cs="Times New Roman"/>
          <w:sz w:val="24"/>
          <w:szCs w:val="24"/>
          <w:lang w:eastAsia="en-GB"/>
        </w:rPr>
        <w:t xml:space="preserve">With 165 votes (50.2 percent) </w:t>
      </w:r>
      <w:r w:rsidR="008D3336" w:rsidRPr="00C72730">
        <w:rPr>
          <w:rFonts w:ascii="Garamond" w:eastAsia="Times New Roman" w:hAnsi="Garamond" w:cs="Times New Roman"/>
          <w:sz w:val="24"/>
          <w:szCs w:val="24"/>
          <w:lang w:eastAsia="en-GB"/>
        </w:rPr>
        <w:t>Theresa</w:t>
      </w:r>
      <w:r w:rsidRPr="00C72730">
        <w:rPr>
          <w:rFonts w:ascii="Garamond" w:eastAsia="Times New Roman" w:hAnsi="Garamond" w:cs="Times New Roman"/>
          <w:sz w:val="24"/>
          <w:szCs w:val="24"/>
          <w:lang w:eastAsia="en-GB"/>
        </w:rPr>
        <w:t xml:space="preserve"> </w:t>
      </w:r>
      <w:r w:rsidR="008D3336" w:rsidRPr="00C72730">
        <w:rPr>
          <w:rFonts w:ascii="Garamond" w:eastAsia="Times New Roman" w:hAnsi="Garamond" w:cs="Times New Roman"/>
          <w:sz w:val="24"/>
          <w:szCs w:val="24"/>
          <w:lang w:eastAsia="en-GB"/>
        </w:rPr>
        <w:t>May</w:t>
      </w:r>
      <w:r w:rsidR="006079C8" w:rsidRPr="00C72730">
        <w:rPr>
          <w:rFonts w:ascii="Garamond" w:eastAsia="Times New Roman" w:hAnsi="Garamond" w:cs="Times New Roman"/>
          <w:sz w:val="24"/>
          <w:szCs w:val="24"/>
          <w:lang w:eastAsia="en-GB"/>
        </w:rPr>
        <w:t xml:space="preserve"> </w:t>
      </w:r>
      <w:r w:rsidR="008D3336" w:rsidRPr="00C72730">
        <w:rPr>
          <w:rFonts w:ascii="Garamond" w:eastAsia="Times New Roman" w:hAnsi="Garamond" w:cs="Times New Roman"/>
          <w:sz w:val="24"/>
          <w:szCs w:val="24"/>
          <w:lang w:eastAsia="en-GB"/>
        </w:rPr>
        <w:t>won</w:t>
      </w:r>
      <w:r w:rsidR="00EF5B05" w:rsidRPr="00C72730">
        <w:rPr>
          <w:rFonts w:ascii="Garamond" w:eastAsia="Times New Roman" w:hAnsi="Garamond" w:cs="Times New Roman"/>
          <w:sz w:val="24"/>
          <w:szCs w:val="24"/>
          <w:lang w:eastAsia="en-GB"/>
        </w:rPr>
        <w:t xml:space="preserve"> </w:t>
      </w:r>
      <w:r w:rsidR="008D3336" w:rsidRPr="00C72730">
        <w:rPr>
          <w:rFonts w:ascii="Garamond" w:eastAsia="Times New Roman" w:hAnsi="Garamond" w:cs="Times New Roman"/>
          <w:sz w:val="24"/>
          <w:szCs w:val="24"/>
          <w:lang w:eastAsia="en-GB"/>
        </w:rPr>
        <w:t>the first parliamentary ballot</w:t>
      </w:r>
      <w:r w:rsidR="00EF5B05" w:rsidRPr="00C72730">
        <w:rPr>
          <w:rFonts w:ascii="Garamond" w:eastAsia="Times New Roman" w:hAnsi="Garamond" w:cs="Times New Roman"/>
          <w:sz w:val="24"/>
          <w:szCs w:val="24"/>
          <w:lang w:eastAsia="en-GB"/>
        </w:rPr>
        <w:t xml:space="preserve"> comfortably, with a clear</w:t>
      </w:r>
      <w:r w:rsidR="008D3336" w:rsidRPr="00C72730">
        <w:rPr>
          <w:rFonts w:ascii="Garamond" w:eastAsia="Times New Roman" w:hAnsi="Garamond" w:cs="Times New Roman"/>
          <w:sz w:val="24"/>
          <w:szCs w:val="24"/>
          <w:lang w:eastAsia="en-GB"/>
        </w:rPr>
        <w:t xml:space="preserve"> lead over Andrea Leadsom (66 votes</w:t>
      </w:r>
      <w:r w:rsidR="00EF5B05" w:rsidRPr="00C72730">
        <w:rPr>
          <w:rFonts w:ascii="Garamond" w:eastAsia="Times New Roman" w:hAnsi="Garamond" w:cs="Times New Roman"/>
          <w:sz w:val="24"/>
          <w:szCs w:val="24"/>
          <w:lang w:eastAsia="en-GB"/>
        </w:rPr>
        <w:t xml:space="preserve"> /</w:t>
      </w:r>
      <w:r w:rsidR="008D3336" w:rsidRPr="00C72730">
        <w:rPr>
          <w:rFonts w:ascii="Garamond" w:eastAsia="Times New Roman" w:hAnsi="Garamond" w:cs="Times New Roman"/>
          <w:sz w:val="24"/>
          <w:szCs w:val="24"/>
          <w:lang w:eastAsia="en-GB"/>
        </w:rPr>
        <w:t xml:space="preserve"> 20.1 percent) and Michael Gove (48 votes </w:t>
      </w:r>
      <w:r w:rsidR="00EF5B05" w:rsidRPr="00C72730">
        <w:rPr>
          <w:rFonts w:ascii="Garamond" w:eastAsia="Times New Roman" w:hAnsi="Garamond" w:cs="Times New Roman"/>
          <w:sz w:val="24"/>
          <w:szCs w:val="24"/>
          <w:lang w:eastAsia="en-GB"/>
        </w:rPr>
        <w:t>/</w:t>
      </w:r>
      <w:r w:rsidR="008D3336" w:rsidRPr="00C72730">
        <w:rPr>
          <w:rFonts w:ascii="Garamond" w:eastAsia="Times New Roman" w:hAnsi="Garamond" w:cs="Times New Roman"/>
          <w:sz w:val="24"/>
          <w:szCs w:val="24"/>
          <w:lang w:eastAsia="en-GB"/>
        </w:rPr>
        <w:t xml:space="preserve"> 14.6 percent), resulting in the automatic elimination of the lowest placed candidate, Liam Fox (16 votes </w:t>
      </w:r>
      <w:r w:rsidR="00EF5B05" w:rsidRPr="00C72730">
        <w:rPr>
          <w:rFonts w:ascii="Garamond" w:eastAsia="Times New Roman" w:hAnsi="Garamond" w:cs="Times New Roman"/>
          <w:sz w:val="24"/>
          <w:szCs w:val="24"/>
          <w:lang w:eastAsia="en-GB"/>
        </w:rPr>
        <w:t>/</w:t>
      </w:r>
      <w:r w:rsidR="008D3336" w:rsidRPr="00C72730">
        <w:rPr>
          <w:rFonts w:ascii="Garamond" w:eastAsia="Times New Roman" w:hAnsi="Garamond" w:cs="Times New Roman"/>
          <w:sz w:val="24"/>
          <w:szCs w:val="24"/>
          <w:lang w:eastAsia="en-GB"/>
        </w:rPr>
        <w:t xml:space="preserve"> 4.9 percent) and the withdrawal of Stephen </w:t>
      </w:r>
      <w:proofErr w:type="spellStart"/>
      <w:r w:rsidR="008D3336" w:rsidRPr="00C72730">
        <w:rPr>
          <w:rFonts w:ascii="Garamond" w:eastAsia="Times New Roman" w:hAnsi="Garamond" w:cs="Times New Roman"/>
          <w:sz w:val="24"/>
          <w:szCs w:val="24"/>
          <w:lang w:eastAsia="en-GB"/>
        </w:rPr>
        <w:t>Crabb</w:t>
      </w:r>
      <w:proofErr w:type="spellEnd"/>
      <w:r w:rsidR="008D3336" w:rsidRPr="00C72730">
        <w:rPr>
          <w:rFonts w:ascii="Garamond" w:eastAsia="Times New Roman" w:hAnsi="Garamond" w:cs="Times New Roman"/>
          <w:sz w:val="24"/>
          <w:szCs w:val="24"/>
          <w:lang w:eastAsia="en-GB"/>
        </w:rPr>
        <w:t xml:space="preserve"> (34 votes </w:t>
      </w:r>
      <w:r w:rsidR="00EF5B05" w:rsidRPr="00C72730">
        <w:rPr>
          <w:rFonts w:ascii="Garamond" w:eastAsia="Times New Roman" w:hAnsi="Garamond" w:cs="Times New Roman"/>
          <w:sz w:val="24"/>
          <w:szCs w:val="24"/>
          <w:lang w:eastAsia="en-GB"/>
        </w:rPr>
        <w:t>/</w:t>
      </w:r>
      <w:r w:rsidR="008D3336" w:rsidRPr="00C72730">
        <w:rPr>
          <w:rFonts w:ascii="Garamond" w:eastAsia="Times New Roman" w:hAnsi="Garamond" w:cs="Times New Roman"/>
          <w:sz w:val="24"/>
          <w:szCs w:val="24"/>
          <w:lang w:eastAsia="en-GB"/>
        </w:rPr>
        <w:t xml:space="preserve"> 10.3 percent). She then secured the backing </w:t>
      </w:r>
      <w:r w:rsidRPr="00C72730">
        <w:rPr>
          <w:rFonts w:ascii="Garamond" w:eastAsia="Times New Roman" w:hAnsi="Garamond" w:cs="Times New Roman"/>
          <w:sz w:val="24"/>
          <w:szCs w:val="24"/>
          <w:lang w:eastAsia="en-GB"/>
        </w:rPr>
        <w:t>of 199 of her parliamentar</w:t>
      </w:r>
      <w:r w:rsidR="008D3336" w:rsidRPr="00C72730">
        <w:rPr>
          <w:rFonts w:ascii="Garamond" w:eastAsia="Times New Roman" w:hAnsi="Garamond" w:cs="Times New Roman"/>
          <w:sz w:val="24"/>
          <w:szCs w:val="24"/>
          <w:lang w:eastAsia="en-GB"/>
        </w:rPr>
        <w:t>y colleagues (60.3 percent)</w:t>
      </w:r>
      <w:r w:rsidR="006079C8" w:rsidRPr="00C72730">
        <w:rPr>
          <w:rFonts w:ascii="Garamond" w:eastAsia="Times New Roman" w:hAnsi="Garamond" w:cs="Times New Roman"/>
          <w:sz w:val="24"/>
          <w:szCs w:val="24"/>
          <w:lang w:eastAsia="en-GB"/>
        </w:rPr>
        <w:t xml:space="preserve"> in the second ballot</w:t>
      </w:r>
      <w:r w:rsidR="008D3336" w:rsidRPr="00C72730">
        <w:rPr>
          <w:rFonts w:ascii="Garamond" w:eastAsia="Times New Roman" w:hAnsi="Garamond" w:cs="Times New Roman"/>
          <w:sz w:val="24"/>
          <w:szCs w:val="24"/>
          <w:lang w:eastAsia="en-GB"/>
        </w:rPr>
        <w:t>, which</w:t>
      </w:r>
      <w:r w:rsidRPr="00C72730">
        <w:rPr>
          <w:rFonts w:ascii="Garamond" w:eastAsia="Times New Roman" w:hAnsi="Garamond" w:cs="Times New Roman"/>
          <w:sz w:val="24"/>
          <w:szCs w:val="24"/>
          <w:lang w:eastAsia="en-GB"/>
        </w:rPr>
        <w:t xml:space="preserve"> provided her with a parliamentary mandate that was stronger than all of her predecessors when acquiring the leadership since the democratisation of leadership selection in 1965 – i.e. Edward Heath (1965, 49.3 percent); Margaret Thatcher (1975, 52.9 percent); John Major (1990, 49.7 percent); William Hague (1997, 56.1 percent); Iain Duncan Smith (2001, 32.5 percent); Michael Howard (2003; no ballot held as only one candidate); and David Cameron (2005, 45.4 percent) (Heppell 2008, p. 186). </w:t>
      </w:r>
    </w:p>
    <w:p w:rsidR="00CF7E42" w:rsidRPr="00C72730" w:rsidRDefault="00CF7E42" w:rsidP="00DC066F">
      <w:pPr>
        <w:spacing w:after="0" w:line="360" w:lineRule="auto"/>
        <w:jc w:val="both"/>
        <w:rPr>
          <w:rFonts w:ascii="Garamond" w:eastAsia="Times New Roman" w:hAnsi="Garamond" w:cs="Times New Roman"/>
          <w:sz w:val="24"/>
          <w:szCs w:val="24"/>
          <w:lang w:eastAsia="en-GB"/>
        </w:rPr>
      </w:pPr>
    </w:p>
    <w:p w:rsidR="005838C1" w:rsidRPr="00C72730" w:rsidRDefault="00A55E86" w:rsidP="00DC066F">
      <w:pPr>
        <w:spacing w:after="0" w:line="360" w:lineRule="auto"/>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lastRenderedPageBreak/>
        <w:t>The second parliamentary ballot eliminated the third placed candidate, Gove (46 votes</w:t>
      </w:r>
      <w:r w:rsidR="00CF7E42"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 xml:space="preserve"> 14 percent), and ensured that May would proceed with the </w:t>
      </w:r>
      <w:r w:rsidR="008D3336" w:rsidRPr="00C72730">
        <w:rPr>
          <w:rFonts w:ascii="Garamond" w:eastAsia="Times New Roman" w:hAnsi="Garamond" w:cs="Times New Roman"/>
          <w:sz w:val="24"/>
          <w:szCs w:val="24"/>
          <w:lang w:eastAsia="en-GB"/>
        </w:rPr>
        <w:t xml:space="preserve">second placed candidate, </w:t>
      </w:r>
      <w:r w:rsidRPr="00C72730">
        <w:rPr>
          <w:rFonts w:ascii="Garamond" w:eastAsia="Times New Roman" w:hAnsi="Garamond" w:cs="Times New Roman"/>
          <w:sz w:val="24"/>
          <w:szCs w:val="24"/>
          <w:lang w:eastAsia="en-GB"/>
        </w:rPr>
        <w:t xml:space="preserve">Leadsom (84 votes </w:t>
      </w:r>
      <w:r w:rsidR="00CF7E42" w:rsidRPr="00C72730">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25.5 percent) to a one member, one vo</w:t>
      </w:r>
      <w:r w:rsidR="00471972" w:rsidRPr="00C72730">
        <w:rPr>
          <w:rFonts w:ascii="Garamond" w:eastAsia="Times New Roman" w:hAnsi="Garamond" w:cs="Times New Roman"/>
          <w:sz w:val="24"/>
          <w:szCs w:val="24"/>
          <w:lang w:eastAsia="en-GB"/>
        </w:rPr>
        <w:t xml:space="preserve">te ballot of Conservative Party </w:t>
      </w:r>
      <w:r w:rsidRPr="00C72730">
        <w:rPr>
          <w:rFonts w:ascii="Garamond" w:eastAsia="Times New Roman" w:hAnsi="Garamond" w:cs="Times New Roman"/>
          <w:sz w:val="24"/>
          <w:szCs w:val="24"/>
          <w:lang w:eastAsia="en-GB"/>
        </w:rPr>
        <w:t xml:space="preserve">members. </w:t>
      </w:r>
      <w:r w:rsidR="009C07A1" w:rsidRPr="00C72730">
        <w:rPr>
          <w:rFonts w:ascii="Garamond" w:eastAsia="Times New Roman" w:hAnsi="Garamond" w:cs="Times New Roman"/>
          <w:sz w:val="24"/>
          <w:szCs w:val="24"/>
          <w:lang w:eastAsia="en-GB"/>
        </w:rPr>
        <w:t>T</w:t>
      </w:r>
      <w:r w:rsidRPr="00C72730">
        <w:rPr>
          <w:rFonts w:ascii="Garamond" w:eastAsia="Times New Roman" w:hAnsi="Garamond" w:cs="Times New Roman"/>
          <w:sz w:val="24"/>
          <w:szCs w:val="24"/>
          <w:lang w:eastAsia="en-GB"/>
        </w:rPr>
        <w:t xml:space="preserve">he gap between </w:t>
      </w:r>
      <w:r w:rsidR="00CF7E42" w:rsidRPr="00C72730">
        <w:rPr>
          <w:rFonts w:ascii="Garamond" w:eastAsia="Times New Roman" w:hAnsi="Garamond" w:cs="Times New Roman"/>
          <w:sz w:val="24"/>
          <w:szCs w:val="24"/>
          <w:lang w:eastAsia="en-GB"/>
        </w:rPr>
        <w:t xml:space="preserve">her and </w:t>
      </w:r>
      <w:r w:rsidRPr="00C72730">
        <w:rPr>
          <w:rFonts w:ascii="Garamond" w:eastAsia="Times New Roman" w:hAnsi="Garamond" w:cs="Times New Roman"/>
          <w:sz w:val="24"/>
          <w:szCs w:val="24"/>
          <w:lang w:eastAsia="en-GB"/>
        </w:rPr>
        <w:t xml:space="preserve">May was so large </w:t>
      </w:r>
      <w:r w:rsidR="00C72730">
        <w:rPr>
          <w:rFonts w:ascii="Garamond" w:eastAsia="Times New Roman" w:hAnsi="Garamond" w:cs="Times New Roman"/>
          <w:sz w:val="24"/>
          <w:szCs w:val="24"/>
          <w:lang w:eastAsia="en-GB"/>
        </w:rPr>
        <w:t xml:space="preserve">it </w:t>
      </w:r>
      <w:r w:rsidRPr="00C72730">
        <w:rPr>
          <w:rFonts w:ascii="Garamond" w:eastAsia="Times New Roman" w:hAnsi="Garamond" w:cs="Times New Roman"/>
          <w:sz w:val="24"/>
          <w:szCs w:val="24"/>
          <w:lang w:eastAsia="en-GB"/>
        </w:rPr>
        <w:t xml:space="preserve">created a conundrum for </w:t>
      </w:r>
      <w:r w:rsidR="00CF7E42" w:rsidRPr="00C72730">
        <w:rPr>
          <w:rFonts w:ascii="Garamond" w:eastAsia="Times New Roman" w:hAnsi="Garamond" w:cs="Times New Roman"/>
          <w:sz w:val="24"/>
          <w:szCs w:val="24"/>
          <w:lang w:eastAsia="en-GB"/>
        </w:rPr>
        <w:t>Leadsom</w:t>
      </w:r>
      <w:r w:rsidRPr="00C72730">
        <w:rPr>
          <w:rFonts w:ascii="Garamond" w:eastAsia="Times New Roman" w:hAnsi="Garamond" w:cs="Times New Roman"/>
          <w:sz w:val="24"/>
          <w:szCs w:val="24"/>
          <w:lang w:eastAsia="en-GB"/>
        </w:rPr>
        <w:t xml:space="preserve">. As the Conservative membership was assumed to be predominantly pro-Brexit, then as a pro-Brexit candidate Leadsom </w:t>
      </w:r>
      <w:r w:rsidRPr="00C72730">
        <w:rPr>
          <w:rFonts w:ascii="Garamond" w:eastAsia="Times New Roman" w:hAnsi="Garamond" w:cs="Times New Roman"/>
          <w:i/>
          <w:iCs/>
          <w:sz w:val="24"/>
          <w:szCs w:val="24"/>
          <w:lang w:eastAsia="en-GB"/>
        </w:rPr>
        <w:t>might</w:t>
      </w:r>
      <w:r w:rsidRPr="00C72730">
        <w:rPr>
          <w:rFonts w:ascii="Garamond" w:eastAsia="Times New Roman" w:hAnsi="Garamond" w:cs="Times New Roman"/>
          <w:sz w:val="24"/>
          <w:szCs w:val="24"/>
          <w:lang w:eastAsia="en-GB"/>
        </w:rPr>
        <w:t xml:space="preserve"> be able to win a party membership ballot (Mason, 2016). However, proceeding with her candidature in this hope would require a </w:t>
      </w:r>
      <w:r w:rsidR="001C09FE" w:rsidRPr="00C72730">
        <w:rPr>
          <w:rFonts w:ascii="Garamond" w:eastAsia="Times New Roman" w:hAnsi="Garamond" w:cs="Times New Roman"/>
          <w:sz w:val="24"/>
          <w:szCs w:val="24"/>
          <w:lang w:eastAsia="en-GB"/>
        </w:rPr>
        <w:t>two-month</w:t>
      </w:r>
      <w:r w:rsidRPr="00C72730">
        <w:rPr>
          <w:rFonts w:ascii="Garamond" w:eastAsia="Times New Roman" w:hAnsi="Garamond" w:cs="Times New Roman"/>
          <w:sz w:val="24"/>
          <w:szCs w:val="24"/>
          <w:lang w:eastAsia="en-GB"/>
        </w:rPr>
        <w:t xml:space="preserve"> campaign, </w:t>
      </w:r>
      <w:r w:rsidR="00C72730">
        <w:rPr>
          <w:rFonts w:ascii="Garamond" w:eastAsia="Times New Roman" w:hAnsi="Garamond" w:cs="Times New Roman"/>
          <w:sz w:val="24"/>
          <w:szCs w:val="24"/>
          <w:lang w:eastAsia="en-GB"/>
        </w:rPr>
        <w:t xml:space="preserve">thereby </w:t>
      </w:r>
      <w:r w:rsidRPr="00C72730">
        <w:rPr>
          <w:rFonts w:ascii="Garamond" w:eastAsia="Times New Roman" w:hAnsi="Garamond" w:cs="Times New Roman"/>
          <w:sz w:val="24"/>
          <w:szCs w:val="24"/>
          <w:lang w:eastAsia="en-GB"/>
        </w:rPr>
        <w:t>prolonging the period of political instability that had been created by the vote to leave the European Union</w:t>
      </w:r>
      <w:r w:rsidR="008D3336" w:rsidRPr="00C72730">
        <w:rPr>
          <w:rFonts w:ascii="Garamond" w:eastAsia="Times New Roman" w:hAnsi="Garamond" w:cs="Times New Roman"/>
          <w:sz w:val="24"/>
          <w:szCs w:val="24"/>
          <w:lang w:eastAsia="en-GB"/>
        </w:rPr>
        <w:t xml:space="preserve"> (EU)</w:t>
      </w:r>
      <w:r w:rsidRPr="00C72730">
        <w:rPr>
          <w:rFonts w:ascii="Garamond" w:eastAsia="Times New Roman" w:hAnsi="Garamond" w:cs="Times New Roman"/>
          <w:sz w:val="24"/>
          <w:szCs w:val="24"/>
          <w:lang w:eastAsia="en-GB"/>
        </w:rPr>
        <w:t>. Even if Leadsom could win the party membership ballot she would be left leading the Conservative Party with the backing of only one quarter of her parliamentary colleagues. The experience of the Labour Party – in which their leader, Jeremy Corbyn, claimed a leadership mandate from the membership (59.5 percent), but only had the support of 36 Labour MPs or 15.5 percent of the parliamentary Labour Party (PLP)(see Dorey and Denham, 2016) was something many Conservativ</w:t>
      </w:r>
      <w:r w:rsidR="005838C1" w:rsidRPr="00C72730">
        <w:rPr>
          <w:rFonts w:ascii="Garamond" w:eastAsia="Times New Roman" w:hAnsi="Garamond" w:cs="Times New Roman"/>
          <w:sz w:val="24"/>
          <w:szCs w:val="24"/>
          <w:lang w:eastAsia="en-GB"/>
        </w:rPr>
        <w:t>es wanted to avoid.</w:t>
      </w:r>
      <w:r w:rsidR="009C10C3" w:rsidRPr="00C72730">
        <w:rPr>
          <w:rFonts w:ascii="Garamond" w:eastAsia="Times New Roman" w:hAnsi="Garamond" w:cs="Times New Roman"/>
          <w:sz w:val="24"/>
          <w:szCs w:val="24"/>
          <w:lang w:eastAsia="en-GB"/>
        </w:rPr>
        <w:t xml:space="preserve"> </w:t>
      </w:r>
      <w:r w:rsidR="001E5843" w:rsidRPr="00C72730">
        <w:rPr>
          <w:rFonts w:ascii="Garamond" w:eastAsia="Times New Roman" w:hAnsi="Garamond" w:cs="Times New Roman"/>
          <w:sz w:val="24"/>
          <w:szCs w:val="24"/>
          <w:lang w:eastAsia="en-GB"/>
        </w:rPr>
        <w:t xml:space="preserve">Doubts about her </w:t>
      </w:r>
      <w:r w:rsidR="00AC1541" w:rsidRPr="00C72730">
        <w:rPr>
          <w:rFonts w:ascii="Garamond" w:eastAsia="Times New Roman" w:hAnsi="Garamond" w:cs="Times New Roman"/>
          <w:sz w:val="24"/>
          <w:szCs w:val="24"/>
          <w:lang w:eastAsia="en-GB"/>
        </w:rPr>
        <w:t xml:space="preserve">capacity to </w:t>
      </w:r>
      <w:r w:rsidR="00E77478" w:rsidRPr="00C72730">
        <w:rPr>
          <w:rFonts w:ascii="Garamond" w:eastAsia="Times New Roman" w:hAnsi="Garamond" w:cs="Times New Roman"/>
          <w:sz w:val="24"/>
          <w:szCs w:val="24"/>
          <w:lang w:eastAsia="en-GB"/>
        </w:rPr>
        <w:t>lead effectively w</w:t>
      </w:r>
      <w:r w:rsidR="001E5843" w:rsidRPr="00C72730">
        <w:rPr>
          <w:rFonts w:ascii="Garamond" w:eastAsia="Times New Roman" w:hAnsi="Garamond" w:cs="Times New Roman"/>
          <w:sz w:val="24"/>
          <w:szCs w:val="24"/>
          <w:lang w:eastAsia="en-GB"/>
        </w:rPr>
        <w:t xml:space="preserve">ith such a low level of parliamentary support were then intensified by the following factors. First, </w:t>
      </w:r>
      <w:r w:rsidR="001E06B9" w:rsidRPr="00C72730">
        <w:rPr>
          <w:rFonts w:ascii="Garamond" w:eastAsia="Times New Roman" w:hAnsi="Garamond" w:cs="Times New Roman"/>
          <w:sz w:val="24"/>
          <w:szCs w:val="24"/>
          <w:lang w:eastAsia="en-GB"/>
        </w:rPr>
        <w:t>allegations emerged</w:t>
      </w:r>
      <w:r w:rsidR="001E5843" w:rsidRPr="00C72730">
        <w:rPr>
          <w:rFonts w:ascii="Garamond" w:eastAsia="Times New Roman" w:hAnsi="Garamond" w:cs="Times New Roman"/>
          <w:sz w:val="24"/>
          <w:szCs w:val="24"/>
          <w:lang w:eastAsia="en-GB"/>
        </w:rPr>
        <w:t xml:space="preserve"> about her pre-parli</w:t>
      </w:r>
      <w:r w:rsidR="007D21B2" w:rsidRPr="00C72730">
        <w:rPr>
          <w:rFonts w:ascii="Garamond" w:eastAsia="Times New Roman" w:hAnsi="Garamond" w:cs="Times New Roman"/>
          <w:sz w:val="24"/>
          <w:szCs w:val="24"/>
          <w:lang w:eastAsia="en-GB"/>
        </w:rPr>
        <w:t xml:space="preserve">amentary career; </w:t>
      </w:r>
      <w:r w:rsidR="001E5843" w:rsidRPr="00C72730">
        <w:rPr>
          <w:rFonts w:ascii="Garamond" w:eastAsia="Times New Roman" w:hAnsi="Garamond" w:cs="Times New Roman"/>
          <w:sz w:val="24"/>
          <w:szCs w:val="24"/>
          <w:lang w:eastAsia="en-GB"/>
        </w:rPr>
        <w:t xml:space="preserve">second, </w:t>
      </w:r>
      <w:r w:rsidR="00AC1541" w:rsidRPr="00C72730">
        <w:rPr>
          <w:rFonts w:ascii="Garamond" w:eastAsia="Times New Roman" w:hAnsi="Garamond" w:cs="Times New Roman"/>
          <w:sz w:val="24"/>
          <w:szCs w:val="24"/>
          <w:lang w:eastAsia="en-GB"/>
        </w:rPr>
        <w:t xml:space="preserve">queries </w:t>
      </w:r>
      <w:r w:rsidR="00E77478" w:rsidRPr="00C72730">
        <w:rPr>
          <w:rFonts w:ascii="Garamond" w:eastAsia="Times New Roman" w:hAnsi="Garamond" w:cs="Times New Roman"/>
          <w:sz w:val="24"/>
          <w:szCs w:val="24"/>
          <w:lang w:eastAsia="en-GB"/>
        </w:rPr>
        <w:t>about h</w:t>
      </w:r>
      <w:r w:rsidR="001E5843" w:rsidRPr="00C72730">
        <w:rPr>
          <w:rFonts w:ascii="Garamond" w:eastAsia="Times New Roman" w:hAnsi="Garamond" w:cs="Times New Roman"/>
          <w:sz w:val="24"/>
          <w:szCs w:val="24"/>
          <w:lang w:eastAsia="en-GB"/>
        </w:rPr>
        <w:t>er tax returns</w:t>
      </w:r>
      <w:r w:rsidR="007D21B2" w:rsidRPr="00C72730">
        <w:rPr>
          <w:rFonts w:ascii="Garamond" w:eastAsia="Times New Roman" w:hAnsi="Garamond" w:cs="Times New Roman"/>
          <w:sz w:val="24"/>
          <w:szCs w:val="24"/>
          <w:lang w:eastAsia="en-GB"/>
        </w:rPr>
        <w:t>;</w:t>
      </w:r>
      <w:r w:rsidR="001E5843" w:rsidRPr="00C72730">
        <w:rPr>
          <w:rFonts w:ascii="Garamond" w:eastAsia="Times New Roman" w:hAnsi="Garamond" w:cs="Times New Roman"/>
          <w:sz w:val="24"/>
          <w:szCs w:val="24"/>
          <w:lang w:eastAsia="en-GB"/>
        </w:rPr>
        <w:t xml:space="preserve"> and third, her judgement was questioned after she </w:t>
      </w:r>
      <w:r w:rsidR="00AC1541" w:rsidRPr="00C72730">
        <w:rPr>
          <w:rFonts w:ascii="Garamond" w:eastAsia="Times New Roman" w:hAnsi="Garamond" w:cs="Times New Roman"/>
          <w:sz w:val="24"/>
          <w:szCs w:val="24"/>
          <w:lang w:eastAsia="en-GB"/>
        </w:rPr>
        <w:t xml:space="preserve">implied </w:t>
      </w:r>
      <w:r w:rsidR="001E5843" w:rsidRPr="00C72730">
        <w:rPr>
          <w:rFonts w:ascii="Garamond" w:eastAsia="Times New Roman" w:hAnsi="Garamond" w:cs="Times New Roman"/>
          <w:sz w:val="24"/>
          <w:szCs w:val="24"/>
          <w:lang w:eastAsia="en-GB"/>
        </w:rPr>
        <w:t>that she would a better Prime Minister than May because</w:t>
      </w:r>
      <w:r w:rsidR="00C72730">
        <w:rPr>
          <w:rFonts w:ascii="Garamond" w:eastAsia="Times New Roman" w:hAnsi="Garamond" w:cs="Times New Roman"/>
          <w:sz w:val="24"/>
          <w:szCs w:val="24"/>
          <w:lang w:eastAsia="en-GB"/>
        </w:rPr>
        <w:t>, unlike May,</w:t>
      </w:r>
      <w:r w:rsidR="001E5843" w:rsidRPr="00C72730">
        <w:rPr>
          <w:rFonts w:ascii="Garamond" w:eastAsia="Times New Roman" w:hAnsi="Garamond" w:cs="Times New Roman"/>
          <w:sz w:val="24"/>
          <w:szCs w:val="24"/>
          <w:lang w:eastAsia="en-GB"/>
        </w:rPr>
        <w:t xml:space="preserve"> she w</w:t>
      </w:r>
      <w:r w:rsidR="007D21B2" w:rsidRPr="00C72730">
        <w:rPr>
          <w:rFonts w:ascii="Garamond" w:eastAsia="Times New Roman" w:hAnsi="Garamond" w:cs="Times New Roman"/>
          <w:sz w:val="24"/>
          <w:szCs w:val="24"/>
          <w:lang w:eastAsia="en-GB"/>
        </w:rPr>
        <w:t xml:space="preserve">as a mother. </w:t>
      </w:r>
      <w:r w:rsidR="001E5843" w:rsidRPr="00C72730">
        <w:rPr>
          <w:rFonts w:ascii="Garamond" w:eastAsia="Times New Roman" w:hAnsi="Garamond" w:cs="Times New Roman"/>
          <w:sz w:val="24"/>
          <w:szCs w:val="24"/>
          <w:lang w:eastAsia="en-GB"/>
        </w:rPr>
        <w:t xml:space="preserve">The cumulative impact of the above led to her </w:t>
      </w:r>
      <w:r w:rsidR="009C10C3" w:rsidRPr="00C72730">
        <w:rPr>
          <w:rFonts w:ascii="Garamond" w:eastAsia="Times New Roman" w:hAnsi="Garamond" w:cs="Times New Roman"/>
          <w:sz w:val="24"/>
          <w:szCs w:val="24"/>
          <w:lang w:eastAsia="en-GB"/>
        </w:rPr>
        <w:t>decision to withdraw her candidature rather than proceed to a membership ballot (Bulman, 2016).</w:t>
      </w:r>
      <w:r w:rsidR="005838C1" w:rsidRPr="00C72730">
        <w:rPr>
          <w:rFonts w:ascii="Garamond" w:eastAsia="Times New Roman" w:hAnsi="Garamond" w:cs="Times New Roman"/>
          <w:sz w:val="24"/>
          <w:szCs w:val="24"/>
          <w:lang w:eastAsia="en-GB"/>
        </w:rPr>
        <w:t xml:space="preserve"> </w:t>
      </w:r>
    </w:p>
    <w:p w:rsidR="009C10C3" w:rsidRPr="00C72730" w:rsidRDefault="009C10C3" w:rsidP="00DC066F">
      <w:pPr>
        <w:spacing w:after="0" w:line="360" w:lineRule="auto"/>
        <w:jc w:val="both"/>
        <w:rPr>
          <w:rFonts w:ascii="Garamond" w:eastAsia="Times New Roman" w:hAnsi="Garamond" w:cs="Times New Roman"/>
          <w:sz w:val="24"/>
          <w:szCs w:val="24"/>
          <w:lang w:eastAsia="en-GB"/>
        </w:rPr>
      </w:pPr>
    </w:p>
    <w:p w:rsidR="001E5843"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That May secured such a high level of support from her parliamentary colleagues is the conundrum this paper seeks to explain. There is a long tradition of attempting to explain the</w:t>
      </w:r>
      <w:r w:rsidRPr="00C72730">
        <w:rPr>
          <w:rFonts w:ascii="Garamond" w:eastAsia="Times New Roman" w:hAnsi="Garamond" w:cs="Times New Roman"/>
          <w:i/>
          <w:iCs/>
          <w:sz w:val="24"/>
          <w:szCs w:val="24"/>
          <w:lang w:eastAsia="en-GB"/>
        </w:rPr>
        <w:t xml:space="preserve"> how</w:t>
      </w:r>
      <w:r w:rsidRPr="00C72730">
        <w:rPr>
          <w:rFonts w:ascii="Garamond" w:eastAsia="Times New Roman" w:hAnsi="Garamond" w:cs="Times New Roman"/>
          <w:sz w:val="24"/>
          <w:szCs w:val="24"/>
          <w:lang w:eastAsia="en-GB"/>
        </w:rPr>
        <w:t xml:space="preserve"> and </w:t>
      </w:r>
      <w:r w:rsidRPr="00C72730">
        <w:rPr>
          <w:rFonts w:ascii="Garamond" w:eastAsia="Times New Roman" w:hAnsi="Garamond" w:cs="Times New Roman"/>
          <w:i/>
          <w:iCs/>
          <w:sz w:val="24"/>
          <w:szCs w:val="24"/>
          <w:lang w:eastAsia="en-GB"/>
        </w:rPr>
        <w:t xml:space="preserve">why </w:t>
      </w:r>
      <w:r w:rsidRPr="00C72730">
        <w:rPr>
          <w:rFonts w:ascii="Garamond" w:eastAsia="Times New Roman" w:hAnsi="Garamond" w:cs="Times New Roman"/>
          <w:sz w:val="24"/>
          <w:szCs w:val="24"/>
          <w:lang w:eastAsia="en-GB"/>
        </w:rPr>
        <w:t>of party leadership selection and ejection within the Conservative Party. Academic explanations of Conservative Party leadership elections fall broadly into two camps. The first approach can be described as the anecdotally driven narrative – i.e. the profiling of the candidates and their strengths and weaknesses; the appraisal of the campaigning period and the positions adopted by the candidates (and mistakes made)</w:t>
      </w:r>
      <w:r w:rsidR="008C31BC">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w:t>
      </w:r>
      <w:r w:rsidR="00C72730">
        <w:rPr>
          <w:rFonts w:ascii="Garamond" w:eastAsia="Times New Roman" w:hAnsi="Garamond" w:cs="Times New Roman"/>
          <w:sz w:val="24"/>
          <w:szCs w:val="24"/>
          <w:lang w:eastAsia="en-GB"/>
        </w:rPr>
        <w:t xml:space="preserve">This is </w:t>
      </w:r>
      <w:r w:rsidRPr="00C72730">
        <w:rPr>
          <w:rFonts w:ascii="Garamond" w:eastAsia="Times New Roman" w:hAnsi="Garamond" w:cs="Times New Roman"/>
          <w:sz w:val="24"/>
          <w:szCs w:val="24"/>
          <w:lang w:eastAsia="en-GB"/>
        </w:rPr>
        <w:t>followed by a descriptive account of the ballots</w:t>
      </w:r>
      <w:r w:rsidR="00C72730">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leading to a set of explanations of why the victor was selected and the vanquished were rejected (see fo</w:t>
      </w:r>
      <w:r w:rsidR="008D3336" w:rsidRPr="00C72730">
        <w:rPr>
          <w:rFonts w:ascii="Garamond" w:eastAsia="Times New Roman" w:hAnsi="Garamond" w:cs="Times New Roman"/>
          <w:sz w:val="24"/>
          <w:szCs w:val="24"/>
          <w:lang w:eastAsia="en-GB"/>
        </w:rPr>
        <w:t>r example, Alderman, 1996, 1998</w:t>
      </w:r>
      <w:r w:rsidRPr="00C72730">
        <w:rPr>
          <w:rFonts w:ascii="Garamond" w:eastAsia="Times New Roman" w:hAnsi="Garamond" w:cs="Times New Roman"/>
          <w:sz w:val="24"/>
          <w:szCs w:val="24"/>
          <w:lang w:eastAsia="en-GB"/>
        </w:rPr>
        <w:t>; Alderman and Carter, 2002; Dorey and Denham, 2006; Denham and O’Hara, 2008; Heppell, 2008). Within such accounts scholars have consistently argued that candidates for the party leadership were being selected (or rejected) on the basis of the following: first, evaluations of their ability to unify the party; second, their comparative electability; and third, their perceived competence (Stark, 1996). </w:t>
      </w:r>
    </w:p>
    <w:p w:rsidR="00A55E86" w:rsidRPr="00C72730" w:rsidRDefault="001E5843"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lastRenderedPageBreak/>
        <w:t xml:space="preserve">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One drawback of this narrative based approach is that academics can be left making somewhat subjective assessments of the supposed unifying and electioneering abilities of candidates, and perceptions of their overall political competence (although as Quinn,</w:t>
      </w:r>
      <w:r w:rsidR="00A808B1"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2016, has demonstrated, credible evidence can be assembled from opinion polling to bolster such judgements). That limitation explains the value of the second approach</w:t>
      </w:r>
      <w:r w:rsidR="00C72730">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w:t>
      </w:r>
      <w:r w:rsidR="00C72730">
        <w:rPr>
          <w:rFonts w:ascii="Garamond" w:eastAsia="Times New Roman" w:hAnsi="Garamond" w:cs="Times New Roman"/>
          <w:sz w:val="24"/>
          <w:szCs w:val="24"/>
          <w:lang w:eastAsia="en-GB"/>
        </w:rPr>
        <w:t>which</w:t>
      </w:r>
      <w:r w:rsidR="00C72730"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has been used to explain the outcomes of Conservative Party leadership elections. Here the focus is on developing a more systematic way of identifying the variables that may have influenced voting behaviour wit</w:t>
      </w:r>
      <w:r w:rsidR="00A808B1" w:rsidRPr="00C72730">
        <w:rPr>
          <w:rFonts w:ascii="Garamond" w:eastAsia="Times New Roman" w:hAnsi="Garamond" w:cs="Times New Roman"/>
          <w:sz w:val="24"/>
          <w:szCs w:val="24"/>
          <w:lang w:eastAsia="en-GB"/>
        </w:rPr>
        <w:t xml:space="preserve">hin parliamentary ballots. The </w:t>
      </w:r>
      <w:r w:rsidRPr="00C72730">
        <w:rPr>
          <w:rFonts w:ascii="Garamond" w:eastAsia="Times New Roman" w:hAnsi="Garamond" w:cs="Times New Roman"/>
          <w:sz w:val="24"/>
          <w:szCs w:val="24"/>
          <w:lang w:eastAsia="en-GB"/>
        </w:rPr>
        <w:t xml:space="preserve">work of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and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Bailey (2000) established this approach as they </w:t>
      </w:r>
      <w:r w:rsidR="004C352B" w:rsidRPr="00C72730">
        <w:rPr>
          <w:rFonts w:ascii="Garamond" w:eastAsia="Times New Roman" w:hAnsi="Garamond" w:cs="Times New Roman"/>
          <w:sz w:val="24"/>
          <w:szCs w:val="24"/>
          <w:lang w:eastAsia="en-GB"/>
        </w:rPr>
        <w:t xml:space="preserve">analysed </w:t>
      </w:r>
      <w:r w:rsidRPr="00C72730">
        <w:rPr>
          <w:rFonts w:ascii="Garamond" w:eastAsia="Times New Roman" w:hAnsi="Garamond" w:cs="Times New Roman"/>
          <w:sz w:val="24"/>
          <w:szCs w:val="24"/>
          <w:lang w:eastAsia="en-GB"/>
        </w:rPr>
        <w:t>voting behaviour within the ballots of 1975 and 1990</w:t>
      </w:r>
      <w:r w:rsidR="004C352B" w:rsidRPr="00C72730">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testing a range of social, political and ideological variables, so as to provide a more nuanced explanation of the elections of Thatcher and Major respectively. Aspects of that approach were embraced in the work of Heppell and Hill (2008 and 2010) as they set about establishing what motivated parliamentary support for, first, Hague in the 1997 leadership election; and second for Duncan Smith in</w:t>
      </w:r>
      <w:r w:rsidR="003440DA" w:rsidRPr="00C72730">
        <w:rPr>
          <w:rFonts w:ascii="Garamond" w:eastAsia="Times New Roman" w:hAnsi="Garamond" w:cs="Times New Roman"/>
          <w:sz w:val="24"/>
          <w:szCs w:val="24"/>
          <w:lang w:eastAsia="en-GB"/>
        </w:rPr>
        <w:t xml:space="preserve"> the 2001 leadership election.</w:t>
      </w:r>
      <w:r w:rsidR="004C352B" w:rsidRPr="00C72730">
        <w:rPr>
          <w:rFonts w:ascii="Garamond" w:eastAsia="Times New Roman" w:hAnsi="Garamond" w:cs="Times New Roman"/>
          <w:sz w:val="24"/>
          <w:szCs w:val="24"/>
          <w:lang w:eastAsia="en-GB"/>
        </w:rPr>
        <w:t xml:space="preserve"> S</w:t>
      </w:r>
      <w:r w:rsidR="003440DA" w:rsidRPr="00C72730">
        <w:rPr>
          <w:rFonts w:ascii="Garamond" w:eastAsia="Times New Roman" w:hAnsi="Garamond" w:cs="Times New Roman"/>
          <w:sz w:val="24"/>
          <w:szCs w:val="24"/>
          <w:lang w:eastAsia="en-GB"/>
        </w:rPr>
        <w:t xml:space="preserve">uch studies revealed </w:t>
      </w:r>
      <w:r w:rsidR="007D21B2" w:rsidRPr="00C72730">
        <w:rPr>
          <w:rFonts w:ascii="Garamond" w:eastAsia="Times New Roman" w:hAnsi="Garamond" w:cs="Times New Roman"/>
          <w:sz w:val="24"/>
          <w:szCs w:val="24"/>
          <w:lang w:eastAsia="en-GB"/>
        </w:rPr>
        <w:t>the</w:t>
      </w:r>
      <w:r w:rsidR="003440DA" w:rsidRPr="00C72730">
        <w:rPr>
          <w:rFonts w:ascii="Garamond" w:eastAsia="Times New Roman" w:hAnsi="Garamond" w:cs="Times New Roman"/>
          <w:sz w:val="24"/>
          <w:szCs w:val="24"/>
          <w:lang w:eastAsia="en-GB"/>
        </w:rPr>
        <w:t xml:space="preserve"> influence of ideological positioning on candidate preference – the economic right for Thatcher in 1975 (</w:t>
      </w:r>
      <w:proofErr w:type="spellStart"/>
      <w:r w:rsidR="003440DA" w:rsidRPr="00C72730">
        <w:rPr>
          <w:rFonts w:ascii="Garamond" w:eastAsia="Times New Roman" w:hAnsi="Garamond" w:cs="Times New Roman"/>
          <w:sz w:val="24"/>
          <w:szCs w:val="24"/>
          <w:lang w:eastAsia="en-GB"/>
        </w:rPr>
        <w:t>Cowley</w:t>
      </w:r>
      <w:proofErr w:type="spellEnd"/>
      <w:r w:rsidR="003440DA" w:rsidRPr="00C72730">
        <w:rPr>
          <w:rFonts w:ascii="Garamond" w:eastAsia="Times New Roman" w:hAnsi="Garamond" w:cs="Times New Roman"/>
          <w:sz w:val="24"/>
          <w:szCs w:val="24"/>
          <w:lang w:eastAsia="en-GB"/>
        </w:rPr>
        <w:t xml:space="preserve"> and Garry, 1998), the Eurosceptics for Major in 1990</w:t>
      </w:r>
      <w:r w:rsidR="00E202FD" w:rsidRPr="00C72730">
        <w:rPr>
          <w:rFonts w:ascii="Garamond" w:eastAsia="Times New Roman" w:hAnsi="Garamond" w:cs="Times New Roman"/>
          <w:sz w:val="24"/>
          <w:szCs w:val="24"/>
          <w:lang w:eastAsia="en-GB"/>
        </w:rPr>
        <w:t xml:space="preserve"> (</w:t>
      </w:r>
      <w:proofErr w:type="spellStart"/>
      <w:r w:rsidR="00E202FD" w:rsidRPr="00C72730">
        <w:rPr>
          <w:rFonts w:ascii="Garamond" w:eastAsia="Times New Roman" w:hAnsi="Garamond" w:cs="Times New Roman"/>
          <w:sz w:val="24"/>
          <w:szCs w:val="24"/>
          <w:lang w:eastAsia="en-GB"/>
        </w:rPr>
        <w:t>Cowley</w:t>
      </w:r>
      <w:proofErr w:type="spellEnd"/>
      <w:r w:rsidR="00E202FD" w:rsidRPr="00C72730">
        <w:rPr>
          <w:rFonts w:ascii="Garamond" w:eastAsia="Times New Roman" w:hAnsi="Garamond" w:cs="Times New Roman"/>
          <w:sz w:val="24"/>
          <w:szCs w:val="24"/>
          <w:lang w:eastAsia="en-GB"/>
        </w:rPr>
        <w:t xml:space="preserve"> and Bailey, 2000), and for Hague in 1997 (Heppell and Hill, 2008), but that ideological positioning was less significant in the selection of Cameron in 2005 (Heppell and Hill, 2010).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w:t>
      </w:r>
    </w:p>
    <w:p w:rsidR="00E202FD"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paper embraces and extends that second systematic and quantitative approach as we aim to identify the voting motivations of Conservative MPs in the second parliamentary ballot in 2016. </w:t>
      </w:r>
      <w:r w:rsidR="00E202FD" w:rsidRPr="00C72730">
        <w:rPr>
          <w:rFonts w:ascii="Garamond" w:eastAsia="Times New Roman" w:hAnsi="Garamond" w:cs="Times New Roman"/>
          <w:sz w:val="24"/>
          <w:szCs w:val="24"/>
          <w:lang w:eastAsia="en-GB"/>
        </w:rPr>
        <w:t>It could be that ideological positioning might explain voting for May</w:t>
      </w:r>
      <w:r w:rsidR="00AF1866">
        <w:rPr>
          <w:rFonts w:ascii="Garamond" w:eastAsia="Times New Roman" w:hAnsi="Garamond" w:cs="Times New Roman"/>
          <w:sz w:val="24"/>
          <w:szCs w:val="24"/>
          <w:lang w:eastAsia="en-GB"/>
        </w:rPr>
        <w:t>,</w:t>
      </w:r>
      <w:r w:rsidR="00E202FD" w:rsidRPr="00C72730">
        <w:rPr>
          <w:rFonts w:ascii="Garamond" w:eastAsia="Times New Roman" w:hAnsi="Garamond" w:cs="Times New Roman"/>
          <w:sz w:val="24"/>
          <w:szCs w:val="24"/>
          <w:lang w:eastAsia="en-GB"/>
        </w:rPr>
        <w:t xml:space="preserve"> Leadsom</w:t>
      </w:r>
      <w:r w:rsidR="00AF1866">
        <w:rPr>
          <w:rFonts w:ascii="Garamond" w:eastAsia="Times New Roman" w:hAnsi="Garamond" w:cs="Times New Roman"/>
          <w:sz w:val="24"/>
          <w:szCs w:val="24"/>
          <w:lang w:eastAsia="en-GB"/>
        </w:rPr>
        <w:t>,</w:t>
      </w:r>
      <w:r w:rsidR="00E202FD" w:rsidRPr="00C72730">
        <w:rPr>
          <w:rFonts w:ascii="Garamond" w:eastAsia="Times New Roman" w:hAnsi="Garamond" w:cs="Times New Roman"/>
          <w:sz w:val="24"/>
          <w:szCs w:val="24"/>
          <w:lang w:eastAsia="en-GB"/>
        </w:rPr>
        <w:t xml:space="preserve"> o</w:t>
      </w:r>
      <w:r w:rsidR="00DF700A" w:rsidRPr="00C72730">
        <w:rPr>
          <w:rFonts w:ascii="Garamond" w:eastAsia="Times New Roman" w:hAnsi="Garamond" w:cs="Times New Roman"/>
          <w:sz w:val="24"/>
          <w:szCs w:val="24"/>
          <w:lang w:eastAsia="en-GB"/>
        </w:rPr>
        <w:t>r</w:t>
      </w:r>
      <w:r w:rsidR="00E202FD" w:rsidRPr="00C72730">
        <w:rPr>
          <w:rFonts w:ascii="Garamond" w:eastAsia="Times New Roman" w:hAnsi="Garamond" w:cs="Times New Roman"/>
          <w:sz w:val="24"/>
          <w:szCs w:val="24"/>
          <w:lang w:eastAsia="en-GB"/>
        </w:rPr>
        <w:t xml:space="preserve"> Gove, but if so is that ideological support based on attitudes vis-à-vis Brexit, or attitudes towards social, sexual and moral matters? And what if ideology does not explain voting preference? Should that be the case</w:t>
      </w:r>
      <w:r w:rsidR="00C322AB">
        <w:rPr>
          <w:rFonts w:ascii="Garamond" w:eastAsia="Times New Roman" w:hAnsi="Garamond" w:cs="Times New Roman"/>
          <w:sz w:val="24"/>
          <w:szCs w:val="24"/>
          <w:lang w:eastAsia="en-GB"/>
        </w:rPr>
        <w:t xml:space="preserve"> we decided that we should build</w:t>
      </w:r>
      <w:r w:rsidR="00E202FD" w:rsidRPr="00C72730">
        <w:rPr>
          <w:rFonts w:ascii="Garamond" w:eastAsia="Times New Roman" w:hAnsi="Garamond" w:cs="Times New Roman"/>
          <w:sz w:val="24"/>
          <w:szCs w:val="24"/>
          <w:lang w:eastAsia="en-GB"/>
        </w:rPr>
        <w:t xml:space="preserve"> into our approach a range of social and political variable, replicating the modelling of </w:t>
      </w:r>
      <w:proofErr w:type="spellStart"/>
      <w:r w:rsidR="00E202FD" w:rsidRPr="00C72730">
        <w:rPr>
          <w:rFonts w:ascii="Garamond" w:eastAsia="Times New Roman" w:hAnsi="Garamond" w:cs="Times New Roman"/>
          <w:sz w:val="24"/>
          <w:szCs w:val="24"/>
          <w:lang w:eastAsia="en-GB"/>
        </w:rPr>
        <w:t>Cowley</w:t>
      </w:r>
      <w:proofErr w:type="spellEnd"/>
      <w:r w:rsidR="00E202FD" w:rsidRPr="00C72730">
        <w:rPr>
          <w:rFonts w:ascii="Garamond" w:eastAsia="Times New Roman" w:hAnsi="Garamond" w:cs="Times New Roman"/>
          <w:sz w:val="24"/>
          <w:szCs w:val="24"/>
          <w:lang w:eastAsia="en-GB"/>
        </w:rPr>
        <w:t xml:space="preserve"> and Garry (1998) and </w:t>
      </w:r>
      <w:proofErr w:type="spellStart"/>
      <w:r w:rsidR="00E202FD" w:rsidRPr="00C72730">
        <w:rPr>
          <w:rFonts w:ascii="Garamond" w:eastAsia="Times New Roman" w:hAnsi="Garamond" w:cs="Times New Roman"/>
          <w:sz w:val="24"/>
          <w:szCs w:val="24"/>
          <w:lang w:eastAsia="en-GB"/>
        </w:rPr>
        <w:t>Cowley</w:t>
      </w:r>
      <w:proofErr w:type="spellEnd"/>
      <w:r w:rsidR="00E202FD" w:rsidRPr="00C72730">
        <w:rPr>
          <w:rFonts w:ascii="Garamond" w:eastAsia="Times New Roman" w:hAnsi="Garamond" w:cs="Times New Roman"/>
          <w:sz w:val="24"/>
          <w:szCs w:val="24"/>
          <w:lang w:eastAsia="en-GB"/>
        </w:rPr>
        <w:t xml:space="preserve"> and Bailey (2000) but adding in variables which w</w:t>
      </w:r>
      <w:r w:rsidR="00DF700A" w:rsidRPr="00C72730">
        <w:rPr>
          <w:rFonts w:ascii="Garamond" w:eastAsia="Times New Roman" w:hAnsi="Garamond" w:cs="Times New Roman"/>
          <w:sz w:val="24"/>
          <w:szCs w:val="24"/>
          <w:lang w:eastAsia="en-GB"/>
        </w:rPr>
        <w:t>ere</w:t>
      </w:r>
      <w:r w:rsidR="00E202FD" w:rsidRPr="00C72730">
        <w:rPr>
          <w:rFonts w:ascii="Garamond" w:eastAsia="Times New Roman" w:hAnsi="Garamond" w:cs="Times New Roman"/>
          <w:sz w:val="24"/>
          <w:szCs w:val="24"/>
          <w:lang w:eastAsia="en-GB"/>
        </w:rPr>
        <w:t xml:space="preserve"> not relevant for their case studies of the 1990 and 1975 Conservative Party leadership contests. </w:t>
      </w:r>
    </w:p>
    <w:p w:rsidR="00E202FD" w:rsidRPr="00C72730" w:rsidRDefault="00E202FD"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E202FD"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We have constructed</w:t>
      </w:r>
      <w:r w:rsidR="00A55E86" w:rsidRPr="00C72730">
        <w:rPr>
          <w:rFonts w:ascii="Garamond" w:eastAsia="Times New Roman" w:hAnsi="Garamond" w:cs="Times New Roman"/>
          <w:sz w:val="24"/>
          <w:szCs w:val="24"/>
          <w:lang w:eastAsia="en-GB"/>
        </w:rPr>
        <w:t xml:space="preserve"> a dataset on the PCP in relation a rang</w:t>
      </w:r>
      <w:r w:rsidR="009B3448" w:rsidRPr="00C72730">
        <w:rPr>
          <w:rFonts w:ascii="Garamond" w:eastAsia="Times New Roman" w:hAnsi="Garamond" w:cs="Times New Roman"/>
          <w:sz w:val="24"/>
          <w:szCs w:val="24"/>
          <w:lang w:eastAsia="en-GB"/>
        </w:rPr>
        <w:t>e of social variables (gender</w:t>
      </w:r>
      <w:r w:rsidR="00A55E86" w:rsidRPr="00C72730">
        <w:rPr>
          <w:rFonts w:ascii="Garamond" w:eastAsia="Times New Roman" w:hAnsi="Garamond" w:cs="Times New Roman"/>
          <w:sz w:val="24"/>
          <w:szCs w:val="24"/>
          <w:lang w:eastAsia="en-GB"/>
        </w:rPr>
        <w:t xml:space="preserve"> </w:t>
      </w:r>
      <w:r w:rsidR="009B3448" w:rsidRPr="00C72730">
        <w:rPr>
          <w:rFonts w:ascii="Garamond" w:eastAsia="Times New Roman" w:hAnsi="Garamond" w:cs="Times New Roman"/>
          <w:sz w:val="24"/>
          <w:szCs w:val="24"/>
          <w:lang w:eastAsia="en-GB"/>
        </w:rPr>
        <w:t xml:space="preserve">and </w:t>
      </w:r>
      <w:r w:rsidR="00A55E86" w:rsidRPr="00C72730">
        <w:rPr>
          <w:rFonts w:ascii="Garamond" w:eastAsia="Times New Roman" w:hAnsi="Garamond" w:cs="Times New Roman"/>
          <w:sz w:val="24"/>
          <w:szCs w:val="24"/>
          <w:lang w:eastAsia="en-GB"/>
        </w:rPr>
        <w:t>e</w:t>
      </w:r>
      <w:r w:rsidR="00E77478" w:rsidRPr="00C72730">
        <w:rPr>
          <w:rFonts w:ascii="Garamond" w:eastAsia="Times New Roman" w:hAnsi="Garamond" w:cs="Times New Roman"/>
          <w:sz w:val="24"/>
          <w:szCs w:val="24"/>
          <w:lang w:eastAsia="en-GB"/>
        </w:rPr>
        <w:t>ducation); political variables (when they first entered Parliament, t</w:t>
      </w:r>
      <w:r w:rsidR="00A55E86" w:rsidRPr="00C72730">
        <w:rPr>
          <w:rFonts w:ascii="Garamond" w:eastAsia="Times New Roman" w:hAnsi="Garamond" w:cs="Times New Roman"/>
          <w:sz w:val="24"/>
          <w:szCs w:val="24"/>
          <w:lang w:eastAsia="en-GB"/>
        </w:rPr>
        <w:t>heir parliamentary experience, elect</w:t>
      </w:r>
      <w:r w:rsidR="00E77478" w:rsidRPr="00C72730">
        <w:rPr>
          <w:rFonts w:ascii="Garamond" w:eastAsia="Times New Roman" w:hAnsi="Garamond" w:cs="Times New Roman"/>
          <w:sz w:val="24"/>
          <w:szCs w:val="24"/>
          <w:lang w:eastAsia="en-GB"/>
        </w:rPr>
        <w:t>oral marginality</w:t>
      </w:r>
      <w:r w:rsidR="00E77478" w:rsidRPr="00C72730">
        <w:rPr>
          <w:rStyle w:val="CommentReference"/>
        </w:rPr>
        <w:t xml:space="preserve">; </w:t>
      </w:r>
      <w:r w:rsidR="00E77478" w:rsidRPr="00C72730">
        <w:rPr>
          <w:rFonts w:ascii="Garamond" w:eastAsia="Times New Roman" w:hAnsi="Garamond" w:cs="Times New Roman"/>
          <w:sz w:val="24"/>
          <w:szCs w:val="24"/>
          <w:lang w:eastAsia="en-GB"/>
        </w:rPr>
        <w:t>po</w:t>
      </w:r>
      <w:r w:rsidR="005668D8" w:rsidRPr="00C72730">
        <w:rPr>
          <w:rFonts w:ascii="Garamond" w:eastAsia="Times New Roman" w:hAnsi="Garamond" w:cs="Times New Roman"/>
          <w:sz w:val="24"/>
          <w:szCs w:val="24"/>
          <w:lang w:eastAsia="en-GB"/>
        </w:rPr>
        <w:t xml:space="preserve">sition in relation to UKIP, and </w:t>
      </w:r>
      <w:r w:rsidR="00A55E86" w:rsidRPr="00C72730">
        <w:rPr>
          <w:rFonts w:ascii="Garamond" w:eastAsia="Times New Roman" w:hAnsi="Garamond" w:cs="Times New Roman"/>
          <w:sz w:val="24"/>
          <w:szCs w:val="24"/>
          <w:lang w:eastAsia="en-GB"/>
        </w:rPr>
        <w:t>their career status – i.e. backbencher or minister); and ideological variables (their attitudes towards same</w:t>
      </w:r>
      <w:r w:rsidR="00DA27B9" w:rsidRPr="00C72730">
        <w:rPr>
          <w:rFonts w:ascii="Garamond" w:eastAsia="Times New Roman" w:hAnsi="Garamond" w:cs="Times New Roman"/>
          <w:sz w:val="24"/>
          <w:szCs w:val="24"/>
          <w:lang w:eastAsia="en-GB"/>
        </w:rPr>
        <w:t>-</w:t>
      </w:r>
      <w:r w:rsidR="00A55E86" w:rsidRPr="00C72730">
        <w:rPr>
          <w:rFonts w:ascii="Garamond" w:eastAsia="Times New Roman" w:hAnsi="Garamond" w:cs="Times New Roman"/>
          <w:sz w:val="24"/>
          <w:szCs w:val="24"/>
          <w:lang w:eastAsia="en-GB"/>
        </w:rPr>
        <w:t xml:space="preserve">sex marriage and Brexit). To </w:t>
      </w:r>
      <w:r w:rsidR="00A55E86" w:rsidRPr="00C72730">
        <w:rPr>
          <w:rFonts w:ascii="Garamond" w:eastAsia="Times New Roman" w:hAnsi="Garamond" w:cs="Times New Roman"/>
          <w:sz w:val="24"/>
          <w:szCs w:val="24"/>
          <w:lang w:eastAsia="en-GB"/>
        </w:rPr>
        <w:lastRenderedPageBreak/>
        <w:t xml:space="preserve">achieve these aims, our paper is organised into the following sections. Firstly, we identify and explain our hypotheses for the voting behaviour of Conservative parliamentarians in the second parliamentary ballot. In our second section we address issues relating to how our data was collected and collated. Thirdly, we outline the methods used to test our hypotheses and present our results, and confirm whether our hypotheses have been substantiated. In our analysis and conclusions section we summarise our key research findings, and compare and contrast our findings to prior studies on Conservative </w:t>
      </w:r>
      <w:r w:rsidR="00DA27B9" w:rsidRPr="00C72730">
        <w:rPr>
          <w:rFonts w:ascii="Garamond" w:eastAsia="Times New Roman" w:hAnsi="Garamond" w:cs="Times New Roman"/>
          <w:sz w:val="24"/>
          <w:szCs w:val="24"/>
          <w:lang w:eastAsia="en-GB"/>
        </w:rPr>
        <w:t>P</w:t>
      </w:r>
      <w:r w:rsidR="00A55E86" w:rsidRPr="00C72730">
        <w:rPr>
          <w:rFonts w:ascii="Garamond" w:eastAsia="Times New Roman" w:hAnsi="Garamond" w:cs="Times New Roman"/>
          <w:sz w:val="24"/>
          <w:szCs w:val="24"/>
          <w:lang w:eastAsia="en-GB"/>
        </w:rPr>
        <w:t xml:space="preserve">arty leadership elections.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b/>
          <w:bCs/>
          <w:sz w:val="24"/>
          <w:szCs w:val="24"/>
          <w:lang w:eastAsia="en-GB"/>
        </w:rPr>
        <w:t> </w:t>
      </w:r>
    </w:p>
    <w:p w:rsidR="00A55E86" w:rsidRPr="00C72730" w:rsidRDefault="00DA27B9"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b/>
          <w:bCs/>
          <w:sz w:val="24"/>
          <w:szCs w:val="24"/>
          <w:lang w:eastAsia="en-GB"/>
        </w:rPr>
        <w:t xml:space="preserve">1. </w:t>
      </w:r>
      <w:r w:rsidR="00A55E86" w:rsidRPr="00C72730">
        <w:rPr>
          <w:rFonts w:ascii="Garamond" w:eastAsia="Times New Roman" w:hAnsi="Garamond" w:cs="Times New Roman"/>
          <w:b/>
          <w:bCs/>
          <w:sz w:val="24"/>
          <w:szCs w:val="24"/>
          <w:lang w:eastAsia="en-GB"/>
        </w:rPr>
        <w:t xml:space="preserve">What </w:t>
      </w:r>
      <w:r w:rsidR="00A55E86" w:rsidRPr="00C72730">
        <w:rPr>
          <w:rFonts w:ascii="Garamond" w:eastAsia="Times New Roman" w:hAnsi="Garamond" w:cs="Times New Roman"/>
          <w:b/>
          <w:bCs/>
          <w:i/>
          <w:iCs/>
          <w:sz w:val="24"/>
          <w:szCs w:val="24"/>
          <w:lang w:eastAsia="en-GB"/>
        </w:rPr>
        <w:t>may</w:t>
      </w:r>
      <w:r w:rsidR="00A55E86" w:rsidRPr="00C72730">
        <w:rPr>
          <w:rFonts w:ascii="Garamond" w:eastAsia="Times New Roman" w:hAnsi="Garamond" w:cs="Times New Roman"/>
          <w:b/>
          <w:bCs/>
          <w:sz w:val="24"/>
          <w:szCs w:val="24"/>
          <w:lang w:eastAsia="en-GB"/>
        </w:rPr>
        <w:t xml:space="preserve"> have influenced voting behaviour? Selecting variables and determining hypotheses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Rather than rely on qualitative research that implies that May was victorious because the </w:t>
      </w:r>
      <w:proofErr w:type="spellStart"/>
      <w:r w:rsidRPr="00C72730">
        <w:rPr>
          <w:rFonts w:ascii="Garamond" w:eastAsia="Times New Roman" w:hAnsi="Garamond" w:cs="Times New Roman"/>
          <w:sz w:val="24"/>
          <w:szCs w:val="24"/>
          <w:lang w:eastAsia="en-GB"/>
        </w:rPr>
        <w:t>selectorate</w:t>
      </w:r>
      <w:proofErr w:type="spellEnd"/>
      <w:r w:rsidRPr="00C72730">
        <w:rPr>
          <w:rFonts w:ascii="Garamond" w:eastAsia="Times New Roman" w:hAnsi="Garamond" w:cs="Times New Roman"/>
          <w:sz w:val="24"/>
          <w:szCs w:val="24"/>
          <w:lang w:eastAsia="en-GB"/>
        </w:rPr>
        <w:t xml:space="preserve"> (i.e. the PCP) concluded that she was best equipped to unify the party, to appeal to the electorate, and demonstrate governing competence, our paper attempts to provide quantitative evidence of why some Conservative parliamentarians did (or did not) endorse May. Our starting point is to determine which variables – social, political and ideological - warrant consideration and </w:t>
      </w:r>
      <w:r w:rsidR="00AF1866">
        <w:rPr>
          <w:rFonts w:ascii="Garamond" w:eastAsia="Times New Roman" w:hAnsi="Garamond" w:cs="Times New Roman"/>
          <w:sz w:val="24"/>
          <w:szCs w:val="24"/>
          <w:lang w:eastAsia="en-GB"/>
        </w:rPr>
        <w:t>the</w:t>
      </w:r>
      <w:r w:rsidR="00AF1866"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 xml:space="preserve">assumptions we hold </w:t>
      </w:r>
      <w:proofErr w:type="gramStart"/>
      <w:r w:rsidRPr="00C72730">
        <w:rPr>
          <w:rFonts w:ascii="Garamond" w:eastAsia="Times New Roman" w:hAnsi="Garamond" w:cs="Times New Roman"/>
          <w:sz w:val="24"/>
          <w:szCs w:val="24"/>
          <w:lang w:eastAsia="en-GB"/>
        </w:rPr>
        <w:t>that  form</w:t>
      </w:r>
      <w:proofErr w:type="gramEnd"/>
      <w:r w:rsidRPr="00C72730">
        <w:rPr>
          <w:rFonts w:ascii="Garamond" w:eastAsia="Times New Roman" w:hAnsi="Garamond" w:cs="Times New Roman"/>
          <w:sz w:val="24"/>
          <w:szCs w:val="24"/>
          <w:lang w:eastAsia="en-GB"/>
        </w:rPr>
        <w:t xml:space="preserve"> the basis of our hypotheses. </w:t>
      </w:r>
    </w:p>
    <w:p w:rsidR="00A10652" w:rsidRPr="00C72730" w:rsidRDefault="00A10652" w:rsidP="00DC066F">
      <w:pPr>
        <w:shd w:val="clear" w:color="auto" w:fill="FFFFFF"/>
        <w:spacing w:after="0" w:line="360" w:lineRule="auto"/>
        <w:jc w:val="both"/>
        <w:textAlignment w:val="center"/>
        <w:rPr>
          <w:rFonts w:ascii="Calibri" w:eastAsia="Times New Roman" w:hAnsi="Calibri" w:cs="Times New Roman"/>
          <w:sz w:val="24"/>
          <w:szCs w:val="24"/>
          <w:lang w:eastAsia="en-GB"/>
        </w:rPr>
      </w:pPr>
    </w:p>
    <w:p w:rsidR="00A55E86" w:rsidRPr="00C72730" w:rsidRDefault="00A55E86" w:rsidP="00DC066F">
      <w:pPr>
        <w:shd w:val="clear" w:color="auto" w:fill="FFFFFF"/>
        <w:spacing w:after="0" w:line="360" w:lineRule="auto"/>
        <w:textAlignment w:val="center"/>
        <w:outlineLvl w:val="0"/>
        <w:rPr>
          <w:rFonts w:ascii="Calibri" w:eastAsia="Times New Roman" w:hAnsi="Calibri" w:cs="Times New Roman"/>
          <w:sz w:val="24"/>
          <w:szCs w:val="24"/>
          <w:lang w:eastAsia="en-GB"/>
        </w:rPr>
      </w:pPr>
      <w:r w:rsidRPr="00C72730">
        <w:rPr>
          <w:rFonts w:ascii="Garamond" w:eastAsia="Times New Roman" w:hAnsi="Garamond" w:cs="Times New Roman"/>
          <w:i/>
          <w:iCs/>
          <w:sz w:val="24"/>
          <w:szCs w:val="24"/>
          <w:lang w:eastAsia="en-GB"/>
        </w:rPr>
        <w:t>Social Ba</w:t>
      </w:r>
      <w:r w:rsidR="009B3448" w:rsidRPr="00C72730">
        <w:rPr>
          <w:rFonts w:ascii="Garamond" w:eastAsia="Times New Roman" w:hAnsi="Garamond" w:cs="Times New Roman"/>
          <w:i/>
          <w:iCs/>
          <w:sz w:val="24"/>
          <w:szCs w:val="24"/>
          <w:lang w:eastAsia="en-GB"/>
        </w:rPr>
        <w:t xml:space="preserve">ckground Variables: Gender </w:t>
      </w:r>
      <w:r w:rsidRPr="00C72730">
        <w:rPr>
          <w:rFonts w:ascii="Garamond" w:eastAsia="Times New Roman" w:hAnsi="Garamond" w:cs="Times New Roman"/>
          <w:i/>
          <w:iCs/>
          <w:sz w:val="24"/>
          <w:szCs w:val="24"/>
          <w:lang w:eastAsia="en-GB"/>
        </w:rPr>
        <w:t>and Education          </w:t>
      </w:r>
      <w:r w:rsidRPr="00C72730">
        <w:rPr>
          <w:rFonts w:ascii="Garamond" w:eastAsia="Times New Roman" w:hAnsi="Garamond" w:cs="Times New Roman"/>
          <w:sz w:val="24"/>
          <w:szCs w:val="24"/>
          <w:lang w:eastAsia="en-GB"/>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interest in examining the relationship between voting behaviour and the social background reflects the fact that existing research on the social composition of the PCP has traditionally emphasised how they have recruited from a narrow social strata. Despite various initiatives to address this via reforms to candidate selection, and despite some progress on this front, the Conservatives have remained sensitive to the accusation that they appear to be sexist and elitist (Hill, 2013). </w:t>
      </w:r>
    </w:p>
    <w:p w:rsidR="00A55E86" w:rsidRPr="00C72730" w:rsidRDefault="00A55E86" w:rsidP="00DC066F">
      <w:pPr>
        <w:spacing w:after="0" w:line="360" w:lineRule="auto"/>
        <w:contextualSpacing/>
        <w:jc w:val="both"/>
        <w:rPr>
          <w:rFonts w:ascii="Garamond" w:eastAsia="Times New Roman" w:hAnsi="Garamond" w:cs="Times New Roman"/>
          <w:sz w:val="24"/>
          <w:szCs w:val="24"/>
          <w:lang w:val="en" w:eastAsia="en-GB"/>
        </w:rPr>
      </w:pPr>
      <w:r w:rsidRPr="00C72730">
        <w:rPr>
          <w:rFonts w:ascii="Garamond" w:eastAsia="Times New Roman" w:hAnsi="Garamond" w:cs="Times New Roman"/>
          <w:sz w:val="24"/>
          <w:szCs w:val="24"/>
          <w:lang w:val="en-US" w:eastAsia="en-GB"/>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The social background variabl</w:t>
      </w:r>
      <w:r w:rsidR="009B3448" w:rsidRPr="00C72730">
        <w:rPr>
          <w:rFonts w:ascii="Garamond" w:eastAsia="Times New Roman" w:hAnsi="Garamond" w:cs="Times New Roman"/>
          <w:sz w:val="24"/>
          <w:szCs w:val="24"/>
          <w:lang w:eastAsia="en-GB"/>
        </w:rPr>
        <w:t>es that we</w:t>
      </w:r>
      <w:r w:rsidR="00E77478" w:rsidRPr="00C72730">
        <w:rPr>
          <w:rFonts w:ascii="Garamond" w:eastAsia="Times New Roman" w:hAnsi="Garamond" w:cs="Times New Roman"/>
          <w:sz w:val="24"/>
          <w:szCs w:val="24"/>
          <w:lang w:eastAsia="en-GB"/>
        </w:rPr>
        <w:t xml:space="preserve"> </w:t>
      </w:r>
      <w:r w:rsidR="009B3448" w:rsidRPr="00C72730">
        <w:rPr>
          <w:rFonts w:ascii="Garamond" w:eastAsia="Times New Roman" w:hAnsi="Garamond" w:cs="Times New Roman"/>
          <w:sz w:val="24"/>
          <w:szCs w:val="24"/>
          <w:lang w:eastAsia="en-GB"/>
        </w:rPr>
        <w:t>consider are gender and educational background</w:t>
      </w:r>
      <w:r w:rsidRPr="00C72730">
        <w:rPr>
          <w:rFonts w:ascii="Garamond" w:eastAsia="Times New Roman" w:hAnsi="Garamond" w:cs="Times New Roman"/>
          <w:sz w:val="24"/>
          <w:szCs w:val="24"/>
          <w:lang w:eastAsia="en-GB"/>
        </w:rPr>
        <w:t xml:space="preserve">.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Bailey’s (2000) study of voting behaviour in the parliamentary ballots of 1975 – when Thatcher won the party leadership – included gender as a variable, but subsequent quantitative driven accounts excluded it due to a lack of female candidates in the 1990, 1997 and 2001 contests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Heppell and Hill, 2008, 2010). However, the presence of two female candidates in the final parliamentary ballot in 2016 meant that gender was a relevant variable for consideration. It was also the first leadership election to occur since the inception of </w:t>
      </w:r>
      <w:r w:rsidRPr="00C72730">
        <w:rPr>
          <w:rFonts w:ascii="Garamond" w:eastAsia="Times New Roman" w:hAnsi="Garamond" w:cs="Times New Roman"/>
          <w:sz w:val="24"/>
          <w:szCs w:val="24"/>
          <w:lang w:eastAsia="en-GB"/>
        </w:rPr>
        <w:lastRenderedPageBreak/>
        <w:t>the feminisation agenda which Cameron had launched in opposition – this led to the Conservatives making targeted policy pledges and interventions on issues such</w:t>
      </w:r>
      <w:r w:rsidR="00E77478" w:rsidRPr="00C72730">
        <w:rPr>
          <w:rFonts w:ascii="Garamond" w:eastAsia="Times New Roman" w:hAnsi="Garamond" w:cs="Times New Roman"/>
          <w:sz w:val="24"/>
          <w:szCs w:val="24"/>
          <w:lang w:eastAsia="en-GB"/>
        </w:rPr>
        <w:t xml:space="preserve"> as</w:t>
      </w:r>
      <w:r w:rsidRPr="00C72730">
        <w:rPr>
          <w:rFonts w:ascii="Garamond" w:eastAsia="Times New Roman" w:hAnsi="Garamond" w:cs="Times New Roman"/>
          <w:sz w:val="24"/>
          <w:szCs w:val="24"/>
          <w:lang w:eastAsia="en-GB"/>
        </w:rPr>
        <w:t xml:space="preserve"> parental leave and the gender pay gap, as part of an explicit attempt to target female voters (Childs and Webb, 2012, pp. 165-81).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The contribution of May to the feminisation agenda was considerable. When May entered Parliament in 1997 she was one of only 13 female Conservative parliamentarians, the same number that they had after their landslide election victory in 1931. In the long years of opposition she deve</w:t>
      </w:r>
      <w:r w:rsidR="00A808B1" w:rsidRPr="00C72730">
        <w:rPr>
          <w:rFonts w:ascii="Garamond" w:eastAsia="Times New Roman" w:hAnsi="Garamond" w:cs="Times New Roman"/>
          <w:sz w:val="24"/>
          <w:szCs w:val="24"/>
          <w:lang w:eastAsia="en-GB"/>
        </w:rPr>
        <w:t xml:space="preserve">loped a ‘substantial reputation’ </w:t>
      </w:r>
      <w:r w:rsidRPr="00C72730">
        <w:rPr>
          <w:rFonts w:ascii="Garamond" w:eastAsia="Times New Roman" w:hAnsi="Garamond" w:cs="Times New Roman"/>
          <w:sz w:val="24"/>
          <w:szCs w:val="24"/>
          <w:lang w:eastAsia="en-GB"/>
        </w:rPr>
        <w:t xml:space="preserve">(Childs and Webb, 2012, </w:t>
      </w:r>
      <w:r w:rsidR="009C07A1" w:rsidRPr="00C72730">
        <w:rPr>
          <w:rFonts w:ascii="Garamond" w:eastAsia="Times New Roman" w:hAnsi="Garamond" w:cs="Times New Roman"/>
          <w:sz w:val="24"/>
          <w:szCs w:val="24"/>
          <w:lang w:eastAsia="en-GB"/>
        </w:rPr>
        <w:t xml:space="preserve">p. </w:t>
      </w:r>
      <w:r w:rsidRPr="00C72730">
        <w:rPr>
          <w:rFonts w:ascii="Garamond" w:eastAsia="Times New Roman" w:hAnsi="Garamond" w:cs="Times New Roman"/>
          <w:sz w:val="24"/>
          <w:szCs w:val="24"/>
          <w:lang w:eastAsia="en-GB"/>
        </w:rPr>
        <w:t>59) on issues relating to women and equality. The development of the feminisation agenda in opposition – and the work on candidate selection and training, and the integration of gender politics into policy development, alongside the work of the Conservative Women's Organisation (CWO) and Women2</w:t>
      </w:r>
      <w:r w:rsidR="00E63040">
        <w:rPr>
          <w:rFonts w:ascii="Garamond" w:eastAsia="Times New Roman" w:hAnsi="Garamond" w:cs="Times New Roman"/>
          <w:sz w:val="24"/>
          <w:szCs w:val="24"/>
          <w:lang w:eastAsia="en-GB"/>
        </w:rPr>
        <w:t>W</w:t>
      </w:r>
      <w:r w:rsidRPr="00C72730">
        <w:rPr>
          <w:rFonts w:ascii="Garamond" w:eastAsia="Times New Roman" w:hAnsi="Garamond" w:cs="Times New Roman"/>
          <w:sz w:val="24"/>
          <w:szCs w:val="24"/>
          <w:lang w:eastAsia="en-GB"/>
        </w:rPr>
        <w:t xml:space="preserve">in – was only achieved through May’s ‘successful leadership’ (Childs and Webb, 2012, p. 68). The credibility and reputation that May had as mentor and role model to female Conservatives entering the PCP in the 2010 and 2015 cohorts could not be matched by Leadsom. Therefore, on our first variable of gender we will test the following hypothesis: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i/>
          <w:sz w:val="24"/>
          <w:szCs w:val="24"/>
          <w:lang w:eastAsia="en-GB"/>
        </w:rPr>
      </w:pPr>
      <w:r w:rsidRPr="00C72730">
        <w:rPr>
          <w:rFonts w:ascii="Garamond" w:eastAsia="Times New Roman" w:hAnsi="Garamond" w:cs="Times New Roman"/>
          <w:i/>
          <w:sz w:val="24"/>
          <w:szCs w:val="24"/>
          <w:lang w:eastAsia="en-GB"/>
        </w:rPr>
        <w:t>[H1] Female Conservative parliamentarians will show a strong</w:t>
      </w:r>
      <w:r w:rsidR="009C07A1" w:rsidRPr="00C72730">
        <w:rPr>
          <w:rFonts w:ascii="Garamond" w:eastAsia="Times New Roman" w:hAnsi="Garamond" w:cs="Times New Roman"/>
          <w:i/>
          <w:sz w:val="24"/>
          <w:szCs w:val="24"/>
          <w:lang w:eastAsia="en-GB"/>
        </w:rPr>
        <w:t>er</w:t>
      </w:r>
      <w:r w:rsidRPr="00C72730">
        <w:rPr>
          <w:rFonts w:ascii="Garamond" w:eastAsia="Times New Roman" w:hAnsi="Garamond" w:cs="Times New Roman"/>
          <w:i/>
          <w:sz w:val="24"/>
          <w:szCs w:val="24"/>
          <w:lang w:eastAsia="en-GB"/>
        </w:rPr>
        <w:t xml:space="preserve"> likelihood to vote for May as opposed to Leadsom or Gove.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second social background variable was education, which was used by both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and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Bailey (2000). We use the example of the 1990 profile to explain how we construct our hypotheses. In terms of schooling,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assumed (and demonstrated) that the privately educated, which they called their ‘surrogate for class’, would tend towards either Michael Heseltine (Shrewsbury) or Douglas Hurd (Eton), and that the non-privately educated would tend towards state educated Major (</w:t>
      </w:r>
      <w:proofErr w:type="spellStart"/>
      <w:r w:rsidRPr="00C72730">
        <w:rPr>
          <w:rFonts w:ascii="Garamond" w:eastAsia="Times New Roman" w:hAnsi="Garamond" w:cs="Times New Roman"/>
          <w:sz w:val="24"/>
          <w:szCs w:val="24"/>
          <w:lang w:eastAsia="en-GB"/>
        </w:rPr>
        <w:t>Rutlish</w:t>
      </w:r>
      <w:proofErr w:type="spellEnd"/>
      <w:r w:rsidRPr="00C72730">
        <w:rPr>
          <w:rFonts w:ascii="Garamond" w:eastAsia="Times New Roman" w:hAnsi="Garamond" w:cs="Times New Roman"/>
          <w:sz w:val="24"/>
          <w:szCs w:val="24"/>
          <w:lang w:eastAsia="en-GB"/>
        </w:rPr>
        <w:t xml:space="preserve"> Grammar). They also assumed (and demonstrated) that Oxbridge educated parliamentarians would gravitate towards Heseltine (Oxford) or Hurd (Cambridge) whilst the graduates of less prestigious institutions </w:t>
      </w:r>
      <w:r w:rsidR="007E6BCD">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or those who did not attend </w:t>
      </w:r>
      <w:r w:rsidR="00C10257" w:rsidRPr="00C72730">
        <w:rPr>
          <w:rFonts w:ascii="Garamond" w:eastAsia="Times New Roman" w:hAnsi="Garamond" w:cs="Times New Roman"/>
          <w:sz w:val="24"/>
          <w:szCs w:val="24"/>
          <w:lang w:eastAsia="en-GB"/>
        </w:rPr>
        <w:t>u</w:t>
      </w:r>
      <w:r w:rsidRPr="00C72730">
        <w:rPr>
          <w:rFonts w:ascii="Garamond" w:eastAsia="Times New Roman" w:hAnsi="Garamond" w:cs="Times New Roman"/>
          <w:sz w:val="24"/>
          <w:szCs w:val="24"/>
          <w:lang w:eastAsia="en-GB"/>
        </w:rPr>
        <w:t>niversity</w:t>
      </w:r>
      <w:r w:rsidR="007E6BCD">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would gravitate towards Major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pp. 475-6; 485-6). However, replicating these assumptions was slightly more problematic when applied to the succession contest of 2016 than had been the case in 1990. In terms of schooling of the candidates, Gove was privately educated, Leadsom was not</w:t>
      </w:r>
      <w:r w:rsidR="007E6BCD">
        <w:rPr>
          <w:rFonts w:ascii="Garamond" w:eastAsia="Times New Roman" w:hAnsi="Garamond" w:cs="Times New Roman"/>
          <w:sz w:val="24"/>
          <w:szCs w:val="24"/>
          <w:lang w:eastAsia="en-GB"/>
        </w:rPr>
        <w:t>. Also</w:t>
      </w:r>
      <w:r w:rsidRPr="00C72730">
        <w:rPr>
          <w:rFonts w:ascii="Garamond" w:eastAsia="Times New Roman" w:hAnsi="Garamond" w:cs="Times New Roman"/>
          <w:sz w:val="24"/>
          <w:szCs w:val="24"/>
          <w:lang w:eastAsia="en-GB"/>
        </w:rPr>
        <w:t xml:space="preserve"> although May briefly attended private school, the majority of her education was non-fee paying. With regard to </w:t>
      </w:r>
      <w:r w:rsidR="00C10257" w:rsidRPr="00C72730">
        <w:rPr>
          <w:rFonts w:ascii="Garamond" w:eastAsia="Times New Roman" w:hAnsi="Garamond" w:cs="Times New Roman"/>
          <w:sz w:val="24"/>
          <w:szCs w:val="24"/>
          <w:lang w:eastAsia="en-GB"/>
        </w:rPr>
        <w:t>u</w:t>
      </w:r>
      <w:r w:rsidRPr="00C72730">
        <w:rPr>
          <w:rFonts w:ascii="Garamond" w:eastAsia="Times New Roman" w:hAnsi="Garamond" w:cs="Times New Roman"/>
          <w:sz w:val="24"/>
          <w:szCs w:val="24"/>
          <w:lang w:eastAsia="en-GB"/>
        </w:rPr>
        <w:t xml:space="preserve">niversity, May and Gove went to Oxford, </w:t>
      </w:r>
      <w:r w:rsidR="007E6BCD" w:rsidRPr="00C72730">
        <w:rPr>
          <w:rFonts w:ascii="Garamond" w:eastAsia="Times New Roman" w:hAnsi="Garamond" w:cs="Times New Roman"/>
          <w:sz w:val="24"/>
          <w:szCs w:val="24"/>
          <w:lang w:eastAsia="en-GB"/>
        </w:rPr>
        <w:t>whil</w:t>
      </w:r>
      <w:r w:rsidR="007E6BCD">
        <w:rPr>
          <w:rFonts w:ascii="Garamond" w:eastAsia="Times New Roman" w:hAnsi="Garamond" w:cs="Times New Roman"/>
          <w:sz w:val="24"/>
          <w:szCs w:val="24"/>
          <w:lang w:eastAsia="en-GB"/>
        </w:rPr>
        <w:t>st</w:t>
      </w:r>
      <w:r w:rsidR="007E6BCD"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 xml:space="preserve">Leadsom attended Warwick. The distinctions </w:t>
      </w:r>
      <w:r w:rsidRPr="00C72730">
        <w:rPr>
          <w:rFonts w:ascii="Garamond" w:eastAsia="Times New Roman" w:hAnsi="Garamond" w:cs="Times New Roman"/>
          <w:sz w:val="24"/>
          <w:szCs w:val="24"/>
          <w:lang w:eastAsia="en-GB"/>
        </w:rPr>
        <w:lastRenderedPageBreak/>
        <w:t>here are less clear cut t</w:t>
      </w:r>
      <w:r w:rsidR="00E77478" w:rsidRPr="00C72730">
        <w:rPr>
          <w:rFonts w:ascii="Garamond" w:eastAsia="Times New Roman" w:hAnsi="Garamond" w:cs="Times New Roman"/>
          <w:sz w:val="24"/>
          <w:szCs w:val="24"/>
          <w:lang w:eastAsia="en-GB"/>
        </w:rPr>
        <w:t>han</w:t>
      </w:r>
      <w:r w:rsidRPr="00C72730">
        <w:rPr>
          <w:rFonts w:ascii="Garamond" w:eastAsia="Times New Roman" w:hAnsi="Garamond" w:cs="Times New Roman"/>
          <w:sz w:val="24"/>
          <w:szCs w:val="24"/>
          <w:lang w:eastAsia="en-GB"/>
        </w:rPr>
        <w:t xml:space="preserve"> in 1990 when one candidate (Major) had not attended university at all. On the basis of the above we constructed the following hypotheses for educational background: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i/>
          <w:sz w:val="24"/>
          <w:szCs w:val="24"/>
          <w:lang w:eastAsia="en-GB"/>
        </w:rPr>
      </w:pPr>
      <w:r w:rsidRPr="00C72730">
        <w:rPr>
          <w:rFonts w:ascii="Garamond" w:eastAsia="Times New Roman" w:hAnsi="Garamond" w:cs="Times New Roman"/>
          <w:i/>
          <w:sz w:val="24"/>
          <w:szCs w:val="24"/>
          <w:lang w:eastAsia="en-GB"/>
        </w:rPr>
        <w:t xml:space="preserve">[H2] Privately educated Conservative parliamentarians will show a reduced likelihood of voting for Leadsom. </w:t>
      </w: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i/>
          <w:sz w:val="24"/>
          <w:szCs w:val="24"/>
          <w:lang w:eastAsia="en-GB"/>
        </w:rPr>
        <w:t>[H3]</w:t>
      </w:r>
      <w:r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i/>
          <w:sz w:val="24"/>
          <w:szCs w:val="24"/>
          <w:lang w:eastAsia="en-GB"/>
        </w:rPr>
        <w:t xml:space="preserve">Oxbridge educated Conservative parliamentarians will show a reduced likelihood of voting for Leadsom.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textAlignment w:val="center"/>
        <w:outlineLvl w:val="0"/>
        <w:rPr>
          <w:rFonts w:ascii="Calibri" w:eastAsia="Times New Roman" w:hAnsi="Calibri" w:cs="Times New Roman"/>
          <w:sz w:val="24"/>
          <w:szCs w:val="24"/>
          <w:lang w:eastAsia="en-GB"/>
        </w:rPr>
      </w:pPr>
      <w:r w:rsidRPr="00C72730">
        <w:rPr>
          <w:rFonts w:ascii="Garamond" w:eastAsia="Times New Roman" w:hAnsi="Garamond" w:cs="Times New Roman"/>
          <w:i/>
          <w:iCs/>
          <w:sz w:val="24"/>
          <w:szCs w:val="24"/>
          <w:lang w:eastAsia="en-GB"/>
        </w:rPr>
        <w:t>Political Background Variables: Experience, Marginality</w:t>
      </w:r>
      <w:r w:rsidR="00E77478" w:rsidRPr="00C72730">
        <w:rPr>
          <w:rFonts w:ascii="Garamond" w:eastAsia="Times New Roman" w:hAnsi="Garamond" w:cs="Times New Roman"/>
          <w:i/>
          <w:iCs/>
          <w:sz w:val="24"/>
          <w:szCs w:val="24"/>
          <w:lang w:eastAsia="en-GB"/>
        </w:rPr>
        <w:t>, U</w:t>
      </w:r>
      <w:r w:rsidR="00EE324B" w:rsidRPr="00C72730">
        <w:rPr>
          <w:rFonts w:ascii="Garamond" w:eastAsia="Times New Roman" w:hAnsi="Garamond" w:cs="Times New Roman"/>
          <w:i/>
          <w:iCs/>
          <w:sz w:val="24"/>
          <w:szCs w:val="24"/>
          <w:lang w:eastAsia="en-GB"/>
        </w:rPr>
        <w:t>KIP Vote Share</w:t>
      </w:r>
      <w:r w:rsidR="00C10257" w:rsidRPr="00C72730">
        <w:rPr>
          <w:rFonts w:ascii="Garamond" w:eastAsia="Times New Roman" w:hAnsi="Garamond" w:cs="Times New Roman"/>
          <w:i/>
          <w:iCs/>
          <w:sz w:val="24"/>
          <w:szCs w:val="24"/>
          <w:lang w:eastAsia="en-GB"/>
        </w:rPr>
        <w:t xml:space="preserve"> </w:t>
      </w:r>
      <w:r w:rsidRPr="00C72730">
        <w:rPr>
          <w:rFonts w:ascii="Garamond" w:eastAsia="Times New Roman" w:hAnsi="Garamond" w:cs="Times New Roman"/>
          <w:i/>
          <w:iCs/>
          <w:sz w:val="24"/>
          <w:szCs w:val="24"/>
          <w:lang w:eastAsia="en-GB"/>
        </w:rPr>
        <w:t>and Ministerial Status</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interest in examining the relationship between voting behaviour and political variables – such as year of entry, marginality and ministerial status – also flows from their use in prior research on leadership selection. </w:t>
      </w:r>
      <w:r w:rsidR="00E74618">
        <w:rPr>
          <w:rFonts w:ascii="Garamond" w:eastAsia="Times New Roman" w:hAnsi="Garamond" w:cs="Times New Roman"/>
          <w:sz w:val="24"/>
          <w:szCs w:val="24"/>
          <w:lang w:eastAsia="en-GB"/>
        </w:rPr>
        <w:t>W</w:t>
      </w:r>
      <w:r w:rsidR="00E74618" w:rsidRPr="00C72730">
        <w:rPr>
          <w:rFonts w:ascii="Garamond" w:eastAsia="Times New Roman" w:hAnsi="Garamond" w:cs="Times New Roman"/>
          <w:sz w:val="24"/>
          <w:szCs w:val="24"/>
          <w:lang w:eastAsia="en-GB"/>
        </w:rPr>
        <w:t xml:space="preserve">hen </w:t>
      </w:r>
      <w:r w:rsidRPr="00C72730">
        <w:rPr>
          <w:rFonts w:ascii="Garamond" w:eastAsia="Times New Roman" w:hAnsi="Garamond" w:cs="Times New Roman"/>
          <w:sz w:val="24"/>
          <w:szCs w:val="24"/>
          <w:lang w:eastAsia="en-GB"/>
        </w:rPr>
        <w:t>considering the 1990 leadership selection</w:t>
      </w:r>
      <w:r w:rsidR="00E74618">
        <w:rPr>
          <w:rFonts w:ascii="Garamond" w:eastAsia="Times New Roman" w:hAnsi="Garamond" w:cs="Times New Roman"/>
          <w:sz w:val="24"/>
          <w:szCs w:val="24"/>
          <w:lang w:eastAsia="en-GB"/>
        </w:rPr>
        <w:t>, for example</w:t>
      </w:r>
      <w:r w:rsidRPr="00C72730">
        <w:rPr>
          <w:rFonts w:ascii="Garamond" w:eastAsia="Times New Roman" w:hAnsi="Garamond" w:cs="Times New Roman"/>
          <w:sz w:val="24"/>
          <w:szCs w:val="24"/>
          <w:lang w:eastAsia="en-GB"/>
        </w:rPr>
        <w:t xml:space="preserve">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implied that Major (first elected in 1979) would be more appealing to less experienced MPs than Hurd (first elected in 1974) and Heseltine (first elected in 1966). Conversely they hypothesised that Heseltine and Hurd would </w:t>
      </w:r>
      <w:r w:rsidR="00E74618">
        <w:rPr>
          <w:rFonts w:ascii="Garamond" w:eastAsia="Times New Roman" w:hAnsi="Garamond" w:cs="Times New Roman"/>
          <w:sz w:val="24"/>
          <w:szCs w:val="24"/>
          <w:lang w:eastAsia="en-GB"/>
        </w:rPr>
        <w:t>attract</w:t>
      </w:r>
      <w:r w:rsidR="00E74618"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more support from longer serving parliamentarians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pp. 477-8). Can we replicate these assumptions with regard to the three way contest between May, Leadsom</w:t>
      </w:r>
      <w:r w:rsidR="00E7461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and Gove? May was the longest serving of the candidates after being first elected in 1997; Gove entered eight years later in 2005, whereas Leadsom was the least experienced after entering Parliament in 2010. On the basis of this our experience hypothesis is:</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i/>
          <w:sz w:val="24"/>
          <w:szCs w:val="24"/>
          <w:lang w:eastAsia="en-GB"/>
        </w:rPr>
        <w:t>[H</w:t>
      </w:r>
      <w:r w:rsidR="00EE324B" w:rsidRPr="00C72730">
        <w:rPr>
          <w:rFonts w:ascii="Garamond" w:eastAsia="Times New Roman" w:hAnsi="Garamond" w:cs="Times New Roman"/>
          <w:i/>
          <w:sz w:val="24"/>
          <w:szCs w:val="24"/>
          <w:lang w:eastAsia="en-GB"/>
        </w:rPr>
        <w:t>4</w:t>
      </w:r>
      <w:r w:rsidRPr="00C72730">
        <w:rPr>
          <w:rFonts w:ascii="Garamond" w:eastAsia="Times New Roman" w:hAnsi="Garamond" w:cs="Times New Roman"/>
          <w:i/>
          <w:sz w:val="24"/>
          <w:szCs w:val="24"/>
          <w:lang w:eastAsia="en-GB"/>
        </w:rPr>
        <w:t>] Longer serving Conservative parliamentarians will show an increased likelihood for voting for May.</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Alongside determining whether there was evidence of a cohort effect with longer serving parliamentarians favouring May as the longest serving candidate, we </w:t>
      </w:r>
      <w:r w:rsidR="00C10257" w:rsidRPr="00C72730">
        <w:rPr>
          <w:rFonts w:ascii="Garamond" w:eastAsia="Times New Roman" w:hAnsi="Garamond" w:cs="Times New Roman"/>
          <w:sz w:val="24"/>
          <w:szCs w:val="24"/>
          <w:lang w:eastAsia="en-GB"/>
        </w:rPr>
        <w:t xml:space="preserve">also </w:t>
      </w:r>
      <w:r w:rsidRPr="00C72730">
        <w:rPr>
          <w:rFonts w:ascii="Garamond" w:eastAsia="Times New Roman" w:hAnsi="Garamond" w:cs="Times New Roman"/>
          <w:sz w:val="24"/>
          <w:szCs w:val="24"/>
          <w:lang w:eastAsia="en-GB"/>
        </w:rPr>
        <w:t>chose to consider two other political determinants</w:t>
      </w:r>
      <w:r w:rsidR="00E7461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electoral marginality and ministerial status</w:t>
      </w:r>
      <w:r w:rsidR="00E74618">
        <w:rPr>
          <w:rFonts w:ascii="Garamond" w:eastAsia="Times New Roman" w:hAnsi="Garamond" w:cs="Times New Roman"/>
          <w:sz w:val="24"/>
          <w:szCs w:val="24"/>
          <w:lang w:eastAsia="en-GB"/>
        </w:rPr>
        <w:t>. T</w:t>
      </w:r>
      <w:r w:rsidRPr="00C72730">
        <w:rPr>
          <w:rFonts w:ascii="Garamond" w:eastAsia="Times New Roman" w:hAnsi="Garamond" w:cs="Times New Roman"/>
          <w:sz w:val="24"/>
          <w:szCs w:val="24"/>
          <w:lang w:eastAsia="en-GB"/>
        </w:rPr>
        <w:t>hese variables were used in all of the contests that have been subject to</w:t>
      </w:r>
      <w:r w:rsidR="00E74618">
        <w:rPr>
          <w:rFonts w:ascii="Garamond" w:eastAsia="Times New Roman" w:hAnsi="Garamond" w:cs="Times New Roman"/>
          <w:sz w:val="24"/>
          <w:szCs w:val="24"/>
          <w:lang w:eastAsia="en-GB"/>
        </w:rPr>
        <w:t xml:space="preserve"> prior</w:t>
      </w:r>
      <w:r w:rsidRPr="00C72730">
        <w:rPr>
          <w:rFonts w:ascii="Garamond" w:eastAsia="Times New Roman" w:hAnsi="Garamond" w:cs="Times New Roman"/>
          <w:sz w:val="24"/>
          <w:szCs w:val="24"/>
          <w:lang w:eastAsia="en-GB"/>
        </w:rPr>
        <w:t xml:space="preserve"> quantitative assessment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Bailey, 2000; Heppell and Hill, 2008, 2010). When considering this we assume that Conservative parliamentarians might or should be influenced by polling data about the respective voter appeal of the candidates. For example, in the 1990 Conservative leadership election,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assumed that MPs with marginal seats would gravitate away from the </w:t>
      </w:r>
      <w:r w:rsidRPr="00C72730">
        <w:rPr>
          <w:rFonts w:ascii="Garamond" w:eastAsia="Times New Roman" w:hAnsi="Garamond" w:cs="Times New Roman"/>
          <w:sz w:val="24"/>
          <w:szCs w:val="24"/>
          <w:lang w:eastAsia="en-GB"/>
        </w:rPr>
        <w:lastRenderedPageBreak/>
        <w:t xml:space="preserve">least electorally attractive candidate </w:t>
      </w:r>
      <w:r w:rsidR="00E7461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Hurd</w:t>
      </w:r>
      <w:r w:rsidR="00E7461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although this was not </w:t>
      </w:r>
      <w:r w:rsidR="00E74618">
        <w:rPr>
          <w:rFonts w:ascii="Garamond" w:eastAsia="Times New Roman" w:hAnsi="Garamond" w:cs="Times New Roman"/>
          <w:sz w:val="24"/>
          <w:szCs w:val="24"/>
          <w:lang w:eastAsia="en-GB"/>
        </w:rPr>
        <w:t xml:space="preserve">subsequently </w:t>
      </w:r>
      <w:r w:rsidRPr="00C72730">
        <w:rPr>
          <w:rFonts w:ascii="Garamond" w:eastAsia="Times New Roman" w:hAnsi="Garamond" w:cs="Times New Roman"/>
          <w:sz w:val="24"/>
          <w:szCs w:val="24"/>
          <w:lang w:eastAsia="en-GB"/>
        </w:rPr>
        <w:t>proven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pp. 477, 486). On a similar basis we might hypothesise that MPs in the most marginal constituencies would support the candidate viewed most positively by the electorate. Polling conducted shortly before the first ballot of MPs found that of the five confirmed candidates, May was the clear favourite a</w:t>
      </w:r>
      <w:r w:rsidR="00716C86">
        <w:rPr>
          <w:rFonts w:ascii="Garamond" w:eastAsia="Times New Roman" w:hAnsi="Garamond" w:cs="Times New Roman"/>
          <w:sz w:val="24"/>
          <w:szCs w:val="24"/>
          <w:lang w:eastAsia="en-GB"/>
        </w:rPr>
        <w:t>mongst the public with 50.4 per</w:t>
      </w:r>
      <w:r w:rsidRPr="00C72730">
        <w:rPr>
          <w:rFonts w:ascii="Garamond" w:eastAsia="Times New Roman" w:hAnsi="Garamond" w:cs="Times New Roman"/>
          <w:sz w:val="24"/>
          <w:szCs w:val="24"/>
          <w:lang w:eastAsia="en-GB"/>
        </w:rPr>
        <w:t xml:space="preserve">cent naming her as the most suitable contender to take over from Cameron. Her nearest rival was Stephen </w:t>
      </w:r>
      <w:proofErr w:type="spellStart"/>
      <w:r w:rsidRPr="00C72730">
        <w:rPr>
          <w:rFonts w:ascii="Garamond" w:eastAsia="Times New Roman" w:hAnsi="Garamond" w:cs="Times New Roman"/>
          <w:sz w:val="24"/>
          <w:szCs w:val="24"/>
          <w:lang w:eastAsia="en-GB"/>
        </w:rPr>
        <w:t>Crabb</w:t>
      </w:r>
      <w:proofErr w:type="spellEnd"/>
      <w:r w:rsidRPr="00C72730">
        <w:rPr>
          <w:rFonts w:ascii="Garamond" w:eastAsia="Times New Roman" w:hAnsi="Garamond" w:cs="Times New Roman"/>
          <w:sz w:val="24"/>
          <w:szCs w:val="24"/>
          <w:lang w:eastAsia="en-GB"/>
        </w:rPr>
        <w:t xml:space="preserve"> on 15.9 percent. Amongst Conservative voters May’s lead was even grea</w:t>
      </w:r>
      <w:r w:rsidR="00716C86">
        <w:rPr>
          <w:rFonts w:ascii="Garamond" w:eastAsia="Times New Roman" w:hAnsi="Garamond" w:cs="Times New Roman"/>
          <w:sz w:val="24"/>
          <w:szCs w:val="24"/>
          <w:lang w:eastAsia="en-GB"/>
        </w:rPr>
        <w:t>ter, with backing from 58.9 per</w:t>
      </w:r>
      <w:r w:rsidRPr="00C72730">
        <w:rPr>
          <w:rFonts w:ascii="Garamond" w:eastAsia="Times New Roman" w:hAnsi="Garamond" w:cs="Times New Roman"/>
          <w:sz w:val="24"/>
          <w:szCs w:val="24"/>
          <w:lang w:eastAsia="en-GB"/>
        </w:rPr>
        <w:t>cent</w:t>
      </w:r>
      <w:r w:rsidR="00556B26">
        <w:rPr>
          <w:rFonts w:ascii="Garamond" w:eastAsia="Times New Roman" w:hAnsi="Garamond" w:cs="Times New Roman"/>
          <w:sz w:val="24"/>
          <w:szCs w:val="24"/>
          <w:lang w:eastAsia="en-GB"/>
        </w:rPr>
        <w:t xml:space="preserve"> </w:t>
      </w:r>
      <w:r w:rsidR="00E74618">
        <w:rPr>
          <w:rFonts w:ascii="Garamond" w:eastAsia="Times New Roman" w:hAnsi="Garamond" w:cs="Times New Roman"/>
          <w:sz w:val="24"/>
          <w:szCs w:val="24"/>
          <w:lang w:eastAsia="en-GB"/>
        </w:rPr>
        <w:t>whilst</w:t>
      </w:r>
      <w:r w:rsidRPr="00C72730">
        <w:rPr>
          <w:rFonts w:ascii="Garamond" w:eastAsia="Times New Roman" w:hAnsi="Garamond" w:cs="Times New Roman"/>
          <w:sz w:val="24"/>
          <w:szCs w:val="24"/>
          <w:lang w:eastAsia="en-GB"/>
        </w:rPr>
        <w:t xml:space="preserve"> Gove </w:t>
      </w:r>
      <w:r w:rsidR="00E74618">
        <w:rPr>
          <w:rFonts w:ascii="Garamond" w:eastAsia="Times New Roman" w:hAnsi="Garamond" w:cs="Times New Roman"/>
          <w:sz w:val="24"/>
          <w:szCs w:val="24"/>
          <w:lang w:eastAsia="en-GB"/>
        </w:rPr>
        <w:t xml:space="preserve">was </w:t>
      </w:r>
      <w:r w:rsidRPr="00C72730">
        <w:rPr>
          <w:rFonts w:ascii="Garamond" w:eastAsia="Times New Roman" w:hAnsi="Garamond" w:cs="Times New Roman"/>
          <w:sz w:val="24"/>
          <w:szCs w:val="24"/>
          <w:lang w:eastAsia="en-GB"/>
        </w:rPr>
        <w:t>second on</w:t>
      </w:r>
      <w:r w:rsidR="00E74618">
        <w:rPr>
          <w:rFonts w:ascii="Garamond" w:eastAsia="Times New Roman" w:hAnsi="Garamond" w:cs="Times New Roman"/>
          <w:sz w:val="24"/>
          <w:szCs w:val="24"/>
          <w:lang w:eastAsia="en-GB"/>
        </w:rPr>
        <w:t xml:space="preserve"> just</w:t>
      </w:r>
      <w:r w:rsidR="00716C86">
        <w:rPr>
          <w:rFonts w:ascii="Garamond" w:eastAsia="Times New Roman" w:hAnsi="Garamond" w:cs="Times New Roman"/>
          <w:sz w:val="24"/>
          <w:szCs w:val="24"/>
          <w:lang w:eastAsia="en-GB"/>
        </w:rPr>
        <w:t xml:space="preserve"> 14.7 per</w:t>
      </w:r>
      <w:r w:rsidRPr="00C72730">
        <w:rPr>
          <w:rFonts w:ascii="Garamond" w:eastAsia="Times New Roman" w:hAnsi="Garamond" w:cs="Times New Roman"/>
          <w:sz w:val="24"/>
          <w:szCs w:val="24"/>
          <w:lang w:eastAsia="en-GB"/>
        </w:rPr>
        <w:t>cent (</w:t>
      </w:r>
      <w:proofErr w:type="spellStart"/>
      <w:r w:rsidRPr="00C72730">
        <w:rPr>
          <w:rFonts w:ascii="Garamond" w:eastAsia="Times New Roman" w:hAnsi="Garamond" w:cs="Times New Roman"/>
          <w:sz w:val="24"/>
          <w:szCs w:val="24"/>
          <w:lang w:eastAsia="en-GB"/>
        </w:rPr>
        <w:t>Survation</w:t>
      </w:r>
      <w:proofErr w:type="spellEnd"/>
      <w:r w:rsidRPr="00C72730">
        <w:rPr>
          <w:rFonts w:ascii="Garamond" w:eastAsia="Times New Roman" w:hAnsi="Garamond" w:cs="Times New Roman"/>
          <w:sz w:val="24"/>
          <w:szCs w:val="24"/>
          <w:lang w:eastAsia="en-GB"/>
        </w:rPr>
        <w:t>, 2016). As such we offer the following hypothesis on electoral marginality:</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EE324B" w:rsidP="00DC066F">
      <w:pPr>
        <w:shd w:val="clear" w:color="auto" w:fill="FFFFFF"/>
        <w:spacing w:after="0" w:line="360" w:lineRule="auto"/>
        <w:ind w:left="720"/>
        <w:jc w:val="both"/>
        <w:textAlignment w:val="center"/>
        <w:rPr>
          <w:rFonts w:ascii="Garamond" w:eastAsia="Times New Roman" w:hAnsi="Garamond" w:cs="Times New Roman"/>
          <w:i/>
          <w:sz w:val="24"/>
          <w:szCs w:val="24"/>
          <w:lang w:eastAsia="en-GB"/>
        </w:rPr>
      </w:pPr>
      <w:r w:rsidRPr="00C72730">
        <w:rPr>
          <w:rFonts w:ascii="Garamond" w:eastAsia="Times New Roman" w:hAnsi="Garamond" w:cs="Times New Roman"/>
          <w:i/>
          <w:sz w:val="24"/>
          <w:szCs w:val="24"/>
          <w:lang w:eastAsia="en-GB"/>
        </w:rPr>
        <w:t>[H5</w:t>
      </w:r>
      <w:r w:rsidR="00A55E86" w:rsidRPr="00C72730">
        <w:rPr>
          <w:rFonts w:ascii="Garamond" w:eastAsia="Times New Roman" w:hAnsi="Garamond" w:cs="Times New Roman"/>
          <w:i/>
          <w:sz w:val="24"/>
          <w:szCs w:val="24"/>
          <w:lang w:eastAsia="en-GB"/>
        </w:rPr>
        <w:t>] Conservative parliamentarians holding marginal constituencies would be more inclined towards voting for May.</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
          <w:sz w:val="24"/>
          <w:szCs w:val="24"/>
          <w:lang w:eastAsia="en-GB"/>
        </w:rPr>
      </w:pPr>
    </w:p>
    <w:p w:rsidR="00021A67" w:rsidRPr="00C72730" w:rsidRDefault="005668D8" w:rsidP="00DC066F">
      <w:pPr>
        <w:shd w:val="clear" w:color="auto" w:fill="FFFFFF"/>
        <w:spacing w:after="0" w:line="360" w:lineRule="auto"/>
        <w:jc w:val="both"/>
        <w:textAlignment w:val="center"/>
        <w:rPr>
          <w:rStyle w:val="nlmstring-name"/>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In addition to electoral marginality we also wanted to identify whether the vote share of UKIP within the constituency of each Conservative</w:t>
      </w:r>
      <w:r w:rsidR="006079C8" w:rsidRPr="00C72730">
        <w:rPr>
          <w:rFonts w:ascii="Garamond" w:eastAsia="Times New Roman" w:hAnsi="Garamond" w:cs="Times New Roman"/>
          <w:sz w:val="24"/>
          <w:szCs w:val="24"/>
          <w:lang w:eastAsia="en-GB"/>
        </w:rPr>
        <w:t xml:space="preserve"> parliamentarian might be significant</w:t>
      </w:r>
      <w:r w:rsidR="00EE324B" w:rsidRPr="00C72730">
        <w:rPr>
          <w:rFonts w:ascii="Garamond" w:eastAsia="Times New Roman" w:hAnsi="Garamond" w:cs="Times New Roman"/>
          <w:sz w:val="24"/>
          <w:szCs w:val="24"/>
          <w:lang w:eastAsia="en-GB"/>
        </w:rPr>
        <w:t>.</w:t>
      </w:r>
      <w:r w:rsidR="00A808B1" w:rsidRPr="00C72730">
        <w:rPr>
          <w:rFonts w:ascii="Garamond" w:eastAsia="Times New Roman" w:hAnsi="Garamond" w:cs="Times New Roman"/>
          <w:sz w:val="24"/>
          <w:szCs w:val="24"/>
          <w:lang w:eastAsia="en-GB"/>
        </w:rPr>
        <w:t xml:space="preserve"> </w:t>
      </w:r>
      <w:r w:rsidR="00760501">
        <w:rPr>
          <w:rFonts w:ascii="Garamond" w:eastAsia="Times New Roman" w:hAnsi="Garamond" w:cs="Times New Roman"/>
          <w:sz w:val="24"/>
          <w:szCs w:val="24"/>
          <w:lang w:eastAsia="en-GB"/>
        </w:rPr>
        <w:t>UKIP enjoyed a surge in popular support in the years preceding the 2016 Brexit referendum. F</w:t>
      </w:r>
      <w:r w:rsidR="00B41830" w:rsidRPr="00C72730">
        <w:rPr>
          <w:rFonts w:ascii="Garamond" w:eastAsia="Times New Roman" w:hAnsi="Garamond" w:cs="Times New Roman"/>
          <w:sz w:val="24"/>
          <w:szCs w:val="24"/>
          <w:lang w:eastAsia="en-GB"/>
        </w:rPr>
        <w:t xml:space="preserve">or example, </w:t>
      </w:r>
      <w:r w:rsidR="00760501">
        <w:rPr>
          <w:rFonts w:ascii="Garamond" w:eastAsia="Times New Roman" w:hAnsi="Garamond" w:cs="Times New Roman"/>
          <w:sz w:val="24"/>
          <w:szCs w:val="24"/>
          <w:lang w:eastAsia="en-GB"/>
        </w:rPr>
        <w:t>they secured</w:t>
      </w:r>
      <w:r w:rsidR="00760501" w:rsidRPr="00C72730">
        <w:rPr>
          <w:rFonts w:ascii="Garamond" w:eastAsia="Times New Roman" w:hAnsi="Garamond" w:cs="Times New Roman"/>
          <w:sz w:val="24"/>
          <w:szCs w:val="24"/>
          <w:lang w:eastAsia="en-GB"/>
        </w:rPr>
        <w:t xml:space="preserve"> </w:t>
      </w:r>
      <w:r w:rsidR="00064E1B" w:rsidRPr="00C72730">
        <w:rPr>
          <w:rFonts w:ascii="Garamond" w:eastAsia="Times New Roman" w:hAnsi="Garamond" w:cs="Times New Roman"/>
          <w:sz w:val="24"/>
          <w:szCs w:val="24"/>
          <w:lang w:eastAsia="en-GB"/>
        </w:rPr>
        <w:t>27.5 percent of the vote and 4.3 million votes in</w:t>
      </w:r>
      <w:r w:rsidR="00A808B1" w:rsidRPr="00C72730">
        <w:rPr>
          <w:rFonts w:ascii="Garamond" w:eastAsia="Times New Roman" w:hAnsi="Garamond" w:cs="Times New Roman"/>
          <w:sz w:val="24"/>
          <w:szCs w:val="24"/>
          <w:lang w:eastAsia="en-GB"/>
        </w:rPr>
        <w:t xml:space="preserve"> the</w:t>
      </w:r>
      <w:r w:rsidR="005B0AD9">
        <w:rPr>
          <w:rFonts w:ascii="Garamond" w:eastAsia="Times New Roman" w:hAnsi="Garamond" w:cs="Times New Roman"/>
          <w:sz w:val="24"/>
          <w:szCs w:val="24"/>
          <w:lang w:eastAsia="en-GB"/>
        </w:rPr>
        <w:t xml:space="preserve"> 2014 elections to the European Parliament</w:t>
      </w:r>
      <w:r w:rsidR="00AD21DE">
        <w:rPr>
          <w:rFonts w:ascii="Garamond" w:eastAsia="Times New Roman" w:hAnsi="Garamond" w:cs="Times New Roman"/>
          <w:sz w:val="24"/>
          <w:szCs w:val="24"/>
          <w:lang w:eastAsia="en-GB"/>
        </w:rPr>
        <w:t xml:space="preserve">. </w:t>
      </w:r>
      <w:r w:rsidR="005B0AD9">
        <w:rPr>
          <w:rFonts w:ascii="Garamond" w:eastAsia="Times New Roman" w:hAnsi="Garamond" w:cs="Times New Roman"/>
          <w:sz w:val="24"/>
          <w:szCs w:val="24"/>
          <w:lang w:eastAsia="en-GB"/>
        </w:rPr>
        <w:t>Later the same year</w:t>
      </w:r>
      <w:r w:rsidR="00AD21DE">
        <w:rPr>
          <w:rFonts w:ascii="Garamond" w:eastAsia="Times New Roman" w:hAnsi="Garamond" w:cs="Times New Roman"/>
          <w:sz w:val="24"/>
          <w:szCs w:val="24"/>
          <w:lang w:eastAsia="en-GB"/>
        </w:rPr>
        <w:t xml:space="preserve"> </w:t>
      </w:r>
      <w:r w:rsidR="00064E1B" w:rsidRPr="00C72730">
        <w:rPr>
          <w:rFonts w:ascii="Garamond" w:eastAsia="Times New Roman" w:hAnsi="Garamond" w:cs="Times New Roman"/>
          <w:sz w:val="24"/>
          <w:szCs w:val="24"/>
          <w:lang w:eastAsia="en-GB"/>
        </w:rPr>
        <w:t xml:space="preserve">the </w:t>
      </w:r>
      <w:r w:rsidR="005B0AD9">
        <w:rPr>
          <w:rFonts w:ascii="Garamond" w:eastAsia="Times New Roman" w:hAnsi="Garamond" w:cs="Times New Roman"/>
          <w:sz w:val="24"/>
          <w:szCs w:val="24"/>
          <w:lang w:eastAsia="en-GB"/>
        </w:rPr>
        <w:t xml:space="preserve">defection </w:t>
      </w:r>
      <w:r w:rsidR="0071531B" w:rsidRPr="00C72730">
        <w:rPr>
          <w:rFonts w:ascii="Garamond" w:eastAsia="Times New Roman" w:hAnsi="Garamond" w:cs="Times New Roman"/>
          <w:sz w:val="24"/>
          <w:szCs w:val="24"/>
          <w:lang w:eastAsia="en-GB"/>
        </w:rPr>
        <w:t>of</w:t>
      </w:r>
      <w:r w:rsidR="005B0AD9">
        <w:rPr>
          <w:rFonts w:ascii="Garamond" w:eastAsia="Times New Roman" w:hAnsi="Garamond" w:cs="Times New Roman"/>
          <w:sz w:val="24"/>
          <w:szCs w:val="24"/>
          <w:lang w:eastAsia="en-GB"/>
        </w:rPr>
        <w:t xml:space="preserve"> two Conservative parliamentarians to UKIP (</w:t>
      </w:r>
      <w:r w:rsidR="0071531B" w:rsidRPr="00C72730">
        <w:rPr>
          <w:rFonts w:ascii="Garamond" w:eastAsia="Times New Roman" w:hAnsi="Garamond" w:cs="Times New Roman"/>
          <w:sz w:val="24"/>
          <w:szCs w:val="24"/>
          <w:lang w:eastAsia="en-GB"/>
        </w:rPr>
        <w:t>Douglas Carswell and Mark Reckless</w:t>
      </w:r>
      <w:r w:rsidR="005B0AD9">
        <w:rPr>
          <w:rFonts w:ascii="Garamond" w:eastAsia="Times New Roman" w:hAnsi="Garamond" w:cs="Times New Roman"/>
          <w:sz w:val="24"/>
          <w:szCs w:val="24"/>
          <w:lang w:eastAsia="en-GB"/>
        </w:rPr>
        <w:t>)</w:t>
      </w:r>
      <w:r w:rsidR="0071531B" w:rsidRPr="00C72730">
        <w:rPr>
          <w:rFonts w:ascii="Garamond" w:eastAsia="Times New Roman" w:hAnsi="Garamond" w:cs="Times New Roman"/>
          <w:sz w:val="24"/>
          <w:szCs w:val="24"/>
          <w:lang w:eastAsia="en-GB"/>
        </w:rPr>
        <w:t xml:space="preserve"> and their subsequent by-election victories </w:t>
      </w:r>
      <w:r w:rsidR="005B0AD9">
        <w:rPr>
          <w:rFonts w:ascii="Garamond" w:eastAsia="Times New Roman" w:hAnsi="Garamond" w:cs="Times New Roman"/>
          <w:sz w:val="24"/>
          <w:szCs w:val="24"/>
          <w:lang w:eastAsia="en-GB"/>
        </w:rPr>
        <w:t>put Cameron under</w:t>
      </w:r>
      <w:r w:rsidR="00AD21DE">
        <w:rPr>
          <w:rFonts w:ascii="Garamond" w:eastAsia="Times New Roman" w:hAnsi="Garamond" w:cs="Times New Roman"/>
          <w:sz w:val="24"/>
          <w:szCs w:val="24"/>
          <w:lang w:eastAsia="en-GB"/>
        </w:rPr>
        <w:t xml:space="preserve"> growing pressure</w:t>
      </w:r>
      <w:r w:rsidR="00760501">
        <w:rPr>
          <w:rFonts w:ascii="Garamond" w:eastAsia="Times New Roman" w:hAnsi="Garamond" w:cs="Times New Roman"/>
          <w:sz w:val="24"/>
          <w:szCs w:val="24"/>
          <w:lang w:eastAsia="en-GB"/>
        </w:rPr>
        <w:t xml:space="preserve">. </w:t>
      </w:r>
      <w:r w:rsidR="00AD21DE">
        <w:rPr>
          <w:rFonts w:ascii="Garamond" w:eastAsia="Times New Roman" w:hAnsi="Garamond" w:cs="Times New Roman"/>
          <w:sz w:val="24"/>
          <w:szCs w:val="24"/>
          <w:lang w:eastAsia="en-GB"/>
        </w:rPr>
        <w:t>Moreover, t</w:t>
      </w:r>
      <w:r w:rsidR="00AD21DE" w:rsidRPr="00C72730">
        <w:rPr>
          <w:rFonts w:ascii="Garamond" w:eastAsia="Times New Roman" w:hAnsi="Garamond" w:cs="Times New Roman"/>
          <w:sz w:val="24"/>
          <w:szCs w:val="24"/>
          <w:lang w:eastAsia="en-GB"/>
        </w:rPr>
        <w:t xml:space="preserve">he </w:t>
      </w:r>
      <w:r w:rsidR="00021A67" w:rsidRPr="00C72730">
        <w:rPr>
          <w:rFonts w:ascii="Garamond" w:eastAsia="Times New Roman" w:hAnsi="Garamond" w:cs="Times New Roman"/>
          <w:sz w:val="24"/>
          <w:szCs w:val="24"/>
          <w:lang w:eastAsia="en-GB"/>
        </w:rPr>
        <w:t xml:space="preserve">danger of being outflanked on their right </w:t>
      </w:r>
      <w:r w:rsidR="00FA3665" w:rsidRPr="00C72730">
        <w:rPr>
          <w:rFonts w:ascii="Garamond" w:eastAsia="Times New Roman" w:hAnsi="Garamond" w:cs="Times New Roman"/>
          <w:sz w:val="24"/>
          <w:szCs w:val="24"/>
          <w:lang w:eastAsia="en-GB"/>
        </w:rPr>
        <w:t xml:space="preserve">(Lynch and Whittaker, 2013) </w:t>
      </w:r>
      <w:r w:rsidR="00021A67" w:rsidRPr="00C72730">
        <w:rPr>
          <w:rFonts w:ascii="Garamond" w:eastAsia="Times New Roman" w:hAnsi="Garamond" w:cs="Times New Roman"/>
          <w:sz w:val="24"/>
          <w:szCs w:val="24"/>
          <w:lang w:eastAsia="en-GB"/>
        </w:rPr>
        <w:t xml:space="preserve">was evident from survey based research prior to the General Election of 2015 which estimated that one quarter of Conservative Party </w:t>
      </w:r>
      <w:r w:rsidR="00021A67" w:rsidRPr="00C72730">
        <w:rPr>
          <w:rFonts w:ascii="Garamond" w:eastAsia="Times New Roman" w:hAnsi="Garamond" w:cs="Times New Roman"/>
          <w:i/>
          <w:sz w:val="24"/>
          <w:szCs w:val="24"/>
          <w:lang w:eastAsia="en-GB"/>
        </w:rPr>
        <w:t>members</w:t>
      </w:r>
      <w:r w:rsidR="00021A67" w:rsidRPr="00C72730">
        <w:rPr>
          <w:rFonts w:ascii="Garamond" w:eastAsia="Times New Roman" w:hAnsi="Garamond" w:cs="Times New Roman"/>
          <w:sz w:val="24"/>
          <w:szCs w:val="24"/>
          <w:lang w:eastAsia="en-GB"/>
        </w:rPr>
        <w:t xml:space="preserve"> were contemplating voting for UK</w:t>
      </w:r>
      <w:r w:rsidR="006217BD" w:rsidRPr="00C72730">
        <w:rPr>
          <w:rFonts w:ascii="Garamond" w:eastAsia="Times New Roman" w:hAnsi="Garamond" w:cs="Times New Roman"/>
          <w:sz w:val="24"/>
          <w:szCs w:val="24"/>
          <w:lang w:eastAsia="en-GB"/>
        </w:rPr>
        <w:t xml:space="preserve">IP (Webb and Bale, 2014). </w:t>
      </w:r>
      <w:r w:rsidR="006D0A87">
        <w:rPr>
          <w:rFonts w:ascii="Garamond" w:eastAsia="Times New Roman" w:hAnsi="Garamond" w:cs="Times New Roman"/>
          <w:sz w:val="24"/>
          <w:szCs w:val="24"/>
          <w:lang w:eastAsia="en-GB"/>
        </w:rPr>
        <w:t>This</w:t>
      </w:r>
      <w:r w:rsidR="006D0A87" w:rsidRPr="00C72730">
        <w:rPr>
          <w:rFonts w:ascii="Garamond" w:eastAsia="Times New Roman" w:hAnsi="Garamond" w:cs="Times New Roman"/>
          <w:sz w:val="24"/>
          <w:szCs w:val="24"/>
          <w:lang w:eastAsia="en-GB"/>
        </w:rPr>
        <w:t xml:space="preserve"> demonstrate</w:t>
      </w:r>
      <w:r w:rsidR="006D0A87">
        <w:rPr>
          <w:rFonts w:ascii="Garamond" w:eastAsia="Times New Roman" w:hAnsi="Garamond" w:cs="Times New Roman"/>
          <w:sz w:val="24"/>
          <w:szCs w:val="24"/>
          <w:lang w:eastAsia="en-GB"/>
        </w:rPr>
        <w:t>s</w:t>
      </w:r>
      <w:r w:rsidR="006D0A87" w:rsidRPr="00C72730">
        <w:rPr>
          <w:rFonts w:ascii="Garamond" w:eastAsia="Times New Roman" w:hAnsi="Garamond" w:cs="Times New Roman"/>
          <w:sz w:val="24"/>
          <w:szCs w:val="24"/>
          <w:lang w:eastAsia="en-GB"/>
        </w:rPr>
        <w:t xml:space="preserve"> the threat </w:t>
      </w:r>
      <w:r w:rsidR="006D0A87">
        <w:rPr>
          <w:rFonts w:ascii="Garamond" w:eastAsia="Times New Roman" w:hAnsi="Garamond" w:cs="Times New Roman"/>
          <w:sz w:val="24"/>
          <w:szCs w:val="24"/>
          <w:lang w:eastAsia="en-GB"/>
        </w:rPr>
        <w:t>UKIP</w:t>
      </w:r>
      <w:r w:rsidR="006D0A87" w:rsidRPr="00C72730">
        <w:rPr>
          <w:rFonts w:ascii="Garamond" w:eastAsia="Times New Roman" w:hAnsi="Garamond" w:cs="Times New Roman"/>
          <w:sz w:val="24"/>
          <w:szCs w:val="24"/>
          <w:lang w:eastAsia="en-GB"/>
        </w:rPr>
        <w:t xml:space="preserve"> posed to the Conservatives</w:t>
      </w:r>
      <w:r w:rsidR="006D0A87">
        <w:rPr>
          <w:rFonts w:ascii="Garamond" w:eastAsia="Times New Roman" w:hAnsi="Garamond" w:cs="Times New Roman"/>
          <w:sz w:val="24"/>
          <w:szCs w:val="24"/>
          <w:lang w:eastAsia="en-GB"/>
        </w:rPr>
        <w:t xml:space="preserve"> and why their vote share in marginal Conservative constituencies is significant</w:t>
      </w:r>
      <w:r w:rsidR="006D0A87" w:rsidRPr="00C72730">
        <w:rPr>
          <w:rFonts w:ascii="Garamond" w:eastAsia="Times New Roman" w:hAnsi="Garamond" w:cs="Times New Roman"/>
          <w:sz w:val="24"/>
          <w:szCs w:val="24"/>
          <w:lang w:eastAsia="en-GB"/>
        </w:rPr>
        <w:t xml:space="preserve"> (on the rise of UKIP see Goodwin and </w:t>
      </w:r>
      <w:proofErr w:type="spellStart"/>
      <w:r w:rsidR="006D0A87" w:rsidRPr="00C72730">
        <w:rPr>
          <w:rFonts w:ascii="Garamond" w:eastAsia="Times New Roman" w:hAnsi="Garamond" w:cs="Times New Roman"/>
          <w:sz w:val="24"/>
          <w:szCs w:val="24"/>
          <w:lang w:eastAsia="en-GB"/>
        </w:rPr>
        <w:t>Milazzo</w:t>
      </w:r>
      <w:proofErr w:type="spellEnd"/>
      <w:r w:rsidR="006D0A87" w:rsidRPr="00C72730">
        <w:rPr>
          <w:rFonts w:ascii="Garamond" w:eastAsia="Times New Roman" w:hAnsi="Garamond" w:cs="Times New Roman"/>
          <w:sz w:val="24"/>
          <w:szCs w:val="24"/>
          <w:lang w:eastAsia="en-GB"/>
        </w:rPr>
        <w:t>, 2015).</w:t>
      </w:r>
      <w:r w:rsidR="005B0AD9">
        <w:rPr>
          <w:rFonts w:ascii="Garamond" w:eastAsia="Times New Roman" w:hAnsi="Garamond" w:cs="Times New Roman"/>
          <w:sz w:val="24"/>
          <w:szCs w:val="24"/>
          <w:lang w:eastAsia="en-GB"/>
        </w:rPr>
        <w:t xml:space="preserve"> </w:t>
      </w:r>
      <w:r w:rsidR="00FA3665" w:rsidRPr="00C72730">
        <w:rPr>
          <w:rFonts w:ascii="Garamond" w:eastAsia="Times New Roman" w:hAnsi="Garamond" w:cs="Times New Roman"/>
          <w:sz w:val="24"/>
          <w:szCs w:val="24"/>
          <w:lang w:eastAsia="en-GB"/>
        </w:rPr>
        <w:t>Therefore, based on the assumption that the Conservative Party had clear reasons to be fearful of UKIP we decided to examine the vote shares for UKIP within each Conservative held constituency</w:t>
      </w:r>
      <w:r w:rsidR="00E202FD" w:rsidRPr="00C72730">
        <w:rPr>
          <w:rFonts w:ascii="Garamond" w:eastAsia="Times New Roman" w:hAnsi="Garamond" w:cs="Times New Roman"/>
          <w:sz w:val="24"/>
          <w:szCs w:val="24"/>
          <w:lang w:eastAsia="en-GB"/>
        </w:rPr>
        <w:t xml:space="preserve">. We assumed that those most fearful of the UKIP threat would tend towards one of the leave candidates – Leadsom or Gove, and those less concerned with the UKIP threat would tend towards </w:t>
      </w:r>
      <w:r w:rsidR="006D0A87">
        <w:rPr>
          <w:rFonts w:ascii="Garamond" w:eastAsia="Times New Roman" w:hAnsi="Garamond" w:cs="Times New Roman"/>
          <w:sz w:val="24"/>
          <w:szCs w:val="24"/>
          <w:lang w:eastAsia="en-GB"/>
        </w:rPr>
        <w:t xml:space="preserve">May as </w:t>
      </w:r>
      <w:r w:rsidR="00E202FD" w:rsidRPr="00C72730">
        <w:rPr>
          <w:rFonts w:ascii="Garamond" w:eastAsia="Times New Roman" w:hAnsi="Garamond" w:cs="Times New Roman"/>
          <w:sz w:val="24"/>
          <w:szCs w:val="24"/>
          <w:lang w:eastAsia="en-GB"/>
        </w:rPr>
        <w:t>the remain candidate. As a consequence our hypothes</w:t>
      </w:r>
      <w:r w:rsidR="006D0A87">
        <w:rPr>
          <w:rFonts w:ascii="Garamond" w:eastAsia="Times New Roman" w:hAnsi="Garamond" w:cs="Times New Roman"/>
          <w:sz w:val="24"/>
          <w:szCs w:val="24"/>
          <w:lang w:eastAsia="en-GB"/>
        </w:rPr>
        <w:t>i</w:t>
      </w:r>
      <w:r w:rsidR="00E202FD" w:rsidRPr="00C72730">
        <w:rPr>
          <w:rFonts w:ascii="Garamond" w:eastAsia="Times New Roman" w:hAnsi="Garamond" w:cs="Times New Roman"/>
          <w:sz w:val="24"/>
          <w:szCs w:val="24"/>
          <w:lang w:eastAsia="en-GB"/>
        </w:rPr>
        <w:t>s was as follows:</w:t>
      </w:r>
    </w:p>
    <w:p w:rsidR="00DC48BE" w:rsidRPr="00C72730" w:rsidRDefault="00DC48BE"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DC48BE" w:rsidRPr="00C72730" w:rsidRDefault="00DC48BE" w:rsidP="00DC066F">
      <w:pPr>
        <w:shd w:val="clear" w:color="auto" w:fill="FFFFFF"/>
        <w:spacing w:after="0" w:line="360" w:lineRule="auto"/>
        <w:ind w:left="720"/>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[H6] </w:t>
      </w:r>
      <w:r w:rsidRPr="00C72730">
        <w:rPr>
          <w:rFonts w:ascii="Garamond" w:eastAsia="Times New Roman" w:hAnsi="Garamond" w:cs="Times New Roman"/>
          <w:i/>
          <w:sz w:val="24"/>
          <w:szCs w:val="24"/>
          <w:lang w:eastAsia="en-GB"/>
        </w:rPr>
        <w:t>Conservative parliamentarians holding seats with the lowest UKIP vote shares would be more inclined towards voting for May, and those holding seats with the highest UKIP vote shares would be more inclined t</w:t>
      </w:r>
      <w:r w:rsidR="0038407B" w:rsidRPr="00C72730">
        <w:rPr>
          <w:rFonts w:ascii="Garamond" w:eastAsia="Times New Roman" w:hAnsi="Garamond" w:cs="Times New Roman"/>
          <w:i/>
          <w:sz w:val="24"/>
          <w:szCs w:val="24"/>
          <w:lang w:eastAsia="en-GB"/>
        </w:rPr>
        <w:t xml:space="preserve">owards voting for Leadsom or Gove. </w:t>
      </w:r>
    </w:p>
    <w:p w:rsidR="005668D8" w:rsidRPr="00C72730" w:rsidRDefault="005668D8" w:rsidP="00DC066F">
      <w:pPr>
        <w:shd w:val="clear" w:color="auto" w:fill="FFFFFF"/>
        <w:spacing w:after="0" w:line="360" w:lineRule="auto"/>
        <w:jc w:val="both"/>
        <w:textAlignment w:val="center"/>
        <w:rPr>
          <w:rFonts w:ascii="Garamond" w:eastAsia="Times New Roman" w:hAnsi="Garamond" w:cs="Times New Roman"/>
          <w:i/>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final political variable is the career status of Conservative parliamentarians. Here we </w:t>
      </w:r>
      <w:r w:rsidR="005B0AD9">
        <w:rPr>
          <w:rFonts w:ascii="Garamond" w:eastAsia="Times New Roman" w:hAnsi="Garamond" w:cs="Times New Roman"/>
          <w:sz w:val="24"/>
          <w:szCs w:val="24"/>
          <w:lang w:eastAsia="en-GB"/>
        </w:rPr>
        <w:t xml:space="preserve">utilise the distinction </w:t>
      </w:r>
      <w:proofErr w:type="spellStart"/>
      <w:r w:rsidR="005B0AD9">
        <w:rPr>
          <w:rFonts w:ascii="Garamond" w:eastAsia="Times New Roman" w:hAnsi="Garamond" w:cs="Times New Roman"/>
          <w:sz w:val="24"/>
          <w:szCs w:val="24"/>
          <w:lang w:eastAsia="en-GB"/>
        </w:rPr>
        <w:t>bewteen</w:t>
      </w:r>
      <w:proofErr w:type="spellEnd"/>
      <w:r w:rsidRPr="00C72730">
        <w:rPr>
          <w:rFonts w:ascii="Garamond" w:eastAsia="Times New Roman" w:hAnsi="Garamond" w:cs="Times New Roman"/>
          <w:sz w:val="24"/>
          <w:szCs w:val="24"/>
          <w:lang w:eastAsia="en-GB"/>
        </w:rPr>
        <w:t xml:space="preserve"> insiders/ministers and outsiders/backbenchers which assumes the level and extent of ministerial experience could be an influence upon voting. For example, in 1975 Heath performed strongly amongst those who had been ministers in his 1970 to 1974 administration, whereas Thatcher was weaker amongst </w:t>
      </w:r>
      <w:r w:rsidR="005B0AD9">
        <w:rPr>
          <w:rFonts w:ascii="Garamond" w:eastAsia="Times New Roman" w:hAnsi="Garamond" w:cs="Times New Roman"/>
          <w:sz w:val="24"/>
          <w:szCs w:val="24"/>
          <w:lang w:eastAsia="en-GB"/>
        </w:rPr>
        <w:t>that group</w:t>
      </w:r>
      <w:r w:rsidRPr="00C72730">
        <w:rPr>
          <w:rFonts w:ascii="Garamond" w:eastAsia="Times New Roman" w:hAnsi="Garamond" w:cs="Times New Roman"/>
          <w:sz w:val="24"/>
          <w:szCs w:val="24"/>
          <w:lang w:eastAsia="en-GB"/>
        </w:rPr>
        <w:t xml:space="preserve"> and far stronger amongst career backbenchers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Bailey, 2000, pp. 610-11). How should we apply this to 2016? Both May and Gove were ministerial insiders, although </w:t>
      </w:r>
      <w:r w:rsidR="00B250AE" w:rsidRPr="00C72730">
        <w:rPr>
          <w:rFonts w:ascii="Garamond" w:eastAsia="Times New Roman" w:hAnsi="Garamond" w:cs="Times New Roman"/>
          <w:sz w:val="24"/>
          <w:szCs w:val="24"/>
          <w:lang w:eastAsia="en-GB"/>
        </w:rPr>
        <w:t xml:space="preserve">as Home Secretary </w:t>
      </w:r>
      <w:r w:rsidRPr="00C72730">
        <w:rPr>
          <w:rFonts w:ascii="Garamond" w:eastAsia="Times New Roman" w:hAnsi="Garamond" w:cs="Times New Roman"/>
          <w:sz w:val="24"/>
          <w:szCs w:val="24"/>
          <w:lang w:eastAsia="en-GB"/>
        </w:rPr>
        <w:t>May held a more high profile and more prestigious position than Gove, who served under Cameron as Education Secretary (May 2010 – July 2014); Chief Whip (July 2014 – May 2015); and Justice Secretary (May 2015-). Leadsom was the least experienced candidate by a considerable margin. She had been on the frontbench for only two years as a junior Treasury minister (April 2014-May 2015) and a Minister of State in the Department of Energy (May 2015-16). Based on the above, our career status hypothesis vis-à-vis ministerial experience is:</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i/>
          <w:sz w:val="24"/>
          <w:szCs w:val="24"/>
          <w:lang w:eastAsia="en-GB"/>
        </w:rPr>
      </w:pPr>
      <w:r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i/>
          <w:sz w:val="24"/>
          <w:szCs w:val="24"/>
          <w:lang w:eastAsia="en-GB"/>
        </w:rPr>
        <w:t xml:space="preserve">[H7] Incumbent ministers and former ministers would be more inclined towards voting for May, and backbenchers would be more inclined towards voting for Leadsom.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textAlignment w:val="center"/>
        <w:outlineLvl w:val="0"/>
        <w:rPr>
          <w:rFonts w:ascii="Garamond" w:eastAsia="Times New Roman" w:hAnsi="Garamond" w:cs="Times New Roman"/>
          <w:i/>
          <w:iCs/>
          <w:sz w:val="24"/>
          <w:szCs w:val="24"/>
          <w:lang w:eastAsia="en-GB"/>
        </w:rPr>
      </w:pPr>
      <w:r w:rsidRPr="00C72730">
        <w:rPr>
          <w:rFonts w:ascii="Garamond" w:eastAsia="Times New Roman" w:hAnsi="Garamond" w:cs="Times New Roman"/>
          <w:i/>
          <w:iCs/>
          <w:sz w:val="24"/>
          <w:szCs w:val="24"/>
          <w:lang w:eastAsia="en-GB"/>
        </w:rPr>
        <w:t xml:space="preserve">Ideological Variables: Same Sex Marriage and Brexit </w:t>
      </w:r>
    </w:p>
    <w:p w:rsidR="00A55E86" w:rsidRPr="00C72730" w:rsidRDefault="00A55E86" w:rsidP="00DC066F">
      <w:pPr>
        <w:shd w:val="clear" w:color="auto" w:fill="FFFFFF"/>
        <w:spacing w:after="0" w:line="360" w:lineRule="auto"/>
        <w:textAlignment w:val="center"/>
        <w:rPr>
          <w:rFonts w:ascii="Garamond" w:eastAsia="Times New Roman" w:hAnsi="Garamond" w:cs="Times New Roman"/>
          <w:i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r w:rsidRPr="00C72730">
        <w:rPr>
          <w:rFonts w:ascii="Garamond" w:eastAsia="Times New Roman" w:hAnsi="Garamond" w:cs="Times New Roman"/>
          <w:iCs/>
          <w:sz w:val="24"/>
          <w:szCs w:val="24"/>
          <w:lang w:eastAsia="en-GB"/>
        </w:rPr>
        <w:t xml:space="preserve">There have been a number of studies that have examined the ideological composition of the PCP, and they have tended to view ideological conflict through three divides: economic policy and the wet/dry distinction; moral issues and the social liberal/conservative distinction; and the European policy divide between Europhiles and </w:t>
      </w:r>
      <w:proofErr w:type="spellStart"/>
      <w:r w:rsidRPr="00C72730">
        <w:rPr>
          <w:rFonts w:ascii="Garamond" w:eastAsia="Times New Roman" w:hAnsi="Garamond" w:cs="Times New Roman"/>
          <w:iCs/>
          <w:sz w:val="24"/>
          <w:szCs w:val="24"/>
          <w:lang w:eastAsia="en-GB"/>
        </w:rPr>
        <w:t>Eurosceptic</w:t>
      </w:r>
      <w:r w:rsidR="006217BD" w:rsidRPr="00C72730">
        <w:rPr>
          <w:rFonts w:ascii="Garamond" w:eastAsia="Times New Roman" w:hAnsi="Garamond" w:cs="Times New Roman"/>
          <w:iCs/>
          <w:sz w:val="24"/>
          <w:szCs w:val="24"/>
          <w:lang w:eastAsia="en-GB"/>
        </w:rPr>
        <w:t>s</w:t>
      </w:r>
      <w:proofErr w:type="spellEnd"/>
      <w:r w:rsidR="006217BD" w:rsidRPr="00C72730">
        <w:rPr>
          <w:rFonts w:ascii="Garamond" w:eastAsia="Times New Roman" w:hAnsi="Garamond" w:cs="Times New Roman"/>
          <w:iCs/>
          <w:sz w:val="24"/>
          <w:szCs w:val="24"/>
          <w:lang w:eastAsia="en-GB"/>
        </w:rPr>
        <w:t xml:space="preserve"> (</w:t>
      </w:r>
      <w:r w:rsidRPr="00C72730">
        <w:rPr>
          <w:rFonts w:ascii="Garamond" w:eastAsia="Times New Roman" w:hAnsi="Garamond" w:cs="Times New Roman"/>
          <w:iCs/>
          <w:sz w:val="24"/>
          <w:szCs w:val="24"/>
          <w:lang w:eastAsia="en-GB"/>
        </w:rPr>
        <w:t xml:space="preserve">Garry, 1995; Heppell, 2002, 2013). These categorisations informed the hypotheses on voting behaviour used by </w:t>
      </w:r>
      <w:proofErr w:type="spellStart"/>
      <w:r w:rsidRPr="00C72730">
        <w:rPr>
          <w:rFonts w:ascii="Garamond" w:eastAsia="Times New Roman" w:hAnsi="Garamond" w:cs="Times New Roman"/>
          <w:iCs/>
          <w:sz w:val="24"/>
          <w:szCs w:val="24"/>
          <w:lang w:eastAsia="en-GB"/>
        </w:rPr>
        <w:t>Cowley</w:t>
      </w:r>
      <w:proofErr w:type="spellEnd"/>
      <w:r w:rsidRPr="00C72730">
        <w:rPr>
          <w:rFonts w:ascii="Garamond" w:eastAsia="Times New Roman" w:hAnsi="Garamond" w:cs="Times New Roman"/>
          <w:iCs/>
          <w:sz w:val="24"/>
          <w:szCs w:val="24"/>
          <w:lang w:eastAsia="en-GB"/>
        </w:rPr>
        <w:t xml:space="preserve"> and Garry (1998) and Heppell and Hill (2008 and 2010) in their appraisals of the contests in 1990, 1997 and 2001 respectively.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r w:rsidRPr="00C72730">
        <w:rPr>
          <w:rFonts w:ascii="Garamond" w:eastAsia="Times New Roman" w:hAnsi="Garamond" w:cs="Times New Roman"/>
          <w:iCs/>
          <w:sz w:val="24"/>
          <w:szCs w:val="24"/>
          <w:lang w:eastAsia="en-GB"/>
        </w:rPr>
        <w:t xml:space="preserve">However, a process of ideological realignment can be said to have occurred within modern British conservatism. The morality divide between liberals and conservatives not only remains relevant but came to dominate the opposition era, as social liberalism emerged as central plank of </w:t>
      </w:r>
      <w:proofErr w:type="spellStart"/>
      <w:r w:rsidRPr="00C72730">
        <w:rPr>
          <w:rFonts w:ascii="Garamond" w:eastAsia="Times New Roman" w:hAnsi="Garamond" w:cs="Times New Roman"/>
          <w:iCs/>
          <w:sz w:val="24"/>
          <w:szCs w:val="24"/>
          <w:lang w:eastAsia="en-GB"/>
        </w:rPr>
        <w:t>Cameronite</w:t>
      </w:r>
      <w:proofErr w:type="spellEnd"/>
      <w:r w:rsidRPr="00C72730">
        <w:rPr>
          <w:rFonts w:ascii="Garamond" w:eastAsia="Times New Roman" w:hAnsi="Garamond" w:cs="Times New Roman"/>
          <w:iCs/>
          <w:sz w:val="24"/>
          <w:szCs w:val="24"/>
          <w:lang w:eastAsia="en-GB"/>
        </w:rPr>
        <w:t xml:space="preserve"> modernisation (Hayton, 2010). Once in government this ideological feud was then exposed during the passage of the </w:t>
      </w:r>
      <w:r w:rsidR="00E77478" w:rsidRPr="00C72730">
        <w:rPr>
          <w:rFonts w:ascii="Garamond" w:eastAsia="Times New Roman" w:hAnsi="Garamond" w:cs="Times New Roman"/>
          <w:iCs/>
          <w:sz w:val="24"/>
          <w:szCs w:val="24"/>
          <w:lang w:eastAsia="en-GB"/>
        </w:rPr>
        <w:t>S</w:t>
      </w:r>
      <w:r w:rsidRPr="00C72730">
        <w:rPr>
          <w:rFonts w:ascii="Garamond" w:eastAsia="Times New Roman" w:hAnsi="Garamond" w:cs="Times New Roman"/>
          <w:iCs/>
          <w:sz w:val="24"/>
          <w:szCs w:val="24"/>
          <w:lang w:eastAsia="en-GB"/>
        </w:rPr>
        <w:t xml:space="preserve">ame </w:t>
      </w:r>
      <w:r w:rsidRPr="00C72730">
        <w:rPr>
          <w:rFonts w:ascii="Garamond" w:eastAsia="Times New Roman" w:hAnsi="Garamond" w:cs="Times New Roman"/>
          <w:sz w:val="24"/>
          <w:szCs w:val="24"/>
          <w:lang w:val="en" w:eastAsia="en-GB"/>
        </w:rPr>
        <w:t>Marriage (Same Sex Couples) Act of 2013</w:t>
      </w:r>
      <w:r w:rsidR="006217BD" w:rsidRPr="00C72730">
        <w:rPr>
          <w:rFonts w:ascii="Garamond" w:eastAsia="Times New Roman" w:hAnsi="Garamond" w:cs="Times New Roman"/>
          <w:iCs/>
          <w:sz w:val="24"/>
          <w:szCs w:val="24"/>
          <w:lang w:eastAsia="en-GB"/>
        </w:rPr>
        <w:t xml:space="preserve"> (</w:t>
      </w:r>
      <w:r w:rsidRPr="00C72730">
        <w:rPr>
          <w:rFonts w:ascii="Garamond" w:eastAsia="Times New Roman" w:hAnsi="Garamond" w:cs="Times New Roman"/>
          <w:iCs/>
          <w:sz w:val="24"/>
          <w:szCs w:val="24"/>
          <w:lang w:eastAsia="en-GB"/>
        </w:rPr>
        <w:t xml:space="preserve">Clements, 2014). Running parallel to the increasing importance of the morality divide came the </w:t>
      </w:r>
      <w:r w:rsidRPr="00C72730">
        <w:rPr>
          <w:rFonts w:ascii="Garamond" w:eastAsia="Times New Roman" w:hAnsi="Garamond" w:cs="Times New Roman"/>
          <w:iCs/>
          <w:sz w:val="24"/>
          <w:szCs w:val="24"/>
          <w:lang w:eastAsia="en-GB"/>
        </w:rPr>
        <w:lastRenderedPageBreak/>
        <w:t>gradual disappearance of the conflict between wets and dries over economic policy. The economically moderate wet wing of the PCP tended to be located amongst older Conservatives</w:t>
      </w:r>
      <w:r w:rsidR="00C1128A">
        <w:rPr>
          <w:rFonts w:ascii="Garamond" w:eastAsia="Times New Roman" w:hAnsi="Garamond" w:cs="Times New Roman"/>
          <w:iCs/>
          <w:sz w:val="24"/>
          <w:szCs w:val="24"/>
          <w:lang w:eastAsia="en-GB"/>
        </w:rPr>
        <w:t xml:space="preserve"> who, o</w:t>
      </w:r>
      <w:r w:rsidRPr="00C72730">
        <w:rPr>
          <w:rFonts w:ascii="Garamond" w:eastAsia="Times New Roman" w:hAnsi="Garamond" w:cs="Times New Roman"/>
          <w:iCs/>
          <w:sz w:val="24"/>
          <w:szCs w:val="24"/>
          <w:lang w:eastAsia="en-GB"/>
        </w:rPr>
        <w:t>ver time</w:t>
      </w:r>
      <w:r w:rsidR="00C1128A">
        <w:rPr>
          <w:rFonts w:ascii="Garamond" w:eastAsia="Times New Roman" w:hAnsi="Garamond" w:cs="Times New Roman"/>
          <w:iCs/>
          <w:sz w:val="24"/>
          <w:szCs w:val="24"/>
          <w:lang w:eastAsia="en-GB"/>
        </w:rPr>
        <w:t xml:space="preserve">, either </w:t>
      </w:r>
      <w:r w:rsidRPr="00C72730">
        <w:rPr>
          <w:rFonts w:ascii="Garamond" w:eastAsia="Times New Roman" w:hAnsi="Garamond" w:cs="Times New Roman"/>
          <w:iCs/>
          <w:sz w:val="24"/>
          <w:szCs w:val="24"/>
          <w:lang w:eastAsia="en-GB"/>
        </w:rPr>
        <w:t>retired or were defeated</w:t>
      </w:r>
      <w:r w:rsidR="00C1128A">
        <w:rPr>
          <w:rFonts w:ascii="Garamond" w:eastAsia="Times New Roman" w:hAnsi="Garamond" w:cs="Times New Roman"/>
          <w:iCs/>
          <w:sz w:val="24"/>
          <w:szCs w:val="24"/>
          <w:lang w:eastAsia="en-GB"/>
        </w:rPr>
        <w:t>. Furthermore</w:t>
      </w:r>
      <w:r w:rsidRPr="00C72730">
        <w:rPr>
          <w:rFonts w:ascii="Garamond" w:eastAsia="Times New Roman" w:hAnsi="Garamond" w:cs="Times New Roman"/>
          <w:iCs/>
          <w:sz w:val="24"/>
          <w:szCs w:val="24"/>
          <w:lang w:eastAsia="en-GB"/>
        </w:rPr>
        <w:t xml:space="preserve"> the incoming cohorts from 1992 onwards were overwhelmingly dry in their economic outlook. Dry economic liberalism became ‘firmly embedded’ within the PCP (Hayton, 2010, p. 493) as the level of wet representation decreased from 33 percent of the 1992 to 1997 PCP to 13 percent in the 2005 to 2010 PCP (with dry representation increasing from 56 to 80 percent in the same period, Heppell, 2002, 2009). Wet representation within the PCP was so peripheral in the 2010 to 2015 PCP that it was not deemed worthy of ongoing consideration (see Heppell, 2013, p. 353).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r w:rsidRPr="00C72730">
        <w:rPr>
          <w:rFonts w:ascii="Garamond" w:eastAsia="Times New Roman" w:hAnsi="Garamond" w:cs="Times New Roman"/>
          <w:iCs/>
          <w:sz w:val="24"/>
          <w:szCs w:val="24"/>
          <w:lang w:eastAsia="en-GB"/>
        </w:rPr>
        <w:t>That means for our ideological determinants we will not include the economic wet/dry divide, but we will retain the morality liberal/conservative divide. As Cameron set about reforming the Conservatives in opposition post 2005 the liberalism-conservatism cleavage around morality was central to identifying his modernising supporters and traditionalist critics (Hayton, 2010, pp. 492-3). Gaining acceptance for modernised social liberalism would be a slow and painful process in the period between 1992 and 2015</w:t>
      </w:r>
      <w:r w:rsidR="00C1128A">
        <w:rPr>
          <w:rFonts w:ascii="Garamond" w:eastAsia="Times New Roman" w:hAnsi="Garamond" w:cs="Times New Roman"/>
          <w:iCs/>
          <w:sz w:val="24"/>
          <w:szCs w:val="24"/>
          <w:lang w:eastAsia="en-GB"/>
        </w:rPr>
        <w:t>. A</w:t>
      </w:r>
      <w:r w:rsidRPr="00C72730">
        <w:rPr>
          <w:rFonts w:ascii="Garamond" w:eastAsia="Times New Roman" w:hAnsi="Garamond" w:cs="Times New Roman"/>
          <w:iCs/>
          <w:sz w:val="24"/>
          <w:szCs w:val="24"/>
          <w:lang w:eastAsia="en-GB"/>
        </w:rPr>
        <w:t>cademic research identified that 30.5 percent of the 1992-1997 PCP was identifiable with socially liberal thinking (Heppell, 2002, p. 312)</w:t>
      </w:r>
      <w:r w:rsidR="00C1128A">
        <w:rPr>
          <w:rFonts w:ascii="Garamond" w:eastAsia="Times New Roman" w:hAnsi="Garamond" w:cs="Times New Roman"/>
          <w:iCs/>
          <w:sz w:val="24"/>
          <w:szCs w:val="24"/>
          <w:lang w:eastAsia="en-GB"/>
        </w:rPr>
        <w:t>, which had</w:t>
      </w:r>
      <w:r w:rsidRPr="00C72730">
        <w:rPr>
          <w:rFonts w:ascii="Garamond" w:eastAsia="Times New Roman" w:hAnsi="Garamond" w:cs="Times New Roman"/>
          <w:iCs/>
          <w:sz w:val="24"/>
          <w:szCs w:val="24"/>
          <w:lang w:eastAsia="en-GB"/>
        </w:rPr>
        <w:t xml:space="preserve"> increased to only 31.9 percent of the 2010-2015 PCP (Heppell, 2013, p. 348). Cameron increasingly alienated himself from the traditionalist wing of his own party by his positive rhetoric vis-à-vis endorsing civil partnership</w:t>
      </w:r>
      <w:r w:rsidR="00C1128A">
        <w:rPr>
          <w:rFonts w:ascii="Garamond" w:eastAsia="Times New Roman" w:hAnsi="Garamond" w:cs="Times New Roman"/>
          <w:iCs/>
          <w:sz w:val="24"/>
          <w:szCs w:val="24"/>
          <w:lang w:eastAsia="en-GB"/>
        </w:rPr>
        <w:t>s</w:t>
      </w:r>
      <w:r w:rsidRPr="00C72730">
        <w:rPr>
          <w:rFonts w:ascii="Garamond" w:eastAsia="Times New Roman" w:hAnsi="Garamond" w:cs="Times New Roman"/>
          <w:iCs/>
          <w:sz w:val="24"/>
          <w:szCs w:val="24"/>
          <w:lang w:eastAsia="en-GB"/>
        </w:rPr>
        <w:t xml:space="preserve"> and adoption rights for same sex couples. His championing of equal marriage rights for same sex couples succeeded in pitting secular</w:t>
      </w:r>
      <w:r w:rsidR="00C1128A">
        <w:rPr>
          <w:rFonts w:ascii="Garamond" w:eastAsia="Times New Roman" w:hAnsi="Garamond" w:cs="Times New Roman"/>
          <w:iCs/>
          <w:sz w:val="24"/>
          <w:szCs w:val="24"/>
          <w:lang w:eastAsia="en-GB"/>
        </w:rPr>
        <w:t>,</w:t>
      </w:r>
      <w:r w:rsidRPr="00C72730">
        <w:rPr>
          <w:rFonts w:ascii="Garamond" w:eastAsia="Times New Roman" w:hAnsi="Garamond" w:cs="Times New Roman"/>
          <w:iCs/>
          <w:sz w:val="24"/>
          <w:szCs w:val="24"/>
          <w:lang w:eastAsia="en-GB"/>
        </w:rPr>
        <w:t xml:space="preserve"> modernising </w:t>
      </w:r>
      <w:r w:rsidR="00C1128A">
        <w:rPr>
          <w:rFonts w:ascii="Garamond" w:eastAsia="Times New Roman" w:hAnsi="Garamond" w:cs="Times New Roman"/>
          <w:iCs/>
          <w:sz w:val="24"/>
          <w:szCs w:val="24"/>
          <w:lang w:eastAsia="en-GB"/>
        </w:rPr>
        <w:t xml:space="preserve">free </w:t>
      </w:r>
      <w:r w:rsidRPr="00C72730">
        <w:rPr>
          <w:rFonts w:ascii="Garamond" w:eastAsia="Times New Roman" w:hAnsi="Garamond" w:cs="Times New Roman"/>
          <w:iCs/>
          <w:sz w:val="24"/>
          <w:szCs w:val="24"/>
          <w:lang w:eastAsia="en-GB"/>
        </w:rPr>
        <w:t xml:space="preserve">market liberals against religious social conservatives (Ashcroft and Oakeshott, 2015, pp. 404-12). On this touchstone issue, Gove and May voted for and Leadsom abstained. On the basis of this our morality hypothesis is as follows: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p>
    <w:p w:rsidR="00A55E86" w:rsidRPr="00C72730" w:rsidRDefault="00A55E86" w:rsidP="00DC066F">
      <w:pPr>
        <w:shd w:val="clear" w:color="auto" w:fill="FFFFFF"/>
        <w:spacing w:after="0" w:line="360" w:lineRule="auto"/>
        <w:ind w:left="720"/>
        <w:jc w:val="both"/>
        <w:textAlignment w:val="center"/>
        <w:rPr>
          <w:rFonts w:ascii="Garamond" w:eastAsia="Times New Roman" w:hAnsi="Garamond" w:cs="Times New Roman"/>
          <w:i/>
          <w:sz w:val="24"/>
          <w:szCs w:val="24"/>
          <w:lang w:eastAsia="en-GB"/>
        </w:rPr>
      </w:pPr>
      <w:r w:rsidRPr="00C72730">
        <w:rPr>
          <w:rFonts w:ascii="Garamond" w:eastAsia="Times New Roman" w:hAnsi="Garamond" w:cs="Times New Roman"/>
          <w:i/>
          <w:sz w:val="24"/>
          <w:szCs w:val="24"/>
          <w:lang w:eastAsia="en-GB"/>
        </w:rPr>
        <w:t xml:space="preserve">[H8] Social liberals would be more inclined to vote for May or Gove, and social conservatives will be more inclined to vote for Leadsom.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r w:rsidRPr="00C72730">
        <w:rPr>
          <w:rFonts w:ascii="Garamond" w:eastAsia="Times New Roman" w:hAnsi="Garamond" w:cs="Times New Roman"/>
          <w:iCs/>
          <w:sz w:val="24"/>
          <w:szCs w:val="24"/>
          <w:lang w:eastAsia="en-GB"/>
        </w:rPr>
        <w:t>We will of course retain the European divide</w:t>
      </w:r>
      <w:r w:rsidR="00C1128A">
        <w:rPr>
          <w:rFonts w:ascii="Garamond" w:eastAsia="Times New Roman" w:hAnsi="Garamond" w:cs="Times New Roman"/>
          <w:iCs/>
          <w:sz w:val="24"/>
          <w:szCs w:val="24"/>
          <w:lang w:eastAsia="en-GB"/>
        </w:rPr>
        <w:t>. B</w:t>
      </w:r>
      <w:r w:rsidRPr="00C72730">
        <w:rPr>
          <w:rFonts w:ascii="Garamond" w:eastAsia="Times New Roman" w:hAnsi="Garamond" w:cs="Times New Roman"/>
          <w:iCs/>
          <w:sz w:val="24"/>
          <w:szCs w:val="24"/>
          <w:lang w:eastAsia="en-GB"/>
        </w:rPr>
        <w:t xml:space="preserve">ut by the time </w:t>
      </w:r>
      <w:r w:rsidR="00C1128A">
        <w:rPr>
          <w:rFonts w:ascii="Garamond" w:eastAsia="Times New Roman" w:hAnsi="Garamond" w:cs="Times New Roman"/>
          <w:iCs/>
          <w:sz w:val="24"/>
          <w:szCs w:val="24"/>
          <w:lang w:eastAsia="en-GB"/>
        </w:rPr>
        <w:t>the</w:t>
      </w:r>
      <w:r w:rsidR="00C1128A" w:rsidRPr="00C72730">
        <w:rPr>
          <w:rFonts w:ascii="Garamond" w:eastAsia="Times New Roman" w:hAnsi="Garamond" w:cs="Times New Roman"/>
          <w:iCs/>
          <w:sz w:val="24"/>
          <w:szCs w:val="24"/>
          <w:lang w:eastAsia="en-GB"/>
        </w:rPr>
        <w:t xml:space="preserve"> </w:t>
      </w:r>
      <w:r w:rsidRPr="00C72730">
        <w:rPr>
          <w:rFonts w:ascii="Garamond" w:eastAsia="Times New Roman" w:hAnsi="Garamond" w:cs="Times New Roman"/>
          <w:iCs/>
          <w:sz w:val="24"/>
          <w:szCs w:val="24"/>
          <w:lang w:eastAsia="en-GB"/>
        </w:rPr>
        <w:t>Conservative</w:t>
      </w:r>
      <w:r w:rsidR="00C1128A">
        <w:rPr>
          <w:rFonts w:ascii="Garamond" w:eastAsia="Times New Roman" w:hAnsi="Garamond" w:cs="Times New Roman"/>
          <w:iCs/>
          <w:sz w:val="24"/>
          <w:szCs w:val="24"/>
          <w:lang w:eastAsia="en-GB"/>
        </w:rPr>
        <w:t>s</w:t>
      </w:r>
      <w:r w:rsidRPr="00C72730">
        <w:rPr>
          <w:rFonts w:ascii="Garamond" w:eastAsia="Times New Roman" w:hAnsi="Garamond" w:cs="Times New Roman"/>
          <w:iCs/>
          <w:sz w:val="24"/>
          <w:szCs w:val="24"/>
          <w:lang w:eastAsia="en-GB"/>
        </w:rPr>
        <w:t xml:space="preserve"> re-entered office (May 2010) it was no longer credible to define their European policy divisions around the labels of Europhilia and Euroscepticism (</w:t>
      </w:r>
      <w:proofErr w:type="spellStart"/>
      <w:r w:rsidRPr="00C72730">
        <w:rPr>
          <w:rFonts w:ascii="Garamond" w:eastAsia="Times New Roman" w:hAnsi="Garamond" w:cs="Times New Roman"/>
          <w:iCs/>
          <w:sz w:val="24"/>
          <w:szCs w:val="24"/>
          <w:lang w:eastAsia="en-GB"/>
        </w:rPr>
        <w:t>Cowley</w:t>
      </w:r>
      <w:proofErr w:type="spellEnd"/>
      <w:r w:rsidRPr="00C72730">
        <w:rPr>
          <w:rFonts w:ascii="Garamond" w:eastAsia="Times New Roman" w:hAnsi="Garamond" w:cs="Times New Roman"/>
          <w:iCs/>
          <w:sz w:val="24"/>
          <w:szCs w:val="24"/>
          <w:lang w:eastAsia="en-GB"/>
        </w:rPr>
        <w:t xml:space="preserve"> and Stuart, 2010, p.</w:t>
      </w:r>
      <w:r w:rsidR="00E77478" w:rsidRPr="00C72730">
        <w:rPr>
          <w:rFonts w:ascii="Garamond" w:eastAsia="Times New Roman" w:hAnsi="Garamond" w:cs="Times New Roman"/>
          <w:iCs/>
          <w:sz w:val="24"/>
          <w:szCs w:val="24"/>
          <w:lang w:eastAsia="en-GB"/>
        </w:rPr>
        <w:t xml:space="preserve"> 14</w:t>
      </w:r>
      <w:r w:rsidRPr="00C72730">
        <w:rPr>
          <w:rFonts w:ascii="Garamond" w:eastAsia="Times New Roman" w:hAnsi="Garamond" w:cs="Times New Roman"/>
          <w:iCs/>
          <w:sz w:val="24"/>
          <w:szCs w:val="24"/>
          <w:lang w:eastAsia="en-GB"/>
        </w:rPr>
        <w:t xml:space="preserve">1). Pro-Europeanism within the PCP shrank dramatically in the post-Thatcherite era, from 29.6 percent of the 1992-1997 PCP (i.e. 98 from 336 members) to </w:t>
      </w:r>
      <w:r w:rsidR="00C1128A">
        <w:rPr>
          <w:rFonts w:ascii="Garamond" w:eastAsia="Times New Roman" w:hAnsi="Garamond" w:cs="Times New Roman"/>
          <w:iCs/>
          <w:sz w:val="24"/>
          <w:szCs w:val="24"/>
          <w:lang w:eastAsia="en-GB"/>
        </w:rPr>
        <w:t xml:space="preserve">just </w:t>
      </w:r>
      <w:r w:rsidRPr="00C72730">
        <w:rPr>
          <w:rFonts w:ascii="Garamond" w:eastAsia="Times New Roman" w:hAnsi="Garamond" w:cs="Times New Roman"/>
          <w:iCs/>
          <w:sz w:val="24"/>
          <w:szCs w:val="24"/>
          <w:lang w:eastAsia="en-GB"/>
        </w:rPr>
        <w:t>3.5</w:t>
      </w:r>
      <w:r w:rsidR="009C07A1" w:rsidRPr="00C72730">
        <w:rPr>
          <w:rFonts w:ascii="Garamond" w:eastAsia="Times New Roman" w:hAnsi="Garamond" w:cs="Times New Roman"/>
          <w:iCs/>
          <w:sz w:val="24"/>
          <w:szCs w:val="24"/>
          <w:lang w:eastAsia="en-GB"/>
        </w:rPr>
        <w:t xml:space="preserve"> percent </w:t>
      </w:r>
      <w:r w:rsidRPr="00C72730">
        <w:rPr>
          <w:rFonts w:ascii="Garamond" w:eastAsia="Times New Roman" w:hAnsi="Garamond" w:cs="Times New Roman"/>
          <w:iCs/>
          <w:sz w:val="24"/>
          <w:szCs w:val="24"/>
          <w:lang w:eastAsia="en-GB"/>
        </w:rPr>
        <w:t>in the 2005-2010 PCP (i.e. 7 from 198 members)</w:t>
      </w:r>
      <w:r w:rsidR="00C1128A">
        <w:rPr>
          <w:rFonts w:ascii="Garamond" w:eastAsia="Times New Roman" w:hAnsi="Garamond" w:cs="Times New Roman"/>
          <w:iCs/>
          <w:sz w:val="24"/>
          <w:szCs w:val="24"/>
          <w:lang w:eastAsia="en-GB"/>
        </w:rPr>
        <w:t>.</w:t>
      </w:r>
      <w:r w:rsidRPr="00C72730">
        <w:rPr>
          <w:rFonts w:ascii="Garamond" w:eastAsia="Times New Roman" w:hAnsi="Garamond" w:cs="Times New Roman"/>
          <w:iCs/>
          <w:sz w:val="24"/>
          <w:szCs w:val="24"/>
          <w:lang w:eastAsia="en-GB"/>
        </w:rPr>
        <w:t xml:space="preserve"> Running parallel to this was a sharp increase Eurosceptic opinion from 58 percent in </w:t>
      </w:r>
      <w:r w:rsidRPr="00C72730">
        <w:rPr>
          <w:rFonts w:ascii="Garamond" w:eastAsia="Times New Roman" w:hAnsi="Garamond" w:cs="Times New Roman"/>
          <w:iCs/>
          <w:sz w:val="24"/>
          <w:szCs w:val="24"/>
          <w:lang w:eastAsia="en-GB"/>
        </w:rPr>
        <w:lastRenderedPageBreak/>
        <w:t>the 1992-1997 PCP (i.e. 192 from 336 members) to 91.4 percent in the 2005-2010 (i.e. 181 from 198 members) (Heppell, 2002, 2009)</w:t>
      </w:r>
      <w:r w:rsidRPr="00C72730">
        <w:rPr>
          <w:rFonts w:ascii="Garamond" w:hAnsi="Garamond"/>
          <w:sz w:val="24"/>
          <w:szCs w:val="24"/>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hAnsi="Garamond"/>
          <w:sz w:val="24"/>
          <w:szCs w:val="24"/>
        </w:rPr>
      </w:pPr>
      <w:r w:rsidRPr="00C72730">
        <w:rPr>
          <w:rFonts w:ascii="Garamond" w:eastAsia="Times New Roman" w:hAnsi="Garamond" w:cs="Times New Roman"/>
          <w:iCs/>
          <w:sz w:val="24"/>
          <w:szCs w:val="24"/>
          <w:lang w:eastAsia="en-GB"/>
        </w:rPr>
        <w:t>Therefore we will update the categorisations to reflect the debate that characterised the referendum</w:t>
      </w:r>
      <w:r w:rsidR="00CF0409">
        <w:rPr>
          <w:rFonts w:ascii="Garamond" w:eastAsia="Times New Roman" w:hAnsi="Garamond" w:cs="Times New Roman"/>
          <w:iCs/>
          <w:sz w:val="24"/>
          <w:szCs w:val="24"/>
          <w:lang w:eastAsia="en-GB"/>
        </w:rPr>
        <w:t>:</w:t>
      </w:r>
      <w:r w:rsidRPr="00C72730">
        <w:rPr>
          <w:rFonts w:ascii="Garamond" w:eastAsia="Times New Roman" w:hAnsi="Garamond" w:cs="Times New Roman"/>
          <w:iCs/>
          <w:sz w:val="24"/>
          <w:szCs w:val="24"/>
          <w:lang w:eastAsia="en-GB"/>
        </w:rPr>
        <w:t xml:space="preserve"> between reformists and remain Conservatives (i.e. soft but pragmatic Euroscepticism) and the rejectionist and Brexit Conservatives (i.e. hard Eurosceptics). The soft variant encapsulated Cameron’s position of seeking renegotiated terms for continued membership – that p</w:t>
      </w:r>
      <w:r w:rsidR="00E77478" w:rsidRPr="00C72730">
        <w:rPr>
          <w:rFonts w:ascii="Garamond" w:eastAsia="Times New Roman" w:hAnsi="Garamond" w:cs="Times New Roman"/>
          <w:iCs/>
          <w:sz w:val="24"/>
          <w:szCs w:val="24"/>
          <w:lang w:eastAsia="en-GB"/>
        </w:rPr>
        <w:t>osition</w:t>
      </w:r>
      <w:r w:rsidRPr="00C72730">
        <w:rPr>
          <w:rFonts w:ascii="Garamond" w:eastAsia="Times New Roman" w:hAnsi="Garamond" w:cs="Times New Roman"/>
          <w:iCs/>
          <w:sz w:val="24"/>
          <w:szCs w:val="24"/>
          <w:lang w:eastAsia="en-GB"/>
        </w:rPr>
        <w:t xml:space="preserve"> had been supported by around half of the 2010-2015 PCP (i.e. 154 members out of 306), with around one quarter subscribing to the rejectionist mind-set that would counte</w:t>
      </w:r>
      <w:r w:rsidR="008D3336" w:rsidRPr="00C72730">
        <w:rPr>
          <w:rFonts w:ascii="Garamond" w:eastAsia="Times New Roman" w:hAnsi="Garamond" w:cs="Times New Roman"/>
          <w:iCs/>
          <w:sz w:val="24"/>
          <w:szCs w:val="24"/>
          <w:lang w:eastAsia="en-GB"/>
        </w:rPr>
        <w:t>nance leaving the EU</w:t>
      </w:r>
      <w:r w:rsidRPr="00C72730">
        <w:rPr>
          <w:rFonts w:ascii="Garamond" w:eastAsia="Times New Roman" w:hAnsi="Garamond" w:cs="Times New Roman"/>
          <w:iCs/>
          <w:sz w:val="24"/>
          <w:szCs w:val="24"/>
          <w:lang w:eastAsia="en-GB"/>
        </w:rPr>
        <w:t xml:space="preserve"> (Heppell, 2013, p. 347). However, there was scope for the rejectionist position to expand further within the PCP due to the dual impact of the Eurozone crisis and increasing voter concern about immigration (notably the influx of migrants from Bulgaria and Romania) as this  created the space for the rise of UKIP (Gifford, 2014</w:t>
      </w:r>
      <w:r w:rsidRPr="00C72730">
        <w:rPr>
          <w:rFonts w:ascii="Garamond" w:hAnsi="Garamond" w:cs="Times New Roman"/>
          <w:sz w:val="24"/>
          <w:szCs w:val="24"/>
        </w:rPr>
        <w:t xml:space="preserve">). In an attempt to nullify the threat from UKIP, and to placate hard Eurosceptic sentiment on his own backbenches, in 2013 Cameron committed a future majority Conservative administration to a referendum on continued </w:t>
      </w:r>
      <w:r w:rsidR="001F5A07" w:rsidRPr="00C72730">
        <w:rPr>
          <w:rFonts w:ascii="Garamond" w:hAnsi="Garamond" w:cs="Times New Roman"/>
          <w:sz w:val="24"/>
          <w:szCs w:val="24"/>
        </w:rPr>
        <w:t xml:space="preserve">EU </w:t>
      </w:r>
      <w:r w:rsidRPr="00C72730">
        <w:rPr>
          <w:rFonts w:ascii="Garamond" w:hAnsi="Garamond" w:cs="Times New Roman"/>
          <w:sz w:val="24"/>
          <w:szCs w:val="24"/>
        </w:rPr>
        <w:t xml:space="preserve">membership following the securing of </w:t>
      </w:r>
      <w:r w:rsidR="001F5A07" w:rsidRPr="00C72730">
        <w:rPr>
          <w:rFonts w:ascii="Garamond" w:hAnsi="Garamond" w:cs="Times New Roman"/>
          <w:sz w:val="24"/>
          <w:szCs w:val="24"/>
        </w:rPr>
        <w:t>re-</w:t>
      </w:r>
      <w:r w:rsidRPr="00C72730">
        <w:rPr>
          <w:rFonts w:ascii="Garamond" w:hAnsi="Garamond" w:cs="Times New Roman"/>
          <w:sz w:val="24"/>
          <w:szCs w:val="24"/>
        </w:rPr>
        <w:t xml:space="preserve">negotiated terms. In doing so he had created the route to an unwanted referendum and Brexit (see </w:t>
      </w:r>
      <w:r w:rsidRPr="00C72730">
        <w:rPr>
          <w:rFonts w:ascii="Garamond" w:hAnsi="Garamond"/>
          <w:sz w:val="24"/>
          <w:szCs w:val="24"/>
        </w:rPr>
        <w:t>Lynch, 2015).</w:t>
      </w:r>
    </w:p>
    <w:p w:rsidR="00A55E86" w:rsidRPr="00C72730" w:rsidRDefault="00A55E86" w:rsidP="00DC066F">
      <w:pPr>
        <w:shd w:val="clear" w:color="auto" w:fill="FFFFFF"/>
        <w:spacing w:after="0" w:line="360" w:lineRule="auto"/>
        <w:jc w:val="both"/>
        <w:textAlignment w:val="center"/>
        <w:rPr>
          <w:rFonts w:ascii="Garamond" w:hAnsi="Garamond"/>
          <w:sz w:val="24"/>
          <w:szCs w:val="24"/>
        </w:rPr>
      </w:pPr>
    </w:p>
    <w:p w:rsidR="00A55E86" w:rsidRPr="00C72730" w:rsidRDefault="00A55E86" w:rsidP="00DC066F">
      <w:pPr>
        <w:shd w:val="clear" w:color="auto" w:fill="FFFFFF"/>
        <w:spacing w:after="0" w:line="360" w:lineRule="auto"/>
        <w:jc w:val="both"/>
        <w:textAlignment w:val="center"/>
        <w:rPr>
          <w:rFonts w:ascii="Garamond" w:hAnsi="Garamond"/>
          <w:sz w:val="24"/>
          <w:szCs w:val="24"/>
        </w:rPr>
      </w:pPr>
      <w:r w:rsidRPr="00C72730">
        <w:rPr>
          <w:rFonts w:ascii="Garamond" w:hAnsi="Garamond"/>
          <w:sz w:val="24"/>
          <w:szCs w:val="24"/>
        </w:rPr>
        <w:t xml:space="preserve">The European divide creates the basis for our second ideologically </w:t>
      </w:r>
      <w:r w:rsidR="001F5A07" w:rsidRPr="00C72730">
        <w:rPr>
          <w:rFonts w:ascii="Garamond" w:hAnsi="Garamond"/>
          <w:sz w:val="24"/>
          <w:szCs w:val="24"/>
        </w:rPr>
        <w:t xml:space="preserve">centred </w:t>
      </w:r>
      <w:r w:rsidRPr="00C72730">
        <w:rPr>
          <w:rFonts w:ascii="Garamond" w:hAnsi="Garamond"/>
          <w:sz w:val="24"/>
          <w:szCs w:val="24"/>
        </w:rPr>
        <w:t xml:space="preserve">hypothesis. Although the labels differ we embrace the logic underpinning the use of the European divide in previous studies of its impact on voting behaviour in leadership elections. So, for example, </w:t>
      </w:r>
      <w:proofErr w:type="spellStart"/>
      <w:r w:rsidRPr="00C72730">
        <w:rPr>
          <w:rFonts w:ascii="Garamond" w:hAnsi="Garamond"/>
          <w:sz w:val="24"/>
          <w:szCs w:val="24"/>
        </w:rPr>
        <w:t>Cowley</w:t>
      </w:r>
      <w:proofErr w:type="spellEnd"/>
      <w:r w:rsidRPr="00C72730">
        <w:rPr>
          <w:rFonts w:ascii="Garamond" w:hAnsi="Garamond"/>
          <w:sz w:val="24"/>
          <w:szCs w:val="24"/>
        </w:rPr>
        <w:t xml:space="preserve"> and Garry assumed (and confirmed) </w:t>
      </w:r>
      <w:r w:rsidR="00DE3088">
        <w:rPr>
          <w:rFonts w:ascii="Garamond" w:hAnsi="Garamond"/>
          <w:sz w:val="24"/>
          <w:szCs w:val="24"/>
        </w:rPr>
        <w:t xml:space="preserve">in their study of the 1990 Conservative Party leadership election that </w:t>
      </w:r>
      <w:r w:rsidRPr="00C72730">
        <w:rPr>
          <w:rFonts w:ascii="Garamond" w:hAnsi="Garamond"/>
          <w:sz w:val="24"/>
          <w:szCs w:val="24"/>
        </w:rPr>
        <w:t xml:space="preserve">a correlation </w:t>
      </w:r>
      <w:r w:rsidR="00DE3088">
        <w:rPr>
          <w:rFonts w:ascii="Garamond" w:hAnsi="Garamond"/>
          <w:sz w:val="24"/>
          <w:szCs w:val="24"/>
        </w:rPr>
        <w:t xml:space="preserve">existed </w:t>
      </w:r>
      <w:r w:rsidRPr="00C72730">
        <w:rPr>
          <w:rFonts w:ascii="Garamond" w:hAnsi="Garamond"/>
          <w:sz w:val="24"/>
          <w:szCs w:val="24"/>
        </w:rPr>
        <w:t>between pro-Europeanism and voting for either Heseltine and Hurd, and Euroscepticism and voting for Major (</w:t>
      </w:r>
      <w:proofErr w:type="spellStart"/>
      <w:r w:rsidRPr="00C72730">
        <w:rPr>
          <w:rFonts w:ascii="Garamond" w:hAnsi="Garamond"/>
          <w:sz w:val="24"/>
          <w:szCs w:val="24"/>
        </w:rPr>
        <w:t>Cowley</w:t>
      </w:r>
      <w:proofErr w:type="spellEnd"/>
      <w:r w:rsidRPr="00C72730">
        <w:rPr>
          <w:rFonts w:ascii="Garamond" w:hAnsi="Garamond"/>
          <w:sz w:val="24"/>
          <w:szCs w:val="24"/>
        </w:rPr>
        <w:t xml:space="preserve"> and Garry, 1998, pp, 480, 492). The positions of the </w:t>
      </w:r>
      <w:r w:rsidR="00DE3088">
        <w:rPr>
          <w:rFonts w:ascii="Garamond" w:hAnsi="Garamond"/>
          <w:sz w:val="24"/>
          <w:szCs w:val="24"/>
        </w:rPr>
        <w:t xml:space="preserve">2016 </w:t>
      </w:r>
      <w:r w:rsidRPr="00C72730">
        <w:rPr>
          <w:rFonts w:ascii="Garamond" w:hAnsi="Garamond"/>
          <w:sz w:val="24"/>
          <w:szCs w:val="24"/>
        </w:rPr>
        <w:t>candidates – May for remain, and Leadsom and Gove for leave - inform our hypothesis on the European ideological variable:</w:t>
      </w:r>
    </w:p>
    <w:p w:rsidR="00A55E86" w:rsidRPr="00C72730" w:rsidRDefault="00A55E86" w:rsidP="00DC066F">
      <w:pPr>
        <w:shd w:val="clear" w:color="auto" w:fill="FFFFFF"/>
        <w:spacing w:after="0" w:line="360" w:lineRule="auto"/>
        <w:jc w:val="both"/>
        <w:textAlignment w:val="center"/>
        <w:rPr>
          <w:rFonts w:ascii="Garamond" w:hAnsi="Garamond"/>
          <w:sz w:val="24"/>
          <w:szCs w:val="24"/>
        </w:rPr>
      </w:pPr>
    </w:p>
    <w:p w:rsidR="00A55E86" w:rsidRPr="00C72730" w:rsidRDefault="00A55E86" w:rsidP="00DC066F">
      <w:pPr>
        <w:shd w:val="clear" w:color="auto" w:fill="FFFFFF"/>
        <w:spacing w:after="0" w:line="360" w:lineRule="auto"/>
        <w:ind w:left="720"/>
        <w:jc w:val="both"/>
        <w:textAlignment w:val="center"/>
        <w:rPr>
          <w:rFonts w:ascii="Garamond" w:hAnsi="Garamond"/>
          <w:i/>
          <w:sz w:val="24"/>
          <w:szCs w:val="24"/>
        </w:rPr>
      </w:pPr>
      <w:r w:rsidRPr="00C72730">
        <w:rPr>
          <w:rFonts w:ascii="Garamond" w:hAnsi="Garamond"/>
          <w:i/>
          <w:sz w:val="24"/>
          <w:szCs w:val="24"/>
        </w:rPr>
        <w:t xml:space="preserve">[H9] </w:t>
      </w:r>
      <w:r w:rsidRPr="00C72730">
        <w:rPr>
          <w:rFonts w:ascii="Garamond" w:eastAsia="Times New Roman" w:hAnsi="Garamond" w:cs="Times New Roman"/>
          <w:i/>
          <w:iCs/>
          <w:sz w:val="24"/>
          <w:szCs w:val="24"/>
          <w:lang w:eastAsia="en-GB"/>
        </w:rPr>
        <w:t>Reformists and remain Conservatives would be more inclined towards voting for May, and rejectionist and Brexit Conservatives would be more inclined towards voting for either Leadsom or Gove.</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1F5A07" w:rsidP="00DC066F">
      <w:pPr>
        <w:shd w:val="clear" w:color="auto" w:fill="FFFFFF"/>
        <w:spacing w:after="0" w:line="360" w:lineRule="auto"/>
        <w:jc w:val="both"/>
        <w:textAlignment w:val="center"/>
        <w:outlineLvl w:val="0"/>
        <w:rPr>
          <w:rFonts w:ascii="Calibri" w:eastAsia="Times New Roman" w:hAnsi="Calibri" w:cs="Times New Roman"/>
          <w:b/>
          <w:sz w:val="24"/>
          <w:szCs w:val="24"/>
          <w:lang w:eastAsia="en-GB"/>
        </w:rPr>
      </w:pPr>
      <w:r w:rsidRPr="00C72730">
        <w:rPr>
          <w:rFonts w:ascii="Garamond" w:eastAsia="Times New Roman" w:hAnsi="Garamond" w:cs="Times New Roman"/>
          <w:b/>
          <w:sz w:val="24"/>
          <w:szCs w:val="24"/>
          <w:lang w:eastAsia="en-GB"/>
        </w:rPr>
        <w:t xml:space="preserve">2. </w:t>
      </w:r>
      <w:r w:rsidR="00A55E86" w:rsidRPr="00C72730">
        <w:rPr>
          <w:rFonts w:ascii="Garamond" w:eastAsia="Times New Roman" w:hAnsi="Garamond" w:cs="Times New Roman"/>
          <w:b/>
          <w:sz w:val="24"/>
          <w:szCs w:val="24"/>
          <w:lang w:eastAsia="en-GB"/>
        </w:rPr>
        <w:t xml:space="preserve">Data Collection and Coding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i/>
          <w:iCs/>
          <w:sz w:val="24"/>
          <w:szCs w:val="24"/>
          <w:lang w:eastAsia="en-GB"/>
        </w:rPr>
        <w:t> </w:t>
      </w:r>
      <w:r w:rsidRPr="00C72730">
        <w:rPr>
          <w:rFonts w:ascii="Garamond" w:eastAsia="Times New Roman" w:hAnsi="Garamond" w:cs="Times New Roman"/>
          <w:sz w:val="24"/>
          <w:szCs w:val="24"/>
          <w:lang w:eastAsia="en-GB"/>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hAnsi="Garamond"/>
          <w:sz w:val="24"/>
          <w:szCs w:val="24"/>
        </w:rPr>
        <w:t xml:space="preserve">In this second section of the paper we outline how our data was collected and our methods of assessment. We needed to establish who voted for each candidate in order to test our various </w:t>
      </w:r>
      <w:r w:rsidRPr="00C72730">
        <w:rPr>
          <w:rFonts w:ascii="Garamond" w:eastAsia="Times New Roman" w:hAnsi="Garamond" w:cs="Times New Roman"/>
          <w:sz w:val="24"/>
          <w:szCs w:val="24"/>
          <w:lang w:eastAsia="en-GB"/>
        </w:rPr>
        <w:lastRenderedPageBreak/>
        <w:t xml:space="preserve">social, political and ideological hypotheses. In terms of our data collection and collation we sought guidance from the work of others who have tested </w:t>
      </w:r>
      <w:r w:rsidR="00B50CE0">
        <w:rPr>
          <w:rFonts w:ascii="Garamond" w:eastAsia="Times New Roman" w:hAnsi="Garamond" w:cs="Times New Roman"/>
          <w:sz w:val="24"/>
          <w:szCs w:val="24"/>
          <w:lang w:eastAsia="en-GB"/>
        </w:rPr>
        <w:t>such</w:t>
      </w:r>
      <w:r w:rsidRPr="00C72730">
        <w:rPr>
          <w:rFonts w:ascii="Garamond" w:eastAsia="Times New Roman" w:hAnsi="Garamond" w:cs="Times New Roman"/>
          <w:sz w:val="24"/>
          <w:szCs w:val="24"/>
          <w:lang w:eastAsia="en-GB"/>
        </w:rPr>
        <w:t xml:space="preserve"> variables amongst members of the </w:t>
      </w:r>
      <w:proofErr w:type="gramStart"/>
      <w:r w:rsidRPr="00C72730">
        <w:rPr>
          <w:rFonts w:ascii="Garamond" w:eastAsia="Times New Roman" w:hAnsi="Garamond" w:cs="Times New Roman"/>
          <w:sz w:val="24"/>
          <w:szCs w:val="24"/>
          <w:lang w:eastAsia="en-GB"/>
        </w:rPr>
        <w:t xml:space="preserve">PCP  </w:t>
      </w:r>
      <w:r w:rsidR="00B50CE0">
        <w:rPr>
          <w:rFonts w:ascii="Garamond" w:eastAsia="Times New Roman" w:hAnsi="Garamond" w:cs="Times New Roman"/>
          <w:sz w:val="24"/>
          <w:szCs w:val="24"/>
          <w:lang w:eastAsia="en-GB"/>
        </w:rPr>
        <w:t>(</w:t>
      </w:r>
      <w:proofErr w:type="gramEnd"/>
      <w:r w:rsidRPr="00C72730">
        <w:rPr>
          <w:rFonts w:ascii="Garamond" w:eastAsia="Times New Roman" w:hAnsi="Garamond" w:cs="Times New Roman"/>
          <w:sz w:val="24"/>
          <w:szCs w:val="24"/>
          <w:lang w:eastAsia="en-GB"/>
        </w:rPr>
        <w:t xml:space="preserve">see for example,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 1998;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Bailey, 2000; Heppell and Crin</w:t>
      </w:r>
      <w:r w:rsidR="003337A8" w:rsidRPr="00C72730">
        <w:rPr>
          <w:rFonts w:ascii="Garamond" w:eastAsia="Times New Roman" w:hAnsi="Garamond" w:cs="Times New Roman"/>
          <w:sz w:val="24"/>
          <w:szCs w:val="24"/>
          <w:lang w:eastAsia="en-GB"/>
        </w:rPr>
        <w:t>es, 2016</w:t>
      </w:r>
      <w:r w:rsidR="008714DC" w:rsidRPr="00C72730">
        <w:rPr>
          <w:rFonts w:ascii="Garamond" w:eastAsia="Times New Roman" w:hAnsi="Garamond" w:cs="Times New Roman"/>
          <w:sz w:val="24"/>
          <w:szCs w:val="24"/>
          <w:lang w:eastAsia="en-GB"/>
        </w:rPr>
        <w:t>; Heppell, Crines and Jeffery, 2017</w:t>
      </w:r>
      <w:r w:rsidR="00B50CE0">
        <w:rPr>
          <w:rFonts w:ascii="Garamond" w:eastAsia="Times New Roman" w:hAnsi="Garamond" w:cs="Times New Roman"/>
          <w:sz w:val="24"/>
          <w:szCs w:val="24"/>
          <w:lang w:eastAsia="en-GB"/>
        </w:rPr>
        <w:t>)</w:t>
      </w:r>
      <w:r w:rsidR="008714DC" w:rsidRPr="00C72730">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To ensure methodological rigour in terms of our ideological categorisation we extend the approaches of Norton, 1990; Heppell, 2002, 2013, and Heppell and Hill, 2008, 2009 and 2010 – i.e. positioning via division lists, membership of party groups and public comments.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The viability of the research is dependent upon our ability to construct an accurate data set of the voting behaviour of Conservative parliamentarians in the second ballot. This is challenging as party leadership ballots are anonymous. We relied on public declarations of support for a candidate, typically made through personal websites, social media, and articles/interviews in the mainstream media. In addition we cross-checked these against the various lists of declared supporters compiled by media organisations as the contest unfolded, principally the BBC and broadsheet newspapers such as </w:t>
      </w:r>
      <w:r w:rsidRPr="00C72730">
        <w:rPr>
          <w:rFonts w:ascii="Garamond" w:eastAsia="Times New Roman" w:hAnsi="Garamond" w:cs="Times New Roman"/>
          <w:i/>
          <w:iCs/>
          <w:sz w:val="24"/>
          <w:szCs w:val="24"/>
          <w:lang w:eastAsia="en-GB"/>
        </w:rPr>
        <w:t xml:space="preserve">The Times </w:t>
      </w:r>
      <w:r w:rsidRPr="00C72730">
        <w:rPr>
          <w:rFonts w:ascii="Garamond" w:eastAsia="Times New Roman" w:hAnsi="Garamond" w:cs="Times New Roman"/>
          <w:sz w:val="24"/>
          <w:szCs w:val="24"/>
          <w:lang w:eastAsia="en-GB"/>
        </w:rPr>
        <w:t xml:space="preserve">and </w:t>
      </w:r>
      <w:r w:rsidRPr="00C72730">
        <w:rPr>
          <w:rFonts w:ascii="Garamond" w:eastAsia="Times New Roman" w:hAnsi="Garamond" w:cs="Times New Roman"/>
          <w:i/>
          <w:iCs/>
          <w:sz w:val="24"/>
          <w:szCs w:val="24"/>
          <w:lang w:eastAsia="en-GB"/>
        </w:rPr>
        <w:t xml:space="preserve">The Guardian.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This approach carries with it </w:t>
      </w:r>
      <w:r w:rsidR="00B50CE0">
        <w:rPr>
          <w:rFonts w:ascii="Garamond" w:eastAsia="Times New Roman" w:hAnsi="Garamond" w:cs="Times New Roman"/>
          <w:sz w:val="24"/>
          <w:szCs w:val="24"/>
          <w:lang w:eastAsia="en-GB"/>
        </w:rPr>
        <w:t>concerns</w:t>
      </w:r>
      <w:r w:rsidRPr="00C72730">
        <w:rPr>
          <w:rFonts w:ascii="Garamond" w:eastAsia="Times New Roman" w:hAnsi="Garamond" w:cs="Times New Roman"/>
          <w:sz w:val="24"/>
          <w:szCs w:val="24"/>
          <w:lang w:eastAsia="en-GB"/>
        </w:rPr>
        <w:t xml:space="preserve"> about accuracy. First, it is quite possible for an MP to publicly declare for one candidate, and then vote for another in the privacy of the polling booth. However, the numbers of declared supporters we identified for each candidate – May 194 out of 199; Leadsom 71 out of 84; and Gove 29 out of 46 – are lower than the actual number of votes cast for each. This suggests that any false declarations have not been a major factor in the contest. Second, it was also possible for an MP to declare after the ballot that they voted for a different candidate than they actually did. For example, on seeing the size of her lead ambitious Conservatives may have chosen to claim they voted for May to ingratiate themselves with the likely victor. However, the number of individuals declaring afterwards was very small, and we discounted such declarations (similarly on Brexit, only positions declared before the referendum result was known have been recorded). Overall, our approach is methodologically robust and we have an accurate dataset covering the bulk of the </w:t>
      </w:r>
      <w:proofErr w:type="spellStart"/>
      <w:r w:rsidRPr="00C72730">
        <w:rPr>
          <w:rFonts w:ascii="Garamond" w:eastAsia="Times New Roman" w:hAnsi="Garamond" w:cs="Times New Roman"/>
          <w:sz w:val="24"/>
          <w:szCs w:val="24"/>
          <w:lang w:eastAsia="en-GB"/>
        </w:rPr>
        <w:t>selectorate</w:t>
      </w:r>
      <w:proofErr w:type="spellEnd"/>
      <w:r w:rsidRPr="00C72730">
        <w:rPr>
          <w:rFonts w:ascii="Garamond" w:eastAsia="Times New Roman" w:hAnsi="Garamond" w:cs="Times New Roman"/>
          <w:sz w:val="24"/>
          <w:szCs w:val="24"/>
          <w:lang w:eastAsia="en-GB"/>
        </w:rPr>
        <w:t xml:space="preserve">, with only a small number of Conservative parliamentarians classified as undeclared – i.e. we identified 294 out of 329 votes cast, so we had 35 missing plus one abstention (Cameron). We have identified the voting behaviour of 89.3 percent of the 2016 PCP – this is broadly comparable with </w:t>
      </w:r>
      <w:proofErr w:type="spellStart"/>
      <w:r w:rsidRPr="00C72730">
        <w:rPr>
          <w:rFonts w:ascii="Garamond" w:eastAsia="Times New Roman" w:hAnsi="Garamond" w:cs="Times New Roman"/>
          <w:sz w:val="24"/>
          <w:szCs w:val="24"/>
          <w:lang w:eastAsia="en-GB"/>
        </w:rPr>
        <w:t>Cowley</w:t>
      </w:r>
      <w:proofErr w:type="spellEnd"/>
      <w:r w:rsidRPr="00C72730">
        <w:rPr>
          <w:rFonts w:ascii="Garamond" w:eastAsia="Times New Roman" w:hAnsi="Garamond" w:cs="Times New Roman"/>
          <w:sz w:val="24"/>
          <w:szCs w:val="24"/>
          <w:lang w:eastAsia="en-GB"/>
        </w:rPr>
        <w:t xml:space="preserve"> and Garry’s (1998, p. 483) data on the 1990 leadership election (90.8 percent).</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lastRenderedPageBreak/>
        <w:t xml:space="preserve">Of the nine variables that we wanted to test, distinguishing Conservative parliamentarians by gender requires no </w:t>
      </w:r>
      <w:r w:rsidR="009B3448" w:rsidRPr="00C72730">
        <w:rPr>
          <w:rFonts w:ascii="Garamond" w:eastAsia="Times New Roman" w:hAnsi="Garamond" w:cs="Times New Roman"/>
          <w:sz w:val="24"/>
          <w:szCs w:val="24"/>
          <w:lang w:eastAsia="en-GB"/>
        </w:rPr>
        <w:t>explanation. With regard to</w:t>
      </w:r>
      <w:r w:rsidRPr="00C72730">
        <w:rPr>
          <w:rFonts w:ascii="Garamond" w:eastAsia="Times New Roman" w:hAnsi="Garamond" w:cs="Times New Roman"/>
          <w:sz w:val="24"/>
          <w:szCs w:val="24"/>
          <w:lang w:eastAsia="en-GB"/>
        </w:rPr>
        <w:t xml:space="preserve"> education (both school and university), experience (year of entry), constituency marginality </w:t>
      </w:r>
      <w:r w:rsidR="00AF6624" w:rsidRPr="00C72730">
        <w:rPr>
          <w:rFonts w:ascii="Garamond" w:eastAsia="Times New Roman" w:hAnsi="Garamond" w:cs="Times New Roman"/>
          <w:sz w:val="24"/>
          <w:szCs w:val="24"/>
          <w:lang w:eastAsia="en-GB"/>
        </w:rPr>
        <w:t>and UKIP vote share, as well as</w:t>
      </w:r>
      <w:r w:rsidRPr="00C72730">
        <w:rPr>
          <w:rFonts w:ascii="Garamond" w:eastAsia="Times New Roman" w:hAnsi="Garamond" w:cs="Times New Roman"/>
          <w:sz w:val="24"/>
          <w:szCs w:val="24"/>
          <w:lang w:eastAsia="en-GB"/>
        </w:rPr>
        <w:t xml:space="preserve"> ministerial career (or not), we collected this information from, first, the UK Parliament website which contains profiles for each parliamentarian (see </w:t>
      </w:r>
      <w:hyperlink r:id="rId9" w:history="1">
        <w:r w:rsidRPr="00C72730">
          <w:rPr>
            <w:rStyle w:val="Hyperlink"/>
            <w:rFonts w:ascii="Garamond" w:eastAsia="Times New Roman" w:hAnsi="Garamond" w:cs="Times New Roman"/>
            <w:color w:val="auto"/>
            <w:sz w:val="24"/>
            <w:szCs w:val="24"/>
            <w:lang w:eastAsia="en-GB"/>
          </w:rPr>
          <w:t>http://www.parliament.uk/mps-lords-and-offices/mps/</w:t>
        </w:r>
      </w:hyperlink>
      <w:r w:rsidRPr="00C72730">
        <w:rPr>
          <w:rFonts w:ascii="Garamond" w:eastAsia="Times New Roman" w:hAnsi="Garamond" w:cs="Times New Roman"/>
          <w:sz w:val="24"/>
          <w:szCs w:val="24"/>
          <w:u w:val="single"/>
          <w:lang w:eastAsia="en-GB"/>
        </w:rPr>
        <w:t>)</w:t>
      </w:r>
      <w:r w:rsidRPr="00C72730">
        <w:rPr>
          <w:rFonts w:ascii="Garamond" w:eastAsia="Times New Roman" w:hAnsi="Garamond" w:cs="Times New Roman"/>
          <w:sz w:val="24"/>
          <w:szCs w:val="24"/>
          <w:lang w:eastAsia="en-GB"/>
        </w:rPr>
        <w:t xml:space="preserve">, and, second, from the </w:t>
      </w:r>
      <w:proofErr w:type="spellStart"/>
      <w:r w:rsidRPr="00C72730">
        <w:rPr>
          <w:rFonts w:ascii="Garamond" w:eastAsia="Times New Roman" w:hAnsi="Garamond" w:cs="Times New Roman"/>
          <w:sz w:val="24"/>
          <w:szCs w:val="24"/>
          <w:lang w:eastAsia="en-GB"/>
        </w:rPr>
        <w:t>Dods</w:t>
      </w:r>
      <w:proofErr w:type="spellEnd"/>
      <w:r w:rsidRPr="00C72730">
        <w:rPr>
          <w:rFonts w:ascii="Garamond" w:eastAsia="Times New Roman" w:hAnsi="Garamond" w:cs="Times New Roman"/>
          <w:sz w:val="24"/>
          <w:szCs w:val="24"/>
          <w:lang w:eastAsia="en-GB"/>
        </w:rPr>
        <w:t xml:space="preserve"> Parliamentary Companion 2016. </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With respect to our coding for education we differentiated via four types of school – home educated, state, grammar and private – and for university we differentiated according to the following six types – did not attend university; attended a post-1992 university; attended a pre-1992 university (excluding Russell Group); attended a Russell Group university; attended Oxbridge; attended a private university. The insider/outside distinction was coded as follows: first, being a minister at the time of </w:t>
      </w:r>
      <w:r w:rsidR="00B50CE0">
        <w:rPr>
          <w:rFonts w:ascii="Garamond" w:eastAsia="Times New Roman" w:hAnsi="Garamond" w:cs="Times New Roman"/>
          <w:sz w:val="24"/>
          <w:szCs w:val="24"/>
          <w:lang w:eastAsia="en-GB"/>
        </w:rPr>
        <w:t xml:space="preserve">the </w:t>
      </w:r>
      <w:r w:rsidRPr="00C72730">
        <w:rPr>
          <w:rFonts w:ascii="Garamond" w:eastAsia="Times New Roman" w:hAnsi="Garamond" w:cs="Times New Roman"/>
          <w:sz w:val="24"/>
          <w:szCs w:val="24"/>
          <w:lang w:eastAsia="en-GB"/>
        </w:rPr>
        <w:t xml:space="preserve">leadership election; second, ex-minister or what could be defined as the dispossessed; and finally, the never possessed grouping of career backbenchers, which may include long standing figures, but also included all of the new entrants in 2015. </w:t>
      </w:r>
      <w:r w:rsidR="007D21B2" w:rsidRPr="00C72730">
        <w:rPr>
          <w:rFonts w:ascii="Garamond" w:eastAsia="Times New Roman" w:hAnsi="Garamond" w:cs="Times New Roman"/>
          <w:sz w:val="24"/>
          <w:szCs w:val="24"/>
          <w:lang w:eastAsia="en-GB"/>
        </w:rPr>
        <w:t>Both electoral marginality and percentage vote share achieved by UKIP within each Conservative constituency were continuous variables.</w:t>
      </w:r>
    </w:p>
    <w:p w:rsidR="007D21B2" w:rsidRPr="00C72730" w:rsidRDefault="007D21B2"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For our ideologically based hypotheses we coded as follows. With regard to the socially liberal/ conservative distinction we used the legislation on same sex marriage as our determinant. Those who voted for the legislation (and thus endorsed </w:t>
      </w:r>
      <w:proofErr w:type="spellStart"/>
      <w:r w:rsidRPr="00C72730">
        <w:rPr>
          <w:rFonts w:ascii="Garamond" w:eastAsia="Times New Roman" w:hAnsi="Garamond" w:cs="Times New Roman"/>
          <w:sz w:val="24"/>
          <w:szCs w:val="24"/>
          <w:lang w:eastAsia="en-GB"/>
        </w:rPr>
        <w:t>Cameronite</w:t>
      </w:r>
      <w:proofErr w:type="spellEnd"/>
      <w:r w:rsidRPr="00C72730">
        <w:rPr>
          <w:rFonts w:ascii="Garamond" w:eastAsia="Times New Roman" w:hAnsi="Garamond" w:cs="Times New Roman"/>
          <w:sz w:val="24"/>
          <w:szCs w:val="24"/>
          <w:lang w:eastAsia="en-GB"/>
        </w:rPr>
        <w:t xml:space="preserve"> modernisation) were defined as socially liberal</w:t>
      </w:r>
      <w:r w:rsidR="005964C9">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those who abstained were defined as agnostic</w:t>
      </w:r>
      <w:r w:rsidR="005964C9">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and those who voted against were defined as socially conservative. The division lists utilised were from the votes on the second and third readings of the Marriage (Same Sex Couple) Bill on 5 February and 21 May 2013. This approach enabled us to position those who had been members of the 2010 to 2015 PCP. </w:t>
      </w:r>
      <w:r w:rsidRPr="00C72730">
        <w:rPr>
          <w:rFonts w:ascii="Calibri" w:eastAsia="Times New Roman" w:hAnsi="Calibri" w:cs="Times New Roman"/>
          <w:sz w:val="24"/>
          <w:szCs w:val="24"/>
          <w:lang w:eastAsia="en-GB"/>
        </w:rPr>
        <w:t xml:space="preserve"> </w:t>
      </w:r>
      <w:r w:rsidRPr="00C72730">
        <w:rPr>
          <w:rFonts w:ascii="Garamond" w:eastAsia="Times New Roman" w:hAnsi="Garamond" w:cs="Times New Roman"/>
          <w:sz w:val="24"/>
          <w:szCs w:val="24"/>
          <w:lang w:eastAsia="en-GB"/>
        </w:rPr>
        <w:t xml:space="preserve">For those who entered Parliament after that vote, public declarations on constituency websites, parliamentary statements in Hansard, and social media activity have been used to determine their attitude towards the same determinate variable </w:t>
      </w:r>
      <w:r w:rsidRPr="00C72730">
        <w:rPr>
          <w:rFonts w:ascii="Garamond" w:eastAsia="Times New Roman" w:hAnsi="Garamond" w:cs="Times New Roman"/>
          <w:i/>
          <w:iCs/>
          <w:sz w:val="24"/>
          <w:szCs w:val="24"/>
          <w:lang w:eastAsia="en-GB"/>
        </w:rPr>
        <w:t xml:space="preserve">vis-à-vis </w:t>
      </w:r>
      <w:r w:rsidRPr="00C72730">
        <w:rPr>
          <w:rFonts w:ascii="Garamond" w:eastAsia="Times New Roman" w:hAnsi="Garamond" w:cs="Times New Roman"/>
          <w:sz w:val="24"/>
          <w:szCs w:val="24"/>
          <w:lang w:eastAsia="en-GB"/>
        </w:rPr>
        <w:t>same sex marriage. For our European policy divide we identified those who voted remai</w:t>
      </w:r>
      <w:r w:rsidR="008D3336" w:rsidRPr="00C72730">
        <w:rPr>
          <w:rFonts w:ascii="Garamond" w:eastAsia="Times New Roman" w:hAnsi="Garamond" w:cs="Times New Roman"/>
          <w:sz w:val="24"/>
          <w:szCs w:val="24"/>
          <w:lang w:eastAsia="en-GB"/>
        </w:rPr>
        <w:t>n or leave in the EU</w:t>
      </w:r>
      <w:r w:rsidRPr="00C72730">
        <w:rPr>
          <w:rFonts w:ascii="Garamond" w:eastAsia="Times New Roman" w:hAnsi="Garamond" w:cs="Times New Roman"/>
          <w:sz w:val="24"/>
          <w:szCs w:val="24"/>
          <w:lang w:eastAsia="en-GB"/>
        </w:rPr>
        <w:t xml:space="preserve"> referendum via the same methods as we used for determining who voted for who in the leadership election: i.e. public declarations made through social media (Twitter, Facebook, constituency webpages)</w:t>
      </w:r>
      <w:r w:rsidR="005964C9">
        <w:rPr>
          <w:rFonts w:ascii="Garamond" w:eastAsia="Times New Roman" w:hAnsi="Garamond" w:cs="Times New Roman"/>
          <w:sz w:val="24"/>
          <w:szCs w:val="24"/>
          <w:lang w:eastAsia="en-GB"/>
        </w:rPr>
        <w:t>. These were</w:t>
      </w:r>
      <w:r w:rsidRPr="00C72730">
        <w:rPr>
          <w:rFonts w:ascii="Garamond" w:eastAsia="Times New Roman" w:hAnsi="Garamond" w:cs="Times New Roman"/>
          <w:sz w:val="24"/>
          <w:szCs w:val="24"/>
          <w:lang w:eastAsia="en-GB"/>
        </w:rPr>
        <w:t xml:space="preserve"> cross referenced </w:t>
      </w:r>
      <w:r w:rsidR="005964C9">
        <w:rPr>
          <w:rFonts w:ascii="Garamond" w:eastAsia="Times New Roman" w:hAnsi="Garamond" w:cs="Times New Roman"/>
          <w:sz w:val="24"/>
          <w:szCs w:val="24"/>
          <w:lang w:eastAsia="en-GB"/>
        </w:rPr>
        <w:t>with</w:t>
      </w:r>
      <w:r w:rsidR="005964C9"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 xml:space="preserve">media articles and interviews, alongside declared lists of remain or leave supporters provided by the print media, </w:t>
      </w:r>
      <w:r w:rsidR="005964C9">
        <w:rPr>
          <w:rFonts w:ascii="Garamond" w:eastAsia="Times New Roman" w:hAnsi="Garamond" w:cs="Times New Roman"/>
          <w:sz w:val="24"/>
          <w:szCs w:val="24"/>
          <w:lang w:eastAsia="en-GB"/>
        </w:rPr>
        <w:t>and</w:t>
      </w:r>
      <w:r w:rsidR="005964C9"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 xml:space="preserve">statements made in Parliament on their intentions. On the basis of these methods we were able to identify the voting behaviour and thereby </w:t>
      </w:r>
      <w:r w:rsidRPr="00C72730">
        <w:rPr>
          <w:rFonts w:ascii="Garamond" w:eastAsia="Times New Roman" w:hAnsi="Garamond" w:cs="Times New Roman"/>
          <w:sz w:val="24"/>
          <w:szCs w:val="24"/>
          <w:lang w:eastAsia="en-GB"/>
        </w:rPr>
        <w:lastRenderedPageBreak/>
        <w:t>ideological position of the vast majority of the PCP. Those that we could not identify were recorded as undeclared.</w:t>
      </w:r>
    </w:p>
    <w:p w:rsidR="00EE324B" w:rsidRPr="00C72730" w:rsidRDefault="00EE324B"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C76CC3" w:rsidRPr="00C72730" w:rsidRDefault="00C76CC3"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A55E86" w:rsidRPr="00C72730" w:rsidRDefault="00DB7984" w:rsidP="00DC066F">
      <w:pPr>
        <w:shd w:val="clear" w:color="auto" w:fill="FFFFFF"/>
        <w:spacing w:after="0" w:line="360" w:lineRule="auto"/>
        <w:jc w:val="both"/>
        <w:textAlignment w:val="center"/>
        <w:outlineLvl w:val="0"/>
        <w:rPr>
          <w:rFonts w:ascii="Calibri" w:eastAsia="Times New Roman" w:hAnsi="Calibri" w:cs="Times New Roman"/>
          <w:b/>
          <w:sz w:val="24"/>
          <w:szCs w:val="24"/>
          <w:lang w:eastAsia="en-GB"/>
        </w:rPr>
      </w:pPr>
      <w:r w:rsidRPr="00C72730">
        <w:rPr>
          <w:rFonts w:ascii="Garamond" w:eastAsia="Times New Roman" w:hAnsi="Garamond" w:cs="Times New Roman"/>
          <w:b/>
          <w:sz w:val="24"/>
          <w:szCs w:val="24"/>
          <w:lang w:eastAsia="en-GB"/>
        </w:rPr>
        <w:t xml:space="preserve">3. </w:t>
      </w:r>
      <w:r w:rsidR="00A55E86" w:rsidRPr="00C72730">
        <w:rPr>
          <w:rFonts w:ascii="Garamond" w:eastAsia="Times New Roman" w:hAnsi="Garamond" w:cs="Times New Roman"/>
          <w:b/>
          <w:sz w:val="24"/>
          <w:szCs w:val="24"/>
          <w:lang w:eastAsia="en-GB"/>
        </w:rPr>
        <w:t>Research Findings</w:t>
      </w:r>
    </w:p>
    <w:p w:rsidR="00A55E86" w:rsidRPr="00C72730" w:rsidRDefault="00A55E86" w:rsidP="00DC066F">
      <w:pPr>
        <w:shd w:val="clear" w:color="auto" w:fill="FFFFFF"/>
        <w:spacing w:after="0" w:line="360" w:lineRule="auto"/>
        <w:jc w:val="both"/>
        <w:textAlignment w:val="center"/>
        <w:rPr>
          <w:rFonts w:ascii="Calibri" w:eastAsia="Times New Roman" w:hAnsi="Calibri" w:cs="Times New Roman"/>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Table </w:t>
      </w:r>
      <w:proofErr w:type="gramStart"/>
      <w:r w:rsidR="00DB7984" w:rsidRPr="00C72730">
        <w:rPr>
          <w:rFonts w:ascii="Garamond" w:eastAsia="Times New Roman" w:hAnsi="Garamond" w:cs="Times New Roman"/>
          <w:sz w:val="24"/>
          <w:szCs w:val="24"/>
          <w:lang w:eastAsia="en-GB"/>
        </w:rPr>
        <w:t>O</w:t>
      </w:r>
      <w:r w:rsidRPr="00C72730">
        <w:rPr>
          <w:rFonts w:ascii="Garamond" w:eastAsia="Times New Roman" w:hAnsi="Garamond" w:cs="Times New Roman"/>
          <w:sz w:val="24"/>
          <w:szCs w:val="24"/>
          <w:lang w:eastAsia="en-GB"/>
        </w:rPr>
        <w:t>ne</w:t>
      </w:r>
      <w:proofErr w:type="gramEnd"/>
      <w:r w:rsidRPr="00C72730">
        <w:rPr>
          <w:rFonts w:ascii="Garamond" w:eastAsia="Times New Roman" w:hAnsi="Garamond" w:cs="Times New Roman"/>
          <w:sz w:val="24"/>
          <w:szCs w:val="24"/>
          <w:lang w:eastAsia="en-GB"/>
        </w:rPr>
        <w:t xml:space="preserve"> reports at the basic level of descriptive statistics the pattern of voting with regard to all of candidates and all</w:t>
      </w:r>
      <w:r w:rsidR="00E77478" w:rsidRPr="00C72730">
        <w:rPr>
          <w:rFonts w:ascii="Garamond" w:eastAsia="Times New Roman" w:hAnsi="Garamond" w:cs="Times New Roman"/>
          <w:sz w:val="24"/>
          <w:szCs w:val="24"/>
          <w:lang w:eastAsia="en-GB"/>
        </w:rPr>
        <w:t xml:space="preserve"> categorical </w:t>
      </w:r>
      <w:r w:rsidRPr="00C72730">
        <w:rPr>
          <w:rFonts w:ascii="Garamond" w:eastAsia="Times New Roman" w:hAnsi="Garamond" w:cs="Times New Roman"/>
          <w:sz w:val="24"/>
          <w:szCs w:val="24"/>
          <w:lang w:eastAsia="en-GB"/>
        </w:rPr>
        <w:t xml:space="preserve">variables that we were considering. Table </w:t>
      </w:r>
      <w:r w:rsidR="00DB7984" w:rsidRPr="00C72730">
        <w:rPr>
          <w:rFonts w:ascii="Garamond" w:eastAsia="Times New Roman" w:hAnsi="Garamond" w:cs="Times New Roman"/>
          <w:sz w:val="24"/>
          <w:szCs w:val="24"/>
          <w:lang w:eastAsia="en-GB"/>
        </w:rPr>
        <w:t>T</w:t>
      </w:r>
      <w:r w:rsidRPr="00C72730">
        <w:rPr>
          <w:rFonts w:ascii="Garamond" w:eastAsia="Times New Roman" w:hAnsi="Garamond" w:cs="Times New Roman"/>
          <w:sz w:val="24"/>
          <w:szCs w:val="24"/>
          <w:lang w:eastAsia="en-GB"/>
        </w:rPr>
        <w:t xml:space="preserve">wo shows the output for three logistic regression models, showing the relationship between the odds of supporting each candidate and the independent variables outlined above when holding all other variables constant. Both tables relate to the 294 Conservative parliamentarians whose voting position we were able to determine, and exclude the small number of undeclared or abstaining. </w:t>
      </w:r>
    </w:p>
    <w:p w:rsidR="009B3448" w:rsidRPr="00C72730" w:rsidRDefault="009B3448" w:rsidP="00DC066F">
      <w:pPr>
        <w:shd w:val="clear" w:color="auto" w:fill="FFFFFF"/>
        <w:spacing w:after="0" w:line="360" w:lineRule="auto"/>
        <w:jc w:val="both"/>
        <w:textAlignment w:val="center"/>
        <w:rPr>
          <w:rFonts w:ascii="Garamond" w:eastAsia="Times New Roman" w:hAnsi="Garamond" w:cs="Times New Roman"/>
          <w:sz w:val="24"/>
          <w:szCs w:val="24"/>
          <w:lang w:eastAsia="en-GB"/>
        </w:rPr>
      </w:pPr>
    </w:p>
    <w:p w:rsidR="009B3448" w:rsidRPr="00C72730" w:rsidRDefault="009B3448" w:rsidP="00DC066F">
      <w:pPr>
        <w:spacing w:after="100" w:afterAutospacing="1" w:line="240" w:lineRule="auto"/>
        <w:contextualSpacing/>
        <w:jc w:val="center"/>
        <w:outlineLvl w:val="0"/>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Table One:</w:t>
      </w:r>
    </w:p>
    <w:p w:rsidR="009B3448" w:rsidRPr="00C72730" w:rsidRDefault="009B3448" w:rsidP="00DC066F">
      <w:pPr>
        <w:spacing w:after="100" w:afterAutospacing="1" w:line="240" w:lineRule="auto"/>
        <w:contextualSpacing/>
        <w:jc w:val="center"/>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 xml:space="preserve">Voting in the Second Parliamentary Ballot of the Leadership Election of 2016: </w:t>
      </w:r>
    </w:p>
    <w:p w:rsidR="009B3448" w:rsidRPr="00C72730" w:rsidRDefault="009B3448" w:rsidP="00DC066F">
      <w:pPr>
        <w:spacing w:after="100" w:afterAutospacing="1" w:line="240" w:lineRule="auto"/>
        <w:contextualSpacing/>
        <w:jc w:val="center"/>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Categorical Social, Political and Ideological Determinants</w:t>
      </w:r>
    </w:p>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 xml:space="preserve">                                     </w:t>
      </w:r>
    </w:p>
    <w:tbl>
      <w:tblPr>
        <w:tblpPr w:leftFromText="180" w:rightFromText="180" w:vertAnchor="text" w:tblpXSpec="center" w:tblpY="1"/>
        <w:tblOverlap w:val="never"/>
        <w:tblW w:w="8010" w:type="dxa"/>
        <w:tblLayout w:type="fixed"/>
        <w:tblLook w:val="04A0" w:firstRow="1" w:lastRow="0" w:firstColumn="1" w:lastColumn="0" w:noHBand="0" w:noVBand="1"/>
      </w:tblPr>
      <w:tblGrid>
        <w:gridCol w:w="1608"/>
        <w:gridCol w:w="1596"/>
        <w:gridCol w:w="1597"/>
        <w:gridCol w:w="1596"/>
        <w:gridCol w:w="1597"/>
        <w:gridCol w:w="16"/>
      </w:tblGrid>
      <w:tr w:rsidR="00C72730" w:rsidRPr="00C72730" w:rsidTr="009B3448">
        <w:trPr>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6406" w:type="dxa"/>
            <w:gridSpan w:val="5"/>
            <w:noWrap/>
            <w:vAlign w:val="bottom"/>
          </w:tcPr>
          <w:p w:rsidR="009B3448" w:rsidRPr="00C72730" w:rsidRDefault="009B3448" w:rsidP="00DC066F">
            <w:pPr>
              <w:spacing w:after="0" w:line="240" w:lineRule="auto"/>
              <w:jc w:val="center"/>
              <w:rPr>
                <w:rFonts w:ascii="Garamond" w:hAnsi="Garamond"/>
                <w:b/>
                <w:sz w:val="24"/>
                <w:szCs w:val="24"/>
                <w:lang w:val="en-US"/>
              </w:rPr>
            </w:pPr>
          </w:p>
        </w:tc>
      </w:tr>
      <w:tr w:rsidR="00C72730" w:rsidRPr="00C72730" w:rsidTr="009B3448">
        <w:trPr>
          <w:gridAfter w:val="1"/>
          <w:wAfter w:w="16" w:type="dxa"/>
          <w:trHeight w:val="102"/>
        </w:trPr>
        <w:tc>
          <w:tcPr>
            <w:tcW w:w="1608" w:type="dxa"/>
            <w:tcBorders>
              <w:top w:val="nil"/>
              <w:left w:val="nil"/>
              <w:bottom w:val="single" w:sz="4" w:space="0" w:color="auto"/>
              <w:right w:val="nil"/>
            </w:tcBorders>
            <w:noWrap/>
            <w:vAlign w:val="bottom"/>
            <w:hideMark/>
          </w:tcPr>
          <w:p w:rsidR="009B3448" w:rsidRPr="00C72730" w:rsidRDefault="009B3448" w:rsidP="00DC066F">
            <w:pPr>
              <w:spacing w:after="0" w:line="240" w:lineRule="auto"/>
              <w:rPr>
                <w:rFonts w:ascii="Garamond" w:hAnsi="Garamond"/>
                <w:b/>
                <w:sz w:val="24"/>
                <w:szCs w:val="24"/>
                <w:lang w:val="en-US"/>
              </w:rPr>
            </w:pPr>
            <w:r w:rsidRPr="00C72730">
              <w:rPr>
                <w:rFonts w:ascii="Garamond" w:hAnsi="Garamond"/>
                <w:b/>
                <w:sz w:val="24"/>
                <w:szCs w:val="24"/>
                <w:lang w:val="en-US"/>
              </w:rPr>
              <w:t>Variable</w:t>
            </w:r>
          </w:p>
        </w:tc>
        <w:tc>
          <w:tcPr>
            <w:tcW w:w="1597" w:type="dxa"/>
            <w:tcBorders>
              <w:top w:val="nil"/>
              <w:left w:val="nil"/>
              <w:bottom w:val="single" w:sz="4" w:space="0" w:color="auto"/>
              <w:right w:val="nil"/>
            </w:tcBorders>
            <w:noWrap/>
            <w:vAlign w:val="bottom"/>
            <w:hideMark/>
          </w:tcPr>
          <w:p w:rsidR="009B3448" w:rsidRPr="00C72730" w:rsidRDefault="009B3448" w:rsidP="00DC066F">
            <w:pPr>
              <w:spacing w:after="0" w:line="240" w:lineRule="auto"/>
              <w:jc w:val="center"/>
              <w:rPr>
                <w:rFonts w:ascii="Garamond" w:hAnsi="Garamond"/>
                <w:b/>
                <w:sz w:val="24"/>
                <w:szCs w:val="24"/>
                <w:lang w:val="en-US"/>
              </w:rPr>
            </w:pPr>
            <w:r w:rsidRPr="00C72730">
              <w:rPr>
                <w:rFonts w:ascii="Garamond" w:hAnsi="Garamond"/>
                <w:b/>
                <w:sz w:val="24"/>
                <w:szCs w:val="24"/>
                <w:lang w:val="en-US"/>
              </w:rPr>
              <w:t>May</w:t>
            </w:r>
          </w:p>
        </w:tc>
        <w:tc>
          <w:tcPr>
            <w:tcW w:w="1598" w:type="dxa"/>
            <w:tcBorders>
              <w:top w:val="nil"/>
              <w:left w:val="nil"/>
              <w:bottom w:val="single" w:sz="4" w:space="0" w:color="auto"/>
              <w:right w:val="nil"/>
            </w:tcBorders>
            <w:vAlign w:val="bottom"/>
            <w:hideMark/>
          </w:tcPr>
          <w:p w:rsidR="009B3448" w:rsidRPr="00C72730" w:rsidRDefault="009B3448" w:rsidP="00DC066F">
            <w:pPr>
              <w:spacing w:after="0" w:line="240" w:lineRule="auto"/>
              <w:jc w:val="center"/>
              <w:rPr>
                <w:rFonts w:ascii="Garamond" w:hAnsi="Garamond"/>
                <w:b/>
                <w:sz w:val="24"/>
                <w:szCs w:val="24"/>
                <w:lang w:val="en-US"/>
              </w:rPr>
            </w:pPr>
            <w:proofErr w:type="spellStart"/>
            <w:r w:rsidRPr="00C72730">
              <w:rPr>
                <w:rFonts w:ascii="Garamond" w:hAnsi="Garamond"/>
                <w:b/>
                <w:sz w:val="24"/>
                <w:szCs w:val="24"/>
                <w:lang w:val="en-US"/>
              </w:rPr>
              <w:t>Leadsom</w:t>
            </w:r>
            <w:proofErr w:type="spellEnd"/>
          </w:p>
        </w:tc>
        <w:tc>
          <w:tcPr>
            <w:tcW w:w="1597" w:type="dxa"/>
            <w:tcBorders>
              <w:top w:val="nil"/>
              <w:left w:val="nil"/>
              <w:bottom w:val="single" w:sz="4" w:space="0" w:color="auto"/>
              <w:right w:val="nil"/>
            </w:tcBorders>
            <w:vAlign w:val="bottom"/>
            <w:hideMark/>
          </w:tcPr>
          <w:p w:rsidR="009B3448" w:rsidRPr="00C72730" w:rsidRDefault="009B3448" w:rsidP="00DC066F">
            <w:pPr>
              <w:spacing w:after="0" w:line="240" w:lineRule="auto"/>
              <w:jc w:val="center"/>
              <w:rPr>
                <w:rFonts w:ascii="Garamond" w:hAnsi="Garamond"/>
                <w:b/>
                <w:sz w:val="24"/>
                <w:szCs w:val="24"/>
                <w:lang w:val="en-US"/>
              </w:rPr>
            </w:pPr>
            <w:r w:rsidRPr="00C72730">
              <w:rPr>
                <w:rFonts w:ascii="Garamond" w:hAnsi="Garamond"/>
                <w:b/>
                <w:sz w:val="24"/>
                <w:szCs w:val="24"/>
                <w:lang w:val="en-US"/>
              </w:rPr>
              <w:t>Gove</w:t>
            </w:r>
          </w:p>
        </w:tc>
        <w:tc>
          <w:tcPr>
            <w:tcW w:w="1598" w:type="dxa"/>
            <w:tcBorders>
              <w:top w:val="nil"/>
              <w:left w:val="nil"/>
              <w:bottom w:val="single" w:sz="4" w:space="0" w:color="auto"/>
              <w:right w:val="nil"/>
            </w:tcBorders>
            <w:hideMark/>
          </w:tcPr>
          <w:p w:rsidR="009B3448" w:rsidRPr="00C72730" w:rsidRDefault="009B3448" w:rsidP="00DC066F">
            <w:pPr>
              <w:spacing w:after="0" w:line="240" w:lineRule="auto"/>
              <w:jc w:val="center"/>
              <w:rPr>
                <w:rFonts w:ascii="Garamond" w:hAnsi="Garamond"/>
                <w:b/>
                <w:sz w:val="24"/>
                <w:szCs w:val="24"/>
                <w:lang w:val="en-US"/>
              </w:rPr>
            </w:pPr>
            <w:r w:rsidRPr="00C72730">
              <w:rPr>
                <w:rFonts w:ascii="Garamond" w:hAnsi="Garamond"/>
                <w:b/>
                <w:sz w:val="24"/>
                <w:szCs w:val="24"/>
                <w:lang w:val="en-US"/>
              </w:rPr>
              <w:t>Total</w:t>
            </w:r>
          </w:p>
        </w:tc>
      </w:tr>
      <w:tr w:rsidR="00C72730" w:rsidRPr="00C72730" w:rsidTr="009B3448">
        <w:trPr>
          <w:gridAfter w:val="1"/>
          <w:wAfter w:w="16" w:type="dxa"/>
          <w:trHeight w:val="102"/>
        </w:trPr>
        <w:tc>
          <w:tcPr>
            <w:tcW w:w="1608" w:type="dxa"/>
            <w:tcBorders>
              <w:top w:val="single" w:sz="4" w:space="0" w:color="auto"/>
              <w:left w:val="nil"/>
              <w:bottom w:val="nil"/>
              <w:right w:val="nil"/>
            </w:tcBorders>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tcBorders>
              <w:top w:val="single" w:sz="4" w:space="0" w:color="auto"/>
              <w:left w:val="nil"/>
              <w:bottom w:val="nil"/>
              <w:right w:val="nil"/>
            </w:tcBorders>
            <w:noWrap/>
            <w:vAlign w:val="bottom"/>
          </w:tcPr>
          <w:p w:rsidR="009B3448" w:rsidRPr="00C72730" w:rsidRDefault="009B3448" w:rsidP="00DC066F">
            <w:pPr>
              <w:spacing w:after="0" w:line="240" w:lineRule="auto"/>
              <w:jc w:val="center"/>
              <w:rPr>
                <w:rFonts w:ascii="Garamond" w:hAnsi="Garamond"/>
                <w:b/>
                <w:sz w:val="24"/>
                <w:szCs w:val="24"/>
                <w:lang w:val="en-US"/>
              </w:rPr>
            </w:pPr>
          </w:p>
        </w:tc>
        <w:tc>
          <w:tcPr>
            <w:tcW w:w="1598" w:type="dxa"/>
            <w:tcBorders>
              <w:top w:val="single" w:sz="4" w:space="0" w:color="auto"/>
              <w:left w:val="nil"/>
              <w:bottom w:val="nil"/>
              <w:right w:val="nil"/>
            </w:tcBorders>
            <w:vAlign w:val="bottom"/>
          </w:tcPr>
          <w:p w:rsidR="009B3448" w:rsidRPr="00C72730" w:rsidRDefault="009B3448" w:rsidP="00DC066F">
            <w:pPr>
              <w:spacing w:after="0" w:line="240" w:lineRule="auto"/>
              <w:jc w:val="center"/>
              <w:rPr>
                <w:rFonts w:ascii="Garamond" w:hAnsi="Garamond"/>
                <w:b/>
                <w:sz w:val="24"/>
                <w:szCs w:val="24"/>
                <w:lang w:val="en-US"/>
              </w:rPr>
            </w:pPr>
          </w:p>
        </w:tc>
        <w:tc>
          <w:tcPr>
            <w:tcW w:w="1597" w:type="dxa"/>
            <w:tcBorders>
              <w:top w:val="single" w:sz="4" w:space="0" w:color="auto"/>
              <w:left w:val="nil"/>
              <w:bottom w:val="nil"/>
              <w:right w:val="nil"/>
            </w:tcBorders>
            <w:vAlign w:val="bottom"/>
          </w:tcPr>
          <w:p w:rsidR="009B3448" w:rsidRPr="00C72730" w:rsidRDefault="009B3448" w:rsidP="00DC066F">
            <w:pPr>
              <w:spacing w:after="0" w:line="240" w:lineRule="auto"/>
              <w:jc w:val="center"/>
              <w:rPr>
                <w:rFonts w:ascii="Garamond" w:hAnsi="Garamond"/>
                <w:b/>
                <w:sz w:val="24"/>
                <w:szCs w:val="24"/>
                <w:lang w:val="en-US"/>
              </w:rPr>
            </w:pPr>
          </w:p>
        </w:tc>
        <w:tc>
          <w:tcPr>
            <w:tcW w:w="1598" w:type="dxa"/>
            <w:tcBorders>
              <w:top w:val="single" w:sz="4" w:space="0" w:color="auto"/>
              <w:left w:val="nil"/>
              <w:bottom w:val="nil"/>
              <w:right w:val="nil"/>
            </w:tcBorders>
          </w:tcPr>
          <w:p w:rsidR="009B3448" w:rsidRPr="00C72730" w:rsidRDefault="009B3448" w:rsidP="00DC066F">
            <w:pPr>
              <w:spacing w:after="0" w:line="240" w:lineRule="auto"/>
              <w:jc w:val="center"/>
              <w:rPr>
                <w:rFonts w:ascii="Garamond" w:hAnsi="Garamond"/>
                <w:b/>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Vote Share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194 (66.0%)</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71 (24.2%)</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29 (9.9%)</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294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b/>
                <w:sz w:val="24"/>
                <w:szCs w:val="24"/>
                <w:lang w:val="en-US"/>
              </w:rPr>
            </w:pPr>
            <w:r w:rsidRPr="00C72730">
              <w:rPr>
                <w:rFonts w:ascii="Garamond" w:hAnsi="Garamond"/>
                <w:b/>
                <w:sz w:val="24"/>
                <w:szCs w:val="24"/>
                <w:lang w:val="en-US"/>
              </w:rPr>
              <w:t>Social</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Gender</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Male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152 (64.7%)</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57 (24.3%)</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26 (11.0%)</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235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Female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42 (71.2%)</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14 (23.7%)</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 (5.1%)</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59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School</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Private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81 (65.3%)</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30 (24.2%)</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13 (10.5%)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124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Grammar</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56 (62.9%)</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24 (27.0%)</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9 (10.1%)</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89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State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56 (70.0%)</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17 (21.3%)</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7 (8.8%)</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80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Home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 (100%)</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0</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0</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University</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Oxbridge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61 (70.9%)</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15 (17.4%)</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10 (11.6%)</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86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Pre-1992</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42 (67.7%)</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14 (22.6%)</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 (9.7%)</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62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Post-1992</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(50.0%)</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6 (37.5%)</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 (12.5%)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16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Private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 (100%)</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 xml:space="preserve">0 </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0</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Russell Group</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63 (67.7%)</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23 (24.7%)</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7 (7.5%)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93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None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15 (46.9%)</w:t>
            </w:r>
          </w:p>
        </w:tc>
        <w:tc>
          <w:tcPr>
            <w:tcW w:w="1598" w:type="dxa"/>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13 (40.6%)</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4 (12.5%)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32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b/>
                <w:sz w:val="24"/>
                <w:szCs w:val="24"/>
                <w:lang w:val="en-US"/>
              </w:rPr>
            </w:pPr>
            <w:r w:rsidRPr="00C72730">
              <w:rPr>
                <w:rFonts w:ascii="Garamond" w:hAnsi="Garamond"/>
                <w:b/>
                <w:sz w:val="24"/>
                <w:szCs w:val="24"/>
                <w:lang w:val="en-US"/>
              </w:rPr>
              <w:lastRenderedPageBreak/>
              <w:t>Political</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3205" w:type="dxa"/>
            <w:gridSpan w:val="2"/>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Year of Entry [1]</w:t>
            </w: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Before 1997</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21 (63.6%)</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9 (27.8%)</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 (9.1%)</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33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bCs/>
                <w:sz w:val="24"/>
                <w:szCs w:val="24"/>
                <w:lang w:val="en-US"/>
              </w:rPr>
            </w:pPr>
            <w:r w:rsidRPr="00C72730">
              <w:rPr>
                <w:rFonts w:ascii="Garamond" w:hAnsi="Garamond"/>
                <w:bCs/>
                <w:sz w:val="24"/>
                <w:szCs w:val="24"/>
                <w:lang w:val="en-US"/>
              </w:rPr>
              <w:t>1997-2010</w:t>
            </w:r>
          </w:p>
        </w:tc>
        <w:tc>
          <w:tcPr>
            <w:tcW w:w="1597" w:type="dxa"/>
            <w:noWrap/>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46 (59.7%)</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19 (24.7%)</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12 (15.6%)</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77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2010-2015</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84 (68.3%)</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31 (25.2%)</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(6.5%)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123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2015</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43 (70.5%)</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12 (19.7%)</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 (9.8%)</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61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bCs/>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Minister</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Current</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69 (81.2%)</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(9.4%)</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(9.4%)</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85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Never</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102 (58.6%)</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57 (32.8%)</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15 (8.6%)</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174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Former</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23 (65.7%)</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 (17.1%)</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 (17.1%)</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35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b/>
                <w:sz w:val="24"/>
                <w:szCs w:val="24"/>
                <w:lang w:val="en-US"/>
              </w:rPr>
            </w:pPr>
            <w:r w:rsidRPr="00C72730">
              <w:rPr>
                <w:rFonts w:ascii="Garamond" w:hAnsi="Garamond"/>
                <w:b/>
                <w:sz w:val="24"/>
                <w:szCs w:val="24"/>
                <w:lang w:val="en-US"/>
              </w:rPr>
              <w:t>Ideological</w:t>
            </w: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7998" w:type="dxa"/>
            <w:gridSpan w:val="5"/>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Social Position (Gay Marriage)</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For</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100 (74.6%)</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20 (14.9%)</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14 (10.5%)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133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Against</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57 (54.3%)</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41 (39.1%)</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7 (6.7%)</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105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Abstain</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37 (67.3%)</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10 (18.2%)</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(14.6%)</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55 (100%)</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7998" w:type="dxa"/>
            <w:gridSpan w:val="5"/>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EU Referendum</w:t>
            </w:r>
          </w:p>
        </w:tc>
      </w:tr>
      <w:tr w:rsidR="00C72730" w:rsidRPr="00C72730" w:rsidTr="009B3448">
        <w:trPr>
          <w:gridAfter w:val="1"/>
          <w:wAfter w:w="16" w:type="dxa"/>
          <w:trHeight w:val="102"/>
        </w:trPr>
        <w:tc>
          <w:tcPr>
            <w:tcW w:w="1608" w:type="dxa"/>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Pr>
          <w:p w:rsidR="009B3448" w:rsidRPr="00C72730" w:rsidRDefault="009B3448" w:rsidP="00DC066F">
            <w:pPr>
              <w:spacing w:after="0" w:line="240" w:lineRule="auto"/>
              <w:jc w:val="right"/>
              <w:rPr>
                <w:rFonts w:ascii="Garamond" w:hAnsi="Garamond"/>
                <w:sz w:val="24"/>
                <w:szCs w:val="24"/>
                <w:lang w:val="en-US"/>
              </w:rPr>
            </w:pP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Leave</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44 (34.7%)</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62 (48.8%)</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21 (16.5%)</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127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bCs/>
                <w:sz w:val="24"/>
                <w:szCs w:val="24"/>
                <w:lang w:val="en-US"/>
              </w:rPr>
            </w:pPr>
            <w:r w:rsidRPr="00C72730">
              <w:rPr>
                <w:rFonts w:ascii="Garamond" w:hAnsi="Garamond"/>
                <w:bCs/>
                <w:sz w:val="24"/>
                <w:szCs w:val="24"/>
                <w:lang w:val="en-US"/>
              </w:rPr>
              <w:t>Remain</w:t>
            </w:r>
          </w:p>
        </w:tc>
        <w:tc>
          <w:tcPr>
            <w:tcW w:w="1597" w:type="dxa"/>
            <w:noWrap/>
            <w:vAlign w:val="bottom"/>
            <w:hideMark/>
          </w:tcPr>
          <w:p w:rsidR="009B3448" w:rsidRPr="00C72730" w:rsidRDefault="009B3448" w:rsidP="00DC066F">
            <w:pPr>
              <w:spacing w:after="0" w:line="240" w:lineRule="auto"/>
              <w:jc w:val="right"/>
              <w:rPr>
                <w:rFonts w:ascii="Garamond" w:hAnsi="Garamond"/>
                <w:bCs/>
                <w:sz w:val="24"/>
                <w:szCs w:val="24"/>
                <w:lang w:val="en-US"/>
              </w:rPr>
            </w:pPr>
            <w:r w:rsidRPr="00C72730">
              <w:rPr>
                <w:rFonts w:ascii="Garamond" w:hAnsi="Garamond"/>
                <w:bCs/>
                <w:sz w:val="24"/>
                <w:szCs w:val="24"/>
                <w:lang w:val="en-US"/>
              </w:rPr>
              <w:t>142 (91.0%)</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6 (3.9%)</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(5.1%)</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156 (100%)</w:t>
            </w:r>
          </w:p>
        </w:tc>
      </w:tr>
      <w:tr w:rsidR="00C72730" w:rsidRPr="00C72730" w:rsidTr="009B3448">
        <w:trPr>
          <w:gridAfter w:val="1"/>
          <w:wAfter w:w="16" w:type="dxa"/>
          <w:trHeight w:val="102"/>
        </w:trPr>
        <w:tc>
          <w:tcPr>
            <w:tcW w:w="1608" w:type="dxa"/>
            <w:noWrap/>
            <w:vAlign w:val="bottom"/>
            <w:hideMark/>
          </w:tcPr>
          <w:p w:rsidR="009B3448" w:rsidRPr="00C72730" w:rsidRDefault="009B3448" w:rsidP="00DC066F">
            <w:pPr>
              <w:spacing w:after="0" w:line="240" w:lineRule="auto"/>
              <w:rPr>
                <w:rFonts w:ascii="Garamond" w:hAnsi="Garamond"/>
                <w:sz w:val="24"/>
                <w:szCs w:val="24"/>
                <w:lang w:val="en-US"/>
              </w:rPr>
            </w:pPr>
            <w:r w:rsidRPr="00C72730">
              <w:rPr>
                <w:rFonts w:ascii="Garamond" w:hAnsi="Garamond"/>
                <w:sz w:val="24"/>
                <w:szCs w:val="24"/>
                <w:lang w:val="en-US"/>
              </w:rPr>
              <w:t>Undeclared</w:t>
            </w:r>
          </w:p>
        </w:tc>
        <w:tc>
          <w:tcPr>
            <w:tcW w:w="1597" w:type="dxa"/>
            <w:noWrap/>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8 (72.7%)</w:t>
            </w:r>
          </w:p>
        </w:tc>
        <w:tc>
          <w:tcPr>
            <w:tcW w:w="1598"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3 (27.3%)</w:t>
            </w:r>
          </w:p>
        </w:tc>
        <w:tc>
          <w:tcPr>
            <w:tcW w:w="1597" w:type="dxa"/>
            <w:vAlign w:val="bottom"/>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0</w:t>
            </w:r>
          </w:p>
        </w:tc>
        <w:tc>
          <w:tcPr>
            <w:tcW w:w="1598" w:type="dxa"/>
            <w:hideMark/>
          </w:tcPr>
          <w:p w:rsidR="009B3448" w:rsidRPr="00C72730" w:rsidRDefault="009B3448" w:rsidP="00DC066F">
            <w:pPr>
              <w:spacing w:after="0" w:line="240" w:lineRule="auto"/>
              <w:jc w:val="right"/>
              <w:rPr>
                <w:rFonts w:ascii="Garamond" w:hAnsi="Garamond"/>
                <w:sz w:val="24"/>
                <w:szCs w:val="24"/>
                <w:lang w:val="en-US"/>
              </w:rPr>
            </w:pPr>
            <w:r w:rsidRPr="00C72730">
              <w:rPr>
                <w:rFonts w:ascii="Garamond" w:hAnsi="Garamond"/>
                <w:sz w:val="24"/>
                <w:szCs w:val="24"/>
                <w:lang w:val="en-US"/>
              </w:rPr>
              <w:t>11 (100%)</w:t>
            </w:r>
          </w:p>
        </w:tc>
      </w:tr>
      <w:tr w:rsidR="00C72730" w:rsidRPr="00C72730" w:rsidTr="009B3448">
        <w:trPr>
          <w:gridAfter w:val="1"/>
          <w:wAfter w:w="16" w:type="dxa"/>
          <w:trHeight w:val="242"/>
        </w:trPr>
        <w:tc>
          <w:tcPr>
            <w:tcW w:w="1608" w:type="dxa"/>
            <w:tcBorders>
              <w:top w:val="nil"/>
              <w:left w:val="nil"/>
              <w:bottom w:val="single" w:sz="4" w:space="0" w:color="auto"/>
              <w:right w:val="nil"/>
            </w:tcBorders>
            <w:noWrap/>
            <w:vAlign w:val="bottom"/>
          </w:tcPr>
          <w:p w:rsidR="009B3448" w:rsidRPr="00C72730" w:rsidRDefault="009B3448" w:rsidP="00DC066F">
            <w:pPr>
              <w:spacing w:after="0" w:line="240" w:lineRule="auto"/>
              <w:rPr>
                <w:rFonts w:ascii="Garamond" w:hAnsi="Garamond"/>
                <w:sz w:val="24"/>
                <w:szCs w:val="24"/>
                <w:lang w:val="en-US"/>
              </w:rPr>
            </w:pPr>
          </w:p>
        </w:tc>
        <w:tc>
          <w:tcPr>
            <w:tcW w:w="1597" w:type="dxa"/>
            <w:tcBorders>
              <w:top w:val="nil"/>
              <w:left w:val="nil"/>
              <w:bottom w:val="single" w:sz="4" w:space="0" w:color="auto"/>
              <w:right w:val="nil"/>
            </w:tcBorders>
            <w:noWrap/>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Borders>
              <w:top w:val="nil"/>
              <w:left w:val="nil"/>
              <w:bottom w:val="single" w:sz="4" w:space="0" w:color="auto"/>
              <w:right w:val="nil"/>
            </w:tcBorders>
            <w:vAlign w:val="bottom"/>
          </w:tcPr>
          <w:p w:rsidR="009B3448" w:rsidRPr="00C72730" w:rsidRDefault="009B3448" w:rsidP="00DC066F">
            <w:pPr>
              <w:spacing w:after="0" w:line="240" w:lineRule="auto"/>
              <w:jc w:val="right"/>
              <w:rPr>
                <w:rFonts w:ascii="Garamond" w:hAnsi="Garamond"/>
                <w:sz w:val="24"/>
                <w:szCs w:val="24"/>
                <w:lang w:val="en-US"/>
              </w:rPr>
            </w:pPr>
          </w:p>
        </w:tc>
        <w:tc>
          <w:tcPr>
            <w:tcW w:w="1597" w:type="dxa"/>
            <w:tcBorders>
              <w:top w:val="nil"/>
              <w:left w:val="nil"/>
              <w:bottom w:val="single" w:sz="4" w:space="0" w:color="auto"/>
              <w:right w:val="nil"/>
            </w:tcBorders>
            <w:vAlign w:val="bottom"/>
          </w:tcPr>
          <w:p w:rsidR="009B3448" w:rsidRPr="00C72730" w:rsidRDefault="009B3448" w:rsidP="00DC066F">
            <w:pPr>
              <w:spacing w:after="0" w:line="240" w:lineRule="auto"/>
              <w:jc w:val="right"/>
              <w:rPr>
                <w:rFonts w:ascii="Garamond" w:hAnsi="Garamond"/>
                <w:sz w:val="24"/>
                <w:szCs w:val="24"/>
                <w:lang w:val="en-US"/>
              </w:rPr>
            </w:pPr>
          </w:p>
        </w:tc>
        <w:tc>
          <w:tcPr>
            <w:tcW w:w="1598" w:type="dxa"/>
            <w:tcBorders>
              <w:top w:val="nil"/>
              <w:left w:val="nil"/>
              <w:bottom w:val="single" w:sz="4" w:space="0" w:color="auto"/>
              <w:right w:val="nil"/>
            </w:tcBorders>
          </w:tcPr>
          <w:p w:rsidR="009B3448" w:rsidRPr="00C72730" w:rsidRDefault="009B3448" w:rsidP="00DC066F">
            <w:pPr>
              <w:spacing w:after="0" w:line="240" w:lineRule="auto"/>
              <w:jc w:val="right"/>
              <w:rPr>
                <w:rFonts w:ascii="Garamond" w:hAnsi="Garamond"/>
                <w:sz w:val="24"/>
                <w:szCs w:val="24"/>
                <w:lang w:val="en-US"/>
              </w:rPr>
            </w:pPr>
          </w:p>
        </w:tc>
      </w:tr>
    </w:tbl>
    <w:p w:rsidR="009B3448" w:rsidRPr="00C72730" w:rsidRDefault="009B3448" w:rsidP="00DC066F">
      <w:pPr>
        <w:spacing w:after="0" w:line="240" w:lineRule="auto"/>
        <w:rPr>
          <w:rFonts w:ascii="Garamond" w:hAnsi="Garamond"/>
          <w:sz w:val="24"/>
          <w:szCs w:val="24"/>
        </w:rPr>
      </w:pPr>
    </w:p>
    <w:p w:rsidR="009B3448" w:rsidRPr="00C72730" w:rsidRDefault="009B3448" w:rsidP="00DC066F">
      <w:pPr>
        <w:spacing w:after="0" w:line="240" w:lineRule="auto"/>
        <w:contextualSpacing/>
        <w:jc w:val="both"/>
        <w:rPr>
          <w:rFonts w:ascii="Garamond" w:hAnsi="Garamond"/>
          <w:sz w:val="24"/>
          <w:szCs w:val="24"/>
          <w:lang w:val="en-US" w:eastAsia="en-GB"/>
        </w:rPr>
      </w:pPr>
      <w:r w:rsidRPr="00C72730">
        <w:rPr>
          <w:rFonts w:ascii="Garamond" w:eastAsia="Times New Roman" w:hAnsi="Garamond" w:cs="Times New Roman"/>
          <w:sz w:val="24"/>
          <w:szCs w:val="24"/>
          <w:lang w:val="en-US" w:eastAsia="en-GB"/>
        </w:rPr>
        <w:t xml:space="preserve">[1] </w:t>
      </w:r>
      <w:r w:rsidRPr="00C72730">
        <w:rPr>
          <w:rFonts w:ascii="Garamond" w:hAnsi="Garamond"/>
          <w:sz w:val="24"/>
          <w:szCs w:val="24"/>
          <w:lang w:val="en-US" w:eastAsia="en-GB"/>
        </w:rPr>
        <w:t>For Conservative parliamentarians first elected via by</w:t>
      </w:r>
      <w:r w:rsidRPr="00C72730">
        <w:rPr>
          <w:rStyle w:val="CommentReference"/>
          <w:rFonts w:ascii="Garamond" w:hAnsi="Garamond"/>
          <w:sz w:val="24"/>
          <w:szCs w:val="24"/>
        </w:rPr>
        <w:t>-</w:t>
      </w:r>
      <w:r w:rsidRPr="00C72730">
        <w:rPr>
          <w:rFonts w:ascii="Garamond" w:hAnsi="Garamond"/>
          <w:sz w:val="24"/>
          <w:szCs w:val="24"/>
          <w:lang w:val="en-US" w:eastAsia="en-GB"/>
        </w:rPr>
        <w:t>elections we aligned them to the parliament that they had entered – e.g. if elected in a by-election in 1999 they were aligned to the 1997 parliamentary cohort. For Conservative parliamentarians who have been elected, defeated and re-elected we calculate them from their first entry into Parliament.</w:t>
      </w:r>
    </w:p>
    <w:p w:rsidR="009B3448" w:rsidRPr="00C72730" w:rsidRDefault="009B3448" w:rsidP="00DC066F">
      <w:pPr>
        <w:spacing w:after="0" w:line="360" w:lineRule="auto"/>
        <w:rPr>
          <w:rFonts w:ascii="Garamond" w:hAnsi="Garamond"/>
          <w:sz w:val="24"/>
          <w:szCs w:val="24"/>
          <w:lang w:val="en-US" w:eastAsia="en-GB"/>
        </w:rPr>
      </w:pPr>
      <w:r w:rsidRPr="00C72730">
        <w:rPr>
          <w:rFonts w:ascii="Garamond" w:hAnsi="Garamond"/>
          <w:sz w:val="24"/>
          <w:szCs w:val="24"/>
          <w:lang w:val="en-US" w:eastAsia="en-GB"/>
        </w:rPr>
        <w:br w:type="page"/>
      </w:r>
    </w:p>
    <w:p w:rsidR="009B3448" w:rsidRPr="00C72730" w:rsidRDefault="009B3448" w:rsidP="00DC066F">
      <w:pPr>
        <w:spacing w:after="100" w:afterAutospacing="1" w:line="240" w:lineRule="auto"/>
        <w:contextualSpacing/>
        <w:jc w:val="center"/>
        <w:outlineLvl w:val="0"/>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lastRenderedPageBreak/>
        <w:t>Table Two:</w:t>
      </w:r>
    </w:p>
    <w:p w:rsidR="009B3448" w:rsidRPr="00C72730" w:rsidRDefault="009B3448" w:rsidP="00DC066F">
      <w:pPr>
        <w:spacing w:after="100" w:afterAutospacing="1" w:line="240" w:lineRule="auto"/>
        <w:contextualSpacing/>
        <w:jc w:val="center"/>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Multivariate Logistic Regression Outputs for Leadership Support</w:t>
      </w:r>
    </w:p>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p w:rsidR="009B3448" w:rsidRPr="00C72730" w:rsidRDefault="009B3448" w:rsidP="00DC066F">
      <w:pPr>
        <w:spacing w:after="0" w:line="240" w:lineRule="auto"/>
        <w:contextualSpacing/>
        <w:jc w:val="both"/>
        <w:rPr>
          <w:rFonts w:ascii="Garamond" w:eastAsia="Times New Roman" w:hAnsi="Garamond" w:cs="Times New Roman"/>
          <w:sz w:val="24"/>
          <w:szCs w:val="24"/>
          <w:lang w:eastAsia="en-GB"/>
        </w:rPr>
      </w:pPr>
    </w:p>
    <w:tbl>
      <w:tblPr>
        <w:tblW w:w="8067" w:type="dxa"/>
        <w:jc w:val="center"/>
        <w:tblLook w:val="04A0" w:firstRow="1" w:lastRow="0" w:firstColumn="1" w:lastColumn="0" w:noHBand="0" w:noVBand="1"/>
      </w:tblPr>
      <w:tblGrid>
        <w:gridCol w:w="2935"/>
        <w:gridCol w:w="827"/>
        <w:gridCol w:w="645"/>
        <w:gridCol w:w="1311"/>
        <w:gridCol w:w="645"/>
        <w:gridCol w:w="1059"/>
        <w:gridCol w:w="645"/>
      </w:tblGrid>
      <w:tr w:rsidR="00C72730" w:rsidRPr="00C72730" w:rsidTr="009B3448">
        <w:trPr>
          <w:trHeight w:val="236"/>
          <w:jc w:val="center"/>
        </w:trPr>
        <w:tc>
          <w:tcPr>
            <w:tcW w:w="2935" w:type="dxa"/>
            <w:tcBorders>
              <w:top w:val="nil"/>
              <w:left w:val="nil"/>
              <w:bottom w:val="single" w:sz="4" w:space="0" w:color="auto"/>
              <w:right w:val="nil"/>
            </w:tcBorders>
            <w:noWrap/>
            <w:vAlign w:val="bottom"/>
            <w:hideMark/>
          </w:tcPr>
          <w:p w:rsidR="009B3448" w:rsidRPr="00C72730" w:rsidRDefault="009B3448" w:rsidP="00DC066F">
            <w:pPr>
              <w:spacing w:line="240" w:lineRule="auto"/>
              <w:rPr>
                <w:rFonts w:ascii="Garamond" w:eastAsia="Times New Roman" w:hAnsi="Garamond" w:cs="Times New Roman"/>
                <w:sz w:val="24"/>
                <w:szCs w:val="24"/>
                <w:lang w:eastAsia="en-GB"/>
              </w:rPr>
            </w:pPr>
          </w:p>
        </w:tc>
        <w:tc>
          <w:tcPr>
            <w:tcW w:w="827" w:type="dxa"/>
            <w:tcBorders>
              <w:top w:val="nil"/>
              <w:left w:val="nil"/>
              <w:bottom w:val="single" w:sz="4" w:space="0" w:color="auto"/>
              <w:right w:val="nil"/>
            </w:tcBorders>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May</w:t>
            </w:r>
          </w:p>
        </w:tc>
        <w:tc>
          <w:tcPr>
            <w:tcW w:w="0" w:type="auto"/>
            <w:tcBorders>
              <w:top w:val="nil"/>
              <w:left w:val="nil"/>
              <w:bottom w:val="single" w:sz="4" w:space="0" w:color="auto"/>
              <w:right w:val="nil"/>
            </w:tcBorders>
            <w:noWrap/>
            <w:vAlign w:val="bottom"/>
            <w:hideMark/>
          </w:tcPr>
          <w:p w:rsidR="009B3448" w:rsidRPr="00C72730" w:rsidRDefault="009B3448" w:rsidP="00DC066F">
            <w:pPr>
              <w:spacing w:line="240" w:lineRule="auto"/>
              <w:rPr>
                <w:rFonts w:ascii="Garamond" w:eastAsia="Times New Roman" w:hAnsi="Garamond" w:cs="Times New Roman"/>
                <w:b/>
                <w:sz w:val="24"/>
                <w:szCs w:val="24"/>
                <w:lang w:val="en-US" w:eastAsia="en-GB"/>
              </w:rPr>
            </w:pPr>
          </w:p>
        </w:tc>
        <w:tc>
          <w:tcPr>
            <w:tcW w:w="0" w:type="auto"/>
            <w:tcBorders>
              <w:top w:val="nil"/>
              <w:left w:val="nil"/>
              <w:bottom w:val="single" w:sz="4" w:space="0" w:color="auto"/>
              <w:right w:val="nil"/>
            </w:tcBorders>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roofErr w:type="spellStart"/>
            <w:r w:rsidRPr="00C72730">
              <w:rPr>
                <w:rFonts w:ascii="Garamond" w:eastAsia="Times New Roman" w:hAnsi="Garamond" w:cs="Times New Roman"/>
                <w:b/>
                <w:sz w:val="24"/>
                <w:szCs w:val="24"/>
                <w:lang w:val="en-US" w:eastAsia="en-GB"/>
              </w:rPr>
              <w:t>Leadsom</w:t>
            </w:r>
            <w:proofErr w:type="spellEnd"/>
          </w:p>
        </w:tc>
        <w:tc>
          <w:tcPr>
            <w:tcW w:w="0" w:type="auto"/>
            <w:tcBorders>
              <w:top w:val="nil"/>
              <w:left w:val="nil"/>
              <w:bottom w:val="single" w:sz="4" w:space="0" w:color="auto"/>
              <w:right w:val="nil"/>
            </w:tcBorders>
            <w:noWrap/>
            <w:vAlign w:val="bottom"/>
            <w:hideMark/>
          </w:tcPr>
          <w:p w:rsidR="009B3448" w:rsidRPr="00C72730" w:rsidRDefault="009B3448" w:rsidP="00DC066F">
            <w:pPr>
              <w:spacing w:line="240" w:lineRule="auto"/>
              <w:rPr>
                <w:rFonts w:ascii="Garamond" w:eastAsia="Times New Roman" w:hAnsi="Garamond" w:cs="Times New Roman"/>
                <w:b/>
                <w:sz w:val="24"/>
                <w:szCs w:val="24"/>
                <w:lang w:val="en-US" w:eastAsia="en-GB"/>
              </w:rPr>
            </w:pPr>
          </w:p>
        </w:tc>
        <w:tc>
          <w:tcPr>
            <w:tcW w:w="0" w:type="auto"/>
            <w:tcBorders>
              <w:top w:val="nil"/>
              <w:left w:val="nil"/>
              <w:bottom w:val="single" w:sz="4" w:space="0" w:color="auto"/>
              <w:right w:val="nil"/>
            </w:tcBorders>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Gove</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b/>
                <w:sz w:val="24"/>
                <w:szCs w:val="24"/>
                <w:lang w:val="en-US" w:eastAsia="en-GB"/>
              </w:rPr>
            </w:pPr>
          </w:p>
        </w:tc>
      </w:tr>
      <w:tr w:rsidR="00C72730" w:rsidRPr="00C72730" w:rsidTr="009B3448">
        <w:trPr>
          <w:trHeight w:val="236"/>
          <w:jc w:val="center"/>
        </w:trPr>
        <w:tc>
          <w:tcPr>
            <w:tcW w:w="2935" w:type="dxa"/>
            <w:tcBorders>
              <w:top w:val="single" w:sz="4" w:space="0" w:color="auto"/>
              <w:left w:val="nil"/>
              <w:bottom w:val="nil"/>
              <w:right w:val="nil"/>
            </w:tcBorders>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827" w:type="dxa"/>
            <w:tcBorders>
              <w:top w:val="single" w:sz="4" w:space="0" w:color="auto"/>
              <w:left w:val="nil"/>
              <w:bottom w:val="nil"/>
              <w:right w:val="nil"/>
            </w:tcBorders>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tcBorders>
              <w:top w:val="single" w:sz="4" w:space="0" w:color="auto"/>
              <w:left w:val="nil"/>
              <w:bottom w:val="nil"/>
              <w:right w:val="nil"/>
            </w:tcBorders>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tcBorders>
              <w:top w:val="single" w:sz="4" w:space="0" w:color="auto"/>
              <w:left w:val="nil"/>
              <w:bottom w:val="nil"/>
              <w:right w:val="nil"/>
            </w:tcBorders>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tcBorders>
              <w:top w:val="single" w:sz="4" w:space="0" w:color="auto"/>
              <w:left w:val="nil"/>
              <w:bottom w:val="nil"/>
              <w:right w:val="nil"/>
            </w:tcBorders>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tcBorders>
              <w:top w:val="single" w:sz="4" w:space="0" w:color="auto"/>
              <w:left w:val="nil"/>
              <w:bottom w:val="nil"/>
              <w:right w:val="nil"/>
            </w:tcBorders>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N</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288</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288</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277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roofErr w:type="spellStart"/>
            <w:r w:rsidRPr="00C72730">
              <w:rPr>
                <w:rFonts w:ascii="Garamond" w:eastAsia="Times New Roman" w:hAnsi="Garamond" w:cs="Times New Roman"/>
                <w:sz w:val="24"/>
                <w:szCs w:val="24"/>
                <w:lang w:val="en-US" w:eastAsia="en-GB"/>
              </w:rPr>
              <w:t>Prob</w:t>
            </w:r>
            <w:proofErr w:type="spellEnd"/>
            <w:r w:rsidRPr="00C72730">
              <w:rPr>
                <w:rFonts w:ascii="Garamond" w:eastAsia="Times New Roman" w:hAnsi="Garamond" w:cs="Times New Roman"/>
                <w:sz w:val="24"/>
                <w:szCs w:val="24"/>
                <w:lang w:val="en-US" w:eastAsia="en-GB"/>
              </w:rPr>
              <w:t xml:space="preserve"> &gt; chi</w:t>
            </w:r>
            <w:r w:rsidRPr="00C72730">
              <w:rPr>
                <w:rFonts w:ascii="Garamond" w:eastAsia="Times New Roman" w:hAnsi="Garamond" w:cs="Times New Roman"/>
                <w:sz w:val="24"/>
                <w:szCs w:val="24"/>
                <w:vertAlign w:val="superscript"/>
                <w:lang w:val="en-US" w:eastAsia="en-GB"/>
              </w:rPr>
              <w:t>2</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0.00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0.00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0.02</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roofErr w:type="spellStart"/>
            <w:r w:rsidRPr="00C72730">
              <w:rPr>
                <w:rFonts w:ascii="Garamond" w:eastAsia="Times New Roman" w:hAnsi="Garamond" w:cs="Times New Roman"/>
                <w:sz w:val="24"/>
                <w:szCs w:val="24"/>
                <w:lang w:val="en-US" w:eastAsia="en-GB"/>
              </w:rPr>
              <w:t>Psuedo</w:t>
            </w:r>
            <w:proofErr w:type="spellEnd"/>
            <w:r w:rsidRPr="00C72730">
              <w:rPr>
                <w:rFonts w:ascii="Garamond" w:eastAsia="Times New Roman" w:hAnsi="Garamond" w:cs="Times New Roman"/>
                <w:sz w:val="24"/>
                <w:szCs w:val="24"/>
                <w:lang w:val="en-US" w:eastAsia="en-GB"/>
              </w:rPr>
              <w:t xml:space="preserve"> r</w:t>
            </w:r>
            <w:r w:rsidRPr="00C72730">
              <w:rPr>
                <w:rFonts w:ascii="Garamond" w:eastAsia="Times New Roman" w:hAnsi="Garamond" w:cs="Times New Roman"/>
                <w:sz w:val="24"/>
                <w:szCs w:val="24"/>
                <w:vertAlign w:val="superscript"/>
                <w:lang w:val="en-US" w:eastAsia="en-GB"/>
              </w:rPr>
              <w:t>2</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0.32</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0.35</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0.17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 xml:space="preserve">Female </w:t>
            </w:r>
            <w:r w:rsidRPr="00C72730">
              <w:rPr>
                <w:rFonts w:ascii="Garamond" w:eastAsia="Times New Roman" w:hAnsi="Garamond" w:cs="Times New Roman"/>
                <w:sz w:val="24"/>
                <w:szCs w:val="24"/>
                <w:lang w:val="en-US" w:eastAsia="en-GB"/>
              </w:rPr>
              <w:t>(relative to male)</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1.80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0.43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School</w:t>
            </w:r>
            <w:r w:rsidRPr="00C72730">
              <w:rPr>
                <w:rFonts w:ascii="Garamond" w:eastAsia="Times New Roman" w:hAnsi="Garamond" w:cs="Times New Roman"/>
                <w:sz w:val="24"/>
                <w:szCs w:val="24"/>
                <w:lang w:val="en-US" w:eastAsia="en-GB"/>
              </w:rPr>
              <w:t xml:space="preserve"> (relative to those who attended a private school)</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Grammar</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0.83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1.27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1.02</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State</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1.64</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0.63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0.84</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Home</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(empty)</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(empty)</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University</w:t>
            </w:r>
            <w:r w:rsidRPr="00C72730">
              <w:rPr>
                <w:rFonts w:ascii="Garamond" w:eastAsia="Times New Roman" w:hAnsi="Garamond" w:cs="Times New Roman"/>
                <w:sz w:val="24"/>
                <w:szCs w:val="24"/>
                <w:lang w:val="en-US" w:eastAsia="en-GB"/>
              </w:rPr>
              <w:t xml:space="preserve"> (relative to those who attended Oxbridge)</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Pre-1992</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1.91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0.65</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0.72</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Post-1992</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1.31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0.97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0.80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Private</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(empty)</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(empty)</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Russell Group</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1.26</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1.19</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0.65</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None</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0.76</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1.34</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1.23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Cohort</w:t>
            </w:r>
            <w:r w:rsidRPr="00C72730">
              <w:rPr>
                <w:rFonts w:ascii="Garamond" w:eastAsia="Times New Roman" w:hAnsi="Garamond" w:cs="Times New Roman"/>
                <w:sz w:val="24"/>
                <w:szCs w:val="24"/>
                <w:lang w:val="en-US" w:eastAsia="en-GB"/>
              </w:rPr>
              <w:t xml:space="preserve"> (relative to those who became an MP before 1997)</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1997-2010</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0.47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0.97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2.76</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2010-2015</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0.91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0.91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1.13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2015</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1.71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0.22</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2.77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Majority Size (%)</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1.01</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0.97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Minister</w:t>
            </w:r>
            <w:r w:rsidRPr="00C72730">
              <w:rPr>
                <w:rFonts w:ascii="Garamond" w:eastAsia="Times New Roman" w:hAnsi="Garamond" w:cs="Times New Roman"/>
                <w:sz w:val="24"/>
                <w:szCs w:val="24"/>
                <w:lang w:val="en-US" w:eastAsia="en-GB"/>
              </w:rPr>
              <w:t xml:space="preserve"> (relative to those who were ministers)</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No</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0.46</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3.07</w:t>
            </w:r>
          </w:p>
        </w:tc>
        <w:tc>
          <w:tcPr>
            <w:tcW w:w="0" w:type="auto"/>
            <w:noWrap/>
            <w:vAlign w:val="bottom"/>
            <w:hideMark/>
          </w:tcPr>
          <w:p w:rsidR="009B3448" w:rsidRPr="00C72730" w:rsidRDefault="009B3448" w:rsidP="00DC066F">
            <w:pPr>
              <w:spacing w:after="0" w:line="240" w:lineRule="auto"/>
              <w:contextualSpacing/>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0.75</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Former Minister</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0.67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1.15</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1.74</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Gay Marriage</w:t>
            </w:r>
            <w:r w:rsidRPr="00C72730">
              <w:rPr>
                <w:rFonts w:ascii="Garamond" w:eastAsia="Times New Roman" w:hAnsi="Garamond" w:cs="Times New Roman"/>
                <w:sz w:val="24"/>
                <w:szCs w:val="24"/>
                <w:lang w:val="en-US" w:eastAsia="en-GB"/>
              </w:rPr>
              <w:t xml:space="preserve"> (relative to those who voted for)</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Abs.</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0.64</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1.30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1.57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Against</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0.74</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2.71</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0.31</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b/>
                <w:sz w:val="24"/>
                <w:szCs w:val="24"/>
                <w:lang w:val="en-US" w:eastAsia="en-GB"/>
              </w:rPr>
              <w:t>EU Referendum</w:t>
            </w:r>
            <w:r w:rsidRPr="00C72730">
              <w:rPr>
                <w:rFonts w:ascii="Garamond" w:eastAsia="Times New Roman" w:hAnsi="Garamond" w:cs="Times New Roman"/>
                <w:sz w:val="24"/>
                <w:szCs w:val="24"/>
                <w:lang w:val="en-US" w:eastAsia="en-GB"/>
              </w:rPr>
              <w:t xml:space="preserve"> (relative to those who declared for Leave)</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Remain</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18.48</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0.05</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0.17</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Undeclared</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5.55</w:t>
            </w:r>
          </w:p>
        </w:tc>
        <w:tc>
          <w:tcPr>
            <w:tcW w:w="0" w:type="auto"/>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w:t>
            </w: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0.33</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(empty)</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UKIP Vote Share</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0.98</w:t>
            </w: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1.02</w:t>
            </w: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1.00</w:t>
            </w: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r w:rsidRPr="00C72730">
              <w:rPr>
                <w:rFonts w:ascii="Garamond" w:eastAsia="Times New Roman" w:hAnsi="Garamond" w:cs="Times New Roman"/>
                <w:b/>
                <w:sz w:val="24"/>
                <w:szCs w:val="24"/>
                <w:lang w:val="en-US" w:eastAsia="en-GB"/>
              </w:rPr>
              <w:t>Constant</w:t>
            </w:r>
          </w:p>
        </w:tc>
        <w:tc>
          <w:tcPr>
            <w:tcW w:w="827" w:type="dxa"/>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1.10</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0.28</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c>
          <w:tcPr>
            <w:tcW w:w="0" w:type="auto"/>
            <w:noWrap/>
            <w:vAlign w:val="bottom"/>
            <w:hideMark/>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0.27</w:t>
            </w:r>
          </w:p>
        </w:tc>
        <w:tc>
          <w:tcPr>
            <w:tcW w:w="0" w:type="auto"/>
            <w:noWrap/>
            <w:vAlign w:val="bottom"/>
            <w:hideMark/>
          </w:tcPr>
          <w:p w:rsidR="009B3448" w:rsidRPr="00C72730" w:rsidRDefault="009B3448" w:rsidP="00DC066F">
            <w:pPr>
              <w:spacing w:line="240" w:lineRule="auto"/>
              <w:rPr>
                <w:rFonts w:ascii="Garamond" w:eastAsia="Times New Roman" w:hAnsi="Garamond" w:cs="Times New Roman"/>
                <w:sz w:val="24"/>
                <w:szCs w:val="24"/>
                <w:lang w:val="en-US" w:eastAsia="en-GB"/>
              </w:rPr>
            </w:pPr>
          </w:p>
        </w:tc>
      </w:tr>
      <w:tr w:rsidR="00C72730" w:rsidRPr="00C72730" w:rsidTr="009B3448">
        <w:trPr>
          <w:trHeight w:val="236"/>
          <w:jc w:val="center"/>
        </w:trPr>
        <w:tc>
          <w:tcPr>
            <w:tcW w:w="2935" w:type="dxa"/>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827" w:type="dxa"/>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b/>
                <w:sz w:val="24"/>
                <w:szCs w:val="24"/>
                <w:lang w:val="en-US" w:eastAsia="en-GB"/>
              </w:rPr>
            </w:pPr>
          </w:p>
        </w:tc>
        <w:tc>
          <w:tcPr>
            <w:tcW w:w="0" w:type="auto"/>
            <w:noWrap/>
            <w:vAlign w:val="bottom"/>
          </w:tcPr>
          <w:p w:rsidR="009B3448" w:rsidRPr="00C72730" w:rsidRDefault="009B3448" w:rsidP="00DC066F">
            <w:pPr>
              <w:spacing w:after="0" w:line="240" w:lineRule="auto"/>
              <w:contextualSpacing/>
              <w:jc w:val="right"/>
              <w:rPr>
                <w:rFonts w:ascii="Garamond" w:eastAsia="Times New Roman" w:hAnsi="Garamond" w:cs="Times New Roman"/>
                <w:sz w:val="24"/>
                <w:szCs w:val="24"/>
                <w:lang w:val="en-US" w:eastAsia="en-GB"/>
              </w:rPr>
            </w:pPr>
          </w:p>
        </w:tc>
        <w:tc>
          <w:tcPr>
            <w:tcW w:w="0" w:type="auto"/>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r w:rsidR="00C72730" w:rsidRPr="00C72730" w:rsidTr="009B3448">
        <w:trPr>
          <w:trHeight w:val="236"/>
          <w:jc w:val="center"/>
        </w:trPr>
        <w:tc>
          <w:tcPr>
            <w:tcW w:w="0" w:type="auto"/>
            <w:gridSpan w:val="7"/>
            <w:noWrap/>
            <w:vAlign w:val="bottom"/>
            <w:hideMark/>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r w:rsidRPr="00C72730">
              <w:rPr>
                <w:rFonts w:ascii="Garamond" w:eastAsia="Times New Roman" w:hAnsi="Garamond" w:cs="Times New Roman"/>
                <w:sz w:val="24"/>
                <w:szCs w:val="24"/>
                <w:lang w:val="en-US" w:eastAsia="en-GB"/>
              </w:rPr>
              <w:t>***p=0.000 **0.001 ≤ p ≤  0.01 *0.01 &lt; p ≤ 0.05</w:t>
            </w:r>
          </w:p>
        </w:tc>
      </w:tr>
      <w:tr w:rsidR="00DC066F" w:rsidRPr="00C72730" w:rsidTr="009B3448">
        <w:trPr>
          <w:trHeight w:val="236"/>
          <w:jc w:val="center"/>
        </w:trPr>
        <w:tc>
          <w:tcPr>
            <w:tcW w:w="0" w:type="auto"/>
            <w:gridSpan w:val="7"/>
            <w:tcBorders>
              <w:top w:val="nil"/>
              <w:left w:val="nil"/>
              <w:bottom w:val="single" w:sz="4" w:space="0" w:color="auto"/>
              <w:right w:val="nil"/>
            </w:tcBorders>
            <w:noWrap/>
            <w:vAlign w:val="bottom"/>
          </w:tcPr>
          <w:p w:rsidR="009B3448" w:rsidRPr="00C72730" w:rsidRDefault="009B3448" w:rsidP="00DC066F">
            <w:pPr>
              <w:spacing w:after="0" w:line="240" w:lineRule="auto"/>
              <w:contextualSpacing/>
              <w:jc w:val="both"/>
              <w:rPr>
                <w:rFonts w:ascii="Garamond" w:eastAsia="Times New Roman" w:hAnsi="Garamond" w:cs="Times New Roman"/>
                <w:sz w:val="24"/>
                <w:szCs w:val="24"/>
                <w:lang w:val="en-US" w:eastAsia="en-GB"/>
              </w:rPr>
            </w:pPr>
          </w:p>
        </w:tc>
      </w:tr>
    </w:tbl>
    <w:p w:rsidR="00AF6624" w:rsidRPr="00C72730" w:rsidRDefault="00AF6624" w:rsidP="0086281F">
      <w:pPr>
        <w:spacing w:after="0" w:line="360" w:lineRule="auto"/>
        <w:contextualSpacing/>
        <w:jc w:val="both"/>
        <w:rPr>
          <w:rFonts w:ascii="Garamond" w:hAnsi="Garamond"/>
          <w:sz w:val="24"/>
          <w:szCs w:val="24"/>
        </w:rPr>
      </w:pPr>
    </w:p>
    <w:p w:rsidR="00AF6624" w:rsidRPr="00C72730" w:rsidRDefault="00AF6624" w:rsidP="0086281F">
      <w:pPr>
        <w:spacing w:after="0" w:line="360" w:lineRule="auto"/>
        <w:contextualSpacing/>
        <w:jc w:val="both"/>
        <w:rPr>
          <w:rFonts w:ascii="Garamond" w:eastAsia="Times New Roman" w:hAnsi="Garamond" w:cs="Times New Roman"/>
          <w:i/>
          <w:sz w:val="24"/>
          <w:szCs w:val="24"/>
          <w:lang w:eastAsia="en-GB"/>
        </w:rPr>
      </w:pPr>
    </w:p>
    <w:p w:rsidR="0086281F" w:rsidRPr="00C72730" w:rsidRDefault="0086281F" w:rsidP="0086281F">
      <w:pPr>
        <w:spacing w:after="0" w:line="360" w:lineRule="auto"/>
        <w:contextualSpacing/>
        <w:jc w:val="both"/>
        <w:rPr>
          <w:rFonts w:ascii="Garamond" w:eastAsia="Times New Roman" w:hAnsi="Garamond" w:cs="Times New Roman"/>
          <w:i/>
          <w:sz w:val="24"/>
          <w:szCs w:val="24"/>
          <w:lang w:eastAsia="en-GB"/>
        </w:rPr>
      </w:pPr>
      <w:r w:rsidRPr="00C72730">
        <w:rPr>
          <w:rFonts w:ascii="Garamond" w:eastAsia="Times New Roman" w:hAnsi="Garamond" w:cs="Times New Roman"/>
          <w:i/>
          <w:sz w:val="24"/>
          <w:szCs w:val="24"/>
          <w:lang w:eastAsia="en-GB"/>
        </w:rPr>
        <w:lastRenderedPageBreak/>
        <w:t xml:space="preserve">Analysis of Results </w:t>
      </w:r>
    </w:p>
    <w:p w:rsidR="0086281F" w:rsidRPr="00C72730" w:rsidRDefault="0086281F" w:rsidP="0086281F">
      <w:pPr>
        <w:spacing w:after="0" w:line="360" w:lineRule="auto"/>
        <w:contextualSpacing/>
        <w:jc w:val="both"/>
        <w:rPr>
          <w:rFonts w:ascii="Garamond" w:eastAsia="Times New Roman" w:hAnsi="Garamond" w:cs="Times New Roman"/>
          <w:sz w:val="24"/>
          <w:szCs w:val="24"/>
          <w:lang w:eastAsia="en-GB"/>
        </w:rPr>
      </w:pPr>
    </w:p>
    <w:p w:rsidR="00D75ABD" w:rsidRPr="00C72730" w:rsidRDefault="0086281F" w:rsidP="0086281F">
      <w:pPr>
        <w:spacing w:after="0" w:line="360" w:lineRule="auto"/>
        <w:contextualSpacing/>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Of our social background variables our hypotheses on gender </w:t>
      </w:r>
      <w:r w:rsidRPr="00C72730">
        <w:rPr>
          <w:rFonts w:ascii="Garamond" w:eastAsia="Times New Roman" w:hAnsi="Garamond" w:cs="Times New Roman"/>
          <w:i/>
          <w:sz w:val="24"/>
          <w:szCs w:val="24"/>
          <w:lang w:eastAsia="en-GB"/>
        </w:rPr>
        <w:t>[H1]</w:t>
      </w:r>
      <w:r w:rsidRPr="00C72730">
        <w:rPr>
          <w:rFonts w:ascii="Garamond" w:eastAsia="Times New Roman" w:hAnsi="Garamond" w:cs="Times New Roman"/>
          <w:sz w:val="24"/>
          <w:szCs w:val="24"/>
          <w:lang w:eastAsia="en-GB"/>
        </w:rPr>
        <w:t xml:space="preserve"> and education </w:t>
      </w:r>
      <w:r w:rsidRPr="00C72730">
        <w:rPr>
          <w:rFonts w:ascii="Garamond" w:eastAsia="Times New Roman" w:hAnsi="Garamond" w:cs="Times New Roman"/>
          <w:i/>
          <w:sz w:val="24"/>
          <w:szCs w:val="24"/>
          <w:lang w:eastAsia="en-GB"/>
        </w:rPr>
        <w:t>[H2]</w:t>
      </w:r>
      <w:r w:rsidRPr="00C72730">
        <w:rPr>
          <w:rFonts w:ascii="Garamond" w:eastAsia="Times New Roman" w:hAnsi="Garamond" w:cs="Times New Roman"/>
          <w:sz w:val="24"/>
          <w:szCs w:val="24"/>
          <w:lang w:eastAsia="en-GB"/>
        </w:rPr>
        <w:t xml:space="preserve"> and </w:t>
      </w:r>
      <w:r w:rsidRPr="00C72730">
        <w:rPr>
          <w:rFonts w:ascii="Garamond" w:eastAsia="Times New Roman" w:hAnsi="Garamond" w:cs="Times New Roman"/>
          <w:i/>
          <w:sz w:val="24"/>
          <w:szCs w:val="24"/>
          <w:lang w:eastAsia="en-GB"/>
        </w:rPr>
        <w:t xml:space="preserve">[H3] </w:t>
      </w:r>
      <w:r w:rsidR="006079C8" w:rsidRPr="00C72730">
        <w:rPr>
          <w:rFonts w:ascii="Garamond" w:eastAsia="Times New Roman" w:hAnsi="Garamond" w:cs="Times New Roman"/>
          <w:sz w:val="24"/>
          <w:szCs w:val="24"/>
          <w:lang w:eastAsia="en-GB"/>
        </w:rPr>
        <w:t>ar</w:t>
      </w:r>
      <w:r w:rsidRPr="00C72730">
        <w:rPr>
          <w:rFonts w:ascii="Garamond" w:eastAsia="Times New Roman" w:hAnsi="Garamond" w:cs="Times New Roman"/>
          <w:sz w:val="24"/>
          <w:szCs w:val="24"/>
          <w:lang w:eastAsia="en-GB"/>
        </w:rPr>
        <w:t xml:space="preserve">e disproven. There is no statistically significant relationship between being a female Conservative MP and voting for any of the candidates, nor is there a statistically significant relationship between going to a private school or Oxbridge and support </w:t>
      </w:r>
      <w:r w:rsidR="00C159A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or lack thereof</w:t>
      </w:r>
      <w:r w:rsidR="00C159A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for any candidate. </w:t>
      </w:r>
    </w:p>
    <w:p w:rsidR="00D75ABD" w:rsidRPr="00C72730" w:rsidRDefault="00D75ABD" w:rsidP="0086281F">
      <w:pPr>
        <w:spacing w:after="0" w:line="360" w:lineRule="auto"/>
        <w:contextualSpacing/>
        <w:jc w:val="both"/>
        <w:rPr>
          <w:rFonts w:ascii="Garamond" w:eastAsia="Times New Roman" w:hAnsi="Garamond" w:cs="Times New Roman"/>
          <w:sz w:val="24"/>
          <w:szCs w:val="24"/>
          <w:lang w:eastAsia="en-GB"/>
        </w:rPr>
      </w:pPr>
    </w:p>
    <w:p w:rsidR="0086281F" w:rsidRPr="00C72730" w:rsidRDefault="0086281F" w:rsidP="0086281F">
      <w:pPr>
        <w:spacing w:after="0" w:line="360" w:lineRule="auto"/>
        <w:contextualSpacing/>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political variables related to </w:t>
      </w:r>
      <w:r w:rsidRPr="00C72730">
        <w:rPr>
          <w:rFonts w:ascii="Garamond" w:eastAsia="Times New Roman" w:hAnsi="Garamond" w:cs="Times New Roman"/>
          <w:iCs/>
          <w:sz w:val="24"/>
          <w:szCs w:val="24"/>
          <w:lang w:eastAsia="en-GB"/>
        </w:rPr>
        <w:t>parliamentary experience, electoral marginality and backbencher or minister. Our assumption</w:t>
      </w:r>
      <w:r w:rsidRPr="00C72730">
        <w:rPr>
          <w:rFonts w:ascii="Garamond" w:eastAsia="Times New Roman" w:hAnsi="Garamond" w:cs="Times New Roman"/>
          <w:i/>
          <w:iCs/>
          <w:sz w:val="24"/>
          <w:szCs w:val="24"/>
          <w:lang w:eastAsia="en-GB"/>
        </w:rPr>
        <w:t xml:space="preserve"> </w:t>
      </w:r>
      <w:r w:rsidRPr="00C72730">
        <w:rPr>
          <w:rFonts w:ascii="Garamond" w:eastAsia="Times New Roman" w:hAnsi="Garamond" w:cs="Times New Roman"/>
          <w:iCs/>
          <w:sz w:val="24"/>
          <w:szCs w:val="24"/>
          <w:lang w:eastAsia="en-GB"/>
        </w:rPr>
        <w:t xml:space="preserve">that </w:t>
      </w:r>
      <w:r w:rsidRPr="00C72730">
        <w:rPr>
          <w:rFonts w:ascii="Garamond" w:eastAsia="Times New Roman" w:hAnsi="Garamond" w:cs="Times New Roman"/>
          <w:sz w:val="24"/>
          <w:szCs w:val="24"/>
          <w:lang w:eastAsia="en-GB"/>
        </w:rPr>
        <w:t xml:space="preserve">longer serving Conservative parliamentarians would show an increased likelihood for voting for May </w:t>
      </w:r>
      <w:r w:rsidRPr="00C72730">
        <w:rPr>
          <w:rFonts w:ascii="Garamond" w:eastAsia="Times New Roman" w:hAnsi="Garamond" w:cs="Times New Roman"/>
          <w:i/>
          <w:sz w:val="24"/>
          <w:szCs w:val="24"/>
          <w:lang w:eastAsia="en-GB"/>
        </w:rPr>
        <w:t>[H4]</w:t>
      </w:r>
      <w:r w:rsidRPr="00C72730">
        <w:rPr>
          <w:rFonts w:ascii="Garamond" w:eastAsia="Times New Roman" w:hAnsi="Garamond" w:cs="Times New Roman"/>
          <w:sz w:val="24"/>
          <w:szCs w:val="24"/>
          <w:lang w:eastAsia="en-GB"/>
        </w:rPr>
        <w:t xml:space="preserve"> is not proven, although a relationship</w:t>
      </w:r>
      <w:r w:rsidR="00E33E03" w:rsidRPr="00C72730">
        <w:rPr>
          <w:rFonts w:ascii="Garamond" w:eastAsia="Times New Roman" w:hAnsi="Garamond" w:cs="Times New Roman"/>
          <w:sz w:val="24"/>
          <w:szCs w:val="24"/>
          <w:lang w:eastAsia="en-GB"/>
        </w:rPr>
        <w:t xml:space="preserve"> that</w:t>
      </w:r>
      <w:r w:rsidRPr="00C72730">
        <w:rPr>
          <w:rFonts w:ascii="Garamond" w:eastAsia="Times New Roman" w:hAnsi="Garamond" w:cs="Times New Roman"/>
          <w:sz w:val="24"/>
          <w:szCs w:val="24"/>
          <w:lang w:eastAsia="en-GB"/>
        </w:rPr>
        <w:t xml:space="preserve"> is statistical</w:t>
      </w:r>
      <w:r w:rsidR="00CE5E30">
        <w:rPr>
          <w:rFonts w:ascii="Garamond" w:eastAsia="Times New Roman" w:hAnsi="Garamond" w:cs="Times New Roman"/>
          <w:sz w:val="24"/>
          <w:szCs w:val="24"/>
          <w:lang w:eastAsia="en-GB"/>
        </w:rPr>
        <w:t>ly significant</w:t>
      </w:r>
      <w:r w:rsidRPr="00C72730">
        <w:rPr>
          <w:rFonts w:ascii="Garamond" w:eastAsia="Times New Roman" w:hAnsi="Garamond" w:cs="Times New Roman"/>
          <w:sz w:val="24"/>
          <w:szCs w:val="24"/>
          <w:lang w:eastAsia="en-GB"/>
        </w:rPr>
        <w:t xml:space="preserve"> is identified in terms of t</w:t>
      </w:r>
      <w:r w:rsidR="00AF6624" w:rsidRPr="00C72730">
        <w:rPr>
          <w:rFonts w:ascii="Garamond" w:eastAsia="Times New Roman" w:hAnsi="Garamond" w:cs="Times New Roman"/>
          <w:sz w:val="24"/>
          <w:szCs w:val="24"/>
          <w:lang w:eastAsia="en-GB"/>
        </w:rPr>
        <w:t xml:space="preserve">he 2015 cohort, with new entrants less likely to endorse Leadsom. </w:t>
      </w:r>
      <w:r w:rsidRPr="00C72730">
        <w:rPr>
          <w:rFonts w:ascii="Garamond" w:eastAsia="Times New Roman" w:hAnsi="Garamond" w:cs="Times New Roman"/>
          <w:sz w:val="24"/>
          <w:szCs w:val="24"/>
          <w:lang w:eastAsia="en-GB"/>
        </w:rPr>
        <w:t xml:space="preserve">This, however, is the only statistically significant relationship with regard to parliamentary cohorts. Our assumption that Conservative parliamentarians holding marginal constituencies would be more inclined towards voting for May </w:t>
      </w:r>
      <w:r w:rsidRPr="00C72730">
        <w:rPr>
          <w:rFonts w:ascii="Garamond" w:eastAsia="Times New Roman" w:hAnsi="Garamond" w:cs="Times New Roman"/>
          <w:i/>
          <w:sz w:val="24"/>
          <w:szCs w:val="24"/>
          <w:lang w:eastAsia="en-GB"/>
        </w:rPr>
        <w:t>[H5]</w:t>
      </w:r>
      <w:r w:rsidRPr="00C72730">
        <w:rPr>
          <w:rFonts w:ascii="Garamond" w:eastAsia="Times New Roman" w:hAnsi="Garamond" w:cs="Times New Roman"/>
          <w:sz w:val="24"/>
          <w:szCs w:val="24"/>
          <w:lang w:eastAsia="en-GB"/>
        </w:rPr>
        <w:t xml:space="preserve"> is not proven – i.e. there is no statistically significant relationship between </w:t>
      </w:r>
      <w:r w:rsidR="00E77478" w:rsidRPr="00C72730">
        <w:rPr>
          <w:rFonts w:ascii="Garamond" w:eastAsia="Times New Roman" w:hAnsi="Garamond" w:cs="Times New Roman"/>
          <w:sz w:val="24"/>
          <w:szCs w:val="24"/>
          <w:lang w:eastAsia="en-GB"/>
        </w:rPr>
        <w:t xml:space="preserve">the size of </w:t>
      </w:r>
      <w:r w:rsidRPr="00C72730">
        <w:rPr>
          <w:rFonts w:ascii="Garamond" w:eastAsia="Times New Roman" w:hAnsi="Garamond" w:cs="Times New Roman"/>
          <w:sz w:val="24"/>
          <w:szCs w:val="24"/>
          <w:lang w:eastAsia="en-GB"/>
        </w:rPr>
        <w:t xml:space="preserve">majority and support for May. It is particularly illuminating to discover that our assumption regarding the vote share of UKIP </w:t>
      </w:r>
      <w:r w:rsidRPr="00C72730">
        <w:rPr>
          <w:rFonts w:ascii="Garamond" w:eastAsia="Times New Roman" w:hAnsi="Garamond" w:cs="Times New Roman"/>
          <w:i/>
          <w:sz w:val="24"/>
          <w:szCs w:val="24"/>
          <w:lang w:eastAsia="en-GB"/>
        </w:rPr>
        <w:t>[H6]</w:t>
      </w:r>
      <w:r w:rsidRPr="00C72730">
        <w:rPr>
          <w:rFonts w:ascii="Garamond" w:eastAsia="Times New Roman" w:hAnsi="Garamond" w:cs="Times New Roman"/>
          <w:sz w:val="24"/>
          <w:szCs w:val="24"/>
          <w:lang w:eastAsia="en-GB"/>
        </w:rPr>
        <w:t xml:space="preserve"> is not proven – there is no statistically significant relationship between the threat posed by UKIP and voting choice between the remain candidate </w:t>
      </w:r>
      <w:r w:rsidR="00C159A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May</w:t>
      </w:r>
      <w:r w:rsidR="00C159A8">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or the Brexit candidates </w:t>
      </w:r>
      <w:r w:rsidR="00C159A8">
        <w:rPr>
          <w:rFonts w:ascii="Garamond" w:eastAsia="Times New Roman" w:hAnsi="Garamond" w:cs="Times New Roman"/>
          <w:sz w:val="24"/>
          <w:szCs w:val="24"/>
          <w:lang w:eastAsia="en-GB"/>
        </w:rPr>
        <w:t>(</w:t>
      </w:r>
      <w:r w:rsidR="00E33E03" w:rsidRPr="00C72730">
        <w:rPr>
          <w:rFonts w:ascii="Garamond" w:eastAsia="Times New Roman" w:hAnsi="Garamond" w:cs="Times New Roman"/>
          <w:sz w:val="24"/>
          <w:szCs w:val="24"/>
          <w:lang w:eastAsia="en-GB"/>
        </w:rPr>
        <w:t>Leadsom or Gove</w:t>
      </w:r>
      <w:r w:rsidR="00C159A8">
        <w:rPr>
          <w:rFonts w:ascii="Garamond" w:eastAsia="Times New Roman" w:hAnsi="Garamond" w:cs="Times New Roman"/>
          <w:sz w:val="24"/>
          <w:szCs w:val="24"/>
          <w:lang w:eastAsia="en-GB"/>
        </w:rPr>
        <w:t>)</w:t>
      </w:r>
      <w:r w:rsidR="00E33E03" w:rsidRPr="00C72730">
        <w:rPr>
          <w:rFonts w:ascii="Garamond" w:eastAsia="Times New Roman" w:hAnsi="Garamond" w:cs="Times New Roman"/>
          <w:sz w:val="24"/>
          <w:szCs w:val="24"/>
          <w:lang w:eastAsia="en-GB"/>
        </w:rPr>
        <w:t>.</w:t>
      </w:r>
      <w:r w:rsidR="00CE5E30">
        <w:rPr>
          <w:rFonts w:ascii="Garamond" w:eastAsia="Times New Roman" w:hAnsi="Garamond" w:cs="Times New Roman"/>
          <w:sz w:val="24"/>
          <w:szCs w:val="24"/>
          <w:lang w:eastAsia="en-GB"/>
        </w:rPr>
        <w:t xml:space="preserve"> This might suggest that Conservative MPs quickly concluded that the referendum result would diminish the electoral threat posed by UKIP, or could simply indicate that other factors overrode this in their </w:t>
      </w:r>
      <w:r w:rsidR="00704967">
        <w:rPr>
          <w:rFonts w:ascii="Garamond" w:eastAsia="Times New Roman" w:hAnsi="Garamond" w:cs="Times New Roman"/>
          <w:sz w:val="24"/>
          <w:szCs w:val="24"/>
          <w:lang w:eastAsia="en-GB"/>
        </w:rPr>
        <w:t>decision making process about who to back for the leadership</w:t>
      </w:r>
      <w:r w:rsidR="00CE5E30">
        <w:rPr>
          <w:rFonts w:ascii="Garamond" w:eastAsia="Times New Roman" w:hAnsi="Garamond" w:cs="Times New Roman"/>
          <w:sz w:val="24"/>
          <w:szCs w:val="24"/>
          <w:lang w:eastAsia="en-GB"/>
        </w:rPr>
        <w:t xml:space="preserve">. </w:t>
      </w:r>
      <w:r w:rsidR="00E33E03" w:rsidRPr="00C72730">
        <w:rPr>
          <w:rFonts w:ascii="Garamond" w:eastAsia="Times New Roman" w:hAnsi="Garamond" w:cs="Times New Roman"/>
          <w:sz w:val="24"/>
          <w:szCs w:val="24"/>
          <w:lang w:eastAsia="en-GB"/>
        </w:rPr>
        <w:t>I</w:t>
      </w:r>
      <w:r w:rsidR="00D75ABD" w:rsidRPr="00C72730">
        <w:rPr>
          <w:rFonts w:ascii="Garamond" w:eastAsia="Times New Roman" w:hAnsi="Garamond" w:cs="Times New Roman"/>
          <w:sz w:val="24"/>
          <w:szCs w:val="24"/>
          <w:lang w:eastAsia="en-GB"/>
        </w:rPr>
        <w:t xml:space="preserve">n terms of ministerial status </w:t>
      </w:r>
      <w:r w:rsidR="00D75ABD" w:rsidRPr="00C72730">
        <w:rPr>
          <w:rFonts w:ascii="Garamond" w:eastAsia="Times New Roman" w:hAnsi="Garamond" w:cs="Times New Roman"/>
          <w:i/>
          <w:sz w:val="24"/>
          <w:szCs w:val="24"/>
          <w:lang w:eastAsia="en-GB"/>
        </w:rPr>
        <w:t>[H7]</w:t>
      </w:r>
      <w:r w:rsidR="00E33E03" w:rsidRPr="00C72730">
        <w:rPr>
          <w:rFonts w:ascii="Garamond" w:eastAsia="Times New Roman" w:hAnsi="Garamond" w:cs="Times New Roman"/>
          <w:i/>
          <w:sz w:val="24"/>
          <w:szCs w:val="24"/>
          <w:lang w:eastAsia="en-GB"/>
        </w:rPr>
        <w:t xml:space="preserve"> </w:t>
      </w:r>
      <w:r w:rsidR="00D75ABD" w:rsidRPr="00C72730">
        <w:rPr>
          <w:rFonts w:ascii="Garamond" w:eastAsia="Times New Roman" w:hAnsi="Garamond" w:cs="Times New Roman"/>
          <w:sz w:val="24"/>
          <w:szCs w:val="24"/>
          <w:lang w:eastAsia="en-GB"/>
        </w:rPr>
        <w:t>we did identity a statistically significant relationship between being a backbencher and increased lik</w:t>
      </w:r>
      <w:r w:rsidR="00704967">
        <w:rPr>
          <w:rFonts w:ascii="Garamond" w:eastAsia="Times New Roman" w:hAnsi="Garamond" w:cs="Times New Roman"/>
          <w:sz w:val="24"/>
          <w:szCs w:val="24"/>
          <w:lang w:eastAsia="en-GB"/>
        </w:rPr>
        <w:t>elihood for voting for Leadsom, suggesting that her position as the relative outsider amongst the candidates available had some impact with this group.</w:t>
      </w:r>
    </w:p>
    <w:p w:rsidR="0086281F" w:rsidRPr="00C72730" w:rsidRDefault="0086281F" w:rsidP="0086281F">
      <w:pPr>
        <w:spacing w:after="0" w:line="360" w:lineRule="auto"/>
        <w:contextualSpacing/>
        <w:jc w:val="both"/>
        <w:rPr>
          <w:rFonts w:ascii="Garamond" w:eastAsia="Times New Roman" w:hAnsi="Garamond" w:cs="Times New Roman"/>
          <w:sz w:val="24"/>
          <w:szCs w:val="24"/>
          <w:lang w:eastAsia="en-GB"/>
        </w:rPr>
      </w:pPr>
    </w:p>
    <w:p w:rsidR="0086281F" w:rsidRDefault="0086281F" w:rsidP="0086281F">
      <w:pPr>
        <w:spacing w:after="0" w:line="360" w:lineRule="auto"/>
        <w:contextualSpacing/>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ideological variables related to </w:t>
      </w:r>
      <w:r w:rsidR="00296CA2">
        <w:rPr>
          <w:rFonts w:ascii="Garamond" w:eastAsia="Times New Roman" w:hAnsi="Garamond" w:cs="Times New Roman"/>
          <w:sz w:val="24"/>
          <w:szCs w:val="24"/>
          <w:lang w:eastAsia="en-GB"/>
        </w:rPr>
        <w:t>attitudes towards moral issues (</w:t>
      </w:r>
      <w:r w:rsidRPr="00C72730">
        <w:rPr>
          <w:rFonts w:ascii="Garamond" w:eastAsia="Times New Roman" w:hAnsi="Garamond" w:cs="Times New Roman"/>
          <w:sz w:val="24"/>
          <w:szCs w:val="24"/>
          <w:lang w:eastAsia="en-GB"/>
        </w:rPr>
        <w:t>specifically same</w:t>
      </w:r>
      <w:r w:rsidR="004A1E1F">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sex marriage</w:t>
      </w:r>
      <w:r w:rsidR="00296CA2">
        <w:rPr>
          <w:rFonts w:ascii="Garamond" w:eastAsia="Times New Roman" w:hAnsi="Garamond" w:cs="Times New Roman"/>
          <w:sz w:val="24"/>
          <w:szCs w:val="24"/>
          <w:lang w:eastAsia="en-GB"/>
        </w:rPr>
        <w:t>),</w:t>
      </w:r>
      <w:r w:rsidRPr="00C72730">
        <w:rPr>
          <w:rFonts w:ascii="Garamond" w:eastAsia="Times New Roman" w:hAnsi="Garamond" w:cs="Times New Roman"/>
          <w:sz w:val="24"/>
          <w:szCs w:val="24"/>
          <w:lang w:eastAsia="en-GB"/>
        </w:rPr>
        <w:t xml:space="preserve"> </w:t>
      </w:r>
      <w:r w:rsidR="004A1E1F">
        <w:rPr>
          <w:rFonts w:ascii="Garamond" w:eastAsia="Times New Roman" w:hAnsi="Garamond" w:cs="Times New Roman"/>
          <w:sz w:val="24"/>
          <w:szCs w:val="24"/>
          <w:lang w:eastAsia="en-GB"/>
        </w:rPr>
        <w:t xml:space="preserve">and </w:t>
      </w:r>
      <w:r w:rsidRPr="00C72730">
        <w:rPr>
          <w:rFonts w:ascii="Garamond" w:eastAsia="Times New Roman" w:hAnsi="Garamond" w:cs="Times New Roman"/>
          <w:sz w:val="24"/>
          <w:szCs w:val="24"/>
          <w:lang w:eastAsia="en-GB"/>
        </w:rPr>
        <w:t xml:space="preserve">Europe. Our assumption that social liberals would be more inclined to vote for May or Gove, and social conservatives will be more inclined to vote for Leadsom </w:t>
      </w:r>
      <w:r w:rsidRPr="00C72730">
        <w:rPr>
          <w:rFonts w:ascii="Garamond" w:eastAsia="Times New Roman" w:hAnsi="Garamond" w:cs="Times New Roman"/>
          <w:i/>
          <w:sz w:val="24"/>
          <w:szCs w:val="24"/>
          <w:lang w:eastAsia="en-GB"/>
        </w:rPr>
        <w:t>[H8]</w:t>
      </w:r>
      <w:r w:rsidRPr="00C72730">
        <w:rPr>
          <w:rFonts w:ascii="Garamond" w:eastAsia="Times New Roman" w:hAnsi="Garamond" w:cs="Times New Roman"/>
          <w:sz w:val="24"/>
          <w:szCs w:val="24"/>
          <w:lang w:eastAsia="en-GB"/>
        </w:rPr>
        <w:t xml:space="preserve"> is partially </w:t>
      </w:r>
      <w:r w:rsidR="00704967">
        <w:rPr>
          <w:rFonts w:ascii="Garamond" w:eastAsia="Times New Roman" w:hAnsi="Garamond" w:cs="Times New Roman"/>
          <w:sz w:val="24"/>
          <w:szCs w:val="24"/>
          <w:lang w:eastAsia="en-GB"/>
        </w:rPr>
        <w:t>supported</w:t>
      </w:r>
      <w:r w:rsidRPr="00C72730">
        <w:rPr>
          <w:rFonts w:ascii="Garamond" w:eastAsia="Times New Roman" w:hAnsi="Garamond" w:cs="Times New Roman"/>
          <w:sz w:val="24"/>
          <w:szCs w:val="24"/>
          <w:lang w:eastAsia="en-GB"/>
        </w:rPr>
        <w:t>. Although for May there is no statistically significant relationship between support for gay marriage and declared support in the leadership election, the hypothesis is correct for the other two candidates. Relative to those who supported gay marriage, the odd</w:t>
      </w:r>
      <w:r w:rsidR="00D75ABD" w:rsidRPr="00C72730">
        <w:rPr>
          <w:rFonts w:ascii="Garamond" w:eastAsia="Times New Roman" w:hAnsi="Garamond" w:cs="Times New Roman"/>
          <w:sz w:val="24"/>
          <w:szCs w:val="24"/>
          <w:lang w:eastAsia="en-GB"/>
        </w:rPr>
        <w:t>s of supporting Leadsom w</w:t>
      </w:r>
      <w:r w:rsidR="009C07A1" w:rsidRPr="00C72730">
        <w:rPr>
          <w:rFonts w:ascii="Garamond" w:eastAsia="Times New Roman" w:hAnsi="Garamond" w:cs="Times New Roman"/>
          <w:sz w:val="24"/>
          <w:szCs w:val="24"/>
          <w:lang w:eastAsia="en-GB"/>
        </w:rPr>
        <w:t>ere</w:t>
      </w:r>
      <w:r w:rsidR="00D75ABD" w:rsidRPr="00C72730">
        <w:rPr>
          <w:rFonts w:ascii="Garamond" w:eastAsia="Times New Roman" w:hAnsi="Garamond" w:cs="Times New Roman"/>
          <w:sz w:val="24"/>
          <w:szCs w:val="24"/>
          <w:lang w:eastAsia="en-GB"/>
        </w:rPr>
        <w:t xml:space="preserve"> 2.71</w:t>
      </w:r>
      <w:r w:rsidRPr="00C72730">
        <w:rPr>
          <w:rFonts w:ascii="Garamond" w:eastAsia="Times New Roman" w:hAnsi="Garamond" w:cs="Times New Roman"/>
          <w:sz w:val="24"/>
          <w:szCs w:val="24"/>
          <w:lang w:eastAsia="en-GB"/>
        </w:rPr>
        <w:t xml:space="preserve"> times higher amongst those who voted against gay marriage, whilst for</w:t>
      </w:r>
      <w:r w:rsidR="00D75ABD" w:rsidRPr="00C72730">
        <w:rPr>
          <w:rFonts w:ascii="Garamond" w:eastAsia="Times New Roman" w:hAnsi="Garamond" w:cs="Times New Roman"/>
          <w:sz w:val="24"/>
          <w:szCs w:val="24"/>
          <w:lang w:eastAsia="en-GB"/>
        </w:rPr>
        <w:t xml:space="preserve"> Gove the odds were 0.31</w:t>
      </w:r>
      <w:r w:rsidRPr="00C72730">
        <w:rPr>
          <w:rFonts w:ascii="Garamond" w:eastAsia="Times New Roman" w:hAnsi="Garamond" w:cs="Times New Roman"/>
          <w:sz w:val="24"/>
          <w:szCs w:val="24"/>
          <w:lang w:eastAsia="en-GB"/>
        </w:rPr>
        <w:t xml:space="preserve"> times higher. </w:t>
      </w:r>
    </w:p>
    <w:p w:rsidR="001D3745" w:rsidRPr="00C72730" w:rsidRDefault="001D3745" w:rsidP="0086281F">
      <w:pPr>
        <w:spacing w:after="0" w:line="360" w:lineRule="auto"/>
        <w:contextualSpacing/>
        <w:jc w:val="both"/>
        <w:rPr>
          <w:rFonts w:ascii="Garamond" w:eastAsia="Times New Roman" w:hAnsi="Garamond" w:cs="Times New Roman"/>
          <w:sz w:val="24"/>
          <w:szCs w:val="24"/>
          <w:lang w:eastAsia="en-GB"/>
        </w:rPr>
      </w:pPr>
    </w:p>
    <w:p w:rsidR="0086281F" w:rsidRPr="00C72730" w:rsidRDefault="0086281F" w:rsidP="0086281F">
      <w:pPr>
        <w:spacing w:after="0" w:line="360" w:lineRule="auto"/>
        <w:contextualSpacing/>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Our assumption with regard to Europe </w:t>
      </w:r>
      <w:r w:rsidRPr="00C72730">
        <w:rPr>
          <w:rFonts w:ascii="Garamond" w:eastAsia="Times New Roman" w:hAnsi="Garamond" w:cs="Times New Roman"/>
          <w:i/>
          <w:sz w:val="24"/>
          <w:szCs w:val="24"/>
          <w:lang w:eastAsia="en-GB"/>
        </w:rPr>
        <w:t xml:space="preserve">[H9] </w:t>
      </w:r>
      <w:r w:rsidR="004A1E1F">
        <w:rPr>
          <w:rFonts w:ascii="Garamond" w:eastAsia="Times New Roman" w:hAnsi="Garamond" w:cs="Times New Roman"/>
          <w:sz w:val="24"/>
          <w:szCs w:val="24"/>
          <w:lang w:eastAsia="en-GB"/>
        </w:rPr>
        <w:t>is supported</w:t>
      </w:r>
      <w:r w:rsidRPr="00C72730">
        <w:rPr>
          <w:rFonts w:ascii="Garamond" w:eastAsia="Times New Roman" w:hAnsi="Garamond" w:cs="Times New Roman"/>
          <w:sz w:val="24"/>
          <w:szCs w:val="24"/>
          <w:lang w:eastAsia="en-GB"/>
        </w:rPr>
        <w:t xml:space="preserve">. Those who </w:t>
      </w:r>
      <w:r w:rsidR="00DB7984" w:rsidRPr="00C72730">
        <w:rPr>
          <w:rFonts w:ascii="Garamond" w:eastAsia="Times New Roman" w:hAnsi="Garamond" w:cs="Times New Roman"/>
          <w:sz w:val="24"/>
          <w:szCs w:val="24"/>
          <w:lang w:eastAsia="en-GB"/>
        </w:rPr>
        <w:t xml:space="preserve">backed </w:t>
      </w:r>
      <w:r w:rsidRPr="00C72730">
        <w:rPr>
          <w:rFonts w:ascii="Garamond" w:eastAsia="Times New Roman" w:hAnsi="Garamond" w:cs="Times New Roman"/>
          <w:sz w:val="24"/>
          <w:szCs w:val="24"/>
          <w:lang w:eastAsia="en-GB"/>
        </w:rPr>
        <w:t xml:space="preserve">remain in the </w:t>
      </w:r>
      <w:r w:rsidR="00DB7984" w:rsidRPr="00C72730">
        <w:rPr>
          <w:rFonts w:ascii="Garamond" w:eastAsia="Times New Roman" w:hAnsi="Garamond" w:cs="Times New Roman"/>
          <w:sz w:val="24"/>
          <w:szCs w:val="24"/>
          <w:lang w:eastAsia="en-GB"/>
        </w:rPr>
        <w:t xml:space="preserve">EU </w:t>
      </w:r>
      <w:r w:rsidRPr="00C72730">
        <w:rPr>
          <w:rFonts w:ascii="Garamond" w:eastAsia="Times New Roman" w:hAnsi="Garamond" w:cs="Times New Roman"/>
          <w:sz w:val="24"/>
          <w:szCs w:val="24"/>
          <w:lang w:eastAsia="en-GB"/>
        </w:rPr>
        <w:t xml:space="preserve">referendum were more likely to </w:t>
      </w:r>
      <w:r w:rsidR="004A1E1F">
        <w:rPr>
          <w:rFonts w:ascii="Garamond" w:eastAsia="Times New Roman" w:hAnsi="Garamond" w:cs="Times New Roman"/>
          <w:sz w:val="24"/>
          <w:szCs w:val="24"/>
          <w:lang w:eastAsia="en-GB"/>
        </w:rPr>
        <w:t>vote for</w:t>
      </w:r>
      <w:r w:rsidRPr="00C72730">
        <w:rPr>
          <w:rFonts w:ascii="Garamond" w:eastAsia="Times New Roman" w:hAnsi="Garamond" w:cs="Times New Roman"/>
          <w:sz w:val="24"/>
          <w:szCs w:val="24"/>
          <w:lang w:eastAsia="en-GB"/>
        </w:rPr>
        <w:t xml:space="preserve"> May and less likely to </w:t>
      </w:r>
      <w:r w:rsidR="004A1E1F">
        <w:rPr>
          <w:rFonts w:ascii="Garamond" w:eastAsia="Times New Roman" w:hAnsi="Garamond" w:cs="Times New Roman"/>
          <w:sz w:val="24"/>
          <w:szCs w:val="24"/>
          <w:lang w:eastAsia="en-GB"/>
        </w:rPr>
        <w:t>vote for</w:t>
      </w:r>
      <w:r w:rsidRPr="00C72730">
        <w:rPr>
          <w:rFonts w:ascii="Garamond" w:eastAsia="Times New Roman" w:hAnsi="Garamond" w:cs="Times New Roman"/>
          <w:sz w:val="24"/>
          <w:szCs w:val="24"/>
          <w:lang w:eastAsia="en-GB"/>
        </w:rPr>
        <w:t xml:space="preserve"> Leadsom </w:t>
      </w:r>
      <w:r w:rsidR="00C159A8">
        <w:rPr>
          <w:rFonts w:ascii="Garamond" w:eastAsia="Times New Roman" w:hAnsi="Garamond" w:cs="Times New Roman"/>
          <w:sz w:val="24"/>
          <w:szCs w:val="24"/>
          <w:lang w:eastAsia="en-GB"/>
        </w:rPr>
        <w:t>or</w:t>
      </w:r>
      <w:r w:rsidR="00C159A8" w:rsidRPr="00C72730">
        <w:rPr>
          <w:rFonts w:ascii="Garamond" w:eastAsia="Times New Roman" w:hAnsi="Garamond" w:cs="Times New Roman"/>
          <w:sz w:val="24"/>
          <w:szCs w:val="24"/>
          <w:lang w:eastAsia="en-GB"/>
        </w:rPr>
        <w:t xml:space="preserve"> </w:t>
      </w:r>
      <w:r w:rsidRPr="00C72730">
        <w:rPr>
          <w:rFonts w:ascii="Garamond" w:eastAsia="Times New Roman" w:hAnsi="Garamond" w:cs="Times New Roman"/>
          <w:sz w:val="24"/>
          <w:szCs w:val="24"/>
          <w:lang w:eastAsia="en-GB"/>
        </w:rPr>
        <w:t xml:space="preserve">Gove. </w:t>
      </w:r>
      <w:r w:rsidR="00D00F5A">
        <w:rPr>
          <w:rFonts w:ascii="Garamond" w:eastAsia="Times New Roman" w:hAnsi="Garamond" w:cs="Times New Roman"/>
          <w:sz w:val="24"/>
          <w:szCs w:val="24"/>
          <w:lang w:eastAsia="en-GB"/>
        </w:rPr>
        <w:t xml:space="preserve">The descriptive statistics paint a striking picture, with 91 percent of the MPs identified as remain supporters backing Theresa May for the premiership. May also won the backing of 16.5 percent of MPs who had voted to leave the EU, lending some credibility </w:t>
      </w:r>
      <w:r w:rsidR="00E95DE0">
        <w:rPr>
          <w:rFonts w:ascii="Garamond" w:eastAsia="Times New Roman" w:hAnsi="Garamond" w:cs="Times New Roman"/>
          <w:sz w:val="24"/>
          <w:szCs w:val="24"/>
          <w:lang w:eastAsia="en-GB"/>
        </w:rPr>
        <w:t xml:space="preserve">to her claim that she could unite the party, and perhaps also </w:t>
      </w:r>
      <w:r w:rsidR="000E22A3">
        <w:rPr>
          <w:rFonts w:ascii="Garamond" w:eastAsia="Times New Roman" w:hAnsi="Garamond" w:cs="Times New Roman"/>
          <w:sz w:val="24"/>
          <w:szCs w:val="24"/>
          <w:lang w:eastAsia="en-GB"/>
        </w:rPr>
        <w:t>vindicating her decision to have</w:t>
      </w:r>
      <w:r w:rsidR="00E95DE0">
        <w:rPr>
          <w:rFonts w:ascii="Garamond" w:eastAsia="Times New Roman" w:hAnsi="Garamond" w:cs="Times New Roman"/>
          <w:sz w:val="24"/>
          <w:szCs w:val="24"/>
          <w:lang w:eastAsia="en-GB"/>
        </w:rPr>
        <w:t xml:space="preserve"> </w:t>
      </w:r>
      <w:r w:rsidR="00740CFA">
        <w:rPr>
          <w:rFonts w:ascii="Garamond" w:eastAsia="Times New Roman" w:hAnsi="Garamond" w:cs="Times New Roman"/>
          <w:sz w:val="24"/>
          <w:szCs w:val="24"/>
          <w:lang w:eastAsia="en-GB"/>
        </w:rPr>
        <w:t>a</w:t>
      </w:r>
      <w:r w:rsidR="00E95DE0">
        <w:rPr>
          <w:rFonts w:ascii="Garamond" w:eastAsia="Times New Roman" w:hAnsi="Garamond" w:cs="Times New Roman"/>
          <w:sz w:val="24"/>
          <w:szCs w:val="24"/>
          <w:lang w:eastAsia="en-GB"/>
        </w:rPr>
        <w:t xml:space="preserve"> prominent </w:t>
      </w:r>
      <w:proofErr w:type="spellStart"/>
      <w:r w:rsidR="00E95DE0">
        <w:rPr>
          <w:rFonts w:ascii="Garamond" w:eastAsia="Times New Roman" w:hAnsi="Garamond" w:cs="Times New Roman"/>
          <w:sz w:val="24"/>
          <w:szCs w:val="24"/>
          <w:lang w:eastAsia="en-GB"/>
        </w:rPr>
        <w:t>Bre</w:t>
      </w:r>
      <w:r w:rsidR="000E22A3">
        <w:rPr>
          <w:rFonts w:ascii="Garamond" w:eastAsia="Times New Roman" w:hAnsi="Garamond" w:cs="Times New Roman"/>
          <w:sz w:val="24"/>
          <w:szCs w:val="24"/>
          <w:lang w:eastAsia="en-GB"/>
        </w:rPr>
        <w:t>xiteer</w:t>
      </w:r>
      <w:proofErr w:type="spellEnd"/>
      <w:r w:rsidR="000E22A3">
        <w:rPr>
          <w:rFonts w:ascii="Garamond" w:eastAsia="Times New Roman" w:hAnsi="Garamond" w:cs="Times New Roman"/>
          <w:sz w:val="24"/>
          <w:szCs w:val="24"/>
          <w:lang w:eastAsia="en-GB"/>
        </w:rPr>
        <w:t xml:space="preserve">, Chris Grayling, manage </w:t>
      </w:r>
      <w:r w:rsidR="00E95DE0">
        <w:rPr>
          <w:rFonts w:ascii="Garamond" w:eastAsia="Times New Roman" w:hAnsi="Garamond" w:cs="Times New Roman"/>
          <w:sz w:val="24"/>
          <w:szCs w:val="24"/>
          <w:lang w:eastAsia="en-GB"/>
        </w:rPr>
        <w:t xml:space="preserve">her campaign. </w:t>
      </w:r>
      <w:r w:rsidRPr="00C72730">
        <w:rPr>
          <w:rFonts w:ascii="Garamond" w:eastAsia="Times New Roman" w:hAnsi="Garamond" w:cs="Times New Roman"/>
          <w:sz w:val="24"/>
          <w:szCs w:val="24"/>
          <w:lang w:eastAsia="en-GB"/>
        </w:rPr>
        <w:t xml:space="preserve">In terms of support for May, relative to those MPs who voted to leave the EU, </w:t>
      </w:r>
      <w:r w:rsidR="00D75ABD" w:rsidRPr="00C72730">
        <w:rPr>
          <w:rFonts w:ascii="Garamond" w:eastAsia="Times New Roman" w:hAnsi="Garamond" w:cs="Times New Roman"/>
          <w:sz w:val="24"/>
          <w:szCs w:val="24"/>
          <w:lang w:eastAsia="en-GB"/>
        </w:rPr>
        <w:t>those who voted to remain had 18</w:t>
      </w:r>
      <w:r w:rsidRPr="00C72730">
        <w:rPr>
          <w:rFonts w:ascii="Garamond" w:eastAsia="Times New Roman" w:hAnsi="Garamond" w:cs="Times New Roman"/>
          <w:sz w:val="24"/>
          <w:szCs w:val="24"/>
          <w:lang w:eastAsia="en-GB"/>
        </w:rPr>
        <w:t>.48 times the odds of supporting May, whilst th</w:t>
      </w:r>
      <w:r w:rsidR="00D75ABD" w:rsidRPr="00C72730">
        <w:rPr>
          <w:rFonts w:ascii="Garamond" w:eastAsia="Times New Roman" w:hAnsi="Garamond" w:cs="Times New Roman"/>
          <w:sz w:val="24"/>
          <w:szCs w:val="24"/>
          <w:lang w:eastAsia="en-GB"/>
        </w:rPr>
        <w:t>ose who were undeclared had 5.55</w:t>
      </w:r>
      <w:r w:rsidRPr="00C72730">
        <w:rPr>
          <w:rFonts w:ascii="Garamond" w:eastAsia="Times New Roman" w:hAnsi="Garamond" w:cs="Times New Roman"/>
          <w:sz w:val="24"/>
          <w:szCs w:val="24"/>
          <w:lang w:eastAsia="en-GB"/>
        </w:rPr>
        <w:t xml:space="preserve"> times the odds of supporting May. Contrastingly, relative to those who voted to leave, th</w:t>
      </w:r>
      <w:r w:rsidR="00D75ABD" w:rsidRPr="00C72730">
        <w:rPr>
          <w:rFonts w:ascii="Garamond" w:eastAsia="Times New Roman" w:hAnsi="Garamond" w:cs="Times New Roman"/>
          <w:sz w:val="24"/>
          <w:szCs w:val="24"/>
          <w:lang w:eastAsia="en-GB"/>
        </w:rPr>
        <w:t>ose who voted to remain had 0.05</w:t>
      </w:r>
      <w:r w:rsidRPr="00C72730">
        <w:rPr>
          <w:rFonts w:ascii="Garamond" w:eastAsia="Times New Roman" w:hAnsi="Garamond" w:cs="Times New Roman"/>
          <w:sz w:val="24"/>
          <w:szCs w:val="24"/>
          <w:lang w:eastAsia="en-GB"/>
        </w:rPr>
        <w:t xml:space="preserve"> times the odds</w:t>
      </w:r>
      <w:r w:rsidR="00D75ABD" w:rsidRPr="00C72730">
        <w:rPr>
          <w:rFonts w:ascii="Garamond" w:eastAsia="Times New Roman" w:hAnsi="Garamond" w:cs="Times New Roman"/>
          <w:sz w:val="24"/>
          <w:szCs w:val="24"/>
          <w:lang w:eastAsia="en-GB"/>
        </w:rPr>
        <w:t xml:space="preserve"> of supporting Leadsom, and 0.17</w:t>
      </w:r>
      <w:r w:rsidRPr="00C72730">
        <w:rPr>
          <w:rFonts w:ascii="Garamond" w:eastAsia="Times New Roman" w:hAnsi="Garamond" w:cs="Times New Roman"/>
          <w:sz w:val="24"/>
          <w:szCs w:val="24"/>
          <w:lang w:eastAsia="en-GB"/>
        </w:rPr>
        <w:t xml:space="preserve"> times the odds of supporting Gove. </w:t>
      </w:r>
    </w:p>
    <w:p w:rsidR="0086281F" w:rsidRPr="00C72730" w:rsidRDefault="0086281F" w:rsidP="0086281F">
      <w:pPr>
        <w:spacing w:after="0" w:line="360" w:lineRule="auto"/>
        <w:contextualSpacing/>
        <w:jc w:val="both"/>
        <w:rPr>
          <w:rFonts w:ascii="Garamond" w:eastAsia="Times New Roman" w:hAnsi="Garamond" w:cs="Times New Roman"/>
          <w:sz w:val="24"/>
          <w:szCs w:val="24"/>
          <w:lang w:eastAsia="en-GB"/>
        </w:rPr>
      </w:pPr>
    </w:p>
    <w:p w:rsidR="00D75ABD" w:rsidRPr="00C72730" w:rsidRDefault="0086281F" w:rsidP="00D75ABD">
      <w:pPr>
        <w:spacing w:after="0" w:line="360" w:lineRule="auto"/>
        <w:contextualSpacing/>
        <w:jc w:val="both"/>
        <w:rPr>
          <w:rFonts w:ascii="Garamond" w:hAnsi="Garamond"/>
          <w:sz w:val="24"/>
          <w:szCs w:val="24"/>
        </w:rPr>
      </w:pPr>
      <w:r w:rsidRPr="00C72730">
        <w:rPr>
          <w:rFonts w:ascii="Garamond" w:eastAsia="Times New Roman" w:hAnsi="Garamond" w:cs="Times New Roman"/>
          <w:sz w:val="24"/>
          <w:szCs w:val="24"/>
          <w:lang w:eastAsia="en-GB"/>
        </w:rPr>
        <w:t>Overall, the log</w:t>
      </w:r>
      <w:r w:rsidR="00D75ABD" w:rsidRPr="00C72730">
        <w:rPr>
          <w:rFonts w:ascii="Garamond" w:eastAsia="Times New Roman" w:hAnsi="Garamond" w:cs="Times New Roman"/>
          <w:sz w:val="24"/>
          <w:szCs w:val="24"/>
          <w:lang w:eastAsia="en-GB"/>
        </w:rPr>
        <w:t xml:space="preserve">istic regression models presented in table 2 show that </w:t>
      </w:r>
      <w:r w:rsidR="009B3448" w:rsidRPr="00C72730">
        <w:rPr>
          <w:rFonts w:ascii="Garamond" w:hAnsi="Garamond"/>
          <w:sz w:val="24"/>
          <w:szCs w:val="24"/>
        </w:rPr>
        <w:t>for support for May, the only variable of statistical signi</w:t>
      </w:r>
      <w:r w:rsidR="00D75ABD" w:rsidRPr="00C72730">
        <w:rPr>
          <w:rFonts w:ascii="Garamond" w:hAnsi="Garamond"/>
          <w:sz w:val="24"/>
          <w:szCs w:val="24"/>
        </w:rPr>
        <w:t>ficance is how</w:t>
      </w:r>
      <w:r w:rsidR="00AF6624" w:rsidRPr="00C72730">
        <w:rPr>
          <w:rFonts w:ascii="Garamond" w:hAnsi="Garamond"/>
          <w:sz w:val="24"/>
          <w:szCs w:val="24"/>
        </w:rPr>
        <w:t xml:space="preserve"> a Conservative parliamentarian</w:t>
      </w:r>
      <w:r w:rsidR="009B3448" w:rsidRPr="00C72730">
        <w:rPr>
          <w:rFonts w:ascii="Garamond" w:hAnsi="Garamond"/>
          <w:sz w:val="24"/>
          <w:szCs w:val="24"/>
        </w:rPr>
        <w:t xml:space="preserve"> voted in the EU referendum. In terms of support for Leadsom, four variables are significant. Firstly, relative to those who be</w:t>
      </w:r>
      <w:r w:rsidR="00FD6EB1" w:rsidRPr="00C72730">
        <w:rPr>
          <w:rFonts w:ascii="Garamond" w:hAnsi="Garamond"/>
          <w:sz w:val="24"/>
          <w:szCs w:val="24"/>
        </w:rPr>
        <w:t>came Conservative parliamentarians</w:t>
      </w:r>
      <w:r w:rsidR="009B3448" w:rsidRPr="00C72730">
        <w:rPr>
          <w:rFonts w:ascii="Garamond" w:hAnsi="Garamond"/>
          <w:sz w:val="24"/>
          <w:szCs w:val="24"/>
        </w:rPr>
        <w:t xml:space="preserve"> before 1997, those who became an MP after 2015 had 0.22 times</w:t>
      </w:r>
      <w:r w:rsidR="009C07A1" w:rsidRPr="00C72730">
        <w:rPr>
          <w:rFonts w:ascii="Garamond" w:hAnsi="Garamond"/>
          <w:sz w:val="24"/>
          <w:szCs w:val="24"/>
        </w:rPr>
        <w:t xml:space="preserve"> the</w:t>
      </w:r>
      <w:r w:rsidR="009B3448" w:rsidRPr="00C72730">
        <w:rPr>
          <w:rFonts w:ascii="Garamond" w:hAnsi="Garamond"/>
          <w:sz w:val="24"/>
          <w:szCs w:val="24"/>
        </w:rPr>
        <w:t xml:space="preserve"> odds of supporting Leadsom. This sugge</w:t>
      </w:r>
      <w:r w:rsidR="00FD6EB1" w:rsidRPr="00C72730">
        <w:rPr>
          <w:rFonts w:ascii="Garamond" w:hAnsi="Garamond"/>
          <w:sz w:val="24"/>
          <w:szCs w:val="24"/>
        </w:rPr>
        <w:t>sts the newer cohort of Conservative parliamentarians</w:t>
      </w:r>
      <w:r w:rsidR="009B3448" w:rsidRPr="00C72730">
        <w:rPr>
          <w:rFonts w:ascii="Garamond" w:hAnsi="Garamond"/>
          <w:sz w:val="24"/>
          <w:szCs w:val="24"/>
        </w:rPr>
        <w:t xml:space="preserve"> was less receptive to </w:t>
      </w:r>
      <w:proofErr w:type="spellStart"/>
      <w:r w:rsidR="009B3448" w:rsidRPr="00C72730">
        <w:rPr>
          <w:rFonts w:ascii="Garamond" w:hAnsi="Garamond"/>
          <w:sz w:val="24"/>
          <w:szCs w:val="24"/>
        </w:rPr>
        <w:t>Leadsom’s</w:t>
      </w:r>
      <w:proofErr w:type="spellEnd"/>
      <w:r w:rsidR="009B3448" w:rsidRPr="00C72730">
        <w:rPr>
          <w:rFonts w:ascii="Garamond" w:hAnsi="Garamond"/>
          <w:sz w:val="24"/>
          <w:szCs w:val="24"/>
        </w:rPr>
        <w:t xml:space="preserve"> right-wing, socially cons</w:t>
      </w:r>
      <w:r w:rsidR="00FD6EB1" w:rsidRPr="00C72730">
        <w:rPr>
          <w:rFonts w:ascii="Garamond" w:hAnsi="Garamond"/>
          <w:sz w:val="24"/>
          <w:szCs w:val="24"/>
        </w:rPr>
        <w:t xml:space="preserve">ervative message than those </w:t>
      </w:r>
      <w:r w:rsidR="009B3448" w:rsidRPr="00C72730">
        <w:rPr>
          <w:rFonts w:ascii="Garamond" w:hAnsi="Garamond"/>
          <w:sz w:val="24"/>
          <w:szCs w:val="24"/>
        </w:rPr>
        <w:t>who had been in the Commons since the Thatcher or Major years.</w:t>
      </w:r>
      <w:r w:rsidR="00D75ABD" w:rsidRPr="00C72730">
        <w:rPr>
          <w:rFonts w:ascii="Garamond" w:eastAsia="Times New Roman" w:hAnsi="Garamond" w:cs="Times New Roman"/>
          <w:sz w:val="24"/>
          <w:szCs w:val="24"/>
          <w:lang w:eastAsia="en-GB"/>
        </w:rPr>
        <w:t xml:space="preserve"> </w:t>
      </w:r>
      <w:r w:rsidR="009B3448" w:rsidRPr="00C72730">
        <w:rPr>
          <w:rFonts w:ascii="Garamond" w:hAnsi="Garamond"/>
          <w:sz w:val="24"/>
          <w:szCs w:val="24"/>
        </w:rPr>
        <w:t>Relative to those who were current ministers, backbenchers who had never held ministerial positions had 3.1 times greater odds of supporting Leadsom, again suggesting that those who shared her ideological positioning were not favoured under the Cameron government. This is reinforced by the measure of how one voted in the same sex marriage debate. Relative to those who voted in favour, those who voted against have 2.7 times greater odds of supporting Leadsom. Finally for</w:t>
      </w:r>
      <w:r w:rsidR="00FD6EB1" w:rsidRPr="00C72730">
        <w:rPr>
          <w:rFonts w:ascii="Garamond" w:hAnsi="Garamond"/>
          <w:sz w:val="24"/>
          <w:szCs w:val="24"/>
        </w:rPr>
        <w:t xml:space="preserve"> Leadsom, as with May, how Conservative parliamentarians</w:t>
      </w:r>
      <w:r w:rsidR="009B3448" w:rsidRPr="00C72730">
        <w:rPr>
          <w:rFonts w:ascii="Garamond" w:hAnsi="Garamond"/>
          <w:sz w:val="24"/>
          <w:szCs w:val="24"/>
        </w:rPr>
        <w:t xml:space="preserve"> voted in the EU referendum is very important in determining </w:t>
      </w:r>
      <w:r w:rsidR="007F485B">
        <w:rPr>
          <w:rFonts w:ascii="Garamond" w:hAnsi="Garamond"/>
          <w:sz w:val="24"/>
          <w:szCs w:val="24"/>
        </w:rPr>
        <w:t>her support</w:t>
      </w:r>
      <w:r w:rsidR="009B3448" w:rsidRPr="00C72730">
        <w:rPr>
          <w:rFonts w:ascii="Garamond" w:hAnsi="Garamond"/>
          <w:sz w:val="24"/>
          <w:szCs w:val="24"/>
        </w:rPr>
        <w:t xml:space="preserve">. Relative to those who voted leave, those who voted to remain had 0.05 times the odds of supporting Leadsom. Hence, we can see that </w:t>
      </w:r>
      <w:proofErr w:type="spellStart"/>
      <w:r w:rsidR="009B3448" w:rsidRPr="00C72730">
        <w:rPr>
          <w:rFonts w:ascii="Garamond" w:hAnsi="Garamond"/>
          <w:sz w:val="24"/>
          <w:szCs w:val="24"/>
        </w:rPr>
        <w:t>Leadsom’s</w:t>
      </w:r>
      <w:proofErr w:type="spellEnd"/>
      <w:r w:rsidR="009B3448" w:rsidRPr="00C72730">
        <w:rPr>
          <w:rFonts w:ascii="Garamond" w:hAnsi="Garamond"/>
          <w:sz w:val="24"/>
          <w:szCs w:val="24"/>
        </w:rPr>
        <w:t xml:space="preserve"> support was higher amongst socially conservative </w:t>
      </w:r>
      <w:proofErr w:type="spellStart"/>
      <w:r w:rsidR="009B3448" w:rsidRPr="00C72730">
        <w:rPr>
          <w:rFonts w:ascii="Garamond" w:hAnsi="Garamond"/>
          <w:sz w:val="24"/>
          <w:szCs w:val="24"/>
        </w:rPr>
        <w:t>Brexiteer</w:t>
      </w:r>
      <w:r w:rsidR="00FD6EB1" w:rsidRPr="00C72730">
        <w:rPr>
          <w:rFonts w:ascii="Garamond" w:hAnsi="Garamond"/>
          <w:sz w:val="24"/>
          <w:szCs w:val="24"/>
        </w:rPr>
        <w:t>s</w:t>
      </w:r>
      <w:proofErr w:type="spellEnd"/>
      <w:r w:rsidR="00FD6EB1" w:rsidRPr="00C72730">
        <w:rPr>
          <w:rFonts w:ascii="Garamond" w:hAnsi="Garamond"/>
          <w:sz w:val="24"/>
          <w:szCs w:val="24"/>
        </w:rPr>
        <w:t>, who tended to have been in Parliament</w:t>
      </w:r>
      <w:r w:rsidR="009B3448" w:rsidRPr="00C72730">
        <w:rPr>
          <w:rFonts w:ascii="Garamond" w:hAnsi="Garamond"/>
          <w:sz w:val="24"/>
          <w:szCs w:val="24"/>
        </w:rPr>
        <w:t xml:space="preserve"> for longer, and who had been passed over for ministerial positions.</w:t>
      </w:r>
      <w:r w:rsidR="00D75ABD" w:rsidRPr="00C72730">
        <w:rPr>
          <w:rFonts w:ascii="Garamond" w:eastAsia="Times New Roman" w:hAnsi="Garamond" w:cs="Times New Roman"/>
          <w:sz w:val="24"/>
          <w:szCs w:val="24"/>
          <w:lang w:eastAsia="en-GB"/>
        </w:rPr>
        <w:t xml:space="preserve"> </w:t>
      </w:r>
      <w:r w:rsidR="009B3448" w:rsidRPr="00C72730">
        <w:rPr>
          <w:rFonts w:ascii="Garamond" w:hAnsi="Garamond"/>
          <w:sz w:val="24"/>
          <w:szCs w:val="24"/>
        </w:rPr>
        <w:t xml:space="preserve">Finally, for support for Gove’s candidacy, we can see that his support is drawn from socially liberal </w:t>
      </w:r>
      <w:proofErr w:type="spellStart"/>
      <w:r w:rsidR="009B3448" w:rsidRPr="00C72730">
        <w:rPr>
          <w:rFonts w:ascii="Garamond" w:hAnsi="Garamond"/>
          <w:sz w:val="24"/>
          <w:szCs w:val="24"/>
        </w:rPr>
        <w:t>Brexiteers</w:t>
      </w:r>
      <w:proofErr w:type="spellEnd"/>
      <w:r w:rsidR="009B3448" w:rsidRPr="00C72730">
        <w:rPr>
          <w:rFonts w:ascii="Garamond" w:hAnsi="Garamond"/>
          <w:sz w:val="24"/>
          <w:szCs w:val="24"/>
        </w:rPr>
        <w:t xml:space="preserve">. Relative to those who voted for same sex marriage, those who voted against had 0.3 times the odds of backing the former Education Secretary, and relative to those who declared </w:t>
      </w:r>
      <w:r w:rsidR="009B3448" w:rsidRPr="00C72730">
        <w:rPr>
          <w:rFonts w:ascii="Garamond" w:hAnsi="Garamond"/>
          <w:sz w:val="24"/>
          <w:szCs w:val="24"/>
        </w:rPr>
        <w:lastRenderedPageBreak/>
        <w:t>their intention to vote to leave, those who declared in favour of remaining had 0.2 times the odds of backing Gove.</w:t>
      </w:r>
    </w:p>
    <w:p w:rsidR="00D75ABD" w:rsidRPr="00C72730" w:rsidRDefault="00D75ABD" w:rsidP="00D75ABD">
      <w:pPr>
        <w:spacing w:after="0" w:line="360" w:lineRule="auto"/>
        <w:contextualSpacing/>
        <w:jc w:val="both"/>
        <w:rPr>
          <w:rFonts w:ascii="Garamond" w:eastAsia="Times New Roman" w:hAnsi="Garamond" w:cs="Times New Roman"/>
          <w:sz w:val="24"/>
          <w:szCs w:val="24"/>
          <w:lang w:eastAsia="en-GB"/>
        </w:rPr>
      </w:pPr>
    </w:p>
    <w:p w:rsidR="00A55E86" w:rsidRPr="00C72730" w:rsidRDefault="00AF6624" w:rsidP="000E22A3">
      <w:pPr>
        <w:spacing w:after="0" w:line="360" w:lineRule="auto"/>
        <w:contextualSpacing/>
        <w:jc w:val="both"/>
        <w:rPr>
          <w:rFonts w:ascii="Garamond" w:eastAsia="Times New Roman" w:hAnsi="Garamond" w:cs="Times New Roman"/>
          <w:sz w:val="24"/>
          <w:szCs w:val="24"/>
          <w:lang w:eastAsia="en-GB"/>
        </w:rPr>
      </w:pPr>
      <w:r w:rsidRPr="00C72730">
        <w:rPr>
          <w:rFonts w:ascii="Garamond" w:hAnsi="Garamond"/>
          <w:sz w:val="24"/>
          <w:szCs w:val="24"/>
        </w:rPr>
        <w:t>Therefore</w:t>
      </w:r>
      <w:r w:rsidR="009B3448" w:rsidRPr="00C72730">
        <w:rPr>
          <w:rFonts w:ascii="Garamond" w:hAnsi="Garamond"/>
          <w:sz w:val="24"/>
          <w:szCs w:val="24"/>
        </w:rPr>
        <w:t>, we can see two major cleavages in this leadership election</w:t>
      </w:r>
      <w:r w:rsidR="007F485B">
        <w:rPr>
          <w:rFonts w:ascii="Garamond" w:hAnsi="Garamond"/>
          <w:sz w:val="24"/>
          <w:szCs w:val="24"/>
        </w:rPr>
        <w:t>:</w:t>
      </w:r>
      <w:r w:rsidR="009B3448" w:rsidRPr="00C72730">
        <w:rPr>
          <w:rFonts w:ascii="Garamond" w:hAnsi="Garamond"/>
          <w:sz w:val="24"/>
          <w:szCs w:val="24"/>
        </w:rPr>
        <w:t xml:space="preserve"> positioning in the EU referendum a</w:t>
      </w:r>
      <w:r w:rsidR="000E22A3">
        <w:rPr>
          <w:rFonts w:ascii="Garamond" w:hAnsi="Garamond"/>
          <w:sz w:val="24"/>
          <w:szCs w:val="24"/>
        </w:rPr>
        <w:t>nd social liberalism/conservat</w:t>
      </w:r>
      <w:r w:rsidR="009B3448" w:rsidRPr="00C72730">
        <w:rPr>
          <w:rFonts w:ascii="Garamond" w:hAnsi="Garamond"/>
          <w:sz w:val="24"/>
          <w:szCs w:val="24"/>
        </w:rPr>
        <w:t xml:space="preserve">ism. May’s support was drawn from those who backed remain in the referendum, whilst Leadsom and Gove both drew support from </w:t>
      </w:r>
      <w:proofErr w:type="spellStart"/>
      <w:r w:rsidR="009B3448" w:rsidRPr="00C72730">
        <w:rPr>
          <w:rFonts w:ascii="Garamond" w:hAnsi="Garamond"/>
          <w:sz w:val="24"/>
          <w:szCs w:val="24"/>
        </w:rPr>
        <w:t>Brexiteers</w:t>
      </w:r>
      <w:proofErr w:type="spellEnd"/>
      <w:r w:rsidR="007F485B">
        <w:rPr>
          <w:rFonts w:ascii="Garamond" w:hAnsi="Garamond"/>
          <w:sz w:val="24"/>
          <w:szCs w:val="24"/>
        </w:rPr>
        <w:t>;</w:t>
      </w:r>
      <w:r w:rsidR="009B3448" w:rsidRPr="00C72730">
        <w:rPr>
          <w:rFonts w:ascii="Garamond" w:hAnsi="Garamond"/>
          <w:sz w:val="24"/>
          <w:szCs w:val="24"/>
        </w:rPr>
        <w:t xml:space="preserve"> the former from socially conservative members of the PCP, and the latter from the socially liberal wing.</w:t>
      </w:r>
    </w:p>
    <w:p w:rsidR="006217BD" w:rsidRPr="00C72730" w:rsidRDefault="006217BD" w:rsidP="00DC066F">
      <w:pPr>
        <w:shd w:val="clear" w:color="auto" w:fill="FFFFFF"/>
        <w:spacing w:after="0" w:line="360" w:lineRule="auto"/>
        <w:jc w:val="both"/>
        <w:textAlignment w:val="center"/>
        <w:rPr>
          <w:rFonts w:ascii="Calibri" w:eastAsia="Times New Roman" w:hAnsi="Calibri" w:cs="Times New Roman"/>
          <w:lang w:eastAsia="en-GB"/>
        </w:rPr>
      </w:pPr>
    </w:p>
    <w:p w:rsidR="00A55E86" w:rsidRPr="00C72730" w:rsidRDefault="00A55E86" w:rsidP="00DC066F">
      <w:pPr>
        <w:shd w:val="clear" w:color="auto" w:fill="FFFFFF"/>
        <w:spacing w:after="0" w:line="360" w:lineRule="auto"/>
        <w:jc w:val="both"/>
        <w:textAlignment w:val="center"/>
        <w:outlineLvl w:val="0"/>
        <w:rPr>
          <w:rFonts w:ascii="Calibri" w:eastAsia="Times New Roman" w:hAnsi="Calibri" w:cs="Times New Roman"/>
          <w:sz w:val="24"/>
          <w:szCs w:val="24"/>
          <w:lang w:eastAsia="en-GB"/>
        </w:rPr>
      </w:pPr>
      <w:r w:rsidRPr="00C72730">
        <w:rPr>
          <w:rFonts w:ascii="Garamond" w:eastAsia="Times New Roman" w:hAnsi="Garamond" w:cs="Times New Roman"/>
          <w:b/>
          <w:bCs/>
          <w:sz w:val="24"/>
          <w:szCs w:val="24"/>
          <w:lang w:eastAsia="en-GB"/>
        </w:rPr>
        <w:t>Concl</w:t>
      </w:r>
      <w:r w:rsidR="003B70FD" w:rsidRPr="00C72730">
        <w:rPr>
          <w:rFonts w:ascii="Garamond" w:eastAsia="Times New Roman" w:hAnsi="Garamond" w:cs="Times New Roman"/>
          <w:b/>
          <w:bCs/>
          <w:sz w:val="24"/>
          <w:szCs w:val="24"/>
          <w:lang w:eastAsia="en-GB"/>
        </w:rPr>
        <w:t>usion</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r w:rsidRPr="00C72730">
        <w:rPr>
          <w:rFonts w:ascii="Garamond" w:eastAsia="Times New Roman" w:hAnsi="Garamond" w:cs="Times New Roman"/>
          <w:bCs/>
          <w:sz w:val="24"/>
          <w:szCs w:val="24"/>
          <w:lang w:eastAsia="en-GB"/>
        </w:rPr>
        <w:t xml:space="preserve">This paper set out to explain how May was able to secure such a convincing victory in the second and telling ballot of Conservative MPs by analysing the demographic and attitudinal bases of </w:t>
      </w:r>
      <w:r w:rsidR="009B2D7F">
        <w:rPr>
          <w:rFonts w:ascii="Garamond" w:eastAsia="Times New Roman" w:hAnsi="Garamond" w:cs="Times New Roman"/>
          <w:bCs/>
          <w:sz w:val="24"/>
          <w:szCs w:val="24"/>
          <w:lang w:eastAsia="en-GB"/>
        </w:rPr>
        <w:t xml:space="preserve">her </w:t>
      </w:r>
      <w:r w:rsidRPr="00C72730">
        <w:rPr>
          <w:rFonts w:ascii="Garamond" w:eastAsia="Times New Roman" w:hAnsi="Garamond" w:cs="Times New Roman"/>
          <w:bCs/>
          <w:sz w:val="24"/>
          <w:szCs w:val="24"/>
          <w:lang w:eastAsia="en-GB"/>
        </w:rPr>
        <w:t xml:space="preserve">support. In so doing it draws upon a unique and detailed dataset that facilitates a rigorous statistical analysis, allowing us to test assumptions that might underpin media accounts or more narrative-based academic inquiries. Our work consequently contributes to and develops the systematic approach to analysing leadership elections, as discussed above, </w:t>
      </w:r>
      <w:r w:rsidR="009B2D7F">
        <w:rPr>
          <w:rFonts w:ascii="Garamond" w:eastAsia="Times New Roman" w:hAnsi="Garamond" w:cs="Times New Roman"/>
          <w:bCs/>
          <w:sz w:val="24"/>
          <w:szCs w:val="24"/>
          <w:lang w:eastAsia="en-GB"/>
        </w:rPr>
        <w:t xml:space="preserve">by </w:t>
      </w:r>
      <w:r w:rsidRPr="00C72730">
        <w:rPr>
          <w:rFonts w:ascii="Garamond" w:eastAsia="Times New Roman" w:hAnsi="Garamond" w:cs="Times New Roman"/>
          <w:bCs/>
          <w:sz w:val="24"/>
          <w:szCs w:val="24"/>
          <w:lang w:eastAsia="en-GB"/>
        </w:rPr>
        <w:t>extending the investigation of social, political and ideological variables with</w:t>
      </w:r>
      <w:r w:rsidR="009B2D7F">
        <w:rPr>
          <w:rFonts w:ascii="Garamond" w:eastAsia="Times New Roman" w:hAnsi="Garamond" w:cs="Times New Roman"/>
          <w:bCs/>
          <w:sz w:val="24"/>
          <w:szCs w:val="24"/>
          <w:lang w:eastAsia="en-GB"/>
        </w:rPr>
        <w:t>in</w:t>
      </w:r>
      <w:r w:rsidRPr="00C72730">
        <w:rPr>
          <w:rFonts w:ascii="Garamond" w:eastAsia="Times New Roman" w:hAnsi="Garamond" w:cs="Times New Roman"/>
          <w:bCs/>
          <w:sz w:val="24"/>
          <w:szCs w:val="24"/>
          <w:lang w:eastAsia="en-GB"/>
        </w:rPr>
        <w:t xml:space="preserve"> the PCP.</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r w:rsidRPr="00C72730">
        <w:rPr>
          <w:rFonts w:ascii="Garamond" w:eastAsia="Times New Roman" w:hAnsi="Garamond" w:cs="Times New Roman"/>
          <w:bCs/>
          <w:sz w:val="24"/>
          <w:szCs w:val="24"/>
          <w:lang w:eastAsia="en-GB"/>
        </w:rPr>
        <w:t xml:space="preserve">The result was extraordinary not just for the level of support May secured, which proved sufficient to prompt the withdrawal of her remaining rival and the abandonment of the final ballot of the full party membership, but because of the widespread expectation that Cameron’s successor would come from the Brexit wing of the party. Indeed, all the pro-Brexit runners and riders in the contest tried to argue that only a </w:t>
      </w:r>
      <w:proofErr w:type="spellStart"/>
      <w:r w:rsidRPr="00C72730">
        <w:rPr>
          <w:rFonts w:ascii="Garamond" w:eastAsia="Times New Roman" w:hAnsi="Garamond" w:cs="Times New Roman"/>
          <w:bCs/>
          <w:sz w:val="24"/>
          <w:szCs w:val="24"/>
          <w:lang w:eastAsia="en-GB"/>
        </w:rPr>
        <w:t>Brexiteer</w:t>
      </w:r>
      <w:proofErr w:type="spellEnd"/>
      <w:r w:rsidRPr="00C72730">
        <w:rPr>
          <w:rFonts w:ascii="Garamond" w:eastAsia="Times New Roman" w:hAnsi="Garamond" w:cs="Times New Roman"/>
          <w:bCs/>
          <w:sz w:val="24"/>
          <w:szCs w:val="24"/>
          <w:lang w:eastAsia="en-GB"/>
        </w:rPr>
        <w:t xml:space="preserve"> could be trusted to deliver on the referendum victory for the leave campaign. May therefore sought to neutralise this threat to her chances by proclaiming firmly (and repeatedly) that ‘Brexit means B</w:t>
      </w:r>
      <w:r w:rsidR="00D75ABD" w:rsidRPr="00C72730">
        <w:rPr>
          <w:rFonts w:ascii="Garamond" w:eastAsia="Times New Roman" w:hAnsi="Garamond" w:cs="Times New Roman"/>
          <w:bCs/>
          <w:sz w:val="24"/>
          <w:szCs w:val="24"/>
          <w:lang w:eastAsia="en-GB"/>
        </w:rPr>
        <w:t>rexit’</w:t>
      </w:r>
      <w:r w:rsidRPr="00C72730">
        <w:rPr>
          <w:rFonts w:ascii="Garamond" w:eastAsia="Times New Roman" w:hAnsi="Garamond" w:cs="Times New Roman"/>
          <w:bCs/>
          <w:sz w:val="24"/>
          <w:szCs w:val="24"/>
          <w:lang w:eastAsia="en-GB"/>
        </w:rPr>
        <w:t xml:space="preserve">.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r w:rsidRPr="00C72730">
        <w:rPr>
          <w:rFonts w:ascii="Garamond" w:eastAsia="Times New Roman" w:hAnsi="Garamond" w:cs="Times New Roman"/>
          <w:bCs/>
          <w:sz w:val="24"/>
          <w:szCs w:val="24"/>
          <w:lang w:eastAsia="en-GB"/>
        </w:rPr>
        <w:t xml:space="preserve">May was undoubtedly assisted by the self-destruction of the leading pro-Brexit ticket in the race, namely the pairing of Boris Johnson and Gove, who had fronted the Leave campaign in the EU referendum. Johnson had for a number of years been widely expected to be a contender to succeed Cameron, and duly announced his candidature when the contest was triggered. He initially secured the backing of Gove who </w:t>
      </w:r>
      <w:r w:rsidR="00983558">
        <w:rPr>
          <w:rFonts w:ascii="Garamond" w:eastAsia="Times New Roman" w:hAnsi="Garamond" w:cs="Times New Roman"/>
          <w:bCs/>
          <w:sz w:val="24"/>
          <w:szCs w:val="24"/>
          <w:lang w:eastAsia="en-GB"/>
        </w:rPr>
        <w:t xml:space="preserve">was tipped for </w:t>
      </w:r>
      <w:r w:rsidRPr="00C72730">
        <w:rPr>
          <w:rFonts w:ascii="Garamond" w:eastAsia="Times New Roman" w:hAnsi="Garamond" w:cs="Times New Roman"/>
          <w:bCs/>
          <w:sz w:val="24"/>
          <w:szCs w:val="24"/>
          <w:lang w:eastAsia="en-GB"/>
        </w:rPr>
        <w:t xml:space="preserve">a </w:t>
      </w:r>
      <w:r w:rsidR="00983558">
        <w:rPr>
          <w:rFonts w:ascii="Garamond" w:eastAsia="Times New Roman" w:hAnsi="Garamond" w:cs="Times New Roman"/>
          <w:bCs/>
          <w:sz w:val="24"/>
          <w:szCs w:val="24"/>
          <w:lang w:eastAsia="en-GB"/>
        </w:rPr>
        <w:t>top</w:t>
      </w:r>
      <w:r w:rsidRPr="00C72730">
        <w:rPr>
          <w:rFonts w:ascii="Garamond" w:eastAsia="Times New Roman" w:hAnsi="Garamond" w:cs="Times New Roman"/>
          <w:bCs/>
          <w:sz w:val="24"/>
          <w:szCs w:val="24"/>
          <w:lang w:eastAsia="en-GB"/>
        </w:rPr>
        <w:t xml:space="preserve"> job in a future Johnson cabinet, probably overseeing the Brexit negotiations as Foreign Secretary.  However, with only hours to go until the close of nominations Gove turned on his ally in a highly personalised attack and </w:t>
      </w:r>
      <w:r w:rsidRPr="00C72730">
        <w:rPr>
          <w:rFonts w:ascii="Garamond" w:eastAsia="Times New Roman" w:hAnsi="Garamond" w:cs="Times New Roman"/>
          <w:bCs/>
          <w:sz w:val="24"/>
          <w:szCs w:val="24"/>
          <w:lang w:eastAsia="en-GB"/>
        </w:rPr>
        <w:lastRenderedPageBreak/>
        <w:t>threw his own hat into the ring. This not only prompted Johnson to announce his withdrawal from the race but also hugely damaged Gove’s own credibility, with his personal rating amongst Conservative Party members falling from +41 before the move to -20 immediately afterwards (</w:t>
      </w:r>
      <w:proofErr w:type="spellStart"/>
      <w:r w:rsidRPr="00C72730">
        <w:rPr>
          <w:rFonts w:ascii="Garamond" w:eastAsia="Times New Roman" w:hAnsi="Garamond" w:cs="Times New Roman"/>
          <w:bCs/>
          <w:sz w:val="24"/>
          <w:szCs w:val="24"/>
          <w:lang w:eastAsia="en-GB"/>
        </w:rPr>
        <w:t>YouGov</w:t>
      </w:r>
      <w:proofErr w:type="spellEnd"/>
      <w:r w:rsidRPr="00C72730">
        <w:rPr>
          <w:rFonts w:ascii="Garamond" w:eastAsia="Times New Roman" w:hAnsi="Garamond" w:cs="Times New Roman"/>
          <w:bCs/>
          <w:sz w:val="24"/>
          <w:szCs w:val="24"/>
          <w:lang w:eastAsia="en-GB"/>
        </w:rPr>
        <w:t>, 2016). The drama of the unfolding race perhaps inevitably lends itself towards candidate-focused explanations of the result. Indeed, following Gove’s move against Johnson, May was regarded by Conservative Party members as by far and away the strongest of the remaining five candidates in relation to each of the three Sta</w:t>
      </w:r>
      <w:r w:rsidR="00716C86">
        <w:rPr>
          <w:rFonts w:ascii="Garamond" w:eastAsia="Times New Roman" w:hAnsi="Garamond" w:cs="Times New Roman"/>
          <w:bCs/>
          <w:sz w:val="24"/>
          <w:szCs w:val="24"/>
          <w:lang w:eastAsia="en-GB"/>
        </w:rPr>
        <w:t>rk criteria. 51 per</w:t>
      </w:r>
      <w:r w:rsidRPr="00C72730">
        <w:rPr>
          <w:rFonts w:ascii="Garamond" w:eastAsia="Times New Roman" w:hAnsi="Garamond" w:cs="Times New Roman"/>
          <w:bCs/>
          <w:sz w:val="24"/>
          <w:szCs w:val="24"/>
          <w:lang w:eastAsia="en-GB"/>
        </w:rPr>
        <w:t>cent saw her as best able to win an elect</w:t>
      </w:r>
      <w:r w:rsidR="00716C86">
        <w:rPr>
          <w:rFonts w:ascii="Garamond" w:eastAsia="Times New Roman" w:hAnsi="Garamond" w:cs="Times New Roman"/>
          <w:bCs/>
          <w:sz w:val="24"/>
          <w:szCs w:val="24"/>
          <w:lang w:eastAsia="en-GB"/>
        </w:rPr>
        <w:t>ion (with Gove second on 13 percent); 61 per</w:t>
      </w:r>
      <w:r w:rsidRPr="00C72730">
        <w:rPr>
          <w:rFonts w:ascii="Garamond" w:eastAsia="Times New Roman" w:hAnsi="Garamond" w:cs="Times New Roman"/>
          <w:bCs/>
          <w:sz w:val="24"/>
          <w:szCs w:val="24"/>
          <w:lang w:eastAsia="en-GB"/>
        </w:rPr>
        <w:t>cent saw her as best able to unify the party</w:t>
      </w:r>
      <w:r w:rsidR="00716C86">
        <w:rPr>
          <w:rFonts w:ascii="Garamond" w:eastAsia="Times New Roman" w:hAnsi="Garamond" w:cs="Times New Roman"/>
          <w:bCs/>
          <w:sz w:val="24"/>
          <w:szCs w:val="24"/>
          <w:lang w:eastAsia="en-GB"/>
        </w:rPr>
        <w:t xml:space="preserve"> (with Leadsom second on 17 percent); and 63 per</w:t>
      </w:r>
      <w:r w:rsidRPr="00C72730">
        <w:rPr>
          <w:rFonts w:ascii="Garamond" w:eastAsia="Times New Roman" w:hAnsi="Garamond" w:cs="Times New Roman"/>
          <w:bCs/>
          <w:sz w:val="24"/>
          <w:szCs w:val="24"/>
          <w:lang w:eastAsia="en-GB"/>
        </w:rPr>
        <w:t>cent said she would be the strongest leader (with Leads</w:t>
      </w:r>
      <w:r w:rsidR="00716C86">
        <w:rPr>
          <w:rFonts w:ascii="Garamond" w:eastAsia="Times New Roman" w:hAnsi="Garamond" w:cs="Times New Roman"/>
          <w:bCs/>
          <w:sz w:val="24"/>
          <w:szCs w:val="24"/>
          <w:lang w:eastAsia="en-GB"/>
        </w:rPr>
        <w:t>om second on 14 per</w:t>
      </w:r>
      <w:r w:rsidRPr="00C72730">
        <w:rPr>
          <w:rFonts w:ascii="Garamond" w:eastAsia="Times New Roman" w:hAnsi="Garamond" w:cs="Times New Roman"/>
          <w:bCs/>
          <w:sz w:val="24"/>
          <w:szCs w:val="24"/>
          <w:lang w:eastAsia="en-GB"/>
        </w:rPr>
        <w:t>cent) (</w:t>
      </w:r>
      <w:proofErr w:type="spellStart"/>
      <w:r w:rsidRPr="00C72730">
        <w:rPr>
          <w:rFonts w:ascii="Garamond" w:eastAsia="Times New Roman" w:hAnsi="Garamond" w:cs="Times New Roman"/>
          <w:bCs/>
          <w:sz w:val="24"/>
          <w:szCs w:val="24"/>
          <w:lang w:eastAsia="en-GB"/>
        </w:rPr>
        <w:t>YouGov</w:t>
      </w:r>
      <w:proofErr w:type="spellEnd"/>
      <w:r w:rsidRPr="00C72730">
        <w:rPr>
          <w:rFonts w:ascii="Garamond" w:eastAsia="Times New Roman" w:hAnsi="Garamond" w:cs="Times New Roman"/>
          <w:bCs/>
          <w:sz w:val="24"/>
          <w:szCs w:val="24"/>
          <w:lang w:eastAsia="en-GB"/>
        </w:rPr>
        <w:t xml:space="preserve">, 2016). This view of May as a competent, electable and unifying figure no doubt assisted May in the election and contributed to her victory, although without survey data of the </w:t>
      </w:r>
      <w:proofErr w:type="spellStart"/>
      <w:r w:rsidRPr="00C72730">
        <w:rPr>
          <w:rFonts w:ascii="Garamond" w:eastAsia="Times New Roman" w:hAnsi="Garamond" w:cs="Times New Roman"/>
          <w:bCs/>
          <w:sz w:val="24"/>
          <w:szCs w:val="24"/>
          <w:lang w:eastAsia="en-GB"/>
        </w:rPr>
        <w:t>selectorate</w:t>
      </w:r>
      <w:proofErr w:type="spellEnd"/>
      <w:r w:rsidRPr="00C72730">
        <w:rPr>
          <w:rFonts w:ascii="Garamond" w:eastAsia="Times New Roman" w:hAnsi="Garamond" w:cs="Times New Roman"/>
          <w:bCs/>
          <w:sz w:val="24"/>
          <w:szCs w:val="24"/>
          <w:lang w:eastAsia="en-GB"/>
        </w:rPr>
        <w:t xml:space="preserve"> (i.e. Conservative MPs) measuring their views on each candidate we cannot weight the relative importance of these factors.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bCs/>
          <w:sz w:val="24"/>
          <w:szCs w:val="24"/>
          <w:lang w:eastAsia="en-GB"/>
        </w:rPr>
      </w:pP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r w:rsidRPr="00C72730">
        <w:rPr>
          <w:rFonts w:ascii="Garamond" w:eastAsia="Times New Roman" w:hAnsi="Garamond" w:cs="Times New Roman"/>
          <w:bCs/>
          <w:sz w:val="24"/>
          <w:szCs w:val="24"/>
          <w:lang w:eastAsia="en-GB"/>
        </w:rPr>
        <w:t xml:space="preserve">What our paper nonetheless demonstrates is that even in the face of the dramatic twists and turns of the campaign, </w:t>
      </w:r>
      <w:r w:rsidRPr="00C72730">
        <w:rPr>
          <w:rFonts w:ascii="Garamond" w:eastAsia="Times New Roman" w:hAnsi="Garamond" w:cs="Times New Roman"/>
          <w:iCs/>
          <w:sz w:val="24"/>
          <w:szCs w:val="24"/>
          <w:lang w:eastAsia="en-GB"/>
        </w:rPr>
        <w:t xml:space="preserve">attitudes towards Brexit and same sex marriage were the key statistically significant factors determining voting. We set out to explain the high level of support for May, and it is striking that she won the backing of more than nine out of ten of her fellow colleagues in the Remain camp, while the Leave camp was split on the socially liberal-conservative cleavage. It is also notable that although larger than many had expected before the referendum campaign began, the pro-Brexit faction in the PCP was smaller than the Remain faction, giving May a bigger base to work from in the second ballot (following the withdrawal of the only other Remain candidate, Stephen </w:t>
      </w:r>
      <w:proofErr w:type="spellStart"/>
      <w:r w:rsidRPr="00C72730">
        <w:rPr>
          <w:rFonts w:ascii="Garamond" w:eastAsia="Times New Roman" w:hAnsi="Garamond" w:cs="Times New Roman"/>
          <w:iCs/>
          <w:sz w:val="24"/>
          <w:szCs w:val="24"/>
          <w:lang w:eastAsia="en-GB"/>
        </w:rPr>
        <w:t>Crabb</w:t>
      </w:r>
      <w:proofErr w:type="spellEnd"/>
      <w:r w:rsidRPr="00C72730">
        <w:rPr>
          <w:rFonts w:ascii="Garamond" w:eastAsia="Times New Roman" w:hAnsi="Garamond" w:cs="Times New Roman"/>
          <w:iCs/>
          <w:sz w:val="24"/>
          <w:szCs w:val="24"/>
          <w:lang w:eastAsia="en-GB"/>
        </w:rPr>
        <w:t xml:space="preserve">, after the first round). May also secured the backing of 7 out of 10 female Conservative MPs, but interestingly this was not a statistically significant factor in her victory. </w:t>
      </w:r>
    </w:p>
    <w:p w:rsidR="00A55E86"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p>
    <w:p w:rsidR="003B70FD" w:rsidRPr="00C72730" w:rsidRDefault="00A55E86" w:rsidP="00DC066F">
      <w:pPr>
        <w:shd w:val="clear" w:color="auto" w:fill="FFFFFF"/>
        <w:spacing w:after="0" w:line="360" w:lineRule="auto"/>
        <w:jc w:val="both"/>
        <w:textAlignment w:val="center"/>
        <w:rPr>
          <w:rFonts w:ascii="Garamond" w:eastAsia="Times New Roman" w:hAnsi="Garamond" w:cs="Times New Roman"/>
          <w:iCs/>
          <w:sz w:val="24"/>
          <w:szCs w:val="24"/>
          <w:lang w:eastAsia="en-GB"/>
        </w:rPr>
      </w:pPr>
      <w:r w:rsidRPr="00C72730">
        <w:rPr>
          <w:rFonts w:ascii="Garamond" w:eastAsia="Times New Roman" w:hAnsi="Garamond" w:cs="Times New Roman"/>
          <w:iCs/>
          <w:sz w:val="24"/>
          <w:szCs w:val="24"/>
          <w:lang w:eastAsia="en-GB"/>
        </w:rPr>
        <w:t>Given the context of the leadership battle, in the aftermath of the EU referendum, the fact that the European divide was significant is unsurprising</w:t>
      </w:r>
      <w:r w:rsidR="00B84ABD">
        <w:rPr>
          <w:rFonts w:ascii="Garamond" w:eastAsia="Times New Roman" w:hAnsi="Garamond" w:cs="Times New Roman"/>
          <w:iCs/>
          <w:sz w:val="24"/>
          <w:szCs w:val="24"/>
          <w:lang w:eastAsia="en-GB"/>
        </w:rPr>
        <w:t>. T</w:t>
      </w:r>
      <w:r w:rsidRPr="00C72730">
        <w:rPr>
          <w:rFonts w:ascii="Garamond" w:eastAsia="Times New Roman" w:hAnsi="Garamond" w:cs="Times New Roman"/>
          <w:iCs/>
          <w:sz w:val="24"/>
          <w:szCs w:val="24"/>
          <w:lang w:eastAsia="en-GB"/>
        </w:rPr>
        <w:t xml:space="preserve">he contest consequently sits alongside 1990, 1997 and 2001 as one in which the European issue loomed large as a key factor. </w:t>
      </w:r>
      <w:r w:rsidR="00595372">
        <w:rPr>
          <w:rFonts w:ascii="Garamond" w:eastAsia="Times New Roman" w:hAnsi="Garamond" w:cs="Times New Roman"/>
          <w:iCs/>
          <w:sz w:val="24"/>
          <w:szCs w:val="24"/>
          <w:lang w:eastAsia="en-GB"/>
        </w:rPr>
        <w:t>If and when Brexit is delivered</w:t>
      </w:r>
      <w:r w:rsidRPr="00C72730">
        <w:rPr>
          <w:rFonts w:ascii="Garamond" w:eastAsia="Times New Roman" w:hAnsi="Garamond" w:cs="Times New Roman"/>
          <w:iCs/>
          <w:sz w:val="24"/>
          <w:szCs w:val="24"/>
          <w:lang w:eastAsia="en-GB"/>
        </w:rPr>
        <w:t xml:space="preserve"> </w:t>
      </w:r>
      <w:r w:rsidR="00595372">
        <w:rPr>
          <w:rFonts w:ascii="Garamond" w:eastAsia="Times New Roman" w:hAnsi="Garamond" w:cs="Times New Roman"/>
          <w:iCs/>
          <w:sz w:val="24"/>
          <w:szCs w:val="24"/>
          <w:lang w:eastAsia="en-GB"/>
        </w:rPr>
        <w:t>this</w:t>
      </w:r>
      <w:r w:rsidRPr="00C72730">
        <w:rPr>
          <w:rFonts w:ascii="Garamond" w:eastAsia="Times New Roman" w:hAnsi="Garamond" w:cs="Times New Roman"/>
          <w:iCs/>
          <w:sz w:val="24"/>
          <w:szCs w:val="24"/>
          <w:lang w:eastAsia="en-GB"/>
        </w:rPr>
        <w:t xml:space="preserve"> </w:t>
      </w:r>
      <w:r w:rsidR="00595372">
        <w:rPr>
          <w:rFonts w:ascii="Garamond" w:eastAsia="Times New Roman" w:hAnsi="Garamond" w:cs="Times New Roman"/>
          <w:iCs/>
          <w:sz w:val="24"/>
          <w:szCs w:val="24"/>
          <w:lang w:eastAsia="en-GB"/>
        </w:rPr>
        <w:t>might</w:t>
      </w:r>
      <w:r w:rsidRPr="00C72730">
        <w:rPr>
          <w:rFonts w:ascii="Garamond" w:eastAsia="Times New Roman" w:hAnsi="Garamond" w:cs="Times New Roman"/>
          <w:iCs/>
          <w:sz w:val="24"/>
          <w:szCs w:val="24"/>
          <w:lang w:eastAsia="en-GB"/>
        </w:rPr>
        <w:t xml:space="preserve"> be the last Conservative leadership contest about which that can be said, marking the end of the defining ideological battleground in the party since the Thatcher era. That is not</w:t>
      </w:r>
      <w:r w:rsidR="00B84ABD">
        <w:rPr>
          <w:rFonts w:ascii="Garamond" w:eastAsia="Times New Roman" w:hAnsi="Garamond" w:cs="Times New Roman"/>
          <w:iCs/>
          <w:sz w:val="24"/>
          <w:szCs w:val="24"/>
          <w:lang w:eastAsia="en-GB"/>
        </w:rPr>
        <w:t>,</w:t>
      </w:r>
      <w:r w:rsidRPr="00C72730">
        <w:rPr>
          <w:rFonts w:ascii="Garamond" w:eastAsia="Times New Roman" w:hAnsi="Garamond" w:cs="Times New Roman"/>
          <w:iCs/>
          <w:sz w:val="24"/>
          <w:szCs w:val="24"/>
          <w:lang w:eastAsia="en-GB"/>
        </w:rPr>
        <w:t xml:space="preserve"> however, to anticipate the end of ideologically driven voting in Conservative leadership battles of the future. The way in which support for the two Brexit candidates split along socially liberal-conservative axis is revealing of the depth of division that </w:t>
      </w:r>
      <w:r w:rsidRPr="00C72730">
        <w:rPr>
          <w:rFonts w:ascii="Garamond" w:eastAsia="Times New Roman" w:hAnsi="Garamond" w:cs="Times New Roman"/>
          <w:iCs/>
          <w:sz w:val="24"/>
          <w:szCs w:val="24"/>
          <w:lang w:eastAsia="en-GB"/>
        </w:rPr>
        <w:lastRenderedPageBreak/>
        <w:t xml:space="preserve">remains over that issue, and it is possible that an ideological divide on economic issues could re-emerge in the future, as the country seeks to define the shape of its political economy outside of the EU. As such our article has demonstrated that an appreciation of the ideological divisions in the PCP is vital for explaining the election of May. The scale of her victory </w:t>
      </w:r>
      <w:r w:rsidR="00B84ABD" w:rsidRPr="00C72730">
        <w:rPr>
          <w:rFonts w:ascii="Garamond" w:eastAsia="Times New Roman" w:hAnsi="Garamond" w:cs="Times New Roman"/>
          <w:iCs/>
          <w:sz w:val="24"/>
          <w:szCs w:val="24"/>
          <w:lang w:eastAsia="en-GB"/>
        </w:rPr>
        <w:t>help</w:t>
      </w:r>
      <w:r w:rsidR="00B84ABD">
        <w:rPr>
          <w:rFonts w:ascii="Garamond" w:eastAsia="Times New Roman" w:hAnsi="Garamond" w:cs="Times New Roman"/>
          <w:iCs/>
          <w:sz w:val="24"/>
          <w:szCs w:val="24"/>
          <w:lang w:eastAsia="en-GB"/>
        </w:rPr>
        <w:t>ed</w:t>
      </w:r>
      <w:r w:rsidR="00B84ABD" w:rsidRPr="00C72730">
        <w:rPr>
          <w:rFonts w:ascii="Garamond" w:eastAsia="Times New Roman" w:hAnsi="Garamond" w:cs="Times New Roman"/>
          <w:iCs/>
          <w:sz w:val="24"/>
          <w:szCs w:val="24"/>
          <w:lang w:eastAsia="en-GB"/>
        </w:rPr>
        <w:t xml:space="preserve"> </w:t>
      </w:r>
      <w:r w:rsidRPr="00C72730">
        <w:rPr>
          <w:rFonts w:ascii="Garamond" w:eastAsia="Times New Roman" w:hAnsi="Garamond" w:cs="Times New Roman"/>
          <w:iCs/>
          <w:sz w:val="24"/>
          <w:szCs w:val="24"/>
          <w:lang w:eastAsia="en-GB"/>
        </w:rPr>
        <w:t>create the impression of party unity, and it was fortunate for her, and arguably for the Conservatives as a whole, that a full-blooded battle with a strong pro-Brexit candidate was avoided. In that sense, the party perhaps owes a debt of gratitude to Gove.</w:t>
      </w:r>
    </w:p>
    <w:p w:rsidR="00AF6624" w:rsidRPr="00C72730" w:rsidRDefault="00AF6624" w:rsidP="00DC066F">
      <w:pPr>
        <w:shd w:val="clear" w:color="auto" w:fill="FFFFFF"/>
        <w:spacing w:after="0" w:line="360" w:lineRule="auto"/>
        <w:jc w:val="both"/>
        <w:textAlignment w:val="center"/>
        <w:outlineLvl w:val="0"/>
        <w:rPr>
          <w:rFonts w:ascii="Garamond" w:eastAsia="Times New Roman" w:hAnsi="Garamond" w:cs="Times New Roman"/>
          <w:b/>
          <w:bCs/>
          <w:sz w:val="24"/>
          <w:szCs w:val="24"/>
          <w:lang w:eastAsia="en-GB"/>
        </w:rPr>
      </w:pPr>
    </w:p>
    <w:p w:rsidR="00AF6624" w:rsidRPr="00C72730" w:rsidRDefault="00AF6624" w:rsidP="00DC066F">
      <w:pPr>
        <w:shd w:val="clear" w:color="auto" w:fill="FFFFFF"/>
        <w:spacing w:after="0" w:line="360" w:lineRule="auto"/>
        <w:jc w:val="both"/>
        <w:textAlignment w:val="center"/>
        <w:outlineLvl w:val="0"/>
        <w:rPr>
          <w:rFonts w:ascii="Garamond" w:eastAsia="Times New Roman" w:hAnsi="Garamond" w:cs="Times New Roman"/>
          <w:b/>
          <w:bCs/>
          <w:sz w:val="24"/>
          <w:szCs w:val="24"/>
          <w:lang w:eastAsia="en-GB"/>
        </w:rPr>
      </w:pPr>
    </w:p>
    <w:p w:rsidR="00AF6624" w:rsidRPr="00C72730" w:rsidRDefault="00AF6624" w:rsidP="00DC066F">
      <w:pPr>
        <w:shd w:val="clear" w:color="auto" w:fill="FFFFFF"/>
        <w:spacing w:after="0" w:line="360" w:lineRule="auto"/>
        <w:jc w:val="both"/>
        <w:textAlignment w:val="center"/>
        <w:outlineLvl w:val="0"/>
        <w:rPr>
          <w:rFonts w:ascii="Garamond" w:eastAsia="Times New Roman" w:hAnsi="Garamond" w:cs="Times New Roman"/>
          <w:b/>
          <w:bCs/>
          <w:sz w:val="24"/>
          <w:szCs w:val="24"/>
          <w:lang w:eastAsia="en-GB"/>
        </w:rPr>
      </w:pPr>
    </w:p>
    <w:p w:rsidR="00A55E86" w:rsidRPr="00C72730" w:rsidRDefault="00A55E86" w:rsidP="00DC066F">
      <w:pPr>
        <w:shd w:val="clear" w:color="auto" w:fill="FFFFFF"/>
        <w:spacing w:after="0" w:line="360" w:lineRule="auto"/>
        <w:jc w:val="both"/>
        <w:textAlignment w:val="center"/>
        <w:outlineLvl w:val="0"/>
        <w:rPr>
          <w:rFonts w:ascii="Calibri" w:eastAsia="Times New Roman" w:hAnsi="Calibri" w:cs="Times New Roman"/>
          <w:sz w:val="24"/>
          <w:szCs w:val="24"/>
          <w:lang w:eastAsia="en-GB"/>
        </w:rPr>
      </w:pPr>
      <w:r w:rsidRPr="00C72730">
        <w:rPr>
          <w:rFonts w:ascii="Garamond" w:eastAsia="Times New Roman" w:hAnsi="Garamond" w:cs="Times New Roman"/>
          <w:b/>
          <w:bCs/>
          <w:sz w:val="24"/>
          <w:szCs w:val="24"/>
          <w:lang w:eastAsia="en-GB"/>
        </w:rPr>
        <w:t>Bibliography</w:t>
      </w:r>
      <w:r w:rsidR="008E3509" w:rsidRPr="00C72730">
        <w:rPr>
          <w:rFonts w:ascii="Garamond" w:eastAsia="Times New Roman" w:hAnsi="Garamond" w:cs="Times New Roman"/>
          <w:b/>
          <w:bCs/>
          <w:sz w:val="24"/>
          <w:szCs w:val="24"/>
          <w:lang w:eastAsia="en-GB"/>
        </w:rPr>
        <w:t xml:space="preserve">: </w:t>
      </w:r>
    </w:p>
    <w:p w:rsidR="00021A67" w:rsidRPr="00C72730" w:rsidRDefault="00021A67"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Alderman, K. (1996) ‘The Conservative Party Leadership Election of 1995’, </w:t>
      </w:r>
      <w:r w:rsidRPr="00C72730">
        <w:rPr>
          <w:rFonts w:ascii="Garamond" w:eastAsia="Times New Roman" w:hAnsi="Garamond" w:cs="Times New Roman"/>
          <w:i/>
          <w:iCs/>
          <w:sz w:val="24"/>
          <w:szCs w:val="24"/>
          <w:lang w:eastAsia="en-GB"/>
        </w:rPr>
        <w:t>Parliamentary Affairs</w:t>
      </w:r>
      <w:r w:rsidR="007F27F7" w:rsidRPr="00C72730">
        <w:rPr>
          <w:rFonts w:ascii="Garamond" w:eastAsia="Times New Roman" w:hAnsi="Garamond" w:cs="Times New Roman"/>
          <w:sz w:val="24"/>
          <w:szCs w:val="24"/>
          <w:lang w:eastAsia="en-GB"/>
        </w:rPr>
        <w:t>, 49</w:t>
      </w:r>
      <w:r w:rsidR="003B0C40" w:rsidRPr="00C72730">
        <w:rPr>
          <w:rFonts w:ascii="Garamond" w:eastAsia="Times New Roman" w:hAnsi="Garamond" w:cs="Times New Roman"/>
          <w:sz w:val="24"/>
          <w:szCs w:val="24"/>
          <w:lang w:eastAsia="en-GB"/>
        </w:rPr>
        <w:t xml:space="preserve">(2), </w:t>
      </w:r>
      <w:r w:rsidRPr="00C72730">
        <w:rPr>
          <w:rFonts w:ascii="Garamond" w:eastAsia="Times New Roman" w:hAnsi="Garamond" w:cs="Times New Roman"/>
          <w:sz w:val="24"/>
          <w:szCs w:val="24"/>
          <w:lang w:eastAsia="en-GB"/>
        </w:rPr>
        <w:t xml:space="preserve">316-32.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Alderman, K. (1998) ‘The Conservative Party Leadership Election of 1997’, </w:t>
      </w:r>
      <w:r w:rsidRPr="00C72730">
        <w:rPr>
          <w:rFonts w:ascii="Garamond" w:eastAsia="Times New Roman" w:hAnsi="Garamond" w:cs="Times New Roman"/>
          <w:i/>
          <w:iCs/>
          <w:sz w:val="24"/>
          <w:szCs w:val="24"/>
          <w:lang w:eastAsia="en-GB"/>
        </w:rPr>
        <w:t>Parliamentary Affairs</w:t>
      </w:r>
      <w:r w:rsidR="007F27F7" w:rsidRPr="00C72730">
        <w:rPr>
          <w:rFonts w:ascii="Garamond" w:eastAsia="Times New Roman" w:hAnsi="Garamond" w:cs="Times New Roman"/>
          <w:sz w:val="24"/>
          <w:szCs w:val="24"/>
          <w:lang w:eastAsia="en-GB"/>
        </w:rPr>
        <w:t>, 51</w:t>
      </w:r>
      <w:r w:rsidR="003B0C40" w:rsidRPr="00C72730">
        <w:rPr>
          <w:rFonts w:ascii="Garamond" w:eastAsia="Times New Roman" w:hAnsi="Garamond" w:cs="Times New Roman"/>
          <w:sz w:val="24"/>
          <w:szCs w:val="24"/>
          <w:lang w:eastAsia="en-GB"/>
        </w:rPr>
        <w:t>(1),</w:t>
      </w:r>
      <w:r w:rsidRPr="00C72730">
        <w:rPr>
          <w:rFonts w:ascii="Garamond" w:eastAsia="Times New Roman" w:hAnsi="Garamond" w:cs="Times New Roman"/>
          <w:sz w:val="24"/>
          <w:szCs w:val="24"/>
          <w:lang w:eastAsia="en-GB"/>
        </w:rPr>
        <w:t xml:space="preserve"> 1-16.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Alderman, K. and Carter, N. (1991) ‘A Very Tory Coup: The Ousting of Mrs Thatcher’, </w:t>
      </w:r>
      <w:r w:rsidRPr="00C72730">
        <w:rPr>
          <w:rFonts w:ascii="Garamond" w:eastAsia="Times New Roman" w:hAnsi="Garamond" w:cs="Times New Roman"/>
          <w:i/>
          <w:iCs/>
          <w:sz w:val="24"/>
          <w:szCs w:val="24"/>
          <w:lang w:eastAsia="en-GB"/>
        </w:rPr>
        <w:t>Parliamentary Affairs</w:t>
      </w:r>
      <w:r w:rsidR="007F27F7" w:rsidRPr="00C72730">
        <w:rPr>
          <w:rFonts w:ascii="Garamond" w:eastAsia="Times New Roman" w:hAnsi="Garamond" w:cs="Times New Roman"/>
          <w:sz w:val="24"/>
          <w:szCs w:val="24"/>
          <w:lang w:eastAsia="en-GB"/>
        </w:rPr>
        <w:t>, 44</w:t>
      </w:r>
      <w:r w:rsidR="003B0C40" w:rsidRPr="00C72730">
        <w:rPr>
          <w:rFonts w:ascii="Garamond" w:eastAsia="Times New Roman" w:hAnsi="Garamond" w:cs="Times New Roman"/>
          <w:sz w:val="24"/>
          <w:szCs w:val="24"/>
          <w:lang w:eastAsia="en-GB"/>
        </w:rPr>
        <w:t>(2),</w:t>
      </w:r>
      <w:r w:rsidRPr="00C72730">
        <w:rPr>
          <w:rFonts w:ascii="Garamond" w:eastAsia="Times New Roman" w:hAnsi="Garamond" w:cs="Times New Roman"/>
          <w:sz w:val="24"/>
          <w:szCs w:val="24"/>
          <w:lang w:eastAsia="en-GB"/>
        </w:rPr>
        <w:t xml:space="preserve"> 125-39.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Alderman, K. and Carter, N. (2002) ‘The Conservative Party Leadership Election of 2001’, </w:t>
      </w:r>
      <w:r w:rsidRPr="00C72730">
        <w:rPr>
          <w:rFonts w:ascii="Garamond" w:eastAsia="Times New Roman" w:hAnsi="Garamond" w:cs="Times New Roman"/>
          <w:i/>
          <w:iCs/>
          <w:sz w:val="24"/>
          <w:szCs w:val="24"/>
          <w:lang w:eastAsia="en-GB"/>
        </w:rPr>
        <w:t>Parliamentary Affairs</w:t>
      </w:r>
      <w:r w:rsidR="007F27F7" w:rsidRPr="00C72730">
        <w:rPr>
          <w:rFonts w:ascii="Garamond" w:eastAsia="Times New Roman" w:hAnsi="Garamond" w:cs="Times New Roman"/>
          <w:sz w:val="24"/>
          <w:szCs w:val="24"/>
          <w:lang w:eastAsia="en-GB"/>
        </w:rPr>
        <w:t>, 55</w:t>
      </w:r>
      <w:r w:rsidR="003B0C40" w:rsidRPr="00C72730">
        <w:rPr>
          <w:rFonts w:ascii="Garamond" w:eastAsia="Times New Roman" w:hAnsi="Garamond" w:cs="Times New Roman"/>
          <w:sz w:val="24"/>
          <w:szCs w:val="24"/>
          <w:lang w:eastAsia="en-GB"/>
        </w:rPr>
        <w:t>(4),</w:t>
      </w:r>
      <w:r w:rsidRPr="00C72730">
        <w:rPr>
          <w:rFonts w:ascii="Garamond" w:eastAsia="Times New Roman" w:hAnsi="Garamond" w:cs="Times New Roman"/>
          <w:sz w:val="24"/>
          <w:szCs w:val="24"/>
          <w:lang w:eastAsia="en-GB"/>
        </w:rPr>
        <w:t xml:space="preserve"> 569-85. </w:t>
      </w:r>
    </w:p>
    <w:p w:rsidR="00A55E86" w:rsidRPr="00C72730" w:rsidRDefault="00A55E86" w:rsidP="00DC066F">
      <w:pPr>
        <w:spacing w:before="100" w:beforeAutospacing="1" w:after="100" w:afterAutospacing="1" w:line="360" w:lineRule="auto"/>
        <w:contextualSpacing/>
        <w:jc w:val="both"/>
        <w:rPr>
          <w:rFonts w:ascii="Garamond" w:eastAsia="Times New Roman" w:hAnsi="Garamond" w:cs="Times New Roman"/>
          <w:sz w:val="24"/>
          <w:szCs w:val="24"/>
          <w:lang w:val="en" w:eastAsia="en-GB"/>
        </w:rPr>
      </w:pPr>
      <w:r w:rsidRPr="00C72730">
        <w:rPr>
          <w:rStyle w:val="HTMLCite"/>
          <w:rFonts w:ascii="Garamond" w:eastAsia="Times New Roman" w:hAnsi="Garamond"/>
          <w:i w:val="0"/>
          <w:sz w:val="24"/>
          <w:szCs w:val="24"/>
          <w:lang w:val="en" w:eastAsia="en-GB"/>
        </w:rPr>
        <w:t>Ashcroft, M. and Oakeshott, I. (2015)</w:t>
      </w:r>
      <w:r w:rsidRPr="00C72730">
        <w:rPr>
          <w:rStyle w:val="HTMLCite"/>
          <w:rFonts w:ascii="Garamond" w:eastAsia="Times New Roman" w:hAnsi="Garamond"/>
          <w:sz w:val="24"/>
          <w:szCs w:val="24"/>
          <w:lang w:val="en" w:eastAsia="en-GB"/>
        </w:rPr>
        <w:t xml:space="preserve"> Call Me Dave: The </w:t>
      </w:r>
      <w:proofErr w:type="spellStart"/>
      <w:r w:rsidRPr="00C72730">
        <w:rPr>
          <w:rStyle w:val="HTMLCite"/>
          <w:rFonts w:ascii="Garamond" w:eastAsia="Times New Roman" w:hAnsi="Garamond"/>
          <w:sz w:val="24"/>
          <w:szCs w:val="24"/>
          <w:lang w:val="en" w:eastAsia="en-GB"/>
        </w:rPr>
        <w:t>Unauthorised</w:t>
      </w:r>
      <w:proofErr w:type="spellEnd"/>
      <w:r w:rsidRPr="00C72730">
        <w:rPr>
          <w:rStyle w:val="HTMLCite"/>
          <w:rFonts w:ascii="Garamond" w:eastAsia="Times New Roman" w:hAnsi="Garamond"/>
          <w:sz w:val="24"/>
          <w:szCs w:val="24"/>
          <w:lang w:val="en" w:eastAsia="en-GB"/>
        </w:rPr>
        <w:t xml:space="preserve"> Biography of David Cameron, </w:t>
      </w:r>
      <w:r w:rsidR="003B0C40" w:rsidRPr="00C72730">
        <w:rPr>
          <w:rStyle w:val="HTMLCite"/>
          <w:rFonts w:ascii="Garamond" w:eastAsia="Times New Roman" w:hAnsi="Garamond"/>
          <w:i w:val="0"/>
          <w:sz w:val="24"/>
          <w:szCs w:val="24"/>
          <w:lang w:val="en" w:eastAsia="en-GB"/>
        </w:rPr>
        <w:t>London,</w:t>
      </w:r>
      <w:r w:rsidRPr="00C72730">
        <w:rPr>
          <w:rStyle w:val="HTMLCite"/>
          <w:rFonts w:ascii="Garamond" w:eastAsia="Times New Roman" w:hAnsi="Garamond"/>
          <w:i w:val="0"/>
          <w:sz w:val="24"/>
          <w:szCs w:val="24"/>
          <w:lang w:val="en" w:eastAsia="en-GB"/>
        </w:rPr>
        <w:t xml:space="preserve"> Biteback.</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Bulman, M. (2016) ‘Andrea Leadsom quits Tory Leadership contest’, </w:t>
      </w:r>
      <w:r w:rsidRPr="00C72730">
        <w:rPr>
          <w:rFonts w:ascii="Garamond" w:eastAsia="Times New Roman" w:hAnsi="Garamond" w:cs="Times New Roman"/>
          <w:i/>
          <w:iCs/>
          <w:sz w:val="24"/>
          <w:szCs w:val="24"/>
          <w:lang w:eastAsia="en-GB"/>
        </w:rPr>
        <w:t>The Independent</w:t>
      </w:r>
      <w:r w:rsidRPr="00C72730">
        <w:rPr>
          <w:rFonts w:ascii="Garamond" w:eastAsia="Times New Roman" w:hAnsi="Garamond" w:cs="Times New Roman"/>
          <w:sz w:val="24"/>
          <w:szCs w:val="24"/>
          <w:lang w:eastAsia="en-GB"/>
        </w:rPr>
        <w:t xml:space="preserve">, 10 July. </w:t>
      </w:r>
    </w:p>
    <w:p w:rsidR="00A55E86" w:rsidRPr="00C72730" w:rsidRDefault="00A55E86" w:rsidP="00DC066F">
      <w:pPr>
        <w:spacing w:after="0" w:line="360" w:lineRule="auto"/>
        <w:contextualSpacing/>
        <w:jc w:val="both"/>
        <w:rPr>
          <w:rFonts w:ascii="Garamond" w:eastAsia="Calibri" w:hAnsi="Garamond" w:cs="Times New Roman"/>
          <w:bCs/>
          <w:sz w:val="24"/>
          <w:szCs w:val="24"/>
        </w:rPr>
      </w:pPr>
      <w:r w:rsidRPr="00C72730">
        <w:rPr>
          <w:rFonts w:ascii="Garamond" w:eastAsia="Calibri" w:hAnsi="Garamond" w:cs="Times New Roman"/>
          <w:sz w:val="24"/>
          <w:szCs w:val="24"/>
        </w:rPr>
        <w:t xml:space="preserve">Childs, S. and Webb, P. (2012). </w:t>
      </w:r>
      <w:r w:rsidRPr="00C72730">
        <w:rPr>
          <w:rFonts w:ascii="Garamond" w:eastAsia="Calibri" w:hAnsi="Garamond" w:cs="Times New Roman"/>
          <w:bCs/>
          <w:i/>
          <w:sz w:val="24"/>
          <w:szCs w:val="24"/>
        </w:rPr>
        <w:t xml:space="preserve">Sex, Gender and the Conservative Party: From Iron Lady to Kitten Heels. </w:t>
      </w:r>
      <w:r w:rsidR="003B0C40" w:rsidRPr="00C72730">
        <w:rPr>
          <w:rFonts w:ascii="Garamond" w:eastAsia="Calibri" w:hAnsi="Garamond" w:cs="Times New Roman"/>
          <w:bCs/>
          <w:sz w:val="24"/>
          <w:szCs w:val="24"/>
        </w:rPr>
        <w:t>Basingstoke,</w:t>
      </w:r>
      <w:r w:rsidRPr="00C72730">
        <w:rPr>
          <w:rFonts w:ascii="Garamond" w:eastAsia="Calibri" w:hAnsi="Garamond" w:cs="Times New Roman"/>
          <w:bCs/>
          <w:sz w:val="24"/>
          <w:szCs w:val="24"/>
        </w:rPr>
        <w:t xml:space="preserve"> Palgrave. </w:t>
      </w:r>
    </w:p>
    <w:p w:rsidR="00A55E86" w:rsidRPr="00C72730" w:rsidRDefault="00A55E86" w:rsidP="00DC066F">
      <w:pPr>
        <w:pStyle w:val="NormalWeb"/>
        <w:spacing w:before="0" w:beforeAutospacing="0" w:after="0" w:afterAutospacing="0" w:line="360" w:lineRule="auto"/>
        <w:contextualSpacing/>
        <w:jc w:val="both"/>
        <w:rPr>
          <w:rFonts w:ascii="Garamond" w:hAnsi="Garamond"/>
          <w:lang w:val="en"/>
        </w:rPr>
      </w:pPr>
      <w:r w:rsidRPr="00C72730">
        <w:rPr>
          <w:rFonts w:ascii="Garamond" w:hAnsi="Garamond"/>
          <w:lang w:val="en"/>
        </w:rPr>
        <w:t xml:space="preserve">Clements, B. (2014) ‘Partisan Attachments and Attitudes towards same sex marriage in Britain’, </w:t>
      </w:r>
      <w:r w:rsidRPr="00C72730">
        <w:rPr>
          <w:rFonts w:ascii="Garamond" w:hAnsi="Garamond"/>
          <w:i/>
          <w:lang w:val="en"/>
        </w:rPr>
        <w:t>Parliamentary Affairs</w:t>
      </w:r>
      <w:r w:rsidR="003B0C40" w:rsidRPr="00C72730">
        <w:rPr>
          <w:rFonts w:ascii="Garamond" w:hAnsi="Garamond"/>
          <w:lang w:val="en"/>
        </w:rPr>
        <w:t>,</w:t>
      </w:r>
      <w:r w:rsidR="007F27F7" w:rsidRPr="00C72730">
        <w:rPr>
          <w:rFonts w:ascii="Garamond" w:hAnsi="Garamond"/>
          <w:lang w:val="en"/>
        </w:rPr>
        <w:t xml:space="preserve"> 67</w:t>
      </w:r>
      <w:r w:rsidRPr="00C72730">
        <w:rPr>
          <w:rFonts w:ascii="Garamond" w:hAnsi="Garamond"/>
          <w:lang w:val="en"/>
        </w:rPr>
        <w:t>(1): 232-44.</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Cowley, P. and Bailey, M. (2000) ‘Peasants’ Uprising or Religious War: Re-examining the 1975 Conservative Leadership Contest’, </w:t>
      </w:r>
      <w:r w:rsidRPr="00C72730">
        <w:rPr>
          <w:rFonts w:ascii="Garamond" w:eastAsia="Times New Roman" w:hAnsi="Garamond" w:cs="Times New Roman"/>
          <w:i/>
          <w:iCs/>
          <w:sz w:val="24"/>
          <w:szCs w:val="24"/>
          <w:lang w:eastAsia="en-GB"/>
        </w:rPr>
        <w:t>British Journal of Political Science</w:t>
      </w:r>
      <w:r w:rsidR="007F27F7" w:rsidRPr="00C72730">
        <w:rPr>
          <w:rFonts w:ascii="Garamond" w:eastAsia="Times New Roman" w:hAnsi="Garamond" w:cs="Times New Roman"/>
          <w:sz w:val="24"/>
          <w:szCs w:val="24"/>
          <w:lang w:eastAsia="en-GB"/>
        </w:rPr>
        <w:t>, 30</w:t>
      </w:r>
      <w:r w:rsidRPr="00C72730">
        <w:rPr>
          <w:rFonts w:ascii="Garamond" w:eastAsia="Times New Roman" w:hAnsi="Garamond" w:cs="Times New Roman"/>
          <w:sz w:val="24"/>
          <w:szCs w:val="24"/>
          <w:lang w:eastAsia="en-GB"/>
        </w:rPr>
        <w:t xml:space="preserve">(4): 599-629. </w:t>
      </w:r>
    </w:p>
    <w:p w:rsidR="00A55E86" w:rsidRPr="00C72730" w:rsidRDefault="00A55E86" w:rsidP="00DC066F">
      <w:pPr>
        <w:shd w:val="clear" w:color="auto" w:fill="FFFFFF"/>
        <w:spacing w:after="0" w:line="360" w:lineRule="auto"/>
        <w:contextualSpacing/>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Cowley, P. and Garry, J. (1998) ‘The British Conservative Party and Europe: The Choosing of John Major’, </w:t>
      </w:r>
      <w:r w:rsidRPr="00C72730">
        <w:rPr>
          <w:rFonts w:ascii="Garamond" w:eastAsia="Times New Roman" w:hAnsi="Garamond" w:cs="Times New Roman"/>
          <w:i/>
          <w:iCs/>
          <w:sz w:val="24"/>
          <w:szCs w:val="24"/>
          <w:lang w:eastAsia="en-GB"/>
        </w:rPr>
        <w:t>British Journal of Political Science</w:t>
      </w:r>
      <w:r w:rsidRPr="00C72730">
        <w:rPr>
          <w:rFonts w:ascii="Garamond" w:eastAsia="Times New Roman" w:hAnsi="Garamond" w:cs="Times New Roman"/>
          <w:sz w:val="24"/>
          <w:szCs w:val="24"/>
          <w:lang w:eastAsia="en-GB"/>
        </w:rPr>
        <w:t>,</w:t>
      </w:r>
      <w:r w:rsidR="007F27F7" w:rsidRPr="00C72730">
        <w:rPr>
          <w:rFonts w:ascii="Garamond" w:eastAsia="Times New Roman" w:hAnsi="Garamond" w:cs="Times New Roman"/>
          <w:sz w:val="24"/>
          <w:szCs w:val="24"/>
          <w:lang w:eastAsia="en-GB"/>
        </w:rPr>
        <w:t xml:space="preserve"> 28</w:t>
      </w:r>
      <w:r w:rsidRPr="00C72730">
        <w:rPr>
          <w:rFonts w:ascii="Garamond" w:eastAsia="Times New Roman" w:hAnsi="Garamond" w:cs="Times New Roman"/>
          <w:sz w:val="24"/>
          <w:szCs w:val="24"/>
          <w:lang w:eastAsia="en-GB"/>
        </w:rPr>
        <w:t>(3): 473-99.</w:t>
      </w:r>
    </w:p>
    <w:p w:rsidR="00A55E86" w:rsidRPr="00C72730" w:rsidRDefault="00A55E86" w:rsidP="00DC066F">
      <w:pPr>
        <w:pStyle w:val="NormalWeb"/>
        <w:spacing w:before="0" w:beforeAutospacing="0" w:after="0" w:afterAutospacing="0" w:line="360" w:lineRule="auto"/>
        <w:contextualSpacing/>
        <w:jc w:val="both"/>
        <w:rPr>
          <w:rFonts w:ascii="Garamond" w:hAnsi="Garamond"/>
          <w:lang w:val="en"/>
        </w:rPr>
      </w:pPr>
      <w:r w:rsidRPr="00C72730">
        <w:rPr>
          <w:rFonts w:ascii="Garamond" w:hAnsi="Garamond"/>
          <w:lang w:val="en"/>
        </w:rPr>
        <w:t xml:space="preserve">Cowley, P. and Stuart, M. (2010) ‘Where has all the trouble gone? British intra-party parliamentary divisions during the Lisbon ratification’, </w:t>
      </w:r>
      <w:r w:rsidRPr="00C72730">
        <w:rPr>
          <w:rStyle w:val="Emphasis"/>
          <w:rFonts w:ascii="Garamond" w:hAnsi="Garamond"/>
          <w:lang w:val="en"/>
        </w:rPr>
        <w:t>British Politics</w:t>
      </w:r>
      <w:r w:rsidR="007F27F7" w:rsidRPr="00C72730">
        <w:rPr>
          <w:rFonts w:ascii="Garamond" w:hAnsi="Garamond"/>
          <w:lang w:val="en"/>
        </w:rPr>
        <w:t>, 5</w:t>
      </w:r>
      <w:r w:rsidRPr="00C72730">
        <w:rPr>
          <w:rFonts w:ascii="Garamond" w:hAnsi="Garamond"/>
          <w:lang w:val="en"/>
        </w:rPr>
        <w:t xml:space="preserve">(1): 133-48.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lastRenderedPageBreak/>
        <w:t xml:space="preserve">Denham, A. and Dorey, P. (2006) ‘A Tale of Two Speeches: The Conservative Leadership Election’, </w:t>
      </w:r>
      <w:r w:rsidRPr="00C72730">
        <w:rPr>
          <w:rFonts w:ascii="Garamond" w:eastAsia="Times New Roman" w:hAnsi="Garamond" w:cs="Times New Roman"/>
          <w:i/>
          <w:iCs/>
          <w:sz w:val="24"/>
          <w:szCs w:val="24"/>
          <w:lang w:eastAsia="en-GB"/>
        </w:rPr>
        <w:t>Political Quarterly</w:t>
      </w:r>
      <w:r w:rsidR="007F27F7" w:rsidRPr="00C72730">
        <w:rPr>
          <w:rFonts w:ascii="Garamond" w:eastAsia="Times New Roman" w:hAnsi="Garamond" w:cs="Times New Roman"/>
          <w:sz w:val="24"/>
          <w:szCs w:val="24"/>
          <w:lang w:eastAsia="en-GB"/>
        </w:rPr>
        <w:t>, 78</w:t>
      </w:r>
      <w:r w:rsidRPr="00C72730">
        <w:rPr>
          <w:rFonts w:ascii="Garamond" w:eastAsia="Times New Roman" w:hAnsi="Garamond" w:cs="Times New Roman"/>
          <w:sz w:val="24"/>
          <w:szCs w:val="24"/>
          <w:lang w:eastAsia="en-GB"/>
        </w:rPr>
        <w:t xml:space="preserve">(1): 35-41.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Denham, A. and O’Hara, K. (2008) </w:t>
      </w:r>
      <w:r w:rsidRPr="00C72730">
        <w:rPr>
          <w:rFonts w:ascii="Garamond" w:eastAsia="Times New Roman" w:hAnsi="Garamond" w:cs="Times New Roman"/>
          <w:i/>
          <w:iCs/>
          <w:sz w:val="24"/>
          <w:szCs w:val="24"/>
          <w:lang w:eastAsia="en-GB"/>
        </w:rPr>
        <w:t>Democratising Conservative Leadership Selection: From Grey Suits to Grass Roots</w:t>
      </w:r>
      <w:r w:rsidR="003B0C40" w:rsidRPr="00C72730">
        <w:rPr>
          <w:rFonts w:ascii="Garamond" w:eastAsia="Times New Roman" w:hAnsi="Garamond" w:cs="Times New Roman"/>
          <w:sz w:val="24"/>
          <w:szCs w:val="24"/>
          <w:lang w:eastAsia="en-GB"/>
        </w:rPr>
        <w:t>. Manchester,</w:t>
      </w:r>
      <w:r w:rsidRPr="00C72730">
        <w:rPr>
          <w:rFonts w:ascii="Garamond" w:eastAsia="Times New Roman" w:hAnsi="Garamond" w:cs="Times New Roman"/>
          <w:sz w:val="24"/>
          <w:szCs w:val="24"/>
          <w:lang w:eastAsia="en-GB"/>
        </w:rPr>
        <w:t xml:space="preserve"> Manchester University Press. </w:t>
      </w:r>
    </w:p>
    <w:p w:rsidR="00A55E86" w:rsidRPr="00C72730" w:rsidRDefault="00A55E86" w:rsidP="00DC066F">
      <w:pPr>
        <w:shd w:val="clear" w:color="auto" w:fill="FFFFFF"/>
        <w:spacing w:after="0" w:line="360" w:lineRule="auto"/>
        <w:contextualSpacing/>
        <w:jc w:val="both"/>
        <w:textAlignment w:val="center"/>
        <w:rPr>
          <w:rFonts w:ascii="Garamond" w:eastAsia="Times New Roman" w:hAnsi="Garamond" w:cs="Times New Roman"/>
          <w:i/>
          <w:iCs/>
          <w:sz w:val="24"/>
          <w:szCs w:val="24"/>
          <w:lang w:eastAsia="en-GB"/>
        </w:rPr>
      </w:pPr>
      <w:r w:rsidRPr="00C72730">
        <w:rPr>
          <w:rFonts w:ascii="Garamond" w:eastAsia="Times New Roman" w:hAnsi="Garamond" w:cs="Times New Roman"/>
          <w:sz w:val="24"/>
          <w:szCs w:val="24"/>
          <w:lang w:eastAsia="en-GB"/>
        </w:rPr>
        <w:t xml:space="preserve">Dorey, P. and Denham, A. (2016) ‘The Longest Suicide Note in History: The Labour Party Leadership Election of 2015’, </w:t>
      </w:r>
      <w:r w:rsidRPr="00C72730">
        <w:rPr>
          <w:rFonts w:ascii="Garamond" w:eastAsia="Times New Roman" w:hAnsi="Garamond" w:cs="Times New Roman"/>
          <w:i/>
          <w:iCs/>
          <w:sz w:val="24"/>
          <w:szCs w:val="24"/>
          <w:lang w:eastAsia="en-GB"/>
        </w:rPr>
        <w:t>British Politics</w:t>
      </w:r>
      <w:r w:rsidR="007F27F7" w:rsidRPr="00C72730">
        <w:rPr>
          <w:rFonts w:ascii="Garamond" w:eastAsia="Times New Roman" w:hAnsi="Garamond" w:cs="Times New Roman"/>
          <w:i/>
          <w:iCs/>
          <w:sz w:val="24"/>
          <w:szCs w:val="24"/>
          <w:lang w:eastAsia="en-GB"/>
        </w:rPr>
        <w:t xml:space="preserve">, </w:t>
      </w:r>
      <w:r w:rsidR="007F27F7" w:rsidRPr="00C72730">
        <w:rPr>
          <w:rFonts w:ascii="Garamond" w:eastAsia="Times New Roman" w:hAnsi="Garamond" w:cs="Times New Roman"/>
          <w:iCs/>
          <w:sz w:val="24"/>
          <w:szCs w:val="24"/>
          <w:lang w:eastAsia="en-GB"/>
        </w:rPr>
        <w:t>11(3): 259-282.</w:t>
      </w:r>
    </w:p>
    <w:p w:rsidR="00A55E86" w:rsidRPr="00C72730" w:rsidRDefault="00A55E86" w:rsidP="00DC066F">
      <w:pPr>
        <w:spacing w:after="0" w:line="360" w:lineRule="auto"/>
        <w:contextualSpacing/>
        <w:jc w:val="both"/>
        <w:rPr>
          <w:iCs/>
          <w:lang w:val="en"/>
        </w:rPr>
      </w:pPr>
      <w:r w:rsidRPr="00C72730">
        <w:rPr>
          <w:rFonts w:ascii="Garamond" w:hAnsi="Garamond"/>
          <w:iCs/>
          <w:sz w:val="24"/>
          <w:szCs w:val="24"/>
          <w:lang w:val="en"/>
        </w:rPr>
        <w:t>Garry, J.  (1995) ‘The British Conservative party: Divisions over European policy</w:t>
      </w:r>
      <w:r w:rsidRPr="00C72730">
        <w:rPr>
          <w:rFonts w:ascii="Garamond" w:hAnsi="Garamond"/>
          <w:i/>
          <w:iCs/>
          <w:sz w:val="24"/>
          <w:szCs w:val="24"/>
          <w:lang w:val="en"/>
        </w:rPr>
        <w:t xml:space="preserve">’. West European Politics, </w:t>
      </w:r>
      <w:r w:rsidR="007F27F7" w:rsidRPr="00C72730">
        <w:rPr>
          <w:rFonts w:ascii="Garamond" w:hAnsi="Garamond"/>
          <w:iCs/>
          <w:sz w:val="24"/>
          <w:szCs w:val="24"/>
          <w:lang w:val="en"/>
        </w:rPr>
        <w:t>18</w:t>
      </w:r>
      <w:r w:rsidR="003B0C40" w:rsidRPr="00C72730">
        <w:rPr>
          <w:rFonts w:ascii="Garamond" w:hAnsi="Garamond"/>
          <w:iCs/>
          <w:sz w:val="24"/>
          <w:szCs w:val="24"/>
          <w:lang w:val="en"/>
        </w:rPr>
        <w:t>(2)</w:t>
      </w:r>
      <w:r w:rsidR="006358D7" w:rsidRPr="00C72730">
        <w:rPr>
          <w:rFonts w:ascii="Garamond" w:hAnsi="Garamond"/>
          <w:iCs/>
          <w:sz w:val="24"/>
          <w:szCs w:val="24"/>
          <w:lang w:val="en"/>
        </w:rPr>
        <w:t>:</w:t>
      </w:r>
      <w:r w:rsidRPr="00C72730">
        <w:rPr>
          <w:rFonts w:ascii="Garamond" w:hAnsi="Garamond"/>
          <w:iCs/>
          <w:sz w:val="24"/>
          <w:szCs w:val="24"/>
          <w:lang w:val="en"/>
        </w:rPr>
        <w:t>170-89.</w:t>
      </w:r>
    </w:p>
    <w:p w:rsidR="00A55E86" w:rsidRPr="00C72730" w:rsidRDefault="00A55E86" w:rsidP="00DC066F">
      <w:pPr>
        <w:spacing w:after="0" w:line="360" w:lineRule="auto"/>
        <w:contextualSpacing/>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Gifford, C. (2014) ‘The People against Europe: The Eurosceptic Challenge to the United Kingdom’s Coalition Government’, </w:t>
      </w:r>
      <w:r w:rsidRPr="00C72730">
        <w:rPr>
          <w:rFonts w:ascii="Garamond" w:eastAsia="Times New Roman" w:hAnsi="Garamond" w:cs="Times New Roman"/>
          <w:i/>
          <w:sz w:val="24"/>
          <w:szCs w:val="24"/>
          <w:lang w:eastAsia="en-GB"/>
        </w:rPr>
        <w:t>Journal of Common Market Studies</w:t>
      </w:r>
      <w:r w:rsidR="007F27F7" w:rsidRPr="00C72730">
        <w:rPr>
          <w:rFonts w:ascii="Garamond" w:eastAsia="Times New Roman" w:hAnsi="Garamond" w:cs="Times New Roman"/>
          <w:sz w:val="24"/>
          <w:szCs w:val="24"/>
          <w:lang w:eastAsia="en-GB"/>
        </w:rPr>
        <w:t>, 52</w:t>
      </w:r>
      <w:r w:rsidR="003B0C40" w:rsidRPr="00C72730">
        <w:rPr>
          <w:rFonts w:ascii="Garamond" w:eastAsia="Times New Roman" w:hAnsi="Garamond" w:cs="Times New Roman"/>
          <w:sz w:val="24"/>
          <w:szCs w:val="24"/>
          <w:lang w:eastAsia="en-GB"/>
        </w:rPr>
        <w:t>(3),</w:t>
      </w:r>
      <w:r w:rsidRPr="00C72730">
        <w:rPr>
          <w:rFonts w:ascii="Garamond" w:eastAsia="Times New Roman" w:hAnsi="Garamond" w:cs="Times New Roman"/>
          <w:sz w:val="24"/>
          <w:szCs w:val="24"/>
          <w:lang w:eastAsia="en-GB"/>
        </w:rPr>
        <w:t xml:space="preserve"> 512-52.</w:t>
      </w:r>
    </w:p>
    <w:p w:rsidR="00021A67" w:rsidRPr="00C72730" w:rsidRDefault="00021A67" w:rsidP="00DC066F">
      <w:pPr>
        <w:shd w:val="clear" w:color="auto" w:fill="FFFFFF"/>
        <w:spacing w:after="0" w:line="360" w:lineRule="auto"/>
        <w:jc w:val="both"/>
        <w:textAlignment w:val="center"/>
        <w:rPr>
          <w:rStyle w:val="nlmpublisher-name"/>
          <w:rFonts w:ascii="Garamond" w:hAnsi="Garamond" w:cs="Helvetica"/>
          <w:sz w:val="24"/>
          <w:szCs w:val="24"/>
        </w:rPr>
      </w:pPr>
      <w:r w:rsidRPr="00C72730">
        <w:rPr>
          <w:rStyle w:val="nlmpublisher-name"/>
          <w:rFonts w:ascii="Garamond" w:hAnsi="Garamond" w:cs="Helvetica"/>
          <w:sz w:val="24"/>
          <w:szCs w:val="24"/>
        </w:rPr>
        <w:t xml:space="preserve">Goodwin, M. and Milazzo, C. (2015) </w:t>
      </w:r>
      <w:r w:rsidRPr="00C72730">
        <w:rPr>
          <w:rStyle w:val="nlmpublisher-name"/>
          <w:rFonts w:ascii="Garamond" w:hAnsi="Garamond" w:cs="Helvetica"/>
          <w:i/>
          <w:sz w:val="24"/>
          <w:szCs w:val="24"/>
        </w:rPr>
        <w:t>UKIP: Inside the Campaign to Redraw the Map of British Politics</w:t>
      </w:r>
      <w:r w:rsidR="003B0C40" w:rsidRPr="00C72730">
        <w:rPr>
          <w:rStyle w:val="nlmpublisher-name"/>
          <w:rFonts w:ascii="Garamond" w:hAnsi="Garamond" w:cs="Helvetica"/>
          <w:sz w:val="24"/>
          <w:szCs w:val="24"/>
        </w:rPr>
        <w:t>, Oxford,</w:t>
      </w:r>
      <w:r w:rsidRPr="00C72730">
        <w:rPr>
          <w:rStyle w:val="nlmpublisher-name"/>
          <w:rFonts w:ascii="Garamond" w:hAnsi="Garamond" w:cs="Helvetica"/>
          <w:sz w:val="24"/>
          <w:szCs w:val="24"/>
        </w:rPr>
        <w:t xml:space="preserve"> Ox</w:t>
      </w:r>
      <w:r w:rsidR="003B0C40" w:rsidRPr="00C72730">
        <w:rPr>
          <w:rStyle w:val="nlmpublisher-name"/>
          <w:rFonts w:ascii="Garamond" w:hAnsi="Garamond" w:cs="Helvetica"/>
          <w:sz w:val="24"/>
          <w:szCs w:val="24"/>
        </w:rPr>
        <w:t>ford University Press</w:t>
      </w:r>
      <w:r w:rsidRPr="00C72730">
        <w:rPr>
          <w:rStyle w:val="nlmpublisher-name"/>
          <w:rFonts w:ascii="Garamond" w:hAnsi="Garamond" w:cs="Helvetica"/>
          <w:sz w:val="24"/>
          <w:szCs w:val="24"/>
        </w:rPr>
        <w:t xml:space="preserve">. </w:t>
      </w:r>
    </w:p>
    <w:p w:rsidR="00A55E86" w:rsidRPr="00C72730" w:rsidRDefault="00A55E86" w:rsidP="00DC066F">
      <w:pPr>
        <w:spacing w:after="0" w:line="360" w:lineRule="auto"/>
        <w:contextualSpacing/>
        <w:jc w:val="both"/>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Hayton, R. (2010) ‘Conservative Party Modernisation and David Cameron’s Politics of the Family’, </w:t>
      </w:r>
      <w:r w:rsidRPr="00C72730">
        <w:rPr>
          <w:rFonts w:ascii="Garamond" w:eastAsia="Times New Roman" w:hAnsi="Garamond" w:cs="Times New Roman"/>
          <w:i/>
          <w:sz w:val="24"/>
          <w:szCs w:val="24"/>
          <w:lang w:eastAsia="en-GB"/>
        </w:rPr>
        <w:t>Political Quarterly</w:t>
      </w:r>
      <w:r w:rsidR="007F27F7" w:rsidRPr="00C72730">
        <w:rPr>
          <w:rFonts w:ascii="Garamond" w:eastAsia="Times New Roman" w:hAnsi="Garamond" w:cs="Times New Roman"/>
          <w:sz w:val="24"/>
          <w:szCs w:val="24"/>
          <w:lang w:eastAsia="en-GB"/>
        </w:rPr>
        <w:t>, 8</w:t>
      </w:r>
      <w:r w:rsidRPr="00C72730">
        <w:rPr>
          <w:rFonts w:ascii="Garamond" w:eastAsia="Times New Roman" w:hAnsi="Garamond" w:cs="Times New Roman"/>
          <w:sz w:val="24"/>
          <w:szCs w:val="24"/>
          <w:lang w:eastAsia="en-GB"/>
        </w:rPr>
        <w:t>(4): 492-500.</w:t>
      </w:r>
    </w:p>
    <w:p w:rsidR="00A55E86" w:rsidRPr="00C72730" w:rsidRDefault="00A55E86" w:rsidP="00DC066F">
      <w:pPr>
        <w:spacing w:after="0" w:line="360" w:lineRule="auto"/>
        <w:contextualSpacing/>
        <w:jc w:val="both"/>
        <w:rPr>
          <w:i/>
          <w:iCs/>
          <w:lang w:val="en"/>
        </w:rPr>
      </w:pPr>
      <w:r w:rsidRPr="00C72730">
        <w:rPr>
          <w:rFonts w:ascii="Garamond" w:hAnsi="Garamond"/>
          <w:iCs/>
          <w:sz w:val="24"/>
          <w:szCs w:val="24"/>
          <w:lang w:val="en"/>
        </w:rPr>
        <w:t>Heppell, T. (2002)</w:t>
      </w:r>
      <w:r w:rsidRPr="00C72730">
        <w:rPr>
          <w:rFonts w:ascii="Garamond" w:hAnsi="Garamond"/>
          <w:i/>
          <w:iCs/>
          <w:sz w:val="24"/>
          <w:szCs w:val="24"/>
          <w:lang w:val="en"/>
        </w:rPr>
        <w:t xml:space="preserve"> </w:t>
      </w:r>
      <w:r w:rsidRPr="00C72730">
        <w:rPr>
          <w:rFonts w:ascii="Garamond" w:hAnsi="Garamond"/>
          <w:iCs/>
          <w:sz w:val="24"/>
          <w:szCs w:val="24"/>
          <w:lang w:val="en"/>
        </w:rPr>
        <w:t>‘The ideological composition of the Parliamentary Conservative party 1992–1997</w:t>
      </w:r>
      <w:r w:rsidRPr="00C72730">
        <w:rPr>
          <w:rFonts w:ascii="Garamond" w:hAnsi="Garamond"/>
          <w:i/>
          <w:iCs/>
          <w:sz w:val="24"/>
          <w:szCs w:val="24"/>
          <w:lang w:val="en"/>
        </w:rPr>
        <w:t>’, British Journal of Politics and International Relations</w:t>
      </w:r>
      <w:r w:rsidRPr="00C72730">
        <w:rPr>
          <w:rFonts w:ascii="Garamond" w:hAnsi="Garamond"/>
          <w:iCs/>
          <w:sz w:val="24"/>
          <w:szCs w:val="24"/>
          <w:lang w:val="en"/>
        </w:rPr>
        <w:t>,</w:t>
      </w:r>
      <w:r w:rsidRPr="00C72730">
        <w:rPr>
          <w:rFonts w:ascii="Garamond" w:hAnsi="Garamond"/>
          <w:i/>
          <w:iCs/>
          <w:sz w:val="24"/>
          <w:szCs w:val="24"/>
          <w:lang w:val="en"/>
        </w:rPr>
        <w:t xml:space="preserve"> </w:t>
      </w:r>
      <w:r w:rsidR="007F27F7" w:rsidRPr="00C72730">
        <w:rPr>
          <w:rFonts w:ascii="Garamond" w:hAnsi="Garamond"/>
          <w:iCs/>
          <w:sz w:val="24"/>
          <w:szCs w:val="24"/>
          <w:lang w:val="en"/>
        </w:rPr>
        <w:t>4</w:t>
      </w:r>
      <w:r w:rsidRPr="00C72730">
        <w:rPr>
          <w:rFonts w:ascii="Garamond" w:hAnsi="Garamond"/>
          <w:iCs/>
          <w:sz w:val="24"/>
          <w:szCs w:val="24"/>
          <w:lang w:val="en"/>
        </w:rPr>
        <w:t>(2): 299-324</w:t>
      </w:r>
      <w:r w:rsidRPr="00C72730">
        <w:rPr>
          <w:rFonts w:ascii="Garamond" w:hAnsi="Garamond"/>
          <w:i/>
          <w:iCs/>
          <w:sz w:val="24"/>
          <w:szCs w:val="24"/>
          <w:lang w:val="en"/>
        </w:rPr>
        <w:t xml:space="preserve">.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Heppell, T. (2008) </w:t>
      </w:r>
      <w:r w:rsidRPr="00C72730">
        <w:rPr>
          <w:rFonts w:ascii="Garamond" w:eastAsia="Times New Roman" w:hAnsi="Garamond" w:cs="Times New Roman"/>
          <w:i/>
          <w:iCs/>
          <w:sz w:val="24"/>
          <w:szCs w:val="24"/>
          <w:lang w:eastAsia="en-GB"/>
        </w:rPr>
        <w:t>Choosing the Tory Leader: Conservative Party Leadership Elections from Heath to Cameron</w:t>
      </w:r>
      <w:r w:rsidR="003B0C40" w:rsidRPr="00C72730">
        <w:rPr>
          <w:rFonts w:ascii="Garamond" w:eastAsia="Times New Roman" w:hAnsi="Garamond" w:cs="Times New Roman"/>
          <w:sz w:val="24"/>
          <w:szCs w:val="24"/>
          <w:lang w:eastAsia="en-GB"/>
        </w:rPr>
        <w:t>. London,</w:t>
      </w:r>
      <w:r w:rsidRPr="00C72730">
        <w:rPr>
          <w:rFonts w:ascii="Garamond" w:eastAsia="Times New Roman" w:hAnsi="Garamond" w:cs="Times New Roman"/>
          <w:sz w:val="24"/>
          <w:szCs w:val="24"/>
          <w:lang w:eastAsia="en-GB"/>
        </w:rPr>
        <w:t xml:space="preserve"> IB Tauris.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Heppell, T. (2013) ‘Cameron and Liberal Conservatism: Attitudes within the Parliamentary Conservative Party and Conservative Ministers’, </w:t>
      </w:r>
      <w:r w:rsidRPr="00C72730">
        <w:rPr>
          <w:rFonts w:ascii="Garamond" w:eastAsia="Times New Roman" w:hAnsi="Garamond" w:cs="Times New Roman"/>
          <w:i/>
          <w:iCs/>
          <w:sz w:val="24"/>
          <w:szCs w:val="24"/>
          <w:lang w:eastAsia="en-GB"/>
        </w:rPr>
        <w:t>British Journal of Politics and International Relations</w:t>
      </w:r>
      <w:r w:rsidR="007F27F7" w:rsidRPr="00C72730">
        <w:rPr>
          <w:rFonts w:ascii="Garamond" w:eastAsia="Times New Roman" w:hAnsi="Garamond" w:cs="Times New Roman"/>
          <w:sz w:val="24"/>
          <w:szCs w:val="24"/>
          <w:lang w:eastAsia="en-GB"/>
        </w:rPr>
        <w:t>, 15</w:t>
      </w:r>
      <w:r w:rsidR="003B0C40" w:rsidRPr="00C72730">
        <w:rPr>
          <w:rFonts w:ascii="Garamond" w:eastAsia="Times New Roman" w:hAnsi="Garamond" w:cs="Times New Roman"/>
          <w:sz w:val="24"/>
          <w:szCs w:val="24"/>
          <w:lang w:eastAsia="en-GB"/>
        </w:rPr>
        <w:t>(3),</w:t>
      </w:r>
      <w:r w:rsidRPr="00C72730">
        <w:rPr>
          <w:rFonts w:ascii="Garamond" w:eastAsia="Times New Roman" w:hAnsi="Garamond" w:cs="Times New Roman"/>
          <w:sz w:val="24"/>
          <w:szCs w:val="24"/>
          <w:lang w:eastAsia="en-GB"/>
        </w:rPr>
        <w:t xml:space="preserve"> 340–61.</w:t>
      </w:r>
    </w:p>
    <w:p w:rsidR="008714DC" w:rsidRPr="00C72730" w:rsidRDefault="00A55E86" w:rsidP="008714DC">
      <w:pPr>
        <w:shd w:val="clear" w:color="auto" w:fill="FFFFFF"/>
        <w:spacing w:after="0" w:line="360" w:lineRule="auto"/>
        <w:contextualSpacing/>
        <w:jc w:val="both"/>
        <w:textAlignment w:val="center"/>
        <w:rPr>
          <w:rFonts w:ascii="Garamond" w:hAnsi="Garamond"/>
          <w:sz w:val="24"/>
          <w:szCs w:val="24"/>
          <w:lang w:val="en"/>
        </w:rPr>
      </w:pPr>
      <w:r w:rsidRPr="00C72730">
        <w:rPr>
          <w:rFonts w:ascii="Garamond" w:eastAsia="Times New Roman" w:hAnsi="Garamond" w:cs="Times New Roman"/>
          <w:sz w:val="24"/>
          <w:szCs w:val="24"/>
          <w:lang w:eastAsia="en-GB"/>
        </w:rPr>
        <w:t>Heppell, T. and Crines, A. (2016) ‘</w:t>
      </w:r>
      <w:r w:rsidRPr="00C72730">
        <w:rPr>
          <w:rFonts w:ascii="Garamond" w:hAnsi="Garamond"/>
          <w:sz w:val="24"/>
          <w:szCs w:val="24"/>
          <w:lang w:val="en"/>
        </w:rPr>
        <w:t xml:space="preserve">Conservative ministers in the Coalition government of 2010–15: evidence of bias in the ministerial selections of David Cameron?’, </w:t>
      </w:r>
      <w:r w:rsidRPr="00C72730">
        <w:rPr>
          <w:rFonts w:ascii="Garamond" w:hAnsi="Garamond"/>
          <w:i/>
          <w:sz w:val="24"/>
          <w:szCs w:val="24"/>
          <w:lang w:val="en"/>
        </w:rPr>
        <w:t>Journal of Legislative Studies</w:t>
      </w:r>
      <w:r w:rsidR="007F27F7" w:rsidRPr="00C72730">
        <w:rPr>
          <w:rFonts w:ascii="Garamond" w:hAnsi="Garamond"/>
          <w:sz w:val="24"/>
          <w:szCs w:val="24"/>
          <w:lang w:val="en"/>
        </w:rPr>
        <w:t>, 22</w:t>
      </w:r>
      <w:r w:rsidR="003B0C40" w:rsidRPr="00C72730">
        <w:rPr>
          <w:rFonts w:ascii="Garamond" w:hAnsi="Garamond"/>
          <w:sz w:val="24"/>
          <w:szCs w:val="24"/>
          <w:lang w:val="en"/>
        </w:rPr>
        <w:t>(3),</w:t>
      </w:r>
      <w:r w:rsidRPr="00C72730">
        <w:rPr>
          <w:rFonts w:ascii="Garamond" w:hAnsi="Garamond"/>
          <w:sz w:val="24"/>
          <w:szCs w:val="24"/>
          <w:lang w:val="en"/>
        </w:rPr>
        <w:t xml:space="preserve"> 385-403.</w:t>
      </w:r>
    </w:p>
    <w:p w:rsidR="008714DC" w:rsidRPr="00C72730" w:rsidRDefault="008714DC" w:rsidP="00DC066F">
      <w:pPr>
        <w:shd w:val="clear" w:color="auto" w:fill="FFFFFF"/>
        <w:spacing w:after="0" w:line="360" w:lineRule="auto"/>
        <w:contextualSpacing/>
        <w:jc w:val="both"/>
        <w:textAlignment w:val="center"/>
        <w:rPr>
          <w:rFonts w:ascii="Garamond" w:hAnsi="Garamond"/>
          <w:sz w:val="24"/>
          <w:szCs w:val="24"/>
          <w:lang w:val="en"/>
        </w:rPr>
      </w:pPr>
      <w:r w:rsidRPr="00C72730">
        <w:rPr>
          <w:rFonts w:ascii="Garamond" w:eastAsia="Times New Roman" w:hAnsi="Garamond" w:cs="Times New Roman"/>
          <w:sz w:val="24"/>
          <w:szCs w:val="24"/>
          <w:lang w:val="en" w:eastAsia="en-GB"/>
        </w:rPr>
        <w:t xml:space="preserve">Heppell, T., Crines, A. and Jeffrey, D. (2017) ‘The United Kingdom Referendum on European Union Membership: The Voting of Conservative Parliamentarians’, </w:t>
      </w:r>
      <w:r w:rsidRPr="00C72730">
        <w:rPr>
          <w:rFonts w:ascii="Garamond" w:eastAsia="Times New Roman" w:hAnsi="Garamond" w:cs="Times New Roman"/>
          <w:i/>
          <w:sz w:val="24"/>
          <w:szCs w:val="24"/>
          <w:lang w:val="en" w:eastAsia="en-GB"/>
        </w:rPr>
        <w:t>Journal of Common Market Studies</w:t>
      </w:r>
      <w:r w:rsidRPr="00C72730">
        <w:rPr>
          <w:rFonts w:ascii="Garamond" w:eastAsia="Times New Roman" w:hAnsi="Garamond" w:cs="Times New Roman"/>
          <w:sz w:val="24"/>
          <w:szCs w:val="24"/>
          <w:lang w:val="en" w:eastAsia="en-GB"/>
        </w:rPr>
        <w:t>, early view.</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Heppell, T. and Hill, M. (2008) ‘The Conservative Party Leadership Election of 1997: An Analysis of the Voting Motivations of Conservative Parliamentarians’, </w:t>
      </w:r>
      <w:r w:rsidRPr="00C72730">
        <w:rPr>
          <w:rFonts w:ascii="Garamond" w:eastAsia="Times New Roman" w:hAnsi="Garamond" w:cs="Times New Roman"/>
          <w:i/>
          <w:iCs/>
          <w:sz w:val="24"/>
          <w:szCs w:val="24"/>
          <w:lang w:eastAsia="en-GB"/>
        </w:rPr>
        <w:t>British Politics</w:t>
      </w:r>
      <w:r w:rsidR="007F27F7" w:rsidRPr="00C72730">
        <w:rPr>
          <w:rFonts w:ascii="Garamond" w:eastAsia="Times New Roman" w:hAnsi="Garamond" w:cs="Times New Roman"/>
          <w:sz w:val="24"/>
          <w:szCs w:val="24"/>
          <w:lang w:eastAsia="en-GB"/>
        </w:rPr>
        <w:t>, 3</w:t>
      </w:r>
      <w:r w:rsidR="003B0C40" w:rsidRPr="00C72730">
        <w:rPr>
          <w:rFonts w:ascii="Garamond" w:eastAsia="Times New Roman" w:hAnsi="Garamond" w:cs="Times New Roman"/>
          <w:sz w:val="24"/>
          <w:szCs w:val="24"/>
          <w:lang w:eastAsia="en-GB"/>
        </w:rPr>
        <w:t xml:space="preserve">(1), </w:t>
      </w:r>
      <w:r w:rsidRPr="00C72730">
        <w:rPr>
          <w:rFonts w:ascii="Garamond" w:eastAsia="Times New Roman" w:hAnsi="Garamond" w:cs="Times New Roman"/>
          <w:sz w:val="24"/>
          <w:szCs w:val="24"/>
          <w:lang w:eastAsia="en-GB"/>
        </w:rPr>
        <w:t xml:space="preserve">63-91.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Heppell, T. and Hill, M. (2009) ‘Transcending Thatcherism? Ideology and the Conservative Party Leadership Mandate of David Cameron’, </w:t>
      </w:r>
      <w:r w:rsidRPr="00C72730">
        <w:rPr>
          <w:rFonts w:ascii="Garamond" w:eastAsia="Times New Roman" w:hAnsi="Garamond" w:cs="Times New Roman"/>
          <w:i/>
          <w:iCs/>
          <w:sz w:val="24"/>
          <w:szCs w:val="24"/>
          <w:lang w:eastAsia="en-GB"/>
        </w:rPr>
        <w:t>Political Quarterly</w:t>
      </w:r>
      <w:r w:rsidR="007F27F7" w:rsidRPr="00C72730">
        <w:rPr>
          <w:rFonts w:ascii="Garamond" w:eastAsia="Times New Roman" w:hAnsi="Garamond" w:cs="Times New Roman"/>
          <w:sz w:val="24"/>
          <w:szCs w:val="24"/>
          <w:lang w:eastAsia="en-GB"/>
        </w:rPr>
        <w:t>, 80</w:t>
      </w:r>
      <w:r w:rsidR="003B0C40" w:rsidRPr="00C72730">
        <w:rPr>
          <w:rFonts w:ascii="Garamond" w:eastAsia="Times New Roman" w:hAnsi="Garamond" w:cs="Times New Roman"/>
          <w:sz w:val="24"/>
          <w:szCs w:val="24"/>
          <w:lang w:eastAsia="en-GB"/>
        </w:rPr>
        <w:t>(3),</w:t>
      </w:r>
      <w:r w:rsidRPr="00C72730">
        <w:rPr>
          <w:rFonts w:ascii="Garamond" w:eastAsia="Times New Roman" w:hAnsi="Garamond" w:cs="Times New Roman"/>
          <w:sz w:val="24"/>
          <w:szCs w:val="24"/>
          <w:lang w:eastAsia="en-GB"/>
        </w:rPr>
        <w:t xml:space="preserve"> 388-99.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Heppell, T. and Hill, M. (2010) ‘The Voting Motivations of Conservative Parliamentarians in the Conservative Party Leadership Election of 2001’, </w:t>
      </w:r>
      <w:r w:rsidRPr="00C72730">
        <w:rPr>
          <w:rFonts w:ascii="Garamond" w:eastAsia="Times New Roman" w:hAnsi="Garamond" w:cs="Times New Roman"/>
          <w:i/>
          <w:iCs/>
          <w:sz w:val="24"/>
          <w:szCs w:val="24"/>
          <w:lang w:eastAsia="en-GB"/>
        </w:rPr>
        <w:t>Politics</w:t>
      </w:r>
      <w:r w:rsidR="007F27F7" w:rsidRPr="00C72730">
        <w:rPr>
          <w:rFonts w:ascii="Garamond" w:eastAsia="Times New Roman" w:hAnsi="Garamond" w:cs="Times New Roman"/>
          <w:sz w:val="24"/>
          <w:szCs w:val="24"/>
          <w:lang w:eastAsia="en-GB"/>
        </w:rPr>
        <w:t>, 30</w:t>
      </w:r>
      <w:r w:rsidR="003B0C40" w:rsidRPr="00C72730">
        <w:rPr>
          <w:rFonts w:ascii="Garamond" w:eastAsia="Times New Roman" w:hAnsi="Garamond" w:cs="Times New Roman"/>
          <w:sz w:val="24"/>
          <w:szCs w:val="24"/>
          <w:lang w:eastAsia="en-GB"/>
        </w:rPr>
        <w:t>(1),</w:t>
      </w:r>
      <w:r w:rsidRPr="00C72730">
        <w:rPr>
          <w:rFonts w:ascii="Garamond" w:eastAsia="Times New Roman" w:hAnsi="Garamond" w:cs="Times New Roman"/>
          <w:sz w:val="24"/>
          <w:szCs w:val="24"/>
          <w:lang w:eastAsia="en-GB"/>
        </w:rPr>
        <w:t xml:space="preserve"> 36-51.</w:t>
      </w:r>
    </w:p>
    <w:p w:rsidR="00A55E86" w:rsidRPr="00C72730" w:rsidRDefault="00A55E86" w:rsidP="00DC066F">
      <w:pPr>
        <w:spacing w:after="0" w:line="360" w:lineRule="auto"/>
        <w:contextualSpacing/>
        <w:jc w:val="both"/>
        <w:rPr>
          <w:rFonts w:ascii="Garamond" w:eastAsia="Times New Roman" w:hAnsi="Garamond" w:cs="Times New Roman"/>
          <w:sz w:val="24"/>
          <w:szCs w:val="24"/>
          <w:lang w:val="en" w:eastAsia="en-GB"/>
        </w:rPr>
      </w:pPr>
      <w:r w:rsidRPr="00C72730">
        <w:rPr>
          <w:rFonts w:ascii="Garamond" w:eastAsia="Calibri" w:hAnsi="Garamond" w:cs="Arial"/>
          <w:sz w:val="24"/>
          <w:szCs w:val="24"/>
          <w:lang w:val="en"/>
        </w:rPr>
        <w:lastRenderedPageBreak/>
        <w:t xml:space="preserve">Hill, M. (2013). Arrogant Posh Boys? The Social Composition of the Parliamentary Conservative Party and the Effect of David Cameron’s ‘A’ List. </w:t>
      </w:r>
      <w:r w:rsidRPr="00C72730">
        <w:rPr>
          <w:rFonts w:ascii="Garamond" w:eastAsia="Calibri" w:hAnsi="Garamond" w:cs="Arial"/>
          <w:i/>
          <w:iCs/>
          <w:sz w:val="24"/>
          <w:szCs w:val="24"/>
          <w:lang w:val="en"/>
        </w:rPr>
        <w:t>Political Quarterly</w:t>
      </w:r>
      <w:r w:rsidRPr="00C72730">
        <w:rPr>
          <w:rFonts w:ascii="Garamond" w:eastAsia="Calibri" w:hAnsi="Garamond" w:cs="Arial"/>
          <w:sz w:val="24"/>
          <w:szCs w:val="24"/>
          <w:lang w:val="en"/>
        </w:rPr>
        <w:t>, 84(1), 80-89.</w:t>
      </w:r>
    </w:p>
    <w:p w:rsidR="00A55E86" w:rsidRPr="00C72730" w:rsidRDefault="00A55E86" w:rsidP="00DC066F">
      <w:pPr>
        <w:spacing w:after="0" w:line="360" w:lineRule="auto"/>
        <w:contextualSpacing/>
        <w:jc w:val="both"/>
        <w:rPr>
          <w:rFonts w:ascii="Garamond" w:eastAsia="Times New Roman" w:hAnsi="Garamond" w:cs="Times New Roman"/>
          <w:sz w:val="24"/>
          <w:szCs w:val="24"/>
          <w:lang w:val="en" w:eastAsia="en-GB"/>
        </w:rPr>
      </w:pPr>
      <w:r w:rsidRPr="00C72730">
        <w:rPr>
          <w:rFonts w:ascii="Garamond" w:hAnsi="Garamond"/>
          <w:sz w:val="24"/>
          <w:szCs w:val="24"/>
        </w:rPr>
        <w:t xml:space="preserve">Lynch, P. </w:t>
      </w:r>
      <w:r w:rsidRPr="00C72730">
        <w:rPr>
          <w:rFonts w:ascii="Garamond" w:eastAsia="Times New Roman" w:hAnsi="Garamond" w:cs="Times New Roman"/>
          <w:sz w:val="24"/>
          <w:szCs w:val="24"/>
          <w:lang w:val="en" w:eastAsia="en-GB"/>
        </w:rPr>
        <w:t xml:space="preserve">(2015) ‘Conservative Modernisation and European Integration: From Silence to Salience and Schism’, </w:t>
      </w:r>
      <w:r w:rsidRPr="00C72730">
        <w:rPr>
          <w:rFonts w:ascii="Garamond" w:eastAsia="Times New Roman" w:hAnsi="Garamond" w:cs="Times New Roman"/>
          <w:i/>
          <w:sz w:val="24"/>
          <w:szCs w:val="24"/>
          <w:lang w:val="en" w:eastAsia="en-GB"/>
        </w:rPr>
        <w:t>British Politics</w:t>
      </w:r>
      <w:r w:rsidR="007F27F7" w:rsidRPr="00C72730">
        <w:rPr>
          <w:rFonts w:ascii="Garamond" w:eastAsia="Times New Roman" w:hAnsi="Garamond" w:cs="Times New Roman"/>
          <w:sz w:val="24"/>
          <w:szCs w:val="24"/>
          <w:lang w:val="en" w:eastAsia="en-GB"/>
        </w:rPr>
        <w:t>, 10</w:t>
      </w:r>
      <w:r w:rsidR="003B0C40" w:rsidRPr="00C72730">
        <w:rPr>
          <w:rFonts w:ascii="Garamond" w:eastAsia="Times New Roman" w:hAnsi="Garamond" w:cs="Times New Roman"/>
          <w:sz w:val="24"/>
          <w:szCs w:val="24"/>
          <w:lang w:val="en" w:eastAsia="en-GB"/>
        </w:rPr>
        <w:t>(2),</w:t>
      </w:r>
      <w:r w:rsidRPr="00C72730">
        <w:rPr>
          <w:rFonts w:ascii="Garamond" w:eastAsia="Times New Roman" w:hAnsi="Garamond" w:cs="Times New Roman"/>
          <w:sz w:val="24"/>
          <w:szCs w:val="24"/>
          <w:lang w:val="en" w:eastAsia="en-GB"/>
        </w:rPr>
        <w:t xml:space="preserve"> 185-203.</w:t>
      </w:r>
    </w:p>
    <w:p w:rsidR="00FA3665" w:rsidRPr="00C72730" w:rsidRDefault="00FA3665" w:rsidP="00DC066F">
      <w:pPr>
        <w:shd w:val="clear" w:color="auto" w:fill="FFFFFF"/>
        <w:spacing w:after="0" w:line="360" w:lineRule="auto"/>
        <w:jc w:val="both"/>
        <w:textAlignment w:val="center"/>
        <w:rPr>
          <w:rFonts w:ascii="Garamond" w:eastAsia="Times New Roman" w:hAnsi="Garamond" w:cs="Times New Roman"/>
          <w:i/>
          <w:sz w:val="24"/>
          <w:szCs w:val="24"/>
          <w:lang w:eastAsia="en-GB"/>
        </w:rPr>
      </w:pPr>
      <w:r w:rsidRPr="00C72730">
        <w:rPr>
          <w:rFonts w:ascii="Garamond" w:eastAsia="Times New Roman" w:hAnsi="Garamond" w:cs="Times New Roman"/>
          <w:sz w:val="24"/>
          <w:szCs w:val="24"/>
          <w:lang w:eastAsia="en-GB"/>
        </w:rPr>
        <w:t xml:space="preserve">Lynch, P. and Whittaker, R. (2013a) ‘Rivalry on the Right: The Conservatives, the UK Independence Party (UKIP) and the EU issue’, </w:t>
      </w:r>
      <w:r w:rsidRPr="00C72730">
        <w:rPr>
          <w:rFonts w:ascii="Garamond" w:eastAsia="Times New Roman" w:hAnsi="Garamond" w:cs="Times New Roman"/>
          <w:i/>
          <w:sz w:val="24"/>
          <w:szCs w:val="24"/>
          <w:lang w:eastAsia="en-GB"/>
        </w:rPr>
        <w:t xml:space="preserve">British Politics, </w:t>
      </w:r>
      <w:r w:rsidR="007F27F7" w:rsidRPr="00C72730">
        <w:rPr>
          <w:rFonts w:ascii="Garamond" w:eastAsia="Times New Roman" w:hAnsi="Garamond" w:cs="Times New Roman"/>
          <w:sz w:val="24"/>
          <w:szCs w:val="24"/>
          <w:lang w:eastAsia="en-GB"/>
        </w:rPr>
        <w:t>8</w:t>
      </w:r>
      <w:r w:rsidR="003B0C40" w:rsidRPr="00C72730">
        <w:rPr>
          <w:rFonts w:ascii="Garamond" w:eastAsia="Times New Roman" w:hAnsi="Garamond" w:cs="Times New Roman"/>
          <w:sz w:val="24"/>
          <w:szCs w:val="24"/>
          <w:lang w:eastAsia="en-GB"/>
        </w:rPr>
        <w:t>(3),</w:t>
      </w:r>
      <w:r w:rsidRPr="00C72730">
        <w:rPr>
          <w:rFonts w:ascii="Garamond" w:eastAsia="Times New Roman" w:hAnsi="Garamond" w:cs="Times New Roman"/>
          <w:sz w:val="24"/>
          <w:szCs w:val="24"/>
          <w:lang w:eastAsia="en-GB"/>
        </w:rPr>
        <w:t xml:space="preserve"> 285-312.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Mason, R. (2016) ‘How Andrea Leadsom can beat Theresa May’, </w:t>
      </w:r>
      <w:r w:rsidRPr="00C72730">
        <w:rPr>
          <w:rFonts w:ascii="Garamond" w:eastAsia="Times New Roman" w:hAnsi="Garamond" w:cs="Times New Roman"/>
          <w:i/>
          <w:iCs/>
          <w:sz w:val="24"/>
          <w:szCs w:val="24"/>
          <w:lang w:eastAsia="en-GB"/>
        </w:rPr>
        <w:t>The Guardian</w:t>
      </w:r>
      <w:r w:rsidRPr="00C72730">
        <w:rPr>
          <w:rFonts w:ascii="Garamond" w:eastAsia="Times New Roman" w:hAnsi="Garamond" w:cs="Times New Roman"/>
          <w:sz w:val="24"/>
          <w:szCs w:val="24"/>
          <w:lang w:eastAsia="en-GB"/>
        </w:rPr>
        <w:t>, 8</w:t>
      </w:r>
      <w:r w:rsidRPr="00C72730">
        <w:rPr>
          <w:rFonts w:ascii="Garamond" w:eastAsia="Times New Roman" w:hAnsi="Garamond" w:cs="Times New Roman"/>
          <w:sz w:val="24"/>
          <w:szCs w:val="24"/>
          <w:vertAlign w:val="superscript"/>
          <w:lang w:eastAsia="en-GB"/>
        </w:rPr>
        <w:t>th</w:t>
      </w:r>
      <w:r w:rsidRPr="00C72730">
        <w:rPr>
          <w:rFonts w:ascii="Garamond" w:eastAsia="Times New Roman" w:hAnsi="Garamond" w:cs="Times New Roman"/>
          <w:sz w:val="24"/>
          <w:szCs w:val="24"/>
          <w:lang w:eastAsia="en-GB"/>
        </w:rPr>
        <w:t xml:space="preserve"> July. </w:t>
      </w:r>
    </w:p>
    <w:p w:rsidR="00A55E86" w:rsidRPr="00C72730" w:rsidRDefault="00A55E86" w:rsidP="00DC066F">
      <w:pPr>
        <w:shd w:val="clear" w:color="auto" w:fill="FFFFFF"/>
        <w:spacing w:after="0" w:line="360" w:lineRule="auto"/>
        <w:contextualSpacing/>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Norton, P. (1990) ‘“The lady’s not for turning but what about the rest” Margaret Thatcher and the Conservative party, 1979–1989’, </w:t>
      </w:r>
      <w:r w:rsidRPr="00C72730">
        <w:rPr>
          <w:rFonts w:ascii="Garamond" w:eastAsia="Times New Roman" w:hAnsi="Garamond" w:cs="Times New Roman"/>
          <w:i/>
          <w:sz w:val="24"/>
          <w:szCs w:val="24"/>
          <w:lang w:eastAsia="en-GB"/>
        </w:rPr>
        <w:t>Parliamentary Affairs</w:t>
      </w:r>
      <w:r w:rsidR="007F27F7" w:rsidRPr="00C72730">
        <w:rPr>
          <w:rFonts w:ascii="Garamond" w:eastAsia="Times New Roman" w:hAnsi="Garamond" w:cs="Times New Roman"/>
          <w:sz w:val="24"/>
          <w:szCs w:val="24"/>
          <w:lang w:eastAsia="en-GB"/>
        </w:rPr>
        <w:t>, 43</w:t>
      </w:r>
      <w:r w:rsidR="003B0C40" w:rsidRPr="00C72730">
        <w:rPr>
          <w:rFonts w:ascii="Garamond" w:eastAsia="Times New Roman" w:hAnsi="Garamond" w:cs="Times New Roman"/>
          <w:sz w:val="24"/>
          <w:szCs w:val="24"/>
          <w:lang w:eastAsia="en-GB"/>
        </w:rPr>
        <w:t>(1),</w:t>
      </w:r>
      <w:r w:rsidRPr="00C72730">
        <w:rPr>
          <w:rFonts w:ascii="Garamond" w:eastAsia="Times New Roman" w:hAnsi="Garamond" w:cs="Times New Roman"/>
          <w:sz w:val="24"/>
          <w:szCs w:val="24"/>
          <w:lang w:eastAsia="en-GB"/>
        </w:rPr>
        <w:t xml:space="preserve"> 41–58.</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r w:rsidRPr="00C72730">
        <w:rPr>
          <w:rFonts w:ascii="Garamond" w:eastAsia="Times New Roman" w:hAnsi="Garamond" w:cs="Times New Roman"/>
          <w:sz w:val="24"/>
          <w:szCs w:val="24"/>
          <w:lang w:eastAsia="en-GB"/>
        </w:rPr>
        <w:t xml:space="preserve">Quinn, T. (2016) ‘The British Labour Party’s leadership election of 2015’, </w:t>
      </w:r>
      <w:r w:rsidRPr="00C72730">
        <w:rPr>
          <w:rFonts w:ascii="Garamond" w:eastAsia="Times New Roman" w:hAnsi="Garamond" w:cs="Times New Roman"/>
          <w:i/>
          <w:sz w:val="24"/>
          <w:szCs w:val="24"/>
          <w:lang w:eastAsia="en-GB"/>
        </w:rPr>
        <w:t>British Journal of Politics and International Relations</w:t>
      </w:r>
      <w:r w:rsidRPr="00C72730">
        <w:rPr>
          <w:rFonts w:ascii="Garamond" w:eastAsia="Times New Roman" w:hAnsi="Garamond" w:cs="Times New Roman"/>
          <w:sz w:val="24"/>
          <w:szCs w:val="24"/>
          <w:lang w:eastAsia="en-GB"/>
        </w:rPr>
        <w:t xml:space="preserve">, </w:t>
      </w:r>
      <w:r w:rsidR="003B0C40" w:rsidRPr="00C72730">
        <w:rPr>
          <w:rFonts w:ascii="Garamond" w:eastAsia="Times New Roman" w:hAnsi="Garamond" w:cs="Times New Roman"/>
          <w:sz w:val="24"/>
          <w:szCs w:val="24"/>
          <w:lang w:eastAsia="en-GB"/>
        </w:rPr>
        <w:t>18(4), 759-778.</w:t>
      </w:r>
    </w:p>
    <w:p w:rsidR="00A55E86" w:rsidRPr="00C72730" w:rsidRDefault="00A55E86" w:rsidP="00DC066F">
      <w:pPr>
        <w:shd w:val="clear" w:color="auto" w:fill="FFFFFF"/>
        <w:spacing w:after="0" w:line="360" w:lineRule="auto"/>
        <w:contextualSpacing/>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Stark, L. P. (1996) </w:t>
      </w:r>
      <w:r w:rsidRPr="00C72730">
        <w:rPr>
          <w:rFonts w:ascii="Garamond" w:eastAsia="Times New Roman" w:hAnsi="Garamond" w:cs="Times New Roman"/>
          <w:i/>
          <w:iCs/>
          <w:sz w:val="24"/>
          <w:szCs w:val="24"/>
          <w:lang w:eastAsia="en-GB"/>
        </w:rPr>
        <w:t xml:space="preserve">Choosing a Leader: Party Leadership Contests in Britain from Macmillan to Blair. </w:t>
      </w:r>
      <w:r w:rsidR="003B0C40" w:rsidRPr="00C72730">
        <w:rPr>
          <w:rFonts w:ascii="Garamond" w:eastAsia="Times New Roman" w:hAnsi="Garamond" w:cs="Times New Roman"/>
          <w:sz w:val="24"/>
          <w:szCs w:val="24"/>
          <w:lang w:eastAsia="en-GB"/>
        </w:rPr>
        <w:t>Basingstoke,</w:t>
      </w:r>
      <w:r w:rsidRPr="00C72730">
        <w:rPr>
          <w:rFonts w:ascii="Garamond" w:eastAsia="Times New Roman" w:hAnsi="Garamond" w:cs="Times New Roman"/>
          <w:sz w:val="24"/>
          <w:szCs w:val="24"/>
          <w:lang w:eastAsia="en-GB"/>
        </w:rPr>
        <w:t xml:space="preserve"> Macmillan. </w:t>
      </w:r>
    </w:p>
    <w:p w:rsidR="00A55E86" w:rsidRPr="00C72730" w:rsidRDefault="00A55E86" w:rsidP="00DC066F">
      <w:pPr>
        <w:shd w:val="clear" w:color="auto" w:fill="FFFFFF"/>
        <w:spacing w:after="0" w:line="360" w:lineRule="auto"/>
        <w:contextualSpacing/>
        <w:jc w:val="both"/>
        <w:textAlignment w:val="center"/>
        <w:rPr>
          <w:rFonts w:ascii="Calibri" w:eastAsia="Times New Roman" w:hAnsi="Calibri" w:cs="Times New Roman"/>
          <w:sz w:val="24"/>
          <w:szCs w:val="24"/>
          <w:lang w:eastAsia="en-GB"/>
        </w:rPr>
      </w:pPr>
      <w:proofErr w:type="spellStart"/>
      <w:r w:rsidRPr="00C72730">
        <w:rPr>
          <w:rFonts w:ascii="Garamond" w:eastAsia="Times New Roman" w:hAnsi="Garamond" w:cs="Times New Roman"/>
          <w:sz w:val="24"/>
          <w:szCs w:val="24"/>
          <w:lang w:eastAsia="en-GB"/>
        </w:rPr>
        <w:t>Survation</w:t>
      </w:r>
      <w:proofErr w:type="spellEnd"/>
      <w:r w:rsidRPr="00C72730">
        <w:rPr>
          <w:rFonts w:ascii="Garamond" w:eastAsia="Times New Roman" w:hAnsi="Garamond" w:cs="Times New Roman"/>
          <w:sz w:val="24"/>
          <w:szCs w:val="24"/>
          <w:lang w:eastAsia="en-GB"/>
        </w:rPr>
        <w:t xml:space="preserve"> (2016) ‘Conservative leadership poll on behalf of the Mail on Sunday’, 2 July. http://survation.com/wp-content/uploads/2016/07/Final-Con-Leadership-Tables-MoS-300616SWCH-1c0d1h3.pdf</w:t>
      </w:r>
    </w:p>
    <w:p w:rsidR="00021A67" w:rsidRPr="00C72730" w:rsidRDefault="00021A67" w:rsidP="00DC066F">
      <w:pPr>
        <w:shd w:val="clear" w:color="auto" w:fill="FFFFFF"/>
        <w:spacing w:after="0" w:line="360" w:lineRule="auto"/>
        <w:jc w:val="both"/>
        <w:textAlignment w:val="center"/>
        <w:rPr>
          <w:rStyle w:val="nlmlpage"/>
          <w:rFonts w:ascii="Garamond" w:hAnsi="Garamond" w:cs="Helvetica"/>
          <w:sz w:val="24"/>
          <w:szCs w:val="24"/>
        </w:rPr>
      </w:pPr>
      <w:r w:rsidRPr="00C72730">
        <w:rPr>
          <w:rStyle w:val="nlmstring-name"/>
          <w:rFonts w:ascii="Garamond" w:hAnsi="Garamond" w:cs="Helvetica"/>
          <w:sz w:val="24"/>
          <w:szCs w:val="24"/>
        </w:rPr>
        <w:t>Webb</w:t>
      </w:r>
      <w:r w:rsidRPr="00C72730">
        <w:rPr>
          <w:rFonts w:ascii="Garamond" w:hAnsi="Garamond" w:cs="Helvetica"/>
          <w:sz w:val="24"/>
          <w:szCs w:val="24"/>
        </w:rPr>
        <w:t xml:space="preserve">, P. and </w:t>
      </w:r>
      <w:r w:rsidRPr="00C72730">
        <w:rPr>
          <w:rStyle w:val="nlmstring-name"/>
          <w:rFonts w:ascii="Garamond" w:hAnsi="Garamond" w:cs="Helvetica"/>
          <w:sz w:val="24"/>
          <w:szCs w:val="24"/>
        </w:rPr>
        <w:t>Bale, T.</w:t>
      </w:r>
      <w:r w:rsidRPr="00C72730">
        <w:rPr>
          <w:rFonts w:ascii="Garamond" w:hAnsi="Garamond" w:cs="Helvetica"/>
          <w:sz w:val="24"/>
          <w:szCs w:val="24"/>
        </w:rPr>
        <w:t xml:space="preserve"> (</w:t>
      </w:r>
      <w:r w:rsidRPr="00C72730">
        <w:rPr>
          <w:rStyle w:val="nlmyear"/>
          <w:rFonts w:ascii="Garamond" w:hAnsi="Garamond" w:cs="Helvetica"/>
          <w:sz w:val="24"/>
          <w:szCs w:val="24"/>
        </w:rPr>
        <w:t>2014</w:t>
      </w:r>
      <w:r w:rsidRPr="00C72730">
        <w:rPr>
          <w:rFonts w:ascii="Garamond" w:hAnsi="Garamond" w:cs="Helvetica"/>
          <w:sz w:val="24"/>
          <w:szCs w:val="24"/>
        </w:rPr>
        <w:t>) ‘</w:t>
      </w:r>
      <w:r w:rsidRPr="00C72730">
        <w:rPr>
          <w:rStyle w:val="nlmarticle-title"/>
          <w:rFonts w:ascii="Garamond" w:hAnsi="Garamond" w:cs="Helvetica"/>
          <w:sz w:val="24"/>
          <w:szCs w:val="24"/>
        </w:rPr>
        <w:t>Why do Tories defect to UKIP? Conservative party members and the temptations of the radical populist right’,</w:t>
      </w:r>
      <w:r w:rsidRPr="00C72730">
        <w:rPr>
          <w:rFonts w:ascii="Garamond" w:hAnsi="Garamond" w:cs="Helvetica"/>
          <w:sz w:val="24"/>
          <w:szCs w:val="24"/>
        </w:rPr>
        <w:t xml:space="preserve"> </w:t>
      </w:r>
      <w:r w:rsidRPr="00C72730">
        <w:rPr>
          <w:rFonts w:ascii="Garamond" w:hAnsi="Garamond" w:cs="Helvetica"/>
          <w:i/>
          <w:sz w:val="24"/>
          <w:szCs w:val="24"/>
        </w:rPr>
        <w:t>Political Studies</w:t>
      </w:r>
      <w:r w:rsidRPr="00C72730">
        <w:rPr>
          <w:rFonts w:ascii="Garamond" w:hAnsi="Garamond" w:cs="Helvetica"/>
          <w:sz w:val="24"/>
          <w:szCs w:val="24"/>
        </w:rPr>
        <w:t xml:space="preserve">, 62(4): </w:t>
      </w:r>
      <w:r w:rsidRPr="00C72730">
        <w:rPr>
          <w:rStyle w:val="nlmfpage"/>
          <w:rFonts w:ascii="Garamond" w:hAnsi="Garamond" w:cs="Helvetica"/>
          <w:sz w:val="24"/>
          <w:szCs w:val="24"/>
        </w:rPr>
        <w:t>961</w:t>
      </w:r>
      <w:r w:rsidRPr="00C72730">
        <w:rPr>
          <w:rFonts w:ascii="Garamond" w:hAnsi="Garamond" w:cs="Helvetica"/>
          <w:sz w:val="24"/>
          <w:szCs w:val="24"/>
        </w:rPr>
        <w:t>–</w:t>
      </w:r>
      <w:r w:rsidRPr="00C72730">
        <w:rPr>
          <w:rStyle w:val="nlmlpage"/>
          <w:rFonts w:ascii="Garamond" w:hAnsi="Garamond" w:cs="Helvetica"/>
          <w:sz w:val="24"/>
          <w:szCs w:val="24"/>
        </w:rPr>
        <w:t>70.</w:t>
      </w:r>
    </w:p>
    <w:p w:rsidR="00A55E86" w:rsidRPr="00C72730" w:rsidRDefault="00A55E86" w:rsidP="00DC066F">
      <w:pPr>
        <w:shd w:val="clear" w:color="auto" w:fill="FFFFFF"/>
        <w:spacing w:after="0" w:line="360" w:lineRule="auto"/>
        <w:contextualSpacing/>
        <w:jc w:val="both"/>
        <w:textAlignment w:val="center"/>
        <w:rPr>
          <w:rFonts w:ascii="Garamond" w:eastAsia="Times New Roman" w:hAnsi="Garamond" w:cs="Times New Roman"/>
          <w:sz w:val="24"/>
          <w:szCs w:val="24"/>
          <w:lang w:eastAsia="en-GB"/>
        </w:rPr>
      </w:pPr>
      <w:r w:rsidRPr="00C72730">
        <w:rPr>
          <w:rFonts w:ascii="Garamond" w:eastAsia="Times New Roman" w:hAnsi="Garamond" w:cs="Times New Roman"/>
          <w:sz w:val="24"/>
          <w:szCs w:val="24"/>
          <w:lang w:eastAsia="en-GB"/>
        </w:rPr>
        <w:t xml:space="preserve">YouGov (2016) YouGov/Times survey results – Conservative members, 5 July. Available at: </w:t>
      </w:r>
    </w:p>
    <w:p w:rsidR="00A55E86" w:rsidRPr="00C72730" w:rsidRDefault="00451FB8" w:rsidP="00DC066F">
      <w:pPr>
        <w:shd w:val="clear" w:color="auto" w:fill="FFFFFF"/>
        <w:spacing w:after="0" w:line="360" w:lineRule="auto"/>
        <w:contextualSpacing/>
        <w:jc w:val="both"/>
        <w:textAlignment w:val="center"/>
        <w:rPr>
          <w:rFonts w:ascii="Garamond" w:eastAsia="Times New Roman" w:hAnsi="Garamond" w:cs="Times New Roman"/>
          <w:sz w:val="24"/>
          <w:szCs w:val="24"/>
          <w:lang w:eastAsia="en-GB"/>
        </w:rPr>
      </w:pPr>
      <w:hyperlink r:id="rId10" w:history="1">
        <w:r w:rsidR="00A55E86" w:rsidRPr="00C72730">
          <w:rPr>
            <w:rStyle w:val="Hyperlink"/>
            <w:rFonts w:ascii="Garamond" w:eastAsia="Times New Roman" w:hAnsi="Garamond" w:cs="Times New Roman"/>
            <w:color w:val="auto"/>
            <w:sz w:val="24"/>
            <w:szCs w:val="24"/>
            <w:lang w:eastAsia="en-GB"/>
          </w:rPr>
          <w:t>https://d25d2506sfb94s.cloudfront.net/cumulus_uploads/document/dgak27s1eh/TimesResults_160704_ConservativeMembers.pdf</w:t>
        </w:r>
      </w:hyperlink>
    </w:p>
    <w:p w:rsidR="00832D34" w:rsidRPr="00C72730" w:rsidRDefault="00832D34" w:rsidP="00DC066F">
      <w:pPr>
        <w:spacing w:line="360" w:lineRule="auto"/>
      </w:pPr>
    </w:p>
    <w:sectPr w:rsidR="00832D34" w:rsidRPr="00C727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B8" w:rsidRDefault="00451FB8" w:rsidP="00A55E86">
      <w:pPr>
        <w:spacing w:after="0" w:line="240" w:lineRule="auto"/>
      </w:pPr>
      <w:r>
        <w:separator/>
      </w:r>
    </w:p>
  </w:endnote>
  <w:endnote w:type="continuationSeparator" w:id="0">
    <w:p w:rsidR="00451FB8" w:rsidRDefault="00451FB8" w:rsidP="00A5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45799"/>
      <w:docPartObj>
        <w:docPartGallery w:val="Page Numbers (Bottom of Page)"/>
        <w:docPartUnique/>
      </w:docPartObj>
    </w:sdtPr>
    <w:sdtEndPr>
      <w:rPr>
        <w:color w:val="7F7F7F" w:themeColor="background1" w:themeShade="7F"/>
        <w:spacing w:val="60"/>
      </w:rPr>
    </w:sdtEndPr>
    <w:sdtContent>
      <w:p w:rsidR="00ED5C0D" w:rsidRDefault="00ED5C0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38AC" w:rsidRPr="001C38AC">
          <w:rPr>
            <w:b/>
            <w:bCs/>
            <w:noProof/>
          </w:rPr>
          <w:t>1</w:t>
        </w:r>
        <w:r>
          <w:rPr>
            <w:b/>
            <w:bCs/>
            <w:noProof/>
          </w:rPr>
          <w:fldChar w:fldCharType="end"/>
        </w:r>
        <w:r>
          <w:rPr>
            <w:b/>
            <w:bCs/>
          </w:rPr>
          <w:t xml:space="preserve"> | </w:t>
        </w:r>
        <w:r>
          <w:rPr>
            <w:color w:val="7F7F7F" w:themeColor="background1" w:themeShade="7F"/>
            <w:spacing w:val="60"/>
          </w:rPr>
          <w:t>Page</w:t>
        </w:r>
      </w:p>
    </w:sdtContent>
  </w:sdt>
  <w:p w:rsidR="00ED5C0D" w:rsidRDefault="00ED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B8" w:rsidRDefault="00451FB8" w:rsidP="00A55E86">
      <w:pPr>
        <w:spacing w:after="0" w:line="240" w:lineRule="auto"/>
      </w:pPr>
      <w:r>
        <w:separator/>
      </w:r>
    </w:p>
  </w:footnote>
  <w:footnote w:type="continuationSeparator" w:id="0">
    <w:p w:rsidR="00451FB8" w:rsidRDefault="00451FB8" w:rsidP="00A55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16176"/>
    <w:multiLevelType w:val="hybridMultilevel"/>
    <w:tmpl w:val="82DE1F4C"/>
    <w:lvl w:ilvl="0" w:tplc="8ECCA16E">
      <w:start w:val="1"/>
      <w:numFmt w:val="decimal"/>
      <w:lvlText w:val="%1."/>
      <w:lvlJc w:val="left"/>
      <w:pPr>
        <w:ind w:left="720" w:hanging="360"/>
      </w:pPr>
      <w:rPr>
        <w:rFonts w:ascii="Garamond" w:hAnsi="Garamond"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4F4E3E"/>
    <w:multiLevelType w:val="hybridMultilevel"/>
    <w:tmpl w:val="A0FEA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7C"/>
    <w:rsid w:val="00013449"/>
    <w:rsid w:val="00021A67"/>
    <w:rsid w:val="0003153D"/>
    <w:rsid w:val="00047700"/>
    <w:rsid w:val="00064E1B"/>
    <w:rsid w:val="000B4730"/>
    <w:rsid w:val="000C797C"/>
    <w:rsid w:val="000E22A3"/>
    <w:rsid w:val="00152C95"/>
    <w:rsid w:val="00187248"/>
    <w:rsid w:val="00193FED"/>
    <w:rsid w:val="001A66BE"/>
    <w:rsid w:val="001C09FE"/>
    <w:rsid w:val="001C38AC"/>
    <w:rsid w:val="001D3745"/>
    <w:rsid w:val="001D556C"/>
    <w:rsid w:val="001E06B9"/>
    <w:rsid w:val="001E5015"/>
    <w:rsid w:val="001E5843"/>
    <w:rsid w:val="001F5A07"/>
    <w:rsid w:val="00204A62"/>
    <w:rsid w:val="00220BAC"/>
    <w:rsid w:val="00296CA2"/>
    <w:rsid w:val="002B2D9E"/>
    <w:rsid w:val="002B5323"/>
    <w:rsid w:val="002D494F"/>
    <w:rsid w:val="002E7947"/>
    <w:rsid w:val="002F227C"/>
    <w:rsid w:val="00322065"/>
    <w:rsid w:val="003249AA"/>
    <w:rsid w:val="003337A8"/>
    <w:rsid w:val="003440DA"/>
    <w:rsid w:val="0036404B"/>
    <w:rsid w:val="0038407B"/>
    <w:rsid w:val="00396D24"/>
    <w:rsid w:val="003B0C40"/>
    <w:rsid w:val="003B6D33"/>
    <w:rsid w:val="003B70FD"/>
    <w:rsid w:val="00451FB8"/>
    <w:rsid w:val="00471972"/>
    <w:rsid w:val="004928F1"/>
    <w:rsid w:val="004A1E1F"/>
    <w:rsid w:val="004B59A3"/>
    <w:rsid w:val="004C2C45"/>
    <w:rsid w:val="004C352B"/>
    <w:rsid w:val="004F0C5F"/>
    <w:rsid w:val="004F487B"/>
    <w:rsid w:val="00513BCF"/>
    <w:rsid w:val="00524704"/>
    <w:rsid w:val="00556B26"/>
    <w:rsid w:val="005668D8"/>
    <w:rsid w:val="005838C1"/>
    <w:rsid w:val="00595372"/>
    <w:rsid w:val="005964C9"/>
    <w:rsid w:val="005B0AD9"/>
    <w:rsid w:val="006079C8"/>
    <w:rsid w:val="00613727"/>
    <w:rsid w:val="00617D21"/>
    <w:rsid w:val="006217BD"/>
    <w:rsid w:val="006358D7"/>
    <w:rsid w:val="00644D3D"/>
    <w:rsid w:val="00670937"/>
    <w:rsid w:val="006939CA"/>
    <w:rsid w:val="006A5C1D"/>
    <w:rsid w:val="006C6F2A"/>
    <w:rsid w:val="006C7686"/>
    <w:rsid w:val="006D0A87"/>
    <w:rsid w:val="006D5677"/>
    <w:rsid w:val="006E75A0"/>
    <w:rsid w:val="00704967"/>
    <w:rsid w:val="0071531B"/>
    <w:rsid w:val="00716C86"/>
    <w:rsid w:val="00740CFA"/>
    <w:rsid w:val="0074608D"/>
    <w:rsid w:val="00754778"/>
    <w:rsid w:val="00760501"/>
    <w:rsid w:val="007D21B2"/>
    <w:rsid w:val="007D49C5"/>
    <w:rsid w:val="007E15C8"/>
    <w:rsid w:val="007E6BCD"/>
    <w:rsid w:val="007E72D1"/>
    <w:rsid w:val="007F27F7"/>
    <w:rsid w:val="007F485B"/>
    <w:rsid w:val="008030CB"/>
    <w:rsid w:val="00832D34"/>
    <w:rsid w:val="00847B17"/>
    <w:rsid w:val="0086281F"/>
    <w:rsid w:val="008714DC"/>
    <w:rsid w:val="00882A83"/>
    <w:rsid w:val="008B53A2"/>
    <w:rsid w:val="008C31BC"/>
    <w:rsid w:val="008D0D4C"/>
    <w:rsid w:val="008D3336"/>
    <w:rsid w:val="008D613F"/>
    <w:rsid w:val="008E32D4"/>
    <w:rsid w:val="008E3509"/>
    <w:rsid w:val="00910C0E"/>
    <w:rsid w:val="00931D70"/>
    <w:rsid w:val="00932A9E"/>
    <w:rsid w:val="009330B5"/>
    <w:rsid w:val="00956D6F"/>
    <w:rsid w:val="00967B76"/>
    <w:rsid w:val="00983558"/>
    <w:rsid w:val="009A01BB"/>
    <w:rsid w:val="009B2D7F"/>
    <w:rsid w:val="009B3448"/>
    <w:rsid w:val="009C07A1"/>
    <w:rsid w:val="009C10C3"/>
    <w:rsid w:val="009D4287"/>
    <w:rsid w:val="009D4DA9"/>
    <w:rsid w:val="00A072B2"/>
    <w:rsid w:val="00A10652"/>
    <w:rsid w:val="00A34AE8"/>
    <w:rsid w:val="00A55E86"/>
    <w:rsid w:val="00A64B35"/>
    <w:rsid w:val="00A6700C"/>
    <w:rsid w:val="00A70FA7"/>
    <w:rsid w:val="00A808B1"/>
    <w:rsid w:val="00A858D6"/>
    <w:rsid w:val="00AA519A"/>
    <w:rsid w:val="00AA7B7B"/>
    <w:rsid w:val="00AC1541"/>
    <w:rsid w:val="00AD21DE"/>
    <w:rsid w:val="00AF1866"/>
    <w:rsid w:val="00AF6624"/>
    <w:rsid w:val="00B004F6"/>
    <w:rsid w:val="00B2378E"/>
    <w:rsid w:val="00B250AE"/>
    <w:rsid w:val="00B41830"/>
    <w:rsid w:val="00B50A36"/>
    <w:rsid w:val="00B50CE0"/>
    <w:rsid w:val="00B84ABD"/>
    <w:rsid w:val="00BF03CD"/>
    <w:rsid w:val="00C07E46"/>
    <w:rsid w:val="00C10257"/>
    <w:rsid w:val="00C1128A"/>
    <w:rsid w:val="00C159A8"/>
    <w:rsid w:val="00C322AB"/>
    <w:rsid w:val="00C72730"/>
    <w:rsid w:val="00C76CC3"/>
    <w:rsid w:val="00C943A8"/>
    <w:rsid w:val="00CE0BBE"/>
    <w:rsid w:val="00CE5E30"/>
    <w:rsid w:val="00CE6946"/>
    <w:rsid w:val="00CF0409"/>
    <w:rsid w:val="00CF5868"/>
    <w:rsid w:val="00CF7E42"/>
    <w:rsid w:val="00D00F5A"/>
    <w:rsid w:val="00D67C65"/>
    <w:rsid w:val="00D75ABD"/>
    <w:rsid w:val="00D82A2C"/>
    <w:rsid w:val="00D82D9B"/>
    <w:rsid w:val="00D91A66"/>
    <w:rsid w:val="00DA27B9"/>
    <w:rsid w:val="00DB003E"/>
    <w:rsid w:val="00DB502D"/>
    <w:rsid w:val="00DB7984"/>
    <w:rsid w:val="00DC066F"/>
    <w:rsid w:val="00DC48BE"/>
    <w:rsid w:val="00DE3088"/>
    <w:rsid w:val="00DF046F"/>
    <w:rsid w:val="00DF700A"/>
    <w:rsid w:val="00E00021"/>
    <w:rsid w:val="00E03859"/>
    <w:rsid w:val="00E202FD"/>
    <w:rsid w:val="00E33E03"/>
    <w:rsid w:val="00E504DA"/>
    <w:rsid w:val="00E63040"/>
    <w:rsid w:val="00E708F5"/>
    <w:rsid w:val="00E74618"/>
    <w:rsid w:val="00E77478"/>
    <w:rsid w:val="00E95DE0"/>
    <w:rsid w:val="00ED5BAD"/>
    <w:rsid w:val="00ED5C0D"/>
    <w:rsid w:val="00EE324B"/>
    <w:rsid w:val="00EF5B05"/>
    <w:rsid w:val="00F237BE"/>
    <w:rsid w:val="00F36A0F"/>
    <w:rsid w:val="00F42BF5"/>
    <w:rsid w:val="00F51A31"/>
    <w:rsid w:val="00F568CE"/>
    <w:rsid w:val="00F63FE9"/>
    <w:rsid w:val="00FA3665"/>
    <w:rsid w:val="00FD6EB1"/>
    <w:rsid w:val="00FE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E86"/>
    <w:rPr>
      <w:color w:val="0000FF"/>
      <w:u w:val="single"/>
    </w:rPr>
  </w:style>
  <w:style w:type="character" w:styleId="FollowedHyperlink">
    <w:name w:val="FollowedHyperlink"/>
    <w:basedOn w:val="DefaultParagraphFont"/>
    <w:uiPriority w:val="99"/>
    <w:semiHidden/>
    <w:unhideWhenUsed/>
    <w:rsid w:val="00A55E86"/>
    <w:rPr>
      <w:color w:val="954F72" w:themeColor="followedHyperlink"/>
      <w:u w:val="single"/>
    </w:rPr>
  </w:style>
  <w:style w:type="paragraph" w:styleId="NormalWeb">
    <w:name w:val="Normal (Web)"/>
    <w:basedOn w:val="Normal"/>
    <w:uiPriority w:val="99"/>
    <w:semiHidden/>
    <w:unhideWhenUsed/>
    <w:rsid w:val="00A55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55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E86"/>
    <w:rPr>
      <w:sz w:val="20"/>
      <w:szCs w:val="20"/>
    </w:rPr>
  </w:style>
  <w:style w:type="paragraph" w:styleId="CommentText">
    <w:name w:val="annotation text"/>
    <w:basedOn w:val="Normal"/>
    <w:link w:val="CommentTextChar"/>
    <w:uiPriority w:val="99"/>
    <w:semiHidden/>
    <w:unhideWhenUsed/>
    <w:rsid w:val="00A55E86"/>
    <w:pPr>
      <w:spacing w:line="240" w:lineRule="auto"/>
    </w:pPr>
    <w:rPr>
      <w:sz w:val="20"/>
      <w:szCs w:val="20"/>
    </w:rPr>
  </w:style>
  <w:style w:type="character" w:customStyle="1" w:styleId="CommentTextChar">
    <w:name w:val="Comment Text Char"/>
    <w:basedOn w:val="DefaultParagraphFont"/>
    <w:link w:val="CommentText"/>
    <w:uiPriority w:val="99"/>
    <w:semiHidden/>
    <w:rsid w:val="00A55E86"/>
    <w:rPr>
      <w:sz w:val="20"/>
      <w:szCs w:val="20"/>
    </w:rPr>
  </w:style>
  <w:style w:type="paragraph" w:styleId="Header">
    <w:name w:val="header"/>
    <w:basedOn w:val="Normal"/>
    <w:link w:val="HeaderChar"/>
    <w:uiPriority w:val="99"/>
    <w:unhideWhenUsed/>
    <w:rsid w:val="00A5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86"/>
  </w:style>
  <w:style w:type="paragraph" w:styleId="Footer">
    <w:name w:val="footer"/>
    <w:basedOn w:val="Normal"/>
    <w:link w:val="FooterChar"/>
    <w:uiPriority w:val="99"/>
    <w:unhideWhenUsed/>
    <w:rsid w:val="00A5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86"/>
  </w:style>
  <w:style w:type="paragraph" w:styleId="EndnoteText">
    <w:name w:val="endnote text"/>
    <w:basedOn w:val="Normal"/>
    <w:link w:val="EndnoteTextChar"/>
    <w:uiPriority w:val="99"/>
    <w:semiHidden/>
    <w:unhideWhenUsed/>
    <w:rsid w:val="00A55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E86"/>
    <w:rPr>
      <w:sz w:val="20"/>
      <w:szCs w:val="20"/>
    </w:rPr>
  </w:style>
  <w:style w:type="paragraph" w:styleId="DocumentMap">
    <w:name w:val="Document Map"/>
    <w:basedOn w:val="Normal"/>
    <w:link w:val="DocumentMapChar"/>
    <w:uiPriority w:val="99"/>
    <w:semiHidden/>
    <w:unhideWhenUsed/>
    <w:rsid w:val="00A55E8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5E8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5E86"/>
    <w:rPr>
      <w:b/>
      <w:bCs/>
    </w:rPr>
  </w:style>
  <w:style w:type="character" w:customStyle="1" w:styleId="CommentSubjectChar">
    <w:name w:val="Comment Subject Char"/>
    <w:basedOn w:val="CommentTextChar"/>
    <w:link w:val="CommentSubject"/>
    <w:uiPriority w:val="99"/>
    <w:semiHidden/>
    <w:rsid w:val="00A55E86"/>
    <w:rPr>
      <w:b/>
      <w:bCs/>
      <w:sz w:val="20"/>
      <w:szCs w:val="20"/>
    </w:rPr>
  </w:style>
  <w:style w:type="paragraph" w:styleId="BalloonText">
    <w:name w:val="Balloon Text"/>
    <w:basedOn w:val="Normal"/>
    <w:link w:val="BalloonTextChar"/>
    <w:uiPriority w:val="99"/>
    <w:semiHidden/>
    <w:unhideWhenUsed/>
    <w:rsid w:val="00A5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86"/>
    <w:rPr>
      <w:rFonts w:ascii="Segoe UI" w:hAnsi="Segoe UI" w:cs="Segoe UI"/>
      <w:sz w:val="18"/>
      <w:szCs w:val="18"/>
    </w:rPr>
  </w:style>
  <w:style w:type="paragraph" w:styleId="NoSpacing">
    <w:name w:val="No Spacing"/>
    <w:uiPriority w:val="1"/>
    <w:qFormat/>
    <w:rsid w:val="00A55E86"/>
    <w:pPr>
      <w:spacing w:after="0" w:line="240" w:lineRule="auto"/>
    </w:pPr>
    <w:rPr>
      <w:sz w:val="24"/>
      <w:szCs w:val="24"/>
    </w:rPr>
  </w:style>
  <w:style w:type="paragraph" w:styleId="ListParagraph">
    <w:name w:val="List Paragraph"/>
    <w:basedOn w:val="Normal"/>
    <w:uiPriority w:val="34"/>
    <w:qFormat/>
    <w:rsid w:val="00A55E86"/>
    <w:pPr>
      <w:ind w:left="720"/>
      <w:contextualSpacing/>
    </w:pPr>
  </w:style>
  <w:style w:type="character" w:styleId="FootnoteReference">
    <w:name w:val="footnote reference"/>
    <w:basedOn w:val="DefaultParagraphFont"/>
    <w:uiPriority w:val="99"/>
    <w:semiHidden/>
    <w:unhideWhenUsed/>
    <w:rsid w:val="00A55E86"/>
    <w:rPr>
      <w:vertAlign w:val="superscript"/>
    </w:rPr>
  </w:style>
  <w:style w:type="character" w:styleId="CommentReference">
    <w:name w:val="annotation reference"/>
    <w:basedOn w:val="DefaultParagraphFont"/>
    <w:uiPriority w:val="99"/>
    <w:semiHidden/>
    <w:unhideWhenUsed/>
    <w:rsid w:val="00A55E86"/>
    <w:rPr>
      <w:sz w:val="16"/>
      <w:szCs w:val="16"/>
    </w:rPr>
  </w:style>
  <w:style w:type="character" w:styleId="EndnoteReference">
    <w:name w:val="endnote reference"/>
    <w:basedOn w:val="DefaultParagraphFont"/>
    <w:uiPriority w:val="99"/>
    <w:semiHidden/>
    <w:unhideWhenUsed/>
    <w:rsid w:val="00A55E86"/>
    <w:rPr>
      <w:vertAlign w:val="superscript"/>
    </w:rPr>
  </w:style>
  <w:style w:type="table" w:styleId="TableGrid">
    <w:name w:val="Table Grid"/>
    <w:basedOn w:val="TableNormal"/>
    <w:uiPriority w:val="39"/>
    <w:rsid w:val="00A5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5E86"/>
    <w:rPr>
      <w:i/>
      <w:iCs/>
    </w:rPr>
  </w:style>
  <w:style w:type="character" w:styleId="Emphasis">
    <w:name w:val="Emphasis"/>
    <w:basedOn w:val="DefaultParagraphFont"/>
    <w:uiPriority w:val="20"/>
    <w:qFormat/>
    <w:rsid w:val="00A55E86"/>
    <w:rPr>
      <w:i/>
      <w:iCs/>
    </w:rPr>
  </w:style>
  <w:style w:type="character" w:customStyle="1" w:styleId="nlmstring-name">
    <w:name w:val="nlm_string-name"/>
    <w:basedOn w:val="DefaultParagraphFont"/>
    <w:rsid w:val="008B53A2"/>
  </w:style>
  <w:style w:type="character" w:customStyle="1" w:styleId="nlmyear">
    <w:name w:val="nlm_year"/>
    <w:basedOn w:val="DefaultParagraphFont"/>
    <w:rsid w:val="008B53A2"/>
  </w:style>
  <w:style w:type="character" w:customStyle="1" w:styleId="nlmpublisher-loc">
    <w:name w:val="nlm_publisher-loc"/>
    <w:basedOn w:val="DefaultParagraphFont"/>
    <w:rsid w:val="008B53A2"/>
  </w:style>
  <w:style w:type="character" w:customStyle="1" w:styleId="nlmpublisher-name">
    <w:name w:val="nlm_publisher-name"/>
    <w:basedOn w:val="DefaultParagraphFont"/>
    <w:rsid w:val="008B53A2"/>
  </w:style>
  <w:style w:type="character" w:customStyle="1" w:styleId="nlmarticle-title">
    <w:name w:val="nlm_article-title"/>
    <w:basedOn w:val="DefaultParagraphFont"/>
    <w:rsid w:val="008B53A2"/>
  </w:style>
  <w:style w:type="character" w:customStyle="1" w:styleId="nlmfpage">
    <w:name w:val="nlm_fpage"/>
    <w:basedOn w:val="DefaultParagraphFont"/>
    <w:rsid w:val="008B53A2"/>
  </w:style>
  <w:style w:type="character" w:customStyle="1" w:styleId="nlmlpage">
    <w:name w:val="nlm_lpage"/>
    <w:basedOn w:val="DefaultParagraphFont"/>
    <w:rsid w:val="008B53A2"/>
  </w:style>
  <w:style w:type="character" w:customStyle="1" w:styleId="maintitle">
    <w:name w:val="maintitle"/>
    <w:basedOn w:val="DefaultParagraphFont"/>
    <w:rsid w:val="00B41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E86"/>
    <w:rPr>
      <w:color w:val="0000FF"/>
      <w:u w:val="single"/>
    </w:rPr>
  </w:style>
  <w:style w:type="character" w:styleId="FollowedHyperlink">
    <w:name w:val="FollowedHyperlink"/>
    <w:basedOn w:val="DefaultParagraphFont"/>
    <w:uiPriority w:val="99"/>
    <w:semiHidden/>
    <w:unhideWhenUsed/>
    <w:rsid w:val="00A55E86"/>
    <w:rPr>
      <w:color w:val="954F72" w:themeColor="followedHyperlink"/>
      <w:u w:val="single"/>
    </w:rPr>
  </w:style>
  <w:style w:type="paragraph" w:styleId="NormalWeb">
    <w:name w:val="Normal (Web)"/>
    <w:basedOn w:val="Normal"/>
    <w:uiPriority w:val="99"/>
    <w:semiHidden/>
    <w:unhideWhenUsed/>
    <w:rsid w:val="00A55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55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E86"/>
    <w:rPr>
      <w:sz w:val="20"/>
      <w:szCs w:val="20"/>
    </w:rPr>
  </w:style>
  <w:style w:type="paragraph" w:styleId="CommentText">
    <w:name w:val="annotation text"/>
    <w:basedOn w:val="Normal"/>
    <w:link w:val="CommentTextChar"/>
    <w:uiPriority w:val="99"/>
    <w:semiHidden/>
    <w:unhideWhenUsed/>
    <w:rsid w:val="00A55E86"/>
    <w:pPr>
      <w:spacing w:line="240" w:lineRule="auto"/>
    </w:pPr>
    <w:rPr>
      <w:sz w:val="20"/>
      <w:szCs w:val="20"/>
    </w:rPr>
  </w:style>
  <w:style w:type="character" w:customStyle="1" w:styleId="CommentTextChar">
    <w:name w:val="Comment Text Char"/>
    <w:basedOn w:val="DefaultParagraphFont"/>
    <w:link w:val="CommentText"/>
    <w:uiPriority w:val="99"/>
    <w:semiHidden/>
    <w:rsid w:val="00A55E86"/>
    <w:rPr>
      <w:sz w:val="20"/>
      <w:szCs w:val="20"/>
    </w:rPr>
  </w:style>
  <w:style w:type="paragraph" w:styleId="Header">
    <w:name w:val="header"/>
    <w:basedOn w:val="Normal"/>
    <w:link w:val="HeaderChar"/>
    <w:uiPriority w:val="99"/>
    <w:unhideWhenUsed/>
    <w:rsid w:val="00A5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86"/>
  </w:style>
  <w:style w:type="paragraph" w:styleId="Footer">
    <w:name w:val="footer"/>
    <w:basedOn w:val="Normal"/>
    <w:link w:val="FooterChar"/>
    <w:uiPriority w:val="99"/>
    <w:unhideWhenUsed/>
    <w:rsid w:val="00A5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86"/>
  </w:style>
  <w:style w:type="paragraph" w:styleId="EndnoteText">
    <w:name w:val="endnote text"/>
    <w:basedOn w:val="Normal"/>
    <w:link w:val="EndnoteTextChar"/>
    <w:uiPriority w:val="99"/>
    <w:semiHidden/>
    <w:unhideWhenUsed/>
    <w:rsid w:val="00A55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E86"/>
    <w:rPr>
      <w:sz w:val="20"/>
      <w:szCs w:val="20"/>
    </w:rPr>
  </w:style>
  <w:style w:type="paragraph" w:styleId="DocumentMap">
    <w:name w:val="Document Map"/>
    <w:basedOn w:val="Normal"/>
    <w:link w:val="DocumentMapChar"/>
    <w:uiPriority w:val="99"/>
    <w:semiHidden/>
    <w:unhideWhenUsed/>
    <w:rsid w:val="00A55E8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5E8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5E86"/>
    <w:rPr>
      <w:b/>
      <w:bCs/>
    </w:rPr>
  </w:style>
  <w:style w:type="character" w:customStyle="1" w:styleId="CommentSubjectChar">
    <w:name w:val="Comment Subject Char"/>
    <w:basedOn w:val="CommentTextChar"/>
    <w:link w:val="CommentSubject"/>
    <w:uiPriority w:val="99"/>
    <w:semiHidden/>
    <w:rsid w:val="00A55E86"/>
    <w:rPr>
      <w:b/>
      <w:bCs/>
      <w:sz w:val="20"/>
      <w:szCs w:val="20"/>
    </w:rPr>
  </w:style>
  <w:style w:type="paragraph" w:styleId="BalloonText">
    <w:name w:val="Balloon Text"/>
    <w:basedOn w:val="Normal"/>
    <w:link w:val="BalloonTextChar"/>
    <w:uiPriority w:val="99"/>
    <w:semiHidden/>
    <w:unhideWhenUsed/>
    <w:rsid w:val="00A5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86"/>
    <w:rPr>
      <w:rFonts w:ascii="Segoe UI" w:hAnsi="Segoe UI" w:cs="Segoe UI"/>
      <w:sz w:val="18"/>
      <w:szCs w:val="18"/>
    </w:rPr>
  </w:style>
  <w:style w:type="paragraph" w:styleId="NoSpacing">
    <w:name w:val="No Spacing"/>
    <w:uiPriority w:val="1"/>
    <w:qFormat/>
    <w:rsid w:val="00A55E86"/>
    <w:pPr>
      <w:spacing w:after="0" w:line="240" w:lineRule="auto"/>
    </w:pPr>
    <w:rPr>
      <w:sz w:val="24"/>
      <w:szCs w:val="24"/>
    </w:rPr>
  </w:style>
  <w:style w:type="paragraph" w:styleId="ListParagraph">
    <w:name w:val="List Paragraph"/>
    <w:basedOn w:val="Normal"/>
    <w:uiPriority w:val="34"/>
    <w:qFormat/>
    <w:rsid w:val="00A55E86"/>
    <w:pPr>
      <w:ind w:left="720"/>
      <w:contextualSpacing/>
    </w:pPr>
  </w:style>
  <w:style w:type="character" w:styleId="FootnoteReference">
    <w:name w:val="footnote reference"/>
    <w:basedOn w:val="DefaultParagraphFont"/>
    <w:uiPriority w:val="99"/>
    <w:semiHidden/>
    <w:unhideWhenUsed/>
    <w:rsid w:val="00A55E86"/>
    <w:rPr>
      <w:vertAlign w:val="superscript"/>
    </w:rPr>
  </w:style>
  <w:style w:type="character" w:styleId="CommentReference">
    <w:name w:val="annotation reference"/>
    <w:basedOn w:val="DefaultParagraphFont"/>
    <w:uiPriority w:val="99"/>
    <w:semiHidden/>
    <w:unhideWhenUsed/>
    <w:rsid w:val="00A55E86"/>
    <w:rPr>
      <w:sz w:val="16"/>
      <w:szCs w:val="16"/>
    </w:rPr>
  </w:style>
  <w:style w:type="character" w:styleId="EndnoteReference">
    <w:name w:val="endnote reference"/>
    <w:basedOn w:val="DefaultParagraphFont"/>
    <w:uiPriority w:val="99"/>
    <w:semiHidden/>
    <w:unhideWhenUsed/>
    <w:rsid w:val="00A55E86"/>
    <w:rPr>
      <w:vertAlign w:val="superscript"/>
    </w:rPr>
  </w:style>
  <w:style w:type="table" w:styleId="TableGrid">
    <w:name w:val="Table Grid"/>
    <w:basedOn w:val="TableNormal"/>
    <w:uiPriority w:val="39"/>
    <w:rsid w:val="00A5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5E86"/>
    <w:rPr>
      <w:i/>
      <w:iCs/>
    </w:rPr>
  </w:style>
  <w:style w:type="character" w:styleId="Emphasis">
    <w:name w:val="Emphasis"/>
    <w:basedOn w:val="DefaultParagraphFont"/>
    <w:uiPriority w:val="20"/>
    <w:qFormat/>
    <w:rsid w:val="00A55E86"/>
    <w:rPr>
      <w:i/>
      <w:iCs/>
    </w:rPr>
  </w:style>
  <w:style w:type="character" w:customStyle="1" w:styleId="nlmstring-name">
    <w:name w:val="nlm_string-name"/>
    <w:basedOn w:val="DefaultParagraphFont"/>
    <w:rsid w:val="008B53A2"/>
  </w:style>
  <w:style w:type="character" w:customStyle="1" w:styleId="nlmyear">
    <w:name w:val="nlm_year"/>
    <w:basedOn w:val="DefaultParagraphFont"/>
    <w:rsid w:val="008B53A2"/>
  </w:style>
  <w:style w:type="character" w:customStyle="1" w:styleId="nlmpublisher-loc">
    <w:name w:val="nlm_publisher-loc"/>
    <w:basedOn w:val="DefaultParagraphFont"/>
    <w:rsid w:val="008B53A2"/>
  </w:style>
  <w:style w:type="character" w:customStyle="1" w:styleId="nlmpublisher-name">
    <w:name w:val="nlm_publisher-name"/>
    <w:basedOn w:val="DefaultParagraphFont"/>
    <w:rsid w:val="008B53A2"/>
  </w:style>
  <w:style w:type="character" w:customStyle="1" w:styleId="nlmarticle-title">
    <w:name w:val="nlm_article-title"/>
    <w:basedOn w:val="DefaultParagraphFont"/>
    <w:rsid w:val="008B53A2"/>
  </w:style>
  <w:style w:type="character" w:customStyle="1" w:styleId="nlmfpage">
    <w:name w:val="nlm_fpage"/>
    <w:basedOn w:val="DefaultParagraphFont"/>
    <w:rsid w:val="008B53A2"/>
  </w:style>
  <w:style w:type="character" w:customStyle="1" w:styleId="nlmlpage">
    <w:name w:val="nlm_lpage"/>
    <w:basedOn w:val="DefaultParagraphFont"/>
    <w:rsid w:val="008B53A2"/>
  </w:style>
  <w:style w:type="character" w:customStyle="1" w:styleId="maintitle">
    <w:name w:val="maintitle"/>
    <w:basedOn w:val="DefaultParagraphFont"/>
    <w:rsid w:val="00B4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3072">
      <w:bodyDiv w:val="1"/>
      <w:marLeft w:val="0"/>
      <w:marRight w:val="0"/>
      <w:marTop w:val="0"/>
      <w:marBottom w:val="0"/>
      <w:divBdr>
        <w:top w:val="none" w:sz="0" w:space="0" w:color="auto"/>
        <w:left w:val="none" w:sz="0" w:space="0" w:color="auto"/>
        <w:bottom w:val="none" w:sz="0" w:space="0" w:color="auto"/>
        <w:right w:val="none" w:sz="0" w:space="0" w:color="auto"/>
      </w:divBdr>
    </w:div>
    <w:div w:id="1323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25d2506sfb94s.cloudfront.net/cumulus_uploads/document/dgak27s1eh/TimesResults_160704_ConservativeMembers.pdf" TargetMode="External"/><Relationship Id="rId4" Type="http://schemas.microsoft.com/office/2007/relationships/stylesWithEffects" Target="stylesWithEffects.xml"/><Relationship Id="rId9" Type="http://schemas.openxmlformats.org/officeDocument/2006/relationships/hyperlink" Target="http://www.parliament.uk/mps-lords-and-offices/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690A-8B7C-4344-BF37-413CEE31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Heppell</dc:creator>
  <cp:lastModifiedBy>Crines, Andrew</cp:lastModifiedBy>
  <cp:revision>2</cp:revision>
  <cp:lastPrinted>2017-07-24T10:07:00Z</cp:lastPrinted>
  <dcterms:created xsi:type="dcterms:W3CDTF">2017-07-28T15:24:00Z</dcterms:created>
  <dcterms:modified xsi:type="dcterms:W3CDTF">2017-07-28T15:24:00Z</dcterms:modified>
</cp:coreProperties>
</file>