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7B17" w14:textId="09A28BB0" w:rsidR="003E762C" w:rsidRPr="0057612C" w:rsidRDefault="00256C5D" w:rsidP="00EE0D7E">
      <w:pPr>
        <w:jc w:val="left"/>
        <w:rPr>
          <w:rFonts w:cs="Times New Roman"/>
          <w:b/>
          <w:sz w:val="32"/>
        </w:rPr>
      </w:pPr>
      <w:r w:rsidRPr="0057612C">
        <w:rPr>
          <w:rFonts w:cs="Times New Roman"/>
          <w:b/>
          <w:sz w:val="32"/>
        </w:rPr>
        <w:t>Improving child n</w:t>
      </w:r>
      <w:r w:rsidR="009E4D13" w:rsidRPr="0057612C">
        <w:rPr>
          <w:rFonts w:cs="Times New Roman"/>
          <w:b/>
          <w:sz w:val="32"/>
        </w:rPr>
        <w:t xml:space="preserve">utrition and development through community based childcare </w:t>
      </w:r>
      <w:r w:rsidR="00D478F6" w:rsidRPr="0057612C">
        <w:rPr>
          <w:rFonts w:cs="Times New Roman"/>
          <w:b/>
          <w:sz w:val="32"/>
        </w:rPr>
        <w:t>centres</w:t>
      </w:r>
      <w:r w:rsidR="009E4D13" w:rsidRPr="0057612C">
        <w:rPr>
          <w:rFonts w:cs="Times New Roman"/>
          <w:b/>
          <w:sz w:val="32"/>
        </w:rPr>
        <w:t xml:space="preserve"> in Malawi</w:t>
      </w:r>
      <w:r w:rsidR="00A936DB" w:rsidRPr="0057612C">
        <w:rPr>
          <w:rFonts w:cs="Times New Roman"/>
          <w:b/>
          <w:sz w:val="32"/>
        </w:rPr>
        <w:t>-</w:t>
      </w:r>
      <w:r w:rsidR="001E64B7" w:rsidRPr="0057612C">
        <w:rPr>
          <w:rFonts w:cs="Times New Roman"/>
          <w:b/>
          <w:sz w:val="32"/>
        </w:rPr>
        <w:t xml:space="preserve"> </w:t>
      </w:r>
      <w:r w:rsidR="0008766E" w:rsidRPr="0057612C">
        <w:rPr>
          <w:rFonts w:cs="Times New Roman"/>
          <w:b/>
          <w:sz w:val="32"/>
        </w:rPr>
        <w:t>The NEEP</w:t>
      </w:r>
      <w:r w:rsidR="001612ED" w:rsidRPr="0057612C">
        <w:rPr>
          <w:rFonts w:cs="Times New Roman"/>
          <w:b/>
          <w:sz w:val="32"/>
        </w:rPr>
        <w:t>-</w:t>
      </w:r>
      <w:r w:rsidR="00A936DB" w:rsidRPr="0057612C">
        <w:rPr>
          <w:rFonts w:cs="Times New Roman"/>
          <w:b/>
          <w:sz w:val="32"/>
        </w:rPr>
        <w:t>IE study:</w:t>
      </w:r>
      <w:r w:rsidR="0008766E" w:rsidRPr="0057612C">
        <w:rPr>
          <w:rFonts w:cs="Times New Roman"/>
          <w:b/>
          <w:sz w:val="32"/>
        </w:rPr>
        <w:t xml:space="preserve"> </w:t>
      </w:r>
      <w:r w:rsidR="00E763A7" w:rsidRPr="00E763A7">
        <w:rPr>
          <w:rFonts w:cs="Times New Roman"/>
          <w:b/>
          <w:sz w:val="32"/>
        </w:rPr>
        <w:t>study protocol fo</w:t>
      </w:r>
      <w:r w:rsidR="00E763A7">
        <w:rPr>
          <w:rFonts w:cs="Times New Roman"/>
          <w:b/>
          <w:sz w:val="32"/>
        </w:rPr>
        <w:t>r a randomized controlled trial</w:t>
      </w:r>
      <w:r w:rsidR="001E64B7" w:rsidRPr="0057612C">
        <w:rPr>
          <w:rFonts w:cs="Times New Roman"/>
          <w:b/>
          <w:sz w:val="32"/>
        </w:rPr>
        <w:t>.</w:t>
      </w:r>
    </w:p>
    <w:p w14:paraId="4E91017D" w14:textId="77777777" w:rsidR="00B45A3E" w:rsidRPr="0057612C" w:rsidRDefault="00B45A3E" w:rsidP="003E762C">
      <w:pPr>
        <w:jc w:val="center"/>
        <w:rPr>
          <w:rFonts w:cs="Times New Roman"/>
          <w:b/>
          <w:sz w:val="32"/>
        </w:rPr>
      </w:pPr>
    </w:p>
    <w:p w14:paraId="2BF2F3F9" w14:textId="77777777" w:rsidR="001E64B7" w:rsidRPr="0057612C" w:rsidRDefault="001E64B7" w:rsidP="001E64B7">
      <w:pPr>
        <w:rPr>
          <w:sz w:val="24"/>
        </w:rPr>
      </w:pPr>
      <w:r w:rsidRPr="0057612C">
        <w:rPr>
          <w:rFonts w:cstheme="minorHAnsi"/>
          <w:sz w:val="24"/>
        </w:rPr>
        <w:t>Aulo Gelli</w:t>
      </w:r>
      <w:r w:rsidRPr="0057612C">
        <w:rPr>
          <w:rFonts w:cstheme="minorHAnsi"/>
          <w:sz w:val="24"/>
          <w:vertAlign w:val="superscript"/>
        </w:rPr>
        <w:t>1*</w:t>
      </w:r>
      <w:r w:rsidRPr="0057612C">
        <w:rPr>
          <w:sz w:val="24"/>
        </w:rPr>
        <w:t>, Amy Margolies</w:t>
      </w:r>
      <w:r w:rsidRPr="0057612C">
        <w:rPr>
          <w:rFonts w:cstheme="minorHAnsi"/>
          <w:sz w:val="24"/>
          <w:vertAlign w:val="superscript"/>
        </w:rPr>
        <w:t>2</w:t>
      </w:r>
      <w:r w:rsidRPr="0057612C">
        <w:rPr>
          <w:sz w:val="24"/>
        </w:rPr>
        <w:t>, Marco Santacroce</w:t>
      </w:r>
      <w:r w:rsidRPr="0057612C">
        <w:rPr>
          <w:rFonts w:cstheme="minorHAnsi"/>
          <w:sz w:val="24"/>
          <w:vertAlign w:val="superscript"/>
        </w:rPr>
        <w:t>1</w:t>
      </w:r>
      <w:r w:rsidRPr="0057612C">
        <w:rPr>
          <w:sz w:val="24"/>
        </w:rPr>
        <w:t>, Katie Sproule</w:t>
      </w:r>
      <w:r w:rsidRPr="0057612C">
        <w:rPr>
          <w:rFonts w:cstheme="minorHAnsi"/>
          <w:sz w:val="24"/>
          <w:vertAlign w:val="superscript"/>
        </w:rPr>
        <w:t>1</w:t>
      </w:r>
      <w:r w:rsidRPr="0057612C">
        <w:rPr>
          <w:sz w:val="24"/>
        </w:rPr>
        <w:t>, Sophie Th</w:t>
      </w:r>
      <w:r w:rsidR="002B2478" w:rsidRPr="0057612C">
        <w:rPr>
          <w:sz w:val="24"/>
        </w:rPr>
        <w:t>ei</w:t>
      </w:r>
      <w:r w:rsidRPr="0057612C">
        <w:rPr>
          <w:sz w:val="24"/>
        </w:rPr>
        <w:t>s</w:t>
      </w:r>
      <w:r w:rsidRPr="0057612C">
        <w:rPr>
          <w:rFonts w:cstheme="minorHAnsi"/>
          <w:sz w:val="24"/>
          <w:vertAlign w:val="superscript"/>
        </w:rPr>
        <w:t>1</w:t>
      </w:r>
      <w:r w:rsidRPr="0057612C">
        <w:rPr>
          <w:sz w:val="24"/>
        </w:rPr>
        <w:t>, Natalie Roschnik</w:t>
      </w:r>
      <w:r w:rsidRPr="0057612C">
        <w:rPr>
          <w:rFonts w:cstheme="minorHAnsi"/>
          <w:sz w:val="24"/>
          <w:vertAlign w:val="superscript"/>
        </w:rPr>
        <w:t>3</w:t>
      </w:r>
      <w:r w:rsidRPr="0057612C">
        <w:rPr>
          <w:sz w:val="24"/>
        </w:rPr>
        <w:t>, Aisha Twalibu</w:t>
      </w:r>
      <w:r w:rsidRPr="0057612C">
        <w:rPr>
          <w:rFonts w:cstheme="minorHAnsi"/>
          <w:sz w:val="24"/>
          <w:vertAlign w:val="superscript"/>
        </w:rPr>
        <w:t>3</w:t>
      </w:r>
      <w:r w:rsidRPr="0057612C">
        <w:rPr>
          <w:sz w:val="24"/>
        </w:rPr>
        <w:t>, George Chidalengwa</w:t>
      </w:r>
      <w:r w:rsidRPr="0057612C">
        <w:rPr>
          <w:rFonts w:cstheme="minorHAnsi"/>
          <w:sz w:val="24"/>
          <w:vertAlign w:val="superscript"/>
        </w:rPr>
        <w:t>3</w:t>
      </w:r>
      <w:r w:rsidRPr="0057612C">
        <w:rPr>
          <w:sz w:val="24"/>
        </w:rPr>
        <w:t>, Amrik Cooper</w:t>
      </w:r>
      <w:r w:rsidRPr="0057612C">
        <w:rPr>
          <w:rFonts w:cstheme="minorHAnsi"/>
          <w:sz w:val="24"/>
          <w:vertAlign w:val="superscript"/>
        </w:rPr>
        <w:t>4</w:t>
      </w:r>
      <w:r w:rsidRPr="0057612C">
        <w:rPr>
          <w:sz w:val="24"/>
        </w:rPr>
        <w:t xml:space="preserve">, </w:t>
      </w:r>
      <w:r w:rsidR="009B64BA" w:rsidRPr="0057612C">
        <w:rPr>
          <w:sz w:val="24"/>
        </w:rPr>
        <w:t>Tyler Moorhead</w:t>
      </w:r>
      <w:r w:rsidR="009B64BA" w:rsidRPr="0057612C">
        <w:rPr>
          <w:rFonts w:cstheme="minorHAnsi"/>
          <w:sz w:val="24"/>
          <w:vertAlign w:val="superscript"/>
        </w:rPr>
        <w:t>4</w:t>
      </w:r>
      <w:r w:rsidR="009B64BA" w:rsidRPr="0057612C">
        <w:rPr>
          <w:sz w:val="24"/>
        </w:rPr>
        <w:t xml:space="preserve">, </w:t>
      </w:r>
      <w:r w:rsidRPr="0057612C">
        <w:rPr>
          <w:sz w:val="24"/>
        </w:rPr>
        <w:t>Melissa Gladstone</w:t>
      </w:r>
      <w:r w:rsidRPr="0057612C">
        <w:rPr>
          <w:rFonts w:cstheme="minorHAnsi"/>
          <w:sz w:val="24"/>
          <w:vertAlign w:val="superscript"/>
        </w:rPr>
        <w:t>5</w:t>
      </w:r>
      <w:r w:rsidRPr="0057612C">
        <w:rPr>
          <w:sz w:val="24"/>
        </w:rPr>
        <w:t>, Patricia Kariger</w:t>
      </w:r>
      <w:r w:rsidRPr="0057612C">
        <w:rPr>
          <w:rFonts w:cstheme="minorHAnsi"/>
          <w:sz w:val="24"/>
          <w:vertAlign w:val="superscript"/>
        </w:rPr>
        <w:t>6</w:t>
      </w:r>
      <w:r w:rsidRPr="0057612C">
        <w:rPr>
          <w:sz w:val="24"/>
        </w:rPr>
        <w:t xml:space="preserve"> and </w:t>
      </w:r>
      <w:r w:rsidRPr="0057612C">
        <w:rPr>
          <w:rFonts w:cstheme="minorHAnsi"/>
          <w:sz w:val="24"/>
        </w:rPr>
        <w:t xml:space="preserve">Mangani </w:t>
      </w:r>
      <w:proofErr w:type="spellStart"/>
      <w:r w:rsidRPr="0057612C">
        <w:rPr>
          <w:rFonts w:cstheme="minorHAnsi"/>
          <w:sz w:val="24"/>
        </w:rPr>
        <w:t>Kutundu</w:t>
      </w:r>
      <w:proofErr w:type="spellEnd"/>
      <w:r w:rsidRPr="0057612C">
        <w:rPr>
          <w:rFonts w:cstheme="minorHAnsi"/>
          <w:sz w:val="24"/>
          <w:vertAlign w:val="superscript"/>
        </w:rPr>
        <w:t xml:space="preserve"> </w:t>
      </w:r>
      <w:r w:rsidR="009B64BA" w:rsidRPr="0057612C">
        <w:rPr>
          <w:rFonts w:cstheme="minorHAnsi"/>
          <w:sz w:val="24"/>
          <w:vertAlign w:val="superscript"/>
        </w:rPr>
        <w:t>7</w:t>
      </w:r>
      <w:r w:rsidRPr="0057612C">
        <w:rPr>
          <w:sz w:val="24"/>
        </w:rPr>
        <w:t>.</w:t>
      </w:r>
    </w:p>
    <w:p w14:paraId="22866FF3" w14:textId="77777777" w:rsidR="001E64B7" w:rsidRPr="0057612C" w:rsidRDefault="001E64B7" w:rsidP="001E64B7">
      <w:pPr>
        <w:pStyle w:val="NormalWeb"/>
        <w:spacing w:before="0" w:beforeAutospacing="0" w:after="0" w:afterAutospacing="0"/>
        <w:rPr>
          <w:rFonts w:asciiTheme="minorHAnsi" w:hAnsiTheme="minorHAnsi" w:cstheme="minorHAnsi"/>
          <w:sz w:val="20"/>
          <w:vertAlign w:val="superscript"/>
          <w:lang w:val="en-GB"/>
        </w:rPr>
      </w:pPr>
    </w:p>
    <w:p w14:paraId="1A81849D" w14:textId="77777777" w:rsidR="001E64B7" w:rsidRPr="0057612C" w:rsidRDefault="001E64B7" w:rsidP="009B64BA">
      <w:pPr>
        <w:pStyle w:val="NormalWeb"/>
        <w:spacing w:before="0" w:beforeAutospacing="0" w:after="0" w:afterAutospacing="0"/>
        <w:jc w:val="left"/>
        <w:rPr>
          <w:rStyle w:val="Hyperlink"/>
          <w:rFonts w:asciiTheme="minorHAnsi" w:hAnsiTheme="minorHAnsi" w:cstheme="minorHAnsi"/>
          <w:sz w:val="22"/>
          <w:lang w:val="en-GB"/>
        </w:rPr>
      </w:pPr>
      <w:r w:rsidRPr="0057612C">
        <w:rPr>
          <w:rFonts w:asciiTheme="minorHAnsi" w:hAnsiTheme="minorHAnsi" w:cstheme="minorHAnsi"/>
          <w:sz w:val="22"/>
          <w:vertAlign w:val="superscript"/>
          <w:lang w:val="en-GB"/>
        </w:rPr>
        <w:t>*</w:t>
      </w:r>
      <w:r w:rsidRPr="0057612C">
        <w:rPr>
          <w:rFonts w:asciiTheme="minorHAnsi" w:hAnsiTheme="minorHAnsi" w:cstheme="minorHAnsi"/>
          <w:sz w:val="22"/>
          <w:lang w:val="en-GB"/>
        </w:rPr>
        <w:t xml:space="preserve"> Corresponding author</w:t>
      </w:r>
      <w:r w:rsidRPr="0057612C">
        <w:rPr>
          <w:rFonts w:asciiTheme="minorHAnsi" w:hAnsiTheme="minorHAnsi" w:cstheme="minorHAnsi"/>
          <w:sz w:val="22"/>
          <w:lang w:val="en-GB"/>
        </w:rPr>
        <w:br/>
        <w:t xml:space="preserve">Email: </w:t>
      </w:r>
      <w:hyperlink r:id="rId8" w:history="1">
        <w:r w:rsidR="009B64BA" w:rsidRPr="0057612C">
          <w:rPr>
            <w:rStyle w:val="Hyperlink"/>
            <w:rFonts w:asciiTheme="minorHAnsi" w:hAnsiTheme="minorHAnsi" w:cstheme="minorHAnsi"/>
            <w:sz w:val="22"/>
            <w:lang w:val="en-GB"/>
          </w:rPr>
          <w:t>a.gelli@cgiar.org</w:t>
        </w:r>
      </w:hyperlink>
    </w:p>
    <w:p w14:paraId="75C92B83" w14:textId="77777777" w:rsidR="001E64B7" w:rsidRPr="0057612C" w:rsidRDefault="001E64B7" w:rsidP="001E64B7">
      <w:pPr>
        <w:pStyle w:val="NormalWeb"/>
        <w:spacing w:before="0" w:beforeAutospacing="0" w:after="0" w:afterAutospacing="0"/>
        <w:rPr>
          <w:rFonts w:asciiTheme="minorHAnsi" w:hAnsiTheme="minorHAnsi" w:cstheme="minorHAnsi"/>
          <w:sz w:val="22"/>
          <w:lang w:val="en-GB"/>
        </w:rPr>
      </w:pPr>
      <w:r w:rsidRPr="0057612C">
        <w:rPr>
          <w:rFonts w:asciiTheme="minorHAnsi" w:hAnsiTheme="minorHAnsi" w:cstheme="minorHAnsi"/>
          <w:sz w:val="22"/>
          <w:vertAlign w:val="superscript"/>
          <w:lang w:val="en-GB"/>
        </w:rPr>
        <w:t>1</w:t>
      </w:r>
      <w:r w:rsidRPr="0057612C">
        <w:rPr>
          <w:rFonts w:asciiTheme="minorHAnsi" w:hAnsiTheme="minorHAnsi" w:cstheme="minorHAnsi"/>
          <w:sz w:val="22"/>
          <w:lang w:val="en-GB"/>
        </w:rPr>
        <w:t xml:space="preserve"> International Food Policy Research Institute (IFPRI), 2033 K Street NW, Washington, DC 20006, USA.</w:t>
      </w:r>
    </w:p>
    <w:p w14:paraId="41972E6F" w14:textId="77777777" w:rsidR="001E64B7" w:rsidRPr="0057612C" w:rsidRDefault="001E64B7" w:rsidP="001E64B7">
      <w:pPr>
        <w:pStyle w:val="NormalWeb"/>
        <w:spacing w:before="120" w:beforeAutospacing="0" w:after="0" w:afterAutospacing="0"/>
        <w:rPr>
          <w:rFonts w:asciiTheme="minorHAnsi" w:hAnsiTheme="minorHAnsi" w:cstheme="minorHAnsi"/>
          <w:sz w:val="22"/>
          <w:lang w:val="en-GB"/>
        </w:rPr>
      </w:pPr>
      <w:r w:rsidRPr="0057612C">
        <w:rPr>
          <w:rFonts w:asciiTheme="minorHAnsi" w:hAnsiTheme="minorHAnsi" w:cstheme="minorHAnsi"/>
          <w:sz w:val="22"/>
          <w:vertAlign w:val="superscript"/>
          <w:lang w:val="en-GB"/>
        </w:rPr>
        <w:t>2</w:t>
      </w:r>
      <w:r w:rsidRPr="0057612C">
        <w:rPr>
          <w:rFonts w:asciiTheme="minorHAnsi" w:hAnsiTheme="minorHAnsi" w:cstheme="minorHAnsi"/>
          <w:sz w:val="22"/>
          <w:lang w:val="en-GB"/>
        </w:rPr>
        <w:t xml:space="preserve"> Johns Hopkins University, USA</w:t>
      </w:r>
    </w:p>
    <w:p w14:paraId="5FDD3D40" w14:textId="77777777" w:rsidR="001E64B7" w:rsidRPr="0057612C" w:rsidRDefault="001E64B7" w:rsidP="001E64B7">
      <w:pPr>
        <w:pStyle w:val="NormalWeb"/>
        <w:spacing w:before="120" w:beforeAutospacing="0" w:after="0" w:afterAutospacing="0"/>
        <w:rPr>
          <w:rFonts w:asciiTheme="minorHAnsi" w:hAnsiTheme="minorHAnsi" w:cstheme="minorHAnsi"/>
          <w:sz w:val="22"/>
          <w:lang w:val="en-GB"/>
        </w:rPr>
      </w:pPr>
      <w:r w:rsidRPr="0057612C">
        <w:rPr>
          <w:rFonts w:asciiTheme="minorHAnsi" w:hAnsiTheme="minorHAnsi" w:cstheme="minorHAnsi"/>
          <w:sz w:val="22"/>
          <w:vertAlign w:val="superscript"/>
          <w:lang w:val="en-GB"/>
        </w:rPr>
        <w:t>3</w:t>
      </w:r>
      <w:r w:rsidRPr="0057612C">
        <w:rPr>
          <w:rFonts w:asciiTheme="minorHAnsi" w:hAnsiTheme="minorHAnsi" w:cstheme="minorHAnsi"/>
          <w:sz w:val="22"/>
          <w:lang w:val="en-GB"/>
        </w:rPr>
        <w:t xml:space="preserve"> </w:t>
      </w:r>
      <w:r w:rsidR="009B64BA" w:rsidRPr="0057612C">
        <w:rPr>
          <w:rFonts w:asciiTheme="minorHAnsi" w:hAnsiTheme="minorHAnsi" w:cstheme="minorHAnsi"/>
          <w:sz w:val="22"/>
          <w:lang w:val="en-GB"/>
        </w:rPr>
        <w:t>Save the Children, USA/Malawi</w:t>
      </w:r>
      <w:r w:rsidRPr="0057612C">
        <w:rPr>
          <w:rFonts w:asciiTheme="minorHAnsi" w:hAnsiTheme="minorHAnsi" w:cstheme="minorHAnsi"/>
          <w:sz w:val="22"/>
          <w:lang w:val="en-GB"/>
        </w:rPr>
        <w:t>.</w:t>
      </w:r>
    </w:p>
    <w:p w14:paraId="4583B3CA" w14:textId="77777777" w:rsidR="001E64B7" w:rsidRPr="0057612C" w:rsidRDefault="001E64B7" w:rsidP="001E64B7">
      <w:pPr>
        <w:pStyle w:val="NormalWeb"/>
        <w:spacing w:before="120" w:beforeAutospacing="0" w:after="120" w:afterAutospacing="0"/>
        <w:rPr>
          <w:rFonts w:asciiTheme="minorHAnsi" w:hAnsiTheme="minorHAnsi" w:cstheme="minorHAnsi"/>
          <w:sz w:val="22"/>
          <w:lang w:val="en-GB"/>
        </w:rPr>
      </w:pPr>
      <w:r w:rsidRPr="0057612C">
        <w:rPr>
          <w:rFonts w:asciiTheme="minorHAnsi" w:hAnsiTheme="minorHAnsi" w:cstheme="minorHAnsi"/>
          <w:sz w:val="22"/>
          <w:vertAlign w:val="superscript"/>
          <w:lang w:val="en-GB"/>
        </w:rPr>
        <w:t>4</w:t>
      </w:r>
      <w:r w:rsidRPr="0057612C">
        <w:rPr>
          <w:rFonts w:asciiTheme="minorHAnsi" w:hAnsiTheme="minorHAnsi" w:cstheme="minorHAnsi"/>
          <w:sz w:val="22"/>
          <w:lang w:val="en-GB"/>
        </w:rPr>
        <w:t xml:space="preserve"> </w:t>
      </w:r>
      <w:proofErr w:type="spellStart"/>
      <w:r w:rsidR="009B64BA" w:rsidRPr="0057612C">
        <w:rPr>
          <w:rFonts w:asciiTheme="minorHAnsi" w:hAnsiTheme="minorHAnsi" w:cstheme="minorHAnsi"/>
          <w:sz w:val="22"/>
          <w:lang w:val="en-GB"/>
        </w:rPr>
        <w:t>Ikapadata</w:t>
      </w:r>
      <w:proofErr w:type="spellEnd"/>
      <w:r w:rsidR="009B64BA" w:rsidRPr="0057612C">
        <w:rPr>
          <w:rFonts w:asciiTheme="minorHAnsi" w:hAnsiTheme="minorHAnsi" w:cstheme="minorHAnsi"/>
          <w:sz w:val="22"/>
          <w:lang w:val="en-GB"/>
        </w:rPr>
        <w:t>, RSA</w:t>
      </w:r>
      <w:r w:rsidRPr="0057612C">
        <w:rPr>
          <w:rFonts w:asciiTheme="minorHAnsi" w:hAnsiTheme="minorHAnsi" w:cstheme="minorHAnsi"/>
          <w:sz w:val="22"/>
          <w:lang w:val="en-GB"/>
        </w:rPr>
        <w:t>.</w:t>
      </w:r>
    </w:p>
    <w:p w14:paraId="689529AB" w14:textId="77777777" w:rsidR="001E64B7" w:rsidRPr="0057612C" w:rsidRDefault="001E64B7" w:rsidP="001E64B7">
      <w:pPr>
        <w:spacing w:line="240" w:lineRule="auto"/>
      </w:pPr>
      <w:r w:rsidRPr="0057612C">
        <w:rPr>
          <w:rFonts w:cstheme="minorHAnsi"/>
          <w:vertAlign w:val="superscript"/>
        </w:rPr>
        <w:t>5</w:t>
      </w:r>
      <w:r w:rsidR="00B45A3E" w:rsidRPr="0057612C">
        <w:rPr>
          <w:rFonts w:cstheme="minorHAnsi"/>
        </w:rPr>
        <w:t xml:space="preserve"> </w:t>
      </w:r>
      <w:r w:rsidR="00B45A3E" w:rsidRPr="0057612C">
        <w:t>U. of Liverpool, UK.</w:t>
      </w:r>
      <w:r w:rsidRPr="0057612C">
        <w:t xml:space="preserve"> </w:t>
      </w:r>
    </w:p>
    <w:p w14:paraId="3D6C646E" w14:textId="77777777" w:rsidR="009B64BA" w:rsidRPr="0057612C" w:rsidRDefault="009B64BA" w:rsidP="009B64BA">
      <w:pPr>
        <w:spacing w:line="240" w:lineRule="auto"/>
      </w:pPr>
      <w:r w:rsidRPr="0057612C">
        <w:rPr>
          <w:rFonts w:cstheme="minorHAnsi"/>
          <w:vertAlign w:val="superscript"/>
        </w:rPr>
        <w:t>6</w:t>
      </w:r>
      <w:r w:rsidRPr="0057612C">
        <w:t xml:space="preserve"> </w:t>
      </w:r>
      <w:r w:rsidR="00B45A3E" w:rsidRPr="0057612C">
        <w:t>U. of California at Berkeley, USA.</w:t>
      </w:r>
    </w:p>
    <w:p w14:paraId="0255AB9A" w14:textId="77777777" w:rsidR="009B64BA" w:rsidRPr="0057612C" w:rsidRDefault="009B64BA" w:rsidP="009B64BA">
      <w:pPr>
        <w:spacing w:line="240" w:lineRule="auto"/>
      </w:pPr>
      <w:r w:rsidRPr="0057612C">
        <w:rPr>
          <w:rFonts w:cstheme="minorHAnsi"/>
          <w:vertAlign w:val="superscript"/>
        </w:rPr>
        <w:t>7</w:t>
      </w:r>
      <w:r w:rsidRPr="0057612C">
        <w:t xml:space="preserve"> </w:t>
      </w:r>
      <w:r w:rsidRPr="0057612C">
        <w:rPr>
          <w:rFonts w:cstheme="minorHAnsi"/>
        </w:rPr>
        <w:t>Chancellor College, University of Malawi, Malawi.</w:t>
      </w:r>
      <w:r w:rsidRPr="0057612C">
        <w:t xml:space="preserve"> </w:t>
      </w:r>
    </w:p>
    <w:p w14:paraId="2BA4EC0B" w14:textId="77777777" w:rsidR="009B64BA" w:rsidRPr="0057612C" w:rsidRDefault="009B64BA" w:rsidP="001E64B7">
      <w:pPr>
        <w:spacing w:line="240" w:lineRule="auto"/>
      </w:pPr>
    </w:p>
    <w:p w14:paraId="71002535" w14:textId="77777777" w:rsidR="001E64B7" w:rsidRPr="0057612C" w:rsidRDefault="001E64B7" w:rsidP="001E64B7">
      <w:pPr>
        <w:spacing w:after="0" w:line="240" w:lineRule="auto"/>
        <w:rPr>
          <w:rFonts w:asciiTheme="majorHAnsi" w:eastAsiaTheme="majorEastAsia" w:hAnsiTheme="majorHAnsi" w:cstheme="majorBidi"/>
          <w:b/>
          <w:sz w:val="32"/>
          <w:szCs w:val="32"/>
          <w:u w:val="single"/>
        </w:rPr>
      </w:pPr>
      <w:r w:rsidRPr="0057612C">
        <w:rPr>
          <w:u w:val="single"/>
        </w:rPr>
        <w:t>Other author emails:</w:t>
      </w:r>
    </w:p>
    <w:p w14:paraId="2DA0507A" w14:textId="77777777" w:rsidR="001E64B7" w:rsidRPr="0057612C" w:rsidRDefault="009B64BA" w:rsidP="001E64B7">
      <w:pPr>
        <w:spacing w:after="0"/>
        <w:jc w:val="left"/>
        <w:rPr>
          <w:rFonts w:cstheme="minorHAnsi"/>
          <w:szCs w:val="24"/>
          <w:lang w:eastAsia="en-US"/>
        </w:rPr>
      </w:pPr>
      <w:r w:rsidRPr="0057612C">
        <w:rPr>
          <w:rFonts w:cstheme="minorHAnsi"/>
          <w:szCs w:val="24"/>
          <w:lang w:eastAsia="en-US"/>
        </w:rPr>
        <w:t xml:space="preserve">Amy Margolies </w:t>
      </w:r>
      <w:r w:rsidR="001E64B7" w:rsidRPr="0057612C">
        <w:rPr>
          <w:rFonts w:cstheme="minorHAnsi"/>
          <w:szCs w:val="24"/>
          <w:lang w:eastAsia="en-US"/>
        </w:rPr>
        <w:t>(</w:t>
      </w:r>
      <w:hyperlink r:id="rId9" w:history="1">
        <w:r w:rsidR="002B2478" w:rsidRPr="0057612C">
          <w:rPr>
            <w:rStyle w:val="Hyperlink"/>
            <w:rFonts w:cstheme="minorHAnsi"/>
            <w:szCs w:val="24"/>
            <w:lang w:eastAsia="en-US"/>
          </w:rPr>
          <w:t>margolies.amy@gmail.com</w:t>
        </w:r>
      </w:hyperlink>
      <w:r w:rsidR="001E64B7" w:rsidRPr="0057612C">
        <w:rPr>
          <w:rFonts w:cstheme="minorHAnsi"/>
          <w:szCs w:val="24"/>
          <w:lang w:eastAsia="en-US"/>
        </w:rPr>
        <w:t xml:space="preserve">), </w:t>
      </w:r>
    </w:p>
    <w:p w14:paraId="7A3C1349" w14:textId="77777777" w:rsidR="001E64B7" w:rsidRPr="00B436B7" w:rsidRDefault="009B64BA" w:rsidP="001E64B7">
      <w:pPr>
        <w:spacing w:after="0"/>
        <w:jc w:val="left"/>
        <w:rPr>
          <w:rFonts w:cstheme="minorHAnsi"/>
          <w:szCs w:val="24"/>
          <w:lang w:val="es-CO" w:eastAsia="en-US"/>
        </w:rPr>
      </w:pPr>
      <w:r w:rsidRPr="00B436B7">
        <w:rPr>
          <w:rFonts w:cstheme="minorHAnsi"/>
          <w:szCs w:val="24"/>
          <w:lang w:val="es-CO" w:eastAsia="en-US"/>
        </w:rPr>
        <w:t xml:space="preserve">Marco Santacroce </w:t>
      </w:r>
      <w:r w:rsidR="001E64B7" w:rsidRPr="00B436B7">
        <w:rPr>
          <w:rFonts w:cstheme="minorHAnsi"/>
          <w:szCs w:val="24"/>
          <w:lang w:val="es-CO" w:eastAsia="en-US"/>
        </w:rPr>
        <w:t>(</w:t>
      </w:r>
      <w:hyperlink r:id="rId10" w:history="1">
        <w:r w:rsidR="00E20B37" w:rsidRPr="00B436B7">
          <w:rPr>
            <w:rStyle w:val="Hyperlink"/>
            <w:rFonts w:cstheme="minorHAnsi"/>
            <w:szCs w:val="24"/>
            <w:lang w:val="es-CO" w:eastAsia="en-US"/>
          </w:rPr>
          <w:t>m.Santacroce@cgiar.org</w:t>
        </w:r>
      </w:hyperlink>
      <w:r w:rsidR="001E64B7" w:rsidRPr="00B436B7">
        <w:rPr>
          <w:rFonts w:cstheme="minorHAnsi"/>
          <w:szCs w:val="24"/>
          <w:lang w:val="es-CO" w:eastAsia="en-US"/>
        </w:rPr>
        <w:t xml:space="preserve">), </w:t>
      </w:r>
    </w:p>
    <w:p w14:paraId="6DBCD5D9" w14:textId="77777777" w:rsidR="001E64B7" w:rsidRPr="00B436B7" w:rsidRDefault="009B64BA" w:rsidP="001E64B7">
      <w:pPr>
        <w:spacing w:after="0"/>
        <w:jc w:val="left"/>
        <w:rPr>
          <w:rFonts w:cstheme="minorHAnsi"/>
          <w:szCs w:val="24"/>
          <w:lang w:val="fr-FR" w:eastAsia="en-US"/>
        </w:rPr>
      </w:pPr>
      <w:r w:rsidRPr="00B436B7">
        <w:rPr>
          <w:rFonts w:cstheme="minorHAnsi"/>
          <w:szCs w:val="24"/>
          <w:lang w:val="fr-FR" w:eastAsia="en-US"/>
        </w:rPr>
        <w:t xml:space="preserve">Katie Sproule </w:t>
      </w:r>
      <w:r w:rsidR="001E64B7" w:rsidRPr="00B436B7">
        <w:rPr>
          <w:rFonts w:cstheme="minorHAnsi"/>
          <w:szCs w:val="24"/>
          <w:lang w:val="fr-FR" w:eastAsia="en-US"/>
        </w:rPr>
        <w:t>(</w:t>
      </w:r>
      <w:hyperlink r:id="rId11" w:history="1">
        <w:r w:rsidR="002B2478" w:rsidRPr="00B436B7">
          <w:rPr>
            <w:rStyle w:val="Hyperlink"/>
            <w:lang w:val="fr-FR"/>
          </w:rPr>
          <w:t>sproule.katie@gmail.com</w:t>
        </w:r>
      </w:hyperlink>
      <w:r w:rsidR="001E64B7" w:rsidRPr="00B436B7">
        <w:rPr>
          <w:rFonts w:cstheme="minorHAnsi"/>
          <w:szCs w:val="24"/>
          <w:lang w:val="fr-FR" w:eastAsia="en-US"/>
        </w:rPr>
        <w:t xml:space="preserve">), </w:t>
      </w:r>
    </w:p>
    <w:p w14:paraId="0064C944" w14:textId="77777777" w:rsidR="001E64B7" w:rsidRPr="00B436B7" w:rsidRDefault="009B64BA" w:rsidP="001E64B7">
      <w:pPr>
        <w:spacing w:after="0"/>
        <w:jc w:val="left"/>
        <w:rPr>
          <w:rFonts w:cstheme="minorHAnsi"/>
          <w:szCs w:val="24"/>
          <w:lang w:val="fr-FR" w:eastAsia="en-US"/>
        </w:rPr>
      </w:pPr>
      <w:r w:rsidRPr="00B436B7">
        <w:rPr>
          <w:rFonts w:cstheme="minorHAnsi"/>
          <w:szCs w:val="24"/>
          <w:lang w:val="fr-FR" w:eastAsia="en-US"/>
        </w:rPr>
        <w:t xml:space="preserve">Sophie </w:t>
      </w:r>
      <w:proofErr w:type="spellStart"/>
      <w:r w:rsidRPr="00B436B7">
        <w:rPr>
          <w:rFonts w:cstheme="minorHAnsi"/>
          <w:szCs w:val="24"/>
          <w:lang w:val="fr-FR" w:eastAsia="en-US"/>
        </w:rPr>
        <w:t>Thies</w:t>
      </w:r>
      <w:proofErr w:type="spellEnd"/>
      <w:r w:rsidRPr="00B436B7">
        <w:rPr>
          <w:rFonts w:cstheme="minorHAnsi"/>
          <w:szCs w:val="24"/>
          <w:lang w:val="fr-FR" w:eastAsia="en-US"/>
        </w:rPr>
        <w:t xml:space="preserve"> </w:t>
      </w:r>
      <w:r w:rsidR="001E64B7" w:rsidRPr="00B436B7">
        <w:rPr>
          <w:rFonts w:cstheme="minorHAnsi"/>
          <w:szCs w:val="24"/>
          <w:lang w:val="fr-FR" w:eastAsia="en-US"/>
        </w:rPr>
        <w:t>(</w:t>
      </w:r>
      <w:hyperlink r:id="rId12" w:history="1">
        <w:r w:rsidR="00E20B37" w:rsidRPr="00B436B7">
          <w:rPr>
            <w:rStyle w:val="Hyperlink"/>
            <w:rFonts w:cstheme="minorHAnsi"/>
            <w:szCs w:val="24"/>
            <w:lang w:val="fr-FR" w:eastAsia="en-US"/>
          </w:rPr>
          <w:t>s.theis@cgiar.org</w:t>
        </w:r>
      </w:hyperlink>
      <w:r w:rsidR="001E64B7" w:rsidRPr="00B436B7">
        <w:rPr>
          <w:rFonts w:cstheme="minorHAnsi"/>
          <w:szCs w:val="24"/>
          <w:lang w:val="fr-FR" w:eastAsia="en-US"/>
        </w:rPr>
        <w:t xml:space="preserve">),  </w:t>
      </w:r>
    </w:p>
    <w:p w14:paraId="3589EAAE" w14:textId="77777777" w:rsidR="001E64B7" w:rsidRPr="00B436B7" w:rsidRDefault="009B64BA" w:rsidP="001E64B7">
      <w:pPr>
        <w:spacing w:after="0"/>
        <w:jc w:val="left"/>
        <w:rPr>
          <w:rFonts w:cstheme="minorHAnsi"/>
          <w:szCs w:val="24"/>
          <w:lang w:val="fr-FR" w:eastAsia="en-US"/>
        </w:rPr>
      </w:pPr>
      <w:r w:rsidRPr="00B436B7">
        <w:rPr>
          <w:rFonts w:cstheme="minorHAnsi"/>
          <w:szCs w:val="24"/>
          <w:lang w:val="fr-FR" w:eastAsia="en-US"/>
        </w:rPr>
        <w:t xml:space="preserve">Natalie Roschnik </w:t>
      </w:r>
      <w:r w:rsidR="001E64B7" w:rsidRPr="00B436B7">
        <w:rPr>
          <w:rFonts w:cstheme="minorHAnsi"/>
          <w:szCs w:val="24"/>
          <w:lang w:val="fr-FR" w:eastAsia="en-US"/>
        </w:rPr>
        <w:t>(</w:t>
      </w:r>
      <w:hyperlink r:id="rId13" w:history="1">
        <w:r w:rsidR="00E20B37" w:rsidRPr="00B436B7">
          <w:rPr>
            <w:rStyle w:val="Hyperlink"/>
            <w:rFonts w:cstheme="minorHAnsi"/>
            <w:szCs w:val="24"/>
            <w:lang w:val="fr-FR" w:eastAsia="en-US"/>
          </w:rPr>
          <w:t>n.roschnik@savethechildren.org.uk</w:t>
        </w:r>
      </w:hyperlink>
      <w:r w:rsidR="001E64B7" w:rsidRPr="00B436B7">
        <w:rPr>
          <w:rFonts w:cstheme="minorHAnsi"/>
          <w:szCs w:val="24"/>
          <w:lang w:val="fr-FR" w:eastAsia="en-US"/>
        </w:rPr>
        <w:t xml:space="preserve">), </w:t>
      </w:r>
    </w:p>
    <w:p w14:paraId="06FCD8CD" w14:textId="77777777" w:rsidR="001E64B7" w:rsidRPr="0057612C" w:rsidRDefault="009B64BA" w:rsidP="001E64B7">
      <w:pPr>
        <w:spacing w:after="0"/>
        <w:jc w:val="left"/>
        <w:rPr>
          <w:rFonts w:cstheme="minorHAnsi"/>
          <w:szCs w:val="24"/>
          <w:lang w:eastAsia="en-US"/>
        </w:rPr>
      </w:pPr>
      <w:r w:rsidRPr="0057612C">
        <w:rPr>
          <w:rFonts w:cstheme="minorHAnsi"/>
          <w:szCs w:val="24"/>
          <w:lang w:eastAsia="en-US"/>
        </w:rPr>
        <w:t xml:space="preserve">Aisha Twalibu </w:t>
      </w:r>
      <w:r w:rsidR="001E64B7" w:rsidRPr="0057612C">
        <w:rPr>
          <w:rFonts w:cstheme="minorHAnsi"/>
          <w:szCs w:val="24"/>
          <w:lang w:eastAsia="en-US"/>
        </w:rPr>
        <w:t>(</w:t>
      </w:r>
      <w:hyperlink r:id="rId14" w:history="1">
        <w:r w:rsidR="00E20B37" w:rsidRPr="0057612C">
          <w:rPr>
            <w:rStyle w:val="Hyperlink"/>
            <w:rFonts w:cstheme="minorHAnsi"/>
            <w:szCs w:val="24"/>
            <w:lang w:eastAsia="en-US"/>
          </w:rPr>
          <w:t>aisha.twalibu@savethechildren.org</w:t>
        </w:r>
      </w:hyperlink>
      <w:r w:rsidR="001E64B7" w:rsidRPr="0057612C">
        <w:rPr>
          <w:rFonts w:cstheme="minorHAnsi"/>
          <w:szCs w:val="24"/>
          <w:lang w:eastAsia="en-US"/>
        </w:rPr>
        <w:t xml:space="preserve">), </w:t>
      </w:r>
    </w:p>
    <w:p w14:paraId="2D15EC31" w14:textId="77777777" w:rsidR="001E64B7" w:rsidRPr="0057612C" w:rsidRDefault="009B64BA" w:rsidP="001E64B7">
      <w:pPr>
        <w:spacing w:after="0"/>
        <w:jc w:val="left"/>
        <w:rPr>
          <w:rFonts w:cstheme="minorHAnsi"/>
          <w:szCs w:val="24"/>
          <w:lang w:eastAsia="en-US"/>
        </w:rPr>
      </w:pPr>
      <w:r w:rsidRPr="0057612C">
        <w:rPr>
          <w:rFonts w:cstheme="minorHAnsi"/>
          <w:szCs w:val="24"/>
          <w:lang w:eastAsia="en-US"/>
        </w:rPr>
        <w:t xml:space="preserve">George Chidalengwa </w:t>
      </w:r>
      <w:r w:rsidR="001E64B7" w:rsidRPr="0057612C">
        <w:rPr>
          <w:rFonts w:cstheme="minorHAnsi"/>
          <w:szCs w:val="24"/>
          <w:lang w:eastAsia="en-US"/>
        </w:rPr>
        <w:t>(</w:t>
      </w:r>
      <w:hyperlink r:id="rId15" w:history="1">
        <w:r w:rsidR="00E20B37" w:rsidRPr="0057612C">
          <w:rPr>
            <w:rStyle w:val="Hyperlink"/>
            <w:rFonts w:cstheme="minorHAnsi"/>
            <w:szCs w:val="24"/>
            <w:lang w:eastAsia="en-US"/>
          </w:rPr>
          <w:t>George.Chidalengwa@savethechildren.org</w:t>
        </w:r>
      </w:hyperlink>
      <w:r w:rsidR="001E64B7" w:rsidRPr="0057612C">
        <w:rPr>
          <w:rFonts w:cstheme="minorHAnsi"/>
          <w:szCs w:val="24"/>
          <w:lang w:eastAsia="en-US"/>
        </w:rPr>
        <w:t xml:space="preserve">), </w:t>
      </w:r>
    </w:p>
    <w:p w14:paraId="3D12E4B9" w14:textId="77777777" w:rsidR="001E64B7" w:rsidRPr="0057612C" w:rsidRDefault="009B64BA" w:rsidP="001E64B7">
      <w:pPr>
        <w:spacing w:after="0"/>
        <w:jc w:val="left"/>
        <w:rPr>
          <w:rFonts w:cstheme="minorHAnsi"/>
          <w:szCs w:val="24"/>
          <w:lang w:eastAsia="en-US"/>
        </w:rPr>
      </w:pPr>
      <w:r w:rsidRPr="0057612C">
        <w:rPr>
          <w:rFonts w:cstheme="minorHAnsi"/>
          <w:szCs w:val="24"/>
          <w:lang w:eastAsia="en-US"/>
        </w:rPr>
        <w:t xml:space="preserve">Amrik Cooper </w:t>
      </w:r>
      <w:r w:rsidR="001E64B7" w:rsidRPr="0057612C">
        <w:rPr>
          <w:rFonts w:cstheme="minorHAnsi"/>
          <w:szCs w:val="24"/>
          <w:lang w:eastAsia="en-US"/>
        </w:rPr>
        <w:t>(</w:t>
      </w:r>
      <w:hyperlink r:id="rId16" w:history="1">
        <w:r w:rsidR="00E20B37" w:rsidRPr="0057612C">
          <w:rPr>
            <w:rStyle w:val="Hyperlink"/>
            <w:rFonts w:cstheme="minorHAnsi"/>
            <w:szCs w:val="24"/>
            <w:lang w:eastAsia="en-US"/>
          </w:rPr>
          <w:t>amrik@ikapadata.com</w:t>
        </w:r>
      </w:hyperlink>
      <w:r w:rsidR="001E64B7" w:rsidRPr="0057612C">
        <w:rPr>
          <w:rFonts w:cstheme="minorHAnsi"/>
          <w:szCs w:val="24"/>
          <w:lang w:eastAsia="en-US"/>
        </w:rPr>
        <w:t xml:space="preserve">),   </w:t>
      </w:r>
    </w:p>
    <w:p w14:paraId="18DD6DA4" w14:textId="77777777" w:rsidR="001E64B7" w:rsidRPr="0057612C" w:rsidRDefault="009B64BA" w:rsidP="001E64B7">
      <w:pPr>
        <w:spacing w:after="0"/>
        <w:jc w:val="left"/>
        <w:rPr>
          <w:rFonts w:cstheme="minorHAnsi"/>
          <w:szCs w:val="24"/>
          <w:lang w:eastAsia="en-US"/>
        </w:rPr>
      </w:pPr>
      <w:r w:rsidRPr="0057612C">
        <w:rPr>
          <w:rFonts w:cstheme="minorHAnsi"/>
          <w:szCs w:val="24"/>
          <w:lang w:eastAsia="en-US"/>
        </w:rPr>
        <w:t xml:space="preserve">Tyler Moorhead </w:t>
      </w:r>
      <w:r w:rsidR="001E64B7" w:rsidRPr="0057612C">
        <w:rPr>
          <w:rFonts w:cstheme="minorHAnsi"/>
          <w:szCs w:val="24"/>
          <w:lang w:eastAsia="en-US"/>
        </w:rPr>
        <w:t>(</w:t>
      </w:r>
      <w:hyperlink r:id="rId17" w:history="1">
        <w:r w:rsidR="00E20B37" w:rsidRPr="0057612C">
          <w:rPr>
            <w:rStyle w:val="Hyperlink"/>
            <w:rFonts w:cstheme="minorHAnsi"/>
            <w:szCs w:val="24"/>
            <w:lang w:eastAsia="en-US"/>
          </w:rPr>
          <w:t>tyler@ikapadata.com</w:t>
        </w:r>
      </w:hyperlink>
      <w:r w:rsidR="00E20B37" w:rsidRPr="0057612C">
        <w:rPr>
          <w:rFonts w:cstheme="minorHAnsi"/>
          <w:szCs w:val="24"/>
          <w:lang w:eastAsia="en-US"/>
        </w:rPr>
        <w:t xml:space="preserve"> </w:t>
      </w:r>
      <w:r w:rsidR="001E64B7" w:rsidRPr="0057612C">
        <w:rPr>
          <w:rFonts w:cstheme="minorHAnsi"/>
          <w:szCs w:val="24"/>
          <w:lang w:eastAsia="en-US"/>
        </w:rPr>
        <w:t xml:space="preserve">), </w:t>
      </w:r>
    </w:p>
    <w:p w14:paraId="01C3FDA8" w14:textId="77777777" w:rsidR="001E64B7" w:rsidRPr="0057612C" w:rsidRDefault="009B64BA" w:rsidP="001E64B7">
      <w:pPr>
        <w:spacing w:after="0"/>
        <w:jc w:val="left"/>
        <w:rPr>
          <w:rFonts w:cstheme="minorHAnsi"/>
          <w:szCs w:val="24"/>
          <w:lang w:eastAsia="en-US"/>
        </w:rPr>
      </w:pPr>
      <w:r w:rsidRPr="0057612C">
        <w:rPr>
          <w:rFonts w:cstheme="minorHAnsi"/>
          <w:szCs w:val="24"/>
          <w:lang w:eastAsia="en-US"/>
        </w:rPr>
        <w:t xml:space="preserve">Melissa Gladstone </w:t>
      </w:r>
      <w:r w:rsidR="001E64B7" w:rsidRPr="0057612C">
        <w:rPr>
          <w:rFonts w:cstheme="minorHAnsi"/>
          <w:szCs w:val="24"/>
          <w:lang w:eastAsia="en-US"/>
        </w:rPr>
        <w:t>(</w:t>
      </w:r>
      <w:hyperlink r:id="rId18" w:history="1">
        <w:r w:rsidR="00E20B37" w:rsidRPr="0057612C">
          <w:rPr>
            <w:rStyle w:val="Hyperlink"/>
            <w:rFonts w:cstheme="minorHAnsi"/>
            <w:szCs w:val="24"/>
            <w:lang w:eastAsia="en-US"/>
          </w:rPr>
          <w:t>M.J.Gladstone@liverpool.ac.uk</w:t>
        </w:r>
      </w:hyperlink>
      <w:r w:rsidR="001E64B7" w:rsidRPr="0057612C">
        <w:rPr>
          <w:rFonts w:cstheme="minorHAnsi"/>
          <w:szCs w:val="24"/>
          <w:lang w:eastAsia="en-US"/>
        </w:rPr>
        <w:t xml:space="preserve">), </w:t>
      </w:r>
    </w:p>
    <w:p w14:paraId="56E6B7AC" w14:textId="77777777" w:rsidR="001E64B7" w:rsidRPr="00671894" w:rsidRDefault="009B64BA" w:rsidP="001E64B7">
      <w:pPr>
        <w:spacing w:after="0"/>
        <w:jc w:val="left"/>
        <w:rPr>
          <w:rFonts w:cstheme="minorHAnsi"/>
          <w:szCs w:val="24"/>
          <w:lang w:val="es-CO" w:eastAsia="en-US"/>
        </w:rPr>
      </w:pPr>
      <w:r w:rsidRPr="00671894">
        <w:rPr>
          <w:rFonts w:cstheme="minorHAnsi"/>
          <w:szCs w:val="24"/>
          <w:lang w:val="es-CO" w:eastAsia="en-US"/>
        </w:rPr>
        <w:t xml:space="preserve">Patricia </w:t>
      </w:r>
      <w:proofErr w:type="spellStart"/>
      <w:r w:rsidRPr="00671894">
        <w:rPr>
          <w:rFonts w:cstheme="minorHAnsi"/>
          <w:szCs w:val="24"/>
          <w:lang w:val="es-CO" w:eastAsia="en-US"/>
        </w:rPr>
        <w:t>Kariger</w:t>
      </w:r>
      <w:proofErr w:type="spellEnd"/>
      <w:r w:rsidRPr="00671894">
        <w:rPr>
          <w:rFonts w:cstheme="minorHAnsi"/>
          <w:szCs w:val="24"/>
          <w:lang w:val="es-CO" w:eastAsia="en-US"/>
        </w:rPr>
        <w:t xml:space="preserve"> </w:t>
      </w:r>
      <w:r w:rsidR="001E64B7" w:rsidRPr="00671894">
        <w:rPr>
          <w:rFonts w:cstheme="minorHAnsi"/>
          <w:szCs w:val="24"/>
          <w:lang w:val="es-CO" w:eastAsia="en-US"/>
        </w:rPr>
        <w:t>(</w:t>
      </w:r>
      <w:hyperlink r:id="rId19" w:history="1">
        <w:r w:rsidR="00E20B37" w:rsidRPr="00671894">
          <w:rPr>
            <w:rStyle w:val="Hyperlink"/>
            <w:rFonts w:cstheme="minorHAnsi"/>
            <w:szCs w:val="24"/>
            <w:lang w:val="es-CO" w:eastAsia="en-US"/>
          </w:rPr>
          <w:t>patriciakariger@gmail.com</w:t>
        </w:r>
      </w:hyperlink>
      <w:r w:rsidR="001E64B7" w:rsidRPr="00671894">
        <w:rPr>
          <w:rFonts w:cstheme="minorHAnsi"/>
          <w:szCs w:val="24"/>
          <w:lang w:val="es-CO" w:eastAsia="en-US"/>
        </w:rPr>
        <w:t xml:space="preserve">), </w:t>
      </w:r>
    </w:p>
    <w:p w14:paraId="6C2130AE" w14:textId="77777777" w:rsidR="001E64B7" w:rsidRPr="002D429E" w:rsidRDefault="009B64BA" w:rsidP="001E64B7">
      <w:pPr>
        <w:spacing w:after="0"/>
        <w:jc w:val="left"/>
        <w:rPr>
          <w:rFonts w:cstheme="minorHAnsi"/>
          <w:szCs w:val="24"/>
          <w:lang w:val="fr-FR" w:eastAsia="en-US"/>
        </w:rPr>
      </w:pPr>
      <w:r w:rsidRPr="002D429E">
        <w:rPr>
          <w:rFonts w:cstheme="minorHAnsi"/>
          <w:szCs w:val="24"/>
          <w:lang w:val="fr-FR" w:eastAsia="en-US"/>
        </w:rPr>
        <w:t xml:space="preserve">Mangani </w:t>
      </w:r>
      <w:proofErr w:type="spellStart"/>
      <w:r w:rsidRPr="002D429E">
        <w:rPr>
          <w:rFonts w:cstheme="minorHAnsi"/>
          <w:szCs w:val="24"/>
          <w:lang w:val="fr-FR" w:eastAsia="en-US"/>
        </w:rPr>
        <w:t>Kutundu</w:t>
      </w:r>
      <w:proofErr w:type="spellEnd"/>
      <w:r w:rsidRPr="002D429E">
        <w:rPr>
          <w:rFonts w:cstheme="minorHAnsi"/>
          <w:szCs w:val="24"/>
          <w:lang w:val="fr-FR" w:eastAsia="en-US"/>
        </w:rPr>
        <w:t xml:space="preserve"> </w:t>
      </w:r>
      <w:r w:rsidR="001E64B7" w:rsidRPr="002D429E">
        <w:rPr>
          <w:rFonts w:cstheme="minorHAnsi"/>
          <w:szCs w:val="24"/>
          <w:lang w:val="fr-FR" w:eastAsia="en-US"/>
        </w:rPr>
        <w:t>(</w:t>
      </w:r>
      <w:hyperlink r:id="rId20" w:history="1">
        <w:r w:rsidR="00E20B37" w:rsidRPr="002D429E">
          <w:rPr>
            <w:rStyle w:val="Hyperlink"/>
            <w:rFonts w:cstheme="minorHAnsi"/>
            <w:szCs w:val="24"/>
            <w:lang w:val="fr-FR" w:eastAsia="en-US"/>
          </w:rPr>
          <w:t>manganikatundu@gmail.com</w:t>
        </w:r>
      </w:hyperlink>
      <w:r w:rsidR="00E20B37" w:rsidRPr="002D429E">
        <w:rPr>
          <w:rFonts w:cstheme="minorHAnsi"/>
          <w:szCs w:val="24"/>
          <w:lang w:val="fr-FR" w:eastAsia="en-US"/>
        </w:rPr>
        <w:t>).</w:t>
      </w:r>
      <w:r w:rsidR="001E64B7" w:rsidRPr="002D429E">
        <w:rPr>
          <w:rFonts w:cstheme="minorHAnsi"/>
          <w:szCs w:val="24"/>
          <w:lang w:val="fr-FR" w:eastAsia="en-US"/>
        </w:rPr>
        <w:t xml:space="preserve"> </w:t>
      </w:r>
    </w:p>
    <w:p w14:paraId="505562F8" w14:textId="77777777" w:rsidR="001E64B7" w:rsidRPr="002D429E" w:rsidRDefault="001E64B7" w:rsidP="001E64B7">
      <w:pPr>
        <w:spacing w:after="200"/>
        <w:jc w:val="left"/>
        <w:rPr>
          <w:lang w:val="fr-FR"/>
        </w:rPr>
      </w:pPr>
      <w:r w:rsidRPr="002D429E">
        <w:rPr>
          <w:lang w:val="fr-FR"/>
        </w:rPr>
        <w:br w:type="page"/>
      </w:r>
    </w:p>
    <w:p w14:paraId="76C2A353" w14:textId="77777777" w:rsidR="00581E3C" w:rsidRPr="0057612C" w:rsidRDefault="00D972F4" w:rsidP="002F4574">
      <w:pPr>
        <w:spacing w:after="0"/>
        <w:jc w:val="center"/>
        <w:rPr>
          <w:rFonts w:cs="Times New Roman"/>
          <w:b/>
        </w:rPr>
      </w:pPr>
      <w:r w:rsidRPr="002D429E">
        <w:rPr>
          <w:rFonts w:cs="Times New Roman"/>
          <w:lang w:val="fr-FR"/>
        </w:rPr>
        <w:lastRenderedPageBreak/>
        <w:t xml:space="preserve"> </w:t>
      </w:r>
      <w:r w:rsidR="00581E3C" w:rsidRPr="0057612C">
        <w:rPr>
          <w:rFonts w:cs="Times New Roman"/>
          <w:b/>
        </w:rPr>
        <w:t>Abstract</w:t>
      </w:r>
    </w:p>
    <w:p w14:paraId="2400A230" w14:textId="35C7B05E" w:rsidR="002D5272" w:rsidRPr="0057612C" w:rsidRDefault="00477BA9" w:rsidP="00F322B6">
      <w:pPr>
        <w:spacing w:line="240" w:lineRule="auto"/>
        <w:rPr>
          <w:rFonts w:cs="Times New Roman"/>
        </w:rPr>
      </w:pPr>
      <w:r w:rsidRPr="00477BA9">
        <w:rPr>
          <w:b/>
        </w:rPr>
        <w:t>Background</w:t>
      </w:r>
      <w:r>
        <w:t xml:space="preserve">: </w:t>
      </w:r>
      <w:r w:rsidR="001612ED" w:rsidRPr="0057612C">
        <w:t xml:space="preserve">The Nutrition Embedded </w:t>
      </w:r>
      <w:r w:rsidR="002D5272" w:rsidRPr="0057612C">
        <w:t xml:space="preserve">Evaluation Program Impact Evaluation (NEEP-IE) study is a cluster randomised controlled trial designed to </w:t>
      </w:r>
      <w:r w:rsidR="002D5272" w:rsidRPr="0057612C">
        <w:rPr>
          <w:rFonts w:cs="Times New Roman"/>
        </w:rPr>
        <w:t>evaluate the impact of a childcare centre-based integrated nutrition and agriculture in</w:t>
      </w:r>
      <w:r w:rsidR="00C718B5" w:rsidRPr="0057612C">
        <w:rPr>
          <w:rFonts w:cs="Times New Roman"/>
        </w:rPr>
        <w:t>tervention</w:t>
      </w:r>
      <w:r w:rsidR="001C2437" w:rsidRPr="0057612C">
        <w:rPr>
          <w:rFonts w:cs="Times New Roman"/>
        </w:rPr>
        <w:t xml:space="preserve"> </w:t>
      </w:r>
      <w:r w:rsidR="001C2437" w:rsidRPr="0057612C">
        <w:t>on the diets, nutrition and development of young children in Malawi</w:t>
      </w:r>
      <w:r w:rsidR="001C2437" w:rsidRPr="0057612C">
        <w:rPr>
          <w:rFonts w:cs="Times New Roman"/>
        </w:rPr>
        <w:t>. The intervention includes</w:t>
      </w:r>
      <w:r w:rsidR="002D5272" w:rsidRPr="0057612C">
        <w:rPr>
          <w:rFonts w:cs="Times New Roman"/>
        </w:rPr>
        <w:t xml:space="preserve"> </w:t>
      </w:r>
      <w:r w:rsidR="001C2437" w:rsidRPr="0057612C">
        <w:rPr>
          <w:rFonts w:cs="Times New Roman"/>
        </w:rPr>
        <w:t>activities to improve</w:t>
      </w:r>
      <w:r w:rsidR="002D5272" w:rsidRPr="0057612C">
        <w:rPr>
          <w:rFonts w:cs="Times New Roman"/>
        </w:rPr>
        <w:t xml:space="preserve"> nutritious food production and </w:t>
      </w:r>
      <w:r w:rsidR="00DD2339" w:rsidRPr="0057612C">
        <w:rPr>
          <w:rFonts w:cs="Times New Roman"/>
        </w:rPr>
        <w:t>training/</w:t>
      </w:r>
      <w:r w:rsidR="002D5272" w:rsidRPr="0057612C">
        <w:rPr>
          <w:rFonts w:cs="Times New Roman"/>
        </w:rPr>
        <w:t>behaviour change communication to</w:t>
      </w:r>
      <w:r w:rsidR="001C2437" w:rsidRPr="0057612C">
        <w:rPr>
          <w:rFonts w:cs="Times New Roman"/>
        </w:rPr>
        <w:t xml:space="preserve"> improve</w:t>
      </w:r>
      <w:r w:rsidR="002D5272" w:rsidRPr="0057612C">
        <w:rPr>
          <w:rFonts w:cs="Times New Roman"/>
        </w:rPr>
        <w:t xml:space="preserve"> food int</w:t>
      </w:r>
      <w:r w:rsidR="001C2437" w:rsidRPr="0057612C">
        <w:rPr>
          <w:rFonts w:cs="Times New Roman"/>
        </w:rPr>
        <w:t>ake, care and hygiene practices.</w:t>
      </w:r>
      <w:r w:rsidR="006E1652" w:rsidRPr="0057612C">
        <w:rPr>
          <w:rFonts w:cs="Times New Roman"/>
        </w:rPr>
        <w:t xml:space="preserve"> </w:t>
      </w:r>
      <w:r w:rsidR="006E1652" w:rsidRPr="0057612C">
        <w:t>Th</w:t>
      </w:r>
      <w:r w:rsidR="00541F33">
        <w:t>is paper presents the rationale and study</w:t>
      </w:r>
      <w:r w:rsidR="006E1652" w:rsidRPr="0057612C">
        <w:t xml:space="preserve"> design for this </w:t>
      </w:r>
      <w:r w:rsidR="00541F33">
        <w:t xml:space="preserve">randomised control </w:t>
      </w:r>
      <w:r w:rsidR="006E1652" w:rsidRPr="0057612C">
        <w:t>trial.</w:t>
      </w:r>
    </w:p>
    <w:p w14:paraId="00D6579D" w14:textId="58F17EC7" w:rsidR="00C718B5" w:rsidRPr="0057612C" w:rsidRDefault="00477BA9" w:rsidP="00C718B5">
      <w:pPr>
        <w:spacing w:line="240" w:lineRule="auto"/>
      </w:pPr>
      <w:r w:rsidRPr="00477BA9">
        <w:rPr>
          <w:b/>
        </w:rPr>
        <w:t>Methods</w:t>
      </w:r>
      <w:r>
        <w:t xml:space="preserve">: </w:t>
      </w:r>
      <w:r w:rsidR="00DD2339" w:rsidRPr="0057612C">
        <w:t>Sixty community-</w:t>
      </w:r>
      <w:r w:rsidR="0067137C" w:rsidRPr="0057612C">
        <w:t xml:space="preserve">based childcare centres (CBCCs) in rural communities around </w:t>
      </w:r>
      <w:proofErr w:type="spellStart"/>
      <w:r w:rsidR="0067137C" w:rsidRPr="0057612C">
        <w:t>Zomba</w:t>
      </w:r>
      <w:proofErr w:type="spellEnd"/>
      <w:r w:rsidR="0067137C" w:rsidRPr="0057612C">
        <w:t xml:space="preserve"> district, Malawi, were randomised to either 1) a control group where children were attending CBCCs supported by Save the Children’s ECD program; or 2) an intervention group where nutrition and agricultural support activities were provided alongside the routine provision of </w:t>
      </w:r>
      <w:r w:rsidR="00DD2339" w:rsidRPr="0057612C">
        <w:t xml:space="preserve">the </w:t>
      </w:r>
      <w:r w:rsidR="0067137C" w:rsidRPr="0057612C">
        <w:t xml:space="preserve">Save the Children’s ECD program. </w:t>
      </w:r>
      <w:r w:rsidR="00025FBA">
        <w:t>P</w:t>
      </w:r>
      <w:r w:rsidR="00C718B5" w:rsidRPr="0057612C">
        <w:t>rimary</w:t>
      </w:r>
      <w:r w:rsidR="00CB04C1" w:rsidRPr="0057612C">
        <w:t xml:space="preserve"> </w:t>
      </w:r>
      <w:r w:rsidR="0067137C" w:rsidRPr="0057612C">
        <w:t xml:space="preserve">outcomes </w:t>
      </w:r>
      <w:r w:rsidR="00CB04C1" w:rsidRPr="0057612C">
        <w:t xml:space="preserve">at child level </w:t>
      </w:r>
      <w:r w:rsidR="0067137C" w:rsidRPr="0057612C">
        <w:t>include dietary intake (measured through 24-hour recall),</w:t>
      </w:r>
      <w:r w:rsidR="00C718B5" w:rsidRPr="0057612C">
        <w:t xml:space="preserve"> whilst secondary outcomes include</w:t>
      </w:r>
      <w:r w:rsidR="0067137C" w:rsidRPr="0057612C">
        <w:t xml:space="preserve"> child development (Malawi Development Assessment Tool (MDAT)), and nutritional status (</w:t>
      </w:r>
      <w:r w:rsidR="006425B9" w:rsidRPr="0057612C">
        <w:t>anthropometr</w:t>
      </w:r>
      <w:r w:rsidR="00490E9A">
        <w:t>ic measurements</w:t>
      </w:r>
      <w:r w:rsidR="00CB04C1" w:rsidRPr="0057612C">
        <w:t>)</w:t>
      </w:r>
      <w:r w:rsidR="0067137C" w:rsidRPr="0057612C">
        <w:t xml:space="preserve">. </w:t>
      </w:r>
      <w:r w:rsidR="00CB04C1" w:rsidRPr="0057612C">
        <w:t xml:space="preserve">At household level, </w:t>
      </w:r>
      <w:r w:rsidR="00C718B5" w:rsidRPr="0057612C">
        <w:t>primary</w:t>
      </w:r>
      <w:r w:rsidR="00CB04C1" w:rsidRPr="0057612C">
        <w:t xml:space="preserve"> outcomes</w:t>
      </w:r>
      <w:r w:rsidR="0067137C" w:rsidRPr="0057612C">
        <w:t xml:space="preserve"> </w:t>
      </w:r>
      <w:r w:rsidR="00CB04C1" w:rsidRPr="0057612C">
        <w:t>include</w:t>
      </w:r>
      <w:r w:rsidR="0067137C" w:rsidRPr="0057612C">
        <w:t xml:space="preserve"> smallholder farmer production output and crop-mix</w:t>
      </w:r>
      <w:r w:rsidR="00C718B5" w:rsidRPr="0057612C">
        <w:t xml:space="preserve"> (recall of last producti</w:t>
      </w:r>
      <w:r w:rsidR="00025FBA">
        <w:t>on</w:t>
      </w:r>
      <w:r w:rsidR="00C718B5" w:rsidRPr="0057612C">
        <w:t xml:space="preserve"> season)</w:t>
      </w:r>
      <w:r w:rsidR="0067137C" w:rsidRPr="0057612C">
        <w:t xml:space="preserve">. Intermediate outcomes </w:t>
      </w:r>
      <w:r w:rsidR="00C718B5" w:rsidRPr="0057612C">
        <w:t>along theorised</w:t>
      </w:r>
      <w:r w:rsidR="0067137C" w:rsidRPr="0057612C">
        <w:t xml:space="preserve"> agriculture and nutrition pathways</w:t>
      </w:r>
      <w:r w:rsidR="00CB04C1" w:rsidRPr="0057612C">
        <w:t xml:space="preserve"> </w:t>
      </w:r>
      <w:r w:rsidR="00DD2339" w:rsidRPr="0057612C">
        <w:t>were</w:t>
      </w:r>
      <w:r w:rsidR="00CB04C1" w:rsidRPr="0057612C">
        <w:t xml:space="preserve"> measured</w:t>
      </w:r>
      <w:r w:rsidR="0067137C" w:rsidRPr="0057612C">
        <w:t>. During this trial, we will follow a mixed methods approach and undertake</w:t>
      </w:r>
      <w:r w:rsidR="00CB04C1" w:rsidRPr="0057612C">
        <w:t xml:space="preserve"> </w:t>
      </w:r>
      <w:r w:rsidR="0067137C" w:rsidRPr="0057612C">
        <w:t>child-, household-, CBCC- and market-level surveys</w:t>
      </w:r>
      <w:r w:rsidR="00490E9A">
        <w:t xml:space="preserve"> and assessments</w:t>
      </w:r>
      <w:r w:rsidR="0067137C" w:rsidRPr="0057612C">
        <w:t xml:space="preserve"> as well as </w:t>
      </w:r>
      <w:r w:rsidR="00C718B5" w:rsidRPr="0057612C">
        <w:t xml:space="preserve">in-depth interviews and </w:t>
      </w:r>
      <w:r w:rsidR="0067137C" w:rsidRPr="0057612C">
        <w:t xml:space="preserve">focus group discussions with project stakeholders. </w:t>
      </w:r>
    </w:p>
    <w:p w14:paraId="39EBCE2B" w14:textId="4487A8BE" w:rsidR="001E64B7" w:rsidRPr="0057612C" w:rsidRDefault="00541F33" w:rsidP="00CB04C1">
      <w:pPr>
        <w:spacing w:line="240" w:lineRule="auto"/>
      </w:pPr>
      <w:r>
        <w:rPr>
          <w:b/>
        </w:rPr>
        <w:t>Discussion</w:t>
      </w:r>
      <w:r w:rsidR="00477BA9">
        <w:t xml:space="preserve">: </w:t>
      </w:r>
      <w:r w:rsidR="00F322B6" w:rsidRPr="0057612C">
        <w:t>Assessing the simultaneous impact of pre-school meals on diets, nutrition, child development and agriculture is a complex undertaking. This study is the first to explicitly examine from a food systems perspective</w:t>
      </w:r>
      <w:r w:rsidR="00490E9A">
        <w:t>,</w:t>
      </w:r>
      <w:r w:rsidR="00F322B6" w:rsidRPr="0057612C">
        <w:t xml:space="preserve"> the impact of a pre-school meals programme on dietary choices, alongside outcomes in nutrition, child development and agriculture domains.</w:t>
      </w:r>
      <w:r w:rsidR="0027587C" w:rsidRPr="0057612C">
        <w:t xml:space="preserve"> </w:t>
      </w:r>
      <w:r w:rsidR="00F322B6" w:rsidRPr="0057612C">
        <w:t>The findings of this evaluation will provide evidence to support policymakers in the scale-up of national programme</w:t>
      </w:r>
      <w:r w:rsidR="001A0340" w:rsidRPr="0057612C">
        <w:t>s</w:t>
      </w:r>
      <w:r w:rsidR="00F322B6" w:rsidRPr="0057612C">
        <w:t>.</w:t>
      </w:r>
    </w:p>
    <w:p w14:paraId="1C3EF1E5" w14:textId="77777777" w:rsidR="00A96541" w:rsidRDefault="00A96541" w:rsidP="009B64BA">
      <w:pPr>
        <w:rPr>
          <w:rFonts w:cstheme="minorHAnsi"/>
        </w:rPr>
      </w:pPr>
      <w:r>
        <w:rPr>
          <w:rFonts w:cstheme="minorHAnsi"/>
          <w:b/>
        </w:rPr>
        <w:t>Trial</w:t>
      </w:r>
      <w:r w:rsidR="001E64B7" w:rsidRPr="0057612C">
        <w:rPr>
          <w:rFonts w:cstheme="minorHAnsi"/>
          <w:b/>
        </w:rPr>
        <w:t xml:space="preserve"> registration</w:t>
      </w:r>
      <w:r w:rsidR="001E64B7" w:rsidRPr="0057612C">
        <w:rPr>
          <w:rFonts w:cstheme="minorHAnsi"/>
        </w:rPr>
        <w:t xml:space="preserve">: </w:t>
      </w:r>
      <w:r>
        <w:t>ISRCTN96497560</w:t>
      </w:r>
      <w:r>
        <w:rPr>
          <w:rFonts w:cstheme="minorHAnsi"/>
        </w:rPr>
        <w:t>, approved 21/9</w:t>
      </w:r>
      <w:r w:rsidR="00025FBA">
        <w:rPr>
          <w:rFonts w:cstheme="minorHAnsi"/>
        </w:rPr>
        <w:t>/16.</w:t>
      </w:r>
    </w:p>
    <w:p w14:paraId="6B5BD115" w14:textId="77777777" w:rsidR="00A96541" w:rsidRPr="0057612C" w:rsidRDefault="00A96541" w:rsidP="00A96541">
      <w:pPr>
        <w:jc w:val="left"/>
        <w:rPr>
          <w:rFonts w:cstheme="minorHAnsi"/>
        </w:rPr>
      </w:pPr>
      <w:r w:rsidRPr="0057612C">
        <w:rPr>
          <w:rFonts w:cstheme="minorHAnsi"/>
          <w:b/>
        </w:rPr>
        <w:t>Keywords</w:t>
      </w:r>
      <w:r w:rsidRPr="0057612C">
        <w:rPr>
          <w:rFonts w:cstheme="minorHAnsi"/>
        </w:rPr>
        <w:t>: Pre-school feeding, impact evaluation, nutrition, agriculture, child development.</w:t>
      </w:r>
    </w:p>
    <w:p w14:paraId="116969E9" w14:textId="35D2999C" w:rsidR="00DF4595" w:rsidRPr="0057612C" w:rsidRDefault="003E762C" w:rsidP="009B64BA">
      <w:pPr>
        <w:rPr>
          <w:rFonts w:cs="Times New Roman"/>
        </w:rPr>
      </w:pPr>
      <w:r w:rsidRPr="0057612C">
        <w:rPr>
          <w:rFonts w:cs="Times New Roman"/>
        </w:rPr>
        <w:br w:type="page"/>
      </w:r>
    </w:p>
    <w:p w14:paraId="1410D781" w14:textId="77777777" w:rsidR="003E762C" w:rsidRPr="0057612C" w:rsidRDefault="003E762C" w:rsidP="003E762C">
      <w:pPr>
        <w:pStyle w:val="Heading1"/>
        <w:rPr>
          <w:rFonts w:asciiTheme="minorHAnsi" w:hAnsiTheme="minorHAnsi" w:cs="Times New Roman"/>
        </w:rPr>
      </w:pPr>
      <w:bookmarkStart w:id="0" w:name="_Toc447729024"/>
      <w:r w:rsidRPr="0057612C">
        <w:rPr>
          <w:rFonts w:asciiTheme="minorHAnsi" w:hAnsiTheme="minorHAnsi" w:cs="Times New Roman"/>
        </w:rPr>
        <w:lastRenderedPageBreak/>
        <w:t>Introduction</w:t>
      </w:r>
      <w:bookmarkEnd w:id="0"/>
    </w:p>
    <w:p w14:paraId="65282AC1" w14:textId="77777777" w:rsidR="00BF457F" w:rsidRPr="0057612C" w:rsidRDefault="00BF457F" w:rsidP="00CF2509">
      <w:r w:rsidRPr="0057612C">
        <w:t xml:space="preserve">The </w:t>
      </w:r>
      <w:r w:rsidR="00671173" w:rsidRPr="0057612C">
        <w:t>2013</w:t>
      </w:r>
      <w:r w:rsidRPr="0057612C">
        <w:t xml:space="preserve"> Lancet Series on Maternal and Child Nutrition estimated that the aggregate global </w:t>
      </w:r>
      <w:r w:rsidR="00E35902" w:rsidRPr="0057612C">
        <w:t>burden of under nutrition causes</w:t>
      </w:r>
      <w:r w:rsidRPr="0057612C">
        <w:t xml:space="preserve"> over 3 million child deaths per year</w:t>
      </w:r>
      <w:r w:rsidR="00E35902" w:rsidRPr="0057612C">
        <w:t>. S</w:t>
      </w:r>
      <w:r w:rsidRPr="0057612C">
        <w:t xml:space="preserve">tunting prevalence in children under 5 </w:t>
      </w:r>
      <w:r w:rsidR="00E35902" w:rsidRPr="0057612C">
        <w:t>also affects</w:t>
      </w:r>
      <w:r w:rsidRPr="0057612C">
        <w:t xml:space="preserve"> at least 165 million children </w:t>
      </w:r>
      <w:r w:rsidR="00834E0E" w:rsidRPr="0057612C">
        <w:t>[</w:t>
      </w:r>
      <w:r w:rsidR="00B45A3E" w:rsidRPr="0057612C">
        <w:t>1</w:t>
      </w:r>
      <w:r w:rsidR="00834E0E" w:rsidRPr="0057612C">
        <w:t>]</w:t>
      </w:r>
      <w:r w:rsidRPr="0057612C">
        <w:t xml:space="preserve">. Recent reviews of the contribution of agriculture in improving nutrition </w:t>
      </w:r>
      <w:r w:rsidR="00834E0E" w:rsidRPr="0057612C">
        <w:t>[</w:t>
      </w:r>
      <w:r w:rsidR="00B45A3E" w:rsidRPr="0057612C">
        <w:t>2</w:t>
      </w:r>
      <w:r w:rsidRPr="0057612C">
        <w:t xml:space="preserve">; </w:t>
      </w:r>
      <w:r w:rsidR="00B45A3E" w:rsidRPr="0057612C">
        <w:t>3</w:t>
      </w:r>
      <w:r w:rsidR="00834E0E" w:rsidRPr="0057612C">
        <w:t>]</w:t>
      </w:r>
      <w:r w:rsidRPr="0057612C">
        <w:t>, conclude that although agricultural programs have immense potential to improve nutrition, this potential is yet to be unleashed. Current evidence suggests that limitations in the design, targeting and implementation of agriculture interventions, as well as th</w:t>
      </w:r>
      <w:r w:rsidR="00E35902" w:rsidRPr="0057612C">
        <w:t xml:space="preserve">eir lack of clarity in </w:t>
      </w:r>
      <w:r w:rsidRPr="0057612C">
        <w:t xml:space="preserve">nutrition goals and </w:t>
      </w:r>
      <w:r w:rsidR="00E35902" w:rsidRPr="0057612C">
        <w:t xml:space="preserve">the exact </w:t>
      </w:r>
      <w:r w:rsidRPr="0057612C">
        <w:t xml:space="preserve">interventions </w:t>
      </w:r>
      <w:r w:rsidR="00E35902" w:rsidRPr="0057612C">
        <w:t xml:space="preserve">which are being provided are partly responsible for this weak evidence base </w:t>
      </w:r>
      <w:r w:rsidR="00834E0E" w:rsidRPr="0057612C">
        <w:t>[</w:t>
      </w:r>
      <w:r w:rsidR="00B45A3E" w:rsidRPr="0057612C">
        <w:t>3</w:t>
      </w:r>
      <w:r w:rsidR="00834E0E" w:rsidRPr="0057612C">
        <w:t>]</w:t>
      </w:r>
      <w:r w:rsidRPr="0057612C">
        <w:t xml:space="preserve">. </w:t>
      </w:r>
    </w:p>
    <w:p w14:paraId="50FD2579" w14:textId="77777777" w:rsidR="00BF457F" w:rsidRPr="0057612C" w:rsidRDefault="00BF457F" w:rsidP="00CF2509">
      <w:r w:rsidRPr="0057612C">
        <w:t xml:space="preserve">Early childhood </w:t>
      </w:r>
      <w:r w:rsidR="00E35902" w:rsidRPr="0057612C">
        <w:t xml:space="preserve">health and </w:t>
      </w:r>
      <w:r w:rsidRPr="0057612C">
        <w:t>development (ECD) programmes are designed to improve young children’s survival, growth and development</w:t>
      </w:r>
      <w:r w:rsidR="00E35902" w:rsidRPr="0057612C">
        <w:t>. They</w:t>
      </w:r>
      <w:r w:rsidRPr="0057612C">
        <w:t xml:space="preserve"> are considered the most cost-effective form of human capital investment </w:t>
      </w:r>
      <w:r w:rsidR="00E35902" w:rsidRPr="0057612C">
        <w:t xml:space="preserve">when </w:t>
      </w:r>
      <w:r w:rsidRPr="0057612C">
        <w:t xml:space="preserve">compared to any subsequent schooling interventions </w:t>
      </w:r>
      <w:r w:rsidR="00834E0E" w:rsidRPr="0057612C">
        <w:t>[</w:t>
      </w:r>
      <w:r w:rsidR="00B45A3E" w:rsidRPr="0057612C">
        <w:t>4</w:t>
      </w:r>
      <w:r w:rsidR="00834E0E" w:rsidRPr="0057612C">
        <w:t>]</w:t>
      </w:r>
      <w:r w:rsidRPr="0057612C">
        <w:t xml:space="preserve">. ECD investments can increase the efficiency of ongoing public spending in education, </w:t>
      </w:r>
      <w:r w:rsidR="00E35902" w:rsidRPr="0057612C">
        <w:t xml:space="preserve">in turn </w:t>
      </w:r>
      <w:r w:rsidRPr="0057612C">
        <w:t xml:space="preserve">improving the overall allocation of public resources </w:t>
      </w:r>
      <w:r w:rsidR="00834E0E" w:rsidRPr="0057612C">
        <w:t>[</w:t>
      </w:r>
      <w:r w:rsidR="00B45A3E" w:rsidRPr="0057612C">
        <w:t>5</w:t>
      </w:r>
      <w:r w:rsidR="00834E0E" w:rsidRPr="0057612C">
        <w:t>]</w:t>
      </w:r>
      <w:r w:rsidRPr="0057612C">
        <w:t xml:space="preserve">. </w:t>
      </w:r>
      <w:r w:rsidR="00E35902" w:rsidRPr="0057612C">
        <w:t xml:space="preserve">A recent review of ECD programmes which included both efficacy trials and programme evaluations, has demonstrated how improving diets of pregnant women and young children can prevent stunting and result in enhanced cognitive and motor development of children </w:t>
      </w:r>
      <w:r w:rsidR="00834E0E" w:rsidRPr="0057612C">
        <w:t>[</w:t>
      </w:r>
      <w:r w:rsidR="00B45A3E" w:rsidRPr="0057612C">
        <w:t>6</w:t>
      </w:r>
      <w:r w:rsidR="00B436B7">
        <w:t>, 7</w:t>
      </w:r>
      <w:r w:rsidR="00834E0E" w:rsidRPr="0057612C">
        <w:t>]</w:t>
      </w:r>
      <w:r w:rsidRPr="0057612C">
        <w:t xml:space="preserve">. The most effective programmes provided activities targeted to younger and disadvantaged children that were integrated with health and nutrition services. Providing services to children directly and involving parents in practice and skill building sessions were more effective strategies than providing information alone. </w:t>
      </w:r>
      <w:r w:rsidR="00E35902" w:rsidRPr="0057612C">
        <w:t>Further evidence shows</w:t>
      </w:r>
      <w:r w:rsidRPr="0057612C">
        <w:t xml:space="preserve"> that the quality </w:t>
      </w:r>
      <w:r w:rsidR="00E35902" w:rsidRPr="0057612C">
        <w:t xml:space="preserve">of the child’s </w:t>
      </w:r>
      <w:r w:rsidRPr="0057612C">
        <w:t>learning environment</w:t>
      </w:r>
      <w:r w:rsidR="00E35902" w:rsidRPr="0057612C">
        <w:t>s</w:t>
      </w:r>
      <w:r w:rsidRPr="0057612C">
        <w:t xml:space="preserve">, including </w:t>
      </w:r>
      <w:r w:rsidR="003D3763" w:rsidRPr="0057612C">
        <w:t>in the home and in</w:t>
      </w:r>
      <w:r w:rsidRPr="0057612C">
        <w:t xml:space="preserve"> preschools</w:t>
      </w:r>
      <w:r w:rsidR="003D3763" w:rsidRPr="0057612C">
        <w:t>,</w:t>
      </w:r>
      <w:r w:rsidRPr="0057612C">
        <w:t xml:space="preserve"> has a strong impact on child development. The potential </w:t>
      </w:r>
      <w:r w:rsidR="003D3763" w:rsidRPr="0057612C">
        <w:t xml:space="preserve">for </w:t>
      </w:r>
      <w:r w:rsidRPr="0057612C">
        <w:t xml:space="preserve">additive and synergistic effects </w:t>
      </w:r>
      <w:r w:rsidR="00E35902" w:rsidRPr="0057612C">
        <w:t xml:space="preserve">of </w:t>
      </w:r>
      <w:r w:rsidRPr="0057612C">
        <w:t xml:space="preserve">combining ECD, and nutrition, and agriculture and nutrition </w:t>
      </w:r>
      <w:r w:rsidR="003D3763" w:rsidRPr="0057612C">
        <w:t xml:space="preserve">is clear </w:t>
      </w:r>
      <w:r w:rsidR="00834E0E" w:rsidRPr="0057612C">
        <w:t>[</w:t>
      </w:r>
      <w:r w:rsidR="00B45A3E" w:rsidRPr="0057612C">
        <w:t>1</w:t>
      </w:r>
      <w:r w:rsidR="00834E0E" w:rsidRPr="0057612C">
        <w:t>]</w:t>
      </w:r>
      <w:r w:rsidRPr="0057612C">
        <w:t xml:space="preserve">. Combining these </w:t>
      </w:r>
      <w:r w:rsidR="006E1652" w:rsidRPr="0057612C">
        <w:t xml:space="preserve">three </w:t>
      </w:r>
      <w:r w:rsidR="003D3763" w:rsidRPr="0057612C">
        <w:t>sectors may</w:t>
      </w:r>
      <w:r w:rsidRPr="0057612C">
        <w:t xml:space="preserve"> lead to substantial gains in cost, efficiency, and effectiveness but </w:t>
      </w:r>
      <w:proofErr w:type="gramStart"/>
      <w:r w:rsidRPr="0057612C">
        <w:t>these need</w:t>
      </w:r>
      <w:proofErr w:type="gramEnd"/>
      <w:r w:rsidRPr="0057612C">
        <w:t xml:space="preserve"> to be rigorously evaluated.</w:t>
      </w:r>
    </w:p>
    <w:p w14:paraId="1A937A5C" w14:textId="77777777" w:rsidR="00756623" w:rsidRPr="0057612C" w:rsidRDefault="002F5DFB" w:rsidP="00CF2509">
      <w:r w:rsidRPr="0057612C">
        <w:t xml:space="preserve">The Nutrition Embedded Evaluation Program Impact Evaluation (NEEP-IE) study </w:t>
      </w:r>
      <w:r w:rsidR="00B22913" w:rsidRPr="0057612C">
        <w:t>is designed</w:t>
      </w:r>
      <w:r w:rsidR="00AC7024" w:rsidRPr="0057612C">
        <w:t xml:space="preserve"> to evaluate the impact of an integrated package of nutrition and agriculture interventions (including improved nutritious food production and </w:t>
      </w:r>
      <w:r w:rsidR="00A305ED" w:rsidRPr="0057612C">
        <w:t>behaviour</w:t>
      </w:r>
      <w:r w:rsidR="00AC7024" w:rsidRPr="0057612C">
        <w:t xml:space="preserve"> change communication related to food intake, care and hygiene practices) on </w:t>
      </w:r>
      <w:r w:rsidR="002E7428" w:rsidRPr="0057612C">
        <w:t>the diets,</w:t>
      </w:r>
      <w:r w:rsidR="00AC7024" w:rsidRPr="0057612C">
        <w:t xml:space="preserve"> </w:t>
      </w:r>
      <w:r w:rsidR="002E7428" w:rsidRPr="0057612C">
        <w:t xml:space="preserve">nutrition </w:t>
      </w:r>
      <w:r w:rsidR="00AC7024" w:rsidRPr="0057612C">
        <w:t xml:space="preserve">and </w:t>
      </w:r>
      <w:r w:rsidR="002E7428" w:rsidRPr="0057612C">
        <w:t xml:space="preserve">development </w:t>
      </w:r>
      <w:r w:rsidR="00AC7024" w:rsidRPr="0057612C">
        <w:t>of young children and their households in rural areas of Malawi.</w:t>
      </w:r>
      <w:r w:rsidR="00756623" w:rsidRPr="0057612C">
        <w:t xml:space="preserve"> </w:t>
      </w:r>
    </w:p>
    <w:p w14:paraId="26C9E860" w14:textId="26270804" w:rsidR="00B22913" w:rsidRPr="0057612C" w:rsidRDefault="00B22913" w:rsidP="00CF2509">
      <w:r w:rsidRPr="0057612C">
        <w:t xml:space="preserve">This </w:t>
      </w:r>
      <w:r w:rsidR="009B64BA" w:rsidRPr="0057612C">
        <w:t>paper</w:t>
      </w:r>
      <w:r w:rsidRPr="0057612C">
        <w:t xml:space="preserve"> </w:t>
      </w:r>
      <w:r w:rsidR="002E7428" w:rsidRPr="0057612C">
        <w:t>presents</w:t>
      </w:r>
      <w:r w:rsidR="00541F33">
        <w:t xml:space="preserve"> the rationale and study</w:t>
      </w:r>
      <w:r w:rsidR="00756623" w:rsidRPr="0057612C">
        <w:t xml:space="preserve"> design for </w:t>
      </w:r>
      <w:r w:rsidR="002E7428" w:rsidRPr="0057612C">
        <w:t>this randomised trial</w:t>
      </w:r>
      <w:r w:rsidR="00756623" w:rsidRPr="0057612C">
        <w:t>.</w:t>
      </w:r>
      <w:r w:rsidR="0096516D" w:rsidRPr="0057612C">
        <w:t xml:space="preserve"> </w:t>
      </w:r>
    </w:p>
    <w:p w14:paraId="2AE47342" w14:textId="772DA526" w:rsidR="00BF457F" w:rsidRPr="0057612C" w:rsidRDefault="00BF457F" w:rsidP="00BF457F">
      <w:pPr>
        <w:pStyle w:val="Heading2"/>
        <w:rPr>
          <w:rFonts w:cs="Times New Roman"/>
        </w:rPr>
      </w:pPr>
      <w:bookmarkStart w:id="1" w:name="_Toc447729025"/>
      <w:r w:rsidRPr="0057612C">
        <w:rPr>
          <w:rFonts w:cs="Times New Roman"/>
        </w:rPr>
        <w:t>C</w:t>
      </w:r>
      <w:r w:rsidR="009B64BA" w:rsidRPr="0057612C">
        <w:rPr>
          <w:rFonts w:cs="Times New Roman"/>
        </w:rPr>
        <w:t>ountry c</w:t>
      </w:r>
      <w:r w:rsidRPr="0057612C">
        <w:rPr>
          <w:rFonts w:cs="Times New Roman"/>
        </w:rPr>
        <w:t>ontext</w:t>
      </w:r>
      <w:bookmarkEnd w:id="1"/>
    </w:p>
    <w:p w14:paraId="1926704A" w14:textId="77777777" w:rsidR="00BF457F" w:rsidRPr="0057612C" w:rsidRDefault="00BF457F" w:rsidP="00CF2509">
      <w:r w:rsidRPr="0057612C">
        <w:t xml:space="preserve">Malawi ranks </w:t>
      </w:r>
      <w:r w:rsidR="00726E18" w:rsidRPr="0057612C">
        <w:t>73rd</w:t>
      </w:r>
      <w:r w:rsidRPr="0057612C">
        <w:t xml:space="preserve"> out of </w:t>
      </w:r>
      <w:r w:rsidR="00726E18" w:rsidRPr="0057612C">
        <w:t>104</w:t>
      </w:r>
      <w:r w:rsidRPr="0057612C">
        <w:t xml:space="preserve"> countries on the Global Hunger Index </w:t>
      </w:r>
      <w:r w:rsidR="00834E0E" w:rsidRPr="0057612C">
        <w:t>[</w:t>
      </w:r>
      <w:r w:rsidR="00B436B7">
        <w:t>8</w:t>
      </w:r>
      <w:r w:rsidR="00834E0E" w:rsidRPr="0057612C">
        <w:t>]</w:t>
      </w:r>
      <w:r w:rsidRPr="0057612C">
        <w:t xml:space="preserve"> and has one of the highest rates of chronic malnutrition in the world with </w:t>
      </w:r>
      <w:r w:rsidR="007C0A16" w:rsidRPr="0057612C">
        <w:t>3</w:t>
      </w:r>
      <w:r w:rsidRPr="0057612C">
        <w:t xml:space="preserve">7 percent of children aged 6-59 months moderately or severely stunted </w:t>
      </w:r>
      <w:r w:rsidR="00834E0E" w:rsidRPr="0057612C">
        <w:t>[</w:t>
      </w:r>
      <w:r w:rsidR="00B436B7">
        <w:t>9</w:t>
      </w:r>
      <w:r w:rsidR="00834E0E" w:rsidRPr="0057612C">
        <w:t>]</w:t>
      </w:r>
      <w:r w:rsidRPr="0057612C">
        <w:t>. It is also one of the most committed countries to improving nutrition, ranking 3rd on the Hunger and Nut</w:t>
      </w:r>
      <w:r w:rsidR="002E7428" w:rsidRPr="0057612C">
        <w:t>rition Commitment Index (HANCI).</w:t>
      </w:r>
      <w:r w:rsidRPr="0057612C">
        <w:t xml:space="preserve"> In March 2011, the Malawi government joined the Scaling Up Nutrition (SUN) Movement promoting a multi-sectoral ap</w:t>
      </w:r>
      <w:r w:rsidR="002E7428" w:rsidRPr="0057612C">
        <w:t xml:space="preserve">proach to tackling malnutrition. Malawi </w:t>
      </w:r>
      <w:r w:rsidRPr="0057612C">
        <w:t>is one of the few countries that meet the African Union’s Maputo Declaration, to spend over 10% of pu</w:t>
      </w:r>
      <w:r w:rsidR="002E7428" w:rsidRPr="0057612C">
        <w:t>blic expenditure on agriculture. A</w:t>
      </w:r>
      <w:r w:rsidRPr="0057612C">
        <w:t>n intersectoral coordinating body (National Nutrition Committee) was set up to support cros</w:t>
      </w:r>
      <w:r w:rsidR="002E7428" w:rsidRPr="0057612C">
        <w:t>s sectoral integration and the Department of N</w:t>
      </w:r>
      <w:r w:rsidRPr="0057612C">
        <w:t xml:space="preserve">utrition has been placed in the Office of the President and Cabinet to highlight the government’s commitment to nutrition. </w:t>
      </w:r>
    </w:p>
    <w:p w14:paraId="72AE7B08" w14:textId="77777777" w:rsidR="00BF457F" w:rsidRPr="0057612C" w:rsidRDefault="00BF457F" w:rsidP="00CF2509">
      <w:r w:rsidRPr="0057612C">
        <w:lastRenderedPageBreak/>
        <w:t xml:space="preserve">The national </w:t>
      </w:r>
      <w:r w:rsidR="00A16C9A" w:rsidRPr="0057612C">
        <w:t>ECD</w:t>
      </w:r>
      <w:r w:rsidRPr="0057612C">
        <w:t xml:space="preserve"> program, led by the Ministry of Gender, Children and Social Welfare (</w:t>
      </w:r>
      <w:proofErr w:type="spellStart"/>
      <w:r w:rsidRPr="0057612C">
        <w:t>MoGCS</w:t>
      </w:r>
      <w:r w:rsidR="00A16C9A" w:rsidRPr="0057612C">
        <w:t>W</w:t>
      </w:r>
      <w:proofErr w:type="spellEnd"/>
      <w:r w:rsidRPr="0057612C">
        <w:t>) targets all children aged 0-8</w:t>
      </w:r>
      <w:r w:rsidR="00A16C9A" w:rsidRPr="0057612C">
        <w:t xml:space="preserve"> </w:t>
      </w:r>
      <w:r w:rsidRPr="0057612C">
        <w:t xml:space="preserve">years. </w:t>
      </w:r>
      <w:r w:rsidR="002E7428" w:rsidRPr="0057612C">
        <w:t>P</w:t>
      </w:r>
      <w:r w:rsidRPr="0057612C">
        <w:t xml:space="preserve">reschools </w:t>
      </w:r>
      <w:r w:rsidR="002E7428" w:rsidRPr="0057612C">
        <w:t>(</w:t>
      </w:r>
      <w:r w:rsidRPr="0057612C">
        <w:t xml:space="preserve">known as Community-Based Childcare </w:t>
      </w:r>
      <w:proofErr w:type="spellStart"/>
      <w:r w:rsidRPr="0057612C">
        <w:t>Centers</w:t>
      </w:r>
      <w:proofErr w:type="spellEnd"/>
      <w:r w:rsidRPr="0057612C">
        <w:t xml:space="preserve"> (CBCCs)</w:t>
      </w:r>
      <w:r w:rsidR="002E7428" w:rsidRPr="0057612C">
        <w:t>)</w:t>
      </w:r>
      <w:r w:rsidRPr="0057612C">
        <w:t xml:space="preserve"> and parenting groups are the two main components of the </w:t>
      </w:r>
      <w:r w:rsidR="002E7428" w:rsidRPr="0057612C">
        <w:t xml:space="preserve">Government </w:t>
      </w:r>
      <w:r w:rsidRPr="0057612C">
        <w:t xml:space="preserve">ECD program. CBCCs are community-initiated and community-owned childcare </w:t>
      </w:r>
      <w:r w:rsidR="0057612C" w:rsidRPr="0057612C">
        <w:t>centres</w:t>
      </w:r>
      <w:r w:rsidRPr="0057612C">
        <w:t xml:space="preserve">, which aim to promote holistic child development by providing safe, stimulating environments, access to health and nutrition services, and </w:t>
      </w:r>
      <w:r w:rsidR="002E7428" w:rsidRPr="0057612C">
        <w:t>training</w:t>
      </w:r>
      <w:r w:rsidR="00AC7024" w:rsidRPr="0057612C">
        <w:t xml:space="preserve"> for parents and caregivers.</w:t>
      </w:r>
      <w:r w:rsidRPr="0057612C">
        <w:t xml:space="preserve"> Today, there are an estimated 9,000 CBCCs across Malawi, serving 32 percent of all 3-5 year olds in the country. Parenting groups are typically linked to the CBCC and aim to reach parents of children aged 0-8 years, as well as parents to be (newly married and pregnant women)</w:t>
      </w:r>
      <w:r w:rsidR="00334A3B" w:rsidRPr="0057612C">
        <w:rPr>
          <w:rStyle w:val="FootnoteReference"/>
        </w:rPr>
        <w:footnoteReference w:id="1"/>
      </w:r>
      <w:r w:rsidR="00334A3B" w:rsidRPr="0057612C">
        <w:t>.</w:t>
      </w:r>
    </w:p>
    <w:p w14:paraId="2AB2CBEE" w14:textId="77777777" w:rsidR="00BF457F" w:rsidRPr="0057612C" w:rsidRDefault="00BF457F" w:rsidP="00CF2509">
      <w:r w:rsidRPr="0057612C">
        <w:t>One of the main challenges fa</w:t>
      </w:r>
      <w:r w:rsidR="00A16C9A" w:rsidRPr="0057612C">
        <w:t>cing CBCCs is lack of food (mid-</w:t>
      </w:r>
      <w:r w:rsidRPr="0057612C">
        <w:t>morning porridge)</w:t>
      </w:r>
      <w:r w:rsidR="00B436B7">
        <w:t xml:space="preserve"> [10</w:t>
      </w:r>
      <w:r w:rsidR="002E7428" w:rsidRPr="0057612C">
        <w:t>]</w:t>
      </w:r>
      <w:r w:rsidRPr="0057612C">
        <w:t>. The absence of food at the CBCCs is one of the main causes of child absenteeism and CBCC closure an</w:t>
      </w:r>
      <w:r w:rsidR="00AC7024" w:rsidRPr="0057612C">
        <w:t xml:space="preserve">d the </w:t>
      </w:r>
      <w:proofErr w:type="spellStart"/>
      <w:r w:rsidR="00AC7024" w:rsidRPr="0057612C">
        <w:t>MoGSW</w:t>
      </w:r>
      <w:proofErr w:type="spellEnd"/>
      <w:r w:rsidR="00AC7024" w:rsidRPr="0057612C">
        <w:t xml:space="preserve"> is looking for cost-</w:t>
      </w:r>
      <w:r w:rsidRPr="0057612C">
        <w:t>effective ways to address the food gap in CBCCs. In the past two years, Save the Children, driven by demand from the CBCC communities it supports, began integrating nutrition, agriculture and livelihood components into its ECD program</w:t>
      </w:r>
      <w:r w:rsidR="003A7501" w:rsidRPr="0057612C">
        <w:t>. The goal is</w:t>
      </w:r>
      <w:r w:rsidRPr="0057612C">
        <w:t xml:space="preserve"> to help communities provide nutritious food to CBCCs all year </w:t>
      </w:r>
      <w:proofErr w:type="gramStart"/>
      <w:r w:rsidRPr="0057612C">
        <w:t>round</w:t>
      </w:r>
      <w:proofErr w:type="gramEnd"/>
      <w:r w:rsidRPr="0057612C">
        <w:t xml:space="preserve"> and improve food security and child nutrition at household level at the same time. The program draws </w:t>
      </w:r>
      <w:r w:rsidR="003A7501" w:rsidRPr="0057612C">
        <w:t xml:space="preserve">learnings </w:t>
      </w:r>
      <w:r w:rsidRPr="0057612C">
        <w:t xml:space="preserve">from the USAID funded Wellness &amp; Agriculture for Life Advancement (WALA) project implemented across two districts for five years and the Conrad N Hilton Foundation funded “Improving CBCC meals” project implemented in over 200 CBCCs across 4 districts.  Anecdotal evidence from the 68 communities currently benefiting from the integrated nutrition, agriculture/livelihood and ECD package suggests that CBCCs, CBCC gardens and parenting groups provide a very effective and yet untested platform for improving agricultural production, food security, child nutrition and caregiving practices at household level.  As Save the Children scales up this integrated package to CBCCs </w:t>
      </w:r>
      <w:r w:rsidR="003A7501" w:rsidRPr="0057612C">
        <w:t>currently supported</w:t>
      </w:r>
      <w:r w:rsidRPr="0057612C">
        <w:t xml:space="preserve"> in </w:t>
      </w:r>
      <w:proofErr w:type="spellStart"/>
      <w:r w:rsidRPr="0057612C">
        <w:t>Zomba</w:t>
      </w:r>
      <w:proofErr w:type="spellEnd"/>
      <w:r w:rsidRPr="0057612C">
        <w:t xml:space="preserve"> district, the </w:t>
      </w:r>
      <w:r w:rsidR="00AC7024" w:rsidRPr="0057612C">
        <w:t>impact</w:t>
      </w:r>
      <w:r w:rsidRPr="0057612C">
        <w:t xml:space="preserve"> evaluation will assess the feasibility, cost effectiveness and impact on indicators relevant to each sector (nutrition, agriculture and ECD).</w:t>
      </w:r>
    </w:p>
    <w:p w14:paraId="28464433" w14:textId="77777777" w:rsidR="00BF457F" w:rsidRPr="0057612C" w:rsidRDefault="00BF457F" w:rsidP="00BF457F">
      <w:r w:rsidRPr="0057612C">
        <w:t xml:space="preserve">The Government of Malawi also recognises the need for multi-sectoral programming, particularly relating to nutrition </w:t>
      </w:r>
      <w:r w:rsidR="00834E0E" w:rsidRPr="0057612C">
        <w:t>[</w:t>
      </w:r>
      <w:r w:rsidR="00B436B7">
        <w:t>11</w:t>
      </w:r>
      <w:r w:rsidR="00834E0E" w:rsidRPr="0057612C">
        <w:t>]</w:t>
      </w:r>
      <w:r w:rsidRPr="0057612C">
        <w:t xml:space="preserve"> and is looking for evidence- based models to guide their national policies and strategies. The proposed intervention supports </w:t>
      </w:r>
      <w:proofErr w:type="gramStart"/>
      <w:r w:rsidRPr="0057612C">
        <w:t>a number of</w:t>
      </w:r>
      <w:proofErr w:type="gramEnd"/>
      <w:r w:rsidRPr="0057612C">
        <w:t xml:space="preserve"> Malawi’s national targets, most importantly those for nutrition, food security, education and child development and brings together three sectors at community level to implement a </w:t>
      </w:r>
      <w:proofErr w:type="spellStart"/>
      <w:r w:rsidRPr="0057612C">
        <w:t>multisectoral</w:t>
      </w:r>
      <w:proofErr w:type="spellEnd"/>
      <w:r w:rsidRPr="0057612C">
        <w:t>, integrated, synergistic package adapted to the Malawian context.</w:t>
      </w:r>
    </w:p>
    <w:p w14:paraId="2AB33118" w14:textId="77777777" w:rsidR="006E1652" w:rsidRPr="0057612C" w:rsidRDefault="006E1652" w:rsidP="006E1652">
      <w:pPr>
        <w:pStyle w:val="Heading2"/>
        <w:rPr>
          <w:rFonts w:cs="Times New Roman"/>
        </w:rPr>
      </w:pPr>
      <w:r w:rsidRPr="0057612C">
        <w:rPr>
          <w:rFonts w:cs="Times New Roman"/>
        </w:rPr>
        <w:t>The standard ECD package</w:t>
      </w:r>
    </w:p>
    <w:p w14:paraId="376F3405" w14:textId="77777777" w:rsidR="006E1652" w:rsidRPr="0057612C" w:rsidRDefault="006E1652" w:rsidP="006E1652">
      <w:pPr>
        <w:spacing w:after="0"/>
        <w:jc w:val="left"/>
      </w:pPr>
      <w:r w:rsidRPr="0057612C">
        <w:t>The standard package provided to Save the Children supported communities includes the following activities. For the CBCC activities:</w:t>
      </w:r>
    </w:p>
    <w:p w14:paraId="402B768A" w14:textId="77777777" w:rsidR="006E1652" w:rsidRPr="0057612C" w:rsidRDefault="006E1652" w:rsidP="001A1B00">
      <w:pPr>
        <w:pStyle w:val="ListParagraph"/>
        <w:numPr>
          <w:ilvl w:val="0"/>
          <w:numId w:val="3"/>
        </w:numPr>
      </w:pPr>
      <w:r w:rsidRPr="0057612C">
        <w:t xml:space="preserve">CBCC caregivers receive a two-week training, provided by government- approved trainers, using standard government approved training manual when they start. They receive </w:t>
      </w:r>
      <w:proofErr w:type="gramStart"/>
      <w:r w:rsidRPr="0057612C">
        <w:t>5 day</w:t>
      </w:r>
      <w:proofErr w:type="gramEnd"/>
      <w:r w:rsidRPr="0057612C">
        <w:t xml:space="preserve"> refresher trainings annually and they are mentored by one visit/ month by ECD facilitators.</w:t>
      </w:r>
    </w:p>
    <w:p w14:paraId="5E6F53FD" w14:textId="77777777" w:rsidR="006E1652" w:rsidRPr="0057612C" w:rsidRDefault="006E1652" w:rsidP="001A1B00">
      <w:pPr>
        <w:pStyle w:val="ListParagraph"/>
        <w:numPr>
          <w:ilvl w:val="0"/>
          <w:numId w:val="3"/>
        </w:numPr>
      </w:pPr>
      <w:r w:rsidRPr="0057612C">
        <w:t xml:space="preserve">CBCCs target all 3-5 year olds in the community. They are managed by the community and are open from 8 to 11 am, 5 days per week. Porridge (mid-morning meal) is provided at about 10 am by parents/facilitators with food contributions from the community. </w:t>
      </w:r>
    </w:p>
    <w:p w14:paraId="6FF5F22A" w14:textId="77777777" w:rsidR="006E1652" w:rsidRPr="0057612C" w:rsidRDefault="006E1652" w:rsidP="006E1652">
      <w:pPr>
        <w:pStyle w:val="ListParagraph"/>
      </w:pPr>
    </w:p>
    <w:p w14:paraId="49582C9E" w14:textId="2E014584" w:rsidR="006E1652" w:rsidRPr="0057612C" w:rsidRDefault="006E1652" w:rsidP="006E1652">
      <w:pPr>
        <w:spacing w:after="0"/>
        <w:jc w:val="left"/>
      </w:pPr>
      <w:r w:rsidRPr="0057612C">
        <w:lastRenderedPageBreak/>
        <w:t xml:space="preserve">For parenting education: </w:t>
      </w:r>
    </w:p>
    <w:p w14:paraId="56B490E0" w14:textId="77777777" w:rsidR="006E1652" w:rsidRPr="0057612C" w:rsidRDefault="006E1652" w:rsidP="001A1B00">
      <w:pPr>
        <w:pStyle w:val="ListParagraph"/>
        <w:numPr>
          <w:ilvl w:val="0"/>
          <w:numId w:val="3"/>
        </w:numPr>
      </w:pPr>
      <w:r w:rsidRPr="0057612C">
        <w:t xml:space="preserve">CBCC caregivers and mentors received a </w:t>
      </w:r>
      <w:proofErr w:type="gramStart"/>
      <w:r w:rsidRPr="0057612C">
        <w:t>3 day</w:t>
      </w:r>
      <w:proofErr w:type="gramEnd"/>
      <w:r w:rsidRPr="0057612C">
        <w:t xml:space="preserve"> training to organise parenting sessions using a standard government parenting education manual. </w:t>
      </w:r>
    </w:p>
    <w:p w14:paraId="6826B54B" w14:textId="77777777" w:rsidR="006E1652" w:rsidRPr="0057612C" w:rsidRDefault="00DD2339" w:rsidP="001A1B00">
      <w:pPr>
        <w:pStyle w:val="ListParagraph"/>
        <w:numPr>
          <w:ilvl w:val="0"/>
          <w:numId w:val="3"/>
        </w:numPr>
      </w:pPr>
      <w:r w:rsidRPr="0057612C">
        <w:t xml:space="preserve">The parenting sessions are organised once or twice a month on average. Topics covered by parenting sessions include: </w:t>
      </w:r>
      <w:r w:rsidR="00E418E9" w:rsidRPr="0057612C">
        <w:t xml:space="preserve">child </w:t>
      </w:r>
      <w:r w:rsidRPr="0057612C">
        <w:t>nutrition, stimulation and parental role i</w:t>
      </w:r>
      <w:r w:rsidR="00E418E9">
        <w:t>n school readiness, amongst others</w:t>
      </w:r>
      <w:r w:rsidRPr="0057612C">
        <w:t xml:space="preserve">. </w:t>
      </w:r>
      <w:r w:rsidR="006E1652" w:rsidRPr="0057612C">
        <w:t xml:space="preserve">Parenting sessions target all parents of children aged 0-8 years old with </w:t>
      </w:r>
      <w:proofErr w:type="gramStart"/>
      <w:r w:rsidR="006E1652" w:rsidRPr="0057612C">
        <w:t>particular focus</w:t>
      </w:r>
      <w:proofErr w:type="gramEnd"/>
      <w:r w:rsidR="006E1652" w:rsidRPr="0057612C">
        <w:t xml:space="preserve"> on children from 0 -2 </w:t>
      </w:r>
      <w:r w:rsidR="00E418E9">
        <w:t>years</w:t>
      </w:r>
      <w:r w:rsidR="006E1652" w:rsidRPr="0057612C">
        <w:t xml:space="preserve">. </w:t>
      </w:r>
    </w:p>
    <w:p w14:paraId="3005E8DF" w14:textId="77777777" w:rsidR="006E1652" w:rsidRPr="0057612C" w:rsidRDefault="006E1652" w:rsidP="001A1B00">
      <w:pPr>
        <w:pStyle w:val="ListParagraph"/>
        <w:numPr>
          <w:ilvl w:val="0"/>
          <w:numId w:val="3"/>
        </w:numPr>
      </w:pPr>
      <w:r w:rsidRPr="0057612C">
        <w:t xml:space="preserve">Agricultural extension workers received a </w:t>
      </w:r>
      <w:proofErr w:type="gramStart"/>
      <w:r w:rsidRPr="0057612C">
        <w:t>5 day</w:t>
      </w:r>
      <w:proofErr w:type="gramEnd"/>
      <w:r w:rsidRPr="0057612C">
        <w:t xml:space="preserve"> training to organise parenting sessions using a standard government parenting education manual. </w:t>
      </w:r>
    </w:p>
    <w:p w14:paraId="6DC378B1" w14:textId="77777777" w:rsidR="006E1652" w:rsidRPr="0057612C" w:rsidRDefault="00850E91" w:rsidP="001A1B00">
      <w:pPr>
        <w:pStyle w:val="ListParagraph"/>
        <w:numPr>
          <w:ilvl w:val="0"/>
          <w:numId w:val="3"/>
        </w:numPr>
      </w:pPr>
      <w:r w:rsidRPr="0057612C">
        <w:t>T</w:t>
      </w:r>
      <w:r w:rsidR="006E1652" w:rsidRPr="0057612C">
        <w:t xml:space="preserve">rainings were conducted between April and May 2016. The total number of people trained was 437 with 382 females and 55 males. </w:t>
      </w:r>
    </w:p>
    <w:p w14:paraId="7EFA1BA7" w14:textId="77777777" w:rsidR="006E1652" w:rsidRPr="0057612C" w:rsidRDefault="006E1652" w:rsidP="001A1B00">
      <w:pPr>
        <w:pStyle w:val="ListParagraph"/>
        <w:numPr>
          <w:ilvl w:val="0"/>
          <w:numId w:val="3"/>
        </w:numPr>
      </w:pPr>
      <w:r w:rsidRPr="0057612C">
        <w:t xml:space="preserve">Other ECD interventions include children’s corners, </w:t>
      </w:r>
      <w:r w:rsidR="003405D2" w:rsidRPr="0057612C">
        <w:t>mobile</w:t>
      </w:r>
      <w:r w:rsidRPr="0057612C">
        <w:t xml:space="preserve"> phones and interactive radio instructions (IRI). </w:t>
      </w:r>
    </w:p>
    <w:p w14:paraId="5C03D186" w14:textId="77777777" w:rsidR="00CF2509" w:rsidRPr="0057612C" w:rsidRDefault="00CF2509" w:rsidP="00CF2509">
      <w:pPr>
        <w:pStyle w:val="Heading2"/>
        <w:rPr>
          <w:rFonts w:cs="Times New Roman"/>
        </w:rPr>
      </w:pPr>
      <w:bookmarkStart w:id="2" w:name="_Toc447729026"/>
      <w:r w:rsidRPr="0057612C">
        <w:rPr>
          <w:rFonts w:cs="Times New Roman"/>
        </w:rPr>
        <w:t xml:space="preserve">The </w:t>
      </w:r>
      <w:r w:rsidR="006E1652" w:rsidRPr="0057612C">
        <w:rPr>
          <w:rFonts w:cs="Times New Roman"/>
        </w:rPr>
        <w:t>integrated agriculture and nutrition</w:t>
      </w:r>
      <w:r w:rsidRPr="0057612C">
        <w:rPr>
          <w:rFonts w:cs="Times New Roman"/>
        </w:rPr>
        <w:t xml:space="preserve"> intervention</w:t>
      </w:r>
      <w:bookmarkEnd w:id="2"/>
    </w:p>
    <w:p w14:paraId="1989E543" w14:textId="77777777" w:rsidR="00CF2509" w:rsidRPr="0057612C" w:rsidRDefault="00CF2509" w:rsidP="00CF2509">
      <w:r w:rsidRPr="0057612C">
        <w:t xml:space="preserve">The </w:t>
      </w:r>
      <w:r w:rsidR="002F5DFB" w:rsidRPr="0057612C">
        <w:t xml:space="preserve">NEEP-IE </w:t>
      </w:r>
      <w:r w:rsidRPr="0057612C">
        <w:t xml:space="preserve">integrated nutrition and agriculture intervention is aimed at improving the diets, feeding, health and hygiene knowledge and practices in households with infants and young children. This </w:t>
      </w:r>
      <w:r w:rsidR="000342BC" w:rsidRPr="0057612C">
        <w:t>include</w:t>
      </w:r>
      <w:r w:rsidR="00DD2339" w:rsidRPr="0057612C">
        <w:t>s</w:t>
      </w:r>
      <w:r w:rsidRPr="0057612C">
        <w:t xml:space="preserve"> promoting optimal feeding and caring practices through parenting groups; engaging parents, adolescents and other adults in the community in the planning and preparation of meals for children within CBCCs; improving agricultural production of nutritious foods and food diversification by using CBCC gardens as a learning site for communities; forming Village Savings and Loans (VSL) groups to help communities save and access funds to purchase supplies for the CBCC garden and CBCC meals or  to start new home gardens; and by organising farmers into collectives to increase their purchasing and selling power. </w:t>
      </w:r>
    </w:p>
    <w:p w14:paraId="5A2CFE2D" w14:textId="77777777" w:rsidR="006E1652" w:rsidRPr="0057612C" w:rsidRDefault="007D75AB" w:rsidP="00850E91">
      <w:pPr>
        <w:spacing w:after="0"/>
      </w:pPr>
      <w:r w:rsidRPr="0057612C">
        <w:t>More specifically, t</w:t>
      </w:r>
      <w:r w:rsidR="00850E91" w:rsidRPr="0057612C">
        <w:t xml:space="preserve">he </w:t>
      </w:r>
      <w:r w:rsidR="00DD2339" w:rsidRPr="0057612C">
        <w:t xml:space="preserve">agriculture </w:t>
      </w:r>
      <w:r w:rsidR="00850E91" w:rsidRPr="0057612C">
        <w:t>training includes:</w:t>
      </w:r>
    </w:p>
    <w:p w14:paraId="0B1FDF17" w14:textId="77777777" w:rsidR="00850E91" w:rsidRPr="0057612C" w:rsidRDefault="00850E91" w:rsidP="001A1B00">
      <w:pPr>
        <w:pStyle w:val="ListParagraph"/>
        <w:numPr>
          <w:ilvl w:val="0"/>
          <w:numId w:val="3"/>
        </w:numPr>
      </w:pPr>
      <w:r w:rsidRPr="0057612C">
        <w:t>Training on nutritious food production, including the following topics: production of foods to use in CBCCs i.e. production of selected cereals and staples (orange maize, orange –fleshed sweet potato and cassava), selected legumes and nuts (soya beans, pigeon peas, cowpeas and groundnuts); and gr</w:t>
      </w:r>
      <w:r w:rsidR="0057612C">
        <w:t>een leafy vegetables (</w:t>
      </w:r>
      <w:proofErr w:type="spellStart"/>
      <w:r w:rsidR="0057612C">
        <w:t>a</w:t>
      </w:r>
      <w:r w:rsidRPr="0057612C">
        <w:t>maranthus</w:t>
      </w:r>
      <w:proofErr w:type="spellEnd"/>
      <w:r w:rsidRPr="0057612C">
        <w:t xml:space="preserve">). In all this the subtopics included: land preparation and planting, weeding and fertilizer application, pests and disease control, harvesting, storage and processing and utilization in CBCCs. </w:t>
      </w:r>
      <w:r w:rsidR="00DD2339" w:rsidRPr="0057612C">
        <w:t>The use of m</w:t>
      </w:r>
      <w:r w:rsidRPr="0057612C">
        <w:t xml:space="preserve">anure </w:t>
      </w:r>
      <w:r w:rsidR="00DD2339" w:rsidRPr="0057612C">
        <w:t xml:space="preserve">as fertiliser was </w:t>
      </w:r>
      <w:r w:rsidRPr="0057612C">
        <w:t xml:space="preserve">also </w:t>
      </w:r>
      <w:r w:rsidR="00DD2339" w:rsidRPr="0057612C">
        <w:t>promoted</w:t>
      </w:r>
      <w:r w:rsidRPr="0057612C">
        <w:t xml:space="preserve">. </w:t>
      </w:r>
    </w:p>
    <w:p w14:paraId="60BE278E" w14:textId="77777777" w:rsidR="00850E91" w:rsidRPr="0057612C" w:rsidRDefault="00850E91" w:rsidP="001A1B00">
      <w:pPr>
        <w:pStyle w:val="ListParagraph"/>
        <w:numPr>
          <w:ilvl w:val="0"/>
          <w:numId w:val="3"/>
        </w:numPr>
      </w:pPr>
      <w:r w:rsidRPr="0057612C">
        <w:t xml:space="preserve">The CBCC garden was used as a demonstration site. At a demonstration plot, the community prepared the gardens with guidance from the Agriculture Extension District Officers (AEDOs). An AEDO would start a ridge with the correct spacing and the community would take over after that with the AEDOs making sure the correct spacing is used and type of ridge is made. This would continue until the rest of the garden has been prepared. The same process was adopted for all the gardens. Where the demonstration coincided with the first rains, the planting was also done, again with guidance from the AEDOs. AEDOs and community agents (CAs) monitor the gardens </w:t>
      </w:r>
      <w:r w:rsidR="00DD2339" w:rsidRPr="0057612C">
        <w:t>two</w:t>
      </w:r>
      <w:r w:rsidRPr="0057612C">
        <w:t xml:space="preserve"> to three times per month</w:t>
      </w:r>
      <w:r w:rsidR="00DD2339" w:rsidRPr="0057612C">
        <w:t xml:space="preserve"> on average</w:t>
      </w:r>
      <w:r w:rsidRPr="0057612C">
        <w:t xml:space="preserve">.  </w:t>
      </w:r>
    </w:p>
    <w:p w14:paraId="7A00673F" w14:textId="77777777" w:rsidR="00850E91" w:rsidRPr="0057612C" w:rsidRDefault="00850E91" w:rsidP="001A1B00">
      <w:pPr>
        <w:pStyle w:val="ListParagraph"/>
        <w:numPr>
          <w:ilvl w:val="0"/>
          <w:numId w:val="3"/>
        </w:numPr>
      </w:pPr>
      <w:r w:rsidRPr="0057612C">
        <w:t xml:space="preserve">The first agricultural production training was facilitated by agriculture and development extension officers (AEDOs) </w:t>
      </w:r>
      <w:r w:rsidR="00DD2339" w:rsidRPr="0057612C">
        <w:t>and involved</w:t>
      </w:r>
      <w:r w:rsidRPr="0057612C">
        <w:t xml:space="preserve"> 900 participants</w:t>
      </w:r>
      <w:r w:rsidR="00DD2339" w:rsidRPr="0057612C">
        <w:t xml:space="preserve"> in total</w:t>
      </w:r>
      <w:r w:rsidRPr="0057612C">
        <w:t xml:space="preserve">. Each training session </w:t>
      </w:r>
      <w:r w:rsidR="00DD2339" w:rsidRPr="0057612C">
        <w:t>lasted</w:t>
      </w:r>
      <w:r w:rsidRPr="0057612C">
        <w:t xml:space="preserve"> 3 days </w:t>
      </w:r>
      <w:r w:rsidR="00033C8F" w:rsidRPr="0057612C">
        <w:t>and included</w:t>
      </w:r>
      <w:r w:rsidRPr="0057612C">
        <w:t xml:space="preserve"> 45 participants. The training took place in December 2015 and farmers (households) began planting </w:t>
      </w:r>
      <w:r w:rsidR="00033C8F" w:rsidRPr="0057612C">
        <w:t>soon after the training</w:t>
      </w:r>
      <w:r w:rsidRPr="0057612C">
        <w:t xml:space="preserve">. The training was two-fold, theory and </w:t>
      </w:r>
      <w:r w:rsidRPr="0057612C">
        <w:lastRenderedPageBreak/>
        <w:t>practice. A second agricultural production training was also facilitated by AEDOs to 120 participants. Each training session lasted 3 days and each session had 20 participants.  Th</w:t>
      </w:r>
      <w:r w:rsidR="00033C8F" w:rsidRPr="0057612C">
        <w:t>e</w:t>
      </w:r>
      <w:r w:rsidRPr="0057612C">
        <w:t>s</w:t>
      </w:r>
      <w:r w:rsidR="00033C8F" w:rsidRPr="0057612C">
        <w:t>e</w:t>
      </w:r>
      <w:r w:rsidRPr="0057612C">
        <w:t xml:space="preserve"> trainings took place in August 2016 and covered the following topics: land preparation and planting, weeding and fertilizer application, pests and disease control, harvesting, storage and processing and utilization in CBCCs for carrots, spinach and tomato. </w:t>
      </w:r>
    </w:p>
    <w:p w14:paraId="7C85D4F8" w14:textId="77777777" w:rsidR="006E1652" w:rsidRPr="0057612C" w:rsidRDefault="00850E91" w:rsidP="006E1652">
      <w:r w:rsidRPr="0057612C">
        <w:t xml:space="preserve">In addition, participating </w:t>
      </w:r>
      <w:r w:rsidR="006E1652" w:rsidRPr="0057612C">
        <w:t xml:space="preserve">households received </w:t>
      </w:r>
      <w:r w:rsidRPr="0057612C">
        <w:t>a range of</w:t>
      </w:r>
      <w:r w:rsidR="006E1652" w:rsidRPr="0057612C">
        <w:t xml:space="preserve"> </w:t>
      </w:r>
      <w:r w:rsidRPr="0057612C">
        <w:t xml:space="preserve">agricultural </w:t>
      </w:r>
      <w:r w:rsidR="006E1652" w:rsidRPr="0057612C">
        <w:t>inputs</w:t>
      </w:r>
      <w:r w:rsidRPr="0057612C">
        <w:t xml:space="preserve"> as summarised in Table 1.</w:t>
      </w:r>
      <w:r w:rsidR="006E1652" w:rsidRPr="0057612C">
        <w:t xml:space="preserve"> </w:t>
      </w:r>
    </w:p>
    <w:p w14:paraId="35481C50" w14:textId="5493B70F" w:rsidR="00850E91" w:rsidRPr="0057612C" w:rsidRDefault="00850E91" w:rsidP="00850E91">
      <w:pPr>
        <w:spacing w:after="100"/>
        <w:rPr>
          <w:rFonts w:cs="Times New Roman"/>
          <w:b/>
        </w:rPr>
      </w:pPr>
      <w:r w:rsidRPr="0057612C">
        <w:rPr>
          <w:rFonts w:cs="Times New Roman"/>
          <w:b/>
        </w:rPr>
        <w:t xml:space="preserve">Table </w:t>
      </w:r>
      <w:r w:rsidR="008638A6">
        <w:rPr>
          <w:rFonts w:cs="Times New Roman"/>
          <w:b/>
        </w:rPr>
        <w:t>1</w:t>
      </w:r>
      <w:r w:rsidRPr="0057612C">
        <w:rPr>
          <w:rFonts w:cs="Times New Roman"/>
          <w:b/>
        </w:rPr>
        <w:t>: Agricultural inputs provided to households as part of the agriculture and nutrition intervention.</w:t>
      </w:r>
    </w:p>
    <w:p w14:paraId="0328B363" w14:textId="77777777" w:rsidR="006E1652" w:rsidRPr="0057612C" w:rsidRDefault="00850E91" w:rsidP="00FC7CDC">
      <w:pPr>
        <w:spacing w:before="120" w:after="0"/>
        <w:rPr>
          <w:b/>
        </w:rPr>
      </w:pPr>
      <w:r w:rsidRPr="0057612C">
        <w:t>The nutrition training activities included:</w:t>
      </w:r>
    </w:p>
    <w:p w14:paraId="4B769DED" w14:textId="5EB40E3D" w:rsidR="007D75AB" w:rsidRPr="0057612C" w:rsidRDefault="007D75AB" w:rsidP="001A1B00">
      <w:pPr>
        <w:pStyle w:val="ListParagraph"/>
        <w:numPr>
          <w:ilvl w:val="0"/>
          <w:numId w:val="3"/>
        </w:numPr>
      </w:pPr>
      <w:r w:rsidRPr="0057612C">
        <w:t>Training</w:t>
      </w:r>
      <w:r w:rsidR="006E1652" w:rsidRPr="0057612C">
        <w:t xml:space="preserve"> CBCC management committee members, caregivers, lead farmers and parents on nutrition needs of children, healthy meals all year </w:t>
      </w:r>
      <w:proofErr w:type="gramStart"/>
      <w:r w:rsidR="006E1652" w:rsidRPr="0057612C">
        <w:t>round</w:t>
      </w:r>
      <w:proofErr w:type="gramEnd"/>
      <w:r w:rsidR="006E1652" w:rsidRPr="0057612C">
        <w:t xml:space="preserve">, food selection, storage and preservation, </w:t>
      </w:r>
      <w:r w:rsidR="006E1652" w:rsidRPr="00473DF5">
        <w:rPr>
          <w:highlight w:val="yellow"/>
        </w:rPr>
        <w:t xml:space="preserve">food </w:t>
      </w:r>
      <w:r w:rsidR="00473DF5" w:rsidRPr="00473DF5">
        <w:rPr>
          <w:highlight w:val="yellow"/>
        </w:rPr>
        <w:t>hygiene</w:t>
      </w:r>
      <w:r w:rsidR="00473DF5">
        <w:t xml:space="preserve">, </w:t>
      </w:r>
      <w:r w:rsidR="006E1652" w:rsidRPr="0057612C">
        <w:t xml:space="preserve">safety and preparation, </w:t>
      </w:r>
      <w:r w:rsidR="00473DF5">
        <w:t xml:space="preserve">waste </w:t>
      </w:r>
      <w:r w:rsidR="00473DF5" w:rsidRPr="00473DF5">
        <w:rPr>
          <w:highlight w:val="yellow"/>
        </w:rPr>
        <w:t>disposal</w:t>
      </w:r>
      <w:r w:rsidR="00473DF5">
        <w:t xml:space="preserve">, </w:t>
      </w:r>
      <w:r w:rsidR="00473DF5" w:rsidRPr="00473DF5">
        <w:rPr>
          <w:highlight w:val="yellow"/>
        </w:rPr>
        <w:t>hand-washing</w:t>
      </w:r>
      <w:r w:rsidR="0035476C">
        <w:t>,</w:t>
      </w:r>
      <w:r w:rsidR="00473DF5">
        <w:t xml:space="preserve"> </w:t>
      </w:r>
      <w:r w:rsidR="006E1652" w:rsidRPr="0057612C">
        <w:t xml:space="preserve">meal planning and monitoring of meal provision and recipes for CBCCs and households. </w:t>
      </w:r>
    </w:p>
    <w:p w14:paraId="20957973" w14:textId="77777777" w:rsidR="006E1652" w:rsidRPr="0057612C" w:rsidRDefault="006E1652" w:rsidP="001A1B00">
      <w:pPr>
        <w:pStyle w:val="ListParagraph"/>
        <w:numPr>
          <w:ilvl w:val="0"/>
          <w:numId w:val="3"/>
        </w:numPr>
      </w:pPr>
      <w:r w:rsidRPr="0057612C">
        <w:t xml:space="preserve">Each training session lasted 3 days and was provided by AEDOs and nutrition assistants. The training </w:t>
      </w:r>
      <w:r w:rsidR="007D75AB" w:rsidRPr="0057612C">
        <w:t>combined</w:t>
      </w:r>
      <w:r w:rsidRPr="0057612C">
        <w:t xml:space="preserve"> </w:t>
      </w:r>
      <w:r w:rsidR="007D75AB" w:rsidRPr="0057612C">
        <w:t>both</w:t>
      </w:r>
      <w:r w:rsidRPr="0057612C">
        <w:t xml:space="preserve"> theory and practice, </w:t>
      </w:r>
      <w:r w:rsidR="007D75AB" w:rsidRPr="0057612C">
        <w:t>including</w:t>
      </w:r>
      <w:r w:rsidRPr="0057612C">
        <w:t xml:space="preserve"> cooking demonstrations. The participants were divided into groups of 3 – 5. </w:t>
      </w:r>
      <w:r w:rsidR="007D75AB" w:rsidRPr="0057612C">
        <w:t>T</w:t>
      </w:r>
      <w:r w:rsidRPr="0057612C">
        <w:t xml:space="preserve">rainers would </w:t>
      </w:r>
      <w:r w:rsidR="007D75AB" w:rsidRPr="0057612C">
        <w:t>introduce</w:t>
      </w:r>
      <w:r w:rsidRPr="0057612C">
        <w:t xml:space="preserve"> selected recipes </w:t>
      </w:r>
      <w:r w:rsidR="007D75AB" w:rsidRPr="0057612C">
        <w:t xml:space="preserve">for nutritious meals, </w:t>
      </w:r>
      <w:r w:rsidR="00FA0D9D" w:rsidRPr="0057612C">
        <w:t>with instructions</w:t>
      </w:r>
      <w:r w:rsidRPr="0057612C">
        <w:t xml:space="preserve"> written on a card that was left with the group. The trainer would </w:t>
      </w:r>
      <w:r w:rsidR="007D75AB" w:rsidRPr="0057612C">
        <w:t>facilitate</w:t>
      </w:r>
      <w:r w:rsidRPr="0057612C">
        <w:t xml:space="preserve"> each step of the process. Thereafter the groups would come together and display what they had cooked. At the display table, a member from each group was selected to explain how they made the </w:t>
      </w:r>
      <w:r w:rsidR="00FA0D9D" w:rsidRPr="0057612C">
        <w:t>meal</w:t>
      </w:r>
      <w:r w:rsidRPr="0057612C">
        <w:t xml:space="preserve">, how many types of food groups the recipe contained, any alternatives and lastly answer any questions from the group. After the display, the participants tasted the food they made. The recipes </w:t>
      </w:r>
      <w:r w:rsidR="007D75AB" w:rsidRPr="0057612C">
        <w:t>included</w:t>
      </w:r>
      <w:r w:rsidRPr="0057612C">
        <w:t xml:space="preserve">: </w:t>
      </w:r>
    </w:p>
    <w:p w14:paraId="2160EDEC" w14:textId="77777777" w:rsidR="006E1652" w:rsidRPr="0057612C" w:rsidRDefault="00C5639F" w:rsidP="001A1B00">
      <w:pPr>
        <w:pStyle w:val="ListParagraph"/>
        <w:numPr>
          <w:ilvl w:val="0"/>
          <w:numId w:val="8"/>
        </w:numPr>
        <w:spacing w:after="200"/>
      </w:pPr>
      <w:r>
        <w:t>Porridges: M</w:t>
      </w:r>
      <w:r w:rsidR="006E1652" w:rsidRPr="0057612C">
        <w:t>aize flour porridge with groundnut powder, maize flour porridge with dry fish powder, maize flour porridge with dry vegetables, mango porridge, porridge made from a mixture of maize, soya, millet, beans and groundnuts flour, rice porridge with carrot and oil; and rice porridge with groundnut flour).</w:t>
      </w:r>
    </w:p>
    <w:p w14:paraId="1E94329B" w14:textId="77777777" w:rsidR="006E1652" w:rsidRPr="0057612C" w:rsidRDefault="0057612C" w:rsidP="001A1B00">
      <w:pPr>
        <w:pStyle w:val="ListParagraph"/>
        <w:numPr>
          <w:ilvl w:val="0"/>
          <w:numId w:val="8"/>
        </w:numPr>
        <w:spacing w:after="200"/>
      </w:pPr>
      <w:r w:rsidRPr="0057612C">
        <w:t>Milk and</w:t>
      </w:r>
      <w:r w:rsidR="007D75AB" w:rsidRPr="0057612C">
        <w:t xml:space="preserve"> </w:t>
      </w:r>
      <w:r w:rsidR="006E1652" w:rsidRPr="0057612C">
        <w:t>soya milk</w:t>
      </w:r>
      <w:r w:rsidR="007D75AB" w:rsidRPr="0057612C">
        <w:t xml:space="preserve"> production.</w:t>
      </w:r>
    </w:p>
    <w:p w14:paraId="36661CCE" w14:textId="77777777" w:rsidR="006E1652" w:rsidRPr="0057612C" w:rsidRDefault="00C5639F" w:rsidP="001A1B00">
      <w:pPr>
        <w:pStyle w:val="ListParagraph"/>
        <w:numPr>
          <w:ilvl w:val="0"/>
          <w:numId w:val="8"/>
        </w:numPr>
        <w:spacing w:after="200"/>
      </w:pPr>
      <w:r>
        <w:t>Legume products: P</w:t>
      </w:r>
      <w:r w:rsidR="006E1652" w:rsidRPr="0057612C">
        <w:t xml:space="preserve">igeon peas sausage, cassava </w:t>
      </w:r>
      <w:proofErr w:type="spellStart"/>
      <w:r w:rsidR="006E1652" w:rsidRPr="0057612C">
        <w:t>kidos</w:t>
      </w:r>
      <w:proofErr w:type="spellEnd"/>
      <w:r w:rsidR="006E1652" w:rsidRPr="0057612C">
        <w:t xml:space="preserve"> (boiled cassava dipped in eggs and vegetables and fried), soya coffee, sweet potato doughnuts; peanut butter and soya snacks.</w:t>
      </w:r>
    </w:p>
    <w:p w14:paraId="066BE308" w14:textId="77777777" w:rsidR="006E1652" w:rsidRPr="0057612C" w:rsidRDefault="00C5639F" w:rsidP="001A1B00">
      <w:pPr>
        <w:pStyle w:val="ListParagraph"/>
        <w:numPr>
          <w:ilvl w:val="0"/>
          <w:numId w:val="8"/>
        </w:numPr>
        <w:spacing w:after="200"/>
      </w:pPr>
      <w:r>
        <w:t>Vegetable products: P</w:t>
      </w:r>
      <w:r w:rsidR="006E1652" w:rsidRPr="0057612C">
        <w:t>umpkin leaves meatballs (pumpkin leaves, salt and eggs as ingredients); orange-fleshed sweet potato</w:t>
      </w:r>
      <w:r w:rsidR="00033C8F" w:rsidRPr="0057612C">
        <w:t xml:space="preserve"> (OSFP)</w:t>
      </w:r>
      <w:r w:rsidR="006E1652" w:rsidRPr="0057612C">
        <w:t xml:space="preserve"> juice, sweet potato leaves juice, dried vegetables (for preservation); pumpkin leaves and </w:t>
      </w:r>
      <w:proofErr w:type="spellStart"/>
      <w:r w:rsidR="006E1652" w:rsidRPr="0057612C">
        <w:t>Amaranthus</w:t>
      </w:r>
      <w:proofErr w:type="spellEnd"/>
      <w:r w:rsidR="006E1652" w:rsidRPr="0057612C">
        <w:t xml:space="preserve"> in groundnut powder and sweet potato leaves snack. </w:t>
      </w:r>
    </w:p>
    <w:p w14:paraId="73F1555D" w14:textId="77777777" w:rsidR="006E1652" w:rsidRPr="0057612C" w:rsidRDefault="00C5639F" w:rsidP="001A1B00">
      <w:pPr>
        <w:pStyle w:val="ListParagraph"/>
        <w:numPr>
          <w:ilvl w:val="0"/>
          <w:numId w:val="8"/>
        </w:numPr>
        <w:spacing w:after="200"/>
      </w:pPr>
      <w:r>
        <w:t>Fish products: D</w:t>
      </w:r>
      <w:r w:rsidR="006E1652" w:rsidRPr="0057612C">
        <w:t>ry fish with groundnut powder, dry fish with tomato and onion</w:t>
      </w:r>
    </w:p>
    <w:p w14:paraId="0C64B81D" w14:textId="77777777" w:rsidR="006E1652" w:rsidRPr="0057612C" w:rsidRDefault="00C5639F" w:rsidP="001A1B00">
      <w:pPr>
        <w:pStyle w:val="ListParagraph"/>
        <w:numPr>
          <w:ilvl w:val="0"/>
          <w:numId w:val="8"/>
        </w:numPr>
        <w:spacing w:after="200"/>
      </w:pPr>
      <w:r>
        <w:t>Fruit products: P</w:t>
      </w:r>
      <w:r w:rsidR="006E1652" w:rsidRPr="0057612C">
        <w:t xml:space="preserve">awpaw, guava and lemon juice; pawpaw relish (unripe pawpaw cooked with groundnut powder, tomato and onion and banana bread. </w:t>
      </w:r>
    </w:p>
    <w:p w14:paraId="0EF7F699" w14:textId="77777777" w:rsidR="007D75AB" w:rsidRPr="0057612C" w:rsidRDefault="00C5639F" w:rsidP="001A1B00">
      <w:pPr>
        <w:pStyle w:val="ListParagraph"/>
        <w:numPr>
          <w:ilvl w:val="0"/>
          <w:numId w:val="3"/>
        </w:numPr>
      </w:pPr>
      <w:r>
        <w:t>T</w:t>
      </w:r>
      <w:r w:rsidR="006E1652" w:rsidRPr="0057612C">
        <w:t>raining</w:t>
      </w:r>
      <w:r>
        <w:t>s were</w:t>
      </w:r>
      <w:r w:rsidR="006E1652" w:rsidRPr="0057612C">
        <w:t xml:space="preserve"> conducted in February 2016 and CBCC caregivers/ communities began putting into </w:t>
      </w:r>
      <w:r>
        <w:t>practice</w:t>
      </w:r>
      <w:r w:rsidR="006E1652" w:rsidRPr="0057612C">
        <w:t xml:space="preserve"> what they learned from March 2016. CBCC caregivers and parents </w:t>
      </w:r>
      <w:r w:rsidR="007D75AB" w:rsidRPr="0057612C">
        <w:t>were then</w:t>
      </w:r>
      <w:r w:rsidR="006E1652" w:rsidRPr="0057612C">
        <w:t xml:space="preserve"> mentored and supervised by community based organisations (CBOs) with four visits per month. </w:t>
      </w:r>
    </w:p>
    <w:p w14:paraId="1B405F1E" w14:textId="77777777" w:rsidR="003E762C" w:rsidRPr="0057612C" w:rsidRDefault="00BF457F" w:rsidP="00BF457F">
      <w:pPr>
        <w:pStyle w:val="Heading2"/>
        <w:rPr>
          <w:rFonts w:cs="Times New Roman"/>
        </w:rPr>
      </w:pPr>
      <w:bookmarkStart w:id="3" w:name="_Toc447729027"/>
      <w:r w:rsidRPr="0057612C">
        <w:rPr>
          <w:rFonts w:cs="Times New Roman"/>
        </w:rPr>
        <w:t>Study aim and objectives</w:t>
      </w:r>
      <w:bookmarkEnd w:id="3"/>
    </w:p>
    <w:p w14:paraId="0F8DB9F3" w14:textId="77777777" w:rsidR="00BF457F" w:rsidRPr="0057612C" w:rsidRDefault="00BF457F" w:rsidP="00C5639F">
      <w:r w:rsidRPr="0057612C">
        <w:lastRenderedPageBreak/>
        <w:t xml:space="preserve">The purpose of </w:t>
      </w:r>
      <w:r w:rsidR="00FA0D9D" w:rsidRPr="0057612C">
        <w:t>the NEEP-IE study</w:t>
      </w:r>
      <w:r w:rsidRPr="0057612C">
        <w:t xml:space="preserve"> is to provide evidence on the effectiveness </w:t>
      </w:r>
      <w:r w:rsidR="003A7501" w:rsidRPr="0057612C">
        <w:t xml:space="preserve">and costs </w:t>
      </w:r>
      <w:r w:rsidRPr="0057612C">
        <w:t xml:space="preserve">of delivering an integrated </w:t>
      </w:r>
      <w:r w:rsidR="003A7501" w:rsidRPr="0057612C">
        <w:t>agriculture and nutrition intervention</w:t>
      </w:r>
      <w:r w:rsidRPr="0057612C">
        <w:t xml:space="preserve"> through CBCCs and parenting groups on </w:t>
      </w:r>
      <w:r w:rsidR="003A7501" w:rsidRPr="0057612C">
        <w:t xml:space="preserve">the diets, nutrition and development of young children in rural areas of Malawi. </w:t>
      </w:r>
      <w:r w:rsidRPr="0057612C">
        <w:t>The findings of the evaluation will be used to inform the Government of Malawi and development partners on the effectiveness and feasibility of scaling-up the intervention. The objectives of the evaluation include:</w:t>
      </w:r>
    </w:p>
    <w:p w14:paraId="4B234DA8" w14:textId="77777777" w:rsidR="00BF457F" w:rsidRPr="0057612C" w:rsidRDefault="00BF457F" w:rsidP="001A1B00">
      <w:pPr>
        <w:pStyle w:val="ListParagraph"/>
        <w:numPr>
          <w:ilvl w:val="0"/>
          <w:numId w:val="2"/>
        </w:numPr>
      </w:pPr>
      <w:r w:rsidRPr="0057612C">
        <w:t xml:space="preserve">Evaluate the impact of integrating nutrition and agriculture with ECD </w:t>
      </w:r>
      <w:r w:rsidR="00490E9A">
        <w:t xml:space="preserve">on </w:t>
      </w:r>
      <w:r w:rsidR="001E6C96" w:rsidRPr="0057612C">
        <w:t>the diets, nutrition and development of children aged 36 to 72 months</w:t>
      </w:r>
      <w:r w:rsidR="00490E9A">
        <w:t>.</w:t>
      </w:r>
      <w:r w:rsidRPr="0057612C">
        <w:t xml:space="preserve"> </w:t>
      </w:r>
    </w:p>
    <w:p w14:paraId="24671095" w14:textId="77777777" w:rsidR="00BF457F" w:rsidRPr="0057612C" w:rsidRDefault="00BF457F" w:rsidP="001A1B00">
      <w:pPr>
        <w:pStyle w:val="ListParagraph"/>
        <w:numPr>
          <w:ilvl w:val="0"/>
          <w:numId w:val="2"/>
        </w:numPr>
      </w:pPr>
      <w:r w:rsidRPr="0057612C">
        <w:t>Evaluate the impact of integrating nutrition and agriculture with ECD on CBCC meal provision, CBCC attendance and enrolment</w:t>
      </w:r>
      <w:r w:rsidR="00490E9A">
        <w:t>.</w:t>
      </w:r>
    </w:p>
    <w:p w14:paraId="20F3E2D9" w14:textId="77777777" w:rsidR="00BF457F" w:rsidRPr="0057612C" w:rsidRDefault="00BF457F" w:rsidP="001A1B00">
      <w:pPr>
        <w:pStyle w:val="ListParagraph"/>
        <w:numPr>
          <w:ilvl w:val="0"/>
          <w:numId w:val="2"/>
        </w:numPr>
      </w:pPr>
      <w:r w:rsidRPr="0057612C">
        <w:t xml:space="preserve">Identify the main factors that influence the impact of the intervention on </w:t>
      </w:r>
      <w:r w:rsidR="001E6C96" w:rsidRPr="0057612C">
        <w:t>child and household level outcomes</w:t>
      </w:r>
      <w:r w:rsidR="00490E9A">
        <w:t>.</w:t>
      </w:r>
      <w:r w:rsidRPr="0057612C">
        <w:t xml:space="preserve"> </w:t>
      </w:r>
    </w:p>
    <w:p w14:paraId="47525395" w14:textId="77777777" w:rsidR="00BF457F" w:rsidRPr="0057612C" w:rsidRDefault="00BF457F" w:rsidP="001A1B00">
      <w:pPr>
        <w:pStyle w:val="ListParagraph"/>
        <w:numPr>
          <w:ilvl w:val="0"/>
          <w:numId w:val="2"/>
        </w:numPr>
      </w:pPr>
      <w:r w:rsidRPr="0057612C">
        <w:t xml:space="preserve">Evaluate the effectiveness of CBCCs and parenting groups, as entry points to improve </w:t>
      </w:r>
      <w:r w:rsidR="001E6C96" w:rsidRPr="0057612C">
        <w:t>nutrition related outcomes to</w:t>
      </w:r>
      <w:r w:rsidRPr="0057612C">
        <w:t xml:space="preserve"> other critical age gr</w:t>
      </w:r>
      <w:r w:rsidR="00756623" w:rsidRPr="0057612C">
        <w:t>oups</w:t>
      </w:r>
      <w:r w:rsidR="000D09CA" w:rsidRPr="0057612C">
        <w:t xml:space="preserve"> including younger siblings of pre-schoolers</w:t>
      </w:r>
    </w:p>
    <w:p w14:paraId="3C5D502C" w14:textId="01D496FF" w:rsidR="00BF457F" w:rsidRPr="0057612C" w:rsidRDefault="00BF457F" w:rsidP="001A1B00">
      <w:pPr>
        <w:pStyle w:val="ListParagraph"/>
        <w:numPr>
          <w:ilvl w:val="0"/>
          <w:numId w:val="2"/>
        </w:numPr>
      </w:pPr>
      <w:r w:rsidRPr="0057612C">
        <w:t>Evaluate the cost, feasibility and sustainability of scaling-up the integrated nutrition and agriculture package through CBCCs and parenting groups</w:t>
      </w:r>
      <w:r w:rsidR="00B82C50">
        <w:t>.</w:t>
      </w:r>
    </w:p>
    <w:p w14:paraId="62D9880A" w14:textId="77777777" w:rsidR="009B64BA" w:rsidRPr="0057612C" w:rsidRDefault="009B64BA" w:rsidP="00CF2509">
      <w:pPr>
        <w:pStyle w:val="Heading1"/>
        <w:rPr>
          <w:rFonts w:asciiTheme="minorHAnsi" w:hAnsiTheme="minorHAnsi" w:cs="Times New Roman"/>
        </w:rPr>
      </w:pPr>
      <w:bookmarkStart w:id="4" w:name="_Toc447729028"/>
      <w:r w:rsidRPr="0057612C">
        <w:rPr>
          <w:rFonts w:asciiTheme="minorHAnsi" w:hAnsiTheme="minorHAnsi" w:cs="Times New Roman"/>
        </w:rPr>
        <w:t>Methods</w:t>
      </w:r>
    </w:p>
    <w:p w14:paraId="4E44E297" w14:textId="77777777" w:rsidR="00CF2509" w:rsidRPr="0057612C" w:rsidRDefault="00CF2509" w:rsidP="00D35B88">
      <w:pPr>
        <w:pStyle w:val="Heading2"/>
      </w:pPr>
      <w:r w:rsidRPr="0057612C">
        <w:t>Programme theory</w:t>
      </w:r>
      <w:bookmarkEnd w:id="4"/>
    </w:p>
    <w:p w14:paraId="43B59778" w14:textId="77777777" w:rsidR="00A76A23" w:rsidRPr="0057612C" w:rsidRDefault="00CF2509" w:rsidP="00A76A23">
      <w:r w:rsidRPr="0057612C">
        <w:t xml:space="preserve">The overall programme theory for the package of nutrition and agriculture interventions is </w:t>
      </w:r>
      <w:r w:rsidR="00943A77" w:rsidRPr="0057612C">
        <w:t xml:space="preserve">guided by the Lancet Series framework on Maternal and Child Nutrition </w:t>
      </w:r>
      <w:r w:rsidR="00834E0E" w:rsidRPr="0057612C">
        <w:t>[</w:t>
      </w:r>
      <w:r w:rsidR="00B45A3E" w:rsidRPr="0057612C">
        <w:t>1</w:t>
      </w:r>
      <w:r w:rsidR="00834E0E" w:rsidRPr="0057612C">
        <w:t>]</w:t>
      </w:r>
      <w:r w:rsidR="00943A77" w:rsidRPr="0057612C">
        <w:t xml:space="preserve"> and </w:t>
      </w:r>
      <w:r w:rsidRPr="0057612C">
        <w:t xml:space="preserve">broadly summarized in Figure 1. For a more detailed analysis of the complex pathways linking agriculture and nutrition, including the different processes, actors, effects and lags see </w:t>
      </w:r>
      <w:r w:rsidR="00834E0E" w:rsidRPr="0057612C">
        <w:t>[</w:t>
      </w:r>
      <w:r w:rsidR="00B436B7">
        <w:t>12</w:t>
      </w:r>
      <w:r w:rsidRPr="0057612C">
        <w:t xml:space="preserve">, </w:t>
      </w:r>
      <w:r w:rsidR="00B436B7">
        <w:t>13</w:t>
      </w:r>
      <w:r w:rsidRPr="0057612C">
        <w:t xml:space="preserve">, </w:t>
      </w:r>
      <w:r w:rsidR="00B436B7">
        <w:t>14</w:t>
      </w:r>
      <w:r w:rsidRPr="0057612C">
        <w:t xml:space="preserve">, </w:t>
      </w:r>
      <w:r w:rsidR="00B45A3E" w:rsidRPr="0057612C">
        <w:t>2</w:t>
      </w:r>
      <w:r w:rsidR="00834E0E" w:rsidRPr="0057612C">
        <w:t>]</w:t>
      </w:r>
      <w:r w:rsidRPr="0057612C">
        <w:t>. The package of interventions affects health and nutrition directly by improving diets, and feeding practices through the behaviour change communication and nutrition education. This</w:t>
      </w:r>
      <w:r w:rsidR="001E6C96" w:rsidRPr="0057612C">
        <w:t>,</w:t>
      </w:r>
      <w:r w:rsidRPr="0057612C">
        <w:t xml:space="preserve"> in turn</w:t>
      </w:r>
      <w:r w:rsidR="001E6C96" w:rsidRPr="0057612C">
        <w:t>,</w:t>
      </w:r>
      <w:r w:rsidRPr="0057612C">
        <w:t xml:space="preserve"> has an indirect impact on pre-schooling, as improving health and nutrition has a positive impact on attention, cognition and learning. By increasing the regularity and quality of the CBCC meals the interventions will also directly influence children’s </w:t>
      </w:r>
      <w:r w:rsidR="00A16C9A" w:rsidRPr="0057612C">
        <w:t>participation in the CBCC</w:t>
      </w:r>
      <w:r w:rsidRPr="0057612C">
        <w:t>. The interventions can also affect agriculture by increasing production,</w:t>
      </w:r>
      <w:r w:rsidR="00943A77" w:rsidRPr="0057612C">
        <w:t xml:space="preserve"> </w:t>
      </w:r>
      <w:r w:rsidR="00A16C9A" w:rsidRPr="0057612C">
        <w:t>sales and profits, and changing the crop production mix.</w:t>
      </w:r>
    </w:p>
    <w:p w14:paraId="28809D8D" w14:textId="77777777" w:rsidR="00943A77" w:rsidRPr="0057612C" w:rsidRDefault="00943A77" w:rsidP="00D35B88">
      <w:pPr>
        <w:pStyle w:val="Heading3"/>
        <w:numPr>
          <w:ilvl w:val="0"/>
          <w:numId w:val="0"/>
        </w:numPr>
        <w:ind w:left="720" w:hanging="720"/>
      </w:pPr>
      <w:bookmarkStart w:id="5" w:name="_Toc447729029"/>
      <w:r w:rsidRPr="0057612C">
        <w:t>Impact on children’s nutrition and health</w:t>
      </w:r>
      <w:bookmarkEnd w:id="5"/>
    </w:p>
    <w:p w14:paraId="69290496" w14:textId="77777777" w:rsidR="00943A77" w:rsidRPr="0057612C" w:rsidRDefault="00943A77" w:rsidP="00943A77">
      <w:r w:rsidRPr="0057612C">
        <w:t xml:space="preserve">The three determinants of undernutrition in children include food, health and care practices </w:t>
      </w:r>
      <w:r w:rsidR="00834E0E" w:rsidRPr="0057612C">
        <w:t>[</w:t>
      </w:r>
      <w:r w:rsidR="00B45A3E" w:rsidRPr="0057612C">
        <w:t>1</w:t>
      </w:r>
      <w:r w:rsidR="00834E0E" w:rsidRPr="0057612C">
        <w:t>]</w:t>
      </w:r>
      <w:r w:rsidRPr="0057612C">
        <w:t>. The main channels through which the intervention has an impact on nutrition and health is through improved diets via increased consumption of nutrient rich foods, and through improved nutrition, health and hygiene practices.</w:t>
      </w:r>
    </w:p>
    <w:p w14:paraId="65A1CA94" w14:textId="77777777" w:rsidR="009B64BA" w:rsidRPr="0057612C" w:rsidRDefault="009B64BA" w:rsidP="009B64BA">
      <w:r w:rsidRPr="0057612C">
        <w:t xml:space="preserve">The proposed intervention package can potentially have an impact on the nutrition and health of children enrolled in CBCCs and their younger siblings, as summarized in Figure 2 in </w:t>
      </w:r>
      <w:r w:rsidR="001E6C96" w:rsidRPr="0057612C">
        <w:t xml:space="preserve">the </w:t>
      </w:r>
      <w:r w:rsidRPr="0057612C">
        <w:t xml:space="preserve">Annex. This involves a combination of direct transfers to the CBCC children (e.g. transfer of nutritious food through pre-school meals) and indirect channels involving the behaviour change campaigns promoting the consumption of nutritious foods and improved nutrition practices at household level. Improved diets, when accompanied by adequate feeding, health and hygiene practices can then contribute to improved health and nutrition. </w:t>
      </w:r>
      <w:proofErr w:type="gramStart"/>
      <w:r w:rsidRPr="0057612C">
        <w:t>In particular:</w:t>
      </w:r>
      <w:proofErr w:type="gramEnd"/>
    </w:p>
    <w:p w14:paraId="0AE572AD" w14:textId="77777777" w:rsidR="009B64BA" w:rsidRPr="0057612C" w:rsidRDefault="009B64BA" w:rsidP="001A1B00">
      <w:pPr>
        <w:pStyle w:val="ListParagraph"/>
        <w:numPr>
          <w:ilvl w:val="0"/>
          <w:numId w:val="3"/>
        </w:numPr>
      </w:pPr>
      <w:r w:rsidRPr="0057612C">
        <w:t xml:space="preserve">The nutritional impact is mediated by the extent of food substitution effects within the household, and the use of the nutritional intake by the child and her siblings. </w:t>
      </w:r>
    </w:p>
    <w:p w14:paraId="1F6D0156" w14:textId="77777777" w:rsidR="009B64BA" w:rsidRPr="0057612C" w:rsidRDefault="009B64BA" w:rsidP="001A1B00">
      <w:pPr>
        <w:pStyle w:val="ListParagraph"/>
        <w:numPr>
          <w:ilvl w:val="0"/>
          <w:numId w:val="3"/>
        </w:numPr>
      </w:pPr>
      <w:r w:rsidRPr="0057612C">
        <w:lastRenderedPageBreak/>
        <w:t xml:space="preserve">Diversifying diets and increasing the intake of micronutrient rich foods can have direct effects on attention and cognition. </w:t>
      </w:r>
    </w:p>
    <w:p w14:paraId="33D8F358" w14:textId="77777777" w:rsidR="009B64BA" w:rsidRPr="0057612C" w:rsidRDefault="009B64BA" w:rsidP="001A1B00">
      <w:pPr>
        <w:pStyle w:val="ListParagraph"/>
        <w:numPr>
          <w:ilvl w:val="0"/>
          <w:numId w:val="3"/>
        </w:numPr>
      </w:pPr>
      <w:r w:rsidRPr="0057612C">
        <w:t xml:space="preserve">Healthier and better nourished children are then better positioned to learn new skills both at the CBCC and elsewhere. </w:t>
      </w:r>
    </w:p>
    <w:p w14:paraId="24FC4C2A" w14:textId="77777777" w:rsidR="009B64BA" w:rsidRPr="0057612C" w:rsidRDefault="009B64BA" w:rsidP="001A1B00">
      <w:pPr>
        <w:pStyle w:val="ListParagraph"/>
        <w:numPr>
          <w:ilvl w:val="0"/>
          <w:numId w:val="3"/>
        </w:numPr>
      </w:pPr>
      <w:r w:rsidRPr="0057612C">
        <w:t>All these effects are mediated to some degree by women’s role</w:t>
      </w:r>
      <w:r w:rsidR="001E6C96" w:rsidRPr="0057612C">
        <w:t>s</w:t>
      </w:r>
      <w:r w:rsidRPr="0057612C">
        <w:t xml:space="preserve"> in the household, time allocation and decision-making.</w:t>
      </w:r>
    </w:p>
    <w:p w14:paraId="7E02AEE3" w14:textId="77777777" w:rsidR="009B64BA" w:rsidRPr="0057612C" w:rsidRDefault="009B64BA" w:rsidP="009B64BA">
      <w:r w:rsidRPr="0057612C">
        <w:t xml:space="preserve">Substitution, or intra-household reallocation, may occur when households re-adjust consumption patterns in response to the CBCC meals, or to a change in diet, by substituting foods normally consumed at home, or with other foods with similar properties. Substitution is a complex issue involving changing household dynamics where </w:t>
      </w:r>
      <w:r w:rsidR="001E6C96" w:rsidRPr="0057612C">
        <w:t>gender plays a fundamental role.</w:t>
      </w:r>
      <w:r w:rsidRPr="0057612C">
        <w:t xml:space="preserve"> </w:t>
      </w:r>
      <w:r w:rsidR="001E6C96" w:rsidRPr="0057612C">
        <w:t>I</w:t>
      </w:r>
      <w:r w:rsidRPr="0057612C">
        <w:t>nfluencing possible substitution effects will be critical in determining the potential impacts on children’s nutrition and health.</w:t>
      </w:r>
    </w:p>
    <w:p w14:paraId="47FC2D2E" w14:textId="77777777" w:rsidR="009B64BA" w:rsidRPr="0057612C" w:rsidRDefault="009B64BA" w:rsidP="009B64BA">
      <w:r w:rsidRPr="0057612C">
        <w:t xml:space="preserve">Changes in individual level dietary diversity have been found to be strongly associated with micronutrient adequacy of diets for women </w:t>
      </w:r>
      <w:r w:rsidR="00834E0E" w:rsidRPr="0057612C">
        <w:t>[</w:t>
      </w:r>
      <w:r w:rsidR="00B436B7">
        <w:t>15</w:t>
      </w:r>
      <w:r w:rsidR="00834E0E" w:rsidRPr="0057612C">
        <w:t>]</w:t>
      </w:r>
      <w:r w:rsidRPr="0057612C">
        <w:t xml:space="preserve"> and micronutrient density adequacy of diets in children </w:t>
      </w:r>
      <w:r w:rsidR="00834E0E" w:rsidRPr="0057612C">
        <w:t>[</w:t>
      </w:r>
      <w:r w:rsidR="00B45A3E" w:rsidRPr="0057612C">
        <w:t>15</w:t>
      </w:r>
      <w:r w:rsidR="00834E0E" w:rsidRPr="0057612C">
        <w:t>]</w:t>
      </w:r>
      <w:r w:rsidRPr="0057612C">
        <w:t xml:space="preserve">. Addressing micronutrient deficiencies can improve a range of health, nutrition and developmental outcomes in infants and young children, particularly if implemented alongside behaviour change on health and nutrition practices </w:t>
      </w:r>
      <w:r w:rsidR="00834E0E" w:rsidRPr="0057612C">
        <w:t>[</w:t>
      </w:r>
      <w:r w:rsidR="00B436B7">
        <w:t>17</w:t>
      </w:r>
      <w:r w:rsidR="00834E0E" w:rsidRPr="0057612C">
        <w:t>]</w:t>
      </w:r>
      <w:r w:rsidRPr="0057612C">
        <w:t>. Conceptually, this framework suggests that the emphasis of the interventions on the short-term should focus on integrating nutrition education and messaging, alongside the CBCC meals to deliver improved intake of micronutrient rich foods, with the potential of leading to improved household diets.</w:t>
      </w:r>
    </w:p>
    <w:p w14:paraId="26E7A586" w14:textId="55CA6176" w:rsidR="00BB2459" w:rsidRPr="0057612C" w:rsidRDefault="00FC7CDC" w:rsidP="00CF2509">
      <w:r w:rsidRPr="0057612C">
        <w:t>Restoring</w:t>
      </w:r>
      <w:r w:rsidR="00FA0D9D" w:rsidRPr="0057612C">
        <w:t xml:space="preserve"> micronutrient</w:t>
      </w:r>
      <w:r w:rsidRPr="0057612C">
        <w:t>s</w:t>
      </w:r>
      <w:r w:rsidR="00FA0D9D" w:rsidRPr="0057612C">
        <w:t xml:space="preserve"> and </w:t>
      </w:r>
      <w:r w:rsidRPr="0057612C">
        <w:t xml:space="preserve">enhancing </w:t>
      </w:r>
      <w:r w:rsidR="00FA0D9D" w:rsidRPr="0057612C">
        <w:t>energy intake can also have an impact on atte</w:t>
      </w:r>
      <w:r w:rsidR="00B436B7">
        <w:t>ntion and motivation. Energy [18] and iron intake [19</w:t>
      </w:r>
      <w:r w:rsidR="00FA0D9D" w:rsidRPr="0057612C">
        <w:t xml:space="preserve">] can have an impact on hyperactivity, withdrawal, nervousness, hostile behaviour and happiness. The emotional status of children </w:t>
      </w:r>
      <w:r w:rsidRPr="0057612C">
        <w:t>may also affect</w:t>
      </w:r>
      <w:r w:rsidR="00FA0D9D" w:rsidRPr="0057612C">
        <w:t xml:space="preserve"> attention span</w:t>
      </w:r>
      <w:r w:rsidRPr="0057612C">
        <w:t xml:space="preserve"> and have other positive spill-overs</w:t>
      </w:r>
      <w:r w:rsidR="00FA0D9D" w:rsidRPr="0057612C">
        <w:t xml:space="preserve">. Caregivers, and peers, are also likely to be affected by the increase in attention and concentration. </w:t>
      </w:r>
      <w:r w:rsidR="00F50F48" w:rsidRPr="0057612C">
        <w:rPr>
          <w:noProof/>
          <w:lang w:val="en-US" w:eastAsia="en-US"/>
        </w:rPr>
        <mc:AlternateContent>
          <mc:Choice Requires="wps">
            <w:drawing>
              <wp:anchor distT="0" distB="0" distL="114300" distR="114300" simplePos="0" relativeHeight="251659264" behindDoc="0" locked="0" layoutInCell="1" allowOverlap="1" wp14:anchorId="7AAE47ED" wp14:editId="0B0A3D8C">
                <wp:simplePos x="0" y="0"/>
                <wp:positionH relativeFrom="column">
                  <wp:posOffset>5874385</wp:posOffset>
                </wp:positionH>
                <wp:positionV relativeFrom="paragraph">
                  <wp:posOffset>2774579</wp:posOffset>
                </wp:positionV>
                <wp:extent cx="0" cy="228600"/>
                <wp:effectExtent l="0" t="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0" cy="2286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E1542"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5pt,218.45pt" to="462.5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" strokecolor="#5a5a5a [2109]"/>
            </w:pict>
          </mc:Fallback>
        </mc:AlternateContent>
      </w:r>
    </w:p>
    <w:p w14:paraId="1FC5DA20" w14:textId="2E3CD717" w:rsidR="00BB2459" w:rsidRPr="0057612C" w:rsidRDefault="00BB2459" w:rsidP="00BB2459">
      <w:pPr>
        <w:pStyle w:val="Caption"/>
      </w:pPr>
      <w:r w:rsidRPr="0057612C">
        <w:t xml:space="preserve">Figure </w:t>
      </w:r>
      <w:r w:rsidR="008638A6">
        <w:t>1</w:t>
      </w:r>
      <w:r w:rsidRPr="0057612C">
        <w:t xml:space="preserve">: Overall programme theory for the </w:t>
      </w:r>
      <w:r w:rsidR="0067137C" w:rsidRPr="0057612C">
        <w:t xml:space="preserve">agriculture and nutrition </w:t>
      </w:r>
      <w:r w:rsidRPr="0057612C">
        <w:t>intervention.</w:t>
      </w:r>
    </w:p>
    <w:p w14:paraId="14D2F29A" w14:textId="77777777" w:rsidR="00CF2509" w:rsidRPr="0057612C" w:rsidRDefault="00CF2509" w:rsidP="003E5C99">
      <w:pPr>
        <w:pStyle w:val="Heading3"/>
        <w:numPr>
          <w:ilvl w:val="0"/>
          <w:numId w:val="0"/>
        </w:numPr>
      </w:pPr>
      <w:bookmarkStart w:id="6" w:name="_Toc447729030"/>
      <w:r w:rsidRPr="0057612C">
        <w:t>Impact on agriculture</w:t>
      </w:r>
      <w:bookmarkEnd w:id="6"/>
    </w:p>
    <w:p w14:paraId="7BB1BAB5" w14:textId="77777777" w:rsidR="00CF2509" w:rsidRPr="0057612C" w:rsidRDefault="00CF2509" w:rsidP="00BB2459">
      <w:r w:rsidRPr="0057612C">
        <w:t xml:space="preserve">From an agricultural perspective, the intervention focuses on increasing food production in the CBCC garden and home-gardens by increasing yields or efficiencies through input provisions or training on farming practices. The intervention can also influence the basket of products that are being produced, supporting the production of higher-value crops and/or more nutritious crops through the provision of seeds, educational campaigns, or the opening of new market channels. The selection of </w:t>
      </w:r>
      <w:proofErr w:type="gramStart"/>
      <w:r w:rsidRPr="0057612C">
        <w:t>particular crops</w:t>
      </w:r>
      <w:proofErr w:type="gramEnd"/>
      <w:r w:rsidRPr="0057612C">
        <w:t xml:space="preserve"> involves balancing the pros- and cons of substitution between crops for production</w:t>
      </w:r>
      <w:r w:rsidR="0098600E" w:rsidRPr="0057612C">
        <w:t>, sale</w:t>
      </w:r>
      <w:r w:rsidRPr="0057612C">
        <w:t xml:space="preserve"> and consumption and the long-term impacts for both incomes and nutrition</w:t>
      </w:r>
      <w:r w:rsidR="00BB2459" w:rsidRPr="0057612C">
        <w:t xml:space="preserve"> (see </w:t>
      </w:r>
      <w:r w:rsidR="00B436B7">
        <w:t>[20</w:t>
      </w:r>
      <w:r w:rsidR="00B45A3E" w:rsidRPr="0057612C">
        <w:t>]</w:t>
      </w:r>
      <w:r w:rsidR="00BB2459" w:rsidRPr="0057612C">
        <w:t xml:space="preserve"> for more details)</w:t>
      </w:r>
      <w:r w:rsidRPr="0057612C">
        <w:t xml:space="preserve">.  </w:t>
      </w:r>
    </w:p>
    <w:p w14:paraId="6C54BDDE" w14:textId="77777777" w:rsidR="003E762C" w:rsidRPr="0057612C" w:rsidRDefault="003E762C" w:rsidP="003E762C">
      <w:pPr>
        <w:pStyle w:val="Heading2"/>
        <w:rPr>
          <w:rFonts w:cs="Times New Roman"/>
        </w:rPr>
      </w:pPr>
      <w:bookmarkStart w:id="7" w:name="_Toc311205197"/>
      <w:bookmarkStart w:id="8" w:name="_Toc447729031"/>
      <w:r w:rsidRPr="0057612C">
        <w:rPr>
          <w:rFonts w:cs="Times New Roman"/>
        </w:rPr>
        <w:t>Main hypotheses and outcome indicators</w:t>
      </w:r>
      <w:bookmarkEnd w:id="7"/>
      <w:bookmarkEnd w:id="8"/>
    </w:p>
    <w:p w14:paraId="0A04E144" w14:textId="77777777" w:rsidR="00BB2459" w:rsidRPr="0057612C" w:rsidRDefault="00BB2459" w:rsidP="00A7313C">
      <w:pPr>
        <w:spacing w:after="0"/>
        <w:rPr>
          <w:rFonts w:cs="Times New Roman"/>
        </w:rPr>
      </w:pPr>
      <w:r w:rsidRPr="0057612C">
        <w:rPr>
          <w:rFonts w:cs="Times New Roman"/>
        </w:rPr>
        <w:t>The expected impact of the intervention discussed in the a</w:t>
      </w:r>
      <w:r w:rsidR="009B64BA" w:rsidRPr="0057612C">
        <w:rPr>
          <w:rFonts w:cs="Times New Roman"/>
        </w:rPr>
        <w:t>nalysis of the programme theory</w:t>
      </w:r>
      <w:r w:rsidRPr="0057612C">
        <w:rPr>
          <w:rFonts w:cs="Times New Roman"/>
        </w:rPr>
        <w:t xml:space="preserve"> is summarized below. The intervention is expected to have a positive impact on</w:t>
      </w:r>
      <w:r w:rsidR="00A7313C" w:rsidRPr="0057612C">
        <w:rPr>
          <w:rFonts w:cs="Times New Roman"/>
        </w:rPr>
        <w:t>:</w:t>
      </w:r>
    </w:p>
    <w:p w14:paraId="7842ABAA" w14:textId="77777777" w:rsidR="00BB2459" w:rsidRPr="0057612C" w:rsidRDefault="00FD5F89" w:rsidP="001A1B00">
      <w:pPr>
        <w:pStyle w:val="ListParagraph"/>
        <w:numPr>
          <w:ilvl w:val="0"/>
          <w:numId w:val="4"/>
        </w:numPr>
        <w:spacing w:after="100"/>
        <w:rPr>
          <w:rFonts w:cs="Times New Roman"/>
        </w:rPr>
      </w:pPr>
      <w:r w:rsidRPr="0057612C">
        <w:rPr>
          <w:rFonts w:cs="Times New Roman"/>
        </w:rPr>
        <w:t>Pre-school</w:t>
      </w:r>
      <w:r w:rsidR="0098600E" w:rsidRPr="0057612C">
        <w:rPr>
          <w:rFonts w:cs="Times New Roman"/>
        </w:rPr>
        <w:t xml:space="preserve"> enrolment and attendance;</w:t>
      </w:r>
      <w:r w:rsidR="00BB2459" w:rsidRPr="0057612C">
        <w:rPr>
          <w:rFonts w:cs="Times New Roman"/>
        </w:rPr>
        <w:t xml:space="preserve"> </w:t>
      </w:r>
    </w:p>
    <w:p w14:paraId="30C0A147" w14:textId="77777777" w:rsidR="00BB2459" w:rsidRPr="0057612C" w:rsidRDefault="00BB2459" w:rsidP="001A1B00">
      <w:pPr>
        <w:pStyle w:val="ListParagraph"/>
        <w:numPr>
          <w:ilvl w:val="0"/>
          <w:numId w:val="4"/>
        </w:numPr>
        <w:spacing w:after="100"/>
        <w:rPr>
          <w:rFonts w:cs="Times New Roman"/>
        </w:rPr>
      </w:pPr>
      <w:r w:rsidRPr="0057612C">
        <w:rPr>
          <w:rFonts w:cs="Times New Roman"/>
        </w:rPr>
        <w:t xml:space="preserve">Children’s diets and household diet diversity; </w:t>
      </w:r>
    </w:p>
    <w:p w14:paraId="68F7F8D5" w14:textId="53B17766" w:rsidR="00BB2459" w:rsidRPr="0057612C" w:rsidRDefault="00BB2459" w:rsidP="001A1B00">
      <w:pPr>
        <w:pStyle w:val="ListParagraph"/>
        <w:numPr>
          <w:ilvl w:val="0"/>
          <w:numId w:val="4"/>
        </w:numPr>
        <w:spacing w:after="100"/>
        <w:rPr>
          <w:rFonts w:cs="Times New Roman"/>
        </w:rPr>
      </w:pPr>
      <w:r w:rsidRPr="0057612C">
        <w:rPr>
          <w:rFonts w:cs="Times New Roman"/>
        </w:rPr>
        <w:t xml:space="preserve">Infant and young children’s nutrition </w:t>
      </w:r>
      <w:r w:rsidR="00B82C50">
        <w:rPr>
          <w:rFonts w:cs="Times New Roman"/>
        </w:rPr>
        <w:t xml:space="preserve">status </w:t>
      </w:r>
      <w:r w:rsidRPr="0057612C">
        <w:rPr>
          <w:rFonts w:cs="Times New Roman"/>
        </w:rPr>
        <w:t xml:space="preserve">and child caring practices; </w:t>
      </w:r>
    </w:p>
    <w:p w14:paraId="0C11EDA1" w14:textId="77777777" w:rsidR="00BB2459" w:rsidRPr="0057612C" w:rsidRDefault="00BB2459" w:rsidP="001A1B00">
      <w:pPr>
        <w:pStyle w:val="ListParagraph"/>
        <w:numPr>
          <w:ilvl w:val="0"/>
          <w:numId w:val="4"/>
        </w:numPr>
        <w:spacing w:after="100"/>
        <w:rPr>
          <w:rFonts w:cs="Times New Roman"/>
        </w:rPr>
      </w:pPr>
      <w:r w:rsidRPr="0057612C">
        <w:rPr>
          <w:rFonts w:cs="Times New Roman"/>
        </w:rPr>
        <w:t>Agricultural production.</w:t>
      </w:r>
    </w:p>
    <w:p w14:paraId="26D602B2" w14:textId="77777777" w:rsidR="00BB2459" w:rsidRPr="0057612C" w:rsidRDefault="00BB2459" w:rsidP="00A7313C">
      <w:pPr>
        <w:spacing w:after="0"/>
        <w:rPr>
          <w:rFonts w:cs="Times New Roman"/>
        </w:rPr>
      </w:pPr>
      <w:r w:rsidRPr="0057612C">
        <w:rPr>
          <w:rFonts w:cs="Times New Roman"/>
        </w:rPr>
        <w:t>A limited impact is expected on</w:t>
      </w:r>
      <w:r w:rsidR="00A7313C" w:rsidRPr="0057612C">
        <w:rPr>
          <w:rFonts w:cs="Times New Roman"/>
        </w:rPr>
        <w:t>:</w:t>
      </w:r>
    </w:p>
    <w:p w14:paraId="7B322BE5" w14:textId="77777777" w:rsidR="00BB2459" w:rsidRPr="0057612C" w:rsidRDefault="00BB2459" w:rsidP="001A1B00">
      <w:pPr>
        <w:pStyle w:val="ListParagraph"/>
        <w:numPr>
          <w:ilvl w:val="0"/>
          <w:numId w:val="5"/>
        </w:numPr>
        <w:spacing w:after="100"/>
        <w:rPr>
          <w:rFonts w:cs="Times New Roman"/>
        </w:rPr>
      </w:pPr>
      <w:r w:rsidRPr="0057612C">
        <w:rPr>
          <w:rFonts w:cs="Times New Roman"/>
        </w:rPr>
        <w:lastRenderedPageBreak/>
        <w:t>Micronut</w:t>
      </w:r>
      <w:r w:rsidR="0098600E" w:rsidRPr="0057612C">
        <w:rPr>
          <w:rFonts w:cs="Times New Roman"/>
        </w:rPr>
        <w:t>rient status, child development,</w:t>
      </w:r>
      <w:r w:rsidRPr="0057612C">
        <w:rPr>
          <w:rFonts w:cs="Times New Roman"/>
        </w:rPr>
        <w:t xml:space="preserve"> physical growth;</w:t>
      </w:r>
    </w:p>
    <w:p w14:paraId="4ECAEA19" w14:textId="77777777" w:rsidR="00BB2459" w:rsidRPr="0057612C" w:rsidRDefault="00BB2459" w:rsidP="001A1B00">
      <w:pPr>
        <w:pStyle w:val="ListParagraph"/>
        <w:numPr>
          <w:ilvl w:val="0"/>
          <w:numId w:val="5"/>
        </w:numPr>
        <w:spacing w:after="100"/>
        <w:rPr>
          <w:rFonts w:cs="Times New Roman"/>
        </w:rPr>
      </w:pPr>
      <w:r w:rsidRPr="0057612C">
        <w:rPr>
          <w:rFonts w:cs="Times New Roman"/>
        </w:rPr>
        <w:t>Agricultural income.</w:t>
      </w:r>
    </w:p>
    <w:p w14:paraId="5983AF4D" w14:textId="77777777" w:rsidR="00BB2459" w:rsidRPr="0057612C" w:rsidRDefault="00BB2459" w:rsidP="00BB2459">
      <w:pPr>
        <w:spacing w:after="100"/>
        <w:rPr>
          <w:rFonts w:cs="Times New Roman"/>
        </w:rPr>
      </w:pPr>
      <w:r w:rsidRPr="0057612C">
        <w:rPr>
          <w:rFonts w:cs="Times New Roman"/>
        </w:rPr>
        <w:t>The main indicators for the evaluation</w:t>
      </w:r>
      <w:r w:rsidR="00A7313C" w:rsidRPr="0057612C">
        <w:rPr>
          <w:rFonts w:cs="Times New Roman"/>
        </w:rPr>
        <w:t xml:space="preserve"> are summarised in Table 2.</w:t>
      </w:r>
    </w:p>
    <w:p w14:paraId="2BE8FE3B" w14:textId="7E84CC83" w:rsidR="003E762C" w:rsidRPr="0057612C" w:rsidRDefault="003E762C" w:rsidP="003E762C">
      <w:pPr>
        <w:spacing w:after="100"/>
        <w:rPr>
          <w:rFonts w:cs="Times New Roman"/>
          <w:b/>
        </w:rPr>
      </w:pPr>
      <w:r w:rsidRPr="0057612C">
        <w:rPr>
          <w:rFonts w:cs="Times New Roman"/>
          <w:b/>
        </w:rPr>
        <w:t>Table</w:t>
      </w:r>
      <w:r w:rsidR="008638A6">
        <w:rPr>
          <w:rFonts w:cs="Times New Roman"/>
          <w:b/>
        </w:rPr>
        <w:t xml:space="preserve"> 2</w:t>
      </w:r>
      <w:r w:rsidRPr="0057612C">
        <w:rPr>
          <w:rFonts w:cs="Times New Roman"/>
          <w:b/>
        </w:rPr>
        <w:t>: Main outcome indicators of the intervention</w:t>
      </w:r>
    </w:p>
    <w:p w14:paraId="27A71E5D" w14:textId="77777777" w:rsidR="003E762C" w:rsidRPr="0057612C" w:rsidRDefault="003E762C" w:rsidP="003E762C">
      <w:pPr>
        <w:spacing w:after="0"/>
        <w:rPr>
          <w:rFonts w:cs="Times New Roman"/>
          <w:sz w:val="8"/>
        </w:rPr>
      </w:pPr>
    </w:p>
    <w:p w14:paraId="5144A270" w14:textId="5CE65189" w:rsidR="00762AE4" w:rsidRPr="0057612C" w:rsidRDefault="003E762C" w:rsidP="00845E59">
      <w:pPr>
        <w:rPr>
          <w:rFonts w:cs="Times New Roman"/>
        </w:rPr>
      </w:pPr>
      <w:r w:rsidRPr="0057612C">
        <w:rPr>
          <w:rFonts w:cs="Times New Roman"/>
        </w:rPr>
        <w:t xml:space="preserve">Note that in addition to outcome indicators we will also observe the programme impact on intermediate indicators, particularly for those outcomes that are more difficult to observe directly. In </w:t>
      </w:r>
      <w:r w:rsidR="00BB2459" w:rsidRPr="0057612C">
        <w:rPr>
          <w:rFonts w:cs="Times New Roman"/>
        </w:rPr>
        <w:t>the</w:t>
      </w:r>
      <w:r w:rsidRPr="0057612C">
        <w:rPr>
          <w:rFonts w:cs="Times New Roman"/>
        </w:rPr>
        <w:t xml:space="preserve"> </w:t>
      </w:r>
      <w:r w:rsidR="00BB2459" w:rsidRPr="0057612C">
        <w:rPr>
          <w:rFonts w:cs="Times New Roman"/>
        </w:rPr>
        <w:t>agriculture domain</w:t>
      </w:r>
      <w:r w:rsidRPr="0057612C">
        <w:rPr>
          <w:rFonts w:cs="Times New Roman"/>
        </w:rPr>
        <w:t xml:space="preserve">, we will look at intermediate outcome such as input use (labour, land, seeds and fertiliser), investments (farm capital like tools and machinery), and market access (marketed surplus, prices and markets). The quantity, quality, and timely preparation and delivery of food in </w:t>
      </w:r>
      <w:r w:rsidR="00BB2459" w:rsidRPr="0057612C">
        <w:rPr>
          <w:rFonts w:cs="Times New Roman"/>
        </w:rPr>
        <w:t>the CBCCs</w:t>
      </w:r>
      <w:r w:rsidRPr="0057612C">
        <w:rPr>
          <w:rFonts w:cs="Times New Roman"/>
        </w:rPr>
        <w:t xml:space="preserve"> will also be </w:t>
      </w:r>
      <w:r w:rsidR="00845E59" w:rsidRPr="0057612C">
        <w:rPr>
          <w:rFonts w:cs="Times New Roman"/>
        </w:rPr>
        <w:t>explored</w:t>
      </w:r>
      <w:r w:rsidRPr="0057612C">
        <w:rPr>
          <w:rFonts w:cs="Times New Roman"/>
        </w:rPr>
        <w:t>.</w:t>
      </w:r>
      <w:r w:rsidR="0035476C">
        <w:rPr>
          <w:rFonts w:cs="Times New Roman"/>
        </w:rPr>
        <w:t xml:space="preserve"> </w:t>
      </w:r>
    </w:p>
    <w:p w14:paraId="5118758F" w14:textId="77777777" w:rsidR="003E762C" w:rsidRPr="0057612C" w:rsidRDefault="00A76A23" w:rsidP="00354F84">
      <w:pPr>
        <w:pStyle w:val="Heading2"/>
      </w:pPr>
      <w:bookmarkStart w:id="9" w:name="_Toc447729032"/>
      <w:r w:rsidRPr="0057612C">
        <w:t>Design of the randomised evaluation</w:t>
      </w:r>
      <w:bookmarkEnd w:id="9"/>
    </w:p>
    <w:p w14:paraId="1222860B" w14:textId="2F6892AB" w:rsidR="00C5639F" w:rsidRPr="0057612C" w:rsidRDefault="004D1BE8" w:rsidP="004D1BE8">
      <w:r w:rsidRPr="0057612C">
        <w:t>A cluster randomised trial (</w:t>
      </w:r>
      <w:r w:rsidR="0086034D" w:rsidRPr="0057612C">
        <w:t>CRT</w:t>
      </w:r>
      <w:r w:rsidR="00A305ED" w:rsidRPr="0057612C">
        <w:t>)</w:t>
      </w:r>
      <w:r w:rsidR="00B45A3E" w:rsidRPr="0057612C">
        <w:t xml:space="preserve"> </w:t>
      </w:r>
      <w:r w:rsidR="00A305ED" w:rsidRPr="0057612C">
        <w:t>is being</w:t>
      </w:r>
      <w:r w:rsidRPr="0057612C">
        <w:t xml:space="preserve"> implemented in 60 rural communities with CBCCs supported by Save the Children’s ECD program in </w:t>
      </w:r>
      <w:proofErr w:type="spellStart"/>
      <w:r w:rsidRPr="0057612C">
        <w:t>Zomba</w:t>
      </w:r>
      <w:proofErr w:type="spellEnd"/>
      <w:r w:rsidRPr="0057612C">
        <w:t xml:space="preserve"> district, Malawi. The evaluation follow</w:t>
      </w:r>
      <w:r w:rsidR="00A305ED" w:rsidRPr="0057612C">
        <w:t>s</w:t>
      </w:r>
      <w:r w:rsidRPr="0057612C">
        <w:t xml:space="preserve"> a mixed-method</w:t>
      </w:r>
      <w:r w:rsidR="005C30F2">
        <w:t>s</w:t>
      </w:r>
      <w:r w:rsidRPr="0057612C">
        <w:t xml:space="preserve"> approach </w:t>
      </w:r>
      <w:r w:rsidR="001E6C96" w:rsidRPr="0057612C">
        <w:t xml:space="preserve">(combining quantitative and qualitative </w:t>
      </w:r>
      <w:r w:rsidR="00A7313C" w:rsidRPr="0057612C">
        <w:t>methods</w:t>
      </w:r>
      <w:r w:rsidR="009524CA" w:rsidRPr="0057612C">
        <w:t xml:space="preserve">) </w:t>
      </w:r>
      <w:r w:rsidRPr="0057612C">
        <w:t>with two rounds of surveys</w:t>
      </w:r>
      <w:r w:rsidR="00CD72A0" w:rsidRPr="0057612C">
        <w:t xml:space="preserve"> </w:t>
      </w:r>
      <w:r w:rsidR="005C30F2">
        <w:t xml:space="preserve">and assessments </w:t>
      </w:r>
      <w:r w:rsidR="00CD72A0" w:rsidRPr="0057612C">
        <w:t xml:space="preserve">timed </w:t>
      </w:r>
      <w:r w:rsidR="009524CA" w:rsidRPr="0057612C">
        <w:t>one year apart</w:t>
      </w:r>
      <w:r w:rsidRPr="0057612C">
        <w:t xml:space="preserve">, including child, caregiver, household, CBCC and </w:t>
      </w:r>
      <w:r w:rsidR="00CD72A0" w:rsidRPr="0057612C">
        <w:t>market</w:t>
      </w:r>
      <w:r w:rsidRPr="0057612C">
        <w:t xml:space="preserve"> level data collection.</w:t>
      </w:r>
    </w:p>
    <w:p w14:paraId="517CFF61" w14:textId="77777777" w:rsidR="007C34E1" w:rsidRPr="0057612C" w:rsidRDefault="007C34E1" w:rsidP="007C34E1">
      <w:pPr>
        <w:pStyle w:val="Heading2"/>
        <w:rPr>
          <w:rFonts w:cs="Times New Roman"/>
        </w:rPr>
      </w:pPr>
      <w:bookmarkStart w:id="10" w:name="_Toc447729033"/>
      <w:r w:rsidRPr="0057612C">
        <w:rPr>
          <w:rFonts w:cs="Times New Roman"/>
        </w:rPr>
        <w:t>Study site</w:t>
      </w:r>
      <w:bookmarkEnd w:id="10"/>
    </w:p>
    <w:p w14:paraId="435E0C99" w14:textId="77777777" w:rsidR="007C34E1" w:rsidRPr="0057612C" w:rsidRDefault="007C34E1" w:rsidP="007C34E1">
      <w:r w:rsidRPr="0057612C">
        <w:t xml:space="preserve">The intervention is targeted to disadvantaged communities within </w:t>
      </w:r>
      <w:proofErr w:type="spellStart"/>
      <w:r w:rsidRPr="0057612C">
        <w:t>Zomba</w:t>
      </w:r>
      <w:proofErr w:type="spellEnd"/>
      <w:r w:rsidRPr="0057612C">
        <w:t xml:space="preserve"> district in Malawi. The proposed study population includes CBCCs currently supported by Save the Children with an ECD package, including parenting and CBCC quality improvement. The geographical area for intervention was targeted by Save the Children </w:t>
      </w:r>
      <w:proofErr w:type="gramStart"/>
      <w:r w:rsidRPr="0057612C">
        <w:t>on the basis of</w:t>
      </w:r>
      <w:proofErr w:type="gramEnd"/>
      <w:r w:rsidRPr="0057612C">
        <w:t xml:space="preserve"> a set of education variables that impact pupil attendance and achievement in school. Within </w:t>
      </w:r>
      <w:proofErr w:type="spellStart"/>
      <w:r w:rsidRPr="0057612C">
        <w:t>Zomba</w:t>
      </w:r>
      <w:proofErr w:type="spellEnd"/>
      <w:r w:rsidRPr="0057612C">
        <w:t xml:space="preserve">, two </w:t>
      </w:r>
      <w:r w:rsidR="0098600E" w:rsidRPr="0057612C">
        <w:t>traditional authorities (</w:t>
      </w:r>
      <w:r w:rsidRPr="0057612C">
        <w:t>TAs</w:t>
      </w:r>
      <w:r w:rsidR="0098600E" w:rsidRPr="0057612C">
        <w:t>)</w:t>
      </w:r>
      <w:r w:rsidRPr="0057612C">
        <w:t xml:space="preserve"> and two sub TAs were selected based on need (education and health) and presence of other NGOs to implement the ECD program. Save the Children’s ECD program currently reaches 228 communities, 109 in </w:t>
      </w:r>
      <w:r w:rsidR="00864BC6" w:rsidRPr="0057612C">
        <w:t>Traditional Authority (</w:t>
      </w:r>
      <w:r w:rsidRPr="0057612C">
        <w:t>TA</w:t>
      </w:r>
      <w:r w:rsidR="00864BC6" w:rsidRPr="0057612C">
        <w:t>)</w:t>
      </w:r>
      <w:r w:rsidRPr="0057612C">
        <w:t xml:space="preserve"> </w:t>
      </w:r>
      <w:proofErr w:type="spellStart"/>
      <w:r w:rsidRPr="0057612C">
        <w:t>Chi</w:t>
      </w:r>
      <w:r w:rsidR="00864BC6" w:rsidRPr="0057612C">
        <w:t>kowi</w:t>
      </w:r>
      <w:proofErr w:type="spellEnd"/>
      <w:r w:rsidR="00864BC6" w:rsidRPr="0057612C">
        <w:t xml:space="preserve">, 42 in TA </w:t>
      </w:r>
      <w:proofErr w:type="spellStart"/>
      <w:r w:rsidR="00864BC6" w:rsidRPr="0057612C">
        <w:t>Mbiza</w:t>
      </w:r>
      <w:proofErr w:type="spellEnd"/>
      <w:r w:rsidR="00864BC6" w:rsidRPr="0057612C">
        <w:t>, 37 in Sub-</w:t>
      </w:r>
      <w:r w:rsidRPr="0057612C">
        <w:t>TA</w:t>
      </w:r>
      <w:r w:rsidR="00864BC6" w:rsidRPr="0057612C">
        <w:t xml:space="preserve"> (STA)</w:t>
      </w:r>
      <w:r w:rsidRPr="0057612C">
        <w:t xml:space="preserve"> </w:t>
      </w:r>
      <w:proofErr w:type="spellStart"/>
      <w:r w:rsidRPr="0057612C">
        <w:t>Ntholowa</w:t>
      </w:r>
      <w:proofErr w:type="spellEnd"/>
      <w:r w:rsidRPr="0057612C">
        <w:t xml:space="preserve"> and 40 in STA </w:t>
      </w:r>
      <w:proofErr w:type="spellStart"/>
      <w:r w:rsidRPr="0057612C">
        <w:t>Ngwelero</w:t>
      </w:r>
      <w:proofErr w:type="spellEnd"/>
      <w:r w:rsidRPr="0057612C">
        <w:t xml:space="preserve">. 68 of these (27 in TA </w:t>
      </w:r>
      <w:proofErr w:type="spellStart"/>
      <w:r w:rsidRPr="0057612C">
        <w:t>Chikowi</w:t>
      </w:r>
      <w:proofErr w:type="spellEnd"/>
      <w:r w:rsidRPr="0057612C">
        <w:t xml:space="preserve"> and 41 in TA </w:t>
      </w:r>
      <w:proofErr w:type="spellStart"/>
      <w:r w:rsidRPr="0057612C">
        <w:t>Mbiza</w:t>
      </w:r>
      <w:proofErr w:type="spellEnd"/>
      <w:r w:rsidRPr="0057612C">
        <w:t xml:space="preserve">) </w:t>
      </w:r>
      <w:r w:rsidR="00864BC6" w:rsidRPr="0057612C">
        <w:t>had</w:t>
      </w:r>
      <w:r w:rsidRPr="0057612C">
        <w:t xml:space="preserve"> benefit</w:t>
      </w:r>
      <w:r w:rsidR="00864BC6" w:rsidRPr="0057612C">
        <w:t>ed</w:t>
      </w:r>
      <w:r w:rsidRPr="0057612C">
        <w:t xml:space="preserve"> from the agriculture and nutrition components</w:t>
      </w:r>
      <w:r w:rsidR="00864BC6" w:rsidRPr="0057612C">
        <w:t xml:space="preserve"> already</w:t>
      </w:r>
      <w:r w:rsidRPr="0057612C">
        <w:t xml:space="preserve"> and </w:t>
      </w:r>
      <w:r w:rsidR="00864BC6" w:rsidRPr="0057612C">
        <w:t>were</w:t>
      </w:r>
      <w:r w:rsidRPr="0057612C">
        <w:t xml:space="preserve"> therefore excluded from the evaluation.</w:t>
      </w:r>
    </w:p>
    <w:p w14:paraId="0A1613B1" w14:textId="77777777" w:rsidR="007C34E1" w:rsidRPr="0057612C" w:rsidRDefault="007C34E1" w:rsidP="007C34E1">
      <w:pPr>
        <w:pStyle w:val="Heading2"/>
        <w:rPr>
          <w:rFonts w:cs="Times New Roman"/>
        </w:rPr>
      </w:pPr>
      <w:bookmarkStart w:id="11" w:name="_Toc447729034"/>
      <w:r w:rsidRPr="0057612C">
        <w:rPr>
          <w:rFonts w:cs="Times New Roman"/>
        </w:rPr>
        <w:t>Study population</w:t>
      </w:r>
      <w:bookmarkEnd w:id="11"/>
    </w:p>
    <w:p w14:paraId="0BFE1311" w14:textId="77777777" w:rsidR="007C34E1" w:rsidRPr="0057612C" w:rsidRDefault="007C34E1" w:rsidP="007C34E1">
      <w:r w:rsidRPr="0057612C">
        <w:rPr>
          <w:color w:val="000000"/>
        </w:rPr>
        <w:t>The evaluation target</w:t>
      </w:r>
      <w:r w:rsidR="001477AA" w:rsidRPr="0057612C">
        <w:rPr>
          <w:color w:val="000000"/>
        </w:rPr>
        <w:t>s</w:t>
      </w:r>
      <w:r w:rsidRPr="0057612C">
        <w:rPr>
          <w:color w:val="000000"/>
        </w:rPr>
        <w:t xml:space="preserve"> all children aged 0-</w:t>
      </w:r>
      <w:r w:rsidR="00943A77" w:rsidRPr="0057612C">
        <w:rPr>
          <w:color w:val="000000"/>
        </w:rPr>
        <w:t>6</w:t>
      </w:r>
      <w:r w:rsidRPr="0057612C">
        <w:rPr>
          <w:color w:val="000000"/>
        </w:rPr>
        <w:t xml:space="preserve"> years in the 60 selected communities and their caregivers.</w:t>
      </w:r>
      <w:r w:rsidRPr="0057612C">
        <w:rPr>
          <w:sz w:val="20"/>
        </w:rPr>
        <w:t xml:space="preserve"> </w:t>
      </w:r>
      <w:r w:rsidRPr="0057612C">
        <w:t>The primary reference group for this study is children aged 3‐</w:t>
      </w:r>
      <w:r w:rsidR="00F14FAD" w:rsidRPr="0057612C">
        <w:t>6</w:t>
      </w:r>
      <w:r w:rsidRPr="0057612C">
        <w:t xml:space="preserve"> </w:t>
      </w:r>
      <w:r w:rsidR="00B45A3E" w:rsidRPr="0057612C">
        <w:t>year’s</w:t>
      </w:r>
      <w:r w:rsidRPr="0057612C">
        <w:t xml:space="preserve"> old </w:t>
      </w:r>
      <w:r w:rsidR="001477AA" w:rsidRPr="0057612C">
        <w:t>living</w:t>
      </w:r>
      <w:r w:rsidRPr="0057612C">
        <w:t xml:space="preserve"> in the service area of a Save the Children‐supported CBCC</w:t>
      </w:r>
      <w:r w:rsidRPr="0057612C">
        <w:rPr>
          <w:sz w:val="20"/>
        </w:rPr>
        <w:t xml:space="preserve">. </w:t>
      </w:r>
      <w:r w:rsidR="001477AA" w:rsidRPr="0057612C">
        <w:t>S</w:t>
      </w:r>
      <w:r w:rsidRPr="0057612C">
        <w:t xml:space="preserve">econdary reference groups include </w:t>
      </w:r>
      <w:r w:rsidR="00F14FAD" w:rsidRPr="0057612C">
        <w:t xml:space="preserve">their </w:t>
      </w:r>
      <w:r w:rsidRPr="0057612C">
        <w:t>siblings and caregivers.</w:t>
      </w:r>
    </w:p>
    <w:p w14:paraId="2D2E3BA2" w14:textId="77777777" w:rsidR="004D1BE8" w:rsidRPr="0057612C" w:rsidRDefault="004D1BE8" w:rsidP="004D1BE8">
      <w:pPr>
        <w:pStyle w:val="Heading2"/>
        <w:rPr>
          <w:rFonts w:cs="Times New Roman"/>
        </w:rPr>
      </w:pPr>
      <w:bookmarkStart w:id="12" w:name="_Toc447729035"/>
      <w:r w:rsidRPr="0057612C">
        <w:rPr>
          <w:rFonts w:cs="Times New Roman"/>
        </w:rPr>
        <w:t>Random assignment and manipulation of treatments</w:t>
      </w:r>
      <w:bookmarkEnd w:id="12"/>
      <w:r w:rsidRPr="0057612C">
        <w:rPr>
          <w:rFonts w:cs="Times New Roman"/>
        </w:rPr>
        <w:t xml:space="preserve"> </w:t>
      </w:r>
    </w:p>
    <w:p w14:paraId="61B28220" w14:textId="77777777" w:rsidR="004D1BE8" w:rsidRPr="0057612C" w:rsidRDefault="004D1BE8" w:rsidP="0098600E">
      <w:pPr>
        <w:spacing w:after="0"/>
      </w:pPr>
      <w:r w:rsidRPr="0057612C">
        <w:t xml:space="preserve">The 60 Communities </w:t>
      </w:r>
      <w:r w:rsidR="00A305ED" w:rsidRPr="0057612C">
        <w:t>were</w:t>
      </w:r>
      <w:r w:rsidRPr="0057612C">
        <w:t xml:space="preserve"> randomly assigned to one of two treatment arms:</w:t>
      </w:r>
    </w:p>
    <w:p w14:paraId="18370262" w14:textId="77777777" w:rsidR="004D1BE8" w:rsidRPr="0057612C" w:rsidRDefault="004D1BE8" w:rsidP="001A1B00">
      <w:pPr>
        <w:pStyle w:val="ListParagraph"/>
        <w:numPr>
          <w:ilvl w:val="0"/>
          <w:numId w:val="6"/>
        </w:numPr>
      </w:pPr>
      <w:r w:rsidRPr="0057612C">
        <w:t xml:space="preserve">Control group: Communities with CBCCs supported by Save the Children’s ECD program with no </w:t>
      </w:r>
      <w:r w:rsidR="0072091C" w:rsidRPr="0057612C">
        <w:t xml:space="preserve">additional </w:t>
      </w:r>
      <w:r w:rsidRPr="0057612C">
        <w:t>nutrition or agricultural support</w:t>
      </w:r>
    </w:p>
    <w:p w14:paraId="11632DA4" w14:textId="77777777" w:rsidR="004D1BE8" w:rsidRPr="0057612C" w:rsidRDefault="004D1BE8" w:rsidP="001A1B00">
      <w:pPr>
        <w:pStyle w:val="ListParagraph"/>
        <w:numPr>
          <w:ilvl w:val="0"/>
          <w:numId w:val="6"/>
        </w:numPr>
      </w:pPr>
      <w:r w:rsidRPr="0057612C">
        <w:t xml:space="preserve">Intervention group: Communities with CBCCs supported by Save the Children’s ECD program with </w:t>
      </w:r>
      <w:r w:rsidR="0072091C" w:rsidRPr="0057612C">
        <w:t xml:space="preserve">additional </w:t>
      </w:r>
      <w:r w:rsidRPr="0057612C">
        <w:t>nutrition and agricultural support</w:t>
      </w:r>
    </w:p>
    <w:p w14:paraId="24DA9D5C" w14:textId="77777777" w:rsidR="004D1BE8" w:rsidRPr="0057612C" w:rsidRDefault="004D1BE8" w:rsidP="004D1BE8">
      <w:r w:rsidRPr="0057612C">
        <w:t>The integrated intervention package will be implemented in 30 of the 60 rural communities after the baseline survey and extended to the control communities after the end-line survey. There are several reasons why the control gr</w:t>
      </w:r>
      <w:r w:rsidR="00756623" w:rsidRPr="0057612C">
        <w:t xml:space="preserve">oup in this case is not a </w:t>
      </w:r>
      <w:r w:rsidRPr="0057612C">
        <w:t xml:space="preserve">control without intervention. The Government of </w:t>
      </w:r>
      <w:r w:rsidRPr="0057612C">
        <w:lastRenderedPageBreak/>
        <w:t>Malawi is committed to scaling-up the ECD quality improvement across all CBCCs and an impact evaluation on the cost-effectiveness of different ECD quality improvement strategies is underway</w:t>
      </w:r>
      <w:r w:rsidRPr="0057612C">
        <w:rPr>
          <w:rStyle w:val="FootnoteReference"/>
        </w:rPr>
        <w:footnoteReference w:id="2"/>
      </w:r>
      <w:r w:rsidRPr="0057612C">
        <w:t>. The proposed evaluation complements the ongoing work by examining the relative impact and costs of alternative implementation models, focussing on how to enhance participation in the CBCCs and at the same time supporting nutrition of children at a critical age in their development.</w:t>
      </w:r>
    </w:p>
    <w:p w14:paraId="3BF23D3F" w14:textId="2DBC3152" w:rsidR="009471FE" w:rsidRDefault="006E2778" w:rsidP="004D1BE8">
      <w:r w:rsidRPr="0057612C">
        <w:t xml:space="preserve">The 60 CBCCs were randomly selected in two stages from a pool of </w:t>
      </w:r>
      <w:r w:rsidR="002D429E">
        <w:t>235</w:t>
      </w:r>
      <w:r w:rsidRPr="0057612C">
        <w:t xml:space="preserve"> CBCCs in </w:t>
      </w:r>
      <w:r w:rsidR="002D429E">
        <w:t>47</w:t>
      </w:r>
      <w:r w:rsidRPr="0057612C">
        <w:t xml:space="preserve"> clusters currently assisted by Save the Children in </w:t>
      </w:r>
      <w:proofErr w:type="spellStart"/>
      <w:r w:rsidRPr="0057612C">
        <w:t>Zomba</w:t>
      </w:r>
      <w:proofErr w:type="spellEnd"/>
      <w:r w:rsidRPr="0057612C">
        <w:t xml:space="preserve">. Due to the clustering of the CBCCs around primary schools, the list of </w:t>
      </w:r>
      <w:r w:rsidR="002D429E">
        <w:t>235</w:t>
      </w:r>
      <w:r w:rsidRPr="0057612C">
        <w:t xml:space="preserve"> CBCCs was screened to flag clusters where more</w:t>
      </w:r>
      <w:r w:rsidR="002D429E">
        <w:t xml:space="preserve"> than one CBCC</w:t>
      </w:r>
      <w:r w:rsidRPr="0057612C">
        <w:t xml:space="preserve"> </w:t>
      </w:r>
      <w:r w:rsidR="002D429E">
        <w:t>was</w:t>
      </w:r>
      <w:r w:rsidRPr="0057612C">
        <w:t xml:space="preserve"> being assisted. </w:t>
      </w:r>
      <w:r w:rsidR="002D429E">
        <w:t>Twenty-six</w:t>
      </w:r>
      <w:r w:rsidRPr="0057612C">
        <w:t xml:space="preserve"> clusters were excluded from the first stage of randomisation </w:t>
      </w:r>
      <w:r w:rsidR="002D429E" w:rsidRPr="0057612C">
        <w:t>to</w:t>
      </w:r>
      <w:r w:rsidRPr="0057612C">
        <w:t xml:space="preserve"> </w:t>
      </w:r>
      <w:r w:rsidR="002D429E">
        <w:t>minimise</w:t>
      </w:r>
      <w:r w:rsidRPr="0057612C">
        <w:t xml:space="preserve"> possible contamination. </w:t>
      </w:r>
      <w:r w:rsidR="002D429E">
        <w:t xml:space="preserve">An additional 10 CBCCs were dropped as they had ongoing activities. </w:t>
      </w:r>
      <w:r w:rsidRPr="0057612C">
        <w:t xml:space="preserve">The </w:t>
      </w:r>
      <w:r w:rsidR="002D429E">
        <w:t>20</w:t>
      </w:r>
      <w:r w:rsidRPr="0057612C">
        <w:t xml:space="preserve"> clusters were then randomly assigned to 2 groups </w:t>
      </w:r>
      <w:r w:rsidR="002D429E">
        <w:t>of 10 clusters</w:t>
      </w:r>
      <w:r w:rsidRPr="0057612C">
        <w:t xml:space="preserve">, where the randomisation was stratified geographically by traditional authority areas. In the second stage of randomisation, within each cluster, </w:t>
      </w:r>
      <w:r w:rsidR="009471FE">
        <w:t>3</w:t>
      </w:r>
      <w:r w:rsidRPr="0057612C">
        <w:t xml:space="preserve"> CBCCs were then selected at random for the study</w:t>
      </w:r>
      <w:r w:rsidR="009471FE">
        <w:t xml:space="preserve">. As six </w:t>
      </w:r>
      <w:proofErr w:type="gramStart"/>
      <w:r w:rsidR="009471FE">
        <w:t>clusters</w:t>
      </w:r>
      <w:proofErr w:type="gramEnd"/>
      <w:r w:rsidR="009471FE">
        <w:t xml:space="preserve"> had less than 3 CBCCs available for the study, i</w:t>
      </w:r>
      <w:r w:rsidRPr="0057612C">
        <w:t xml:space="preserve">n order to select a full sample of 30 CBCCs per treatment arm, </w:t>
      </w:r>
      <w:r w:rsidR="009471FE">
        <w:t>additional CBCCs were randomly selected from three clusters (</w:t>
      </w:r>
      <w:proofErr w:type="spellStart"/>
      <w:r w:rsidR="009471FE" w:rsidRPr="009471FE">
        <w:t>Gologota</w:t>
      </w:r>
      <w:proofErr w:type="spellEnd"/>
      <w:r w:rsidR="009471FE" w:rsidRPr="009471FE">
        <w:t xml:space="preserve">, St Pius and </w:t>
      </w:r>
      <w:proofErr w:type="spellStart"/>
      <w:r w:rsidR="009471FE" w:rsidRPr="009471FE">
        <w:t>Machereni</w:t>
      </w:r>
      <w:proofErr w:type="spellEnd"/>
      <w:r w:rsidR="009471FE">
        <w:t xml:space="preserve">). </w:t>
      </w:r>
    </w:p>
    <w:p w14:paraId="5C31A9CD" w14:textId="77777777" w:rsidR="006E2778" w:rsidRPr="0057612C" w:rsidRDefault="006E2778" w:rsidP="006E2778">
      <w:pPr>
        <w:pStyle w:val="Heading2"/>
        <w:rPr>
          <w:rFonts w:cs="Times New Roman"/>
        </w:rPr>
      </w:pPr>
      <w:bookmarkStart w:id="13" w:name="_Toc447729036"/>
      <w:r w:rsidRPr="0057612C">
        <w:rPr>
          <w:rFonts w:cs="Times New Roman"/>
        </w:rPr>
        <w:t>Sample sizes</w:t>
      </w:r>
      <w:bookmarkEnd w:id="13"/>
    </w:p>
    <w:p w14:paraId="784C04A5" w14:textId="7B431293" w:rsidR="006E2778" w:rsidRPr="0057612C" w:rsidRDefault="006E2778" w:rsidP="006E2778">
      <w:r w:rsidRPr="0057612C">
        <w:t xml:space="preserve">Initial power calculations and resource availability had suggested the adoption of a sample with 30 clusters (communities) per treatment arm with 20 households in each cluster to identify reasonable treatment impacts of the intervention on </w:t>
      </w:r>
      <w:r w:rsidR="009524CA" w:rsidRPr="0057612C">
        <w:t>the primary study</w:t>
      </w:r>
      <w:r w:rsidRPr="0057612C">
        <w:t xml:space="preserve"> outcomes. Data for power calculations was obtained from the 2010 DHS survey. We calculated means, standard deviations, and intra cluster correlation coefficients (ICC) for rural children in Malawi. For dietary diversity score, the mean and standard deviation for rural children age 0-5yrs were estimated to be 2.5 and 1.03 respectively. The </w:t>
      </w:r>
      <w:proofErr w:type="spellStart"/>
      <w:r w:rsidRPr="0057612C">
        <w:t>intracluster</w:t>
      </w:r>
      <w:proofErr w:type="spellEnd"/>
      <w:r w:rsidRPr="0057612C">
        <w:t xml:space="preserve"> correlation coefficient (ICC) was 0.01. Plots </w:t>
      </w:r>
      <w:r w:rsidR="00671894" w:rsidRPr="00671894">
        <w:rPr>
          <w:highlight w:val="yellow"/>
        </w:rPr>
        <w:t>of</w:t>
      </w:r>
      <w:r w:rsidR="00671894">
        <w:t xml:space="preserve"> </w:t>
      </w:r>
      <w:r w:rsidRPr="0057612C">
        <w:t xml:space="preserve">the standardised minimum detectable </w:t>
      </w:r>
      <w:r w:rsidR="00CA56EA" w:rsidRPr="0057612C">
        <w:t>effect size</w:t>
      </w:r>
      <w:r w:rsidRPr="0057612C">
        <w:t xml:space="preserve"> </w:t>
      </w:r>
      <w:r w:rsidR="00CA56EA" w:rsidRPr="0057612C">
        <w:t xml:space="preserve">(MDES) </w:t>
      </w:r>
      <w:r w:rsidRPr="0057612C">
        <w:t>against the number of clusters assuming a sample of 25 children measured in each community</w:t>
      </w:r>
      <w:r w:rsidR="009524CA" w:rsidRPr="0057612C">
        <w:t xml:space="preserve"> (cluster size)</w:t>
      </w:r>
      <w:r w:rsidRPr="0057612C">
        <w:t>, consistent with 20 household interviews per community and considering that several children may end up not being tested, showed that only a marginal gain can be obtained by expanding the sample beyond 20 as power is mainly driven by the number of clusters</w:t>
      </w:r>
      <w:r w:rsidR="00B436B7">
        <w:t xml:space="preserve"> [21</w:t>
      </w:r>
      <w:r w:rsidR="0041145B" w:rsidRPr="0057612C">
        <w:t>]</w:t>
      </w:r>
      <w:r w:rsidR="0008766E" w:rsidRPr="0057612C">
        <w:t xml:space="preserve"> (</w:t>
      </w:r>
      <w:r w:rsidR="008B195C" w:rsidRPr="0057612C">
        <w:t>see Figure 2</w:t>
      </w:r>
      <w:r w:rsidR="001612ED" w:rsidRPr="0057612C">
        <w:t xml:space="preserve"> for example simulations of MDES vs. number of clusters with high and low ICCs</w:t>
      </w:r>
      <w:r w:rsidR="0008766E" w:rsidRPr="0057612C">
        <w:t>)</w:t>
      </w:r>
      <w:r w:rsidRPr="0057612C">
        <w:t>.</w:t>
      </w:r>
      <w:r w:rsidR="00CA56EA" w:rsidRPr="0057612C">
        <w:t xml:space="preserve">      </w:t>
      </w:r>
    </w:p>
    <w:p w14:paraId="20B56B3A" w14:textId="4D5538E1" w:rsidR="00134CE4" w:rsidRPr="0057612C" w:rsidRDefault="00134CE4" w:rsidP="00134CE4">
      <w:pPr>
        <w:pStyle w:val="Caption"/>
        <w:spacing w:after="120"/>
      </w:pPr>
      <w:r w:rsidRPr="0057612C">
        <w:t>Figure</w:t>
      </w:r>
      <w:r w:rsidR="008638A6">
        <w:t xml:space="preserve"> 2</w:t>
      </w:r>
      <w:r w:rsidRPr="0057612C">
        <w:t xml:space="preserve">: </w:t>
      </w:r>
      <w:r w:rsidR="00D60B10" w:rsidRPr="0057612C">
        <w:t>Diet diversity: Minimum detectable effect size versus number of clusters</w:t>
      </w:r>
      <w:r w:rsidR="00CA56EA" w:rsidRPr="0057612C">
        <w:t xml:space="preserve">, </w:t>
      </w:r>
      <w:r w:rsidR="008B195C" w:rsidRPr="0057612C">
        <w:t>simulations</w:t>
      </w:r>
      <w:r w:rsidR="00CA56EA" w:rsidRPr="0057612C">
        <w:t xml:space="preserve"> with hi</w:t>
      </w:r>
      <w:r w:rsidR="00D60B10" w:rsidRPr="0057612C">
        <w:t>gh and low ICCs</w:t>
      </w:r>
      <w:r w:rsidRPr="0057612C">
        <w:t>.</w:t>
      </w:r>
    </w:p>
    <w:p w14:paraId="6ADF5441" w14:textId="77777777" w:rsidR="006E2778" w:rsidRPr="0057612C" w:rsidRDefault="009524CA" w:rsidP="006E2778">
      <w:r w:rsidRPr="0057612C">
        <w:t>A</w:t>
      </w:r>
      <w:r w:rsidR="006E2778" w:rsidRPr="0057612C">
        <w:t xml:space="preserve">fter preliminary design visits to the targeted communities, the sampling strategy was modified to account for the implementation approach adopted by Save the Children, involving the clustering of CBCCs around surrounding primary schools. </w:t>
      </w:r>
      <w:proofErr w:type="gramStart"/>
      <w:r w:rsidR="006E2778" w:rsidRPr="0057612C">
        <w:t>As a result</w:t>
      </w:r>
      <w:proofErr w:type="gramEnd"/>
      <w:r w:rsidR="006E2778" w:rsidRPr="0057612C">
        <w:t>, the cluster, or unit of randomisation was the primary school cluster that included a number of different CBCCs, rather than the CBCC itself. Adjusting for ICCs at the primary school cluster level, where 60 CBCCs were clustered into 2 groups of 15 primary school clusters, would provide 80% power to detect 0.24 SD difference between treatment groups at the 5% level of significance.</w:t>
      </w:r>
    </w:p>
    <w:p w14:paraId="14B026B2" w14:textId="55B1B79E" w:rsidR="006E2778" w:rsidRPr="0057612C" w:rsidRDefault="006E2778" w:rsidP="006E2778">
      <w:pPr>
        <w:pStyle w:val="Caption"/>
        <w:keepNext/>
      </w:pPr>
      <w:r w:rsidRPr="0057612C">
        <w:t xml:space="preserve">Table </w:t>
      </w:r>
      <w:r w:rsidR="008638A6">
        <w:t>3</w:t>
      </w:r>
      <w:r w:rsidRPr="0057612C">
        <w:t>: Sample sizes.</w:t>
      </w:r>
    </w:p>
    <w:p w14:paraId="570C71FC" w14:textId="77777777" w:rsidR="006E2778" w:rsidRPr="0057612C" w:rsidRDefault="006E2778" w:rsidP="00C21980">
      <w:pPr>
        <w:spacing w:before="120"/>
      </w:pPr>
      <w:r w:rsidRPr="0057612C">
        <w:t>The sampling of households was conducted through a census within a certai</w:t>
      </w:r>
      <w:r w:rsidR="0072091C" w:rsidRPr="0057612C">
        <w:t xml:space="preserve">n catchment area for each CBCC </w:t>
      </w:r>
      <w:r w:rsidRPr="0057612C">
        <w:t xml:space="preserve">including information on the target age groups living within each household. Households with children aged </w:t>
      </w:r>
      <w:r w:rsidR="00537DF3" w:rsidRPr="0057612C">
        <w:t>3</w:t>
      </w:r>
      <w:r w:rsidRPr="0057612C">
        <w:t>-5 years were then randomly selected for participation in the survey.</w:t>
      </w:r>
    </w:p>
    <w:p w14:paraId="137DB8DA" w14:textId="77777777" w:rsidR="004D1BE8" w:rsidRPr="0057612C" w:rsidRDefault="009524CA" w:rsidP="00354F84">
      <w:pPr>
        <w:pStyle w:val="Heading2"/>
      </w:pPr>
      <w:r w:rsidRPr="0057612C">
        <w:lastRenderedPageBreak/>
        <w:t>Data collection tools</w:t>
      </w:r>
    </w:p>
    <w:p w14:paraId="592930AD" w14:textId="77777777" w:rsidR="00301D3D" w:rsidRPr="0057612C" w:rsidRDefault="004D1BE8" w:rsidP="009524CA">
      <w:r w:rsidRPr="0057612C">
        <w:t>The impact evaluation includes child, caregiver, household, CBCC and village level data collection</w:t>
      </w:r>
      <w:r w:rsidR="00DF35C4" w:rsidRPr="0057612C">
        <w:t xml:space="preserve"> (T</w:t>
      </w:r>
      <w:r w:rsidRPr="0057612C">
        <w:t xml:space="preserve">able </w:t>
      </w:r>
      <w:r w:rsidR="006425B9" w:rsidRPr="0057612C">
        <w:t>4</w:t>
      </w:r>
      <w:r w:rsidRPr="0057612C">
        <w:t xml:space="preserve">). The household questionnaire collected data at the household level </w:t>
      </w:r>
      <w:r w:rsidR="009524CA" w:rsidRPr="0057612C">
        <w:t>as well as</w:t>
      </w:r>
      <w:r w:rsidRPr="0057612C">
        <w:t xml:space="preserve"> for each relevant household member separately (main caregiver and all children </w:t>
      </w:r>
      <w:r w:rsidR="00864BC6" w:rsidRPr="0057612C">
        <w:t>in reference age groups</w:t>
      </w:r>
      <w:r w:rsidRPr="0057612C">
        <w:t xml:space="preserve">). </w:t>
      </w:r>
    </w:p>
    <w:p w14:paraId="1C3D4081" w14:textId="4DBAF11C" w:rsidR="004D1BE8" w:rsidRPr="0057612C" w:rsidRDefault="004D1BE8" w:rsidP="004D1BE8">
      <w:pPr>
        <w:pStyle w:val="Caption"/>
        <w:rPr>
          <w:rStyle w:val="Caption1"/>
        </w:rPr>
      </w:pPr>
      <w:r w:rsidRPr="0057612C">
        <w:rPr>
          <w:rStyle w:val="Caption1"/>
        </w:rPr>
        <w:t xml:space="preserve">Table </w:t>
      </w:r>
      <w:r w:rsidR="008638A6">
        <w:rPr>
          <w:rStyle w:val="Caption1"/>
        </w:rPr>
        <w:t>4</w:t>
      </w:r>
      <w:r w:rsidRPr="0057612C">
        <w:rPr>
          <w:rStyle w:val="Caption1"/>
        </w:rPr>
        <w:t>: Survey questionnaire modules</w:t>
      </w:r>
    </w:p>
    <w:p w14:paraId="50BE4BCE" w14:textId="77777777" w:rsidR="00354F84" w:rsidRPr="0057612C" w:rsidRDefault="00354F84" w:rsidP="00354F84">
      <w:pPr>
        <w:pStyle w:val="Heading2"/>
      </w:pPr>
      <w:bookmarkStart w:id="14" w:name="_Toc341971912"/>
      <w:r w:rsidRPr="0057612C">
        <w:t>Methods of analysis</w:t>
      </w:r>
      <w:bookmarkEnd w:id="14"/>
    </w:p>
    <w:p w14:paraId="529BF18A" w14:textId="77777777" w:rsidR="001D5381" w:rsidRDefault="00354F84" w:rsidP="00354F84">
      <w:pPr>
        <w:pStyle w:val="Default"/>
        <w:spacing w:after="120"/>
        <w:jc w:val="both"/>
        <w:rPr>
          <w:rFonts w:asciiTheme="minorHAnsi" w:hAnsiTheme="minorHAnsi" w:cstheme="minorHAnsi"/>
          <w:sz w:val="22"/>
          <w:szCs w:val="22"/>
          <w:lang w:val="en-GB"/>
        </w:rPr>
      </w:pPr>
      <w:r w:rsidRPr="0057612C">
        <w:rPr>
          <w:rFonts w:asciiTheme="minorHAnsi" w:hAnsiTheme="minorHAnsi" w:cstheme="minorHAnsi"/>
          <w:sz w:val="22"/>
          <w:szCs w:val="22"/>
          <w:lang w:val="en-GB"/>
        </w:rPr>
        <w:t xml:space="preserve">The randomised design allows for the identification of causal impacts of interventions using comparisons of mean outcomes between the randomised treatment arms at </w:t>
      </w:r>
      <w:r w:rsidR="0057612C" w:rsidRPr="0057612C">
        <w:rPr>
          <w:rFonts w:asciiTheme="minorHAnsi" w:hAnsiTheme="minorHAnsi" w:cstheme="minorHAnsi"/>
          <w:sz w:val="22"/>
          <w:szCs w:val="22"/>
          <w:lang w:val="en-GB"/>
        </w:rPr>
        <w:t>end line</w:t>
      </w:r>
      <w:r w:rsidRPr="0057612C">
        <w:rPr>
          <w:rFonts w:asciiTheme="minorHAnsi" w:hAnsiTheme="minorHAnsi" w:cstheme="minorHAnsi"/>
          <w:sz w:val="22"/>
          <w:szCs w:val="22"/>
          <w:lang w:val="en-GB"/>
        </w:rPr>
        <w:t xml:space="preserve">. The analysis will follow the intention to treat approach as </w:t>
      </w:r>
      <w:r w:rsidR="00DB625C" w:rsidRPr="0057612C">
        <w:rPr>
          <w:rFonts w:asciiTheme="minorHAnsi" w:hAnsiTheme="minorHAnsi" w:cstheme="minorHAnsi"/>
          <w:sz w:val="22"/>
          <w:szCs w:val="22"/>
          <w:lang w:val="en-GB"/>
        </w:rPr>
        <w:t xml:space="preserve">protocol and as treated, using </w:t>
      </w:r>
      <w:r w:rsidRPr="0057612C">
        <w:rPr>
          <w:rFonts w:asciiTheme="minorHAnsi" w:hAnsiTheme="minorHAnsi" w:cstheme="minorHAnsi"/>
          <w:sz w:val="22"/>
          <w:szCs w:val="22"/>
          <w:lang w:val="en-GB"/>
        </w:rPr>
        <w:t>econometric analysis for all the relevant outcomes of the intervention. Following [</w:t>
      </w:r>
      <w:r w:rsidR="00B436B7">
        <w:rPr>
          <w:rFonts w:asciiTheme="minorHAnsi" w:hAnsiTheme="minorHAnsi" w:cstheme="minorHAnsi"/>
          <w:sz w:val="22"/>
          <w:szCs w:val="22"/>
          <w:lang w:val="en-GB"/>
        </w:rPr>
        <w:t>22</w:t>
      </w:r>
      <w:r w:rsidRPr="0057612C">
        <w:rPr>
          <w:rFonts w:asciiTheme="minorHAnsi" w:hAnsiTheme="minorHAnsi" w:cstheme="minorHAnsi"/>
          <w:sz w:val="22"/>
          <w:szCs w:val="22"/>
          <w:lang w:val="en-GB"/>
        </w:rPr>
        <w:t xml:space="preserve">], impact will be assessed using both a “difference-in-difference” (DID) estimator and a single difference analysis of covariance (ANCOVA) model. </w:t>
      </w:r>
      <w:r w:rsidR="001A7456" w:rsidRPr="0057612C">
        <w:rPr>
          <w:rFonts w:asciiTheme="minorHAnsi" w:hAnsiTheme="minorHAnsi" w:cstheme="minorHAnsi"/>
          <w:sz w:val="22"/>
          <w:szCs w:val="22"/>
          <w:lang w:val="en-GB"/>
        </w:rPr>
        <w:t>Depending on the level of clustering of the outcome, we will employ multi-level regression models that account for the hierarchical nature of the data [</w:t>
      </w:r>
      <w:r w:rsidR="00B436B7">
        <w:rPr>
          <w:rFonts w:asciiTheme="minorHAnsi" w:hAnsiTheme="minorHAnsi" w:cstheme="minorHAnsi"/>
          <w:sz w:val="22"/>
          <w:szCs w:val="22"/>
          <w:lang w:val="en-GB"/>
        </w:rPr>
        <w:t>23</w:t>
      </w:r>
      <w:r w:rsidR="001A7456" w:rsidRPr="0057612C">
        <w:rPr>
          <w:rFonts w:asciiTheme="minorHAnsi" w:hAnsiTheme="minorHAnsi" w:cstheme="minorHAnsi"/>
          <w:sz w:val="22"/>
          <w:szCs w:val="22"/>
          <w:lang w:val="en-GB"/>
        </w:rPr>
        <w:t>]. Multi-level models, also known as mixed-effects models, use both fixed effects (covariates) and random effects in at school and household level.</w:t>
      </w:r>
      <w:r w:rsidR="00F96464" w:rsidRPr="0057612C">
        <w:rPr>
          <w:rFonts w:asciiTheme="minorHAnsi" w:hAnsiTheme="minorHAnsi" w:cstheme="minorHAnsi"/>
          <w:sz w:val="22"/>
          <w:szCs w:val="22"/>
          <w:lang w:val="en-GB"/>
        </w:rPr>
        <w:t xml:space="preserve"> </w:t>
      </w:r>
    </w:p>
    <w:p w14:paraId="62B2DE1C" w14:textId="293A5605" w:rsidR="00354F84" w:rsidRPr="0057612C" w:rsidRDefault="00354F84" w:rsidP="00354F84">
      <w:pPr>
        <w:pStyle w:val="Default"/>
        <w:spacing w:after="120"/>
        <w:jc w:val="both"/>
        <w:rPr>
          <w:rFonts w:asciiTheme="minorHAnsi" w:hAnsiTheme="minorHAnsi" w:cstheme="minorHAnsi"/>
          <w:sz w:val="22"/>
          <w:szCs w:val="22"/>
          <w:lang w:val="en-GB"/>
        </w:rPr>
      </w:pPr>
      <w:r w:rsidRPr="0057612C">
        <w:rPr>
          <w:rFonts w:asciiTheme="minorHAnsi" w:hAnsiTheme="minorHAnsi" w:cstheme="minorHAnsi"/>
          <w:sz w:val="22"/>
          <w:szCs w:val="22"/>
          <w:lang w:val="en-GB"/>
        </w:rPr>
        <w:t>The DID estimate is calculated as the average chang</w:t>
      </w:r>
      <w:r w:rsidR="001D5381">
        <w:rPr>
          <w:rFonts w:asciiTheme="minorHAnsi" w:hAnsiTheme="minorHAnsi" w:cstheme="minorHAnsi"/>
          <w:sz w:val="22"/>
          <w:szCs w:val="22"/>
          <w:lang w:val="en-GB"/>
        </w:rPr>
        <w:t xml:space="preserve">e in the outcome of interest in the treatment arm </w:t>
      </w:r>
      <w:r w:rsidRPr="0057612C">
        <w:rPr>
          <w:rFonts w:asciiTheme="minorHAnsi" w:hAnsiTheme="minorHAnsi" w:cstheme="minorHAnsi"/>
          <w:sz w:val="22"/>
          <w:szCs w:val="22"/>
          <w:lang w:val="en-GB"/>
        </w:rPr>
        <w:t>minus the change i</w:t>
      </w:r>
      <w:r w:rsidR="001D5381">
        <w:rPr>
          <w:rFonts w:asciiTheme="minorHAnsi" w:hAnsiTheme="minorHAnsi" w:cstheme="minorHAnsi"/>
          <w:sz w:val="22"/>
          <w:szCs w:val="22"/>
          <w:lang w:val="en-GB"/>
        </w:rPr>
        <w:t xml:space="preserve">n outcome in the control group. </w:t>
      </w:r>
      <w:r w:rsidRPr="0057612C">
        <w:rPr>
          <w:rFonts w:asciiTheme="minorHAnsi" w:hAnsiTheme="minorHAnsi" w:cstheme="minorHAnsi"/>
          <w:sz w:val="22"/>
          <w:szCs w:val="22"/>
          <w:lang w:val="en-GB"/>
        </w:rPr>
        <w:t xml:space="preserve">A difficulty of DID analysis </w:t>
      </w:r>
      <w:r w:rsidR="00E50248">
        <w:rPr>
          <w:rFonts w:asciiTheme="minorHAnsi" w:hAnsiTheme="minorHAnsi" w:cstheme="minorHAnsi"/>
          <w:sz w:val="22"/>
          <w:szCs w:val="22"/>
          <w:lang w:val="en-GB"/>
        </w:rPr>
        <w:t>involves</w:t>
      </w:r>
      <w:r w:rsidRPr="0057612C">
        <w:rPr>
          <w:rFonts w:asciiTheme="minorHAnsi" w:hAnsiTheme="minorHAnsi" w:cstheme="minorHAnsi"/>
          <w:sz w:val="22"/>
          <w:szCs w:val="22"/>
          <w:lang w:val="en-GB"/>
        </w:rPr>
        <w:t xml:space="preserve"> serial correlation [15] resulting from unobserved factors affecting the outcomes that are themselves correlated over time. Serial correlation affects estimated standard errors and can lead to erroneous acceptance or rejection of null hypotheses but not the estimation of the effect s</w:t>
      </w:r>
      <w:r w:rsidR="001D5381">
        <w:rPr>
          <w:rFonts w:asciiTheme="minorHAnsi" w:hAnsiTheme="minorHAnsi" w:cstheme="minorHAnsi"/>
          <w:sz w:val="22"/>
          <w:szCs w:val="22"/>
          <w:lang w:val="en-GB"/>
        </w:rPr>
        <w:t>ize of the intervention. I</w:t>
      </w:r>
      <w:r w:rsidRPr="0057612C">
        <w:rPr>
          <w:rFonts w:asciiTheme="minorHAnsi" w:hAnsiTheme="minorHAnsi" w:cstheme="minorHAnsi"/>
          <w:sz w:val="22"/>
          <w:szCs w:val="22"/>
          <w:lang w:val="en-GB"/>
        </w:rPr>
        <w:t>t may</w:t>
      </w:r>
      <w:r w:rsidR="001D5381">
        <w:rPr>
          <w:rFonts w:asciiTheme="minorHAnsi" w:hAnsiTheme="minorHAnsi" w:cstheme="minorHAnsi"/>
          <w:sz w:val="22"/>
          <w:szCs w:val="22"/>
          <w:lang w:val="en-GB"/>
        </w:rPr>
        <w:t xml:space="preserve"> therefore</w:t>
      </w:r>
      <w:r w:rsidRPr="0057612C">
        <w:rPr>
          <w:rFonts w:asciiTheme="minorHAnsi" w:hAnsiTheme="minorHAnsi" w:cstheme="minorHAnsi"/>
          <w:sz w:val="22"/>
          <w:szCs w:val="22"/>
          <w:lang w:val="en-GB"/>
        </w:rPr>
        <w:t xml:space="preserve"> lead to erroneously finding or not finding a statistically significant impact of the intervention. </w:t>
      </w:r>
      <w:r w:rsidR="001A7456" w:rsidRPr="0057612C">
        <w:rPr>
          <w:rFonts w:asciiTheme="minorHAnsi" w:hAnsiTheme="minorHAnsi" w:cstheme="minorHAnsi"/>
          <w:sz w:val="22"/>
          <w:szCs w:val="22"/>
          <w:lang w:val="en-GB"/>
        </w:rPr>
        <w:t>T</w:t>
      </w:r>
      <w:r w:rsidRPr="0057612C">
        <w:rPr>
          <w:rFonts w:asciiTheme="minorHAnsi" w:hAnsiTheme="minorHAnsi" w:cstheme="minorHAnsi"/>
          <w:sz w:val="22"/>
          <w:szCs w:val="22"/>
          <w:lang w:val="en-GB"/>
        </w:rPr>
        <w:t>his problem can be addressed by calculating clustered standard errors</w:t>
      </w:r>
      <w:r w:rsidR="001A7456" w:rsidRPr="0057612C">
        <w:rPr>
          <w:rFonts w:asciiTheme="minorHAnsi" w:hAnsiTheme="minorHAnsi" w:cstheme="minorHAnsi"/>
          <w:sz w:val="22"/>
          <w:szCs w:val="22"/>
          <w:lang w:val="en-GB"/>
        </w:rPr>
        <w:t xml:space="preserve"> [</w:t>
      </w:r>
      <w:r w:rsidR="00B436B7">
        <w:rPr>
          <w:rFonts w:asciiTheme="minorHAnsi" w:hAnsiTheme="minorHAnsi" w:cstheme="minorHAnsi"/>
          <w:sz w:val="22"/>
          <w:szCs w:val="22"/>
          <w:lang w:val="en-GB"/>
        </w:rPr>
        <w:t>24</w:t>
      </w:r>
      <w:r w:rsidR="001A7456" w:rsidRPr="0057612C">
        <w:rPr>
          <w:rFonts w:asciiTheme="minorHAnsi" w:hAnsiTheme="minorHAnsi" w:cstheme="minorHAnsi"/>
          <w:sz w:val="22"/>
          <w:szCs w:val="22"/>
          <w:lang w:val="en-GB"/>
        </w:rPr>
        <w:t>]</w:t>
      </w:r>
      <w:r w:rsidRPr="0057612C">
        <w:rPr>
          <w:rFonts w:asciiTheme="minorHAnsi" w:hAnsiTheme="minorHAnsi" w:cstheme="minorHAnsi"/>
          <w:sz w:val="22"/>
          <w:szCs w:val="22"/>
          <w:lang w:val="en-GB"/>
        </w:rPr>
        <w:t xml:space="preserve">. Clustered standard errors will also be employed in all cases in which correlated outcomes are observed within the same unit of analysis.  The ANCOVA estimator has been shown to provide </w:t>
      </w:r>
      <w:r w:rsidR="001A7456" w:rsidRPr="0057612C">
        <w:rPr>
          <w:rFonts w:asciiTheme="minorHAnsi" w:hAnsiTheme="minorHAnsi" w:cstheme="minorHAnsi"/>
          <w:sz w:val="22"/>
          <w:szCs w:val="22"/>
          <w:lang w:val="en-GB"/>
        </w:rPr>
        <w:t xml:space="preserve">a </w:t>
      </w:r>
      <w:r w:rsidRPr="0057612C">
        <w:rPr>
          <w:rFonts w:asciiTheme="minorHAnsi" w:hAnsiTheme="minorHAnsi" w:cstheme="minorHAnsi"/>
          <w:sz w:val="22"/>
          <w:szCs w:val="22"/>
          <w:lang w:val="en-GB"/>
        </w:rPr>
        <w:t>more efficient estimate of programme impact when auto-correlation of outcomes is low</w:t>
      </w:r>
      <w:r w:rsidR="0041145B" w:rsidRPr="0057612C">
        <w:rPr>
          <w:rFonts w:asciiTheme="minorHAnsi" w:hAnsiTheme="minorHAnsi" w:cstheme="minorHAnsi"/>
          <w:sz w:val="22"/>
          <w:szCs w:val="22"/>
          <w:lang w:val="en-GB"/>
        </w:rPr>
        <w:t xml:space="preserve"> </w:t>
      </w:r>
      <w:r w:rsidRPr="0057612C">
        <w:rPr>
          <w:rFonts w:asciiTheme="minorHAnsi" w:hAnsiTheme="minorHAnsi" w:cstheme="minorHAnsi"/>
          <w:sz w:val="22"/>
          <w:szCs w:val="22"/>
          <w:lang w:val="en-GB"/>
        </w:rPr>
        <w:t>[</w:t>
      </w:r>
      <w:r w:rsidR="00B436B7">
        <w:rPr>
          <w:rFonts w:asciiTheme="minorHAnsi" w:hAnsiTheme="minorHAnsi" w:cstheme="minorHAnsi"/>
          <w:sz w:val="22"/>
          <w:szCs w:val="22"/>
          <w:lang w:val="en-GB"/>
        </w:rPr>
        <w:t>22</w:t>
      </w:r>
      <w:r w:rsidRPr="0057612C">
        <w:rPr>
          <w:rFonts w:asciiTheme="minorHAnsi" w:hAnsiTheme="minorHAnsi" w:cstheme="minorHAnsi"/>
          <w:sz w:val="22"/>
          <w:szCs w:val="22"/>
          <w:lang w:val="en-GB"/>
        </w:rPr>
        <w:t>].</w:t>
      </w:r>
    </w:p>
    <w:p w14:paraId="02FFBFBA" w14:textId="77777777" w:rsidR="00354F84" w:rsidRPr="0057612C" w:rsidRDefault="00354F84" w:rsidP="00354F84">
      <w:pPr>
        <w:pStyle w:val="Heading2"/>
      </w:pPr>
      <w:r w:rsidRPr="0057612C">
        <w:t>Heterogeneity of impact</w:t>
      </w:r>
    </w:p>
    <w:p w14:paraId="286AF719" w14:textId="77777777" w:rsidR="00354F84" w:rsidRPr="0057612C" w:rsidRDefault="00354F84" w:rsidP="00354F84">
      <w:r w:rsidRPr="0057612C">
        <w:t>The large dataset will allow</w:t>
      </w:r>
      <w:r w:rsidR="006A5FF5" w:rsidRPr="0057612C">
        <w:t xml:space="preserve"> for extensive sub-group analyse</w:t>
      </w:r>
      <w:r w:rsidRPr="0057612C">
        <w:t xml:space="preserve">s, including gender, age and geographic characteristics. The impacts of </w:t>
      </w:r>
      <w:r w:rsidR="006A5FF5" w:rsidRPr="0057612C">
        <w:t>pre-</w:t>
      </w:r>
      <w:r w:rsidRPr="0057612C">
        <w:t xml:space="preserve">school feeding </w:t>
      </w:r>
      <w:r w:rsidR="006A5FF5" w:rsidRPr="0057612C">
        <w:t>may be</w:t>
      </w:r>
      <w:r w:rsidRPr="0057612C">
        <w:t xml:space="preserve"> quite heterogeneous and context specific [</w:t>
      </w:r>
      <w:r w:rsidR="0041145B" w:rsidRPr="0057612C">
        <w:t>24</w:t>
      </w:r>
      <w:r w:rsidRPr="0057612C">
        <w:t xml:space="preserve">]. School </w:t>
      </w:r>
      <w:r w:rsidR="006A5FF5" w:rsidRPr="0057612C">
        <w:t>meals</w:t>
      </w:r>
      <w:r w:rsidRPr="0057612C">
        <w:t xml:space="preserve">, for instance, </w:t>
      </w:r>
      <w:r w:rsidR="006A5FF5" w:rsidRPr="0057612C">
        <w:t>have</w:t>
      </w:r>
      <w:r w:rsidRPr="0057612C">
        <w:t xml:space="preserve"> been associated with marked improvements </w:t>
      </w:r>
      <w:r w:rsidR="006A5FF5" w:rsidRPr="0057612C">
        <w:t xml:space="preserve">in </w:t>
      </w:r>
      <w:r w:rsidRPr="0057612C">
        <w:t xml:space="preserve">school participation of girls in rural areas </w:t>
      </w:r>
      <w:r w:rsidR="006A5FF5" w:rsidRPr="0057612C">
        <w:t>where there are</w:t>
      </w:r>
      <w:r w:rsidRPr="0057612C">
        <w:t xml:space="preserve"> large gender disparities in access to education [2</w:t>
      </w:r>
      <w:r w:rsidR="00B436B7">
        <w:t>6</w:t>
      </w:r>
      <w:r w:rsidRPr="0057612C">
        <w:t>]</w:t>
      </w:r>
      <w:r w:rsidR="006A5FF5" w:rsidRPr="0057612C">
        <w:t>. Furthermore, s</w:t>
      </w:r>
      <w:r w:rsidRPr="0057612C">
        <w:t xml:space="preserve">mallholder farmers targeted by the program </w:t>
      </w:r>
      <w:r w:rsidR="006A5FF5" w:rsidRPr="0057612C">
        <w:t>are mostly female</w:t>
      </w:r>
      <w:r w:rsidRPr="0057612C">
        <w:t xml:space="preserve">. </w:t>
      </w:r>
    </w:p>
    <w:p w14:paraId="2A963A3A" w14:textId="77777777" w:rsidR="00354F84" w:rsidRPr="0057612C" w:rsidRDefault="00354F84" w:rsidP="00354F84">
      <w:pPr>
        <w:pStyle w:val="Heading2"/>
      </w:pPr>
      <w:r w:rsidRPr="0057612C">
        <w:t>Cost-effectiveness</w:t>
      </w:r>
    </w:p>
    <w:p w14:paraId="604479C4" w14:textId="77777777" w:rsidR="00354F84" w:rsidRPr="0057612C" w:rsidRDefault="00354F84" w:rsidP="00354F84">
      <w:r w:rsidRPr="0057612C">
        <w:t xml:space="preserve">Cost data will be collected retrospectively following an ingredients approach using a semi-structured questionnaire. The survey will be based on a standardised costing framework capturing capital (fixed) and recurrent costs incurred at the school level. The questionnaire will also cover both cash and in-kind contributions and will be used to estimate both financial and economic costs. Financial costs capture actual expenditures in terms of programme implementation on an annual basis. Economic costs included the opportunity costs of community members, teaching staff and other stakeholders involved in the </w:t>
      </w:r>
      <w:r w:rsidR="002D0541" w:rsidRPr="0057612C">
        <w:t>intervention</w:t>
      </w:r>
      <w:r w:rsidRPr="0057612C">
        <w:t xml:space="preserve"> provision. Opportunity costs of </w:t>
      </w:r>
      <w:r w:rsidR="002D0541" w:rsidRPr="0057612C">
        <w:t>pre-</w:t>
      </w:r>
      <w:r w:rsidRPr="0057612C">
        <w:t xml:space="preserve">school staff and community members will be calculated using local pay scales. Capital costs will be annuitized over the useful life of all relevant school level assets using a discount rate of 3% as per World Bank recommendations. </w:t>
      </w:r>
      <w:proofErr w:type="spellStart"/>
      <w:r w:rsidRPr="0057612C">
        <w:t>Annuitisation</w:t>
      </w:r>
      <w:proofErr w:type="spellEnd"/>
      <w:r w:rsidRPr="0057612C">
        <w:t xml:space="preserve"> enables an equivalent annual cost to be estimated and reflects the value in-use of capital items, rather than reflec</w:t>
      </w:r>
      <w:r w:rsidR="003423F8" w:rsidRPr="0057612C">
        <w:t>ting when the item was purchase</w:t>
      </w:r>
      <w:r w:rsidR="006425B9" w:rsidRPr="0057612C">
        <w:t xml:space="preserve">d. </w:t>
      </w:r>
      <w:r w:rsidRPr="0057612C">
        <w:t xml:space="preserve">Process and output data covering the adequacy of the service delivery will be collected from monitoring visits on a quarterly basis using </w:t>
      </w:r>
      <w:r w:rsidRPr="0057612C">
        <w:lastRenderedPageBreak/>
        <w:t xml:space="preserve">standardised data collection forms. Output data will be combined with the costs to provide estimates of cost-efficiency metrics, including costs per beneficiary, kilocalories, iron, and vitamin A delivered. Sensitivity analysis will be undertaken to account for uncertainties in the economic evaluation. The figures obtained in this way will then be compared to figures calculated for other interventions. </w:t>
      </w:r>
    </w:p>
    <w:p w14:paraId="3E0044F8" w14:textId="77777777" w:rsidR="00354F84" w:rsidRPr="0057612C" w:rsidRDefault="00354F84" w:rsidP="00354F84">
      <w:pPr>
        <w:pStyle w:val="Heading2"/>
      </w:pPr>
      <w:r w:rsidRPr="0057612C">
        <w:t>Data collection</w:t>
      </w:r>
    </w:p>
    <w:p w14:paraId="2B62C619" w14:textId="0DE8F2FC" w:rsidR="00790DAF" w:rsidRPr="0057612C" w:rsidRDefault="009524CA" w:rsidP="006A5FF5">
      <w:r w:rsidRPr="0057612C">
        <w:t xml:space="preserve">The enumerators </w:t>
      </w:r>
      <w:r w:rsidR="00AE5160">
        <w:t>will be</w:t>
      </w:r>
      <w:r w:rsidRPr="0057612C">
        <w:t xml:space="preserve"> recruited from Chancellor College, University of Malawi, and trained for the baseline survey. Each team, led by a supervisor and assisted by community leaders </w:t>
      </w:r>
      <w:r w:rsidR="00AE5160">
        <w:t>will conduct</w:t>
      </w:r>
      <w:r w:rsidRPr="0057612C">
        <w:t xml:space="preserve"> household listings and sampling in each enumeration area</w:t>
      </w:r>
      <w:r w:rsidR="006A5FF5" w:rsidRPr="0057612C">
        <w:t xml:space="preserve">. </w:t>
      </w:r>
      <w:r w:rsidR="00E34E5A" w:rsidRPr="0057612C">
        <w:t xml:space="preserve">The data collection </w:t>
      </w:r>
      <w:r w:rsidR="00AE5160">
        <w:t>will be</w:t>
      </w:r>
      <w:r w:rsidR="00E34E5A" w:rsidRPr="0057612C">
        <w:t xml:space="preserve"> undertaken using </w:t>
      </w:r>
      <w:r w:rsidR="008038B2" w:rsidRPr="0057612C">
        <w:t xml:space="preserve">electronic </w:t>
      </w:r>
      <w:r w:rsidR="00E34E5A" w:rsidRPr="0057612C">
        <w:t xml:space="preserve">tablets. Data collection </w:t>
      </w:r>
      <w:r w:rsidR="00AE5160">
        <w:t>will be</w:t>
      </w:r>
      <w:r w:rsidR="00E34E5A" w:rsidRPr="0057612C">
        <w:t xml:space="preserve"> reviewed daily by a team supervisor and inconsistencies clarified. Dietary assessment </w:t>
      </w:r>
      <w:r w:rsidR="00AE5160">
        <w:t>will be</w:t>
      </w:r>
      <w:r w:rsidR="00E34E5A" w:rsidRPr="0057612C">
        <w:t xml:space="preserve"> undertaken by trained and supervised enumerators using the interactive 24-hr recall method. Prior to the recall interview, caregivers </w:t>
      </w:r>
      <w:r w:rsidR="00AE5160">
        <w:t>will be</w:t>
      </w:r>
      <w:r w:rsidR="00E34E5A" w:rsidRPr="0057612C">
        <w:t xml:space="preserve"> </w:t>
      </w:r>
      <w:r w:rsidR="008038B2" w:rsidRPr="0057612C">
        <w:t>briefed</w:t>
      </w:r>
      <w:r w:rsidR="00E34E5A" w:rsidRPr="0057612C">
        <w:t xml:space="preserve"> on the purpose and methods of interview. The interview </w:t>
      </w:r>
      <w:r w:rsidR="00AE5160">
        <w:t>will be</w:t>
      </w:r>
      <w:r w:rsidR="00E34E5A" w:rsidRPr="0057612C">
        <w:t xml:space="preserve"> conducted using visual aids to assist in estimating porti</w:t>
      </w:r>
      <w:r w:rsidR="008038B2" w:rsidRPr="0057612C">
        <w:t xml:space="preserve">on sizes of the foods consumed. </w:t>
      </w:r>
      <w:r w:rsidR="00A01596" w:rsidRPr="00172D26">
        <w:rPr>
          <w:highlight w:val="yellow"/>
        </w:rPr>
        <w:t>The 24-</w:t>
      </w:r>
      <w:r w:rsidR="00172D26" w:rsidRPr="00172D26">
        <w:rPr>
          <w:highlight w:val="yellow"/>
        </w:rPr>
        <w:t>hr</w:t>
      </w:r>
      <w:r w:rsidR="00A01596" w:rsidRPr="00172D26">
        <w:rPr>
          <w:highlight w:val="yellow"/>
        </w:rPr>
        <w:t xml:space="preserve"> dietary assessment will be repeated on non-consecutive days for a subset of households (approximately 20%)</w:t>
      </w:r>
      <w:r w:rsidR="00172D26" w:rsidRPr="00172D26">
        <w:rPr>
          <w:highlight w:val="yellow"/>
        </w:rPr>
        <w:t xml:space="preserve"> to obtain estimates of usual intake</w:t>
      </w:r>
      <w:r w:rsidR="00172D26">
        <w:rPr>
          <w:highlight w:val="yellow"/>
        </w:rPr>
        <w:t xml:space="preserve"> [27</w:t>
      </w:r>
      <w:r w:rsidR="00172D26" w:rsidRPr="00172D26">
        <w:rPr>
          <w:highlight w:val="yellow"/>
        </w:rPr>
        <w:t>]</w:t>
      </w:r>
      <w:r w:rsidR="00172D26">
        <w:t>.</w:t>
      </w:r>
      <w:r w:rsidR="00A01596">
        <w:t xml:space="preserve"> </w:t>
      </w:r>
      <w:r w:rsidR="00E34E5A" w:rsidRPr="0057612C">
        <w:t xml:space="preserve">Anthropometry collection </w:t>
      </w:r>
      <w:r w:rsidR="00AE5160">
        <w:t xml:space="preserve">will </w:t>
      </w:r>
      <w:r w:rsidR="00E34E5A" w:rsidRPr="0057612C">
        <w:t xml:space="preserve">include measurements of children’s height and weight. Height or length </w:t>
      </w:r>
      <w:r w:rsidR="00AE5160">
        <w:t>will be</w:t>
      </w:r>
      <w:r w:rsidR="00E34E5A" w:rsidRPr="0057612C">
        <w:t xml:space="preserve"> measured to the nearest 0.1 cm using portable fixed base </w:t>
      </w:r>
      <w:proofErr w:type="spellStart"/>
      <w:r w:rsidR="00E34E5A" w:rsidRPr="0057612C">
        <w:t>stadiometers</w:t>
      </w:r>
      <w:proofErr w:type="spellEnd"/>
      <w:r w:rsidR="00E34E5A" w:rsidRPr="0057612C">
        <w:t xml:space="preserve"> and weight </w:t>
      </w:r>
      <w:r w:rsidR="00AE5160">
        <w:t xml:space="preserve">will be </w:t>
      </w:r>
      <w:r w:rsidR="00E34E5A" w:rsidRPr="0057612C">
        <w:t xml:space="preserve">measured to the nearest 0.1 kg using electronic scales. </w:t>
      </w:r>
      <w:r w:rsidR="006A5FF5" w:rsidRPr="0057612C">
        <w:t xml:space="preserve">The height and weight measures </w:t>
      </w:r>
      <w:r w:rsidR="00AE5160">
        <w:t>will be</w:t>
      </w:r>
      <w:r w:rsidR="006A5FF5" w:rsidRPr="0057612C">
        <w:t xml:space="preserve"> assembled and placed on a level surface. In the absence of a level ground in the household, a suitable place </w:t>
      </w:r>
      <w:r w:rsidR="00AE5160">
        <w:t>will be</w:t>
      </w:r>
      <w:r w:rsidR="006A5FF5" w:rsidRPr="0057612C">
        <w:t xml:space="preserve"> identified for the measurement in the community.</w:t>
      </w:r>
      <w:r w:rsidR="00E34E5A" w:rsidRPr="0057612C">
        <w:t xml:space="preserve"> </w:t>
      </w:r>
      <w:r w:rsidR="006A5FF5" w:rsidRPr="0057612C">
        <w:t xml:space="preserve">Training on the MDAT </w:t>
      </w:r>
      <w:r w:rsidR="00AE5160">
        <w:t>will be</w:t>
      </w:r>
      <w:r w:rsidR="006A5FF5" w:rsidRPr="0057612C">
        <w:t xml:space="preserve"> provided to all </w:t>
      </w:r>
      <w:r w:rsidR="00AE5160">
        <w:t xml:space="preserve">supervisors and enumerators by </w:t>
      </w:r>
      <w:r w:rsidR="006A5FF5" w:rsidRPr="0057612C">
        <w:t xml:space="preserve">trained </w:t>
      </w:r>
      <w:r w:rsidR="00AE5160">
        <w:t>staff</w:t>
      </w:r>
      <w:r w:rsidR="006A5FF5" w:rsidRPr="0057612C">
        <w:t xml:space="preserve"> from the College of Medicine, </w:t>
      </w:r>
      <w:r w:rsidR="005C30F2">
        <w:t>Malawi</w:t>
      </w:r>
      <w:r w:rsidR="006A5FF5" w:rsidRPr="0057612C">
        <w:t xml:space="preserve">. During the </w:t>
      </w:r>
      <w:r w:rsidR="00FA0D9D" w:rsidRPr="0057612C">
        <w:t xml:space="preserve">MDAT </w:t>
      </w:r>
      <w:r w:rsidR="006A5FF5" w:rsidRPr="0057612C">
        <w:t xml:space="preserve">training all enumerators </w:t>
      </w:r>
      <w:r w:rsidR="00AE5160">
        <w:t>will be</w:t>
      </w:r>
      <w:r w:rsidR="006A5FF5" w:rsidRPr="0057612C">
        <w:t xml:space="preserve"> </w:t>
      </w:r>
      <w:r w:rsidR="00B90E20" w:rsidRPr="0057612C">
        <w:t>reviewed</w:t>
      </w:r>
      <w:r w:rsidR="006A5FF5" w:rsidRPr="0057612C">
        <w:t xml:space="preserve"> for </w:t>
      </w:r>
      <w:r w:rsidR="00B90E20" w:rsidRPr="0057612C">
        <w:t xml:space="preserve">consistency and </w:t>
      </w:r>
      <w:r w:rsidR="006A5FF5" w:rsidRPr="0057612C">
        <w:t xml:space="preserve">reliability. </w:t>
      </w:r>
    </w:p>
    <w:p w14:paraId="330AE512" w14:textId="77777777" w:rsidR="003E762C" w:rsidRPr="0057612C" w:rsidRDefault="008C1BB0" w:rsidP="000140B8">
      <w:pPr>
        <w:pStyle w:val="Heading1"/>
        <w:spacing w:before="120"/>
        <w:rPr>
          <w:rFonts w:asciiTheme="minorHAnsi" w:hAnsiTheme="minorHAnsi" w:cs="Times New Roman"/>
        </w:rPr>
      </w:pPr>
      <w:bookmarkStart w:id="15" w:name="_Toc447729042"/>
      <w:r w:rsidRPr="0057612C">
        <w:rPr>
          <w:rFonts w:asciiTheme="minorHAnsi" w:hAnsiTheme="minorHAnsi" w:cs="Times New Roman"/>
        </w:rPr>
        <w:t>Discussion</w:t>
      </w:r>
      <w:bookmarkEnd w:id="15"/>
    </w:p>
    <w:p w14:paraId="4402A746" w14:textId="77777777" w:rsidR="00B95EDC" w:rsidRPr="0057612C" w:rsidRDefault="0089088B" w:rsidP="0089088B">
      <w:pPr>
        <w:spacing w:line="240" w:lineRule="auto"/>
      </w:pPr>
      <w:r w:rsidRPr="0057612C">
        <w:t>Early childhood development programmes are considered as the most cost-effective form of human capital investment compared to any subsequent schooling interventions</w:t>
      </w:r>
      <w:r w:rsidR="00B95EDC" w:rsidRPr="0057612C">
        <w:t xml:space="preserve"> [4]</w:t>
      </w:r>
      <w:r w:rsidRPr="0057612C">
        <w:t>. Emerging evidence highlights the potential additive and synergistic effects combining ECD, and nutrition</w:t>
      </w:r>
      <w:r w:rsidR="00B95EDC" w:rsidRPr="0057612C">
        <w:t xml:space="preserve"> [6</w:t>
      </w:r>
      <w:r w:rsidR="00B436B7">
        <w:t>, 7</w:t>
      </w:r>
      <w:r w:rsidR="00B95EDC" w:rsidRPr="0057612C">
        <w:t>]</w:t>
      </w:r>
      <w:r w:rsidRPr="0057612C">
        <w:t>, and agriculture and nutrition</w:t>
      </w:r>
      <w:r w:rsidR="00B95EDC" w:rsidRPr="0057612C">
        <w:t xml:space="preserve"> [3]</w:t>
      </w:r>
      <w:r w:rsidRPr="0057612C">
        <w:t xml:space="preserve">. </w:t>
      </w:r>
      <w:r w:rsidR="00B95EDC" w:rsidRPr="0057612C">
        <w:t>Combining these three sectors may lead to substantial gains in cost, efficiency, and effectiveness, however there is a need to rigorously assess these potential synergies.</w:t>
      </w:r>
    </w:p>
    <w:p w14:paraId="34D80A10" w14:textId="3393959D" w:rsidR="0089088B" w:rsidRDefault="0089088B" w:rsidP="0089088B">
      <w:pPr>
        <w:spacing w:line="240" w:lineRule="auto"/>
      </w:pPr>
      <w:r w:rsidRPr="0057612C">
        <w:t>This paper describe</w:t>
      </w:r>
      <w:r w:rsidR="005C30F2">
        <w:t>s</w:t>
      </w:r>
      <w:r w:rsidRPr="0057612C">
        <w:t xml:space="preserve"> the design for a</w:t>
      </w:r>
      <w:r w:rsidR="00B95EDC" w:rsidRPr="0057612C">
        <w:t xml:space="preserve"> </w:t>
      </w:r>
      <w:r w:rsidR="00953F79" w:rsidRPr="0057612C">
        <w:t>CRT</w:t>
      </w:r>
      <w:r w:rsidRPr="0057612C">
        <w:t xml:space="preserve"> of </w:t>
      </w:r>
      <w:r w:rsidR="00B95EDC" w:rsidRPr="0057612C">
        <w:t xml:space="preserve">a </w:t>
      </w:r>
      <w:r w:rsidRPr="0057612C">
        <w:t>pre-school</w:t>
      </w:r>
      <w:r w:rsidR="00B95EDC" w:rsidRPr="0057612C">
        <w:t>-feeding based</w:t>
      </w:r>
      <w:r w:rsidRPr="0057612C">
        <w:t xml:space="preserve"> </w:t>
      </w:r>
      <w:r w:rsidR="00B95EDC" w:rsidRPr="0057612C">
        <w:t>intervention</w:t>
      </w:r>
      <w:r w:rsidRPr="0057612C">
        <w:t xml:space="preserve"> linked to smallholder agriculture and community engagement. As far as we are aware, it is the first to explicitly examine </w:t>
      </w:r>
      <w:r w:rsidR="004529D8" w:rsidRPr="0057612C">
        <w:t>(</w:t>
      </w:r>
      <w:r w:rsidRPr="0057612C">
        <w:t>from a food systems perspective</w:t>
      </w:r>
      <w:r w:rsidR="004529D8" w:rsidRPr="0057612C">
        <w:t>)</w:t>
      </w:r>
      <w:r w:rsidRPr="0057612C">
        <w:t xml:space="preserve"> the simultaneous impact of a pre-school meals programme on dietary choices, alongside outcomes in nutrition, child development and agriculture domains. As the intervention is complex, the scope of this theory-based evaluation </w:t>
      </w:r>
      <w:r w:rsidR="00B95EDC" w:rsidRPr="0057612C">
        <w:t>includes</w:t>
      </w:r>
      <w:r w:rsidRPr="0057612C">
        <w:t xml:space="preserve"> measurement of a range of </w:t>
      </w:r>
      <w:r w:rsidR="00B95EDC" w:rsidRPr="0057612C">
        <w:t xml:space="preserve">outcome and process </w:t>
      </w:r>
      <w:r w:rsidRPr="0057612C">
        <w:t xml:space="preserve">metrics across multiple disciplines. </w:t>
      </w:r>
      <w:r w:rsidR="00D51626" w:rsidRPr="0057612C">
        <w:t>T</w:t>
      </w:r>
      <w:r w:rsidR="00B95EDC" w:rsidRPr="0057612C">
        <w:t>he d</w:t>
      </w:r>
      <w:r w:rsidR="00541F33">
        <w:t>ata collection requires</w:t>
      </w:r>
      <w:r w:rsidRPr="0057612C">
        <w:t xml:space="preserve"> </w:t>
      </w:r>
      <w:r w:rsidR="00B95EDC" w:rsidRPr="0057612C">
        <w:t>multi-sectoral</w:t>
      </w:r>
      <w:r w:rsidRPr="0057612C">
        <w:t xml:space="preserve"> expertise in the survey teams</w:t>
      </w:r>
      <w:r w:rsidR="00D51626" w:rsidRPr="0057612C">
        <w:t>,</w:t>
      </w:r>
      <w:r w:rsidRPr="0057612C">
        <w:t xml:space="preserve"> including </w:t>
      </w:r>
      <w:r w:rsidR="00D51626" w:rsidRPr="0057612C">
        <w:t>measurements</w:t>
      </w:r>
      <w:r w:rsidR="00B95EDC" w:rsidRPr="0057612C">
        <w:t xml:space="preserve"> of </w:t>
      </w:r>
      <w:r w:rsidRPr="0057612C">
        <w:t xml:space="preserve">dietary </w:t>
      </w:r>
      <w:r w:rsidR="00D51626" w:rsidRPr="0057612C">
        <w:t>intake</w:t>
      </w:r>
      <w:r w:rsidRPr="0057612C">
        <w:t xml:space="preserve">, anthropometry, child development, alongside expenditure and other socio-economic related </w:t>
      </w:r>
      <w:r w:rsidR="00B95EDC" w:rsidRPr="0057612C">
        <w:t>dimensions</w:t>
      </w:r>
      <w:r w:rsidRPr="0057612C">
        <w:t xml:space="preserve">. </w:t>
      </w:r>
    </w:p>
    <w:p w14:paraId="22542306" w14:textId="77777777" w:rsidR="008E2BC7" w:rsidRDefault="008E2BC7" w:rsidP="008E2BC7">
      <w:pPr>
        <w:pStyle w:val="Heading2"/>
        <w:numPr>
          <w:ilvl w:val="0"/>
          <w:numId w:val="0"/>
        </w:numPr>
        <w:spacing w:before="0"/>
        <w:ind w:left="576" w:hanging="576"/>
      </w:pPr>
      <w:r>
        <w:t>Trial status</w:t>
      </w:r>
    </w:p>
    <w:p w14:paraId="239BE43B" w14:textId="6AA2A36B" w:rsidR="008E2BC7" w:rsidRDefault="008E2BC7" w:rsidP="008E2BC7">
      <w:pPr>
        <w:spacing w:line="240" w:lineRule="auto"/>
      </w:pPr>
      <w:r>
        <w:t>The first participant was enrolled on 7</w:t>
      </w:r>
      <w:r w:rsidRPr="008E2BC7">
        <w:rPr>
          <w:vertAlign w:val="superscript"/>
        </w:rPr>
        <w:t>th</w:t>
      </w:r>
      <w:r>
        <w:t xml:space="preserve"> of September </w:t>
      </w:r>
      <w:r w:rsidR="0087465C">
        <w:t>2015</w:t>
      </w:r>
      <w:r>
        <w:t>. Data collection for the last of 120 participants will be completed by December 2016</w:t>
      </w:r>
      <w:r w:rsidR="001D5D7F" w:rsidRPr="001D5D7F">
        <w:t xml:space="preserve"> (see SPIRIT checklist figure </w:t>
      </w:r>
      <w:bookmarkStart w:id="16" w:name="_GoBack"/>
      <w:r w:rsidR="001D5D7F" w:rsidRPr="001D5D7F">
        <w:t>[additional files 1 and 2])</w:t>
      </w:r>
      <w:bookmarkEnd w:id="16"/>
      <w:r w:rsidR="001D5D7F" w:rsidRPr="001D5D7F">
        <w:t>.</w:t>
      </w:r>
    </w:p>
    <w:p w14:paraId="2E8F69ED" w14:textId="77777777" w:rsidR="008E2BC7" w:rsidRDefault="008E2BC7" w:rsidP="008E2BC7">
      <w:pPr>
        <w:pStyle w:val="Heading2"/>
        <w:numPr>
          <w:ilvl w:val="0"/>
          <w:numId w:val="0"/>
        </w:numPr>
        <w:spacing w:before="0"/>
        <w:ind w:left="576" w:hanging="576"/>
      </w:pPr>
      <w:r>
        <w:t>Trial registration</w:t>
      </w:r>
    </w:p>
    <w:p w14:paraId="1C58E93B" w14:textId="35B58A2B" w:rsidR="008E2BC7" w:rsidRPr="0057612C" w:rsidRDefault="008E2BC7" w:rsidP="008E2BC7">
      <w:pPr>
        <w:spacing w:line="240" w:lineRule="auto"/>
      </w:pPr>
      <w:r>
        <w:t>The NEEP-IE study was registered on the ISRCTN registry (</w:t>
      </w:r>
      <w:r w:rsidRPr="008E2BC7">
        <w:t>ISRCTN96497560</w:t>
      </w:r>
      <w:r>
        <w:t>) on the 21 September 2016.</w:t>
      </w:r>
    </w:p>
    <w:p w14:paraId="37F15B03" w14:textId="77777777" w:rsidR="00D04623" w:rsidRPr="001D5381" w:rsidRDefault="00D04623" w:rsidP="00D04623">
      <w:pPr>
        <w:pStyle w:val="Heading1"/>
        <w:numPr>
          <w:ilvl w:val="0"/>
          <w:numId w:val="0"/>
        </w:numPr>
        <w:ind w:left="432" w:hanging="432"/>
        <w:rPr>
          <w:rFonts w:asciiTheme="minorHAnsi" w:hAnsiTheme="minorHAnsi" w:cs="Times New Roman"/>
        </w:rPr>
      </w:pPr>
      <w:r w:rsidRPr="0057612C">
        <w:rPr>
          <w:rFonts w:asciiTheme="minorHAnsi" w:hAnsiTheme="minorHAnsi" w:cs="Times New Roman"/>
        </w:rPr>
        <w:t>Annex 1: Impact pathways for pre-school meals</w:t>
      </w:r>
    </w:p>
    <w:p w14:paraId="413D4DFE" w14:textId="608A5221" w:rsidR="00D04623" w:rsidRPr="0057612C" w:rsidRDefault="00D04623" w:rsidP="00D04623">
      <w:pPr>
        <w:pStyle w:val="Caption"/>
      </w:pPr>
      <w:r w:rsidRPr="0057612C">
        <w:lastRenderedPageBreak/>
        <w:t xml:space="preserve">Figure </w:t>
      </w:r>
      <w:r w:rsidR="008638A6">
        <w:t>3</w:t>
      </w:r>
      <w:r w:rsidRPr="0057612C">
        <w:t>: Impact pathways for the i</w:t>
      </w:r>
      <w:r>
        <w:t>ntervention on child nutrition</w:t>
      </w:r>
      <w:r w:rsidRPr="0057612C">
        <w:t xml:space="preserve"> and dev</w:t>
      </w:r>
      <w:r>
        <w:t>e</w:t>
      </w:r>
      <w:r w:rsidRPr="0057612C">
        <w:t>lopment.</w:t>
      </w:r>
      <w:r>
        <w:t xml:space="preserve"> (Source: Adapted from [2</w:t>
      </w:r>
      <w:r w:rsidR="00172D26">
        <w:t>8</w:t>
      </w:r>
      <w:r>
        <w:t>]).</w:t>
      </w:r>
    </w:p>
    <w:p w14:paraId="6471E927" w14:textId="77777777" w:rsidR="00B45A3E" w:rsidRPr="0057612C" w:rsidRDefault="00B45A3E" w:rsidP="00D04623">
      <w:pPr>
        <w:pStyle w:val="Heading1"/>
        <w:numPr>
          <w:ilvl w:val="0"/>
          <w:numId w:val="0"/>
        </w:numPr>
        <w:spacing w:before="120"/>
        <w:rPr>
          <w:rFonts w:asciiTheme="minorHAnsi" w:hAnsiTheme="minorHAnsi" w:cs="Times New Roman"/>
        </w:rPr>
      </w:pPr>
      <w:r w:rsidRPr="0057612C">
        <w:rPr>
          <w:rFonts w:asciiTheme="minorHAnsi" w:hAnsiTheme="minorHAnsi" w:cs="Times New Roman"/>
        </w:rPr>
        <w:t>Abbreviations</w:t>
      </w:r>
    </w:p>
    <w:tbl>
      <w:tblPr>
        <w:tblW w:w="6540" w:type="dxa"/>
        <w:tblLook w:val="04A0" w:firstRow="1" w:lastRow="0" w:firstColumn="1" w:lastColumn="0" w:noHBand="0" w:noVBand="1"/>
      </w:tblPr>
      <w:tblGrid>
        <w:gridCol w:w="1001"/>
        <w:gridCol w:w="5580"/>
      </w:tblGrid>
      <w:tr w:rsidR="00A87D30" w:rsidRPr="0057612C" w14:paraId="7688C4CB" w14:textId="77777777" w:rsidTr="00A87D30">
        <w:trPr>
          <w:trHeight w:val="290"/>
        </w:trPr>
        <w:tc>
          <w:tcPr>
            <w:tcW w:w="960" w:type="dxa"/>
            <w:tcBorders>
              <w:top w:val="nil"/>
              <w:left w:val="nil"/>
              <w:bottom w:val="nil"/>
              <w:right w:val="nil"/>
            </w:tcBorders>
            <w:shd w:val="clear" w:color="auto" w:fill="auto"/>
            <w:noWrap/>
            <w:vAlign w:val="bottom"/>
            <w:hideMark/>
          </w:tcPr>
          <w:p w14:paraId="010A610D"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bookmarkStart w:id="17" w:name="_Toc447729023"/>
            <w:r w:rsidRPr="0057612C">
              <w:rPr>
                <w:rFonts w:ascii="Calibri" w:eastAsia="Times New Roman" w:hAnsi="Calibri" w:cs="Times New Roman"/>
                <w:color w:val="000000"/>
                <w:lang w:eastAsia="en-US"/>
              </w:rPr>
              <w:t>ANCOVA</w:t>
            </w:r>
          </w:p>
        </w:tc>
        <w:tc>
          <w:tcPr>
            <w:tcW w:w="5580" w:type="dxa"/>
            <w:tcBorders>
              <w:top w:val="nil"/>
              <w:left w:val="nil"/>
              <w:bottom w:val="nil"/>
              <w:right w:val="nil"/>
            </w:tcBorders>
            <w:shd w:val="clear" w:color="auto" w:fill="auto"/>
            <w:noWrap/>
            <w:vAlign w:val="bottom"/>
            <w:hideMark/>
          </w:tcPr>
          <w:p w14:paraId="0639E813"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Analysis of Covariance</w:t>
            </w:r>
          </w:p>
        </w:tc>
      </w:tr>
      <w:tr w:rsidR="00A87D30" w:rsidRPr="0057612C" w14:paraId="0F0BFCF5" w14:textId="77777777" w:rsidTr="00A87D30">
        <w:trPr>
          <w:trHeight w:val="290"/>
        </w:trPr>
        <w:tc>
          <w:tcPr>
            <w:tcW w:w="960" w:type="dxa"/>
            <w:tcBorders>
              <w:top w:val="nil"/>
              <w:left w:val="nil"/>
              <w:bottom w:val="nil"/>
              <w:right w:val="nil"/>
            </w:tcBorders>
            <w:shd w:val="clear" w:color="auto" w:fill="auto"/>
            <w:noWrap/>
            <w:vAlign w:val="bottom"/>
            <w:hideMark/>
          </w:tcPr>
          <w:p w14:paraId="77F2854E"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CBCCs</w:t>
            </w:r>
          </w:p>
        </w:tc>
        <w:tc>
          <w:tcPr>
            <w:tcW w:w="5580" w:type="dxa"/>
            <w:tcBorders>
              <w:top w:val="nil"/>
              <w:left w:val="nil"/>
              <w:bottom w:val="nil"/>
              <w:right w:val="nil"/>
            </w:tcBorders>
            <w:shd w:val="clear" w:color="auto" w:fill="auto"/>
            <w:noWrap/>
            <w:vAlign w:val="bottom"/>
            <w:hideMark/>
          </w:tcPr>
          <w:p w14:paraId="2DF0EEF5"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 xml:space="preserve">community based childcare centres </w:t>
            </w:r>
          </w:p>
        </w:tc>
      </w:tr>
      <w:tr w:rsidR="00A87D30" w:rsidRPr="0057612C" w14:paraId="1770C30E" w14:textId="77777777" w:rsidTr="00A87D30">
        <w:trPr>
          <w:trHeight w:val="290"/>
        </w:trPr>
        <w:tc>
          <w:tcPr>
            <w:tcW w:w="960" w:type="dxa"/>
            <w:tcBorders>
              <w:top w:val="nil"/>
              <w:left w:val="nil"/>
              <w:bottom w:val="nil"/>
              <w:right w:val="nil"/>
            </w:tcBorders>
            <w:shd w:val="clear" w:color="auto" w:fill="auto"/>
            <w:noWrap/>
            <w:vAlign w:val="bottom"/>
            <w:hideMark/>
          </w:tcPr>
          <w:p w14:paraId="59F3EF36"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CBO</w:t>
            </w:r>
          </w:p>
        </w:tc>
        <w:tc>
          <w:tcPr>
            <w:tcW w:w="5580" w:type="dxa"/>
            <w:tcBorders>
              <w:top w:val="nil"/>
              <w:left w:val="nil"/>
              <w:bottom w:val="nil"/>
              <w:right w:val="nil"/>
            </w:tcBorders>
            <w:shd w:val="clear" w:color="auto" w:fill="auto"/>
            <w:noWrap/>
            <w:vAlign w:val="bottom"/>
            <w:hideMark/>
          </w:tcPr>
          <w:p w14:paraId="7E2CCAE6"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Community based Organisation</w:t>
            </w:r>
          </w:p>
        </w:tc>
      </w:tr>
      <w:tr w:rsidR="00A87D30" w:rsidRPr="0057612C" w14:paraId="21141EF4" w14:textId="77777777" w:rsidTr="00A87D30">
        <w:trPr>
          <w:trHeight w:val="290"/>
        </w:trPr>
        <w:tc>
          <w:tcPr>
            <w:tcW w:w="960" w:type="dxa"/>
            <w:tcBorders>
              <w:top w:val="nil"/>
              <w:left w:val="nil"/>
              <w:bottom w:val="nil"/>
              <w:right w:val="nil"/>
            </w:tcBorders>
            <w:shd w:val="clear" w:color="auto" w:fill="auto"/>
            <w:noWrap/>
            <w:vAlign w:val="bottom"/>
            <w:hideMark/>
          </w:tcPr>
          <w:p w14:paraId="5BF7C055"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CRT</w:t>
            </w:r>
          </w:p>
        </w:tc>
        <w:tc>
          <w:tcPr>
            <w:tcW w:w="5580" w:type="dxa"/>
            <w:tcBorders>
              <w:top w:val="nil"/>
              <w:left w:val="nil"/>
              <w:bottom w:val="nil"/>
              <w:right w:val="nil"/>
            </w:tcBorders>
            <w:shd w:val="clear" w:color="auto" w:fill="auto"/>
            <w:noWrap/>
            <w:vAlign w:val="bottom"/>
            <w:hideMark/>
          </w:tcPr>
          <w:p w14:paraId="4A9A6B53"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Cluster Randomised Trial</w:t>
            </w:r>
          </w:p>
        </w:tc>
      </w:tr>
      <w:tr w:rsidR="00A87D30" w:rsidRPr="0057612C" w14:paraId="33007D64" w14:textId="77777777" w:rsidTr="00A87D30">
        <w:trPr>
          <w:trHeight w:val="290"/>
        </w:trPr>
        <w:tc>
          <w:tcPr>
            <w:tcW w:w="960" w:type="dxa"/>
            <w:tcBorders>
              <w:top w:val="nil"/>
              <w:left w:val="nil"/>
              <w:bottom w:val="nil"/>
              <w:right w:val="nil"/>
            </w:tcBorders>
            <w:shd w:val="clear" w:color="auto" w:fill="auto"/>
            <w:noWrap/>
            <w:vAlign w:val="bottom"/>
            <w:hideMark/>
          </w:tcPr>
          <w:p w14:paraId="1BF43B47"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DDS</w:t>
            </w:r>
          </w:p>
        </w:tc>
        <w:tc>
          <w:tcPr>
            <w:tcW w:w="5580" w:type="dxa"/>
            <w:tcBorders>
              <w:top w:val="nil"/>
              <w:left w:val="nil"/>
              <w:bottom w:val="nil"/>
              <w:right w:val="nil"/>
            </w:tcBorders>
            <w:shd w:val="clear" w:color="auto" w:fill="auto"/>
            <w:noWrap/>
            <w:vAlign w:val="bottom"/>
            <w:hideMark/>
          </w:tcPr>
          <w:p w14:paraId="0392D4F5"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Dietary Diversity Score</w:t>
            </w:r>
          </w:p>
        </w:tc>
      </w:tr>
      <w:tr w:rsidR="00A87D30" w:rsidRPr="0057612C" w14:paraId="0F32D45B" w14:textId="77777777" w:rsidTr="00A87D30">
        <w:trPr>
          <w:trHeight w:val="290"/>
        </w:trPr>
        <w:tc>
          <w:tcPr>
            <w:tcW w:w="960" w:type="dxa"/>
            <w:tcBorders>
              <w:top w:val="nil"/>
              <w:left w:val="nil"/>
              <w:bottom w:val="nil"/>
              <w:right w:val="nil"/>
            </w:tcBorders>
            <w:shd w:val="clear" w:color="auto" w:fill="auto"/>
            <w:noWrap/>
            <w:vAlign w:val="bottom"/>
            <w:hideMark/>
          </w:tcPr>
          <w:p w14:paraId="34D73C9F"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DID</w:t>
            </w:r>
          </w:p>
        </w:tc>
        <w:tc>
          <w:tcPr>
            <w:tcW w:w="5580" w:type="dxa"/>
            <w:tcBorders>
              <w:top w:val="nil"/>
              <w:left w:val="nil"/>
              <w:bottom w:val="nil"/>
              <w:right w:val="nil"/>
            </w:tcBorders>
            <w:shd w:val="clear" w:color="auto" w:fill="auto"/>
            <w:noWrap/>
            <w:vAlign w:val="bottom"/>
            <w:hideMark/>
          </w:tcPr>
          <w:p w14:paraId="403D6AB1"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Difference in Difference</w:t>
            </w:r>
          </w:p>
        </w:tc>
      </w:tr>
      <w:tr w:rsidR="00A87D30" w:rsidRPr="0057612C" w14:paraId="17AA20FF" w14:textId="77777777" w:rsidTr="00A87D30">
        <w:trPr>
          <w:trHeight w:val="290"/>
        </w:trPr>
        <w:tc>
          <w:tcPr>
            <w:tcW w:w="960" w:type="dxa"/>
            <w:tcBorders>
              <w:top w:val="nil"/>
              <w:left w:val="nil"/>
              <w:bottom w:val="nil"/>
              <w:right w:val="nil"/>
            </w:tcBorders>
            <w:shd w:val="clear" w:color="auto" w:fill="auto"/>
            <w:noWrap/>
            <w:vAlign w:val="bottom"/>
            <w:hideMark/>
          </w:tcPr>
          <w:p w14:paraId="2C09688C"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ECD</w:t>
            </w:r>
          </w:p>
        </w:tc>
        <w:tc>
          <w:tcPr>
            <w:tcW w:w="5580" w:type="dxa"/>
            <w:tcBorders>
              <w:top w:val="nil"/>
              <w:left w:val="nil"/>
              <w:bottom w:val="nil"/>
              <w:right w:val="nil"/>
            </w:tcBorders>
            <w:shd w:val="clear" w:color="auto" w:fill="auto"/>
            <w:noWrap/>
            <w:vAlign w:val="bottom"/>
            <w:hideMark/>
          </w:tcPr>
          <w:p w14:paraId="7FFC9341"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 xml:space="preserve">Early childhood development </w:t>
            </w:r>
          </w:p>
        </w:tc>
      </w:tr>
      <w:tr w:rsidR="00A87D30" w:rsidRPr="0057612C" w14:paraId="3552417E" w14:textId="77777777" w:rsidTr="00A87D30">
        <w:trPr>
          <w:trHeight w:val="290"/>
        </w:trPr>
        <w:tc>
          <w:tcPr>
            <w:tcW w:w="960" w:type="dxa"/>
            <w:tcBorders>
              <w:top w:val="nil"/>
              <w:left w:val="nil"/>
              <w:bottom w:val="nil"/>
              <w:right w:val="nil"/>
            </w:tcBorders>
            <w:shd w:val="clear" w:color="auto" w:fill="auto"/>
            <w:noWrap/>
            <w:vAlign w:val="bottom"/>
            <w:hideMark/>
          </w:tcPr>
          <w:p w14:paraId="74C09E31"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FVS</w:t>
            </w:r>
          </w:p>
        </w:tc>
        <w:tc>
          <w:tcPr>
            <w:tcW w:w="5580" w:type="dxa"/>
            <w:tcBorders>
              <w:top w:val="nil"/>
              <w:left w:val="nil"/>
              <w:bottom w:val="nil"/>
              <w:right w:val="nil"/>
            </w:tcBorders>
            <w:shd w:val="clear" w:color="auto" w:fill="auto"/>
            <w:noWrap/>
            <w:vAlign w:val="bottom"/>
            <w:hideMark/>
          </w:tcPr>
          <w:p w14:paraId="1C81A98D"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Food Variety Score</w:t>
            </w:r>
          </w:p>
        </w:tc>
      </w:tr>
      <w:tr w:rsidR="00A87D30" w:rsidRPr="0057612C" w14:paraId="6765C92F" w14:textId="77777777" w:rsidTr="00A87D30">
        <w:trPr>
          <w:trHeight w:val="290"/>
        </w:trPr>
        <w:tc>
          <w:tcPr>
            <w:tcW w:w="960" w:type="dxa"/>
            <w:tcBorders>
              <w:top w:val="nil"/>
              <w:left w:val="nil"/>
              <w:bottom w:val="nil"/>
              <w:right w:val="nil"/>
            </w:tcBorders>
            <w:shd w:val="clear" w:color="auto" w:fill="auto"/>
            <w:noWrap/>
            <w:vAlign w:val="bottom"/>
            <w:hideMark/>
          </w:tcPr>
          <w:p w14:paraId="2FA74C40"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HANCI</w:t>
            </w:r>
          </w:p>
        </w:tc>
        <w:tc>
          <w:tcPr>
            <w:tcW w:w="5580" w:type="dxa"/>
            <w:tcBorders>
              <w:top w:val="nil"/>
              <w:left w:val="nil"/>
              <w:bottom w:val="nil"/>
              <w:right w:val="nil"/>
            </w:tcBorders>
            <w:shd w:val="clear" w:color="auto" w:fill="auto"/>
            <w:noWrap/>
            <w:vAlign w:val="bottom"/>
            <w:hideMark/>
          </w:tcPr>
          <w:p w14:paraId="4025060C"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 xml:space="preserve">Hunger and Nutrition Commitment Index </w:t>
            </w:r>
          </w:p>
        </w:tc>
      </w:tr>
      <w:tr w:rsidR="00A87D30" w:rsidRPr="0057612C" w14:paraId="4E292ACA" w14:textId="77777777" w:rsidTr="00A87D30">
        <w:trPr>
          <w:trHeight w:val="290"/>
        </w:trPr>
        <w:tc>
          <w:tcPr>
            <w:tcW w:w="960" w:type="dxa"/>
            <w:tcBorders>
              <w:top w:val="nil"/>
              <w:left w:val="nil"/>
              <w:bottom w:val="nil"/>
              <w:right w:val="nil"/>
            </w:tcBorders>
            <w:shd w:val="clear" w:color="auto" w:fill="auto"/>
            <w:noWrap/>
            <w:vAlign w:val="bottom"/>
            <w:hideMark/>
          </w:tcPr>
          <w:p w14:paraId="46E3ED36"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HAZ</w:t>
            </w:r>
          </w:p>
        </w:tc>
        <w:tc>
          <w:tcPr>
            <w:tcW w:w="5580" w:type="dxa"/>
            <w:tcBorders>
              <w:top w:val="nil"/>
              <w:left w:val="nil"/>
              <w:bottom w:val="nil"/>
              <w:right w:val="nil"/>
            </w:tcBorders>
            <w:shd w:val="clear" w:color="auto" w:fill="auto"/>
            <w:noWrap/>
            <w:vAlign w:val="bottom"/>
            <w:hideMark/>
          </w:tcPr>
          <w:p w14:paraId="311001FE"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Height for age z-score</w:t>
            </w:r>
          </w:p>
        </w:tc>
      </w:tr>
      <w:tr w:rsidR="00A87D30" w:rsidRPr="0057612C" w14:paraId="36C2DA86" w14:textId="77777777" w:rsidTr="00A87D30">
        <w:trPr>
          <w:trHeight w:val="290"/>
        </w:trPr>
        <w:tc>
          <w:tcPr>
            <w:tcW w:w="960" w:type="dxa"/>
            <w:tcBorders>
              <w:top w:val="nil"/>
              <w:left w:val="nil"/>
              <w:bottom w:val="nil"/>
              <w:right w:val="nil"/>
            </w:tcBorders>
            <w:shd w:val="clear" w:color="auto" w:fill="auto"/>
            <w:noWrap/>
            <w:vAlign w:val="bottom"/>
            <w:hideMark/>
          </w:tcPr>
          <w:p w14:paraId="1C5B6618"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HH</w:t>
            </w:r>
          </w:p>
        </w:tc>
        <w:tc>
          <w:tcPr>
            <w:tcW w:w="5580" w:type="dxa"/>
            <w:tcBorders>
              <w:top w:val="nil"/>
              <w:left w:val="nil"/>
              <w:bottom w:val="nil"/>
              <w:right w:val="nil"/>
            </w:tcBorders>
            <w:shd w:val="clear" w:color="auto" w:fill="auto"/>
            <w:noWrap/>
            <w:vAlign w:val="bottom"/>
            <w:hideMark/>
          </w:tcPr>
          <w:p w14:paraId="796870F8"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Household</w:t>
            </w:r>
          </w:p>
        </w:tc>
      </w:tr>
      <w:tr w:rsidR="00A87D30" w:rsidRPr="0057612C" w14:paraId="059CA3A1" w14:textId="77777777" w:rsidTr="00A87D30">
        <w:trPr>
          <w:trHeight w:val="290"/>
        </w:trPr>
        <w:tc>
          <w:tcPr>
            <w:tcW w:w="960" w:type="dxa"/>
            <w:tcBorders>
              <w:top w:val="nil"/>
              <w:left w:val="nil"/>
              <w:bottom w:val="nil"/>
              <w:right w:val="nil"/>
            </w:tcBorders>
            <w:shd w:val="clear" w:color="auto" w:fill="auto"/>
            <w:noWrap/>
            <w:vAlign w:val="bottom"/>
            <w:hideMark/>
          </w:tcPr>
          <w:p w14:paraId="6C46070A"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IRI</w:t>
            </w:r>
          </w:p>
        </w:tc>
        <w:tc>
          <w:tcPr>
            <w:tcW w:w="5580" w:type="dxa"/>
            <w:tcBorders>
              <w:top w:val="nil"/>
              <w:left w:val="nil"/>
              <w:bottom w:val="nil"/>
              <w:right w:val="nil"/>
            </w:tcBorders>
            <w:shd w:val="clear" w:color="auto" w:fill="auto"/>
            <w:noWrap/>
            <w:vAlign w:val="bottom"/>
            <w:hideMark/>
          </w:tcPr>
          <w:p w14:paraId="55890BF5"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interactive radio instructions</w:t>
            </w:r>
          </w:p>
        </w:tc>
      </w:tr>
      <w:tr w:rsidR="00A87D30" w:rsidRPr="0057612C" w14:paraId="58578059" w14:textId="77777777" w:rsidTr="00A87D30">
        <w:trPr>
          <w:trHeight w:val="290"/>
        </w:trPr>
        <w:tc>
          <w:tcPr>
            <w:tcW w:w="960" w:type="dxa"/>
            <w:tcBorders>
              <w:top w:val="nil"/>
              <w:left w:val="nil"/>
              <w:bottom w:val="nil"/>
              <w:right w:val="nil"/>
            </w:tcBorders>
            <w:shd w:val="clear" w:color="auto" w:fill="auto"/>
            <w:noWrap/>
            <w:vAlign w:val="bottom"/>
            <w:hideMark/>
          </w:tcPr>
          <w:p w14:paraId="653E00FF"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IYCF</w:t>
            </w:r>
          </w:p>
        </w:tc>
        <w:tc>
          <w:tcPr>
            <w:tcW w:w="5580" w:type="dxa"/>
            <w:tcBorders>
              <w:top w:val="nil"/>
              <w:left w:val="nil"/>
              <w:bottom w:val="nil"/>
              <w:right w:val="nil"/>
            </w:tcBorders>
            <w:shd w:val="clear" w:color="auto" w:fill="auto"/>
            <w:noWrap/>
            <w:vAlign w:val="bottom"/>
            <w:hideMark/>
          </w:tcPr>
          <w:p w14:paraId="16B9289B"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Infant and Young Child Feeding</w:t>
            </w:r>
          </w:p>
        </w:tc>
      </w:tr>
      <w:tr w:rsidR="00A87D30" w:rsidRPr="0057612C" w14:paraId="359ABD1E" w14:textId="77777777" w:rsidTr="00A87D30">
        <w:trPr>
          <w:trHeight w:val="290"/>
        </w:trPr>
        <w:tc>
          <w:tcPr>
            <w:tcW w:w="960" w:type="dxa"/>
            <w:tcBorders>
              <w:top w:val="nil"/>
              <w:left w:val="nil"/>
              <w:bottom w:val="nil"/>
              <w:right w:val="nil"/>
            </w:tcBorders>
            <w:shd w:val="clear" w:color="auto" w:fill="auto"/>
            <w:noWrap/>
            <w:vAlign w:val="bottom"/>
            <w:hideMark/>
          </w:tcPr>
          <w:p w14:paraId="2FE3BF75"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kg</w:t>
            </w:r>
          </w:p>
        </w:tc>
        <w:tc>
          <w:tcPr>
            <w:tcW w:w="5580" w:type="dxa"/>
            <w:tcBorders>
              <w:top w:val="nil"/>
              <w:left w:val="nil"/>
              <w:bottom w:val="nil"/>
              <w:right w:val="nil"/>
            </w:tcBorders>
            <w:shd w:val="clear" w:color="auto" w:fill="auto"/>
            <w:noWrap/>
            <w:vAlign w:val="bottom"/>
            <w:hideMark/>
          </w:tcPr>
          <w:p w14:paraId="4F34BF46"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kilogram</w:t>
            </w:r>
          </w:p>
        </w:tc>
      </w:tr>
      <w:tr w:rsidR="00A87D30" w:rsidRPr="0057612C" w14:paraId="03EBAEA8" w14:textId="77777777" w:rsidTr="00A87D30">
        <w:trPr>
          <w:trHeight w:val="290"/>
        </w:trPr>
        <w:tc>
          <w:tcPr>
            <w:tcW w:w="960" w:type="dxa"/>
            <w:tcBorders>
              <w:top w:val="nil"/>
              <w:left w:val="nil"/>
              <w:bottom w:val="nil"/>
              <w:right w:val="nil"/>
            </w:tcBorders>
            <w:shd w:val="clear" w:color="auto" w:fill="auto"/>
            <w:noWrap/>
            <w:vAlign w:val="bottom"/>
            <w:hideMark/>
          </w:tcPr>
          <w:p w14:paraId="0C55F5D4"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MDAT</w:t>
            </w:r>
          </w:p>
        </w:tc>
        <w:tc>
          <w:tcPr>
            <w:tcW w:w="5580" w:type="dxa"/>
            <w:tcBorders>
              <w:top w:val="nil"/>
              <w:left w:val="nil"/>
              <w:bottom w:val="nil"/>
              <w:right w:val="nil"/>
            </w:tcBorders>
            <w:shd w:val="clear" w:color="auto" w:fill="auto"/>
            <w:noWrap/>
            <w:vAlign w:val="bottom"/>
            <w:hideMark/>
          </w:tcPr>
          <w:p w14:paraId="58C475E5"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Malawi Development Assessment Tool</w:t>
            </w:r>
          </w:p>
        </w:tc>
      </w:tr>
      <w:tr w:rsidR="00A87D30" w:rsidRPr="0057612C" w14:paraId="2634CEDB" w14:textId="77777777" w:rsidTr="00A87D30">
        <w:trPr>
          <w:trHeight w:val="290"/>
        </w:trPr>
        <w:tc>
          <w:tcPr>
            <w:tcW w:w="960" w:type="dxa"/>
            <w:tcBorders>
              <w:top w:val="nil"/>
              <w:left w:val="nil"/>
              <w:bottom w:val="nil"/>
              <w:right w:val="nil"/>
            </w:tcBorders>
            <w:shd w:val="clear" w:color="auto" w:fill="auto"/>
            <w:noWrap/>
            <w:vAlign w:val="bottom"/>
            <w:hideMark/>
          </w:tcPr>
          <w:p w14:paraId="03981C0E"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MDES</w:t>
            </w:r>
          </w:p>
        </w:tc>
        <w:tc>
          <w:tcPr>
            <w:tcW w:w="5580" w:type="dxa"/>
            <w:tcBorders>
              <w:top w:val="nil"/>
              <w:left w:val="nil"/>
              <w:bottom w:val="nil"/>
              <w:right w:val="nil"/>
            </w:tcBorders>
            <w:shd w:val="clear" w:color="auto" w:fill="auto"/>
            <w:noWrap/>
            <w:vAlign w:val="bottom"/>
            <w:hideMark/>
          </w:tcPr>
          <w:p w14:paraId="7D790153"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Minimum Detectable Effect Size</w:t>
            </w:r>
          </w:p>
        </w:tc>
      </w:tr>
      <w:tr w:rsidR="00A87D30" w:rsidRPr="0057612C" w14:paraId="0BE20454" w14:textId="77777777" w:rsidTr="00A87D30">
        <w:trPr>
          <w:trHeight w:val="290"/>
        </w:trPr>
        <w:tc>
          <w:tcPr>
            <w:tcW w:w="960" w:type="dxa"/>
            <w:tcBorders>
              <w:top w:val="nil"/>
              <w:left w:val="nil"/>
              <w:bottom w:val="nil"/>
              <w:right w:val="nil"/>
            </w:tcBorders>
            <w:shd w:val="clear" w:color="auto" w:fill="auto"/>
            <w:noWrap/>
            <w:vAlign w:val="bottom"/>
            <w:hideMark/>
          </w:tcPr>
          <w:p w14:paraId="52F06B38"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NEEP-IE</w:t>
            </w:r>
          </w:p>
        </w:tc>
        <w:tc>
          <w:tcPr>
            <w:tcW w:w="5580" w:type="dxa"/>
            <w:tcBorders>
              <w:top w:val="nil"/>
              <w:left w:val="nil"/>
              <w:bottom w:val="nil"/>
              <w:right w:val="nil"/>
            </w:tcBorders>
            <w:shd w:val="clear" w:color="auto" w:fill="auto"/>
            <w:noWrap/>
            <w:vAlign w:val="bottom"/>
            <w:hideMark/>
          </w:tcPr>
          <w:p w14:paraId="6C4E1E01"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Nutrition Embedded Evaluation Program Impact Evaluation</w:t>
            </w:r>
          </w:p>
        </w:tc>
      </w:tr>
      <w:tr w:rsidR="00033C8F" w:rsidRPr="0057612C" w14:paraId="5667B604" w14:textId="77777777" w:rsidTr="00A87D30">
        <w:trPr>
          <w:trHeight w:val="290"/>
        </w:trPr>
        <w:tc>
          <w:tcPr>
            <w:tcW w:w="960" w:type="dxa"/>
            <w:tcBorders>
              <w:top w:val="nil"/>
              <w:left w:val="nil"/>
              <w:bottom w:val="nil"/>
              <w:right w:val="nil"/>
            </w:tcBorders>
            <w:shd w:val="clear" w:color="auto" w:fill="auto"/>
            <w:noWrap/>
            <w:vAlign w:val="bottom"/>
          </w:tcPr>
          <w:p w14:paraId="78CCB6A5" w14:textId="77777777" w:rsidR="00033C8F" w:rsidRPr="0057612C" w:rsidRDefault="00033C8F"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OFSP</w:t>
            </w:r>
          </w:p>
        </w:tc>
        <w:tc>
          <w:tcPr>
            <w:tcW w:w="5580" w:type="dxa"/>
            <w:tcBorders>
              <w:top w:val="nil"/>
              <w:left w:val="nil"/>
              <w:bottom w:val="nil"/>
              <w:right w:val="nil"/>
            </w:tcBorders>
            <w:shd w:val="clear" w:color="auto" w:fill="auto"/>
            <w:noWrap/>
            <w:vAlign w:val="bottom"/>
          </w:tcPr>
          <w:p w14:paraId="6087D79E" w14:textId="77777777" w:rsidR="00033C8F" w:rsidRPr="0057612C" w:rsidRDefault="00033C8F"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Orange Fleshed Sweet Potato</w:t>
            </w:r>
          </w:p>
        </w:tc>
      </w:tr>
      <w:tr w:rsidR="00A87D30" w:rsidRPr="0057612C" w14:paraId="77ECC452" w14:textId="77777777" w:rsidTr="00A87D30">
        <w:trPr>
          <w:trHeight w:val="290"/>
        </w:trPr>
        <w:tc>
          <w:tcPr>
            <w:tcW w:w="960" w:type="dxa"/>
            <w:tcBorders>
              <w:top w:val="nil"/>
              <w:left w:val="nil"/>
              <w:bottom w:val="nil"/>
              <w:right w:val="nil"/>
            </w:tcBorders>
            <w:shd w:val="clear" w:color="auto" w:fill="auto"/>
            <w:noWrap/>
            <w:vAlign w:val="bottom"/>
            <w:hideMark/>
          </w:tcPr>
          <w:p w14:paraId="63BEADB0"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RDA</w:t>
            </w:r>
          </w:p>
        </w:tc>
        <w:tc>
          <w:tcPr>
            <w:tcW w:w="5580" w:type="dxa"/>
            <w:tcBorders>
              <w:top w:val="nil"/>
              <w:left w:val="nil"/>
              <w:bottom w:val="nil"/>
              <w:right w:val="nil"/>
            </w:tcBorders>
            <w:shd w:val="clear" w:color="auto" w:fill="auto"/>
            <w:noWrap/>
            <w:vAlign w:val="bottom"/>
            <w:hideMark/>
          </w:tcPr>
          <w:p w14:paraId="251A2AE8"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Recommended Daily Allowance</w:t>
            </w:r>
          </w:p>
        </w:tc>
      </w:tr>
      <w:tr w:rsidR="00A87D30" w:rsidRPr="0057612C" w14:paraId="22DD78DA" w14:textId="77777777" w:rsidTr="00A87D30">
        <w:trPr>
          <w:trHeight w:val="290"/>
        </w:trPr>
        <w:tc>
          <w:tcPr>
            <w:tcW w:w="960" w:type="dxa"/>
            <w:tcBorders>
              <w:top w:val="nil"/>
              <w:left w:val="nil"/>
              <w:bottom w:val="nil"/>
              <w:right w:val="nil"/>
            </w:tcBorders>
            <w:shd w:val="clear" w:color="auto" w:fill="auto"/>
            <w:noWrap/>
            <w:vAlign w:val="bottom"/>
            <w:hideMark/>
          </w:tcPr>
          <w:p w14:paraId="513466EA"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SUN</w:t>
            </w:r>
          </w:p>
        </w:tc>
        <w:tc>
          <w:tcPr>
            <w:tcW w:w="5580" w:type="dxa"/>
            <w:tcBorders>
              <w:top w:val="nil"/>
              <w:left w:val="nil"/>
              <w:bottom w:val="nil"/>
              <w:right w:val="nil"/>
            </w:tcBorders>
            <w:shd w:val="clear" w:color="auto" w:fill="auto"/>
            <w:noWrap/>
            <w:vAlign w:val="bottom"/>
            <w:hideMark/>
          </w:tcPr>
          <w:p w14:paraId="625CF2DA"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Scaling Up Nutrition</w:t>
            </w:r>
          </w:p>
        </w:tc>
      </w:tr>
      <w:tr w:rsidR="00A87D30" w:rsidRPr="0057612C" w14:paraId="23B77957" w14:textId="77777777" w:rsidTr="00A87D30">
        <w:trPr>
          <w:trHeight w:val="290"/>
        </w:trPr>
        <w:tc>
          <w:tcPr>
            <w:tcW w:w="960" w:type="dxa"/>
            <w:tcBorders>
              <w:top w:val="nil"/>
              <w:left w:val="nil"/>
              <w:bottom w:val="nil"/>
              <w:right w:val="nil"/>
            </w:tcBorders>
            <w:shd w:val="clear" w:color="auto" w:fill="auto"/>
            <w:noWrap/>
            <w:vAlign w:val="bottom"/>
            <w:hideMark/>
          </w:tcPr>
          <w:p w14:paraId="25720D00"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TA</w:t>
            </w:r>
          </w:p>
        </w:tc>
        <w:tc>
          <w:tcPr>
            <w:tcW w:w="5580" w:type="dxa"/>
            <w:tcBorders>
              <w:top w:val="nil"/>
              <w:left w:val="nil"/>
              <w:bottom w:val="nil"/>
              <w:right w:val="nil"/>
            </w:tcBorders>
            <w:shd w:val="clear" w:color="auto" w:fill="auto"/>
            <w:noWrap/>
            <w:vAlign w:val="bottom"/>
            <w:hideMark/>
          </w:tcPr>
          <w:p w14:paraId="23698F9F" w14:textId="77777777" w:rsidR="00A87D30" w:rsidRPr="0057612C" w:rsidRDefault="00A87D3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Traditional Authority</w:t>
            </w:r>
          </w:p>
        </w:tc>
      </w:tr>
      <w:tr w:rsidR="001B44A0" w:rsidRPr="0057612C" w14:paraId="54F5845B" w14:textId="77777777" w:rsidTr="00A87D30">
        <w:trPr>
          <w:trHeight w:val="290"/>
        </w:trPr>
        <w:tc>
          <w:tcPr>
            <w:tcW w:w="960" w:type="dxa"/>
            <w:tcBorders>
              <w:top w:val="nil"/>
              <w:left w:val="nil"/>
              <w:bottom w:val="nil"/>
              <w:right w:val="nil"/>
            </w:tcBorders>
            <w:shd w:val="clear" w:color="auto" w:fill="auto"/>
            <w:noWrap/>
            <w:vAlign w:val="bottom"/>
          </w:tcPr>
          <w:p w14:paraId="50B6C962" w14:textId="77777777" w:rsidR="001B44A0" w:rsidRPr="0057612C" w:rsidRDefault="001B44A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WALA</w:t>
            </w:r>
          </w:p>
        </w:tc>
        <w:tc>
          <w:tcPr>
            <w:tcW w:w="5580" w:type="dxa"/>
            <w:tcBorders>
              <w:top w:val="nil"/>
              <w:left w:val="nil"/>
              <w:bottom w:val="nil"/>
              <w:right w:val="nil"/>
            </w:tcBorders>
            <w:shd w:val="clear" w:color="auto" w:fill="auto"/>
            <w:noWrap/>
            <w:vAlign w:val="bottom"/>
          </w:tcPr>
          <w:p w14:paraId="0F589915" w14:textId="77777777" w:rsidR="001B44A0" w:rsidRPr="0057612C" w:rsidRDefault="001B44A0" w:rsidP="00A87D30">
            <w:pPr>
              <w:spacing w:after="0" w:line="240" w:lineRule="auto"/>
              <w:jc w:val="left"/>
              <w:rPr>
                <w:rFonts w:ascii="Calibri" w:eastAsia="Times New Roman" w:hAnsi="Calibri" w:cs="Times New Roman"/>
                <w:color w:val="000000"/>
                <w:lang w:eastAsia="en-US"/>
              </w:rPr>
            </w:pPr>
            <w:r w:rsidRPr="0057612C">
              <w:rPr>
                <w:rFonts w:ascii="Calibri" w:eastAsia="Times New Roman" w:hAnsi="Calibri" w:cs="Times New Roman"/>
                <w:color w:val="000000"/>
                <w:lang w:eastAsia="en-US"/>
              </w:rPr>
              <w:t>Wellness &amp; Agriculture for Life Advancement</w:t>
            </w:r>
          </w:p>
        </w:tc>
      </w:tr>
    </w:tbl>
    <w:p w14:paraId="0DA2E361" w14:textId="77777777" w:rsidR="005158B3" w:rsidRDefault="005158B3" w:rsidP="00A87D30">
      <w:pPr>
        <w:pStyle w:val="Heading1"/>
        <w:numPr>
          <w:ilvl w:val="0"/>
          <w:numId w:val="0"/>
        </w:numPr>
        <w:spacing w:before="120"/>
        <w:rPr>
          <w:rFonts w:asciiTheme="minorHAnsi" w:hAnsiTheme="minorHAnsi" w:cs="Times New Roman"/>
        </w:rPr>
      </w:pPr>
      <w:r>
        <w:rPr>
          <w:rFonts w:asciiTheme="minorHAnsi" w:hAnsiTheme="minorHAnsi" w:cs="Times New Roman"/>
        </w:rPr>
        <w:t>Declarations</w:t>
      </w:r>
    </w:p>
    <w:bookmarkEnd w:id="17"/>
    <w:p w14:paraId="69E38D12" w14:textId="75ACFE24" w:rsidR="001E64B7" w:rsidRDefault="005158B3" w:rsidP="005043FF">
      <w:pPr>
        <w:pStyle w:val="Heading2"/>
        <w:numPr>
          <w:ilvl w:val="0"/>
          <w:numId w:val="0"/>
        </w:numPr>
        <w:spacing w:before="0"/>
        <w:ind w:left="576" w:hanging="576"/>
      </w:pPr>
      <w:r>
        <w:t>Ethical approval and consent to participate</w:t>
      </w:r>
    </w:p>
    <w:p w14:paraId="7A5CE644" w14:textId="41ACACB7" w:rsidR="005158B3" w:rsidRDefault="005158B3" w:rsidP="00C21980">
      <w:pPr>
        <w:spacing w:line="240" w:lineRule="auto"/>
      </w:pPr>
      <w:r w:rsidRPr="0057612C">
        <w:t xml:space="preserve">Ethical clearance was obtained from </w:t>
      </w:r>
      <w:r w:rsidR="00C21980">
        <w:t>the</w:t>
      </w:r>
      <w:r w:rsidRPr="0057612C">
        <w:t xml:space="preserve"> </w:t>
      </w:r>
      <w:r w:rsidR="00D04623">
        <w:t xml:space="preserve">Malawi </w:t>
      </w:r>
      <w:r w:rsidR="00C21980">
        <w:t xml:space="preserve">National Commission for Science and Technology, (approved 12/11/2015, ref: NCST/RTT/2/6) and at the International Food Policy Research Institute IRB in Washington, DC, (approved 26/03/2015, ref: IRB00007490). </w:t>
      </w:r>
      <w:r w:rsidRPr="0057612C">
        <w:t>Meetings were held from with Government Ministries (including Gender, Children, Dis</w:t>
      </w:r>
      <w:r w:rsidR="00D04623">
        <w:t>ability, and Social Welfare</w:t>
      </w:r>
      <w:r w:rsidRPr="0057612C">
        <w:t>) to discuss the purpose, procedures and risks involved. Informed consent was obtained from parents/guardians of children through written and verbal information provided before interviews.</w:t>
      </w:r>
    </w:p>
    <w:p w14:paraId="47DA20F5" w14:textId="77777777" w:rsidR="005C6C8C" w:rsidRDefault="005C6C8C" w:rsidP="005C6C8C">
      <w:pPr>
        <w:pStyle w:val="Heading2"/>
        <w:numPr>
          <w:ilvl w:val="0"/>
          <w:numId w:val="0"/>
        </w:numPr>
        <w:ind w:left="576" w:hanging="576"/>
      </w:pPr>
      <w:r>
        <w:t>Consent for publication</w:t>
      </w:r>
    </w:p>
    <w:p w14:paraId="03942C7F" w14:textId="06912C11" w:rsidR="005C6C8C" w:rsidRDefault="005043FF" w:rsidP="005C6C8C">
      <w:pPr>
        <w:spacing w:line="240" w:lineRule="auto"/>
      </w:pPr>
      <w:r>
        <w:t>Not applicable.</w:t>
      </w:r>
    </w:p>
    <w:p w14:paraId="162F3A5D" w14:textId="3E6E094C" w:rsidR="005C6C8C" w:rsidRDefault="005C6C8C" w:rsidP="005C6C8C">
      <w:pPr>
        <w:pStyle w:val="Heading2"/>
        <w:numPr>
          <w:ilvl w:val="0"/>
          <w:numId w:val="0"/>
        </w:numPr>
        <w:ind w:left="576" w:hanging="576"/>
      </w:pPr>
      <w:r>
        <w:t>Availability of supporting data</w:t>
      </w:r>
    </w:p>
    <w:p w14:paraId="667BBE6E" w14:textId="4B3F8675" w:rsidR="005C6C8C" w:rsidRDefault="005043FF" w:rsidP="005C6C8C">
      <w:pPr>
        <w:spacing w:line="240" w:lineRule="auto"/>
      </w:pPr>
      <w:r>
        <w:t>Not applicable.</w:t>
      </w:r>
    </w:p>
    <w:p w14:paraId="385BC805" w14:textId="1E677F87" w:rsidR="005C6C8C" w:rsidRDefault="005C6C8C" w:rsidP="005C6C8C">
      <w:pPr>
        <w:pStyle w:val="Heading2"/>
        <w:numPr>
          <w:ilvl w:val="0"/>
          <w:numId w:val="0"/>
        </w:numPr>
        <w:ind w:left="576" w:hanging="576"/>
      </w:pPr>
      <w:r>
        <w:t>Competing interests</w:t>
      </w:r>
    </w:p>
    <w:p w14:paraId="053433CC" w14:textId="77777777" w:rsidR="0001613F" w:rsidRDefault="0001613F" w:rsidP="0001613F">
      <w:pPr>
        <w:rPr>
          <w:b/>
          <w:bCs/>
        </w:rPr>
      </w:pPr>
      <w:r w:rsidRPr="0001613F">
        <w:t>The authors declare that they have no competing interests.</w:t>
      </w:r>
    </w:p>
    <w:p w14:paraId="58FAB431" w14:textId="3EB3CE75" w:rsidR="005158B3" w:rsidRPr="005158B3" w:rsidRDefault="005158B3" w:rsidP="005158B3">
      <w:pPr>
        <w:pStyle w:val="Heading2"/>
        <w:numPr>
          <w:ilvl w:val="0"/>
          <w:numId w:val="0"/>
        </w:numPr>
        <w:ind w:left="576" w:hanging="576"/>
      </w:pPr>
      <w:r w:rsidRPr="005158B3">
        <w:t>Funding</w:t>
      </w:r>
    </w:p>
    <w:p w14:paraId="59A7C899" w14:textId="55DD7F0E" w:rsidR="007A63FC" w:rsidRPr="0057612C" w:rsidRDefault="005158B3" w:rsidP="00354F84">
      <w:pPr>
        <w:spacing w:line="240" w:lineRule="auto"/>
      </w:pPr>
      <w:r w:rsidRPr="0057612C">
        <w:t xml:space="preserve">We acknowledge the support from the CGIAR Research Program on Agriculture for Nutrition and Health (A4NH), led by IFPRI. This work was supported by a Nutrition Embedding Evaluation Program (NEEP) grant from PATH, funded by the UK Government’s Department for International Development.  The views expressed do not necessarily reflect the UK </w:t>
      </w:r>
      <w:r w:rsidR="00C21980">
        <w:t>government’s official policies.</w:t>
      </w:r>
    </w:p>
    <w:p w14:paraId="14C7865A" w14:textId="77777777" w:rsidR="007A63FC" w:rsidRPr="005158B3" w:rsidRDefault="007A63FC" w:rsidP="005158B3">
      <w:pPr>
        <w:pStyle w:val="Heading2"/>
        <w:numPr>
          <w:ilvl w:val="0"/>
          <w:numId w:val="0"/>
        </w:numPr>
        <w:ind w:left="576" w:hanging="576"/>
      </w:pPr>
      <w:r w:rsidRPr="005158B3">
        <w:lastRenderedPageBreak/>
        <w:t>Authors’ contributions</w:t>
      </w:r>
    </w:p>
    <w:p w14:paraId="4579EC55" w14:textId="2F8E35B2" w:rsidR="00981603" w:rsidRDefault="007A63FC" w:rsidP="00354F84">
      <w:pPr>
        <w:spacing w:line="240" w:lineRule="auto"/>
      </w:pPr>
      <w:r w:rsidRPr="0057612C">
        <w:t xml:space="preserve">This study was implemented in a partnership between IFPRI, Save the Children and Chancellor College, U. of Malawi. </w:t>
      </w:r>
      <w:r w:rsidR="001E64B7" w:rsidRPr="0057612C">
        <w:t xml:space="preserve">We would like to acknowledge the different </w:t>
      </w:r>
      <w:r w:rsidR="00981603" w:rsidRPr="0057612C">
        <w:t xml:space="preserve">author </w:t>
      </w:r>
      <w:r w:rsidR="001E64B7" w:rsidRPr="0057612C">
        <w:t xml:space="preserve">contributions. At IFPRI: </w:t>
      </w:r>
      <w:r w:rsidR="00916EB3">
        <w:t>AG</w:t>
      </w:r>
      <w:r w:rsidR="001E64B7" w:rsidRPr="0057612C">
        <w:t xml:space="preserve"> led the research design and development; </w:t>
      </w:r>
      <w:r w:rsidR="00916EB3">
        <w:t>AM</w:t>
      </w:r>
      <w:r w:rsidR="001E64B7" w:rsidRPr="0057612C">
        <w:t xml:space="preserve"> </w:t>
      </w:r>
      <w:r w:rsidR="00B45A3E" w:rsidRPr="0057612C">
        <w:t>provided</w:t>
      </w:r>
      <w:r w:rsidR="001E64B7" w:rsidRPr="0057612C">
        <w:t xml:space="preserve"> inputs in the study design, questionnaire development and enumerator training; </w:t>
      </w:r>
      <w:r w:rsidR="00916EB3">
        <w:t>KS</w:t>
      </w:r>
      <w:r w:rsidR="001E64B7" w:rsidRPr="0057612C">
        <w:t xml:space="preserve"> for the qualitative research and inputs in the gender elements of the study design, questionnaire development and for supporting the enumerator training; </w:t>
      </w:r>
      <w:r w:rsidR="00916EB3">
        <w:t>MS</w:t>
      </w:r>
      <w:r w:rsidR="001E64B7" w:rsidRPr="0057612C">
        <w:t xml:space="preserve"> for the data cleaning, processing and analysis; </w:t>
      </w:r>
      <w:r w:rsidR="00916EB3">
        <w:t>ST</w:t>
      </w:r>
      <w:r w:rsidR="001E64B7" w:rsidRPr="0057612C">
        <w:t xml:space="preserve"> for the qualitative research and inputs in the gender elements of the study design and questionnaire development. At Save the Children: </w:t>
      </w:r>
      <w:r w:rsidR="00916EB3">
        <w:t>AT</w:t>
      </w:r>
      <w:r w:rsidR="001E64B7" w:rsidRPr="0057612C">
        <w:t xml:space="preserve"> for support</w:t>
      </w:r>
      <w:r w:rsidR="00C81DA7">
        <w:t xml:space="preserve">ing the enumerator training, </w:t>
      </w:r>
      <w:r w:rsidR="001E64B7" w:rsidRPr="0057612C">
        <w:t xml:space="preserve">translation, and survey management and coordination without which the study would not have been possible; </w:t>
      </w:r>
      <w:r w:rsidR="00916EB3">
        <w:t>GC</w:t>
      </w:r>
      <w:r w:rsidR="001E64B7" w:rsidRPr="0057612C">
        <w:t xml:space="preserve"> for inputs in the design and supporting the survey implementation; </w:t>
      </w:r>
      <w:r w:rsidR="00916EB3">
        <w:t>NR</w:t>
      </w:r>
      <w:r w:rsidR="001E64B7" w:rsidRPr="0057612C">
        <w:t xml:space="preserve"> for inputs in the study design and linkages with policy and programme implementation; </w:t>
      </w:r>
      <w:r w:rsidR="00981603" w:rsidRPr="0057612C">
        <w:t xml:space="preserve">At </w:t>
      </w:r>
      <w:proofErr w:type="spellStart"/>
      <w:r w:rsidR="00981603" w:rsidRPr="0057612C">
        <w:t>Ikapadata</w:t>
      </w:r>
      <w:proofErr w:type="spellEnd"/>
      <w:r w:rsidR="00981603" w:rsidRPr="0057612C">
        <w:t xml:space="preserve">: </w:t>
      </w:r>
      <w:r w:rsidR="00916EB3">
        <w:t>AC</w:t>
      </w:r>
      <w:r w:rsidR="00981603" w:rsidRPr="0057612C">
        <w:t xml:space="preserve"> and </w:t>
      </w:r>
      <w:r w:rsidR="00916EB3">
        <w:t>TM</w:t>
      </w:r>
      <w:r w:rsidR="00981603" w:rsidRPr="0057612C">
        <w:t xml:space="preserve"> for the CAPI programming</w:t>
      </w:r>
      <w:r w:rsidR="00B45A3E" w:rsidRPr="0057612C">
        <w:t xml:space="preserve"> and supporting the enumerator training and data collection</w:t>
      </w:r>
      <w:r w:rsidR="00981603" w:rsidRPr="0057612C">
        <w:t xml:space="preserve">. </w:t>
      </w:r>
      <w:r w:rsidR="00916EB3">
        <w:t>MG</w:t>
      </w:r>
      <w:r w:rsidR="00981603" w:rsidRPr="0057612C">
        <w:t xml:space="preserve"> (U. of Liverpool) for inputs in the study design and use of MDAT; </w:t>
      </w:r>
      <w:r w:rsidR="00916EB3">
        <w:t>PK</w:t>
      </w:r>
      <w:r w:rsidR="00981603" w:rsidRPr="0057612C">
        <w:t xml:space="preserve"> </w:t>
      </w:r>
      <w:r w:rsidR="00916EB3" w:rsidRPr="0057612C">
        <w:t>(U. of California at Berkeley)</w:t>
      </w:r>
      <w:r w:rsidR="00916EB3">
        <w:t xml:space="preserve"> </w:t>
      </w:r>
      <w:r w:rsidR="00981603" w:rsidRPr="0057612C">
        <w:t xml:space="preserve">for inputs in the study design. At Chancellor College, </w:t>
      </w:r>
      <w:r w:rsidR="00C21980">
        <w:t>MK</w:t>
      </w:r>
      <w:r w:rsidR="00981603" w:rsidRPr="0057612C">
        <w:t xml:space="preserve"> for inputs in the study design and the baseline survey.</w:t>
      </w:r>
      <w:r w:rsidR="00C21980" w:rsidRPr="00C21980">
        <w:t xml:space="preserve"> All authors read and approved the final manuscript.</w:t>
      </w:r>
    </w:p>
    <w:p w14:paraId="0D1EEB74" w14:textId="77777777" w:rsidR="005158B3" w:rsidRPr="0057612C" w:rsidRDefault="005158B3" w:rsidP="005158B3">
      <w:pPr>
        <w:pStyle w:val="Heading2"/>
        <w:numPr>
          <w:ilvl w:val="0"/>
          <w:numId w:val="0"/>
        </w:numPr>
        <w:ind w:left="576" w:hanging="576"/>
      </w:pPr>
      <w:r w:rsidRPr="0057612C">
        <w:t>Acknowledgements</w:t>
      </w:r>
    </w:p>
    <w:p w14:paraId="647F925D" w14:textId="763B89AB" w:rsidR="005158B3" w:rsidRPr="0057612C" w:rsidRDefault="005158B3" w:rsidP="005158B3">
      <w:pPr>
        <w:spacing w:line="240" w:lineRule="auto"/>
      </w:pPr>
      <w:r w:rsidRPr="0057612C">
        <w:t xml:space="preserve">We are grateful to the Government of Malawi and acknowledge the inputs and feedback from Ministry of Gender, Children, Disability, and Social Welfare, including Mr. McKnight </w:t>
      </w:r>
      <w:proofErr w:type="spellStart"/>
      <w:r w:rsidRPr="0057612C">
        <w:t>Kalanda</w:t>
      </w:r>
      <w:proofErr w:type="spellEnd"/>
      <w:r w:rsidRPr="0057612C">
        <w:t xml:space="preserve"> (Director of Child Affairs) and Mr. Francis </w:t>
      </w:r>
      <w:proofErr w:type="spellStart"/>
      <w:r w:rsidRPr="0057612C">
        <w:t>Chalamanda</w:t>
      </w:r>
      <w:proofErr w:type="spellEnd"/>
      <w:r w:rsidRPr="0057612C">
        <w:t xml:space="preserve"> (‎National Coordinator for Early Childhood Development). </w:t>
      </w:r>
      <w:r>
        <w:t>W</w:t>
      </w:r>
      <w:r w:rsidRPr="0057612C">
        <w:t>e would like to thank the following experts for inputs and feedback on the study design: Christin McConnell (World Bank); Melissa Hidrobo (IFPRI); Harold Alderman (IFPRI) and Marie Ruel (IFPRI). Peter Phiri for inputs in the study design and linkages to the ECD programme; Lexon Ndalama for links with policy and programme implementation; Helen Moestue for feedback on the baseline report.</w:t>
      </w:r>
    </w:p>
    <w:p w14:paraId="04BC28F0" w14:textId="77777777" w:rsidR="0089088B" w:rsidRPr="0057612C" w:rsidRDefault="0089088B" w:rsidP="0086034D">
      <w:pPr>
        <w:pStyle w:val="Heading1"/>
        <w:numPr>
          <w:ilvl w:val="0"/>
          <w:numId w:val="0"/>
        </w:numPr>
        <w:spacing w:before="120"/>
        <w:rPr>
          <w:rFonts w:asciiTheme="minorHAnsi" w:hAnsiTheme="minorHAnsi" w:cs="Times New Roman"/>
        </w:rPr>
      </w:pPr>
      <w:bookmarkStart w:id="18" w:name="_Toc447729044"/>
      <w:r w:rsidRPr="0057612C">
        <w:rPr>
          <w:rFonts w:asciiTheme="minorHAnsi" w:hAnsiTheme="minorHAnsi" w:cs="Times New Roman"/>
        </w:rPr>
        <w:t>References</w:t>
      </w:r>
      <w:bookmarkEnd w:id="18"/>
    </w:p>
    <w:p w14:paraId="417B251A" w14:textId="77777777" w:rsidR="0041145B" w:rsidRPr="0057612C" w:rsidRDefault="0041145B" w:rsidP="001A1B00">
      <w:pPr>
        <w:pStyle w:val="ListParagraph"/>
        <w:numPr>
          <w:ilvl w:val="0"/>
          <w:numId w:val="7"/>
        </w:numPr>
      </w:pPr>
      <w:r w:rsidRPr="0057612C">
        <w:t xml:space="preserve">Black R. E., C. </w:t>
      </w:r>
      <w:proofErr w:type="spellStart"/>
      <w:r w:rsidRPr="0057612C">
        <w:t>Victora</w:t>
      </w:r>
      <w:proofErr w:type="spellEnd"/>
      <w:r w:rsidRPr="0057612C">
        <w:t xml:space="preserve">, S. P. Walker, Z. A. </w:t>
      </w:r>
      <w:proofErr w:type="spellStart"/>
      <w:r w:rsidRPr="0057612C">
        <w:t>Bhutta</w:t>
      </w:r>
      <w:proofErr w:type="spellEnd"/>
      <w:r w:rsidRPr="0057612C">
        <w:t xml:space="preserve">, P. Christian, M. De </w:t>
      </w:r>
      <w:proofErr w:type="spellStart"/>
      <w:r w:rsidRPr="0057612C">
        <w:t>Onis</w:t>
      </w:r>
      <w:proofErr w:type="spellEnd"/>
      <w:r w:rsidRPr="0057612C">
        <w:t>, et al. 2013. "Maternal and Child Undernutrition and Overweight in Low- and Middle-Income Countries." The Lancet 382 (9890): 427-51.</w:t>
      </w:r>
    </w:p>
    <w:p w14:paraId="2C4B2CD7" w14:textId="77777777" w:rsidR="0041145B" w:rsidRPr="0057612C" w:rsidRDefault="0041145B" w:rsidP="001A1B00">
      <w:pPr>
        <w:pStyle w:val="ListParagraph"/>
        <w:numPr>
          <w:ilvl w:val="0"/>
          <w:numId w:val="7"/>
        </w:numPr>
      </w:pPr>
      <w:r w:rsidRPr="0057612C">
        <w:t xml:space="preserve">Masset E, Haddad L, Cornelius A, </w:t>
      </w:r>
      <w:proofErr w:type="spellStart"/>
      <w:r w:rsidRPr="0057612C">
        <w:t>Isaza</w:t>
      </w:r>
      <w:proofErr w:type="spellEnd"/>
      <w:r w:rsidRPr="0057612C">
        <w:t>-Castro J. 2011. A systematic review of agricultural interventions that aim to improve nutritional status of children. London: EPPI-Centre, Social Science Research Unit, Institute of Education. University of London.</w:t>
      </w:r>
    </w:p>
    <w:p w14:paraId="5B03F824" w14:textId="77777777" w:rsidR="0041145B" w:rsidRPr="0057612C" w:rsidRDefault="0041145B" w:rsidP="001A1B00">
      <w:pPr>
        <w:pStyle w:val="ListParagraph"/>
        <w:numPr>
          <w:ilvl w:val="0"/>
          <w:numId w:val="7"/>
        </w:numPr>
      </w:pPr>
      <w:r w:rsidRPr="0057612C">
        <w:t xml:space="preserve">Ruel, M. T., H. Alderman, and the Maternal and Child Nutrition Study Group. 2013. "Nutrition-Sensitive Interventions and Programs: How Can They Help to Accelerate Progress in Improving Maternal and Child Nutrition?" The Lancet 382 (9891): 536-51. </w:t>
      </w:r>
    </w:p>
    <w:p w14:paraId="42535438" w14:textId="77777777" w:rsidR="0041145B" w:rsidRPr="0057612C" w:rsidRDefault="0041145B" w:rsidP="001A1B00">
      <w:pPr>
        <w:pStyle w:val="ListParagraph"/>
        <w:numPr>
          <w:ilvl w:val="0"/>
          <w:numId w:val="7"/>
        </w:numPr>
      </w:pPr>
      <w:r w:rsidRPr="0057612C">
        <w:t xml:space="preserve">Heckman JJ. 2006. Skill formation and the economics of investing in disadvantaged children Science, </w:t>
      </w:r>
      <w:proofErr w:type="gramStart"/>
      <w:r w:rsidRPr="0057612C">
        <w:t>312 ,</w:t>
      </w:r>
      <w:proofErr w:type="gramEnd"/>
      <w:r w:rsidRPr="0057612C">
        <w:t xml:space="preserve"> pp. 1900-1902.</w:t>
      </w:r>
    </w:p>
    <w:p w14:paraId="11D2CBB4" w14:textId="77777777" w:rsidR="0041145B" w:rsidRPr="0057612C" w:rsidRDefault="0041145B" w:rsidP="001A1B00">
      <w:pPr>
        <w:pStyle w:val="ListParagraph"/>
        <w:numPr>
          <w:ilvl w:val="0"/>
          <w:numId w:val="7"/>
        </w:numPr>
      </w:pPr>
      <w:r w:rsidRPr="0057612C">
        <w:t>Alderman, H. 2009. The economic cost of a poor start to life. Journal of Developmental Origins of Health and Disease (2010), 1(1), 19-25.</w:t>
      </w:r>
    </w:p>
    <w:p w14:paraId="5EDD6652" w14:textId="77777777" w:rsidR="0041145B" w:rsidRDefault="0041145B" w:rsidP="001A1B00">
      <w:pPr>
        <w:pStyle w:val="ListParagraph"/>
        <w:numPr>
          <w:ilvl w:val="0"/>
          <w:numId w:val="7"/>
        </w:numPr>
      </w:pPr>
      <w:r w:rsidRPr="0057612C">
        <w:t xml:space="preserve">Engle, P. L., Black, M. M., Behrman, J. R., Cabral de Mello, M., </w:t>
      </w:r>
      <w:proofErr w:type="spellStart"/>
      <w:r w:rsidRPr="0057612C">
        <w:t>Gertle</w:t>
      </w:r>
      <w:r w:rsidR="00B436B7">
        <w:t>r</w:t>
      </w:r>
      <w:proofErr w:type="spellEnd"/>
      <w:r w:rsidR="00B436B7">
        <w:t xml:space="preserve">, P. J., </w:t>
      </w:r>
      <w:proofErr w:type="spellStart"/>
      <w:r w:rsidR="00B436B7">
        <w:t>Kapiriri</w:t>
      </w:r>
      <w:proofErr w:type="spellEnd"/>
      <w:r w:rsidR="00B436B7">
        <w:t>, L., et al. 2007</w:t>
      </w:r>
      <w:r w:rsidRPr="0057612C">
        <w:t>. Strategies to avoid the loss of developmental potential in more than 200 million children in the developing world. The Lancet, 369(9557), 229-242.</w:t>
      </w:r>
    </w:p>
    <w:p w14:paraId="6EAB3EE3" w14:textId="77777777" w:rsidR="00B436B7" w:rsidRPr="0057612C" w:rsidRDefault="00B436B7" w:rsidP="001A1B00">
      <w:pPr>
        <w:pStyle w:val="ListParagraph"/>
        <w:numPr>
          <w:ilvl w:val="0"/>
          <w:numId w:val="7"/>
        </w:numPr>
      </w:pPr>
      <w:r w:rsidRPr="00B436B7">
        <w:t>Grantham-McGregor, S. M., Fernald, L. C. H., K</w:t>
      </w:r>
      <w:r>
        <w:t>agawa, R. M. C. and Walker, S. 2014.</w:t>
      </w:r>
      <w:r w:rsidRPr="00B436B7">
        <w:t xml:space="preserve"> Effects of integrated child development and nutrition interventions on child development and nutritional status. Ann. N.Y. Acad. Sci., 1308: 11–32. doi:10.1111/nyas.12284</w:t>
      </w:r>
    </w:p>
    <w:p w14:paraId="3A988845" w14:textId="77777777" w:rsidR="0041145B" w:rsidRPr="0057612C" w:rsidRDefault="0041145B" w:rsidP="001A1B00">
      <w:pPr>
        <w:pStyle w:val="ListParagraph"/>
        <w:numPr>
          <w:ilvl w:val="0"/>
          <w:numId w:val="7"/>
        </w:numPr>
      </w:pPr>
      <w:r w:rsidRPr="0057612C">
        <w:t>IFPRI, 2014.Global Hunger Index: Armed Conflict and the Challenge of Hunger</w:t>
      </w:r>
    </w:p>
    <w:p w14:paraId="08B09803" w14:textId="77777777" w:rsidR="0041145B" w:rsidRPr="0057612C" w:rsidRDefault="007C0A16" w:rsidP="001A1B00">
      <w:pPr>
        <w:pStyle w:val="ListParagraph"/>
        <w:numPr>
          <w:ilvl w:val="0"/>
          <w:numId w:val="7"/>
        </w:numPr>
      </w:pPr>
      <w:r w:rsidRPr="0057612C">
        <w:t>Malawi Demographic and Health Survey (</w:t>
      </w:r>
      <w:r w:rsidR="0041145B" w:rsidRPr="0057612C">
        <w:t>DHS</w:t>
      </w:r>
      <w:r w:rsidRPr="0057612C">
        <w:t>), 2015-16.</w:t>
      </w:r>
    </w:p>
    <w:p w14:paraId="79C44F80" w14:textId="77777777" w:rsidR="0041145B" w:rsidRPr="0057612C" w:rsidRDefault="0041145B" w:rsidP="001A1B00">
      <w:pPr>
        <w:pStyle w:val="ListParagraph"/>
        <w:numPr>
          <w:ilvl w:val="0"/>
          <w:numId w:val="7"/>
        </w:numPr>
      </w:pPr>
      <w:r w:rsidRPr="0057612C">
        <w:lastRenderedPageBreak/>
        <w:t>Neuman, M. J.</w:t>
      </w:r>
      <w:r w:rsidR="0066606A">
        <w:t xml:space="preserve">, McConnell, C., &amp; </w:t>
      </w:r>
      <w:proofErr w:type="spellStart"/>
      <w:r w:rsidR="0066606A">
        <w:t>Kholowa</w:t>
      </w:r>
      <w:proofErr w:type="spellEnd"/>
      <w:r w:rsidR="0066606A">
        <w:t>, F. 2014</w:t>
      </w:r>
      <w:r w:rsidRPr="0057612C">
        <w:t>. From Early Childhood Development Policy to Sustainability: The Fragility of Community-Based Childcare Services in Malawi. International Journal of Early Childhood, 46(1), 81-99. doi:10.1007/s13158-014-0101-1</w:t>
      </w:r>
    </w:p>
    <w:p w14:paraId="7B2AEC57" w14:textId="77777777" w:rsidR="0041145B" w:rsidRPr="0057612C" w:rsidRDefault="00660E82" w:rsidP="001A1B00">
      <w:pPr>
        <w:pStyle w:val="ListParagraph"/>
        <w:numPr>
          <w:ilvl w:val="0"/>
          <w:numId w:val="7"/>
        </w:numPr>
      </w:pPr>
      <w:r w:rsidRPr="0057612C">
        <w:t>Scaling-Up Nutrition (</w:t>
      </w:r>
      <w:r w:rsidR="0041145B" w:rsidRPr="0057612C">
        <w:t>SUN</w:t>
      </w:r>
      <w:r w:rsidRPr="0057612C">
        <w:t>)</w:t>
      </w:r>
      <w:r w:rsidR="00384860" w:rsidRPr="0057612C">
        <w:t xml:space="preserve"> Country Profile Malawi, </w:t>
      </w:r>
      <w:hyperlink r:id="rId21" w:history="1">
        <w:r w:rsidR="00384860" w:rsidRPr="0057612C">
          <w:rPr>
            <w:rStyle w:val="Hyperlink"/>
          </w:rPr>
          <w:t>http://scalingupnutrition.org/sun-countries/malawi</w:t>
        </w:r>
      </w:hyperlink>
      <w:r w:rsidR="00384860" w:rsidRPr="0057612C">
        <w:t>, accessed May 2016.</w:t>
      </w:r>
    </w:p>
    <w:p w14:paraId="38B9B5C6" w14:textId="77777777" w:rsidR="0041145B" w:rsidRPr="0057612C" w:rsidRDefault="0041145B" w:rsidP="001A1B00">
      <w:pPr>
        <w:pStyle w:val="ListParagraph"/>
        <w:numPr>
          <w:ilvl w:val="0"/>
          <w:numId w:val="7"/>
        </w:numPr>
      </w:pPr>
      <w:r w:rsidRPr="0057612C">
        <w:t>Gillespie S, Harris L, Kadiyala S. 2012. The Agriculture-Nutrition Disconnect in India, What Do We Know? Discussion Paper 01187, International Food Policy Research Institute, Washington, D.C.</w:t>
      </w:r>
    </w:p>
    <w:p w14:paraId="477F439F" w14:textId="77777777" w:rsidR="0041145B" w:rsidRPr="0057612C" w:rsidRDefault="0041145B" w:rsidP="001A1B00">
      <w:pPr>
        <w:pStyle w:val="ListParagraph"/>
        <w:numPr>
          <w:ilvl w:val="0"/>
          <w:numId w:val="7"/>
        </w:numPr>
      </w:pPr>
      <w:r w:rsidRPr="0057612C">
        <w:t>Webb, P. 2013. Impact Pathways from Agricultural Research to Improved Nutrition and Health: Literature Analysis and Research Priorities. Rome: Food and Agriculture Organization</w:t>
      </w:r>
    </w:p>
    <w:p w14:paraId="78520AAB" w14:textId="77777777" w:rsidR="0041145B" w:rsidRPr="0057612C" w:rsidRDefault="0041145B" w:rsidP="001A1B00">
      <w:pPr>
        <w:pStyle w:val="ListParagraph"/>
        <w:numPr>
          <w:ilvl w:val="0"/>
          <w:numId w:val="7"/>
        </w:numPr>
      </w:pPr>
      <w:r w:rsidRPr="0057612C">
        <w:t xml:space="preserve">Turner, R., C. Hawkes, J. </w:t>
      </w:r>
      <w:proofErr w:type="spellStart"/>
      <w:r w:rsidRPr="0057612C">
        <w:t>Waage</w:t>
      </w:r>
      <w:proofErr w:type="spellEnd"/>
      <w:r w:rsidRPr="0057612C">
        <w:t xml:space="preserve">, E. Ferguson, F. </w:t>
      </w:r>
      <w:proofErr w:type="spellStart"/>
      <w:r w:rsidRPr="0057612C">
        <w:t>Haseen</w:t>
      </w:r>
      <w:proofErr w:type="spellEnd"/>
      <w:r w:rsidRPr="0057612C">
        <w:t xml:space="preserve">, H. </w:t>
      </w:r>
      <w:proofErr w:type="spellStart"/>
      <w:r w:rsidRPr="0057612C">
        <w:t>Homans</w:t>
      </w:r>
      <w:proofErr w:type="spellEnd"/>
      <w:r w:rsidRPr="0057612C">
        <w:t>, H, et al. 2013. "Agriculture for Improved Nutrition: The Current Research Landscape." Food and Nutrition Bulletin 34 (4): 369-77.</w:t>
      </w:r>
    </w:p>
    <w:p w14:paraId="7E702F23" w14:textId="77777777" w:rsidR="0041145B" w:rsidRPr="0057612C" w:rsidRDefault="0041145B" w:rsidP="001A1B00">
      <w:pPr>
        <w:pStyle w:val="ListParagraph"/>
        <w:numPr>
          <w:ilvl w:val="0"/>
          <w:numId w:val="7"/>
        </w:numPr>
      </w:pPr>
      <w:proofErr w:type="spellStart"/>
      <w:r w:rsidRPr="0057612C">
        <w:t>Arimond</w:t>
      </w:r>
      <w:proofErr w:type="spellEnd"/>
      <w:r w:rsidRPr="0057612C">
        <w:t xml:space="preserve">, M., D. </w:t>
      </w:r>
      <w:proofErr w:type="spellStart"/>
      <w:r w:rsidRPr="0057612C">
        <w:t>Wiesmann</w:t>
      </w:r>
      <w:proofErr w:type="spellEnd"/>
      <w:r w:rsidRPr="0057612C">
        <w:t xml:space="preserve">, E. Becquey, A. </w:t>
      </w:r>
      <w:proofErr w:type="spellStart"/>
      <w:r w:rsidRPr="0057612C">
        <w:t>Carriquiry</w:t>
      </w:r>
      <w:proofErr w:type="spellEnd"/>
      <w:r w:rsidRPr="0057612C">
        <w:t xml:space="preserve">, M. C. Daniels, M. </w:t>
      </w:r>
      <w:proofErr w:type="spellStart"/>
      <w:r w:rsidRPr="0057612C">
        <w:t>Deitchler</w:t>
      </w:r>
      <w:proofErr w:type="spellEnd"/>
      <w:r w:rsidRPr="0057612C">
        <w:t xml:space="preserve">, et al. 2010. "Simple Food Group Diversity Indicators Predict Micronutrient Adequacy of Women's Diets in 5 Diverse, Resource-Poor Settings." Journal of Nutrition 140 (11): 2059S-69S. </w:t>
      </w:r>
      <w:proofErr w:type="spellStart"/>
      <w:r w:rsidRPr="0057612C">
        <w:t>Epub</w:t>
      </w:r>
      <w:proofErr w:type="spellEnd"/>
      <w:r w:rsidRPr="0057612C">
        <w:t xml:space="preserve"> 2010 Sep 29.</w:t>
      </w:r>
    </w:p>
    <w:p w14:paraId="30CD5D02" w14:textId="77777777" w:rsidR="0041145B" w:rsidRPr="0057612C" w:rsidRDefault="0041145B" w:rsidP="001A1B00">
      <w:pPr>
        <w:pStyle w:val="ListParagraph"/>
        <w:numPr>
          <w:ilvl w:val="0"/>
          <w:numId w:val="7"/>
        </w:numPr>
      </w:pPr>
      <w:r w:rsidRPr="0057612C">
        <w:t>FANTA (Food and Nutrition Technical Assistance). 2007. Working Group on Infant and Young Child Feeding Indicators. Developing and Validating Simple Indicators of Dietary Quality of Infants and Young Children in Developing Countries: Additional Analysis of 10 Data Sets. Washington, DC.</w:t>
      </w:r>
    </w:p>
    <w:p w14:paraId="5175E2FA" w14:textId="77777777" w:rsidR="0041145B" w:rsidRPr="0057612C" w:rsidRDefault="0041145B" w:rsidP="001A1B00">
      <w:pPr>
        <w:pStyle w:val="ListParagraph"/>
        <w:numPr>
          <w:ilvl w:val="0"/>
          <w:numId w:val="7"/>
        </w:numPr>
      </w:pPr>
      <w:proofErr w:type="spellStart"/>
      <w:r w:rsidRPr="0057612C">
        <w:t>Bhutta</w:t>
      </w:r>
      <w:proofErr w:type="spellEnd"/>
      <w:r w:rsidRPr="0057612C">
        <w:t xml:space="preserve">, Z. A., J. K. Das, R. </w:t>
      </w:r>
      <w:proofErr w:type="spellStart"/>
      <w:r w:rsidRPr="0057612C">
        <w:t>Arjumand</w:t>
      </w:r>
      <w:proofErr w:type="spellEnd"/>
      <w:r w:rsidRPr="0057612C">
        <w:t xml:space="preserve">, M. F. </w:t>
      </w:r>
      <w:proofErr w:type="spellStart"/>
      <w:r w:rsidRPr="0057612C">
        <w:t>Gaffey</w:t>
      </w:r>
      <w:proofErr w:type="spellEnd"/>
      <w:r w:rsidRPr="0057612C">
        <w:t>, N. Walker, S. Horton, et al. 2013. "Evidence-Based Interventions for Improvement of Maternal and Child Nutrition: What Can Be Done and at What Cost?" The Lancet 382 (9890): 452-77.</w:t>
      </w:r>
    </w:p>
    <w:p w14:paraId="32917513" w14:textId="77777777" w:rsidR="0041145B" w:rsidRPr="0057612C" w:rsidRDefault="0041145B" w:rsidP="001A1B00">
      <w:pPr>
        <w:pStyle w:val="ListParagraph"/>
        <w:numPr>
          <w:ilvl w:val="0"/>
          <w:numId w:val="7"/>
        </w:numPr>
      </w:pPr>
      <w:proofErr w:type="spellStart"/>
      <w:r w:rsidRPr="0057612C">
        <w:t>Polliltt</w:t>
      </w:r>
      <w:proofErr w:type="spellEnd"/>
      <w:r w:rsidRPr="0057612C">
        <w:t xml:space="preserve"> E, </w:t>
      </w:r>
      <w:proofErr w:type="spellStart"/>
      <w:r w:rsidRPr="0057612C">
        <w:t>Gersowitz</w:t>
      </w:r>
      <w:proofErr w:type="spellEnd"/>
      <w:r w:rsidRPr="0057612C">
        <w:t xml:space="preserve"> M, </w:t>
      </w:r>
      <w:proofErr w:type="spellStart"/>
      <w:r w:rsidRPr="0057612C">
        <w:t>Gargiulo</w:t>
      </w:r>
      <w:proofErr w:type="spellEnd"/>
      <w:r w:rsidRPr="0057612C">
        <w:t xml:space="preserve"> M: Educational benefits of the United States school feeding program: a critical review of the literature. Am J Public Health 1978, 68:477-481.</w:t>
      </w:r>
    </w:p>
    <w:p w14:paraId="11453518" w14:textId="77777777" w:rsidR="0041145B" w:rsidRPr="0057612C" w:rsidRDefault="0041145B" w:rsidP="001A1B00">
      <w:pPr>
        <w:pStyle w:val="ListParagraph"/>
        <w:numPr>
          <w:ilvl w:val="0"/>
          <w:numId w:val="7"/>
        </w:numPr>
      </w:pPr>
      <w:r w:rsidRPr="0057612C">
        <w:t xml:space="preserve">Grantham-McGregor SG, Ani G: Iron-deficiency </w:t>
      </w:r>
      <w:proofErr w:type="spellStart"/>
      <w:r w:rsidRPr="0057612C">
        <w:t>anemia</w:t>
      </w:r>
      <w:proofErr w:type="spellEnd"/>
      <w:r w:rsidRPr="0057612C">
        <w:t xml:space="preserve">: </w:t>
      </w:r>
      <w:proofErr w:type="spellStart"/>
      <w:r w:rsidRPr="0057612C">
        <w:t>reexamining</w:t>
      </w:r>
      <w:proofErr w:type="spellEnd"/>
      <w:r w:rsidRPr="0057612C">
        <w:t xml:space="preserve"> the nature and magnitude of the public health problem. J </w:t>
      </w:r>
      <w:proofErr w:type="spellStart"/>
      <w:r w:rsidRPr="0057612C">
        <w:t>Nutr</w:t>
      </w:r>
      <w:proofErr w:type="spellEnd"/>
      <w:r w:rsidRPr="0057612C">
        <w:t xml:space="preserve"> 2001, 131:649S-668S.</w:t>
      </w:r>
    </w:p>
    <w:p w14:paraId="27128F5F" w14:textId="77777777" w:rsidR="0041145B" w:rsidRPr="0057612C" w:rsidRDefault="0041145B" w:rsidP="001A1B00">
      <w:pPr>
        <w:pStyle w:val="ListParagraph"/>
        <w:numPr>
          <w:ilvl w:val="0"/>
          <w:numId w:val="7"/>
        </w:numPr>
      </w:pPr>
      <w:r w:rsidRPr="0057612C">
        <w:t xml:space="preserve">Masset, E., and A. Gelli. 2013. "Community Participation and the Links Between Agriculture, Nutrition and Education: Design of a Randomised Field Experiment of 'Home-Grown' School Feeding </w:t>
      </w:r>
      <w:proofErr w:type="gramStart"/>
      <w:r w:rsidRPr="0057612C">
        <w:t>In</w:t>
      </w:r>
      <w:proofErr w:type="gramEnd"/>
      <w:r w:rsidRPr="0057612C">
        <w:t xml:space="preserve"> Mali." Trials 14: 55.</w:t>
      </w:r>
    </w:p>
    <w:p w14:paraId="0E12E517" w14:textId="77777777" w:rsidR="0041145B" w:rsidRPr="0057612C" w:rsidRDefault="0041145B" w:rsidP="001A1B00">
      <w:pPr>
        <w:pStyle w:val="ListParagraph"/>
        <w:numPr>
          <w:ilvl w:val="0"/>
          <w:numId w:val="7"/>
        </w:numPr>
      </w:pPr>
      <w:r w:rsidRPr="0057612C">
        <w:t>Hayes R, Moulton LH: Cluster Randomised Trials. Oxford, UK: Chapman &amp; Hall/CRC Press; 2009.</w:t>
      </w:r>
    </w:p>
    <w:p w14:paraId="05EB51F7" w14:textId="77777777" w:rsidR="0041145B" w:rsidRPr="0057612C" w:rsidRDefault="0041145B" w:rsidP="001A1B00">
      <w:pPr>
        <w:pStyle w:val="ListParagraph"/>
        <w:numPr>
          <w:ilvl w:val="0"/>
          <w:numId w:val="7"/>
        </w:numPr>
      </w:pPr>
      <w:r w:rsidRPr="0057612C">
        <w:t>Bruhn M, McKenzie D. In pursuit of balance: randomization in practice in development field experiments. World Bank Policy Research Working Paper 4572. Washington, DC: World Bank; 2009.</w:t>
      </w:r>
    </w:p>
    <w:p w14:paraId="2FB42375" w14:textId="77777777" w:rsidR="0041145B" w:rsidRPr="0057612C" w:rsidRDefault="0041145B" w:rsidP="001A1B00">
      <w:pPr>
        <w:pStyle w:val="ListParagraph"/>
        <w:numPr>
          <w:ilvl w:val="0"/>
          <w:numId w:val="7"/>
        </w:numPr>
      </w:pPr>
      <w:r w:rsidRPr="0057612C">
        <w:t>Goldstein H. Multilevel statistical models. 3rd ed. London: Edward Arnold; 2003.</w:t>
      </w:r>
    </w:p>
    <w:p w14:paraId="2CC11838" w14:textId="77777777" w:rsidR="0041145B" w:rsidRPr="0057612C" w:rsidRDefault="0041145B" w:rsidP="001A1B00">
      <w:pPr>
        <w:pStyle w:val="ListParagraph"/>
        <w:numPr>
          <w:ilvl w:val="0"/>
          <w:numId w:val="7"/>
        </w:numPr>
      </w:pPr>
      <w:r w:rsidRPr="0057612C">
        <w:t xml:space="preserve">Angrist JD, </w:t>
      </w:r>
      <w:proofErr w:type="spellStart"/>
      <w:r w:rsidRPr="0057612C">
        <w:t>Pischke</w:t>
      </w:r>
      <w:proofErr w:type="spellEnd"/>
      <w:r w:rsidRPr="0057612C">
        <w:t xml:space="preserve"> JS. Mostly harmless econometrics. Princeton: Princeton University Press; 2009.</w:t>
      </w:r>
    </w:p>
    <w:p w14:paraId="06CAF896" w14:textId="77777777" w:rsidR="0041145B" w:rsidRPr="0057612C" w:rsidRDefault="0041145B" w:rsidP="001A1B00">
      <w:pPr>
        <w:pStyle w:val="ListParagraph"/>
        <w:numPr>
          <w:ilvl w:val="0"/>
          <w:numId w:val="7"/>
        </w:numPr>
      </w:pPr>
      <w:proofErr w:type="spellStart"/>
      <w:r w:rsidRPr="0057612C">
        <w:t>Kristjansson</w:t>
      </w:r>
      <w:proofErr w:type="spellEnd"/>
      <w:r w:rsidRPr="0057612C">
        <w:t xml:space="preserve"> EA, Robinson V, </w:t>
      </w:r>
      <w:proofErr w:type="spellStart"/>
      <w:r w:rsidRPr="0057612C">
        <w:t>Petticrew</w:t>
      </w:r>
      <w:proofErr w:type="spellEnd"/>
      <w:r w:rsidRPr="0057612C">
        <w:t xml:space="preserve"> M, MacDonald B, </w:t>
      </w:r>
      <w:proofErr w:type="spellStart"/>
      <w:r w:rsidRPr="0057612C">
        <w:t>Krasevec</w:t>
      </w:r>
      <w:proofErr w:type="spellEnd"/>
      <w:r w:rsidRPr="0057612C">
        <w:t xml:space="preserve"> J, Janzen L, et al. School feeding for improving the physical and psychosocial health of disadvantaged elementary school children. Cochrane Database </w:t>
      </w:r>
      <w:proofErr w:type="spellStart"/>
      <w:r w:rsidRPr="0057612C">
        <w:t>Syst</w:t>
      </w:r>
      <w:proofErr w:type="spellEnd"/>
      <w:r w:rsidRPr="0057612C">
        <w:t xml:space="preserve"> Rev. 2007;24(1):CD004676.</w:t>
      </w:r>
    </w:p>
    <w:p w14:paraId="33AF369C" w14:textId="1CACF92C" w:rsidR="00FA0D9D" w:rsidRDefault="0041145B" w:rsidP="001A1B00">
      <w:pPr>
        <w:pStyle w:val="ListParagraph"/>
        <w:numPr>
          <w:ilvl w:val="0"/>
          <w:numId w:val="7"/>
        </w:numPr>
      </w:pPr>
      <w:r w:rsidRPr="0057612C">
        <w:t xml:space="preserve">Gelli A. School feeding and girls’ </w:t>
      </w:r>
      <w:proofErr w:type="spellStart"/>
      <w:r w:rsidRPr="0057612C">
        <w:t>enrollment</w:t>
      </w:r>
      <w:proofErr w:type="spellEnd"/>
      <w:r w:rsidRPr="0057612C">
        <w:t xml:space="preserve">: the effects of alternative implementation modalities in low-income settings in sub-Saharan Africa. Front Public Health. </w:t>
      </w:r>
      <w:proofErr w:type="gramStart"/>
      <w:r w:rsidRPr="0057612C">
        <w:t>2015;3:76</w:t>
      </w:r>
      <w:proofErr w:type="gramEnd"/>
      <w:r w:rsidRPr="0057612C">
        <w:t>. doi:10.3389/fpubh.2015.00076.</w:t>
      </w:r>
      <w:bookmarkStart w:id="19" w:name="_Toc447729045"/>
    </w:p>
    <w:p w14:paraId="32DFDE22" w14:textId="040DEE75" w:rsidR="00172D26" w:rsidRPr="00383B5F" w:rsidRDefault="00172D26" w:rsidP="00172D26">
      <w:pPr>
        <w:pStyle w:val="ListParagraph"/>
        <w:numPr>
          <w:ilvl w:val="0"/>
          <w:numId w:val="7"/>
        </w:numPr>
        <w:rPr>
          <w:highlight w:val="yellow"/>
        </w:rPr>
      </w:pPr>
      <w:r w:rsidRPr="00383B5F">
        <w:rPr>
          <w:highlight w:val="yellow"/>
        </w:rPr>
        <w:lastRenderedPageBreak/>
        <w:t>Willett, W. (2013). Nutritional epidemiology. Oxford: Oxford University Press.</w:t>
      </w:r>
    </w:p>
    <w:p w14:paraId="63CEC747" w14:textId="4C3347F6" w:rsidR="00E26C62" w:rsidRDefault="001D5381" w:rsidP="001A1B00">
      <w:pPr>
        <w:pStyle w:val="ListParagraph"/>
        <w:numPr>
          <w:ilvl w:val="0"/>
          <w:numId w:val="7"/>
        </w:numPr>
      </w:pPr>
      <w:r w:rsidRPr="001D5381">
        <w:t xml:space="preserve">Gelli, A., F. </w:t>
      </w:r>
      <w:proofErr w:type="spellStart"/>
      <w:r w:rsidRPr="001D5381">
        <w:t>Espejo</w:t>
      </w:r>
      <w:proofErr w:type="spellEnd"/>
      <w:r w:rsidRPr="001D5381">
        <w:t xml:space="preserve">, J. Shen and E. </w:t>
      </w:r>
      <w:proofErr w:type="spellStart"/>
      <w:r w:rsidRPr="001D5381">
        <w:t>Kristjansson</w:t>
      </w:r>
      <w:proofErr w:type="spellEnd"/>
      <w:r w:rsidRPr="001D5381">
        <w:t xml:space="preserve"> (2014). ‘Putting It All Together: Aggregating Impacts </w:t>
      </w:r>
      <w:proofErr w:type="gramStart"/>
      <w:r w:rsidRPr="001D5381">
        <w:t>Of</w:t>
      </w:r>
      <w:proofErr w:type="gramEnd"/>
      <w:r w:rsidRPr="001D5381">
        <w:t xml:space="preserve"> School-Feeding Programmes On Education, Health And Nutrition: Two Proposed Methodologies’. WIDER Working Paper 2014/036. Helsinki: UNU-WIDER.</w:t>
      </w:r>
    </w:p>
    <w:p w14:paraId="753007F0" w14:textId="1AF5D2F0" w:rsidR="005C6C8C" w:rsidRDefault="005C6C8C" w:rsidP="005C6C8C">
      <w:pPr>
        <w:pStyle w:val="Heading1"/>
        <w:numPr>
          <w:ilvl w:val="0"/>
          <w:numId w:val="0"/>
        </w:numPr>
        <w:ind w:left="432" w:hanging="432"/>
        <w:rPr>
          <w:rFonts w:asciiTheme="minorHAnsi" w:hAnsiTheme="minorHAnsi" w:cs="Times New Roman"/>
        </w:rPr>
      </w:pPr>
      <w:r w:rsidRPr="005C6C8C">
        <w:rPr>
          <w:rFonts w:asciiTheme="minorHAnsi" w:hAnsiTheme="minorHAnsi" w:cs="Times New Roman"/>
        </w:rPr>
        <w:t>Tables</w:t>
      </w:r>
    </w:p>
    <w:p w14:paraId="5E4C0E86" w14:textId="7F80258F" w:rsidR="005C6C8C" w:rsidRPr="005C6C8C" w:rsidRDefault="005C6C8C" w:rsidP="005C6C8C">
      <w:pPr>
        <w:spacing w:after="100"/>
        <w:rPr>
          <w:rFonts w:cs="Times New Roman"/>
        </w:rPr>
      </w:pPr>
      <w:r w:rsidRPr="005C6C8C">
        <w:rPr>
          <w:rFonts w:cs="Times New Roman"/>
        </w:rPr>
        <w:t>Table 1: Agricultural inputs provided to households as part of the agriculture and nutrition intervention.</w:t>
      </w:r>
    </w:p>
    <w:p w14:paraId="078D87D4" w14:textId="6BEBDCED" w:rsidR="005C6C8C" w:rsidRPr="005C6C8C" w:rsidRDefault="005C6C8C" w:rsidP="005C6C8C">
      <w:pPr>
        <w:spacing w:after="100"/>
        <w:rPr>
          <w:rFonts w:cs="Times New Roman"/>
        </w:rPr>
      </w:pPr>
      <w:r w:rsidRPr="005C6C8C">
        <w:rPr>
          <w:rFonts w:cs="Times New Roman"/>
        </w:rPr>
        <w:t>Table 2: Main outcome indicators of the intervention.</w:t>
      </w:r>
    </w:p>
    <w:p w14:paraId="4BA74AC2" w14:textId="217997DB" w:rsidR="005C6C8C" w:rsidRPr="008638A6" w:rsidRDefault="005C6C8C" w:rsidP="005C6C8C">
      <w:pPr>
        <w:spacing w:after="100"/>
        <w:rPr>
          <w:rFonts w:cs="Times New Roman"/>
          <w:lang w:val="fr-FR"/>
        </w:rPr>
      </w:pPr>
      <w:r w:rsidRPr="008638A6">
        <w:rPr>
          <w:rFonts w:cs="Times New Roman"/>
          <w:lang w:val="fr-FR"/>
        </w:rPr>
        <w:t xml:space="preserve">Table </w:t>
      </w:r>
      <w:proofErr w:type="gramStart"/>
      <w:r w:rsidRPr="008638A6">
        <w:rPr>
          <w:rFonts w:cs="Times New Roman"/>
          <w:lang w:val="fr-FR"/>
        </w:rPr>
        <w:t>3:</w:t>
      </w:r>
      <w:proofErr w:type="gramEnd"/>
      <w:r w:rsidRPr="008638A6">
        <w:rPr>
          <w:rFonts w:cs="Times New Roman"/>
          <w:lang w:val="fr-FR"/>
        </w:rPr>
        <w:t xml:space="preserve"> </w:t>
      </w:r>
      <w:proofErr w:type="spellStart"/>
      <w:r w:rsidRPr="008638A6">
        <w:rPr>
          <w:rFonts w:cs="Times New Roman"/>
          <w:lang w:val="fr-FR"/>
        </w:rPr>
        <w:t>Sample</w:t>
      </w:r>
      <w:proofErr w:type="spellEnd"/>
      <w:r w:rsidRPr="008638A6">
        <w:rPr>
          <w:rFonts w:cs="Times New Roman"/>
          <w:lang w:val="fr-FR"/>
        </w:rPr>
        <w:t xml:space="preserve"> sizes.</w:t>
      </w:r>
    </w:p>
    <w:p w14:paraId="50C37F0E" w14:textId="4C7A8CA7" w:rsidR="005C6C8C" w:rsidRPr="008638A6" w:rsidRDefault="005C6C8C" w:rsidP="005C6C8C">
      <w:pPr>
        <w:spacing w:after="100"/>
        <w:rPr>
          <w:rFonts w:cs="Times New Roman"/>
          <w:lang w:val="fr-FR"/>
        </w:rPr>
      </w:pPr>
      <w:r w:rsidRPr="008638A6">
        <w:rPr>
          <w:rFonts w:cs="Times New Roman"/>
          <w:lang w:val="fr-FR"/>
        </w:rPr>
        <w:t xml:space="preserve">Table </w:t>
      </w:r>
      <w:proofErr w:type="gramStart"/>
      <w:r w:rsidRPr="008638A6">
        <w:rPr>
          <w:rFonts w:cs="Times New Roman"/>
          <w:lang w:val="fr-FR"/>
        </w:rPr>
        <w:t>4:</w:t>
      </w:r>
      <w:proofErr w:type="gramEnd"/>
      <w:r w:rsidRPr="008638A6">
        <w:rPr>
          <w:rFonts w:cs="Times New Roman"/>
          <w:lang w:val="fr-FR"/>
        </w:rPr>
        <w:t xml:space="preserve"> Survey questionnaire modules</w:t>
      </w:r>
    </w:p>
    <w:p w14:paraId="1472D22A" w14:textId="45921359" w:rsidR="005C6C8C" w:rsidRPr="005C6C8C" w:rsidRDefault="005C6C8C" w:rsidP="005C6C8C">
      <w:pPr>
        <w:pStyle w:val="Heading1"/>
        <w:numPr>
          <w:ilvl w:val="0"/>
          <w:numId w:val="0"/>
        </w:numPr>
        <w:ind w:left="432" w:hanging="432"/>
        <w:rPr>
          <w:rFonts w:asciiTheme="minorHAnsi" w:hAnsiTheme="minorHAnsi" w:cs="Times New Roman"/>
        </w:rPr>
      </w:pPr>
      <w:r w:rsidRPr="005C6C8C">
        <w:rPr>
          <w:rFonts w:asciiTheme="minorHAnsi" w:hAnsiTheme="minorHAnsi" w:cs="Times New Roman"/>
        </w:rPr>
        <w:t>Figures</w:t>
      </w:r>
    </w:p>
    <w:p w14:paraId="13F55387" w14:textId="538A28C7" w:rsidR="005C6C8C" w:rsidRDefault="005C6C8C" w:rsidP="005C6C8C">
      <w:pPr>
        <w:spacing w:after="100"/>
        <w:rPr>
          <w:rFonts w:cs="Times New Roman"/>
        </w:rPr>
      </w:pPr>
      <w:r w:rsidRPr="005C6C8C">
        <w:rPr>
          <w:rFonts w:cs="Times New Roman"/>
        </w:rPr>
        <w:t>Figure 1: Overall programme theory for the agriculture and nutrition intervention.</w:t>
      </w:r>
    </w:p>
    <w:p w14:paraId="4D835C9A" w14:textId="6BBB6F52" w:rsidR="005C6C8C" w:rsidRDefault="005C6C8C" w:rsidP="005C6C8C">
      <w:pPr>
        <w:spacing w:after="100"/>
        <w:rPr>
          <w:rFonts w:cs="Times New Roman"/>
        </w:rPr>
      </w:pPr>
      <w:r w:rsidRPr="005C6C8C">
        <w:rPr>
          <w:rFonts w:cs="Times New Roman"/>
        </w:rPr>
        <w:t>Figure 2: Diet diversity: Minimum detectable effect size versus number of clusters, simulations with high and low ICCs.</w:t>
      </w:r>
    </w:p>
    <w:p w14:paraId="764B3BB2" w14:textId="05EB8BB8" w:rsidR="005C6C8C" w:rsidRPr="005C6C8C" w:rsidRDefault="005C6C8C" w:rsidP="005C6C8C">
      <w:pPr>
        <w:spacing w:after="100"/>
        <w:rPr>
          <w:rFonts w:cs="Times New Roman"/>
        </w:rPr>
      </w:pPr>
      <w:r w:rsidRPr="005C6C8C">
        <w:rPr>
          <w:rFonts w:cs="Times New Roman"/>
        </w:rPr>
        <w:t>Figure 3: Impact pathways for the CBCC intervention on child nu</w:t>
      </w:r>
      <w:r>
        <w:rPr>
          <w:rFonts w:cs="Times New Roman"/>
        </w:rPr>
        <w:t>trition, health and development</w:t>
      </w:r>
      <w:r w:rsidRPr="005C6C8C">
        <w:rPr>
          <w:rFonts w:cs="Times New Roman"/>
        </w:rPr>
        <w:t>.</w:t>
      </w:r>
      <w:bookmarkEnd w:id="19"/>
    </w:p>
    <w:sectPr w:rsidR="005C6C8C" w:rsidRPr="005C6C8C" w:rsidSect="00582553">
      <w:footerReference w:type="default" r:id="rId22"/>
      <w:footerReference w:type="first" r:id="rId2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8510" w14:textId="77777777" w:rsidR="00296843" w:rsidRDefault="00296843" w:rsidP="003E762C">
      <w:pPr>
        <w:spacing w:after="0" w:line="240" w:lineRule="auto"/>
      </w:pPr>
      <w:r>
        <w:separator/>
      </w:r>
    </w:p>
  </w:endnote>
  <w:endnote w:type="continuationSeparator" w:id="0">
    <w:p w14:paraId="480801F2" w14:textId="77777777" w:rsidR="00296843" w:rsidRDefault="00296843" w:rsidP="003E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88694009"/>
      <w:docPartObj>
        <w:docPartGallery w:val="Page Numbers (Bottom of Page)"/>
        <w:docPartUnique/>
      </w:docPartObj>
    </w:sdtPr>
    <w:sdtEndPr>
      <w:rPr>
        <w:noProof/>
      </w:rPr>
    </w:sdtEndPr>
    <w:sdtContent>
      <w:p w14:paraId="35C2C9C6" w14:textId="57211E6C" w:rsidR="005158B3" w:rsidRPr="007C3FE1" w:rsidRDefault="005158B3" w:rsidP="006A1FED">
        <w:pPr>
          <w:pStyle w:val="Footer"/>
          <w:jc w:val="center"/>
          <w:rPr>
            <w:sz w:val="16"/>
            <w:szCs w:val="16"/>
          </w:rPr>
        </w:pPr>
        <w:r w:rsidRPr="007C3FE1">
          <w:rPr>
            <w:sz w:val="16"/>
            <w:szCs w:val="16"/>
          </w:rPr>
          <w:fldChar w:fldCharType="begin"/>
        </w:r>
        <w:r w:rsidRPr="007C3FE1">
          <w:rPr>
            <w:sz w:val="16"/>
            <w:szCs w:val="16"/>
          </w:rPr>
          <w:instrText xml:space="preserve"> PAGE   \* MERGEFORMAT </w:instrText>
        </w:r>
        <w:r w:rsidRPr="007C3FE1">
          <w:rPr>
            <w:sz w:val="16"/>
            <w:szCs w:val="16"/>
          </w:rPr>
          <w:fldChar w:fldCharType="separate"/>
        </w:r>
        <w:r w:rsidR="001D5D7F">
          <w:rPr>
            <w:noProof/>
            <w:sz w:val="16"/>
            <w:szCs w:val="16"/>
          </w:rPr>
          <w:t>13</w:t>
        </w:r>
        <w:r w:rsidRPr="007C3FE1">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7D60" w14:textId="77777777" w:rsidR="005158B3" w:rsidRDefault="005158B3" w:rsidP="00767444">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0F3C" w14:textId="77777777" w:rsidR="00296843" w:rsidRDefault="00296843" w:rsidP="003E762C">
      <w:pPr>
        <w:spacing w:after="0" w:line="240" w:lineRule="auto"/>
      </w:pPr>
      <w:r>
        <w:separator/>
      </w:r>
    </w:p>
  </w:footnote>
  <w:footnote w:type="continuationSeparator" w:id="0">
    <w:p w14:paraId="6D6C4D6E" w14:textId="77777777" w:rsidR="00296843" w:rsidRDefault="00296843" w:rsidP="003E762C">
      <w:pPr>
        <w:spacing w:after="0" w:line="240" w:lineRule="auto"/>
      </w:pPr>
      <w:r>
        <w:continuationSeparator/>
      </w:r>
    </w:p>
  </w:footnote>
  <w:footnote w:id="1">
    <w:p w14:paraId="17D2F0BA" w14:textId="77777777" w:rsidR="005158B3" w:rsidRPr="00334A3B" w:rsidRDefault="005158B3">
      <w:pPr>
        <w:pStyle w:val="FootnoteText"/>
        <w:rPr>
          <w:lang w:val="en-US"/>
        </w:rPr>
      </w:pPr>
      <w:r>
        <w:rPr>
          <w:rStyle w:val="FootnoteReference"/>
        </w:rPr>
        <w:footnoteRef/>
      </w:r>
      <w:r w:rsidRPr="00334A3B">
        <w:rPr>
          <w:lang w:val="en-US"/>
        </w:rPr>
        <w:t xml:space="preserve"> </w:t>
      </w:r>
      <w:r>
        <w:rPr>
          <w:lang w:val="en-US"/>
        </w:rPr>
        <w:t>Save the Children, unpublished.</w:t>
      </w:r>
    </w:p>
  </w:footnote>
  <w:footnote w:id="2">
    <w:p w14:paraId="1269BC61" w14:textId="77777777" w:rsidR="005158B3" w:rsidRPr="004D1BE8" w:rsidRDefault="005158B3" w:rsidP="004D1BE8">
      <w:pPr>
        <w:pStyle w:val="FootnoteText"/>
        <w:rPr>
          <w:lang w:val="en-GB"/>
        </w:rPr>
      </w:pPr>
      <w:r>
        <w:rPr>
          <w:rStyle w:val="FootnoteReference"/>
        </w:rPr>
        <w:footnoteRef/>
      </w:r>
      <w:r w:rsidRPr="004D1BE8">
        <w:rPr>
          <w:lang w:val="en-GB"/>
        </w:rPr>
        <w:t xml:space="preserve"> The Protecting Early Chi</w:t>
      </w:r>
      <w:r>
        <w:rPr>
          <w:lang w:val="en-GB"/>
        </w:rPr>
        <w:t>ldhood Development (PECD) 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2B0"/>
    <w:multiLevelType w:val="hybridMultilevel"/>
    <w:tmpl w:val="3C12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1068"/>
    <w:multiLevelType w:val="hybridMultilevel"/>
    <w:tmpl w:val="56C89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75092"/>
    <w:multiLevelType w:val="hybridMultilevel"/>
    <w:tmpl w:val="964662A6"/>
    <w:lvl w:ilvl="0" w:tplc="020AA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84605"/>
    <w:multiLevelType w:val="hybridMultilevel"/>
    <w:tmpl w:val="00EA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4247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FFA4D39"/>
    <w:multiLevelType w:val="hybridMultilevel"/>
    <w:tmpl w:val="A640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25484"/>
    <w:multiLevelType w:val="hybridMultilevel"/>
    <w:tmpl w:val="0C62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133DB"/>
    <w:multiLevelType w:val="hybridMultilevel"/>
    <w:tmpl w:val="476ED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2C"/>
    <w:rsid w:val="0000091D"/>
    <w:rsid w:val="000140B8"/>
    <w:rsid w:val="0001613F"/>
    <w:rsid w:val="0002239B"/>
    <w:rsid w:val="00025FBA"/>
    <w:rsid w:val="00033C8F"/>
    <w:rsid w:val="000342BC"/>
    <w:rsid w:val="00066294"/>
    <w:rsid w:val="00070F76"/>
    <w:rsid w:val="00073B26"/>
    <w:rsid w:val="0008098F"/>
    <w:rsid w:val="0008766E"/>
    <w:rsid w:val="00095CA0"/>
    <w:rsid w:val="000968C4"/>
    <w:rsid w:val="000A2D9E"/>
    <w:rsid w:val="000A324F"/>
    <w:rsid w:val="000B2491"/>
    <w:rsid w:val="000B64B0"/>
    <w:rsid w:val="000B674A"/>
    <w:rsid w:val="000D09CA"/>
    <w:rsid w:val="000D2182"/>
    <w:rsid w:val="000D51DB"/>
    <w:rsid w:val="000D6C39"/>
    <w:rsid w:val="00105F6C"/>
    <w:rsid w:val="00134CE4"/>
    <w:rsid w:val="0014081B"/>
    <w:rsid w:val="00145966"/>
    <w:rsid w:val="001477AA"/>
    <w:rsid w:val="00151EC9"/>
    <w:rsid w:val="001612ED"/>
    <w:rsid w:val="00172D26"/>
    <w:rsid w:val="00175D4D"/>
    <w:rsid w:val="00194243"/>
    <w:rsid w:val="001945D8"/>
    <w:rsid w:val="001A0340"/>
    <w:rsid w:val="001A1B00"/>
    <w:rsid w:val="001A7456"/>
    <w:rsid w:val="001B44A0"/>
    <w:rsid w:val="001B728D"/>
    <w:rsid w:val="001C2437"/>
    <w:rsid w:val="001D5381"/>
    <w:rsid w:val="001D5D7F"/>
    <w:rsid w:val="001D6009"/>
    <w:rsid w:val="001E5405"/>
    <w:rsid w:val="001E64B7"/>
    <w:rsid w:val="001E6C96"/>
    <w:rsid w:val="0022163B"/>
    <w:rsid w:val="00221937"/>
    <w:rsid w:val="00237042"/>
    <w:rsid w:val="0025395C"/>
    <w:rsid w:val="00256C5D"/>
    <w:rsid w:val="00260ACD"/>
    <w:rsid w:val="0027587C"/>
    <w:rsid w:val="00277FE7"/>
    <w:rsid w:val="00283580"/>
    <w:rsid w:val="0029371C"/>
    <w:rsid w:val="00296843"/>
    <w:rsid w:val="002A05AC"/>
    <w:rsid w:val="002A3CE8"/>
    <w:rsid w:val="002B2478"/>
    <w:rsid w:val="002C18F7"/>
    <w:rsid w:val="002C6A4C"/>
    <w:rsid w:val="002D0541"/>
    <w:rsid w:val="002D429E"/>
    <w:rsid w:val="002D5272"/>
    <w:rsid w:val="002E09CA"/>
    <w:rsid w:val="002E7283"/>
    <w:rsid w:val="002E7428"/>
    <w:rsid w:val="002E7F0F"/>
    <w:rsid w:val="002F4574"/>
    <w:rsid w:val="002F51ED"/>
    <w:rsid w:val="002F5DFB"/>
    <w:rsid w:val="002F6AD9"/>
    <w:rsid w:val="002F7D0B"/>
    <w:rsid w:val="00301D3D"/>
    <w:rsid w:val="00307FF5"/>
    <w:rsid w:val="00310FA9"/>
    <w:rsid w:val="00331126"/>
    <w:rsid w:val="00334A3B"/>
    <w:rsid w:val="003360F3"/>
    <w:rsid w:val="00337B6D"/>
    <w:rsid w:val="003405D2"/>
    <w:rsid w:val="003423F8"/>
    <w:rsid w:val="0035476C"/>
    <w:rsid w:val="00354F84"/>
    <w:rsid w:val="003568F3"/>
    <w:rsid w:val="00362A77"/>
    <w:rsid w:val="003803EF"/>
    <w:rsid w:val="00383B5F"/>
    <w:rsid w:val="00384860"/>
    <w:rsid w:val="00385001"/>
    <w:rsid w:val="00397D27"/>
    <w:rsid w:val="003A3C2F"/>
    <w:rsid w:val="003A7501"/>
    <w:rsid w:val="003D1AA6"/>
    <w:rsid w:val="003D325B"/>
    <w:rsid w:val="003D3763"/>
    <w:rsid w:val="003D3E0D"/>
    <w:rsid w:val="003E3A23"/>
    <w:rsid w:val="003E3FF4"/>
    <w:rsid w:val="003E41A1"/>
    <w:rsid w:val="003E44B3"/>
    <w:rsid w:val="003E58AE"/>
    <w:rsid w:val="003E5C99"/>
    <w:rsid w:val="003E6858"/>
    <w:rsid w:val="003E6A30"/>
    <w:rsid w:val="003E762C"/>
    <w:rsid w:val="003F3A22"/>
    <w:rsid w:val="00405B27"/>
    <w:rsid w:val="0041145B"/>
    <w:rsid w:val="0041203E"/>
    <w:rsid w:val="004162C1"/>
    <w:rsid w:val="00422840"/>
    <w:rsid w:val="0044241E"/>
    <w:rsid w:val="004511BE"/>
    <w:rsid w:val="004529D8"/>
    <w:rsid w:val="00454AFE"/>
    <w:rsid w:val="00465F56"/>
    <w:rsid w:val="004728A5"/>
    <w:rsid w:val="00473DF5"/>
    <w:rsid w:val="00477BA9"/>
    <w:rsid w:val="004840E8"/>
    <w:rsid w:val="00490E9A"/>
    <w:rsid w:val="004A18E8"/>
    <w:rsid w:val="004B095B"/>
    <w:rsid w:val="004C3997"/>
    <w:rsid w:val="004D0398"/>
    <w:rsid w:val="004D1BE8"/>
    <w:rsid w:val="004E24BD"/>
    <w:rsid w:val="004F1963"/>
    <w:rsid w:val="00501022"/>
    <w:rsid w:val="005043FF"/>
    <w:rsid w:val="00504BC5"/>
    <w:rsid w:val="00510E97"/>
    <w:rsid w:val="005158B3"/>
    <w:rsid w:val="00525375"/>
    <w:rsid w:val="00536170"/>
    <w:rsid w:val="00537A4A"/>
    <w:rsid w:val="00537DF3"/>
    <w:rsid w:val="00541F33"/>
    <w:rsid w:val="00542F50"/>
    <w:rsid w:val="00554069"/>
    <w:rsid w:val="0057612C"/>
    <w:rsid w:val="00581E3C"/>
    <w:rsid w:val="00582553"/>
    <w:rsid w:val="00594A43"/>
    <w:rsid w:val="00596A05"/>
    <w:rsid w:val="005A2F1E"/>
    <w:rsid w:val="005A475C"/>
    <w:rsid w:val="005A68C2"/>
    <w:rsid w:val="005C22B5"/>
    <w:rsid w:val="005C30F2"/>
    <w:rsid w:val="005C6C8C"/>
    <w:rsid w:val="005F6728"/>
    <w:rsid w:val="00600702"/>
    <w:rsid w:val="00610232"/>
    <w:rsid w:val="006145E6"/>
    <w:rsid w:val="006230DA"/>
    <w:rsid w:val="00641CC6"/>
    <w:rsid w:val="006425B9"/>
    <w:rsid w:val="00651FE0"/>
    <w:rsid w:val="00660E82"/>
    <w:rsid w:val="0066606A"/>
    <w:rsid w:val="00671173"/>
    <w:rsid w:val="0067137C"/>
    <w:rsid w:val="00671894"/>
    <w:rsid w:val="0067429C"/>
    <w:rsid w:val="006808EE"/>
    <w:rsid w:val="0068506E"/>
    <w:rsid w:val="006923AF"/>
    <w:rsid w:val="006A05C9"/>
    <w:rsid w:val="006A1FED"/>
    <w:rsid w:val="006A5FF5"/>
    <w:rsid w:val="006C4F6D"/>
    <w:rsid w:val="006D5256"/>
    <w:rsid w:val="006E1652"/>
    <w:rsid w:val="006E2778"/>
    <w:rsid w:val="006E37C3"/>
    <w:rsid w:val="0072091C"/>
    <w:rsid w:val="007260B0"/>
    <w:rsid w:val="00726E18"/>
    <w:rsid w:val="00727DBA"/>
    <w:rsid w:val="007344CB"/>
    <w:rsid w:val="00737135"/>
    <w:rsid w:val="00740EED"/>
    <w:rsid w:val="0074238E"/>
    <w:rsid w:val="00745B6A"/>
    <w:rsid w:val="00756623"/>
    <w:rsid w:val="00762AE4"/>
    <w:rsid w:val="00762CE4"/>
    <w:rsid w:val="00767444"/>
    <w:rsid w:val="00767D9E"/>
    <w:rsid w:val="00782875"/>
    <w:rsid w:val="007858FC"/>
    <w:rsid w:val="00790DAF"/>
    <w:rsid w:val="007A63FC"/>
    <w:rsid w:val="007B1843"/>
    <w:rsid w:val="007B197E"/>
    <w:rsid w:val="007B294C"/>
    <w:rsid w:val="007C0A16"/>
    <w:rsid w:val="007C0A2D"/>
    <w:rsid w:val="007C34E1"/>
    <w:rsid w:val="007D3076"/>
    <w:rsid w:val="007D75AB"/>
    <w:rsid w:val="007E301D"/>
    <w:rsid w:val="007E7679"/>
    <w:rsid w:val="007F4FEF"/>
    <w:rsid w:val="008038B2"/>
    <w:rsid w:val="00807BA1"/>
    <w:rsid w:val="00807C52"/>
    <w:rsid w:val="00807DAF"/>
    <w:rsid w:val="00810C85"/>
    <w:rsid w:val="00834E0E"/>
    <w:rsid w:val="008436A7"/>
    <w:rsid w:val="00845E59"/>
    <w:rsid w:val="00850E91"/>
    <w:rsid w:val="0086034D"/>
    <w:rsid w:val="008638A6"/>
    <w:rsid w:val="00864BC6"/>
    <w:rsid w:val="0086633D"/>
    <w:rsid w:val="0087465C"/>
    <w:rsid w:val="0089088B"/>
    <w:rsid w:val="008A305C"/>
    <w:rsid w:val="008B195C"/>
    <w:rsid w:val="008B5DFE"/>
    <w:rsid w:val="008C1BB0"/>
    <w:rsid w:val="008C4EAF"/>
    <w:rsid w:val="008D5E24"/>
    <w:rsid w:val="008E0CB3"/>
    <w:rsid w:val="008E2BC7"/>
    <w:rsid w:val="008F177C"/>
    <w:rsid w:val="00900958"/>
    <w:rsid w:val="00903ABA"/>
    <w:rsid w:val="00907AC9"/>
    <w:rsid w:val="00913917"/>
    <w:rsid w:val="009154A3"/>
    <w:rsid w:val="00916EB3"/>
    <w:rsid w:val="009256B6"/>
    <w:rsid w:val="00935993"/>
    <w:rsid w:val="009418BF"/>
    <w:rsid w:val="00943A77"/>
    <w:rsid w:val="009471FE"/>
    <w:rsid w:val="00947B21"/>
    <w:rsid w:val="009524CA"/>
    <w:rsid w:val="00953F79"/>
    <w:rsid w:val="00954943"/>
    <w:rsid w:val="009565A9"/>
    <w:rsid w:val="0096516D"/>
    <w:rsid w:val="00981603"/>
    <w:rsid w:val="0098600E"/>
    <w:rsid w:val="00991E28"/>
    <w:rsid w:val="009B4B75"/>
    <w:rsid w:val="009B64BA"/>
    <w:rsid w:val="009B6DC8"/>
    <w:rsid w:val="009B72ED"/>
    <w:rsid w:val="009C5552"/>
    <w:rsid w:val="009D7095"/>
    <w:rsid w:val="009E3E38"/>
    <w:rsid w:val="009E4D13"/>
    <w:rsid w:val="009E6D12"/>
    <w:rsid w:val="009F45DE"/>
    <w:rsid w:val="00A003A4"/>
    <w:rsid w:val="00A01596"/>
    <w:rsid w:val="00A03E66"/>
    <w:rsid w:val="00A04E1C"/>
    <w:rsid w:val="00A115B6"/>
    <w:rsid w:val="00A151EF"/>
    <w:rsid w:val="00A15442"/>
    <w:rsid w:val="00A16C9A"/>
    <w:rsid w:val="00A274B6"/>
    <w:rsid w:val="00A305ED"/>
    <w:rsid w:val="00A31AF7"/>
    <w:rsid w:val="00A34008"/>
    <w:rsid w:val="00A6595E"/>
    <w:rsid w:val="00A7313C"/>
    <w:rsid w:val="00A76A23"/>
    <w:rsid w:val="00A81B49"/>
    <w:rsid w:val="00A87D30"/>
    <w:rsid w:val="00A936DB"/>
    <w:rsid w:val="00A96541"/>
    <w:rsid w:val="00AA1608"/>
    <w:rsid w:val="00AA2509"/>
    <w:rsid w:val="00AA3BFE"/>
    <w:rsid w:val="00AB6355"/>
    <w:rsid w:val="00AB7091"/>
    <w:rsid w:val="00AC7024"/>
    <w:rsid w:val="00AC71B7"/>
    <w:rsid w:val="00AD65BC"/>
    <w:rsid w:val="00AE5160"/>
    <w:rsid w:val="00AF62F9"/>
    <w:rsid w:val="00B04E13"/>
    <w:rsid w:val="00B13EC5"/>
    <w:rsid w:val="00B22913"/>
    <w:rsid w:val="00B24DC6"/>
    <w:rsid w:val="00B26009"/>
    <w:rsid w:val="00B30C51"/>
    <w:rsid w:val="00B41A55"/>
    <w:rsid w:val="00B436B7"/>
    <w:rsid w:val="00B45A3E"/>
    <w:rsid w:val="00B45F8F"/>
    <w:rsid w:val="00B71788"/>
    <w:rsid w:val="00B7341F"/>
    <w:rsid w:val="00B82C50"/>
    <w:rsid w:val="00B90E20"/>
    <w:rsid w:val="00B911EF"/>
    <w:rsid w:val="00B95EDC"/>
    <w:rsid w:val="00BA01E3"/>
    <w:rsid w:val="00BA0B99"/>
    <w:rsid w:val="00BA69EC"/>
    <w:rsid w:val="00BB03EC"/>
    <w:rsid w:val="00BB0F22"/>
    <w:rsid w:val="00BB2459"/>
    <w:rsid w:val="00BB3F46"/>
    <w:rsid w:val="00BC0603"/>
    <w:rsid w:val="00BC10EF"/>
    <w:rsid w:val="00BD29C3"/>
    <w:rsid w:val="00BF457F"/>
    <w:rsid w:val="00C01FEE"/>
    <w:rsid w:val="00C05973"/>
    <w:rsid w:val="00C21980"/>
    <w:rsid w:val="00C359DE"/>
    <w:rsid w:val="00C37F3F"/>
    <w:rsid w:val="00C510B7"/>
    <w:rsid w:val="00C5639F"/>
    <w:rsid w:val="00C718B5"/>
    <w:rsid w:val="00C7477C"/>
    <w:rsid w:val="00C81DA7"/>
    <w:rsid w:val="00C84458"/>
    <w:rsid w:val="00C847B7"/>
    <w:rsid w:val="00C84B62"/>
    <w:rsid w:val="00C85ADC"/>
    <w:rsid w:val="00C85C0B"/>
    <w:rsid w:val="00C87266"/>
    <w:rsid w:val="00CA56EA"/>
    <w:rsid w:val="00CB04C1"/>
    <w:rsid w:val="00CC75C5"/>
    <w:rsid w:val="00CD2EB7"/>
    <w:rsid w:val="00CD6AA5"/>
    <w:rsid w:val="00CD72A0"/>
    <w:rsid w:val="00CE4839"/>
    <w:rsid w:val="00CF2509"/>
    <w:rsid w:val="00D027B1"/>
    <w:rsid w:val="00D04623"/>
    <w:rsid w:val="00D14DD6"/>
    <w:rsid w:val="00D15AEB"/>
    <w:rsid w:val="00D20D98"/>
    <w:rsid w:val="00D23182"/>
    <w:rsid w:val="00D2356A"/>
    <w:rsid w:val="00D270C8"/>
    <w:rsid w:val="00D3263A"/>
    <w:rsid w:val="00D35B88"/>
    <w:rsid w:val="00D478F6"/>
    <w:rsid w:val="00D51626"/>
    <w:rsid w:val="00D5747D"/>
    <w:rsid w:val="00D60B10"/>
    <w:rsid w:val="00D610C6"/>
    <w:rsid w:val="00D726DE"/>
    <w:rsid w:val="00D877FA"/>
    <w:rsid w:val="00D91043"/>
    <w:rsid w:val="00D926B3"/>
    <w:rsid w:val="00D92C24"/>
    <w:rsid w:val="00D968AF"/>
    <w:rsid w:val="00D972F4"/>
    <w:rsid w:val="00DA611A"/>
    <w:rsid w:val="00DB625C"/>
    <w:rsid w:val="00DD2339"/>
    <w:rsid w:val="00DD23BC"/>
    <w:rsid w:val="00DD3C23"/>
    <w:rsid w:val="00DE1776"/>
    <w:rsid w:val="00DE5EDC"/>
    <w:rsid w:val="00DE71BA"/>
    <w:rsid w:val="00DF35C4"/>
    <w:rsid w:val="00DF4595"/>
    <w:rsid w:val="00E20A06"/>
    <w:rsid w:val="00E20B37"/>
    <w:rsid w:val="00E23765"/>
    <w:rsid w:val="00E26C62"/>
    <w:rsid w:val="00E27771"/>
    <w:rsid w:val="00E34E5A"/>
    <w:rsid w:val="00E35902"/>
    <w:rsid w:val="00E376C6"/>
    <w:rsid w:val="00E418E9"/>
    <w:rsid w:val="00E50248"/>
    <w:rsid w:val="00E538A2"/>
    <w:rsid w:val="00E6195C"/>
    <w:rsid w:val="00E72128"/>
    <w:rsid w:val="00E763A7"/>
    <w:rsid w:val="00E76FF6"/>
    <w:rsid w:val="00E91980"/>
    <w:rsid w:val="00E9199E"/>
    <w:rsid w:val="00EA380F"/>
    <w:rsid w:val="00EB3317"/>
    <w:rsid w:val="00EB3554"/>
    <w:rsid w:val="00EB46CD"/>
    <w:rsid w:val="00EE094C"/>
    <w:rsid w:val="00EE0D7E"/>
    <w:rsid w:val="00EE5AB9"/>
    <w:rsid w:val="00F14FAD"/>
    <w:rsid w:val="00F322B6"/>
    <w:rsid w:val="00F33E8D"/>
    <w:rsid w:val="00F36D50"/>
    <w:rsid w:val="00F37C62"/>
    <w:rsid w:val="00F4098B"/>
    <w:rsid w:val="00F47285"/>
    <w:rsid w:val="00F50F48"/>
    <w:rsid w:val="00F726C7"/>
    <w:rsid w:val="00F83616"/>
    <w:rsid w:val="00F96464"/>
    <w:rsid w:val="00FA0D9D"/>
    <w:rsid w:val="00FA11FD"/>
    <w:rsid w:val="00FB07DD"/>
    <w:rsid w:val="00FB4961"/>
    <w:rsid w:val="00FC7CDC"/>
    <w:rsid w:val="00FD0A7C"/>
    <w:rsid w:val="00FD3316"/>
    <w:rsid w:val="00FD508E"/>
    <w:rsid w:val="00FD5F89"/>
    <w:rsid w:val="00FE7125"/>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88C9"/>
  <w15:docId w15:val="{7350B883-46EB-4D11-85FF-53560F40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457F"/>
    <w:pPr>
      <w:spacing w:after="120"/>
      <w:jc w:val="both"/>
    </w:pPr>
    <w:rPr>
      <w:rFonts w:eastAsiaTheme="minorEastAsia"/>
      <w:lang w:eastAsia="en-GB"/>
    </w:rPr>
  </w:style>
  <w:style w:type="paragraph" w:styleId="Heading1">
    <w:name w:val="heading 1"/>
    <w:basedOn w:val="Normal"/>
    <w:next w:val="Normal"/>
    <w:link w:val="Heading1Char"/>
    <w:uiPriority w:val="9"/>
    <w:qFormat/>
    <w:rsid w:val="00BF457F"/>
    <w:pPr>
      <w:numPr>
        <w:numId w:val="1"/>
      </w:numPr>
      <w:spacing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35B88"/>
    <w:pPr>
      <w:numPr>
        <w:ilvl w:val="1"/>
        <w:numId w:val="1"/>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D1BE8"/>
    <w:pPr>
      <w:numPr>
        <w:ilvl w:val="2"/>
        <w:numId w:val="1"/>
      </w:num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762C"/>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E762C"/>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E762C"/>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E762C"/>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E762C"/>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E762C"/>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57F"/>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D35B88"/>
    <w:rPr>
      <w:rFonts w:eastAsiaTheme="majorEastAsia" w:cstheme="majorBidi"/>
      <w:b/>
      <w:bCs/>
      <w:sz w:val="24"/>
      <w:szCs w:val="26"/>
      <w:lang w:eastAsia="en-GB"/>
    </w:rPr>
  </w:style>
  <w:style w:type="character" w:customStyle="1" w:styleId="Heading3Char">
    <w:name w:val="Heading 3 Char"/>
    <w:basedOn w:val="DefaultParagraphFont"/>
    <w:link w:val="Heading3"/>
    <w:uiPriority w:val="9"/>
    <w:rsid w:val="004D1BE8"/>
    <w:rPr>
      <w:rFonts w:eastAsiaTheme="majorEastAsia" w:cstheme="majorBidi"/>
      <w:b/>
      <w:bCs/>
      <w:lang w:eastAsia="en-GB"/>
    </w:rPr>
  </w:style>
  <w:style w:type="character" w:customStyle="1" w:styleId="Heading4Char">
    <w:name w:val="Heading 4 Char"/>
    <w:basedOn w:val="DefaultParagraphFont"/>
    <w:link w:val="Heading4"/>
    <w:uiPriority w:val="9"/>
    <w:semiHidden/>
    <w:rsid w:val="003E762C"/>
    <w:rPr>
      <w:rFonts w:asciiTheme="majorHAnsi" w:eastAsiaTheme="majorEastAsia" w:hAnsiTheme="majorHAnsi" w:cstheme="majorBidi"/>
      <w:b/>
      <w:bCs/>
      <w:i/>
      <w:iCs/>
      <w:lang w:eastAsia="en-GB"/>
    </w:rPr>
  </w:style>
  <w:style w:type="character" w:customStyle="1" w:styleId="Heading5Char">
    <w:name w:val="Heading 5 Char"/>
    <w:basedOn w:val="DefaultParagraphFont"/>
    <w:link w:val="Heading5"/>
    <w:uiPriority w:val="9"/>
    <w:semiHidden/>
    <w:rsid w:val="003E762C"/>
    <w:rPr>
      <w:rFonts w:asciiTheme="majorHAnsi" w:eastAsiaTheme="majorEastAsia" w:hAnsiTheme="majorHAnsi" w:cstheme="majorBidi"/>
      <w:b/>
      <w:bCs/>
      <w:color w:val="7F7F7F" w:themeColor="text1" w:themeTint="80"/>
      <w:lang w:eastAsia="en-GB"/>
    </w:rPr>
  </w:style>
  <w:style w:type="character" w:customStyle="1" w:styleId="Heading6Char">
    <w:name w:val="Heading 6 Char"/>
    <w:basedOn w:val="DefaultParagraphFont"/>
    <w:link w:val="Heading6"/>
    <w:uiPriority w:val="9"/>
    <w:semiHidden/>
    <w:rsid w:val="003E762C"/>
    <w:rPr>
      <w:rFonts w:asciiTheme="majorHAnsi" w:eastAsiaTheme="majorEastAsia" w:hAnsiTheme="majorHAnsi" w:cstheme="majorBidi"/>
      <w:b/>
      <w:bCs/>
      <w:i/>
      <w:iCs/>
      <w:color w:val="7F7F7F" w:themeColor="text1" w:themeTint="80"/>
      <w:lang w:eastAsia="en-GB"/>
    </w:rPr>
  </w:style>
  <w:style w:type="character" w:customStyle="1" w:styleId="Heading7Char">
    <w:name w:val="Heading 7 Char"/>
    <w:basedOn w:val="DefaultParagraphFont"/>
    <w:link w:val="Heading7"/>
    <w:uiPriority w:val="9"/>
    <w:semiHidden/>
    <w:rsid w:val="003E762C"/>
    <w:rPr>
      <w:rFonts w:asciiTheme="majorHAnsi" w:eastAsiaTheme="majorEastAsia" w:hAnsiTheme="majorHAnsi" w:cstheme="majorBidi"/>
      <w:i/>
      <w:iCs/>
      <w:lang w:eastAsia="en-GB"/>
    </w:rPr>
  </w:style>
  <w:style w:type="character" w:customStyle="1" w:styleId="Heading8Char">
    <w:name w:val="Heading 8 Char"/>
    <w:basedOn w:val="DefaultParagraphFont"/>
    <w:link w:val="Heading8"/>
    <w:uiPriority w:val="9"/>
    <w:semiHidden/>
    <w:rsid w:val="003E762C"/>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3E762C"/>
    <w:rPr>
      <w:rFonts w:asciiTheme="majorHAnsi" w:eastAsiaTheme="majorEastAsia" w:hAnsiTheme="majorHAnsi" w:cstheme="majorBidi"/>
      <w:i/>
      <w:iCs/>
      <w:spacing w:val="5"/>
      <w:sz w:val="20"/>
      <w:szCs w:val="20"/>
      <w:lang w:eastAsia="en-GB"/>
    </w:rPr>
  </w:style>
  <w:style w:type="paragraph" w:styleId="FootnoteText">
    <w:name w:val="footnote text"/>
    <w:aliases w:val="FOOTNOTES,fn,single space,ALTS FOOTNOTE"/>
    <w:basedOn w:val="Normal"/>
    <w:link w:val="FootnoteTextChar"/>
    <w:uiPriority w:val="99"/>
    <w:rsid w:val="004D1BE8"/>
    <w:pPr>
      <w:spacing w:after="0" w:line="240" w:lineRule="auto"/>
    </w:pPr>
    <w:rPr>
      <w:rFonts w:eastAsia="Times New Roman" w:cs="Times New Roman"/>
      <w:sz w:val="18"/>
      <w:szCs w:val="20"/>
      <w:lang w:val="fr-FR" w:eastAsia="fr-FR"/>
    </w:rPr>
  </w:style>
  <w:style w:type="character" w:customStyle="1" w:styleId="FootnoteTextChar">
    <w:name w:val="Footnote Text Char"/>
    <w:aliases w:val="FOOTNOTES Char,fn Char,single space Char,ALTS FOOTNOTE Char"/>
    <w:basedOn w:val="DefaultParagraphFont"/>
    <w:link w:val="FootnoteText"/>
    <w:uiPriority w:val="99"/>
    <w:rsid w:val="004D1BE8"/>
    <w:rPr>
      <w:rFonts w:eastAsia="Times New Roman" w:cs="Times New Roman"/>
      <w:sz w:val="18"/>
      <w:szCs w:val="20"/>
      <w:lang w:val="fr-FR" w:eastAsia="fr-FR"/>
    </w:rPr>
  </w:style>
  <w:style w:type="character" w:styleId="FootnoteReference">
    <w:name w:val="footnote reference"/>
    <w:basedOn w:val="DefaultParagraphFont"/>
    <w:uiPriority w:val="99"/>
    <w:rsid w:val="004D1BE8"/>
    <w:rPr>
      <w:rFonts w:asciiTheme="minorHAnsi" w:hAnsiTheme="minorHAnsi"/>
      <w:sz w:val="18"/>
      <w:vertAlign w:val="superscript"/>
    </w:rPr>
  </w:style>
  <w:style w:type="paragraph" w:styleId="ListParagraph">
    <w:name w:val="List Paragraph"/>
    <w:basedOn w:val="Normal"/>
    <w:link w:val="ListParagraphChar"/>
    <w:uiPriority w:val="34"/>
    <w:qFormat/>
    <w:rsid w:val="003E762C"/>
    <w:pPr>
      <w:ind w:left="720"/>
      <w:contextualSpacing/>
    </w:pPr>
  </w:style>
  <w:style w:type="table" w:styleId="TableGrid">
    <w:name w:val="Table Grid"/>
    <w:basedOn w:val="TableNormal"/>
    <w:uiPriority w:val="59"/>
    <w:rsid w:val="003E762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762C"/>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float">
    <w:name w:val="float"/>
    <w:basedOn w:val="Normal"/>
    <w:rsid w:val="003E762C"/>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Caption1">
    <w:name w:val="Caption1"/>
    <w:basedOn w:val="DefaultParagraphFont"/>
    <w:rsid w:val="003E762C"/>
  </w:style>
  <w:style w:type="character" w:customStyle="1" w:styleId="simple">
    <w:name w:val="simple"/>
    <w:basedOn w:val="DefaultParagraphFont"/>
    <w:rsid w:val="003E762C"/>
  </w:style>
  <w:style w:type="paragraph" w:styleId="BalloonText">
    <w:name w:val="Balloon Text"/>
    <w:basedOn w:val="Normal"/>
    <w:link w:val="BalloonTextChar"/>
    <w:uiPriority w:val="99"/>
    <w:semiHidden/>
    <w:unhideWhenUsed/>
    <w:rsid w:val="003E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2C"/>
    <w:rPr>
      <w:rFonts w:ascii="Tahoma" w:eastAsiaTheme="minorEastAsia" w:hAnsi="Tahoma" w:cs="Tahoma"/>
      <w:sz w:val="16"/>
      <w:szCs w:val="16"/>
      <w:lang w:eastAsia="en-GB"/>
    </w:rPr>
  </w:style>
  <w:style w:type="paragraph" w:styleId="TOCHeading">
    <w:name w:val="TOC Heading"/>
    <w:basedOn w:val="Heading1"/>
    <w:next w:val="Normal"/>
    <w:uiPriority w:val="39"/>
    <w:semiHidden/>
    <w:unhideWhenUsed/>
    <w:qFormat/>
    <w:rsid w:val="003E762C"/>
    <w:pPr>
      <w:keepNext/>
      <w:keepLines/>
      <w:numPr>
        <w:numId w:val="0"/>
      </w:numPr>
      <w:contextualSpacing w:val="0"/>
      <w:outlineLvl w:val="9"/>
    </w:pPr>
    <w:rPr>
      <w:color w:val="365F91" w:themeColor="accent1" w:themeShade="BF"/>
      <w:lang w:val="en-US" w:eastAsia="ja-JP"/>
    </w:rPr>
  </w:style>
  <w:style w:type="paragraph" w:styleId="TOC1">
    <w:name w:val="toc 1"/>
    <w:basedOn w:val="Normal"/>
    <w:next w:val="Normal"/>
    <w:autoRedefine/>
    <w:uiPriority w:val="39"/>
    <w:unhideWhenUsed/>
    <w:rsid w:val="003E762C"/>
    <w:pPr>
      <w:spacing w:after="100"/>
    </w:pPr>
  </w:style>
  <w:style w:type="paragraph" w:styleId="TOC2">
    <w:name w:val="toc 2"/>
    <w:basedOn w:val="Normal"/>
    <w:next w:val="Normal"/>
    <w:autoRedefine/>
    <w:uiPriority w:val="39"/>
    <w:unhideWhenUsed/>
    <w:rsid w:val="003E762C"/>
    <w:pPr>
      <w:spacing w:after="100"/>
      <w:ind w:left="220"/>
    </w:pPr>
  </w:style>
  <w:style w:type="character" w:styleId="Hyperlink">
    <w:name w:val="Hyperlink"/>
    <w:basedOn w:val="DefaultParagraphFont"/>
    <w:uiPriority w:val="99"/>
    <w:unhideWhenUsed/>
    <w:rsid w:val="003E762C"/>
    <w:rPr>
      <w:color w:val="0000FF" w:themeColor="hyperlink"/>
      <w:u w:val="single"/>
    </w:rPr>
  </w:style>
  <w:style w:type="paragraph" w:styleId="Header">
    <w:name w:val="header"/>
    <w:basedOn w:val="Normal"/>
    <w:link w:val="HeaderChar"/>
    <w:uiPriority w:val="99"/>
    <w:unhideWhenUsed/>
    <w:rsid w:val="001D6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09"/>
    <w:rPr>
      <w:rFonts w:eastAsiaTheme="minorEastAsia"/>
      <w:lang w:eastAsia="en-GB"/>
    </w:rPr>
  </w:style>
  <w:style w:type="paragraph" w:styleId="Footer">
    <w:name w:val="footer"/>
    <w:basedOn w:val="Normal"/>
    <w:link w:val="FooterChar"/>
    <w:uiPriority w:val="99"/>
    <w:unhideWhenUsed/>
    <w:rsid w:val="001D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09"/>
    <w:rPr>
      <w:rFonts w:eastAsiaTheme="minorEastAsia"/>
      <w:lang w:eastAsia="en-GB"/>
    </w:rPr>
  </w:style>
  <w:style w:type="paragraph" w:styleId="Caption">
    <w:name w:val="caption"/>
    <w:basedOn w:val="Normal"/>
    <w:next w:val="Normal"/>
    <w:uiPriority w:val="35"/>
    <w:qFormat/>
    <w:rsid w:val="00B41A55"/>
    <w:pPr>
      <w:spacing w:after="0" w:line="240" w:lineRule="auto"/>
    </w:pPr>
    <w:rPr>
      <w:rFonts w:eastAsia="Times New Roman" w:cs="Arial"/>
      <w:b/>
      <w:bCs/>
      <w:sz w:val="20"/>
      <w:szCs w:val="16"/>
    </w:rPr>
  </w:style>
  <w:style w:type="paragraph" w:customStyle="1" w:styleId="Head3">
    <w:name w:val="Head 3"/>
    <w:basedOn w:val="Normal"/>
    <w:link w:val="Head3Char"/>
    <w:qFormat/>
    <w:rsid w:val="00FA11FD"/>
    <w:pPr>
      <w:spacing w:after="0" w:line="360" w:lineRule="auto"/>
    </w:pPr>
    <w:rPr>
      <w:rFonts w:ascii="Times New Roman" w:eastAsia="Times New Roman" w:hAnsi="Times New Roman" w:cs="Times New Roman"/>
      <w:b/>
      <w:i/>
      <w:sz w:val="26"/>
      <w:szCs w:val="26"/>
    </w:rPr>
  </w:style>
  <w:style w:type="character" w:customStyle="1" w:styleId="Head3Char">
    <w:name w:val="Head 3 Char"/>
    <w:basedOn w:val="DefaultParagraphFont"/>
    <w:link w:val="Head3"/>
    <w:rsid w:val="00FA11FD"/>
    <w:rPr>
      <w:rFonts w:ascii="Times New Roman" w:eastAsia="Times New Roman" w:hAnsi="Times New Roman" w:cs="Times New Roman"/>
      <w:b/>
      <w:i/>
      <w:sz w:val="26"/>
      <w:szCs w:val="26"/>
      <w:lang w:eastAsia="en-GB"/>
    </w:rPr>
  </w:style>
  <w:style w:type="paragraph" w:customStyle="1" w:styleId="Default">
    <w:name w:val="Default"/>
    <w:rsid w:val="004D1BE8"/>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ListParagraphChar">
    <w:name w:val="List Paragraph Char"/>
    <w:link w:val="ListParagraph"/>
    <w:uiPriority w:val="34"/>
    <w:rsid w:val="00354F84"/>
    <w:rPr>
      <w:rFonts w:eastAsiaTheme="minorEastAsia"/>
      <w:lang w:eastAsia="en-GB"/>
    </w:rPr>
  </w:style>
  <w:style w:type="character" w:styleId="CommentReference">
    <w:name w:val="annotation reference"/>
    <w:basedOn w:val="DefaultParagraphFont"/>
    <w:uiPriority w:val="99"/>
    <w:semiHidden/>
    <w:unhideWhenUsed/>
    <w:rsid w:val="0067137C"/>
    <w:rPr>
      <w:sz w:val="16"/>
      <w:szCs w:val="16"/>
    </w:rPr>
  </w:style>
  <w:style w:type="paragraph" w:styleId="CommentText">
    <w:name w:val="annotation text"/>
    <w:basedOn w:val="Normal"/>
    <w:link w:val="CommentTextChar"/>
    <w:uiPriority w:val="99"/>
    <w:semiHidden/>
    <w:unhideWhenUsed/>
    <w:rsid w:val="0067137C"/>
    <w:pPr>
      <w:spacing w:line="240" w:lineRule="auto"/>
    </w:pPr>
    <w:rPr>
      <w:sz w:val="20"/>
      <w:szCs w:val="20"/>
    </w:rPr>
  </w:style>
  <w:style w:type="character" w:customStyle="1" w:styleId="CommentTextChar">
    <w:name w:val="Comment Text Char"/>
    <w:basedOn w:val="DefaultParagraphFont"/>
    <w:link w:val="CommentText"/>
    <w:uiPriority w:val="99"/>
    <w:semiHidden/>
    <w:rsid w:val="0067137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90E9A"/>
    <w:rPr>
      <w:b/>
      <w:bCs/>
    </w:rPr>
  </w:style>
  <w:style w:type="character" w:customStyle="1" w:styleId="CommentSubjectChar">
    <w:name w:val="Comment Subject Char"/>
    <w:basedOn w:val="CommentTextChar"/>
    <w:link w:val="CommentSubject"/>
    <w:uiPriority w:val="99"/>
    <w:semiHidden/>
    <w:rsid w:val="00490E9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8313">
      <w:bodyDiv w:val="1"/>
      <w:marLeft w:val="0"/>
      <w:marRight w:val="0"/>
      <w:marTop w:val="0"/>
      <w:marBottom w:val="0"/>
      <w:divBdr>
        <w:top w:val="none" w:sz="0" w:space="0" w:color="auto"/>
        <w:left w:val="none" w:sz="0" w:space="0" w:color="auto"/>
        <w:bottom w:val="none" w:sz="0" w:space="0" w:color="auto"/>
        <w:right w:val="none" w:sz="0" w:space="0" w:color="auto"/>
      </w:divBdr>
    </w:div>
    <w:div w:id="105807570">
      <w:bodyDiv w:val="1"/>
      <w:marLeft w:val="0"/>
      <w:marRight w:val="0"/>
      <w:marTop w:val="0"/>
      <w:marBottom w:val="0"/>
      <w:divBdr>
        <w:top w:val="none" w:sz="0" w:space="0" w:color="auto"/>
        <w:left w:val="none" w:sz="0" w:space="0" w:color="auto"/>
        <w:bottom w:val="none" w:sz="0" w:space="0" w:color="auto"/>
        <w:right w:val="none" w:sz="0" w:space="0" w:color="auto"/>
      </w:divBdr>
    </w:div>
    <w:div w:id="268316554">
      <w:bodyDiv w:val="1"/>
      <w:marLeft w:val="0"/>
      <w:marRight w:val="0"/>
      <w:marTop w:val="0"/>
      <w:marBottom w:val="0"/>
      <w:divBdr>
        <w:top w:val="none" w:sz="0" w:space="0" w:color="auto"/>
        <w:left w:val="none" w:sz="0" w:space="0" w:color="auto"/>
        <w:bottom w:val="none" w:sz="0" w:space="0" w:color="auto"/>
        <w:right w:val="none" w:sz="0" w:space="0" w:color="auto"/>
      </w:divBdr>
    </w:div>
    <w:div w:id="269094887">
      <w:bodyDiv w:val="1"/>
      <w:marLeft w:val="0"/>
      <w:marRight w:val="0"/>
      <w:marTop w:val="0"/>
      <w:marBottom w:val="0"/>
      <w:divBdr>
        <w:top w:val="none" w:sz="0" w:space="0" w:color="auto"/>
        <w:left w:val="none" w:sz="0" w:space="0" w:color="auto"/>
        <w:bottom w:val="none" w:sz="0" w:space="0" w:color="auto"/>
        <w:right w:val="none" w:sz="0" w:space="0" w:color="auto"/>
      </w:divBdr>
    </w:div>
    <w:div w:id="526255455">
      <w:bodyDiv w:val="1"/>
      <w:marLeft w:val="0"/>
      <w:marRight w:val="0"/>
      <w:marTop w:val="0"/>
      <w:marBottom w:val="0"/>
      <w:divBdr>
        <w:top w:val="none" w:sz="0" w:space="0" w:color="auto"/>
        <w:left w:val="none" w:sz="0" w:space="0" w:color="auto"/>
        <w:bottom w:val="none" w:sz="0" w:space="0" w:color="auto"/>
        <w:right w:val="none" w:sz="0" w:space="0" w:color="auto"/>
      </w:divBdr>
    </w:div>
    <w:div w:id="592082460">
      <w:bodyDiv w:val="1"/>
      <w:marLeft w:val="0"/>
      <w:marRight w:val="0"/>
      <w:marTop w:val="0"/>
      <w:marBottom w:val="0"/>
      <w:divBdr>
        <w:top w:val="none" w:sz="0" w:space="0" w:color="auto"/>
        <w:left w:val="none" w:sz="0" w:space="0" w:color="auto"/>
        <w:bottom w:val="none" w:sz="0" w:space="0" w:color="auto"/>
        <w:right w:val="none" w:sz="0" w:space="0" w:color="auto"/>
      </w:divBdr>
    </w:div>
    <w:div w:id="846215586">
      <w:bodyDiv w:val="1"/>
      <w:marLeft w:val="0"/>
      <w:marRight w:val="0"/>
      <w:marTop w:val="0"/>
      <w:marBottom w:val="0"/>
      <w:divBdr>
        <w:top w:val="none" w:sz="0" w:space="0" w:color="auto"/>
        <w:left w:val="none" w:sz="0" w:space="0" w:color="auto"/>
        <w:bottom w:val="none" w:sz="0" w:space="0" w:color="auto"/>
        <w:right w:val="none" w:sz="0" w:space="0" w:color="auto"/>
      </w:divBdr>
    </w:div>
    <w:div w:id="888809348">
      <w:bodyDiv w:val="1"/>
      <w:marLeft w:val="0"/>
      <w:marRight w:val="0"/>
      <w:marTop w:val="0"/>
      <w:marBottom w:val="0"/>
      <w:divBdr>
        <w:top w:val="none" w:sz="0" w:space="0" w:color="auto"/>
        <w:left w:val="none" w:sz="0" w:space="0" w:color="auto"/>
        <w:bottom w:val="none" w:sz="0" w:space="0" w:color="auto"/>
        <w:right w:val="none" w:sz="0" w:space="0" w:color="auto"/>
      </w:divBdr>
    </w:div>
    <w:div w:id="922183427">
      <w:bodyDiv w:val="1"/>
      <w:marLeft w:val="0"/>
      <w:marRight w:val="0"/>
      <w:marTop w:val="0"/>
      <w:marBottom w:val="0"/>
      <w:divBdr>
        <w:top w:val="none" w:sz="0" w:space="0" w:color="auto"/>
        <w:left w:val="none" w:sz="0" w:space="0" w:color="auto"/>
        <w:bottom w:val="none" w:sz="0" w:space="0" w:color="auto"/>
        <w:right w:val="none" w:sz="0" w:space="0" w:color="auto"/>
      </w:divBdr>
    </w:div>
    <w:div w:id="948855250">
      <w:bodyDiv w:val="1"/>
      <w:marLeft w:val="0"/>
      <w:marRight w:val="0"/>
      <w:marTop w:val="0"/>
      <w:marBottom w:val="0"/>
      <w:divBdr>
        <w:top w:val="none" w:sz="0" w:space="0" w:color="auto"/>
        <w:left w:val="none" w:sz="0" w:space="0" w:color="auto"/>
        <w:bottom w:val="none" w:sz="0" w:space="0" w:color="auto"/>
        <w:right w:val="none" w:sz="0" w:space="0" w:color="auto"/>
      </w:divBdr>
    </w:div>
    <w:div w:id="965546319">
      <w:bodyDiv w:val="1"/>
      <w:marLeft w:val="0"/>
      <w:marRight w:val="0"/>
      <w:marTop w:val="0"/>
      <w:marBottom w:val="0"/>
      <w:divBdr>
        <w:top w:val="none" w:sz="0" w:space="0" w:color="auto"/>
        <w:left w:val="none" w:sz="0" w:space="0" w:color="auto"/>
        <w:bottom w:val="none" w:sz="0" w:space="0" w:color="auto"/>
        <w:right w:val="none" w:sz="0" w:space="0" w:color="auto"/>
      </w:divBdr>
    </w:div>
    <w:div w:id="1119496370">
      <w:bodyDiv w:val="1"/>
      <w:marLeft w:val="0"/>
      <w:marRight w:val="0"/>
      <w:marTop w:val="0"/>
      <w:marBottom w:val="0"/>
      <w:divBdr>
        <w:top w:val="none" w:sz="0" w:space="0" w:color="auto"/>
        <w:left w:val="none" w:sz="0" w:space="0" w:color="auto"/>
        <w:bottom w:val="none" w:sz="0" w:space="0" w:color="auto"/>
        <w:right w:val="none" w:sz="0" w:space="0" w:color="auto"/>
      </w:divBdr>
    </w:div>
    <w:div w:id="1148088132">
      <w:bodyDiv w:val="1"/>
      <w:marLeft w:val="0"/>
      <w:marRight w:val="0"/>
      <w:marTop w:val="0"/>
      <w:marBottom w:val="0"/>
      <w:divBdr>
        <w:top w:val="none" w:sz="0" w:space="0" w:color="auto"/>
        <w:left w:val="none" w:sz="0" w:space="0" w:color="auto"/>
        <w:bottom w:val="none" w:sz="0" w:space="0" w:color="auto"/>
        <w:right w:val="none" w:sz="0" w:space="0" w:color="auto"/>
      </w:divBdr>
    </w:div>
    <w:div w:id="1173716024">
      <w:bodyDiv w:val="1"/>
      <w:marLeft w:val="0"/>
      <w:marRight w:val="0"/>
      <w:marTop w:val="0"/>
      <w:marBottom w:val="0"/>
      <w:divBdr>
        <w:top w:val="none" w:sz="0" w:space="0" w:color="auto"/>
        <w:left w:val="none" w:sz="0" w:space="0" w:color="auto"/>
        <w:bottom w:val="none" w:sz="0" w:space="0" w:color="auto"/>
        <w:right w:val="none" w:sz="0" w:space="0" w:color="auto"/>
      </w:divBdr>
    </w:div>
    <w:div w:id="1186283536">
      <w:bodyDiv w:val="1"/>
      <w:marLeft w:val="0"/>
      <w:marRight w:val="0"/>
      <w:marTop w:val="0"/>
      <w:marBottom w:val="0"/>
      <w:divBdr>
        <w:top w:val="none" w:sz="0" w:space="0" w:color="auto"/>
        <w:left w:val="none" w:sz="0" w:space="0" w:color="auto"/>
        <w:bottom w:val="none" w:sz="0" w:space="0" w:color="auto"/>
        <w:right w:val="none" w:sz="0" w:space="0" w:color="auto"/>
      </w:divBdr>
    </w:div>
    <w:div w:id="1233739929">
      <w:bodyDiv w:val="1"/>
      <w:marLeft w:val="0"/>
      <w:marRight w:val="0"/>
      <w:marTop w:val="0"/>
      <w:marBottom w:val="0"/>
      <w:divBdr>
        <w:top w:val="none" w:sz="0" w:space="0" w:color="auto"/>
        <w:left w:val="none" w:sz="0" w:space="0" w:color="auto"/>
        <w:bottom w:val="none" w:sz="0" w:space="0" w:color="auto"/>
        <w:right w:val="none" w:sz="0" w:space="0" w:color="auto"/>
      </w:divBdr>
    </w:div>
    <w:div w:id="1235242241">
      <w:bodyDiv w:val="1"/>
      <w:marLeft w:val="0"/>
      <w:marRight w:val="0"/>
      <w:marTop w:val="0"/>
      <w:marBottom w:val="0"/>
      <w:divBdr>
        <w:top w:val="none" w:sz="0" w:space="0" w:color="auto"/>
        <w:left w:val="none" w:sz="0" w:space="0" w:color="auto"/>
        <w:bottom w:val="none" w:sz="0" w:space="0" w:color="auto"/>
        <w:right w:val="none" w:sz="0" w:space="0" w:color="auto"/>
      </w:divBdr>
    </w:div>
    <w:div w:id="1315793633">
      <w:bodyDiv w:val="1"/>
      <w:marLeft w:val="0"/>
      <w:marRight w:val="0"/>
      <w:marTop w:val="0"/>
      <w:marBottom w:val="0"/>
      <w:divBdr>
        <w:top w:val="none" w:sz="0" w:space="0" w:color="auto"/>
        <w:left w:val="none" w:sz="0" w:space="0" w:color="auto"/>
        <w:bottom w:val="none" w:sz="0" w:space="0" w:color="auto"/>
        <w:right w:val="none" w:sz="0" w:space="0" w:color="auto"/>
      </w:divBdr>
    </w:div>
    <w:div w:id="1319503955">
      <w:bodyDiv w:val="1"/>
      <w:marLeft w:val="0"/>
      <w:marRight w:val="0"/>
      <w:marTop w:val="0"/>
      <w:marBottom w:val="0"/>
      <w:divBdr>
        <w:top w:val="none" w:sz="0" w:space="0" w:color="auto"/>
        <w:left w:val="none" w:sz="0" w:space="0" w:color="auto"/>
        <w:bottom w:val="none" w:sz="0" w:space="0" w:color="auto"/>
        <w:right w:val="none" w:sz="0" w:space="0" w:color="auto"/>
      </w:divBdr>
    </w:div>
    <w:div w:id="1405909103">
      <w:bodyDiv w:val="1"/>
      <w:marLeft w:val="0"/>
      <w:marRight w:val="0"/>
      <w:marTop w:val="0"/>
      <w:marBottom w:val="0"/>
      <w:divBdr>
        <w:top w:val="none" w:sz="0" w:space="0" w:color="auto"/>
        <w:left w:val="none" w:sz="0" w:space="0" w:color="auto"/>
        <w:bottom w:val="none" w:sz="0" w:space="0" w:color="auto"/>
        <w:right w:val="none" w:sz="0" w:space="0" w:color="auto"/>
      </w:divBdr>
    </w:div>
    <w:div w:id="1430541116">
      <w:bodyDiv w:val="1"/>
      <w:marLeft w:val="0"/>
      <w:marRight w:val="0"/>
      <w:marTop w:val="0"/>
      <w:marBottom w:val="0"/>
      <w:divBdr>
        <w:top w:val="none" w:sz="0" w:space="0" w:color="auto"/>
        <w:left w:val="none" w:sz="0" w:space="0" w:color="auto"/>
        <w:bottom w:val="none" w:sz="0" w:space="0" w:color="auto"/>
        <w:right w:val="none" w:sz="0" w:space="0" w:color="auto"/>
      </w:divBdr>
    </w:div>
    <w:div w:id="1493251014">
      <w:bodyDiv w:val="1"/>
      <w:marLeft w:val="0"/>
      <w:marRight w:val="0"/>
      <w:marTop w:val="0"/>
      <w:marBottom w:val="0"/>
      <w:divBdr>
        <w:top w:val="none" w:sz="0" w:space="0" w:color="auto"/>
        <w:left w:val="none" w:sz="0" w:space="0" w:color="auto"/>
        <w:bottom w:val="none" w:sz="0" w:space="0" w:color="auto"/>
        <w:right w:val="none" w:sz="0" w:space="0" w:color="auto"/>
      </w:divBdr>
    </w:div>
    <w:div w:id="1509978933">
      <w:bodyDiv w:val="1"/>
      <w:marLeft w:val="0"/>
      <w:marRight w:val="0"/>
      <w:marTop w:val="0"/>
      <w:marBottom w:val="0"/>
      <w:divBdr>
        <w:top w:val="none" w:sz="0" w:space="0" w:color="auto"/>
        <w:left w:val="none" w:sz="0" w:space="0" w:color="auto"/>
        <w:bottom w:val="none" w:sz="0" w:space="0" w:color="auto"/>
        <w:right w:val="none" w:sz="0" w:space="0" w:color="auto"/>
      </w:divBdr>
    </w:div>
    <w:div w:id="1515924949">
      <w:bodyDiv w:val="1"/>
      <w:marLeft w:val="0"/>
      <w:marRight w:val="0"/>
      <w:marTop w:val="0"/>
      <w:marBottom w:val="0"/>
      <w:divBdr>
        <w:top w:val="none" w:sz="0" w:space="0" w:color="auto"/>
        <w:left w:val="none" w:sz="0" w:space="0" w:color="auto"/>
        <w:bottom w:val="none" w:sz="0" w:space="0" w:color="auto"/>
        <w:right w:val="none" w:sz="0" w:space="0" w:color="auto"/>
      </w:divBdr>
    </w:div>
    <w:div w:id="1556618497">
      <w:bodyDiv w:val="1"/>
      <w:marLeft w:val="0"/>
      <w:marRight w:val="0"/>
      <w:marTop w:val="0"/>
      <w:marBottom w:val="0"/>
      <w:divBdr>
        <w:top w:val="none" w:sz="0" w:space="0" w:color="auto"/>
        <w:left w:val="none" w:sz="0" w:space="0" w:color="auto"/>
        <w:bottom w:val="none" w:sz="0" w:space="0" w:color="auto"/>
        <w:right w:val="none" w:sz="0" w:space="0" w:color="auto"/>
      </w:divBdr>
    </w:div>
    <w:div w:id="1667320169">
      <w:bodyDiv w:val="1"/>
      <w:marLeft w:val="0"/>
      <w:marRight w:val="0"/>
      <w:marTop w:val="0"/>
      <w:marBottom w:val="0"/>
      <w:divBdr>
        <w:top w:val="none" w:sz="0" w:space="0" w:color="auto"/>
        <w:left w:val="none" w:sz="0" w:space="0" w:color="auto"/>
        <w:bottom w:val="none" w:sz="0" w:space="0" w:color="auto"/>
        <w:right w:val="none" w:sz="0" w:space="0" w:color="auto"/>
      </w:divBdr>
    </w:div>
    <w:div w:id="1698385513">
      <w:bodyDiv w:val="1"/>
      <w:marLeft w:val="0"/>
      <w:marRight w:val="0"/>
      <w:marTop w:val="0"/>
      <w:marBottom w:val="0"/>
      <w:divBdr>
        <w:top w:val="none" w:sz="0" w:space="0" w:color="auto"/>
        <w:left w:val="none" w:sz="0" w:space="0" w:color="auto"/>
        <w:bottom w:val="none" w:sz="0" w:space="0" w:color="auto"/>
        <w:right w:val="none" w:sz="0" w:space="0" w:color="auto"/>
      </w:divBdr>
    </w:div>
    <w:div w:id="1753507777">
      <w:bodyDiv w:val="1"/>
      <w:marLeft w:val="0"/>
      <w:marRight w:val="0"/>
      <w:marTop w:val="0"/>
      <w:marBottom w:val="0"/>
      <w:divBdr>
        <w:top w:val="none" w:sz="0" w:space="0" w:color="auto"/>
        <w:left w:val="none" w:sz="0" w:space="0" w:color="auto"/>
        <w:bottom w:val="none" w:sz="0" w:space="0" w:color="auto"/>
        <w:right w:val="none" w:sz="0" w:space="0" w:color="auto"/>
      </w:divBdr>
    </w:div>
    <w:div w:id="1788544938">
      <w:bodyDiv w:val="1"/>
      <w:marLeft w:val="0"/>
      <w:marRight w:val="0"/>
      <w:marTop w:val="0"/>
      <w:marBottom w:val="0"/>
      <w:divBdr>
        <w:top w:val="none" w:sz="0" w:space="0" w:color="auto"/>
        <w:left w:val="none" w:sz="0" w:space="0" w:color="auto"/>
        <w:bottom w:val="none" w:sz="0" w:space="0" w:color="auto"/>
        <w:right w:val="none" w:sz="0" w:space="0" w:color="auto"/>
      </w:divBdr>
    </w:div>
    <w:div w:id="1799059146">
      <w:bodyDiv w:val="1"/>
      <w:marLeft w:val="0"/>
      <w:marRight w:val="0"/>
      <w:marTop w:val="0"/>
      <w:marBottom w:val="0"/>
      <w:divBdr>
        <w:top w:val="none" w:sz="0" w:space="0" w:color="auto"/>
        <w:left w:val="none" w:sz="0" w:space="0" w:color="auto"/>
        <w:bottom w:val="none" w:sz="0" w:space="0" w:color="auto"/>
        <w:right w:val="none" w:sz="0" w:space="0" w:color="auto"/>
      </w:divBdr>
    </w:div>
    <w:div w:id="1836071496">
      <w:bodyDiv w:val="1"/>
      <w:marLeft w:val="0"/>
      <w:marRight w:val="0"/>
      <w:marTop w:val="0"/>
      <w:marBottom w:val="0"/>
      <w:divBdr>
        <w:top w:val="none" w:sz="0" w:space="0" w:color="auto"/>
        <w:left w:val="none" w:sz="0" w:space="0" w:color="auto"/>
        <w:bottom w:val="none" w:sz="0" w:space="0" w:color="auto"/>
        <w:right w:val="none" w:sz="0" w:space="0" w:color="auto"/>
      </w:divBdr>
    </w:div>
    <w:div w:id="1894656719">
      <w:bodyDiv w:val="1"/>
      <w:marLeft w:val="0"/>
      <w:marRight w:val="0"/>
      <w:marTop w:val="0"/>
      <w:marBottom w:val="0"/>
      <w:divBdr>
        <w:top w:val="none" w:sz="0" w:space="0" w:color="auto"/>
        <w:left w:val="none" w:sz="0" w:space="0" w:color="auto"/>
        <w:bottom w:val="none" w:sz="0" w:space="0" w:color="auto"/>
        <w:right w:val="none" w:sz="0" w:space="0" w:color="auto"/>
      </w:divBdr>
    </w:div>
    <w:div w:id="1920207308">
      <w:bodyDiv w:val="1"/>
      <w:marLeft w:val="0"/>
      <w:marRight w:val="0"/>
      <w:marTop w:val="0"/>
      <w:marBottom w:val="0"/>
      <w:divBdr>
        <w:top w:val="none" w:sz="0" w:space="0" w:color="auto"/>
        <w:left w:val="none" w:sz="0" w:space="0" w:color="auto"/>
        <w:bottom w:val="none" w:sz="0" w:space="0" w:color="auto"/>
        <w:right w:val="none" w:sz="0" w:space="0" w:color="auto"/>
      </w:divBdr>
    </w:div>
    <w:div w:id="1979678098">
      <w:bodyDiv w:val="1"/>
      <w:marLeft w:val="0"/>
      <w:marRight w:val="0"/>
      <w:marTop w:val="0"/>
      <w:marBottom w:val="0"/>
      <w:divBdr>
        <w:top w:val="none" w:sz="0" w:space="0" w:color="auto"/>
        <w:left w:val="none" w:sz="0" w:space="0" w:color="auto"/>
        <w:bottom w:val="none" w:sz="0" w:space="0" w:color="auto"/>
        <w:right w:val="none" w:sz="0" w:space="0" w:color="auto"/>
      </w:divBdr>
    </w:div>
    <w:div w:id="2024434074">
      <w:bodyDiv w:val="1"/>
      <w:marLeft w:val="0"/>
      <w:marRight w:val="0"/>
      <w:marTop w:val="0"/>
      <w:marBottom w:val="0"/>
      <w:divBdr>
        <w:top w:val="none" w:sz="0" w:space="0" w:color="auto"/>
        <w:left w:val="none" w:sz="0" w:space="0" w:color="auto"/>
        <w:bottom w:val="none" w:sz="0" w:space="0" w:color="auto"/>
        <w:right w:val="none" w:sz="0" w:space="0" w:color="auto"/>
      </w:divBdr>
    </w:div>
    <w:div w:id="20881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lli@cgiar.org" TargetMode="External"/><Relationship Id="rId13" Type="http://schemas.openxmlformats.org/officeDocument/2006/relationships/hyperlink" Target="mailto:n.roschnik@savethechildren.org.uk" TargetMode="External"/><Relationship Id="rId18" Type="http://schemas.openxmlformats.org/officeDocument/2006/relationships/hyperlink" Target="mailto:M.J.Gladstone@liverpool.ac.uk" TargetMode="External"/><Relationship Id="rId3" Type="http://schemas.openxmlformats.org/officeDocument/2006/relationships/styles" Target="styles.xml"/><Relationship Id="rId21" Type="http://schemas.openxmlformats.org/officeDocument/2006/relationships/hyperlink" Target="http://scalingupnutrition.org/sun-countries/malawi" TargetMode="External"/><Relationship Id="rId7" Type="http://schemas.openxmlformats.org/officeDocument/2006/relationships/endnotes" Target="endnotes.xml"/><Relationship Id="rId12" Type="http://schemas.openxmlformats.org/officeDocument/2006/relationships/hyperlink" Target="mailto:s.theis@cgiar.org" TargetMode="External"/><Relationship Id="rId17" Type="http://schemas.openxmlformats.org/officeDocument/2006/relationships/hyperlink" Target="mailto:tyler@ikapadat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rik@ikapadata.com" TargetMode="External"/><Relationship Id="rId20" Type="http://schemas.openxmlformats.org/officeDocument/2006/relationships/hyperlink" Target="mailto:manganikatund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oule.katie@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orge.Chidalengwa@savethechildren.org" TargetMode="External"/><Relationship Id="rId23" Type="http://schemas.openxmlformats.org/officeDocument/2006/relationships/footer" Target="footer2.xml"/><Relationship Id="rId10" Type="http://schemas.openxmlformats.org/officeDocument/2006/relationships/hyperlink" Target="mailto:m.Santacroce@cgiar.org" TargetMode="External"/><Relationship Id="rId19" Type="http://schemas.openxmlformats.org/officeDocument/2006/relationships/hyperlink" Target="mailto:patriciakariger@gmail.com" TargetMode="External"/><Relationship Id="rId4" Type="http://schemas.openxmlformats.org/officeDocument/2006/relationships/settings" Target="settings.xml"/><Relationship Id="rId9" Type="http://schemas.openxmlformats.org/officeDocument/2006/relationships/hyperlink" Target="mailto:margolies.amy@gmail.com" TargetMode="External"/><Relationship Id="rId14" Type="http://schemas.openxmlformats.org/officeDocument/2006/relationships/hyperlink" Target="mailto:aisha.twalibu@savethechildre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B4C1-2F10-4100-8573-3FBA4A4E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7278</Words>
  <Characters>41490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dc:creator>
  <cp:lastModifiedBy>Gelli, Aulo (IFPRI)</cp:lastModifiedBy>
  <cp:revision>3</cp:revision>
  <cp:lastPrinted>2016-08-10T13:24:00Z</cp:lastPrinted>
  <dcterms:created xsi:type="dcterms:W3CDTF">2017-05-04T15:00:00Z</dcterms:created>
  <dcterms:modified xsi:type="dcterms:W3CDTF">2017-05-05T13:39:00Z</dcterms:modified>
</cp:coreProperties>
</file>