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BE" w:rsidRPr="001F7ABE" w:rsidRDefault="001F7ABE" w:rsidP="001F7ABE">
      <w:pPr>
        <w:autoSpaceDE w:val="0"/>
        <w:autoSpaceDN w:val="0"/>
        <w:adjustRightInd w:val="0"/>
        <w:jc w:val="both"/>
        <w:rPr>
          <w:rFonts w:asciiTheme="majorHAnsi" w:hAnsiTheme="majorHAnsi" w:cstheme="majorHAnsi"/>
          <w:b/>
          <w:sz w:val="22"/>
          <w:szCs w:val="22"/>
        </w:rPr>
      </w:pPr>
      <w:r w:rsidRPr="001F7ABE">
        <w:rPr>
          <w:rFonts w:asciiTheme="majorHAnsi" w:hAnsiTheme="majorHAnsi" w:cstheme="majorHAnsi"/>
          <w:b/>
          <w:sz w:val="22"/>
          <w:szCs w:val="22"/>
        </w:rPr>
        <w:t>Ep</w:t>
      </w:r>
      <w:r w:rsidR="00774A69">
        <w:rPr>
          <w:rFonts w:asciiTheme="majorHAnsi" w:hAnsiTheme="majorHAnsi" w:cstheme="majorHAnsi"/>
          <w:b/>
          <w:sz w:val="22"/>
          <w:szCs w:val="22"/>
        </w:rPr>
        <w:t>ilepsy management in older people</w:t>
      </w:r>
      <w:r w:rsidRPr="001F7ABE">
        <w:rPr>
          <w:rFonts w:asciiTheme="majorHAnsi" w:hAnsiTheme="majorHAnsi" w:cstheme="majorHAnsi"/>
          <w:b/>
          <w:sz w:val="22"/>
          <w:szCs w:val="22"/>
        </w:rPr>
        <w:t>: Lessons from National Audit of Seizure management in Hospitals (NASH)</w:t>
      </w:r>
    </w:p>
    <w:p w:rsidR="001F7ABE" w:rsidRDefault="001F7ABE" w:rsidP="001F7ABE">
      <w:pPr>
        <w:autoSpaceDE w:val="0"/>
        <w:autoSpaceDN w:val="0"/>
        <w:adjustRightInd w:val="0"/>
        <w:jc w:val="both"/>
        <w:rPr>
          <w:rFonts w:asciiTheme="majorHAnsi" w:hAnsiTheme="majorHAnsi" w:cstheme="majorHAnsi"/>
          <w:b/>
          <w:sz w:val="22"/>
          <w:szCs w:val="22"/>
        </w:rPr>
      </w:pPr>
    </w:p>
    <w:p w:rsidR="001F7ABE" w:rsidRPr="001F7ABE" w:rsidRDefault="001F7ABE" w:rsidP="001F7ABE">
      <w:pPr>
        <w:autoSpaceDE w:val="0"/>
        <w:autoSpaceDN w:val="0"/>
        <w:adjustRightInd w:val="0"/>
        <w:jc w:val="both"/>
        <w:rPr>
          <w:rFonts w:asciiTheme="majorHAnsi" w:hAnsiTheme="majorHAnsi" w:cstheme="majorHAnsi"/>
          <w:b/>
          <w:sz w:val="22"/>
          <w:szCs w:val="22"/>
        </w:rPr>
      </w:pPr>
    </w:p>
    <w:p w:rsidR="001F7ABE" w:rsidRPr="001F7ABE" w:rsidRDefault="00452188" w:rsidP="001F7ABE">
      <w:pPr>
        <w:autoSpaceDE w:val="0"/>
        <w:autoSpaceDN w:val="0"/>
        <w:adjustRightInd w:val="0"/>
        <w:jc w:val="both"/>
        <w:rPr>
          <w:rFonts w:asciiTheme="majorHAnsi" w:hAnsiTheme="majorHAnsi" w:cstheme="majorHAnsi"/>
          <w:b/>
          <w:sz w:val="22"/>
          <w:szCs w:val="22"/>
        </w:rPr>
      </w:pPr>
      <w:r>
        <w:rPr>
          <w:rFonts w:asciiTheme="majorHAnsi" w:hAnsiTheme="majorHAnsi" w:cstheme="majorHAnsi"/>
          <w:b/>
          <w:sz w:val="22"/>
          <w:szCs w:val="22"/>
        </w:rPr>
        <w:t>Purpose</w:t>
      </w:r>
      <w:r w:rsidR="001F7ABE" w:rsidRPr="001F7ABE">
        <w:rPr>
          <w:rFonts w:asciiTheme="majorHAnsi" w:hAnsiTheme="majorHAnsi" w:cstheme="majorHAnsi"/>
          <w:b/>
          <w:sz w:val="22"/>
          <w:szCs w:val="22"/>
        </w:rPr>
        <w:t xml:space="preserve">: </w:t>
      </w:r>
    </w:p>
    <w:p w:rsidR="001F7ABE" w:rsidRPr="001F7ABE" w:rsidRDefault="001F7ABE" w:rsidP="001F7ABE">
      <w:pPr>
        <w:autoSpaceDE w:val="0"/>
        <w:autoSpaceDN w:val="0"/>
        <w:adjustRightInd w:val="0"/>
        <w:jc w:val="both"/>
        <w:rPr>
          <w:rFonts w:asciiTheme="majorHAnsi" w:hAnsiTheme="majorHAnsi" w:cstheme="majorHAnsi"/>
          <w:sz w:val="22"/>
          <w:szCs w:val="22"/>
        </w:rPr>
      </w:pPr>
      <w:r w:rsidRPr="001F7ABE">
        <w:rPr>
          <w:rFonts w:asciiTheme="majorHAnsi" w:hAnsiTheme="majorHAnsi" w:cstheme="majorHAnsi"/>
          <w:sz w:val="22"/>
          <w:szCs w:val="22"/>
        </w:rPr>
        <w:t>Epilepsy is the third most</w:t>
      </w:r>
      <w:r w:rsidR="00F966C5">
        <w:rPr>
          <w:rFonts w:asciiTheme="majorHAnsi" w:hAnsiTheme="majorHAnsi" w:cstheme="majorHAnsi"/>
          <w:sz w:val="22"/>
          <w:szCs w:val="22"/>
        </w:rPr>
        <w:t xml:space="preserve"> common diagnosis in</w:t>
      </w:r>
      <w:r w:rsidR="00774A69">
        <w:rPr>
          <w:rFonts w:asciiTheme="majorHAnsi" w:hAnsiTheme="majorHAnsi" w:cstheme="majorHAnsi"/>
          <w:sz w:val="22"/>
          <w:szCs w:val="22"/>
        </w:rPr>
        <w:t xml:space="preserve"> older </w:t>
      </w:r>
      <w:proofErr w:type="gramStart"/>
      <w:r w:rsidR="00774A69">
        <w:rPr>
          <w:rFonts w:asciiTheme="majorHAnsi" w:hAnsiTheme="majorHAnsi" w:cstheme="majorHAnsi"/>
          <w:sz w:val="22"/>
          <w:szCs w:val="22"/>
        </w:rPr>
        <w:t>people</w:t>
      </w:r>
      <w:r w:rsidRPr="001F7ABE">
        <w:rPr>
          <w:rFonts w:asciiTheme="majorHAnsi" w:hAnsiTheme="majorHAnsi" w:cstheme="majorHAnsi"/>
          <w:sz w:val="22"/>
          <w:szCs w:val="22"/>
        </w:rPr>
        <w:t>,</w:t>
      </w:r>
      <w:proofErr w:type="gramEnd"/>
      <w:r w:rsidRPr="001F7ABE">
        <w:rPr>
          <w:rFonts w:asciiTheme="majorHAnsi" w:hAnsiTheme="majorHAnsi" w:cstheme="majorHAnsi"/>
          <w:sz w:val="22"/>
          <w:szCs w:val="22"/>
        </w:rPr>
        <w:t xml:space="preserve"> however management in this group remains variable. </w:t>
      </w:r>
      <w:r w:rsidR="00E24A51">
        <w:rPr>
          <w:rFonts w:asciiTheme="majorHAnsi" w:hAnsiTheme="majorHAnsi" w:cstheme="majorHAnsi"/>
          <w:sz w:val="22"/>
          <w:szCs w:val="22"/>
        </w:rPr>
        <w:t>National Audit of Seizure management in Hospitals (</w:t>
      </w:r>
      <w:r w:rsidRPr="001F7ABE">
        <w:rPr>
          <w:rFonts w:asciiTheme="majorHAnsi" w:hAnsiTheme="majorHAnsi" w:cstheme="majorHAnsi"/>
          <w:sz w:val="22"/>
          <w:szCs w:val="22"/>
        </w:rPr>
        <w:t>NASH</w:t>
      </w:r>
      <w:r w:rsidR="00E24A51">
        <w:rPr>
          <w:rFonts w:asciiTheme="majorHAnsi" w:hAnsiTheme="majorHAnsi" w:cstheme="majorHAnsi"/>
          <w:sz w:val="22"/>
          <w:szCs w:val="22"/>
        </w:rPr>
        <w:t>)</w:t>
      </w:r>
      <w:r w:rsidRPr="001F7ABE">
        <w:rPr>
          <w:rFonts w:asciiTheme="majorHAnsi" w:hAnsiTheme="majorHAnsi" w:cstheme="majorHAnsi"/>
          <w:sz w:val="22"/>
          <w:szCs w:val="22"/>
        </w:rPr>
        <w:t xml:space="preserve"> set out to assess care provided to patients attending hospitals in England</w:t>
      </w:r>
      <w:r w:rsidR="00E24A51">
        <w:rPr>
          <w:rFonts w:asciiTheme="majorHAnsi" w:hAnsiTheme="majorHAnsi" w:cstheme="majorHAnsi"/>
          <w:sz w:val="22"/>
          <w:szCs w:val="22"/>
        </w:rPr>
        <w:t xml:space="preserve"> following a seizure</w:t>
      </w:r>
      <w:r w:rsidRPr="001F7ABE">
        <w:rPr>
          <w:rFonts w:asciiTheme="majorHAnsi" w:hAnsiTheme="majorHAnsi" w:cstheme="majorHAnsi"/>
          <w:sz w:val="22"/>
          <w:szCs w:val="22"/>
        </w:rPr>
        <w:t xml:space="preserve">. </w:t>
      </w:r>
    </w:p>
    <w:p w:rsidR="001F7ABE" w:rsidRPr="001F7ABE" w:rsidRDefault="001F7ABE" w:rsidP="001F7ABE">
      <w:pPr>
        <w:autoSpaceDE w:val="0"/>
        <w:autoSpaceDN w:val="0"/>
        <w:adjustRightInd w:val="0"/>
        <w:jc w:val="both"/>
        <w:rPr>
          <w:rFonts w:asciiTheme="majorHAnsi" w:hAnsiTheme="majorHAnsi" w:cstheme="majorHAnsi"/>
          <w:b/>
          <w:sz w:val="22"/>
          <w:szCs w:val="22"/>
        </w:rPr>
      </w:pPr>
    </w:p>
    <w:p w:rsidR="001F7ABE" w:rsidRPr="001F7ABE" w:rsidRDefault="001F7ABE" w:rsidP="001F7ABE">
      <w:pPr>
        <w:autoSpaceDE w:val="0"/>
        <w:autoSpaceDN w:val="0"/>
        <w:adjustRightInd w:val="0"/>
        <w:jc w:val="both"/>
        <w:rPr>
          <w:rFonts w:asciiTheme="majorHAnsi" w:hAnsiTheme="majorHAnsi" w:cstheme="majorHAnsi"/>
          <w:b/>
          <w:sz w:val="22"/>
          <w:szCs w:val="22"/>
        </w:rPr>
      </w:pPr>
      <w:r w:rsidRPr="001F7ABE">
        <w:rPr>
          <w:rFonts w:asciiTheme="majorHAnsi" w:hAnsiTheme="majorHAnsi" w:cstheme="majorHAnsi"/>
          <w:b/>
          <w:sz w:val="22"/>
          <w:szCs w:val="22"/>
        </w:rPr>
        <w:t xml:space="preserve">Method: </w:t>
      </w:r>
    </w:p>
    <w:p w:rsidR="001F7ABE" w:rsidRPr="001F7ABE" w:rsidRDefault="001F7ABE" w:rsidP="001F7ABE">
      <w:pPr>
        <w:autoSpaceDE w:val="0"/>
        <w:autoSpaceDN w:val="0"/>
        <w:adjustRightInd w:val="0"/>
        <w:jc w:val="both"/>
        <w:rPr>
          <w:rFonts w:asciiTheme="majorHAnsi" w:hAnsiTheme="majorHAnsi" w:cstheme="majorHAnsi"/>
          <w:sz w:val="22"/>
          <w:szCs w:val="22"/>
        </w:rPr>
      </w:pPr>
      <w:r w:rsidRPr="001F7ABE">
        <w:rPr>
          <w:rFonts w:asciiTheme="majorHAnsi" w:hAnsiTheme="majorHAnsi" w:cstheme="majorHAnsi"/>
          <w:sz w:val="22"/>
          <w:szCs w:val="22"/>
        </w:rPr>
        <w:t xml:space="preserve">154 Emergency Departments (EDs) across the UK took part. 1256 patients aged 60 years or over were included for analysis (median age 74 years, 54% men). 51% were known to have epilepsy, 17% had history of previous seizure or blackout and 32% presented with a suspected first seizure. </w:t>
      </w:r>
    </w:p>
    <w:p w:rsidR="001F7ABE" w:rsidRPr="001F7ABE" w:rsidRDefault="001F7ABE" w:rsidP="001F7ABE">
      <w:pPr>
        <w:autoSpaceDE w:val="0"/>
        <w:autoSpaceDN w:val="0"/>
        <w:adjustRightInd w:val="0"/>
        <w:jc w:val="both"/>
        <w:rPr>
          <w:rFonts w:asciiTheme="majorHAnsi" w:hAnsiTheme="majorHAnsi" w:cstheme="majorHAnsi"/>
          <w:b/>
          <w:sz w:val="22"/>
          <w:szCs w:val="22"/>
        </w:rPr>
      </w:pPr>
    </w:p>
    <w:p w:rsidR="001F7ABE" w:rsidRPr="001F7ABE" w:rsidRDefault="001F7ABE" w:rsidP="001F7ABE">
      <w:pPr>
        <w:autoSpaceDE w:val="0"/>
        <w:autoSpaceDN w:val="0"/>
        <w:adjustRightInd w:val="0"/>
        <w:jc w:val="both"/>
        <w:rPr>
          <w:rFonts w:asciiTheme="majorHAnsi" w:hAnsiTheme="majorHAnsi" w:cstheme="majorHAnsi"/>
          <w:b/>
          <w:sz w:val="22"/>
          <w:szCs w:val="22"/>
        </w:rPr>
      </w:pPr>
      <w:r w:rsidRPr="001F7ABE">
        <w:rPr>
          <w:rFonts w:asciiTheme="majorHAnsi" w:hAnsiTheme="majorHAnsi" w:cstheme="majorHAnsi"/>
          <w:b/>
          <w:sz w:val="22"/>
          <w:szCs w:val="22"/>
        </w:rPr>
        <w:t xml:space="preserve">Results: </w:t>
      </w:r>
    </w:p>
    <w:p w:rsidR="00E24A51" w:rsidRDefault="0014514F" w:rsidP="001F7ABE">
      <w:p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14%</w:t>
      </w:r>
      <w:r w:rsidR="001F7ABE" w:rsidRPr="001F7ABE">
        <w:rPr>
          <w:rFonts w:asciiTheme="majorHAnsi" w:hAnsiTheme="majorHAnsi" w:cstheme="majorHAnsi"/>
          <w:sz w:val="22"/>
          <w:szCs w:val="22"/>
        </w:rPr>
        <w:t xml:space="preserve"> of </w:t>
      </w:r>
      <w:r w:rsidR="00A2297E">
        <w:rPr>
          <w:rFonts w:asciiTheme="majorHAnsi" w:hAnsiTheme="majorHAnsi" w:cstheme="majorHAnsi"/>
          <w:sz w:val="22"/>
          <w:szCs w:val="22"/>
        </w:rPr>
        <w:t xml:space="preserve">older </w:t>
      </w:r>
      <w:r w:rsidR="001F7ABE" w:rsidRPr="001F7ABE">
        <w:rPr>
          <w:rFonts w:asciiTheme="majorHAnsi" w:hAnsiTheme="majorHAnsi" w:cstheme="majorHAnsi"/>
          <w:sz w:val="22"/>
          <w:szCs w:val="22"/>
        </w:rPr>
        <w:t xml:space="preserve">patients with epilepsy were not on treatment, 59% were on monotherapy. Sodium valproate was the most commonly used antiepileptic, 28%. </w:t>
      </w:r>
      <w:r w:rsidR="00E24A51">
        <w:rPr>
          <w:rFonts w:asciiTheme="majorHAnsi" w:hAnsiTheme="majorHAnsi" w:cstheme="majorHAnsi"/>
          <w:sz w:val="22"/>
          <w:szCs w:val="22"/>
        </w:rPr>
        <w:t xml:space="preserve">35% </w:t>
      </w:r>
      <w:r w:rsidR="00E24A51" w:rsidRPr="00E24A51">
        <w:rPr>
          <w:rFonts w:asciiTheme="majorHAnsi" w:hAnsiTheme="majorHAnsi" w:cstheme="majorHAnsi"/>
          <w:sz w:val="22"/>
          <w:szCs w:val="22"/>
        </w:rPr>
        <w:t xml:space="preserve">of patients with </w:t>
      </w:r>
      <w:proofErr w:type="gramStart"/>
      <w:r w:rsidR="00E24A51" w:rsidRPr="00E24A51">
        <w:rPr>
          <w:rFonts w:asciiTheme="majorHAnsi" w:hAnsiTheme="majorHAnsi" w:cstheme="majorHAnsi"/>
          <w:sz w:val="22"/>
          <w:szCs w:val="22"/>
        </w:rPr>
        <w:t>epilepsy,</w:t>
      </w:r>
      <w:proofErr w:type="gramEnd"/>
      <w:r w:rsidR="00E24A51" w:rsidRPr="00E24A51">
        <w:rPr>
          <w:rFonts w:asciiTheme="majorHAnsi" w:hAnsiTheme="majorHAnsi" w:cstheme="majorHAnsi"/>
          <w:sz w:val="22"/>
          <w:szCs w:val="22"/>
        </w:rPr>
        <w:t xml:space="preserve"> aged 60 and over, had a CT during admission compared to only 17% of those under 60.</w:t>
      </w:r>
      <w:r w:rsidR="00E24A51">
        <w:rPr>
          <w:rFonts w:asciiTheme="majorHAnsi" w:hAnsiTheme="majorHAnsi" w:cstheme="majorHAnsi"/>
          <w:sz w:val="22"/>
          <w:szCs w:val="22"/>
        </w:rPr>
        <w:t xml:space="preserve"> </w:t>
      </w:r>
      <w:r w:rsidR="00E24A51" w:rsidRPr="00E24A51">
        <w:rPr>
          <w:rFonts w:asciiTheme="majorHAnsi" w:hAnsiTheme="majorHAnsi" w:cstheme="majorHAnsi"/>
          <w:sz w:val="22"/>
          <w:szCs w:val="22"/>
        </w:rPr>
        <w:t>80% of patients aged 60 and over presenting with a likely first seizure were admitted to hospital, compared to 65% of those under 60.</w:t>
      </w:r>
      <w:r w:rsidR="00E24A51">
        <w:rPr>
          <w:rFonts w:asciiTheme="majorHAnsi" w:hAnsiTheme="majorHAnsi" w:cstheme="majorHAnsi"/>
          <w:sz w:val="22"/>
          <w:szCs w:val="22"/>
        </w:rPr>
        <w:t xml:space="preserve"> </w:t>
      </w:r>
    </w:p>
    <w:p w:rsidR="00F966C5" w:rsidRDefault="00F966C5" w:rsidP="00A2297E">
      <w:pPr>
        <w:autoSpaceDE w:val="0"/>
        <w:autoSpaceDN w:val="0"/>
        <w:adjustRightInd w:val="0"/>
        <w:jc w:val="both"/>
        <w:rPr>
          <w:rFonts w:asciiTheme="majorHAnsi" w:hAnsiTheme="majorHAnsi" w:cstheme="majorHAnsi"/>
          <w:sz w:val="22"/>
          <w:szCs w:val="22"/>
        </w:rPr>
      </w:pPr>
    </w:p>
    <w:p w:rsidR="001F7ABE" w:rsidRPr="001F7ABE" w:rsidRDefault="0014514F" w:rsidP="00A2297E">
      <w:p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34%</w:t>
      </w:r>
      <w:r w:rsidR="001F7ABE" w:rsidRPr="001F7ABE">
        <w:rPr>
          <w:rFonts w:asciiTheme="majorHAnsi" w:hAnsiTheme="majorHAnsi" w:cstheme="majorHAnsi"/>
          <w:sz w:val="22"/>
          <w:szCs w:val="22"/>
        </w:rPr>
        <w:t xml:space="preserve"> of those with suspected first seizure were referred to a neurologist on discharge compared to 68% of patients under the age of 60. 52% of 60-69 year olds with a suspected first seizure were referred to neurology compared to 25% of patients aged 80-89.</w:t>
      </w:r>
    </w:p>
    <w:p w:rsidR="001F7ABE" w:rsidRPr="001F7ABE" w:rsidRDefault="001F7ABE" w:rsidP="001F7ABE">
      <w:pPr>
        <w:autoSpaceDE w:val="0"/>
        <w:autoSpaceDN w:val="0"/>
        <w:adjustRightInd w:val="0"/>
        <w:jc w:val="both"/>
        <w:rPr>
          <w:rFonts w:asciiTheme="majorHAnsi" w:hAnsiTheme="majorHAnsi" w:cstheme="majorHAnsi"/>
          <w:sz w:val="22"/>
          <w:szCs w:val="22"/>
        </w:rPr>
      </w:pPr>
    </w:p>
    <w:p w:rsidR="001F7ABE" w:rsidRPr="001F7ABE" w:rsidRDefault="001F7ABE" w:rsidP="001F7ABE">
      <w:pPr>
        <w:autoSpaceDE w:val="0"/>
        <w:autoSpaceDN w:val="0"/>
        <w:adjustRightInd w:val="0"/>
        <w:jc w:val="both"/>
        <w:rPr>
          <w:rFonts w:asciiTheme="majorHAnsi" w:hAnsiTheme="majorHAnsi" w:cstheme="majorHAnsi"/>
          <w:b/>
          <w:sz w:val="22"/>
          <w:szCs w:val="22"/>
        </w:rPr>
      </w:pPr>
      <w:r w:rsidRPr="001F7ABE">
        <w:rPr>
          <w:rFonts w:asciiTheme="majorHAnsi" w:hAnsiTheme="majorHAnsi" w:cstheme="majorHAnsi"/>
          <w:b/>
          <w:sz w:val="22"/>
          <w:szCs w:val="22"/>
        </w:rPr>
        <w:t xml:space="preserve">Conclusions: </w:t>
      </w:r>
    </w:p>
    <w:p w:rsidR="001F7ABE" w:rsidRPr="001F7ABE" w:rsidRDefault="00A2297E" w:rsidP="001F7ABE">
      <w:p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Older</w:t>
      </w:r>
      <w:r w:rsidR="001F7ABE" w:rsidRPr="001F7ABE">
        <w:rPr>
          <w:rFonts w:asciiTheme="majorHAnsi" w:hAnsiTheme="majorHAnsi" w:cstheme="majorHAnsi"/>
          <w:sz w:val="22"/>
          <w:szCs w:val="22"/>
        </w:rPr>
        <w:t xml:space="preserve"> patients presenting with seizures are</w:t>
      </w:r>
      <w:r w:rsidR="002F50F0">
        <w:rPr>
          <w:rFonts w:asciiTheme="majorHAnsi" w:hAnsiTheme="majorHAnsi" w:cstheme="majorHAnsi"/>
          <w:sz w:val="22"/>
          <w:szCs w:val="22"/>
        </w:rPr>
        <w:t xml:space="preserve"> more likely to be admitted to hospital and have imaging. They are </w:t>
      </w:r>
      <w:r w:rsidR="001F7ABE" w:rsidRPr="001F7ABE">
        <w:rPr>
          <w:rFonts w:asciiTheme="majorHAnsi" w:hAnsiTheme="majorHAnsi" w:cstheme="majorHAnsi"/>
          <w:sz w:val="22"/>
          <w:szCs w:val="22"/>
        </w:rPr>
        <w:t>less likely to be referred to specialist services on discharge. There</w:t>
      </w:r>
      <w:r w:rsidR="001F7ABE">
        <w:rPr>
          <w:rFonts w:asciiTheme="majorHAnsi" w:hAnsiTheme="majorHAnsi" w:cstheme="majorHAnsi"/>
          <w:sz w:val="22"/>
          <w:szCs w:val="22"/>
        </w:rPr>
        <w:t xml:space="preserve"> appears to be </w:t>
      </w:r>
      <w:r w:rsidR="001F7ABE" w:rsidRPr="001F7ABE">
        <w:rPr>
          <w:rFonts w:asciiTheme="majorHAnsi" w:hAnsiTheme="majorHAnsi" w:cstheme="majorHAnsi"/>
          <w:sz w:val="22"/>
          <w:szCs w:val="22"/>
        </w:rPr>
        <w:t>significant disparity in patient age and rate of referral.</w:t>
      </w: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F966C5" w:rsidRDefault="00F966C5" w:rsidP="00A13ACB">
      <w:pPr>
        <w:autoSpaceDE w:val="0"/>
        <w:autoSpaceDN w:val="0"/>
        <w:adjustRightInd w:val="0"/>
        <w:jc w:val="both"/>
        <w:rPr>
          <w:rFonts w:asciiTheme="majorHAnsi" w:hAnsiTheme="majorHAnsi" w:cstheme="majorHAnsi"/>
          <w:b/>
          <w:sz w:val="22"/>
          <w:szCs w:val="22"/>
        </w:rPr>
      </w:pPr>
    </w:p>
    <w:p w:rsidR="001F7ABE" w:rsidRDefault="001F7ABE" w:rsidP="00A13ACB">
      <w:pPr>
        <w:autoSpaceDE w:val="0"/>
        <w:autoSpaceDN w:val="0"/>
        <w:adjustRightInd w:val="0"/>
        <w:jc w:val="both"/>
        <w:rPr>
          <w:rFonts w:asciiTheme="majorHAnsi" w:hAnsiTheme="majorHAnsi" w:cstheme="majorHAnsi"/>
          <w:b/>
          <w:sz w:val="22"/>
          <w:szCs w:val="22"/>
        </w:rPr>
      </w:pPr>
    </w:p>
    <w:p w:rsidR="00DE7D62" w:rsidRDefault="00790173" w:rsidP="00A13ACB">
      <w:pPr>
        <w:autoSpaceDE w:val="0"/>
        <w:autoSpaceDN w:val="0"/>
        <w:adjustRightInd w:val="0"/>
        <w:jc w:val="both"/>
        <w:rPr>
          <w:rFonts w:asciiTheme="majorHAnsi" w:hAnsiTheme="majorHAnsi" w:cstheme="majorHAnsi"/>
          <w:b/>
          <w:sz w:val="22"/>
          <w:szCs w:val="22"/>
        </w:rPr>
      </w:pPr>
      <w:r w:rsidRPr="00A13ACB">
        <w:rPr>
          <w:rFonts w:asciiTheme="majorHAnsi" w:hAnsiTheme="majorHAnsi" w:cstheme="majorHAnsi"/>
          <w:b/>
          <w:sz w:val="22"/>
          <w:szCs w:val="22"/>
        </w:rPr>
        <w:lastRenderedPageBreak/>
        <w:t>Introduction</w:t>
      </w:r>
    </w:p>
    <w:p w:rsidR="003216DF" w:rsidRPr="00A13ACB" w:rsidRDefault="003216DF" w:rsidP="00A13ACB">
      <w:pPr>
        <w:autoSpaceDE w:val="0"/>
        <w:autoSpaceDN w:val="0"/>
        <w:adjustRightInd w:val="0"/>
        <w:jc w:val="both"/>
        <w:rPr>
          <w:rFonts w:asciiTheme="majorHAnsi" w:hAnsiTheme="majorHAnsi" w:cstheme="majorHAnsi"/>
          <w:sz w:val="22"/>
          <w:szCs w:val="22"/>
        </w:rPr>
      </w:pPr>
      <w:r w:rsidRPr="00A13ACB">
        <w:rPr>
          <w:rFonts w:asciiTheme="majorHAnsi" w:hAnsiTheme="majorHAnsi" w:cstheme="majorHAnsi"/>
          <w:sz w:val="22"/>
          <w:szCs w:val="22"/>
          <w:lang w:val="en-GB"/>
        </w:rPr>
        <w:t xml:space="preserve">Epilepsy is the third most common neurological condition in </w:t>
      </w:r>
      <w:r w:rsidR="00A2297E">
        <w:rPr>
          <w:rFonts w:asciiTheme="majorHAnsi" w:hAnsiTheme="majorHAnsi" w:cstheme="majorHAnsi"/>
          <w:sz w:val="22"/>
          <w:szCs w:val="22"/>
          <w:lang w:val="en-GB"/>
        </w:rPr>
        <w:t>older people</w:t>
      </w:r>
      <w:r w:rsidRPr="00A13ACB">
        <w:rPr>
          <w:rFonts w:asciiTheme="majorHAnsi" w:hAnsiTheme="majorHAnsi" w:cstheme="majorHAnsi"/>
          <w:sz w:val="22"/>
          <w:szCs w:val="22"/>
          <w:lang w:val="en-GB"/>
        </w:rPr>
        <w:t xml:space="preserve">, following dementia and stroke. </w:t>
      </w:r>
      <w:r w:rsidR="002E7D77" w:rsidRPr="00A13ACB">
        <w:rPr>
          <w:rFonts w:asciiTheme="majorHAnsi" w:hAnsiTheme="majorHAnsi" w:cstheme="majorHAnsi"/>
          <w:sz w:val="22"/>
          <w:szCs w:val="22"/>
        </w:rPr>
        <w:t xml:space="preserve">(1-5) </w:t>
      </w:r>
      <w:r w:rsidRPr="00A13ACB">
        <w:rPr>
          <w:rFonts w:asciiTheme="majorHAnsi" w:hAnsiTheme="majorHAnsi" w:cstheme="majorHAnsi"/>
          <w:sz w:val="22"/>
          <w:szCs w:val="22"/>
        </w:rPr>
        <w:t xml:space="preserve">The annual incidence of epilepsy rises from 85.9 per 100 000 people in those aged over 65 to more than 135 per 100 000 people in those over 80. </w:t>
      </w:r>
      <w:r w:rsidR="002E7D77" w:rsidRPr="00A13ACB">
        <w:rPr>
          <w:rFonts w:asciiTheme="majorHAnsi" w:hAnsiTheme="majorHAnsi" w:cstheme="majorHAnsi"/>
          <w:sz w:val="22"/>
          <w:szCs w:val="22"/>
        </w:rPr>
        <w:t>The true incidence rates are likely to be conservative, given that the diagnosis can often be challenging. (6</w:t>
      </w:r>
      <w:proofErr w:type="gramStart"/>
      <w:r w:rsidR="002E7D77" w:rsidRPr="00A13ACB">
        <w:rPr>
          <w:rFonts w:asciiTheme="majorHAnsi" w:hAnsiTheme="majorHAnsi" w:cstheme="majorHAnsi"/>
          <w:sz w:val="22"/>
          <w:szCs w:val="22"/>
        </w:rPr>
        <w:t>,7</w:t>
      </w:r>
      <w:proofErr w:type="gramEnd"/>
      <w:r w:rsidR="002E7D77" w:rsidRPr="00A13ACB">
        <w:rPr>
          <w:rFonts w:asciiTheme="majorHAnsi" w:hAnsiTheme="majorHAnsi" w:cstheme="majorHAnsi"/>
          <w:sz w:val="22"/>
          <w:szCs w:val="22"/>
        </w:rPr>
        <w:t xml:space="preserve">) </w:t>
      </w:r>
      <w:r w:rsidRPr="00A13ACB">
        <w:rPr>
          <w:rFonts w:asciiTheme="majorHAnsi" w:hAnsiTheme="majorHAnsi" w:cstheme="majorHAnsi"/>
          <w:sz w:val="22"/>
          <w:szCs w:val="22"/>
        </w:rPr>
        <w:t xml:space="preserve">Approximately 30% of </w:t>
      </w:r>
      <w:r w:rsidR="00A2297E">
        <w:rPr>
          <w:rFonts w:asciiTheme="majorHAnsi" w:hAnsiTheme="majorHAnsi" w:cstheme="majorHAnsi"/>
          <w:sz w:val="22"/>
          <w:szCs w:val="22"/>
        </w:rPr>
        <w:t>older</w:t>
      </w:r>
      <w:r w:rsidRPr="00A13ACB">
        <w:rPr>
          <w:rFonts w:asciiTheme="majorHAnsi" w:hAnsiTheme="majorHAnsi" w:cstheme="majorHAnsi"/>
          <w:sz w:val="22"/>
          <w:szCs w:val="22"/>
        </w:rPr>
        <w:t xml:space="preserve"> patients diagnosed with epilepsy do not have this diagnosis, although the true extent of</w:t>
      </w:r>
      <w:r w:rsidR="00754E28">
        <w:rPr>
          <w:rFonts w:asciiTheme="majorHAnsi" w:hAnsiTheme="majorHAnsi" w:cstheme="majorHAnsi"/>
          <w:sz w:val="22"/>
          <w:szCs w:val="22"/>
        </w:rPr>
        <w:t xml:space="preserve"> this</w:t>
      </w:r>
      <w:r w:rsidRPr="00A13ACB">
        <w:rPr>
          <w:rFonts w:asciiTheme="majorHAnsi" w:hAnsiTheme="majorHAnsi" w:cstheme="majorHAnsi"/>
          <w:sz w:val="22"/>
          <w:szCs w:val="22"/>
        </w:rPr>
        <w:t xml:space="preserve"> remains unclear. </w:t>
      </w:r>
      <w:r w:rsidR="00C166D2">
        <w:rPr>
          <w:rFonts w:asciiTheme="majorHAnsi" w:hAnsiTheme="majorHAnsi" w:cstheme="majorHAnsi"/>
          <w:sz w:val="22"/>
          <w:szCs w:val="22"/>
        </w:rPr>
        <w:t xml:space="preserve">(8) </w:t>
      </w:r>
    </w:p>
    <w:p w:rsidR="00BD64B4" w:rsidRPr="00A13ACB" w:rsidRDefault="00BD64B4" w:rsidP="00A13ACB">
      <w:pPr>
        <w:autoSpaceDE w:val="0"/>
        <w:autoSpaceDN w:val="0"/>
        <w:adjustRightInd w:val="0"/>
        <w:jc w:val="both"/>
        <w:rPr>
          <w:rFonts w:asciiTheme="majorHAnsi" w:hAnsiTheme="majorHAnsi" w:cstheme="majorHAnsi"/>
          <w:sz w:val="22"/>
          <w:szCs w:val="22"/>
          <w:lang w:val="en-GB"/>
        </w:rPr>
      </w:pPr>
    </w:p>
    <w:p w:rsidR="002E7D77" w:rsidRPr="00A13ACB" w:rsidRDefault="003216DF" w:rsidP="00A13ACB">
      <w:pPr>
        <w:autoSpaceDE w:val="0"/>
        <w:autoSpaceDN w:val="0"/>
        <w:adjustRightInd w:val="0"/>
        <w:jc w:val="both"/>
        <w:rPr>
          <w:rFonts w:asciiTheme="majorHAnsi" w:hAnsiTheme="majorHAnsi" w:cstheme="majorHAnsi"/>
          <w:sz w:val="22"/>
          <w:szCs w:val="22"/>
        </w:rPr>
      </w:pPr>
      <w:r w:rsidRPr="00A13ACB">
        <w:rPr>
          <w:rFonts w:asciiTheme="majorHAnsi" w:hAnsiTheme="majorHAnsi" w:cstheme="majorHAnsi"/>
          <w:sz w:val="22"/>
          <w:szCs w:val="22"/>
        </w:rPr>
        <w:t>Epilepsy</w:t>
      </w:r>
      <w:r w:rsidR="002E7D77" w:rsidRPr="00A13ACB">
        <w:rPr>
          <w:rFonts w:asciiTheme="majorHAnsi" w:hAnsiTheme="majorHAnsi" w:cstheme="majorHAnsi"/>
          <w:sz w:val="22"/>
          <w:szCs w:val="22"/>
        </w:rPr>
        <w:t xml:space="preserve"> accounts for a 2-3 fold increase in mortality in </w:t>
      </w:r>
      <w:r w:rsidR="00A2297E">
        <w:rPr>
          <w:rFonts w:asciiTheme="majorHAnsi" w:hAnsiTheme="majorHAnsi" w:cstheme="majorHAnsi"/>
          <w:sz w:val="22"/>
          <w:szCs w:val="22"/>
        </w:rPr>
        <w:t>older people</w:t>
      </w:r>
      <w:r w:rsidR="002E7D77" w:rsidRPr="00A13ACB">
        <w:rPr>
          <w:rFonts w:asciiTheme="majorHAnsi" w:hAnsiTheme="majorHAnsi" w:cstheme="majorHAnsi"/>
          <w:sz w:val="22"/>
          <w:szCs w:val="22"/>
        </w:rPr>
        <w:t>. (7</w:t>
      </w:r>
      <w:r w:rsidR="00C166D2">
        <w:rPr>
          <w:rFonts w:asciiTheme="majorHAnsi" w:hAnsiTheme="majorHAnsi" w:cstheme="majorHAnsi"/>
          <w:sz w:val="22"/>
          <w:szCs w:val="22"/>
        </w:rPr>
        <w:t xml:space="preserve">, 9) </w:t>
      </w:r>
      <w:r w:rsidR="002E7D77" w:rsidRPr="00A13ACB">
        <w:rPr>
          <w:rFonts w:asciiTheme="majorHAnsi" w:hAnsiTheme="majorHAnsi" w:cstheme="majorHAnsi"/>
          <w:sz w:val="22"/>
          <w:szCs w:val="22"/>
        </w:rPr>
        <w:t xml:space="preserve"> The association of another condition with epilepsy also has substantial effects on morbidity and mortality, quality of life, demand on health services and consequently, financial costs. </w:t>
      </w:r>
      <w:r w:rsidR="00C166D2">
        <w:rPr>
          <w:rFonts w:asciiTheme="majorHAnsi" w:hAnsiTheme="majorHAnsi" w:cstheme="majorHAnsi"/>
          <w:sz w:val="22"/>
          <w:szCs w:val="22"/>
        </w:rPr>
        <w:t xml:space="preserve">(10-12) </w:t>
      </w:r>
      <w:r w:rsidR="002E7D77" w:rsidRPr="00A13ACB">
        <w:rPr>
          <w:rFonts w:asciiTheme="majorHAnsi" w:hAnsiTheme="majorHAnsi" w:cstheme="majorHAnsi"/>
          <w:sz w:val="22"/>
          <w:szCs w:val="22"/>
        </w:rPr>
        <w:t>Treatment of epilepsy in this group is challenging given the changes in pharmacokinetics and pharmacodynamics of anti-epileptic drugs (AED), making adverse effects more likely. (13)</w:t>
      </w:r>
      <w:r w:rsidRPr="00A13ACB">
        <w:rPr>
          <w:rFonts w:asciiTheme="majorHAnsi" w:hAnsiTheme="majorHAnsi" w:cstheme="majorHAnsi"/>
          <w:sz w:val="22"/>
          <w:szCs w:val="22"/>
        </w:rPr>
        <w:t xml:space="preserve"> </w:t>
      </w:r>
    </w:p>
    <w:p w:rsidR="003216DF" w:rsidRPr="00A13ACB" w:rsidRDefault="003216DF" w:rsidP="00A13ACB">
      <w:pPr>
        <w:jc w:val="both"/>
        <w:rPr>
          <w:rFonts w:asciiTheme="majorHAnsi" w:hAnsiTheme="majorHAnsi" w:cstheme="majorHAnsi"/>
          <w:sz w:val="22"/>
          <w:szCs w:val="22"/>
        </w:rPr>
      </w:pPr>
    </w:p>
    <w:p w:rsidR="00B82D9C" w:rsidRDefault="00B82D9C" w:rsidP="00B82D9C">
      <w:pPr>
        <w:jc w:val="both"/>
        <w:rPr>
          <w:rFonts w:asciiTheme="majorHAnsi" w:hAnsiTheme="majorHAnsi" w:cstheme="majorHAnsi"/>
          <w:sz w:val="22"/>
          <w:szCs w:val="22"/>
        </w:rPr>
      </w:pPr>
      <w:r w:rsidRPr="00A13ACB">
        <w:rPr>
          <w:rFonts w:asciiTheme="majorHAnsi" w:hAnsiTheme="majorHAnsi" w:cstheme="majorHAnsi"/>
          <w:sz w:val="22"/>
          <w:szCs w:val="22"/>
        </w:rPr>
        <w:t xml:space="preserve">The adverse consequences of a diagnosis of epilepsy are as important in </w:t>
      </w:r>
      <w:r w:rsidR="00A2297E">
        <w:rPr>
          <w:rFonts w:asciiTheme="majorHAnsi" w:hAnsiTheme="majorHAnsi" w:cstheme="majorHAnsi"/>
          <w:sz w:val="22"/>
          <w:szCs w:val="22"/>
        </w:rPr>
        <w:t>older people</w:t>
      </w:r>
      <w:r w:rsidRPr="00A13ACB">
        <w:rPr>
          <w:rFonts w:asciiTheme="majorHAnsi" w:hAnsiTheme="majorHAnsi" w:cstheme="majorHAnsi"/>
          <w:sz w:val="22"/>
          <w:szCs w:val="22"/>
        </w:rPr>
        <w:t xml:space="preserve"> as </w:t>
      </w:r>
      <w:r w:rsidR="00A2297E">
        <w:rPr>
          <w:rFonts w:asciiTheme="majorHAnsi" w:hAnsiTheme="majorHAnsi" w:cstheme="majorHAnsi"/>
          <w:sz w:val="22"/>
          <w:szCs w:val="22"/>
        </w:rPr>
        <w:t xml:space="preserve">their younger cohorts. </w:t>
      </w:r>
      <w:r>
        <w:rPr>
          <w:rFonts w:asciiTheme="majorHAnsi" w:hAnsiTheme="majorHAnsi" w:cstheme="majorHAnsi"/>
          <w:sz w:val="22"/>
          <w:szCs w:val="22"/>
        </w:rPr>
        <w:t xml:space="preserve">(14-16) </w:t>
      </w:r>
      <w:r w:rsidRPr="00A13ACB">
        <w:rPr>
          <w:rFonts w:asciiTheme="majorHAnsi" w:hAnsiTheme="majorHAnsi" w:cstheme="majorHAnsi"/>
          <w:sz w:val="22"/>
          <w:szCs w:val="22"/>
        </w:rPr>
        <w:t xml:space="preserve">Seizures can erode confidence and lead to social isolation. Driving restrictions can limit independence. </w:t>
      </w:r>
      <w:r w:rsidR="00A2297E">
        <w:rPr>
          <w:rFonts w:asciiTheme="majorHAnsi" w:hAnsiTheme="majorHAnsi" w:cstheme="majorHAnsi"/>
          <w:sz w:val="22"/>
          <w:szCs w:val="22"/>
        </w:rPr>
        <w:t>Older</w:t>
      </w:r>
      <w:r w:rsidRPr="00A13ACB">
        <w:rPr>
          <w:rFonts w:asciiTheme="majorHAnsi" w:hAnsiTheme="majorHAnsi" w:cstheme="majorHAnsi"/>
          <w:sz w:val="22"/>
          <w:szCs w:val="22"/>
        </w:rPr>
        <w:t xml:space="preserve"> people with epilepsy have a higher prevalence of anxiety and depression, as well as poor sleep; all of these factors lead to a poorer quality of life. </w:t>
      </w:r>
      <w:r>
        <w:rPr>
          <w:rFonts w:asciiTheme="majorHAnsi" w:hAnsiTheme="majorHAnsi" w:cstheme="majorHAnsi"/>
          <w:sz w:val="22"/>
          <w:szCs w:val="22"/>
        </w:rPr>
        <w:t xml:space="preserve"> (17, 18)</w:t>
      </w:r>
    </w:p>
    <w:p w:rsidR="00B82D9C" w:rsidRPr="00A13ACB" w:rsidRDefault="00B82D9C" w:rsidP="00B82D9C">
      <w:pPr>
        <w:jc w:val="both"/>
        <w:rPr>
          <w:rFonts w:asciiTheme="majorHAnsi" w:hAnsiTheme="majorHAnsi" w:cstheme="majorHAnsi"/>
          <w:sz w:val="22"/>
          <w:szCs w:val="22"/>
        </w:rPr>
      </w:pPr>
    </w:p>
    <w:p w:rsidR="003216DF" w:rsidRPr="00A13ACB" w:rsidRDefault="003216DF" w:rsidP="00A13ACB">
      <w:pPr>
        <w:jc w:val="both"/>
        <w:rPr>
          <w:rFonts w:asciiTheme="majorHAnsi" w:hAnsiTheme="majorHAnsi" w:cstheme="majorHAnsi"/>
          <w:sz w:val="22"/>
          <w:szCs w:val="22"/>
        </w:rPr>
      </w:pPr>
      <w:r w:rsidRPr="00A13ACB">
        <w:rPr>
          <w:rFonts w:asciiTheme="majorHAnsi" w:hAnsiTheme="majorHAnsi" w:cstheme="majorHAnsi"/>
          <w:sz w:val="22"/>
          <w:szCs w:val="22"/>
        </w:rPr>
        <w:t>In spite of the public health need, t</w:t>
      </w:r>
      <w:r w:rsidR="001154C3" w:rsidRPr="00A13ACB">
        <w:rPr>
          <w:rFonts w:asciiTheme="majorHAnsi" w:hAnsiTheme="majorHAnsi" w:cstheme="majorHAnsi"/>
          <w:sz w:val="22"/>
          <w:szCs w:val="22"/>
        </w:rPr>
        <w:t xml:space="preserve">here remains paucity of data </w:t>
      </w:r>
      <w:r w:rsidRPr="00A13ACB">
        <w:rPr>
          <w:rFonts w:asciiTheme="majorHAnsi" w:hAnsiTheme="majorHAnsi" w:cstheme="majorHAnsi"/>
          <w:sz w:val="22"/>
          <w:szCs w:val="22"/>
        </w:rPr>
        <w:t>concerning the management of older patients presenting with seizures</w:t>
      </w:r>
      <w:r w:rsidR="001154C3" w:rsidRPr="00A13ACB">
        <w:rPr>
          <w:rFonts w:asciiTheme="majorHAnsi" w:hAnsiTheme="majorHAnsi" w:cstheme="majorHAnsi"/>
          <w:sz w:val="22"/>
          <w:szCs w:val="22"/>
        </w:rPr>
        <w:t xml:space="preserve">. This study presents data </w:t>
      </w:r>
      <w:r w:rsidR="00347DA3" w:rsidRPr="00A13ACB">
        <w:rPr>
          <w:rFonts w:asciiTheme="majorHAnsi" w:hAnsiTheme="majorHAnsi" w:cstheme="majorHAnsi"/>
          <w:sz w:val="22"/>
          <w:szCs w:val="22"/>
        </w:rPr>
        <w:t xml:space="preserve">of </w:t>
      </w:r>
      <w:r w:rsidR="001154C3" w:rsidRPr="00A13ACB">
        <w:rPr>
          <w:rFonts w:asciiTheme="majorHAnsi" w:hAnsiTheme="majorHAnsi" w:cstheme="majorHAnsi"/>
          <w:sz w:val="22"/>
          <w:szCs w:val="22"/>
        </w:rPr>
        <w:t xml:space="preserve">from the National Audit of Seizure management in Hospitals (NASH). </w:t>
      </w:r>
      <w:r w:rsidR="00B82D9C">
        <w:rPr>
          <w:rFonts w:asciiTheme="majorHAnsi" w:hAnsiTheme="majorHAnsi" w:cstheme="majorHAnsi"/>
          <w:sz w:val="22"/>
          <w:szCs w:val="22"/>
        </w:rPr>
        <w:t xml:space="preserve">(19) </w:t>
      </w:r>
      <w:r w:rsidR="001154C3" w:rsidRPr="00A13ACB">
        <w:rPr>
          <w:rFonts w:asciiTheme="majorHAnsi" w:hAnsiTheme="majorHAnsi" w:cstheme="majorHAnsi"/>
          <w:sz w:val="22"/>
          <w:szCs w:val="22"/>
        </w:rPr>
        <w:t xml:space="preserve"> NASH </w:t>
      </w:r>
      <w:r w:rsidR="00694B82" w:rsidRPr="00A13ACB">
        <w:rPr>
          <w:rFonts w:asciiTheme="majorHAnsi" w:hAnsiTheme="majorHAnsi" w:cstheme="majorHAnsi"/>
          <w:sz w:val="22"/>
          <w:szCs w:val="22"/>
        </w:rPr>
        <w:t xml:space="preserve">collated data on </w:t>
      </w:r>
      <w:r w:rsidR="001154C3" w:rsidRPr="00A13ACB">
        <w:rPr>
          <w:rFonts w:asciiTheme="majorHAnsi" w:hAnsiTheme="majorHAnsi" w:cstheme="majorHAnsi"/>
          <w:sz w:val="22"/>
          <w:szCs w:val="22"/>
        </w:rPr>
        <w:t>patients presenting with seizur</w:t>
      </w:r>
      <w:r w:rsidR="00B66F96" w:rsidRPr="00A13ACB">
        <w:rPr>
          <w:rFonts w:asciiTheme="majorHAnsi" w:hAnsiTheme="majorHAnsi" w:cstheme="majorHAnsi"/>
          <w:sz w:val="22"/>
          <w:szCs w:val="22"/>
        </w:rPr>
        <w:t>es to emergency</w:t>
      </w:r>
      <w:r w:rsidR="00694B82" w:rsidRPr="00A13ACB">
        <w:rPr>
          <w:rFonts w:asciiTheme="majorHAnsi" w:hAnsiTheme="majorHAnsi" w:cstheme="majorHAnsi"/>
          <w:sz w:val="22"/>
          <w:szCs w:val="22"/>
        </w:rPr>
        <w:t xml:space="preserve"> departments</w:t>
      </w:r>
      <w:r w:rsidR="00B66F96" w:rsidRPr="00A13ACB">
        <w:rPr>
          <w:rFonts w:asciiTheme="majorHAnsi" w:hAnsiTheme="majorHAnsi" w:cstheme="majorHAnsi"/>
          <w:sz w:val="22"/>
          <w:szCs w:val="22"/>
        </w:rPr>
        <w:t xml:space="preserve"> (ED</w:t>
      </w:r>
      <w:r w:rsidR="00694B82" w:rsidRPr="00A13ACB">
        <w:rPr>
          <w:rFonts w:asciiTheme="majorHAnsi" w:hAnsiTheme="majorHAnsi" w:cstheme="majorHAnsi"/>
          <w:sz w:val="22"/>
          <w:szCs w:val="22"/>
        </w:rPr>
        <w:t>s</w:t>
      </w:r>
      <w:r w:rsidR="001154C3" w:rsidRPr="00A13ACB">
        <w:rPr>
          <w:rFonts w:asciiTheme="majorHAnsi" w:hAnsiTheme="majorHAnsi" w:cstheme="majorHAnsi"/>
          <w:sz w:val="22"/>
          <w:szCs w:val="22"/>
        </w:rPr>
        <w:t xml:space="preserve">), </w:t>
      </w:r>
      <w:r w:rsidR="00694B82" w:rsidRPr="00A13ACB">
        <w:rPr>
          <w:rFonts w:asciiTheme="majorHAnsi" w:hAnsiTheme="majorHAnsi" w:cstheme="majorHAnsi"/>
          <w:sz w:val="22"/>
          <w:szCs w:val="22"/>
        </w:rPr>
        <w:t xml:space="preserve">and assessed the care they received </w:t>
      </w:r>
      <w:r w:rsidR="001154C3" w:rsidRPr="00A13ACB">
        <w:rPr>
          <w:rFonts w:asciiTheme="majorHAnsi" w:hAnsiTheme="majorHAnsi" w:cstheme="majorHAnsi"/>
          <w:sz w:val="22"/>
          <w:szCs w:val="22"/>
        </w:rPr>
        <w:t>prior</w:t>
      </w:r>
      <w:r w:rsidR="00347DA3" w:rsidRPr="00A13ACB">
        <w:rPr>
          <w:rFonts w:asciiTheme="majorHAnsi" w:hAnsiTheme="majorHAnsi" w:cstheme="majorHAnsi"/>
          <w:sz w:val="22"/>
          <w:szCs w:val="22"/>
        </w:rPr>
        <w:t xml:space="preserve"> to</w:t>
      </w:r>
      <w:r w:rsidR="001154C3" w:rsidRPr="00A13ACB">
        <w:rPr>
          <w:rFonts w:asciiTheme="majorHAnsi" w:hAnsiTheme="majorHAnsi" w:cstheme="majorHAnsi"/>
          <w:sz w:val="22"/>
          <w:szCs w:val="22"/>
        </w:rPr>
        <w:t xml:space="preserve"> admission, management of the acute event and follow-up arrangements.</w:t>
      </w:r>
    </w:p>
    <w:p w:rsidR="00180C92" w:rsidRPr="00A13ACB" w:rsidRDefault="00180C92" w:rsidP="00A13ACB">
      <w:pPr>
        <w:jc w:val="both"/>
        <w:rPr>
          <w:rFonts w:asciiTheme="majorHAnsi" w:hAnsiTheme="majorHAnsi" w:cstheme="majorHAnsi"/>
          <w:sz w:val="22"/>
          <w:szCs w:val="22"/>
        </w:rPr>
      </w:pPr>
    </w:p>
    <w:p w:rsidR="005F3B86" w:rsidRPr="00A13ACB" w:rsidRDefault="005F3B86" w:rsidP="00A13ACB">
      <w:pPr>
        <w:jc w:val="both"/>
        <w:rPr>
          <w:rFonts w:asciiTheme="majorHAnsi" w:hAnsiTheme="majorHAnsi" w:cstheme="majorHAnsi"/>
          <w:sz w:val="22"/>
          <w:szCs w:val="22"/>
        </w:rPr>
      </w:pPr>
    </w:p>
    <w:p w:rsidR="009A2426" w:rsidRDefault="00016824" w:rsidP="00A13ACB">
      <w:pPr>
        <w:jc w:val="both"/>
        <w:rPr>
          <w:rFonts w:asciiTheme="majorHAnsi" w:hAnsiTheme="majorHAnsi" w:cstheme="majorHAnsi"/>
          <w:b/>
          <w:sz w:val="22"/>
          <w:szCs w:val="22"/>
        </w:rPr>
      </w:pPr>
      <w:r w:rsidRPr="00A13ACB">
        <w:rPr>
          <w:rFonts w:asciiTheme="majorHAnsi" w:hAnsiTheme="majorHAnsi" w:cstheme="majorHAnsi"/>
          <w:b/>
          <w:sz w:val="22"/>
          <w:szCs w:val="22"/>
        </w:rPr>
        <w:t>Method</w:t>
      </w:r>
    </w:p>
    <w:p w:rsidR="00A13ACB" w:rsidRPr="00A13ACB" w:rsidRDefault="00A13ACB" w:rsidP="00A13ACB">
      <w:pPr>
        <w:jc w:val="both"/>
        <w:rPr>
          <w:rFonts w:asciiTheme="majorHAnsi" w:hAnsiTheme="majorHAnsi" w:cstheme="majorHAnsi"/>
          <w:b/>
          <w:sz w:val="22"/>
          <w:szCs w:val="22"/>
        </w:rPr>
      </w:pPr>
    </w:p>
    <w:p w:rsidR="00B66F96" w:rsidRPr="00A13ACB" w:rsidRDefault="00B66F96" w:rsidP="00A13ACB">
      <w:pPr>
        <w:pStyle w:val="NoSpacing"/>
        <w:rPr>
          <w:rFonts w:asciiTheme="majorHAnsi" w:hAnsiTheme="majorHAnsi" w:cstheme="majorHAnsi"/>
          <w:b/>
          <w:color w:val="000000"/>
          <w:shd w:val="clear" w:color="auto" w:fill="FFFFFF"/>
        </w:rPr>
      </w:pPr>
      <w:r w:rsidRPr="00A13ACB">
        <w:rPr>
          <w:rFonts w:asciiTheme="majorHAnsi" w:hAnsiTheme="majorHAnsi" w:cstheme="majorHAnsi"/>
          <w:b/>
          <w:color w:val="000000"/>
          <w:shd w:val="clear" w:color="auto" w:fill="FFFFFF"/>
        </w:rPr>
        <w:t>Study population</w:t>
      </w:r>
    </w:p>
    <w:p w:rsidR="00D44497" w:rsidRDefault="00B66F96" w:rsidP="00D44497">
      <w:pPr>
        <w:pStyle w:val="NoSpacing"/>
        <w:jc w:val="both"/>
        <w:rPr>
          <w:rFonts w:asciiTheme="majorHAnsi" w:hAnsiTheme="majorHAnsi" w:cstheme="majorHAnsi"/>
          <w:color w:val="000000"/>
          <w:shd w:val="clear" w:color="auto" w:fill="FFFFFF"/>
        </w:rPr>
      </w:pPr>
      <w:r w:rsidRPr="00A13ACB">
        <w:rPr>
          <w:rFonts w:asciiTheme="majorHAnsi" w:hAnsiTheme="majorHAnsi" w:cstheme="majorHAnsi"/>
          <w:color w:val="000000"/>
          <w:shd w:val="clear" w:color="auto" w:fill="FFFFFF"/>
        </w:rPr>
        <w:t xml:space="preserve">NASH was coordinated from the University of Liverpool and overseen by a multidisciplinary steering committee consisting of representatives from neurology, emergency medicine, </w:t>
      </w:r>
      <w:r w:rsidR="00694B82" w:rsidRPr="00A13ACB">
        <w:rPr>
          <w:rFonts w:asciiTheme="majorHAnsi" w:hAnsiTheme="majorHAnsi" w:cstheme="majorHAnsi"/>
          <w:color w:val="000000"/>
          <w:shd w:val="clear" w:color="auto" w:fill="FFFFFF"/>
        </w:rPr>
        <w:t xml:space="preserve">primary care, </w:t>
      </w:r>
      <w:r w:rsidRPr="00A13ACB">
        <w:rPr>
          <w:rFonts w:asciiTheme="majorHAnsi" w:hAnsiTheme="majorHAnsi" w:cstheme="majorHAnsi"/>
          <w:color w:val="000000"/>
          <w:shd w:val="clear" w:color="auto" w:fill="FFFFFF"/>
        </w:rPr>
        <w:t>a patient charity</w:t>
      </w:r>
      <w:r w:rsidR="00694B82" w:rsidRPr="00A13ACB">
        <w:rPr>
          <w:rFonts w:asciiTheme="majorHAnsi" w:hAnsiTheme="majorHAnsi" w:cstheme="majorHAnsi"/>
          <w:color w:val="000000"/>
          <w:shd w:val="clear" w:color="auto" w:fill="FFFFFF"/>
        </w:rPr>
        <w:t>, Information Systems and statistics</w:t>
      </w:r>
      <w:r w:rsidRPr="00A13ACB">
        <w:rPr>
          <w:rFonts w:asciiTheme="majorHAnsi" w:hAnsiTheme="majorHAnsi" w:cstheme="majorHAnsi"/>
          <w:color w:val="000000"/>
          <w:shd w:val="clear" w:color="auto" w:fill="FFFFFF"/>
        </w:rPr>
        <w:t xml:space="preserve">. Patients presenting to ED, who were either admitted or discharged were selected, providing an index point and opportunity to identify first seizure, new epilepsy cases as well as established cases with uncontrolled seizures. Information was collected about acute, prior and onward care. </w:t>
      </w:r>
      <w:r w:rsidR="00F966C5">
        <w:rPr>
          <w:rFonts w:asciiTheme="majorHAnsi" w:hAnsiTheme="majorHAnsi" w:cstheme="majorHAnsi"/>
          <w:color w:val="000000"/>
          <w:shd w:val="clear" w:color="auto" w:fill="FFFFFF"/>
        </w:rPr>
        <w:t>In keeping with other published data, p</w:t>
      </w:r>
      <w:r w:rsidRPr="00A13ACB">
        <w:rPr>
          <w:rFonts w:asciiTheme="majorHAnsi" w:hAnsiTheme="majorHAnsi" w:cstheme="majorHAnsi"/>
          <w:color w:val="000000"/>
          <w:shd w:val="clear" w:color="auto" w:fill="FFFFFF"/>
        </w:rPr>
        <w:t>atients aged 60 and over were selected from the data set for the purposes of this study</w:t>
      </w:r>
      <w:r w:rsidR="00F966C5">
        <w:rPr>
          <w:rFonts w:asciiTheme="majorHAnsi" w:hAnsiTheme="majorHAnsi" w:cstheme="majorHAnsi"/>
          <w:color w:val="000000"/>
          <w:shd w:val="clear" w:color="auto" w:fill="FFFFFF"/>
        </w:rPr>
        <w:t>.</w:t>
      </w:r>
      <w:r w:rsidR="00D44497" w:rsidRPr="00D44497">
        <w:rPr>
          <w:rFonts w:asciiTheme="majorHAnsi" w:hAnsiTheme="majorHAnsi" w:cstheme="majorHAnsi"/>
          <w:color w:val="000000"/>
          <w:shd w:val="clear" w:color="auto" w:fill="FFFFFF"/>
        </w:rPr>
        <w:t xml:space="preserve"> </w:t>
      </w:r>
    </w:p>
    <w:p w:rsidR="00D44497" w:rsidRDefault="00D44497" w:rsidP="00D44497">
      <w:pPr>
        <w:pStyle w:val="NoSpacing"/>
        <w:jc w:val="both"/>
        <w:rPr>
          <w:rFonts w:asciiTheme="majorHAnsi" w:hAnsiTheme="majorHAnsi" w:cstheme="majorHAnsi"/>
          <w:color w:val="000000"/>
          <w:shd w:val="clear" w:color="auto" w:fill="FFFFFF"/>
        </w:rPr>
      </w:pPr>
    </w:p>
    <w:p w:rsidR="00D44497" w:rsidRPr="00A13ACB" w:rsidRDefault="00D44497" w:rsidP="00D44497">
      <w:pPr>
        <w:pStyle w:val="NoSpacing"/>
        <w:jc w:val="both"/>
        <w:rPr>
          <w:rFonts w:asciiTheme="majorHAnsi" w:hAnsiTheme="majorHAnsi" w:cstheme="majorHAnsi"/>
        </w:rPr>
      </w:pPr>
      <w:r>
        <w:rPr>
          <w:rFonts w:asciiTheme="majorHAnsi" w:hAnsiTheme="majorHAnsi" w:cstheme="majorHAnsi"/>
          <w:color w:val="000000"/>
          <w:shd w:val="clear" w:color="auto" w:fill="FFFFFF"/>
        </w:rPr>
        <w:t>Initial diagnosis and management, was carried out by medical staff in ED, with onward referral and admission to hospital as clinically indicated.  The following investigations were documented</w:t>
      </w:r>
      <w:r w:rsidR="00930000">
        <w:rPr>
          <w:rFonts w:asciiTheme="majorHAnsi" w:hAnsiTheme="majorHAnsi" w:cstheme="majorHAnsi"/>
          <w:color w:val="000000"/>
          <w:shd w:val="clear" w:color="auto" w:fill="FFFFFF"/>
        </w:rPr>
        <w:t>:</w:t>
      </w:r>
      <w:r>
        <w:rPr>
          <w:rFonts w:asciiTheme="majorHAnsi" w:hAnsiTheme="majorHAnsi" w:cstheme="majorHAnsi"/>
          <w:color w:val="000000"/>
          <w:shd w:val="clear" w:color="auto" w:fill="FFFFFF"/>
        </w:rPr>
        <w:t xml:space="preserve"> AED levels, </w:t>
      </w:r>
      <w:r w:rsidR="00016468">
        <w:rPr>
          <w:rFonts w:asciiTheme="majorHAnsi" w:hAnsiTheme="majorHAnsi" w:cstheme="majorHAnsi"/>
          <w:color w:val="000000"/>
          <w:shd w:val="clear" w:color="auto" w:fill="FFFFFF"/>
        </w:rPr>
        <w:t>computed tomography (C</w:t>
      </w:r>
      <w:r>
        <w:rPr>
          <w:rFonts w:asciiTheme="majorHAnsi" w:hAnsiTheme="majorHAnsi" w:cstheme="majorHAnsi"/>
          <w:color w:val="000000"/>
          <w:shd w:val="clear" w:color="auto" w:fill="FFFFFF"/>
        </w:rPr>
        <w:t>T</w:t>
      </w:r>
      <w:r w:rsidR="00016468">
        <w:rPr>
          <w:rFonts w:asciiTheme="majorHAnsi" w:hAnsiTheme="majorHAnsi" w:cstheme="majorHAnsi"/>
          <w:color w:val="000000"/>
          <w:shd w:val="clear" w:color="auto" w:fill="FFFFFF"/>
        </w:rPr>
        <w:t>)</w:t>
      </w:r>
      <w:r>
        <w:rPr>
          <w:rFonts w:asciiTheme="majorHAnsi" w:hAnsiTheme="majorHAnsi" w:cstheme="majorHAnsi"/>
          <w:color w:val="000000"/>
          <w:shd w:val="clear" w:color="auto" w:fill="FFFFFF"/>
        </w:rPr>
        <w:t xml:space="preserve"> head, </w:t>
      </w:r>
      <w:r w:rsidR="00016468">
        <w:rPr>
          <w:rFonts w:asciiTheme="majorHAnsi" w:hAnsiTheme="majorHAnsi" w:cstheme="majorHAnsi"/>
          <w:color w:val="000000"/>
          <w:shd w:val="clear" w:color="auto" w:fill="FFFFFF"/>
        </w:rPr>
        <w:t>electrocardiogram (</w:t>
      </w:r>
      <w:r>
        <w:rPr>
          <w:rFonts w:asciiTheme="majorHAnsi" w:hAnsiTheme="majorHAnsi" w:cstheme="majorHAnsi"/>
          <w:color w:val="000000"/>
          <w:shd w:val="clear" w:color="auto" w:fill="FFFFFF"/>
        </w:rPr>
        <w:t>ECG</w:t>
      </w:r>
      <w:r w:rsidR="00016468">
        <w:rPr>
          <w:rFonts w:asciiTheme="majorHAnsi" w:hAnsiTheme="majorHAnsi" w:cstheme="majorHAnsi"/>
          <w:color w:val="000000"/>
          <w:shd w:val="clear" w:color="auto" w:fill="FFFFFF"/>
        </w:rPr>
        <w:t>)</w:t>
      </w:r>
      <w:r>
        <w:rPr>
          <w:rFonts w:asciiTheme="majorHAnsi" w:hAnsiTheme="majorHAnsi" w:cstheme="majorHAnsi"/>
          <w:color w:val="000000"/>
          <w:shd w:val="clear" w:color="auto" w:fill="FFFFFF"/>
        </w:rPr>
        <w:t xml:space="preserve">, </w:t>
      </w:r>
      <w:r w:rsidR="00016468">
        <w:rPr>
          <w:rFonts w:asciiTheme="majorHAnsi" w:hAnsiTheme="majorHAnsi" w:cstheme="majorHAnsi"/>
          <w:color w:val="000000"/>
          <w:shd w:val="clear" w:color="auto" w:fill="FFFFFF"/>
        </w:rPr>
        <w:t>electroencephalogram (</w:t>
      </w:r>
      <w:r>
        <w:rPr>
          <w:rFonts w:asciiTheme="majorHAnsi" w:hAnsiTheme="majorHAnsi" w:cstheme="majorHAnsi"/>
          <w:color w:val="000000"/>
          <w:shd w:val="clear" w:color="auto" w:fill="FFFFFF"/>
        </w:rPr>
        <w:t>EEG</w:t>
      </w:r>
      <w:r w:rsidR="00016468">
        <w:rPr>
          <w:rFonts w:asciiTheme="majorHAnsi" w:hAnsiTheme="majorHAnsi" w:cstheme="majorHAnsi"/>
          <w:color w:val="000000"/>
          <w:shd w:val="clear" w:color="auto" w:fill="FFFFFF"/>
        </w:rPr>
        <w:t>)</w:t>
      </w:r>
      <w:r>
        <w:rPr>
          <w:rFonts w:asciiTheme="majorHAnsi" w:hAnsiTheme="majorHAnsi" w:cstheme="majorHAnsi"/>
          <w:color w:val="000000"/>
          <w:shd w:val="clear" w:color="auto" w:fill="FFFFFF"/>
        </w:rPr>
        <w:t xml:space="preserve">, glucose levels and </w:t>
      </w:r>
      <w:r w:rsidR="00016468">
        <w:rPr>
          <w:rFonts w:asciiTheme="majorHAnsi" w:hAnsiTheme="majorHAnsi" w:cstheme="majorHAnsi"/>
          <w:color w:val="000000"/>
          <w:shd w:val="clear" w:color="auto" w:fill="FFFFFF"/>
        </w:rPr>
        <w:t>magnetic resonance imaging (</w:t>
      </w:r>
      <w:r>
        <w:rPr>
          <w:rFonts w:asciiTheme="majorHAnsi" w:hAnsiTheme="majorHAnsi" w:cstheme="majorHAnsi"/>
          <w:color w:val="000000"/>
          <w:shd w:val="clear" w:color="auto" w:fill="FFFFFF"/>
        </w:rPr>
        <w:t>MRI</w:t>
      </w:r>
      <w:r w:rsidR="00016468">
        <w:rPr>
          <w:rFonts w:asciiTheme="majorHAnsi" w:hAnsiTheme="majorHAnsi" w:cstheme="majorHAnsi"/>
          <w:color w:val="000000"/>
          <w:shd w:val="clear" w:color="auto" w:fill="FFFFFF"/>
        </w:rPr>
        <w:t>)</w:t>
      </w:r>
      <w:r>
        <w:rPr>
          <w:rFonts w:asciiTheme="majorHAnsi" w:hAnsiTheme="majorHAnsi" w:cstheme="majorHAnsi"/>
          <w:color w:val="000000"/>
          <w:shd w:val="clear" w:color="auto" w:fill="FFFFFF"/>
        </w:rPr>
        <w:t xml:space="preserve"> head.   </w:t>
      </w:r>
    </w:p>
    <w:p w:rsidR="00321390" w:rsidRPr="00A13ACB" w:rsidRDefault="00321390" w:rsidP="00A13ACB">
      <w:pPr>
        <w:pStyle w:val="NoSpacing"/>
        <w:rPr>
          <w:rFonts w:asciiTheme="majorHAnsi" w:hAnsiTheme="majorHAnsi" w:cstheme="majorHAnsi"/>
          <w:color w:val="000000"/>
          <w:shd w:val="clear" w:color="auto" w:fill="FFFFFF"/>
        </w:rPr>
      </w:pPr>
    </w:p>
    <w:p w:rsidR="00321390" w:rsidRPr="00A13ACB" w:rsidRDefault="00B66F96" w:rsidP="00A13ACB">
      <w:pPr>
        <w:pStyle w:val="NoSpacing"/>
        <w:jc w:val="both"/>
        <w:rPr>
          <w:rFonts w:asciiTheme="majorHAnsi" w:hAnsiTheme="majorHAnsi" w:cstheme="majorHAnsi"/>
          <w:color w:val="000000"/>
          <w:shd w:val="clear" w:color="auto" w:fill="FFFFFF"/>
        </w:rPr>
      </w:pPr>
      <w:r w:rsidRPr="00A13ACB">
        <w:rPr>
          <w:rFonts w:asciiTheme="majorHAnsi" w:hAnsiTheme="majorHAnsi" w:cstheme="majorHAnsi"/>
          <w:color w:val="000000"/>
          <w:shd w:val="clear" w:color="auto" w:fill="FFFFFF"/>
        </w:rPr>
        <w:t>The</w:t>
      </w:r>
      <w:r w:rsidR="00321390" w:rsidRPr="00A13ACB">
        <w:rPr>
          <w:rFonts w:asciiTheme="majorHAnsi" w:hAnsiTheme="majorHAnsi" w:cstheme="majorHAnsi"/>
          <w:color w:val="000000"/>
          <w:shd w:val="clear" w:color="auto" w:fill="FFFFFF"/>
        </w:rPr>
        <w:t xml:space="preserve"> </w:t>
      </w:r>
      <w:proofErr w:type="spellStart"/>
      <w:r w:rsidR="00321390" w:rsidRPr="00A13ACB">
        <w:rPr>
          <w:rFonts w:asciiTheme="majorHAnsi" w:hAnsiTheme="majorHAnsi" w:cstheme="majorHAnsi"/>
          <w:color w:val="000000"/>
          <w:shd w:val="clear" w:color="auto" w:fill="FFFFFF"/>
        </w:rPr>
        <w:t>proforma</w:t>
      </w:r>
      <w:proofErr w:type="spellEnd"/>
      <w:r w:rsidR="00321390" w:rsidRPr="00A13ACB">
        <w:rPr>
          <w:rFonts w:asciiTheme="majorHAnsi" w:hAnsiTheme="majorHAnsi" w:cstheme="majorHAnsi"/>
          <w:color w:val="000000"/>
          <w:shd w:val="clear" w:color="auto" w:fill="FFFFFF"/>
        </w:rPr>
        <w:t xml:space="preserve"> captured the clinical care pathway for individual patients</w:t>
      </w:r>
      <w:r w:rsidRPr="00A13ACB">
        <w:rPr>
          <w:rFonts w:asciiTheme="majorHAnsi" w:hAnsiTheme="majorHAnsi" w:cstheme="majorHAnsi"/>
          <w:color w:val="000000"/>
          <w:shd w:val="clear" w:color="auto" w:fill="FFFFFF"/>
        </w:rPr>
        <w:t xml:space="preserve">. </w:t>
      </w:r>
      <w:r w:rsidR="00321390" w:rsidRPr="00A13ACB">
        <w:rPr>
          <w:rFonts w:asciiTheme="majorHAnsi" w:hAnsiTheme="majorHAnsi" w:cstheme="majorHAnsi"/>
          <w:color w:val="000000"/>
          <w:shd w:val="clear" w:color="auto" w:fill="FFFFFF"/>
        </w:rPr>
        <w:t xml:space="preserve">The questions were based on the NICE and SIGN guidelines </w:t>
      </w:r>
      <w:r w:rsidRPr="00A13ACB">
        <w:rPr>
          <w:rFonts w:asciiTheme="majorHAnsi" w:hAnsiTheme="majorHAnsi" w:cstheme="majorHAnsi"/>
          <w:color w:val="000000"/>
          <w:shd w:val="clear" w:color="auto" w:fill="FFFFFF"/>
        </w:rPr>
        <w:t>(</w:t>
      </w:r>
      <w:r w:rsidR="00C166D2">
        <w:rPr>
          <w:rFonts w:asciiTheme="majorHAnsi" w:hAnsiTheme="majorHAnsi" w:cstheme="majorHAnsi"/>
          <w:color w:val="000000"/>
          <w:shd w:val="clear" w:color="auto" w:fill="FFFFFF"/>
        </w:rPr>
        <w:t>20, 21)</w:t>
      </w:r>
      <w:r w:rsidR="00321390" w:rsidRPr="00A13ACB">
        <w:rPr>
          <w:rFonts w:asciiTheme="majorHAnsi" w:hAnsiTheme="majorHAnsi" w:cstheme="majorHAnsi"/>
          <w:color w:val="000000"/>
          <w:shd w:val="clear" w:color="auto" w:fill="FFFFFF"/>
        </w:rPr>
        <w:t xml:space="preserve"> augmented by the practical experience of the steering committee. The clinical </w:t>
      </w:r>
      <w:proofErr w:type="spellStart"/>
      <w:r w:rsidR="00321390" w:rsidRPr="00A13ACB">
        <w:rPr>
          <w:rFonts w:asciiTheme="majorHAnsi" w:hAnsiTheme="majorHAnsi" w:cstheme="majorHAnsi"/>
          <w:color w:val="000000"/>
          <w:shd w:val="clear" w:color="auto" w:fill="FFFFFF"/>
        </w:rPr>
        <w:t>proforma</w:t>
      </w:r>
      <w:proofErr w:type="spellEnd"/>
      <w:r w:rsidR="00321390" w:rsidRPr="00A13ACB">
        <w:rPr>
          <w:rFonts w:asciiTheme="majorHAnsi" w:hAnsiTheme="majorHAnsi" w:cstheme="majorHAnsi"/>
          <w:color w:val="000000"/>
          <w:shd w:val="clear" w:color="auto" w:fill="FFFFFF"/>
        </w:rPr>
        <w:t xml:space="preserve"> was divided into sections covering the care antecedent to the presenting seizure, the care at hospital (in the ED and on medical wards) and the future plans for the patien</w:t>
      </w:r>
      <w:r w:rsidR="00493B0A" w:rsidRPr="00A13ACB">
        <w:rPr>
          <w:rFonts w:asciiTheme="majorHAnsi" w:hAnsiTheme="majorHAnsi" w:cstheme="majorHAnsi"/>
          <w:color w:val="000000"/>
          <w:shd w:val="clear" w:color="auto" w:fill="FFFFFF"/>
        </w:rPr>
        <w:t>t. R</w:t>
      </w:r>
      <w:r w:rsidR="00321390" w:rsidRPr="00A13ACB">
        <w:rPr>
          <w:rFonts w:asciiTheme="majorHAnsi" w:hAnsiTheme="majorHAnsi" w:cstheme="majorHAnsi"/>
          <w:color w:val="000000"/>
          <w:shd w:val="clear" w:color="auto" w:fill="FFFFFF"/>
        </w:rPr>
        <w:t xml:space="preserve">ecognising the constraints on data collectors, a limited range of items was collected. </w:t>
      </w:r>
      <w:r w:rsidRPr="00A13ACB">
        <w:rPr>
          <w:rFonts w:asciiTheme="majorHAnsi" w:hAnsiTheme="majorHAnsi" w:cstheme="majorHAnsi"/>
          <w:color w:val="000000"/>
          <w:shd w:val="clear" w:color="auto" w:fill="FFFFFF"/>
        </w:rPr>
        <w:t xml:space="preserve">The </w:t>
      </w:r>
      <w:proofErr w:type="spellStart"/>
      <w:r w:rsidRPr="00A13ACB">
        <w:rPr>
          <w:rFonts w:asciiTheme="majorHAnsi" w:hAnsiTheme="majorHAnsi" w:cstheme="majorHAnsi"/>
          <w:color w:val="000000"/>
          <w:shd w:val="clear" w:color="auto" w:fill="FFFFFF"/>
        </w:rPr>
        <w:t>proforma</w:t>
      </w:r>
      <w:proofErr w:type="spellEnd"/>
      <w:r w:rsidRPr="00A13ACB">
        <w:rPr>
          <w:rFonts w:asciiTheme="majorHAnsi" w:hAnsiTheme="majorHAnsi" w:cstheme="majorHAnsi"/>
          <w:color w:val="000000"/>
          <w:shd w:val="clear" w:color="auto" w:fill="FFFFFF"/>
        </w:rPr>
        <w:t xml:space="preserve"> was</w:t>
      </w:r>
      <w:r w:rsidR="00321390" w:rsidRPr="00A13ACB">
        <w:rPr>
          <w:rFonts w:asciiTheme="majorHAnsi" w:hAnsiTheme="majorHAnsi" w:cstheme="majorHAnsi"/>
          <w:color w:val="000000"/>
          <w:shd w:val="clear" w:color="auto" w:fill="FFFFFF"/>
        </w:rPr>
        <w:t xml:space="preserve"> piloted, with duplicate collections from 60 </w:t>
      </w:r>
      <w:r w:rsidR="00321390" w:rsidRPr="00A13ACB">
        <w:rPr>
          <w:rFonts w:asciiTheme="majorHAnsi" w:hAnsiTheme="majorHAnsi" w:cstheme="majorHAnsi"/>
          <w:color w:val="000000"/>
          <w:shd w:val="clear" w:color="auto" w:fill="FFFFFF"/>
        </w:rPr>
        <w:lastRenderedPageBreak/>
        <w:t xml:space="preserve">patients across 10 sites, and the questions amended and refined to reduce ambiguities and inconsistencies. </w:t>
      </w:r>
    </w:p>
    <w:p w:rsidR="00F966C5" w:rsidRDefault="00F966C5" w:rsidP="00A13ACB">
      <w:pPr>
        <w:pStyle w:val="NoSpacing"/>
        <w:jc w:val="both"/>
        <w:rPr>
          <w:rFonts w:asciiTheme="majorHAnsi" w:hAnsiTheme="majorHAnsi" w:cstheme="majorHAnsi"/>
          <w:b/>
          <w:color w:val="000000"/>
          <w:shd w:val="clear" w:color="auto" w:fill="FFFFFF"/>
        </w:rPr>
      </w:pPr>
    </w:p>
    <w:p w:rsidR="00025923" w:rsidRPr="00A13ACB" w:rsidRDefault="00493B0A" w:rsidP="00A13ACB">
      <w:pPr>
        <w:pStyle w:val="NoSpacing"/>
        <w:jc w:val="both"/>
        <w:rPr>
          <w:rFonts w:asciiTheme="majorHAnsi" w:hAnsiTheme="majorHAnsi" w:cstheme="majorHAnsi"/>
          <w:b/>
          <w:color w:val="000000"/>
          <w:shd w:val="clear" w:color="auto" w:fill="FFFFFF"/>
        </w:rPr>
      </w:pPr>
      <w:r w:rsidRPr="00A13ACB">
        <w:rPr>
          <w:rFonts w:asciiTheme="majorHAnsi" w:hAnsiTheme="majorHAnsi" w:cstheme="majorHAnsi"/>
          <w:b/>
          <w:color w:val="000000"/>
          <w:shd w:val="clear" w:color="auto" w:fill="FFFFFF"/>
        </w:rPr>
        <w:t>Site selection</w:t>
      </w:r>
    </w:p>
    <w:p w:rsidR="00493B0A" w:rsidRPr="00A13ACB" w:rsidRDefault="00493B0A" w:rsidP="00A13ACB">
      <w:pPr>
        <w:pStyle w:val="NoSpacing"/>
        <w:jc w:val="both"/>
        <w:rPr>
          <w:rFonts w:asciiTheme="majorHAnsi" w:hAnsiTheme="majorHAnsi" w:cstheme="majorHAnsi"/>
        </w:rPr>
      </w:pPr>
      <w:r w:rsidRPr="00A13ACB">
        <w:rPr>
          <w:rFonts w:asciiTheme="majorHAnsi" w:hAnsiTheme="majorHAnsi" w:cstheme="majorHAnsi"/>
        </w:rPr>
        <w:t xml:space="preserve">Letters to the Chief Executives and Heads of Clinical Audit, and emails to participants from NASH1, were sent in February 2013 to all Trusts/Health Boards in England, Scotland, Wales and Northern Ireland which had sites with EDs, representing 165 UK trusts. 132 trusts participated, with some Trusts having more than one site take part, resulting in data collection from 154 sites.  </w:t>
      </w:r>
    </w:p>
    <w:p w:rsidR="00493B0A" w:rsidRPr="00A13ACB" w:rsidRDefault="00493B0A" w:rsidP="00A13ACB">
      <w:pPr>
        <w:pStyle w:val="NoSpacing"/>
        <w:jc w:val="both"/>
        <w:rPr>
          <w:rFonts w:asciiTheme="majorHAnsi" w:hAnsiTheme="majorHAnsi" w:cstheme="majorHAnsi"/>
        </w:rPr>
      </w:pPr>
    </w:p>
    <w:p w:rsidR="00493B0A" w:rsidRPr="00A13ACB" w:rsidRDefault="00A13ACB" w:rsidP="00A13ACB">
      <w:pPr>
        <w:pStyle w:val="NoSpacing"/>
        <w:jc w:val="both"/>
        <w:rPr>
          <w:rFonts w:asciiTheme="majorHAnsi" w:hAnsiTheme="majorHAnsi" w:cstheme="majorHAnsi"/>
          <w:b/>
        </w:rPr>
      </w:pPr>
      <w:r w:rsidRPr="00A13ACB">
        <w:rPr>
          <w:rFonts w:asciiTheme="majorHAnsi" w:hAnsiTheme="majorHAnsi" w:cstheme="majorHAnsi"/>
          <w:b/>
        </w:rPr>
        <w:t>Recruitment</w:t>
      </w:r>
      <w:r w:rsidR="00493B0A" w:rsidRPr="00A13ACB">
        <w:rPr>
          <w:rFonts w:asciiTheme="majorHAnsi" w:hAnsiTheme="majorHAnsi" w:cstheme="majorHAnsi"/>
          <w:b/>
        </w:rPr>
        <w:t xml:space="preserve"> within sites</w:t>
      </w:r>
    </w:p>
    <w:p w:rsidR="001D5235" w:rsidRDefault="00493B0A" w:rsidP="00A13ACB">
      <w:pPr>
        <w:pStyle w:val="NoSpacing"/>
        <w:jc w:val="both"/>
        <w:rPr>
          <w:rFonts w:asciiTheme="majorHAnsi" w:hAnsiTheme="majorHAnsi" w:cstheme="majorHAnsi"/>
          <w:color w:val="000000"/>
          <w:shd w:val="clear" w:color="auto" w:fill="FFFFFF"/>
        </w:rPr>
      </w:pPr>
      <w:r w:rsidRPr="00A13ACB">
        <w:rPr>
          <w:rFonts w:asciiTheme="majorHAnsi" w:hAnsiTheme="majorHAnsi" w:cstheme="majorHAnsi"/>
        </w:rPr>
        <w:t>E</w:t>
      </w:r>
      <w:r w:rsidR="00321390" w:rsidRPr="00A13ACB">
        <w:rPr>
          <w:rFonts w:asciiTheme="majorHAnsi" w:hAnsiTheme="majorHAnsi" w:cstheme="majorHAnsi"/>
          <w:color w:val="000000"/>
          <w:shd w:val="clear" w:color="auto" w:fill="FFFFFF"/>
        </w:rPr>
        <w:t>ach site was asked to identify up to 30 consecutive adult patients who presented at the ED from 1st January 2013 with an episode thought to have been a seizure and where the seizure was the primary reason for their admission/attendance.</w:t>
      </w:r>
      <w:r w:rsidR="001D5235">
        <w:rPr>
          <w:rFonts w:asciiTheme="majorHAnsi" w:hAnsiTheme="majorHAnsi" w:cstheme="majorHAnsi"/>
          <w:color w:val="000000"/>
          <w:shd w:val="clear" w:color="auto" w:fill="FFFFFF"/>
        </w:rPr>
        <w:t xml:space="preserve"> </w:t>
      </w:r>
      <w:r w:rsidR="00321390" w:rsidRPr="00A13ACB">
        <w:rPr>
          <w:rFonts w:asciiTheme="majorHAnsi" w:hAnsiTheme="majorHAnsi" w:cstheme="majorHAnsi"/>
          <w:color w:val="000000"/>
          <w:shd w:val="clear" w:color="auto" w:fill="FFFFFF"/>
        </w:rPr>
        <w:t>Data w</w:t>
      </w:r>
      <w:r w:rsidR="00754E28">
        <w:rPr>
          <w:rFonts w:asciiTheme="majorHAnsi" w:hAnsiTheme="majorHAnsi" w:cstheme="majorHAnsi"/>
          <w:color w:val="000000"/>
          <w:shd w:val="clear" w:color="auto" w:fill="FFFFFF"/>
        </w:rPr>
        <w:t>as</w:t>
      </w:r>
      <w:r w:rsidR="00321390" w:rsidRPr="00A13ACB">
        <w:rPr>
          <w:rFonts w:asciiTheme="majorHAnsi" w:hAnsiTheme="majorHAnsi" w:cstheme="majorHAnsi"/>
          <w:color w:val="000000"/>
          <w:shd w:val="clear" w:color="auto" w:fill="FFFFFF"/>
        </w:rPr>
        <w:t xml:space="preserve"> entered anonymously into a bespoke web-based audit system. Data entry took place from June to September 2013, when follow up information should have been available. If an individual attended more than once, each attendance was treated as a separate event</w:t>
      </w:r>
      <w:r w:rsidR="001D5235" w:rsidRPr="00A13ACB">
        <w:rPr>
          <w:rFonts w:asciiTheme="majorHAnsi" w:hAnsiTheme="majorHAnsi" w:cstheme="majorHAnsi"/>
          <w:color w:val="000000"/>
          <w:shd w:val="clear" w:color="auto" w:fill="FFFFFF"/>
        </w:rPr>
        <w:t>.</w:t>
      </w:r>
    </w:p>
    <w:p w:rsidR="001D5235" w:rsidRDefault="001D5235" w:rsidP="00A13ACB">
      <w:pPr>
        <w:pStyle w:val="NoSpacing"/>
        <w:jc w:val="both"/>
        <w:rPr>
          <w:rFonts w:asciiTheme="majorHAnsi" w:hAnsiTheme="majorHAnsi" w:cstheme="majorHAnsi"/>
          <w:color w:val="000000"/>
          <w:shd w:val="clear" w:color="auto" w:fill="FFFFFF"/>
        </w:rPr>
      </w:pPr>
    </w:p>
    <w:p w:rsidR="00321390" w:rsidRPr="00A13ACB" w:rsidRDefault="00321390" w:rsidP="00A13ACB">
      <w:pPr>
        <w:pStyle w:val="NoSpacing"/>
        <w:rPr>
          <w:rFonts w:asciiTheme="majorHAnsi" w:hAnsiTheme="majorHAnsi" w:cstheme="majorHAnsi"/>
        </w:rPr>
      </w:pPr>
    </w:p>
    <w:p w:rsidR="00686188" w:rsidRPr="00A13ACB" w:rsidRDefault="00686188" w:rsidP="00A13ACB">
      <w:pPr>
        <w:pStyle w:val="NoSpacing"/>
        <w:rPr>
          <w:rFonts w:asciiTheme="majorHAnsi" w:hAnsiTheme="majorHAnsi" w:cstheme="majorHAnsi"/>
          <w:b/>
        </w:rPr>
      </w:pPr>
      <w:r w:rsidRPr="00A13ACB">
        <w:rPr>
          <w:rFonts w:asciiTheme="majorHAnsi" w:hAnsiTheme="majorHAnsi" w:cstheme="majorHAnsi"/>
          <w:b/>
        </w:rPr>
        <w:t>Statistical analysis</w:t>
      </w:r>
    </w:p>
    <w:p w:rsidR="00686188" w:rsidRPr="00A13ACB" w:rsidRDefault="00686188" w:rsidP="00A13ACB">
      <w:pPr>
        <w:pStyle w:val="NoSpacing"/>
        <w:jc w:val="both"/>
        <w:rPr>
          <w:rFonts w:asciiTheme="majorHAnsi" w:hAnsiTheme="majorHAnsi" w:cstheme="majorHAnsi"/>
        </w:rPr>
      </w:pPr>
      <w:r w:rsidRPr="00A13ACB">
        <w:rPr>
          <w:rFonts w:asciiTheme="majorHAnsi" w:hAnsiTheme="majorHAnsi" w:cstheme="majorHAnsi"/>
        </w:rPr>
        <w:t>For the purposes of analysis patients were divided into the following categories:</w:t>
      </w:r>
    </w:p>
    <w:p w:rsidR="00686188" w:rsidRPr="00A13ACB" w:rsidRDefault="00686188" w:rsidP="00A13ACB">
      <w:pPr>
        <w:pStyle w:val="NoSpacing"/>
        <w:numPr>
          <w:ilvl w:val="0"/>
          <w:numId w:val="2"/>
        </w:numPr>
        <w:jc w:val="both"/>
        <w:rPr>
          <w:rFonts w:asciiTheme="majorHAnsi" w:hAnsiTheme="majorHAnsi" w:cstheme="majorHAnsi"/>
        </w:rPr>
      </w:pPr>
      <w:r w:rsidRPr="00A13ACB">
        <w:rPr>
          <w:rFonts w:asciiTheme="majorHAnsi" w:hAnsiTheme="majorHAnsi" w:cstheme="majorHAnsi"/>
        </w:rPr>
        <w:t>Those recorded as having known epilepsy prior to attendance. 60 and over (n=640; 51%) under 60 (n=2115; 65%).</w:t>
      </w:r>
    </w:p>
    <w:p w:rsidR="00686188" w:rsidRPr="00A13ACB" w:rsidRDefault="00686188" w:rsidP="00A13ACB">
      <w:pPr>
        <w:pStyle w:val="NoSpacing"/>
        <w:numPr>
          <w:ilvl w:val="0"/>
          <w:numId w:val="2"/>
        </w:numPr>
        <w:jc w:val="both"/>
        <w:rPr>
          <w:rFonts w:asciiTheme="majorHAnsi" w:hAnsiTheme="majorHAnsi" w:cstheme="majorHAnsi"/>
        </w:rPr>
      </w:pPr>
      <w:r w:rsidRPr="00A13ACB">
        <w:rPr>
          <w:rFonts w:asciiTheme="majorHAnsi" w:hAnsiTheme="majorHAnsi" w:cstheme="majorHAnsi"/>
        </w:rPr>
        <w:t>Those known to have had previous seizures or blackouts, but not a diagnosis of epilepsy. 60 and over (n=209; 17%) under 60 (n=556, 17%).</w:t>
      </w:r>
    </w:p>
    <w:p w:rsidR="00686188" w:rsidRPr="00A13ACB" w:rsidRDefault="005453CB" w:rsidP="00A13ACB">
      <w:pPr>
        <w:pStyle w:val="NoSpacing"/>
        <w:numPr>
          <w:ilvl w:val="0"/>
          <w:numId w:val="2"/>
        </w:numPr>
        <w:jc w:val="both"/>
        <w:rPr>
          <w:rFonts w:asciiTheme="majorHAnsi" w:hAnsiTheme="majorHAnsi" w:cstheme="majorHAnsi"/>
        </w:rPr>
      </w:pPr>
      <w:r>
        <w:rPr>
          <w:rFonts w:asciiTheme="majorHAnsi" w:hAnsiTheme="majorHAnsi" w:cstheme="majorHAnsi"/>
        </w:rPr>
        <w:t>Those with likely first seizure, with</w:t>
      </w:r>
      <w:r w:rsidR="00686188" w:rsidRPr="00A13ACB">
        <w:rPr>
          <w:rFonts w:asciiTheme="majorHAnsi" w:hAnsiTheme="majorHAnsi" w:cstheme="majorHAnsi"/>
        </w:rPr>
        <w:t xml:space="preserve"> no previous seizures, blackouts or diagnosis of epilepsy. 60 and over (n= 405; 32%) under 60 (n=606, 18%). </w:t>
      </w:r>
    </w:p>
    <w:p w:rsidR="00733899" w:rsidRDefault="00733899" w:rsidP="00A13ACB">
      <w:pPr>
        <w:pStyle w:val="NoSpacing"/>
        <w:rPr>
          <w:rFonts w:asciiTheme="majorHAnsi" w:hAnsiTheme="majorHAnsi" w:cstheme="majorHAnsi"/>
        </w:rPr>
      </w:pPr>
    </w:p>
    <w:p w:rsidR="00686188" w:rsidRPr="00A13ACB" w:rsidRDefault="00DF48C4" w:rsidP="00A13ACB">
      <w:pPr>
        <w:pStyle w:val="NoSpacing"/>
        <w:rPr>
          <w:rFonts w:asciiTheme="majorHAnsi" w:hAnsiTheme="majorHAnsi" w:cstheme="majorHAnsi"/>
        </w:rPr>
      </w:pPr>
      <w:r w:rsidRPr="00A13ACB">
        <w:rPr>
          <w:rFonts w:asciiTheme="majorHAnsi" w:hAnsiTheme="majorHAnsi" w:cstheme="majorHAnsi"/>
        </w:rPr>
        <w:t>In order to assess wheth</w:t>
      </w:r>
      <w:r w:rsidR="00733899">
        <w:rPr>
          <w:rFonts w:asciiTheme="majorHAnsi" w:hAnsiTheme="majorHAnsi" w:cstheme="majorHAnsi"/>
        </w:rPr>
        <w:t>er there was a difference in patient management according to age,</w:t>
      </w:r>
      <w:r w:rsidRPr="00A13ACB">
        <w:rPr>
          <w:rFonts w:asciiTheme="majorHAnsi" w:hAnsiTheme="majorHAnsi" w:cstheme="majorHAnsi"/>
        </w:rPr>
        <w:t xml:space="preserve"> management of patients aged 60 and over was compared to those under 60.</w:t>
      </w:r>
    </w:p>
    <w:p w:rsidR="004639B8" w:rsidRPr="00A13ACB" w:rsidRDefault="004639B8" w:rsidP="00A13ACB">
      <w:pPr>
        <w:pStyle w:val="NoSpacing"/>
        <w:jc w:val="both"/>
        <w:rPr>
          <w:rFonts w:asciiTheme="majorHAnsi" w:hAnsiTheme="majorHAnsi" w:cstheme="majorHAnsi"/>
        </w:rPr>
      </w:pPr>
    </w:p>
    <w:p w:rsidR="000E49F3" w:rsidRPr="00A13ACB" w:rsidRDefault="000E49F3" w:rsidP="00A13ACB">
      <w:pPr>
        <w:jc w:val="both"/>
        <w:rPr>
          <w:rFonts w:asciiTheme="majorHAnsi" w:hAnsiTheme="majorHAnsi" w:cstheme="majorHAnsi"/>
          <w:b/>
          <w:sz w:val="22"/>
          <w:szCs w:val="22"/>
        </w:rPr>
      </w:pPr>
    </w:p>
    <w:p w:rsidR="009A2426" w:rsidRPr="00A13ACB" w:rsidRDefault="00F97582" w:rsidP="00A13ACB">
      <w:pPr>
        <w:jc w:val="both"/>
        <w:rPr>
          <w:rFonts w:asciiTheme="majorHAnsi" w:hAnsiTheme="majorHAnsi" w:cstheme="majorHAnsi"/>
          <w:b/>
          <w:sz w:val="22"/>
          <w:szCs w:val="22"/>
        </w:rPr>
      </w:pPr>
      <w:r w:rsidRPr="00A13ACB">
        <w:rPr>
          <w:rFonts w:asciiTheme="majorHAnsi" w:hAnsiTheme="majorHAnsi" w:cstheme="majorHAnsi"/>
          <w:b/>
          <w:sz w:val="22"/>
          <w:szCs w:val="22"/>
        </w:rPr>
        <w:t>Results</w:t>
      </w:r>
    </w:p>
    <w:p w:rsidR="009F0D0E" w:rsidRPr="00A13ACB" w:rsidRDefault="009F0D0E" w:rsidP="00A13ACB">
      <w:pPr>
        <w:jc w:val="both"/>
        <w:rPr>
          <w:rFonts w:asciiTheme="majorHAnsi" w:hAnsiTheme="majorHAnsi" w:cstheme="majorHAnsi"/>
          <w:b/>
          <w:sz w:val="22"/>
          <w:szCs w:val="22"/>
        </w:rPr>
      </w:pPr>
      <w:r w:rsidRPr="00A13ACB">
        <w:rPr>
          <w:rFonts w:asciiTheme="majorHAnsi" w:hAnsiTheme="majorHAnsi" w:cstheme="majorHAnsi"/>
          <w:b/>
          <w:sz w:val="22"/>
          <w:szCs w:val="22"/>
        </w:rPr>
        <w:t>Patient characteristics</w:t>
      </w:r>
    </w:p>
    <w:p w:rsidR="00C12433" w:rsidRPr="002F6F9D" w:rsidRDefault="0071754D" w:rsidP="002F6F9D">
      <w:pPr>
        <w:jc w:val="both"/>
        <w:rPr>
          <w:rFonts w:asciiTheme="majorHAnsi" w:hAnsiTheme="majorHAnsi" w:cstheme="majorHAnsi"/>
          <w:sz w:val="22"/>
          <w:szCs w:val="22"/>
        </w:rPr>
      </w:pPr>
      <w:r w:rsidRPr="00A13ACB">
        <w:rPr>
          <w:rFonts w:asciiTheme="majorHAnsi" w:hAnsiTheme="majorHAnsi" w:cstheme="majorHAnsi"/>
          <w:sz w:val="22"/>
          <w:szCs w:val="22"/>
        </w:rPr>
        <w:t xml:space="preserve">Of the total </w:t>
      </w:r>
      <w:r w:rsidR="007B01AD" w:rsidRPr="00A13ACB">
        <w:rPr>
          <w:rFonts w:asciiTheme="majorHAnsi" w:hAnsiTheme="majorHAnsi" w:cstheme="majorHAnsi"/>
          <w:sz w:val="22"/>
          <w:szCs w:val="22"/>
        </w:rPr>
        <w:t>45</w:t>
      </w:r>
      <w:r w:rsidR="00E07E36" w:rsidRPr="00A13ACB">
        <w:rPr>
          <w:rFonts w:asciiTheme="majorHAnsi" w:hAnsiTheme="majorHAnsi" w:cstheme="majorHAnsi"/>
          <w:sz w:val="22"/>
          <w:szCs w:val="22"/>
        </w:rPr>
        <w:t>31</w:t>
      </w:r>
      <w:r w:rsidR="007B01AD" w:rsidRPr="00A13ACB">
        <w:rPr>
          <w:rFonts w:asciiTheme="majorHAnsi" w:hAnsiTheme="majorHAnsi" w:cstheme="majorHAnsi"/>
          <w:sz w:val="22"/>
          <w:szCs w:val="22"/>
        </w:rPr>
        <w:t xml:space="preserve"> </w:t>
      </w:r>
      <w:r w:rsidR="00577999" w:rsidRPr="00A13ACB">
        <w:rPr>
          <w:rFonts w:asciiTheme="majorHAnsi" w:hAnsiTheme="majorHAnsi" w:cstheme="majorHAnsi"/>
          <w:sz w:val="22"/>
          <w:szCs w:val="22"/>
        </w:rPr>
        <w:t xml:space="preserve">patients </w:t>
      </w:r>
      <w:r w:rsidRPr="00A13ACB">
        <w:rPr>
          <w:rFonts w:asciiTheme="majorHAnsi" w:hAnsiTheme="majorHAnsi" w:cstheme="majorHAnsi"/>
          <w:sz w:val="22"/>
          <w:szCs w:val="22"/>
        </w:rPr>
        <w:t>,</w:t>
      </w:r>
      <w:r w:rsidR="00577999" w:rsidRPr="00A13ACB">
        <w:rPr>
          <w:rFonts w:asciiTheme="majorHAnsi" w:hAnsiTheme="majorHAnsi" w:cstheme="majorHAnsi"/>
          <w:sz w:val="22"/>
          <w:szCs w:val="22"/>
        </w:rPr>
        <w:t xml:space="preserve"> 1256 (28%) </w:t>
      </w:r>
      <w:r w:rsidR="009F0D0E" w:rsidRPr="00A13ACB">
        <w:rPr>
          <w:rFonts w:asciiTheme="majorHAnsi" w:hAnsiTheme="majorHAnsi" w:cstheme="majorHAnsi"/>
          <w:sz w:val="22"/>
          <w:szCs w:val="22"/>
        </w:rPr>
        <w:t xml:space="preserve"> </w:t>
      </w:r>
      <w:r w:rsidR="00577999" w:rsidRPr="00A13ACB">
        <w:rPr>
          <w:rFonts w:asciiTheme="majorHAnsi" w:hAnsiTheme="majorHAnsi" w:cstheme="majorHAnsi"/>
          <w:sz w:val="22"/>
          <w:szCs w:val="22"/>
        </w:rPr>
        <w:t>were age</w:t>
      </w:r>
      <w:r w:rsidR="007B01AD" w:rsidRPr="00A13ACB">
        <w:rPr>
          <w:rFonts w:asciiTheme="majorHAnsi" w:hAnsiTheme="majorHAnsi" w:cstheme="majorHAnsi"/>
          <w:sz w:val="22"/>
          <w:szCs w:val="22"/>
        </w:rPr>
        <w:t>d</w:t>
      </w:r>
      <w:r w:rsidR="00577999" w:rsidRPr="00A13ACB">
        <w:rPr>
          <w:rFonts w:asciiTheme="majorHAnsi" w:hAnsiTheme="majorHAnsi" w:cstheme="majorHAnsi"/>
          <w:sz w:val="22"/>
          <w:szCs w:val="22"/>
        </w:rPr>
        <w:t xml:space="preserve"> 60</w:t>
      </w:r>
      <w:r w:rsidR="007B01AD" w:rsidRPr="00A13ACB">
        <w:rPr>
          <w:rFonts w:asciiTheme="majorHAnsi" w:hAnsiTheme="majorHAnsi" w:cstheme="majorHAnsi"/>
          <w:sz w:val="22"/>
          <w:szCs w:val="22"/>
        </w:rPr>
        <w:t xml:space="preserve"> years or over</w:t>
      </w:r>
      <w:r w:rsidR="00577999" w:rsidRPr="00A13ACB">
        <w:rPr>
          <w:rFonts w:asciiTheme="majorHAnsi" w:hAnsiTheme="majorHAnsi" w:cstheme="majorHAnsi"/>
          <w:sz w:val="22"/>
          <w:szCs w:val="22"/>
        </w:rPr>
        <w:t xml:space="preserve"> and included for analysis (median age 74 years, IQR 66-82, 54% men). </w:t>
      </w:r>
      <w:r w:rsidR="002B7595" w:rsidRPr="00A13ACB">
        <w:rPr>
          <w:rFonts w:asciiTheme="majorHAnsi" w:hAnsiTheme="majorHAnsi" w:cstheme="majorHAnsi"/>
          <w:sz w:val="22"/>
          <w:szCs w:val="22"/>
        </w:rPr>
        <w:t>87% (1088/1256) of the clinical information was entered by doctors, 8% (104/1256) by nurses, 5% (64/1256) by audit sta</w:t>
      </w:r>
      <w:r w:rsidR="00A14455" w:rsidRPr="00A13ACB">
        <w:rPr>
          <w:rFonts w:asciiTheme="majorHAnsi" w:hAnsiTheme="majorHAnsi" w:cstheme="majorHAnsi"/>
          <w:sz w:val="22"/>
          <w:szCs w:val="22"/>
        </w:rPr>
        <w:t>ff or</w:t>
      </w:r>
      <w:r w:rsidR="002B7595" w:rsidRPr="00A13ACB">
        <w:rPr>
          <w:rFonts w:asciiTheme="majorHAnsi" w:hAnsiTheme="majorHAnsi" w:cstheme="majorHAnsi"/>
          <w:sz w:val="22"/>
          <w:szCs w:val="22"/>
        </w:rPr>
        <w:t xml:space="preserve"> </w:t>
      </w:r>
      <w:r w:rsidR="00A14455" w:rsidRPr="00A13ACB">
        <w:rPr>
          <w:rFonts w:asciiTheme="majorHAnsi" w:hAnsiTheme="majorHAnsi" w:cstheme="majorHAnsi"/>
          <w:sz w:val="22"/>
          <w:szCs w:val="22"/>
        </w:rPr>
        <w:t xml:space="preserve">other </w:t>
      </w:r>
      <w:r w:rsidR="002B7595" w:rsidRPr="00A13ACB">
        <w:rPr>
          <w:rFonts w:asciiTheme="majorHAnsi" w:hAnsiTheme="majorHAnsi" w:cstheme="majorHAnsi"/>
          <w:sz w:val="22"/>
          <w:szCs w:val="22"/>
        </w:rPr>
        <w:t xml:space="preserve">healthcare professionals.  </w:t>
      </w:r>
      <w:r w:rsidR="00701D80" w:rsidRPr="00A13ACB">
        <w:rPr>
          <w:rFonts w:asciiTheme="majorHAnsi" w:hAnsiTheme="majorHAnsi" w:cstheme="majorHAnsi"/>
          <w:sz w:val="22"/>
          <w:szCs w:val="22"/>
        </w:rPr>
        <w:t>2 patients could not be classified with regards to diagnosis</w:t>
      </w:r>
      <w:r w:rsidR="00CB0340" w:rsidRPr="00A13ACB">
        <w:rPr>
          <w:rFonts w:asciiTheme="majorHAnsi" w:hAnsiTheme="majorHAnsi" w:cstheme="majorHAnsi"/>
          <w:sz w:val="22"/>
          <w:szCs w:val="22"/>
        </w:rPr>
        <w:t xml:space="preserve"> and were excluded from analysis</w:t>
      </w:r>
      <w:r w:rsidR="00701D80" w:rsidRPr="00A13ACB">
        <w:rPr>
          <w:rFonts w:asciiTheme="majorHAnsi" w:hAnsiTheme="majorHAnsi" w:cstheme="majorHAnsi"/>
          <w:sz w:val="22"/>
          <w:szCs w:val="22"/>
        </w:rPr>
        <w:t>.</w:t>
      </w:r>
    </w:p>
    <w:p w:rsidR="001321C7" w:rsidRPr="00A13ACB" w:rsidRDefault="001321C7" w:rsidP="00A13ACB">
      <w:pPr>
        <w:jc w:val="both"/>
        <w:rPr>
          <w:rFonts w:asciiTheme="majorHAnsi" w:hAnsiTheme="majorHAnsi" w:cstheme="majorHAnsi"/>
          <w:b/>
          <w:sz w:val="22"/>
          <w:szCs w:val="22"/>
        </w:rPr>
      </w:pPr>
    </w:p>
    <w:p w:rsidR="009A2426" w:rsidRPr="00A13ACB" w:rsidRDefault="00ED3A06" w:rsidP="00A13ACB">
      <w:pPr>
        <w:jc w:val="both"/>
        <w:rPr>
          <w:rFonts w:asciiTheme="majorHAnsi" w:hAnsiTheme="majorHAnsi" w:cstheme="majorHAnsi"/>
          <w:sz w:val="22"/>
          <w:szCs w:val="22"/>
        </w:rPr>
      </w:pPr>
      <w:r w:rsidRPr="00A13ACB">
        <w:rPr>
          <w:rFonts w:asciiTheme="majorHAnsi" w:hAnsiTheme="majorHAnsi" w:cstheme="majorHAnsi"/>
          <w:b/>
          <w:sz w:val="22"/>
          <w:szCs w:val="22"/>
        </w:rPr>
        <w:t>Treatment prior to admission</w:t>
      </w:r>
    </w:p>
    <w:p w:rsidR="00257B4C" w:rsidRPr="00A13ACB" w:rsidRDefault="003E6F3C" w:rsidP="00A13ACB">
      <w:pPr>
        <w:jc w:val="both"/>
        <w:rPr>
          <w:rFonts w:asciiTheme="majorHAnsi" w:hAnsiTheme="majorHAnsi" w:cstheme="majorHAnsi"/>
          <w:sz w:val="22"/>
          <w:szCs w:val="22"/>
        </w:rPr>
      </w:pPr>
      <w:r>
        <w:rPr>
          <w:rFonts w:asciiTheme="majorHAnsi" w:hAnsiTheme="majorHAnsi" w:cstheme="majorHAnsi"/>
          <w:sz w:val="22"/>
          <w:szCs w:val="22"/>
        </w:rPr>
        <w:t>Forty-four percent</w:t>
      </w:r>
      <w:r w:rsidR="000D2ACB" w:rsidRPr="00A13ACB">
        <w:rPr>
          <w:rFonts w:asciiTheme="majorHAnsi" w:hAnsiTheme="majorHAnsi" w:cstheme="majorHAnsi"/>
          <w:sz w:val="22"/>
          <w:szCs w:val="22"/>
        </w:rPr>
        <w:t xml:space="preserve"> (</w:t>
      </w:r>
      <w:r w:rsidR="007B01AD" w:rsidRPr="00A13ACB">
        <w:rPr>
          <w:rFonts w:asciiTheme="majorHAnsi" w:hAnsiTheme="majorHAnsi" w:cstheme="majorHAnsi"/>
          <w:sz w:val="22"/>
          <w:szCs w:val="22"/>
        </w:rPr>
        <w:t>281</w:t>
      </w:r>
      <w:r w:rsidR="00B848AE" w:rsidRPr="00A13ACB">
        <w:rPr>
          <w:rFonts w:asciiTheme="majorHAnsi" w:hAnsiTheme="majorHAnsi" w:cstheme="majorHAnsi"/>
          <w:sz w:val="22"/>
          <w:szCs w:val="22"/>
        </w:rPr>
        <w:t xml:space="preserve">/640) of patients with known </w:t>
      </w:r>
      <w:r w:rsidR="000D2ACB" w:rsidRPr="00A13ACB">
        <w:rPr>
          <w:rFonts w:asciiTheme="majorHAnsi" w:hAnsiTheme="majorHAnsi" w:cstheme="majorHAnsi"/>
          <w:sz w:val="22"/>
          <w:szCs w:val="22"/>
        </w:rPr>
        <w:t>epilepsy</w:t>
      </w:r>
      <w:r w:rsidR="00CB0340" w:rsidRPr="00A13ACB">
        <w:rPr>
          <w:rFonts w:asciiTheme="majorHAnsi" w:hAnsiTheme="majorHAnsi" w:cstheme="majorHAnsi"/>
          <w:sz w:val="22"/>
          <w:szCs w:val="22"/>
        </w:rPr>
        <w:t xml:space="preserve">, and </w:t>
      </w:r>
      <w:r w:rsidR="000E49F3" w:rsidRPr="00A13ACB">
        <w:rPr>
          <w:rFonts w:asciiTheme="majorHAnsi" w:hAnsiTheme="majorHAnsi" w:cstheme="majorHAnsi"/>
          <w:sz w:val="22"/>
          <w:szCs w:val="22"/>
        </w:rPr>
        <w:t xml:space="preserve">41% (85/209) of patients with </w:t>
      </w:r>
      <w:r w:rsidR="00CB0340" w:rsidRPr="00A13ACB">
        <w:rPr>
          <w:rFonts w:asciiTheme="majorHAnsi" w:hAnsiTheme="majorHAnsi" w:cstheme="majorHAnsi"/>
          <w:sz w:val="22"/>
          <w:szCs w:val="22"/>
        </w:rPr>
        <w:t xml:space="preserve">previous seizure or </w:t>
      </w:r>
      <w:r w:rsidR="004E43CA" w:rsidRPr="00A13ACB">
        <w:rPr>
          <w:rFonts w:asciiTheme="majorHAnsi" w:hAnsiTheme="majorHAnsi" w:cstheme="majorHAnsi"/>
          <w:sz w:val="22"/>
          <w:szCs w:val="22"/>
        </w:rPr>
        <w:t>blackout</w:t>
      </w:r>
      <w:r w:rsidR="00CB0340" w:rsidRPr="00A13ACB">
        <w:rPr>
          <w:rFonts w:asciiTheme="majorHAnsi" w:hAnsiTheme="majorHAnsi" w:cstheme="majorHAnsi"/>
          <w:sz w:val="22"/>
          <w:szCs w:val="22"/>
        </w:rPr>
        <w:t xml:space="preserve"> had presented to ED with a sei</w:t>
      </w:r>
      <w:r w:rsidR="00880E54" w:rsidRPr="00A13ACB">
        <w:rPr>
          <w:rFonts w:asciiTheme="majorHAnsi" w:hAnsiTheme="majorHAnsi" w:cstheme="majorHAnsi"/>
          <w:sz w:val="22"/>
          <w:szCs w:val="22"/>
        </w:rPr>
        <w:t>zure in the preceding 12 months</w:t>
      </w:r>
      <w:r w:rsidR="000D2ACB" w:rsidRPr="00A13ACB">
        <w:rPr>
          <w:rFonts w:asciiTheme="majorHAnsi" w:hAnsiTheme="majorHAnsi" w:cstheme="majorHAnsi"/>
          <w:sz w:val="22"/>
          <w:szCs w:val="22"/>
        </w:rPr>
        <w:t xml:space="preserve">. </w:t>
      </w:r>
    </w:p>
    <w:p w:rsidR="00C12433" w:rsidRPr="00A13ACB" w:rsidRDefault="00C12433" w:rsidP="00A13ACB">
      <w:pPr>
        <w:jc w:val="both"/>
        <w:rPr>
          <w:rFonts w:asciiTheme="majorHAnsi" w:hAnsiTheme="majorHAnsi" w:cstheme="majorHAnsi"/>
          <w:sz w:val="22"/>
          <w:szCs w:val="22"/>
        </w:rPr>
      </w:pPr>
    </w:p>
    <w:p w:rsidR="00804376" w:rsidRPr="00A13ACB" w:rsidRDefault="003E6F3C" w:rsidP="00A13ACB">
      <w:pPr>
        <w:jc w:val="both"/>
        <w:rPr>
          <w:rFonts w:asciiTheme="majorHAnsi" w:hAnsiTheme="majorHAnsi" w:cstheme="majorHAnsi"/>
          <w:sz w:val="22"/>
          <w:szCs w:val="22"/>
        </w:rPr>
      </w:pPr>
      <w:r>
        <w:rPr>
          <w:rFonts w:asciiTheme="majorHAnsi" w:hAnsiTheme="majorHAnsi" w:cstheme="majorHAnsi"/>
          <w:sz w:val="22"/>
          <w:szCs w:val="22"/>
        </w:rPr>
        <w:t xml:space="preserve">Eighty-six percent </w:t>
      </w:r>
      <w:r w:rsidR="00F4314A" w:rsidRPr="00A13ACB">
        <w:rPr>
          <w:rFonts w:asciiTheme="majorHAnsi" w:hAnsiTheme="majorHAnsi" w:cstheme="majorHAnsi"/>
          <w:sz w:val="22"/>
          <w:szCs w:val="22"/>
        </w:rPr>
        <w:t>(</w:t>
      </w:r>
      <w:r w:rsidR="00D043CE" w:rsidRPr="00A13ACB">
        <w:rPr>
          <w:rFonts w:asciiTheme="majorHAnsi" w:hAnsiTheme="majorHAnsi" w:cstheme="majorHAnsi"/>
          <w:sz w:val="22"/>
          <w:szCs w:val="22"/>
        </w:rPr>
        <w:t>552/640)</w:t>
      </w:r>
      <w:r w:rsidR="0071754D" w:rsidRPr="00A13ACB">
        <w:rPr>
          <w:rFonts w:asciiTheme="majorHAnsi" w:hAnsiTheme="majorHAnsi" w:cstheme="majorHAnsi"/>
          <w:sz w:val="22"/>
          <w:szCs w:val="22"/>
        </w:rPr>
        <w:t xml:space="preserve"> </w:t>
      </w:r>
      <w:r w:rsidR="00B848AE" w:rsidRPr="00A13ACB">
        <w:rPr>
          <w:rFonts w:asciiTheme="majorHAnsi" w:hAnsiTheme="majorHAnsi" w:cstheme="majorHAnsi"/>
          <w:sz w:val="22"/>
          <w:szCs w:val="22"/>
        </w:rPr>
        <w:t xml:space="preserve">of patients </w:t>
      </w:r>
      <w:r w:rsidR="0071754D" w:rsidRPr="00A13ACB">
        <w:rPr>
          <w:rFonts w:asciiTheme="majorHAnsi" w:hAnsiTheme="majorHAnsi" w:cstheme="majorHAnsi"/>
          <w:sz w:val="22"/>
          <w:szCs w:val="22"/>
        </w:rPr>
        <w:t>with epilepsy</w:t>
      </w:r>
      <w:r w:rsidR="00D043CE" w:rsidRPr="00A13ACB">
        <w:rPr>
          <w:rFonts w:asciiTheme="majorHAnsi" w:hAnsiTheme="majorHAnsi" w:cstheme="majorHAnsi"/>
          <w:sz w:val="22"/>
          <w:szCs w:val="22"/>
        </w:rPr>
        <w:t xml:space="preserve"> were documented as taking AED treatment. 59% (3</w:t>
      </w:r>
      <w:r w:rsidR="00B848AE" w:rsidRPr="00A13ACB">
        <w:rPr>
          <w:rFonts w:asciiTheme="majorHAnsi" w:hAnsiTheme="majorHAnsi" w:cstheme="majorHAnsi"/>
          <w:sz w:val="22"/>
          <w:szCs w:val="22"/>
        </w:rPr>
        <w:t>77/640) were on monotherapy,</w:t>
      </w:r>
      <w:r w:rsidR="00D043CE" w:rsidRPr="00A13ACB">
        <w:rPr>
          <w:rFonts w:asciiTheme="majorHAnsi" w:hAnsiTheme="majorHAnsi" w:cstheme="majorHAnsi"/>
          <w:sz w:val="22"/>
          <w:szCs w:val="22"/>
        </w:rPr>
        <w:t xml:space="preserve"> 27% (175/640) were on two or </w:t>
      </w:r>
      <w:r w:rsidR="009B5C3F" w:rsidRPr="00A13ACB">
        <w:rPr>
          <w:rFonts w:asciiTheme="majorHAnsi" w:hAnsiTheme="majorHAnsi" w:cstheme="majorHAnsi"/>
          <w:sz w:val="22"/>
          <w:szCs w:val="22"/>
        </w:rPr>
        <w:t>more AEDs</w:t>
      </w:r>
      <w:r w:rsidR="007D3292" w:rsidRPr="00A13ACB">
        <w:rPr>
          <w:rFonts w:asciiTheme="majorHAnsi" w:hAnsiTheme="majorHAnsi" w:cstheme="majorHAnsi"/>
          <w:sz w:val="22"/>
          <w:szCs w:val="22"/>
        </w:rPr>
        <w:t xml:space="preserve"> (i.e.</w:t>
      </w:r>
      <w:r w:rsidR="009B5C3F" w:rsidRPr="00A13ACB">
        <w:rPr>
          <w:rFonts w:asciiTheme="majorHAnsi" w:hAnsiTheme="majorHAnsi" w:cstheme="majorHAnsi"/>
          <w:sz w:val="22"/>
          <w:szCs w:val="22"/>
        </w:rPr>
        <w:t xml:space="preserve"> </w:t>
      </w:r>
      <w:proofErr w:type="spellStart"/>
      <w:r w:rsidR="009B5C3F" w:rsidRPr="00A13ACB">
        <w:rPr>
          <w:rFonts w:asciiTheme="majorHAnsi" w:hAnsiTheme="majorHAnsi" w:cstheme="majorHAnsi"/>
          <w:sz w:val="22"/>
          <w:szCs w:val="22"/>
        </w:rPr>
        <w:t>polytherapy</w:t>
      </w:r>
      <w:proofErr w:type="spellEnd"/>
      <w:r w:rsidR="007D3292" w:rsidRPr="00A13ACB">
        <w:rPr>
          <w:rFonts w:asciiTheme="majorHAnsi" w:hAnsiTheme="majorHAnsi" w:cstheme="majorHAnsi"/>
          <w:sz w:val="22"/>
          <w:szCs w:val="22"/>
        </w:rPr>
        <w:t>)</w:t>
      </w:r>
      <w:r w:rsidR="00017ECF" w:rsidRPr="00A13ACB">
        <w:rPr>
          <w:rFonts w:asciiTheme="majorHAnsi" w:hAnsiTheme="majorHAnsi" w:cstheme="majorHAnsi"/>
          <w:sz w:val="22"/>
          <w:szCs w:val="22"/>
        </w:rPr>
        <w:t>.</w:t>
      </w:r>
      <w:r w:rsidR="009B5C3F" w:rsidRPr="00A13ACB">
        <w:rPr>
          <w:rFonts w:asciiTheme="majorHAnsi" w:hAnsiTheme="majorHAnsi" w:cstheme="majorHAnsi"/>
          <w:sz w:val="22"/>
          <w:szCs w:val="22"/>
        </w:rPr>
        <w:t xml:space="preserve"> </w:t>
      </w:r>
      <w:r w:rsidR="0052701E" w:rsidRPr="00A13ACB">
        <w:rPr>
          <w:rFonts w:asciiTheme="majorHAnsi" w:hAnsiTheme="majorHAnsi" w:cstheme="majorHAnsi"/>
          <w:sz w:val="22"/>
          <w:szCs w:val="22"/>
        </w:rPr>
        <w:t xml:space="preserve">(Table 1) </w:t>
      </w:r>
      <w:r w:rsidR="00804376" w:rsidRPr="00A13ACB">
        <w:rPr>
          <w:rFonts w:asciiTheme="majorHAnsi" w:hAnsiTheme="majorHAnsi" w:cstheme="majorHAnsi"/>
          <w:sz w:val="22"/>
          <w:szCs w:val="22"/>
        </w:rPr>
        <w:t xml:space="preserve">Sodium </w:t>
      </w:r>
      <w:proofErr w:type="gramStart"/>
      <w:r w:rsidR="00804376" w:rsidRPr="00A13ACB">
        <w:rPr>
          <w:rFonts w:asciiTheme="majorHAnsi" w:hAnsiTheme="majorHAnsi" w:cstheme="majorHAnsi"/>
          <w:sz w:val="22"/>
          <w:szCs w:val="22"/>
        </w:rPr>
        <w:t>valproate</w:t>
      </w:r>
      <w:r w:rsidR="009C0ABB" w:rsidRPr="00A13ACB">
        <w:rPr>
          <w:rFonts w:asciiTheme="majorHAnsi" w:hAnsiTheme="majorHAnsi" w:cstheme="majorHAnsi"/>
          <w:sz w:val="22"/>
          <w:szCs w:val="22"/>
        </w:rPr>
        <w:t>,</w:t>
      </w:r>
      <w:proofErr w:type="gramEnd"/>
      <w:r w:rsidR="00804376" w:rsidRPr="00A13ACB">
        <w:rPr>
          <w:rFonts w:asciiTheme="majorHAnsi" w:hAnsiTheme="majorHAnsi" w:cstheme="majorHAnsi"/>
          <w:sz w:val="22"/>
          <w:szCs w:val="22"/>
        </w:rPr>
        <w:t xml:space="preserve"> was the m</w:t>
      </w:r>
      <w:r w:rsidR="001321C7" w:rsidRPr="00A13ACB">
        <w:rPr>
          <w:rFonts w:asciiTheme="majorHAnsi" w:hAnsiTheme="majorHAnsi" w:cstheme="majorHAnsi"/>
          <w:sz w:val="22"/>
          <w:szCs w:val="22"/>
        </w:rPr>
        <w:t xml:space="preserve">ost commonly used </w:t>
      </w:r>
      <w:r w:rsidR="00327B2D" w:rsidRPr="00A13ACB">
        <w:rPr>
          <w:rFonts w:asciiTheme="majorHAnsi" w:hAnsiTheme="majorHAnsi" w:cstheme="majorHAnsi"/>
          <w:sz w:val="22"/>
          <w:szCs w:val="22"/>
        </w:rPr>
        <w:t>AE</w:t>
      </w:r>
      <w:r w:rsidR="009C0ABB" w:rsidRPr="00A13ACB">
        <w:rPr>
          <w:rFonts w:asciiTheme="majorHAnsi" w:hAnsiTheme="majorHAnsi" w:cstheme="majorHAnsi"/>
          <w:sz w:val="22"/>
          <w:szCs w:val="22"/>
        </w:rPr>
        <w:t xml:space="preserve">D both as monotherapy 28% </w:t>
      </w:r>
      <w:r w:rsidR="0071754D" w:rsidRPr="00A13ACB">
        <w:rPr>
          <w:rFonts w:asciiTheme="majorHAnsi" w:hAnsiTheme="majorHAnsi" w:cstheme="majorHAnsi"/>
          <w:sz w:val="22"/>
          <w:szCs w:val="22"/>
        </w:rPr>
        <w:t>(</w:t>
      </w:r>
      <w:r w:rsidR="009C0ABB" w:rsidRPr="00A13ACB">
        <w:rPr>
          <w:rFonts w:asciiTheme="majorHAnsi" w:hAnsiTheme="majorHAnsi" w:cstheme="majorHAnsi"/>
          <w:sz w:val="22"/>
          <w:szCs w:val="22"/>
        </w:rPr>
        <w:t xml:space="preserve">181/640) and </w:t>
      </w:r>
      <w:proofErr w:type="spellStart"/>
      <w:r w:rsidR="009C0ABB" w:rsidRPr="00A13ACB">
        <w:rPr>
          <w:rFonts w:asciiTheme="majorHAnsi" w:hAnsiTheme="majorHAnsi" w:cstheme="majorHAnsi"/>
          <w:sz w:val="22"/>
          <w:szCs w:val="22"/>
        </w:rPr>
        <w:t>polytherapy</w:t>
      </w:r>
      <w:proofErr w:type="spellEnd"/>
      <w:r w:rsidR="009C0ABB" w:rsidRPr="00A13ACB">
        <w:rPr>
          <w:rFonts w:asciiTheme="majorHAnsi" w:hAnsiTheme="majorHAnsi" w:cstheme="majorHAnsi"/>
          <w:sz w:val="22"/>
          <w:szCs w:val="22"/>
        </w:rPr>
        <w:t xml:space="preserve"> 42% </w:t>
      </w:r>
      <w:r w:rsidR="0071754D" w:rsidRPr="00A13ACB">
        <w:rPr>
          <w:rFonts w:asciiTheme="majorHAnsi" w:hAnsiTheme="majorHAnsi" w:cstheme="majorHAnsi"/>
          <w:sz w:val="22"/>
          <w:szCs w:val="22"/>
        </w:rPr>
        <w:t>(</w:t>
      </w:r>
      <w:r w:rsidR="009C0ABB" w:rsidRPr="00A13ACB">
        <w:rPr>
          <w:rFonts w:asciiTheme="majorHAnsi" w:hAnsiTheme="majorHAnsi" w:cstheme="majorHAnsi"/>
          <w:sz w:val="22"/>
          <w:szCs w:val="22"/>
        </w:rPr>
        <w:t>267/640)</w:t>
      </w:r>
      <w:r w:rsidR="0052701E" w:rsidRPr="00A13ACB">
        <w:rPr>
          <w:rFonts w:asciiTheme="majorHAnsi" w:hAnsiTheme="majorHAnsi" w:cstheme="majorHAnsi"/>
          <w:sz w:val="22"/>
          <w:szCs w:val="22"/>
        </w:rPr>
        <w:t>.</w:t>
      </w:r>
      <w:r w:rsidR="00327B2D" w:rsidRPr="00A13ACB">
        <w:rPr>
          <w:rFonts w:asciiTheme="majorHAnsi" w:hAnsiTheme="majorHAnsi" w:cstheme="majorHAnsi"/>
          <w:sz w:val="22"/>
          <w:szCs w:val="22"/>
        </w:rPr>
        <w:t xml:space="preserve"> </w:t>
      </w:r>
      <w:r w:rsidR="00754E28" w:rsidRPr="00754E28">
        <w:rPr>
          <w:rFonts w:asciiTheme="majorHAnsi" w:hAnsiTheme="majorHAnsi" w:cstheme="majorHAnsi"/>
          <w:sz w:val="22"/>
          <w:szCs w:val="22"/>
        </w:rPr>
        <w:t xml:space="preserve">9% (56/640) of patients with epilepsy were on carbamazepine monotherapy, 8% (50/640) phenytoin monotherapy, 9% (40/640) on lamotrigine monotherapy and 9% (39/640) on </w:t>
      </w:r>
      <w:proofErr w:type="spellStart"/>
      <w:r w:rsidR="00754E28" w:rsidRPr="00754E28">
        <w:rPr>
          <w:rFonts w:asciiTheme="majorHAnsi" w:hAnsiTheme="majorHAnsi" w:cstheme="majorHAnsi"/>
          <w:sz w:val="22"/>
          <w:szCs w:val="22"/>
        </w:rPr>
        <w:t>levetiracetam</w:t>
      </w:r>
      <w:proofErr w:type="spellEnd"/>
      <w:r w:rsidR="00754E28" w:rsidRPr="00754E28">
        <w:rPr>
          <w:rFonts w:asciiTheme="majorHAnsi" w:hAnsiTheme="majorHAnsi" w:cstheme="majorHAnsi"/>
          <w:sz w:val="22"/>
          <w:szCs w:val="22"/>
        </w:rPr>
        <w:t xml:space="preserve"> monotherapy.</w:t>
      </w:r>
    </w:p>
    <w:p w:rsidR="00EC0C93" w:rsidRPr="00A13ACB" w:rsidRDefault="00EC0C93" w:rsidP="00A13ACB">
      <w:pPr>
        <w:pStyle w:val="NoSpacing"/>
        <w:jc w:val="both"/>
        <w:rPr>
          <w:rFonts w:asciiTheme="majorHAnsi" w:hAnsiTheme="majorHAnsi" w:cstheme="majorHAnsi"/>
        </w:rPr>
      </w:pPr>
    </w:p>
    <w:p w:rsidR="00AA3ED8" w:rsidRPr="00A13ACB" w:rsidRDefault="003E6F3C" w:rsidP="00A13ACB">
      <w:pPr>
        <w:jc w:val="both"/>
        <w:rPr>
          <w:rFonts w:asciiTheme="majorHAnsi" w:hAnsiTheme="majorHAnsi" w:cstheme="majorHAnsi"/>
          <w:sz w:val="22"/>
          <w:szCs w:val="22"/>
        </w:rPr>
      </w:pPr>
      <w:r>
        <w:rPr>
          <w:rFonts w:asciiTheme="majorHAnsi" w:hAnsiTheme="majorHAnsi" w:cstheme="majorHAnsi"/>
          <w:sz w:val="22"/>
          <w:szCs w:val="22"/>
        </w:rPr>
        <w:t>Twenty-eight percent</w:t>
      </w:r>
      <w:r w:rsidR="000846C0" w:rsidRPr="00A13ACB">
        <w:rPr>
          <w:rFonts w:asciiTheme="majorHAnsi" w:hAnsiTheme="majorHAnsi" w:cstheme="majorHAnsi"/>
          <w:sz w:val="22"/>
          <w:szCs w:val="22"/>
        </w:rPr>
        <w:t xml:space="preserve"> (179/640) of those</w:t>
      </w:r>
      <w:r w:rsidR="00DF48C4" w:rsidRPr="00A13ACB">
        <w:rPr>
          <w:rFonts w:asciiTheme="majorHAnsi" w:hAnsiTheme="majorHAnsi" w:cstheme="majorHAnsi"/>
          <w:sz w:val="22"/>
          <w:szCs w:val="22"/>
        </w:rPr>
        <w:t xml:space="preserve"> aged 60 and over</w:t>
      </w:r>
      <w:r w:rsidR="000846C0" w:rsidRPr="00A13ACB">
        <w:rPr>
          <w:rFonts w:asciiTheme="majorHAnsi" w:hAnsiTheme="majorHAnsi" w:cstheme="majorHAnsi"/>
          <w:sz w:val="22"/>
          <w:szCs w:val="22"/>
        </w:rPr>
        <w:t xml:space="preserve"> with epilepsy had evidence of contact with an epilepsy specialist recorded in the year preceding their </w:t>
      </w:r>
      <w:r w:rsidR="00F957D4" w:rsidRPr="00A13ACB">
        <w:rPr>
          <w:rFonts w:asciiTheme="majorHAnsi" w:hAnsiTheme="majorHAnsi" w:cstheme="majorHAnsi"/>
          <w:sz w:val="22"/>
          <w:szCs w:val="22"/>
        </w:rPr>
        <w:t>attendanc</w:t>
      </w:r>
      <w:r w:rsidR="004243BC" w:rsidRPr="00A13ACB">
        <w:rPr>
          <w:rFonts w:asciiTheme="majorHAnsi" w:hAnsiTheme="majorHAnsi" w:cstheme="majorHAnsi"/>
          <w:sz w:val="22"/>
          <w:szCs w:val="22"/>
        </w:rPr>
        <w:t xml:space="preserve">e, compared to 40% (842/2115) of patients under 60. </w:t>
      </w:r>
      <w:r w:rsidR="004E43CA" w:rsidRPr="00A13ACB">
        <w:rPr>
          <w:rFonts w:asciiTheme="majorHAnsi" w:hAnsiTheme="majorHAnsi" w:cstheme="majorHAnsi"/>
          <w:sz w:val="22"/>
          <w:szCs w:val="22"/>
        </w:rPr>
        <w:t xml:space="preserve">Only </w:t>
      </w:r>
      <w:r w:rsidR="000E49F3" w:rsidRPr="00A13ACB">
        <w:rPr>
          <w:rFonts w:asciiTheme="majorHAnsi" w:hAnsiTheme="majorHAnsi" w:cstheme="majorHAnsi"/>
          <w:sz w:val="22"/>
          <w:szCs w:val="22"/>
        </w:rPr>
        <w:t>30% (189/640) of</w:t>
      </w:r>
      <w:r w:rsidR="00DF48C4" w:rsidRPr="00A13ACB">
        <w:rPr>
          <w:rFonts w:asciiTheme="majorHAnsi" w:hAnsiTheme="majorHAnsi" w:cstheme="majorHAnsi"/>
          <w:sz w:val="22"/>
          <w:szCs w:val="22"/>
        </w:rPr>
        <w:t xml:space="preserve"> patients aged 60 and over with</w:t>
      </w:r>
      <w:r w:rsidR="00B848AE" w:rsidRPr="00A13ACB">
        <w:rPr>
          <w:rFonts w:asciiTheme="majorHAnsi" w:hAnsiTheme="majorHAnsi" w:cstheme="majorHAnsi"/>
          <w:sz w:val="22"/>
          <w:szCs w:val="22"/>
        </w:rPr>
        <w:t xml:space="preserve"> </w:t>
      </w:r>
      <w:r w:rsidR="00257B4C" w:rsidRPr="00A13ACB">
        <w:rPr>
          <w:rFonts w:asciiTheme="majorHAnsi" w:hAnsiTheme="majorHAnsi" w:cstheme="majorHAnsi"/>
          <w:sz w:val="22"/>
          <w:szCs w:val="22"/>
        </w:rPr>
        <w:t>epilepsy had a written care plan in place.</w:t>
      </w:r>
      <w:r w:rsidR="00CD2806" w:rsidRPr="00A13ACB">
        <w:rPr>
          <w:rFonts w:asciiTheme="majorHAnsi" w:hAnsiTheme="majorHAnsi" w:cstheme="majorHAnsi"/>
          <w:sz w:val="22"/>
          <w:szCs w:val="22"/>
        </w:rPr>
        <w:t xml:space="preserve"> </w:t>
      </w:r>
    </w:p>
    <w:p w:rsidR="008A137E" w:rsidRPr="00A13ACB" w:rsidRDefault="008A137E" w:rsidP="00A13ACB">
      <w:pPr>
        <w:jc w:val="both"/>
        <w:rPr>
          <w:rFonts w:asciiTheme="majorHAnsi" w:hAnsiTheme="majorHAnsi" w:cstheme="majorHAnsi"/>
          <w:b/>
          <w:sz w:val="22"/>
          <w:szCs w:val="22"/>
        </w:rPr>
      </w:pPr>
    </w:p>
    <w:p w:rsidR="008A137E" w:rsidRPr="00A13ACB" w:rsidRDefault="008A137E" w:rsidP="00A13ACB">
      <w:pPr>
        <w:jc w:val="both"/>
        <w:rPr>
          <w:rFonts w:asciiTheme="majorHAnsi" w:hAnsiTheme="majorHAnsi" w:cstheme="majorHAnsi"/>
          <w:b/>
          <w:sz w:val="22"/>
          <w:szCs w:val="22"/>
        </w:rPr>
      </w:pPr>
    </w:p>
    <w:p w:rsidR="007A3CD5" w:rsidRPr="00A13ACB" w:rsidRDefault="007A3CD5" w:rsidP="00A13ACB">
      <w:pPr>
        <w:jc w:val="both"/>
        <w:rPr>
          <w:rFonts w:asciiTheme="majorHAnsi" w:hAnsiTheme="majorHAnsi" w:cstheme="majorHAnsi"/>
          <w:sz w:val="22"/>
          <w:szCs w:val="22"/>
        </w:rPr>
      </w:pPr>
      <w:r w:rsidRPr="00A13ACB">
        <w:rPr>
          <w:rFonts w:asciiTheme="majorHAnsi" w:hAnsiTheme="majorHAnsi" w:cstheme="majorHAnsi"/>
          <w:b/>
          <w:sz w:val="22"/>
          <w:szCs w:val="22"/>
        </w:rPr>
        <w:t>Assessment on arrival</w:t>
      </w:r>
    </w:p>
    <w:p w:rsidR="009A2426" w:rsidRPr="00A13ACB" w:rsidRDefault="00B73470" w:rsidP="00A13ACB">
      <w:pPr>
        <w:jc w:val="both"/>
        <w:rPr>
          <w:rFonts w:asciiTheme="majorHAnsi" w:hAnsiTheme="majorHAnsi" w:cstheme="majorHAnsi"/>
          <w:sz w:val="22"/>
          <w:szCs w:val="22"/>
        </w:rPr>
      </w:pPr>
      <w:r w:rsidRPr="00A13ACB">
        <w:rPr>
          <w:rFonts w:asciiTheme="majorHAnsi" w:hAnsiTheme="majorHAnsi" w:cstheme="majorHAnsi"/>
          <w:sz w:val="22"/>
          <w:szCs w:val="22"/>
        </w:rPr>
        <w:t>The</w:t>
      </w:r>
      <w:r w:rsidR="00F64321" w:rsidRPr="00A13ACB">
        <w:rPr>
          <w:rFonts w:asciiTheme="majorHAnsi" w:hAnsiTheme="majorHAnsi" w:cstheme="majorHAnsi"/>
          <w:sz w:val="22"/>
          <w:szCs w:val="22"/>
        </w:rPr>
        <w:t xml:space="preserve"> majority of patients had their Glasgow Coma Scale (GCS) and tempe</w:t>
      </w:r>
      <w:r w:rsidR="000E49F3" w:rsidRPr="00A13ACB">
        <w:rPr>
          <w:rFonts w:asciiTheme="majorHAnsi" w:hAnsiTheme="majorHAnsi" w:cstheme="majorHAnsi"/>
          <w:sz w:val="22"/>
          <w:szCs w:val="22"/>
        </w:rPr>
        <w:t>rature checked on arrival to ED. T</w:t>
      </w:r>
      <w:r w:rsidR="00017ECF" w:rsidRPr="00A13ACB">
        <w:rPr>
          <w:rFonts w:asciiTheme="majorHAnsi" w:hAnsiTheme="majorHAnsi" w:cstheme="majorHAnsi"/>
          <w:sz w:val="22"/>
          <w:szCs w:val="22"/>
        </w:rPr>
        <w:t>he figures were similar for those over and under 60</w:t>
      </w:r>
      <w:r w:rsidR="00F64321" w:rsidRPr="00A13ACB">
        <w:rPr>
          <w:rFonts w:asciiTheme="majorHAnsi" w:hAnsiTheme="majorHAnsi" w:cstheme="majorHAnsi"/>
          <w:sz w:val="22"/>
          <w:szCs w:val="22"/>
        </w:rPr>
        <w:t xml:space="preserve">. </w:t>
      </w:r>
      <w:r w:rsidRPr="00A13ACB">
        <w:rPr>
          <w:rFonts w:asciiTheme="majorHAnsi" w:hAnsiTheme="majorHAnsi" w:cstheme="majorHAnsi"/>
          <w:sz w:val="22"/>
          <w:szCs w:val="22"/>
        </w:rPr>
        <w:t>43% (175/405) of patients</w:t>
      </w:r>
      <w:r w:rsidR="00F64321" w:rsidRPr="00A13ACB">
        <w:rPr>
          <w:rFonts w:asciiTheme="majorHAnsi" w:hAnsiTheme="majorHAnsi" w:cstheme="majorHAnsi"/>
          <w:sz w:val="22"/>
          <w:szCs w:val="22"/>
        </w:rPr>
        <w:t xml:space="preserve"> presenting with </w:t>
      </w:r>
      <w:r w:rsidR="00B848AE" w:rsidRPr="00A13ACB">
        <w:rPr>
          <w:rFonts w:asciiTheme="majorHAnsi" w:hAnsiTheme="majorHAnsi" w:cstheme="majorHAnsi"/>
          <w:sz w:val="22"/>
          <w:szCs w:val="22"/>
        </w:rPr>
        <w:t>a likely first</w:t>
      </w:r>
      <w:r w:rsidR="00F64321" w:rsidRPr="00A13ACB">
        <w:rPr>
          <w:rFonts w:asciiTheme="majorHAnsi" w:hAnsiTheme="majorHAnsi" w:cstheme="majorHAnsi"/>
          <w:sz w:val="22"/>
          <w:szCs w:val="22"/>
        </w:rPr>
        <w:t xml:space="preserve"> seizur</w:t>
      </w:r>
      <w:r w:rsidRPr="00A13ACB">
        <w:rPr>
          <w:rFonts w:asciiTheme="majorHAnsi" w:hAnsiTheme="majorHAnsi" w:cstheme="majorHAnsi"/>
          <w:sz w:val="22"/>
          <w:szCs w:val="22"/>
        </w:rPr>
        <w:t>e had</w:t>
      </w:r>
      <w:r w:rsidR="00F64321" w:rsidRPr="00A13ACB">
        <w:rPr>
          <w:rFonts w:asciiTheme="majorHAnsi" w:hAnsiTheme="majorHAnsi" w:cstheme="majorHAnsi"/>
          <w:sz w:val="22"/>
          <w:szCs w:val="22"/>
        </w:rPr>
        <w:t xml:space="preserve"> plantar reflexes checked</w:t>
      </w:r>
      <w:r w:rsidR="00B155C7" w:rsidRPr="00A13ACB">
        <w:rPr>
          <w:rFonts w:asciiTheme="majorHAnsi" w:hAnsiTheme="majorHAnsi" w:cstheme="majorHAnsi"/>
          <w:sz w:val="22"/>
          <w:szCs w:val="22"/>
        </w:rPr>
        <w:t xml:space="preserve">; </w:t>
      </w:r>
      <w:r w:rsidR="00FD7694" w:rsidRPr="00A13ACB">
        <w:rPr>
          <w:rFonts w:asciiTheme="majorHAnsi" w:hAnsiTheme="majorHAnsi" w:cstheme="majorHAnsi"/>
          <w:sz w:val="22"/>
          <w:szCs w:val="22"/>
        </w:rPr>
        <w:t>fundoscopy</w:t>
      </w:r>
      <w:r w:rsidR="00F64321" w:rsidRPr="00A13ACB">
        <w:rPr>
          <w:rFonts w:asciiTheme="majorHAnsi" w:hAnsiTheme="majorHAnsi" w:cstheme="majorHAnsi"/>
          <w:sz w:val="22"/>
          <w:szCs w:val="22"/>
        </w:rPr>
        <w:t xml:space="preserve"> was only carried out in 15% (60/</w:t>
      </w:r>
      <w:r w:rsidR="00887A30" w:rsidRPr="00A13ACB">
        <w:rPr>
          <w:rFonts w:asciiTheme="majorHAnsi" w:hAnsiTheme="majorHAnsi" w:cstheme="majorHAnsi"/>
          <w:sz w:val="22"/>
          <w:szCs w:val="22"/>
        </w:rPr>
        <w:t>405</w:t>
      </w:r>
      <w:r w:rsidR="00F64321" w:rsidRPr="00A13ACB">
        <w:rPr>
          <w:rFonts w:asciiTheme="majorHAnsi" w:hAnsiTheme="majorHAnsi" w:cstheme="majorHAnsi"/>
          <w:sz w:val="22"/>
          <w:szCs w:val="22"/>
        </w:rPr>
        <w:t xml:space="preserve">). </w:t>
      </w:r>
      <w:r w:rsidR="00B155C7" w:rsidRPr="00A13ACB">
        <w:rPr>
          <w:rFonts w:asciiTheme="majorHAnsi" w:hAnsiTheme="majorHAnsi" w:cstheme="majorHAnsi"/>
          <w:sz w:val="22"/>
          <w:szCs w:val="22"/>
        </w:rPr>
        <w:t xml:space="preserve">(Table </w:t>
      </w:r>
      <w:r w:rsidR="008A137E" w:rsidRPr="00A13ACB">
        <w:rPr>
          <w:rFonts w:asciiTheme="majorHAnsi" w:hAnsiTheme="majorHAnsi" w:cstheme="majorHAnsi"/>
          <w:sz w:val="22"/>
          <w:szCs w:val="22"/>
        </w:rPr>
        <w:t>1</w:t>
      </w:r>
      <w:r w:rsidR="00B155C7" w:rsidRPr="00A13ACB">
        <w:rPr>
          <w:rFonts w:asciiTheme="majorHAnsi" w:hAnsiTheme="majorHAnsi" w:cstheme="majorHAnsi"/>
          <w:sz w:val="22"/>
          <w:szCs w:val="22"/>
        </w:rPr>
        <w:t>)</w:t>
      </w:r>
    </w:p>
    <w:p w:rsidR="00C547D9" w:rsidRPr="00A13ACB" w:rsidRDefault="00C547D9" w:rsidP="00A13ACB">
      <w:pPr>
        <w:jc w:val="both"/>
        <w:rPr>
          <w:rFonts w:asciiTheme="majorHAnsi" w:hAnsiTheme="majorHAnsi" w:cstheme="majorHAnsi"/>
          <w:sz w:val="22"/>
          <w:szCs w:val="22"/>
        </w:rPr>
      </w:pPr>
    </w:p>
    <w:p w:rsidR="009A2426" w:rsidRPr="00A13ACB" w:rsidRDefault="00D20E40" w:rsidP="00A13ACB">
      <w:pPr>
        <w:jc w:val="both"/>
        <w:rPr>
          <w:rFonts w:asciiTheme="majorHAnsi" w:hAnsiTheme="majorHAnsi" w:cstheme="majorHAnsi"/>
          <w:sz w:val="22"/>
          <w:szCs w:val="22"/>
        </w:rPr>
      </w:pPr>
      <w:r w:rsidRPr="00A13ACB">
        <w:rPr>
          <w:rFonts w:asciiTheme="majorHAnsi" w:hAnsiTheme="majorHAnsi" w:cstheme="majorHAnsi"/>
          <w:sz w:val="22"/>
          <w:szCs w:val="22"/>
        </w:rPr>
        <w:t>For those presenting with a likely first seizure</w:t>
      </w:r>
      <w:r w:rsidR="001E749C" w:rsidRPr="00A13ACB">
        <w:rPr>
          <w:rFonts w:asciiTheme="majorHAnsi" w:hAnsiTheme="majorHAnsi" w:cstheme="majorHAnsi"/>
          <w:sz w:val="22"/>
          <w:szCs w:val="22"/>
        </w:rPr>
        <w:t>,</w:t>
      </w:r>
      <w:r w:rsidRPr="00A13ACB">
        <w:rPr>
          <w:rFonts w:asciiTheme="majorHAnsi" w:hAnsiTheme="majorHAnsi" w:cstheme="majorHAnsi"/>
          <w:sz w:val="22"/>
          <w:szCs w:val="22"/>
        </w:rPr>
        <w:t xml:space="preserve"> an eyewitness account was sought in </w:t>
      </w:r>
      <w:r w:rsidR="00887A30" w:rsidRPr="00A13ACB">
        <w:rPr>
          <w:rFonts w:asciiTheme="majorHAnsi" w:hAnsiTheme="majorHAnsi" w:cstheme="majorHAnsi"/>
          <w:sz w:val="22"/>
          <w:szCs w:val="22"/>
        </w:rPr>
        <w:t>80</w:t>
      </w:r>
      <w:r w:rsidRPr="00A13ACB">
        <w:rPr>
          <w:rFonts w:asciiTheme="majorHAnsi" w:hAnsiTheme="majorHAnsi" w:cstheme="majorHAnsi"/>
          <w:sz w:val="22"/>
          <w:szCs w:val="22"/>
        </w:rPr>
        <w:t>% (</w:t>
      </w:r>
      <w:r w:rsidR="00887A30" w:rsidRPr="00A13ACB">
        <w:rPr>
          <w:rFonts w:asciiTheme="majorHAnsi" w:hAnsiTheme="majorHAnsi" w:cstheme="majorHAnsi"/>
          <w:sz w:val="22"/>
          <w:szCs w:val="22"/>
        </w:rPr>
        <w:t>323</w:t>
      </w:r>
      <w:r w:rsidRPr="00A13ACB">
        <w:rPr>
          <w:rFonts w:asciiTheme="majorHAnsi" w:hAnsiTheme="majorHAnsi" w:cstheme="majorHAnsi"/>
          <w:sz w:val="22"/>
          <w:szCs w:val="22"/>
        </w:rPr>
        <w:t>/</w:t>
      </w:r>
      <w:r w:rsidR="00887A30" w:rsidRPr="00A13ACB">
        <w:rPr>
          <w:rFonts w:asciiTheme="majorHAnsi" w:hAnsiTheme="majorHAnsi" w:cstheme="majorHAnsi"/>
          <w:sz w:val="22"/>
          <w:szCs w:val="22"/>
        </w:rPr>
        <w:t>405</w:t>
      </w:r>
      <w:r w:rsidR="00292114" w:rsidRPr="00A13ACB">
        <w:rPr>
          <w:rFonts w:asciiTheme="majorHAnsi" w:hAnsiTheme="majorHAnsi" w:cstheme="majorHAnsi"/>
          <w:sz w:val="22"/>
          <w:szCs w:val="22"/>
        </w:rPr>
        <w:t>) of</w:t>
      </w:r>
      <w:r w:rsidR="0087114F" w:rsidRPr="00A13ACB">
        <w:rPr>
          <w:rFonts w:asciiTheme="majorHAnsi" w:hAnsiTheme="majorHAnsi" w:cstheme="majorHAnsi"/>
          <w:sz w:val="22"/>
          <w:szCs w:val="22"/>
        </w:rPr>
        <w:t xml:space="preserve"> patients over 60 compared to 72% (436</w:t>
      </w:r>
      <w:r w:rsidR="00292114" w:rsidRPr="00A13ACB">
        <w:rPr>
          <w:rFonts w:asciiTheme="majorHAnsi" w:hAnsiTheme="majorHAnsi" w:cstheme="majorHAnsi"/>
          <w:sz w:val="22"/>
          <w:szCs w:val="22"/>
        </w:rPr>
        <w:t xml:space="preserve">/606) </w:t>
      </w:r>
      <w:r w:rsidR="00CB1B03" w:rsidRPr="00A13ACB">
        <w:rPr>
          <w:rFonts w:asciiTheme="majorHAnsi" w:hAnsiTheme="majorHAnsi" w:cstheme="majorHAnsi"/>
          <w:sz w:val="22"/>
          <w:szCs w:val="22"/>
        </w:rPr>
        <w:t xml:space="preserve">in </w:t>
      </w:r>
      <w:r w:rsidR="00292114" w:rsidRPr="00A13ACB">
        <w:rPr>
          <w:rFonts w:asciiTheme="majorHAnsi" w:hAnsiTheme="majorHAnsi" w:cstheme="majorHAnsi"/>
          <w:sz w:val="22"/>
          <w:szCs w:val="22"/>
        </w:rPr>
        <w:t>patients under 60.</w:t>
      </w:r>
    </w:p>
    <w:p w:rsidR="0078523E" w:rsidRPr="00A13ACB" w:rsidRDefault="0078523E" w:rsidP="00A13ACB">
      <w:pPr>
        <w:jc w:val="both"/>
        <w:rPr>
          <w:rFonts w:asciiTheme="majorHAnsi" w:hAnsiTheme="majorHAnsi" w:cstheme="majorHAnsi"/>
          <w:sz w:val="22"/>
          <w:szCs w:val="22"/>
        </w:rPr>
      </w:pPr>
    </w:p>
    <w:p w:rsidR="00D20E40" w:rsidRPr="00A13ACB" w:rsidRDefault="00D20E40" w:rsidP="00A13ACB">
      <w:pPr>
        <w:jc w:val="both"/>
        <w:rPr>
          <w:rFonts w:asciiTheme="majorHAnsi" w:hAnsiTheme="majorHAnsi" w:cstheme="majorHAnsi"/>
          <w:sz w:val="22"/>
          <w:szCs w:val="22"/>
        </w:rPr>
      </w:pPr>
      <w:r w:rsidRPr="00A13ACB">
        <w:rPr>
          <w:rFonts w:asciiTheme="majorHAnsi" w:hAnsiTheme="majorHAnsi" w:cstheme="majorHAnsi"/>
          <w:sz w:val="22"/>
          <w:szCs w:val="22"/>
        </w:rPr>
        <w:t>Senior review</w:t>
      </w:r>
      <w:r w:rsidR="002A06D4" w:rsidRPr="00A13ACB">
        <w:rPr>
          <w:rFonts w:asciiTheme="majorHAnsi" w:hAnsiTheme="majorHAnsi" w:cstheme="majorHAnsi"/>
          <w:sz w:val="22"/>
          <w:szCs w:val="22"/>
        </w:rPr>
        <w:t xml:space="preserve"> or discussion with a senior</w:t>
      </w:r>
      <w:r w:rsidRPr="00A13ACB">
        <w:rPr>
          <w:rFonts w:asciiTheme="majorHAnsi" w:hAnsiTheme="majorHAnsi" w:cstheme="majorHAnsi"/>
          <w:sz w:val="22"/>
          <w:szCs w:val="22"/>
        </w:rPr>
        <w:t xml:space="preserve"> in ED was carried out in </w:t>
      </w:r>
      <w:r w:rsidR="00091A7C" w:rsidRPr="00A13ACB">
        <w:rPr>
          <w:rFonts w:asciiTheme="majorHAnsi" w:hAnsiTheme="majorHAnsi" w:cstheme="majorHAnsi"/>
          <w:sz w:val="22"/>
          <w:szCs w:val="22"/>
        </w:rPr>
        <w:t>57</w:t>
      </w:r>
      <w:r w:rsidRPr="00A13ACB">
        <w:rPr>
          <w:rFonts w:asciiTheme="majorHAnsi" w:hAnsiTheme="majorHAnsi" w:cstheme="majorHAnsi"/>
          <w:sz w:val="22"/>
          <w:szCs w:val="22"/>
        </w:rPr>
        <w:t>% (</w:t>
      </w:r>
      <w:r w:rsidR="00887A30" w:rsidRPr="00A13ACB">
        <w:rPr>
          <w:rFonts w:asciiTheme="majorHAnsi" w:hAnsiTheme="majorHAnsi" w:cstheme="majorHAnsi"/>
          <w:sz w:val="22"/>
          <w:szCs w:val="22"/>
        </w:rPr>
        <w:t>229</w:t>
      </w:r>
      <w:r w:rsidRPr="00A13ACB">
        <w:rPr>
          <w:rFonts w:asciiTheme="majorHAnsi" w:hAnsiTheme="majorHAnsi" w:cstheme="majorHAnsi"/>
          <w:sz w:val="22"/>
          <w:szCs w:val="22"/>
        </w:rPr>
        <w:t>/</w:t>
      </w:r>
      <w:r w:rsidR="00887A30" w:rsidRPr="00A13ACB">
        <w:rPr>
          <w:rFonts w:asciiTheme="majorHAnsi" w:hAnsiTheme="majorHAnsi" w:cstheme="majorHAnsi"/>
          <w:sz w:val="22"/>
          <w:szCs w:val="22"/>
        </w:rPr>
        <w:t>405</w:t>
      </w:r>
      <w:r w:rsidRPr="00A13ACB">
        <w:rPr>
          <w:rFonts w:asciiTheme="majorHAnsi" w:hAnsiTheme="majorHAnsi" w:cstheme="majorHAnsi"/>
          <w:sz w:val="22"/>
          <w:szCs w:val="22"/>
        </w:rPr>
        <w:t>) of patients presenting with a likely first seizure</w:t>
      </w:r>
      <w:r w:rsidR="00292114" w:rsidRPr="00A13ACB">
        <w:rPr>
          <w:rFonts w:asciiTheme="majorHAnsi" w:hAnsiTheme="majorHAnsi" w:cstheme="majorHAnsi"/>
          <w:sz w:val="22"/>
          <w:szCs w:val="22"/>
        </w:rPr>
        <w:t xml:space="preserve"> and in 5</w:t>
      </w:r>
      <w:r w:rsidR="00887A30" w:rsidRPr="00A13ACB">
        <w:rPr>
          <w:rFonts w:asciiTheme="majorHAnsi" w:hAnsiTheme="majorHAnsi" w:cstheme="majorHAnsi"/>
          <w:sz w:val="22"/>
          <w:szCs w:val="22"/>
        </w:rPr>
        <w:t>9</w:t>
      </w:r>
      <w:r w:rsidRPr="00A13ACB">
        <w:rPr>
          <w:rFonts w:asciiTheme="majorHAnsi" w:hAnsiTheme="majorHAnsi" w:cstheme="majorHAnsi"/>
          <w:sz w:val="22"/>
          <w:szCs w:val="22"/>
        </w:rPr>
        <w:t>% (</w:t>
      </w:r>
      <w:r w:rsidR="00887A30" w:rsidRPr="00A13ACB">
        <w:rPr>
          <w:rFonts w:asciiTheme="majorHAnsi" w:hAnsiTheme="majorHAnsi" w:cstheme="majorHAnsi"/>
          <w:sz w:val="22"/>
          <w:szCs w:val="22"/>
        </w:rPr>
        <w:t>377</w:t>
      </w:r>
      <w:r w:rsidRPr="00A13ACB">
        <w:rPr>
          <w:rFonts w:asciiTheme="majorHAnsi" w:hAnsiTheme="majorHAnsi" w:cstheme="majorHAnsi"/>
          <w:sz w:val="22"/>
          <w:szCs w:val="22"/>
        </w:rPr>
        <w:t>/640)</w:t>
      </w:r>
      <w:r w:rsidR="00292114" w:rsidRPr="00A13ACB">
        <w:rPr>
          <w:rFonts w:asciiTheme="majorHAnsi" w:hAnsiTheme="majorHAnsi" w:cstheme="majorHAnsi"/>
          <w:sz w:val="22"/>
          <w:szCs w:val="22"/>
        </w:rPr>
        <w:t xml:space="preserve"> of patients with epilepsy</w:t>
      </w:r>
      <w:r w:rsidR="00ED4B9D" w:rsidRPr="00A13ACB">
        <w:rPr>
          <w:rFonts w:asciiTheme="majorHAnsi" w:hAnsiTheme="majorHAnsi" w:cstheme="majorHAnsi"/>
          <w:sz w:val="22"/>
          <w:szCs w:val="22"/>
        </w:rPr>
        <w:t>.</w:t>
      </w:r>
      <w:r w:rsidRPr="00A13ACB">
        <w:rPr>
          <w:rFonts w:asciiTheme="majorHAnsi" w:hAnsiTheme="majorHAnsi" w:cstheme="majorHAnsi"/>
          <w:sz w:val="22"/>
          <w:szCs w:val="22"/>
        </w:rPr>
        <w:t xml:space="preserve"> </w:t>
      </w:r>
      <w:r w:rsidR="005D1E4D" w:rsidRPr="00A13ACB">
        <w:rPr>
          <w:rFonts w:asciiTheme="majorHAnsi" w:hAnsiTheme="majorHAnsi" w:cstheme="majorHAnsi"/>
          <w:sz w:val="22"/>
          <w:szCs w:val="22"/>
        </w:rPr>
        <w:t>These figures were</w:t>
      </w:r>
      <w:r w:rsidR="00B73470" w:rsidRPr="00A13ACB">
        <w:rPr>
          <w:rFonts w:asciiTheme="majorHAnsi" w:hAnsiTheme="majorHAnsi" w:cstheme="majorHAnsi"/>
          <w:sz w:val="22"/>
          <w:szCs w:val="22"/>
        </w:rPr>
        <w:t xml:space="preserve"> </w:t>
      </w:r>
      <w:r w:rsidR="00B155C7" w:rsidRPr="00A13ACB">
        <w:rPr>
          <w:rFonts w:asciiTheme="majorHAnsi" w:hAnsiTheme="majorHAnsi" w:cstheme="majorHAnsi"/>
          <w:sz w:val="22"/>
          <w:szCs w:val="22"/>
        </w:rPr>
        <w:t xml:space="preserve">comparable </w:t>
      </w:r>
      <w:r w:rsidR="004B29A9" w:rsidRPr="00A13ACB">
        <w:rPr>
          <w:rFonts w:asciiTheme="majorHAnsi" w:hAnsiTheme="majorHAnsi" w:cstheme="majorHAnsi"/>
          <w:sz w:val="22"/>
          <w:szCs w:val="22"/>
        </w:rPr>
        <w:t xml:space="preserve">to those </w:t>
      </w:r>
      <w:r w:rsidR="00754E28">
        <w:rPr>
          <w:rFonts w:asciiTheme="majorHAnsi" w:hAnsiTheme="majorHAnsi" w:cstheme="majorHAnsi"/>
          <w:sz w:val="22"/>
          <w:szCs w:val="22"/>
        </w:rPr>
        <w:t>in</w:t>
      </w:r>
      <w:r w:rsidR="004B29A9" w:rsidRPr="00A13ACB">
        <w:rPr>
          <w:rFonts w:asciiTheme="majorHAnsi" w:hAnsiTheme="majorHAnsi" w:cstheme="majorHAnsi"/>
          <w:sz w:val="22"/>
          <w:szCs w:val="22"/>
        </w:rPr>
        <w:t xml:space="preserve"> </w:t>
      </w:r>
      <w:r w:rsidR="000E49F3" w:rsidRPr="00A13ACB">
        <w:rPr>
          <w:rFonts w:asciiTheme="majorHAnsi" w:hAnsiTheme="majorHAnsi" w:cstheme="majorHAnsi"/>
          <w:sz w:val="22"/>
          <w:szCs w:val="22"/>
        </w:rPr>
        <w:t xml:space="preserve">the under 60s. </w:t>
      </w:r>
    </w:p>
    <w:p w:rsidR="00C12433" w:rsidRPr="00A13ACB" w:rsidRDefault="00C12433" w:rsidP="00A13ACB">
      <w:pPr>
        <w:jc w:val="both"/>
        <w:rPr>
          <w:rFonts w:asciiTheme="majorHAnsi" w:hAnsiTheme="majorHAnsi" w:cstheme="majorHAnsi"/>
          <w:sz w:val="22"/>
          <w:szCs w:val="22"/>
        </w:rPr>
      </w:pPr>
    </w:p>
    <w:p w:rsidR="006D10AC" w:rsidRPr="00A13ACB" w:rsidRDefault="00D20E40" w:rsidP="00A13ACB">
      <w:pPr>
        <w:jc w:val="both"/>
        <w:rPr>
          <w:rFonts w:asciiTheme="majorHAnsi" w:hAnsiTheme="majorHAnsi" w:cstheme="majorHAnsi"/>
          <w:sz w:val="22"/>
          <w:szCs w:val="22"/>
        </w:rPr>
      </w:pPr>
      <w:r w:rsidRPr="00A13ACB">
        <w:rPr>
          <w:rFonts w:asciiTheme="majorHAnsi" w:hAnsiTheme="majorHAnsi" w:cstheme="majorHAnsi"/>
          <w:sz w:val="22"/>
          <w:szCs w:val="22"/>
        </w:rPr>
        <w:t xml:space="preserve">Documentation of alcohol intake </w:t>
      </w:r>
      <w:r w:rsidR="00B155C7" w:rsidRPr="00A13ACB">
        <w:rPr>
          <w:rFonts w:asciiTheme="majorHAnsi" w:hAnsiTheme="majorHAnsi" w:cstheme="majorHAnsi"/>
          <w:sz w:val="22"/>
          <w:szCs w:val="22"/>
        </w:rPr>
        <w:t>was lower for patients over 60 co</w:t>
      </w:r>
      <w:r w:rsidR="000E49F3" w:rsidRPr="00A13ACB">
        <w:rPr>
          <w:rFonts w:asciiTheme="majorHAnsi" w:hAnsiTheme="majorHAnsi" w:cstheme="majorHAnsi"/>
          <w:sz w:val="22"/>
          <w:szCs w:val="22"/>
        </w:rPr>
        <w:t>mpared to their younger cohorts</w:t>
      </w:r>
      <w:r w:rsidR="00B155C7" w:rsidRPr="00A13ACB">
        <w:rPr>
          <w:rFonts w:asciiTheme="majorHAnsi" w:hAnsiTheme="majorHAnsi" w:cstheme="majorHAnsi"/>
          <w:sz w:val="22"/>
          <w:szCs w:val="22"/>
        </w:rPr>
        <w:t xml:space="preserve">. It was </w:t>
      </w:r>
      <w:r w:rsidRPr="00A13ACB">
        <w:rPr>
          <w:rFonts w:asciiTheme="majorHAnsi" w:hAnsiTheme="majorHAnsi" w:cstheme="majorHAnsi"/>
          <w:sz w:val="22"/>
          <w:szCs w:val="22"/>
        </w:rPr>
        <w:t>carried out in 31% (126/</w:t>
      </w:r>
      <w:r w:rsidR="00887A30" w:rsidRPr="00A13ACB">
        <w:rPr>
          <w:rFonts w:asciiTheme="majorHAnsi" w:hAnsiTheme="majorHAnsi" w:cstheme="majorHAnsi"/>
          <w:sz w:val="22"/>
          <w:szCs w:val="22"/>
        </w:rPr>
        <w:t>405</w:t>
      </w:r>
      <w:r w:rsidRPr="00A13ACB">
        <w:rPr>
          <w:rFonts w:asciiTheme="majorHAnsi" w:hAnsiTheme="majorHAnsi" w:cstheme="majorHAnsi"/>
          <w:sz w:val="22"/>
          <w:szCs w:val="22"/>
        </w:rPr>
        <w:t xml:space="preserve">) of patients presenting with a likely first seizure. </w:t>
      </w:r>
    </w:p>
    <w:p w:rsidR="002A06D4" w:rsidRPr="00A13ACB" w:rsidRDefault="002A06D4" w:rsidP="00A13ACB">
      <w:pPr>
        <w:jc w:val="both"/>
        <w:rPr>
          <w:rFonts w:asciiTheme="majorHAnsi" w:hAnsiTheme="majorHAnsi" w:cstheme="majorHAnsi"/>
          <w:sz w:val="22"/>
          <w:szCs w:val="22"/>
        </w:rPr>
      </w:pPr>
    </w:p>
    <w:p w:rsidR="00E57D4B" w:rsidRPr="00A13ACB" w:rsidRDefault="00B155C7" w:rsidP="00A13ACB">
      <w:pPr>
        <w:jc w:val="both"/>
        <w:rPr>
          <w:rFonts w:asciiTheme="majorHAnsi" w:hAnsiTheme="majorHAnsi" w:cstheme="majorHAnsi"/>
          <w:sz w:val="22"/>
          <w:szCs w:val="22"/>
        </w:rPr>
      </w:pPr>
      <w:r w:rsidRPr="00A13ACB">
        <w:rPr>
          <w:rFonts w:asciiTheme="majorHAnsi" w:hAnsiTheme="majorHAnsi" w:cstheme="majorHAnsi"/>
          <w:sz w:val="22"/>
          <w:szCs w:val="22"/>
        </w:rPr>
        <w:t xml:space="preserve">Rates of admission were higher in patients over 60 compared to those under 60. </w:t>
      </w:r>
      <w:r w:rsidR="006D10AC" w:rsidRPr="00A13ACB">
        <w:rPr>
          <w:rFonts w:asciiTheme="majorHAnsi" w:hAnsiTheme="majorHAnsi" w:cstheme="majorHAnsi"/>
          <w:sz w:val="22"/>
          <w:szCs w:val="22"/>
        </w:rPr>
        <w:t>80% (326/</w:t>
      </w:r>
      <w:r w:rsidR="00887A30" w:rsidRPr="00A13ACB">
        <w:rPr>
          <w:rFonts w:asciiTheme="majorHAnsi" w:hAnsiTheme="majorHAnsi" w:cstheme="majorHAnsi"/>
          <w:sz w:val="22"/>
          <w:szCs w:val="22"/>
        </w:rPr>
        <w:t>405</w:t>
      </w:r>
      <w:r w:rsidR="006D10AC" w:rsidRPr="00A13ACB">
        <w:rPr>
          <w:rFonts w:asciiTheme="majorHAnsi" w:hAnsiTheme="majorHAnsi" w:cstheme="majorHAnsi"/>
          <w:sz w:val="22"/>
          <w:szCs w:val="22"/>
        </w:rPr>
        <w:t>) of patients</w:t>
      </w:r>
      <w:r w:rsidR="004243BC" w:rsidRPr="00A13ACB">
        <w:rPr>
          <w:rFonts w:asciiTheme="majorHAnsi" w:hAnsiTheme="majorHAnsi" w:cstheme="majorHAnsi"/>
          <w:sz w:val="22"/>
          <w:szCs w:val="22"/>
        </w:rPr>
        <w:t xml:space="preserve"> </w:t>
      </w:r>
      <w:r w:rsidR="00754E28">
        <w:rPr>
          <w:rFonts w:asciiTheme="majorHAnsi" w:hAnsiTheme="majorHAnsi" w:cstheme="majorHAnsi"/>
          <w:sz w:val="22"/>
          <w:szCs w:val="22"/>
        </w:rPr>
        <w:t xml:space="preserve">aged </w:t>
      </w:r>
      <w:r w:rsidR="004243BC" w:rsidRPr="00A13ACB">
        <w:rPr>
          <w:rFonts w:asciiTheme="majorHAnsi" w:hAnsiTheme="majorHAnsi" w:cstheme="majorHAnsi"/>
          <w:sz w:val="22"/>
          <w:szCs w:val="22"/>
        </w:rPr>
        <w:t>60</w:t>
      </w:r>
      <w:r w:rsidR="00754E28">
        <w:rPr>
          <w:rFonts w:asciiTheme="majorHAnsi" w:hAnsiTheme="majorHAnsi" w:cstheme="majorHAnsi"/>
          <w:sz w:val="22"/>
          <w:szCs w:val="22"/>
        </w:rPr>
        <w:t xml:space="preserve"> and over</w:t>
      </w:r>
      <w:r w:rsidR="006D10AC" w:rsidRPr="00A13ACB">
        <w:rPr>
          <w:rFonts w:asciiTheme="majorHAnsi" w:hAnsiTheme="majorHAnsi" w:cstheme="majorHAnsi"/>
          <w:sz w:val="22"/>
          <w:szCs w:val="22"/>
        </w:rPr>
        <w:t xml:space="preserve"> presenting</w:t>
      </w:r>
      <w:r w:rsidR="00E60801" w:rsidRPr="00A13ACB">
        <w:rPr>
          <w:rFonts w:asciiTheme="majorHAnsi" w:hAnsiTheme="majorHAnsi" w:cstheme="majorHAnsi"/>
          <w:sz w:val="22"/>
          <w:szCs w:val="22"/>
        </w:rPr>
        <w:t xml:space="preserve"> with a </w:t>
      </w:r>
      <w:r w:rsidR="00B848AE" w:rsidRPr="00A13ACB">
        <w:rPr>
          <w:rFonts w:asciiTheme="majorHAnsi" w:hAnsiTheme="majorHAnsi" w:cstheme="majorHAnsi"/>
          <w:sz w:val="22"/>
          <w:szCs w:val="22"/>
        </w:rPr>
        <w:t>likely first</w:t>
      </w:r>
      <w:r w:rsidR="006D10AC" w:rsidRPr="00A13ACB">
        <w:rPr>
          <w:rFonts w:asciiTheme="majorHAnsi" w:hAnsiTheme="majorHAnsi" w:cstheme="majorHAnsi"/>
          <w:sz w:val="22"/>
          <w:szCs w:val="22"/>
        </w:rPr>
        <w:t xml:space="preserve"> seizure were admitted to hospital</w:t>
      </w:r>
      <w:r w:rsidR="00B13BAD" w:rsidRPr="00A13ACB">
        <w:rPr>
          <w:rFonts w:asciiTheme="majorHAnsi" w:hAnsiTheme="majorHAnsi" w:cstheme="majorHAnsi"/>
          <w:sz w:val="22"/>
          <w:szCs w:val="22"/>
        </w:rPr>
        <w:t>, compared to 65% of those under 60</w:t>
      </w:r>
      <w:r w:rsidR="006D10AC" w:rsidRPr="00A13ACB">
        <w:rPr>
          <w:rFonts w:asciiTheme="majorHAnsi" w:hAnsiTheme="majorHAnsi" w:cstheme="majorHAnsi"/>
          <w:sz w:val="22"/>
          <w:szCs w:val="22"/>
        </w:rPr>
        <w:t xml:space="preserve">. </w:t>
      </w:r>
      <w:r w:rsidR="002932D7" w:rsidRPr="00A13ACB">
        <w:rPr>
          <w:rFonts w:asciiTheme="majorHAnsi" w:hAnsiTheme="majorHAnsi" w:cstheme="majorHAnsi"/>
          <w:sz w:val="22"/>
          <w:szCs w:val="22"/>
        </w:rPr>
        <w:t>(</w:t>
      </w:r>
      <w:r w:rsidR="00F16A49" w:rsidRPr="00A13ACB">
        <w:rPr>
          <w:rFonts w:asciiTheme="majorHAnsi" w:hAnsiTheme="majorHAnsi" w:cstheme="majorHAnsi"/>
          <w:sz w:val="22"/>
          <w:szCs w:val="22"/>
        </w:rPr>
        <w:t>Table</w:t>
      </w:r>
      <w:r w:rsidR="002932D7" w:rsidRPr="00A13ACB">
        <w:rPr>
          <w:rFonts w:asciiTheme="majorHAnsi" w:hAnsiTheme="majorHAnsi" w:cstheme="majorHAnsi"/>
          <w:sz w:val="22"/>
          <w:szCs w:val="22"/>
        </w:rPr>
        <w:t xml:space="preserve"> </w:t>
      </w:r>
      <w:r w:rsidR="00017ECF" w:rsidRPr="00A13ACB">
        <w:rPr>
          <w:rFonts w:asciiTheme="majorHAnsi" w:hAnsiTheme="majorHAnsi" w:cstheme="majorHAnsi"/>
          <w:sz w:val="22"/>
          <w:szCs w:val="22"/>
        </w:rPr>
        <w:t>1</w:t>
      </w:r>
      <w:r w:rsidR="002932D7" w:rsidRPr="00A13ACB">
        <w:rPr>
          <w:rFonts w:asciiTheme="majorHAnsi" w:hAnsiTheme="majorHAnsi" w:cstheme="majorHAnsi"/>
          <w:sz w:val="22"/>
          <w:szCs w:val="22"/>
        </w:rPr>
        <w:t>)</w:t>
      </w:r>
    </w:p>
    <w:p w:rsidR="0024603E" w:rsidRPr="00A13ACB" w:rsidRDefault="0024603E" w:rsidP="00A13ACB">
      <w:pPr>
        <w:jc w:val="both"/>
        <w:rPr>
          <w:rFonts w:asciiTheme="majorHAnsi" w:hAnsiTheme="majorHAnsi" w:cstheme="majorHAnsi"/>
          <w:sz w:val="22"/>
          <w:szCs w:val="22"/>
        </w:rPr>
      </w:pPr>
    </w:p>
    <w:p w:rsidR="008A137E" w:rsidRPr="00A13ACB" w:rsidRDefault="008A137E" w:rsidP="00A13ACB">
      <w:pPr>
        <w:jc w:val="both"/>
        <w:rPr>
          <w:rFonts w:asciiTheme="majorHAnsi" w:hAnsiTheme="majorHAnsi" w:cstheme="majorHAnsi"/>
          <w:b/>
          <w:sz w:val="22"/>
          <w:szCs w:val="22"/>
        </w:rPr>
      </w:pPr>
    </w:p>
    <w:p w:rsidR="009A2426" w:rsidRPr="00A13ACB" w:rsidRDefault="00C20EEB" w:rsidP="00A13ACB">
      <w:pPr>
        <w:jc w:val="both"/>
        <w:rPr>
          <w:rFonts w:asciiTheme="majorHAnsi" w:hAnsiTheme="majorHAnsi" w:cstheme="majorHAnsi"/>
          <w:b/>
          <w:sz w:val="22"/>
          <w:szCs w:val="22"/>
        </w:rPr>
      </w:pPr>
      <w:r w:rsidRPr="00A13ACB">
        <w:rPr>
          <w:rFonts w:asciiTheme="majorHAnsi" w:hAnsiTheme="majorHAnsi" w:cstheme="majorHAnsi"/>
          <w:b/>
          <w:sz w:val="22"/>
          <w:szCs w:val="22"/>
        </w:rPr>
        <w:t xml:space="preserve">Inpatient management </w:t>
      </w:r>
    </w:p>
    <w:p w:rsidR="004243BC" w:rsidRPr="00A13ACB" w:rsidRDefault="00305F76" w:rsidP="00A13ACB">
      <w:pPr>
        <w:jc w:val="both"/>
        <w:rPr>
          <w:rFonts w:asciiTheme="majorHAnsi" w:hAnsiTheme="majorHAnsi" w:cstheme="majorHAnsi"/>
          <w:sz w:val="22"/>
          <w:szCs w:val="22"/>
        </w:rPr>
      </w:pPr>
      <w:r>
        <w:rPr>
          <w:rFonts w:asciiTheme="majorHAnsi" w:hAnsiTheme="majorHAnsi" w:cstheme="majorHAnsi"/>
          <w:sz w:val="22"/>
          <w:szCs w:val="22"/>
        </w:rPr>
        <w:t>ECG</w:t>
      </w:r>
      <w:r w:rsidR="00CC4E5D">
        <w:rPr>
          <w:rFonts w:asciiTheme="majorHAnsi" w:hAnsiTheme="majorHAnsi" w:cstheme="majorHAnsi"/>
          <w:sz w:val="22"/>
          <w:szCs w:val="22"/>
        </w:rPr>
        <w:t>s</w:t>
      </w:r>
      <w:r w:rsidR="009C0ABB" w:rsidRPr="00A13ACB">
        <w:rPr>
          <w:rFonts w:asciiTheme="majorHAnsi" w:hAnsiTheme="majorHAnsi" w:cstheme="majorHAnsi"/>
          <w:sz w:val="22"/>
          <w:szCs w:val="22"/>
        </w:rPr>
        <w:t xml:space="preserve">, </w:t>
      </w:r>
      <w:r w:rsidR="00CB1B03" w:rsidRPr="00A13ACB">
        <w:rPr>
          <w:rFonts w:asciiTheme="majorHAnsi" w:hAnsiTheme="majorHAnsi" w:cstheme="majorHAnsi"/>
          <w:sz w:val="22"/>
          <w:szCs w:val="22"/>
        </w:rPr>
        <w:t xml:space="preserve">a </w:t>
      </w:r>
      <w:r w:rsidR="003B6E9C" w:rsidRPr="00A13ACB">
        <w:rPr>
          <w:rFonts w:asciiTheme="majorHAnsi" w:hAnsiTheme="majorHAnsi" w:cstheme="majorHAnsi"/>
          <w:sz w:val="22"/>
          <w:szCs w:val="22"/>
        </w:rPr>
        <w:t xml:space="preserve">NICE </w:t>
      </w:r>
      <w:r w:rsidR="00B155C7" w:rsidRPr="00A13ACB">
        <w:rPr>
          <w:rFonts w:asciiTheme="majorHAnsi" w:hAnsiTheme="majorHAnsi" w:cstheme="majorHAnsi"/>
          <w:sz w:val="22"/>
          <w:szCs w:val="22"/>
        </w:rPr>
        <w:t>guideline-</w:t>
      </w:r>
      <w:r w:rsidR="003B6E9C" w:rsidRPr="00A13ACB">
        <w:rPr>
          <w:rFonts w:asciiTheme="majorHAnsi" w:hAnsiTheme="majorHAnsi" w:cstheme="majorHAnsi"/>
          <w:sz w:val="22"/>
          <w:szCs w:val="22"/>
        </w:rPr>
        <w:t>recommended investigation, were documented in 91% (</w:t>
      </w:r>
      <w:r w:rsidR="00851076" w:rsidRPr="00A13ACB">
        <w:rPr>
          <w:rFonts w:asciiTheme="majorHAnsi" w:hAnsiTheme="majorHAnsi" w:cstheme="majorHAnsi"/>
          <w:sz w:val="22"/>
          <w:szCs w:val="22"/>
        </w:rPr>
        <w:t>370</w:t>
      </w:r>
      <w:r w:rsidR="003B6E9C" w:rsidRPr="00A13ACB">
        <w:rPr>
          <w:rFonts w:asciiTheme="majorHAnsi" w:hAnsiTheme="majorHAnsi" w:cstheme="majorHAnsi"/>
          <w:sz w:val="22"/>
          <w:szCs w:val="22"/>
        </w:rPr>
        <w:t>/</w:t>
      </w:r>
      <w:r w:rsidR="00E21F90" w:rsidRPr="00A13ACB">
        <w:rPr>
          <w:rFonts w:asciiTheme="majorHAnsi" w:hAnsiTheme="majorHAnsi" w:cstheme="majorHAnsi"/>
          <w:sz w:val="22"/>
          <w:szCs w:val="22"/>
        </w:rPr>
        <w:t>405</w:t>
      </w:r>
      <w:r w:rsidR="003B6E9C" w:rsidRPr="00A13ACB">
        <w:rPr>
          <w:rFonts w:asciiTheme="majorHAnsi" w:hAnsiTheme="majorHAnsi" w:cstheme="majorHAnsi"/>
          <w:sz w:val="22"/>
          <w:szCs w:val="22"/>
        </w:rPr>
        <w:t xml:space="preserve">) of patients presenting with a </w:t>
      </w:r>
      <w:r w:rsidR="00B848AE" w:rsidRPr="00A13ACB">
        <w:rPr>
          <w:rFonts w:asciiTheme="majorHAnsi" w:hAnsiTheme="majorHAnsi" w:cstheme="majorHAnsi"/>
          <w:sz w:val="22"/>
          <w:szCs w:val="22"/>
        </w:rPr>
        <w:t>likely</w:t>
      </w:r>
      <w:r w:rsidR="003B6E9C" w:rsidRPr="00A13ACB">
        <w:rPr>
          <w:rFonts w:asciiTheme="majorHAnsi" w:hAnsiTheme="majorHAnsi" w:cstheme="majorHAnsi"/>
          <w:sz w:val="22"/>
          <w:szCs w:val="22"/>
        </w:rPr>
        <w:t xml:space="preserve"> first seizure</w:t>
      </w:r>
      <w:r w:rsidR="000E49F3" w:rsidRPr="00A13ACB">
        <w:rPr>
          <w:rFonts w:asciiTheme="majorHAnsi" w:hAnsiTheme="majorHAnsi" w:cstheme="majorHAnsi"/>
          <w:sz w:val="22"/>
          <w:szCs w:val="22"/>
        </w:rPr>
        <w:t xml:space="preserve"> and 83% (534/640) of patients with epilepsy.</w:t>
      </w:r>
      <w:r w:rsidR="003F6EFF" w:rsidRPr="00A13ACB">
        <w:rPr>
          <w:rFonts w:asciiTheme="majorHAnsi" w:hAnsiTheme="majorHAnsi" w:cstheme="majorHAnsi"/>
          <w:sz w:val="22"/>
          <w:szCs w:val="22"/>
        </w:rPr>
        <w:t xml:space="preserve"> (17)</w:t>
      </w:r>
      <w:r w:rsidR="003B6E9C" w:rsidRPr="00A13ACB">
        <w:rPr>
          <w:rFonts w:asciiTheme="majorHAnsi" w:hAnsiTheme="majorHAnsi" w:cstheme="majorHAnsi"/>
          <w:sz w:val="22"/>
          <w:szCs w:val="22"/>
        </w:rPr>
        <w:t xml:space="preserve"> </w:t>
      </w:r>
      <w:r w:rsidR="00F16A49" w:rsidRPr="00A13ACB">
        <w:rPr>
          <w:rFonts w:asciiTheme="majorHAnsi" w:hAnsiTheme="majorHAnsi" w:cstheme="majorHAnsi"/>
          <w:sz w:val="22"/>
          <w:szCs w:val="22"/>
        </w:rPr>
        <w:t>(T</w:t>
      </w:r>
      <w:r w:rsidR="003F6EFF" w:rsidRPr="00A13ACB">
        <w:rPr>
          <w:rFonts w:asciiTheme="majorHAnsi" w:hAnsiTheme="majorHAnsi" w:cstheme="majorHAnsi"/>
          <w:sz w:val="22"/>
          <w:szCs w:val="22"/>
        </w:rPr>
        <w:t xml:space="preserve">able </w:t>
      </w:r>
      <w:r w:rsidR="008A137E" w:rsidRPr="00A13ACB">
        <w:rPr>
          <w:rFonts w:asciiTheme="majorHAnsi" w:hAnsiTheme="majorHAnsi" w:cstheme="majorHAnsi"/>
          <w:sz w:val="22"/>
          <w:szCs w:val="22"/>
        </w:rPr>
        <w:t>1</w:t>
      </w:r>
      <w:r w:rsidR="003F6EFF" w:rsidRPr="00A13ACB">
        <w:rPr>
          <w:rFonts w:asciiTheme="majorHAnsi" w:hAnsiTheme="majorHAnsi" w:cstheme="majorHAnsi"/>
          <w:sz w:val="22"/>
          <w:szCs w:val="22"/>
        </w:rPr>
        <w:t>)</w:t>
      </w:r>
    </w:p>
    <w:p w:rsidR="008A137E" w:rsidRPr="00A13ACB" w:rsidRDefault="008A137E" w:rsidP="00A13ACB">
      <w:pPr>
        <w:jc w:val="both"/>
        <w:rPr>
          <w:rFonts w:asciiTheme="majorHAnsi" w:hAnsiTheme="majorHAnsi" w:cstheme="majorHAnsi"/>
          <w:sz w:val="22"/>
          <w:szCs w:val="22"/>
        </w:rPr>
      </w:pPr>
    </w:p>
    <w:p w:rsidR="004243BC" w:rsidRPr="00A13ACB" w:rsidRDefault="00930000" w:rsidP="00A13ACB">
      <w:pPr>
        <w:jc w:val="both"/>
        <w:rPr>
          <w:rFonts w:asciiTheme="majorHAnsi" w:hAnsiTheme="majorHAnsi" w:cstheme="majorHAnsi"/>
          <w:sz w:val="22"/>
          <w:szCs w:val="22"/>
        </w:rPr>
      </w:pPr>
      <w:r>
        <w:rPr>
          <w:rFonts w:asciiTheme="majorHAnsi" w:hAnsiTheme="majorHAnsi" w:cstheme="majorHAnsi"/>
          <w:sz w:val="22"/>
          <w:szCs w:val="22"/>
        </w:rPr>
        <w:t>CT</w:t>
      </w:r>
      <w:r w:rsidR="004243BC" w:rsidRPr="00A13ACB">
        <w:rPr>
          <w:rFonts w:asciiTheme="majorHAnsi" w:hAnsiTheme="majorHAnsi" w:cstheme="majorHAnsi"/>
          <w:sz w:val="22"/>
          <w:szCs w:val="22"/>
        </w:rPr>
        <w:t xml:space="preserve"> </w:t>
      </w:r>
      <w:proofErr w:type="gramStart"/>
      <w:r w:rsidR="004243BC" w:rsidRPr="00A13ACB">
        <w:rPr>
          <w:rFonts w:asciiTheme="majorHAnsi" w:hAnsiTheme="majorHAnsi" w:cstheme="majorHAnsi"/>
          <w:sz w:val="22"/>
          <w:szCs w:val="22"/>
        </w:rPr>
        <w:t>head,</w:t>
      </w:r>
      <w:proofErr w:type="gramEnd"/>
      <w:r w:rsidR="004243BC" w:rsidRPr="00A13ACB">
        <w:rPr>
          <w:rFonts w:asciiTheme="majorHAnsi" w:hAnsiTheme="majorHAnsi" w:cstheme="majorHAnsi"/>
          <w:sz w:val="22"/>
          <w:szCs w:val="22"/>
        </w:rPr>
        <w:t xml:space="preserve"> was the primary imaging modality, with only 3-4% of patients hav</w:t>
      </w:r>
      <w:r>
        <w:rPr>
          <w:rFonts w:asciiTheme="majorHAnsi" w:hAnsiTheme="majorHAnsi" w:cstheme="majorHAnsi"/>
          <w:sz w:val="22"/>
          <w:szCs w:val="22"/>
        </w:rPr>
        <w:t>ing MRI</w:t>
      </w:r>
      <w:r w:rsidR="004243BC" w:rsidRPr="00A13ACB">
        <w:rPr>
          <w:rFonts w:asciiTheme="majorHAnsi" w:hAnsiTheme="majorHAnsi" w:cstheme="majorHAnsi"/>
          <w:sz w:val="22"/>
          <w:szCs w:val="22"/>
        </w:rPr>
        <w:t xml:space="preserve">. 71% (290/405) </w:t>
      </w:r>
      <w:r w:rsidR="00B848AE" w:rsidRPr="00A13ACB">
        <w:rPr>
          <w:rFonts w:asciiTheme="majorHAnsi" w:hAnsiTheme="majorHAnsi" w:cstheme="majorHAnsi"/>
          <w:sz w:val="22"/>
          <w:szCs w:val="22"/>
        </w:rPr>
        <w:t>of patients with a likely</w:t>
      </w:r>
      <w:r w:rsidR="004243BC" w:rsidRPr="00A13ACB">
        <w:rPr>
          <w:rFonts w:asciiTheme="majorHAnsi" w:hAnsiTheme="majorHAnsi" w:cstheme="majorHAnsi"/>
          <w:sz w:val="22"/>
          <w:szCs w:val="22"/>
        </w:rPr>
        <w:t xml:space="preserve"> first seizure had a CT scan during admission, compared to only 43% of those under the age of 60. </w:t>
      </w:r>
    </w:p>
    <w:p w:rsidR="004243BC" w:rsidRPr="00A13ACB" w:rsidRDefault="004243BC" w:rsidP="00A13ACB">
      <w:pPr>
        <w:jc w:val="both"/>
        <w:rPr>
          <w:rFonts w:asciiTheme="majorHAnsi" w:hAnsiTheme="majorHAnsi" w:cstheme="majorHAnsi"/>
          <w:sz w:val="22"/>
          <w:szCs w:val="22"/>
        </w:rPr>
      </w:pPr>
    </w:p>
    <w:p w:rsidR="00E57D4B" w:rsidRPr="00A13ACB" w:rsidRDefault="003E6F3C" w:rsidP="00A13ACB">
      <w:pPr>
        <w:jc w:val="both"/>
        <w:rPr>
          <w:rFonts w:asciiTheme="majorHAnsi" w:hAnsiTheme="majorHAnsi" w:cstheme="majorHAnsi"/>
          <w:sz w:val="20"/>
          <w:szCs w:val="20"/>
        </w:rPr>
      </w:pPr>
      <w:r>
        <w:rPr>
          <w:rFonts w:asciiTheme="majorHAnsi" w:hAnsiTheme="majorHAnsi" w:cstheme="majorHAnsi"/>
          <w:sz w:val="22"/>
          <w:szCs w:val="22"/>
        </w:rPr>
        <w:t>Thirty-five percent</w:t>
      </w:r>
      <w:r w:rsidR="00145B14" w:rsidRPr="00A13ACB">
        <w:rPr>
          <w:rFonts w:asciiTheme="majorHAnsi" w:hAnsiTheme="majorHAnsi" w:cstheme="majorHAnsi"/>
          <w:sz w:val="22"/>
          <w:szCs w:val="22"/>
        </w:rPr>
        <w:t xml:space="preserve"> (226/640) of patients </w:t>
      </w:r>
      <w:r w:rsidR="00E24A51">
        <w:rPr>
          <w:rFonts w:asciiTheme="majorHAnsi" w:hAnsiTheme="majorHAnsi" w:cstheme="majorHAnsi"/>
          <w:sz w:val="22"/>
          <w:szCs w:val="22"/>
        </w:rPr>
        <w:t xml:space="preserve">with </w:t>
      </w:r>
      <w:proofErr w:type="gramStart"/>
      <w:r w:rsidR="00E24A51">
        <w:rPr>
          <w:rFonts w:asciiTheme="majorHAnsi" w:hAnsiTheme="majorHAnsi" w:cstheme="majorHAnsi"/>
          <w:sz w:val="22"/>
          <w:szCs w:val="22"/>
        </w:rPr>
        <w:t>epilepsy,</w:t>
      </w:r>
      <w:proofErr w:type="gramEnd"/>
      <w:r w:rsidR="00E24A51">
        <w:rPr>
          <w:rFonts w:asciiTheme="majorHAnsi" w:hAnsiTheme="majorHAnsi" w:cstheme="majorHAnsi"/>
          <w:sz w:val="22"/>
          <w:szCs w:val="22"/>
        </w:rPr>
        <w:t xml:space="preserve"> </w:t>
      </w:r>
      <w:r w:rsidR="00754E28">
        <w:rPr>
          <w:rFonts w:asciiTheme="majorHAnsi" w:hAnsiTheme="majorHAnsi" w:cstheme="majorHAnsi"/>
          <w:sz w:val="22"/>
          <w:szCs w:val="22"/>
        </w:rPr>
        <w:t xml:space="preserve">aged </w:t>
      </w:r>
      <w:r w:rsidR="000E49F3" w:rsidRPr="00A13ACB">
        <w:rPr>
          <w:rFonts w:asciiTheme="majorHAnsi" w:hAnsiTheme="majorHAnsi" w:cstheme="majorHAnsi"/>
          <w:sz w:val="22"/>
          <w:szCs w:val="22"/>
        </w:rPr>
        <w:t>60</w:t>
      </w:r>
      <w:r w:rsidR="00754E28">
        <w:rPr>
          <w:rFonts w:asciiTheme="majorHAnsi" w:hAnsiTheme="majorHAnsi" w:cstheme="majorHAnsi"/>
          <w:sz w:val="22"/>
          <w:szCs w:val="22"/>
        </w:rPr>
        <w:t xml:space="preserve"> and over</w:t>
      </w:r>
      <w:r w:rsidR="000E49F3" w:rsidRPr="00A13ACB">
        <w:rPr>
          <w:rFonts w:asciiTheme="majorHAnsi" w:hAnsiTheme="majorHAnsi" w:cstheme="majorHAnsi"/>
          <w:sz w:val="22"/>
          <w:szCs w:val="22"/>
        </w:rPr>
        <w:t xml:space="preserve">, </w:t>
      </w:r>
      <w:r w:rsidR="004243BC" w:rsidRPr="00A13ACB">
        <w:rPr>
          <w:rFonts w:asciiTheme="majorHAnsi" w:hAnsiTheme="majorHAnsi" w:cstheme="majorHAnsi"/>
          <w:sz w:val="22"/>
          <w:szCs w:val="22"/>
        </w:rPr>
        <w:t>had a CT during</w:t>
      </w:r>
      <w:r w:rsidR="00145B14" w:rsidRPr="00A13ACB">
        <w:rPr>
          <w:rFonts w:asciiTheme="majorHAnsi" w:hAnsiTheme="majorHAnsi" w:cstheme="majorHAnsi"/>
          <w:sz w:val="22"/>
          <w:szCs w:val="22"/>
        </w:rPr>
        <w:t xml:space="preserve"> admission compared to only 17% of those under 60</w:t>
      </w:r>
      <w:r w:rsidR="00F16A49" w:rsidRPr="00A13ACB">
        <w:rPr>
          <w:rFonts w:asciiTheme="majorHAnsi" w:hAnsiTheme="majorHAnsi" w:cstheme="majorHAnsi"/>
          <w:sz w:val="22"/>
          <w:szCs w:val="22"/>
        </w:rPr>
        <w:t xml:space="preserve">. </w:t>
      </w:r>
      <w:r w:rsidR="00145B14" w:rsidRPr="00A13ACB">
        <w:rPr>
          <w:rFonts w:asciiTheme="majorHAnsi" w:hAnsiTheme="majorHAnsi" w:cstheme="majorHAnsi"/>
          <w:sz w:val="22"/>
          <w:szCs w:val="22"/>
        </w:rPr>
        <w:t>32% (128/396) of patients</w:t>
      </w:r>
      <w:r w:rsidR="004243BC" w:rsidRPr="00A13ACB">
        <w:rPr>
          <w:rFonts w:asciiTheme="majorHAnsi" w:hAnsiTheme="majorHAnsi" w:cstheme="majorHAnsi"/>
          <w:sz w:val="22"/>
          <w:szCs w:val="22"/>
        </w:rPr>
        <w:t xml:space="preserve"> </w:t>
      </w:r>
      <w:r w:rsidR="00754E28">
        <w:rPr>
          <w:rFonts w:asciiTheme="majorHAnsi" w:hAnsiTheme="majorHAnsi" w:cstheme="majorHAnsi"/>
          <w:sz w:val="22"/>
          <w:szCs w:val="22"/>
        </w:rPr>
        <w:t xml:space="preserve">aged </w:t>
      </w:r>
      <w:r w:rsidR="004243BC" w:rsidRPr="00A13ACB">
        <w:rPr>
          <w:rFonts w:asciiTheme="majorHAnsi" w:hAnsiTheme="majorHAnsi" w:cstheme="majorHAnsi"/>
          <w:sz w:val="22"/>
          <w:szCs w:val="22"/>
        </w:rPr>
        <w:t>60</w:t>
      </w:r>
      <w:r w:rsidR="00754E28">
        <w:rPr>
          <w:rFonts w:asciiTheme="majorHAnsi" w:hAnsiTheme="majorHAnsi" w:cstheme="majorHAnsi"/>
          <w:sz w:val="22"/>
          <w:szCs w:val="22"/>
        </w:rPr>
        <w:t xml:space="preserve"> and over</w:t>
      </w:r>
      <w:r w:rsidR="00F16A49" w:rsidRPr="00A13ACB">
        <w:rPr>
          <w:rFonts w:asciiTheme="majorHAnsi" w:hAnsiTheme="majorHAnsi" w:cstheme="majorHAnsi"/>
          <w:sz w:val="22"/>
          <w:szCs w:val="22"/>
        </w:rPr>
        <w:t xml:space="preserve"> with known epilepsy, </w:t>
      </w:r>
      <w:r w:rsidR="0087114F" w:rsidRPr="00A13ACB">
        <w:rPr>
          <w:rFonts w:asciiTheme="majorHAnsi" w:hAnsiTheme="majorHAnsi" w:cstheme="majorHAnsi"/>
          <w:sz w:val="22"/>
          <w:szCs w:val="22"/>
        </w:rPr>
        <w:t>and</w:t>
      </w:r>
      <w:r w:rsidR="00145B14" w:rsidRPr="00A13ACB">
        <w:rPr>
          <w:rFonts w:asciiTheme="majorHAnsi" w:hAnsiTheme="majorHAnsi" w:cstheme="majorHAnsi"/>
          <w:sz w:val="22"/>
          <w:szCs w:val="22"/>
        </w:rPr>
        <w:t xml:space="preserve"> GCS of 13-15 on </w:t>
      </w:r>
      <w:r w:rsidR="004243BC" w:rsidRPr="00A13ACB">
        <w:rPr>
          <w:rFonts w:asciiTheme="majorHAnsi" w:hAnsiTheme="majorHAnsi" w:cstheme="majorHAnsi"/>
          <w:sz w:val="22"/>
          <w:szCs w:val="22"/>
        </w:rPr>
        <w:t>admission,</w:t>
      </w:r>
      <w:r w:rsidR="00145B14" w:rsidRPr="00A13ACB">
        <w:rPr>
          <w:rFonts w:asciiTheme="majorHAnsi" w:hAnsiTheme="majorHAnsi" w:cstheme="majorHAnsi"/>
          <w:sz w:val="22"/>
          <w:szCs w:val="22"/>
        </w:rPr>
        <w:t xml:space="preserve"> went on to have a CT. This</w:t>
      </w:r>
      <w:r w:rsidR="00F16A49" w:rsidRPr="00A13ACB">
        <w:rPr>
          <w:rFonts w:asciiTheme="majorHAnsi" w:hAnsiTheme="majorHAnsi" w:cstheme="majorHAnsi"/>
          <w:sz w:val="22"/>
          <w:szCs w:val="22"/>
        </w:rPr>
        <w:t xml:space="preserve"> figure</w:t>
      </w:r>
      <w:r w:rsidR="00145B14" w:rsidRPr="00A13ACB">
        <w:rPr>
          <w:rFonts w:asciiTheme="majorHAnsi" w:hAnsiTheme="majorHAnsi" w:cstheme="majorHAnsi"/>
          <w:sz w:val="22"/>
          <w:szCs w:val="22"/>
        </w:rPr>
        <w:t xml:space="preserve"> is much higher than for </w:t>
      </w:r>
      <w:r w:rsidR="00F16A49" w:rsidRPr="00A13ACB">
        <w:rPr>
          <w:rFonts w:asciiTheme="majorHAnsi" w:hAnsiTheme="majorHAnsi" w:cstheme="majorHAnsi"/>
          <w:sz w:val="22"/>
          <w:szCs w:val="22"/>
        </w:rPr>
        <w:t>those</w:t>
      </w:r>
      <w:r w:rsidR="00145B14" w:rsidRPr="00A13ACB">
        <w:rPr>
          <w:rFonts w:asciiTheme="majorHAnsi" w:hAnsiTheme="majorHAnsi" w:cstheme="majorHAnsi"/>
          <w:sz w:val="22"/>
          <w:szCs w:val="22"/>
        </w:rPr>
        <w:t xml:space="preserve"> under 60 where</w:t>
      </w:r>
      <w:r w:rsidR="004243BC" w:rsidRPr="00A13ACB">
        <w:rPr>
          <w:rFonts w:asciiTheme="majorHAnsi" w:hAnsiTheme="majorHAnsi" w:cstheme="majorHAnsi"/>
          <w:sz w:val="22"/>
          <w:szCs w:val="22"/>
        </w:rPr>
        <w:t xml:space="preserve"> only</w:t>
      </w:r>
      <w:r w:rsidR="00145B14" w:rsidRPr="00A13ACB">
        <w:rPr>
          <w:rFonts w:asciiTheme="majorHAnsi" w:hAnsiTheme="majorHAnsi" w:cstheme="majorHAnsi"/>
          <w:sz w:val="22"/>
          <w:szCs w:val="22"/>
        </w:rPr>
        <w:t xml:space="preserve"> 15% (249/1621) with a GCS of 13-15 went on to have a CT.  The number of CTs carried out did not differ </w:t>
      </w:r>
      <w:r w:rsidR="004243BC" w:rsidRPr="00A13ACB">
        <w:rPr>
          <w:rFonts w:asciiTheme="majorHAnsi" w:hAnsiTheme="majorHAnsi" w:cstheme="majorHAnsi"/>
          <w:sz w:val="22"/>
          <w:szCs w:val="22"/>
        </w:rPr>
        <w:t xml:space="preserve">between age groups. </w:t>
      </w:r>
    </w:p>
    <w:p w:rsidR="00895029" w:rsidRPr="00A13ACB" w:rsidRDefault="00895029" w:rsidP="00A13ACB">
      <w:pPr>
        <w:jc w:val="both"/>
        <w:rPr>
          <w:rFonts w:asciiTheme="majorHAnsi" w:hAnsiTheme="majorHAnsi" w:cstheme="majorHAnsi"/>
          <w:b/>
          <w:sz w:val="22"/>
          <w:szCs w:val="22"/>
        </w:rPr>
      </w:pPr>
    </w:p>
    <w:p w:rsidR="000E49F3" w:rsidRPr="00A13ACB" w:rsidRDefault="000E49F3" w:rsidP="00A13ACB">
      <w:pPr>
        <w:jc w:val="both"/>
        <w:rPr>
          <w:rFonts w:asciiTheme="majorHAnsi" w:hAnsiTheme="majorHAnsi" w:cstheme="majorHAnsi"/>
          <w:b/>
          <w:sz w:val="22"/>
          <w:szCs w:val="22"/>
        </w:rPr>
      </w:pPr>
    </w:p>
    <w:p w:rsidR="004243BC" w:rsidRPr="00A13ACB" w:rsidRDefault="00A36A85" w:rsidP="00A13ACB">
      <w:pPr>
        <w:jc w:val="both"/>
        <w:rPr>
          <w:rFonts w:asciiTheme="majorHAnsi" w:hAnsiTheme="majorHAnsi" w:cstheme="majorHAnsi"/>
          <w:b/>
          <w:sz w:val="22"/>
          <w:szCs w:val="22"/>
        </w:rPr>
      </w:pPr>
      <w:r w:rsidRPr="00A13ACB">
        <w:rPr>
          <w:rFonts w:asciiTheme="majorHAnsi" w:hAnsiTheme="majorHAnsi" w:cstheme="majorHAnsi"/>
          <w:b/>
          <w:sz w:val="22"/>
          <w:szCs w:val="22"/>
        </w:rPr>
        <w:t>Care following admission</w:t>
      </w:r>
    </w:p>
    <w:p w:rsidR="00857CDA" w:rsidRPr="00A13ACB" w:rsidRDefault="00857CDA" w:rsidP="00A13ACB">
      <w:pPr>
        <w:jc w:val="both"/>
        <w:rPr>
          <w:rFonts w:asciiTheme="majorHAnsi" w:hAnsiTheme="majorHAnsi" w:cstheme="majorHAnsi"/>
          <w:sz w:val="22"/>
          <w:szCs w:val="22"/>
        </w:rPr>
      </w:pPr>
      <w:r w:rsidRPr="00A13ACB">
        <w:rPr>
          <w:rFonts w:asciiTheme="majorHAnsi" w:hAnsiTheme="majorHAnsi" w:cstheme="majorHAnsi"/>
          <w:sz w:val="22"/>
          <w:szCs w:val="22"/>
        </w:rPr>
        <w:t>Patient</w:t>
      </w:r>
      <w:r w:rsidR="001C4A01" w:rsidRPr="00A13ACB">
        <w:rPr>
          <w:rFonts w:asciiTheme="majorHAnsi" w:hAnsiTheme="majorHAnsi" w:cstheme="majorHAnsi"/>
          <w:sz w:val="22"/>
          <w:szCs w:val="22"/>
        </w:rPr>
        <w:t>s</w:t>
      </w:r>
      <w:r w:rsidRPr="00A13ACB">
        <w:rPr>
          <w:rFonts w:asciiTheme="majorHAnsi" w:hAnsiTheme="majorHAnsi" w:cstheme="majorHAnsi"/>
          <w:sz w:val="22"/>
          <w:szCs w:val="22"/>
        </w:rPr>
        <w:t xml:space="preserve"> who died during admission were excluded from analysis of follow-up arrangements (</w:t>
      </w:r>
      <w:r w:rsidR="00755913" w:rsidRPr="00A13ACB">
        <w:rPr>
          <w:rFonts w:asciiTheme="majorHAnsi" w:hAnsiTheme="majorHAnsi" w:cstheme="majorHAnsi"/>
          <w:sz w:val="22"/>
          <w:szCs w:val="22"/>
        </w:rPr>
        <w:t>T</w:t>
      </w:r>
      <w:r w:rsidRPr="00A13ACB">
        <w:rPr>
          <w:rFonts w:asciiTheme="majorHAnsi" w:hAnsiTheme="majorHAnsi" w:cstheme="majorHAnsi"/>
          <w:sz w:val="22"/>
          <w:szCs w:val="22"/>
        </w:rPr>
        <w:t xml:space="preserve">able </w:t>
      </w:r>
      <w:r w:rsidR="00017ECF" w:rsidRPr="00A13ACB">
        <w:rPr>
          <w:rFonts w:asciiTheme="majorHAnsi" w:hAnsiTheme="majorHAnsi" w:cstheme="majorHAnsi"/>
          <w:sz w:val="22"/>
          <w:szCs w:val="22"/>
        </w:rPr>
        <w:t>2-3</w:t>
      </w:r>
      <w:r w:rsidRPr="00A13ACB">
        <w:rPr>
          <w:rFonts w:asciiTheme="majorHAnsi" w:hAnsiTheme="majorHAnsi" w:cstheme="majorHAnsi"/>
          <w:sz w:val="22"/>
          <w:szCs w:val="22"/>
        </w:rPr>
        <w:t>)</w:t>
      </w:r>
    </w:p>
    <w:p w:rsidR="00857CDA" w:rsidRPr="00A13ACB" w:rsidRDefault="00857CDA" w:rsidP="00A13ACB">
      <w:pPr>
        <w:pStyle w:val="NoSpacing"/>
        <w:numPr>
          <w:ilvl w:val="0"/>
          <w:numId w:val="3"/>
        </w:numPr>
        <w:jc w:val="both"/>
        <w:rPr>
          <w:rFonts w:asciiTheme="majorHAnsi" w:hAnsiTheme="majorHAnsi" w:cstheme="majorHAnsi"/>
        </w:rPr>
      </w:pPr>
      <w:r w:rsidRPr="00A13ACB">
        <w:rPr>
          <w:rFonts w:asciiTheme="majorHAnsi" w:hAnsiTheme="majorHAnsi" w:cstheme="majorHAnsi"/>
        </w:rPr>
        <w:t>Those recorded as having known epilepsy prior to attendance</w:t>
      </w:r>
      <w:r w:rsidR="00B848AE" w:rsidRPr="00A13ACB">
        <w:rPr>
          <w:rFonts w:asciiTheme="majorHAnsi" w:hAnsiTheme="majorHAnsi" w:cstheme="majorHAnsi"/>
        </w:rPr>
        <w:t xml:space="preserve">. 60 and over </w:t>
      </w:r>
      <w:r w:rsidRPr="00A13ACB">
        <w:rPr>
          <w:rFonts w:asciiTheme="majorHAnsi" w:hAnsiTheme="majorHAnsi" w:cstheme="majorHAnsi"/>
        </w:rPr>
        <w:t>(n=</w:t>
      </w:r>
      <w:r w:rsidR="006D3F75" w:rsidRPr="00A13ACB">
        <w:rPr>
          <w:rFonts w:asciiTheme="majorHAnsi" w:hAnsiTheme="majorHAnsi" w:cstheme="majorHAnsi"/>
        </w:rPr>
        <w:t>622</w:t>
      </w:r>
      <w:r w:rsidRPr="00A13ACB">
        <w:rPr>
          <w:rFonts w:asciiTheme="majorHAnsi" w:hAnsiTheme="majorHAnsi" w:cstheme="majorHAnsi"/>
        </w:rPr>
        <w:t>)</w:t>
      </w:r>
      <w:r w:rsidR="00B848AE" w:rsidRPr="00A13ACB">
        <w:rPr>
          <w:rFonts w:asciiTheme="majorHAnsi" w:hAnsiTheme="majorHAnsi" w:cstheme="majorHAnsi"/>
        </w:rPr>
        <w:t>, under 60 (n=2114).</w:t>
      </w:r>
    </w:p>
    <w:p w:rsidR="00857CDA" w:rsidRPr="00A13ACB" w:rsidRDefault="00857CDA" w:rsidP="00A13ACB">
      <w:pPr>
        <w:pStyle w:val="NoSpacing"/>
        <w:numPr>
          <w:ilvl w:val="0"/>
          <w:numId w:val="3"/>
        </w:numPr>
        <w:jc w:val="both"/>
        <w:rPr>
          <w:rFonts w:asciiTheme="majorHAnsi" w:hAnsiTheme="majorHAnsi" w:cstheme="majorHAnsi"/>
        </w:rPr>
      </w:pPr>
      <w:r w:rsidRPr="00A13ACB">
        <w:rPr>
          <w:rFonts w:asciiTheme="majorHAnsi" w:hAnsiTheme="majorHAnsi" w:cstheme="majorHAnsi"/>
        </w:rPr>
        <w:t>Those known to have had previous seizures or blackouts, but not a diagnosis of epilepsy</w:t>
      </w:r>
      <w:r w:rsidR="00B848AE" w:rsidRPr="00A13ACB">
        <w:rPr>
          <w:rFonts w:asciiTheme="majorHAnsi" w:hAnsiTheme="majorHAnsi" w:cstheme="majorHAnsi"/>
        </w:rPr>
        <w:t>.</w:t>
      </w:r>
      <w:r w:rsidR="006D3F75" w:rsidRPr="00A13ACB">
        <w:rPr>
          <w:rFonts w:asciiTheme="majorHAnsi" w:hAnsiTheme="majorHAnsi" w:cstheme="majorHAnsi"/>
        </w:rPr>
        <w:t xml:space="preserve"> </w:t>
      </w:r>
      <w:r w:rsidR="00B848AE" w:rsidRPr="00A13ACB">
        <w:rPr>
          <w:rFonts w:asciiTheme="majorHAnsi" w:hAnsiTheme="majorHAnsi" w:cstheme="majorHAnsi"/>
        </w:rPr>
        <w:t xml:space="preserve">60 and over </w:t>
      </w:r>
      <w:r w:rsidRPr="00A13ACB">
        <w:rPr>
          <w:rFonts w:asciiTheme="majorHAnsi" w:hAnsiTheme="majorHAnsi" w:cstheme="majorHAnsi"/>
        </w:rPr>
        <w:t>(n=</w:t>
      </w:r>
      <w:r w:rsidR="006D3F75" w:rsidRPr="00A13ACB">
        <w:rPr>
          <w:rFonts w:asciiTheme="majorHAnsi" w:hAnsiTheme="majorHAnsi" w:cstheme="majorHAnsi"/>
        </w:rPr>
        <w:t>208</w:t>
      </w:r>
      <w:r w:rsidRPr="00A13ACB">
        <w:rPr>
          <w:rFonts w:asciiTheme="majorHAnsi" w:hAnsiTheme="majorHAnsi" w:cstheme="majorHAnsi"/>
        </w:rPr>
        <w:t>)</w:t>
      </w:r>
      <w:r w:rsidR="00B848AE" w:rsidRPr="00A13ACB">
        <w:rPr>
          <w:rFonts w:asciiTheme="majorHAnsi" w:hAnsiTheme="majorHAnsi" w:cstheme="majorHAnsi"/>
        </w:rPr>
        <w:t>, under 60 (n=554).</w:t>
      </w:r>
    </w:p>
    <w:p w:rsidR="00857CDA" w:rsidRPr="00A13ACB" w:rsidRDefault="003B57D4" w:rsidP="00A13ACB">
      <w:pPr>
        <w:pStyle w:val="NoSpacing"/>
        <w:numPr>
          <w:ilvl w:val="0"/>
          <w:numId w:val="3"/>
        </w:numPr>
        <w:jc w:val="both"/>
        <w:rPr>
          <w:rFonts w:asciiTheme="majorHAnsi" w:hAnsiTheme="majorHAnsi" w:cstheme="majorHAnsi"/>
        </w:rPr>
      </w:pPr>
      <w:r>
        <w:rPr>
          <w:rFonts w:asciiTheme="majorHAnsi" w:hAnsiTheme="majorHAnsi" w:cstheme="majorHAnsi"/>
        </w:rPr>
        <w:lastRenderedPageBreak/>
        <w:t xml:space="preserve">Those with likely first seizure, with no previous seizures, </w:t>
      </w:r>
      <w:r w:rsidR="00857CDA" w:rsidRPr="00A13ACB">
        <w:rPr>
          <w:rFonts w:asciiTheme="majorHAnsi" w:hAnsiTheme="majorHAnsi" w:cstheme="majorHAnsi"/>
        </w:rPr>
        <w:t>blackouts or diagnosis of epilepsy</w:t>
      </w:r>
      <w:r w:rsidR="00B848AE" w:rsidRPr="00A13ACB">
        <w:rPr>
          <w:rFonts w:asciiTheme="majorHAnsi" w:hAnsiTheme="majorHAnsi" w:cstheme="majorHAnsi"/>
        </w:rPr>
        <w:t>. 60 and over</w:t>
      </w:r>
      <w:r w:rsidR="00857CDA" w:rsidRPr="00A13ACB">
        <w:rPr>
          <w:rFonts w:asciiTheme="majorHAnsi" w:hAnsiTheme="majorHAnsi" w:cstheme="majorHAnsi"/>
        </w:rPr>
        <w:t xml:space="preserve"> (n= </w:t>
      </w:r>
      <w:r w:rsidR="006D3F75" w:rsidRPr="00A13ACB">
        <w:rPr>
          <w:rFonts w:asciiTheme="majorHAnsi" w:hAnsiTheme="majorHAnsi" w:cstheme="majorHAnsi"/>
        </w:rPr>
        <w:t>390</w:t>
      </w:r>
      <w:r w:rsidR="00B848AE" w:rsidRPr="00A13ACB">
        <w:rPr>
          <w:rFonts w:asciiTheme="majorHAnsi" w:hAnsiTheme="majorHAnsi" w:cstheme="majorHAnsi"/>
        </w:rPr>
        <w:t>), under 60 (n=603).</w:t>
      </w:r>
    </w:p>
    <w:p w:rsidR="002E6775" w:rsidRPr="00A13ACB" w:rsidRDefault="009D181F" w:rsidP="00F966C5">
      <w:pPr>
        <w:pStyle w:val="NoSpacing"/>
        <w:spacing w:before="240"/>
        <w:jc w:val="both"/>
        <w:rPr>
          <w:rFonts w:asciiTheme="majorHAnsi" w:hAnsiTheme="majorHAnsi" w:cstheme="majorHAnsi"/>
        </w:rPr>
      </w:pPr>
      <w:r>
        <w:rPr>
          <w:rFonts w:asciiTheme="majorHAnsi" w:hAnsiTheme="majorHAnsi" w:cstheme="majorHAnsi"/>
        </w:rPr>
        <w:t>S</w:t>
      </w:r>
      <w:r w:rsidR="002E6775">
        <w:rPr>
          <w:rFonts w:asciiTheme="majorHAnsi" w:hAnsiTheme="majorHAnsi" w:cstheme="majorHAnsi"/>
        </w:rPr>
        <w:t>eizure was quoted as the cause of death in only one patient with known epilepsy (1/18) and i</w:t>
      </w:r>
      <w:r>
        <w:rPr>
          <w:rFonts w:asciiTheme="majorHAnsi" w:hAnsiTheme="majorHAnsi" w:cstheme="majorHAnsi"/>
        </w:rPr>
        <w:t>n one presenting with likely first</w:t>
      </w:r>
      <w:r w:rsidR="002E6775">
        <w:rPr>
          <w:rFonts w:asciiTheme="majorHAnsi" w:hAnsiTheme="majorHAnsi" w:cstheme="majorHAnsi"/>
        </w:rPr>
        <w:t xml:space="preserve"> seizure (1/15). </w:t>
      </w:r>
    </w:p>
    <w:p w:rsidR="002E6775" w:rsidRDefault="002E6775" w:rsidP="00A13ACB">
      <w:pPr>
        <w:jc w:val="both"/>
        <w:rPr>
          <w:rFonts w:asciiTheme="majorHAnsi" w:hAnsiTheme="majorHAnsi" w:cstheme="majorHAnsi"/>
          <w:sz w:val="22"/>
          <w:szCs w:val="22"/>
        </w:rPr>
      </w:pPr>
    </w:p>
    <w:p w:rsidR="00895029" w:rsidRPr="00A13ACB" w:rsidRDefault="00FB17B7" w:rsidP="00A13ACB">
      <w:pPr>
        <w:jc w:val="both"/>
        <w:rPr>
          <w:rFonts w:asciiTheme="majorHAnsi" w:hAnsiTheme="majorHAnsi" w:cstheme="majorHAnsi"/>
          <w:sz w:val="22"/>
          <w:szCs w:val="22"/>
        </w:rPr>
      </w:pPr>
      <w:r w:rsidRPr="00A13ACB">
        <w:rPr>
          <w:rFonts w:asciiTheme="majorHAnsi" w:hAnsiTheme="majorHAnsi" w:cstheme="majorHAnsi"/>
          <w:sz w:val="22"/>
          <w:szCs w:val="22"/>
        </w:rPr>
        <w:t xml:space="preserve">Only </w:t>
      </w:r>
      <w:r w:rsidR="007C0455" w:rsidRPr="00A13ACB">
        <w:rPr>
          <w:rFonts w:asciiTheme="majorHAnsi" w:hAnsiTheme="majorHAnsi" w:cstheme="majorHAnsi"/>
          <w:sz w:val="22"/>
          <w:szCs w:val="22"/>
        </w:rPr>
        <w:t>2</w:t>
      </w:r>
      <w:r w:rsidR="00017ECF" w:rsidRPr="00A13ACB">
        <w:rPr>
          <w:rFonts w:asciiTheme="majorHAnsi" w:hAnsiTheme="majorHAnsi" w:cstheme="majorHAnsi"/>
          <w:sz w:val="22"/>
          <w:szCs w:val="22"/>
        </w:rPr>
        <w:t>2</w:t>
      </w:r>
      <w:r w:rsidR="001C4A01" w:rsidRPr="00A13ACB">
        <w:rPr>
          <w:rFonts w:asciiTheme="majorHAnsi" w:hAnsiTheme="majorHAnsi" w:cstheme="majorHAnsi"/>
          <w:sz w:val="22"/>
          <w:szCs w:val="22"/>
        </w:rPr>
        <w:t>% (</w:t>
      </w:r>
      <w:r w:rsidR="002B6C2C" w:rsidRPr="00A13ACB">
        <w:rPr>
          <w:rFonts w:asciiTheme="majorHAnsi" w:hAnsiTheme="majorHAnsi" w:cstheme="majorHAnsi"/>
          <w:sz w:val="22"/>
          <w:szCs w:val="22"/>
        </w:rPr>
        <w:t>90</w:t>
      </w:r>
      <w:r w:rsidR="001C4A01" w:rsidRPr="00A13ACB">
        <w:rPr>
          <w:rFonts w:asciiTheme="majorHAnsi" w:hAnsiTheme="majorHAnsi" w:cstheme="majorHAnsi"/>
          <w:sz w:val="22"/>
          <w:szCs w:val="22"/>
        </w:rPr>
        <w:t>/</w:t>
      </w:r>
      <w:r w:rsidR="007C0455" w:rsidRPr="00A13ACB">
        <w:rPr>
          <w:rFonts w:asciiTheme="majorHAnsi" w:hAnsiTheme="majorHAnsi" w:cstheme="majorHAnsi"/>
          <w:sz w:val="22"/>
          <w:szCs w:val="22"/>
        </w:rPr>
        <w:t>390</w:t>
      </w:r>
      <w:r w:rsidR="001C4A01" w:rsidRPr="00A13ACB">
        <w:rPr>
          <w:rFonts w:asciiTheme="majorHAnsi" w:hAnsiTheme="majorHAnsi" w:cstheme="majorHAnsi"/>
          <w:sz w:val="22"/>
          <w:szCs w:val="22"/>
        </w:rPr>
        <w:t>) of</w:t>
      </w:r>
      <w:r w:rsidR="00936925" w:rsidRPr="00A13ACB">
        <w:rPr>
          <w:rFonts w:asciiTheme="majorHAnsi" w:hAnsiTheme="majorHAnsi" w:cstheme="majorHAnsi"/>
          <w:sz w:val="22"/>
          <w:szCs w:val="22"/>
        </w:rPr>
        <w:t xml:space="preserve"> patients presenting with a likely first seizure were given advice</w:t>
      </w:r>
      <w:r w:rsidRPr="00A13ACB">
        <w:rPr>
          <w:rFonts w:asciiTheme="majorHAnsi" w:hAnsiTheme="majorHAnsi" w:cstheme="majorHAnsi"/>
          <w:sz w:val="22"/>
          <w:szCs w:val="22"/>
        </w:rPr>
        <w:t xml:space="preserve"> on what to do should they go on to have further seizures. The percentage of patients with a likely first seizure, or previous seizure or blackout who were given advice increased by age group, with similar figures in those under 60.</w:t>
      </w:r>
      <w:r w:rsidR="00CC4E5D">
        <w:rPr>
          <w:rFonts w:asciiTheme="majorHAnsi" w:hAnsiTheme="majorHAnsi" w:cstheme="majorHAnsi"/>
          <w:sz w:val="22"/>
          <w:szCs w:val="22"/>
        </w:rPr>
        <w:t xml:space="preserve"> </w:t>
      </w:r>
      <w:r w:rsidR="008258D2" w:rsidRPr="00A13ACB">
        <w:rPr>
          <w:rFonts w:asciiTheme="majorHAnsi" w:hAnsiTheme="majorHAnsi" w:cstheme="majorHAnsi"/>
          <w:sz w:val="22"/>
          <w:szCs w:val="22"/>
        </w:rPr>
        <w:t>(</w:t>
      </w:r>
      <w:r w:rsidR="00755913" w:rsidRPr="00A13ACB">
        <w:rPr>
          <w:rFonts w:asciiTheme="majorHAnsi" w:hAnsiTheme="majorHAnsi" w:cstheme="majorHAnsi"/>
          <w:sz w:val="22"/>
          <w:szCs w:val="22"/>
        </w:rPr>
        <w:t>T</w:t>
      </w:r>
      <w:r w:rsidR="008258D2" w:rsidRPr="00A13ACB">
        <w:rPr>
          <w:rFonts w:asciiTheme="majorHAnsi" w:hAnsiTheme="majorHAnsi" w:cstheme="majorHAnsi"/>
          <w:sz w:val="22"/>
          <w:szCs w:val="22"/>
        </w:rPr>
        <w:t>able</w:t>
      </w:r>
      <w:r w:rsidR="00E57D4B" w:rsidRPr="00A13ACB">
        <w:rPr>
          <w:rFonts w:asciiTheme="majorHAnsi" w:hAnsiTheme="majorHAnsi" w:cstheme="majorHAnsi"/>
          <w:sz w:val="22"/>
          <w:szCs w:val="22"/>
        </w:rPr>
        <w:t xml:space="preserve"> </w:t>
      </w:r>
      <w:r w:rsidR="00017ECF" w:rsidRPr="00A13ACB">
        <w:rPr>
          <w:rFonts w:asciiTheme="majorHAnsi" w:hAnsiTheme="majorHAnsi" w:cstheme="majorHAnsi"/>
          <w:sz w:val="22"/>
          <w:szCs w:val="22"/>
        </w:rPr>
        <w:t>2</w:t>
      </w:r>
      <w:r w:rsidRPr="00A13ACB">
        <w:rPr>
          <w:rFonts w:asciiTheme="majorHAnsi" w:hAnsiTheme="majorHAnsi" w:cstheme="majorHAnsi"/>
          <w:sz w:val="22"/>
          <w:szCs w:val="22"/>
        </w:rPr>
        <w:t>, 3</w:t>
      </w:r>
      <w:r w:rsidR="008258D2" w:rsidRPr="00A13ACB">
        <w:rPr>
          <w:rFonts w:asciiTheme="majorHAnsi" w:hAnsiTheme="majorHAnsi" w:cstheme="majorHAnsi"/>
          <w:sz w:val="22"/>
          <w:szCs w:val="22"/>
        </w:rPr>
        <w:t>)</w:t>
      </w:r>
      <w:r w:rsidR="00936925" w:rsidRPr="00A13ACB">
        <w:rPr>
          <w:rFonts w:asciiTheme="majorHAnsi" w:hAnsiTheme="majorHAnsi" w:cstheme="majorHAnsi"/>
          <w:sz w:val="22"/>
          <w:szCs w:val="22"/>
        </w:rPr>
        <w:t xml:space="preserve"> </w:t>
      </w:r>
    </w:p>
    <w:p w:rsidR="000E49F3" w:rsidRPr="00A13ACB" w:rsidRDefault="000E49F3" w:rsidP="00A13ACB">
      <w:pPr>
        <w:jc w:val="both"/>
        <w:rPr>
          <w:rFonts w:asciiTheme="majorHAnsi" w:hAnsiTheme="majorHAnsi" w:cstheme="majorHAnsi"/>
          <w:sz w:val="22"/>
          <w:szCs w:val="22"/>
        </w:rPr>
      </w:pPr>
    </w:p>
    <w:p w:rsidR="00F81132" w:rsidRPr="00A13ACB" w:rsidRDefault="002E6775" w:rsidP="00A13ACB">
      <w:pPr>
        <w:jc w:val="both"/>
        <w:rPr>
          <w:rFonts w:asciiTheme="majorHAnsi" w:hAnsiTheme="majorHAnsi" w:cstheme="majorHAnsi"/>
          <w:sz w:val="22"/>
          <w:szCs w:val="22"/>
        </w:rPr>
      </w:pPr>
      <w:r>
        <w:rPr>
          <w:rFonts w:asciiTheme="majorHAnsi" w:hAnsiTheme="majorHAnsi" w:cstheme="majorHAnsi"/>
          <w:sz w:val="22"/>
          <w:szCs w:val="22"/>
        </w:rPr>
        <w:t>Thirty-four percent</w:t>
      </w:r>
      <w:r w:rsidR="00C25C9C" w:rsidRPr="00A13ACB">
        <w:rPr>
          <w:rFonts w:asciiTheme="majorHAnsi" w:hAnsiTheme="majorHAnsi" w:cstheme="majorHAnsi"/>
          <w:sz w:val="22"/>
          <w:szCs w:val="22"/>
        </w:rPr>
        <w:t xml:space="preserve"> (131/390) of patients </w:t>
      </w:r>
      <w:r w:rsidR="006E3141" w:rsidRPr="00A13ACB">
        <w:rPr>
          <w:rFonts w:asciiTheme="majorHAnsi" w:hAnsiTheme="majorHAnsi" w:cstheme="majorHAnsi"/>
          <w:sz w:val="22"/>
          <w:szCs w:val="22"/>
        </w:rPr>
        <w:t>60</w:t>
      </w:r>
      <w:r w:rsidR="009767A8">
        <w:rPr>
          <w:rFonts w:asciiTheme="majorHAnsi" w:hAnsiTheme="majorHAnsi" w:cstheme="majorHAnsi"/>
          <w:sz w:val="22"/>
          <w:szCs w:val="22"/>
        </w:rPr>
        <w:t xml:space="preserve"> and over</w:t>
      </w:r>
      <w:r w:rsidR="006E3141" w:rsidRPr="00A13ACB">
        <w:rPr>
          <w:rFonts w:asciiTheme="majorHAnsi" w:hAnsiTheme="majorHAnsi" w:cstheme="majorHAnsi"/>
          <w:sz w:val="22"/>
          <w:szCs w:val="22"/>
        </w:rPr>
        <w:t xml:space="preserve">, </w:t>
      </w:r>
      <w:r w:rsidR="00C25C9C" w:rsidRPr="00A13ACB">
        <w:rPr>
          <w:rFonts w:asciiTheme="majorHAnsi" w:hAnsiTheme="majorHAnsi" w:cstheme="majorHAnsi"/>
          <w:sz w:val="22"/>
          <w:szCs w:val="22"/>
        </w:rPr>
        <w:t>presenting with a likely fi</w:t>
      </w:r>
      <w:r w:rsidR="00755913" w:rsidRPr="00A13ACB">
        <w:rPr>
          <w:rFonts w:asciiTheme="majorHAnsi" w:hAnsiTheme="majorHAnsi" w:cstheme="majorHAnsi"/>
          <w:sz w:val="22"/>
          <w:szCs w:val="22"/>
        </w:rPr>
        <w:t>rst seizure were referred by ED</w:t>
      </w:r>
      <w:r w:rsidR="00C25C9C" w:rsidRPr="00A13ACB">
        <w:rPr>
          <w:rFonts w:asciiTheme="majorHAnsi" w:hAnsiTheme="majorHAnsi" w:cstheme="majorHAnsi"/>
          <w:sz w:val="22"/>
          <w:szCs w:val="22"/>
        </w:rPr>
        <w:t xml:space="preserve">, or </w:t>
      </w:r>
      <w:r w:rsidR="00087D29" w:rsidRPr="00A13ACB">
        <w:rPr>
          <w:rFonts w:asciiTheme="majorHAnsi" w:hAnsiTheme="majorHAnsi" w:cstheme="majorHAnsi"/>
          <w:sz w:val="22"/>
          <w:szCs w:val="22"/>
        </w:rPr>
        <w:t xml:space="preserve">asked </w:t>
      </w:r>
      <w:r w:rsidR="00C25C9C" w:rsidRPr="00A13ACB">
        <w:rPr>
          <w:rFonts w:asciiTheme="majorHAnsi" w:hAnsiTheme="majorHAnsi" w:cstheme="majorHAnsi"/>
          <w:sz w:val="22"/>
          <w:szCs w:val="22"/>
        </w:rPr>
        <w:t>to be referred by their GP, for an epilepsy outpatient review</w:t>
      </w:r>
      <w:r w:rsidR="000E49F3" w:rsidRPr="00A13ACB">
        <w:rPr>
          <w:rFonts w:asciiTheme="majorHAnsi" w:hAnsiTheme="majorHAnsi" w:cstheme="majorHAnsi"/>
          <w:sz w:val="22"/>
          <w:szCs w:val="22"/>
        </w:rPr>
        <w:t xml:space="preserve"> compared to 68% (411/603) of those under 60.</w:t>
      </w:r>
      <w:r w:rsidR="00087D29" w:rsidRPr="00A13ACB">
        <w:rPr>
          <w:rFonts w:asciiTheme="majorHAnsi" w:hAnsiTheme="majorHAnsi" w:cstheme="majorHAnsi"/>
          <w:sz w:val="22"/>
          <w:szCs w:val="22"/>
        </w:rPr>
        <w:t xml:space="preserve"> </w:t>
      </w:r>
      <w:r w:rsidR="00755913" w:rsidRPr="00A13ACB">
        <w:rPr>
          <w:rFonts w:asciiTheme="majorHAnsi" w:hAnsiTheme="majorHAnsi" w:cstheme="majorHAnsi"/>
          <w:sz w:val="22"/>
          <w:szCs w:val="22"/>
        </w:rPr>
        <w:t>(T</w:t>
      </w:r>
      <w:r w:rsidR="00B848AE" w:rsidRPr="00A13ACB">
        <w:rPr>
          <w:rFonts w:asciiTheme="majorHAnsi" w:hAnsiTheme="majorHAnsi" w:cstheme="majorHAnsi"/>
          <w:sz w:val="22"/>
          <w:szCs w:val="22"/>
        </w:rPr>
        <w:t>able 2</w:t>
      </w:r>
      <w:r w:rsidR="00C25C9C" w:rsidRPr="00A13ACB">
        <w:rPr>
          <w:rFonts w:asciiTheme="majorHAnsi" w:hAnsiTheme="majorHAnsi" w:cstheme="majorHAnsi"/>
          <w:sz w:val="22"/>
          <w:szCs w:val="22"/>
        </w:rPr>
        <w:t xml:space="preserve">) </w:t>
      </w:r>
    </w:p>
    <w:p w:rsidR="00F81132" w:rsidRPr="00A13ACB" w:rsidRDefault="00F81132" w:rsidP="00A13ACB">
      <w:pPr>
        <w:jc w:val="both"/>
        <w:rPr>
          <w:rFonts w:asciiTheme="majorHAnsi" w:hAnsiTheme="majorHAnsi" w:cstheme="majorHAnsi"/>
          <w:sz w:val="22"/>
          <w:szCs w:val="22"/>
        </w:rPr>
      </w:pPr>
    </w:p>
    <w:p w:rsidR="00E57D4B" w:rsidRPr="00A13ACB" w:rsidRDefault="005B6B77" w:rsidP="00A13ACB">
      <w:pPr>
        <w:jc w:val="both"/>
        <w:rPr>
          <w:rFonts w:asciiTheme="majorHAnsi" w:hAnsiTheme="majorHAnsi" w:cstheme="majorHAnsi"/>
          <w:sz w:val="22"/>
          <w:szCs w:val="22"/>
        </w:rPr>
      </w:pPr>
      <w:r w:rsidRPr="00A13ACB">
        <w:rPr>
          <w:rFonts w:asciiTheme="majorHAnsi" w:hAnsiTheme="majorHAnsi" w:cstheme="majorHAnsi"/>
          <w:sz w:val="22"/>
          <w:szCs w:val="22"/>
        </w:rPr>
        <w:t>There was a downward trend in referral rate</w:t>
      </w:r>
      <w:r w:rsidR="00F81132" w:rsidRPr="00A13ACB">
        <w:rPr>
          <w:rFonts w:asciiTheme="majorHAnsi" w:hAnsiTheme="majorHAnsi" w:cstheme="majorHAnsi"/>
          <w:sz w:val="22"/>
          <w:szCs w:val="22"/>
        </w:rPr>
        <w:t xml:space="preserve"> by age group</w:t>
      </w:r>
      <w:r w:rsidRPr="00A13ACB">
        <w:rPr>
          <w:rFonts w:asciiTheme="majorHAnsi" w:hAnsiTheme="majorHAnsi" w:cstheme="majorHAnsi"/>
          <w:sz w:val="22"/>
          <w:szCs w:val="22"/>
        </w:rPr>
        <w:t>. 42% (105/252) of 60-69 year olds with epilepsy were referred on discharge compared to 24% (35/157) of those 80-89</w:t>
      </w:r>
      <w:r w:rsidR="00FB17B7" w:rsidRPr="00A13ACB">
        <w:rPr>
          <w:rFonts w:asciiTheme="majorHAnsi" w:hAnsiTheme="majorHAnsi" w:cstheme="majorHAnsi"/>
          <w:sz w:val="22"/>
          <w:szCs w:val="22"/>
        </w:rPr>
        <w:t>.</w:t>
      </w:r>
      <w:r w:rsidR="00C547D9" w:rsidRPr="00A13ACB">
        <w:rPr>
          <w:rFonts w:asciiTheme="majorHAnsi" w:hAnsiTheme="majorHAnsi" w:cstheme="majorHAnsi"/>
          <w:sz w:val="22"/>
          <w:szCs w:val="22"/>
        </w:rPr>
        <w:t xml:space="preserve"> </w:t>
      </w:r>
      <w:r w:rsidRPr="00A13ACB">
        <w:rPr>
          <w:rFonts w:asciiTheme="majorHAnsi" w:hAnsiTheme="majorHAnsi" w:cstheme="majorHAnsi"/>
          <w:sz w:val="22"/>
          <w:szCs w:val="22"/>
        </w:rPr>
        <w:t>52% (57/110) of 60-69 year olds</w:t>
      </w:r>
      <w:r w:rsidR="000E49F3" w:rsidRPr="00A13ACB">
        <w:rPr>
          <w:rFonts w:asciiTheme="majorHAnsi" w:hAnsiTheme="majorHAnsi" w:cstheme="majorHAnsi"/>
          <w:sz w:val="22"/>
          <w:szCs w:val="22"/>
        </w:rPr>
        <w:t xml:space="preserve"> presenting with a likely first seizure</w:t>
      </w:r>
      <w:r w:rsidRPr="00A13ACB">
        <w:rPr>
          <w:rFonts w:asciiTheme="majorHAnsi" w:hAnsiTheme="majorHAnsi" w:cstheme="majorHAnsi"/>
          <w:sz w:val="22"/>
          <w:szCs w:val="22"/>
        </w:rPr>
        <w:t xml:space="preserve"> were referred compared to 25% (29/116) of patients aged 80-89</w:t>
      </w:r>
      <w:r w:rsidR="00B848AE" w:rsidRPr="00A13ACB">
        <w:rPr>
          <w:rFonts w:asciiTheme="majorHAnsi" w:hAnsiTheme="majorHAnsi" w:cstheme="majorHAnsi"/>
          <w:sz w:val="22"/>
          <w:szCs w:val="22"/>
        </w:rPr>
        <w:t>. (Table 3</w:t>
      </w:r>
      <w:r w:rsidRPr="00A13ACB">
        <w:rPr>
          <w:rFonts w:asciiTheme="majorHAnsi" w:hAnsiTheme="majorHAnsi" w:cstheme="majorHAnsi"/>
          <w:sz w:val="22"/>
          <w:szCs w:val="22"/>
        </w:rPr>
        <w:t>)</w:t>
      </w:r>
      <w:r w:rsidR="00D12480" w:rsidRPr="00A13ACB">
        <w:rPr>
          <w:rFonts w:asciiTheme="majorHAnsi" w:hAnsiTheme="majorHAnsi" w:cstheme="majorHAnsi"/>
          <w:sz w:val="22"/>
          <w:szCs w:val="22"/>
        </w:rPr>
        <w:t xml:space="preserve"> </w:t>
      </w:r>
    </w:p>
    <w:p w:rsidR="00E57D4B" w:rsidRPr="00A13ACB" w:rsidRDefault="00E57D4B" w:rsidP="00A13ACB">
      <w:pPr>
        <w:jc w:val="both"/>
        <w:rPr>
          <w:rFonts w:asciiTheme="majorHAnsi" w:hAnsiTheme="majorHAnsi" w:cstheme="majorHAnsi"/>
          <w:sz w:val="22"/>
          <w:szCs w:val="22"/>
        </w:rPr>
      </w:pPr>
    </w:p>
    <w:p w:rsidR="00E57D4B" w:rsidRPr="00A13ACB" w:rsidRDefault="005D575C" w:rsidP="00A13ACB">
      <w:pPr>
        <w:jc w:val="both"/>
        <w:rPr>
          <w:rFonts w:asciiTheme="majorHAnsi" w:hAnsiTheme="majorHAnsi" w:cstheme="majorHAnsi"/>
          <w:sz w:val="22"/>
          <w:szCs w:val="22"/>
        </w:rPr>
      </w:pPr>
      <w:r>
        <w:rPr>
          <w:rFonts w:asciiTheme="majorHAnsi" w:hAnsiTheme="majorHAnsi" w:cstheme="majorHAnsi"/>
          <w:sz w:val="22"/>
          <w:szCs w:val="22"/>
        </w:rPr>
        <w:t>Fifty-three percent</w:t>
      </w:r>
      <w:r w:rsidR="0087114F" w:rsidRPr="00A13ACB">
        <w:rPr>
          <w:rFonts w:asciiTheme="majorHAnsi" w:hAnsiTheme="majorHAnsi" w:cstheme="majorHAnsi"/>
          <w:sz w:val="22"/>
          <w:szCs w:val="22"/>
        </w:rPr>
        <w:t xml:space="preserve"> (94/176</w:t>
      </w:r>
      <w:r w:rsidR="00017ECF" w:rsidRPr="00A13ACB">
        <w:rPr>
          <w:rFonts w:asciiTheme="majorHAnsi" w:hAnsiTheme="majorHAnsi" w:cstheme="majorHAnsi"/>
          <w:sz w:val="22"/>
          <w:szCs w:val="22"/>
        </w:rPr>
        <w:t>)</w:t>
      </w:r>
      <w:r w:rsidR="00E57D4B" w:rsidRPr="00A13ACB">
        <w:rPr>
          <w:rFonts w:asciiTheme="majorHAnsi" w:hAnsiTheme="majorHAnsi" w:cstheme="majorHAnsi"/>
          <w:sz w:val="22"/>
          <w:szCs w:val="22"/>
        </w:rPr>
        <w:t xml:space="preserve"> of patients with epilepsy, who had contact with neurology services in the preceding 12 months, were referred back to epilepsy services on discharge</w:t>
      </w:r>
      <w:r w:rsidR="00017ECF" w:rsidRPr="00A13ACB">
        <w:rPr>
          <w:rFonts w:asciiTheme="majorHAnsi" w:hAnsiTheme="majorHAnsi" w:cstheme="majorHAnsi"/>
          <w:sz w:val="22"/>
          <w:szCs w:val="22"/>
        </w:rPr>
        <w:t xml:space="preserve">, compared to </w:t>
      </w:r>
      <w:r w:rsidR="00E57D4B" w:rsidRPr="00A13ACB">
        <w:rPr>
          <w:rFonts w:asciiTheme="majorHAnsi" w:hAnsiTheme="majorHAnsi" w:cstheme="majorHAnsi"/>
          <w:sz w:val="22"/>
          <w:szCs w:val="22"/>
        </w:rPr>
        <w:t xml:space="preserve"> </w:t>
      </w:r>
      <w:r w:rsidR="0087114F" w:rsidRPr="00A13ACB">
        <w:rPr>
          <w:rFonts w:asciiTheme="majorHAnsi" w:hAnsiTheme="majorHAnsi" w:cstheme="majorHAnsi"/>
          <w:sz w:val="22"/>
          <w:szCs w:val="22"/>
        </w:rPr>
        <w:t>25</w:t>
      </w:r>
      <w:r w:rsidR="00E57D4B" w:rsidRPr="00A13ACB">
        <w:rPr>
          <w:rFonts w:asciiTheme="majorHAnsi" w:hAnsiTheme="majorHAnsi" w:cstheme="majorHAnsi"/>
          <w:sz w:val="22"/>
          <w:szCs w:val="22"/>
        </w:rPr>
        <w:t>% (</w:t>
      </w:r>
      <w:r w:rsidR="0087114F" w:rsidRPr="00A13ACB">
        <w:rPr>
          <w:rFonts w:asciiTheme="majorHAnsi" w:hAnsiTheme="majorHAnsi" w:cstheme="majorHAnsi"/>
          <w:sz w:val="22"/>
          <w:szCs w:val="22"/>
        </w:rPr>
        <w:t>112/445</w:t>
      </w:r>
      <w:r w:rsidR="00017ECF" w:rsidRPr="00A13ACB">
        <w:rPr>
          <w:rFonts w:asciiTheme="majorHAnsi" w:hAnsiTheme="majorHAnsi" w:cstheme="majorHAnsi"/>
          <w:sz w:val="22"/>
          <w:szCs w:val="22"/>
        </w:rPr>
        <w:t>)</w:t>
      </w:r>
      <w:r w:rsidR="00E57D4B" w:rsidRPr="00A13ACB">
        <w:rPr>
          <w:rFonts w:asciiTheme="majorHAnsi" w:hAnsiTheme="majorHAnsi" w:cstheme="majorHAnsi"/>
          <w:sz w:val="22"/>
          <w:szCs w:val="22"/>
        </w:rPr>
        <w:t xml:space="preserve"> of patients with epilepsy who had not been seen.  </w:t>
      </w:r>
    </w:p>
    <w:p w:rsidR="00F81132" w:rsidRPr="00A13ACB" w:rsidRDefault="00F81132" w:rsidP="00A13ACB">
      <w:pPr>
        <w:jc w:val="both"/>
        <w:rPr>
          <w:rFonts w:asciiTheme="majorHAnsi" w:hAnsiTheme="majorHAnsi" w:cstheme="majorHAnsi"/>
          <w:sz w:val="22"/>
          <w:szCs w:val="22"/>
        </w:rPr>
      </w:pPr>
    </w:p>
    <w:p w:rsidR="00AB7B38" w:rsidRPr="00A13ACB" w:rsidRDefault="00AB7B38" w:rsidP="00A13ACB">
      <w:pPr>
        <w:jc w:val="both"/>
        <w:rPr>
          <w:rFonts w:asciiTheme="majorHAnsi" w:hAnsiTheme="majorHAnsi" w:cstheme="majorHAnsi"/>
          <w:b/>
          <w:sz w:val="22"/>
          <w:szCs w:val="22"/>
        </w:rPr>
      </w:pPr>
    </w:p>
    <w:p w:rsidR="00023D70" w:rsidRDefault="00023D70" w:rsidP="00023D70">
      <w:pPr>
        <w:jc w:val="both"/>
        <w:rPr>
          <w:rFonts w:asciiTheme="majorHAnsi" w:hAnsiTheme="majorHAnsi" w:cstheme="majorHAnsi"/>
          <w:b/>
          <w:sz w:val="22"/>
          <w:szCs w:val="22"/>
        </w:rPr>
      </w:pPr>
      <w:r w:rsidRPr="00A13ACB">
        <w:rPr>
          <w:rFonts w:asciiTheme="majorHAnsi" w:hAnsiTheme="majorHAnsi" w:cstheme="majorHAnsi"/>
          <w:b/>
          <w:sz w:val="22"/>
          <w:szCs w:val="22"/>
        </w:rPr>
        <w:t>Discussion</w:t>
      </w:r>
    </w:p>
    <w:p w:rsidR="00023D70" w:rsidRDefault="00023D70" w:rsidP="00023D70">
      <w:pPr>
        <w:pStyle w:val="NoSpacing"/>
        <w:jc w:val="both"/>
        <w:rPr>
          <w:rFonts w:asciiTheme="majorHAnsi" w:hAnsiTheme="majorHAnsi" w:cstheme="majorHAnsi"/>
        </w:rPr>
      </w:pPr>
      <w:r w:rsidRPr="00A13ACB">
        <w:rPr>
          <w:rFonts w:asciiTheme="majorHAnsi" w:hAnsiTheme="majorHAnsi" w:cstheme="majorHAnsi"/>
        </w:rPr>
        <w:t xml:space="preserve">NASH retrospectively assessed the management of patients aged 60 and over presenting to ED with seizures. Sodium valproate was the most commonly prescribed AED in this study both as monotherapy and </w:t>
      </w:r>
      <w:proofErr w:type="spellStart"/>
      <w:r w:rsidRPr="00A13ACB">
        <w:rPr>
          <w:rFonts w:asciiTheme="majorHAnsi" w:hAnsiTheme="majorHAnsi" w:cstheme="majorHAnsi"/>
        </w:rPr>
        <w:t>polytherapy</w:t>
      </w:r>
      <w:proofErr w:type="spellEnd"/>
      <w:r w:rsidRPr="00A13ACB">
        <w:rPr>
          <w:rFonts w:asciiTheme="majorHAnsi" w:hAnsiTheme="majorHAnsi" w:cstheme="majorHAnsi"/>
        </w:rPr>
        <w:t>. This is likely to reflect the broad therapeutic spectrum and straightforward dosing schedule</w:t>
      </w:r>
      <w:r>
        <w:rPr>
          <w:rFonts w:asciiTheme="majorHAnsi" w:hAnsiTheme="majorHAnsi" w:cstheme="majorHAnsi"/>
        </w:rPr>
        <w:t xml:space="preserve"> of this drug</w:t>
      </w:r>
      <w:r w:rsidRPr="00A13ACB">
        <w:rPr>
          <w:rFonts w:asciiTheme="majorHAnsi" w:hAnsiTheme="majorHAnsi" w:cstheme="majorHAnsi"/>
        </w:rPr>
        <w:t>.</w:t>
      </w:r>
      <w:r>
        <w:rPr>
          <w:rFonts w:asciiTheme="majorHAnsi" w:hAnsiTheme="majorHAnsi" w:cstheme="majorHAnsi"/>
        </w:rPr>
        <w:t xml:space="preserve"> (22-24)</w:t>
      </w:r>
      <w:r w:rsidRPr="00A13ACB">
        <w:rPr>
          <w:rFonts w:asciiTheme="majorHAnsi" w:hAnsiTheme="majorHAnsi" w:cstheme="majorHAnsi"/>
        </w:rPr>
        <w:t xml:space="preserve"> </w:t>
      </w:r>
    </w:p>
    <w:p w:rsidR="00023D70" w:rsidRDefault="00023D70" w:rsidP="00023D70">
      <w:pPr>
        <w:pStyle w:val="NoSpacing"/>
        <w:jc w:val="both"/>
        <w:rPr>
          <w:rFonts w:asciiTheme="majorHAnsi" w:hAnsiTheme="majorHAnsi" w:cstheme="majorHAnsi"/>
        </w:rPr>
      </w:pPr>
    </w:p>
    <w:p w:rsidR="00023D70" w:rsidRDefault="00023D70" w:rsidP="00023D70">
      <w:pPr>
        <w:pStyle w:val="NoSpacing"/>
        <w:jc w:val="both"/>
        <w:rPr>
          <w:rFonts w:asciiTheme="majorHAnsi" w:hAnsiTheme="majorHAnsi" w:cstheme="majorHAnsi"/>
        </w:rPr>
      </w:pPr>
      <w:r w:rsidRPr="00A13ACB">
        <w:rPr>
          <w:rFonts w:asciiTheme="majorHAnsi" w:hAnsiTheme="majorHAnsi" w:cstheme="majorHAnsi"/>
        </w:rPr>
        <w:t xml:space="preserve">Focal epilepsy is more likely to be refractory to treatment and there is evidence that sodium valproate is not the best first AED to achieve seizure freedom. (6, </w:t>
      </w:r>
      <w:r>
        <w:rPr>
          <w:rFonts w:asciiTheme="majorHAnsi" w:hAnsiTheme="majorHAnsi" w:cstheme="majorHAnsi"/>
        </w:rPr>
        <w:t>25-27) A</w:t>
      </w:r>
      <w:r w:rsidRPr="00A13ACB">
        <w:rPr>
          <w:rFonts w:asciiTheme="majorHAnsi" w:hAnsiTheme="majorHAnsi" w:cstheme="majorHAnsi"/>
        </w:rPr>
        <w:t xml:space="preserve"> multi-centre double blind trial, comparing carbamazepine to sodium valproate, </w:t>
      </w:r>
      <w:r>
        <w:rPr>
          <w:rFonts w:asciiTheme="majorHAnsi" w:hAnsiTheme="majorHAnsi" w:cstheme="majorHAnsi"/>
        </w:rPr>
        <w:t xml:space="preserve">found that </w:t>
      </w:r>
      <w:r w:rsidRPr="00A13ACB">
        <w:rPr>
          <w:rFonts w:asciiTheme="majorHAnsi" w:hAnsiTheme="majorHAnsi" w:cstheme="majorHAnsi"/>
        </w:rPr>
        <w:t>carbamazepine was more effective in the treatment of focal seizures, the two being equally effective for secondary generalised tonic–</w:t>
      </w:r>
      <w:proofErr w:type="spellStart"/>
      <w:r w:rsidRPr="00A13ACB">
        <w:rPr>
          <w:rFonts w:asciiTheme="majorHAnsi" w:hAnsiTheme="majorHAnsi" w:cstheme="majorHAnsi"/>
        </w:rPr>
        <w:t>clonic</w:t>
      </w:r>
      <w:proofErr w:type="spellEnd"/>
      <w:r w:rsidRPr="00A13ACB">
        <w:rPr>
          <w:rFonts w:asciiTheme="majorHAnsi" w:hAnsiTheme="majorHAnsi" w:cstheme="majorHAnsi"/>
        </w:rPr>
        <w:t xml:space="preserve"> seizures. Carbamazepine had fewer long term adverse effects than </w:t>
      </w:r>
      <w:r>
        <w:rPr>
          <w:rFonts w:asciiTheme="majorHAnsi" w:hAnsiTheme="majorHAnsi" w:cstheme="majorHAnsi"/>
        </w:rPr>
        <w:t xml:space="preserve">sodium </w:t>
      </w:r>
      <w:r w:rsidRPr="00A13ACB">
        <w:rPr>
          <w:rFonts w:asciiTheme="majorHAnsi" w:hAnsiTheme="majorHAnsi" w:cstheme="majorHAnsi"/>
        </w:rPr>
        <w:t xml:space="preserve">valproate. </w:t>
      </w:r>
      <w:r>
        <w:rPr>
          <w:rFonts w:asciiTheme="majorHAnsi" w:hAnsiTheme="majorHAnsi" w:cstheme="majorHAnsi"/>
        </w:rPr>
        <w:t xml:space="preserve">(25) </w:t>
      </w:r>
      <w:r w:rsidRPr="00A13ACB">
        <w:rPr>
          <w:rFonts w:asciiTheme="majorHAnsi" w:hAnsiTheme="majorHAnsi" w:cstheme="majorHAnsi"/>
        </w:rPr>
        <w:t xml:space="preserve"> </w:t>
      </w:r>
    </w:p>
    <w:p w:rsidR="00023D70" w:rsidRDefault="00023D70" w:rsidP="00023D70">
      <w:pPr>
        <w:pStyle w:val="NoSpacing"/>
        <w:jc w:val="both"/>
        <w:rPr>
          <w:rFonts w:asciiTheme="majorHAnsi" w:hAnsiTheme="majorHAnsi" w:cstheme="majorHAnsi"/>
        </w:rPr>
      </w:pPr>
    </w:p>
    <w:p w:rsidR="00023D70" w:rsidRPr="00A13ACB" w:rsidRDefault="00023D70" w:rsidP="00023D70">
      <w:pPr>
        <w:pStyle w:val="NoSpacing"/>
        <w:jc w:val="both"/>
        <w:rPr>
          <w:rFonts w:asciiTheme="majorHAnsi" w:hAnsiTheme="majorHAnsi" w:cstheme="majorHAnsi"/>
        </w:rPr>
      </w:pPr>
      <w:r w:rsidRPr="00A13ACB">
        <w:rPr>
          <w:rFonts w:asciiTheme="majorHAnsi" w:hAnsiTheme="majorHAnsi" w:cstheme="majorHAnsi"/>
        </w:rPr>
        <w:t xml:space="preserve">Sodium valproate has </w:t>
      </w:r>
      <w:r>
        <w:rPr>
          <w:rFonts w:asciiTheme="majorHAnsi" w:hAnsiTheme="majorHAnsi" w:cstheme="majorHAnsi"/>
        </w:rPr>
        <w:t xml:space="preserve">also </w:t>
      </w:r>
      <w:r w:rsidRPr="00A13ACB">
        <w:rPr>
          <w:rFonts w:asciiTheme="majorHAnsi" w:hAnsiTheme="majorHAnsi" w:cstheme="majorHAnsi"/>
        </w:rPr>
        <w:t xml:space="preserve">been implicated in reduction of bone density in the </w:t>
      </w:r>
      <w:r w:rsidR="00077D72">
        <w:rPr>
          <w:rFonts w:asciiTheme="majorHAnsi" w:hAnsiTheme="majorHAnsi" w:cstheme="majorHAnsi"/>
        </w:rPr>
        <w:t>older people</w:t>
      </w:r>
      <w:r w:rsidRPr="00A13ACB">
        <w:rPr>
          <w:rFonts w:asciiTheme="majorHAnsi" w:hAnsiTheme="majorHAnsi" w:cstheme="majorHAnsi"/>
        </w:rPr>
        <w:t xml:space="preserve"> increasing the risk of fractures in this group. (13, </w:t>
      </w:r>
      <w:r>
        <w:rPr>
          <w:rFonts w:asciiTheme="majorHAnsi" w:hAnsiTheme="majorHAnsi" w:cstheme="majorHAnsi"/>
        </w:rPr>
        <w:t>28-29</w:t>
      </w:r>
      <w:r w:rsidRPr="00A13ACB">
        <w:rPr>
          <w:rFonts w:asciiTheme="majorHAnsi" w:hAnsiTheme="majorHAnsi" w:cstheme="majorHAnsi"/>
        </w:rPr>
        <w:t xml:space="preserve">)  </w:t>
      </w:r>
      <w:r>
        <w:rPr>
          <w:rFonts w:asciiTheme="majorHAnsi" w:hAnsiTheme="majorHAnsi" w:cstheme="majorHAnsi"/>
        </w:rPr>
        <w:t>There is also a higher rate of Parkinsonism in patients treated with sodium valproate. (30) The continued use of sodium valproate reflects outdated practice and is likely to be a consequence of management of these patients in primary care or by non-specialist services.</w:t>
      </w:r>
    </w:p>
    <w:p w:rsidR="00023D70" w:rsidRPr="00A13ACB" w:rsidRDefault="00023D70" w:rsidP="00023D70">
      <w:pPr>
        <w:pStyle w:val="NoSpacing"/>
        <w:jc w:val="both"/>
        <w:rPr>
          <w:rFonts w:asciiTheme="majorHAnsi" w:hAnsiTheme="majorHAnsi" w:cstheme="majorHAnsi"/>
        </w:rPr>
      </w:pPr>
    </w:p>
    <w:p w:rsidR="00023D70" w:rsidRPr="00A13ACB" w:rsidRDefault="00023D70" w:rsidP="00023D70">
      <w:pPr>
        <w:pStyle w:val="NoSpacing"/>
        <w:jc w:val="both"/>
        <w:rPr>
          <w:rFonts w:asciiTheme="majorHAnsi" w:hAnsiTheme="majorHAnsi" w:cstheme="majorHAnsi"/>
        </w:rPr>
      </w:pPr>
      <w:r w:rsidRPr="00A13ACB">
        <w:rPr>
          <w:rFonts w:asciiTheme="majorHAnsi" w:hAnsiTheme="majorHAnsi" w:cstheme="majorHAnsi"/>
        </w:rPr>
        <w:t>To date only five randomised controlled tria</w:t>
      </w:r>
      <w:r w:rsidR="00077D72">
        <w:rPr>
          <w:rFonts w:asciiTheme="majorHAnsi" w:hAnsiTheme="majorHAnsi" w:cstheme="majorHAnsi"/>
        </w:rPr>
        <w:t>ls of AED monotherapy in older</w:t>
      </w:r>
      <w:r w:rsidRPr="00A13ACB">
        <w:rPr>
          <w:rFonts w:asciiTheme="majorHAnsi" w:hAnsiTheme="majorHAnsi" w:cstheme="majorHAnsi"/>
        </w:rPr>
        <w:t xml:space="preserve"> patients with newly diagnosed epilepsy have been carried out. </w:t>
      </w:r>
      <w:r>
        <w:rPr>
          <w:rFonts w:asciiTheme="majorHAnsi" w:hAnsiTheme="majorHAnsi" w:cstheme="majorHAnsi"/>
        </w:rPr>
        <w:t>(26, 31-34)</w:t>
      </w:r>
      <w:r w:rsidRPr="00A13ACB">
        <w:rPr>
          <w:rFonts w:asciiTheme="majorHAnsi" w:hAnsiTheme="majorHAnsi" w:cstheme="majorHAnsi"/>
        </w:rPr>
        <w:t xml:space="preserve"> Four of the trials have shown comparable efficacy, in terms of time to first seizure, or seizure freedom between carbamazepine and </w:t>
      </w:r>
      <w:proofErr w:type="spellStart"/>
      <w:r w:rsidRPr="00A13ACB">
        <w:rPr>
          <w:rFonts w:asciiTheme="majorHAnsi" w:hAnsiTheme="majorHAnsi" w:cstheme="majorHAnsi"/>
        </w:rPr>
        <w:t>lamotrigine</w:t>
      </w:r>
      <w:proofErr w:type="spellEnd"/>
      <w:r>
        <w:rPr>
          <w:rFonts w:asciiTheme="majorHAnsi" w:hAnsiTheme="majorHAnsi" w:cstheme="majorHAnsi"/>
        </w:rPr>
        <w:t>.</w:t>
      </w:r>
      <w:r w:rsidRPr="00A13ACB">
        <w:rPr>
          <w:rFonts w:asciiTheme="majorHAnsi" w:hAnsiTheme="majorHAnsi" w:cstheme="majorHAnsi"/>
        </w:rPr>
        <w:t xml:space="preserve"> </w:t>
      </w:r>
      <w:r>
        <w:rPr>
          <w:rFonts w:asciiTheme="majorHAnsi" w:hAnsiTheme="majorHAnsi" w:cstheme="majorHAnsi"/>
        </w:rPr>
        <w:t xml:space="preserve">(26, 31, 33, 34) </w:t>
      </w:r>
      <w:r w:rsidRPr="00A13ACB">
        <w:rPr>
          <w:rFonts w:asciiTheme="majorHAnsi" w:hAnsiTheme="majorHAnsi" w:cstheme="majorHAnsi"/>
        </w:rPr>
        <w:t xml:space="preserve">Retention rates were higher for </w:t>
      </w:r>
      <w:proofErr w:type="spellStart"/>
      <w:r w:rsidRPr="00A13ACB">
        <w:rPr>
          <w:rFonts w:asciiTheme="majorHAnsi" w:hAnsiTheme="majorHAnsi" w:cstheme="majorHAnsi"/>
        </w:rPr>
        <w:t>lamotrigine</w:t>
      </w:r>
      <w:proofErr w:type="spellEnd"/>
      <w:r w:rsidRPr="00A13ACB">
        <w:rPr>
          <w:rFonts w:asciiTheme="majorHAnsi" w:hAnsiTheme="majorHAnsi" w:cstheme="majorHAnsi"/>
        </w:rPr>
        <w:t xml:space="preserve"> than carbamazepine in these trials, mainly due to better tolerability with </w:t>
      </w:r>
      <w:proofErr w:type="spellStart"/>
      <w:r w:rsidRPr="00A13ACB">
        <w:rPr>
          <w:rFonts w:asciiTheme="majorHAnsi" w:hAnsiTheme="majorHAnsi" w:cstheme="majorHAnsi"/>
        </w:rPr>
        <w:t>lamotrigine</w:t>
      </w:r>
      <w:proofErr w:type="spellEnd"/>
      <w:r w:rsidRPr="00A13ACB">
        <w:rPr>
          <w:rFonts w:asciiTheme="majorHAnsi" w:hAnsiTheme="majorHAnsi" w:cstheme="majorHAnsi"/>
        </w:rPr>
        <w:t xml:space="preserve">. The only prospective randomised, double-blind trial comparing </w:t>
      </w:r>
      <w:proofErr w:type="spellStart"/>
      <w:r w:rsidRPr="00A13ACB">
        <w:rPr>
          <w:rFonts w:asciiTheme="majorHAnsi" w:hAnsiTheme="majorHAnsi" w:cstheme="majorHAnsi"/>
        </w:rPr>
        <w:t>levetiracetam</w:t>
      </w:r>
      <w:proofErr w:type="spellEnd"/>
      <w:r w:rsidRPr="00A13ACB">
        <w:rPr>
          <w:rFonts w:asciiTheme="majorHAnsi" w:hAnsiTheme="majorHAnsi" w:cstheme="majorHAnsi"/>
        </w:rPr>
        <w:t xml:space="preserve">, </w:t>
      </w:r>
      <w:proofErr w:type="spellStart"/>
      <w:r w:rsidRPr="00A13ACB">
        <w:rPr>
          <w:rFonts w:asciiTheme="majorHAnsi" w:hAnsiTheme="majorHAnsi" w:cstheme="majorHAnsi"/>
        </w:rPr>
        <w:t>lamotrigine</w:t>
      </w:r>
      <w:proofErr w:type="spellEnd"/>
      <w:r w:rsidRPr="00A13ACB">
        <w:rPr>
          <w:rFonts w:asciiTheme="majorHAnsi" w:hAnsiTheme="majorHAnsi" w:cstheme="majorHAnsi"/>
        </w:rPr>
        <w:t xml:space="preserve"> and carbamazepine</w:t>
      </w:r>
      <w:r w:rsidR="00077D72">
        <w:rPr>
          <w:rFonts w:asciiTheme="majorHAnsi" w:hAnsiTheme="majorHAnsi" w:cstheme="majorHAnsi"/>
        </w:rPr>
        <w:t xml:space="preserve"> controlled release in older</w:t>
      </w:r>
      <w:r w:rsidRPr="00A13ACB">
        <w:rPr>
          <w:rFonts w:asciiTheme="majorHAnsi" w:hAnsiTheme="majorHAnsi" w:cstheme="majorHAnsi"/>
        </w:rPr>
        <w:t xml:space="preserve"> patients with newly diagnosed epilepsy showed similar efficacy of </w:t>
      </w:r>
      <w:proofErr w:type="spellStart"/>
      <w:r w:rsidRPr="00A13ACB">
        <w:rPr>
          <w:rFonts w:asciiTheme="majorHAnsi" w:hAnsiTheme="majorHAnsi" w:cstheme="majorHAnsi"/>
        </w:rPr>
        <w:t>levetiraceteam</w:t>
      </w:r>
      <w:proofErr w:type="spellEnd"/>
      <w:r w:rsidRPr="00A13ACB">
        <w:rPr>
          <w:rFonts w:asciiTheme="majorHAnsi" w:hAnsiTheme="majorHAnsi" w:cstheme="majorHAnsi"/>
        </w:rPr>
        <w:t xml:space="preserve"> monotherapy compared to carbamazepine controlled </w:t>
      </w:r>
      <w:r w:rsidRPr="00A13ACB">
        <w:rPr>
          <w:rFonts w:asciiTheme="majorHAnsi" w:hAnsiTheme="majorHAnsi" w:cstheme="majorHAnsi"/>
        </w:rPr>
        <w:lastRenderedPageBreak/>
        <w:t>release. Tolerability was superior</w:t>
      </w:r>
      <w:r>
        <w:rPr>
          <w:rFonts w:asciiTheme="majorHAnsi" w:hAnsiTheme="majorHAnsi" w:cstheme="majorHAnsi"/>
        </w:rPr>
        <w:t xml:space="preserve"> in </w:t>
      </w:r>
      <w:proofErr w:type="spellStart"/>
      <w:r>
        <w:rPr>
          <w:rFonts w:asciiTheme="majorHAnsi" w:hAnsiTheme="majorHAnsi" w:cstheme="majorHAnsi"/>
        </w:rPr>
        <w:t>levetiracetam</w:t>
      </w:r>
      <w:proofErr w:type="spellEnd"/>
      <w:r w:rsidRPr="00A13ACB">
        <w:rPr>
          <w:rFonts w:asciiTheme="majorHAnsi" w:hAnsiTheme="majorHAnsi" w:cstheme="majorHAnsi"/>
        </w:rPr>
        <w:t xml:space="preserve"> leading to increased effectiveness in terms of retention rates. </w:t>
      </w:r>
      <w:r>
        <w:rPr>
          <w:rFonts w:asciiTheme="majorHAnsi" w:hAnsiTheme="majorHAnsi" w:cstheme="majorHAnsi"/>
        </w:rPr>
        <w:t>(32)</w:t>
      </w:r>
      <w:r w:rsidRPr="00A13ACB">
        <w:rPr>
          <w:rFonts w:asciiTheme="majorHAnsi" w:hAnsiTheme="majorHAnsi" w:cstheme="majorHAnsi"/>
        </w:rPr>
        <w:t xml:space="preserve"> These findings do not seem to be reflected in clinical practice judging by the results of NASH where, by comparison, only a small percentage of patients were on </w:t>
      </w:r>
      <w:proofErr w:type="spellStart"/>
      <w:r w:rsidRPr="00A13ACB">
        <w:rPr>
          <w:rFonts w:asciiTheme="majorHAnsi" w:hAnsiTheme="majorHAnsi" w:cstheme="majorHAnsi"/>
        </w:rPr>
        <w:t>lamotrigine</w:t>
      </w:r>
      <w:proofErr w:type="spellEnd"/>
      <w:r w:rsidRPr="00A13ACB">
        <w:rPr>
          <w:rFonts w:asciiTheme="majorHAnsi" w:hAnsiTheme="majorHAnsi" w:cstheme="majorHAnsi"/>
        </w:rPr>
        <w:t xml:space="preserve">, carbamazepine or </w:t>
      </w:r>
      <w:proofErr w:type="spellStart"/>
      <w:r w:rsidRPr="00A13ACB">
        <w:rPr>
          <w:rFonts w:asciiTheme="majorHAnsi" w:hAnsiTheme="majorHAnsi" w:cstheme="majorHAnsi"/>
        </w:rPr>
        <w:t>levetiracetam</w:t>
      </w:r>
      <w:proofErr w:type="spellEnd"/>
      <w:r w:rsidRPr="00A13ACB">
        <w:rPr>
          <w:rFonts w:asciiTheme="majorHAnsi" w:hAnsiTheme="majorHAnsi" w:cstheme="majorHAnsi"/>
        </w:rPr>
        <w:t xml:space="preserve"> monotherapy.</w:t>
      </w:r>
    </w:p>
    <w:p w:rsidR="00023D70" w:rsidRPr="00A13ACB" w:rsidRDefault="00023D70" w:rsidP="00023D70">
      <w:pPr>
        <w:jc w:val="both"/>
        <w:rPr>
          <w:rFonts w:asciiTheme="majorHAnsi" w:hAnsiTheme="majorHAnsi" w:cstheme="majorHAnsi"/>
          <w:sz w:val="22"/>
          <w:szCs w:val="22"/>
        </w:rPr>
      </w:pPr>
    </w:p>
    <w:p w:rsidR="00023D70" w:rsidRPr="00A13ACB" w:rsidRDefault="00023D70" w:rsidP="00023D70">
      <w:pPr>
        <w:jc w:val="both"/>
        <w:rPr>
          <w:rFonts w:asciiTheme="majorHAnsi" w:hAnsiTheme="majorHAnsi" w:cstheme="majorHAnsi"/>
          <w:sz w:val="22"/>
          <w:szCs w:val="22"/>
        </w:rPr>
      </w:pPr>
      <w:r w:rsidRPr="00A13ACB">
        <w:rPr>
          <w:rFonts w:asciiTheme="majorHAnsi" w:hAnsiTheme="majorHAnsi" w:cstheme="majorHAnsi"/>
          <w:sz w:val="22"/>
          <w:szCs w:val="22"/>
        </w:rPr>
        <w:t>A significant number of patients with known epilepsy are having imaging following a seizure</w:t>
      </w:r>
      <w:r>
        <w:rPr>
          <w:rFonts w:asciiTheme="majorHAnsi" w:hAnsiTheme="majorHAnsi" w:cstheme="majorHAnsi"/>
          <w:sz w:val="22"/>
          <w:szCs w:val="22"/>
        </w:rPr>
        <w:t xml:space="preserve">. </w:t>
      </w:r>
      <w:r w:rsidRPr="00A13ACB">
        <w:rPr>
          <w:rFonts w:asciiTheme="majorHAnsi" w:hAnsiTheme="majorHAnsi" w:cstheme="majorHAnsi"/>
          <w:sz w:val="22"/>
          <w:szCs w:val="22"/>
        </w:rPr>
        <w:t>Whilst there appears to be some correlation between this and the GCS score, the same cannot be said when comparing the over and under 60s. This may be due to longer resolution of post-</w:t>
      </w:r>
      <w:proofErr w:type="spellStart"/>
      <w:r w:rsidRPr="00A13ACB">
        <w:rPr>
          <w:rFonts w:asciiTheme="majorHAnsi" w:hAnsiTheme="majorHAnsi" w:cstheme="majorHAnsi"/>
          <w:sz w:val="22"/>
          <w:szCs w:val="22"/>
        </w:rPr>
        <w:t>ictal</w:t>
      </w:r>
      <w:proofErr w:type="spellEnd"/>
      <w:r w:rsidRPr="00A13ACB">
        <w:rPr>
          <w:rFonts w:asciiTheme="majorHAnsi" w:hAnsiTheme="majorHAnsi" w:cstheme="majorHAnsi"/>
          <w:sz w:val="22"/>
          <w:szCs w:val="22"/>
        </w:rPr>
        <w:t xml:space="preserve"> confusion, Todd’s paresis or aphasia, thereby necessitating imaging in this group. </w:t>
      </w:r>
      <w:r>
        <w:rPr>
          <w:rFonts w:asciiTheme="majorHAnsi" w:hAnsiTheme="majorHAnsi" w:cstheme="majorHAnsi"/>
          <w:sz w:val="22"/>
          <w:szCs w:val="22"/>
        </w:rPr>
        <w:t xml:space="preserve">(35) </w:t>
      </w:r>
      <w:r w:rsidRPr="00A13ACB">
        <w:rPr>
          <w:rFonts w:asciiTheme="majorHAnsi" w:hAnsiTheme="majorHAnsi" w:cstheme="majorHAnsi"/>
          <w:sz w:val="22"/>
          <w:szCs w:val="22"/>
        </w:rPr>
        <w:t xml:space="preserve"> Given the retrospective nature of NASH it is difficult to explore this </w:t>
      </w:r>
      <w:proofErr w:type="gramStart"/>
      <w:r w:rsidRPr="00A13ACB">
        <w:rPr>
          <w:rFonts w:asciiTheme="majorHAnsi" w:hAnsiTheme="majorHAnsi" w:cstheme="majorHAnsi"/>
          <w:sz w:val="22"/>
          <w:szCs w:val="22"/>
        </w:rPr>
        <w:t>further,</w:t>
      </w:r>
      <w:proofErr w:type="gramEnd"/>
      <w:r w:rsidRPr="00A13ACB">
        <w:rPr>
          <w:rFonts w:asciiTheme="majorHAnsi" w:hAnsiTheme="majorHAnsi" w:cstheme="majorHAnsi"/>
          <w:sz w:val="22"/>
          <w:szCs w:val="22"/>
        </w:rPr>
        <w:t xml:space="preserve"> however the need for imaging is likely to lead to longer admission times and perhaps unnecessary scans in this group of patients. </w:t>
      </w:r>
    </w:p>
    <w:p w:rsidR="00023D70" w:rsidRPr="00A13ACB" w:rsidRDefault="00023D70" w:rsidP="00023D70">
      <w:pPr>
        <w:jc w:val="both"/>
        <w:rPr>
          <w:rFonts w:asciiTheme="majorHAnsi" w:hAnsiTheme="majorHAnsi" w:cstheme="majorHAnsi"/>
          <w:sz w:val="22"/>
          <w:szCs w:val="22"/>
        </w:rPr>
      </w:pPr>
    </w:p>
    <w:p w:rsidR="00023D70" w:rsidRDefault="00023D70" w:rsidP="00023D70">
      <w:pPr>
        <w:jc w:val="both"/>
        <w:rPr>
          <w:rFonts w:asciiTheme="majorHAnsi" w:hAnsiTheme="majorHAnsi" w:cstheme="majorHAnsi"/>
          <w:sz w:val="22"/>
          <w:szCs w:val="22"/>
        </w:rPr>
      </w:pPr>
      <w:r>
        <w:rPr>
          <w:rFonts w:asciiTheme="majorHAnsi" w:hAnsiTheme="majorHAnsi" w:cstheme="majorHAnsi"/>
          <w:sz w:val="22"/>
          <w:szCs w:val="22"/>
        </w:rPr>
        <w:t>Older patients presenting with seizures are also more likely to be admitted to hospital. Their other comorbidities and also safety concerns if they live alone, are factors</w:t>
      </w:r>
      <w:r w:rsidR="00FE4E18">
        <w:rPr>
          <w:rFonts w:asciiTheme="majorHAnsi" w:hAnsiTheme="majorHAnsi" w:cstheme="majorHAnsi"/>
          <w:sz w:val="22"/>
          <w:szCs w:val="22"/>
        </w:rPr>
        <w:t xml:space="preserve"> which will influence admission. </w:t>
      </w:r>
      <w:r>
        <w:rPr>
          <w:rFonts w:asciiTheme="majorHAnsi" w:hAnsiTheme="majorHAnsi" w:cstheme="majorHAnsi"/>
          <w:sz w:val="22"/>
          <w:szCs w:val="22"/>
        </w:rPr>
        <w:t xml:space="preserve">Advice on what to do in the event of further seizures is generally poor. It might be helpful for ED departments to have information leaflets available to give to patients on discharge. </w:t>
      </w:r>
    </w:p>
    <w:p w:rsidR="00023D70" w:rsidRDefault="00023D70" w:rsidP="00023D70">
      <w:pPr>
        <w:jc w:val="both"/>
        <w:rPr>
          <w:rFonts w:asciiTheme="majorHAnsi" w:hAnsiTheme="majorHAnsi" w:cstheme="majorHAnsi"/>
          <w:sz w:val="22"/>
          <w:szCs w:val="22"/>
        </w:rPr>
      </w:pPr>
    </w:p>
    <w:p w:rsidR="00023D70" w:rsidRPr="00A13ACB" w:rsidRDefault="00023D70" w:rsidP="00023D70">
      <w:pPr>
        <w:jc w:val="both"/>
        <w:rPr>
          <w:rFonts w:asciiTheme="majorHAnsi" w:hAnsiTheme="majorHAnsi" w:cstheme="majorHAnsi"/>
          <w:sz w:val="22"/>
          <w:szCs w:val="22"/>
        </w:rPr>
      </w:pPr>
      <w:r w:rsidRPr="00A13ACB">
        <w:rPr>
          <w:rFonts w:asciiTheme="majorHAnsi" w:hAnsiTheme="majorHAnsi" w:cstheme="majorHAnsi"/>
          <w:sz w:val="22"/>
          <w:szCs w:val="22"/>
        </w:rPr>
        <w:t xml:space="preserve">Patients with epilepsy who had been seen in the previous 12 months were twice as likely to be referred back to epilepsy services on discharge. This is in line with previous published data. </w:t>
      </w:r>
      <w:r>
        <w:rPr>
          <w:rFonts w:asciiTheme="majorHAnsi" w:hAnsiTheme="majorHAnsi" w:cstheme="majorHAnsi"/>
          <w:sz w:val="22"/>
          <w:szCs w:val="22"/>
        </w:rPr>
        <w:t xml:space="preserve">(36) </w:t>
      </w:r>
      <w:r w:rsidRPr="00A13ACB">
        <w:rPr>
          <w:rFonts w:asciiTheme="majorHAnsi" w:hAnsiTheme="majorHAnsi" w:cstheme="majorHAnsi"/>
          <w:sz w:val="22"/>
          <w:szCs w:val="22"/>
        </w:rPr>
        <w:t xml:space="preserve"> Equitable access to specialist epilepsy services is important, particularly in</w:t>
      </w:r>
      <w:r w:rsidR="00FE4E18">
        <w:rPr>
          <w:rFonts w:asciiTheme="majorHAnsi" w:hAnsiTheme="majorHAnsi" w:cstheme="majorHAnsi"/>
          <w:sz w:val="22"/>
          <w:szCs w:val="22"/>
        </w:rPr>
        <w:t xml:space="preserve"> older people</w:t>
      </w:r>
      <w:r w:rsidRPr="00A13ACB">
        <w:rPr>
          <w:rFonts w:asciiTheme="majorHAnsi" w:hAnsiTheme="majorHAnsi" w:cstheme="majorHAnsi"/>
          <w:sz w:val="22"/>
          <w:szCs w:val="22"/>
        </w:rPr>
        <w:t xml:space="preserve"> where diagnosis can be more challenging. A study assessing this in Sheffield and </w:t>
      </w:r>
      <w:proofErr w:type="spellStart"/>
      <w:r w:rsidRPr="00A13ACB">
        <w:rPr>
          <w:rFonts w:asciiTheme="majorHAnsi" w:hAnsiTheme="majorHAnsi" w:cstheme="majorHAnsi"/>
          <w:sz w:val="22"/>
          <w:szCs w:val="22"/>
        </w:rPr>
        <w:t>Rotherham</w:t>
      </w:r>
      <w:proofErr w:type="spellEnd"/>
      <w:r w:rsidRPr="00A13ACB">
        <w:rPr>
          <w:rFonts w:asciiTheme="majorHAnsi" w:hAnsiTheme="majorHAnsi" w:cstheme="majorHAnsi"/>
          <w:sz w:val="22"/>
          <w:szCs w:val="22"/>
        </w:rPr>
        <w:t xml:space="preserve"> found that older patients with epilepsy were less likely to be referred to specialist neurology services than their younger counterparts, raising the possibility of age discrimination. (</w:t>
      </w:r>
      <w:r>
        <w:rPr>
          <w:rFonts w:asciiTheme="majorHAnsi" w:hAnsiTheme="majorHAnsi" w:cstheme="majorHAnsi"/>
          <w:sz w:val="22"/>
          <w:szCs w:val="22"/>
        </w:rPr>
        <w:t>37</w:t>
      </w:r>
      <w:r w:rsidRPr="00A13ACB">
        <w:rPr>
          <w:rFonts w:asciiTheme="majorHAnsi" w:hAnsiTheme="majorHAnsi" w:cstheme="majorHAnsi"/>
          <w:sz w:val="22"/>
          <w:szCs w:val="22"/>
        </w:rPr>
        <w:t>)  These findings are supported by the national data collated in this study.</w:t>
      </w:r>
    </w:p>
    <w:p w:rsidR="00023D70" w:rsidRPr="00A13ACB" w:rsidRDefault="00023D70" w:rsidP="00023D70">
      <w:pPr>
        <w:jc w:val="both"/>
        <w:rPr>
          <w:rFonts w:asciiTheme="majorHAnsi" w:hAnsiTheme="majorHAnsi" w:cstheme="majorHAnsi"/>
          <w:sz w:val="22"/>
          <w:szCs w:val="22"/>
        </w:rPr>
      </w:pPr>
    </w:p>
    <w:p w:rsidR="00023D70" w:rsidRPr="00A13ACB" w:rsidRDefault="00023D70" w:rsidP="00023D70">
      <w:pPr>
        <w:jc w:val="both"/>
        <w:rPr>
          <w:rFonts w:asciiTheme="majorHAnsi" w:hAnsiTheme="majorHAnsi" w:cstheme="majorHAnsi"/>
          <w:sz w:val="22"/>
          <w:szCs w:val="22"/>
        </w:rPr>
      </w:pPr>
      <w:r w:rsidRPr="00A13ACB">
        <w:rPr>
          <w:rFonts w:asciiTheme="majorHAnsi" w:hAnsiTheme="majorHAnsi" w:cstheme="majorHAnsi"/>
          <w:sz w:val="22"/>
          <w:szCs w:val="22"/>
        </w:rPr>
        <w:t xml:space="preserve">The same group in Sheffield and </w:t>
      </w:r>
      <w:proofErr w:type="spellStart"/>
      <w:r w:rsidRPr="00A13ACB">
        <w:rPr>
          <w:rFonts w:asciiTheme="majorHAnsi" w:hAnsiTheme="majorHAnsi" w:cstheme="majorHAnsi"/>
          <w:sz w:val="22"/>
          <w:szCs w:val="22"/>
        </w:rPr>
        <w:t>Rotherham</w:t>
      </w:r>
      <w:proofErr w:type="spellEnd"/>
      <w:r w:rsidRPr="00A13ACB">
        <w:rPr>
          <w:rFonts w:asciiTheme="majorHAnsi" w:hAnsiTheme="majorHAnsi" w:cstheme="majorHAnsi"/>
          <w:sz w:val="22"/>
          <w:szCs w:val="22"/>
        </w:rPr>
        <w:t xml:space="preserve"> explored possible reasons for non-referral, and identified a number of factors which may explain lower referral rates, including difficulty accessing hospital, patient reluctance to attend clinics, unclear referral pathway, complex differential diagnosis, referrer knowledge and time since onset. (</w:t>
      </w:r>
      <w:r>
        <w:rPr>
          <w:rFonts w:asciiTheme="majorHAnsi" w:hAnsiTheme="majorHAnsi" w:cstheme="majorHAnsi"/>
          <w:sz w:val="22"/>
          <w:szCs w:val="22"/>
        </w:rPr>
        <w:t>38</w:t>
      </w:r>
      <w:r w:rsidRPr="00A13ACB">
        <w:rPr>
          <w:rFonts w:asciiTheme="majorHAnsi" w:hAnsiTheme="majorHAnsi" w:cstheme="majorHAnsi"/>
          <w:sz w:val="22"/>
          <w:szCs w:val="22"/>
        </w:rPr>
        <w:t>) When older patients were surveyed on the same question</w:t>
      </w:r>
      <w:r>
        <w:rPr>
          <w:rFonts w:asciiTheme="majorHAnsi" w:hAnsiTheme="majorHAnsi" w:cstheme="majorHAnsi"/>
          <w:sz w:val="22"/>
          <w:szCs w:val="22"/>
        </w:rPr>
        <w:t>s</w:t>
      </w:r>
      <w:r w:rsidRPr="00A13ACB">
        <w:rPr>
          <w:rFonts w:asciiTheme="majorHAnsi" w:hAnsiTheme="majorHAnsi" w:cstheme="majorHAnsi"/>
          <w:sz w:val="22"/>
          <w:szCs w:val="22"/>
        </w:rPr>
        <w:t xml:space="preserve"> many directly disagreed with these views. This data suggests that healthcare professionals may make assumptions about older people in terms of their willingness and ability to attend hospital appointments. (</w:t>
      </w:r>
      <w:r>
        <w:rPr>
          <w:rFonts w:asciiTheme="majorHAnsi" w:hAnsiTheme="majorHAnsi" w:cstheme="majorHAnsi"/>
          <w:sz w:val="22"/>
          <w:szCs w:val="22"/>
        </w:rPr>
        <w:t>39</w:t>
      </w:r>
      <w:r w:rsidRPr="00A13ACB">
        <w:rPr>
          <w:rFonts w:asciiTheme="majorHAnsi" w:hAnsiTheme="majorHAnsi" w:cstheme="majorHAnsi"/>
          <w:sz w:val="22"/>
          <w:szCs w:val="22"/>
        </w:rPr>
        <w:t>) The sample size of professionals and patients was small and therefore further studies are needed to assess healthcare professional</w:t>
      </w:r>
      <w:r>
        <w:rPr>
          <w:rFonts w:asciiTheme="majorHAnsi" w:hAnsiTheme="majorHAnsi" w:cstheme="majorHAnsi"/>
          <w:sz w:val="22"/>
          <w:szCs w:val="22"/>
        </w:rPr>
        <w:t>s</w:t>
      </w:r>
      <w:r w:rsidRPr="00A13ACB">
        <w:rPr>
          <w:rFonts w:asciiTheme="majorHAnsi" w:hAnsiTheme="majorHAnsi" w:cstheme="majorHAnsi"/>
          <w:sz w:val="22"/>
          <w:szCs w:val="22"/>
        </w:rPr>
        <w:t>’ attitudes.</w:t>
      </w:r>
    </w:p>
    <w:p w:rsidR="00023D70" w:rsidRPr="00A13ACB" w:rsidRDefault="00023D70" w:rsidP="00023D70">
      <w:pPr>
        <w:jc w:val="both"/>
        <w:rPr>
          <w:rFonts w:asciiTheme="majorHAnsi" w:hAnsiTheme="majorHAnsi" w:cstheme="majorHAnsi"/>
          <w:sz w:val="22"/>
          <w:szCs w:val="22"/>
        </w:rPr>
      </w:pPr>
    </w:p>
    <w:p w:rsidR="00023D70" w:rsidRDefault="00023D70" w:rsidP="00023D70">
      <w:pPr>
        <w:jc w:val="both"/>
        <w:rPr>
          <w:rFonts w:asciiTheme="majorHAnsi" w:hAnsiTheme="majorHAnsi" w:cstheme="majorHAnsi"/>
          <w:sz w:val="22"/>
          <w:szCs w:val="22"/>
        </w:rPr>
      </w:pPr>
      <w:r>
        <w:rPr>
          <w:rFonts w:asciiTheme="majorHAnsi" w:hAnsiTheme="majorHAnsi" w:cstheme="majorHAnsi"/>
          <w:sz w:val="22"/>
          <w:szCs w:val="22"/>
        </w:rPr>
        <w:t xml:space="preserve">Other reasons for non-referral to specialist services include referral to another </w:t>
      </w:r>
      <w:r w:rsidR="00AA4C9B">
        <w:rPr>
          <w:rFonts w:asciiTheme="majorHAnsi" w:hAnsiTheme="majorHAnsi" w:cstheme="majorHAnsi"/>
          <w:sz w:val="22"/>
          <w:szCs w:val="22"/>
        </w:rPr>
        <w:t xml:space="preserve">medical </w:t>
      </w:r>
      <w:proofErr w:type="spellStart"/>
      <w:r>
        <w:rPr>
          <w:rFonts w:asciiTheme="majorHAnsi" w:hAnsiTheme="majorHAnsi" w:cstheme="majorHAnsi"/>
          <w:sz w:val="22"/>
          <w:szCs w:val="22"/>
        </w:rPr>
        <w:t>speciality</w:t>
      </w:r>
      <w:proofErr w:type="spellEnd"/>
      <w:r>
        <w:rPr>
          <w:rFonts w:asciiTheme="majorHAnsi" w:hAnsiTheme="majorHAnsi" w:cstheme="majorHAnsi"/>
          <w:sz w:val="22"/>
          <w:szCs w:val="22"/>
        </w:rPr>
        <w:t xml:space="preserve">, such as elderly care medicine. NASH was not set up to assess referral to other specialties, which is a limitation for the purposes of this analysis and may account, in part, for the lower referral rates to epilepsy services in this group. A more integrated approach between primary care, </w:t>
      </w:r>
      <w:r w:rsidRPr="00A13ACB">
        <w:rPr>
          <w:rFonts w:asciiTheme="majorHAnsi" w:hAnsiTheme="majorHAnsi" w:cstheme="majorHAnsi"/>
          <w:sz w:val="22"/>
          <w:szCs w:val="22"/>
        </w:rPr>
        <w:t xml:space="preserve">general physicians </w:t>
      </w:r>
      <w:r>
        <w:rPr>
          <w:rFonts w:asciiTheme="majorHAnsi" w:hAnsiTheme="majorHAnsi" w:cstheme="majorHAnsi"/>
          <w:sz w:val="22"/>
          <w:szCs w:val="22"/>
        </w:rPr>
        <w:t>and epilepsy specialists would be helpful in management.</w:t>
      </w:r>
      <w:r w:rsidRPr="00A13ACB">
        <w:rPr>
          <w:rFonts w:asciiTheme="majorHAnsi" w:hAnsiTheme="majorHAnsi" w:cstheme="majorHAnsi"/>
          <w:sz w:val="22"/>
          <w:szCs w:val="22"/>
        </w:rPr>
        <w:t xml:space="preserve"> </w:t>
      </w:r>
      <w:r>
        <w:rPr>
          <w:rFonts w:asciiTheme="majorHAnsi" w:hAnsiTheme="majorHAnsi" w:cstheme="majorHAnsi"/>
          <w:sz w:val="22"/>
          <w:szCs w:val="22"/>
        </w:rPr>
        <w:t>If there is diagnostic uncertainty e</w:t>
      </w:r>
      <w:r w:rsidRPr="00A13ACB">
        <w:rPr>
          <w:rFonts w:asciiTheme="majorHAnsi" w:hAnsiTheme="majorHAnsi" w:cstheme="majorHAnsi"/>
          <w:sz w:val="22"/>
          <w:szCs w:val="22"/>
        </w:rPr>
        <w:t>arly involvement of physicians with an interest in epilepsy should improve</w:t>
      </w:r>
      <w:r>
        <w:rPr>
          <w:rFonts w:asciiTheme="majorHAnsi" w:hAnsiTheme="majorHAnsi" w:cstheme="majorHAnsi"/>
          <w:sz w:val="22"/>
          <w:szCs w:val="22"/>
        </w:rPr>
        <w:t xml:space="preserve"> this.</w:t>
      </w:r>
    </w:p>
    <w:p w:rsidR="00023D70" w:rsidRPr="00A13ACB" w:rsidRDefault="00023D70" w:rsidP="00023D70">
      <w:pPr>
        <w:jc w:val="both"/>
        <w:rPr>
          <w:rFonts w:asciiTheme="majorHAnsi" w:hAnsiTheme="majorHAnsi" w:cstheme="majorHAnsi"/>
          <w:sz w:val="22"/>
          <w:szCs w:val="22"/>
        </w:rPr>
      </w:pPr>
    </w:p>
    <w:p w:rsidR="00023D70" w:rsidRPr="00A13ACB" w:rsidRDefault="00023D70" w:rsidP="00023D70">
      <w:pPr>
        <w:pStyle w:val="NoSpacing"/>
        <w:jc w:val="both"/>
        <w:rPr>
          <w:rFonts w:asciiTheme="majorHAnsi" w:hAnsiTheme="majorHAnsi" w:cstheme="majorHAnsi"/>
        </w:rPr>
      </w:pPr>
      <w:r w:rsidRPr="00A13ACB">
        <w:rPr>
          <w:rFonts w:asciiTheme="majorHAnsi" w:hAnsiTheme="majorHAnsi" w:cstheme="majorHAnsi"/>
        </w:rPr>
        <w:t xml:space="preserve">As a retrospective audit, data in NASH could only be derived through information documented in the medical notes. Some of the missing data may be due to variability of recording, or availability of the information at the time of data collection. Patients were divided into 3 groups, one of which comprised those who may have had a seizure or blackout. In the latter the diagnosis of epilepsy was not clear from the medical records and they were therefore reported separately given that a retrospective diagnosis would not have </w:t>
      </w:r>
      <w:r w:rsidRPr="00A13ACB">
        <w:rPr>
          <w:rFonts w:asciiTheme="majorHAnsi" w:hAnsiTheme="majorHAnsi" w:cstheme="majorHAnsi"/>
        </w:rPr>
        <w:lastRenderedPageBreak/>
        <w:t>been possible. A group of patients without a known diagnosis of epilepsy were on anti-epileptic medication. The nature of data collection did not allow retrospective review to ascertain whether this was in error or whether these drugs had been prescribed for different indications.</w:t>
      </w:r>
    </w:p>
    <w:p w:rsidR="00023D70" w:rsidRPr="00A13ACB" w:rsidRDefault="00023D70" w:rsidP="00023D70">
      <w:pPr>
        <w:jc w:val="both"/>
        <w:rPr>
          <w:rFonts w:asciiTheme="majorHAnsi" w:hAnsiTheme="majorHAnsi" w:cstheme="majorHAnsi"/>
          <w:sz w:val="22"/>
          <w:szCs w:val="22"/>
        </w:rPr>
      </w:pPr>
    </w:p>
    <w:p w:rsidR="00023D70" w:rsidRPr="00A13ACB" w:rsidRDefault="00023D70" w:rsidP="00023D70">
      <w:pPr>
        <w:jc w:val="both"/>
        <w:rPr>
          <w:rFonts w:asciiTheme="majorHAnsi" w:hAnsiTheme="majorHAnsi" w:cstheme="majorHAnsi"/>
          <w:b/>
          <w:sz w:val="22"/>
          <w:szCs w:val="22"/>
        </w:rPr>
      </w:pPr>
      <w:r w:rsidRPr="00A13ACB">
        <w:rPr>
          <w:rFonts w:asciiTheme="majorHAnsi" w:hAnsiTheme="majorHAnsi" w:cstheme="majorHAnsi"/>
          <w:b/>
          <w:sz w:val="22"/>
          <w:szCs w:val="22"/>
        </w:rPr>
        <w:t xml:space="preserve">Conclusion </w:t>
      </w:r>
    </w:p>
    <w:p w:rsidR="00D42921" w:rsidRPr="00A13ACB" w:rsidRDefault="00D42921" w:rsidP="00D42921">
      <w:pPr>
        <w:jc w:val="both"/>
        <w:rPr>
          <w:rFonts w:asciiTheme="majorHAnsi" w:hAnsiTheme="majorHAnsi" w:cstheme="majorHAnsi"/>
          <w:sz w:val="22"/>
          <w:szCs w:val="22"/>
        </w:rPr>
      </w:pPr>
      <w:r w:rsidRPr="00A13ACB">
        <w:rPr>
          <w:rFonts w:asciiTheme="majorHAnsi" w:hAnsiTheme="majorHAnsi" w:cstheme="majorHAnsi"/>
          <w:sz w:val="22"/>
          <w:szCs w:val="22"/>
        </w:rPr>
        <w:t>There is considerable variation in the documented care of patients with seizures attending hospital and this is evident throughout the care pathway. Better management of these patients in the community would lead to lower admission rates in hospital. With a rapidly expanding ageing population, we have to be even more inclusive of the healthcare needs of this group of individuals, which can fundamentally improve their quality of life as well reducing unnecessary investigations and thereby longer hospital admissions.</w:t>
      </w:r>
    </w:p>
    <w:p w:rsidR="00D42921" w:rsidRPr="00A13ACB" w:rsidRDefault="00D42921" w:rsidP="00D42921">
      <w:pPr>
        <w:jc w:val="both"/>
        <w:rPr>
          <w:rFonts w:asciiTheme="majorHAnsi" w:hAnsiTheme="majorHAnsi" w:cstheme="majorHAnsi"/>
          <w:sz w:val="22"/>
          <w:szCs w:val="22"/>
        </w:rPr>
      </w:pPr>
    </w:p>
    <w:p w:rsidR="00D42921" w:rsidRDefault="00D42921" w:rsidP="00D42921">
      <w:pPr>
        <w:jc w:val="both"/>
        <w:rPr>
          <w:rFonts w:asciiTheme="majorHAnsi" w:hAnsiTheme="majorHAnsi" w:cstheme="majorHAnsi"/>
          <w:sz w:val="22"/>
          <w:szCs w:val="22"/>
        </w:rPr>
      </w:pPr>
      <w:r>
        <w:rPr>
          <w:rFonts w:asciiTheme="majorHAnsi" w:hAnsiTheme="majorHAnsi" w:cstheme="majorHAnsi"/>
          <w:sz w:val="22"/>
          <w:szCs w:val="22"/>
        </w:rPr>
        <w:t xml:space="preserve">Although review of these patients within epilepsy services is ideal, this may not be feasible for every patient. A stronger network between epilepsy specialists, primary care and </w:t>
      </w:r>
      <w:r w:rsidR="00AA4C9B">
        <w:rPr>
          <w:rFonts w:asciiTheme="majorHAnsi" w:hAnsiTheme="majorHAnsi" w:cstheme="majorHAnsi"/>
          <w:sz w:val="22"/>
          <w:szCs w:val="22"/>
        </w:rPr>
        <w:t>general</w:t>
      </w:r>
      <w:r>
        <w:rPr>
          <w:rFonts w:asciiTheme="majorHAnsi" w:hAnsiTheme="majorHAnsi" w:cstheme="majorHAnsi"/>
          <w:sz w:val="22"/>
          <w:szCs w:val="22"/>
        </w:rPr>
        <w:t xml:space="preserve"> physicians is needed to improve management, lower admission rates, bringing about large cost savings. </w:t>
      </w:r>
    </w:p>
    <w:p w:rsidR="00023D70" w:rsidRDefault="00023D70" w:rsidP="00023D70">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b/>
          <w:sz w:val="22"/>
          <w:szCs w:val="22"/>
        </w:rPr>
      </w:pPr>
    </w:p>
    <w:p w:rsidR="00A13ACB" w:rsidRPr="00A13ACB" w:rsidRDefault="00A13ACB" w:rsidP="00A13ACB">
      <w:pPr>
        <w:jc w:val="both"/>
        <w:rPr>
          <w:rFonts w:asciiTheme="majorHAnsi" w:hAnsiTheme="majorHAnsi" w:cstheme="majorHAnsi"/>
          <w:sz w:val="22"/>
          <w:szCs w:val="22"/>
        </w:rPr>
      </w:pPr>
    </w:p>
    <w:p w:rsidR="00E57D4B" w:rsidRDefault="00E57D4B"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AA4C9B" w:rsidRDefault="00AA4C9B" w:rsidP="00A13ACB">
      <w:pPr>
        <w:jc w:val="both"/>
        <w:rPr>
          <w:rFonts w:asciiTheme="majorHAnsi" w:hAnsiTheme="majorHAnsi" w:cstheme="majorHAnsi"/>
          <w:sz w:val="22"/>
          <w:szCs w:val="22"/>
        </w:rPr>
      </w:pPr>
    </w:p>
    <w:p w:rsidR="00AA4C9B" w:rsidRDefault="00AA4C9B" w:rsidP="00A13ACB">
      <w:pPr>
        <w:jc w:val="both"/>
        <w:rPr>
          <w:rFonts w:asciiTheme="majorHAnsi" w:hAnsiTheme="majorHAnsi" w:cstheme="majorHAnsi"/>
          <w:sz w:val="22"/>
          <w:szCs w:val="22"/>
        </w:rPr>
      </w:pPr>
    </w:p>
    <w:p w:rsidR="00AA4C9B" w:rsidRDefault="00AA4C9B" w:rsidP="00A13ACB">
      <w:pPr>
        <w:jc w:val="both"/>
        <w:rPr>
          <w:rFonts w:asciiTheme="majorHAnsi" w:hAnsiTheme="majorHAnsi" w:cstheme="majorHAnsi"/>
          <w:sz w:val="22"/>
          <w:szCs w:val="22"/>
        </w:rPr>
      </w:pPr>
    </w:p>
    <w:p w:rsidR="00AA4C9B" w:rsidRDefault="00AA4C9B" w:rsidP="00A13ACB">
      <w:pPr>
        <w:jc w:val="both"/>
        <w:rPr>
          <w:rFonts w:asciiTheme="majorHAnsi" w:hAnsiTheme="majorHAnsi" w:cstheme="majorHAnsi"/>
          <w:sz w:val="22"/>
          <w:szCs w:val="22"/>
        </w:rPr>
      </w:pPr>
    </w:p>
    <w:p w:rsidR="00AA4C9B" w:rsidRDefault="00AA4C9B" w:rsidP="00A13ACB">
      <w:pPr>
        <w:jc w:val="both"/>
        <w:rPr>
          <w:rFonts w:asciiTheme="majorHAnsi" w:hAnsiTheme="majorHAnsi" w:cstheme="majorHAnsi"/>
          <w:sz w:val="22"/>
          <w:szCs w:val="22"/>
        </w:rPr>
      </w:pPr>
    </w:p>
    <w:p w:rsidR="00AA4C9B" w:rsidRDefault="00AA4C9B" w:rsidP="00A13ACB">
      <w:pPr>
        <w:jc w:val="both"/>
        <w:rPr>
          <w:rFonts w:asciiTheme="majorHAnsi" w:hAnsiTheme="majorHAnsi" w:cstheme="majorHAnsi"/>
          <w:sz w:val="22"/>
          <w:szCs w:val="22"/>
        </w:rPr>
      </w:pPr>
    </w:p>
    <w:p w:rsidR="00AA4C9B" w:rsidRDefault="00AA4C9B" w:rsidP="00A13ACB">
      <w:pPr>
        <w:jc w:val="both"/>
        <w:rPr>
          <w:rFonts w:asciiTheme="majorHAnsi" w:hAnsiTheme="majorHAnsi" w:cstheme="majorHAnsi"/>
          <w:sz w:val="22"/>
          <w:szCs w:val="22"/>
        </w:rPr>
      </w:pPr>
    </w:p>
    <w:p w:rsidR="00AA4C9B" w:rsidRDefault="00AA4C9B"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DF48C4" w:rsidRPr="00A13ACB" w:rsidRDefault="00DF48C4" w:rsidP="00A13ACB">
      <w:pPr>
        <w:jc w:val="both"/>
        <w:rPr>
          <w:rFonts w:asciiTheme="majorHAnsi" w:hAnsiTheme="majorHAnsi" w:cstheme="majorHAnsi"/>
          <w:b/>
          <w:sz w:val="22"/>
          <w:szCs w:val="22"/>
        </w:rPr>
      </w:pPr>
      <w:proofErr w:type="gramStart"/>
      <w:r w:rsidRPr="00A13ACB">
        <w:rPr>
          <w:rFonts w:asciiTheme="majorHAnsi" w:hAnsiTheme="majorHAnsi" w:cstheme="majorHAnsi"/>
          <w:sz w:val="22"/>
          <w:szCs w:val="22"/>
        </w:rPr>
        <w:lastRenderedPageBreak/>
        <w:t>Table 1.</w:t>
      </w:r>
      <w:proofErr w:type="gramEnd"/>
      <w:r w:rsidRPr="00A13ACB">
        <w:rPr>
          <w:rFonts w:asciiTheme="majorHAnsi" w:hAnsiTheme="majorHAnsi" w:cstheme="majorHAnsi"/>
          <w:sz w:val="22"/>
          <w:szCs w:val="22"/>
        </w:rPr>
        <w:t xml:space="preserve"> </w:t>
      </w:r>
      <w:proofErr w:type="gramStart"/>
      <w:r w:rsidRPr="00A13ACB">
        <w:rPr>
          <w:rFonts w:asciiTheme="majorHAnsi" w:hAnsiTheme="majorHAnsi" w:cstheme="majorHAnsi"/>
          <w:sz w:val="22"/>
          <w:szCs w:val="22"/>
        </w:rPr>
        <w:t>Treatment prior to admission, assessment on arrival and inpatient management – Comparison between 60 and over and under 60s.</w:t>
      </w:r>
      <w:proofErr w:type="gramEnd"/>
    </w:p>
    <w:tbl>
      <w:tblPr>
        <w:tblStyle w:val="TableGrid"/>
        <w:tblW w:w="11199" w:type="dxa"/>
        <w:tblInd w:w="-1452" w:type="dxa"/>
        <w:tblLayout w:type="fixed"/>
        <w:tblLook w:val="04A0" w:firstRow="1" w:lastRow="0" w:firstColumn="1" w:lastColumn="0" w:noHBand="0" w:noVBand="1"/>
      </w:tblPr>
      <w:tblGrid>
        <w:gridCol w:w="1560"/>
        <w:gridCol w:w="1606"/>
        <w:gridCol w:w="1607"/>
        <w:gridCol w:w="1606"/>
        <w:gridCol w:w="1607"/>
        <w:gridCol w:w="1606"/>
        <w:gridCol w:w="1607"/>
      </w:tblGrid>
      <w:tr w:rsidR="00DF48C4" w:rsidRPr="00A13ACB" w:rsidTr="00DF48C4">
        <w:tc>
          <w:tcPr>
            <w:tcW w:w="1560" w:type="dxa"/>
          </w:tcPr>
          <w:p w:rsidR="00DF48C4" w:rsidRPr="00A13ACB" w:rsidRDefault="00DF48C4" w:rsidP="00A13ACB">
            <w:pPr>
              <w:rPr>
                <w:rFonts w:asciiTheme="majorHAnsi" w:hAnsiTheme="majorHAnsi" w:cstheme="majorHAnsi"/>
                <w:b/>
                <w:sz w:val="20"/>
                <w:szCs w:val="20"/>
              </w:rPr>
            </w:pPr>
          </w:p>
        </w:tc>
        <w:tc>
          <w:tcPr>
            <w:tcW w:w="3213" w:type="dxa"/>
            <w:gridSpan w:val="2"/>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Patient with diagnosis of epilepsy</w:t>
            </w:r>
          </w:p>
          <w:p w:rsidR="00DF48C4" w:rsidRPr="00A13ACB" w:rsidRDefault="00DF48C4" w:rsidP="00A13ACB">
            <w:pPr>
              <w:rPr>
                <w:rFonts w:asciiTheme="majorHAnsi" w:eastAsia="Times New Roman" w:hAnsiTheme="majorHAnsi" w:cstheme="majorHAnsi"/>
                <w:color w:val="000000"/>
                <w:sz w:val="20"/>
                <w:szCs w:val="20"/>
                <w:lang w:val="en-GB"/>
              </w:rPr>
            </w:pPr>
          </w:p>
        </w:tc>
        <w:tc>
          <w:tcPr>
            <w:tcW w:w="3213" w:type="dxa"/>
            <w:gridSpan w:val="2"/>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Patients with known seizure/blackout but no diagnosis of epilepsy</w:t>
            </w:r>
          </w:p>
          <w:p w:rsidR="00DF48C4" w:rsidRPr="00A13ACB" w:rsidRDefault="00DF48C4" w:rsidP="00A13ACB">
            <w:pPr>
              <w:rPr>
                <w:rFonts w:asciiTheme="majorHAnsi" w:eastAsia="Times New Roman" w:hAnsiTheme="majorHAnsi" w:cstheme="majorHAnsi"/>
                <w:color w:val="000000"/>
                <w:sz w:val="20"/>
                <w:szCs w:val="20"/>
                <w:lang w:val="en-GB"/>
              </w:rPr>
            </w:pPr>
          </w:p>
        </w:tc>
        <w:tc>
          <w:tcPr>
            <w:tcW w:w="3213" w:type="dxa"/>
            <w:gridSpan w:val="2"/>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Patient with likely first seizure with no diagnosis of epilepsy, seizure/blackout</w:t>
            </w:r>
          </w:p>
          <w:p w:rsidR="00DF48C4" w:rsidRPr="00A13ACB" w:rsidRDefault="00DF48C4" w:rsidP="00A13ACB">
            <w:pPr>
              <w:rPr>
                <w:rFonts w:asciiTheme="majorHAnsi" w:eastAsia="Times New Roman" w:hAnsiTheme="majorHAnsi" w:cstheme="majorHAnsi"/>
                <w:color w:val="000000"/>
                <w:sz w:val="20"/>
                <w:szCs w:val="20"/>
                <w:lang w:val="en-GB"/>
              </w:rPr>
            </w:pPr>
          </w:p>
        </w:tc>
      </w:tr>
      <w:tr w:rsidR="00DF48C4" w:rsidRPr="00A13ACB" w:rsidTr="00DF48C4">
        <w:tc>
          <w:tcPr>
            <w:tcW w:w="1560" w:type="dxa"/>
          </w:tcPr>
          <w:p w:rsidR="00DF48C4" w:rsidRPr="00A13ACB" w:rsidRDefault="00DF48C4" w:rsidP="00A13ACB">
            <w:pPr>
              <w:rPr>
                <w:rFonts w:asciiTheme="majorHAnsi" w:hAnsiTheme="majorHAnsi" w:cstheme="majorHAnsi"/>
                <w:b/>
                <w:sz w:val="20"/>
                <w:szCs w:val="20"/>
              </w:rPr>
            </w:pPr>
          </w:p>
        </w:tc>
        <w:tc>
          <w:tcPr>
            <w:tcW w:w="1606"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60 and over</w:t>
            </w:r>
          </w:p>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 (n=640)</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Under 60</w:t>
            </w:r>
          </w:p>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 (n=2115)</w:t>
            </w:r>
          </w:p>
        </w:tc>
        <w:tc>
          <w:tcPr>
            <w:tcW w:w="1606"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60 and over</w:t>
            </w:r>
          </w:p>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 (n=209)</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Under 60</w:t>
            </w:r>
          </w:p>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 (n=556)</w:t>
            </w:r>
          </w:p>
        </w:tc>
        <w:tc>
          <w:tcPr>
            <w:tcW w:w="1606"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60 and over</w:t>
            </w:r>
          </w:p>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 (n=405)</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Under 60</w:t>
            </w:r>
          </w:p>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 (n=606)</w:t>
            </w:r>
          </w:p>
        </w:tc>
      </w:tr>
      <w:tr w:rsidR="00DF48C4" w:rsidRPr="00A13ACB" w:rsidTr="00DF48C4">
        <w:tc>
          <w:tcPr>
            <w:tcW w:w="1560" w:type="dxa"/>
          </w:tcPr>
          <w:p w:rsidR="00DF48C4" w:rsidRPr="00A13ACB" w:rsidRDefault="00DF48C4" w:rsidP="00A13ACB">
            <w:pPr>
              <w:rPr>
                <w:rFonts w:asciiTheme="majorHAnsi" w:hAnsiTheme="majorHAnsi" w:cstheme="majorHAnsi"/>
                <w:sz w:val="20"/>
                <w:szCs w:val="20"/>
              </w:rPr>
            </w:pPr>
            <w:r w:rsidRPr="00A13ACB">
              <w:rPr>
                <w:rFonts w:asciiTheme="majorHAnsi" w:hAnsiTheme="majorHAnsi" w:cstheme="majorHAnsi"/>
                <w:sz w:val="20"/>
                <w:szCs w:val="20"/>
              </w:rPr>
              <w:t>No AEDs</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hAnsiTheme="majorHAnsi" w:cstheme="majorHAnsi"/>
                <w:sz w:val="20"/>
                <w:szCs w:val="20"/>
              </w:rPr>
              <w:t>14% (88)</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19% (410)</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hAnsiTheme="majorHAnsi" w:cstheme="majorHAnsi"/>
                <w:sz w:val="20"/>
                <w:szCs w:val="20"/>
              </w:rPr>
              <w:t>71% (148)</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84% (466)</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hAnsiTheme="majorHAnsi" w:cstheme="majorHAnsi"/>
                <w:sz w:val="20"/>
                <w:szCs w:val="20"/>
              </w:rPr>
              <w:t>95% (383)</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95% (577)</w:t>
            </w:r>
          </w:p>
        </w:tc>
      </w:tr>
      <w:tr w:rsidR="00DF48C4" w:rsidRPr="00A13ACB" w:rsidTr="00DF48C4">
        <w:tc>
          <w:tcPr>
            <w:tcW w:w="1560" w:type="dxa"/>
          </w:tcPr>
          <w:p w:rsidR="00DF48C4" w:rsidRPr="00A13ACB" w:rsidRDefault="00DF48C4" w:rsidP="00A13ACB">
            <w:pPr>
              <w:rPr>
                <w:rFonts w:asciiTheme="majorHAnsi" w:hAnsiTheme="majorHAnsi" w:cstheme="majorHAnsi"/>
                <w:sz w:val="20"/>
                <w:szCs w:val="20"/>
              </w:rPr>
            </w:pPr>
            <w:r w:rsidRPr="00A13ACB">
              <w:rPr>
                <w:rFonts w:asciiTheme="majorHAnsi" w:hAnsiTheme="majorHAnsi" w:cstheme="majorHAnsi"/>
                <w:sz w:val="20"/>
                <w:szCs w:val="20"/>
              </w:rPr>
              <w:t>Monotherapy</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59% (377)</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45% (950)</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26% (55)</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14% (78)</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hAnsiTheme="majorHAnsi" w:cstheme="majorHAnsi"/>
                <w:sz w:val="20"/>
                <w:szCs w:val="20"/>
              </w:rPr>
              <w:t>5% (19)</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 (26)</w:t>
            </w:r>
          </w:p>
        </w:tc>
      </w:tr>
      <w:tr w:rsidR="00DF48C4" w:rsidRPr="00A13ACB" w:rsidTr="00DF48C4">
        <w:tc>
          <w:tcPr>
            <w:tcW w:w="1560" w:type="dxa"/>
          </w:tcPr>
          <w:p w:rsidR="00DF48C4" w:rsidRPr="00A13ACB" w:rsidRDefault="00DF48C4" w:rsidP="00A13ACB">
            <w:pPr>
              <w:rPr>
                <w:rFonts w:asciiTheme="majorHAnsi" w:hAnsiTheme="majorHAnsi" w:cstheme="majorHAnsi"/>
                <w:sz w:val="20"/>
                <w:szCs w:val="20"/>
              </w:rPr>
            </w:pPr>
            <w:r w:rsidRPr="00A13ACB">
              <w:rPr>
                <w:rFonts w:asciiTheme="majorHAnsi" w:hAnsiTheme="majorHAnsi" w:cstheme="majorHAnsi"/>
                <w:sz w:val="20"/>
                <w:szCs w:val="20"/>
              </w:rPr>
              <w:t>Two or more AEDs</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27% (175)</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36% (755)</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3% (6)</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2% (12)</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hAnsiTheme="majorHAnsi" w:cstheme="majorHAnsi"/>
                <w:sz w:val="20"/>
                <w:szCs w:val="20"/>
              </w:rPr>
              <w:t>1% (3)</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0% (3)</w:t>
            </w:r>
          </w:p>
        </w:tc>
      </w:tr>
      <w:tr w:rsidR="00DF48C4" w:rsidRPr="00A13ACB" w:rsidTr="00DF48C4">
        <w:tc>
          <w:tcPr>
            <w:tcW w:w="1560" w:type="dxa"/>
          </w:tcPr>
          <w:p w:rsidR="00DF48C4" w:rsidRPr="00A13ACB" w:rsidRDefault="00DF48C4" w:rsidP="00A13ACB">
            <w:pPr>
              <w:rPr>
                <w:rFonts w:asciiTheme="majorHAnsi" w:hAnsiTheme="majorHAnsi" w:cstheme="majorHAnsi"/>
                <w:sz w:val="20"/>
                <w:szCs w:val="20"/>
              </w:rPr>
            </w:pPr>
            <w:r w:rsidRPr="00A13ACB">
              <w:rPr>
                <w:rFonts w:asciiTheme="majorHAnsi" w:hAnsiTheme="majorHAnsi" w:cstheme="majorHAnsi"/>
                <w:sz w:val="20"/>
                <w:szCs w:val="20"/>
              </w:rPr>
              <w:t>Specialist review in the past 12 months</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28% (179)</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40% (842)</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25% (52)</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32% (176)</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hAnsiTheme="majorHAnsi" w:cstheme="majorHAnsi"/>
                <w:sz w:val="20"/>
                <w:szCs w:val="20"/>
              </w:rPr>
              <w:t>7% (27)</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2% (43)</w:t>
            </w:r>
          </w:p>
        </w:tc>
      </w:tr>
      <w:tr w:rsidR="00DF48C4" w:rsidRPr="00A13ACB" w:rsidTr="00DF48C4">
        <w:tc>
          <w:tcPr>
            <w:tcW w:w="1560" w:type="dxa"/>
          </w:tcPr>
          <w:p w:rsidR="00DF48C4" w:rsidRPr="00A13ACB" w:rsidRDefault="00DF48C4" w:rsidP="00A13ACB">
            <w:pP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GCS Score</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88% (561)</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89% (1892)</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90% (189)</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92% (514)</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91% (369)</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90% (544)</w:t>
            </w:r>
          </w:p>
        </w:tc>
      </w:tr>
      <w:tr w:rsidR="00DF48C4" w:rsidRPr="00A13ACB" w:rsidTr="00DF48C4">
        <w:tc>
          <w:tcPr>
            <w:tcW w:w="1560" w:type="dxa"/>
          </w:tcPr>
          <w:p w:rsidR="00DF48C4" w:rsidRPr="00A13ACB" w:rsidRDefault="00DF48C4" w:rsidP="00A13ACB">
            <w:pP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Temperature</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92% (587)</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92% (1953)</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94% (198)</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94% (520)</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90% (367)</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92% (557)</w:t>
            </w:r>
          </w:p>
        </w:tc>
      </w:tr>
      <w:tr w:rsidR="00DF48C4" w:rsidRPr="00A13ACB" w:rsidTr="00DF48C4">
        <w:tc>
          <w:tcPr>
            <w:tcW w:w="1560" w:type="dxa"/>
          </w:tcPr>
          <w:p w:rsidR="00DF48C4" w:rsidRPr="00A13ACB" w:rsidRDefault="00DF48C4" w:rsidP="00A13ACB">
            <w:pPr>
              <w:rPr>
                <w:rFonts w:asciiTheme="majorHAnsi" w:hAnsiTheme="majorHAnsi" w:cstheme="majorHAnsi"/>
                <w:b/>
                <w:sz w:val="20"/>
                <w:szCs w:val="20"/>
              </w:rPr>
            </w:pPr>
            <w:proofErr w:type="spellStart"/>
            <w:r w:rsidRPr="00A13ACB">
              <w:rPr>
                <w:rFonts w:asciiTheme="majorHAnsi" w:eastAsia="Times New Roman" w:hAnsiTheme="majorHAnsi" w:cstheme="majorHAnsi"/>
                <w:color w:val="000000"/>
                <w:sz w:val="20"/>
                <w:szCs w:val="20"/>
                <w:lang w:val="en-GB"/>
              </w:rPr>
              <w:t>Fundoscopy</w:t>
            </w:r>
            <w:proofErr w:type="spellEnd"/>
            <w:r w:rsidRPr="00A13ACB">
              <w:rPr>
                <w:rFonts w:asciiTheme="majorHAnsi" w:eastAsia="Times New Roman" w:hAnsiTheme="majorHAnsi" w:cstheme="majorHAnsi"/>
                <w:color w:val="000000"/>
                <w:sz w:val="20"/>
                <w:szCs w:val="20"/>
                <w:lang w:val="en-GB"/>
              </w:rPr>
              <w:t xml:space="preserve"> </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12% (74)</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13% (272)</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17% (35)</w:t>
            </w:r>
          </w:p>
        </w:tc>
        <w:tc>
          <w:tcPr>
            <w:tcW w:w="1607" w:type="dxa"/>
          </w:tcPr>
          <w:p w:rsidR="00DF48C4" w:rsidRPr="00A13ACB" w:rsidRDefault="00DF48C4" w:rsidP="00A13ACB">
            <w:pPr>
              <w:spacing w:before="240"/>
              <w:jc w:val="center"/>
              <w:rPr>
                <w:rFonts w:asciiTheme="majorHAnsi" w:hAnsiTheme="majorHAnsi" w:cstheme="majorHAnsi"/>
                <w:sz w:val="20"/>
                <w:szCs w:val="20"/>
              </w:rPr>
            </w:pPr>
            <w:r w:rsidRPr="00A13ACB">
              <w:rPr>
                <w:rFonts w:asciiTheme="majorHAnsi" w:hAnsiTheme="majorHAnsi" w:cstheme="majorHAnsi"/>
                <w:sz w:val="20"/>
                <w:szCs w:val="20"/>
              </w:rPr>
              <w:t>15% (84)</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15% (60)</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21% (127)</w:t>
            </w:r>
          </w:p>
        </w:tc>
      </w:tr>
      <w:tr w:rsidR="00DF48C4" w:rsidRPr="00A13ACB" w:rsidTr="00DF48C4">
        <w:tc>
          <w:tcPr>
            <w:tcW w:w="1560" w:type="dxa"/>
          </w:tcPr>
          <w:p w:rsidR="00DF48C4" w:rsidRPr="00A13ACB" w:rsidRDefault="00DF48C4" w:rsidP="00A13ACB">
            <w:pP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Plantar reflex</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33% (213)</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29% (615)</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40% (85)</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34% (190)</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43% (175)</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41% (247)</w:t>
            </w:r>
          </w:p>
        </w:tc>
      </w:tr>
      <w:tr w:rsidR="00DF48C4" w:rsidRPr="00A13ACB" w:rsidTr="00DF48C4">
        <w:tc>
          <w:tcPr>
            <w:tcW w:w="1560" w:type="dxa"/>
          </w:tcPr>
          <w:p w:rsidR="00DF48C4" w:rsidRPr="00A13ACB" w:rsidRDefault="00DF48C4" w:rsidP="00A13ACB">
            <w:pP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Eyewitness account</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73% (464)</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64% (1361)</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81% (170)</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65% (360)</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80% (323)</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72% (436)</w:t>
            </w:r>
          </w:p>
        </w:tc>
      </w:tr>
      <w:tr w:rsidR="00DF48C4" w:rsidRPr="00A13ACB" w:rsidTr="00DF48C4">
        <w:tc>
          <w:tcPr>
            <w:tcW w:w="1560" w:type="dxa"/>
          </w:tcPr>
          <w:p w:rsidR="00DF48C4" w:rsidRPr="00A13ACB" w:rsidRDefault="00DF48C4" w:rsidP="00A13ACB">
            <w:pP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Review by senior ED doctor</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59% (377)</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57% (1206)</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61%(127)</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58% (325)</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57% (229)</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60% (363)</w:t>
            </w:r>
          </w:p>
        </w:tc>
      </w:tr>
      <w:tr w:rsidR="00DF48C4" w:rsidRPr="00A13ACB" w:rsidTr="00DF48C4">
        <w:tc>
          <w:tcPr>
            <w:tcW w:w="1560" w:type="dxa"/>
          </w:tcPr>
          <w:p w:rsidR="00DF48C4" w:rsidRPr="00A13ACB" w:rsidRDefault="00DF48C4" w:rsidP="00A13ACB">
            <w:pP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Documented alcohol intake</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27% (174)</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40% (851)</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42% (87)</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59% (326)</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31% (126)</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59% (359)</w:t>
            </w:r>
          </w:p>
        </w:tc>
      </w:tr>
      <w:tr w:rsidR="00DF48C4" w:rsidRPr="00A13ACB" w:rsidTr="00DF48C4">
        <w:trPr>
          <w:trHeight w:val="300"/>
        </w:trPr>
        <w:tc>
          <w:tcPr>
            <w:tcW w:w="1560" w:type="dxa"/>
            <w:noWrap/>
            <w:hideMark/>
          </w:tcPr>
          <w:p w:rsidR="00DF48C4" w:rsidRPr="00A13ACB" w:rsidRDefault="00DF48C4"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CT</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35% (226)</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17% (369)</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44% (91)</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28% (153)</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71% (290)</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43% (259)</w:t>
            </w:r>
          </w:p>
        </w:tc>
      </w:tr>
      <w:tr w:rsidR="00DF48C4" w:rsidRPr="00A13ACB" w:rsidTr="00DF48C4">
        <w:tc>
          <w:tcPr>
            <w:tcW w:w="1560" w:type="dxa"/>
            <w:vAlign w:val="bottom"/>
          </w:tcPr>
          <w:p w:rsidR="00DF48C4" w:rsidRPr="00A13ACB" w:rsidRDefault="00DF48C4" w:rsidP="00A13ACB">
            <w:pPr>
              <w:rPr>
                <w:rFonts w:asciiTheme="majorHAnsi" w:hAnsiTheme="majorHAnsi" w:cstheme="majorHAnsi"/>
                <w:sz w:val="20"/>
                <w:szCs w:val="20"/>
              </w:rPr>
            </w:pPr>
            <w:r w:rsidRPr="00A13ACB">
              <w:rPr>
                <w:rFonts w:asciiTheme="majorHAnsi" w:eastAsia="Times New Roman" w:hAnsiTheme="majorHAnsi" w:cstheme="majorHAnsi"/>
                <w:color w:val="000000"/>
                <w:sz w:val="20"/>
                <w:szCs w:val="20"/>
                <w:lang w:val="en-GB"/>
              </w:rPr>
              <w:t xml:space="preserve">CT GCS 3-8 </w:t>
            </w:r>
          </w:p>
        </w:tc>
        <w:tc>
          <w:tcPr>
            <w:tcW w:w="1606"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44% (31/70)</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46% (49/107)</w:t>
            </w:r>
          </w:p>
        </w:tc>
        <w:tc>
          <w:tcPr>
            <w:tcW w:w="1606"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65% (13/20)</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25% (3/12)</w:t>
            </w:r>
          </w:p>
        </w:tc>
        <w:tc>
          <w:tcPr>
            <w:tcW w:w="1606"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87% (45/52)</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81% (13/16)</w:t>
            </w:r>
          </w:p>
        </w:tc>
      </w:tr>
      <w:tr w:rsidR="00DF48C4" w:rsidRPr="00A13ACB" w:rsidTr="00DF48C4">
        <w:tc>
          <w:tcPr>
            <w:tcW w:w="1560" w:type="dxa"/>
          </w:tcPr>
          <w:p w:rsidR="00DF48C4" w:rsidRPr="00A13ACB" w:rsidRDefault="00DF48C4" w:rsidP="00A13ACB">
            <w:pPr>
              <w:rPr>
                <w:rFonts w:asciiTheme="majorHAnsi" w:hAnsiTheme="majorHAnsi" w:cstheme="majorHAnsi"/>
                <w:sz w:val="20"/>
                <w:szCs w:val="20"/>
              </w:rPr>
            </w:pPr>
            <w:r w:rsidRPr="00A13ACB">
              <w:rPr>
                <w:rFonts w:asciiTheme="majorHAnsi" w:eastAsia="Times New Roman" w:hAnsiTheme="majorHAnsi" w:cstheme="majorHAnsi"/>
                <w:color w:val="000000"/>
                <w:sz w:val="20"/>
                <w:szCs w:val="20"/>
                <w:lang w:val="en-GB"/>
              </w:rPr>
              <w:t>CT GCS 9-12</w:t>
            </w:r>
          </w:p>
        </w:tc>
        <w:tc>
          <w:tcPr>
            <w:tcW w:w="1606"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45% (43/95)</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27% (43/162)</w:t>
            </w:r>
          </w:p>
        </w:tc>
        <w:tc>
          <w:tcPr>
            <w:tcW w:w="1606"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38% (8/21)</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48% (14/29)</w:t>
            </w:r>
          </w:p>
        </w:tc>
        <w:tc>
          <w:tcPr>
            <w:tcW w:w="1606"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73% (29/40)</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63% (19/30)</w:t>
            </w:r>
          </w:p>
        </w:tc>
      </w:tr>
      <w:tr w:rsidR="00DF48C4" w:rsidRPr="00A13ACB" w:rsidTr="00DF48C4">
        <w:tc>
          <w:tcPr>
            <w:tcW w:w="1560" w:type="dxa"/>
          </w:tcPr>
          <w:p w:rsidR="00DF48C4" w:rsidRPr="00A13ACB" w:rsidRDefault="00DF48C4"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CT GCS 13-15</w:t>
            </w:r>
          </w:p>
        </w:tc>
        <w:tc>
          <w:tcPr>
            <w:tcW w:w="1606"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32% (128/396)</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15% (249/1621)</w:t>
            </w:r>
          </w:p>
        </w:tc>
        <w:tc>
          <w:tcPr>
            <w:tcW w:w="1606"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43% (63/148)</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27% (128/472)</w:t>
            </w:r>
          </w:p>
        </w:tc>
        <w:tc>
          <w:tcPr>
            <w:tcW w:w="1606"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69% (192/277)</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42% (207/496)</w:t>
            </w:r>
          </w:p>
        </w:tc>
      </w:tr>
      <w:tr w:rsidR="00DF48C4" w:rsidRPr="00A13ACB" w:rsidTr="00DF48C4">
        <w:trPr>
          <w:trHeight w:val="300"/>
        </w:trPr>
        <w:tc>
          <w:tcPr>
            <w:tcW w:w="1560" w:type="dxa"/>
            <w:noWrap/>
            <w:hideMark/>
          </w:tcPr>
          <w:p w:rsidR="00DF48C4" w:rsidRPr="00A13ACB" w:rsidRDefault="00DF48C4"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MRI</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3% (17)</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 (41)</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4% (8)</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3% (17)</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8% (33)</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7% (43)</w:t>
            </w:r>
          </w:p>
        </w:tc>
      </w:tr>
      <w:tr w:rsidR="00DF48C4" w:rsidRPr="00A13ACB" w:rsidTr="00DF48C4">
        <w:trPr>
          <w:trHeight w:val="300"/>
        </w:trPr>
        <w:tc>
          <w:tcPr>
            <w:tcW w:w="1560" w:type="dxa"/>
            <w:noWrap/>
            <w:hideMark/>
          </w:tcPr>
          <w:p w:rsidR="00DF48C4" w:rsidRPr="00A13ACB" w:rsidRDefault="00DF48C4"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ECG</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83% (534)</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64% (1359)</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86% (180)</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77% (427)</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91% (370)</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84% (508)</w:t>
            </w:r>
          </w:p>
        </w:tc>
      </w:tr>
      <w:tr w:rsidR="00DF48C4" w:rsidRPr="00A13ACB" w:rsidTr="00DF48C4">
        <w:trPr>
          <w:trHeight w:val="300"/>
        </w:trPr>
        <w:tc>
          <w:tcPr>
            <w:tcW w:w="1560" w:type="dxa"/>
            <w:noWrap/>
            <w:hideMark/>
          </w:tcPr>
          <w:p w:rsidR="00DF48C4" w:rsidRPr="00A13ACB" w:rsidRDefault="00DF48C4"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Glucose</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86% (550)</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80% (1696)</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86% (180)</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82% (456)</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87% (352)</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86% (523)</w:t>
            </w:r>
          </w:p>
        </w:tc>
      </w:tr>
      <w:tr w:rsidR="00DF48C4" w:rsidRPr="00A13ACB" w:rsidTr="00DF48C4">
        <w:tc>
          <w:tcPr>
            <w:tcW w:w="1560" w:type="dxa"/>
          </w:tcPr>
          <w:p w:rsidR="00DF48C4" w:rsidRPr="00A13ACB" w:rsidRDefault="00DF48C4"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Admission</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74% (474)</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50% (1065)</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62% (131)</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47% (263)</w:t>
            </w:r>
          </w:p>
        </w:tc>
        <w:tc>
          <w:tcPr>
            <w:tcW w:w="1606" w:type="dxa"/>
          </w:tcPr>
          <w:p w:rsidR="00DF48C4" w:rsidRPr="00A13ACB" w:rsidRDefault="00DF48C4" w:rsidP="00A13ACB">
            <w:pPr>
              <w:jc w:val="center"/>
              <w:rPr>
                <w:rFonts w:asciiTheme="majorHAnsi" w:hAnsiTheme="majorHAnsi" w:cstheme="majorHAnsi"/>
                <w:b/>
                <w:sz w:val="20"/>
                <w:szCs w:val="20"/>
              </w:rPr>
            </w:pPr>
            <w:r w:rsidRPr="00A13ACB">
              <w:rPr>
                <w:rFonts w:asciiTheme="majorHAnsi" w:eastAsia="Times New Roman" w:hAnsiTheme="majorHAnsi" w:cstheme="majorHAnsi"/>
                <w:color w:val="000000"/>
                <w:sz w:val="20"/>
                <w:szCs w:val="20"/>
                <w:lang w:val="en-GB"/>
              </w:rPr>
              <w:t>80% (326)</w:t>
            </w:r>
          </w:p>
        </w:tc>
        <w:tc>
          <w:tcPr>
            <w:tcW w:w="1607" w:type="dxa"/>
          </w:tcPr>
          <w:p w:rsidR="00DF48C4" w:rsidRPr="00A13ACB" w:rsidRDefault="00DF48C4" w:rsidP="00A13ACB">
            <w:pPr>
              <w:jc w:val="center"/>
              <w:rPr>
                <w:rFonts w:asciiTheme="majorHAnsi" w:hAnsiTheme="majorHAnsi" w:cstheme="majorHAnsi"/>
                <w:sz w:val="20"/>
                <w:szCs w:val="20"/>
              </w:rPr>
            </w:pPr>
            <w:r w:rsidRPr="00A13ACB">
              <w:rPr>
                <w:rFonts w:asciiTheme="majorHAnsi" w:hAnsiTheme="majorHAnsi" w:cstheme="majorHAnsi"/>
                <w:sz w:val="20"/>
                <w:szCs w:val="20"/>
              </w:rPr>
              <w:t>55%  (331)</w:t>
            </w:r>
          </w:p>
        </w:tc>
      </w:tr>
      <w:tr w:rsidR="00DF48C4" w:rsidRPr="00A13ACB" w:rsidTr="00DF48C4">
        <w:trPr>
          <w:trHeight w:val="300"/>
        </w:trPr>
        <w:tc>
          <w:tcPr>
            <w:tcW w:w="1560" w:type="dxa"/>
            <w:noWrap/>
            <w:hideMark/>
          </w:tcPr>
          <w:p w:rsidR="00DF48C4" w:rsidRPr="00A13ACB" w:rsidRDefault="00DF48C4"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Advice or review by neurology</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22% (143)</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21% (435)</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20% (42)</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18% (100)</w:t>
            </w:r>
          </w:p>
        </w:tc>
        <w:tc>
          <w:tcPr>
            <w:tcW w:w="1606" w:type="dxa"/>
            <w:noWrap/>
            <w:hideMark/>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21% (87)</w:t>
            </w:r>
          </w:p>
        </w:tc>
        <w:tc>
          <w:tcPr>
            <w:tcW w:w="1607" w:type="dxa"/>
          </w:tcPr>
          <w:p w:rsidR="00DF48C4" w:rsidRPr="00A13ACB" w:rsidRDefault="00DF48C4" w:rsidP="00A13ACB">
            <w:pPr>
              <w:jc w:val="cente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17% (101)</w:t>
            </w:r>
          </w:p>
        </w:tc>
      </w:tr>
    </w:tbl>
    <w:p w:rsidR="00DF48C4" w:rsidRPr="00A13ACB" w:rsidRDefault="00DF48C4" w:rsidP="00A13ACB">
      <w:pPr>
        <w:jc w:val="both"/>
        <w:rPr>
          <w:rFonts w:asciiTheme="majorHAnsi" w:hAnsiTheme="majorHAnsi" w:cstheme="majorHAnsi"/>
          <w:sz w:val="20"/>
          <w:szCs w:val="20"/>
        </w:rPr>
      </w:pPr>
      <w:r w:rsidRPr="00A13ACB">
        <w:rPr>
          <w:rFonts w:asciiTheme="majorHAnsi" w:hAnsiTheme="majorHAnsi" w:cstheme="majorHAnsi"/>
          <w:sz w:val="20"/>
          <w:szCs w:val="20"/>
        </w:rPr>
        <w:t xml:space="preserve">AED, anti-epileptic drug treatment GCS, Glasgow coma score. </w:t>
      </w:r>
      <w:proofErr w:type="gramStart"/>
      <w:r w:rsidRPr="00A13ACB">
        <w:rPr>
          <w:rFonts w:asciiTheme="majorHAnsi" w:hAnsiTheme="majorHAnsi" w:cstheme="majorHAnsi"/>
          <w:sz w:val="20"/>
          <w:szCs w:val="20"/>
        </w:rPr>
        <w:t>ED, Emergency department.</w:t>
      </w:r>
      <w:proofErr w:type="gramEnd"/>
      <w:r w:rsidRPr="00A13ACB">
        <w:rPr>
          <w:rFonts w:asciiTheme="majorHAnsi" w:hAnsiTheme="majorHAnsi" w:cstheme="majorHAnsi"/>
          <w:sz w:val="20"/>
          <w:szCs w:val="20"/>
        </w:rPr>
        <w:t xml:space="preserve"> CT, computed tomography. </w:t>
      </w:r>
      <w:proofErr w:type="gramStart"/>
      <w:r w:rsidRPr="00A13ACB">
        <w:rPr>
          <w:rFonts w:asciiTheme="majorHAnsi" w:hAnsiTheme="majorHAnsi" w:cstheme="majorHAnsi"/>
          <w:sz w:val="20"/>
          <w:szCs w:val="20"/>
        </w:rPr>
        <w:t>MRI, magnetic resonance imaging.</w:t>
      </w:r>
      <w:proofErr w:type="gramEnd"/>
      <w:r w:rsidRPr="00A13ACB">
        <w:rPr>
          <w:rFonts w:asciiTheme="majorHAnsi" w:hAnsiTheme="majorHAnsi" w:cstheme="majorHAnsi"/>
          <w:sz w:val="20"/>
          <w:szCs w:val="20"/>
        </w:rPr>
        <w:t xml:space="preserve"> </w:t>
      </w:r>
      <w:proofErr w:type="gramStart"/>
      <w:r w:rsidRPr="00A13ACB">
        <w:rPr>
          <w:rFonts w:asciiTheme="majorHAnsi" w:hAnsiTheme="majorHAnsi" w:cstheme="majorHAnsi"/>
          <w:sz w:val="20"/>
          <w:szCs w:val="20"/>
        </w:rPr>
        <w:t>ECG, electrocardiogram.</w:t>
      </w:r>
      <w:proofErr w:type="gramEnd"/>
      <w:r w:rsidRPr="00A13ACB">
        <w:rPr>
          <w:rFonts w:asciiTheme="majorHAnsi" w:hAnsiTheme="majorHAnsi" w:cstheme="majorHAnsi"/>
          <w:sz w:val="20"/>
          <w:szCs w:val="20"/>
        </w:rPr>
        <w:t xml:space="preserve"> </w:t>
      </w:r>
    </w:p>
    <w:p w:rsidR="00DF48C4" w:rsidRPr="00A13ACB" w:rsidRDefault="00DF48C4"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E66170" w:rsidRPr="00A13ACB" w:rsidRDefault="00E66170"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tbl>
      <w:tblPr>
        <w:tblStyle w:val="TableGrid"/>
        <w:tblpPr w:leftFromText="180" w:rightFromText="180" w:vertAnchor="text" w:horzAnchor="margin" w:tblpXSpec="center" w:tblpY="364"/>
        <w:tblW w:w="9889" w:type="dxa"/>
        <w:tblLayout w:type="fixed"/>
        <w:tblLook w:val="04A0" w:firstRow="1" w:lastRow="0" w:firstColumn="1" w:lastColumn="0" w:noHBand="0" w:noVBand="1"/>
      </w:tblPr>
      <w:tblGrid>
        <w:gridCol w:w="1384"/>
        <w:gridCol w:w="1417"/>
        <w:gridCol w:w="1418"/>
        <w:gridCol w:w="1417"/>
        <w:gridCol w:w="1418"/>
        <w:gridCol w:w="1417"/>
        <w:gridCol w:w="1418"/>
      </w:tblGrid>
      <w:tr w:rsidR="00A13ACB" w:rsidRPr="00A13ACB" w:rsidTr="00A13ACB">
        <w:trPr>
          <w:trHeight w:val="300"/>
        </w:trPr>
        <w:tc>
          <w:tcPr>
            <w:tcW w:w="1384" w:type="dxa"/>
            <w:noWrap/>
          </w:tcPr>
          <w:p w:rsidR="00A13ACB" w:rsidRPr="00A13ACB" w:rsidRDefault="00A13ACB" w:rsidP="00A13ACB">
            <w:pPr>
              <w:rPr>
                <w:rFonts w:asciiTheme="majorHAnsi" w:hAnsiTheme="majorHAnsi" w:cstheme="majorHAnsi"/>
                <w:sz w:val="20"/>
                <w:szCs w:val="20"/>
              </w:rPr>
            </w:pPr>
          </w:p>
        </w:tc>
        <w:tc>
          <w:tcPr>
            <w:tcW w:w="2835" w:type="dxa"/>
            <w:gridSpan w:val="2"/>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Patient with diagnosis of epilepsy</w:t>
            </w:r>
          </w:p>
          <w:p w:rsidR="00A13ACB" w:rsidRPr="00A13ACB" w:rsidRDefault="00A13ACB" w:rsidP="00A13ACB">
            <w:pPr>
              <w:rPr>
                <w:rFonts w:asciiTheme="majorHAnsi" w:hAnsiTheme="majorHAnsi" w:cstheme="majorHAnsi"/>
                <w:sz w:val="20"/>
                <w:szCs w:val="20"/>
              </w:rPr>
            </w:pPr>
          </w:p>
        </w:tc>
        <w:tc>
          <w:tcPr>
            <w:tcW w:w="2835" w:type="dxa"/>
            <w:gridSpan w:val="2"/>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Patient with previous seizures/blackouts but no epilepsy </w:t>
            </w:r>
          </w:p>
        </w:tc>
        <w:tc>
          <w:tcPr>
            <w:tcW w:w="2835" w:type="dxa"/>
            <w:gridSpan w:val="2"/>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Patient with no diagnosis of epilepsy, seizures/blackouts </w:t>
            </w:r>
          </w:p>
          <w:p w:rsidR="00A13ACB" w:rsidRPr="00A13ACB" w:rsidRDefault="00A13ACB" w:rsidP="00A13ACB">
            <w:pPr>
              <w:rPr>
                <w:rFonts w:asciiTheme="majorHAnsi" w:hAnsiTheme="majorHAnsi" w:cstheme="majorHAnsi"/>
                <w:sz w:val="20"/>
                <w:szCs w:val="20"/>
              </w:rPr>
            </w:pPr>
          </w:p>
        </w:tc>
      </w:tr>
      <w:tr w:rsidR="00A13ACB" w:rsidRPr="00A13ACB" w:rsidTr="00A13ACB">
        <w:trPr>
          <w:trHeight w:val="300"/>
        </w:trPr>
        <w:tc>
          <w:tcPr>
            <w:tcW w:w="1384" w:type="dxa"/>
            <w:noWrap/>
            <w:hideMark/>
          </w:tcPr>
          <w:p w:rsidR="00A13ACB" w:rsidRPr="00A13ACB" w:rsidRDefault="00A13ACB" w:rsidP="00A13ACB">
            <w:pPr>
              <w:rPr>
                <w:rFonts w:asciiTheme="majorHAnsi" w:hAnsiTheme="majorHAnsi" w:cstheme="majorHAnsi"/>
                <w:sz w:val="20"/>
                <w:szCs w:val="20"/>
              </w:rPr>
            </w:pPr>
          </w:p>
        </w:tc>
        <w:tc>
          <w:tcPr>
            <w:tcW w:w="1417"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60 and over</w:t>
            </w:r>
          </w:p>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(n=622)</w:t>
            </w:r>
          </w:p>
        </w:tc>
        <w:tc>
          <w:tcPr>
            <w:tcW w:w="1418" w:type="dxa"/>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Under 60 </w:t>
            </w:r>
          </w:p>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(n=2114)</w:t>
            </w:r>
          </w:p>
        </w:tc>
        <w:tc>
          <w:tcPr>
            <w:tcW w:w="1417"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60 and over </w:t>
            </w:r>
          </w:p>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(n=208)</w:t>
            </w:r>
          </w:p>
        </w:tc>
        <w:tc>
          <w:tcPr>
            <w:tcW w:w="1418" w:type="dxa"/>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Under 60</w:t>
            </w:r>
          </w:p>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(n=554)</w:t>
            </w:r>
          </w:p>
          <w:p w:rsidR="00A13ACB" w:rsidRPr="00A13ACB" w:rsidRDefault="00A13ACB" w:rsidP="00A13ACB">
            <w:pPr>
              <w:rPr>
                <w:rFonts w:asciiTheme="majorHAnsi" w:hAnsiTheme="majorHAnsi" w:cstheme="majorHAnsi"/>
                <w:sz w:val="20"/>
                <w:szCs w:val="20"/>
              </w:rPr>
            </w:pPr>
          </w:p>
        </w:tc>
        <w:tc>
          <w:tcPr>
            <w:tcW w:w="1417"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60 and over</w:t>
            </w:r>
          </w:p>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(n=390)</w:t>
            </w:r>
          </w:p>
        </w:tc>
        <w:tc>
          <w:tcPr>
            <w:tcW w:w="1418" w:type="dxa"/>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Under 60</w:t>
            </w:r>
          </w:p>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(n=603)</w:t>
            </w:r>
          </w:p>
        </w:tc>
      </w:tr>
      <w:tr w:rsidR="00A13ACB" w:rsidRPr="00A13ACB" w:rsidTr="00A13ACB">
        <w:trPr>
          <w:trHeight w:val="300"/>
        </w:trPr>
        <w:tc>
          <w:tcPr>
            <w:tcW w:w="1384" w:type="dxa"/>
            <w:noWrap/>
            <w:hideMark/>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 xml:space="preserve">Seizure management </w:t>
            </w:r>
          </w:p>
        </w:tc>
        <w:tc>
          <w:tcPr>
            <w:tcW w:w="1417" w:type="dxa"/>
            <w:noWrap/>
            <w:hideMark/>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27% (172)</w:t>
            </w:r>
          </w:p>
        </w:tc>
        <w:tc>
          <w:tcPr>
            <w:tcW w:w="1418" w:type="dxa"/>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28% (592)</w:t>
            </w:r>
          </w:p>
        </w:tc>
        <w:tc>
          <w:tcPr>
            <w:tcW w:w="1417" w:type="dxa"/>
            <w:noWrap/>
            <w:hideMark/>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25% (53)</w:t>
            </w:r>
          </w:p>
        </w:tc>
        <w:tc>
          <w:tcPr>
            <w:tcW w:w="1418" w:type="dxa"/>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27% (150)</w:t>
            </w:r>
          </w:p>
        </w:tc>
        <w:tc>
          <w:tcPr>
            <w:tcW w:w="1417" w:type="dxa"/>
            <w:noWrap/>
            <w:hideMark/>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22% (90)</w:t>
            </w:r>
          </w:p>
        </w:tc>
        <w:tc>
          <w:tcPr>
            <w:tcW w:w="1418" w:type="dxa"/>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29% (175)</w:t>
            </w:r>
          </w:p>
        </w:tc>
      </w:tr>
      <w:tr w:rsidR="00A13ACB" w:rsidRPr="00A13ACB" w:rsidTr="00A13ACB">
        <w:trPr>
          <w:trHeight w:val="300"/>
        </w:trPr>
        <w:tc>
          <w:tcPr>
            <w:tcW w:w="1384" w:type="dxa"/>
            <w:noWrap/>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Epilepsy specialist referral as outpatient</w:t>
            </w:r>
          </w:p>
        </w:tc>
        <w:tc>
          <w:tcPr>
            <w:tcW w:w="1417" w:type="dxa"/>
            <w:noWrap/>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33% (206)</w:t>
            </w:r>
          </w:p>
        </w:tc>
        <w:tc>
          <w:tcPr>
            <w:tcW w:w="1418" w:type="dxa"/>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46% (982)</w:t>
            </w:r>
          </w:p>
        </w:tc>
        <w:tc>
          <w:tcPr>
            <w:tcW w:w="1417" w:type="dxa"/>
            <w:noWrap/>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42% (87)</w:t>
            </w:r>
          </w:p>
        </w:tc>
        <w:tc>
          <w:tcPr>
            <w:tcW w:w="1418" w:type="dxa"/>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65% (360)</w:t>
            </w:r>
          </w:p>
        </w:tc>
        <w:tc>
          <w:tcPr>
            <w:tcW w:w="1417" w:type="dxa"/>
            <w:noWrap/>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34% (131)</w:t>
            </w:r>
          </w:p>
        </w:tc>
        <w:tc>
          <w:tcPr>
            <w:tcW w:w="1418" w:type="dxa"/>
          </w:tcPr>
          <w:p w:rsidR="00A13ACB" w:rsidRPr="00A13ACB" w:rsidRDefault="00A13ACB" w:rsidP="00A13ACB">
            <w:pPr>
              <w:rPr>
                <w:rFonts w:asciiTheme="majorHAnsi" w:eastAsia="Times New Roman" w:hAnsiTheme="majorHAnsi" w:cstheme="majorHAnsi"/>
                <w:color w:val="000000"/>
                <w:sz w:val="20"/>
                <w:szCs w:val="20"/>
                <w:lang w:val="en-GB"/>
              </w:rPr>
            </w:pPr>
            <w:r w:rsidRPr="00A13ACB">
              <w:rPr>
                <w:rFonts w:asciiTheme="majorHAnsi" w:eastAsia="Times New Roman" w:hAnsiTheme="majorHAnsi" w:cstheme="majorHAnsi"/>
                <w:color w:val="000000"/>
                <w:sz w:val="20"/>
                <w:szCs w:val="20"/>
                <w:lang w:val="en-GB"/>
              </w:rPr>
              <w:t>68% (411)</w:t>
            </w:r>
          </w:p>
        </w:tc>
      </w:tr>
    </w:tbl>
    <w:p w:rsidR="00FD7694" w:rsidRPr="00A13ACB" w:rsidRDefault="00FD7694" w:rsidP="00A13ACB">
      <w:pPr>
        <w:jc w:val="both"/>
        <w:rPr>
          <w:rFonts w:asciiTheme="majorHAnsi" w:hAnsiTheme="majorHAnsi" w:cstheme="majorHAnsi"/>
          <w:sz w:val="22"/>
          <w:szCs w:val="22"/>
        </w:rPr>
      </w:pPr>
      <w:proofErr w:type="gramStart"/>
      <w:r w:rsidRPr="00A13ACB">
        <w:rPr>
          <w:rFonts w:asciiTheme="majorHAnsi" w:hAnsiTheme="majorHAnsi" w:cstheme="majorHAnsi"/>
          <w:sz w:val="22"/>
          <w:szCs w:val="22"/>
        </w:rPr>
        <w:t>Table 2.</w:t>
      </w:r>
      <w:proofErr w:type="gramEnd"/>
      <w:r w:rsidRPr="00A13ACB">
        <w:rPr>
          <w:rFonts w:asciiTheme="majorHAnsi" w:hAnsiTheme="majorHAnsi" w:cstheme="majorHAnsi"/>
          <w:sz w:val="22"/>
          <w:szCs w:val="22"/>
        </w:rPr>
        <w:t xml:space="preserve"> Future seizure management and specialist outpatient referral </w:t>
      </w:r>
    </w:p>
    <w:p w:rsidR="00FD7694" w:rsidRDefault="00FD7694"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roofErr w:type="gramStart"/>
      <w:r w:rsidRPr="00A13ACB">
        <w:rPr>
          <w:rFonts w:asciiTheme="majorHAnsi" w:hAnsiTheme="majorHAnsi" w:cstheme="majorHAnsi"/>
          <w:sz w:val="22"/>
          <w:szCs w:val="22"/>
        </w:rPr>
        <w:t>Table 3.</w:t>
      </w:r>
      <w:proofErr w:type="gramEnd"/>
      <w:r w:rsidRPr="00A13ACB">
        <w:rPr>
          <w:rFonts w:asciiTheme="majorHAnsi" w:hAnsiTheme="majorHAnsi" w:cstheme="majorHAnsi"/>
          <w:sz w:val="22"/>
          <w:szCs w:val="22"/>
        </w:rPr>
        <w:t xml:space="preserve"> Future seizure management by age group</w:t>
      </w:r>
    </w:p>
    <w:tbl>
      <w:tblPr>
        <w:tblStyle w:val="TableGrid"/>
        <w:tblpPr w:leftFromText="180" w:rightFromText="180" w:vertAnchor="text" w:horzAnchor="margin" w:tblpXSpec="center" w:tblpY="85"/>
        <w:tblW w:w="9889" w:type="dxa"/>
        <w:tblLayout w:type="fixed"/>
        <w:tblLook w:val="04A0" w:firstRow="1" w:lastRow="0" w:firstColumn="1" w:lastColumn="0" w:noHBand="0" w:noVBand="1"/>
      </w:tblPr>
      <w:tblGrid>
        <w:gridCol w:w="2235"/>
        <w:gridCol w:w="2551"/>
        <w:gridCol w:w="2551"/>
        <w:gridCol w:w="2552"/>
      </w:tblGrid>
      <w:tr w:rsidR="00A13ACB" w:rsidRPr="00A13ACB" w:rsidTr="00A13ACB">
        <w:trPr>
          <w:trHeight w:val="300"/>
        </w:trPr>
        <w:tc>
          <w:tcPr>
            <w:tcW w:w="2235" w:type="dxa"/>
            <w:noWrap/>
            <w:hideMark/>
          </w:tcPr>
          <w:p w:rsidR="00A13ACB" w:rsidRPr="00A13ACB" w:rsidRDefault="00A13ACB" w:rsidP="00A13ACB">
            <w:pPr>
              <w:rPr>
                <w:rFonts w:asciiTheme="majorHAnsi" w:hAnsiTheme="majorHAnsi" w:cstheme="majorHAnsi"/>
                <w:sz w:val="20"/>
                <w:szCs w:val="20"/>
              </w:rPr>
            </w:pPr>
          </w:p>
        </w:tc>
        <w:tc>
          <w:tcPr>
            <w:tcW w:w="2551"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Patient with diagnosis of epilepsy </w:t>
            </w:r>
          </w:p>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(n=622)</w:t>
            </w:r>
          </w:p>
        </w:tc>
        <w:tc>
          <w:tcPr>
            <w:tcW w:w="2551"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Patient with previous seizures/blackouts but no epilepsy </w:t>
            </w:r>
          </w:p>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(n=208)</w:t>
            </w:r>
          </w:p>
        </w:tc>
        <w:tc>
          <w:tcPr>
            <w:tcW w:w="2552"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Patient with no diagnosis of epilepsy, seizures/blackouts % (n=390)</w:t>
            </w:r>
          </w:p>
        </w:tc>
      </w:tr>
      <w:tr w:rsidR="00A13ACB" w:rsidRPr="00A13ACB" w:rsidTr="00A13ACB">
        <w:trPr>
          <w:trHeight w:val="300"/>
        </w:trPr>
        <w:tc>
          <w:tcPr>
            <w:tcW w:w="9889" w:type="dxa"/>
            <w:gridSpan w:val="4"/>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Seizure management by age group</w:t>
            </w:r>
          </w:p>
        </w:tc>
      </w:tr>
      <w:tr w:rsidR="00A13ACB" w:rsidRPr="00A13ACB" w:rsidTr="00A13ACB">
        <w:trPr>
          <w:trHeight w:val="300"/>
        </w:trPr>
        <w:tc>
          <w:tcPr>
            <w:tcW w:w="2235"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60-69</w:t>
            </w:r>
          </w:p>
        </w:tc>
        <w:tc>
          <w:tcPr>
            <w:tcW w:w="2551"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28% (71/252)</w:t>
            </w:r>
          </w:p>
        </w:tc>
        <w:tc>
          <w:tcPr>
            <w:tcW w:w="2551"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21% (16/76)</w:t>
            </w:r>
          </w:p>
        </w:tc>
        <w:tc>
          <w:tcPr>
            <w:tcW w:w="2552"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20% (22/110)</w:t>
            </w:r>
          </w:p>
        </w:tc>
      </w:tr>
      <w:tr w:rsidR="00A13ACB" w:rsidRPr="00A13ACB" w:rsidTr="00A13ACB">
        <w:trPr>
          <w:trHeight w:val="300"/>
        </w:trPr>
        <w:tc>
          <w:tcPr>
            <w:tcW w:w="2235"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70-79</w:t>
            </w:r>
          </w:p>
        </w:tc>
        <w:tc>
          <w:tcPr>
            <w:tcW w:w="2551"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29% (55/189)</w:t>
            </w:r>
          </w:p>
        </w:tc>
        <w:tc>
          <w:tcPr>
            <w:tcW w:w="2551"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25% (17/67)</w:t>
            </w:r>
          </w:p>
        </w:tc>
        <w:tc>
          <w:tcPr>
            <w:tcW w:w="2552"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23% (30/130)</w:t>
            </w:r>
          </w:p>
        </w:tc>
      </w:tr>
      <w:tr w:rsidR="00A13ACB" w:rsidRPr="00A13ACB" w:rsidTr="00A13ACB">
        <w:trPr>
          <w:trHeight w:val="300"/>
        </w:trPr>
        <w:tc>
          <w:tcPr>
            <w:tcW w:w="2235"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80-89</w:t>
            </w:r>
          </w:p>
        </w:tc>
        <w:tc>
          <w:tcPr>
            <w:tcW w:w="2551"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26% (41/157)</w:t>
            </w:r>
          </w:p>
        </w:tc>
        <w:tc>
          <w:tcPr>
            <w:tcW w:w="2551"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30% (14/47)</w:t>
            </w:r>
          </w:p>
        </w:tc>
        <w:tc>
          <w:tcPr>
            <w:tcW w:w="2552" w:type="dxa"/>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25% (29/116)</w:t>
            </w:r>
          </w:p>
        </w:tc>
      </w:tr>
      <w:tr w:rsidR="00A13ACB" w:rsidRPr="00A13ACB" w:rsidTr="00A13ACB">
        <w:trPr>
          <w:trHeight w:val="300"/>
        </w:trPr>
        <w:tc>
          <w:tcPr>
            <w:tcW w:w="2235" w:type="dxa"/>
            <w:tcBorders>
              <w:bottom w:val="single" w:sz="4" w:space="0" w:color="auto"/>
            </w:tcBorders>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&gt; 90</w:t>
            </w:r>
          </w:p>
        </w:tc>
        <w:tc>
          <w:tcPr>
            <w:tcW w:w="2551" w:type="dxa"/>
            <w:tcBorders>
              <w:bottom w:val="single" w:sz="4" w:space="0" w:color="auto"/>
            </w:tcBorders>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22% (5/23)</w:t>
            </w:r>
          </w:p>
        </w:tc>
        <w:tc>
          <w:tcPr>
            <w:tcW w:w="2551" w:type="dxa"/>
            <w:tcBorders>
              <w:bottom w:val="single" w:sz="4" w:space="0" w:color="auto"/>
            </w:tcBorders>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35% (6/17)</w:t>
            </w:r>
          </w:p>
        </w:tc>
        <w:tc>
          <w:tcPr>
            <w:tcW w:w="2552" w:type="dxa"/>
            <w:tcBorders>
              <w:bottom w:val="single" w:sz="4" w:space="0" w:color="auto"/>
            </w:tcBorders>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30% (9/30)</w:t>
            </w:r>
          </w:p>
        </w:tc>
      </w:tr>
      <w:tr w:rsidR="00A13ACB" w:rsidRPr="00A13ACB" w:rsidTr="00A13ACB">
        <w:trPr>
          <w:trHeight w:val="300"/>
        </w:trPr>
        <w:tc>
          <w:tcPr>
            <w:tcW w:w="2235"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Referral by age group</w:t>
            </w:r>
          </w:p>
        </w:tc>
        <w:tc>
          <w:tcPr>
            <w:tcW w:w="2551" w:type="dxa"/>
            <w:tcBorders>
              <w:bottom w:val="single" w:sz="4" w:space="0" w:color="auto"/>
            </w:tcBorders>
            <w:noWrap/>
          </w:tcPr>
          <w:p w:rsidR="00A13ACB" w:rsidRPr="00A13ACB" w:rsidRDefault="00A13ACB" w:rsidP="00A13ACB">
            <w:pPr>
              <w:rPr>
                <w:rFonts w:asciiTheme="majorHAnsi" w:hAnsiTheme="majorHAnsi" w:cstheme="majorHAnsi"/>
                <w:sz w:val="20"/>
                <w:szCs w:val="20"/>
              </w:rPr>
            </w:pPr>
          </w:p>
        </w:tc>
        <w:tc>
          <w:tcPr>
            <w:tcW w:w="2551" w:type="dxa"/>
            <w:tcBorders>
              <w:bottom w:val="single" w:sz="4" w:space="0" w:color="auto"/>
            </w:tcBorders>
            <w:noWrap/>
          </w:tcPr>
          <w:p w:rsidR="00A13ACB" w:rsidRPr="00A13ACB" w:rsidRDefault="00A13ACB" w:rsidP="00A13ACB">
            <w:pPr>
              <w:rPr>
                <w:rFonts w:asciiTheme="majorHAnsi" w:hAnsiTheme="majorHAnsi" w:cstheme="majorHAnsi"/>
                <w:sz w:val="20"/>
                <w:szCs w:val="20"/>
              </w:rPr>
            </w:pPr>
          </w:p>
        </w:tc>
        <w:tc>
          <w:tcPr>
            <w:tcW w:w="2552" w:type="dxa"/>
            <w:tcBorders>
              <w:bottom w:val="single" w:sz="4" w:space="0" w:color="auto"/>
            </w:tcBorders>
            <w:noWrap/>
          </w:tcPr>
          <w:p w:rsidR="00A13ACB" w:rsidRPr="00A13ACB" w:rsidRDefault="00A13ACB" w:rsidP="00A13ACB">
            <w:pPr>
              <w:rPr>
                <w:rFonts w:asciiTheme="majorHAnsi" w:hAnsiTheme="majorHAnsi" w:cstheme="majorHAnsi"/>
                <w:sz w:val="20"/>
                <w:szCs w:val="20"/>
              </w:rPr>
            </w:pPr>
          </w:p>
        </w:tc>
      </w:tr>
      <w:tr w:rsidR="00A13ACB" w:rsidRPr="00A13ACB" w:rsidTr="00A13ACB">
        <w:trPr>
          <w:trHeight w:val="300"/>
        </w:trPr>
        <w:tc>
          <w:tcPr>
            <w:tcW w:w="2235" w:type="dxa"/>
            <w:tcBorders>
              <w:bottom w:val="single" w:sz="4" w:space="0" w:color="auto"/>
            </w:tcBorders>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60-69</w:t>
            </w:r>
          </w:p>
        </w:tc>
        <w:tc>
          <w:tcPr>
            <w:tcW w:w="2551" w:type="dxa"/>
            <w:tcBorders>
              <w:bottom w:val="single" w:sz="4" w:space="0" w:color="auto"/>
            </w:tcBorders>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42% (105/252) </w:t>
            </w:r>
          </w:p>
        </w:tc>
        <w:tc>
          <w:tcPr>
            <w:tcW w:w="2551" w:type="dxa"/>
            <w:tcBorders>
              <w:bottom w:val="single" w:sz="4" w:space="0" w:color="auto"/>
            </w:tcBorders>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59% (45/76) </w:t>
            </w:r>
          </w:p>
        </w:tc>
        <w:tc>
          <w:tcPr>
            <w:tcW w:w="2552" w:type="dxa"/>
            <w:tcBorders>
              <w:bottom w:val="single" w:sz="4" w:space="0" w:color="auto"/>
            </w:tcBorders>
            <w:noWrap/>
            <w:hideMark/>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52% (57/110) </w:t>
            </w:r>
          </w:p>
        </w:tc>
      </w:tr>
      <w:tr w:rsidR="00A13ACB" w:rsidRPr="00A13ACB" w:rsidDel="004639B8" w:rsidTr="00A13ACB">
        <w:trPr>
          <w:trHeight w:val="300"/>
        </w:trPr>
        <w:tc>
          <w:tcPr>
            <w:tcW w:w="2235"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70-79</w:t>
            </w:r>
          </w:p>
        </w:tc>
        <w:tc>
          <w:tcPr>
            <w:tcW w:w="2551"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33% (62/189) </w:t>
            </w:r>
          </w:p>
        </w:tc>
        <w:tc>
          <w:tcPr>
            <w:tcW w:w="2551"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44% (30/68) </w:t>
            </w:r>
          </w:p>
        </w:tc>
        <w:tc>
          <w:tcPr>
            <w:tcW w:w="2552"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32% (42/130) </w:t>
            </w:r>
          </w:p>
        </w:tc>
      </w:tr>
      <w:tr w:rsidR="00A13ACB" w:rsidRPr="00A13ACB" w:rsidDel="004639B8" w:rsidTr="00A13ACB">
        <w:trPr>
          <w:trHeight w:val="300"/>
        </w:trPr>
        <w:tc>
          <w:tcPr>
            <w:tcW w:w="2235"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80-89</w:t>
            </w:r>
          </w:p>
        </w:tc>
        <w:tc>
          <w:tcPr>
            <w:tcW w:w="2551"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24% (37/157) </w:t>
            </w:r>
          </w:p>
        </w:tc>
        <w:tc>
          <w:tcPr>
            <w:tcW w:w="2551"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21% (10/47) </w:t>
            </w:r>
          </w:p>
        </w:tc>
        <w:tc>
          <w:tcPr>
            <w:tcW w:w="2552"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25% (29/116) </w:t>
            </w:r>
          </w:p>
        </w:tc>
      </w:tr>
      <w:tr w:rsidR="00A13ACB" w:rsidRPr="00A13ACB" w:rsidDel="004639B8" w:rsidTr="00A13ACB">
        <w:trPr>
          <w:trHeight w:val="300"/>
        </w:trPr>
        <w:tc>
          <w:tcPr>
            <w:tcW w:w="2235"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&gt;90</w:t>
            </w:r>
          </w:p>
        </w:tc>
        <w:tc>
          <w:tcPr>
            <w:tcW w:w="2551"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13% (3/23) </w:t>
            </w:r>
          </w:p>
        </w:tc>
        <w:tc>
          <w:tcPr>
            <w:tcW w:w="2551"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12% (2/17) </w:t>
            </w:r>
          </w:p>
        </w:tc>
        <w:tc>
          <w:tcPr>
            <w:tcW w:w="2552" w:type="dxa"/>
            <w:tcBorders>
              <w:bottom w:val="single" w:sz="4" w:space="0" w:color="auto"/>
            </w:tcBorders>
            <w:noWrap/>
          </w:tcPr>
          <w:p w:rsidR="00A13ACB" w:rsidRPr="00A13ACB" w:rsidRDefault="00A13ACB" w:rsidP="00A13ACB">
            <w:pPr>
              <w:rPr>
                <w:rFonts w:asciiTheme="majorHAnsi" w:hAnsiTheme="majorHAnsi" w:cstheme="majorHAnsi"/>
                <w:sz w:val="20"/>
                <w:szCs w:val="20"/>
              </w:rPr>
            </w:pPr>
            <w:r w:rsidRPr="00A13ACB">
              <w:rPr>
                <w:rFonts w:asciiTheme="majorHAnsi" w:hAnsiTheme="majorHAnsi" w:cstheme="majorHAnsi"/>
                <w:sz w:val="20"/>
                <w:szCs w:val="20"/>
              </w:rPr>
              <w:t xml:space="preserve">10% (3/30) </w:t>
            </w:r>
          </w:p>
        </w:tc>
      </w:tr>
    </w:tbl>
    <w:p w:rsidR="00E57D4B" w:rsidRPr="00A13ACB" w:rsidRDefault="00E57D4B" w:rsidP="00A13ACB">
      <w:pPr>
        <w:jc w:val="both"/>
        <w:rPr>
          <w:rFonts w:asciiTheme="majorHAnsi" w:hAnsiTheme="majorHAnsi" w:cstheme="majorHAnsi"/>
          <w:sz w:val="22"/>
          <w:szCs w:val="22"/>
        </w:rPr>
      </w:pPr>
    </w:p>
    <w:p w:rsidR="00E57D4B" w:rsidRPr="00A13ACB" w:rsidRDefault="00E57D4B" w:rsidP="00A13ACB">
      <w:pPr>
        <w:jc w:val="both"/>
        <w:rPr>
          <w:rFonts w:asciiTheme="majorHAnsi" w:hAnsiTheme="majorHAnsi" w:cstheme="majorHAnsi"/>
          <w:sz w:val="22"/>
          <w:szCs w:val="22"/>
        </w:rPr>
      </w:pPr>
    </w:p>
    <w:p w:rsidR="006B3732" w:rsidRPr="00A13ACB" w:rsidRDefault="006B3732" w:rsidP="00A13ACB">
      <w:pPr>
        <w:jc w:val="both"/>
        <w:rPr>
          <w:rFonts w:asciiTheme="majorHAnsi" w:hAnsiTheme="majorHAnsi" w:cstheme="majorHAnsi"/>
          <w:sz w:val="22"/>
          <w:szCs w:val="22"/>
        </w:rPr>
      </w:pPr>
    </w:p>
    <w:p w:rsidR="003E02CD" w:rsidRPr="00A13ACB" w:rsidRDefault="003E02CD" w:rsidP="00A13ACB">
      <w:pPr>
        <w:jc w:val="both"/>
        <w:rPr>
          <w:rFonts w:asciiTheme="majorHAnsi" w:hAnsiTheme="majorHAnsi" w:cstheme="majorHAnsi"/>
          <w:sz w:val="22"/>
          <w:szCs w:val="22"/>
        </w:rPr>
      </w:pPr>
    </w:p>
    <w:p w:rsidR="007A4379" w:rsidRDefault="007A4379"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Pr="00A13ACB" w:rsidRDefault="00575F78"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E66170" w:rsidRPr="00A13ACB" w:rsidRDefault="00E66170" w:rsidP="00E66170">
      <w:pPr>
        <w:jc w:val="both"/>
        <w:rPr>
          <w:rFonts w:asciiTheme="majorHAnsi" w:hAnsiTheme="majorHAnsi" w:cstheme="majorHAnsi"/>
          <w:sz w:val="22"/>
          <w:szCs w:val="22"/>
        </w:rPr>
      </w:pPr>
      <w:r w:rsidRPr="00A13ACB">
        <w:rPr>
          <w:rFonts w:asciiTheme="majorHAnsi" w:hAnsiTheme="majorHAnsi" w:cstheme="majorHAnsi"/>
          <w:sz w:val="22"/>
          <w:szCs w:val="22"/>
        </w:rPr>
        <w:lastRenderedPageBreak/>
        <w:t xml:space="preserve">Funding: NASH was funded by Eisai Ltd, UCB Pharma Ltd, GlaxoSmithKline plc and </w:t>
      </w:r>
      <w:proofErr w:type="spellStart"/>
      <w:r w:rsidRPr="00A13ACB">
        <w:rPr>
          <w:rFonts w:asciiTheme="majorHAnsi" w:hAnsiTheme="majorHAnsi" w:cstheme="majorHAnsi"/>
          <w:sz w:val="22"/>
          <w:szCs w:val="22"/>
        </w:rPr>
        <w:t>ViroPharma</w:t>
      </w:r>
      <w:proofErr w:type="spellEnd"/>
      <w:r w:rsidRPr="00A13ACB">
        <w:rPr>
          <w:rFonts w:asciiTheme="majorHAnsi" w:hAnsiTheme="majorHAnsi" w:cstheme="majorHAnsi"/>
          <w:sz w:val="22"/>
          <w:szCs w:val="22"/>
        </w:rPr>
        <w:t xml:space="preserve"> Ltd.</w:t>
      </w:r>
      <w:r w:rsidRPr="00A13ACB">
        <w:rPr>
          <w:rFonts w:asciiTheme="majorHAnsi" w:hAnsiTheme="majorHAnsi" w:cstheme="majorHAnsi"/>
        </w:rPr>
        <w:t xml:space="preserve"> </w:t>
      </w:r>
      <w:r w:rsidRPr="00A13ACB">
        <w:rPr>
          <w:rFonts w:asciiTheme="majorHAnsi" w:hAnsiTheme="majorHAnsi" w:cstheme="majorHAnsi"/>
          <w:sz w:val="22"/>
          <w:szCs w:val="22"/>
        </w:rPr>
        <w:t xml:space="preserve">BZ has received funding by UCB Pharma. PD </w:t>
      </w:r>
      <w:r>
        <w:rPr>
          <w:rFonts w:asciiTheme="majorHAnsi" w:hAnsiTheme="majorHAnsi" w:cstheme="majorHAnsi"/>
          <w:sz w:val="22"/>
          <w:szCs w:val="22"/>
        </w:rPr>
        <w:t>and TM are</w:t>
      </w:r>
      <w:r w:rsidRPr="00A13ACB">
        <w:rPr>
          <w:rFonts w:asciiTheme="majorHAnsi" w:hAnsiTheme="majorHAnsi" w:cstheme="majorHAnsi"/>
          <w:sz w:val="22"/>
          <w:szCs w:val="22"/>
        </w:rPr>
        <w:t xml:space="preserve"> funded by the NIHR Collaboration for Leadership in Applied Health Research and Care (CLAHRC) North West </w:t>
      </w:r>
      <w:proofErr w:type="gramStart"/>
      <w:r w:rsidRPr="00A13ACB">
        <w:rPr>
          <w:rFonts w:asciiTheme="majorHAnsi" w:hAnsiTheme="majorHAnsi" w:cstheme="majorHAnsi"/>
          <w:sz w:val="22"/>
          <w:szCs w:val="22"/>
        </w:rPr>
        <w:t>Coast</w:t>
      </w:r>
      <w:r>
        <w:rPr>
          <w:rFonts w:asciiTheme="majorHAnsi" w:hAnsiTheme="majorHAnsi" w:cstheme="majorHAnsi"/>
          <w:sz w:val="22"/>
          <w:szCs w:val="22"/>
        </w:rPr>
        <w:t>,</w:t>
      </w:r>
      <w:proofErr w:type="gramEnd"/>
      <w:r>
        <w:rPr>
          <w:rFonts w:asciiTheme="majorHAnsi" w:hAnsiTheme="majorHAnsi" w:cstheme="majorHAnsi"/>
          <w:sz w:val="22"/>
          <w:szCs w:val="22"/>
        </w:rPr>
        <w:t xml:space="preserve"> t</w:t>
      </w:r>
      <w:r w:rsidRPr="00236803">
        <w:rPr>
          <w:rFonts w:asciiTheme="majorHAnsi" w:hAnsiTheme="majorHAnsi" w:cstheme="majorHAnsi"/>
          <w:sz w:val="22"/>
          <w:szCs w:val="22"/>
        </w:rPr>
        <w:t>he views expressed are those of the author(s) and not necessarily those of the NHS, the NIHR or the Department of Health</w:t>
      </w:r>
      <w:r w:rsidRPr="00A13ACB">
        <w:rPr>
          <w:rFonts w:asciiTheme="majorHAnsi" w:hAnsiTheme="majorHAnsi" w:cstheme="majorHAnsi"/>
          <w:sz w:val="22"/>
          <w:szCs w:val="22"/>
        </w:rPr>
        <w:t>.</w:t>
      </w:r>
    </w:p>
    <w:p w:rsidR="00E66170" w:rsidRDefault="00E66170" w:rsidP="00E66170">
      <w:pPr>
        <w:jc w:val="both"/>
        <w:rPr>
          <w:rFonts w:asciiTheme="majorHAnsi" w:hAnsiTheme="majorHAnsi" w:cstheme="majorHAnsi"/>
          <w:sz w:val="22"/>
          <w:szCs w:val="22"/>
        </w:rPr>
      </w:pPr>
    </w:p>
    <w:p w:rsidR="00E66170" w:rsidRPr="00A13ACB" w:rsidRDefault="00E66170" w:rsidP="00E66170">
      <w:pPr>
        <w:jc w:val="both"/>
        <w:rPr>
          <w:rFonts w:asciiTheme="majorHAnsi" w:eastAsia="Times New Roman" w:hAnsiTheme="majorHAnsi" w:cstheme="majorHAnsi"/>
          <w:color w:val="000000"/>
          <w:sz w:val="21"/>
          <w:szCs w:val="21"/>
        </w:rPr>
      </w:pPr>
      <w:r w:rsidRPr="00A13ACB">
        <w:rPr>
          <w:rFonts w:asciiTheme="majorHAnsi" w:hAnsiTheme="majorHAnsi" w:cstheme="majorHAnsi"/>
          <w:sz w:val="22"/>
          <w:szCs w:val="22"/>
        </w:rPr>
        <w:t>Conflicts of interest: AM has</w:t>
      </w:r>
      <w:r w:rsidRPr="00A13ACB">
        <w:rPr>
          <w:rFonts w:asciiTheme="majorHAnsi" w:eastAsia="Times New Roman" w:hAnsiTheme="majorHAnsi" w:cstheme="majorHAnsi"/>
          <w:color w:val="000000"/>
          <w:sz w:val="22"/>
          <w:szCs w:val="22"/>
        </w:rPr>
        <w:t xml:space="preserve"> received </w:t>
      </w:r>
      <w:proofErr w:type="gramStart"/>
      <w:r w:rsidRPr="00A13ACB">
        <w:rPr>
          <w:rFonts w:asciiTheme="majorHAnsi" w:eastAsia="Times New Roman" w:hAnsiTheme="majorHAnsi" w:cstheme="majorHAnsi"/>
          <w:color w:val="000000"/>
          <w:sz w:val="22"/>
          <w:szCs w:val="22"/>
        </w:rPr>
        <w:t>speakers</w:t>
      </w:r>
      <w:proofErr w:type="gramEnd"/>
      <w:r w:rsidRPr="00A13ACB">
        <w:rPr>
          <w:rFonts w:asciiTheme="majorHAnsi" w:eastAsia="Times New Roman" w:hAnsiTheme="majorHAnsi" w:cstheme="majorHAnsi"/>
          <w:color w:val="000000"/>
          <w:sz w:val="22"/>
          <w:szCs w:val="22"/>
        </w:rPr>
        <w:t xml:space="preserve"> honoraria from UCB and </w:t>
      </w:r>
      <w:r>
        <w:rPr>
          <w:rFonts w:asciiTheme="majorHAnsi" w:eastAsia="Times New Roman" w:hAnsiTheme="majorHAnsi" w:cstheme="majorHAnsi"/>
          <w:color w:val="000000"/>
          <w:sz w:val="22"/>
          <w:szCs w:val="22"/>
        </w:rPr>
        <w:t>Eisai</w:t>
      </w:r>
      <w:r w:rsidRPr="00A13ACB">
        <w:rPr>
          <w:rFonts w:asciiTheme="majorHAnsi" w:eastAsia="Times New Roman" w:hAnsiTheme="majorHAnsi" w:cstheme="majorHAnsi"/>
          <w:color w:val="000000"/>
          <w:sz w:val="22"/>
          <w:szCs w:val="22"/>
        </w:rPr>
        <w:t xml:space="preserve">. All other authors have no conflicts of interest. </w:t>
      </w: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E66170" w:rsidRDefault="00E66170"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P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A13ACB" w:rsidRDefault="00A13ACB"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575F78" w:rsidRDefault="00575F78" w:rsidP="00A13ACB">
      <w:pPr>
        <w:jc w:val="both"/>
        <w:rPr>
          <w:rFonts w:asciiTheme="majorHAnsi" w:hAnsiTheme="majorHAnsi" w:cstheme="majorHAnsi"/>
          <w:sz w:val="22"/>
          <w:szCs w:val="22"/>
        </w:rPr>
      </w:pPr>
    </w:p>
    <w:p w:rsidR="00023D70" w:rsidRPr="00754E28" w:rsidRDefault="00023D70" w:rsidP="00023D70">
      <w:pPr>
        <w:jc w:val="both"/>
        <w:rPr>
          <w:rFonts w:asciiTheme="majorHAnsi" w:hAnsiTheme="majorHAnsi" w:cstheme="majorHAnsi"/>
          <w:sz w:val="22"/>
          <w:szCs w:val="22"/>
        </w:rPr>
      </w:pPr>
      <w:r w:rsidRPr="00754E28">
        <w:rPr>
          <w:rFonts w:asciiTheme="majorHAnsi" w:hAnsiTheme="majorHAnsi" w:cstheme="majorHAnsi"/>
          <w:b/>
          <w:sz w:val="22"/>
          <w:szCs w:val="22"/>
        </w:rPr>
        <w:lastRenderedPageBreak/>
        <w:t>References</w:t>
      </w:r>
    </w:p>
    <w:p w:rsidR="00023D70" w:rsidRPr="00754E28" w:rsidRDefault="00023D70" w:rsidP="00023D70">
      <w:pPr>
        <w:pStyle w:val="ListParagraph"/>
        <w:numPr>
          <w:ilvl w:val="0"/>
          <w:numId w:val="9"/>
        </w:numPr>
        <w:jc w:val="both"/>
        <w:rPr>
          <w:rFonts w:asciiTheme="majorHAnsi" w:hAnsiTheme="majorHAnsi" w:cstheme="majorHAnsi"/>
          <w:sz w:val="22"/>
          <w:szCs w:val="22"/>
        </w:rPr>
      </w:pPr>
      <w:proofErr w:type="spellStart"/>
      <w:r w:rsidRPr="00754E28">
        <w:rPr>
          <w:rFonts w:asciiTheme="majorHAnsi" w:hAnsiTheme="majorHAnsi" w:cstheme="majorHAnsi"/>
          <w:sz w:val="22"/>
          <w:szCs w:val="22"/>
        </w:rPr>
        <w:t>Orimo</w:t>
      </w:r>
      <w:proofErr w:type="spellEnd"/>
      <w:r w:rsidRPr="00754E28">
        <w:rPr>
          <w:rFonts w:asciiTheme="majorHAnsi" w:hAnsiTheme="majorHAnsi" w:cstheme="majorHAnsi"/>
          <w:sz w:val="22"/>
          <w:szCs w:val="22"/>
        </w:rPr>
        <w:t xml:space="preserve"> H, Ito H, Suzuki T et al. Reviewing the definition of elderly. </w:t>
      </w:r>
      <w:proofErr w:type="spellStart"/>
      <w:r w:rsidRPr="00754E28">
        <w:rPr>
          <w:rFonts w:asciiTheme="majorHAnsi" w:hAnsiTheme="majorHAnsi" w:cstheme="majorHAnsi"/>
          <w:i/>
          <w:sz w:val="22"/>
          <w:szCs w:val="22"/>
        </w:rPr>
        <w:t>Geriatr</w:t>
      </w:r>
      <w:proofErr w:type="spellEnd"/>
      <w:r w:rsidRPr="00754E28">
        <w:rPr>
          <w:rFonts w:asciiTheme="majorHAnsi" w:hAnsiTheme="majorHAnsi" w:cstheme="majorHAnsi"/>
          <w:i/>
          <w:sz w:val="22"/>
          <w:szCs w:val="22"/>
        </w:rPr>
        <w:t xml:space="preserve"> </w:t>
      </w:r>
      <w:proofErr w:type="spellStart"/>
      <w:r w:rsidRPr="00754E28">
        <w:rPr>
          <w:rFonts w:asciiTheme="majorHAnsi" w:hAnsiTheme="majorHAnsi" w:cstheme="majorHAnsi"/>
          <w:i/>
          <w:sz w:val="22"/>
          <w:szCs w:val="22"/>
        </w:rPr>
        <w:t>Gerontol</w:t>
      </w:r>
      <w:proofErr w:type="spellEnd"/>
      <w:r w:rsidRPr="00754E28">
        <w:rPr>
          <w:rFonts w:asciiTheme="majorHAnsi" w:hAnsiTheme="majorHAnsi" w:cstheme="majorHAnsi"/>
          <w:i/>
          <w:sz w:val="22"/>
          <w:szCs w:val="22"/>
        </w:rPr>
        <w:t xml:space="preserve"> </w:t>
      </w:r>
      <w:proofErr w:type="spellStart"/>
      <w:r w:rsidRPr="00754E28">
        <w:rPr>
          <w:rFonts w:asciiTheme="majorHAnsi" w:hAnsiTheme="majorHAnsi" w:cstheme="majorHAnsi"/>
          <w:i/>
          <w:sz w:val="22"/>
          <w:szCs w:val="22"/>
        </w:rPr>
        <w:t>Int</w:t>
      </w:r>
      <w:proofErr w:type="spellEnd"/>
      <w:r w:rsidRPr="00754E28">
        <w:rPr>
          <w:rFonts w:asciiTheme="majorHAnsi" w:hAnsiTheme="majorHAnsi" w:cstheme="majorHAnsi"/>
          <w:sz w:val="22"/>
          <w:szCs w:val="22"/>
        </w:rPr>
        <w:t xml:space="preserve"> 2006; 6:149–158.</w:t>
      </w:r>
    </w:p>
    <w:p w:rsidR="00023D70" w:rsidRPr="00754E28" w:rsidRDefault="00023D70" w:rsidP="00023D70">
      <w:pPr>
        <w:pStyle w:val="ListParagraph"/>
        <w:numPr>
          <w:ilvl w:val="0"/>
          <w:numId w:val="9"/>
        </w:numPr>
        <w:jc w:val="both"/>
        <w:rPr>
          <w:rFonts w:asciiTheme="majorHAnsi" w:hAnsiTheme="majorHAnsi" w:cstheme="majorHAnsi"/>
          <w:sz w:val="22"/>
          <w:szCs w:val="22"/>
        </w:rPr>
      </w:pPr>
      <w:r w:rsidRPr="00754E28">
        <w:rPr>
          <w:rFonts w:asciiTheme="majorHAnsi" w:hAnsiTheme="majorHAnsi" w:cstheme="majorHAnsi"/>
          <w:sz w:val="22"/>
          <w:szCs w:val="22"/>
        </w:rPr>
        <w:t xml:space="preserve">Wallace H, </w:t>
      </w:r>
      <w:proofErr w:type="spellStart"/>
      <w:r w:rsidRPr="00754E28">
        <w:rPr>
          <w:rFonts w:asciiTheme="majorHAnsi" w:hAnsiTheme="majorHAnsi" w:cstheme="majorHAnsi"/>
          <w:sz w:val="22"/>
          <w:szCs w:val="22"/>
        </w:rPr>
        <w:t>Shorvon</w:t>
      </w:r>
      <w:proofErr w:type="spellEnd"/>
      <w:r w:rsidRPr="00754E28">
        <w:rPr>
          <w:rFonts w:asciiTheme="majorHAnsi" w:hAnsiTheme="majorHAnsi" w:cstheme="majorHAnsi"/>
          <w:sz w:val="22"/>
          <w:szCs w:val="22"/>
        </w:rPr>
        <w:t xml:space="preserve"> S, </w:t>
      </w:r>
      <w:proofErr w:type="spellStart"/>
      <w:r w:rsidRPr="00754E28">
        <w:rPr>
          <w:rFonts w:asciiTheme="majorHAnsi" w:hAnsiTheme="majorHAnsi" w:cstheme="majorHAnsi"/>
          <w:sz w:val="22"/>
          <w:szCs w:val="22"/>
        </w:rPr>
        <w:t>Tallis</w:t>
      </w:r>
      <w:proofErr w:type="spellEnd"/>
      <w:r w:rsidRPr="00754E28">
        <w:rPr>
          <w:rFonts w:asciiTheme="majorHAnsi" w:hAnsiTheme="majorHAnsi" w:cstheme="majorHAnsi"/>
          <w:sz w:val="22"/>
          <w:szCs w:val="22"/>
        </w:rPr>
        <w:t xml:space="preserve"> R. Age-specific incidence and prevalence rates of treated epilepsy in an unselected population of 2 052 922 and age-specific fertility rates of women with epilepsy. </w:t>
      </w:r>
      <w:r w:rsidRPr="00754E28">
        <w:rPr>
          <w:rFonts w:asciiTheme="majorHAnsi" w:hAnsiTheme="majorHAnsi" w:cstheme="majorHAnsi"/>
          <w:i/>
          <w:sz w:val="22"/>
          <w:szCs w:val="22"/>
        </w:rPr>
        <w:t>Lancet</w:t>
      </w:r>
      <w:r w:rsidRPr="00754E28">
        <w:rPr>
          <w:rFonts w:asciiTheme="majorHAnsi" w:hAnsiTheme="majorHAnsi" w:cstheme="majorHAnsi"/>
          <w:sz w:val="22"/>
          <w:szCs w:val="22"/>
        </w:rPr>
        <w:t xml:space="preserve"> 1998; 352:1790-3. </w:t>
      </w:r>
    </w:p>
    <w:p w:rsidR="00023D70" w:rsidRPr="00754E28" w:rsidRDefault="00023D70" w:rsidP="00023D70">
      <w:pPr>
        <w:pStyle w:val="ListParagraph"/>
        <w:numPr>
          <w:ilvl w:val="0"/>
          <w:numId w:val="9"/>
        </w:numPr>
        <w:jc w:val="both"/>
        <w:rPr>
          <w:rFonts w:asciiTheme="majorHAnsi" w:hAnsiTheme="majorHAnsi" w:cstheme="majorHAnsi"/>
          <w:sz w:val="22"/>
          <w:szCs w:val="22"/>
        </w:rPr>
      </w:pPr>
      <w:proofErr w:type="spellStart"/>
      <w:r w:rsidRPr="00754E28">
        <w:rPr>
          <w:rFonts w:asciiTheme="majorHAnsi" w:hAnsiTheme="majorHAnsi" w:cstheme="majorHAnsi"/>
          <w:sz w:val="22"/>
          <w:szCs w:val="22"/>
        </w:rPr>
        <w:t>Beghi</w:t>
      </w:r>
      <w:proofErr w:type="spellEnd"/>
      <w:r w:rsidRPr="00754E28">
        <w:rPr>
          <w:rFonts w:asciiTheme="majorHAnsi" w:hAnsiTheme="majorHAnsi" w:cstheme="majorHAnsi"/>
          <w:sz w:val="22"/>
          <w:szCs w:val="22"/>
        </w:rPr>
        <w:t xml:space="preserve"> E, Addressing the burden of epilepsy. Many unmet needs. </w:t>
      </w:r>
      <w:r w:rsidRPr="00754E28">
        <w:rPr>
          <w:rFonts w:asciiTheme="majorHAnsi" w:hAnsiTheme="majorHAnsi" w:cstheme="majorHAnsi"/>
          <w:i/>
          <w:sz w:val="22"/>
          <w:szCs w:val="22"/>
        </w:rPr>
        <w:t xml:space="preserve">Pharmacological Research </w:t>
      </w:r>
      <w:r w:rsidRPr="00754E28">
        <w:rPr>
          <w:rFonts w:asciiTheme="majorHAnsi" w:hAnsiTheme="majorHAnsi" w:cstheme="majorHAnsi"/>
          <w:sz w:val="22"/>
          <w:szCs w:val="22"/>
        </w:rPr>
        <w:t>2016; 107: 79–84.</w:t>
      </w:r>
    </w:p>
    <w:p w:rsidR="00023D70" w:rsidRPr="00754E28" w:rsidRDefault="00023D70" w:rsidP="00023D70">
      <w:pPr>
        <w:pStyle w:val="ListParagraph"/>
        <w:numPr>
          <w:ilvl w:val="0"/>
          <w:numId w:val="9"/>
        </w:numPr>
        <w:jc w:val="both"/>
        <w:rPr>
          <w:rFonts w:asciiTheme="majorHAnsi" w:hAnsiTheme="majorHAnsi" w:cstheme="majorHAnsi"/>
          <w:sz w:val="22"/>
          <w:szCs w:val="22"/>
        </w:rPr>
      </w:pPr>
      <w:r w:rsidRPr="00754E28">
        <w:rPr>
          <w:rFonts w:asciiTheme="majorHAnsi" w:hAnsiTheme="majorHAnsi" w:cstheme="majorHAnsi"/>
          <w:sz w:val="22"/>
          <w:szCs w:val="22"/>
        </w:rPr>
        <w:t xml:space="preserve">Hauser AW, </w:t>
      </w:r>
      <w:proofErr w:type="spellStart"/>
      <w:r w:rsidRPr="00754E28">
        <w:rPr>
          <w:rFonts w:asciiTheme="majorHAnsi" w:hAnsiTheme="majorHAnsi" w:cstheme="majorHAnsi"/>
          <w:sz w:val="22"/>
          <w:szCs w:val="22"/>
        </w:rPr>
        <w:t>Annegers</w:t>
      </w:r>
      <w:proofErr w:type="spellEnd"/>
      <w:r w:rsidRPr="00754E28">
        <w:rPr>
          <w:rFonts w:asciiTheme="majorHAnsi" w:hAnsiTheme="majorHAnsi" w:cstheme="majorHAnsi"/>
          <w:sz w:val="22"/>
          <w:szCs w:val="22"/>
        </w:rPr>
        <w:t xml:space="preserve"> JF Kurland L et al. Incidence of epilepsy and unprovoked seizures in Rochester, Minnesota: 1935–1984, </w:t>
      </w:r>
      <w:proofErr w:type="spellStart"/>
      <w:r w:rsidRPr="00754E28">
        <w:rPr>
          <w:rFonts w:asciiTheme="majorHAnsi" w:hAnsiTheme="majorHAnsi" w:cstheme="majorHAnsi"/>
          <w:i/>
          <w:sz w:val="22"/>
          <w:szCs w:val="22"/>
        </w:rPr>
        <w:t>Epilepsia</w:t>
      </w:r>
      <w:proofErr w:type="spellEnd"/>
      <w:r w:rsidRPr="00754E28">
        <w:rPr>
          <w:rFonts w:asciiTheme="majorHAnsi" w:hAnsiTheme="majorHAnsi" w:cstheme="majorHAnsi"/>
          <w:sz w:val="22"/>
          <w:szCs w:val="22"/>
        </w:rPr>
        <w:t xml:space="preserve"> 1993; 34: 453–468.</w:t>
      </w:r>
    </w:p>
    <w:p w:rsidR="00023D70" w:rsidRPr="00754E28" w:rsidRDefault="00023D70" w:rsidP="00023D70">
      <w:pPr>
        <w:pStyle w:val="ListParagraph"/>
        <w:numPr>
          <w:ilvl w:val="0"/>
          <w:numId w:val="9"/>
        </w:numPr>
        <w:jc w:val="both"/>
        <w:rPr>
          <w:rFonts w:asciiTheme="majorHAnsi" w:hAnsiTheme="majorHAnsi" w:cstheme="majorHAnsi"/>
          <w:sz w:val="22"/>
          <w:szCs w:val="22"/>
        </w:rPr>
      </w:pPr>
      <w:proofErr w:type="spellStart"/>
      <w:r w:rsidRPr="00754E28">
        <w:rPr>
          <w:rFonts w:asciiTheme="majorHAnsi" w:hAnsiTheme="majorHAnsi" w:cstheme="majorHAnsi"/>
          <w:sz w:val="22"/>
          <w:szCs w:val="22"/>
        </w:rPr>
        <w:t>Tallis</w:t>
      </w:r>
      <w:proofErr w:type="spellEnd"/>
      <w:r w:rsidRPr="00754E28">
        <w:rPr>
          <w:rFonts w:asciiTheme="majorHAnsi" w:hAnsiTheme="majorHAnsi" w:cstheme="majorHAnsi"/>
          <w:sz w:val="22"/>
          <w:szCs w:val="22"/>
        </w:rPr>
        <w:t xml:space="preserve"> R., Hall </w:t>
      </w:r>
      <w:proofErr w:type="gramStart"/>
      <w:r w:rsidRPr="00754E28">
        <w:rPr>
          <w:rFonts w:asciiTheme="majorHAnsi" w:hAnsiTheme="majorHAnsi" w:cstheme="majorHAnsi"/>
          <w:sz w:val="22"/>
          <w:szCs w:val="22"/>
        </w:rPr>
        <w:t>G ,Craig</w:t>
      </w:r>
      <w:proofErr w:type="gramEnd"/>
      <w:r w:rsidRPr="00754E28">
        <w:rPr>
          <w:rFonts w:asciiTheme="majorHAnsi" w:hAnsiTheme="majorHAnsi" w:cstheme="majorHAnsi"/>
          <w:sz w:val="22"/>
          <w:szCs w:val="22"/>
        </w:rPr>
        <w:t xml:space="preserve"> I et al. How common are epileptic seizures in old age? </w:t>
      </w:r>
      <w:r w:rsidRPr="00754E28">
        <w:rPr>
          <w:rFonts w:asciiTheme="majorHAnsi" w:hAnsiTheme="majorHAnsi" w:cstheme="majorHAnsi"/>
          <w:i/>
          <w:sz w:val="22"/>
          <w:szCs w:val="22"/>
        </w:rPr>
        <w:t xml:space="preserve">Age Ageing </w:t>
      </w:r>
      <w:r w:rsidRPr="00754E28">
        <w:rPr>
          <w:rFonts w:asciiTheme="majorHAnsi" w:hAnsiTheme="majorHAnsi" w:cstheme="majorHAnsi"/>
          <w:sz w:val="22"/>
          <w:szCs w:val="22"/>
        </w:rPr>
        <w:t>1991; 20: 442–448.</w:t>
      </w:r>
    </w:p>
    <w:p w:rsidR="00023D70" w:rsidRPr="00754E28" w:rsidRDefault="00023D70" w:rsidP="00023D70">
      <w:pPr>
        <w:pStyle w:val="ListParagraph"/>
        <w:numPr>
          <w:ilvl w:val="0"/>
          <w:numId w:val="9"/>
        </w:numPr>
        <w:jc w:val="both"/>
        <w:rPr>
          <w:rFonts w:asciiTheme="majorHAnsi" w:hAnsiTheme="majorHAnsi" w:cstheme="majorHAnsi"/>
          <w:sz w:val="22"/>
          <w:szCs w:val="22"/>
        </w:rPr>
      </w:pPr>
      <w:r w:rsidRPr="00754E28">
        <w:rPr>
          <w:rFonts w:asciiTheme="majorHAnsi" w:hAnsiTheme="majorHAnsi" w:cstheme="majorHAnsi"/>
          <w:sz w:val="22"/>
          <w:szCs w:val="22"/>
        </w:rPr>
        <w:t xml:space="preserve">Stephen LS, Brodie MJ. Epilepsy in elderly people. </w:t>
      </w:r>
      <w:r w:rsidRPr="00754E28">
        <w:rPr>
          <w:rFonts w:asciiTheme="majorHAnsi" w:hAnsiTheme="majorHAnsi" w:cstheme="majorHAnsi"/>
          <w:i/>
          <w:sz w:val="22"/>
          <w:szCs w:val="22"/>
        </w:rPr>
        <w:t>Lancet</w:t>
      </w:r>
      <w:r w:rsidRPr="00754E28">
        <w:rPr>
          <w:rFonts w:asciiTheme="majorHAnsi" w:hAnsiTheme="majorHAnsi" w:cstheme="majorHAnsi"/>
          <w:sz w:val="22"/>
          <w:szCs w:val="22"/>
        </w:rPr>
        <w:t xml:space="preserve"> 2000; 355: 1441-6.</w:t>
      </w:r>
    </w:p>
    <w:p w:rsidR="00023D70" w:rsidRPr="00754E28" w:rsidRDefault="00023D70" w:rsidP="00023D70">
      <w:pPr>
        <w:pStyle w:val="ListParagraph"/>
        <w:numPr>
          <w:ilvl w:val="0"/>
          <w:numId w:val="9"/>
        </w:numPr>
        <w:jc w:val="both"/>
        <w:rPr>
          <w:rFonts w:asciiTheme="majorHAnsi" w:hAnsiTheme="majorHAnsi" w:cstheme="majorHAnsi"/>
          <w:sz w:val="22"/>
          <w:szCs w:val="22"/>
        </w:rPr>
      </w:pPr>
      <w:r w:rsidRPr="00754E28">
        <w:rPr>
          <w:rFonts w:asciiTheme="majorHAnsi" w:hAnsiTheme="majorHAnsi" w:cstheme="majorHAnsi"/>
          <w:sz w:val="22"/>
          <w:szCs w:val="22"/>
        </w:rPr>
        <w:t xml:space="preserve">Brodie MJ, Elder AT, Kwan P. Epilepsy in later life, </w:t>
      </w:r>
      <w:r w:rsidRPr="00754E28">
        <w:rPr>
          <w:rFonts w:asciiTheme="majorHAnsi" w:hAnsiTheme="majorHAnsi" w:cstheme="majorHAnsi"/>
          <w:i/>
          <w:sz w:val="22"/>
          <w:szCs w:val="22"/>
        </w:rPr>
        <w:t xml:space="preserve">Lancet </w:t>
      </w:r>
      <w:proofErr w:type="spellStart"/>
      <w:r w:rsidRPr="00754E28">
        <w:rPr>
          <w:rFonts w:asciiTheme="majorHAnsi" w:hAnsiTheme="majorHAnsi" w:cstheme="majorHAnsi"/>
          <w:i/>
          <w:sz w:val="22"/>
          <w:szCs w:val="22"/>
        </w:rPr>
        <w:t>Neurol</w:t>
      </w:r>
      <w:proofErr w:type="spellEnd"/>
      <w:r w:rsidRPr="00754E28">
        <w:rPr>
          <w:rFonts w:asciiTheme="majorHAnsi" w:hAnsiTheme="majorHAnsi" w:cstheme="majorHAnsi"/>
          <w:sz w:val="22"/>
          <w:szCs w:val="22"/>
        </w:rPr>
        <w:t xml:space="preserve"> 2009; 8: 1019–1030.</w:t>
      </w:r>
    </w:p>
    <w:p w:rsidR="00023D70" w:rsidRPr="00754E28" w:rsidRDefault="00023D70" w:rsidP="00023D70">
      <w:pPr>
        <w:pStyle w:val="ListParagraph"/>
        <w:numPr>
          <w:ilvl w:val="0"/>
          <w:numId w:val="9"/>
        </w:numPr>
        <w:jc w:val="both"/>
        <w:rPr>
          <w:rFonts w:asciiTheme="majorHAnsi" w:hAnsiTheme="majorHAnsi" w:cstheme="majorHAnsi"/>
          <w:sz w:val="22"/>
          <w:szCs w:val="22"/>
        </w:rPr>
      </w:pPr>
      <w:r w:rsidRPr="00754E28">
        <w:rPr>
          <w:rFonts w:asciiTheme="majorHAnsi" w:hAnsiTheme="majorHAnsi" w:cstheme="majorHAnsi"/>
          <w:sz w:val="22"/>
          <w:szCs w:val="22"/>
        </w:rPr>
        <w:t xml:space="preserve">Ramsay RE, Rowan AJ, Pryor FM. Special considerations in treating the elderly patient with epilepsy. </w:t>
      </w:r>
      <w:r w:rsidRPr="00754E28">
        <w:rPr>
          <w:rFonts w:asciiTheme="majorHAnsi" w:hAnsiTheme="majorHAnsi" w:cstheme="majorHAnsi"/>
          <w:i/>
          <w:sz w:val="22"/>
          <w:szCs w:val="22"/>
        </w:rPr>
        <w:t>Neurology</w:t>
      </w:r>
      <w:r w:rsidRPr="00754E28">
        <w:rPr>
          <w:rFonts w:asciiTheme="majorHAnsi" w:hAnsiTheme="majorHAnsi" w:cstheme="majorHAnsi"/>
          <w:sz w:val="22"/>
          <w:szCs w:val="22"/>
        </w:rPr>
        <w:t xml:space="preserve"> 2004; 62: S24–29.</w:t>
      </w:r>
    </w:p>
    <w:p w:rsidR="00023D70" w:rsidRPr="00754E28" w:rsidRDefault="00023D70" w:rsidP="00023D70">
      <w:pPr>
        <w:pStyle w:val="ListParagraph"/>
        <w:numPr>
          <w:ilvl w:val="0"/>
          <w:numId w:val="9"/>
        </w:numPr>
        <w:spacing w:before="2" w:after="2"/>
        <w:jc w:val="both"/>
        <w:rPr>
          <w:rFonts w:asciiTheme="majorHAnsi" w:hAnsiTheme="majorHAnsi" w:cstheme="majorHAnsi"/>
          <w:sz w:val="22"/>
          <w:szCs w:val="22"/>
        </w:rPr>
      </w:pPr>
      <w:proofErr w:type="spellStart"/>
      <w:r w:rsidRPr="00754E28">
        <w:rPr>
          <w:rFonts w:asciiTheme="majorHAnsi" w:hAnsiTheme="majorHAnsi" w:cstheme="majorHAnsi"/>
          <w:sz w:val="22"/>
          <w:szCs w:val="22"/>
        </w:rPr>
        <w:t>Lhatoo</w:t>
      </w:r>
      <w:proofErr w:type="spellEnd"/>
      <w:r w:rsidRPr="00754E28">
        <w:rPr>
          <w:rFonts w:asciiTheme="majorHAnsi" w:hAnsiTheme="majorHAnsi" w:cstheme="majorHAnsi"/>
          <w:sz w:val="22"/>
          <w:szCs w:val="22"/>
        </w:rPr>
        <w:t xml:space="preserve"> SD, Johnson AL, </w:t>
      </w:r>
      <w:proofErr w:type="spellStart"/>
      <w:r w:rsidRPr="00754E28">
        <w:rPr>
          <w:rFonts w:asciiTheme="majorHAnsi" w:hAnsiTheme="majorHAnsi" w:cstheme="majorHAnsi"/>
          <w:sz w:val="22"/>
          <w:szCs w:val="22"/>
        </w:rPr>
        <w:t>Goodridge</w:t>
      </w:r>
      <w:proofErr w:type="spellEnd"/>
      <w:r w:rsidRPr="00754E28">
        <w:rPr>
          <w:rFonts w:asciiTheme="majorHAnsi" w:hAnsiTheme="majorHAnsi" w:cstheme="majorHAnsi"/>
          <w:sz w:val="22"/>
          <w:szCs w:val="22"/>
        </w:rPr>
        <w:t xml:space="preserve"> DH et al. Mortality in epilepsy in the first 11–14 years after diagnosis: multivariate analysis of a long-term prospective, population-based cohort. </w:t>
      </w:r>
      <w:r w:rsidRPr="00754E28">
        <w:rPr>
          <w:rFonts w:asciiTheme="majorHAnsi" w:hAnsiTheme="majorHAnsi" w:cstheme="majorHAnsi"/>
          <w:i/>
          <w:sz w:val="22"/>
          <w:szCs w:val="22"/>
        </w:rPr>
        <w:t xml:space="preserve">Ann </w:t>
      </w:r>
      <w:proofErr w:type="spellStart"/>
      <w:r w:rsidRPr="00754E28">
        <w:rPr>
          <w:rFonts w:asciiTheme="majorHAnsi" w:hAnsiTheme="majorHAnsi" w:cstheme="majorHAnsi"/>
          <w:i/>
          <w:sz w:val="22"/>
          <w:szCs w:val="22"/>
        </w:rPr>
        <w:t>Neurol</w:t>
      </w:r>
      <w:proofErr w:type="spellEnd"/>
      <w:r w:rsidRPr="00754E28">
        <w:rPr>
          <w:rFonts w:asciiTheme="majorHAnsi" w:hAnsiTheme="majorHAnsi" w:cstheme="majorHAnsi"/>
          <w:sz w:val="22"/>
          <w:szCs w:val="22"/>
        </w:rPr>
        <w:t xml:space="preserve"> 2001; 49: 336–344.</w:t>
      </w:r>
    </w:p>
    <w:p w:rsidR="00023D70" w:rsidRPr="00754E28" w:rsidRDefault="00023D70" w:rsidP="00023D70">
      <w:pPr>
        <w:pStyle w:val="ListParagraph"/>
        <w:numPr>
          <w:ilvl w:val="0"/>
          <w:numId w:val="9"/>
        </w:numPr>
        <w:jc w:val="both"/>
        <w:rPr>
          <w:rFonts w:asciiTheme="majorHAnsi" w:hAnsiTheme="majorHAnsi" w:cstheme="majorHAnsi"/>
          <w:sz w:val="22"/>
          <w:szCs w:val="22"/>
        </w:rPr>
      </w:pPr>
      <w:r w:rsidRPr="00754E28">
        <w:rPr>
          <w:rFonts w:asciiTheme="majorHAnsi" w:hAnsiTheme="majorHAnsi" w:cstheme="majorHAnsi"/>
          <w:sz w:val="22"/>
          <w:szCs w:val="22"/>
        </w:rPr>
        <w:t xml:space="preserve">Feinstein A.R., The pre-therapeutic classification of co-morbidity in chronic disease. </w:t>
      </w:r>
      <w:r w:rsidRPr="00754E28">
        <w:rPr>
          <w:rFonts w:asciiTheme="majorHAnsi" w:hAnsiTheme="majorHAnsi" w:cstheme="majorHAnsi"/>
          <w:i/>
          <w:sz w:val="22"/>
          <w:szCs w:val="22"/>
        </w:rPr>
        <w:t>J Chronic Dis</w:t>
      </w:r>
      <w:r w:rsidRPr="00754E28">
        <w:rPr>
          <w:rFonts w:asciiTheme="majorHAnsi" w:hAnsiTheme="majorHAnsi" w:cstheme="majorHAnsi"/>
          <w:sz w:val="22"/>
          <w:szCs w:val="22"/>
        </w:rPr>
        <w:t xml:space="preserve"> 1970; 23: 455–468.</w:t>
      </w:r>
    </w:p>
    <w:p w:rsidR="00023D70" w:rsidRPr="00754E28" w:rsidRDefault="00023D70" w:rsidP="00023D70">
      <w:pPr>
        <w:pStyle w:val="ListParagraph"/>
        <w:numPr>
          <w:ilvl w:val="0"/>
          <w:numId w:val="9"/>
        </w:numPr>
        <w:jc w:val="both"/>
        <w:rPr>
          <w:rFonts w:asciiTheme="majorHAnsi" w:hAnsiTheme="majorHAnsi" w:cstheme="majorHAnsi"/>
          <w:sz w:val="22"/>
          <w:szCs w:val="22"/>
        </w:rPr>
      </w:pPr>
      <w:proofErr w:type="spellStart"/>
      <w:r w:rsidRPr="00754E28">
        <w:rPr>
          <w:rFonts w:asciiTheme="majorHAnsi" w:hAnsiTheme="majorHAnsi" w:cstheme="majorHAnsi"/>
          <w:sz w:val="22"/>
          <w:szCs w:val="22"/>
        </w:rPr>
        <w:t>Ferlazzo</w:t>
      </w:r>
      <w:proofErr w:type="spellEnd"/>
      <w:r w:rsidRPr="00754E28">
        <w:rPr>
          <w:rFonts w:asciiTheme="majorHAnsi" w:hAnsiTheme="majorHAnsi" w:cstheme="majorHAnsi"/>
          <w:sz w:val="22"/>
          <w:szCs w:val="22"/>
        </w:rPr>
        <w:t xml:space="preserve"> E, </w:t>
      </w:r>
      <w:proofErr w:type="spellStart"/>
      <w:r w:rsidRPr="00754E28">
        <w:rPr>
          <w:rFonts w:asciiTheme="majorHAnsi" w:hAnsiTheme="majorHAnsi" w:cstheme="majorHAnsi"/>
          <w:sz w:val="22"/>
          <w:szCs w:val="22"/>
        </w:rPr>
        <w:t>Sueri</w:t>
      </w:r>
      <w:proofErr w:type="spellEnd"/>
      <w:r w:rsidRPr="00754E28">
        <w:rPr>
          <w:rFonts w:asciiTheme="majorHAnsi" w:hAnsiTheme="majorHAnsi" w:cstheme="majorHAnsi"/>
          <w:sz w:val="22"/>
          <w:szCs w:val="22"/>
        </w:rPr>
        <w:t xml:space="preserve"> C, </w:t>
      </w:r>
      <w:proofErr w:type="spellStart"/>
      <w:r w:rsidRPr="00754E28">
        <w:rPr>
          <w:rFonts w:asciiTheme="majorHAnsi" w:hAnsiTheme="majorHAnsi" w:cstheme="majorHAnsi"/>
          <w:sz w:val="22"/>
          <w:szCs w:val="22"/>
        </w:rPr>
        <w:t>Gasparin</w:t>
      </w:r>
      <w:proofErr w:type="spellEnd"/>
      <w:r w:rsidRPr="00754E28">
        <w:rPr>
          <w:rFonts w:asciiTheme="majorHAnsi" w:hAnsiTheme="majorHAnsi" w:cstheme="majorHAnsi"/>
          <w:sz w:val="22"/>
          <w:szCs w:val="22"/>
        </w:rPr>
        <w:t xml:space="preserve"> S, et al. Challenges in the pharmacological management of epilepsy and its causes in the elderly. </w:t>
      </w:r>
      <w:r w:rsidRPr="00754E28">
        <w:rPr>
          <w:rFonts w:asciiTheme="majorHAnsi" w:hAnsiTheme="majorHAnsi" w:cstheme="majorHAnsi"/>
          <w:i/>
          <w:sz w:val="22"/>
          <w:szCs w:val="22"/>
        </w:rPr>
        <w:t xml:space="preserve">Pharmacological Research </w:t>
      </w:r>
      <w:r w:rsidRPr="00754E28">
        <w:rPr>
          <w:rFonts w:asciiTheme="majorHAnsi" w:hAnsiTheme="majorHAnsi" w:cstheme="majorHAnsi"/>
          <w:sz w:val="22"/>
          <w:szCs w:val="22"/>
        </w:rPr>
        <w:t>2016; 106: 21–26.</w:t>
      </w:r>
    </w:p>
    <w:p w:rsidR="00023D70" w:rsidRPr="00754E28" w:rsidRDefault="00023D70" w:rsidP="00023D70">
      <w:pPr>
        <w:pStyle w:val="ListParagraph"/>
        <w:numPr>
          <w:ilvl w:val="0"/>
          <w:numId w:val="9"/>
        </w:numPr>
        <w:jc w:val="both"/>
        <w:rPr>
          <w:rFonts w:asciiTheme="majorHAnsi" w:hAnsiTheme="majorHAnsi" w:cstheme="majorHAnsi"/>
          <w:sz w:val="22"/>
          <w:szCs w:val="22"/>
        </w:rPr>
      </w:pPr>
      <w:proofErr w:type="spellStart"/>
      <w:r w:rsidRPr="00754E28">
        <w:rPr>
          <w:rFonts w:asciiTheme="majorHAnsi" w:hAnsiTheme="majorHAnsi" w:cstheme="majorHAnsi"/>
          <w:sz w:val="22"/>
          <w:szCs w:val="22"/>
        </w:rPr>
        <w:t>Beghi</w:t>
      </w:r>
      <w:proofErr w:type="spellEnd"/>
      <w:r w:rsidRPr="00754E28">
        <w:rPr>
          <w:rFonts w:asciiTheme="majorHAnsi" w:hAnsiTheme="majorHAnsi" w:cstheme="majorHAnsi"/>
          <w:sz w:val="22"/>
          <w:szCs w:val="22"/>
        </w:rPr>
        <w:t xml:space="preserve"> E, </w:t>
      </w:r>
      <w:proofErr w:type="spellStart"/>
      <w:r w:rsidRPr="00754E28">
        <w:rPr>
          <w:rFonts w:asciiTheme="majorHAnsi" w:hAnsiTheme="majorHAnsi" w:cstheme="majorHAnsi"/>
          <w:sz w:val="22"/>
          <w:szCs w:val="22"/>
        </w:rPr>
        <w:t>Frigeni</w:t>
      </w:r>
      <w:proofErr w:type="spellEnd"/>
      <w:r w:rsidRPr="00754E28">
        <w:rPr>
          <w:rFonts w:asciiTheme="majorHAnsi" w:hAnsiTheme="majorHAnsi" w:cstheme="majorHAnsi"/>
          <w:sz w:val="22"/>
          <w:szCs w:val="22"/>
        </w:rPr>
        <w:t xml:space="preserve"> B, </w:t>
      </w:r>
      <w:proofErr w:type="spellStart"/>
      <w:r w:rsidRPr="00754E28">
        <w:rPr>
          <w:rFonts w:asciiTheme="majorHAnsi" w:hAnsiTheme="majorHAnsi" w:cstheme="majorHAnsi"/>
          <w:sz w:val="22"/>
          <w:szCs w:val="22"/>
        </w:rPr>
        <w:t>Beghi</w:t>
      </w:r>
      <w:proofErr w:type="spellEnd"/>
      <w:r w:rsidRPr="00754E28">
        <w:rPr>
          <w:rFonts w:asciiTheme="majorHAnsi" w:hAnsiTheme="majorHAnsi" w:cstheme="majorHAnsi"/>
          <w:sz w:val="22"/>
          <w:szCs w:val="22"/>
        </w:rPr>
        <w:t xml:space="preserve"> M, et al. A review of the costs of managing childhood epilepsy. </w:t>
      </w:r>
      <w:proofErr w:type="spellStart"/>
      <w:r w:rsidRPr="00754E28">
        <w:rPr>
          <w:rFonts w:asciiTheme="majorHAnsi" w:hAnsiTheme="majorHAnsi" w:cstheme="majorHAnsi"/>
          <w:i/>
          <w:sz w:val="22"/>
          <w:szCs w:val="22"/>
        </w:rPr>
        <w:t>Pharmacoeconomics</w:t>
      </w:r>
      <w:proofErr w:type="spellEnd"/>
      <w:r w:rsidRPr="00754E28">
        <w:rPr>
          <w:rFonts w:asciiTheme="majorHAnsi" w:hAnsiTheme="majorHAnsi" w:cstheme="majorHAnsi"/>
          <w:sz w:val="22"/>
          <w:szCs w:val="22"/>
        </w:rPr>
        <w:t xml:space="preserve"> 2005; 23: 27–4.</w:t>
      </w:r>
    </w:p>
    <w:p w:rsidR="00023D70" w:rsidRPr="00754E28" w:rsidRDefault="00023D70" w:rsidP="00023D70">
      <w:pPr>
        <w:pStyle w:val="ListParagraph"/>
        <w:numPr>
          <w:ilvl w:val="0"/>
          <w:numId w:val="9"/>
        </w:numPr>
        <w:jc w:val="both"/>
        <w:rPr>
          <w:rFonts w:asciiTheme="majorHAnsi" w:hAnsiTheme="majorHAnsi" w:cstheme="majorHAnsi"/>
          <w:sz w:val="22"/>
          <w:szCs w:val="22"/>
        </w:rPr>
      </w:pPr>
      <w:r w:rsidRPr="00754E28">
        <w:rPr>
          <w:rFonts w:asciiTheme="majorHAnsi" w:hAnsiTheme="majorHAnsi" w:cstheme="majorHAnsi"/>
          <w:sz w:val="22"/>
          <w:szCs w:val="22"/>
        </w:rPr>
        <w:t xml:space="preserve">Gilliam FG, </w:t>
      </w:r>
      <w:proofErr w:type="spellStart"/>
      <w:r w:rsidRPr="00754E28">
        <w:rPr>
          <w:rFonts w:asciiTheme="majorHAnsi" w:hAnsiTheme="majorHAnsi" w:cstheme="majorHAnsi"/>
          <w:sz w:val="22"/>
          <w:szCs w:val="22"/>
        </w:rPr>
        <w:t>Fessler</w:t>
      </w:r>
      <w:proofErr w:type="spellEnd"/>
      <w:r w:rsidRPr="00754E28">
        <w:rPr>
          <w:rFonts w:asciiTheme="majorHAnsi" w:hAnsiTheme="majorHAnsi" w:cstheme="majorHAnsi"/>
          <w:sz w:val="22"/>
          <w:szCs w:val="22"/>
        </w:rPr>
        <w:t xml:space="preserve"> AJ, Baker G, et al. Systematic screening allows reduction of adverse antiepileptic drug effects: a randomized trial. </w:t>
      </w:r>
      <w:r w:rsidRPr="00754E28">
        <w:rPr>
          <w:rFonts w:asciiTheme="majorHAnsi" w:hAnsiTheme="majorHAnsi" w:cstheme="majorHAnsi"/>
          <w:i/>
          <w:sz w:val="22"/>
          <w:szCs w:val="22"/>
        </w:rPr>
        <w:t>Neurology</w:t>
      </w:r>
      <w:r w:rsidRPr="00754E28">
        <w:rPr>
          <w:rFonts w:asciiTheme="majorHAnsi" w:hAnsiTheme="majorHAnsi" w:cstheme="majorHAnsi"/>
          <w:sz w:val="22"/>
          <w:szCs w:val="22"/>
        </w:rPr>
        <w:t xml:space="preserve"> 2004; 62:23–27.</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Baker GA, Jacoby A, Buck D, Brooks J, Potts P, Chadwick DW. The quality of life of older people with epilepsy: findings from a UK community study. </w:t>
      </w:r>
      <w:r w:rsidRPr="00754E28">
        <w:rPr>
          <w:rFonts w:asciiTheme="majorHAnsi" w:hAnsiTheme="majorHAnsi" w:cstheme="majorHAnsi"/>
          <w:i/>
          <w:iCs/>
          <w:sz w:val="22"/>
          <w:szCs w:val="22"/>
        </w:rPr>
        <w:t xml:space="preserve">Seizure </w:t>
      </w:r>
      <w:r w:rsidRPr="00754E28">
        <w:rPr>
          <w:rFonts w:asciiTheme="majorHAnsi" w:hAnsiTheme="majorHAnsi" w:cstheme="majorHAnsi"/>
          <w:sz w:val="22"/>
          <w:szCs w:val="22"/>
        </w:rPr>
        <w:t xml:space="preserve">2001; </w:t>
      </w:r>
      <w:r w:rsidRPr="00754E28">
        <w:rPr>
          <w:rFonts w:asciiTheme="majorHAnsi" w:hAnsiTheme="majorHAnsi" w:cstheme="majorHAnsi"/>
          <w:bCs/>
          <w:sz w:val="22"/>
          <w:szCs w:val="22"/>
        </w:rPr>
        <w:t xml:space="preserve">10: </w:t>
      </w:r>
      <w:r w:rsidRPr="00754E28">
        <w:rPr>
          <w:rFonts w:asciiTheme="majorHAnsi" w:hAnsiTheme="majorHAnsi" w:cstheme="majorHAnsi"/>
          <w:sz w:val="22"/>
          <w:szCs w:val="22"/>
        </w:rPr>
        <w:t xml:space="preserve">92–99. </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Martin R, </w:t>
      </w:r>
      <w:proofErr w:type="spellStart"/>
      <w:r w:rsidRPr="00754E28">
        <w:rPr>
          <w:rFonts w:asciiTheme="majorHAnsi" w:hAnsiTheme="majorHAnsi" w:cstheme="majorHAnsi"/>
          <w:sz w:val="22"/>
          <w:szCs w:val="22"/>
        </w:rPr>
        <w:t>Vogtle</w:t>
      </w:r>
      <w:proofErr w:type="spellEnd"/>
      <w:r w:rsidRPr="00754E28">
        <w:rPr>
          <w:rFonts w:asciiTheme="majorHAnsi" w:hAnsiTheme="majorHAnsi" w:cstheme="majorHAnsi"/>
          <w:sz w:val="22"/>
          <w:szCs w:val="22"/>
        </w:rPr>
        <w:t xml:space="preserve"> L, Gilliam F, </w:t>
      </w:r>
      <w:proofErr w:type="spellStart"/>
      <w:r w:rsidRPr="00754E28">
        <w:rPr>
          <w:rFonts w:asciiTheme="majorHAnsi" w:hAnsiTheme="majorHAnsi" w:cstheme="majorHAnsi"/>
          <w:sz w:val="22"/>
          <w:szCs w:val="22"/>
        </w:rPr>
        <w:t>Faught</w:t>
      </w:r>
      <w:proofErr w:type="spellEnd"/>
      <w:r w:rsidRPr="00754E28">
        <w:rPr>
          <w:rFonts w:asciiTheme="majorHAnsi" w:hAnsiTheme="majorHAnsi" w:cstheme="majorHAnsi"/>
          <w:sz w:val="22"/>
          <w:szCs w:val="22"/>
        </w:rPr>
        <w:t xml:space="preserve"> E. Health-related quality of life in senior adults with epilepsy: what we know from randomized clinical trials and suggestions for future research. </w:t>
      </w:r>
      <w:r w:rsidRPr="00754E28">
        <w:rPr>
          <w:rFonts w:asciiTheme="majorHAnsi" w:hAnsiTheme="majorHAnsi" w:cstheme="majorHAnsi"/>
          <w:i/>
          <w:iCs/>
          <w:sz w:val="22"/>
          <w:szCs w:val="22"/>
        </w:rPr>
        <w:t xml:space="preserve">Epilepsy </w:t>
      </w:r>
      <w:proofErr w:type="spellStart"/>
      <w:r w:rsidRPr="00754E28">
        <w:rPr>
          <w:rFonts w:asciiTheme="majorHAnsi" w:hAnsiTheme="majorHAnsi" w:cstheme="majorHAnsi"/>
          <w:i/>
          <w:iCs/>
          <w:sz w:val="22"/>
          <w:szCs w:val="22"/>
        </w:rPr>
        <w:t>Behav</w:t>
      </w:r>
      <w:proofErr w:type="spellEnd"/>
      <w:r w:rsidRPr="00754E28">
        <w:rPr>
          <w:rFonts w:asciiTheme="majorHAnsi" w:hAnsiTheme="majorHAnsi" w:cstheme="majorHAnsi"/>
          <w:i/>
          <w:iCs/>
          <w:sz w:val="22"/>
          <w:szCs w:val="22"/>
        </w:rPr>
        <w:t xml:space="preserve"> </w:t>
      </w:r>
      <w:r w:rsidRPr="00754E28">
        <w:rPr>
          <w:rFonts w:asciiTheme="majorHAnsi" w:hAnsiTheme="majorHAnsi" w:cstheme="majorHAnsi"/>
          <w:sz w:val="22"/>
          <w:szCs w:val="22"/>
        </w:rPr>
        <w:t xml:space="preserve">2003; </w:t>
      </w:r>
      <w:r w:rsidRPr="00754E28">
        <w:rPr>
          <w:rFonts w:asciiTheme="majorHAnsi" w:hAnsiTheme="majorHAnsi" w:cstheme="majorHAnsi"/>
          <w:bCs/>
          <w:sz w:val="22"/>
          <w:szCs w:val="22"/>
        </w:rPr>
        <w:t xml:space="preserve">4: </w:t>
      </w:r>
      <w:r w:rsidRPr="00754E28">
        <w:rPr>
          <w:rFonts w:asciiTheme="majorHAnsi" w:hAnsiTheme="majorHAnsi" w:cstheme="majorHAnsi"/>
          <w:sz w:val="22"/>
          <w:szCs w:val="22"/>
        </w:rPr>
        <w:t>626–34.</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McLaughlin DP, </w:t>
      </w:r>
      <w:proofErr w:type="spellStart"/>
      <w:r w:rsidRPr="00754E28">
        <w:rPr>
          <w:rFonts w:asciiTheme="majorHAnsi" w:hAnsiTheme="majorHAnsi" w:cstheme="majorHAnsi"/>
          <w:sz w:val="22"/>
          <w:szCs w:val="22"/>
        </w:rPr>
        <w:t>Pachana</w:t>
      </w:r>
      <w:proofErr w:type="spellEnd"/>
      <w:r w:rsidRPr="00754E28">
        <w:rPr>
          <w:rFonts w:asciiTheme="majorHAnsi" w:hAnsiTheme="majorHAnsi" w:cstheme="majorHAnsi"/>
          <w:sz w:val="22"/>
          <w:szCs w:val="22"/>
        </w:rPr>
        <w:t xml:space="preserve"> NA, McFarland K. Stigma, seizure frequency and quality of life: the impact of epilepsy in late adulthood. </w:t>
      </w:r>
      <w:r w:rsidRPr="00754E28">
        <w:rPr>
          <w:rFonts w:asciiTheme="majorHAnsi" w:hAnsiTheme="majorHAnsi" w:cstheme="majorHAnsi"/>
          <w:i/>
          <w:iCs/>
          <w:sz w:val="22"/>
          <w:szCs w:val="22"/>
        </w:rPr>
        <w:t xml:space="preserve">Seizure </w:t>
      </w:r>
      <w:r w:rsidRPr="00754E28">
        <w:rPr>
          <w:rFonts w:asciiTheme="majorHAnsi" w:hAnsiTheme="majorHAnsi" w:cstheme="majorHAnsi"/>
          <w:sz w:val="22"/>
          <w:szCs w:val="22"/>
        </w:rPr>
        <w:t xml:space="preserve">2008; </w:t>
      </w:r>
      <w:r w:rsidRPr="00754E28">
        <w:rPr>
          <w:rFonts w:asciiTheme="majorHAnsi" w:hAnsiTheme="majorHAnsi" w:cstheme="majorHAnsi"/>
          <w:bCs/>
          <w:sz w:val="22"/>
          <w:szCs w:val="22"/>
        </w:rPr>
        <w:t xml:space="preserve">17: </w:t>
      </w:r>
      <w:r w:rsidRPr="00754E28">
        <w:rPr>
          <w:rFonts w:asciiTheme="majorHAnsi" w:hAnsiTheme="majorHAnsi" w:cstheme="majorHAnsi"/>
          <w:sz w:val="22"/>
          <w:szCs w:val="22"/>
        </w:rPr>
        <w:t>281–87.</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Haut S, Katz M, </w:t>
      </w:r>
      <w:proofErr w:type="spellStart"/>
      <w:r w:rsidRPr="00754E28">
        <w:rPr>
          <w:rFonts w:asciiTheme="majorHAnsi" w:hAnsiTheme="majorHAnsi" w:cstheme="majorHAnsi"/>
          <w:sz w:val="22"/>
          <w:szCs w:val="22"/>
        </w:rPr>
        <w:t>Majur</w:t>
      </w:r>
      <w:proofErr w:type="spellEnd"/>
      <w:r w:rsidRPr="00754E28">
        <w:rPr>
          <w:rFonts w:asciiTheme="majorHAnsi" w:hAnsiTheme="majorHAnsi" w:cstheme="majorHAnsi"/>
          <w:sz w:val="22"/>
          <w:szCs w:val="22"/>
        </w:rPr>
        <w:t xml:space="preserve"> J, Lipton RB. Seizures in the elderly: impact on mental status, mood and sleep. </w:t>
      </w:r>
      <w:r w:rsidRPr="00754E28">
        <w:rPr>
          <w:rFonts w:asciiTheme="majorHAnsi" w:hAnsiTheme="majorHAnsi" w:cstheme="majorHAnsi"/>
          <w:i/>
          <w:iCs/>
          <w:sz w:val="22"/>
          <w:szCs w:val="22"/>
        </w:rPr>
        <w:t xml:space="preserve">Epilepsy </w:t>
      </w:r>
      <w:proofErr w:type="spellStart"/>
      <w:r w:rsidRPr="00754E28">
        <w:rPr>
          <w:rFonts w:asciiTheme="majorHAnsi" w:hAnsiTheme="majorHAnsi" w:cstheme="majorHAnsi"/>
          <w:i/>
          <w:iCs/>
          <w:sz w:val="22"/>
          <w:szCs w:val="22"/>
        </w:rPr>
        <w:t>Behav</w:t>
      </w:r>
      <w:proofErr w:type="spellEnd"/>
      <w:r w:rsidRPr="00754E28">
        <w:rPr>
          <w:rFonts w:asciiTheme="majorHAnsi" w:hAnsiTheme="majorHAnsi" w:cstheme="majorHAnsi"/>
          <w:i/>
          <w:iCs/>
          <w:sz w:val="22"/>
          <w:szCs w:val="22"/>
        </w:rPr>
        <w:t xml:space="preserve"> </w:t>
      </w:r>
      <w:r w:rsidRPr="00754E28">
        <w:rPr>
          <w:rFonts w:asciiTheme="majorHAnsi" w:hAnsiTheme="majorHAnsi" w:cstheme="majorHAnsi"/>
          <w:sz w:val="22"/>
          <w:szCs w:val="22"/>
        </w:rPr>
        <w:t xml:space="preserve">2009; </w:t>
      </w:r>
      <w:r w:rsidRPr="00754E28">
        <w:rPr>
          <w:rFonts w:asciiTheme="majorHAnsi" w:hAnsiTheme="majorHAnsi" w:cstheme="majorHAnsi"/>
          <w:bCs/>
          <w:sz w:val="22"/>
          <w:szCs w:val="22"/>
        </w:rPr>
        <w:t xml:space="preserve">14: </w:t>
      </w:r>
      <w:r w:rsidRPr="00754E28">
        <w:rPr>
          <w:rFonts w:asciiTheme="majorHAnsi" w:hAnsiTheme="majorHAnsi" w:cstheme="majorHAnsi"/>
          <w:sz w:val="22"/>
          <w:szCs w:val="22"/>
        </w:rPr>
        <w:t xml:space="preserve">540–44. </w:t>
      </w:r>
      <w:r w:rsidRPr="00754E28">
        <w:rPr>
          <w:rFonts w:asciiTheme="majorHAnsi" w:hAnsiTheme="majorHAnsi" w:cstheme="majorHAnsi"/>
          <w:sz w:val="22"/>
          <w:szCs w:val="22"/>
        </w:rPr>
        <w:tab/>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proofErr w:type="spellStart"/>
      <w:r w:rsidRPr="00754E28">
        <w:rPr>
          <w:rFonts w:asciiTheme="majorHAnsi" w:hAnsiTheme="majorHAnsi" w:cstheme="majorHAnsi"/>
          <w:sz w:val="22"/>
          <w:szCs w:val="22"/>
        </w:rPr>
        <w:t>Laccheo</w:t>
      </w:r>
      <w:proofErr w:type="spellEnd"/>
      <w:r w:rsidRPr="00754E28">
        <w:rPr>
          <w:rFonts w:asciiTheme="majorHAnsi" w:hAnsiTheme="majorHAnsi" w:cstheme="majorHAnsi"/>
          <w:sz w:val="22"/>
          <w:szCs w:val="22"/>
        </w:rPr>
        <w:t xml:space="preserve"> I, </w:t>
      </w:r>
      <w:proofErr w:type="spellStart"/>
      <w:r w:rsidRPr="00754E28">
        <w:rPr>
          <w:rFonts w:asciiTheme="majorHAnsi" w:hAnsiTheme="majorHAnsi" w:cstheme="majorHAnsi"/>
          <w:sz w:val="22"/>
          <w:szCs w:val="22"/>
        </w:rPr>
        <w:t>Ablah</w:t>
      </w:r>
      <w:proofErr w:type="spellEnd"/>
      <w:r w:rsidRPr="00754E28">
        <w:rPr>
          <w:rFonts w:asciiTheme="majorHAnsi" w:hAnsiTheme="majorHAnsi" w:cstheme="majorHAnsi"/>
          <w:sz w:val="22"/>
          <w:szCs w:val="22"/>
        </w:rPr>
        <w:t xml:space="preserve"> E, </w:t>
      </w:r>
      <w:proofErr w:type="spellStart"/>
      <w:r w:rsidRPr="00754E28">
        <w:rPr>
          <w:rFonts w:asciiTheme="majorHAnsi" w:hAnsiTheme="majorHAnsi" w:cstheme="majorHAnsi"/>
          <w:sz w:val="22"/>
          <w:szCs w:val="22"/>
        </w:rPr>
        <w:t>Heinrichs</w:t>
      </w:r>
      <w:proofErr w:type="spellEnd"/>
      <w:r w:rsidRPr="00754E28">
        <w:rPr>
          <w:rFonts w:asciiTheme="majorHAnsi" w:hAnsiTheme="majorHAnsi" w:cstheme="majorHAnsi"/>
          <w:sz w:val="22"/>
          <w:szCs w:val="22"/>
        </w:rPr>
        <w:t xml:space="preserve"> R, Sadler T, Baade L, How K. Assessment of quality of life among the elderly with epilepsy. </w:t>
      </w:r>
      <w:r w:rsidRPr="00754E28">
        <w:rPr>
          <w:rFonts w:asciiTheme="majorHAnsi" w:hAnsiTheme="majorHAnsi" w:cstheme="majorHAnsi"/>
          <w:i/>
          <w:iCs/>
          <w:sz w:val="22"/>
          <w:szCs w:val="22"/>
        </w:rPr>
        <w:t xml:space="preserve">Epilepsy </w:t>
      </w:r>
      <w:proofErr w:type="spellStart"/>
      <w:r w:rsidRPr="00754E28">
        <w:rPr>
          <w:rFonts w:asciiTheme="majorHAnsi" w:hAnsiTheme="majorHAnsi" w:cstheme="majorHAnsi"/>
          <w:i/>
          <w:iCs/>
          <w:sz w:val="22"/>
          <w:szCs w:val="22"/>
        </w:rPr>
        <w:t>Behav</w:t>
      </w:r>
      <w:proofErr w:type="spellEnd"/>
      <w:r w:rsidRPr="00754E28">
        <w:rPr>
          <w:rFonts w:asciiTheme="majorHAnsi" w:hAnsiTheme="majorHAnsi" w:cstheme="majorHAnsi"/>
          <w:i/>
          <w:iCs/>
          <w:sz w:val="22"/>
          <w:szCs w:val="22"/>
        </w:rPr>
        <w:t xml:space="preserve"> </w:t>
      </w:r>
      <w:r w:rsidRPr="00754E28">
        <w:rPr>
          <w:rFonts w:asciiTheme="majorHAnsi" w:hAnsiTheme="majorHAnsi" w:cstheme="majorHAnsi"/>
          <w:sz w:val="22"/>
          <w:szCs w:val="22"/>
        </w:rPr>
        <w:t xml:space="preserve">2008; </w:t>
      </w:r>
      <w:r w:rsidRPr="00754E28">
        <w:rPr>
          <w:rFonts w:asciiTheme="majorHAnsi" w:hAnsiTheme="majorHAnsi" w:cstheme="majorHAnsi"/>
          <w:bCs/>
          <w:sz w:val="22"/>
          <w:szCs w:val="22"/>
        </w:rPr>
        <w:t xml:space="preserve">12: </w:t>
      </w:r>
      <w:r w:rsidRPr="00754E28">
        <w:rPr>
          <w:rFonts w:asciiTheme="majorHAnsi" w:hAnsiTheme="majorHAnsi" w:cstheme="majorHAnsi"/>
          <w:sz w:val="22"/>
          <w:szCs w:val="22"/>
        </w:rPr>
        <w:t>257–64.</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Dixon PA, Kirkham JJ, </w:t>
      </w:r>
      <w:proofErr w:type="spellStart"/>
      <w:r w:rsidRPr="00754E28">
        <w:rPr>
          <w:rFonts w:asciiTheme="majorHAnsi" w:hAnsiTheme="majorHAnsi" w:cstheme="majorHAnsi"/>
          <w:sz w:val="22"/>
          <w:szCs w:val="22"/>
        </w:rPr>
        <w:t>Marson</w:t>
      </w:r>
      <w:proofErr w:type="spellEnd"/>
      <w:r w:rsidRPr="00754E28">
        <w:rPr>
          <w:rFonts w:asciiTheme="majorHAnsi" w:hAnsiTheme="majorHAnsi" w:cstheme="majorHAnsi"/>
          <w:sz w:val="22"/>
          <w:szCs w:val="22"/>
        </w:rPr>
        <w:t xml:space="preserve"> AG, Pearson MG. National Audit of Seizure management in Hospitals (NASH): results of the national audit of adult epilepsy in the UK. </w:t>
      </w:r>
      <w:r w:rsidRPr="00754E28">
        <w:rPr>
          <w:rFonts w:asciiTheme="majorHAnsi" w:hAnsiTheme="majorHAnsi" w:cstheme="majorHAnsi"/>
          <w:i/>
          <w:sz w:val="22"/>
          <w:szCs w:val="22"/>
        </w:rPr>
        <w:t>BMJ Open</w:t>
      </w:r>
      <w:r w:rsidRPr="00754E28">
        <w:rPr>
          <w:rFonts w:asciiTheme="majorHAnsi" w:hAnsiTheme="majorHAnsi" w:cstheme="majorHAnsi"/>
          <w:sz w:val="22"/>
          <w:szCs w:val="22"/>
        </w:rPr>
        <w:t xml:space="preserve"> 2015; 5: e007325.</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National Institute for Health and Clinical Excellence. Epilepsies: Diagnosis and management. NICE Clinical Guideline 137. London. National Institute for Health and Clinical Excellence. 2012.</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Diagnosis and management of epilepsy in adults: A national clinical guidelines Scottish Intercollegiate Guidelines Network Royal College of Physicians of Edinburgh, 2003.</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Stephen LJ. Drug treatment of epilepsy in elderly people: focus on </w:t>
      </w:r>
      <w:proofErr w:type="spellStart"/>
      <w:r w:rsidRPr="00754E28">
        <w:rPr>
          <w:rFonts w:asciiTheme="majorHAnsi" w:hAnsiTheme="majorHAnsi" w:cstheme="majorHAnsi"/>
          <w:sz w:val="22"/>
          <w:szCs w:val="22"/>
        </w:rPr>
        <w:t>valproic</w:t>
      </w:r>
      <w:proofErr w:type="spellEnd"/>
      <w:r w:rsidRPr="00754E28">
        <w:rPr>
          <w:rFonts w:asciiTheme="majorHAnsi" w:hAnsiTheme="majorHAnsi" w:cstheme="majorHAnsi"/>
          <w:sz w:val="22"/>
          <w:szCs w:val="22"/>
        </w:rPr>
        <w:t xml:space="preserve"> acid. </w:t>
      </w:r>
      <w:r w:rsidRPr="00754E28">
        <w:rPr>
          <w:rFonts w:asciiTheme="majorHAnsi" w:hAnsiTheme="majorHAnsi" w:cstheme="majorHAnsi"/>
          <w:i/>
          <w:sz w:val="22"/>
          <w:szCs w:val="22"/>
        </w:rPr>
        <w:t>Drugs Aging</w:t>
      </w:r>
      <w:r w:rsidRPr="00754E28">
        <w:rPr>
          <w:rFonts w:asciiTheme="majorHAnsi" w:hAnsiTheme="majorHAnsi" w:cstheme="majorHAnsi"/>
          <w:sz w:val="22"/>
          <w:szCs w:val="22"/>
        </w:rPr>
        <w:t xml:space="preserve"> 2003; 20: 141–52.</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proofErr w:type="spellStart"/>
      <w:r w:rsidRPr="00754E28">
        <w:rPr>
          <w:rFonts w:asciiTheme="majorHAnsi" w:hAnsiTheme="majorHAnsi" w:cstheme="majorHAnsi"/>
          <w:sz w:val="22"/>
          <w:szCs w:val="22"/>
        </w:rPr>
        <w:lastRenderedPageBreak/>
        <w:t>Perucca</w:t>
      </w:r>
      <w:proofErr w:type="spellEnd"/>
      <w:r w:rsidRPr="00754E28">
        <w:rPr>
          <w:rFonts w:asciiTheme="majorHAnsi" w:hAnsiTheme="majorHAnsi" w:cstheme="majorHAnsi"/>
          <w:sz w:val="22"/>
          <w:szCs w:val="22"/>
        </w:rPr>
        <w:t xml:space="preserve"> E, </w:t>
      </w:r>
      <w:proofErr w:type="spellStart"/>
      <w:r w:rsidRPr="00754E28">
        <w:rPr>
          <w:rFonts w:asciiTheme="majorHAnsi" w:hAnsiTheme="majorHAnsi" w:cstheme="majorHAnsi"/>
          <w:sz w:val="22"/>
          <w:szCs w:val="22"/>
        </w:rPr>
        <w:t>Aldenkamp</w:t>
      </w:r>
      <w:proofErr w:type="spellEnd"/>
      <w:r w:rsidRPr="00754E28">
        <w:rPr>
          <w:rFonts w:asciiTheme="majorHAnsi" w:hAnsiTheme="majorHAnsi" w:cstheme="majorHAnsi"/>
          <w:sz w:val="22"/>
          <w:szCs w:val="22"/>
        </w:rPr>
        <w:t xml:space="preserve"> A, </w:t>
      </w:r>
      <w:proofErr w:type="spellStart"/>
      <w:r w:rsidRPr="00754E28">
        <w:rPr>
          <w:rFonts w:asciiTheme="majorHAnsi" w:hAnsiTheme="majorHAnsi" w:cstheme="majorHAnsi"/>
          <w:sz w:val="22"/>
          <w:szCs w:val="22"/>
        </w:rPr>
        <w:t>Tallis</w:t>
      </w:r>
      <w:proofErr w:type="spellEnd"/>
      <w:r w:rsidRPr="00754E28">
        <w:rPr>
          <w:rFonts w:asciiTheme="majorHAnsi" w:hAnsiTheme="majorHAnsi" w:cstheme="majorHAnsi"/>
          <w:sz w:val="22"/>
          <w:szCs w:val="22"/>
        </w:rPr>
        <w:t xml:space="preserve"> R, Kramer G. Role of valproate across the ages. Treatment of epilepsy in the elderly. </w:t>
      </w:r>
      <w:proofErr w:type="spellStart"/>
      <w:r w:rsidRPr="00754E28">
        <w:rPr>
          <w:rFonts w:asciiTheme="majorHAnsi" w:hAnsiTheme="majorHAnsi" w:cstheme="majorHAnsi"/>
          <w:i/>
          <w:sz w:val="22"/>
          <w:szCs w:val="22"/>
        </w:rPr>
        <w:t>Acta</w:t>
      </w:r>
      <w:proofErr w:type="spellEnd"/>
      <w:r w:rsidRPr="00754E28">
        <w:rPr>
          <w:rFonts w:asciiTheme="majorHAnsi" w:hAnsiTheme="majorHAnsi" w:cstheme="majorHAnsi"/>
          <w:i/>
          <w:sz w:val="22"/>
          <w:szCs w:val="22"/>
        </w:rPr>
        <w:t xml:space="preserve"> </w:t>
      </w:r>
      <w:proofErr w:type="spellStart"/>
      <w:r w:rsidRPr="00754E28">
        <w:rPr>
          <w:rFonts w:asciiTheme="majorHAnsi" w:hAnsiTheme="majorHAnsi" w:cstheme="majorHAnsi"/>
          <w:i/>
          <w:sz w:val="22"/>
          <w:szCs w:val="22"/>
        </w:rPr>
        <w:t>Neurol</w:t>
      </w:r>
      <w:proofErr w:type="spellEnd"/>
      <w:r w:rsidRPr="00754E28">
        <w:rPr>
          <w:rFonts w:asciiTheme="majorHAnsi" w:hAnsiTheme="majorHAnsi" w:cstheme="majorHAnsi"/>
          <w:i/>
          <w:sz w:val="22"/>
          <w:szCs w:val="22"/>
        </w:rPr>
        <w:t xml:space="preserve"> </w:t>
      </w:r>
      <w:proofErr w:type="spellStart"/>
      <w:r w:rsidRPr="00754E28">
        <w:rPr>
          <w:rFonts w:asciiTheme="majorHAnsi" w:hAnsiTheme="majorHAnsi" w:cstheme="majorHAnsi"/>
          <w:i/>
          <w:sz w:val="22"/>
          <w:szCs w:val="22"/>
        </w:rPr>
        <w:t>Scand</w:t>
      </w:r>
      <w:proofErr w:type="spellEnd"/>
      <w:r w:rsidRPr="00754E28">
        <w:rPr>
          <w:rFonts w:asciiTheme="majorHAnsi" w:hAnsiTheme="majorHAnsi" w:cstheme="majorHAnsi"/>
          <w:i/>
          <w:sz w:val="22"/>
          <w:szCs w:val="22"/>
        </w:rPr>
        <w:t xml:space="preserve"> </w:t>
      </w:r>
      <w:proofErr w:type="spellStart"/>
      <w:r w:rsidRPr="00754E28">
        <w:rPr>
          <w:rFonts w:asciiTheme="majorHAnsi" w:hAnsiTheme="majorHAnsi" w:cstheme="majorHAnsi"/>
          <w:i/>
          <w:sz w:val="22"/>
          <w:szCs w:val="22"/>
        </w:rPr>
        <w:t>Suppl</w:t>
      </w:r>
      <w:proofErr w:type="spellEnd"/>
      <w:r w:rsidRPr="00754E28">
        <w:rPr>
          <w:rFonts w:asciiTheme="majorHAnsi" w:hAnsiTheme="majorHAnsi" w:cstheme="majorHAnsi"/>
          <w:i/>
          <w:sz w:val="22"/>
          <w:szCs w:val="22"/>
        </w:rPr>
        <w:t xml:space="preserve"> </w:t>
      </w:r>
      <w:r w:rsidRPr="00754E28">
        <w:rPr>
          <w:rFonts w:asciiTheme="majorHAnsi" w:hAnsiTheme="majorHAnsi" w:cstheme="majorHAnsi"/>
          <w:sz w:val="22"/>
          <w:szCs w:val="22"/>
        </w:rPr>
        <w:t>2006; 184: 28–37.</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Huber DP, </w:t>
      </w:r>
      <w:proofErr w:type="spellStart"/>
      <w:r w:rsidRPr="00754E28">
        <w:rPr>
          <w:rFonts w:asciiTheme="majorHAnsi" w:hAnsiTheme="majorHAnsi" w:cstheme="majorHAnsi"/>
          <w:sz w:val="22"/>
          <w:szCs w:val="22"/>
        </w:rPr>
        <w:t>Griener</w:t>
      </w:r>
      <w:proofErr w:type="spellEnd"/>
      <w:r w:rsidRPr="00754E28">
        <w:rPr>
          <w:rFonts w:asciiTheme="majorHAnsi" w:hAnsiTheme="majorHAnsi" w:cstheme="majorHAnsi"/>
          <w:sz w:val="22"/>
          <w:szCs w:val="22"/>
        </w:rPr>
        <w:t xml:space="preserve"> R, </w:t>
      </w:r>
      <w:proofErr w:type="spellStart"/>
      <w:r w:rsidRPr="00754E28">
        <w:rPr>
          <w:rFonts w:asciiTheme="majorHAnsi" w:hAnsiTheme="majorHAnsi" w:cstheme="majorHAnsi"/>
          <w:sz w:val="22"/>
          <w:szCs w:val="22"/>
        </w:rPr>
        <w:t>Trinka</w:t>
      </w:r>
      <w:proofErr w:type="spellEnd"/>
      <w:r w:rsidRPr="00754E28">
        <w:rPr>
          <w:rFonts w:asciiTheme="majorHAnsi" w:hAnsiTheme="majorHAnsi" w:cstheme="majorHAnsi"/>
          <w:sz w:val="22"/>
          <w:szCs w:val="22"/>
        </w:rPr>
        <w:t xml:space="preserve"> E. Antiepileptic drug use in Austrian nursing home residents. </w:t>
      </w:r>
      <w:r w:rsidRPr="00754E28">
        <w:rPr>
          <w:rFonts w:asciiTheme="majorHAnsi" w:hAnsiTheme="majorHAnsi" w:cstheme="majorHAnsi"/>
          <w:i/>
          <w:sz w:val="22"/>
          <w:szCs w:val="22"/>
        </w:rPr>
        <w:t>Seizure</w:t>
      </w:r>
      <w:r w:rsidRPr="00754E28">
        <w:rPr>
          <w:rFonts w:asciiTheme="majorHAnsi" w:hAnsiTheme="majorHAnsi" w:cstheme="majorHAnsi"/>
          <w:sz w:val="22"/>
          <w:szCs w:val="22"/>
        </w:rPr>
        <w:t xml:space="preserve"> 2013; 22: 24–7.</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proofErr w:type="spellStart"/>
      <w:r w:rsidRPr="00754E28">
        <w:rPr>
          <w:rFonts w:asciiTheme="majorHAnsi" w:hAnsiTheme="majorHAnsi" w:cstheme="majorHAnsi"/>
          <w:sz w:val="22"/>
          <w:szCs w:val="22"/>
        </w:rPr>
        <w:t>Arain</w:t>
      </w:r>
      <w:proofErr w:type="spellEnd"/>
      <w:r w:rsidRPr="00754E28">
        <w:rPr>
          <w:rFonts w:asciiTheme="majorHAnsi" w:hAnsiTheme="majorHAnsi" w:cstheme="majorHAnsi"/>
          <w:sz w:val="22"/>
          <w:szCs w:val="22"/>
        </w:rPr>
        <w:t xml:space="preserve"> AM, </w:t>
      </w:r>
      <w:proofErr w:type="spellStart"/>
      <w:r w:rsidRPr="00754E28">
        <w:rPr>
          <w:rFonts w:asciiTheme="majorHAnsi" w:hAnsiTheme="majorHAnsi" w:cstheme="majorHAnsi"/>
          <w:sz w:val="22"/>
          <w:szCs w:val="22"/>
        </w:rPr>
        <w:t>Abou</w:t>
      </w:r>
      <w:proofErr w:type="spellEnd"/>
      <w:r w:rsidRPr="00754E28">
        <w:rPr>
          <w:rFonts w:asciiTheme="majorHAnsi" w:hAnsiTheme="majorHAnsi" w:cstheme="majorHAnsi"/>
          <w:sz w:val="22"/>
          <w:szCs w:val="22"/>
        </w:rPr>
        <w:t xml:space="preserve">-Khalil BW. Management of new-onset epilepsy in the elderly. </w:t>
      </w:r>
      <w:r w:rsidRPr="00754E28">
        <w:rPr>
          <w:rFonts w:asciiTheme="majorHAnsi" w:hAnsiTheme="majorHAnsi" w:cstheme="majorHAnsi"/>
          <w:i/>
          <w:sz w:val="22"/>
          <w:szCs w:val="22"/>
        </w:rPr>
        <w:t xml:space="preserve">Nat Rev </w:t>
      </w:r>
      <w:proofErr w:type="spellStart"/>
      <w:r w:rsidRPr="00754E28">
        <w:rPr>
          <w:rFonts w:asciiTheme="majorHAnsi" w:hAnsiTheme="majorHAnsi" w:cstheme="majorHAnsi"/>
          <w:i/>
          <w:sz w:val="22"/>
          <w:szCs w:val="22"/>
        </w:rPr>
        <w:t>Neurol</w:t>
      </w:r>
      <w:proofErr w:type="spellEnd"/>
      <w:r w:rsidRPr="00754E28">
        <w:rPr>
          <w:rFonts w:asciiTheme="majorHAnsi" w:hAnsiTheme="majorHAnsi" w:cstheme="majorHAnsi"/>
          <w:i/>
          <w:sz w:val="22"/>
          <w:szCs w:val="22"/>
        </w:rPr>
        <w:t xml:space="preserve"> </w:t>
      </w:r>
      <w:r w:rsidRPr="00754E28">
        <w:rPr>
          <w:rFonts w:asciiTheme="majorHAnsi" w:hAnsiTheme="majorHAnsi" w:cstheme="majorHAnsi"/>
          <w:sz w:val="22"/>
          <w:szCs w:val="22"/>
        </w:rPr>
        <w:t>2009; 5: 363–71.</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Rowan AJ, et al. New onset geriatric epilepsy: a randomized study of gabapentin, </w:t>
      </w:r>
      <w:proofErr w:type="spellStart"/>
      <w:r w:rsidRPr="00754E28">
        <w:rPr>
          <w:rFonts w:asciiTheme="majorHAnsi" w:hAnsiTheme="majorHAnsi" w:cstheme="majorHAnsi"/>
          <w:sz w:val="22"/>
          <w:szCs w:val="22"/>
        </w:rPr>
        <w:t>lamotrigine</w:t>
      </w:r>
      <w:proofErr w:type="spellEnd"/>
      <w:r w:rsidRPr="00754E28">
        <w:rPr>
          <w:rFonts w:asciiTheme="majorHAnsi" w:hAnsiTheme="majorHAnsi" w:cstheme="majorHAnsi"/>
          <w:sz w:val="22"/>
          <w:szCs w:val="22"/>
        </w:rPr>
        <w:t xml:space="preserve">, and carbamazepine. </w:t>
      </w:r>
      <w:r w:rsidRPr="00754E28">
        <w:rPr>
          <w:rFonts w:asciiTheme="majorHAnsi" w:hAnsiTheme="majorHAnsi" w:cstheme="majorHAnsi"/>
          <w:i/>
          <w:sz w:val="22"/>
          <w:szCs w:val="22"/>
        </w:rPr>
        <w:t>Neurology</w:t>
      </w:r>
      <w:r w:rsidRPr="00754E28">
        <w:rPr>
          <w:rFonts w:asciiTheme="majorHAnsi" w:hAnsiTheme="majorHAnsi" w:cstheme="majorHAnsi"/>
          <w:sz w:val="22"/>
          <w:szCs w:val="22"/>
        </w:rPr>
        <w:t xml:space="preserve"> 2005; 64:1868–1873.</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proofErr w:type="spellStart"/>
      <w:r w:rsidRPr="00754E28">
        <w:rPr>
          <w:rFonts w:asciiTheme="majorHAnsi" w:hAnsiTheme="majorHAnsi" w:cstheme="majorHAnsi"/>
          <w:sz w:val="22"/>
          <w:szCs w:val="22"/>
        </w:rPr>
        <w:t>Marson</w:t>
      </w:r>
      <w:proofErr w:type="spellEnd"/>
      <w:r w:rsidRPr="00754E28">
        <w:rPr>
          <w:rFonts w:asciiTheme="majorHAnsi" w:hAnsiTheme="majorHAnsi" w:cstheme="majorHAnsi"/>
          <w:sz w:val="22"/>
          <w:szCs w:val="22"/>
        </w:rPr>
        <w:t xml:space="preserve">, A. G. et al. The SANAD study of effectiveness of carbamazepine, gabapentin, </w:t>
      </w:r>
      <w:proofErr w:type="spellStart"/>
      <w:r w:rsidRPr="00754E28">
        <w:rPr>
          <w:rFonts w:asciiTheme="majorHAnsi" w:hAnsiTheme="majorHAnsi" w:cstheme="majorHAnsi"/>
          <w:sz w:val="22"/>
          <w:szCs w:val="22"/>
        </w:rPr>
        <w:t>lamotrigine</w:t>
      </w:r>
      <w:proofErr w:type="spellEnd"/>
      <w:r w:rsidRPr="00754E28">
        <w:rPr>
          <w:rFonts w:asciiTheme="majorHAnsi" w:hAnsiTheme="majorHAnsi" w:cstheme="majorHAnsi"/>
          <w:sz w:val="22"/>
          <w:szCs w:val="22"/>
        </w:rPr>
        <w:t xml:space="preserve">, </w:t>
      </w:r>
      <w:proofErr w:type="spellStart"/>
      <w:r w:rsidRPr="00754E28">
        <w:rPr>
          <w:rFonts w:asciiTheme="majorHAnsi" w:hAnsiTheme="majorHAnsi" w:cstheme="majorHAnsi"/>
          <w:sz w:val="22"/>
          <w:szCs w:val="22"/>
        </w:rPr>
        <w:t>oxcarbazepine</w:t>
      </w:r>
      <w:proofErr w:type="spellEnd"/>
      <w:r w:rsidRPr="00754E28">
        <w:rPr>
          <w:rFonts w:asciiTheme="majorHAnsi" w:hAnsiTheme="majorHAnsi" w:cstheme="majorHAnsi"/>
          <w:sz w:val="22"/>
          <w:szCs w:val="22"/>
        </w:rPr>
        <w:t xml:space="preserve">, or </w:t>
      </w:r>
      <w:proofErr w:type="spellStart"/>
      <w:r w:rsidRPr="00754E28">
        <w:rPr>
          <w:rFonts w:asciiTheme="majorHAnsi" w:hAnsiTheme="majorHAnsi" w:cstheme="majorHAnsi"/>
          <w:sz w:val="22"/>
          <w:szCs w:val="22"/>
        </w:rPr>
        <w:t>topiramate</w:t>
      </w:r>
      <w:proofErr w:type="spellEnd"/>
      <w:r w:rsidRPr="00754E28">
        <w:rPr>
          <w:rFonts w:asciiTheme="majorHAnsi" w:hAnsiTheme="majorHAnsi" w:cstheme="majorHAnsi"/>
          <w:sz w:val="22"/>
          <w:szCs w:val="22"/>
        </w:rPr>
        <w:t xml:space="preserve"> for treatment of partial epilepsy: an unblended randomised controlled trial. </w:t>
      </w:r>
      <w:r w:rsidRPr="00754E28">
        <w:rPr>
          <w:rFonts w:asciiTheme="majorHAnsi" w:hAnsiTheme="majorHAnsi" w:cstheme="majorHAnsi"/>
          <w:i/>
          <w:sz w:val="22"/>
          <w:szCs w:val="22"/>
        </w:rPr>
        <w:t>Lancet</w:t>
      </w:r>
      <w:r w:rsidRPr="00754E28">
        <w:rPr>
          <w:rFonts w:asciiTheme="majorHAnsi" w:hAnsiTheme="majorHAnsi" w:cstheme="majorHAnsi"/>
          <w:sz w:val="22"/>
          <w:szCs w:val="22"/>
        </w:rPr>
        <w:t xml:space="preserve"> 2007;369: 1000–1015</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proofErr w:type="spellStart"/>
      <w:r w:rsidRPr="00754E28">
        <w:rPr>
          <w:rFonts w:asciiTheme="majorHAnsi" w:hAnsiTheme="majorHAnsi" w:cstheme="majorHAnsi"/>
          <w:sz w:val="22"/>
          <w:szCs w:val="22"/>
        </w:rPr>
        <w:t>Ensrud</w:t>
      </w:r>
      <w:proofErr w:type="spellEnd"/>
      <w:r w:rsidRPr="00754E28">
        <w:rPr>
          <w:rFonts w:asciiTheme="majorHAnsi" w:hAnsiTheme="majorHAnsi" w:cstheme="majorHAnsi"/>
          <w:sz w:val="22"/>
          <w:szCs w:val="22"/>
        </w:rPr>
        <w:t xml:space="preserve"> KE, Blackwell T, </w:t>
      </w:r>
      <w:proofErr w:type="spellStart"/>
      <w:r w:rsidRPr="00754E28">
        <w:rPr>
          <w:rFonts w:asciiTheme="majorHAnsi" w:hAnsiTheme="majorHAnsi" w:cstheme="majorHAnsi"/>
          <w:sz w:val="22"/>
          <w:szCs w:val="22"/>
        </w:rPr>
        <w:t>Mangione</w:t>
      </w:r>
      <w:proofErr w:type="spellEnd"/>
      <w:r w:rsidRPr="00754E28">
        <w:rPr>
          <w:rFonts w:asciiTheme="majorHAnsi" w:hAnsiTheme="majorHAnsi" w:cstheme="majorHAnsi"/>
          <w:sz w:val="22"/>
          <w:szCs w:val="22"/>
        </w:rPr>
        <w:t xml:space="preserve"> CM et al. Central nervous system active medications and risk for fractures in older women. </w:t>
      </w:r>
      <w:r w:rsidRPr="00754E28">
        <w:rPr>
          <w:rFonts w:asciiTheme="majorHAnsi" w:hAnsiTheme="majorHAnsi" w:cstheme="majorHAnsi"/>
          <w:i/>
          <w:sz w:val="22"/>
          <w:szCs w:val="22"/>
        </w:rPr>
        <w:t xml:space="preserve">Arch </w:t>
      </w:r>
      <w:proofErr w:type="spellStart"/>
      <w:r w:rsidRPr="00754E28">
        <w:rPr>
          <w:rFonts w:asciiTheme="majorHAnsi" w:hAnsiTheme="majorHAnsi" w:cstheme="majorHAnsi"/>
          <w:i/>
          <w:sz w:val="22"/>
          <w:szCs w:val="22"/>
        </w:rPr>
        <w:t>Int</w:t>
      </w:r>
      <w:proofErr w:type="spellEnd"/>
      <w:r w:rsidRPr="00754E28">
        <w:rPr>
          <w:rFonts w:asciiTheme="majorHAnsi" w:hAnsiTheme="majorHAnsi" w:cstheme="majorHAnsi"/>
          <w:i/>
          <w:sz w:val="22"/>
          <w:szCs w:val="22"/>
        </w:rPr>
        <w:t xml:space="preserve"> Med</w:t>
      </w:r>
      <w:r w:rsidRPr="00754E28">
        <w:rPr>
          <w:rFonts w:asciiTheme="majorHAnsi" w:hAnsiTheme="majorHAnsi" w:cstheme="majorHAnsi"/>
          <w:sz w:val="22"/>
          <w:szCs w:val="22"/>
        </w:rPr>
        <w:t xml:space="preserve"> 2003; 163: 949–957.</w:t>
      </w:r>
    </w:p>
    <w:p w:rsidR="00023D70" w:rsidRDefault="00023D70" w:rsidP="00023D70">
      <w:pPr>
        <w:pStyle w:val="NormalWeb"/>
        <w:numPr>
          <w:ilvl w:val="0"/>
          <w:numId w:val="9"/>
        </w:numPr>
        <w:spacing w:before="2" w:after="2"/>
        <w:jc w:val="both"/>
        <w:rPr>
          <w:rFonts w:asciiTheme="majorHAnsi" w:hAnsiTheme="majorHAnsi" w:cstheme="majorHAnsi"/>
          <w:sz w:val="22"/>
          <w:szCs w:val="22"/>
        </w:rPr>
      </w:pPr>
      <w:proofErr w:type="spellStart"/>
      <w:r w:rsidRPr="00754E28">
        <w:rPr>
          <w:rFonts w:asciiTheme="majorHAnsi" w:hAnsiTheme="majorHAnsi" w:cstheme="majorHAnsi"/>
          <w:sz w:val="22"/>
          <w:szCs w:val="22"/>
        </w:rPr>
        <w:t>Verrotti</w:t>
      </w:r>
      <w:proofErr w:type="spellEnd"/>
      <w:r w:rsidRPr="00754E28">
        <w:rPr>
          <w:rFonts w:asciiTheme="majorHAnsi" w:hAnsiTheme="majorHAnsi" w:cstheme="majorHAnsi"/>
          <w:sz w:val="22"/>
          <w:szCs w:val="22"/>
        </w:rPr>
        <w:t xml:space="preserve"> A, Coppola G, </w:t>
      </w:r>
      <w:proofErr w:type="spellStart"/>
      <w:r w:rsidRPr="00754E28">
        <w:rPr>
          <w:rFonts w:asciiTheme="majorHAnsi" w:hAnsiTheme="majorHAnsi" w:cstheme="majorHAnsi"/>
          <w:sz w:val="22"/>
          <w:szCs w:val="22"/>
        </w:rPr>
        <w:t>Parisi</w:t>
      </w:r>
      <w:proofErr w:type="spellEnd"/>
      <w:r w:rsidRPr="00754E28">
        <w:rPr>
          <w:rFonts w:asciiTheme="majorHAnsi" w:hAnsiTheme="majorHAnsi" w:cstheme="majorHAnsi"/>
          <w:sz w:val="22"/>
          <w:szCs w:val="22"/>
        </w:rPr>
        <w:t xml:space="preserve"> P et al. Bone and calcium metabolism and antiepileptic drugs. </w:t>
      </w:r>
      <w:proofErr w:type="spellStart"/>
      <w:r w:rsidRPr="00754E28">
        <w:rPr>
          <w:rFonts w:asciiTheme="majorHAnsi" w:hAnsiTheme="majorHAnsi" w:cstheme="majorHAnsi"/>
          <w:i/>
          <w:sz w:val="22"/>
          <w:szCs w:val="22"/>
        </w:rPr>
        <w:t>Clin</w:t>
      </w:r>
      <w:proofErr w:type="spellEnd"/>
      <w:r w:rsidRPr="00754E28">
        <w:rPr>
          <w:rFonts w:asciiTheme="majorHAnsi" w:hAnsiTheme="majorHAnsi" w:cstheme="majorHAnsi"/>
          <w:i/>
          <w:sz w:val="22"/>
          <w:szCs w:val="22"/>
        </w:rPr>
        <w:t xml:space="preserve"> </w:t>
      </w:r>
      <w:proofErr w:type="spellStart"/>
      <w:r w:rsidRPr="00754E28">
        <w:rPr>
          <w:rFonts w:asciiTheme="majorHAnsi" w:hAnsiTheme="majorHAnsi" w:cstheme="majorHAnsi"/>
          <w:i/>
          <w:sz w:val="22"/>
          <w:szCs w:val="22"/>
        </w:rPr>
        <w:t>Neuro</w:t>
      </w:r>
      <w:proofErr w:type="spellEnd"/>
      <w:r w:rsidRPr="00754E28">
        <w:rPr>
          <w:rFonts w:asciiTheme="majorHAnsi" w:hAnsiTheme="majorHAnsi" w:cstheme="majorHAnsi"/>
          <w:i/>
          <w:sz w:val="22"/>
          <w:szCs w:val="22"/>
        </w:rPr>
        <w:t xml:space="preserve"> </w:t>
      </w:r>
      <w:proofErr w:type="spellStart"/>
      <w:r w:rsidRPr="00754E28">
        <w:rPr>
          <w:rFonts w:asciiTheme="majorHAnsi" w:hAnsiTheme="majorHAnsi" w:cstheme="majorHAnsi"/>
          <w:i/>
          <w:sz w:val="22"/>
          <w:szCs w:val="22"/>
        </w:rPr>
        <w:t>Neurosurg</w:t>
      </w:r>
      <w:proofErr w:type="spellEnd"/>
      <w:r w:rsidRPr="00754E28">
        <w:rPr>
          <w:rFonts w:asciiTheme="majorHAnsi" w:hAnsiTheme="majorHAnsi" w:cstheme="majorHAnsi"/>
          <w:sz w:val="22"/>
          <w:szCs w:val="22"/>
        </w:rPr>
        <w:t xml:space="preserve"> 2010; 112: 1–10</w:t>
      </w:r>
    </w:p>
    <w:p w:rsidR="00023D70" w:rsidRPr="002C5FCA" w:rsidRDefault="002C5FCA" w:rsidP="00023D70">
      <w:pPr>
        <w:pStyle w:val="NormalWeb"/>
        <w:numPr>
          <w:ilvl w:val="0"/>
          <w:numId w:val="9"/>
        </w:numPr>
        <w:spacing w:before="2" w:after="2"/>
        <w:jc w:val="both"/>
        <w:rPr>
          <w:rFonts w:asciiTheme="majorHAnsi" w:hAnsiTheme="majorHAnsi" w:cstheme="majorHAnsi"/>
          <w:sz w:val="22"/>
          <w:szCs w:val="22"/>
        </w:rPr>
      </w:pPr>
      <w:proofErr w:type="spellStart"/>
      <w:r>
        <w:rPr>
          <w:rFonts w:asciiTheme="majorHAnsi" w:hAnsiTheme="majorHAnsi" w:cstheme="majorHAnsi"/>
          <w:sz w:val="22"/>
          <w:szCs w:val="22"/>
          <w:shd w:val="clear" w:color="auto" w:fill="FFFFFF"/>
        </w:rPr>
        <w:t>Jamora</w:t>
      </w:r>
      <w:proofErr w:type="spellEnd"/>
      <w:r>
        <w:rPr>
          <w:rFonts w:asciiTheme="majorHAnsi" w:hAnsiTheme="majorHAnsi" w:cstheme="majorHAnsi"/>
          <w:sz w:val="22"/>
          <w:szCs w:val="22"/>
          <w:shd w:val="clear" w:color="auto" w:fill="FFFFFF"/>
        </w:rPr>
        <w:t xml:space="preserve"> D, Lim S-H, Pan A et al. </w:t>
      </w:r>
      <w:bookmarkStart w:id="0" w:name="_GoBack"/>
      <w:bookmarkEnd w:id="0"/>
      <w:r w:rsidR="00023D70" w:rsidRPr="002C5FCA">
        <w:rPr>
          <w:rFonts w:asciiTheme="majorHAnsi" w:hAnsiTheme="majorHAnsi" w:cstheme="majorHAnsi"/>
          <w:sz w:val="22"/>
          <w:szCs w:val="22"/>
          <w:shd w:val="clear" w:color="auto" w:fill="FFFFFF"/>
        </w:rPr>
        <w:t xml:space="preserve">Valproate-induced Parkinsonism in epilepsy patients. </w:t>
      </w:r>
      <w:proofErr w:type="spellStart"/>
      <w:r w:rsidR="00023D70" w:rsidRPr="002C5FCA">
        <w:rPr>
          <w:rFonts w:asciiTheme="majorHAnsi" w:hAnsiTheme="majorHAnsi" w:cstheme="majorHAnsi"/>
          <w:i/>
          <w:sz w:val="22"/>
          <w:szCs w:val="22"/>
          <w:shd w:val="clear" w:color="auto" w:fill="FFFFFF"/>
        </w:rPr>
        <w:t>Mov</w:t>
      </w:r>
      <w:proofErr w:type="spellEnd"/>
      <w:r w:rsidR="00023D70" w:rsidRPr="002C5FCA">
        <w:rPr>
          <w:rFonts w:asciiTheme="majorHAnsi" w:hAnsiTheme="majorHAnsi" w:cstheme="majorHAnsi"/>
          <w:i/>
          <w:sz w:val="22"/>
          <w:szCs w:val="22"/>
          <w:shd w:val="clear" w:color="auto" w:fill="FFFFFF"/>
        </w:rPr>
        <w:t xml:space="preserve">. </w:t>
      </w:r>
      <w:proofErr w:type="spellStart"/>
      <w:r w:rsidR="00023D70" w:rsidRPr="002C5FCA">
        <w:rPr>
          <w:rFonts w:asciiTheme="majorHAnsi" w:hAnsiTheme="majorHAnsi" w:cstheme="majorHAnsi"/>
          <w:i/>
          <w:sz w:val="22"/>
          <w:szCs w:val="22"/>
          <w:shd w:val="clear" w:color="auto" w:fill="FFFFFF"/>
        </w:rPr>
        <w:t>Disord</w:t>
      </w:r>
      <w:proofErr w:type="spellEnd"/>
      <w:r w:rsidR="00023D70" w:rsidRPr="002C5FCA">
        <w:rPr>
          <w:rFonts w:asciiTheme="majorHAnsi" w:hAnsiTheme="majorHAnsi" w:cstheme="majorHAnsi"/>
          <w:i/>
          <w:sz w:val="22"/>
          <w:szCs w:val="22"/>
          <w:shd w:val="clear" w:color="auto" w:fill="FFFFFF"/>
        </w:rPr>
        <w:t>.</w:t>
      </w:r>
      <w:r w:rsidRPr="002C5FCA">
        <w:rPr>
          <w:rFonts w:asciiTheme="majorHAnsi" w:hAnsiTheme="majorHAnsi" w:cstheme="majorHAnsi"/>
          <w:sz w:val="22"/>
          <w:szCs w:val="22"/>
          <w:shd w:val="clear" w:color="auto" w:fill="FFFFFF"/>
        </w:rPr>
        <w:t xml:space="preserve"> 2007; 22: 130–133.</w:t>
      </w:r>
      <w:r w:rsidR="00023D70" w:rsidRPr="002C5FCA">
        <w:rPr>
          <w:rFonts w:asciiTheme="majorHAnsi" w:hAnsiTheme="majorHAnsi" w:cstheme="majorHAnsi"/>
          <w:sz w:val="22"/>
          <w:szCs w:val="22"/>
        </w:rPr>
        <w:t xml:space="preserve"> </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Brodie, M. J., </w:t>
      </w:r>
      <w:proofErr w:type="spellStart"/>
      <w:r w:rsidRPr="00754E28">
        <w:rPr>
          <w:rFonts w:asciiTheme="majorHAnsi" w:hAnsiTheme="majorHAnsi" w:cstheme="majorHAnsi"/>
          <w:sz w:val="22"/>
          <w:szCs w:val="22"/>
        </w:rPr>
        <w:t>Overstall</w:t>
      </w:r>
      <w:proofErr w:type="spellEnd"/>
      <w:r w:rsidRPr="00754E28">
        <w:rPr>
          <w:rFonts w:asciiTheme="majorHAnsi" w:hAnsiTheme="majorHAnsi" w:cstheme="majorHAnsi"/>
          <w:sz w:val="22"/>
          <w:szCs w:val="22"/>
        </w:rPr>
        <w:t xml:space="preserve">, P. w. &amp; </w:t>
      </w:r>
      <w:proofErr w:type="spellStart"/>
      <w:r w:rsidRPr="00754E28">
        <w:rPr>
          <w:rFonts w:asciiTheme="majorHAnsi" w:hAnsiTheme="majorHAnsi" w:cstheme="majorHAnsi"/>
          <w:sz w:val="22"/>
          <w:szCs w:val="22"/>
        </w:rPr>
        <w:t>Giorgi</w:t>
      </w:r>
      <w:proofErr w:type="spellEnd"/>
      <w:r w:rsidRPr="00754E28">
        <w:rPr>
          <w:rFonts w:asciiTheme="majorHAnsi" w:hAnsiTheme="majorHAnsi" w:cstheme="majorHAnsi"/>
          <w:sz w:val="22"/>
          <w:szCs w:val="22"/>
        </w:rPr>
        <w:t xml:space="preserve">, L. Multicentre, double-blind, randomised comparison between </w:t>
      </w:r>
      <w:proofErr w:type="spellStart"/>
      <w:r w:rsidRPr="00754E28">
        <w:rPr>
          <w:rFonts w:asciiTheme="majorHAnsi" w:hAnsiTheme="majorHAnsi" w:cstheme="majorHAnsi"/>
          <w:sz w:val="22"/>
          <w:szCs w:val="22"/>
        </w:rPr>
        <w:t>lamotrigine</w:t>
      </w:r>
      <w:proofErr w:type="spellEnd"/>
      <w:r w:rsidRPr="00754E28">
        <w:rPr>
          <w:rFonts w:asciiTheme="majorHAnsi" w:hAnsiTheme="majorHAnsi" w:cstheme="majorHAnsi"/>
          <w:sz w:val="22"/>
          <w:szCs w:val="22"/>
        </w:rPr>
        <w:t xml:space="preserve"> and carbamazepine in elderly patients </w:t>
      </w:r>
      <w:proofErr w:type="spellStart"/>
      <w:r w:rsidRPr="00754E28">
        <w:rPr>
          <w:rFonts w:asciiTheme="majorHAnsi" w:hAnsiTheme="majorHAnsi" w:cstheme="majorHAnsi"/>
          <w:sz w:val="22"/>
          <w:szCs w:val="22"/>
        </w:rPr>
        <w:t>withnewly</w:t>
      </w:r>
      <w:proofErr w:type="spellEnd"/>
      <w:r w:rsidRPr="00754E28">
        <w:rPr>
          <w:rFonts w:asciiTheme="majorHAnsi" w:hAnsiTheme="majorHAnsi" w:cstheme="majorHAnsi"/>
          <w:sz w:val="22"/>
          <w:szCs w:val="22"/>
        </w:rPr>
        <w:t xml:space="preserve"> diagnosed epilepsy. The UK </w:t>
      </w:r>
      <w:proofErr w:type="spellStart"/>
      <w:r w:rsidRPr="00754E28">
        <w:rPr>
          <w:rFonts w:asciiTheme="majorHAnsi" w:hAnsiTheme="majorHAnsi" w:cstheme="majorHAnsi"/>
          <w:sz w:val="22"/>
          <w:szCs w:val="22"/>
        </w:rPr>
        <w:t>Lamotrigine</w:t>
      </w:r>
      <w:proofErr w:type="spellEnd"/>
      <w:r w:rsidRPr="00754E28">
        <w:rPr>
          <w:rFonts w:asciiTheme="majorHAnsi" w:hAnsiTheme="majorHAnsi" w:cstheme="majorHAnsi"/>
          <w:sz w:val="22"/>
          <w:szCs w:val="22"/>
        </w:rPr>
        <w:t xml:space="preserve"> elderly study Group. </w:t>
      </w:r>
      <w:r w:rsidRPr="00754E28">
        <w:rPr>
          <w:rFonts w:asciiTheme="majorHAnsi" w:hAnsiTheme="majorHAnsi" w:cstheme="majorHAnsi"/>
          <w:i/>
          <w:sz w:val="22"/>
          <w:szCs w:val="22"/>
        </w:rPr>
        <w:t>Epilepsy Res</w:t>
      </w:r>
      <w:r w:rsidRPr="00754E28">
        <w:rPr>
          <w:rFonts w:asciiTheme="majorHAnsi" w:hAnsiTheme="majorHAnsi" w:cstheme="majorHAnsi"/>
          <w:sz w:val="22"/>
          <w:szCs w:val="22"/>
        </w:rPr>
        <w:t xml:space="preserve"> 1999; 37: 81–87.</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proofErr w:type="spellStart"/>
      <w:r w:rsidRPr="00754E28">
        <w:rPr>
          <w:rFonts w:asciiTheme="majorHAnsi" w:hAnsiTheme="majorHAnsi" w:cstheme="majorHAnsi"/>
          <w:sz w:val="22"/>
          <w:szCs w:val="22"/>
        </w:rPr>
        <w:t>Werhahn</w:t>
      </w:r>
      <w:proofErr w:type="spellEnd"/>
      <w:r w:rsidRPr="00754E28">
        <w:rPr>
          <w:rFonts w:asciiTheme="majorHAnsi" w:hAnsiTheme="majorHAnsi" w:cstheme="majorHAnsi"/>
          <w:sz w:val="22"/>
          <w:szCs w:val="22"/>
        </w:rPr>
        <w:t xml:space="preserve"> KJ, </w:t>
      </w:r>
      <w:proofErr w:type="spellStart"/>
      <w:r w:rsidRPr="00754E28">
        <w:rPr>
          <w:rFonts w:asciiTheme="majorHAnsi" w:hAnsiTheme="majorHAnsi" w:cstheme="majorHAnsi"/>
          <w:sz w:val="22"/>
          <w:szCs w:val="22"/>
        </w:rPr>
        <w:t>Trinka</w:t>
      </w:r>
      <w:proofErr w:type="spellEnd"/>
      <w:r w:rsidRPr="00754E28">
        <w:rPr>
          <w:rFonts w:asciiTheme="majorHAnsi" w:hAnsiTheme="majorHAnsi" w:cstheme="majorHAnsi"/>
          <w:sz w:val="22"/>
          <w:szCs w:val="22"/>
        </w:rPr>
        <w:t xml:space="preserve"> E, </w:t>
      </w:r>
      <w:proofErr w:type="spellStart"/>
      <w:r w:rsidRPr="00754E28">
        <w:rPr>
          <w:rFonts w:asciiTheme="majorHAnsi" w:hAnsiTheme="majorHAnsi" w:cstheme="majorHAnsi"/>
          <w:sz w:val="22"/>
          <w:szCs w:val="22"/>
        </w:rPr>
        <w:t>Dobesberger</w:t>
      </w:r>
      <w:proofErr w:type="spellEnd"/>
      <w:r w:rsidRPr="00754E28">
        <w:rPr>
          <w:rFonts w:asciiTheme="majorHAnsi" w:hAnsiTheme="majorHAnsi" w:cstheme="majorHAnsi"/>
          <w:sz w:val="22"/>
          <w:szCs w:val="22"/>
        </w:rPr>
        <w:t xml:space="preserve"> J, </w:t>
      </w:r>
      <w:proofErr w:type="spellStart"/>
      <w:r w:rsidRPr="00754E28">
        <w:rPr>
          <w:rFonts w:asciiTheme="majorHAnsi" w:hAnsiTheme="majorHAnsi" w:cstheme="majorHAnsi"/>
          <w:sz w:val="22"/>
          <w:szCs w:val="22"/>
        </w:rPr>
        <w:t>Unterberger</w:t>
      </w:r>
      <w:proofErr w:type="spellEnd"/>
      <w:r w:rsidRPr="00754E28">
        <w:rPr>
          <w:rFonts w:asciiTheme="majorHAnsi" w:hAnsiTheme="majorHAnsi" w:cstheme="majorHAnsi"/>
          <w:sz w:val="22"/>
          <w:szCs w:val="22"/>
        </w:rPr>
        <w:t xml:space="preserve"> I, Baum P, </w:t>
      </w:r>
      <w:proofErr w:type="spellStart"/>
      <w:r w:rsidRPr="00754E28">
        <w:rPr>
          <w:rFonts w:asciiTheme="majorHAnsi" w:hAnsiTheme="majorHAnsi" w:cstheme="majorHAnsi"/>
          <w:sz w:val="22"/>
          <w:szCs w:val="22"/>
        </w:rPr>
        <w:t>Deckert</w:t>
      </w:r>
      <w:proofErr w:type="spellEnd"/>
      <w:r w:rsidRPr="00754E28">
        <w:rPr>
          <w:rFonts w:asciiTheme="majorHAnsi" w:hAnsiTheme="majorHAnsi" w:cstheme="majorHAnsi"/>
          <w:sz w:val="22"/>
          <w:szCs w:val="22"/>
        </w:rPr>
        <w:t xml:space="preserve">-Schmitz M, et al. A randomized, double-blind comparison of antiepileptic drug treatment in the elderly with new-onset focal epilepsy. </w:t>
      </w:r>
      <w:proofErr w:type="spellStart"/>
      <w:r w:rsidRPr="00754E28">
        <w:rPr>
          <w:rFonts w:asciiTheme="majorHAnsi" w:hAnsiTheme="majorHAnsi" w:cstheme="majorHAnsi"/>
          <w:i/>
          <w:sz w:val="22"/>
          <w:szCs w:val="22"/>
        </w:rPr>
        <w:t>Epilepsia</w:t>
      </w:r>
      <w:proofErr w:type="spellEnd"/>
      <w:r w:rsidRPr="00754E28">
        <w:rPr>
          <w:rFonts w:asciiTheme="majorHAnsi" w:hAnsiTheme="majorHAnsi" w:cstheme="majorHAnsi"/>
          <w:sz w:val="22"/>
          <w:szCs w:val="22"/>
        </w:rPr>
        <w:t xml:space="preserve"> 2015; 56: 450–9.</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Nieto-Barrera M, </w:t>
      </w:r>
      <w:proofErr w:type="spellStart"/>
      <w:r w:rsidRPr="00754E28">
        <w:rPr>
          <w:rFonts w:asciiTheme="majorHAnsi" w:hAnsiTheme="majorHAnsi" w:cstheme="majorHAnsi"/>
          <w:sz w:val="22"/>
          <w:szCs w:val="22"/>
        </w:rPr>
        <w:t>Brozmanova</w:t>
      </w:r>
      <w:proofErr w:type="spellEnd"/>
      <w:r w:rsidRPr="00754E28">
        <w:rPr>
          <w:rFonts w:asciiTheme="majorHAnsi" w:hAnsiTheme="majorHAnsi" w:cstheme="majorHAnsi"/>
          <w:sz w:val="22"/>
          <w:szCs w:val="22"/>
        </w:rPr>
        <w:t xml:space="preserve"> M, </w:t>
      </w:r>
      <w:proofErr w:type="spellStart"/>
      <w:r w:rsidRPr="00754E28">
        <w:rPr>
          <w:rFonts w:asciiTheme="majorHAnsi" w:hAnsiTheme="majorHAnsi" w:cstheme="majorHAnsi"/>
          <w:sz w:val="22"/>
          <w:szCs w:val="22"/>
        </w:rPr>
        <w:t>Capovilla</w:t>
      </w:r>
      <w:proofErr w:type="spellEnd"/>
      <w:r w:rsidRPr="00754E28">
        <w:rPr>
          <w:rFonts w:asciiTheme="majorHAnsi" w:hAnsiTheme="majorHAnsi" w:cstheme="majorHAnsi"/>
          <w:sz w:val="22"/>
          <w:szCs w:val="22"/>
        </w:rPr>
        <w:t xml:space="preserve"> G, </w:t>
      </w:r>
      <w:proofErr w:type="spellStart"/>
      <w:r w:rsidRPr="00754E28">
        <w:rPr>
          <w:rFonts w:asciiTheme="majorHAnsi" w:hAnsiTheme="majorHAnsi" w:cstheme="majorHAnsi"/>
          <w:sz w:val="22"/>
          <w:szCs w:val="22"/>
        </w:rPr>
        <w:t>Christe</w:t>
      </w:r>
      <w:proofErr w:type="spellEnd"/>
      <w:r w:rsidRPr="00754E28">
        <w:rPr>
          <w:rFonts w:asciiTheme="majorHAnsi" w:hAnsiTheme="majorHAnsi" w:cstheme="majorHAnsi"/>
          <w:sz w:val="22"/>
          <w:szCs w:val="22"/>
        </w:rPr>
        <w:t xml:space="preserve"> W, Pedersen B, Kane K, et al. A comparison of monotherapy with </w:t>
      </w:r>
      <w:proofErr w:type="spellStart"/>
      <w:r w:rsidRPr="00754E28">
        <w:rPr>
          <w:rFonts w:asciiTheme="majorHAnsi" w:hAnsiTheme="majorHAnsi" w:cstheme="majorHAnsi"/>
          <w:sz w:val="22"/>
          <w:szCs w:val="22"/>
        </w:rPr>
        <w:t>lamotrigine</w:t>
      </w:r>
      <w:proofErr w:type="spellEnd"/>
      <w:r w:rsidRPr="00754E28">
        <w:rPr>
          <w:rFonts w:asciiTheme="majorHAnsi" w:hAnsiTheme="majorHAnsi" w:cstheme="majorHAnsi"/>
          <w:sz w:val="22"/>
          <w:szCs w:val="22"/>
        </w:rPr>
        <w:t xml:space="preserve"> or carbamazepine in patients with newly diagnosed partial epilepsy. </w:t>
      </w:r>
      <w:r w:rsidRPr="00754E28">
        <w:rPr>
          <w:rFonts w:asciiTheme="majorHAnsi" w:hAnsiTheme="majorHAnsi" w:cstheme="majorHAnsi"/>
          <w:i/>
          <w:sz w:val="22"/>
          <w:szCs w:val="22"/>
        </w:rPr>
        <w:t>Epilepsy Res</w:t>
      </w:r>
      <w:r w:rsidRPr="00754E28">
        <w:rPr>
          <w:rFonts w:asciiTheme="majorHAnsi" w:hAnsiTheme="majorHAnsi" w:cstheme="majorHAnsi"/>
          <w:sz w:val="22"/>
          <w:szCs w:val="22"/>
        </w:rPr>
        <w:t xml:space="preserve"> 2001; 46: 145–55.</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proofErr w:type="spellStart"/>
      <w:r w:rsidRPr="00754E28">
        <w:rPr>
          <w:rFonts w:asciiTheme="majorHAnsi" w:hAnsiTheme="majorHAnsi" w:cstheme="majorHAnsi"/>
          <w:sz w:val="22"/>
          <w:szCs w:val="22"/>
        </w:rPr>
        <w:t>Saetre</w:t>
      </w:r>
      <w:proofErr w:type="spellEnd"/>
      <w:r w:rsidRPr="00754E28">
        <w:rPr>
          <w:rFonts w:asciiTheme="majorHAnsi" w:hAnsiTheme="majorHAnsi" w:cstheme="majorHAnsi"/>
          <w:sz w:val="22"/>
          <w:szCs w:val="22"/>
        </w:rPr>
        <w:t xml:space="preserve"> E, </w:t>
      </w:r>
      <w:proofErr w:type="spellStart"/>
      <w:r w:rsidRPr="00754E28">
        <w:rPr>
          <w:rFonts w:asciiTheme="majorHAnsi" w:hAnsiTheme="majorHAnsi" w:cstheme="majorHAnsi"/>
          <w:sz w:val="22"/>
          <w:szCs w:val="22"/>
        </w:rPr>
        <w:t>Perucca</w:t>
      </w:r>
      <w:proofErr w:type="spellEnd"/>
      <w:r w:rsidRPr="00754E28">
        <w:rPr>
          <w:rFonts w:asciiTheme="majorHAnsi" w:hAnsiTheme="majorHAnsi" w:cstheme="majorHAnsi"/>
          <w:sz w:val="22"/>
          <w:szCs w:val="22"/>
        </w:rPr>
        <w:t xml:space="preserve"> E, </w:t>
      </w:r>
      <w:proofErr w:type="spellStart"/>
      <w:r w:rsidRPr="00754E28">
        <w:rPr>
          <w:rFonts w:asciiTheme="majorHAnsi" w:hAnsiTheme="majorHAnsi" w:cstheme="majorHAnsi"/>
          <w:sz w:val="22"/>
          <w:szCs w:val="22"/>
        </w:rPr>
        <w:t>Isojarvi</w:t>
      </w:r>
      <w:proofErr w:type="spellEnd"/>
      <w:r w:rsidRPr="00754E28">
        <w:rPr>
          <w:rFonts w:asciiTheme="majorHAnsi" w:hAnsiTheme="majorHAnsi" w:cstheme="majorHAnsi"/>
          <w:sz w:val="22"/>
          <w:szCs w:val="22"/>
        </w:rPr>
        <w:t xml:space="preserve"> J, </w:t>
      </w:r>
      <w:proofErr w:type="spellStart"/>
      <w:r w:rsidRPr="00754E28">
        <w:rPr>
          <w:rFonts w:asciiTheme="majorHAnsi" w:hAnsiTheme="majorHAnsi" w:cstheme="majorHAnsi"/>
          <w:sz w:val="22"/>
          <w:szCs w:val="22"/>
        </w:rPr>
        <w:t>Gjerstad</w:t>
      </w:r>
      <w:proofErr w:type="spellEnd"/>
      <w:r w:rsidRPr="00754E28">
        <w:rPr>
          <w:rFonts w:asciiTheme="majorHAnsi" w:hAnsiTheme="majorHAnsi" w:cstheme="majorHAnsi"/>
          <w:sz w:val="22"/>
          <w:szCs w:val="22"/>
        </w:rPr>
        <w:t xml:space="preserve"> L. An international multicentre randomized double-blind controlled trial of </w:t>
      </w:r>
      <w:proofErr w:type="spellStart"/>
      <w:r w:rsidRPr="00754E28">
        <w:rPr>
          <w:rFonts w:asciiTheme="majorHAnsi" w:hAnsiTheme="majorHAnsi" w:cstheme="majorHAnsi"/>
          <w:sz w:val="22"/>
          <w:szCs w:val="22"/>
        </w:rPr>
        <w:t>lamotrigine</w:t>
      </w:r>
      <w:proofErr w:type="spellEnd"/>
      <w:r w:rsidRPr="00754E28">
        <w:rPr>
          <w:rFonts w:asciiTheme="majorHAnsi" w:hAnsiTheme="majorHAnsi" w:cstheme="majorHAnsi"/>
          <w:sz w:val="22"/>
          <w:szCs w:val="22"/>
        </w:rPr>
        <w:t xml:space="preserve"> and sustained release carbamazepine in the treatment of newly diagnosed epilepsy in the elderly. </w:t>
      </w:r>
      <w:proofErr w:type="spellStart"/>
      <w:r w:rsidRPr="00754E28">
        <w:rPr>
          <w:rFonts w:asciiTheme="majorHAnsi" w:hAnsiTheme="majorHAnsi" w:cstheme="majorHAnsi"/>
          <w:i/>
          <w:sz w:val="22"/>
          <w:szCs w:val="22"/>
        </w:rPr>
        <w:t>Epilepsia</w:t>
      </w:r>
      <w:proofErr w:type="spellEnd"/>
      <w:r w:rsidRPr="00754E28">
        <w:rPr>
          <w:rFonts w:asciiTheme="majorHAnsi" w:hAnsiTheme="majorHAnsi" w:cstheme="majorHAnsi"/>
          <w:sz w:val="22"/>
          <w:szCs w:val="22"/>
        </w:rPr>
        <w:t xml:space="preserve"> 2007;48:1292–302</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proofErr w:type="spellStart"/>
      <w:r w:rsidRPr="00754E28">
        <w:rPr>
          <w:rFonts w:asciiTheme="majorHAnsi" w:hAnsiTheme="majorHAnsi" w:cstheme="majorHAnsi"/>
          <w:sz w:val="22"/>
          <w:szCs w:val="22"/>
        </w:rPr>
        <w:t>Sheth</w:t>
      </w:r>
      <w:proofErr w:type="spellEnd"/>
      <w:r w:rsidRPr="00754E28">
        <w:rPr>
          <w:rFonts w:asciiTheme="majorHAnsi" w:hAnsiTheme="majorHAnsi" w:cstheme="majorHAnsi"/>
          <w:sz w:val="22"/>
          <w:szCs w:val="22"/>
        </w:rPr>
        <w:t xml:space="preserve"> RD, </w:t>
      </w:r>
      <w:proofErr w:type="spellStart"/>
      <w:r w:rsidRPr="00754E28">
        <w:rPr>
          <w:rFonts w:asciiTheme="majorHAnsi" w:hAnsiTheme="majorHAnsi" w:cstheme="majorHAnsi"/>
          <w:sz w:val="22"/>
          <w:szCs w:val="22"/>
        </w:rPr>
        <w:t>Drazkowski</w:t>
      </w:r>
      <w:proofErr w:type="spellEnd"/>
      <w:r w:rsidRPr="00754E28">
        <w:rPr>
          <w:rFonts w:asciiTheme="majorHAnsi" w:hAnsiTheme="majorHAnsi" w:cstheme="majorHAnsi"/>
          <w:sz w:val="22"/>
          <w:szCs w:val="22"/>
        </w:rPr>
        <w:t xml:space="preserve"> JF, </w:t>
      </w:r>
      <w:proofErr w:type="spellStart"/>
      <w:r w:rsidRPr="00754E28">
        <w:rPr>
          <w:rFonts w:asciiTheme="majorHAnsi" w:hAnsiTheme="majorHAnsi" w:cstheme="majorHAnsi"/>
          <w:sz w:val="22"/>
          <w:szCs w:val="22"/>
        </w:rPr>
        <w:t>Sirven</w:t>
      </w:r>
      <w:proofErr w:type="spellEnd"/>
      <w:r w:rsidRPr="00754E28">
        <w:rPr>
          <w:rFonts w:asciiTheme="majorHAnsi" w:hAnsiTheme="majorHAnsi" w:cstheme="majorHAnsi"/>
          <w:sz w:val="22"/>
          <w:szCs w:val="22"/>
        </w:rPr>
        <w:t xml:space="preserve"> JI, et al., Protracted </w:t>
      </w:r>
      <w:proofErr w:type="spellStart"/>
      <w:r w:rsidRPr="00754E28">
        <w:rPr>
          <w:rFonts w:asciiTheme="majorHAnsi" w:hAnsiTheme="majorHAnsi" w:cstheme="majorHAnsi"/>
          <w:sz w:val="22"/>
          <w:szCs w:val="22"/>
        </w:rPr>
        <w:t>ictal</w:t>
      </w:r>
      <w:proofErr w:type="spellEnd"/>
      <w:r w:rsidRPr="00754E28">
        <w:rPr>
          <w:rFonts w:asciiTheme="majorHAnsi" w:hAnsiTheme="majorHAnsi" w:cstheme="majorHAnsi"/>
          <w:sz w:val="22"/>
          <w:szCs w:val="22"/>
        </w:rPr>
        <w:t xml:space="preserve"> confusion in elderly patients. </w:t>
      </w:r>
      <w:r w:rsidRPr="00754E28">
        <w:rPr>
          <w:rFonts w:asciiTheme="majorHAnsi" w:hAnsiTheme="majorHAnsi" w:cstheme="majorHAnsi"/>
          <w:i/>
          <w:sz w:val="22"/>
          <w:szCs w:val="22"/>
        </w:rPr>
        <w:t xml:space="preserve">Arch </w:t>
      </w:r>
      <w:proofErr w:type="spellStart"/>
      <w:r w:rsidRPr="00754E28">
        <w:rPr>
          <w:rFonts w:asciiTheme="majorHAnsi" w:hAnsiTheme="majorHAnsi" w:cstheme="majorHAnsi"/>
          <w:i/>
          <w:sz w:val="22"/>
          <w:szCs w:val="22"/>
        </w:rPr>
        <w:t>Neurol</w:t>
      </w:r>
      <w:proofErr w:type="spellEnd"/>
      <w:r w:rsidRPr="00754E28">
        <w:rPr>
          <w:rFonts w:asciiTheme="majorHAnsi" w:hAnsiTheme="majorHAnsi" w:cstheme="majorHAnsi"/>
          <w:sz w:val="22"/>
          <w:szCs w:val="22"/>
        </w:rPr>
        <w:t xml:space="preserve"> 2006; 63:529–532.</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Grainger R, Pearson M, Dixon P, et al. Referral patterns after a seizure admission in an English region: an opportunity for effective intervention? An observational study of routine hospital data. </w:t>
      </w:r>
      <w:r w:rsidRPr="00754E28">
        <w:rPr>
          <w:rFonts w:asciiTheme="majorHAnsi" w:hAnsiTheme="majorHAnsi" w:cstheme="majorHAnsi"/>
          <w:i/>
          <w:sz w:val="22"/>
          <w:szCs w:val="22"/>
        </w:rPr>
        <w:t>BMJ Open</w:t>
      </w:r>
      <w:r w:rsidRPr="00754E28">
        <w:rPr>
          <w:rFonts w:asciiTheme="majorHAnsi" w:hAnsiTheme="majorHAnsi" w:cstheme="majorHAnsi"/>
          <w:sz w:val="22"/>
          <w:szCs w:val="22"/>
        </w:rPr>
        <w:t xml:space="preserve"> 2016; 6:e010100. </w:t>
      </w:r>
      <w:proofErr w:type="gramStart"/>
      <w:r w:rsidRPr="00754E28">
        <w:rPr>
          <w:rFonts w:asciiTheme="majorHAnsi" w:hAnsiTheme="majorHAnsi" w:cstheme="majorHAnsi"/>
          <w:sz w:val="22"/>
          <w:szCs w:val="22"/>
        </w:rPr>
        <w:t>doi:</w:t>
      </w:r>
      <w:proofErr w:type="gramEnd"/>
      <w:r w:rsidRPr="00754E28">
        <w:rPr>
          <w:rFonts w:asciiTheme="majorHAnsi" w:hAnsiTheme="majorHAnsi" w:cstheme="majorHAnsi"/>
          <w:sz w:val="22"/>
          <w:szCs w:val="22"/>
        </w:rPr>
        <w:t>10.1136/bmjopen-2015- 010100.</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proofErr w:type="spellStart"/>
      <w:r w:rsidRPr="00754E28">
        <w:rPr>
          <w:rFonts w:asciiTheme="majorHAnsi" w:hAnsiTheme="majorHAnsi" w:cstheme="majorHAnsi"/>
          <w:sz w:val="22"/>
          <w:szCs w:val="22"/>
        </w:rPr>
        <w:t>Reuber</w:t>
      </w:r>
      <w:proofErr w:type="spellEnd"/>
      <w:r w:rsidRPr="00754E28">
        <w:rPr>
          <w:rFonts w:asciiTheme="majorHAnsi" w:hAnsiTheme="majorHAnsi" w:cstheme="majorHAnsi"/>
          <w:sz w:val="22"/>
          <w:szCs w:val="22"/>
        </w:rPr>
        <w:t xml:space="preserve"> M, </w:t>
      </w:r>
      <w:proofErr w:type="spellStart"/>
      <w:r w:rsidRPr="00754E28">
        <w:rPr>
          <w:rFonts w:asciiTheme="majorHAnsi" w:hAnsiTheme="majorHAnsi" w:cstheme="majorHAnsi"/>
          <w:sz w:val="22"/>
          <w:szCs w:val="22"/>
        </w:rPr>
        <w:t>Torane</w:t>
      </w:r>
      <w:proofErr w:type="spellEnd"/>
      <w:r w:rsidRPr="00754E28">
        <w:rPr>
          <w:rFonts w:asciiTheme="majorHAnsi" w:hAnsiTheme="majorHAnsi" w:cstheme="majorHAnsi"/>
          <w:sz w:val="22"/>
          <w:szCs w:val="22"/>
        </w:rPr>
        <w:t xml:space="preserve"> P, Mack C. Do older adults have equitable access to specialist epilepsy services? </w:t>
      </w:r>
      <w:proofErr w:type="spellStart"/>
      <w:r w:rsidRPr="00754E28">
        <w:rPr>
          <w:rFonts w:asciiTheme="majorHAnsi" w:hAnsiTheme="majorHAnsi" w:cstheme="majorHAnsi"/>
          <w:i/>
          <w:sz w:val="22"/>
          <w:szCs w:val="22"/>
        </w:rPr>
        <w:t>Epilepsia</w:t>
      </w:r>
      <w:proofErr w:type="spellEnd"/>
      <w:r w:rsidRPr="00754E28">
        <w:rPr>
          <w:rFonts w:asciiTheme="majorHAnsi" w:hAnsiTheme="majorHAnsi" w:cstheme="majorHAnsi"/>
          <w:sz w:val="22"/>
          <w:szCs w:val="22"/>
        </w:rPr>
        <w:t xml:space="preserve"> 2010; 51: 2341–3.</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Blank L, Baxter S, Baird W, </w:t>
      </w:r>
      <w:proofErr w:type="spellStart"/>
      <w:r w:rsidRPr="00754E28">
        <w:rPr>
          <w:rFonts w:asciiTheme="majorHAnsi" w:hAnsiTheme="majorHAnsi" w:cstheme="majorHAnsi"/>
          <w:sz w:val="22"/>
          <w:szCs w:val="22"/>
        </w:rPr>
        <w:t>Reuber</w:t>
      </w:r>
      <w:proofErr w:type="spellEnd"/>
      <w:r w:rsidRPr="00754E28">
        <w:rPr>
          <w:rFonts w:asciiTheme="majorHAnsi" w:hAnsiTheme="majorHAnsi" w:cstheme="majorHAnsi"/>
          <w:sz w:val="22"/>
          <w:szCs w:val="22"/>
        </w:rPr>
        <w:t xml:space="preserve"> M. Understanding referral patterns to an epilepsy clinic: professional perceptions of factors influencing the referral of older adults. </w:t>
      </w:r>
      <w:r w:rsidRPr="00754E28">
        <w:rPr>
          <w:rFonts w:asciiTheme="majorHAnsi" w:hAnsiTheme="majorHAnsi" w:cstheme="majorHAnsi"/>
          <w:i/>
          <w:sz w:val="22"/>
          <w:szCs w:val="22"/>
        </w:rPr>
        <w:t>Seizure</w:t>
      </w:r>
      <w:r w:rsidRPr="00754E28">
        <w:rPr>
          <w:rFonts w:asciiTheme="majorHAnsi" w:hAnsiTheme="majorHAnsi" w:cstheme="majorHAnsi"/>
          <w:sz w:val="22"/>
          <w:szCs w:val="22"/>
        </w:rPr>
        <w:t xml:space="preserve"> 2013; 22: 698–702.</w:t>
      </w:r>
    </w:p>
    <w:p w:rsidR="00023D70" w:rsidRPr="00754E28" w:rsidRDefault="00023D70" w:rsidP="00023D70">
      <w:pPr>
        <w:pStyle w:val="NormalWeb"/>
        <w:numPr>
          <w:ilvl w:val="0"/>
          <w:numId w:val="9"/>
        </w:numPr>
        <w:spacing w:before="2" w:after="2"/>
        <w:jc w:val="both"/>
        <w:rPr>
          <w:rFonts w:asciiTheme="majorHAnsi" w:hAnsiTheme="majorHAnsi" w:cstheme="majorHAnsi"/>
          <w:sz w:val="22"/>
          <w:szCs w:val="22"/>
        </w:rPr>
      </w:pPr>
      <w:r w:rsidRPr="00754E28">
        <w:rPr>
          <w:rFonts w:asciiTheme="majorHAnsi" w:hAnsiTheme="majorHAnsi" w:cstheme="majorHAnsi"/>
          <w:sz w:val="22"/>
          <w:szCs w:val="22"/>
        </w:rPr>
        <w:t xml:space="preserve">Blank L, Baird W, </w:t>
      </w:r>
      <w:proofErr w:type="spellStart"/>
      <w:r w:rsidRPr="00754E28">
        <w:rPr>
          <w:rFonts w:asciiTheme="majorHAnsi" w:hAnsiTheme="majorHAnsi" w:cstheme="majorHAnsi"/>
          <w:sz w:val="22"/>
          <w:szCs w:val="22"/>
        </w:rPr>
        <w:t>Reuber</w:t>
      </w:r>
      <w:proofErr w:type="spellEnd"/>
      <w:r w:rsidRPr="00754E28">
        <w:rPr>
          <w:rFonts w:asciiTheme="majorHAnsi" w:hAnsiTheme="majorHAnsi" w:cstheme="majorHAnsi"/>
          <w:sz w:val="22"/>
          <w:szCs w:val="22"/>
        </w:rPr>
        <w:t xml:space="preserve"> M. Patient perceptions of the referral of older adults to an epilepsy clinic: Do patients and professionals agree who should be referred to a specialist? </w:t>
      </w:r>
      <w:r w:rsidRPr="00754E28">
        <w:rPr>
          <w:rFonts w:asciiTheme="majorHAnsi" w:hAnsiTheme="majorHAnsi" w:cstheme="majorHAnsi"/>
          <w:i/>
          <w:sz w:val="22"/>
          <w:szCs w:val="22"/>
        </w:rPr>
        <w:t xml:space="preserve">Epilepsy </w:t>
      </w:r>
      <w:proofErr w:type="spellStart"/>
      <w:r w:rsidRPr="00754E28">
        <w:rPr>
          <w:rFonts w:asciiTheme="majorHAnsi" w:hAnsiTheme="majorHAnsi" w:cstheme="majorHAnsi"/>
          <w:i/>
          <w:sz w:val="22"/>
          <w:szCs w:val="22"/>
        </w:rPr>
        <w:t>Behav</w:t>
      </w:r>
      <w:proofErr w:type="spellEnd"/>
      <w:r w:rsidRPr="00754E28">
        <w:rPr>
          <w:rFonts w:asciiTheme="majorHAnsi" w:hAnsiTheme="majorHAnsi" w:cstheme="majorHAnsi"/>
          <w:sz w:val="22"/>
          <w:szCs w:val="22"/>
        </w:rPr>
        <w:t xml:space="preserve"> 2014; 34; 120-123.</w:t>
      </w:r>
    </w:p>
    <w:p w:rsidR="00023D70" w:rsidRPr="00A13ACB" w:rsidRDefault="00023D70" w:rsidP="00023D70">
      <w:pPr>
        <w:jc w:val="both"/>
        <w:rPr>
          <w:rFonts w:asciiTheme="majorHAnsi" w:hAnsiTheme="majorHAnsi" w:cstheme="majorHAnsi"/>
          <w:sz w:val="22"/>
          <w:szCs w:val="22"/>
        </w:rPr>
      </w:pPr>
    </w:p>
    <w:p w:rsidR="00023D70" w:rsidRPr="00A13ACB" w:rsidRDefault="00023D70" w:rsidP="00023D70">
      <w:pPr>
        <w:jc w:val="both"/>
        <w:rPr>
          <w:rFonts w:asciiTheme="majorHAnsi" w:hAnsiTheme="majorHAnsi" w:cstheme="majorHAnsi"/>
          <w:sz w:val="22"/>
          <w:szCs w:val="22"/>
        </w:rPr>
      </w:pPr>
    </w:p>
    <w:p w:rsidR="00023D70" w:rsidRPr="00A13ACB" w:rsidRDefault="00023D70" w:rsidP="00023D70">
      <w:pPr>
        <w:jc w:val="both"/>
        <w:rPr>
          <w:rFonts w:asciiTheme="majorHAnsi" w:hAnsiTheme="majorHAnsi" w:cstheme="majorHAnsi"/>
          <w:sz w:val="22"/>
          <w:szCs w:val="22"/>
        </w:rPr>
      </w:pPr>
    </w:p>
    <w:p w:rsidR="00023D70" w:rsidRPr="00A13ACB" w:rsidRDefault="00023D70" w:rsidP="00023D70">
      <w:pPr>
        <w:pStyle w:val="NormalWeb"/>
        <w:spacing w:before="2" w:after="2"/>
        <w:jc w:val="both"/>
        <w:rPr>
          <w:rFonts w:asciiTheme="majorHAnsi" w:hAnsiTheme="majorHAnsi" w:cstheme="majorHAnsi"/>
          <w:sz w:val="22"/>
          <w:szCs w:val="22"/>
        </w:rPr>
      </w:pPr>
    </w:p>
    <w:p w:rsidR="00EE2C90" w:rsidRPr="00A13ACB" w:rsidRDefault="00EE2C90" w:rsidP="00A13ACB">
      <w:pPr>
        <w:pStyle w:val="NormalWeb"/>
        <w:spacing w:before="2" w:after="2"/>
        <w:jc w:val="both"/>
        <w:rPr>
          <w:rFonts w:asciiTheme="majorHAnsi" w:hAnsiTheme="majorHAnsi" w:cstheme="majorHAnsi"/>
          <w:sz w:val="22"/>
          <w:szCs w:val="22"/>
        </w:rPr>
      </w:pPr>
    </w:p>
    <w:sectPr w:rsidR="00EE2C90" w:rsidRPr="00A13ACB" w:rsidSect="00FD5792">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CC" w:rsidRDefault="00C93DCC" w:rsidP="000A6F71">
      <w:r>
        <w:separator/>
      </w:r>
    </w:p>
  </w:endnote>
  <w:endnote w:type="continuationSeparator" w:id="0">
    <w:p w:rsidR="00C93DCC" w:rsidRDefault="00C93DCC" w:rsidP="000A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72" w:rsidRDefault="00065F72" w:rsidP="000A6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F72" w:rsidRDefault="00065F72" w:rsidP="000A6F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72" w:rsidRDefault="00065F72" w:rsidP="00FB6B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CC" w:rsidRDefault="00C93DCC" w:rsidP="000A6F71">
      <w:r>
        <w:separator/>
      </w:r>
    </w:p>
  </w:footnote>
  <w:footnote w:type="continuationSeparator" w:id="0">
    <w:p w:rsidR="00C93DCC" w:rsidRDefault="00C93DCC" w:rsidP="000A6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59D"/>
    <w:multiLevelType w:val="hybridMultilevel"/>
    <w:tmpl w:val="45EE1D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9650D17"/>
    <w:multiLevelType w:val="multilevel"/>
    <w:tmpl w:val="BF0C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051A0"/>
    <w:multiLevelType w:val="multilevel"/>
    <w:tmpl w:val="56E6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B40A0"/>
    <w:multiLevelType w:val="hybridMultilevel"/>
    <w:tmpl w:val="1C80B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936406"/>
    <w:multiLevelType w:val="hybridMultilevel"/>
    <w:tmpl w:val="45EE1D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B3013E2"/>
    <w:multiLevelType w:val="hybridMultilevel"/>
    <w:tmpl w:val="F7DC7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E676CD"/>
    <w:multiLevelType w:val="hybridMultilevel"/>
    <w:tmpl w:val="C874BD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3194CEF"/>
    <w:multiLevelType w:val="hybridMultilevel"/>
    <w:tmpl w:val="A93E1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4375DF"/>
    <w:multiLevelType w:val="hybridMultilevel"/>
    <w:tmpl w:val="BA608188"/>
    <w:lvl w:ilvl="0" w:tplc="412EEDA0">
      <w:start w:val="1"/>
      <w:numFmt w:val="decimal"/>
      <w:lvlText w:val="%1."/>
      <w:lvlJc w:val="left"/>
      <w:pPr>
        <w:ind w:left="927"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0"/>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73"/>
    <w:rsid w:val="00001DEF"/>
    <w:rsid w:val="00016468"/>
    <w:rsid w:val="000164F4"/>
    <w:rsid w:val="00016824"/>
    <w:rsid w:val="00017ECF"/>
    <w:rsid w:val="000203FA"/>
    <w:rsid w:val="00023D70"/>
    <w:rsid w:val="00025923"/>
    <w:rsid w:val="0003747F"/>
    <w:rsid w:val="00050134"/>
    <w:rsid w:val="00053AC8"/>
    <w:rsid w:val="000558E3"/>
    <w:rsid w:val="000571D2"/>
    <w:rsid w:val="00061E8C"/>
    <w:rsid w:val="00065F72"/>
    <w:rsid w:val="0007113D"/>
    <w:rsid w:val="00073C49"/>
    <w:rsid w:val="0007637C"/>
    <w:rsid w:val="00077D72"/>
    <w:rsid w:val="00083672"/>
    <w:rsid w:val="000846C0"/>
    <w:rsid w:val="00087D29"/>
    <w:rsid w:val="00090328"/>
    <w:rsid w:val="00090EF6"/>
    <w:rsid w:val="00091A7C"/>
    <w:rsid w:val="000A108A"/>
    <w:rsid w:val="000A6F71"/>
    <w:rsid w:val="000C5198"/>
    <w:rsid w:val="000C571A"/>
    <w:rsid w:val="000D2ACB"/>
    <w:rsid w:val="000E0C15"/>
    <w:rsid w:val="000E49F3"/>
    <w:rsid w:val="001035E7"/>
    <w:rsid w:val="001154C3"/>
    <w:rsid w:val="00120C0D"/>
    <w:rsid w:val="001321C7"/>
    <w:rsid w:val="00133989"/>
    <w:rsid w:val="001410AA"/>
    <w:rsid w:val="0014514F"/>
    <w:rsid w:val="00145B14"/>
    <w:rsid w:val="00180C92"/>
    <w:rsid w:val="00183058"/>
    <w:rsid w:val="001A286E"/>
    <w:rsid w:val="001B0F9D"/>
    <w:rsid w:val="001B41C0"/>
    <w:rsid w:val="001B6642"/>
    <w:rsid w:val="001C4A01"/>
    <w:rsid w:val="001D0D46"/>
    <w:rsid w:val="001D2759"/>
    <w:rsid w:val="001D5235"/>
    <w:rsid w:val="001E1987"/>
    <w:rsid w:val="001E4C4E"/>
    <w:rsid w:val="001E749C"/>
    <w:rsid w:val="001F7ABE"/>
    <w:rsid w:val="00206ACA"/>
    <w:rsid w:val="002315E2"/>
    <w:rsid w:val="0023291F"/>
    <w:rsid w:val="002422D7"/>
    <w:rsid w:val="0024603E"/>
    <w:rsid w:val="002512AE"/>
    <w:rsid w:val="00257B4C"/>
    <w:rsid w:val="00261178"/>
    <w:rsid w:val="00262A2B"/>
    <w:rsid w:val="00266BA4"/>
    <w:rsid w:val="002777F5"/>
    <w:rsid w:val="00285D89"/>
    <w:rsid w:val="0029203E"/>
    <w:rsid w:val="00292114"/>
    <w:rsid w:val="002932D7"/>
    <w:rsid w:val="002A06D4"/>
    <w:rsid w:val="002A28D1"/>
    <w:rsid w:val="002B4BE6"/>
    <w:rsid w:val="002B6C2C"/>
    <w:rsid w:val="002B7595"/>
    <w:rsid w:val="002C262D"/>
    <w:rsid w:val="002C34A7"/>
    <w:rsid w:val="002C4167"/>
    <w:rsid w:val="002C5692"/>
    <w:rsid w:val="002C5FCA"/>
    <w:rsid w:val="002D2A50"/>
    <w:rsid w:val="002D7D88"/>
    <w:rsid w:val="002E1CDA"/>
    <w:rsid w:val="002E5CFA"/>
    <w:rsid w:val="002E602B"/>
    <w:rsid w:val="002E6775"/>
    <w:rsid w:val="002E7D77"/>
    <w:rsid w:val="002F50F0"/>
    <w:rsid w:val="002F6F9D"/>
    <w:rsid w:val="00301933"/>
    <w:rsid w:val="003027CB"/>
    <w:rsid w:val="003039C7"/>
    <w:rsid w:val="00305F76"/>
    <w:rsid w:val="00310294"/>
    <w:rsid w:val="003128FE"/>
    <w:rsid w:val="00321390"/>
    <w:rsid w:val="003216DF"/>
    <w:rsid w:val="00327B2D"/>
    <w:rsid w:val="003378E5"/>
    <w:rsid w:val="00337FB6"/>
    <w:rsid w:val="003472F2"/>
    <w:rsid w:val="00347DA3"/>
    <w:rsid w:val="00352400"/>
    <w:rsid w:val="00353D49"/>
    <w:rsid w:val="003554F7"/>
    <w:rsid w:val="00362336"/>
    <w:rsid w:val="00365CE1"/>
    <w:rsid w:val="003B215C"/>
    <w:rsid w:val="003B391E"/>
    <w:rsid w:val="003B40DD"/>
    <w:rsid w:val="003B57D4"/>
    <w:rsid w:val="003B58A1"/>
    <w:rsid w:val="003B6E9C"/>
    <w:rsid w:val="003D3293"/>
    <w:rsid w:val="003E02CD"/>
    <w:rsid w:val="003E6F3C"/>
    <w:rsid w:val="003F2B28"/>
    <w:rsid w:val="003F56C3"/>
    <w:rsid w:val="003F61A0"/>
    <w:rsid w:val="003F6829"/>
    <w:rsid w:val="003F6EFF"/>
    <w:rsid w:val="0040225D"/>
    <w:rsid w:val="00402F98"/>
    <w:rsid w:val="00407300"/>
    <w:rsid w:val="004202C3"/>
    <w:rsid w:val="004243BC"/>
    <w:rsid w:val="00424821"/>
    <w:rsid w:val="00424B12"/>
    <w:rsid w:val="0043261D"/>
    <w:rsid w:val="00432A43"/>
    <w:rsid w:val="00446AF5"/>
    <w:rsid w:val="00446D6D"/>
    <w:rsid w:val="00452188"/>
    <w:rsid w:val="00454810"/>
    <w:rsid w:val="004559AE"/>
    <w:rsid w:val="00457420"/>
    <w:rsid w:val="004639B8"/>
    <w:rsid w:val="00463FB3"/>
    <w:rsid w:val="004672CB"/>
    <w:rsid w:val="00477112"/>
    <w:rsid w:val="00481080"/>
    <w:rsid w:val="00491C18"/>
    <w:rsid w:val="00493B0A"/>
    <w:rsid w:val="004B29A9"/>
    <w:rsid w:val="004B48C1"/>
    <w:rsid w:val="004B540A"/>
    <w:rsid w:val="004C2524"/>
    <w:rsid w:val="004C3B06"/>
    <w:rsid w:val="004C7524"/>
    <w:rsid w:val="004D48F3"/>
    <w:rsid w:val="004E43CA"/>
    <w:rsid w:val="004E4692"/>
    <w:rsid w:val="004E5A18"/>
    <w:rsid w:val="004E7AD5"/>
    <w:rsid w:val="004F3DC9"/>
    <w:rsid w:val="004F50D7"/>
    <w:rsid w:val="004F537E"/>
    <w:rsid w:val="005041C6"/>
    <w:rsid w:val="00510E50"/>
    <w:rsid w:val="005137AE"/>
    <w:rsid w:val="00521BC1"/>
    <w:rsid w:val="0052701E"/>
    <w:rsid w:val="00533A5D"/>
    <w:rsid w:val="00536313"/>
    <w:rsid w:val="00537065"/>
    <w:rsid w:val="00537EB1"/>
    <w:rsid w:val="00540DFB"/>
    <w:rsid w:val="005453CB"/>
    <w:rsid w:val="005526AA"/>
    <w:rsid w:val="0056627F"/>
    <w:rsid w:val="005737B8"/>
    <w:rsid w:val="00575F78"/>
    <w:rsid w:val="00577999"/>
    <w:rsid w:val="00590415"/>
    <w:rsid w:val="00596EC3"/>
    <w:rsid w:val="00597CF1"/>
    <w:rsid w:val="005A012D"/>
    <w:rsid w:val="005A5465"/>
    <w:rsid w:val="005A75E5"/>
    <w:rsid w:val="005B0417"/>
    <w:rsid w:val="005B3C83"/>
    <w:rsid w:val="005B4B4C"/>
    <w:rsid w:val="005B6B77"/>
    <w:rsid w:val="005D17CB"/>
    <w:rsid w:val="005D1E4D"/>
    <w:rsid w:val="005D361C"/>
    <w:rsid w:val="005D45BA"/>
    <w:rsid w:val="005D575C"/>
    <w:rsid w:val="005E7FCE"/>
    <w:rsid w:val="005F2BF6"/>
    <w:rsid w:val="005F3B86"/>
    <w:rsid w:val="00604CBF"/>
    <w:rsid w:val="00630453"/>
    <w:rsid w:val="00642B71"/>
    <w:rsid w:val="006458CA"/>
    <w:rsid w:val="006543D1"/>
    <w:rsid w:val="00657189"/>
    <w:rsid w:val="0066345E"/>
    <w:rsid w:val="00663769"/>
    <w:rsid w:val="00663D56"/>
    <w:rsid w:val="006711A2"/>
    <w:rsid w:val="0068397C"/>
    <w:rsid w:val="00683A69"/>
    <w:rsid w:val="0068611C"/>
    <w:rsid w:val="00686188"/>
    <w:rsid w:val="0069221F"/>
    <w:rsid w:val="00694046"/>
    <w:rsid w:val="00694B82"/>
    <w:rsid w:val="00695E50"/>
    <w:rsid w:val="006A6A10"/>
    <w:rsid w:val="006B3732"/>
    <w:rsid w:val="006C58DD"/>
    <w:rsid w:val="006C5E63"/>
    <w:rsid w:val="006C795F"/>
    <w:rsid w:val="006D10AC"/>
    <w:rsid w:val="006D3F75"/>
    <w:rsid w:val="006E2832"/>
    <w:rsid w:val="006E3141"/>
    <w:rsid w:val="006E4B0C"/>
    <w:rsid w:val="00701D80"/>
    <w:rsid w:val="007034EB"/>
    <w:rsid w:val="00711212"/>
    <w:rsid w:val="00713451"/>
    <w:rsid w:val="0071754D"/>
    <w:rsid w:val="0072212B"/>
    <w:rsid w:val="007248C5"/>
    <w:rsid w:val="00733899"/>
    <w:rsid w:val="0073409E"/>
    <w:rsid w:val="0074072B"/>
    <w:rsid w:val="00745652"/>
    <w:rsid w:val="007469A4"/>
    <w:rsid w:val="00754E28"/>
    <w:rsid w:val="00755913"/>
    <w:rsid w:val="007602FD"/>
    <w:rsid w:val="00761A0E"/>
    <w:rsid w:val="007673D9"/>
    <w:rsid w:val="007701C2"/>
    <w:rsid w:val="00774A69"/>
    <w:rsid w:val="0077739F"/>
    <w:rsid w:val="0078523E"/>
    <w:rsid w:val="00790173"/>
    <w:rsid w:val="007A26A2"/>
    <w:rsid w:val="007A3CD5"/>
    <w:rsid w:val="007A4379"/>
    <w:rsid w:val="007B01AD"/>
    <w:rsid w:val="007C0455"/>
    <w:rsid w:val="007C10C6"/>
    <w:rsid w:val="007C15A3"/>
    <w:rsid w:val="007C656A"/>
    <w:rsid w:val="007D0DAC"/>
    <w:rsid w:val="007D3292"/>
    <w:rsid w:val="007F19C0"/>
    <w:rsid w:val="007F22D1"/>
    <w:rsid w:val="007F42AE"/>
    <w:rsid w:val="0080358B"/>
    <w:rsid w:val="00804376"/>
    <w:rsid w:val="00805CB5"/>
    <w:rsid w:val="0081500F"/>
    <w:rsid w:val="008200E2"/>
    <w:rsid w:val="00820471"/>
    <w:rsid w:val="008224C7"/>
    <w:rsid w:val="008258D2"/>
    <w:rsid w:val="00833E76"/>
    <w:rsid w:val="00851076"/>
    <w:rsid w:val="00854651"/>
    <w:rsid w:val="00856DDD"/>
    <w:rsid w:val="00856E95"/>
    <w:rsid w:val="00857CDA"/>
    <w:rsid w:val="0086356D"/>
    <w:rsid w:val="0087114F"/>
    <w:rsid w:val="008737A1"/>
    <w:rsid w:val="00880E54"/>
    <w:rsid w:val="008813FE"/>
    <w:rsid w:val="008838A2"/>
    <w:rsid w:val="008858F5"/>
    <w:rsid w:val="00887A30"/>
    <w:rsid w:val="00895029"/>
    <w:rsid w:val="008A05ED"/>
    <w:rsid w:val="008A137E"/>
    <w:rsid w:val="008B1EC1"/>
    <w:rsid w:val="008B3A6F"/>
    <w:rsid w:val="008B71B3"/>
    <w:rsid w:val="008C3A42"/>
    <w:rsid w:val="008C4C9F"/>
    <w:rsid w:val="008D40F2"/>
    <w:rsid w:val="008D55A4"/>
    <w:rsid w:val="008D576E"/>
    <w:rsid w:val="008D7815"/>
    <w:rsid w:val="008F0E78"/>
    <w:rsid w:val="008F38D1"/>
    <w:rsid w:val="008F6E84"/>
    <w:rsid w:val="009012E1"/>
    <w:rsid w:val="00907934"/>
    <w:rsid w:val="00917DEA"/>
    <w:rsid w:val="00926300"/>
    <w:rsid w:val="00930000"/>
    <w:rsid w:val="00936015"/>
    <w:rsid w:val="00936925"/>
    <w:rsid w:val="00946B71"/>
    <w:rsid w:val="00946CBC"/>
    <w:rsid w:val="00947A96"/>
    <w:rsid w:val="009548A1"/>
    <w:rsid w:val="00961EBA"/>
    <w:rsid w:val="009767A8"/>
    <w:rsid w:val="00980D60"/>
    <w:rsid w:val="00982BED"/>
    <w:rsid w:val="009831CF"/>
    <w:rsid w:val="0099204B"/>
    <w:rsid w:val="00994EC7"/>
    <w:rsid w:val="009A2426"/>
    <w:rsid w:val="009B5C3F"/>
    <w:rsid w:val="009C0ABB"/>
    <w:rsid w:val="009C11AA"/>
    <w:rsid w:val="009C2D22"/>
    <w:rsid w:val="009D181F"/>
    <w:rsid w:val="009D411D"/>
    <w:rsid w:val="009D60F7"/>
    <w:rsid w:val="009D7296"/>
    <w:rsid w:val="009E7150"/>
    <w:rsid w:val="009F0D0E"/>
    <w:rsid w:val="009F2E10"/>
    <w:rsid w:val="009F7EDA"/>
    <w:rsid w:val="00A04D30"/>
    <w:rsid w:val="00A13ACB"/>
    <w:rsid w:val="00A14254"/>
    <w:rsid w:val="00A14455"/>
    <w:rsid w:val="00A2297E"/>
    <w:rsid w:val="00A24900"/>
    <w:rsid w:val="00A3225A"/>
    <w:rsid w:val="00A36A85"/>
    <w:rsid w:val="00A54C6B"/>
    <w:rsid w:val="00A6370B"/>
    <w:rsid w:val="00A72316"/>
    <w:rsid w:val="00A75101"/>
    <w:rsid w:val="00A81AE0"/>
    <w:rsid w:val="00A824D2"/>
    <w:rsid w:val="00A9272E"/>
    <w:rsid w:val="00AA3ED8"/>
    <w:rsid w:val="00AA4C9B"/>
    <w:rsid w:val="00AB02BD"/>
    <w:rsid w:val="00AB4157"/>
    <w:rsid w:val="00AB7086"/>
    <w:rsid w:val="00AB7B38"/>
    <w:rsid w:val="00AC0299"/>
    <w:rsid w:val="00AC02C1"/>
    <w:rsid w:val="00AC10F2"/>
    <w:rsid w:val="00AE2CED"/>
    <w:rsid w:val="00AF203E"/>
    <w:rsid w:val="00B02E6A"/>
    <w:rsid w:val="00B10683"/>
    <w:rsid w:val="00B13BAD"/>
    <w:rsid w:val="00B155C7"/>
    <w:rsid w:val="00B20BDA"/>
    <w:rsid w:val="00B2261E"/>
    <w:rsid w:val="00B27D1A"/>
    <w:rsid w:val="00B55B8C"/>
    <w:rsid w:val="00B6051E"/>
    <w:rsid w:val="00B66F96"/>
    <w:rsid w:val="00B6730C"/>
    <w:rsid w:val="00B73470"/>
    <w:rsid w:val="00B74E47"/>
    <w:rsid w:val="00B82D9C"/>
    <w:rsid w:val="00B83641"/>
    <w:rsid w:val="00B845E1"/>
    <w:rsid w:val="00B848AE"/>
    <w:rsid w:val="00BA4EE5"/>
    <w:rsid w:val="00BB641D"/>
    <w:rsid w:val="00BB7F44"/>
    <w:rsid w:val="00BD64B4"/>
    <w:rsid w:val="00BE6EA1"/>
    <w:rsid w:val="00BF01E1"/>
    <w:rsid w:val="00BF3BD6"/>
    <w:rsid w:val="00C109EC"/>
    <w:rsid w:val="00C12433"/>
    <w:rsid w:val="00C14A2D"/>
    <w:rsid w:val="00C166D2"/>
    <w:rsid w:val="00C20EEB"/>
    <w:rsid w:val="00C25C9C"/>
    <w:rsid w:val="00C25E9C"/>
    <w:rsid w:val="00C3059A"/>
    <w:rsid w:val="00C307F0"/>
    <w:rsid w:val="00C3407F"/>
    <w:rsid w:val="00C413AB"/>
    <w:rsid w:val="00C51CA9"/>
    <w:rsid w:val="00C52CEE"/>
    <w:rsid w:val="00C544AD"/>
    <w:rsid w:val="00C547D9"/>
    <w:rsid w:val="00C567B6"/>
    <w:rsid w:val="00C614ED"/>
    <w:rsid w:val="00C72D4B"/>
    <w:rsid w:val="00C80F23"/>
    <w:rsid w:val="00C838AB"/>
    <w:rsid w:val="00C92E3B"/>
    <w:rsid w:val="00C93DCC"/>
    <w:rsid w:val="00C95B1C"/>
    <w:rsid w:val="00CA46CF"/>
    <w:rsid w:val="00CA5EAB"/>
    <w:rsid w:val="00CB0340"/>
    <w:rsid w:val="00CB1B03"/>
    <w:rsid w:val="00CC4E5D"/>
    <w:rsid w:val="00CC52D0"/>
    <w:rsid w:val="00CC5DA4"/>
    <w:rsid w:val="00CD2806"/>
    <w:rsid w:val="00CF4133"/>
    <w:rsid w:val="00D033F1"/>
    <w:rsid w:val="00D043CE"/>
    <w:rsid w:val="00D0472F"/>
    <w:rsid w:val="00D10E7A"/>
    <w:rsid w:val="00D12480"/>
    <w:rsid w:val="00D14CD9"/>
    <w:rsid w:val="00D20E40"/>
    <w:rsid w:val="00D21319"/>
    <w:rsid w:val="00D2411F"/>
    <w:rsid w:val="00D26ED3"/>
    <w:rsid w:val="00D327C9"/>
    <w:rsid w:val="00D33281"/>
    <w:rsid w:val="00D343D2"/>
    <w:rsid w:val="00D35C49"/>
    <w:rsid w:val="00D42921"/>
    <w:rsid w:val="00D44497"/>
    <w:rsid w:val="00D54A63"/>
    <w:rsid w:val="00D5621B"/>
    <w:rsid w:val="00D809D8"/>
    <w:rsid w:val="00D8293C"/>
    <w:rsid w:val="00D92657"/>
    <w:rsid w:val="00D96303"/>
    <w:rsid w:val="00DA1463"/>
    <w:rsid w:val="00DA476E"/>
    <w:rsid w:val="00DB3EE8"/>
    <w:rsid w:val="00DC5444"/>
    <w:rsid w:val="00DC7BAA"/>
    <w:rsid w:val="00DE7D62"/>
    <w:rsid w:val="00DF1B99"/>
    <w:rsid w:val="00DF3B19"/>
    <w:rsid w:val="00DF48C4"/>
    <w:rsid w:val="00E0167E"/>
    <w:rsid w:val="00E07683"/>
    <w:rsid w:val="00E07E36"/>
    <w:rsid w:val="00E11ADC"/>
    <w:rsid w:val="00E15ECA"/>
    <w:rsid w:val="00E21F90"/>
    <w:rsid w:val="00E24A51"/>
    <w:rsid w:val="00E25FBF"/>
    <w:rsid w:val="00E343ED"/>
    <w:rsid w:val="00E44198"/>
    <w:rsid w:val="00E4435F"/>
    <w:rsid w:val="00E535D6"/>
    <w:rsid w:val="00E55326"/>
    <w:rsid w:val="00E55625"/>
    <w:rsid w:val="00E56FAD"/>
    <w:rsid w:val="00E57D4B"/>
    <w:rsid w:val="00E60801"/>
    <w:rsid w:val="00E62055"/>
    <w:rsid w:val="00E65491"/>
    <w:rsid w:val="00E66170"/>
    <w:rsid w:val="00E85B2F"/>
    <w:rsid w:val="00E917B9"/>
    <w:rsid w:val="00E9710F"/>
    <w:rsid w:val="00EA0222"/>
    <w:rsid w:val="00EA67A2"/>
    <w:rsid w:val="00EB7837"/>
    <w:rsid w:val="00EC0206"/>
    <w:rsid w:val="00EC0C93"/>
    <w:rsid w:val="00EC1FC6"/>
    <w:rsid w:val="00EC42C9"/>
    <w:rsid w:val="00ED35D7"/>
    <w:rsid w:val="00ED3A06"/>
    <w:rsid w:val="00ED4B9D"/>
    <w:rsid w:val="00EE2C90"/>
    <w:rsid w:val="00EF123F"/>
    <w:rsid w:val="00F0487B"/>
    <w:rsid w:val="00F14F11"/>
    <w:rsid w:val="00F164E4"/>
    <w:rsid w:val="00F16A49"/>
    <w:rsid w:val="00F27B62"/>
    <w:rsid w:val="00F27B8A"/>
    <w:rsid w:val="00F336BF"/>
    <w:rsid w:val="00F349B6"/>
    <w:rsid w:val="00F4314A"/>
    <w:rsid w:val="00F44089"/>
    <w:rsid w:val="00F64321"/>
    <w:rsid w:val="00F6439B"/>
    <w:rsid w:val="00F777F8"/>
    <w:rsid w:val="00F80116"/>
    <w:rsid w:val="00F81132"/>
    <w:rsid w:val="00F81A3B"/>
    <w:rsid w:val="00F85C4D"/>
    <w:rsid w:val="00F957D4"/>
    <w:rsid w:val="00F966C5"/>
    <w:rsid w:val="00F96992"/>
    <w:rsid w:val="00F97582"/>
    <w:rsid w:val="00FA4AE1"/>
    <w:rsid w:val="00FA5FD6"/>
    <w:rsid w:val="00FB17B7"/>
    <w:rsid w:val="00FB1BAA"/>
    <w:rsid w:val="00FB4614"/>
    <w:rsid w:val="00FB6B2C"/>
    <w:rsid w:val="00FB7E45"/>
    <w:rsid w:val="00FC795C"/>
    <w:rsid w:val="00FD01EF"/>
    <w:rsid w:val="00FD5792"/>
    <w:rsid w:val="00FD7694"/>
    <w:rsid w:val="00FE4E18"/>
    <w:rsid w:val="00FE6E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E7"/>
  </w:style>
  <w:style w:type="paragraph" w:styleId="Heading1">
    <w:name w:val="heading 1"/>
    <w:basedOn w:val="Normal"/>
    <w:link w:val="Heading1Char"/>
    <w:uiPriority w:val="9"/>
    <w:qFormat/>
    <w:rsid w:val="00895029"/>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2426"/>
    <w:pPr>
      <w:spacing w:beforeLines="1" w:afterLines="1"/>
    </w:pPr>
    <w:rPr>
      <w:rFonts w:ascii="Times" w:eastAsiaTheme="minorHAnsi" w:hAnsi="Times" w:cs="Times New Roman"/>
      <w:sz w:val="20"/>
      <w:szCs w:val="20"/>
      <w:lang w:val="en-GB"/>
    </w:rPr>
  </w:style>
  <w:style w:type="paragraph" w:styleId="ListParagraph">
    <w:name w:val="List Paragraph"/>
    <w:basedOn w:val="Normal"/>
    <w:uiPriority w:val="34"/>
    <w:qFormat/>
    <w:rsid w:val="009A2426"/>
    <w:pPr>
      <w:ind w:left="720"/>
      <w:contextualSpacing/>
    </w:pPr>
    <w:rPr>
      <w:rFonts w:eastAsiaTheme="minorHAnsi"/>
    </w:rPr>
  </w:style>
  <w:style w:type="paragraph" w:styleId="NoSpacing">
    <w:name w:val="No Spacing"/>
    <w:link w:val="NoSpacingChar"/>
    <w:uiPriority w:val="99"/>
    <w:qFormat/>
    <w:rsid w:val="004C7524"/>
    <w:rPr>
      <w:rFonts w:ascii="Calibri" w:eastAsia="Times New Roman" w:hAnsi="Calibri" w:cs="Times New Roman"/>
      <w:sz w:val="22"/>
      <w:szCs w:val="22"/>
      <w:lang w:val="en-GB"/>
    </w:rPr>
  </w:style>
  <w:style w:type="character" w:customStyle="1" w:styleId="NoSpacingChar">
    <w:name w:val="No Spacing Char"/>
    <w:basedOn w:val="DefaultParagraphFont"/>
    <w:link w:val="NoSpacing"/>
    <w:uiPriority w:val="99"/>
    <w:locked/>
    <w:rsid w:val="004C7524"/>
    <w:rPr>
      <w:rFonts w:ascii="Calibri" w:eastAsia="Times New Roman" w:hAnsi="Calibri" w:cs="Times New Roman"/>
      <w:sz w:val="22"/>
      <w:szCs w:val="22"/>
      <w:lang w:val="en-GB"/>
    </w:rPr>
  </w:style>
  <w:style w:type="table" w:styleId="TableGrid">
    <w:name w:val="Table Grid"/>
    <w:basedOn w:val="TableNormal"/>
    <w:uiPriority w:val="59"/>
    <w:rsid w:val="00CC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C3F"/>
    <w:rPr>
      <w:rFonts w:ascii="Lucida Grande" w:hAnsi="Lucida Grande"/>
      <w:sz w:val="18"/>
      <w:szCs w:val="18"/>
    </w:rPr>
  </w:style>
  <w:style w:type="character" w:customStyle="1" w:styleId="BalloonTextChar">
    <w:name w:val="Balloon Text Char"/>
    <w:basedOn w:val="DefaultParagraphFont"/>
    <w:link w:val="BalloonText"/>
    <w:uiPriority w:val="99"/>
    <w:semiHidden/>
    <w:rsid w:val="009B5C3F"/>
    <w:rPr>
      <w:rFonts w:ascii="Lucida Grande" w:hAnsi="Lucida Grande"/>
      <w:sz w:val="18"/>
      <w:szCs w:val="18"/>
    </w:rPr>
  </w:style>
  <w:style w:type="paragraph" w:styleId="Footer">
    <w:name w:val="footer"/>
    <w:basedOn w:val="Normal"/>
    <w:link w:val="FooterChar"/>
    <w:uiPriority w:val="99"/>
    <w:unhideWhenUsed/>
    <w:rsid w:val="000A6F71"/>
    <w:pPr>
      <w:tabs>
        <w:tab w:val="center" w:pos="4320"/>
        <w:tab w:val="right" w:pos="8640"/>
      </w:tabs>
    </w:pPr>
  </w:style>
  <w:style w:type="character" w:customStyle="1" w:styleId="FooterChar">
    <w:name w:val="Footer Char"/>
    <w:basedOn w:val="DefaultParagraphFont"/>
    <w:link w:val="Footer"/>
    <w:uiPriority w:val="99"/>
    <w:rsid w:val="000A6F71"/>
  </w:style>
  <w:style w:type="character" w:styleId="PageNumber">
    <w:name w:val="page number"/>
    <w:basedOn w:val="DefaultParagraphFont"/>
    <w:uiPriority w:val="99"/>
    <w:semiHidden/>
    <w:unhideWhenUsed/>
    <w:rsid w:val="000A6F71"/>
  </w:style>
  <w:style w:type="character" w:styleId="CommentReference">
    <w:name w:val="annotation reference"/>
    <w:basedOn w:val="DefaultParagraphFont"/>
    <w:uiPriority w:val="99"/>
    <w:semiHidden/>
    <w:unhideWhenUsed/>
    <w:rsid w:val="00061E8C"/>
    <w:rPr>
      <w:sz w:val="16"/>
      <w:szCs w:val="16"/>
    </w:rPr>
  </w:style>
  <w:style w:type="paragraph" w:styleId="CommentText">
    <w:name w:val="annotation text"/>
    <w:basedOn w:val="Normal"/>
    <w:link w:val="CommentTextChar"/>
    <w:uiPriority w:val="99"/>
    <w:semiHidden/>
    <w:unhideWhenUsed/>
    <w:rsid w:val="00061E8C"/>
    <w:rPr>
      <w:sz w:val="20"/>
      <w:szCs w:val="20"/>
    </w:rPr>
  </w:style>
  <w:style w:type="character" w:customStyle="1" w:styleId="CommentTextChar">
    <w:name w:val="Comment Text Char"/>
    <w:basedOn w:val="DefaultParagraphFont"/>
    <w:link w:val="CommentText"/>
    <w:uiPriority w:val="99"/>
    <w:semiHidden/>
    <w:rsid w:val="00061E8C"/>
    <w:rPr>
      <w:sz w:val="20"/>
      <w:szCs w:val="20"/>
    </w:rPr>
  </w:style>
  <w:style w:type="paragraph" w:styleId="CommentSubject">
    <w:name w:val="annotation subject"/>
    <w:basedOn w:val="CommentText"/>
    <w:next w:val="CommentText"/>
    <w:link w:val="CommentSubjectChar"/>
    <w:uiPriority w:val="99"/>
    <w:semiHidden/>
    <w:unhideWhenUsed/>
    <w:rsid w:val="00061E8C"/>
    <w:rPr>
      <w:b/>
      <w:bCs/>
    </w:rPr>
  </w:style>
  <w:style w:type="character" w:customStyle="1" w:styleId="CommentSubjectChar">
    <w:name w:val="Comment Subject Char"/>
    <w:basedOn w:val="CommentTextChar"/>
    <w:link w:val="CommentSubject"/>
    <w:uiPriority w:val="99"/>
    <w:semiHidden/>
    <w:rsid w:val="00061E8C"/>
    <w:rPr>
      <w:b/>
      <w:bCs/>
      <w:sz w:val="20"/>
      <w:szCs w:val="20"/>
    </w:rPr>
  </w:style>
  <w:style w:type="paragraph" w:styleId="Revision">
    <w:name w:val="Revision"/>
    <w:hidden/>
    <w:uiPriority w:val="99"/>
    <w:semiHidden/>
    <w:rsid w:val="00491C18"/>
  </w:style>
  <w:style w:type="character" w:styleId="Hyperlink">
    <w:name w:val="Hyperlink"/>
    <w:basedOn w:val="DefaultParagraphFont"/>
    <w:uiPriority w:val="99"/>
    <w:unhideWhenUsed/>
    <w:rsid w:val="00A6370B"/>
    <w:rPr>
      <w:color w:val="0000FF"/>
      <w:u w:val="single"/>
    </w:rPr>
  </w:style>
  <w:style w:type="paragraph" w:styleId="PlainText">
    <w:name w:val="Plain Text"/>
    <w:basedOn w:val="Normal"/>
    <w:link w:val="PlainTextChar"/>
    <w:uiPriority w:val="99"/>
    <w:unhideWhenUsed/>
    <w:rsid w:val="00A6370B"/>
    <w:rPr>
      <w:rFonts w:ascii="Calibri" w:eastAsia="Times New Roman" w:hAnsi="Calibri" w:cs="Times New Roman"/>
      <w:sz w:val="22"/>
      <w:szCs w:val="21"/>
      <w:lang w:val="en-GB" w:eastAsia="en-GB"/>
    </w:rPr>
  </w:style>
  <w:style w:type="character" w:customStyle="1" w:styleId="PlainTextChar">
    <w:name w:val="Plain Text Char"/>
    <w:basedOn w:val="DefaultParagraphFont"/>
    <w:link w:val="PlainText"/>
    <w:uiPriority w:val="99"/>
    <w:rsid w:val="00A6370B"/>
    <w:rPr>
      <w:rFonts w:ascii="Calibri" w:eastAsia="Times New Roman" w:hAnsi="Calibri" w:cs="Times New Roman"/>
      <w:sz w:val="22"/>
      <w:szCs w:val="21"/>
      <w:lang w:val="en-GB" w:eastAsia="en-GB"/>
    </w:rPr>
  </w:style>
  <w:style w:type="character" w:customStyle="1" w:styleId="Heading1Char">
    <w:name w:val="Heading 1 Char"/>
    <w:basedOn w:val="DefaultParagraphFont"/>
    <w:link w:val="Heading1"/>
    <w:uiPriority w:val="9"/>
    <w:rsid w:val="00895029"/>
    <w:rPr>
      <w:rFonts w:ascii="Times New Roman" w:eastAsia="Times New Roman" w:hAnsi="Times New Roman" w:cs="Times New Roman"/>
      <w:b/>
      <w:bCs/>
      <w:kern w:val="36"/>
      <w:sz w:val="48"/>
      <w:szCs w:val="48"/>
      <w:lang w:val="en-GB" w:eastAsia="en-GB"/>
    </w:rPr>
  </w:style>
  <w:style w:type="character" w:styleId="HTMLCite">
    <w:name w:val="HTML Cite"/>
    <w:basedOn w:val="DefaultParagraphFont"/>
    <w:uiPriority w:val="99"/>
    <w:semiHidden/>
    <w:unhideWhenUsed/>
    <w:rsid w:val="00895029"/>
    <w:rPr>
      <w:i/>
      <w:iCs/>
    </w:rPr>
  </w:style>
  <w:style w:type="character" w:customStyle="1" w:styleId="apple-converted-space">
    <w:name w:val="apple-converted-space"/>
    <w:basedOn w:val="DefaultParagraphFont"/>
    <w:rsid w:val="00895029"/>
  </w:style>
  <w:style w:type="character" w:customStyle="1" w:styleId="slug-pub-date">
    <w:name w:val="slug-pub-date"/>
    <w:basedOn w:val="DefaultParagraphFont"/>
    <w:rsid w:val="00895029"/>
  </w:style>
  <w:style w:type="character" w:customStyle="1" w:styleId="slug-vol">
    <w:name w:val="slug-vol"/>
    <w:basedOn w:val="DefaultParagraphFont"/>
    <w:rsid w:val="00895029"/>
  </w:style>
  <w:style w:type="character" w:customStyle="1" w:styleId="cit-sep">
    <w:name w:val="cit-sep"/>
    <w:basedOn w:val="DefaultParagraphFont"/>
    <w:rsid w:val="00895029"/>
  </w:style>
  <w:style w:type="character" w:customStyle="1" w:styleId="slug-elocation">
    <w:name w:val="slug-elocation"/>
    <w:basedOn w:val="DefaultParagraphFont"/>
    <w:rsid w:val="00895029"/>
  </w:style>
  <w:style w:type="character" w:customStyle="1" w:styleId="slug-doi">
    <w:name w:val="slug-doi"/>
    <w:basedOn w:val="DefaultParagraphFont"/>
    <w:rsid w:val="00895029"/>
  </w:style>
  <w:style w:type="character" w:customStyle="1" w:styleId="name">
    <w:name w:val="name"/>
    <w:basedOn w:val="DefaultParagraphFont"/>
    <w:rsid w:val="00895029"/>
  </w:style>
  <w:style w:type="character" w:customStyle="1" w:styleId="xref-sep">
    <w:name w:val="xref-sep"/>
    <w:basedOn w:val="DefaultParagraphFont"/>
    <w:rsid w:val="00895029"/>
  </w:style>
  <w:style w:type="paragraph" w:styleId="Header">
    <w:name w:val="header"/>
    <w:basedOn w:val="Normal"/>
    <w:link w:val="HeaderChar"/>
    <w:uiPriority w:val="99"/>
    <w:unhideWhenUsed/>
    <w:rsid w:val="00FB6B2C"/>
    <w:pPr>
      <w:tabs>
        <w:tab w:val="center" w:pos="4513"/>
        <w:tab w:val="right" w:pos="9026"/>
      </w:tabs>
    </w:pPr>
  </w:style>
  <w:style w:type="character" w:customStyle="1" w:styleId="HeaderChar">
    <w:name w:val="Header Char"/>
    <w:basedOn w:val="DefaultParagraphFont"/>
    <w:link w:val="Header"/>
    <w:uiPriority w:val="99"/>
    <w:rsid w:val="00FB6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E7"/>
  </w:style>
  <w:style w:type="paragraph" w:styleId="Heading1">
    <w:name w:val="heading 1"/>
    <w:basedOn w:val="Normal"/>
    <w:link w:val="Heading1Char"/>
    <w:uiPriority w:val="9"/>
    <w:qFormat/>
    <w:rsid w:val="00895029"/>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2426"/>
    <w:pPr>
      <w:spacing w:beforeLines="1" w:afterLines="1"/>
    </w:pPr>
    <w:rPr>
      <w:rFonts w:ascii="Times" w:eastAsiaTheme="minorHAnsi" w:hAnsi="Times" w:cs="Times New Roman"/>
      <w:sz w:val="20"/>
      <w:szCs w:val="20"/>
      <w:lang w:val="en-GB"/>
    </w:rPr>
  </w:style>
  <w:style w:type="paragraph" w:styleId="ListParagraph">
    <w:name w:val="List Paragraph"/>
    <w:basedOn w:val="Normal"/>
    <w:uiPriority w:val="34"/>
    <w:qFormat/>
    <w:rsid w:val="009A2426"/>
    <w:pPr>
      <w:ind w:left="720"/>
      <w:contextualSpacing/>
    </w:pPr>
    <w:rPr>
      <w:rFonts w:eastAsiaTheme="minorHAnsi"/>
    </w:rPr>
  </w:style>
  <w:style w:type="paragraph" w:styleId="NoSpacing">
    <w:name w:val="No Spacing"/>
    <w:link w:val="NoSpacingChar"/>
    <w:uiPriority w:val="99"/>
    <w:qFormat/>
    <w:rsid w:val="004C7524"/>
    <w:rPr>
      <w:rFonts w:ascii="Calibri" w:eastAsia="Times New Roman" w:hAnsi="Calibri" w:cs="Times New Roman"/>
      <w:sz w:val="22"/>
      <w:szCs w:val="22"/>
      <w:lang w:val="en-GB"/>
    </w:rPr>
  </w:style>
  <w:style w:type="character" w:customStyle="1" w:styleId="NoSpacingChar">
    <w:name w:val="No Spacing Char"/>
    <w:basedOn w:val="DefaultParagraphFont"/>
    <w:link w:val="NoSpacing"/>
    <w:uiPriority w:val="99"/>
    <w:locked/>
    <w:rsid w:val="004C7524"/>
    <w:rPr>
      <w:rFonts w:ascii="Calibri" w:eastAsia="Times New Roman" w:hAnsi="Calibri" w:cs="Times New Roman"/>
      <w:sz w:val="22"/>
      <w:szCs w:val="22"/>
      <w:lang w:val="en-GB"/>
    </w:rPr>
  </w:style>
  <w:style w:type="table" w:styleId="TableGrid">
    <w:name w:val="Table Grid"/>
    <w:basedOn w:val="TableNormal"/>
    <w:uiPriority w:val="59"/>
    <w:rsid w:val="00CC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C3F"/>
    <w:rPr>
      <w:rFonts w:ascii="Lucida Grande" w:hAnsi="Lucida Grande"/>
      <w:sz w:val="18"/>
      <w:szCs w:val="18"/>
    </w:rPr>
  </w:style>
  <w:style w:type="character" w:customStyle="1" w:styleId="BalloonTextChar">
    <w:name w:val="Balloon Text Char"/>
    <w:basedOn w:val="DefaultParagraphFont"/>
    <w:link w:val="BalloonText"/>
    <w:uiPriority w:val="99"/>
    <w:semiHidden/>
    <w:rsid w:val="009B5C3F"/>
    <w:rPr>
      <w:rFonts w:ascii="Lucida Grande" w:hAnsi="Lucida Grande"/>
      <w:sz w:val="18"/>
      <w:szCs w:val="18"/>
    </w:rPr>
  </w:style>
  <w:style w:type="paragraph" w:styleId="Footer">
    <w:name w:val="footer"/>
    <w:basedOn w:val="Normal"/>
    <w:link w:val="FooterChar"/>
    <w:uiPriority w:val="99"/>
    <w:unhideWhenUsed/>
    <w:rsid w:val="000A6F71"/>
    <w:pPr>
      <w:tabs>
        <w:tab w:val="center" w:pos="4320"/>
        <w:tab w:val="right" w:pos="8640"/>
      </w:tabs>
    </w:pPr>
  </w:style>
  <w:style w:type="character" w:customStyle="1" w:styleId="FooterChar">
    <w:name w:val="Footer Char"/>
    <w:basedOn w:val="DefaultParagraphFont"/>
    <w:link w:val="Footer"/>
    <w:uiPriority w:val="99"/>
    <w:rsid w:val="000A6F71"/>
  </w:style>
  <w:style w:type="character" w:styleId="PageNumber">
    <w:name w:val="page number"/>
    <w:basedOn w:val="DefaultParagraphFont"/>
    <w:uiPriority w:val="99"/>
    <w:semiHidden/>
    <w:unhideWhenUsed/>
    <w:rsid w:val="000A6F71"/>
  </w:style>
  <w:style w:type="character" w:styleId="CommentReference">
    <w:name w:val="annotation reference"/>
    <w:basedOn w:val="DefaultParagraphFont"/>
    <w:uiPriority w:val="99"/>
    <w:semiHidden/>
    <w:unhideWhenUsed/>
    <w:rsid w:val="00061E8C"/>
    <w:rPr>
      <w:sz w:val="16"/>
      <w:szCs w:val="16"/>
    </w:rPr>
  </w:style>
  <w:style w:type="paragraph" w:styleId="CommentText">
    <w:name w:val="annotation text"/>
    <w:basedOn w:val="Normal"/>
    <w:link w:val="CommentTextChar"/>
    <w:uiPriority w:val="99"/>
    <w:semiHidden/>
    <w:unhideWhenUsed/>
    <w:rsid w:val="00061E8C"/>
    <w:rPr>
      <w:sz w:val="20"/>
      <w:szCs w:val="20"/>
    </w:rPr>
  </w:style>
  <w:style w:type="character" w:customStyle="1" w:styleId="CommentTextChar">
    <w:name w:val="Comment Text Char"/>
    <w:basedOn w:val="DefaultParagraphFont"/>
    <w:link w:val="CommentText"/>
    <w:uiPriority w:val="99"/>
    <w:semiHidden/>
    <w:rsid w:val="00061E8C"/>
    <w:rPr>
      <w:sz w:val="20"/>
      <w:szCs w:val="20"/>
    </w:rPr>
  </w:style>
  <w:style w:type="paragraph" w:styleId="CommentSubject">
    <w:name w:val="annotation subject"/>
    <w:basedOn w:val="CommentText"/>
    <w:next w:val="CommentText"/>
    <w:link w:val="CommentSubjectChar"/>
    <w:uiPriority w:val="99"/>
    <w:semiHidden/>
    <w:unhideWhenUsed/>
    <w:rsid w:val="00061E8C"/>
    <w:rPr>
      <w:b/>
      <w:bCs/>
    </w:rPr>
  </w:style>
  <w:style w:type="character" w:customStyle="1" w:styleId="CommentSubjectChar">
    <w:name w:val="Comment Subject Char"/>
    <w:basedOn w:val="CommentTextChar"/>
    <w:link w:val="CommentSubject"/>
    <w:uiPriority w:val="99"/>
    <w:semiHidden/>
    <w:rsid w:val="00061E8C"/>
    <w:rPr>
      <w:b/>
      <w:bCs/>
      <w:sz w:val="20"/>
      <w:szCs w:val="20"/>
    </w:rPr>
  </w:style>
  <w:style w:type="paragraph" w:styleId="Revision">
    <w:name w:val="Revision"/>
    <w:hidden/>
    <w:uiPriority w:val="99"/>
    <w:semiHidden/>
    <w:rsid w:val="00491C18"/>
  </w:style>
  <w:style w:type="character" w:styleId="Hyperlink">
    <w:name w:val="Hyperlink"/>
    <w:basedOn w:val="DefaultParagraphFont"/>
    <w:uiPriority w:val="99"/>
    <w:unhideWhenUsed/>
    <w:rsid w:val="00A6370B"/>
    <w:rPr>
      <w:color w:val="0000FF"/>
      <w:u w:val="single"/>
    </w:rPr>
  </w:style>
  <w:style w:type="paragraph" w:styleId="PlainText">
    <w:name w:val="Plain Text"/>
    <w:basedOn w:val="Normal"/>
    <w:link w:val="PlainTextChar"/>
    <w:uiPriority w:val="99"/>
    <w:unhideWhenUsed/>
    <w:rsid w:val="00A6370B"/>
    <w:rPr>
      <w:rFonts w:ascii="Calibri" w:eastAsia="Times New Roman" w:hAnsi="Calibri" w:cs="Times New Roman"/>
      <w:sz w:val="22"/>
      <w:szCs w:val="21"/>
      <w:lang w:val="en-GB" w:eastAsia="en-GB"/>
    </w:rPr>
  </w:style>
  <w:style w:type="character" w:customStyle="1" w:styleId="PlainTextChar">
    <w:name w:val="Plain Text Char"/>
    <w:basedOn w:val="DefaultParagraphFont"/>
    <w:link w:val="PlainText"/>
    <w:uiPriority w:val="99"/>
    <w:rsid w:val="00A6370B"/>
    <w:rPr>
      <w:rFonts w:ascii="Calibri" w:eastAsia="Times New Roman" w:hAnsi="Calibri" w:cs="Times New Roman"/>
      <w:sz w:val="22"/>
      <w:szCs w:val="21"/>
      <w:lang w:val="en-GB" w:eastAsia="en-GB"/>
    </w:rPr>
  </w:style>
  <w:style w:type="character" w:customStyle="1" w:styleId="Heading1Char">
    <w:name w:val="Heading 1 Char"/>
    <w:basedOn w:val="DefaultParagraphFont"/>
    <w:link w:val="Heading1"/>
    <w:uiPriority w:val="9"/>
    <w:rsid w:val="00895029"/>
    <w:rPr>
      <w:rFonts w:ascii="Times New Roman" w:eastAsia="Times New Roman" w:hAnsi="Times New Roman" w:cs="Times New Roman"/>
      <w:b/>
      <w:bCs/>
      <w:kern w:val="36"/>
      <w:sz w:val="48"/>
      <w:szCs w:val="48"/>
      <w:lang w:val="en-GB" w:eastAsia="en-GB"/>
    </w:rPr>
  </w:style>
  <w:style w:type="character" w:styleId="HTMLCite">
    <w:name w:val="HTML Cite"/>
    <w:basedOn w:val="DefaultParagraphFont"/>
    <w:uiPriority w:val="99"/>
    <w:semiHidden/>
    <w:unhideWhenUsed/>
    <w:rsid w:val="00895029"/>
    <w:rPr>
      <w:i/>
      <w:iCs/>
    </w:rPr>
  </w:style>
  <w:style w:type="character" w:customStyle="1" w:styleId="apple-converted-space">
    <w:name w:val="apple-converted-space"/>
    <w:basedOn w:val="DefaultParagraphFont"/>
    <w:rsid w:val="00895029"/>
  </w:style>
  <w:style w:type="character" w:customStyle="1" w:styleId="slug-pub-date">
    <w:name w:val="slug-pub-date"/>
    <w:basedOn w:val="DefaultParagraphFont"/>
    <w:rsid w:val="00895029"/>
  </w:style>
  <w:style w:type="character" w:customStyle="1" w:styleId="slug-vol">
    <w:name w:val="slug-vol"/>
    <w:basedOn w:val="DefaultParagraphFont"/>
    <w:rsid w:val="00895029"/>
  </w:style>
  <w:style w:type="character" w:customStyle="1" w:styleId="cit-sep">
    <w:name w:val="cit-sep"/>
    <w:basedOn w:val="DefaultParagraphFont"/>
    <w:rsid w:val="00895029"/>
  </w:style>
  <w:style w:type="character" w:customStyle="1" w:styleId="slug-elocation">
    <w:name w:val="slug-elocation"/>
    <w:basedOn w:val="DefaultParagraphFont"/>
    <w:rsid w:val="00895029"/>
  </w:style>
  <w:style w:type="character" w:customStyle="1" w:styleId="slug-doi">
    <w:name w:val="slug-doi"/>
    <w:basedOn w:val="DefaultParagraphFont"/>
    <w:rsid w:val="00895029"/>
  </w:style>
  <w:style w:type="character" w:customStyle="1" w:styleId="name">
    <w:name w:val="name"/>
    <w:basedOn w:val="DefaultParagraphFont"/>
    <w:rsid w:val="00895029"/>
  </w:style>
  <w:style w:type="character" w:customStyle="1" w:styleId="xref-sep">
    <w:name w:val="xref-sep"/>
    <w:basedOn w:val="DefaultParagraphFont"/>
    <w:rsid w:val="00895029"/>
  </w:style>
  <w:style w:type="paragraph" w:styleId="Header">
    <w:name w:val="header"/>
    <w:basedOn w:val="Normal"/>
    <w:link w:val="HeaderChar"/>
    <w:uiPriority w:val="99"/>
    <w:unhideWhenUsed/>
    <w:rsid w:val="00FB6B2C"/>
    <w:pPr>
      <w:tabs>
        <w:tab w:val="center" w:pos="4513"/>
        <w:tab w:val="right" w:pos="9026"/>
      </w:tabs>
    </w:pPr>
  </w:style>
  <w:style w:type="character" w:customStyle="1" w:styleId="HeaderChar">
    <w:name w:val="Header Char"/>
    <w:basedOn w:val="DefaultParagraphFont"/>
    <w:link w:val="Header"/>
    <w:uiPriority w:val="99"/>
    <w:rsid w:val="00FB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3893">
      <w:bodyDiv w:val="1"/>
      <w:marLeft w:val="0"/>
      <w:marRight w:val="0"/>
      <w:marTop w:val="0"/>
      <w:marBottom w:val="0"/>
      <w:divBdr>
        <w:top w:val="none" w:sz="0" w:space="0" w:color="auto"/>
        <w:left w:val="none" w:sz="0" w:space="0" w:color="auto"/>
        <w:bottom w:val="none" w:sz="0" w:space="0" w:color="auto"/>
        <w:right w:val="none" w:sz="0" w:space="0" w:color="auto"/>
      </w:divBdr>
    </w:div>
    <w:div w:id="232666872">
      <w:bodyDiv w:val="1"/>
      <w:marLeft w:val="0"/>
      <w:marRight w:val="0"/>
      <w:marTop w:val="0"/>
      <w:marBottom w:val="0"/>
      <w:divBdr>
        <w:top w:val="none" w:sz="0" w:space="0" w:color="auto"/>
        <w:left w:val="none" w:sz="0" w:space="0" w:color="auto"/>
        <w:bottom w:val="none" w:sz="0" w:space="0" w:color="auto"/>
        <w:right w:val="none" w:sz="0" w:space="0" w:color="auto"/>
      </w:divBdr>
    </w:div>
    <w:div w:id="284314059">
      <w:bodyDiv w:val="1"/>
      <w:marLeft w:val="0"/>
      <w:marRight w:val="0"/>
      <w:marTop w:val="0"/>
      <w:marBottom w:val="0"/>
      <w:divBdr>
        <w:top w:val="none" w:sz="0" w:space="0" w:color="auto"/>
        <w:left w:val="none" w:sz="0" w:space="0" w:color="auto"/>
        <w:bottom w:val="none" w:sz="0" w:space="0" w:color="auto"/>
        <w:right w:val="none" w:sz="0" w:space="0" w:color="auto"/>
      </w:divBdr>
    </w:div>
    <w:div w:id="404955734">
      <w:bodyDiv w:val="1"/>
      <w:marLeft w:val="0"/>
      <w:marRight w:val="0"/>
      <w:marTop w:val="0"/>
      <w:marBottom w:val="0"/>
      <w:divBdr>
        <w:top w:val="none" w:sz="0" w:space="0" w:color="auto"/>
        <w:left w:val="none" w:sz="0" w:space="0" w:color="auto"/>
        <w:bottom w:val="none" w:sz="0" w:space="0" w:color="auto"/>
        <w:right w:val="none" w:sz="0" w:space="0" w:color="auto"/>
      </w:divBdr>
    </w:div>
    <w:div w:id="458495519">
      <w:bodyDiv w:val="1"/>
      <w:marLeft w:val="0"/>
      <w:marRight w:val="0"/>
      <w:marTop w:val="0"/>
      <w:marBottom w:val="0"/>
      <w:divBdr>
        <w:top w:val="none" w:sz="0" w:space="0" w:color="auto"/>
        <w:left w:val="none" w:sz="0" w:space="0" w:color="auto"/>
        <w:bottom w:val="none" w:sz="0" w:space="0" w:color="auto"/>
        <w:right w:val="none" w:sz="0" w:space="0" w:color="auto"/>
      </w:divBdr>
    </w:div>
    <w:div w:id="460805375">
      <w:bodyDiv w:val="1"/>
      <w:marLeft w:val="0"/>
      <w:marRight w:val="0"/>
      <w:marTop w:val="0"/>
      <w:marBottom w:val="0"/>
      <w:divBdr>
        <w:top w:val="none" w:sz="0" w:space="0" w:color="auto"/>
        <w:left w:val="none" w:sz="0" w:space="0" w:color="auto"/>
        <w:bottom w:val="none" w:sz="0" w:space="0" w:color="auto"/>
        <w:right w:val="none" w:sz="0" w:space="0" w:color="auto"/>
      </w:divBdr>
    </w:div>
    <w:div w:id="602806389">
      <w:bodyDiv w:val="1"/>
      <w:marLeft w:val="0"/>
      <w:marRight w:val="0"/>
      <w:marTop w:val="0"/>
      <w:marBottom w:val="0"/>
      <w:divBdr>
        <w:top w:val="none" w:sz="0" w:space="0" w:color="auto"/>
        <w:left w:val="none" w:sz="0" w:space="0" w:color="auto"/>
        <w:bottom w:val="none" w:sz="0" w:space="0" w:color="auto"/>
        <w:right w:val="none" w:sz="0" w:space="0" w:color="auto"/>
      </w:divBdr>
    </w:div>
    <w:div w:id="833692550">
      <w:bodyDiv w:val="1"/>
      <w:marLeft w:val="0"/>
      <w:marRight w:val="0"/>
      <w:marTop w:val="0"/>
      <w:marBottom w:val="0"/>
      <w:divBdr>
        <w:top w:val="none" w:sz="0" w:space="0" w:color="auto"/>
        <w:left w:val="none" w:sz="0" w:space="0" w:color="auto"/>
        <w:bottom w:val="none" w:sz="0" w:space="0" w:color="auto"/>
        <w:right w:val="none" w:sz="0" w:space="0" w:color="auto"/>
      </w:divBdr>
    </w:div>
    <w:div w:id="1082415210">
      <w:bodyDiv w:val="1"/>
      <w:marLeft w:val="0"/>
      <w:marRight w:val="0"/>
      <w:marTop w:val="0"/>
      <w:marBottom w:val="0"/>
      <w:divBdr>
        <w:top w:val="none" w:sz="0" w:space="0" w:color="auto"/>
        <w:left w:val="none" w:sz="0" w:space="0" w:color="auto"/>
        <w:bottom w:val="none" w:sz="0" w:space="0" w:color="auto"/>
        <w:right w:val="none" w:sz="0" w:space="0" w:color="auto"/>
      </w:divBdr>
    </w:div>
    <w:div w:id="1168517680">
      <w:bodyDiv w:val="1"/>
      <w:marLeft w:val="0"/>
      <w:marRight w:val="0"/>
      <w:marTop w:val="0"/>
      <w:marBottom w:val="0"/>
      <w:divBdr>
        <w:top w:val="none" w:sz="0" w:space="0" w:color="auto"/>
        <w:left w:val="none" w:sz="0" w:space="0" w:color="auto"/>
        <w:bottom w:val="none" w:sz="0" w:space="0" w:color="auto"/>
        <w:right w:val="none" w:sz="0" w:space="0" w:color="auto"/>
      </w:divBdr>
    </w:div>
    <w:div w:id="1269436282">
      <w:bodyDiv w:val="1"/>
      <w:marLeft w:val="0"/>
      <w:marRight w:val="0"/>
      <w:marTop w:val="0"/>
      <w:marBottom w:val="0"/>
      <w:divBdr>
        <w:top w:val="none" w:sz="0" w:space="0" w:color="auto"/>
        <w:left w:val="none" w:sz="0" w:space="0" w:color="auto"/>
        <w:bottom w:val="none" w:sz="0" w:space="0" w:color="auto"/>
        <w:right w:val="none" w:sz="0" w:space="0" w:color="auto"/>
      </w:divBdr>
    </w:div>
    <w:div w:id="1305281864">
      <w:bodyDiv w:val="1"/>
      <w:marLeft w:val="0"/>
      <w:marRight w:val="0"/>
      <w:marTop w:val="0"/>
      <w:marBottom w:val="0"/>
      <w:divBdr>
        <w:top w:val="none" w:sz="0" w:space="0" w:color="auto"/>
        <w:left w:val="none" w:sz="0" w:space="0" w:color="auto"/>
        <w:bottom w:val="none" w:sz="0" w:space="0" w:color="auto"/>
        <w:right w:val="none" w:sz="0" w:space="0" w:color="auto"/>
      </w:divBdr>
    </w:div>
    <w:div w:id="1315598114">
      <w:bodyDiv w:val="1"/>
      <w:marLeft w:val="0"/>
      <w:marRight w:val="0"/>
      <w:marTop w:val="0"/>
      <w:marBottom w:val="0"/>
      <w:divBdr>
        <w:top w:val="none" w:sz="0" w:space="0" w:color="auto"/>
        <w:left w:val="none" w:sz="0" w:space="0" w:color="auto"/>
        <w:bottom w:val="none" w:sz="0" w:space="0" w:color="auto"/>
        <w:right w:val="none" w:sz="0" w:space="0" w:color="auto"/>
      </w:divBdr>
    </w:div>
    <w:div w:id="1505434533">
      <w:bodyDiv w:val="1"/>
      <w:marLeft w:val="0"/>
      <w:marRight w:val="0"/>
      <w:marTop w:val="0"/>
      <w:marBottom w:val="0"/>
      <w:divBdr>
        <w:top w:val="none" w:sz="0" w:space="0" w:color="auto"/>
        <w:left w:val="none" w:sz="0" w:space="0" w:color="auto"/>
        <w:bottom w:val="none" w:sz="0" w:space="0" w:color="auto"/>
        <w:right w:val="none" w:sz="0" w:space="0" w:color="auto"/>
      </w:divBdr>
    </w:div>
    <w:div w:id="1887638683">
      <w:bodyDiv w:val="1"/>
      <w:marLeft w:val="0"/>
      <w:marRight w:val="0"/>
      <w:marTop w:val="0"/>
      <w:marBottom w:val="0"/>
      <w:divBdr>
        <w:top w:val="none" w:sz="0" w:space="0" w:color="auto"/>
        <w:left w:val="none" w:sz="0" w:space="0" w:color="auto"/>
        <w:bottom w:val="none" w:sz="0" w:space="0" w:color="auto"/>
        <w:right w:val="none" w:sz="0" w:space="0" w:color="auto"/>
      </w:divBdr>
    </w:div>
    <w:div w:id="2033533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6B7D-3183-47DE-923B-0D73A953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13081BD1</Template>
  <TotalTime>2</TotalTime>
  <Pages>12</Pages>
  <Words>4360</Words>
  <Characters>24854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Besa Ziso</dc:creator>
  <cp:lastModifiedBy>Ziso, Besa</cp:lastModifiedBy>
  <cp:revision>3</cp:revision>
  <cp:lastPrinted>2016-01-25T14:36:00Z</cp:lastPrinted>
  <dcterms:created xsi:type="dcterms:W3CDTF">2017-04-13T11:16:00Z</dcterms:created>
  <dcterms:modified xsi:type="dcterms:W3CDTF">2017-04-13T11:48:00Z</dcterms:modified>
</cp:coreProperties>
</file>