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DB7F7" w14:textId="77777777" w:rsidR="004D7318" w:rsidRPr="001219F9" w:rsidRDefault="00E96794" w:rsidP="00986FAD">
      <w:pPr>
        <w:pStyle w:val="Title"/>
        <w:spacing w:line="480" w:lineRule="auto"/>
        <w:jc w:val="both"/>
        <w:rPr>
          <w:color w:val="auto"/>
        </w:rPr>
      </w:pPr>
      <w:r w:rsidRPr="001219F9">
        <w:rPr>
          <w:color w:val="auto"/>
        </w:rPr>
        <w:t>Comparative effectiveness of antiepileptic drugs in patients with mesial temporal lobe epilepsy with hippocampal sclerosis</w:t>
      </w:r>
    </w:p>
    <w:p w14:paraId="16876709" w14:textId="2A2940E2" w:rsidR="004D7318" w:rsidRPr="001219F9" w:rsidRDefault="00E96794" w:rsidP="00986FAD">
      <w:pPr>
        <w:pStyle w:val="Author"/>
        <w:spacing w:line="480" w:lineRule="auto"/>
        <w:jc w:val="both"/>
      </w:pPr>
      <w:proofErr w:type="spellStart"/>
      <w:r w:rsidRPr="001219F9">
        <w:t>Ganna</w:t>
      </w:r>
      <w:proofErr w:type="spellEnd"/>
      <w:r w:rsidRPr="001219F9">
        <w:t xml:space="preserve"> Androsova</w:t>
      </w:r>
      <w:r w:rsidR="00C604D3" w:rsidRPr="001219F9">
        <w:rPr>
          <w:vertAlign w:val="superscript"/>
        </w:rPr>
        <w:t>1</w:t>
      </w:r>
      <w:r w:rsidR="00565300">
        <w:rPr>
          <w:vertAlign w:val="superscript"/>
        </w:rPr>
        <w:t>a</w:t>
      </w:r>
      <w:r w:rsidRPr="001219F9">
        <w:t>, Roland Krause</w:t>
      </w:r>
      <w:r w:rsidR="00C604D3" w:rsidRPr="001219F9">
        <w:rPr>
          <w:vertAlign w:val="superscript"/>
        </w:rPr>
        <w:t>1</w:t>
      </w:r>
      <w:r w:rsidR="00565300">
        <w:rPr>
          <w:vertAlign w:val="superscript"/>
        </w:rPr>
        <w:t>a</w:t>
      </w:r>
      <w:r w:rsidRPr="001219F9">
        <w:t xml:space="preserve">, </w:t>
      </w:r>
      <w:proofErr w:type="spellStart"/>
      <w:r w:rsidRPr="001219F9">
        <w:t>Moj</w:t>
      </w:r>
      <w:r w:rsidR="00FF6648" w:rsidRPr="001219F9">
        <w:t>gansadat</w:t>
      </w:r>
      <w:proofErr w:type="spellEnd"/>
      <w:r w:rsidRPr="001219F9">
        <w:t xml:space="preserve"> Borghei</w:t>
      </w:r>
      <w:r w:rsidR="00C604D3" w:rsidRPr="001219F9">
        <w:rPr>
          <w:vertAlign w:val="superscript"/>
        </w:rPr>
        <w:t>2</w:t>
      </w:r>
      <w:r w:rsidRPr="001219F9">
        <w:t xml:space="preserve">, </w:t>
      </w:r>
      <w:proofErr w:type="spellStart"/>
      <w:r w:rsidRPr="001219F9">
        <w:t>Merel</w:t>
      </w:r>
      <w:proofErr w:type="spellEnd"/>
      <w:r w:rsidRPr="001219F9">
        <w:t xml:space="preserve"> Wassenaar</w:t>
      </w:r>
      <w:r w:rsidR="00C604D3" w:rsidRPr="001219F9">
        <w:rPr>
          <w:vertAlign w:val="superscript"/>
        </w:rPr>
        <w:t>3</w:t>
      </w:r>
      <w:r w:rsidRPr="001219F9">
        <w:t xml:space="preserve">, </w:t>
      </w:r>
      <w:proofErr w:type="spellStart"/>
      <w:r w:rsidR="00E8624A">
        <w:t>Pauls</w:t>
      </w:r>
      <w:proofErr w:type="spellEnd"/>
      <w:r w:rsidR="00E8624A">
        <w:t xml:space="preserve"> Auce</w:t>
      </w:r>
      <w:r w:rsidR="00E8624A" w:rsidRPr="007F5E23">
        <w:rPr>
          <w:vertAlign w:val="superscript"/>
        </w:rPr>
        <w:t>4</w:t>
      </w:r>
      <w:r w:rsidR="00332AFB">
        <w:rPr>
          <w:vertAlign w:val="superscript"/>
        </w:rPr>
        <w:t>,</w:t>
      </w:r>
      <w:r w:rsidR="00E96479">
        <w:rPr>
          <w:vertAlign w:val="superscript"/>
        </w:rPr>
        <w:t>5</w:t>
      </w:r>
      <w:r w:rsidR="00E8624A">
        <w:t xml:space="preserve">, </w:t>
      </w:r>
      <w:r w:rsidR="00990D0B">
        <w:t>Andreja Avbersek</w:t>
      </w:r>
      <w:r w:rsidR="00E96479">
        <w:rPr>
          <w:vertAlign w:val="superscript"/>
        </w:rPr>
        <w:t>6</w:t>
      </w:r>
      <w:r w:rsidR="00965270">
        <w:t>,</w:t>
      </w:r>
      <w:r w:rsidR="00990D0B">
        <w:t xml:space="preserve"> </w:t>
      </w:r>
      <w:r w:rsidR="00965270">
        <w:t>Felicitas Becker</w:t>
      </w:r>
      <w:r w:rsidR="00E96479">
        <w:rPr>
          <w:vertAlign w:val="superscript"/>
        </w:rPr>
        <w:t>7</w:t>
      </w:r>
      <w:r w:rsidR="00965270">
        <w:t xml:space="preserve">, </w:t>
      </w:r>
      <w:r w:rsidR="008B209A">
        <w:t>Bianca Berghuis</w:t>
      </w:r>
      <w:r w:rsidR="008B209A">
        <w:rPr>
          <w:vertAlign w:val="superscript"/>
        </w:rPr>
        <w:t>3</w:t>
      </w:r>
      <w:r w:rsidR="008B209A">
        <w:t xml:space="preserve">; </w:t>
      </w:r>
      <w:r w:rsidR="00A849BD">
        <w:t>Ellen Campbell</w:t>
      </w:r>
      <w:r w:rsidR="00E96479">
        <w:rPr>
          <w:vertAlign w:val="superscript"/>
        </w:rPr>
        <w:t>8</w:t>
      </w:r>
      <w:r w:rsidR="00A849BD">
        <w:t xml:space="preserve">, </w:t>
      </w:r>
      <w:r w:rsidR="00E97209">
        <w:t>Antonietta Coppola</w:t>
      </w:r>
      <w:r w:rsidR="00E97209" w:rsidRPr="00E97209">
        <w:rPr>
          <w:vertAlign w:val="superscript"/>
        </w:rPr>
        <w:t>9</w:t>
      </w:r>
      <w:r w:rsidR="00E97209">
        <w:t xml:space="preserve">, </w:t>
      </w:r>
      <w:r w:rsidR="00E8624A">
        <w:t>Ben Francis</w:t>
      </w:r>
      <w:r w:rsidR="00E97209">
        <w:rPr>
          <w:vertAlign w:val="superscript"/>
        </w:rPr>
        <w:t>10</w:t>
      </w:r>
      <w:r w:rsidR="00E8624A">
        <w:t xml:space="preserve">, </w:t>
      </w:r>
      <w:r w:rsidR="006C111A">
        <w:t>Stefan Wolking</w:t>
      </w:r>
      <w:r w:rsidR="00E96479">
        <w:rPr>
          <w:vertAlign w:val="superscript"/>
        </w:rPr>
        <w:t>7</w:t>
      </w:r>
      <w:r w:rsidR="00965270">
        <w:t xml:space="preserve">, </w:t>
      </w:r>
      <w:proofErr w:type="spellStart"/>
      <w:r w:rsidRPr="001219F9">
        <w:t>Gianpiero</w:t>
      </w:r>
      <w:proofErr w:type="spellEnd"/>
      <w:r w:rsidRPr="001219F9">
        <w:t xml:space="preserve"> L. Cavalleri</w:t>
      </w:r>
      <w:r w:rsidR="00E96479">
        <w:rPr>
          <w:vertAlign w:val="superscript"/>
        </w:rPr>
        <w:t>1</w:t>
      </w:r>
      <w:r w:rsidR="00E97209">
        <w:rPr>
          <w:vertAlign w:val="superscript"/>
        </w:rPr>
        <w:t>1</w:t>
      </w:r>
      <w:r w:rsidRPr="001219F9">
        <w:t xml:space="preserve">, John </w:t>
      </w:r>
      <w:r w:rsidR="00E8624A" w:rsidRPr="001219F9">
        <w:t>Craig</w:t>
      </w:r>
      <w:r w:rsidR="00E96479">
        <w:rPr>
          <w:vertAlign w:val="superscript"/>
        </w:rPr>
        <w:t>8</w:t>
      </w:r>
      <w:r w:rsidRPr="001219F9">
        <w:t xml:space="preserve">, </w:t>
      </w:r>
      <w:r w:rsidR="00E67B63">
        <w:t>Norman Delanty</w:t>
      </w:r>
      <w:r w:rsidR="00845CE0" w:rsidRPr="007F5E23">
        <w:rPr>
          <w:vertAlign w:val="superscript"/>
        </w:rPr>
        <w:t>1</w:t>
      </w:r>
      <w:r w:rsidR="00E97209">
        <w:rPr>
          <w:vertAlign w:val="superscript"/>
        </w:rPr>
        <w:t>1</w:t>
      </w:r>
      <w:r w:rsidR="00E96479">
        <w:rPr>
          <w:vertAlign w:val="superscript"/>
        </w:rPr>
        <w:t>,1</w:t>
      </w:r>
      <w:r w:rsidR="00E97209">
        <w:rPr>
          <w:vertAlign w:val="superscript"/>
        </w:rPr>
        <w:t>2</w:t>
      </w:r>
      <w:r w:rsidR="00E67B63">
        <w:t xml:space="preserve">, </w:t>
      </w:r>
      <w:r w:rsidR="008633DF">
        <w:t>Bobby P.C. Koeleman</w:t>
      </w:r>
      <w:r w:rsidR="008633DF" w:rsidRPr="008633DF">
        <w:rPr>
          <w:vertAlign w:val="superscript"/>
        </w:rPr>
        <w:t>13</w:t>
      </w:r>
      <w:r w:rsidR="008633DF">
        <w:t xml:space="preserve">, </w:t>
      </w:r>
      <w:r w:rsidRPr="001219F9">
        <w:t xml:space="preserve">Wolfram S. </w:t>
      </w:r>
      <w:r w:rsidR="00990D0B" w:rsidRPr="001219F9">
        <w:t>Kunz</w:t>
      </w:r>
      <w:r w:rsidR="00990D0B">
        <w:rPr>
          <w:vertAlign w:val="superscript"/>
        </w:rPr>
        <w:t>1</w:t>
      </w:r>
      <w:r w:rsidR="008633DF">
        <w:rPr>
          <w:vertAlign w:val="superscript"/>
        </w:rPr>
        <w:t>4</w:t>
      </w:r>
      <w:r w:rsidRPr="001219F9">
        <w:t xml:space="preserve">, Holger </w:t>
      </w:r>
      <w:r w:rsidR="00990D0B" w:rsidRPr="001219F9">
        <w:t>Lerche</w:t>
      </w:r>
      <w:r w:rsidR="00E96479">
        <w:rPr>
          <w:vertAlign w:val="superscript"/>
        </w:rPr>
        <w:t>7</w:t>
      </w:r>
      <w:r w:rsidRPr="001219F9">
        <w:t xml:space="preserve">, </w:t>
      </w:r>
      <w:r w:rsidR="00091D9D" w:rsidRPr="001219F9">
        <w:t>Anthon</w:t>
      </w:r>
      <w:r w:rsidRPr="001219F9">
        <w:t xml:space="preserve">y </w:t>
      </w:r>
      <w:r w:rsidR="00091D9D" w:rsidRPr="001219F9">
        <w:t xml:space="preserve">G. </w:t>
      </w:r>
      <w:r w:rsidRPr="001219F9">
        <w:t>Marson</w:t>
      </w:r>
      <w:r w:rsidR="00E96479">
        <w:rPr>
          <w:vertAlign w:val="superscript"/>
        </w:rPr>
        <w:t>4,5</w:t>
      </w:r>
      <w:r w:rsidRPr="001219F9">
        <w:t xml:space="preserve">, </w:t>
      </w:r>
      <w:proofErr w:type="spellStart"/>
      <w:r w:rsidRPr="001219F9">
        <w:t>Josemir</w:t>
      </w:r>
      <w:proofErr w:type="spellEnd"/>
      <w:r w:rsidRPr="001219F9">
        <w:t xml:space="preserve"> W. Sander</w:t>
      </w:r>
      <w:r w:rsidR="00C604D3" w:rsidRPr="001219F9">
        <w:rPr>
          <w:vertAlign w:val="superscript"/>
        </w:rPr>
        <w:t>3</w:t>
      </w:r>
      <w:r w:rsidR="00E54B8B" w:rsidRPr="001219F9">
        <w:rPr>
          <w:vertAlign w:val="superscript"/>
        </w:rPr>
        <w:t>,</w:t>
      </w:r>
      <w:r w:rsidR="00E96479">
        <w:rPr>
          <w:vertAlign w:val="superscript"/>
        </w:rPr>
        <w:t>1</w:t>
      </w:r>
      <w:r w:rsidR="008633DF">
        <w:rPr>
          <w:vertAlign w:val="superscript"/>
        </w:rPr>
        <w:t>5</w:t>
      </w:r>
      <w:r w:rsidR="00E96479">
        <w:rPr>
          <w:vertAlign w:val="superscript"/>
        </w:rPr>
        <w:t>,1</w:t>
      </w:r>
      <w:r w:rsidR="008633DF">
        <w:rPr>
          <w:vertAlign w:val="superscript"/>
        </w:rPr>
        <w:t>6</w:t>
      </w:r>
      <w:r w:rsidRPr="001219F9">
        <w:t xml:space="preserve">, Graeme J. </w:t>
      </w:r>
      <w:r w:rsidR="00E8624A" w:rsidRPr="001219F9">
        <w:t>Sills</w:t>
      </w:r>
      <w:r w:rsidR="00E8624A">
        <w:rPr>
          <w:vertAlign w:val="superscript"/>
        </w:rPr>
        <w:t>4</w:t>
      </w:r>
      <w:r w:rsidRPr="001219F9">
        <w:t>, Pasquale Striano</w:t>
      </w:r>
      <w:r w:rsidR="00E97209">
        <w:rPr>
          <w:vertAlign w:val="superscript"/>
        </w:rPr>
        <w:t>9</w:t>
      </w:r>
      <w:r w:rsidRPr="001219F9">
        <w:t>,</w:t>
      </w:r>
      <w:r w:rsidR="00D75477" w:rsidRPr="001219F9">
        <w:t xml:space="preserve"> Federico Zara</w:t>
      </w:r>
      <w:r w:rsidR="00D75477" w:rsidRPr="001219F9">
        <w:rPr>
          <w:vertAlign w:val="superscript"/>
        </w:rPr>
        <w:t>1</w:t>
      </w:r>
      <w:r w:rsidR="008633DF">
        <w:rPr>
          <w:vertAlign w:val="superscript"/>
        </w:rPr>
        <w:t>7</w:t>
      </w:r>
      <w:r w:rsidR="00D75477" w:rsidRPr="001219F9">
        <w:t>,</w:t>
      </w:r>
      <w:r w:rsidRPr="001219F9">
        <w:t xml:space="preserve"> Sanjay M. Sisodiya</w:t>
      </w:r>
      <w:r w:rsidR="00E96479">
        <w:rPr>
          <w:vertAlign w:val="superscript"/>
        </w:rPr>
        <w:t>6,1</w:t>
      </w:r>
      <w:r w:rsidR="008633DF">
        <w:rPr>
          <w:vertAlign w:val="superscript"/>
        </w:rPr>
        <w:t>6</w:t>
      </w:r>
      <w:r w:rsidRPr="001219F9">
        <w:t>, Chantal Depondt</w:t>
      </w:r>
      <w:r w:rsidR="00C604D3" w:rsidRPr="001219F9">
        <w:rPr>
          <w:vertAlign w:val="superscript"/>
        </w:rPr>
        <w:t>2</w:t>
      </w:r>
      <w:r w:rsidR="00EA4D5E" w:rsidRPr="001219F9">
        <w:rPr>
          <w:vertAlign w:val="superscript"/>
        </w:rPr>
        <w:t>,1</w:t>
      </w:r>
      <w:r w:rsidR="008633DF">
        <w:rPr>
          <w:vertAlign w:val="superscript"/>
        </w:rPr>
        <w:t>8</w:t>
      </w:r>
      <w:r w:rsidRPr="001219F9">
        <w:t xml:space="preserve">, </w:t>
      </w:r>
      <w:r w:rsidR="00986FAD">
        <w:t>t</w:t>
      </w:r>
      <w:r w:rsidRPr="001219F9">
        <w:t xml:space="preserve">he </w:t>
      </w:r>
      <w:proofErr w:type="spellStart"/>
      <w:r w:rsidRPr="001219F9">
        <w:t>EpiPGX</w:t>
      </w:r>
      <w:proofErr w:type="spellEnd"/>
      <w:r w:rsidRPr="001219F9">
        <w:t xml:space="preserve"> Consortium</w:t>
      </w:r>
      <w:r w:rsidR="00E8624A">
        <w:t>*</w:t>
      </w:r>
    </w:p>
    <w:p w14:paraId="6B86B648" w14:textId="2A0BE656" w:rsidR="00C604D3" w:rsidRPr="001219F9" w:rsidRDefault="00C604D3" w:rsidP="00986FAD">
      <w:pPr>
        <w:pStyle w:val="BodyText"/>
        <w:spacing w:line="480" w:lineRule="auto"/>
        <w:jc w:val="both"/>
        <w:rPr>
          <w:b/>
        </w:rPr>
      </w:pPr>
      <w:r w:rsidRPr="001219F9">
        <w:rPr>
          <w:b/>
        </w:rPr>
        <w:t>Affiliations</w:t>
      </w:r>
    </w:p>
    <w:p w14:paraId="2226CA86" w14:textId="4C177717" w:rsidR="00091D9D" w:rsidRPr="001219F9" w:rsidRDefault="00091D9D" w:rsidP="00986FAD">
      <w:pPr>
        <w:pStyle w:val="BodyText"/>
        <w:spacing w:line="480" w:lineRule="auto"/>
        <w:jc w:val="both"/>
      </w:pPr>
      <w:r w:rsidRPr="001219F9">
        <w:rPr>
          <w:vertAlign w:val="superscript"/>
        </w:rPr>
        <w:t>1</w:t>
      </w:r>
      <w:r w:rsidRPr="001219F9">
        <w:t>Luxembourg Centre for Systems Biomedicine, University of Luxembourg, Luxembourg</w:t>
      </w:r>
    </w:p>
    <w:p w14:paraId="2DD9C3ED" w14:textId="77777777" w:rsidR="00EA4D5E" w:rsidRPr="00E8624A" w:rsidRDefault="00091D9D" w:rsidP="00986FAD">
      <w:pPr>
        <w:pStyle w:val="BodyText"/>
        <w:spacing w:line="480" w:lineRule="auto"/>
        <w:jc w:val="both"/>
        <w:rPr>
          <w:lang w:val="nl-BE"/>
        </w:rPr>
      </w:pPr>
      <w:r w:rsidRPr="00E8624A">
        <w:rPr>
          <w:vertAlign w:val="superscript"/>
          <w:lang w:val="nl-BE"/>
        </w:rPr>
        <w:t>2</w:t>
      </w:r>
      <w:r w:rsidR="00EA4D5E" w:rsidRPr="00E8624A">
        <w:rPr>
          <w:lang w:val="nl-BE"/>
        </w:rPr>
        <w:t>Laboratory of Experimental Neurology, Université Libre de Bruxelles, Brussels, Belgium</w:t>
      </w:r>
      <w:bookmarkStart w:id="0" w:name="abstract"/>
      <w:bookmarkEnd w:id="0"/>
    </w:p>
    <w:p w14:paraId="6BE92834" w14:textId="0AC8EF77" w:rsidR="00EA4D5E" w:rsidRPr="001219F9" w:rsidRDefault="00EA4D5E" w:rsidP="00986FAD">
      <w:pPr>
        <w:pStyle w:val="BodyText"/>
        <w:spacing w:line="480" w:lineRule="auto"/>
        <w:jc w:val="both"/>
        <w:rPr>
          <w:lang w:val="nl-BE"/>
        </w:rPr>
      </w:pPr>
      <w:r w:rsidRPr="00E8624A">
        <w:rPr>
          <w:vertAlign w:val="superscript"/>
          <w:lang w:val="nl-BE"/>
        </w:rPr>
        <w:t>3</w:t>
      </w:r>
      <w:r w:rsidRPr="001219F9">
        <w:rPr>
          <w:lang w:val="nl-BE"/>
        </w:rPr>
        <w:t>Stichting Epilepsie Instellingen Nederland (SEIN), Heemstede, Netherlands</w:t>
      </w:r>
    </w:p>
    <w:p w14:paraId="60C02BDF" w14:textId="703CA31A" w:rsidR="00E8624A" w:rsidRPr="001219F9" w:rsidRDefault="00EA4D5E" w:rsidP="00986FAD">
      <w:pPr>
        <w:pStyle w:val="BodyText"/>
        <w:spacing w:line="480" w:lineRule="auto"/>
        <w:jc w:val="both"/>
        <w:rPr>
          <w:lang w:val="en-GB"/>
        </w:rPr>
      </w:pPr>
      <w:r w:rsidRPr="001219F9">
        <w:rPr>
          <w:vertAlign w:val="superscript"/>
        </w:rPr>
        <w:t>4</w:t>
      </w:r>
      <w:r w:rsidR="00E8624A" w:rsidRPr="001219F9">
        <w:rPr>
          <w:lang w:val="en-GB"/>
        </w:rPr>
        <w:t>Department of Molecular and Clinical Pharmacology, Institute of Translational Medicine, University of Liverpool, Liverpool, United Kingdom</w:t>
      </w:r>
    </w:p>
    <w:p w14:paraId="284C9811" w14:textId="4BF4CCE0" w:rsidR="00E96479" w:rsidRPr="001219F9" w:rsidRDefault="00E8624A" w:rsidP="00986FAD">
      <w:pPr>
        <w:pStyle w:val="BodyText"/>
        <w:spacing w:line="480" w:lineRule="auto"/>
        <w:jc w:val="both"/>
        <w:rPr>
          <w:lang w:val="en-GB"/>
        </w:rPr>
      </w:pPr>
      <w:r w:rsidRPr="007F5E23">
        <w:rPr>
          <w:vertAlign w:val="superscript"/>
          <w:lang w:val="en-GB"/>
        </w:rPr>
        <w:lastRenderedPageBreak/>
        <w:t>5</w:t>
      </w:r>
      <w:r w:rsidR="00E96479" w:rsidRPr="001219F9">
        <w:rPr>
          <w:lang w:val="en-GB"/>
        </w:rPr>
        <w:t>The Walton Centre NHS Foundation Trust, Liverpool, United Kingdom</w:t>
      </w:r>
    </w:p>
    <w:p w14:paraId="016294D2" w14:textId="7B605FE9" w:rsidR="00E67B63" w:rsidRPr="001219F9" w:rsidRDefault="00E96479" w:rsidP="00986FAD">
      <w:pPr>
        <w:pStyle w:val="BodyText"/>
        <w:spacing w:line="480" w:lineRule="auto"/>
        <w:jc w:val="both"/>
        <w:rPr>
          <w:lang w:val="en-GB"/>
        </w:rPr>
      </w:pPr>
      <w:r w:rsidRPr="00E96479">
        <w:rPr>
          <w:vertAlign w:val="superscript"/>
          <w:lang w:val="en-GB"/>
        </w:rPr>
        <w:t>6</w:t>
      </w:r>
      <w:r w:rsidR="00990D0B" w:rsidRPr="001219F9">
        <w:rPr>
          <w:lang w:val="en-GB"/>
        </w:rPr>
        <w:t>Department of Clinical and Experimental Epilepsy, UCL Institute of Neurology, London, United Kingdom</w:t>
      </w:r>
    </w:p>
    <w:p w14:paraId="51E32825" w14:textId="7FB43D44" w:rsidR="00E67B63" w:rsidRDefault="00E96479" w:rsidP="00986FAD">
      <w:pPr>
        <w:pStyle w:val="BodyText"/>
        <w:spacing w:line="480" w:lineRule="auto"/>
        <w:jc w:val="both"/>
        <w:rPr>
          <w:lang w:val="en-GB"/>
        </w:rPr>
      </w:pPr>
      <w:r>
        <w:rPr>
          <w:vertAlign w:val="superscript"/>
          <w:lang w:val="en-GB"/>
        </w:rPr>
        <w:t>7</w:t>
      </w:r>
      <w:r w:rsidR="00E67B63" w:rsidRPr="001219F9">
        <w:rPr>
          <w:lang w:val="en-GB"/>
        </w:rPr>
        <w:t xml:space="preserve">Hertie Institute for Clinical Brain Research, University of </w:t>
      </w:r>
      <w:proofErr w:type="spellStart"/>
      <w:r w:rsidR="00E67B63" w:rsidRPr="001219F9">
        <w:rPr>
          <w:lang w:val="en-GB"/>
        </w:rPr>
        <w:t>Tübingen</w:t>
      </w:r>
      <w:proofErr w:type="spellEnd"/>
      <w:r w:rsidR="00E67B63" w:rsidRPr="001219F9">
        <w:rPr>
          <w:lang w:val="en-GB"/>
        </w:rPr>
        <w:t xml:space="preserve">, </w:t>
      </w:r>
      <w:proofErr w:type="spellStart"/>
      <w:r w:rsidR="00E67B63" w:rsidRPr="001219F9">
        <w:rPr>
          <w:lang w:val="en-GB"/>
        </w:rPr>
        <w:t>Tübingen</w:t>
      </w:r>
      <w:proofErr w:type="spellEnd"/>
      <w:r w:rsidR="00E67B63" w:rsidRPr="001219F9">
        <w:rPr>
          <w:lang w:val="en-GB"/>
        </w:rPr>
        <w:t>, Germany</w:t>
      </w:r>
    </w:p>
    <w:p w14:paraId="177B7F02" w14:textId="3B60156E" w:rsidR="00E67B63" w:rsidRPr="001219F9" w:rsidRDefault="00E96479" w:rsidP="00986FAD">
      <w:pPr>
        <w:pStyle w:val="BodyText"/>
        <w:spacing w:line="480" w:lineRule="auto"/>
        <w:jc w:val="both"/>
        <w:rPr>
          <w:lang w:val="en-GB"/>
        </w:rPr>
      </w:pPr>
      <w:r>
        <w:rPr>
          <w:vertAlign w:val="superscript"/>
          <w:lang w:val="en-GB"/>
        </w:rPr>
        <w:t>8</w:t>
      </w:r>
      <w:r w:rsidR="00E67B63" w:rsidRPr="001219F9">
        <w:rPr>
          <w:lang w:val="en-GB"/>
        </w:rPr>
        <w:t>Belfast Health and Social Care Trust, Belfast, United Kingdom</w:t>
      </w:r>
    </w:p>
    <w:p w14:paraId="12198274" w14:textId="751A3E9A" w:rsidR="00E97209" w:rsidRPr="001219F9" w:rsidRDefault="00E96479" w:rsidP="00986FAD">
      <w:pPr>
        <w:pStyle w:val="BodyText"/>
        <w:spacing w:line="480" w:lineRule="auto"/>
        <w:jc w:val="both"/>
        <w:rPr>
          <w:lang w:val="en-GB"/>
        </w:rPr>
      </w:pPr>
      <w:r>
        <w:rPr>
          <w:vertAlign w:val="superscript"/>
          <w:lang w:val="en-GB"/>
        </w:rPr>
        <w:t>9</w:t>
      </w:r>
      <w:r w:rsidR="00E97209" w:rsidRPr="001219F9">
        <w:rPr>
          <w:lang w:val="en-GB"/>
        </w:rPr>
        <w:t>Pediatric Neurology and Muscular Diseases Unit, Department of Neurosciences, Rehabilitation, Ophthalmology, Genetics, Maternal and Child Health, University of Genoa, Genoa, Italy</w:t>
      </w:r>
    </w:p>
    <w:p w14:paraId="17E06B53" w14:textId="0AE0A2FE" w:rsidR="00E8624A" w:rsidRDefault="00E97209" w:rsidP="00986FAD">
      <w:pPr>
        <w:pStyle w:val="BodyText"/>
        <w:spacing w:line="480" w:lineRule="auto"/>
        <w:jc w:val="both"/>
        <w:rPr>
          <w:lang w:val="en-GB"/>
        </w:rPr>
      </w:pPr>
      <w:r w:rsidRPr="00E97209">
        <w:rPr>
          <w:vertAlign w:val="superscript"/>
          <w:lang w:val="en-GB"/>
        </w:rPr>
        <w:t>10</w:t>
      </w:r>
      <w:r w:rsidR="00E8624A" w:rsidRPr="007F5E23">
        <w:rPr>
          <w:lang w:val="en-GB"/>
        </w:rPr>
        <w:t xml:space="preserve">Department of Biostatistics, University of Liverpool, </w:t>
      </w:r>
      <w:r w:rsidR="00E8624A" w:rsidRPr="001219F9">
        <w:rPr>
          <w:lang w:val="en-GB"/>
        </w:rPr>
        <w:t xml:space="preserve">Liverpool, United Kingdom </w:t>
      </w:r>
    </w:p>
    <w:p w14:paraId="5C35BDB1" w14:textId="3FC7FCA3" w:rsidR="00EA4D5E" w:rsidRDefault="00E96479" w:rsidP="00986FAD">
      <w:pPr>
        <w:pStyle w:val="BodyText"/>
        <w:spacing w:line="480" w:lineRule="auto"/>
        <w:jc w:val="both"/>
        <w:rPr>
          <w:lang w:val="en-GB"/>
        </w:rPr>
      </w:pPr>
      <w:r>
        <w:rPr>
          <w:vertAlign w:val="superscript"/>
          <w:lang w:val="en-GB"/>
        </w:rPr>
        <w:t>1</w:t>
      </w:r>
      <w:r w:rsidR="00E97209">
        <w:rPr>
          <w:vertAlign w:val="superscript"/>
          <w:lang w:val="en-GB"/>
        </w:rPr>
        <w:t>1</w:t>
      </w:r>
      <w:r w:rsidR="00EA4D5E" w:rsidRPr="001219F9">
        <w:rPr>
          <w:lang w:val="en-GB"/>
        </w:rPr>
        <w:t>Molecular and Cellular Therapeutics, Royal College of Surgeons in Ireland, Dublin, Ireland</w:t>
      </w:r>
    </w:p>
    <w:p w14:paraId="5003E5F3" w14:textId="3CB34FAC" w:rsidR="00845CE0" w:rsidRPr="001219F9" w:rsidRDefault="00E97209" w:rsidP="00986FAD">
      <w:pPr>
        <w:pStyle w:val="BodyText"/>
        <w:spacing w:line="480" w:lineRule="auto"/>
        <w:jc w:val="both"/>
        <w:rPr>
          <w:lang w:val="en-GB"/>
        </w:rPr>
      </w:pPr>
      <w:r>
        <w:rPr>
          <w:vertAlign w:val="superscript"/>
          <w:lang w:val="en-GB"/>
        </w:rPr>
        <w:t>12</w:t>
      </w:r>
      <w:r w:rsidR="00845CE0">
        <w:t>Department of Neurology, Beaumont Hospital, Dublin, Ireland</w:t>
      </w:r>
    </w:p>
    <w:p w14:paraId="0BAAE836" w14:textId="74DA317D" w:rsidR="008633DF" w:rsidRPr="008633DF" w:rsidRDefault="00702E5C" w:rsidP="00746E5D">
      <w:pPr>
        <w:pStyle w:val="BodyText"/>
        <w:spacing w:line="480" w:lineRule="auto"/>
        <w:jc w:val="both"/>
        <w:rPr>
          <w:lang w:val="en-GB"/>
        </w:rPr>
      </w:pPr>
      <w:r w:rsidRPr="00746E5D">
        <w:rPr>
          <w:vertAlign w:val="superscript"/>
          <w:lang w:val="en-GB"/>
        </w:rPr>
        <w:t>1</w:t>
      </w:r>
      <w:r w:rsidR="00E97209" w:rsidRPr="00746E5D">
        <w:rPr>
          <w:vertAlign w:val="superscript"/>
          <w:lang w:val="en-GB"/>
        </w:rPr>
        <w:t>3</w:t>
      </w:r>
      <w:r w:rsidR="008633DF" w:rsidRPr="008633DF">
        <w:rPr>
          <w:lang w:val="en-GB"/>
        </w:rPr>
        <w:t xml:space="preserve">Department of Genetics, University Medical </w:t>
      </w:r>
      <w:proofErr w:type="spellStart"/>
      <w:r w:rsidR="008633DF" w:rsidRPr="008633DF">
        <w:rPr>
          <w:lang w:val="en-GB"/>
        </w:rPr>
        <w:t>Center</w:t>
      </w:r>
      <w:proofErr w:type="spellEnd"/>
      <w:r w:rsidR="008633DF" w:rsidRPr="008633DF">
        <w:rPr>
          <w:lang w:val="en-GB"/>
        </w:rPr>
        <w:t xml:space="preserve"> Utrecht</w:t>
      </w:r>
      <w:r w:rsidR="008633DF">
        <w:rPr>
          <w:lang w:val="en-GB"/>
        </w:rPr>
        <w:t>, Utrecht, Netherlands</w:t>
      </w:r>
    </w:p>
    <w:p w14:paraId="268F777F" w14:textId="1E286E59" w:rsidR="00746E5D" w:rsidRPr="001219F9" w:rsidRDefault="008633DF" w:rsidP="00746E5D">
      <w:pPr>
        <w:pStyle w:val="BodyText"/>
        <w:spacing w:line="480" w:lineRule="auto"/>
        <w:jc w:val="both"/>
        <w:rPr>
          <w:lang w:val="en-GB"/>
        </w:rPr>
      </w:pPr>
      <w:r>
        <w:rPr>
          <w:vertAlign w:val="superscript"/>
          <w:lang w:val="en-GB"/>
        </w:rPr>
        <w:t>14</w:t>
      </w:r>
      <w:r w:rsidR="00746E5D" w:rsidRPr="001219F9">
        <w:rPr>
          <w:lang w:val="en-GB"/>
        </w:rPr>
        <w:t xml:space="preserve">Department of </w:t>
      </w:r>
      <w:proofErr w:type="spellStart"/>
      <w:r w:rsidR="00746E5D" w:rsidRPr="001219F9">
        <w:rPr>
          <w:lang w:val="en-GB"/>
        </w:rPr>
        <w:t>Epileptology</w:t>
      </w:r>
      <w:proofErr w:type="spellEnd"/>
      <w:r w:rsidR="00746E5D" w:rsidRPr="001219F9">
        <w:rPr>
          <w:lang w:val="en-GB"/>
        </w:rPr>
        <w:t>, University of Bonn, Bonn, Germany</w:t>
      </w:r>
    </w:p>
    <w:p w14:paraId="65C098D9" w14:textId="4515BC65" w:rsidR="00746E5D" w:rsidRPr="001219F9" w:rsidRDefault="008633DF" w:rsidP="00746E5D">
      <w:pPr>
        <w:pStyle w:val="BodyText"/>
        <w:spacing w:line="480" w:lineRule="auto"/>
        <w:jc w:val="both"/>
        <w:rPr>
          <w:lang w:val="en-GB"/>
        </w:rPr>
      </w:pPr>
      <w:r w:rsidRPr="00E8624A">
        <w:rPr>
          <w:vertAlign w:val="superscript"/>
          <w:lang w:val="en-GB"/>
        </w:rPr>
        <w:t>1</w:t>
      </w:r>
      <w:r>
        <w:rPr>
          <w:vertAlign w:val="superscript"/>
          <w:lang w:val="en-GB"/>
        </w:rPr>
        <w:t>5</w:t>
      </w:r>
      <w:r w:rsidR="00746E5D" w:rsidRPr="001219F9">
        <w:rPr>
          <w:lang w:val="en-GB"/>
        </w:rPr>
        <w:t>NIHR University College London Hospitals Biomedical Research Centre, UCL Institute of Neurology, London, United Kingdom</w:t>
      </w:r>
    </w:p>
    <w:p w14:paraId="5F21B24E" w14:textId="39A0B37E" w:rsidR="00746E5D" w:rsidRDefault="008633DF" w:rsidP="00746E5D">
      <w:pPr>
        <w:pStyle w:val="BodyText"/>
        <w:spacing w:line="480" w:lineRule="auto"/>
        <w:jc w:val="both"/>
        <w:rPr>
          <w:lang w:val="en-GB"/>
        </w:rPr>
      </w:pPr>
      <w:r w:rsidRPr="00E8624A">
        <w:rPr>
          <w:vertAlign w:val="superscript"/>
          <w:lang w:val="en-GB"/>
        </w:rPr>
        <w:t>1</w:t>
      </w:r>
      <w:r>
        <w:rPr>
          <w:vertAlign w:val="superscript"/>
          <w:lang w:val="en-GB"/>
        </w:rPr>
        <w:t>6</w:t>
      </w:r>
      <w:r w:rsidR="00746E5D" w:rsidRPr="001219F9">
        <w:rPr>
          <w:lang w:val="en-GB"/>
        </w:rPr>
        <w:t>The Chalfont Centre for Epilepsy, Chalfont St. Peters, United Kingdom</w:t>
      </w:r>
    </w:p>
    <w:p w14:paraId="1430A14B" w14:textId="600F9377" w:rsidR="00746E5D" w:rsidRDefault="008633DF" w:rsidP="00746E5D">
      <w:pPr>
        <w:pStyle w:val="BodyText"/>
        <w:spacing w:line="480" w:lineRule="auto"/>
        <w:jc w:val="both"/>
        <w:rPr>
          <w:lang w:val="en-GB"/>
        </w:rPr>
      </w:pPr>
      <w:r>
        <w:rPr>
          <w:vertAlign w:val="superscript"/>
          <w:lang w:val="en-GB"/>
        </w:rPr>
        <w:t>17</w:t>
      </w:r>
      <w:r w:rsidR="00746E5D" w:rsidRPr="001219F9">
        <w:rPr>
          <w:lang w:val="en-GB"/>
        </w:rPr>
        <w:t xml:space="preserve">Laboratory of </w:t>
      </w:r>
      <w:proofErr w:type="spellStart"/>
      <w:r w:rsidR="00746E5D" w:rsidRPr="001219F9">
        <w:rPr>
          <w:lang w:val="en-GB"/>
        </w:rPr>
        <w:t>Neurogenetics</w:t>
      </w:r>
      <w:proofErr w:type="spellEnd"/>
      <w:r w:rsidR="00746E5D" w:rsidRPr="001219F9">
        <w:rPr>
          <w:lang w:val="en-GB"/>
        </w:rPr>
        <w:t xml:space="preserve"> and Neuroscience, Institute G. </w:t>
      </w:r>
      <w:proofErr w:type="spellStart"/>
      <w:r w:rsidR="00746E5D" w:rsidRPr="001219F9">
        <w:rPr>
          <w:lang w:val="en-GB"/>
        </w:rPr>
        <w:t>Gaslini</w:t>
      </w:r>
      <w:proofErr w:type="spellEnd"/>
      <w:r w:rsidR="00746E5D" w:rsidRPr="001219F9">
        <w:rPr>
          <w:lang w:val="en-GB"/>
        </w:rPr>
        <w:t>, Genoa, Italy</w:t>
      </w:r>
    </w:p>
    <w:p w14:paraId="61919815" w14:textId="509936BD" w:rsidR="00746E5D" w:rsidRPr="001219F9" w:rsidRDefault="008633DF" w:rsidP="00746E5D">
      <w:pPr>
        <w:pStyle w:val="BodyText"/>
        <w:spacing w:line="480" w:lineRule="auto"/>
        <w:jc w:val="both"/>
        <w:rPr>
          <w:lang w:val="en-GB"/>
        </w:rPr>
      </w:pPr>
      <w:r w:rsidRPr="008633DF">
        <w:rPr>
          <w:vertAlign w:val="superscript"/>
          <w:lang w:val="en-GB"/>
        </w:rPr>
        <w:lastRenderedPageBreak/>
        <w:t>18</w:t>
      </w:r>
      <w:r w:rsidR="00746E5D">
        <w:rPr>
          <w:lang w:val="en-GB"/>
        </w:rPr>
        <w:t xml:space="preserve">Department of Neurology, </w:t>
      </w:r>
      <w:proofErr w:type="spellStart"/>
      <w:r w:rsidR="00746E5D">
        <w:rPr>
          <w:lang w:val="en-GB"/>
        </w:rPr>
        <w:t>Hôpital</w:t>
      </w:r>
      <w:proofErr w:type="spellEnd"/>
      <w:r w:rsidR="00746E5D">
        <w:rPr>
          <w:lang w:val="en-GB"/>
        </w:rPr>
        <w:t xml:space="preserve"> </w:t>
      </w:r>
      <w:proofErr w:type="spellStart"/>
      <w:r w:rsidR="00746E5D">
        <w:rPr>
          <w:lang w:val="en-GB"/>
        </w:rPr>
        <w:t>Erasme</w:t>
      </w:r>
      <w:proofErr w:type="spellEnd"/>
      <w:r w:rsidR="00746E5D">
        <w:rPr>
          <w:lang w:val="en-GB"/>
        </w:rPr>
        <w:t xml:space="preserve">, </w:t>
      </w:r>
      <w:proofErr w:type="spellStart"/>
      <w:r w:rsidR="00746E5D">
        <w:rPr>
          <w:lang w:val="en-GB"/>
        </w:rPr>
        <w:t>Université</w:t>
      </w:r>
      <w:proofErr w:type="spellEnd"/>
      <w:r w:rsidR="00746E5D">
        <w:rPr>
          <w:lang w:val="en-GB"/>
        </w:rPr>
        <w:t xml:space="preserve"> </w:t>
      </w:r>
      <w:proofErr w:type="spellStart"/>
      <w:r w:rsidR="00746E5D">
        <w:rPr>
          <w:lang w:val="en-GB"/>
        </w:rPr>
        <w:t>Libre</w:t>
      </w:r>
      <w:proofErr w:type="spellEnd"/>
      <w:r w:rsidR="00746E5D">
        <w:rPr>
          <w:lang w:val="en-GB"/>
        </w:rPr>
        <w:t xml:space="preserve"> de </w:t>
      </w:r>
      <w:proofErr w:type="spellStart"/>
      <w:r w:rsidR="00746E5D">
        <w:rPr>
          <w:lang w:val="en-GB"/>
        </w:rPr>
        <w:t>Bruxelles</w:t>
      </w:r>
      <w:proofErr w:type="spellEnd"/>
      <w:r w:rsidR="00746E5D">
        <w:rPr>
          <w:lang w:val="en-GB"/>
        </w:rPr>
        <w:t>, Brussels, Belgium</w:t>
      </w:r>
    </w:p>
    <w:p w14:paraId="001EBDD4" w14:textId="366525EA" w:rsidR="00565300" w:rsidRDefault="00565300" w:rsidP="00986FAD">
      <w:pPr>
        <w:pStyle w:val="BodyText"/>
        <w:spacing w:line="480" w:lineRule="auto"/>
        <w:jc w:val="both"/>
      </w:pPr>
      <w:proofErr w:type="spellStart"/>
      <w:proofErr w:type="gramStart"/>
      <w:r w:rsidRPr="00345EB5">
        <w:rPr>
          <w:vertAlign w:val="superscript"/>
        </w:rPr>
        <w:t>a</w:t>
      </w:r>
      <w:proofErr w:type="spellEnd"/>
      <w:proofErr w:type="gramEnd"/>
      <w:r>
        <w:t xml:space="preserve"> Authors contributed equally</w:t>
      </w:r>
    </w:p>
    <w:p w14:paraId="7D31C626" w14:textId="77777777" w:rsidR="00345EB5" w:rsidRDefault="00345EB5" w:rsidP="00986FAD">
      <w:pPr>
        <w:pStyle w:val="BodyText"/>
        <w:spacing w:line="480" w:lineRule="auto"/>
        <w:jc w:val="both"/>
      </w:pPr>
      <w:r>
        <w:t>*</w:t>
      </w:r>
      <w:proofErr w:type="spellStart"/>
      <w:r>
        <w:t>EpiPGX</w:t>
      </w:r>
      <w:proofErr w:type="spellEnd"/>
      <w:r>
        <w:t xml:space="preserve"> Consortium Contributors are listed in the Appendix </w:t>
      </w:r>
    </w:p>
    <w:p w14:paraId="5ED54BFA" w14:textId="77777777" w:rsidR="00986FAD" w:rsidRPr="009B41A0" w:rsidRDefault="00986FAD" w:rsidP="00986FAD">
      <w:pPr>
        <w:spacing w:line="480" w:lineRule="auto"/>
        <w:jc w:val="both"/>
      </w:pPr>
      <w:r w:rsidRPr="009B41A0">
        <w:t xml:space="preserve">Address correspondence to </w:t>
      </w:r>
      <w:r>
        <w:t xml:space="preserve">Chantal Depondt, Department of Neurology, </w:t>
      </w:r>
      <w:proofErr w:type="spellStart"/>
      <w:r>
        <w:t>Hôpital</w:t>
      </w:r>
      <w:proofErr w:type="spellEnd"/>
      <w:r>
        <w:t xml:space="preserve"> </w:t>
      </w:r>
      <w:proofErr w:type="spellStart"/>
      <w:r>
        <w:t>Erasme</w:t>
      </w:r>
      <w:proofErr w:type="spellEnd"/>
      <w:r>
        <w:t xml:space="preserve">, 808 Route de </w:t>
      </w:r>
      <w:proofErr w:type="spellStart"/>
      <w:r>
        <w:t>Lennik</w:t>
      </w:r>
      <w:proofErr w:type="spellEnd"/>
      <w:r>
        <w:t>, 1070 Brussels, Belgium. Phone: +32/25554622. Fax: +32/25553942. E-mail: Chantal.Depondt@erasme.ulb.ac.be</w:t>
      </w:r>
    </w:p>
    <w:p w14:paraId="37D0949B" w14:textId="77777777" w:rsidR="00986FAD" w:rsidRDefault="00986FAD" w:rsidP="00986FAD">
      <w:pPr>
        <w:spacing w:line="480" w:lineRule="auto"/>
        <w:jc w:val="both"/>
        <w:rPr>
          <w:b/>
          <w:sz w:val="28"/>
          <w:szCs w:val="28"/>
        </w:rPr>
      </w:pPr>
    </w:p>
    <w:p w14:paraId="57E1CF88" w14:textId="66889AFB" w:rsidR="00986FAD" w:rsidRDefault="00986FAD" w:rsidP="00986FAD">
      <w:pPr>
        <w:spacing w:line="480" w:lineRule="auto"/>
        <w:jc w:val="both"/>
      </w:pPr>
      <w:r w:rsidRPr="009B41A0">
        <w:t xml:space="preserve">Running title: </w:t>
      </w:r>
      <w:r>
        <w:t>AED effectiveness in MTLE-HS</w:t>
      </w:r>
    </w:p>
    <w:p w14:paraId="0B73BF49" w14:textId="65BAC8A5" w:rsidR="00986FAD" w:rsidRDefault="00986FAD" w:rsidP="00986FAD">
      <w:pPr>
        <w:spacing w:line="480" w:lineRule="auto"/>
        <w:jc w:val="both"/>
      </w:pPr>
      <w:r>
        <w:t>Key words: retention, efficacy, adverse drug reactions</w:t>
      </w:r>
      <w:r w:rsidR="00DA762F">
        <w:t>, drug response, seizure freedom</w:t>
      </w:r>
    </w:p>
    <w:p w14:paraId="727E1D05" w14:textId="77777777" w:rsidR="00986FAD" w:rsidRPr="009B41A0" w:rsidRDefault="00986FAD" w:rsidP="00986FAD">
      <w:pPr>
        <w:spacing w:line="480" w:lineRule="auto"/>
        <w:jc w:val="both"/>
      </w:pPr>
    </w:p>
    <w:p w14:paraId="6B2C5049" w14:textId="41DBE146" w:rsidR="00986FAD" w:rsidRDefault="00986FAD" w:rsidP="00986FAD">
      <w:pPr>
        <w:spacing w:line="480" w:lineRule="auto"/>
        <w:jc w:val="both"/>
      </w:pPr>
      <w:r>
        <w:t xml:space="preserve">Number of text pages: </w:t>
      </w:r>
      <w:r w:rsidR="00D36B50">
        <w:t>13</w:t>
      </w:r>
    </w:p>
    <w:p w14:paraId="1E10E9F2" w14:textId="518AA07C" w:rsidR="00986FAD" w:rsidRDefault="00986FAD" w:rsidP="00986FAD">
      <w:pPr>
        <w:spacing w:line="480" w:lineRule="auto"/>
        <w:jc w:val="both"/>
      </w:pPr>
      <w:r>
        <w:t xml:space="preserve">Number of words: </w:t>
      </w:r>
      <w:r w:rsidR="00D36B50">
        <w:t>24</w:t>
      </w:r>
      <w:r w:rsidR="008623DC">
        <w:t>43</w:t>
      </w:r>
    </w:p>
    <w:p w14:paraId="2B5DFF24" w14:textId="5693C2E2" w:rsidR="00D36B50" w:rsidRDefault="00D36B50" w:rsidP="00986FAD">
      <w:pPr>
        <w:spacing w:line="480" w:lineRule="auto"/>
        <w:jc w:val="both"/>
      </w:pPr>
      <w:r>
        <w:t>Number of references: 38</w:t>
      </w:r>
    </w:p>
    <w:p w14:paraId="09EBB246" w14:textId="353EDA8B" w:rsidR="00986FAD" w:rsidRDefault="00986FAD" w:rsidP="00986FAD">
      <w:pPr>
        <w:spacing w:line="480" w:lineRule="auto"/>
        <w:jc w:val="both"/>
      </w:pPr>
      <w:r>
        <w:t xml:space="preserve">Number of figures: </w:t>
      </w:r>
      <w:r w:rsidR="00300022">
        <w:t>2</w:t>
      </w:r>
    </w:p>
    <w:p w14:paraId="3222D43D" w14:textId="4752CDE7" w:rsidR="00986FAD" w:rsidRPr="009B41A0" w:rsidRDefault="00986FAD" w:rsidP="00986FAD">
      <w:pPr>
        <w:spacing w:line="480" w:lineRule="auto"/>
        <w:jc w:val="both"/>
      </w:pPr>
      <w:r>
        <w:t xml:space="preserve">Number of tables: </w:t>
      </w:r>
      <w:r w:rsidR="00300022">
        <w:t>4</w:t>
      </w:r>
    </w:p>
    <w:p w14:paraId="638871C0" w14:textId="29CC62BE" w:rsidR="004D7318" w:rsidRPr="00D36B50" w:rsidRDefault="00986FAD" w:rsidP="00D36B50">
      <w:pPr>
        <w:pStyle w:val="Heading2"/>
        <w:spacing w:line="480" w:lineRule="auto"/>
        <w:jc w:val="both"/>
        <w:rPr>
          <w:color w:val="auto"/>
        </w:rPr>
      </w:pPr>
      <w:r w:rsidRPr="00D36B50">
        <w:rPr>
          <w:color w:val="auto"/>
        </w:rPr>
        <w:lastRenderedPageBreak/>
        <w:t>Summary</w:t>
      </w:r>
    </w:p>
    <w:p w14:paraId="0480B669" w14:textId="58358031" w:rsidR="004D7318" w:rsidRPr="001219F9" w:rsidRDefault="00E96794" w:rsidP="00986FAD">
      <w:pPr>
        <w:pStyle w:val="FirstParagraph"/>
        <w:spacing w:line="480" w:lineRule="auto"/>
        <w:jc w:val="both"/>
      </w:pPr>
      <w:r w:rsidRPr="00986FAD">
        <w:rPr>
          <w:b/>
        </w:rPr>
        <w:t>Objective:</w:t>
      </w:r>
      <w:r w:rsidRPr="001219F9">
        <w:t xml:space="preserve"> Mesial temporal lobe epilepsy with hippocampal sclerosis (MTLE-HS) is a common epilepsy syndrome </w:t>
      </w:r>
      <w:r w:rsidR="00BB42C1" w:rsidRPr="001219F9">
        <w:t>often poorly controlled by antiepileptic drug (AED) treatment</w:t>
      </w:r>
      <w:r w:rsidRPr="001219F9">
        <w:t xml:space="preserve">. Comparative </w:t>
      </w:r>
      <w:r w:rsidR="00BB42C1" w:rsidRPr="001219F9">
        <w:t xml:space="preserve">AED </w:t>
      </w:r>
      <w:r w:rsidRPr="001219F9">
        <w:t xml:space="preserve">effectiveness studies in this condition are lacking. We report retention, efficacy and tolerability in </w:t>
      </w:r>
      <w:r w:rsidR="00FF6648" w:rsidRPr="001219F9">
        <w:t xml:space="preserve">a cohort of </w:t>
      </w:r>
      <w:r w:rsidRPr="001219F9">
        <w:t>patients with MTLE-HS.</w:t>
      </w:r>
    </w:p>
    <w:p w14:paraId="58E27D96" w14:textId="680D5EA8" w:rsidR="004D7318" w:rsidRPr="001219F9" w:rsidRDefault="00E96794" w:rsidP="00986FAD">
      <w:pPr>
        <w:pStyle w:val="BodyText"/>
        <w:spacing w:line="480" w:lineRule="auto"/>
        <w:jc w:val="both"/>
      </w:pPr>
      <w:r w:rsidRPr="00986FAD">
        <w:rPr>
          <w:b/>
        </w:rPr>
        <w:t>Methods:</w:t>
      </w:r>
      <w:r w:rsidRPr="001219F9">
        <w:t xml:space="preserve"> Clinical data were collected from a European database of patients with epilepsy. We </w:t>
      </w:r>
      <w:r w:rsidR="00965270">
        <w:t>estim</w:t>
      </w:r>
      <w:r w:rsidR="00965270" w:rsidRPr="001219F9">
        <w:t xml:space="preserve">ated </w:t>
      </w:r>
      <w:r w:rsidRPr="001219F9">
        <w:t>retention, 12-month seizure freedom and adverse drug reaction (ADR) rates for the 10 most commonly used AEDs in patients with MTLE-HS.</w:t>
      </w:r>
    </w:p>
    <w:p w14:paraId="03F8BA1D" w14:textId="7237004B" w:rsidR="004D7318" w:rsidRPr="001219F9" w:rsidRDefault="00E96794" w:rsidP="00986FAD">
      <w:pPr>
        <w:pStyle w:val="BodyText"/>
        <w:spacing w:line="480" w:lineRule="auto"/>
        <w:jc w:val="both"/>
      </w:pPr>
      <w:r w:rsidRPr="00986FAD">
        <w:rPr>
          <w:b/>
        </w:rPr>
        <w:t>Results:</w:t>
      </w:r>
      <w:r w:rsidRPr="001219F9">
        <w:t xml:space="preserve"> </w:t>
      </w:r>
      <w:r w:rsidR="00C04531" w:rsidRPr="001219F9">
        <w:t xml:space="preserve">Seven hundred sixty-seven </w:t>
      </w:r>
      <w:r w:rsidRPr="001219F9">
        <w:t>patients with a total of 3249 AED trials were included. The highest 12-month retention rates were observed with carbamazepine (85.9%), valproate (</w:t>
      </w:r>
      <w:r w:rsidR="006A7738" w:rsidRPr="001219F9">
        <w:t>85</w:t>
      </w:r>
      <w:r w:rsidRPr="001219F9">
        <w:t xml:space="preserve">%) and </w:t>
      </w:r>
      <w:proofErr w:type="spellStart"/>
      <w:r w:rsidRPr="001219F9">
        <w:t>clobazam</w:t>
      </w:r>
      <w:proofErr w:type="spellEnd"/>
      <w:r w:rsidRPr="001219F9">
        <w:t xml:space="preserve"> (79%). Twelve-month seizure freedom rates varied from 1.2% for gabapentin and </w:t>
      </w:r>
      <w:proofErr w:type="spellStart"/>
      <w:r w:rsidRPr="001219F9">
        <w:t>vigabatrin</w:t>
      </w:r>
      <w:proofErr w:type="spellEnd"/>
      <w:r w:rsidRPr="001219F9">
        <w:t xml:space="preserve"> to 11% for carbamazepine. Response rates were highest for AEDs prescribed as initial treatment and lowest for AEDs used in third or higher instance. ADRs were reported in 47.</w:t>
      </w:r>
      <w:r w:rsidR="006A0A86" w:rsidRPr="001219F9">
        <w:t>6</w:t>
      </w:r>
      <w:r w:rsidRPr="001219F9">
        <w:t xml:space="preserve">% of patients, with the highest rates observed </w:t>
      </w:r>
      <w:r w:rsidR="004557B2">
        <w:t>with</w:t>
      </w:r>
      <w:r w:rsidR="004557B2" w:rsidRPr="001219F9">
        <w:t xml:space="preserve"> </w:t>
      </w:r>
      <w:r w:rsidRPr="001219F9">
        <w:t>oxcarbazepine (3</w:t>
      </w:r>
      <w:r w:rsidR="006A0A86" w:rsidRPr="001219F9">
        <w:t>5.7</w:t>
      </w:r>
      <w:r w:rsidRPr="001219F9">
        <w:t xml:space="preserve">%), </w:t>
      </w:r>
      <w:proofErr w:type="spellStart"/>
      <w:r w:rsidRPr="001219F9">
        <w:t>topiramate</w:t>
      </w:r>
      <w:proofErr w:type="spellEnd"/>
      <w:r w:rsidRPr="001219F9">
        <w:t xml:space="preserve"> (</w:t>
      </w:r>
      <w:r w:rsidR="006A0A86" w:rsidRPr="001219F9">
        <w:t>30.9</w:t>
      </w:r>
      <w:r w:rsidRPr="001219F9">
        <w:t xml:space="preserve">%) and </w:t>
      </w:r>
      <w:proofErr w:type="spellStart"/>
      <w:r w:rsidRPr="001219F9">
        <w:t>pregabalin</w:t>
      </w:r>
      <w:proofErr w:type="spellEnd"/>
      <w:r w:rsidRPr="001219F9">
        <w:t xml:space="preserve"> (</w:t>
      </w:r>
      <w:r w:rsidR="006A0A86" w:rsidRPr="001219F9">
        <w:t>27.4</w:t>
      </w:r>
      <w:r w:rsidRPr="001219F9">
        <w:t xml:space="preserve">%), and the lowest rates </w:t>
      </w:r>
      <w:r w:rsidR="004557B2">
        <w:t>with</w:t>
      </w:r>
      <w:r w:rsidRPr="001219F9">
        <w:t xml:space="preserve"> </w:t>
      </w:r>
      <w:proofErr w:type="spellStart"/>
      <w:r w:rsidRPr="001219F9">
        <w:t>clobazam</w:t>
      </w:r>
      <w:proofErr w:type="spellEnd"/>
      <w:r w:rsidRPr="001219F9">
        <w:t xml:space="preserve"> (</w:t>
      </w:r>
      <w:r w:rsidR="006A0A86" w:rsidRPr="001219F9">
        <w:t>6.5</w:t>
      </w:r>
      <w:r w:rsidRPr="001219F9">
        <w:t>%), gabapentin (8.</w:t>
      </w:r>
      <w:r w:rsidR="006A0A86" w:rsidRPr="001219F9">
        <w:t>9</w:t>
      </w:r>
      <w:r w:rsidRPr="001219F9">
        <w:t>%) and lamotrigine (16.</w:t>
      </w:r>
      <w:r w:rsidR="006A0A86" w:rsidRPr="001219F9">
        <w:t>6</w:t>
      </w:r>
      <w:r w:rsidRPr="001219F9">
        <w:t>%). The most commonly reported ADRs were lethargy and drowsiness</w:t>
      </w:r>
      <w:r w:rsidR="009B4784">
        <w:t>,</w:t>
      </w:r>
      <w:r w:rsidR="00FF6648" w:rsidRPr="001219F9">
        <w:t xml:space="preserve"> </w:t>
      </w:r>
      <w:r w:rsidRPr="001219F9">
        <w:t>dizziness</w:t>
      </w:r>
      <w:r w:rsidR="00FF6648" w:rsidRPr="001219F9">
        <w:t>, vertigo</w:t>
      </w:r>
      <w:r w:rsidRPr="001219F9">
        <w:t xml:space="preserve"> and ataxia</w:t>
      </w:r>
      <w:r w:rsidR="009B4784">
        <w:t>,</w:t>
      </w:r>
      <w:r w:rsidR="00FF6648" w:rsidRPr="001219F9">
        <w:t xml:space="preserve"> and blurred vision and diplopia</w:t>
      </w:r>
      <w:r w:rsidRPr="001219F9">
        <w:t>.</w:t>
      </w:r>
    </w:p>
    <w:p w14:paraId="78089D1C" w14:textId="22B0BD30" w:rsidR="004D7318" w:rsidRDefault="00E96794" w:rsidP="00986FAD">
      <w:pPr>
        <w:pStyle w:val="BodyText"/>
        <w:spacing w:line="480" w:lineRule="auto"/>
        <w:jc w:val="both"/>
      </w:pPr>
      <w:r w:rsidRPr="00986FAD">
        <w:rPr>
          <w:b/>
        </w:rPr>
        <w:lastRenderedPageBreak/>
        <w:t>Significance:</w:t>
      </w:r>
      <w:r w:rsidRPr="001219F9">
        <w:t xml:space="preserve"> </w:t>
      </w:r>
      <w:r w:rsidR="00533929">
        <w:t>O</w:t>
      </w:r>
      <w:r w:rsidR="00533929" w:rsidRPr="001219F9">
        <w:t xml:space="preserve">ur results did not </w:t>
      </w:r>
      <w:r w:rsidR="00533929">
        <w:t xml:space="preserve">demonstrate </w:t>
      </w:r>
      <w:r w:rsidR="00533929" w:rsidRPr="001219F9">
        <w:t>any clear advantage of newer versus older AEDs</w:t>
      </w:r>
      <w:r w:rsidRPr="001219F9">
        <w:t>. Our results provide useful insights in AED retention, efficacy and ADR rates in patients with MTLE-HS.</w:t>
      </w:r>
    </w:p>
    <w:p w14:paraId="71569EC5" w14:textId="77777777" w:rsidR="00533929" w:rsidRDefault="00533929" w:rsidP="00986FAD">
      <w:pPr>
        <w:pStyle w:val="BodyText"/>
        <w:spacing w:line="480" w:lineRule="auto"/>
        <w:jc w:val="both"/>
      </w:pPr>
    </w:p>
    <w:p w14:paraId="32E76ACE" w14:textId="5FD411C6" w:rsidR="00986FAD" w:rsidRDefault="00986FAD" w:rsidP="00986FAD">
      <w:pPr>
        <w:spacing w:line="480" w:lineRule="auto"/>
        <w:jc w:val="both"/>
      </w:pPr>
      <w:r w:rsidRPr="00533929">
        <w:rPr>
          <w:rFonts w:asciiTheme="majorHAnsi" w:eastAsiaTheme="majorEastAsia" w:hAnsiTheme="majorHAnsi" w:cstheme="majorBidi"/>
          <w:b/>
          <w:bCs/>
          <w:sz w:val="32"/>
          <w:szCs w:val="32"/>
        </w:rPr>
        <w:t>Key words:</w:t>
      </w:r>
      <w:r>
        <w:t xml:space="preserve"> </w:t>
      </w:r>
      <w:r w:rsidR="00DA762F">
        <w:t>retention, efficacy, adverse drug reactions, drug response, seizure freedom</w:t>
      </w:r>
    </w:p>
    <w:p w14:paraId="6C2A6EBE" w14:textId="77777777" w:rsidR="00986FAD" w:rsidRDefault="00986FAD" w:rsidP="00986FAD">
      <w:pPr>
        <w:pStyle w:val="BodyText"/>
        <w:spacing w:line="480" w:lineRule="auto"/>
        <w:jc w:val="both"/>
      </w:pPr>
    </w:p>
    <w:p w14:paraId="7D802C4F" w14:textId="77777777" w:rsidR="004D7318" w:rsidRPr="001219F9" w:rsidRDefault="00E96794" w:rsidP="00986FAD">
      <w:pPr>
        <w:pStyle w:val="Heading2"/>
        <w:spacing w:line="480" w:lineRule="auto"/>
        <w:jc w:val="both"/>
        <w:rPr>
          <w:color w:val="auto"/>
        </w:rPr>
      </w:pPr>
      <w:bookmarkStart w:id="1" w:name="introduction"/>
      <w:bookmarkEnd w:id="1"/>
      <w:r w:rsidRPr="001219F9">
        <w:rPr>
          <w:color w:val="auto"/>
        </w:rPr>
        <w:t>Introduction</w:t>
      </w:r>
    </w:p>
    <w:p w14:paraId="3930DDB1" w14:textId="6BADDECE" w:rsidR="004D7318" w:rsidRPr="001219F9" w:rsidRDefault="00E96794" w:rsidP="00986FAD">
      <w:pPr>
        <w:pStyle w:val="FirstParagraph"/>
        <w:spacing w:line="480" w:lineRule="auto"/>
        <w:jc w:val="both"/>
      </w:pPr>
      <w:r w:rsidRPr="001219F9">
        <w:t>Mesial temporal lobe epilepsy with hippocampal sclerosis (MTLE-HS) is one of the most common epilepsy syndromes, accounting for up to 65% of patients</w:t>
      </w:r>
      <w:r w:rsidR="00EA3015">
        <w:t xml:space="preserve"> with temporal lobe epilepsy</w:t>
      </w:r>
      <w:r w:rsidRPr="001219F9">
        <w:t>.</w:t>
      </w:r>
      <w:r w:rsidR="00EA3015">
        <w:fldChar w:fldCharType="begin" w:fldLock="1"/>
      </w:r>
      <w:r w:rsidR="00973154">
        <w:instrText>ADDIN CSL_CITATION { "citationItems" : [ { "id" : "ITEM-1", "itemData" : { "DOI" : "10.1007/978-1-84628-644-5", "ISBN" : "978-1-84628-643-8", "author" : [ { "dropping-particle" : "", "family" : "Panayiotopoulos", "given" : "C P", "non-dropping-particle" : "", "parse-names" : false, "suffix" : "" } ], "id" : "ITEM-1", "issued" : { "date-parts" : [ [ "2010" ] ] }, "publisher" : "Springer London", "publisher-place" : "London", "title" : "A Clinical Guide to Epileptic Syndromes and their Treatment", "type" : "book" }, "uris" : [ "http://www.mendeley.com/documents/?uuid=f64da7ad-d7aa-3255-93d7-97d443d71251" ] } ], "mendeley" : { "formattedCitation" : "&lt;sup&gt;1&lt;/sup&gt;", "plainTextFormattedCitation" : "1", "previouslyFormattedCitation" : "&lt;sup&gt;1&lt;/sup&gt;" }, "properties" : { "noteIndex" : 0 }, "schema" : "https://github.com/citation-style-language/schema/raw/master/csl-citation.json" }</w:instrText>
      </w:r>
      <w:r w:rsidR="00EA3015">
        <w:fldChar w:fldCharType="separate"/>
      </w:r>
      <w:r w:rsidR="00037474" w:rsidRPr="00037474">
        <w:rPr>
          <w:noProof/>
          <w:vertAlign w:val="superscript"/>
        </w:rPr>
        <w:t>1</w:t>
      </w:r>
      <w:r w:rsidR="00EA3015">
        <w:fldChar w:fldCharType="end"/>
      </w:r>
      <w:r w:rsidRPr="001219F9">
        <w:t xml:space="preserve"> </w:t>
      </w:r>
      <w:r w:rsidR="00845CE0" w:rsidRPr="001219F9">
        <w:t>Antiepileptic drug (AED) resistance</w:t>
      </w:r>
      <w:r w:rsidR="00845CE0">
        <w:t xml:space="preserve"> is common in patients with </w:t>
      </w:r>
      <w:r w:rsidRPr="001219F9">
        <w:t>MTLE-HS and hippocampal sclerosis is identified in about one third of patients with drug-resistant epilepsy u</w:t>
      </w:r>
      <w:r w:rsidR="00EA3015">
        <w:t>ndergoing surgical resection</w:t>
      </w:r>
      <w:r w:rsidRPr="001219F9">
        <w:t>.</w:t>
      </w:r>
      <w:r w:rsidR="00EA3015">
        <w:fldChar w:fldCharType="begin" w:fldLock="1"/>
      </w:r>
      <w:r w:rsidR="00973154">
        <w:instrText>ADDIN CSL_CITATION { "citationItems" : [ { "id" : "ITEM-1", "itemData" : { "DOI" : "10.1111/j.1750-3639.2012.00584.x", "ISSN" : "10156305", "author" : [ { "dropping-particle" : "", "family" : "Bl\u00fcmcke", "given" : "Ingmar", "non-dropping-particle" : "", "parse-names" : false, "suffix" : "" }, { "dropping-particle" : "", "family" : "Spreafico", "given" : "Roberto", "non-dropping-particle" : "", "parse-names" : false, "suffix" : "" } ], "container-title" : "Brain Pathology", "id" : "ITEM-1", "issue" : "3", "issued" : { "date-parts" : [ [ "2012", "5" ] ] }, "page" : "347-349", "publisher" : "Blackwell Publishing Ltd", "title" : "Cause Matters: A Neuropathological Challenge to Human Epilepsies", "type" : "article-journal", "volume" : "22" }, "uris" : [ "http://www.mendeley.com/documents/?uuid=e8d648de-febd-3e69-9432-d00a9e3f7754" ] } ], "mendeley" : { "formattedCitation" : "&lt;sup&gt;2&lt;/sup&gt;", "plainTextFormattedCitation" : "2", "previouslyFormattedCitation" : "&lt;sup&gt;2&lt;/sup&gt;" }, "properties" : { "noteIndex" : 0 }, "schema" : "https://github.com/citation-style-language/schema/raw/master/csl-citation.json" }</w:instrText>
      </w:r>
      <w:r w:rsidR="00EA3015">
        <w:fldChar w:fldCharType="separate"/>
      </w:r>
      <w:r w:rsidR="00037474" w:rsidRPr="00037474">
        <w:rPr>
          <w:noProof/>
          <w:vertAlign w:val="superscript"/>
        </w:rPr>
        <w:t>2</w:t>
      </w:r>
      <w:r w:rsidR="00EA3015">
        <w:fldChar w:fldCharType="end"/>
      </w:r>
      <w:r w:rsidRPr="001219F9">
        <w:t xml:space="preserve"> Several studies have demonstrated that patients with MTLE-HS are significantly less likely to respond to AEDs compared to patients with </w:t>
      </w:r>
      <w:r w:rsidR="008F602A">
        <w:t xml:space="preserve">other </w:t>
      </w:r>
      <w:r w:rsidRPr="001219F9">
        <w:t xml:space="preserve">focal epilepsy </w:t>
      </w:r>
      <w:r w:rsidR="008F602A">
        <w:t>syndromes</w:t>
      </w:r>
      <w:r w:rsidR="00EA3015">
        <w:fldChar w:fldCharType="begin" w:fldLock="1"/>
      </w:r>
      <w:r w:rsidR="00973154">
        <w:instrText>ADDIN CSL_CITATION { "citationItems" : [ { "id" : "ITEM-1", "itemData" : { "DOI" : "10.1016/j.seizure.2003.12.010", "ISSN" : "1059-1311", "PMID" : "15519912", "abstract" : "UNLABELLED Retrospectively we analysed postoperative AED treatment in patients with mesial temporal lobe epilepsy and hippocampal sclerosis (MTLE-HS) who were seizure free following selective amygdalohippocampectomy (AHE). In this subgroup, we compared the patients without AEDs with that in the entire series. RESULTS During the year prior to surgery, in the MTLE-HS group, a mean of 2.3 +/- 0.8 AEDs were taken. The percentage of seizure-free MTLE-HS patients without AEDs increases to 40% from the postoperative year 5 on. In the ILAE Class 1a (seizure- and aura-free since surgery) at postoperative year 5 more than 60% and from postoperative year 7 on more than 90% have discontinued AED intake. CONCLUSION These figures indicate that reduction and discontinuation of AEDs is the same in the subgroup \"seizure-free MTLE-HS patients\" compared to the entire series.", "author" : [ { "dropping-particle" : "", "family" : "Wieser", "given" : "Heinz Gregor", "non-dropping-particle" : "", "parse-names" : false, "suffix" : "" }, { "dropping-particle" : "", "family" : "H\u00e4ne", "given" : "Adrian", "non-dropping-particle" : "", "parse-names" : false, "suffix" : "" }, { "dropping-particle" : "", "family" : "Wieser", "given" : "H.G.", "non-dropping-particle" : "", "parse-names" : false, "suffix" : "" }, { "dropping-particle" : "", "family" : "Ortega", "given" : "M.", "non-dropping-particle" : "", "parse-names" : false, "suffix" : "" }, { "dropping-particle" : "", "family" : "Friedman", "given" : "A.", "non-dropping-particle" : "", "parse-names" : false, "suffix" : "" }, { "dropping-particle" : "", "family" : "Yonekawa", "given" : "Y.", "non-dropping-particle" : "", "parse-names" : false, "suffix" : "" }, { "dropping-particle" : "", "family" : "Wieser", "given" : "H.G.", "non-dropping-particle" : "", "parse-names" : false, "suffix" : "" }, { "dropping-particle" : "", "family" : "H\u00e4ne", "given" : "P.", "non-dropping-particle" : "", "parse-names" : false, "suffix" : "" }, { "dropping-particle" : "", "family" : "Wieser", "given" : "H.G.", "non-dropping-particle" : "", "parse-names" : false, "suffix" : "" }, { "dropping-particle" : "", "family" : "Blume", "given" : "W.T.", "non-dropping-particle" : "", "parse-names" : false, "suffix" : "" }, { "dropping-particle" : "", "family" : "Fish", "given" : "D.", "non-dropping-particle" : "", "parse-names" : false, "suffix" : "" }, { "dropping-particle" : "", "family" : "Goldensohn", "given" : "E.", "non-dropping-particle" : "", "parse-names" : false, "suffix" : "" }, { "dropping-particle" : "", "family" : "Hufnagel", "given" : "A.", "non-dropping-particle" : "", "parse-names" : false, "suffix" : "" }, { "dropping-particle" : "", "family" : "King", "given" : "D.", "non-dropping-particle" : "", "parse-names" : false, "suffix" : "" }, { "dropping-particle" : "", "family" : "al.", "given" : "et", "non-dropping-particle" : "", "parse-names" : false, "suffix" : "" } ], "container-title" : "Seizure", "id" : "ITEM-1", "issue" : "8", "issued" : { "date-parts" : [ [ "2004", "12" ] ] }, "page" : "534-6", "publisher" : "Elsevier", "title" : "Antiepileptic drug treatment in seizure-free mesial temporal lobe epilepsy patients with hippocampal sclerosis following selective amygdalohippocampectomy.", "type" : "article-journal", "volume" : "13" }, "uris" : [ "http://www.mendeley.com/documents/?uuid=43d1ca32-66d0-3f41-b2c5-f5ae7a4f3457" ] } ], "mendeley" : { "formattedCitation" : "&lt;sup&gt;3&lt;/sup&gt;", "plainTextFormattedCitation" : "3", "previouslyFormattedCitation" : "&lt;sup&gt;3&lt;/sup&gt;" }, "properties" : { "noteIndex" : 0 }, "schema" : "https://github.com/citation-style-language/schema/raw/master/csl-citation.json" }</w:instrText>
      </w:r>
      <w:r w:rsidR="00EA3015">
        <w:fldChar w:fldCharType="separate"/>
      </w:r>
      <w:r w:rsidR="00037474" w:rsidRPr="00037474">
        <w:rPr>
          <w:noProof/>
          <w:vertAlign w:val="superscript"/>
        </w:rPr>
        <w:t>3</w:t>
      </w:r>
      <w:r w:rsidR="00EA3015">
        <w:fldChar w:fldCharType="end"/>
      </w:r>
      <w:r w:rsidRPr="001219F9">
        <w:t xml:space="preserve"> and surgery is considered superior to prolonged medical treatment in patients who do not res</w:t>
      </w:r>
      <w:r w:rsidR="00EA3015">
        <w:t>pond to initial treatment</w:t>
      </w:r>
      <w:r w:rsidRPr="001219F9">
        <w:t>.</w:t>
      </w:r>
      <w:r w:rsidR="00EA3015">
        <w:fldChar w:fldCharType="begin" w:fldLock="1"/>
      </w:r>
      <w:r w:rsidR="00973154">
        <w:instrText>ADDIN CSL_CITATION { "citationItems" : [ { "id" : "ITEM-1", "itemData" : { "DOI" : "10.1056/NEJM200108023450501", "ISSN" : "0028-4793", "PMID" : "11484687", "abstract" : "BACKGROUND Randomized trials of surgery for epilepsy have not been conducted, because of the difficulties involved in designing and implementing feasible studies. The lack of data supporting the therapeutic usefulness of surgery precludes making strong recommendations for patients with epilepsy. We conducted a randomized, controlled trial to assess the efficacy and safety of surgery for temporal-lobe epilepsy. METHODS Eighty patients with temporal-lobe epilepsy were randomly assigned to surgery (40 patients) or treatment with antiepileptic drugs for one year (40 patients). Optimal medical therapy and primary outcomes were assessed by epileptologists who were unaware of the patients' treatment assignments. The primary outcome was freedom from seizures that impair awareness of self and surroundings. Secondary outcomes were the frequency and severity of seizures, the quality of life, disability, and death. RESULTS At one year, the cumulative proportion of patients who were free of seizures impairing awareness was 58 percent in the surgical group and 8 percent in the medical group (P&lt;0.001). The patients in the surgical group had fewer seizures impairing awareness and a significantly better quality of life (P&lt;0.001 for both comparisons) than the patients in the medical group. Four patients (10 percent) had adverse effects of surgery. One patient in the medical group died. CONCLUSIONS In temporal-lobe epilepsy, surgery is superior to prolonged medical therapy. Randomized trials of surgery for epilepsy are feasible and appear to yield precise estimates of treatment effects.", "author" : [ { "dropping-particle" : "", "family" : "Wiebe", "given" : "S", "non-dropping-particle" : "", "parse-names" : false, "suffix" : "" }, { "dropping-particle" : "", "family" : "Blume", "given" : "W T", "non-dropping-particle" : "", "parse-names" : false, "suffix" : "" }, { "dropping-particle" : "", "family" : "Girvin", "given" : "J P", "non-dropping-particle" : "", "parse-names" : false, "suffix" : "" }, { "dropping-particle" : "", "family" : "Eliasziw", "given" : "M", "non-dropping-particle" : "", "parse-names" : false, "suffix" : "" }, { "dropping-particle" : "", "family" : "Effectiveness and Efficiency of Surgery for Temporal Lobe Epilepsy Study Group", "given" : "", "non-dropping-particle" : "", "parse-names" : false, "suffix" : "" } ], "container-title" : "The New England journal of medicine", "id" : "ITEM-1", "issue" : "5", "issued" : { "date-parts" : [ [ "2001", "8", "2" ] ] }, "page" : "311-8", "title" : "A randomized, controlled trial of surgery for temporal-lobe epilepsy.", "type" : "article-journal", "volume" : "345" }, "uris" : [ "http://www.mendeley.com/documents/?uuid=d61b6918-8f6e-312f-8047-b9ff38b08f19" ] }, { "id" : "ITEM-2", "itemData" : { "DOI" : "10.1001/jama.2012.220", "ISSN" : "1538-3598", "PMID" : "22396514", "abstract" : "CONTEXT Despite reported success, surgery for pharmacoresistant seizures is often seen as a last resort. Patients are typically referred for surgery after 20 years of seizures, often too late to avoid significant disability and premature death. OBJECTIVE We sought to determine whether surgery soon after failure of 2 antiepileptic drug (AED) trials is superior to continued medical management in controlling seizures and improving quality of life (QOL). DESIGN, SETTING, AND PARTICIPANTS The Early Randomized Surgical Epilepsy Trial (ERSET) is a multicenter, controlled, parallel-group clinical trial performed at 16 US epilepsy surgery centers. The 38 participants (18 men and 20 women; aged \u226512 years) had mesial temporal lobe epilepsy (MTLE) and disabling seizues for no more than 2 consecutive years following adequate trials of 2 brand-name AEDs. Eligibility for anteromesial temporal resection (AMTR) was based on a standardized presurgical evaluation protocol. Participants were randomized to continued AED treatment or AMTR 2003-2007, and observed for 2 years. Planned enrollment was 200, but the trial was halted prematurely due to slow accrual. INTERVENTION Receipt of continued AED treatment (n = 23) or a standardized AMTR plus AED treatment (n = 15). In the medical group, 7 participants underwent AMTR prior to the end of follow-up and 1 participant in the surgical group never received surgery. MAIN OUTCOME MEASURES The primary outcome variable was freedom from disabling seizures during year 2 of follow-up. Secondary outcome variables were health-related QOL (measured primarily by the 2-year change in the Quality of Life in Epilepsy 89 [QOLIE-89] overall T-score), cognitive function, and social adaptation. RESULTS Zero of 23 participants in the medical group and 11 of 15 in the surgical group were seizure free during year 2 of follow-up (odds ratio = \u221e; 95% CI, 11.8 to \u221e; P &lt; .001). In an intention-to-treat analysis, the mean improvement in QOLIE-89 overall T-score was higher in the surgical group than in the medical group but this difference was not statistically significant (12.6 vs 4.0 points; treatment effect = 8.5; 95% CI, -1.0 to 18.1; P = .08). When data obtained after surgery from participants in the medical group were excluded, the effect of surgery on QOL was significant (12.8 vs 2.8 points; treatment effect = 9.9; 95% CI, 2.2 to 17.7; P = .01). Memory decline (assessed using the Rey Auditory Verbal Learning Test) occurred in 4 participants (36%) aft\u2026", "author" : [ { "dropping-particle" : "", "family" : "Engel", "given" : "Jerome", "non-dropping-particle" : "", "parse-names" : false, "suffix" : "" }, { "dropping-particle" : "", "family" : "McDermott", "given" : "Michael P", "non-dropping-particle" : "", "parse-names" : false, "suffix" : "" }, { "dropping-particle" : "", "family" : "Wiebe", "given" : "Samuel", "non-dropping-particle" : "", "parse-names" : false, "suffix" : "" }, { "dropping-particle" : "", "family" : "Langfitt", "given" : "John T", "non-dropping-particle" : "", "parse-names" : false, "suffix" : "" }, { "dropping-particle" : "", "family" : "Stern", "given" : "John M", "non-dropping-particle" : "", "parse-names" : false, "suffix" : "" }, { "dropping-particle" : "", "family" : "Dewar", "given" : "Sandra", "non-dropping-particle" : "", "parse-names" : false, "suffix" : "" }, { "dropping-particle" : "", "family" : "Sperling", "given" : "Michael R", "non-dropping-particle" : "", "parse-names" : false, "suffix" : "" }, { "dropping-particle" : "", "family" : "Gardiner", "given" : "Irenita", "non-dropping-particle" : "", "parse-names" : false, "suffix" : "" }, { "dropping-particle" : "", "family" : "Erba", "given" : "Giuseppe", "non-dropping-particle" : "", "parse-names" : false, "suffix" : "" }, { "dropping-particle" : "", "family" : "Fried", "given" : "Itzhak", "non-dropping-particle" : "", "parse-names" : false, "suffix" : "" }, { "dropping-particle" : "", "family" : "Jacobs", "given" : "Margaret", "non-dropping-particle" : "", "parse-names" : false, "suffix" : "" }, { "dropping-particle" : "V", "family" : "Vinters", "given" : "Harry", "non-dropping-particle" : "", "parse-names" : false, "suffix" : "" }, { "dropping-particle" : "", "family" : "Mintzer", "given" : "Scott", "non-dropping-particle" : "", "parse-names" : false, "suffix" : "" }, { "dropping-particle" : "", "family" : "Kieburtz", "given" : "Karl", "non-dropping-particle" : "", "parse-names" : false, "suffix" : "" }, { "dropping-particle" : "", "family" : "Early Randomized Surgical Epilepsy Trial (ERSET) Study Group", "given" : "", "non-dropping-particle" : "", "parse-names" : false, "suffix" : "" } ], "container-title" : "JAMA", "id" : "ITEM-2", "issue" : "9", "issued" : { "date-parts" : [ [ "2012", "3", "7" ] ] }, "page" : "922-30", "title" : "Early surgical therapy for drug-resistant temporal lobe epilepsy: a randomized trial.", "type" : "article-journal", "volume" : "307" }, "uris" : [ "http://www.mendeley.com/documents/?uuid=78166617-5ae0-34f2-9c5b-264f576711b2" ] } ], "mendeley" : { "formattedCitation" : "&lt;sup&gt;4,5&lt;/sup&gt;", "plainTextFormattedCitation" : "4,5", "previouslyFormattedCitation" : "&lt;sup&gt;4,5&lt;/sup&gt;" }, "properties" : { "noteIndex" : 0 }, "schema" : "https://github.com/citation-style-language/schema/raw/master/csl-citation.json" }</w:instrText>
      </w:r>
      <w:r w:rsidR="00EA3015">
        <w:fldChar w:fldCharType="separate"/>
      </w:r>
      <w:r w:rsidR="00037474" w:rsidRPr="00037474">
        <w:rPr>
          <w:noProof/>
          <w:vertAlign w:val="superscript"/>
        </w:rPr>
        <w:t>4,5</w:t>
      </w:r>
      <w:r w:rsidR="00EA3015">
        <w:fldChar w:fldCharType="end"/>
      </w:r>
      <w:r w:rsidRPr="001219F9">
        <w:t xml:space="preserve"> Conversely, it is clear that a subgroup of patients with MTLE-HS have seizures that are controlled with AEDs and that the size of this subgroup is systematically underestimated in studies of MTLE-HS, which are mostly conducted </w:t>
      </w:r>
      <w:r w:rsidR="00EA3015">
        <w:t>in tertiary epilepsy centers</w:t>
      </w:r>
      <w:r w:rsidRPr="001219F9">
        <w:t>.</w:t>
      </w:r>
      <w:r w:rsidR="00EA3015">
        <w:fldChar w:fldCharType="begin" w:fldLock="1"/>
      </w:r>
      <w:r w:rsidR="00973154">
        <w:instrText>ADDIN CSL_CITATION { "citationItems" : [ { "id" : "ITEM-1", "itemData" : { "DOI" : "10.1684/epd.2012.0497", "ISSN" : "1294-9361", "PMID" : "22576069", "abstract" : "PURPOSE To evaluate the efficacy and tolerability of topiramate (TPM) as monotherapy for patients with temporal lobe epileptic seizures based on an observational study. METHODS We evaluated 41 patients (20 female, mean age 54+18 years) with temporal lobe epilepsy (TLE) referred to the Epilepsy Unit, University of Catanzaro, Italy. Patients received TPM as monotherapy directly or after having taken other antiepileptic drugs. Seizure frequency changes and adverse events were recorded. Follow-up was conducted for a period of at least two years after treatment. RESULTS Patients received TPM, 50-600 mg/day, de novo (n=29) or initially as add-on therapy before the switch (n=12). In total, 28 of 41 patients achieved seizure freedom, whereas 10 showed a \u2265 50% reduction of seizure frequency. Two patients did not respond well and one patient discontinued TPM due to adverse effects. CONCLUSIONS Our results confirm that TPM as either monotherapy or add-on therapy at doses of 50-600 mg/day effectively reduces seizure frequency in TLE. TPM is particular effective and very well tolerated in patients with mild TLE.", "author" : [ { "dropping-particle" : "", "family" : "Labate", "given" : "Angelo", "non-dropping-particle" : "", "parse-names" : false, "suffix" : "" }, { "dropping-particle" : "", "family" : "Siniscalchi", "given" : "Antonio", "non-dropping-particle" : "", "parse-names" : false, "suffix" : "" }, { "dropping-particle" : "", "family" : "Mumoli", "given" : "Laura", "non-dropping-particle" : "", "parse-names" : false, "suffix" : "" }, { "dropping-particle" : "", "family" : "Aguglia", "given" : "Umberto", "non-dropping-particle" : "", "parse-names" : false, "suffix" : "" }, { "dropping-particle" : "", "family" : "Quattrone", "given" : "Aldo", "non-dropping-particle" : "", "parse-names" : false, "suffix" : "" }, { "dropping-particle" : "", "family" : "Gambardella", "given" : "Antonio", "non-dropping-particle" : "", "parse-names" : false, "suffix" : "" } ], "container-title" : "Epileptic disorders : international epilepsy journal with videotape", "id" : "ITEM-1", "issue" : "2", "issued" : { "date-parts" : [ [ "2012", "6" ] ] }, "page" : "163-6", "title" : "Topiramate and temporal lobe epilepsy: an open-label study.", "type" : "article-journal", "volume" : "14" }, "uris" : [ "http://www.mendeley.com/documents/?uuid=42d070f4-9fb2-3ebe-a5b2-3fae49c05b15" ] } ], "mendeley" : { "formattedCitation" : "&lt;sup&gt;6&lt;/sup&gt;", "plainTextFormattedCitation" : "6", "previouslyFormattedCitation" : "&lt;sup&gt;6&lt;/sup&gt;" }, "properties" : { "noteIndex" : 0 }, "schema" : "https://github.com/citation-style-language/schema/raw/master/csl-citation.json" }</w:instrText>
      </w:r>
      <w:r w:rsidR="00EA3015">
        <w:fldChar w:fldCharType="separate"/>
      </w:r>
      <w:r w:rsidR="00037474" w:rsidRPr="00037474">
        <w:rPr>
          <w:noProof/>
          <w:vertAlign w:val="superscript"/>
        </w:rPr>
        <w:t>6</w:t>
      </w:r>
      <w:r w:rsidR="00EA3015">
        <w:fldChar w:fldCharType="end"/>
      </w:r>
      <w:r w:rsidRPr="001219F9">
        <w:t xml:space="preserve"> Moreover, a substantial number of patients with MTLE-HS do not undergo surgery for a variety of reasons, </w:t>
      </w:r>
      <w:r w:rsidR="00845CE0">
        <w:t>including</w:t>
      </w:r>
      <w:r w:rsidRPr="001219F9">
        <w:t xml:space="preserve"> the presence of </w:t>
      </w:r>
      <w:r w:rsidRPr="001219F9">
        <w:lastRenderedPageBreak/>
        <w:t>bilateral lesions, high probability of postoperative neuropsychological d</w:t>
      </w:r>
      <w:r w:rsidR="00EA3015">
        <w:t>eficits or individual choice</w:t>
      </w:r>
      <w:r w:rsidRPr="001219F9">
        <w:t>.</w:t>
      </w:r>
      <w:r w:rsidR="00EA3015">
        <w:fldChar w:fldCharType="begin" w:fldLock="1"/>
      </w:r>
      <w:r w:rsidR="00973154">
        <w:instrText>ADDIN CSL_CITATION { "citationItems" : [ { "id" : "ITEM-1", "itemData" : { "DOI" : "10.1016/j.seizure.2012.09.010", "ISSN" : "1532-2688", "PMID" : "23041032", "abstract" : "PURPOSE To evaluate evolution and elucidate clinical phenotypes related to prognosis of patients with mesial temporal lobe epilepsy related to hippocampal sclerosis (MTLE-HS) treated exclusively with antiepileptic drugs (AED). METHODS Forty-seven out of 68 MTLE-HS patients treated between January 2005 and June 2010 were retrospectively studied for demographic, clinical and outcome data. The population was divided into drug-responder and drug-resistant patients; the latter was divided, according to the duration of the seizure-free periods along their evolution, into patients with at least one seizure-free period longer than one year and those with shorter periods. Variables were compared between drug-responders vs drug-resistants and drug-resistants with long seizure-free periods vs drug-resistants without it. RESULTS There were 7 (15%) drug-responders, 39 (83%) drug-resistants and 1 patient (2%) with an undetermined response. Eighteen (46%) drug-resistant individuals had seizure-free periods longer than one year, with mean duration of 46 months (3.8 years). Since no factor was statistically associated with long seizure-free period within drug-resistants, we can clinically distinguish two phenotypes: women with left HS and late onset of seizures, with poor prognosis, and men with right HS and earlier appearance of seizures, attaining a better outcome. Twenty out of 47 (42.5%) patients followed an intermittent pattern of epilepsy. CONCLUSIONS Non-surgical MTLE-HS drug-resistant patients can achieve long seizure-free periods with AED, but relapses are common. Female gender, left or bilateral lesion and later onset of seizures seem to be bad prognosis factors within MTLE-HS drug-resistant patients.", "author" : [ { "dropping-particle" : "", "family" : "Gomez-Iba\u00f1ez", "given" : "Asier", "non-dropping-particle" : "", "parse-names" : false, "suffix" : "" }, { "dropping-particle" : "", "family" : "Gasca-Salas", "given" : "Carmen", "non-dropping-particle" : "", "parse-names" : false, "suffix" : "" }, { "dropping-particle" : "", "family" : "Urrestarazu", "given" : "Elena", "non-dropping-particle" : "", "parse-names" : false, "suffix" : "" }, { "dropping-particle" : "", "family" : "Viteri", "given" : "Cesar", "non-dropping-particle" : "", "parse-names" : false, "suffix" : "" }, { "dropping-particle" : "", "family" : "Margerison", "given" : "J.H.", "non-dropping-particle" : "", "parse-names" : false, "suffix" : "" }, { "dropping-particle" : "", "family" : "Corsellis", "given" : "J.A.", "non-dropping-particle" : "", "parse-names" : false, "suffix" : "" }, { "dropping-particle" : "", "family" : "Varoglu", "given" : "A.O.", "non-dropping-particle" : "", "parse-names" : false, "suffix" : "" }, { "dropping-particle" : "", "family" : "Saygi", "given" : "S.", "non-dropping-particle" : "", "parse-names" : false, "suffix" : "" }, { "dropping-particle" : "", "family" : "Acemoglu", "given" : "H.", "non-dropping-particle" : "", "parse-names" : false, "suffix" : "" }, { "dropping-particle" : "", "family" : "Ciger", "given" : "A.", "non-dropping-particle" : "", "parse-names" : false, "suffix" : "" }, { "dropping-particle" : "", "family" : "Spencer", "given" : "S.S.", "non-dropping-particle" : "", "parse-names" : false, "suffix" : "" }, { "dropping-particle" : "", "family" : "Berg", "given" : "A.T.", "non-dropping-particle" : "", "parse-names" : false, "suffix" : "" }, { "dropping-particle" : "", "family" : "Cendes", "given" : "F.", "non-dropping-particle" : "", "parse-names" : false, "suffix" : "" }, { "dropping-particle" : "", "family" : "Andermann", "given" : "F.", "non-dropping-particle" : "", "parse-names" : false, "suffix" : "" }, { "dropping-particle" : "", "family" : "Gloor", "given" : "P.", "non-dropping-particle" : "", "parse-names" : false, "suffix" : "" }, { "dropping-particle" : "", "family" : "Lopes-Cendes", "given" : "I.", "non-dropping-particle" : "", "parse-names" : false, "suffix" : "" }, { "dropping-particle" : "", "family" : "Andermann", "given" : "E.", "non-dropping-particle" : "", "parse-names" : false, "suffix" : "" }, { "dropping-particle" : "", "family" : "Melanson", "given" : "D.", "non-dropping-particle" : "", "parse-names" : false, "suffix" : "" }, { "dropping-particle" : "", "family" : "al.", "given" : "et", "non-dropping-particle" : "", "parse-names" : false, "suffix" : "" }, { "dropping-particle" : "", "family" : "Stephen", "given" : "L.J.", "non-dropping-particle" : "", "parse-names" : false, "suffix" : "" }, { "dropping-particle" : "", "family" : "Kwan", "given" : "P.", "non-dropping-particle" : "", "parse-names" : false, "suffix" : "" }, { "dropping-particle" : "", "family" : "Brodie", "given" : "M.J.", "non-dropping-particle" : "", "parse-names" : false, "suffix" : "" }, { "dropping-particle" : "", "family" : "Pittau", "given" : "F.", "non-dropping-particle" : "", "parse-names" : false, "suffix" : "" }, { "dropping-particle" : "", "family" : "Bisulli", "given" : "F.", "non-dropping-particle" : "", "parse-names" : false, "suffix" : "" }, { "dropping-particle" : "", "family" : "Mai", "given" : "R.", "non-dropping-particle" : "", "parse-names" : false, "suffix" : "" }, { "dropping-particle" : "", "family" : "Fares", "given" : "J.E.", "non-dropping-particle" : "", "parse-names" : false, "suffix" : "" }, { "dropping-particle" : "", "family" : "Vignatelli", "given" : "L.", "non-dropping-particle" : "", "parse-names" : false, "suffix" : "" }, { "dropping-particle" : "", "family" : "Labate", "given" : "A.", "non-dropping-particle" : "", "parse-names" : false, "suffix" : "" }, { "dropping-particle" : "", "family" : "al.", "given" : "et", "non-dropping-particle" : "", "parse-names" : false, "suffix" : "" }, { "dropping-particle" : "", "family" : "Meletti", "given" : "S.", "non-dropping-particle" : "", "parse-names" : false, "suffix" : "" }, { "dropping-particle" : "", "family" : "Benuzzi", "given" : "F.", "non-dropping-particle" : "", "parse-names" : false, "suffix" : "" }, { "dropping-particle" : "", "family" : "Rubboli", "given" : "G.", "non-dropping-particle" : "", "parse-names" : false, "suffix" : "" }, { "dropping-particle" : "", "family" : "Cantalupo", "given" : "G.", "non-dropping-particle" : "", "parse-names" : false, "suffix" : "" }, { "dropping-particle" : "", "family" : "Maserati", "given" : "M. Stanzani", "non-dropping-particle" : "", "parse-names" : false, "suffix" : "" }, { "dropping-particle" : "", "family" : "Nichelli", "given" : "P.", "non-dropping-particle" : "", "parse-names" : false, "suffix" : "" }, { "dropping-particle" : "", "family" : "al.", "given" : "et", "non-dropping-particle" : "", "parse-names" : false, "suffix" : "" }, { "dropping-particle" : "", "family" : "Meletti", "given" : "S.", "non-dropping-particle" : "", "parse-names" : false, "suffix" : "" }, { "dropping-particle" : "", "family" : "Benuzzi", "given" : "F.", "non-dropping-particle" : "", "parse-names" : false, "suffix" : "" }, { "dropping-particle" : "", "family" : "Cantalupo", "given" : "G.", "non-dropping-particle" : "", "parse-names" : false, "suffix" : "" }, { "dropping-particle" : "", "family" : "Rubboli", "given" : "G.", "non-dropping-particle" : "", "parse-names" : false, "suffix" : "" }, { "dropping-particle" : "", "family" : "Tassinari", "given" : "C.A.", "non-dropping-particle" : "", "parse-names" : false, "suffix" : "" }, { "dropping-particle" : "", "family" : "Nichelli", "given" : "P.", "non-dropping-particle" : "", "parse-names" : false, "suffix" : "" }, { "dropping-particle" : "", "family" : "Theodore", "given" : "W.H.", "non-dropping-particle" : "", "parse-names" : false, "suffix" : "" }, { "dropping-particle" : "", "family" : "Katz", "given" : "D.", "non-dropping-particle" : "", "parse-names" : false, "suffix" : "" }, { "dropping-particle" : "", "family" : "Kufta", "given" : "C.", "non-dropping-particle" : "", "parse-names" : false, "suffix" : "" }, { "dropping-particle" : "", "family" : "Sato", "given" : "S.", "non-dropping-particle" : "", "parse-names" : false, "suffix" : "" }, { "dropping-particle" : "", "family" : "Patronas", "given" : "N.", "non-dropping-particle" : "", "parse-names" : false, "suffix" : "" }, { "dropping-particle" : "", "family" : "Smothers", "given" : "P.", "non-dropping-particle" : "", "parse-names" : false, "suffix" : "" }, { "dropping-particle" : "", "family" : "al.", "given" : "et", "non-dropping-particle" : "", "parse-names" : false, "suffix" : "" }, { "dropping-particle" : "", "family" : "Dowd", "given" : "C.F.", "non-dropping-particle" : "", "parse-names" : false, "suffix" : "" }, { "dropping-particle" : "", "family" : "Dillon", "given" : "W.P.", "non-dropping-particle" : "", "parse-names" : false, "suffix" : "" }, { "dropping-particle" : "", "family" : "Barbaro", "given" : "N.M.", "non-dropping-particle" : "", "parse-names" : false, "suffix" : "" }, { "dropping-particle" : "", "family" : "Laxer", "given" : "K.D.", "non-dropping-particle" : "", "parse-names" : false, "suffix" : "" }, { "dropping-particle" : "", "family" : "Jackson", "given" : "G.D.", "non-dropping-particle" : "", "parse-names" : false, "suffix" : "" }, { "dropping-particle" : "", "family" : "Berkovic", "given" : "S.F.", "non-dropping-particle" : "", "parse-names" : false, "suffix" : "" }, { "dropping-particle" : "", "family" : "Duncan", "given" : "J.S.", "non-dropping-particle" : "", "parse-names" : false, "suffix" : "" }, { "dropping-particle" : "", "family" : "Connelly", "given" : "A.", "non-dropping-particle" : "", "parse-names" : false, "suffix" : "" }, { "dropping-particle" : "", "family" : "Bilevicius", "given" : "E.", "non-dropping-particle" : "", "parse-names" : false, "suffix" : "" }, { "dropping-particle" : "", "family" : "Yasuda", "given" : "C.L.", "non-dropping-particle" : "", "parse-names" : false, "suffix" : "" }, { "dropping-particle" : "", "family" : "Silva", "given" : "M.S.", "non-dropping-particle" : "", "parse-names" : false, "suffix" : "" }, { "dropping-particle" : "", "family" : "Guerreiro", "given" : "C.A.", "non-dropping-particle" : "", "parse-names" : false, "suffix" : "" }, { "dropping-particle" : "", "family" : "Lopes-Cendes", "given" : "I.", "non-dropping-particle" : "", "parse-names" : false, "suffix" : "" }, { "dropping-particle" : "", "family" : "Cendes", "given" : "F.", "non-dropping-particle" : "", "parse-names" : false, "suffix" : "" }, { "dropping-particle" : "", "family" : "Labate", "given" : "A.", "non-dropping-particle" : "", "parse-names" : false, "suffix" : "" }, { "dropping-particle" : "", "family" : "Ventura", "given" : "P.", "non-dropping-particle" : "", "parse-names" : false, "suffix" : "" }, { "dropping-particle" : "", "family" : "Gambardella", "given" : "A.", "non-dropping-particle" : "", "parse-names" : false, "suffix" : "" }, { "dropping-particle" : "Le", "family" : "Piane", "given" : "E.", "non-dropping-particle" : "", "parse-names" : false, "suffix" : "" }, { "dropping-particle" : "", "family" : "Colosimo", "given" : "E.", "non-dropping-particle" : "", "parse-names" : false, "suffix" : "" }, { "dropping-particle" : "", "family" : "Leggio", "given" : "U.", "non-dropping-particle" : "", "parse-names" : false, "suffix" : "" }, { "dropping-particle" : "", "family" : "al.", "given" : "et", "non-dropping-particle" : "", "parse-names" : false, "suffix" : "" }, { "dropping-particle" : "", "family" : "Wiebe", "given" : "S.", "non-dropping-particle" : "", "parse-names" : false, "suffix" : "" }, { "dropping-particle" : "", "family" : "Blume", "given" : "W.T.", "non-dropping-particle" : "", "parse-names" : false, "suffix" : "" }, { "dropping-particle" : "", "family" : "Girvin", "given" : "J.P.", "non-dropping-particle" : "", "parse-names" : false, "suffix" : "" }, { "dropping-particle" : "", "family" : "Eliasziw", "given" : "M.", "non-dropping-particle" : "", "parse-names" : false, "suffix" : "" }, { "dropping-particle" : "", "family" : "Murphy", "given" : "M.", "non-dropping-particle" : "", "parse-names" : false, "suffix" : "" }, { "dropping-particle" : "", "family" : "Smith", "given" : "P.D.", "non-dropping-particle" : "", "parse-names" : false, "suffix" : "" }, { "dropping-particle" : "", "family" : "Wood", "given" : "M.", "non-dropping-particle" : "", "parse-names" : false, "suffix" : "" }, { "dropping-particle" : "", "family" : "Bowden", "given" : "S.", "non-dropping-particle" : "", "parse-names" : false, "suffix" : "" }, { "dropping-particle" : "", "family" : "O\u2019Brien", "given" : "T.J.", "non-dropping-particle" : "", "parse-names" : false, "suffix" : "" }, { "dropping-particle" : "", "family" : "Bulluss", "given" : "K.J.", "non-dropping-particle" : "", "parse-names" : false, "suffix" : "" }, { "dropping-particle" : "", "family" : "al.", "given" : "et", "non-dropping-particle" : "", "parse-names" : false, "suffix" : "" }, { "dropping-particle" : "", "family" : "Kwan", "given" : "P.", "non-dropping-particle" : "", "parse-names" : false, "suffix" : "" }, { "dropping-particle" : "", "family" : "Arzimanoglou", "given" : "A.", "non-dropping-particle" : "", "parse-names" : false, "suffix" : "" }, { "dropping-particle" : "", "family" : "Berg", "given" : "A.T.", "non-dropping-particle" : "", "parse-names" : false, "suffix" : "" }, { "dropping-particle" : "", "family" : "Brodie", "given" : "M.J.", "non-dropping-particle" : "", "parse-names" : false, "suffix" : "" }, { "dropping-particle" : "", "family" : "Hauser", "given" : "W. Allen", "non-dropping-particle" : "", "parse-names" : false, "suffix" : "" }, { "dropping-particle" : "", "family" : "Mathern", "given" : "G.", "non-dropping-particle" : "", "parse-names" : false, "suffix" : "" }, { "dropping-particle" : "", "family" : "al.", "given" : "et", "non-dropping-particle" : "", "parse-names" : false, "suffix" : "" }, { "dropping-particle" : "", "family" : "Neligan", "given" : "A.", "non-dropping-particle" : "", "parse-names" : false, "suffix" : "" }, { "dropping-particle" : "", "family" : "Bell", "given" : "G.S.", "non-dropping-particle" : "", "parse-names" : false, "suffix" : "" }, { "dropping-particle" : "", "family" : "Sander", "given" : "J.W.", "non-dropping-particle" : "", "parse-names" : false, "suffix" : "" }, { "dropping-particle" : "", "family" : "Shorvon", "given" : "S.D.", "non-dropping-particle" : "", "parse-names" : false, "suffix" : "" }, { "dropping-particle" : "", "family" : "Semah", "given" : "F.", "non-dropping-particle" : "", "parse-names" : false, "suffix" : "" }, { "dropping-particle" : "", "family" : "Lamy", "given" : "C.", "non-dropping-particle" : "", "parse-names" : false, "suffix" : "" }, { "dropping-particle" : "", "family" : "Demeret", "given" : "S.", "non-dropping-particle" : "", "parse-names" : false, "suffix" : "" }, { "dropping-particle" : "", "family" : "Kumlien", "given" : "E.", "non-dropping-particle" : "", "parse-names" : false, "suffix" : "" }, { "dropping-particle" : "", "family" : "Doss", "given" : "R.C.", "non-dropping-particle" : "", "parse-names" : false, "suffix" : "" }, { "dropping-particle" : "", "family" : "Gates", "given" : "J.R.", "non-dropping-particle" : "", "parse-names" : false, "suffix" : "" }, { "dropping-particle" : "", "family" : "Kim", "given" : "W.J.", "non-dropping-particle" : "", "parse-names" : false, "suffix" : "" }, { "dropping-particle" : "", "family" : "Park", "given" : "S.C.", "non-dropping-particle" : "", "parse-names" : false, "suffix" : "" }, { "dropping-particle" : "", "family" : "Lee", "given" : "S.J.", "non-dropping-particle" : "", "parse-names" : false, "suffix" : "" }, { "dropping-particle" : "", "family" : "Lee", "given" : "J.H.", "non-dropping-particle" : "", "parse-names" : false, "suffix" : "" }, { "dropping-particle" : "", "family" : "Kim", "given" : "J.Y.", "non-dropping-particle" : "", "parse-names" : false, "suffix" : "" }, { "dropping-particle" : "", "family" : "Lee", "given" : "B.I.", "non-dropping-particle" : "", "parse-names" : false, "suffix" : "" }, { "dropping-particle" : "", "family" : "al.", "given" : "et", "non-dropping-particle" : "", "parse-names" : false, "suffix" : "" }, { "dropping-particle" : "", "family" : "Berg", "given" : "A.T.", "non-dropping-particle" : "", "parse-names" : false, "suffix" : "" }, { "dropping-particle" : "", "family" : "Vickrey", "given" : "B.G.", "non-dropping-particle" : "", "parse-names" : false, "suffix" : "" }, { "dropping-particle" : "", "family" : "Testa", "given" : "F.M.", "non-dropping-particle" : "", "parse-names" : false, "suffix" : "" }, { "dropping-particle" : "", "family" : "Levy", "given" : "S.R.", "non-dropping-particle" : "", "parse-names" : false, "suffix" : "" }, { "dropping-particle" : "", "family" : "Shinnar", "given" : "S.", "non-dropping-particle" : "", "parse-names" : false, "suffix" : "" }, { "dropping-particle" : "", "family" : "DiMario", "given" : "F.", "non-dropping-particle" : "", "parse-names" : false, "suffix" : "" }, { "dropping-particle" : "", "family" : "al.", "given" : "et", "non-dropping-particle" : "", "parse-names" : false, "suffix" : "" }, { "dropping-particle" : "", "family" : "Lindsay", "given" : "J.", "non-dropping-particle" : "", "parse-names" : false, "suffix" : "" }, { "dropping-particle" : "", "family" : "Ounsted", "given" : "C.", "non-dropping-particle" : "", "parse-names" : false, "suffix" : "" }, { "dropping-particle" : "", "family" : "Richards", "given" : "P.", "non-dropping-particle" : "", "parse-names" : false, "suffix" : "" } ], "container-title" : "Seizure", "id" : "ITEM-1", "issue" : "1", "issued" : { "date-parts" : [ [ "2013", "1" ] ] }, "page" : "20-3", "publisher" : "Elsevier", "title" : "Clinical phenotypes within non-surgical patients with mesial temporal lobe epilepsy caused by hippocampal sclerosis based on response to antiepileptic drugs.", "type" : "article-journal", "volume" : "22" }, "uris" : [ "http://www.mendeley.com/documents/?uuid=ba346a68-91d9-301c-9533-5a05de1b9f8f" ] } ], "mendeley" : { "formattedCitation" : "&lt;sup&gt;7&lt;/sup&gt;", "plainTextFormattedCitation" : "7", "previouslyFormattedCitation" : "&lt;sup&gt;7&lt;/sup&gt;" }, "properties" : { "noteIndex" : 0 }, "schema" : "https://github.com/citation-style-language/schema/raw/master/csl-citation.json" }</w:instrText>
      </w:r>
      <w:r w:rsidR="00EA3015">
        <w:fldChar w:fldCharType="separate"/>
      </w:r>
      <w:r w:rsidR="00037474" w:rsidRPr="00037474">
        <w:rPr>
          <w:noProof/>
          <w:vertAlign w:val="superscript"/>
        </w:rPr>
        <w:t>7</w:t>
      </w:r>
      <w:r w:rsidR="00EA3015">
        <w:fldChar w:fldCharType="end"/>
      </w:r>
      <w:r w:rsidRPr="001219F9">
        <w:t xml:space="preserve"> A wide variety of AEDs with differing mechanisms of action and adverse event profiles is now available for the treatment of focal epilepsy. Numerous randomized clinical trials in focal epilepsy have been conducted</w:t>
      </w:r>
      <w:r w:rsidR="007A16CE">
        <w:t xml:space="preserve">. These are focused on a particular AED, rather </w:t>
      </w:r>
      <w:r w:rsidR="003F627D">
        <w:t xml:space="preserve">than </w:t>
      </w:r>
      <w:r w:rsidR="003F627D" w:rsidRPr="001219F9">
        <w:t>specific</w:t>
      </w:r>
      <w:r w:rsidRPr="001219F9">
        <w:t xml:space="preserve"> </w:t>
      </w:r>
      <w:r w:rsidR="007A16CE">
        <w:t xml:space="preserve">syndromic </w:t>
      </w:r>
      <w:r w:rsidRPr="001219F9">
        <w:t>subgroups such as</w:t>
      </w:r>
      <w:r w:rsidR="00EA3015">
        <w:t xml:space="preserve"> the population with MTLE-HS</w:t>
      </w:r>
      <w:r w:rsidRPr="001219F9">
        <w:t>.</w:t>
      </w:r>
      <w:r w:rsidR="00EA3015">
        <w:fldChar w:fldCharType="begin" w:fldLock="1"/>
      </w:r>
      <w:r w:rsidR="00973154">
        <w:instrText>ADDIN CSL_CITATION { "citationItems" : [ { "id" : "ITEM-1", "itemData" : { "DOI" : "10.1517/14656566.2015.1084504", "ISSN" : "1744-7666", "PMID" : "26328621", "abstract" : "INTRODUCTION Mesial temporal lobe epilepsy associated with hippocampal sclerosis (MTLE-HS) is a syndrome that is often refractory to drug treatment. The effects on specific syndromes are not currently available from the pre-marketing clinical development of new AEDs; this does not allow the prediction of whether new drugs will be more effective in the treatment of some patients. AREAS COVERED We have reviewed all the existing literature relevant to the understanding of a potential effectiveness in MTLE-HS patients for the latest AEDs, namely brivaracetam, eslicarbazepine, lacosamide, perampanel and retigabine also including the most relevant clinical data and a brief description of their pharmacological profile. Records were identified using predefined search criteria using electronic databases (e.g., PubMed, Cochrane Library Database of Systematic Reviews). Primary peer-reviewed articles published up to the 15 June 2015 were included. EXPERT OPINION All the drugs considered have the potential to be effective in the treatment of MTLE-HS; in fact, they possess proven efficacy in animal models; currently considered valuable tools for predicting drug efficacy in TLE. Furthermore, for some of these (e.g., lacosamide and eslicarbazepine) data are already available from post-marketing studies while brivaracetam acting on SV2A like levetiracetam might have the same potential effectiveness with the possibility to be more efficacious considering its ability to inhibit voltage gated sodium channels; finally, perampanel and retigabine are very effective drugs in animal models of TLE.", "author" : [ { "dropping-particle" : "", "family" : "Palleria", "given" : "Caterina", "non-dropping-particle" : "", "parse-names" : false, "suffix" : "" }, { "dropping-particle" : "", "family" : "Coppola", "given" : "Antonietta", "non-dropping-particle" : "", "parse-names" : false, "suffix" : "" }, { "dropping-particle" : "", "family" : "Citraro", "given" : "Rita", "non-dropping-particle" : "", "parse-names" : false, "suffix" : "" }, { "dropping-particle" : "", "family" : "Gaudio", "given" : "Luigi", "non-dropping-particle" : "Del", "parse-names" : false, "suffix" : "" }, { "dropping-particle" : "", "family" : "Striano", "given" : "Salvatore", "non-dropping-particle" : "", "parse-names" : false, "suffix" : "" }, { "dropping-particle" : "", "family" : "Sarro", "given" : "Giovambattista", "non-dropping-particle" : "De", "parse-names" : false, "suffix" : "" }, { "dropping-particle" : "", "family" : "Russo", "given" : "Emilio", "non-dropping-particle" : "", "parse-names" : false, "suffix" : "" } ], "container-title" : "Expert opinion on pharmacotherapy", "id" : "ITEM-1", "issue" : "15", "issued" : { "date-parts" : [ [ "2015", "10", "13" ] ] }, "page" : "2355-71", "title" : "Perspectives on treatment options for mesial temporal lobe epilepsy with hippocampal sclerosis.", "type" : "article-journal", "volume" : "16" }, "uris" : [ "http://www.mendeley.com/documents/?uuid=92c28725-827c-36fa-9c7f-d4406889f37c" ] } ], "mendeley" : { "formattedCitation" : "&lt;sup&gt;8&lt;/sup&gt;", "plainTextFormattedCitation" : "8", "previouslyFormattedCitation" : "&lt;sup&gt;8&lt;/sup&gt;" }, "properties" : { "noteIndex" : 0 }, "schema" : "https://github.com/citation-style-language/schema/raw/master/csl-citation.json" }</w:instrText>
      </w:r>
      <w:r w:rsidR="00EA3015">
        <w:fldChar w:fldCharType="separate"/>
      </w:r>
      <w:r w:rsidR="00037474" w:rsidRPr="00037474">
        <w:rPr>
          <w:noProof/>
          <w:vertAlign w:val="superscript"/>
        </w:rPr>
        <w:t>8</w:t>
      </w:r>
      <w:r w:rsidR="00EA3015">
        <w:fldChar w:fldCharType="end"/>
      </w:r>
      <w:r w:rsidRPr="001219F9">
        <w:t xml:space="preserve"> There is therefore </w:t>
      </w:r>
      <w:r w:rsidR="00845CE0">
        <w:t xml:space="preserve">a lack of </w:t>
      </w:r>
      <w:r w:rsidRPr="001219F9">
        <w:t>reliable evidence upon which to base guidelines for AED treatment for patients with MTLE-HS. As a consequence, the medical treatment of these patients largely remains a process of trial and error and any evidence of superiority of one AED over another is lacking. A number of comparative effectiveness studies in patients with focal epilepsy have been reported, but again these have included patients with v</w:t>
      </w:r>
      <w:r w:rsidR="00EA3015">
        <w:t>arious types of epilepsy</w:t>
      </w:r>
      <w:r w:rsidRPr="001219F9">
        <w:t>.</w:t>
      </w:r>
      <w:r w:rsidR="00EA3015">
        <w:fldChar w:fldCharType="begin" w:fldLock="1"/>
      </w:r>
      <w:r w:rsidR="00973154">
        <w:instrText>ADDIN CSL_CITATION { "citationItems" : [ { "id" : "ITEM-1", "itemData" : { "DOI" : "10.1001/archneurol.2010.49", "ISSN" : "1538-3687", "PMID" : "20385905", "abstract" : "OBJECTIVE To compare the effectiveness of antiepileptic drugs (AEDs) for use in older adults with epilepsy. DESIGN Retrospective review. SETTING Columbia Comprehensive Epilepsy Center, New York, New York. PATIENTS Four hundred seventeen outpatients 55 years and older newly taking any of the 10 most commonly prescribed AEDs between 2000 and 2005. MAIN OUTCOME MEASURE The percentage of patients who remained taking the AED for 12 or more months (12-month \"retention\"). We also measured efficacy (12-month seizure freedom) and adverse effects leading to dose change. Retention and seizure-freedom rates were analyzed by pairwise comparisons using chi(2) for the overall group and patients with refractory and nonrefractory disease as well as patients newly taking their first AED. RESULTS The 10 AEDs newly taken by 10 or more patients were analyzed. There were no significant non-AED predictors of retention. Without controlling for severity, lamotrigine had the highest 12-month retention rate (79%), significantly higher than carbamazepine (48%), gabapentin (59%), oxcarbazepine (24%), phenytoin (59%), and topiramate (56%). The retention rate for levetiracetam (73%) was second highest and significantly higher than carbamazepine and oxcarbazepine. Oxcarbazepine had the lowest retention rate, significantly lower than all other AEDs. Lamotrigine had the highest 12-month seizure-freedom rate (54%), followed by levetiracetam (43%). When stratified into patients with nonrefractory and refractory disease, relative rates of seizure freedom and retention remained comparable with the overall group. Imbalance, drowsiness, and gastrointestinal symptoms were the most common intolerable adverse effects. CONCLUSION In this study of older adults with epilepsy, lamotrigine was the most effective AED as measured by 12-month retention and seizure freedom, with levetiracetam a close second. Oxcarbazepine was consistently less effective than most other AEDs.", "author" : [ { "dropping-particle" : "", "family" : "Arif", "given" : "Hiba", "non-dropping-particle" : "", "parse-names" : false, "suffix" : "" }, { "dropping-particle" : "", "family" : "Buchsbaum", "given" : "Richard", "non-dropping-particle" : "", "parse-names" : false, "suffix" : "" }, { "dropping-particle" : "", "family" : "Pierro", "given" : "Joanna", "non-dropping-particle" : "", "parse-names" : false, "suffix" : "" }, { "dropping-particle" : "", "family" : "Whalen", "given" : "Michael", "non-dropping-particle" : "", "parse-names" : false, "suffix" : "" }, { "dropping-particle" : "", "family" : "Sims", "given" : "Jessica", "non-dropping-particle" : "", "parse-names" : false, "suffix" : "" }, { "dropping-particle" : "", "family" : "Resor", "given" : "Stanley R", "non-dropping-particle" : "", "parse-names" : false, "suffix" : "" }, { "dropping-particle" : "", "family" : "Bazil", "given" : "Carl W", "non-dropping-particle" : "", "parse-names" : false, "suffix" : "" }, { "dropping-particle" : "", "family" : "Hirsch", "given" : "Lawrence J", "non-dropping-particle" : "", "parse-names" : false, "suffix" : "" } ], "container-title" : "Archives of neurology", "id" : "ITEM-1", "issue" : "4", "issued" : { "date-parts" : [ [ "2010", "4" ] ] }, "page" : "408-15", "title" : "Comparative effectiveness of 10 antiepileptic drugs in older adults with epilepsy.", "type" : "article-journal", "volume" : "67" }, "uris" : [ "http://www.mendeley.com/documents/?uuid=2425fbbb-1556-345a-91c8-8dec138e20a7" ] }, { "id" : "ITEM-2", "itemData" : { "DOI" : "10.1371/journal.pone.0131566", "ISSN" : "1932-6203", "PMID" : "26147937", "abstract" : "OBJECTIVE To evaluate and compare long-term effectiveness of five antiepileptic drugs (AEDs) for monotherapy of adult patients with focal epilepsy in routine clinical practice. METHODS Adult patients with focal epilepsy, who were prescribed with carbamazepine (CBZ), valproate (VPA), lamotrigine (LTG), topiramate (TPM), or oxcarbazepine (OXC) as monotherapy, during the period from January 2004 to June 2012 registered in Wenzhou Epilepsy Follow Up Registry Database (WEFURD), were included in the study. Prospective long-term follow-up was conducted until June 2013. The endpoints were time to treatment failure, time to seizure remission, and time to first seizure. RESULTS This study included 654 patients: CBZ (n=125), VPA (n=151), LTG (n=135), TPM (n=76), and OXC (n=167). The retention rates of CBZ, VPA, LTG, TPM, and OXC at the third year were 36.1%, 32.4%, 57.6%, 37.9%, and 41.8%, respectively. For time to treatment failure, LTG was significantly better than CBZ and VPA (LTG vs. CBZ, hazard ratio, [HR] 0.80 [95% confidence interval: 0.67-0.96], LTG vs. VPA, 0.53 [0.37-0.74]); TPM was worse than LTG (TPM vs. LTG, 1.77 [1.15-2.74]), and OXC was better than VPA (0.86 [0.78-0.96]). After initial target doses, the seizure remission rates of CBZ, VPA, LTG, TPM, and OXC were 63.0%, 77.0%, 83.6%, 67.9%, and 75.3%, respectively. LTG was significantly better than CBZ (1.44 [1.15-1.82]) and OXC (LTG vs. OXC, 0.76 [0.63-0.93]); OXC was less effective than LTG in preventing the first seizure (1.20 [1.02-1.40]). CONCLUSION LTG was the best, OXC was better than VPA only, while VPA was the worst. The others were equivalent for comparisons between five AEDs regarding the long-term treatment outcomes of monotherapy for adult patients with focal epilepsy in a clinical practice. For selecting AEDs for these patients among the first-line drugs, LTG is an appropriate first choice; others are reservation in the first-line but VPA is not.", "author" : [ { "dropping-particle" : "", "family" : "Zeng", "given" : "Qing-Yi", "non-dropping-particle" : "", "parse-names" : false, "suffix" : "" }, { "dropping-particle" : "", "family" : "Fan", "given" : "Tian-Tian", "non-dropping-particle" : "", "parse-names" : false, "suffix" : "" }, { "dropping-particle" : "", "family" : "Zhu", "given" : "Pan", "non-dropping-particle" : "", "parse-names" : false, "suffix" : "" }, { "dropping-particle" : "", "family" : "He", "given" : "Ru-Qian", "non-dropping-particle" : "", "parse-names" : false, "suffix" : "" }, { "dropping-particle" : "", "family" : "Bao", "given" : "Yi-Xin", "non-dropping-particle" : "", "parse-names" : false, "suffix" : "" }, { "dropping-particle" : "", "family" : "Zheng", "given" : "Rong-Yuan", "non-dropping-particle" : "", "parse-names" : false, "suffix" : "" }, { "dropping-particle" : "", "family" : "Xu", "given" : "Hui-Qin", "non-dropping-particle" : "", "parse-names" : false, "suffix" : "" } ], "container-title" : "PloS one", "id" : "ITEM-2", "issue" : "7", "issued" : { "date-parts" : [ [ "2015" ] ] }, "page" : "e0131566", "title" : "Comparative Long-Term Effectiveness of a Monotherapy with Five Antiepileptic Drugs for Focal Epilepsy in Adult Patients: A Prospective Cohort Study.", "type" : "article-journal", "volume" : "10" }, "uris" : [ "http://www.mendeley.com/documents/?uuid=2e34b6b7-bfe6-315e-8ed7-6d925689fd8e" ] } ], "mendeley" : { "formattedCitation" : "&lt;sup&gt;9,10&lt;/sup&gt;", "plainTextFormattedCitation" : "9,10", "previouslyFormattedCitation" : "&lt;sup&gt;9,10&lt;/sup&gt;" }, "properties" : { "noteIndex" : 0 }, "schema" : "https://github.com/citation-style-language/schema/raw/master/csl-citation.json" }</w:instrText>
      </w:r>
      <w:r w:rsidR="00EA3015">
        <w:fldChar w:fldCharType="separate"/>
      </w:r>
      <w:r w:rsidR="00037474" w:rsidRPr="00037474">
        <w:rPr>
          <w:noProof/>
          <w:vertAlign w:val="superscript"/>
        </w:rPr>
        <w:t>9,10</w:t>
      </w:r>
      <w:r w:rsidR="00EA3015">
        <w:fldChar w:fldCharType="end"/>
      </w:r>
      <w:r w:rsidRPr="001219F9">
        <w:t xml:space="preserve"> </w:t>
      </w:r>
      <w:proofErr w:type="gramStart"/>
      <w:r w:rsidRPr="001219F9">
        <w:t>To</w:t>
      </w:r>
      <w:proofErr w:type="gramEnd"/>
      <w:r w:rsidRPr="001219F9">
        <w:t xml:space="preserve"> address this knowledge gap, we </w:t>
      </w:r>
      <w:r w:rsidR="008F602A">
        <w:t xml:space="preserve">have </w:t>
      </w:r>
      <w:r w:rsidRPr="001219F9">
        <w:t>evaluate</w:t>
      </w:r>
      <w:r w:rsidR="008F602A">
        <w:t>d</w:t>
      </w:r>
      <w:r w:rsidRPr="001219F9">
        <w:t xml:space="preserve"> effectiveness by comparing 12-month retention, efficacy (seizure freedom), and tolerability of commonly-used AEDs in a large population of patients with MTLE-HS.</w:t>
      </w:r>
    </w:p>
    <w:p w14:paraId="22B5A70B" w14:textId="77777777" w:rsidR="004D7318" w:rsidRPr="001219F9" w:rsidRDefault="00E96794" w:rsidP="00986FAD">
      <w:pPr>
        <w:pStyle w:val="Heading2"/>
        <w:spacing w:line="480" w:lineRule="auto"/>
        <w:jc w:val="both"/>
        <w:rPr>
          <w:color w:val="auto"/>
        </w:rPr>
      </w:pPr>
      <w:bookmarkStart w:id="2" w:name="methods"/>
      <w:bookmarkEnd w:id="2"/>
      <w:r w:rsidRPr="001219F9">
        <w:rPr>
          <w:color w:val="auto"/>
        </w:rPr>
        <w:t>Methods</w:t>
      </w:r>
    </w:p>
    <w:p w14:paraId="2DD61F5F" w14:textId="1BC084CB" w:rsidR="004D7318" w:rsidRPr="001219F9" w:rsidRDefault="00E96794" w:rsidP="00986FAD">
      <w:pPr>
        <w:pStyle w:val="FirstParagraph"/>
        <w:spacing w:line="480" w:lineRule="auto"/>
        <w:jc w:val="both"/>
      </w:pPr>
      <w:r w:rsidRPr="001219F9">
        <w:t xml:space="preserve">Patients with MTLE-HS were identified from a large clinical database developed by the </w:t>
      </w:r>
      <w:proofErr w:type="spellStart"/>
      <w:r w:rsidRPr="001219F9">
        <w:t>EpiPGX</w:t>
      </w:r>
      <w:proofErr w:type="spellEnd"/>
      <w:r w:rsidRPr="001219F9">
        <w:t xml:space="preserve"> consortium, a European </w:t>
      </w:r>
      <w:proofErr w:type="spellStart"/>
      <w:r w:rsidRPr="001219F9">
        <w:t>multicentre</w:t>
      </w:r>
      <w:proofErr w:type="spellEnd"/>
      <w:r w:rsidRPr="001219F9">
        <w:t xml:space="preserve"> research project on epilepsy pharmacogenetics (www.epipgx.eu). This database contains phenotypic </w:t>
      </w:r>
      <w:r w:rsidR="007A16CE">
        <w:t>information</w:t>
      </w:r>
      <w:r w:rsidR="007A16CE" w:rsidRPr="001219F9">
        <w:t xml:space="preserve"> </w:t>
      </w:r>
      <w:r w:rsidRPr="001219F9">
        <w:t xml:space="preserve">collected from medical records on over 12000 patients with a confirmed diagnosis of epilepsy, with detailed information on more than 40000 AED trials. Data collection </w:t>
      </w:r>
      <w:r w:rsidR="008F602A">
        <w:t>wa</w:t>
      </w:r>
      <w:r w:rsidR="008F602A" w:rsidRPr="001219F9">
        <w:t xml:space="preserve">s </w:t>
      </w:r>
      <w:r w:rsidRPr="001219F9">
        <w:t xml:space="preserve">approved by the Institutional Review Boards of the participating </w:t>
      </w:r>
      <w:proofErr w:type="spellStart"/>
      <w:r w:rsidR="008F602A" w:rsidRPr="001219F9">
        <w:lastRenderedPageBreak/>
        <w:t>cent</w:t>
      </w:r>
      <w:r w:rsidR="008F602A">
        <w:t>re</w:t>
      </w:r>
      <w:r w:rsidR="008F602A" w:rsidRPr="001219F9">
        <w:t>s</w:t>
      </w:r>
      <w:proofErr w:type="spellEnd"/>
      <w:r w:rsidR="008F602A" w:rsidRPr="001219F9">
        <w:t xml:space="preserve"> </w:t>
      </w:r>
      <w:r w:rsidRPr="001219F9">
        <w:t xml:space="preserve">and all patients provided written informed consent for use of their clinical data. </w:t>
      </w:r>
    </w:p>
    <w:p w14:paraId="0A7E5934" w14:textId="2A971C79" w:rsidR="004D7318" w:rsidRPr="001219F9" w:rsidRDefault="00E96794" w:rsidP="00986FAD">
      <w:pPr>
        <w:pStyle w:val="BodyText"/>
        <w:spacing w:line="480" w:lineRule="auto"/>
        <w:jc w:val="both"/>
      </w:pPr>
      <w:r w:rsidRPr="001219F9">
        <w:t xml:space="preserve">We identified 806 patients with a diagnosis of MTLE-HS, recruited from epilepsy </w:t>
      </w:r>
      <w:proofErr w:type="spellStart"/>
      <w:r w:rsidR="00FF6648" w:rsidRPr="001219F9">
        <w:t>centres</w:t>
      </w:r>
      <w:proofErr w:type="spellEnd"/>
      <w:r w:rsidR="00FF6648" w:rsidRPr="001219F9">
        <w:t xml:space="preserve"> </w:t>
      </w:r>
      <w:r w:rsidRPr="001219F9">
        <w:t xml:space="preserve">in Belgium, Germany, Ireland, Italy, the Netherlands and the United Kingdom. The diagnosis of MTLE-HS was confirmed on MRI and/or pathological examination in all individuals. </w:t>
      </w:r>
      <w:r w:rsidR="00C04531" w:rsidRPr="001219F9">
        <w:t xml:space="preserve">Thirty-four </w:t>
      </w:r>
      <w:r w:rsidRPr="001219F9">
        <w:t xml:space="preserve">patients with dual pathology were excluded. All AED trials from the time of </w:t>
      </w:r>
      <w:r w:rsidR="008F602A">
        <w:t>treatment initiation</w:t>
      </w:r>
      <w:r w:rsidRPr="001219F9">
        <w:t xml:space="preserve"> were considered, with the following exclusions: </w:t>
      </w:r>
      <w:proofErr w:type="spellStart"/>
      <w:r w:rsidRPr="001219F9">
        <w:t>i</w:t>
      </w:r>
      <w:proofErr w:type="spellEnd"/>
      <w:r w:rsidRPr="001219F9">
        <w:t xml:space="preserve">) trials started less than one year before the last clinic visit or less than one year before epilepsy surgery, (ii) trials started after epilepsy surgery, (iii) AEDs with average start date before 1985 (phenobarbital, primidone, phenytoin), and (iv) 23 AEDs used in fewer than 70 patients. However, when considering order of AED </w:t>
      </w:r>
      <w:r w:rsidR="00FF6648" w:rsidRPr="001219F9">
        <w:t>use</w:t>
      </w:r>
      <w:r w:rsidRPr="001219F9">
        <w:t xml:space="preserve">, all AEDs and all AED trials were included. The final study population included 767 patients with 3249 trials on 10 different AEDs (see Figure 1). </w:t>
      </w:r>
    </w:p>
    <w:p w14:paraId="1708A9F5" w14:textId="3BE1319F" w:rsidR="004D7318" w:rsidRPr="001219F9" w:rsidRDefault="00E96794" w:rsidP="00986FAD">
      <w:pPr>
        <w:pStyle w:val="BodyText"/>
        <w:spacing w:line="480" w:lineRule="auto"/>
        <w:jc w:val="both"/>
      </w:pPr>
      <w:r w:rsidRPr="001219F9">
        <w:t xml:space="preserve">We recorded duration of treatment, maximum dose, and order of prescription for each of the 3249 AED trials (see Table </w:t>
      </w:r>
      <w:r w:rsidRPr="008623DC">
        <w:t>2</w:t>
      </w:r>
      <w:r w:rsidR="008623DC">
        <w:t>,</w:t>
      </w:r>
      <w:r w:rsidR="00DB0C70" w:rsidRPr="008623DC">
        <w:t xml:space="preserve"> Supplementary </w:t>
      </w:r>
      <w:r w:rsidR="008623DC" w:rsidRPr="008623DC">
        <w:t xml:space="preserve">Figure 2 </w:t>
      </w:r>
      <w:r w:rsidR="00DB0C70" w:rsidRPr="008623DC">
        <w:t>and</w:t>
      </w:r>
      <w:r w:rsidR="008623DC">
        <w:t xml:space="preserve"> Table 2</w:t>
      </w:r>
      <w:r w:rsidRPr="001219F9">
        <w:t xml:space="preserve">). As AED duration data contained some extreme values, we calculated median </w:t>
      </w:r>
      <w:r w:rsidR="00121378">
        <w:t xml:space="preserve">treatment </w:t>
      </w:r>
      <w:r w:rsidRPr="001219F9">
        <w:t>duration, which is more robust to outliers.</w:t>
      </w:r>
    </w:p>
    <w:p w14:paraId="426CC870" w14:textId="53D617DC" w:rsidR="004D7318" w:rsidRPr="001219F9" w:rsidRDefault="00E96794" w:rsidP="00986FAD">
      <w:pPr>
        <w:pStyle w:val="BodyText"/>
        <w:spacing w:line="480" w:lineRule="auto"/>
        <w:jc w:val="both"/>
      </w:pPr>
      <w:r w:rsidRPr="001219F9">
        <w:t xml:space="preserve">Estimation of 12-month retention rates was done for the 1288 AED trials for which information on duration of treatment was available. For cases with ongoing treatment we </w:t>
      </w:r>
      <w:r w:rsidR="00E26854" w:rsidRPr="001219F9">
        <w:t xml:space="preserve">considered the date of the </w:t>
      </w:r>
      <w:r w:rsidRPr="001219F9">
        <w:t xml:space="preserve">last visit </w:t>
      </w:r>
      <w:r w:rsidR="00E26854" w:rsidRPr="001219F9">
        <w:t>if recorded</w:t>
      </w:r>
      <w:r w:rsidRPr="001219F9">
        <w:t xml:space="preserve">. </w:t>
      </w:r>
      <w:r w:rsidR="00D41A9D">
        <w:t>Twelve</w:t>
      </w:r>
      <w:r w:rsidRPr="001219F9">
        <w:t xml:space="preserve">-month retention was defined as the proportion of </w:t>
      </w:r>
      <w:r w:rsidR="007A16CE">
        <w:t xml:space="preserve">exposed </w:t>
      </w:r>
      <w:r w:rsidRPr="001219F9">
        <w:t xml:space="preserve">patients remaining on the AED </w:t>
      </w:r>
      <w:r w:rsidRPr="001219F9">
        <w:lastRenderedPageBreak/>
        <w:t>for a period of at least 12 months. We also represented retention as a survival analysis, with median retention estimate as the outcome variable.</w:t>
      </w:r>
    </w:p>
    <w:p w14:paraId="62523F83" w14:textId="43C4914F" w:rsidR="004D7318" w:rsidRPr="001219F9" w:rsidRDefault="00E96794" w:rsidP="00986FAD">
      <w:pPr>
        <w:pStyle w:val="BodyText"/>
        <w:spacing w:line="480" w:lineRule="auto"/>
        <w:jc w:val="both"/>
      </w:pPr>
      <w:r w:rsidRPr="001219F9">
        <w:t>Efficacy of AED trials was categorized based on the Consensus proposal of the Internatio</w:t>
      </w:r>
      <w:r w:rsidR="00EA3015">
        <w:t>nal League Against Epilepsy</w:t>
      </w:r>
      <w:r w:rsidR="00CB09B7">
        <w:fldChar w:fldCharType="begin" w:fldLock="1"/>
      </w:r>
      <w:r w:rsidR="00973154">
        <w:instrText>ADDIN CSL_CITATION { "citationItems" : [ { "id" : "ITEM-1", "itemData" : { "DOI" : "10.1111/j.1528-1167.2009.02397.x", "ISSN" : "00139580", "author" : [ { "dropping-particle" : "", "family" : "Kwan", "given" : "Patrick", "non-dropping-particle" : "", "parse-names" : false, "suffix" : "" }, { "dropping-particle" : "", "family" : "Arzimanoglou", "given" : "Alexis", "non-dropping-particle" : "", "parse-names" : false, "suffix" : "" }, { "dropping-particle" : "", "family" : "Berg", "given" : "Anne T.", "non-dropping-particle" : "", "parse-names" : false, "suffix" : "" }, { "dropping-particle" : "", "family" : "Brodie", "given" : "Martin J.", "non-dropping-particle" : "", "parse-names" : false, "suffix" : "" }, { "dropping-particle" : "", "family" : "Allen Hauser", "given" : "W.", "non-dropping-particle" : "", "parse-names" : false, "suffix" : "" }, { "dropping-particle" : "", "family" : "Mathern", "given" : "Gary", "non-dropping-particle" : "", "parse-names" : false, "suffix" : "" }, { "dropping-particle" : "", "family" : "Mosh\u00e9", "given" : "Solomon L.", "non-dropping-particle" : "", "parse-names" : false, "suffix" : "" }, { "dropping-particle" : "", "family" : "Perucca", "given" : "Emilio", "non-dropping-particle" : "", "parse-names" : false, "suffix" : "" }, { "dropping-particle" : "", "family" : "Wiebe", "given" : "Samuel", "non-dropping-particle" : "", "parse-names" : false, "suffix" : "" }, { "dropping-particle" : "", "family" : "French", "given" : "Jacqueline", "non-dropping-particle" : "", "parse-names" : false, "suffix" : "" } ], "container-title" : "Epilepsia", "id" : "ITEM-1", "issue" : "6", "issued" : { "date-parts" : [ [ "2009", "11", "3" ] ] }, "page" : "1069-1077", "publisher" : "Blackwell Publishing Ltd", "title" : "Definition of drug resistant epilepsy: Consensus proposal by the ad hoc Task Force of the ILAE Commission on Therapeutic Strategies", "type" : "article-journal", "volume" : "51" }, "uris" : [ "http://www.mendeley.com/documents/?uuid=9988b0b1-25c0-3c60-9e63-842a454aea8c" ] } ], "mendeley" : { "formattedCitation" : "&lt;sup&gt;11&lt;/sup&gt;", "plainTextFormattedCitation" : "11", "previouslyFormattedCitation" : "&lt;sup&gt;11&lt;/sup&gt;" }, "properties" : { "noteIndex" : 0 }, "schema" : "https://github.com/citation-style-language/schema/raw/master/csl-citation.json" }</w:instrText>
      </w:r>
      <w:r w:rsidR="00CB09B7">
        <w:fldChar w:fldCharType="separate"/>
      </w:r>
      <w:r w:rsidR="00037474" w:rsidRPr="00037474">
        <w:rPr>
          <w:noProof/>
          <w:vertAlign w:val="superscript"/>
        </w:rPr>
        <w:t>11</w:t>
      </w:r>
      <w:r w:rsidR="00CB09B7">
        <w:fldChar w:fldCharType="end"/>
      </w:r>
      <w:r w:rsidRPr="001219F9">
        <w:t xml:space="preserve"> as follows: 1) response (freedom from all seizures lasting for ≥ 12 months, which according to the treating clinician and/or the </w:t>
      </w:r>
      <w:r w:rsidR="004557B2">
        <w:t>person undertaking phenotyping</w:t>
      </w:r>
      <w:r w:rsidR="004557B2" w:rsidRPr="001219F9">
        <w:t xml:space="preserve"> </w:t>
      </w:r>
      <w:r w:rsidRPr="001219F9">
        <w:t xml:space="preserve">can be attributed to the AED, and prior to initiation of another treatment for epilepsy), 2) failure (seizures recurring at &gt;50% of the pretreatment seizure frequency after the appropriate AED has been adequately </w:t>
      </w:r>
      <w:r w:rsidR="00121378">
        <w:t>use</w:t>
      </w:r>
      <w:r w:rsidR="00121378" w:rsidRPr="001219F9">
        <w:t>d</w:t>
      </w:r>
      <w:r w:rsidRPr="001219F9">
        <w:t>), 3) unclassified (i.e. neither response nor failure) or 4) unknown. Population percentage response was calculated as the number of responses divided by the total number of known outcomes (response, failure and unclassified).</w:t>
      </w:r>
    </w:p>
    <w:p w14:paraId="085B61BB" w14:textId="65F71FFC" w:rsidR="004D7318" w:rsidRPr="001219F9" w:rsidRDefault="00E96794" w:rsidP="00986FAD">
      <w:pPr>
        <w:pStyle w:val="BodyText"/>
        <w:spacing w:line="480" w:lineRule="auto"/>
        <w:jc w:val="both"/>
      </w:pPr>
      <w:r w:rsidRPr="001219F9">
        <w:t xml:space="preserve">Lastly, we calculated overall adverse drug reaction (ADR) incidence per AED and the most frequently reported ADRs for each AED. </w:t>
      </w:r>
      <w:r w:rsidR="00D41A9D">
        <w:t xml:space="preserve">For the purpose of this study, </w:t>
      </w:r>
      <w:r w:rsidRPr="001219F9">
        <w:t xml:space="preserve">ADRs had to be reported by the treating clinician and/or </w:t>
      </w:r>
      <w:r w:rsidR="004557B2">
        <w:t>the person undertaking phenotyping</w:t>
      </w:r>
      <w:r w:rsidR="00D41A9D">
        <w:t xml:space="preserve"> </w:t>
      </w:r>
      <w:r w:rsidR="00D41A9D" w:rsidRPr="001219F9">
        <w:t>as attributable to the specific AED</w:t>
      </w:r>
      <w:r w:rsidRPr="001219F9">
        <w:t>. All anal</w:t>
      </w:r>
      <w:r w:rsidR="00CB09B7">
        <w:t>yses were performed using R</w:t>
      </w:r>
      <w:r w:rsidR="00A11E83">
        <w:t xml:space="preserve"> software</w:t>
      </w:r>
      <w:r w:rsidRPr="001219F9">
        <w:t>.</w:t>
      </w:r>
      <w:r w:rsidR="00CB09B7">
        <w:fldChar w:fldCharType="begin" w:fldLock="1"/>
      </w:r>
      <w:r w:rsidR="007630E7">
        <w:instrText>ADDIN CSL_CITATION { "citationItems" : [ { "id" : "ITEM-1", "itemData" : { "DOI" : "3-900051-14-3", "ISBN" : "3-900051-14-3", "ISSN" : "&lt;null&gt;", "abstract" : "This is a guide to the internal structures of R and coding standards for the core team working on R itself.", "author" : [ { "dropping-particle" : "", "family" : "R Core Team", "given" : "", "non-dropping-particle" : "", "parse-names" : false, "suffix" : "" } ], "container-title" : "R Development Core Team", "id" : "ITEM-1", "issue" : "18", "issued" : { "date-parts" : [ [ "2014" ] ] }, "title" : "R: A language and environment for statistical computing. R Foundation for Statistical Computing, Vienna, Austria. 2013", "type" : "article-journal" }, "uris" : [ "http://www.mendeley.com/documents/?uuid=d692f9e4-b824-3373-a350-75c271d8b2d7" ] } ], "mendeley" : { "formattedCitation" : "&lt;sup&gt;12&lt;/sup&gt;", "plainTextFormattedCitation" : "12", "previouslyFormattedCitation" : "&lt;sup&gt;12&lt;/sup&gt;" }, "properties" : { "noteIndex" : 0 }, "schema" : "https://github.com/citation-style-language/schema/raw/master/csl-citation.json" }</w:instrText>
      </w:r>
      <w:r w:rsidR="00CB09B7">
        <w:fldChar w:fldCharType="separate"/>
      </w:r>
      <w:r w:rsidR="00037474" w:rsidRPr="00037474">
        <w:rPr>
          <w:noProof/>
          <w:vertAlign w:val="superscript"/>
        </w:rPr>
        <w:t>12</w:t>
      </w:r>
      <w:r w:rsidR="00CB09B7">
        <w:fldChar w:fldCharType="end"/>
      </w:r>
    </w:p>
    <w:p w14:paraId="34C0EDF2" w14:textId="4C6D87EE" w:rsidR="004D7318" w:rsidRPr="001219F9" w:rsidRDefault="00E96794" w:rsidP="00986FAD">
      <w:pPr>
        <w:pStyle w:val="BodyText"/>
        <w:spacing w:line="480" w:lineRule="auto"/>
        <w:jc w:val="both"/>
      </w:pPr>
      <w:r w:rsidRPr="001219F9">
        <w:t>To compare the results of median retention, response and ADR rates between AEDs, we compared each AED with the other AEDs in a 2x2 comparison with χ</w:t>
      </w:r>
      <w:r w:rsidRPr="001219F9">
        <w:rPr>
          <w:vertAlign w:val="superscript"/>
        </w:rPr>
        <w:t>2</w:t>
      </w:r>
      <w:r w:rsidR="003A12A8">
        <w:t xml:space="preserve"> analyses. We calculated p-</w:t>
      </w:r>
      <w:r w:rsidRPr="001219F9">
        <w:t>values by Fisher exact test when χ</w:t>
      </w:r>
      <w:r w:rsidRPr="001219F9">
        <w:rPr>
          <w:vertAlign w:val="superscript"/>
        </w:rPr>
        <w:t>2</w:t>
      </w:r>
      <w:r w:rsidRPr="001219F9">
        <w:t xml:space="preserve"> analyses included data with expected values less than 5. </w:t>
      </w:r>
      <w:r w:rsidR="00A469B1">
        <w:t>All reported p</w:t>
      </w:r>
      <w:r w:rsidRPr="001219F9">
        <w:t>-values were corrected for multiple comparisons by Bonferroni correction</w:t>
      </w:r>
      <w:r w:rsidR="00E65B25">
        <w:t xml:space="preserve">, considering the number of observations as n or </w:t>
      </w:r>
      <w:proofErr w:type="gramStart"/>
      <w:r w:rsidR="00A469B1">
        <w:t>n(</w:t>
      </w:r>
      <w:proofErr w:type="gramEnd"/>
      <w:r w:rsidR="00A469B1">
        <w:t>n-1)/2</w:t>
      </w:r>
      <w:r w:rsidR="00E65B25">
        <w:t xml:space="preserve"> in case of pairwise comparisons.</w:t>
      </w:r>
    </w:p>
    <w:p w14:paraId="68751A6E" w14:textId="77777777" w:rsidR="004D7318" w:rsidRPr="001219F9" w:rsidRDefault="00E96794" w:rsidP="00986FAD">
      <w:pPr>
        <w:pStyle w:val="Heading2"/>
        <w:spacing w:line="480" w:lineRule="auto"/>
        <w:jc w:val="both"/>
        <w:rPr>
          <w:color w:val="auto"/>
        </w:rPr>
      </w:pPr>
      <w:bookmarkStart w:id="3" w:name="results"/>
      <w:bookmarkEnd w:id="3"/>
      <w:r w:rsidRPr="001219F9">
        <w:rPr>
          <w:color w:val="auto"/>
        </w:rPr>
        <w:lastRenderedPageBreak/>
        <w:t>Results</w:t>
      </w:r>
    </w:p>
    <w:p w14:paraId="6F83CCAB" w14:textId="77777777" w:rsidR="004D7318" w:rsidRPr="001219F9" w:rsidRDefault="00E96794" w:rsidP="00986FAD">
      <w:pPr>
        <w:pStyle w:val="FirstParagraph"/>
        <w:spacing w:line="480" w:lineRule="auto"/>
        <w:jc w:val="both"/>
      </w:pPr>
      <w:r w:rsidRPr="001219F9">
        <w:t>Demographic and clinical details of the patient cohort are presented in Table 1. Treatment details of each AED are presented in Table 2.</w:t>
      </w:r>
    </w:p>
    <w:p w14:paraId="4AF2C47F" w14:textId="77777777" w:rsidR="004D7318" w:rsidRPr="001219F9" w:rsidRDefault="00E96794" w:rsidP="00986FAD">
      <w:pPr>
        <w:pStyle w:val="BodyText"/>
        <w:spacing w:line="480" w:lineRule="auto"/>
        <w:jc w:val="both"/>
      </w:pPr>
      <w:r w:rsidRPr="001219F9">
        <w:t>Carbamazepine, used by 615 patients (80.2 %) and valproate, used by 477 patients (62.2 %) were the most commonly used AEDs.</w:t>
      </w:r>
    </w:p>
    <w:p w14:paraId="5E6911B4" w14:textId="77777777" w:rsidR="004D7318" w:rsidRPr="001219F9" w:rsidRDefault="00E96794" w:rsidP="00986FAD">
      <w:pPr>
        <w:pStyle w:val="Heading3"/>
        <w:spacing w:line="480" w:lineRule="auto"/>
        <w:jc w:val="both"/>
        <w:rPr>
          <w:color w:val="auto"/>
        </w:rPr>
      </w:pPr>
      <w:bookmarkStart w:id="4" w:name="drug-retention"/>
      <w:bookmarkEnd w:id="4"/>
      <w:r w:rsidRPr="001219F9">
        <w:rPr>
          <w:color w:val="auto"/>
        </w:rPr>
        <w:t>Drug retention</w:t>
      </w:r>
    </w:p>
    <w:p w14:paraId="60761DEC" w14:textId="56EC9A28" w:rsidR="004D7318" w:rsidRPr="001219F9" w:rsidRDefault="00E96794" w:rsidP="00986FAD">
      <w:pPr>
        <w:pStyle w:val="BodyText"/>
        <w:spacing w:line="480" w:lineRule="auto"/>
        <w:jc w:val="both"/>
      </w:pPr>
      <w:r w:rsidRPr="001219F9">
        <w:t xml:space="preserve">Carbamazepine with median survival rate of 3.27 </w:t>
      </w:r>
      <w:r w:rsidR="0089650F">
        <w:t xml:space="preserve">years </w:t>
      </w:r>
      <w:r w:rsidRPr="001219F9">
        <w:t xml:space="preserve">and valproate with median survival rate of 3 </w:t>
      </w:r>
      <w:r w:rsidR="0089650F">
        <w:t xml:space="preserve">years </w:t>
      </w:r>
      <w:r w:rsidRPr="001219F9">
        <w:t>had the highest retention estimates.</w:t>
      </w:r>
    </w:p>
    <w:p w14:paraId="2E66E1C5" w14:textId="5DB8B654" w:rsidR="004D7318" w:rsidRPr="001219F9" w:rsidRDefault="00E96794" w:rsidP="00986FAD">
      <w:pPr>
        <w:pStyle w:val="BodyText"/>
        <w:spacing w:line="480" w:lineRule="auto"/>
        <w:jc w:val="both"/>
      </w:pPr>
      <w:r w:rsidRPr="001219F9">
        <w:t xml:space="preserve">The retention estimate of carbamazepine was statistically higher than those of </w:t>
      </w:r>
      <w:proofErr w:type="spellStart"/>
      <w:r w:rsidR="00E65B25" w:rsidRPr="001219F9">
        <w:t>pregabalin</w:t>
      </w:r>
      <w:proofErr w:type="spellEnd"/>
      <w:r w:rsidR="00E65B25">
        <w:t>,</w:t>
      </w:r>
      <w:r w:rsidR="00E65B25" w:rsidRPr="001219F9" w:rsidDel="00E65B25">
        <w:t xml:space="preserve"> </w:t>
      </w:r>
      <w:r w:rsidR="00E65B25" w:rsidRPr="001219F9">
        <w:t>oxcarbazepine</w:t>
      </w:r>
      <w:r w:rsidR="00E65B25">
        <w:t xml:space="preserve">, </w:t>
      </w:r>
      <w:r w:rsidR="00E65B25" w:rsidRPr="001219F9">
        <w:t>gabapentin,</w:t>
      </w:r>
      <w:r w:rsidR="00E65B25">
        <w:t xml:space="preserve"> lamotrigine and </w:t>
      </w:r>
      <w:proofErr w:type="spellStart"/>
      <w:r w:rsidRPr="001219F9">
        <w:t>topiramate</w:t>
      </w:r>
      <w:proofErr w:type="spellEnd"/>
      <w:r w:rsidRPr="001219F9">
        <w:t xml:space="preserve"> (</w:t>
      </w:r>
      <w:r w:rsidR="00E65B25" w:rsidRPr="001219F9">
        <w:t>Bonferroni corrected p-value</w:t>
      </w:r>
      <w:r w:rsidRPr="001219F9">
        <w:t xml:space="preserve"> &lt; 0.0</w:t>
      </w:r>
      <w:r w:rsidR="00E65B25">
        <w:t>1</w:t>
      </w:r>
      <w:r w:rsidR="00D41A9D">
        <w:t>; see Figure 2</w:t>
      </w:r>
      <w:r w:rsidRPr="001219F9">
        <w:t>).</w:t>
      </w:r>
    </w:p>
    <w:p w14:paraId="3BEFFFC9" w14:textId="5038F1BF" w:rsidR="004D7318" w:rsidRPr="001219F9" w:rsidRDefault="00E96794" w:rsidP="00986FAD">
      <w:pPr>
        <w:pStyle w:val="BodyText"/>
        <w:spacing w:line="480" w:lineRule="auto"/>
        <w:jc w:val="both"/>
      </w:pPr>
      <w:r w:rsidRPr="001219F9">
        <w:t xml:space="preserve">The reason for AED discontinuation was recorded in 54.5% of treatments. The main reasons were lack of efficacy (26.9%) and ADRs (12.8%). </w:t>
      </w:r>
      <w:r w:rsidRPr="008623DC">
        <w:t xml:space="preserve">See </w:t>
      </w:r>
      <w:r w:rsidR="008623DC" w:rsidRPr="008623DC">
        <w:t>S</w:t>
      </w:r>
      <w:r w:rsidRPr="008623DC">
        <w:t xml:space="preserve">upplementary </w:t>
      </w:r>
      <w:r w:rsidR="008623DC" w:rsidRPr="008623DC">
        <w:t>Table</w:t>
      </w:r>
      <w:r w:rsidR="008623DC">
        <w:t xml:space="preserve"> 3</w:t>
      </w:r>
      <w:r w:rsidRPr="001219F9">
        <w:t xml:space="preserve"> for details.</w:t>
      </w:r>
    </w:p>
    <w:p w14:paraId="013484DC" w14:textId="77777777" w:rsidR="004D7318" w:rsidRPr="001219F9" w:rsidRDefault="00E96794" w:rsidP="00986FAD">
      <w:pPr>
        <w:pStyle w:val="Heading3"/>
        <w:spacing w:line="480" w:lineRule="auto"/>
        <w:jc w:val="both"/>
        <w:rPr>
          <w:color w:val="auto"/>
        </w:rPr>
      </w:pPr>
      <w:bookmarkStart w:id="5" w:name="efficacy"/>
      <w:bookmarkEnd w:id="5"/>
      <w:r w:rsidRPr="001219F9">
        <w:rPr>
          <w:color w:val="auto"/>
        </w:rPr>
        <w:t>Efficacy</w:t>
      </w:r>
    </w:p>
    <w:p w14:paraId="56D9A04C" w14:textId="6C871744" w:rsidR="004D7318" w:rsidRPr="001219F9" w:rsidRDefault="00E96794" w:rsidP="00986FAD">
      <w:pPr>
        <w:pStyle w:val="FirstParagraph"/>
        <w:spacing w:line="480" w:lineRule="auto"/>
        <w:jc w:val="both"/>
      </w:pPr>
      <w:r w:rsidRPr="001219F9">
        <w:t xml:space="preserve">Table 3 shows the treatment outcomes and response (seizure freedom) rates for the 10 AEDs. Twelve-month seizure freedom rates varied between 1.2% for gabapentin and </w:t>
      </w:r>
      <w:proofErr w:type="spellStart"/>
      <w:r w:rsidRPr="001219F9">
        <w:t>vigabatrin</w:t>
      </w:r>
      <w:proofErr w:type="spellEnd"/>
      <w:r w:rsidRPr="001219F9">
        <w:t xml:space="preserve"> and 11% for carbamazepine</w:t>
      </w:r>
      <w:r w:rsidR="00A11E83">
        <w:t xml:space="preserve">, while failure rates varied between </w:t>
      </w:r>
      <w:r w:rsidR="00826BB1">
        <w:t>41.9</w:t>
      </w:r>
      <w:r w:rsidR="00A11E83">
        <w:t xml:space="preserve">% for </w:t>
      </w:r>
      <w:proofErr w:type="spellStart"/>
      <w:r w:rsidR="00826BB1">
        <w:t>pregabalin</w:t>
      </w:r>
      <w:proofErr w:type="spellEnd"/>
      <w:r w:rsidR="00826BB1">
        <w:t xml:space="preserve"> </w:t>
      </w:r>
      <w:r w:rsidR="00A11E83">
        <w:t xml:space="preserve">and </w:t>
      </w:r>
      <w:r w:rsidR="00826BB1">
        <w:t>71.8</w:t>
      </w:r>
      <w:r w:rsidR="00A11E83">
        <w:t>% for</w:t>
      </w:r>
      <w:r w:rsidR="00826BB1">
        <w:t xml:space="preserve"> oxcarbazepine</w:t>
      </w:r>
      <w:r w:rsidRPr="001219F9">
        <w:t>. Pairwise comparison of response rates of the 10 AEDs did not show any statistically significant differences.</w:t>
      </w:r>
    </w:p>
    <w:p w14:paraId="75E75C2C" w14:textId="44CB2B70" w:rsidR="004D7318" w:rsidRPr="001219F9" w:rsidRDefault="00E96794" w:rsidP="00986FAD">
      <w:pPr>
        <w:pStyle w:val="BodyText"/>
        <w:spacing w:line="480" w:lineRule="auto"/>
        <w:jc w:val="both"/>
      </w:pPr>
      <w:r w:rsidRPr="001219F9">
        <w:lastRenderedPageBreak/>
        <w:t xml:space="preserve">Seizure freedom rates per AED were too low to allow any correlations between response rate and AED prescription order. Considering all 10 AEDs together, the response rates on AEDs </w:t>
      </w:r>
      <w:r w:rsidR="00FA008A" w:rsidRPr="001219F9">
        <w:t xml:space="preserve">used </w:t>
      </w:r>
      <w:r w:rsidRPr="001219F9">
        <w:t xml:space="preserve">as the first treatment were higher than those on AEDs used in third or higher instance </w:t>
      </w:r>
      <w:r w:rsidR="00E22AC9" w:rsidRPr="001219F9">
        <w:t>(</w:t>
      </w:r>
      <w:r w:rsidRPr="001219F9">
        <w:t>13.3% versus 4.92</w:t>
      </w:r>
      <w:r w:rsidR="00121872" w:rsidRPr="001219F9">
        <w:t>%</w:t>
      </w:r>
      <w:r w:rsidR="009D3D4C" w:rsidRPr="001219F9">
        <w:t xml:space="preserve">, </w:t>
      </w:r>
      <w:r w:rsidR="00341E29">
        <w:t>p&lt;0.001</w:t>
      </w:r>
      <w:r w:rsidR="00E22AC9" w:rsidRPr="001219F9">
        <w:t>)</w:t>
      </w:r>
      <w:r w:rsidR="00121872" w:rsidRPr="001219F9">
        <w:t>.</w:t>
      </w:r>
    </w:p>
    <w:p w14:paraId="265FE356" w14:textId="77777777" w:rsidR="004D7318" w:rsidRPr="001219F9" w:rsidRDefault="00E96794" w:rsidP="00986FAD">
      <w:pPr>
        <w:pStyle w:val="Heading3"/>
        <w:spacing w:line="480" w:lineRule="auto"/>
        <w:jc w:val="both"/>
        <w:rPr>
          <w:color w:val="auto"/>
        </w:rPr>
      </w:pPr>
      <w:bookmarkStart w:id="6" w:name="adverse-drug-reactions"/>
      <w:bookmarkEnd w:id="6"/>
      <w:r w:rsidRPr="001219F9">
        <w:rPr>
          <w:color w:val="auto"/>
        </w:rPr>
        <w:t>Adverse drug reactions</w:t>
      </w:r>
    </w:p>
    <w:p w14:paraId="47A12B17" w14:textId="34C3A90D" w:rsidR="004D7318" w:rsidRPr="001219F9" w:rsidRDefault="00E96794" w:rsidP="00986FAD">
      <w:pPr>
        <w:pStyle w:val="FirstParagraph"/>
        <w:spacing w:line="480" w:lineRule="auto"/>
        <w:jc w:val="both"/>
      </w:pPr>
      <w:r w:rsidRPr="001219F9">
        <w:t xml:space="preserve">ADRs were reported in 365 (47.6 %) patients. The incidence of </w:t>
      </w:r>
      <w:r w:rsidR="005A492A" w:rsidRPr="001219F9">
        <w:t xml:space="preserve">the </w:t>
      </w:r>
      <w:r w:rsidRPr="001219F9">
        <w:t>10 most frequent ADRs is presented in Table 4.</w:t>
      </w:r>
    </w:p>
    <w:p w14:paraId="21DE5DE4" w14:textId="074AC509" w:rsidR="00C1603B" w:rsidRPr="001219F9" w:rsidRDefault="00C1603B" w:rsidP="00986FAD">
      <w:pPr>
        <w:pStyle w:val="BodyText"/>
        <w:spacing w:line="480" w:lineRule="auto"/>
        <w:jc w:val="both"/>
      </w:pPr>
      <w:r w:rsidRPr="001219F9">
        <w:t xml:space="preserve">ADRs were most commonly reported with oxcarbazepine, </w:t>
      </w:r>
      <w:proofErr w:type="spellStart"/>
      <w:r w:rsidRPr="001219F9">
        <w:t>topiramate</w:t>
      </w:r>
      <w:proofErr w:type="spellEnd"/>
      <w:r w:rsidRPr="001219F9">
        <w:t xml:space="preserve"> and </w:t>
      </w:r>
      <w:proofErr w:type="spellStart"/>
      <w:r w:rsidRPr="001219F9">
        <w:t>pregabalin</w:t>
      </w:r>
      <w:proofErr w:type="spellEnd"/>
      <w:r w:rsidRPr="001219F9">
        <w:t xml:space="preserve"> (35.7, 30.9 </w:t>
      </w:r>
      <w:r w:rsidR="009B4784">
        <w:t xml:space="preserve">and </w:t>
      </w:r>
      <w:r w:rsidRPr="001219F9">
        <w:t>27.4%</w:t>
      </w:r>
      <w:r w:rsidR="007626DC">
        <w:t xml:space="preserve"> of </w:t>
      </w:r>
      <w:r w:rsidR="009B4784">
        <w:t>treated patients</w:t>
      </w:r>
      <w:r w:rsidRPr="001219F9">
        <w:t>, respectively). The most commonly reported ADRs were lethargy</w:t>
      </w:r>
      <w:r w:rsidR="00FA008A" w:rsidRPr="001219F9">
        <w:t xml:space="preserve"> and </w:t>
      </w:r>
      <w:r w:rsidR="00134060" w:rsidRPr="001219F9">
        <w:t>drowsiness</w:t>
      </w:r>
      <w:r w:rsidRPr="001219F9">
        <w:t>, dizziness</w:t>
      </w:r>
      <w:r w:rsidR="00FA008A" w:rsidRPr="001219F9">
        <w:t xml:space="preserve">, </w:t>
      </w:r>
      <w:r w:rsidRPr="001219F9">
        <w:t>vertigo</w:t>
      </w:r>
      <w:r w:rsidR="00FA008A" w:rsidRPr="001219F9">
        <w:t xml:space="preserve"> and </w:t>
      </w:r>
      <w:r w:rsidRPr="001219F9">
        <w:t xml:space="preserve">ataxia and </w:t>
      </w:r>
      <w:r w:rsidR="00C77C54" w:rsidRPr="001219F9">
        <w:t>blurred</w:t>
      </w:r>
      <w:r w:rsidR="00FA008A" w:rsidRPr="001219F9">
        <w:t xml:space="preserve"> vision and </w:t>
      </w:r>
      <w:r w:rsidR="00C77C54" w:rsidRPr="001219F9">
        <w:t xml:space="preserve">diplopia </w:t>
      </w:r>
      <w:r w:rsidRPr="001219F9">
        <w:t>(</w:t>
      </w:r>
      <w:r w:rsidR="00134DD4" w:rsidRPr="001219F9">
        <w:t>17.9, 13.9 and 9.5</w:t>
      </w:r>
      <w:r w:rsidRPr="001219F9">
        <w:t xml:space="preserve">% of </w:t>
      </w:r>
      <w:r w:rsidR="00636648" w:rsidRPr="001219F9">
        <w:t>occurrence</w:t>
      </w:r>
      <w:r w:rsidRPr="001219F9">
        <w:t xml:space="preserve"> in all cases, respectively).</w:t>
      </w:r>
    </w:p>
    <w:p w14:paraId="19669E11" w14:textId="1EEB9320" w:rsidR="00C1603B" w:rsidRPr="001219F9" w:rsidRDefault="00C1603B" w:rsidP="00986FAD">
      <w:pPr>
        <w:pStyle w:val="BodyText"/>
        <w:spacing w:line="480" w:lineRule="auto"/>
        <w:jc w:val="both"/>
      </w:pPr>
      <w:r w:rsidRPr="001219F9">
        <w:t xml:space="preserve">ADR rate amongst patients on oxcarbazepine (50 out of 140) was significantly higher than on carbamazepine, </w:t>
      </w:r>
      <w:proofErr w:type="spellStart"/>
      <w:r w:rsidRPr="001219F9">
        <w:t>clobazam</w:t>
      </w:r>
      <w:proofErr w:type="spellEnd"/>
      <w:r w:rsidRPr="001219F9">
        <w:t xml:space="preserve">, gabapentin, </w:t>
      </w:r>
      <w:proofErr w:type="spellStart"/>
      <w:r w:rsidRPr="001219F9">
        <w:t>levetiracetam</w:t>
      </w:r>
      <w:proofErr w:type="spellEnd"/>
      <w:r w:rsidRPr="001219F9">
        <w:t>, lamotrigine</w:t>
      </w:r>
      <w:r w:rsidR="001B0838">
        <w:t xml:space="preserve"> and</w:t>
      </w:r>
      <w:r w:rsidRPr="001219F9">
        <w:t xml:space="preserve"> </w:t>
      </w:r>
      <w:proofErr w:type="spellStart"/>
      <w:r w:rsidRPr="001219F9">
        <w:t>vigabatrin</w:t>
      </w:r>
      <w:proofErr w:type="spellEnd"/>
      <w:r w:rsidRPr="001219F9">
        <w:t xml:space="preserve"> </w:t>
      </w:r>
      <w:r w:rsidR="00341E29">
        <w:t>(p</w:t>
      </w:r>
      <w:r w:rsidR="00306E25">
        <w:t xml:space="preserve"> &lt; 0.002</w:t>
      </w:r>
      <w:r w:rsidR="00341E29">
        <w:t xml:space="preserve"> for all)</w:t>
      </w:r>
      <w:r w:rsidR="001B0838">
        <w:t xml:space="preserve">, as well as on </w:t>
      </w:r>
      <w:r w:rsidRPr="001219F9">
        <w:t>valproate (p</w:t>
      </w:r>
      <w:r w:rsidR="00306E25">
        <w:t xml:space="preserve"> &lt;</w:t>
      </w:r>
      <w:r w:rsidR="001B0838">
        <w:t xml:space="preserve"> </w:t>
      </w:r>
      <w:r w:rsidR="00306E25">
        <w:t>0.03</w:t>
      </w:r>
      <w:r w:rsidRPr="001219F9">
        <w:t>).</w:t>
      </w:r>
      <w:r w:rsidR="006A0A86" w:rsidRPr="001219F9">
        <w:t xml:space="preserve"> </w:t>
      </w:r>
      <w:r w:rsidRPr="001219F9">
        <w:t xml:space="preserve">Similarly, ADR rate on </w:t>
      </w:r>
      <w:proofErr w:type="spellStart"/>
      <w:r w:rsidRPr="001219F9">
        <w:t>topiramate</w:t>
      </w:r>
      <w:proofErr w:type="spellEnd"/>
      <w:r w:rsidRPr="001219F9">
        <w:t xml:space="preserve"> (94 patients out of 304) was significantly higher than on carbamazepine, </w:t>
      </w:r>
      <w:proofErr w:type="spellStart"/>
      <w:r w:rsidRPr="001219F9">
        <w:t>clobazam</w:t>
      </w:r>
      <w:proofErr w:type="spellEnd"/>
      <w:r w:rsidRPr="001219F9">
        <w:t xml:space="preserve">, gabapentin, </w:t>
      </w:r>
      <w:proofErr w:type="spellStart"/>
      <w:r w:rsidRPr="001219F9">
        <w:t>levetiracetam</w:t>
      </w:r>
      <w:proofErr w:type="spellEnd"/>
      <w:r w:rsidR="001B0838">
        <w:t xml:space="preserve"> and</w:t>
      </w:r>
      <w:r w:rsidRPr="001219F9">
        <w:t xml:space="preserve"> lamotrigine</w:t>
      </w:r>
      <w:r w:rsidR="001B0838" w:rsidRPr="001B0838">
        <w:t xml:space="preserve"> </w:t>
      </w:r>
      <w:r w:rsidR="001B0838">
        <w:t>(p</w:t>
      </w:r>
      <w:r w:rsidR="00306E25">
        <w:t xml:space="preserve"> &lt; 0.003</w:t>
      </w:r>
      <w:r w:rsidR="001B0838">
        <w:t xml:space="preserve"> for all)</w:t>
      </w:r>
      <w:r w:rsidRPr="001219F9">
        <w:t xml:space="preserve">, </w:t>
      </w:r>
      <w:r w:rsidR="001B0838">
        <w:t xml:space="preserve">as well as on </w:t>
      </w:r>
      <w:proofErr w:type="spellStart"/>
      <w:r w:rsidR="00306E25">
        <w:t>vigabatrin</w:t>
      </w:r>
      <w:proofErr w:type="spellEnd"/>
      <w:r w:rsidR="00306E25">
        <w:t xml:space="preserve"> (p &lt;</w:t>
      </w:r>
      <w:r w:rsidRPr="001219F9">
        <w:t xml:space="preserve"> </w:t>
      </w:r>
      <w:r w:rsidR="001B0838">
        <w:t>0.0</w:t>
      </w:r>
      <w:r w:rsidR="00306E25">
        <w:t>2)</w:t>
      </w:r>
      <w:r w:rsidRPr="001219F9">
        <w:t xml:space="preserve">. ADR rate on </w:t>
      </w:r>
      <w:proofErr w:type="spellStart"/>
      <w:r w:rsidRPr="001219F9">
        <w:t>pregabalin</w:t>
      </w:r>
      <w:proofErr w:type="spellEnd"/>
      <w:r w:rsidRPr="001219F9">
        <w:t xml:space="preserve"> (20 patients out of 73) was significantly higher than on </w:t>
      </w:r>
      <w:proofErr w:type="spellStart"/>
      <w:r w:rsidRPr="001219F9">
        <w:t>clobazam</w:t>
      </w:r>
      <w:proofErr w:type="spellEnd"/>
      <w:r w:rsidRPr="001219F9">
        <w:t xml:space="preserve"> (p</w:t>
      </w:r>
      <w:r w:rsidR="00306E25">
        <w:t xml:space="preserve"> </w:t>
      </w:r>
      <w:r w:rsidR="001B0838">
        <w:t>&lt;</w:t>
      </w:r>
      <w:r w:rsidR="00306E25">
        <w:t xml:space="preserve"> </w:t>
      </w:r>
      <w:r w:rsidR="001B0838">
        <w:t>0.001</w:t>
      </w:r>
      <w:r w:rsidRPr="001219F9">
        <w:t xml:space="preserve">) and gabapentin (p = </w:t>
      </w:r>
      <w:r w:rsidR="00306E25">
        <w:t>0.01</w:t>
      </w:r>
      <w:r w:rsidRPr="001219F9">
        <w:t>).</w:t>
      </w:r>
    </w:p>
    <w:p w14:paraId="21534F57" w14:textId="77777777" w:rsidR="004D7318" w:rsidRPr="001219F9" w:rsidRDefault="00E96794" w:rsidP="00986FAD">
      <w:pPr>
        <w:pStyle w:val="Heading3"/>
        <w:spacing w:line="480" w:lineRule="auto"/>
        <w:jc w:val="both"/>
        <w:rPr>
          <w:color w:val="auto"/>
        </w:rPr>
      </w:pPr>
      <w:r w:rsidRPr="001219F9">
        <w:rPr>
          <w:color w:val="auto"/>
        </w:rPr>
        <w:lastRenderedPageBreak/>
        <w:t>Discussion</w:t>
      </w:r>
    </w:p>
    <w:p w14:paraId="14177734" w14:textId="6153CB81" w:rsidR="004D7318" w:rsidRPr="001219F9" w:rsidRDefault="00E96794" w:rsidP="00986FAD">
      <w:pPr>
        <w:pStyle w:val="FirstParagraph"/>
        <w:spacing w:line="480" w:lineRule="auto"/>
        <w:jc w:val="both"/>
      </w:pPr>
      <w:r w:rsidRPr="001219F9">
        <w:t xml:space="preserve">Although MTLE-HS represents a well-known and common clinical entity, large scale epidemiological studies are surprisingly scarce. Here we report retention, seizure freedom and ADR rates for the 10 most commonly used AEDs in a </w:t>
      </w:r>
      <w:r w:rsidR="00121378">
        <w:t xml:space="preserve">large </w:t>
      </w:r>
      <w:r w:rsidRPr="001219F9">
        <w:t>cohort of patients with MTLE-HS. The data provide a unique picture of AED prescription patterns in MTLE-HS in Western Europe over the last decades. Data were collected from multiple sites but stored in a single database, containing detailed data on AED trials, and allowing for uniform data capture and extraction. We applied s</w:t>
      </w:r>
      <w:r w:rsidR="00406A0E">
        <w:t>trict inclusion criteria for</w:t>
      </w:r>
      <w:r w:rsidRPr="001219F9">
        <w:t xml:space="preserve"> </w:t>
      </w:r>
      <w:r w:rsidR="00121378">
        <w:t xml:space="preserve">case </w:t>
      </w:r>
      <w:r w:rsidRPr="001219F9">
        <w:t xml:space="preserve">identification and qualifying AED trials. AEDs started before 1985 were excluded </w:t>
      </w:r>
      <w:r w:rsidR="00121378">
        <w:t>as</w:t>
      </w:r>
      <w:r w:rsidR="00121378" w:rsidRPr="001219F9">
        <w:t xml:space="preserve"> </w:t>
      </w:r>
      <w:r w:rsidRPr="001219F9">
        <w:t xml:space="preserve">details on these treatments were lacking in a large proportion of cases and because these AEDs (phenobarbital, primidone, </w:t>
      </w:r>
      <w:proofErr w:type="gramStart"/>
      <w:r w:rsidRPr="001219F9">
        <w:t>phenytoin</w:t>
      </w:r>
      <w:proofErr w:type="gramEnd"/>
      <w:r w:rsidRPr="001219F9">
        <w:t xml:space="preserve">) are </w:t>
      </w:r>
      <w:r w:rsidR="00AD6A1A">
        <w:t>currently</w:t>
      </w:r>
      <w:r w:rsidR="00AD6A1A" w:rsidRPr="001219F9">
        <w:t xml:space="preserve"> </w:t>
      </w:r>
      <w:r w:rsidRPr="001219F9">
        <w:t>rarely used in most Western countries.</w:t>
      </w:r>
    </w:p>
    <w:p w14:paraId="6344BB03" w14:textId="5F4561EF" w:rsidR="004D7318" w:rsidRPr="001219F9" w:rsidRDefault="00E96794" w:rsidP="00986FAD">
      <w:pPr>
        <w:pStyle w:val="BodyText"/>
        <w:spacing w:line="480" w:lineRule="auto"/>
        <w:jc w:val="both"/>
      </w:pPr>
      <w:r w:rsidRPr="001219F9">
        <w:t xml:space="preserve">The highest retention rates were </w:t>
      </w:r>
      <w:r w:rsidR="00AD6A1A">
        <w:t>seen with</w:t>
      </w:r>
      <w:r w:rsidRPr="001219F9">
        <w:t xml:space="preserve"> carbamazepine, valproate and </w:t>
      </w:r>
      <w:proofErr w:type="spellStart"/>
      <w:r w:rsidRPr="001219F9">
        <w:t>levetiracetam</w:t>
      </w:r>
      <w:proofErr w:type="spellEnd"/>
      <w:r w:rsidRPr="001219F9">
        <w:t xml:space="preserve">. </w:t>
      </w:r>
      <w:r w:rsidR="00AD6A1A">
        <w:t xml:space="preserve">Reported </w:t>
      </w:r>
      <w:r w:rsidRPr="001219F9">
        <w:t>AED retention rates vary greatly and no previous study has addressed the population with MTLE-HS spec</w:t>
      </w:r>
      <w:r w:rsidR="00BB3AEA">
        <w:t>ifically</w:t>
      </w:r>
      <w:r w:rsidRPr="001219F9">
        <w:t>.</w:t>
      </w:r>
      <w:r w:rsidR="00CB09B7">
        <w:fldChar w:fldCharType="begin" w:fldLock="1"/>
      </w:r>
      <w:r w:rsidR="007E42B0">
        <w:instrText>ADDIN CSL_CITATION { "citationItems" : [ { "id" : "ITEM-1", "itemData" : { "DOI" : "10.1001/archneurol.2010.49", "ISSN" : "1538-3687", "PMID" : "20385905", "abstract" : "OBJECTIVE To compare the effectiveness of antiepileptic drugs (AEDs) for use in older adults with epilepsy. DESIGN Retrospective review. SETTING Columbia Comprehensive Epilepsy Center, New York, New York. PATIENTS Four hundred seventeen outpatients 55 years and older newly taking any of the 10 most commonly prescribed AEDs between 2000 and 2005. MAIN OUTCOME MEASURE The percentage of patients who remained taking the AED for 12 or more months (12-month \"retention\"). We also measured efficacy (12-month seizure freedom) and adverse effects leading to dose change. Retention and seizure-freedom rates were analyzed by pairwise comparisons using chi(2) for the overall group and patients with refractory and nonrefractory disease as well as patients newly taking their first AED. RESULTS The 10 AEDs newly taken by 10 or more patients were analyzed. There were no significant non-AED predictors of retention. Without controlling for severity, lamotrigine had the highest 12-month retention rate (79%), significantly higher than carbamazepine (48%), gabapentin (59%), oxcarbazepine (24%), phenytoin (59%), and topiramate (56%). The retention rate for levetiracetam (73%) was second highest and significantly higher than carbamazepine and oxcarbazepine. Oxcarbazepine had the lowest retention rate, significantly lower than all other AEDs. Lamotrigine had the highest 12-month seizure-freedom rate (54%), followed by levetiracetam (43%). When stratified into patients with nonrefractory and refractory disease, relative rates of seizure freedom and retention remained comparable with the overall group. Imbalance, drowsiness, and gastrointestinal symptoms were the most common intolerable adverse effects. CONCLUSION In this study of older adults with epilepsy, lamotrigine was the most effective AED as measured by 12-month retention and seizure freedom, with levetiracetam a close second. Oxcarbazepine was consistently less effective than most other AEDs.", "author" : [ { "dropping-particle" : "", "family" : "Arif", "given" : "Hiba", "non-dropping-particle" : "", "parse-names" : false, "suffix" : "" }, { "dropping-particle" : "", "family" : "Buchsbaum", "given" : "Richard", "non-dropping-particle" : "", "parse-names" : false, "suffix" : "" }, { "dropping-particle" : "", "family" : "Pierro", "given" : "Joanna", "non-dropping-particle" : "", "parse-names" : false, "suffix" : "" }, { "dropping-particle" : "", "family" : "Whalen", "given" : "Michael", "non-dropping-particle" : "", "parse-names" : false, "suffix" : "" }, { "dropping-particle" : "", "family" : "Sims", "given" : "Jessica", "non-dropping-particle" : "", "parse-names" : false, "suffix" : "" }, { "dropping-particle" : "", "family" : "Resor", "given" : "Stanley R", "non-dropping-particle" : "", "parse-names" : false, "suffix" : "" }, { "dropping-particle" : "", "family" : "Bazil", "given" : "Carl W", "non-dropping-particle" : "", "parse-names" : false, "suffix" : "" }, { "dropping-particle" : "", "family" : "Hirsch", "given" : "Lawrence J", "non-dropping-particle" : "", "parse-names" : false, "suffix" : "" } ], "container-title" : "Archives of neurology", "id" : "ITEM-1", "issue" : "4", "issued" : { "date-parts" : [ [ "2010", "4" ] ] }, "page" : "408-15", "title" : "Comparative effectiveness of 10 antiepileptic drugs in older adults with epilepsy.", "type" : "article-journal", "volume" : "67" }, "uris" : [ "http://www.mendeley.com/documents/?uuid=2425fbbb-1556-345a-91c8-8dec138e20a7" ] }, { "id" : "ITEM-2", "itemData" : { "DOI" : "10.1371/journal.pone.0131566", "ISSN" : "1932-6203", "PMID" : "26147937", "abstract" : "OBJECTIVE To evaluate and compare long-term effectiveness of five antiepileptic drugs (AEDs) for monotherapy of adult patients with focal epilepsy in routine clinical practice. METHODS Adult patients with focal epilepsy, who were prescribed with carbamazepine (CBZ), valproate (VPA), lamotrigine (LTG), topiramate (TPM), or oxcarbazepine (OXC) as monotherapy, during the period from January 2004 to June 2012 registered in Wenzhou Epilepsy Follow Up Registry Database (WEFURD), were included in the study. Prospective long-term follow-up was conducted until June 2013. The endpoints were time to treatment failure, time to seizure remission, and time to first seizure. RESULTS This study included 654 patients: CBZ (n=125), VPA (n=151), LTG (n=135), TPM (n=76), and OXC (n=167). The retention rates of CBZ, VPA, LTG, TPM, and OXC at the third year were 36.1%, 32.4%, 57.6%, 37.9%, and 41.8%, respectively. For time to treatment failure, LTG was significantly better than CBZ and VPA (LTG vs. CBZ, hazard ratio, [HR] 0.80 [95% confidence interval: 0.67-0.96], LTG vs. VPA, 0.53 [0.37-0.74]); TPM was worse than LTG (TPM vs. LTG, 1.77 [1.15-2.74]), and OXC was better than VPA (0.86 [0.78-0.96]). After initial target doses, the seizure remission rates of CBZ, VPA, LTG, TPM, and OXC were 63.0%, 77.0%, 83.6%, 67.9%, and 75.3%, respectively. LTG was significantly better than CBZ (1.44 [1.15-1.82]) and OXC (LTG vs. OXC, 0.76 [0.63-0.93]); OXC was less effective than LTG in preventing the first seizure (1.20 [1.02-1.40]). CONCLUSION LTG was the best, OXC was better than VPA only, while VPA was the worst. The others were equivalent for comparisons between five AEDs regarding the long-term treatment outcomes of monotherapy for adult patients with focal epilepsy in a clinical practice. For selecting AEDs for these patients among the first-line drugs, LTG is an appropriate first choice; others are reservation in the first-line but VPA is not.", "author" : [ { "dropping-particle" : "", "family" : "Zeng", "given" : "Qing-Yi", "non-dropping-particle" : "", "parse-names" : false, "suffix" : "" }, { "dropping-particle" : "", "family" : "Fan", "given" : "Tian-Tian", "non-dropping-particle" : "", "parse-names" : false, "suffix" : "" }, { "dropping-particle" : "", "family" : "Zhu", "given" : "Pan", "non-dropping-particle" : "", "parse-names" : false, "suffix" : "" }, { "dropping-particle" : "", "family" : "He", "given" : "Ru-Qian", "non-dropping-particle" : "", "parse-names" : false, "suffix" : "" }, { "dropping-particle" : "", "family" : "Bao", "given" : "Yi-Xin", "non-dropping-particle" : "", "parse-names" : false, "suffix" : "" }, { "dropping-particle" : "", "family" : "Zheng", "given" : "Rong-Yuan", "non-dropping-particle" : "", "parse-names" : false, "suffix" : "" }, { "dropping-particle" : "", "family" : "Xu", "given" : "Hui-Qin", "non-dropping-particle" : "", "parse-names" : false, "suffix" : "" } ], "container-title" : "PloS one", "id" : "ITEM-2", "issue" : "7", "issued" : { "date-parts" : [ [ "2015" ] ] }, "page" : "e0131566", "title" : "Comparative Long-Term Effectiveness of a Monotherapy with Five Antiepileptic Drugs for Focal Epilepsy in Adult Patients: A Prospective Cohort Study.", "type" : "article-journal", "volume" : "10" }, "uris" : [ "http://www.mendeley.com/documents/?uuid=2e34b6b7-bfe6-315e-8ed7-6d925689fd8e" ] }, { "id" : "ITEM-3", "itemData" : { "DOI" : "10.1111/j.1499-1654.2000.001592.x", "ISBN" : "0013-9580 (Print)\\r0013-9580 (Linking)", "ISSN" : "0013-9580", "PMID" : "11114218", "abstract" : "Purpose: We sought to determine the long-term retention rates of lamotrigine (LTG), gabapentin (GBP), and topiramate (TPM) therapy for patients at a tertiary referral clinic for chronic, refractory epilepsy. Methods: We analyzed 424 consecutive patients with chronic, refractory partial and/or generalized epilepsy who were started on LTG, 158 patients who were started on GBP, and 393 patients who were started on TPM. The percentages of patients who continued therapy with LTG, GBP, and TPM were estimated with the use of Kaplan-Meier survival analysis. Factors that influence retention were analyzed with the use of Cox regression analysis. Results: Kaplan-Meier survival analysis showed that at 3 years, 30% continued therapy on TPM compared with 29% on LTG and fewer than 10% on GBP. Adverse events resulted in therapy withdrawal in 40% of patients on TPM compared with GBP (37%) and LTG (22%). Perceived lack of efficacy led to treatment withdrawal in 39% of patients on GBP compared with 34% on LTG and 19% on TPM. Cox regression estimated that a fourth or fewer of patients with chronic partial epilepsy are likely to continue therapy with a new antiepileptic drug beyond 5 years. Conclusions: The impact of these new antiepileptic drugs on the long-term course of chronic partial epilepsy is likely to be small, as approximately three of four patients will discontinue therapy. More patients appear to continue on TPM compared with LTG or GBP, with a possible reason being better perceived efficacy of TPM, despite having the highest incidence of adverse events.", "author" : [ { "dropping-particle" : "", "family" : "Lhatoo", "given" : "S.D.", "non-dropping-particle" : "", "parse-names" : false, "suffix" : "" }, { "dropping-particle" : "", "family" : "Wong", "given" : "I.C.K.", "non-dropping-particle" : "", "parse-names" : false, "suffix" : "" }, { "dropping-particle" : "", "family" : "Polizzi", "given" : "G.", "non-dropping-particle" : "", "parse-names" : false, "suffix" : "" }, { "dropping-particle" : "", "family" : "Sander", "given" : "J.W.A.S.", "non-dropping-particle" : "", "parse-names" : false, "suffix" : "" } ], "container-title" : "Epilepsia", "id" : "ITEM-3", "issue" : "12", "issued" : { "date-parts" : [ [ "2000", "12" ] ] }, "page" : "1592-1596", "title" : "Long-Term Retention Rates of Lamotrigine, Gabapentin, and Topiramate in Chronic Epilepsy", "type" : "article-journal", "volume" : "41" }, "uris" : [ "http://www.mendeley.com/documents/?uuid=3cd01c6e-1a74-3824-a0f1-5d32133c4fae" ] }, { "id" : "ITEM-4", "itemData" : { "DOI" : "10.1016/j.seizure.2007.01.004", "ISSN" : "1059-1311", "PMID" : "17267243", "abstract" : "OBJECTIVE Retention rates of five new anti-epileptic medications (AEDs) were compared in order to evaluate their long-term tolerability and efficacy. METHOD We acquired the retention data on levetiracetam (LEV), lamotrigine (LTG), oxcarbazepine (OXC), topiramate (TPM), and zonisamide (ZNS) from the electronic database. The data included patient's age, gender, seizure type, current and previous medications, dosage, main reasons for discontinuation, and duration of therapy. The retention rates of these AEDs were evaluated at 4, 12, 24, 52, and 104 weeks. RESULTS A total of 828 new AED exposures were obtained (LEV=196, LTG=251, OXC=97, TPM=156, ZNS=128) from patients with partial or generalized epilepsy. At 2 years, retention rate was highest with LTG (74.1%), followed by ZNS (60.2%), OXC (58.8%), LEV (53.6%), and TPM (44.2%). When these AEDs were discontinued, it was mainly due to inefficacy (29.5%) and sedating side-effects (20.5%), and commonly within 6 months into therapy. Several important AED specific side-effects leading to discontinuation were identified, including behavioral or irritability from LEV, rash from LTG and OXC, nausea from OXC and ZNS, hyponatremia from OXC, and kidney stones from TPM and ZNS. CONCLUSION Comparing retention rates of new AEDs can provide useful insight into their tolerability and efficacy. This study showed highest retention rate with LTG, which was significantly different from ZNS (p=0.0025), LEV (p&lt;0.0001), OXC (p=0.0024), and TPM (p&lt;0.0001). Beside ineffectiveness, other leading causes of discontinuation were adverse behavioral effects with LEV, rash with LTG and OXC, and sedation for TPM and ZNS.", "author" : [ { "dropping-particle" : "", "family" : "Chung", "given" : "Steve", "non-dropping-particle" : "", "parse-names" : false, "suffix" : "" }, { "dropping-particle" : "", "family" : "Wang", "given" : "Norman", "non-dropping-particle" : "", "parse-names" : false, "suffix" : "" }, { "dropping-particle" : "", "family" : "Hank", "given" : "Nicole", "non-dropping-particle" : "", "parse-names" : false, "suffix" : "" }, { "dropping-particle" : "", "family" : "Prevention", "given" : "From the Centers for Disease Control", "non-dropping-particle" : "", "parse-names" : false, "suffix" : "" }, { "dropping-particle" : "", "family" : "Haerer", "given" : "A.F.", "non-dropping-particle" : "", "parse-names" : false, "suffix" : "" }, { "dropping-particle" : "", "family" : "Anderson", "given" : "D.W.", "non-dropping-particle" : "", "parse-names" : false, "suffix" : "" }, { "dropping-particle" : "", "family" : "Schoenberg", "given" : "B.S.", "non-dropping-particle" : "", "parse-names" : false, "suffix" : "" }, { "dropping-particle" : "", "family" : "Doughty", "given" : "J.", "non-dropping-particle" : "", "parse-names" : false, "suffix" : "" }, { "dropping-particle" : "", "family" : "Baker", "given" : "G.A.", "non-dropping-particle" : "", "parse-names" : false, "suffix" : "" }, { "dropping-particle" : "", "family" : "Jacoby", "given" : "A.", "non-dropping-particle" : "", "parse-names" : false, "suffix" : "" }, { "dropping-particle" : "", "family" : "Lavaud", "given" : "V.", "non-dropping-particle" : "", "parse-names" : false, "suffix" : "" }, { "dropping-particle" : "", "family" : "Kyngas", "given" : "H.", "non-dropping-particle" : "", "parse-names" : false, "suffix" : "" }, { "dropping-particle" : "", "family" : "Kwan", "given" : "P.", "non-dropping-particle" : "", "parse-names" : false, "suffix" : "" }, { "dropping-particle" : "", "family" : "Brodie", "given" : "M.J.", "non-dropping-particle" : "", "parse-names" : false, "suffix" : "" }, { "dropping-particle" : "", "family" : "Stephen", "given" : "L.J.", "non-dropping-particle" : "", "parse-names" : false, "suffix" : "" }, { "dropping-particle" : "", "family" : "Brodie", "given" : "M.J.", "non-dropping-particle" : "", "parse-names" : false, "suffix" : "" }, { "dropping-particle" : "", "family" : "French", "given" : "J.A.", "non-dropping-particle" : "", "parse-names" : false, "suffix" : "" }, { "dropping-particle" : "", "family" : "Kanner", "given" : "A.M.", "non-dropping-particle" : "", "parse-names" : false, "suffix" : "" }, { "dropping-particle" : "", "family" : "Bautista", "given" : "J.", "non-dropping-particle" : "", "parse-names" : false, "suffix" : "" }, { "dropping-particle" : "", "family" : "al.", "given" : "et", "non-dropping-particle" : "", "parse-names" : false, "suffix" : "" }, { "dropping-particle" : "", "family" : "French", "given" : "J.A.", "non-dropping-particle" : "", "parse-names" : false, "suffix" : "" }, { "dropping-particle" : "", "family" : "Kanner", "given" : "A.M.", "non-dropping-particle" : "", "parse-names" : false, "suffix" : "" }, { "dropping-particle" : "", "family" : "Bautista", "given" : "J.", "non-dropping-particle" : "", "parse-names" : false, "suffix" : "" }, { "dropping-particle" : "", "family" : "al.", "given" : "et", "non-dropping-particle" : "", "parse-names" : false, "suffix" : "" }, { "dropping-particle" : "", "family" : "Sabers", "given" : "A.", "non-dropping-particle" : "", "parse-names" : false, "suffix" : "" }, { "dropping-particle" : "", "family" : "Gram", "given" : "L.", "non-dropping-particle" : "", "parse-names" : false, "suffix" : "" }, { "dropping-particle" : "", "family" : "Bromfield", "given" : "E.B.", "non-dropping-particle" : "", "parse-names" : false, "suffix" : "" }, { "dropping-particle" : "", "family" : "Tomson", "given" : "T.", "non-dropping-particle" : "", "parse-names" : false, "suffix" : "" }, { "dropping-particle" : "", "family" : "Chadwick", "given" : "D.", "non-dropping-particle" : "", "parse-names" : false, "suffix" : "" }, { "dropping-particle" : "", "family" : "Wolf", "given" : "P.", "non-dropping-particle" : "", "parse-names" : false, "suffix" : "" }, { "dropping-particle" : "", "family" : "Mula", "given" : "M.", "non-dropping-particle" : "", "parse-names" : false, "suffix" : "" }, { "dropping-particle" : "", "family" : "Trimble", "given" : "M.R.", "non-dropping-particle" : "", "parse-names" : false, "suffix" : "" }, { "dropping-particle" : "", "family" : "Collins", "given" : "R.", "non-dropping-particle" : "", "parse-names" : false, "suffix" : "" }, { "dropping-particle" : "", "family" : "Feely", "given" : "M.", "non-dropping-particle" : "", "parse-names" : false, "suffix" : "" }, { "dropping-particle" : "", "family" : "Deckers", "given" : "C.L.", "non-dropping-particle" : "", "parse-names" : false, "suffix" : "" }, { "dropping-particle" : "", "family" : "Knoester", "given" : "P.D.", "non-dropping-particle" : "", "parse-names" : false, "suffix" : "" }, { "dropping-particle" : "de", "family" : "Haan", "given" : "G.J.", "non-dropping-particle" : "", "parse-names" : false, "suffix" : "" }, { "dropping-particle" : "", "family" : "Keyser", "given" : "A.", "non-dropping-particle" : "", "parse-names" : false, "suffix" : "" }, { "dropping-particle" : "", "family" : "Renier", "given" : "W.O.", "non-dropping-particle" : "", "parse-names" : false, "suffix" : "" }, { "dropping-particle" : "", "family" : "Hekster", "given" : "Y.A.", "non-dropping-particle" : "", "parse-names" : false, "suffix" : "" }, { "dropping-particle" : "", "family" : "Semah", "given" : "F.", "non-dropping-particle" : "", "parse-names" : false, "suffix" : "" }, { "dropping-particle" : "", "family" : "Picot", "given" : "M.C.", "non-dropping-particle" : "", "parse-names" : false, "suffix" : "" }, { "dropping-particle" : "", "family" : "Derambure", "given" : "P.", "non-dropping-particle" : "", "parse-names" : false, "suffix" : "" }, { "dropping-particle" : "", "family" : "al.", "given" : "et", "non-dropping-particle" : "", "parse-names" : false, "suffix" : "" }, { "dropping-particle" : "", "family" : "Lhatoo", "given" : "S.D.", "non-dropping-particle" : "", "parse-names" : false, "suffix" : "" }, { "dropping-particle" : "", "family" : "Sander", "given" : "J.W.", "non-dropping-particle" : "", "parse-names" : false, "suffix" : "" }, { "dropping-particle" : "", "family" : "Shorvon", "given" : "S.D.", "non-dropping-particle" : "", "parse-names" : false, "suffix" : "" }, { "dropping-particle" : "", "family" : "Guevara", "given" : "J.", "non-dropping-particle" : "", "parse-names" : false, "suffix" : "" }, { "dropping-particle" : "", "family" : "Carmona", "given" : "G.", "non-dropping-particle" : "", "parse-names" : false, "suffix" : "" }, { "dropping-particle" : "", "family" : "Ortega", "given" : "M.P.", "non-dropping-particle" : "", "parse-names" : false, "suffix" : "" }, { "dropping-particle" : "", "family" : "Iglesias", "given" : "A.A.", "non-dropping-particle" : "", "parse-names" : false, "suffix" : "" }, { "dropping-particle" : "", "family" : "Selai", "given" : "C.", "non-dropping-particle" : "", "parse-names" : false, "suffix" : "" }, { "dropping-particle" : "", "family" : "Bannister", "given" : "D.", "non-dropping-particle" : "", "parse-names" : false, "suffix" : "" }, { "dropping-particle" : "", "family" : "Trimble", "given" : "M.", "non-dropping-particle" : "", "parse-names" : false, "suffix" : "" }, { "dropping-particle" : "", "family" : "French", "given" : "J.A.", "non-dropping-particle" : "", "parse-names" : false, "suffix" : "" }, { "dropping-particle" : "", "family" : "Kanner", "given" : "A.M.", "non-dropping-particle" : "", "parse-names" : false, "suffix" : "" }, { "dropping-particle" : "", "family" : "Bautista", "given" : "J.", "non-dropping-particle" : "", "parse-names" : false, "suffix" : "" }, { "dropping-particle" : "", "family" : "al.", "given" : "et", "non-dropping-particle" : "", "parse-names" : false, "suffix" : "" }, { "dropping-particle" : "", "family" : "French", "given" : "J.A.", "non-dropping-particle" : "", "parse-names" : false, "suffix" : "" }, { "dropping-particle" : "", "family" : "Kanner", "given" : "A.M.", "non-dropping-particle" : "", "parse-names" : false, "suffix" : "" }, { "dropping-particle" : "", "family" : "Bautista", "given" : "J.", "non-dropping-particle" : "", "parse-names" : false, "suffix" : "" }, { "dropping-particle" : "", "family" : "al.", "given" : "et", "non-dropping-particle" : "", "parse-names" : false, "suffix" : "" }, { "dropping-particle" : "", "family" : "Allison", "given" : "P.D.", "non-dropping-particle" : "", "parse-names" : false, "suffix" : "" }, { "dropping-particle" : "", "family" : "Cox", "given" : "D.R.", "non-dropping-particle" : "", "parse-names" : false, "suffix" : "" }, { "dropping-particle" : "", "family" : "Collett", "given" : "D.", "non-dropping-particle" : "", "parse-names" : false, "suffix" : "" }, { "dropping-particle" : "", "family" : "Steyerberg", "given" : "E.W.", "non-dropping-particle" : "", "parse-names" : false, "suffix" : "" }, { "dropping-particle" : "", "family" : "Eijkemans", "given" : "M.J.", "non-dropping-particle" : "", "parse-names" : false, "suffix" : "" }, { "dropping-particle" : "", "family" : "Harrell", "given" : "F.E.", "non-dropping-particle" : "", "parse-names" : false, "suffix" : "" }, { "dropping-particle" : "", "family" : "Habbema", "given" : "J.D.", "non-dropping-particle" : "", "parse-names" : false, "suffix" : "" }, { "dropping-particle" : "", "family" : "Brodie", "given" : "M.J.", "non-dropping-particle" : "", "parse-names" : false, "suffix" : "" }, { "dropping-particle" : "", "family" : "Kwan", "given" : "P.", "non-dropping-particle" : "", "parse-names" : false, "suffix" : "" }, { "dropping-particle" : "", "family" : "de", "given" : "B.", "non-dropping-particle" : "", "parse-names" : false, "suffix" : "" }, { "dropping-particle" : "", "family" : "Delvaux", "given" : "V.", "non-dropping-particle" : "", "parse-names" : false, "suffix" : "" }, { "dropping-particle" : "de", "family" : "Tourchaninoff", "given" : "M.", "non-dropping-particle" : "", "parse-names" : false, "suffix" : "" }, { "dropping-particle" : "", "family" : "al.", "given" : "et", "non-dropping-particle" : "", "parse-names" : false, "suffix" : "" }, { "dropping-particle" : "", "family" : "Natsch", "given" : "S.", "non-dropping-particle" : "", "parse-names" : false, "suffix" : "" }, { "dropping-particle" : "", "family" : "Hekster", "given" : "Y.A.", "non-dropping-particle" : "", "parse-names" : false, "suffix" : "" }, { "dropping-particle" : "", "family" : "Keyser", "given" : "A.", "non-dropping-particle" : "", "parse-names" : false, "suffix" : "" }, { "dropping-particle" : "", "family" : "Deckers", "given" : "C.L.", "non-dropping-particle" : "", "parse-names" : false, "suffix" : "" }, { "dropping-particle" : "", "family" : "Meinardi", "given" : "H.", "non-dropping-particle" : "", "parse-names" : false, "suffix" : "" }, { "dropping-particle" : "", "family" : "Renier", "given" : "W.O.", "non-dropping-particle" : "", "parse-names" : false, "suffix" : "" }, { "dropping-particle" : "", "family" : "Marson", "given" : "A.G.", "non-dropping-particle" : "", "parse-names" : false, "suffix" : "" }, { "dropping-particle" : "", "family" : "Kadir", "given" : "Z.A.", "non-dropping-particle" : "", "parse-names" : false, "suffix" : "" }, { "dropping-particle" : "", "family" : "Hutton", "given" : "J.L.", "non-dropping-particle" : "", "parse-names" : false, "suffix" : "" }, { "dropping-particle" : "", "family" : "Chadwick", "given" : "D.W.", "non-dropping-particle" : "", "parse-names" : false, "suffix" : "" }, { "dropping-particle" : "", "family" : "Beghi", "given" : "E.", "non-dropping-particle" : "", "parse-names" : false, "suffix" : "" }, { "dropping-particle" : "", "family" : "Ferrendelli", "given" : "J.A.", "non-dropping-particle" : "", "parse-names" : false, "suffix" : "" }, { "dropping-particle" : "", "family" : "Chadwick", "given" : "D.W.", "non-dropping-particle" : "", "parse-names" : false, "suffix" : "" }, { "dropping-particle" : "", "family" : "Cramer", "given" : "J.A.", "non-dropping-particle" : "", "parse-names" : false, "suffix" : "" }, { "dropping-particle" : "", "family" : "Fisher", "given" : "R.", "non-dropping-particle" : "", "parse-names" : false, "suffix" : "" }, { "dropping-particle" : "Ben", "family" : "Menachem", "given" : "E.", "non-dropping-particle" : "", "parse-names" : false, "suffix" : "" }, { "dropping-particle" : "", "family" : "French", "given" : "J.", "non-dropping-particle" : "", "parse-names" : false, "suffix" : "" }, { "dropping-particle" : "", "family" : "Mattson", "given" : "R.H.", "non-dropping-particle" : "", "parse-names" : false, "suffix" : "" }, { "dropping-particle" : "", "family" : "Lathers", "given" : "C.M.", "non-dropping-particle" : "", "parse-names" : false, "suffix" : "" }, { "dropping-particle" : "", "family" : "Schraeder", "given" : "P.L.", "non-dropping-particle" : "", "parse-names" : false, "suffix" : "" }, { "dropping-particle" : "", "family" : "Claycamp", "given" : "H.G.", "non-dropping-particle" : "", "parse-names" : false, "suffix" : "" }, { "dropping-particle" : "", "family" : "Martin", "given" : "R.", "non-dropping-particle" : "", "parse-names" : false, "suffix" : "" }, { "dropping-particle" : "", "family" : "Kuzniecky", "given" : "R.", "non-dropping-particle" : "", "parse-names" : false, "suffix" : "" }, { "dropping-particle" : "", "family" : "Ho", "given" : "S.", "non-dropping-particle" : "", "parse-names" : false, "suffix" : "" }, { "dropping-particle" : "", "family" : "al.", "given" : "et", "non-dropping-particle" : "", "parse-names" : false, "suffix" : "" }, { "dropping-particle" : "", "family" : "Beydoun", "given" : "A.", "non-dropping-particle" : "", "parse-names" : false, "suffix" : "" }, { "dropping-particle" : "", "family" : "Sachdeo", "given" : "R.C.", "non-dropping-particle" : "", "parse-names" : false, "suffix" : "" }, { "dropping-particle" : "", "family" : "Kutluay", "given" : "E.", "non-dropping-particle" : "", "parse-names" : false, "suffix" : "" }, { "dropping-particle" : "", "family" : "McCague", "given" : "K.", "non-dropping-particle" : "", "parse-names" : false, "suffix" : "" }, { "dropping-particle" : "", "family" : "D'Souza", "given" : "J.", "non-dropping-particle" : "", "parse-names" : false, "suffix" : "" }, { "dropping-particle" : "", "family" : "Brodie", "given" : "M.J.", "non-dropping-particle" : "", "parse-names" : false, "suffix" : "" }, { "dropping-particle" : "", "family" : "Duncan", "given" : "R.", "non-dropping-particle" : "", "parse-names" : false, "suffix" : "" }, { "dropping-particle" : "", "family" : "Vespignani", "given" : "H.", "non-dropping-particle" : "", "parse-names" : false, "suffix" : "" }, { "dropping-particle" : "", "family" : "Solyom", "given" : "A.", "non-dropping-particle" : "", "parse-names" : false, "suffix" : "" }, { "dropping-particle" : "", "family" : "Bitenskyy", "given" : "V.", "non-dropping-particle" : "", "parse-names" : false, "suffix" : "" }, { "dropping-particle" : "", "family" : "Lucas", "given" : "C.", "non-dropping-particle" : "", "parse-names" : false, "suffix" : "" }, { "dropping-particle" : "", "family" : "Chmielewska", "given" : "B.", "non-dropping-particle" : "", "parse-names" : false, "suffix" : "" }, { "dropping-particle" : "", "family" : "Kaminski", "given" : "M.L.", "non-dropping-particle" : "", "parse-names" : false, "suffix" : "" }, { "dropping-particle" : "", "family" : "Kawka", "given" : "Z.", "non-dropping-particle" : "", "parse-names" : false, "suffix" : "" }, { "dropping-particle" : "", "family" : "Dodson", "given" : "W.E.", "non-dropping-particle" : "", "parse-names" : false, "suffix" : "" }, { "dropping-particle" : "", "family" : "Kamin", "given" : "M.", "non-dropping-particle" : "", "parse-names" : false, "suffix" : "" }, { "dropping-particle" : "", "family" : "Kraut", "given" : "L.", "non-dropping-particle" : "", "parse-names" : false, "suffix" : "" }, { "dropping-particle" : "", "family" : "Olson", "given" : "W.H.", "non-dropping-particle" : "", "parse-names" : false, "suffix" : "" }, { "dropping-particle" : "", "family" : "Wu", "given" : "S.C.", "non-dropping-particle" : "", "parse-names" : false, "suffix" : "" }, { "dropping-particle" : "", "family" : "Briggs", "given" : "D.E.", "non-dropping-particle" : "", "parse-names" : false, "suffix" : "" }, { "dropping-particle" : "", "family" : "French", "given" : "J.A.", "non-dropping-particle" : "", "parse-names" : false, "suffix" : "" }, { "dropping-particle" : "", "family" : "Faught", "given" : "E.", "non-dropping-particle" : "", "parse-names" : false, "suffix" : "" }, { "dropping-particle" : "", "family" : "Matsuo", "given" : "F.U.", "non-dropping-particle" : "", "parse-names" : false, "suffix" : "" }, { "dropping-particle" : "", "family" : "Schachter", "given" : "S.", "non-dropping-particle" : "", "parse-names" : false, "suffix" : "" }, { "dropping-particle" : "", "family" : "Messenheimer", "given" : "J.", "non-dropping-particle" : "", "parse-names" : false, "suffix" : "" }, { "dropping-particle" : "", "family" : "Womble", "given" : "G.P.", "non-dropping-particle" : "", "parse-names" : false, "suffix" : "" }, { "dropping-particle" : "", "family" : "Lhatoo", "given" : "S.D.", "non-dropping-particle" : "", "parse-names" : false, "suffix" : "" }, { "dropping-particle" : "", "family" : "Wong", "given" : "I.C.", "non-dropping-particle" : "", "parse-names" : false, "suffix" : "" }, { "dropping-particle" : "", "family" : "Sander", "given" : "J.W.", "non-dropping-particle" : "", "parse-names" : false, "suffix" : "" }, { "dropping-particle" : "", "family" : "Bootsma", "given" : "H.P.", "non-dropping-particle" : "", "parse-names" : false, "suffix" : "" }, { "dropping-particle" : "", "family" : "Coolen", "given" : "F.", "non-dropping-particle" : "", "parse-names" : false, "suffix" : "" }, { "dropping-particle" : "", "family" : "Aldenkamp", "given" : "A.P.", "non-dropping-particle" : "", "parse-names" : false, "suffix" : "" }, { "dropping-particle" : "", "family" : "al.", "given" : "et", "non-dropping-particle" : "", "parse-names" : false, "suffix" : "" }, { "dropping-particle" : "", "family" : "Collins", "given" : "T.L.", "non-dropping-particle" : "", "parse-names" : false, "suffix" : "" }, { "dropping-particle" : "", "family" : "Petroff", "given" : "O.A.", "non-dropping-particle" : "", "parse-names" : false, "suffix" : "" }, { "dropping-particle" : "", "family" : "Mattson", "given" : "R.H.", "non-dropping-particle" : "", "parse-names" : false, "suffix" : "" }, { "dropping-particle" : "", "family" : "Otoul", "given" : "C.", "non-dropping-particle" : "", "parse-names" : false, "suffix" : "" }, { "dropping-particle" : "", "family" : "Arrigo", "given" : "C.", "non-dropping-particle" : "", "parse-names" : false, "suffix" : "" }, { "dropping-particle" : "van", "family" : "Rijckevorsel", "given" : "K.", "non-dropping-particle" : "", "parse-names" : false, "suffix" : "" }, { "dropping-particle" : "", "family" : "French", "given" : "J.A.", "non-dropping-particle" : "", "parse-names" : false, "suffix" : "" }, { "dropping-particle" : "", "family" : "Aldenkamp", "given" : "A.P.", "non-dropping-particle" : "", "parse-names" : false, "suffix" : "" }, { "dropping-particle" : "", "family" : "Baker", "given" : "G.", "non-dropping-particle" : "", "parse-names" : false, "suffix" : "" }, { "dropping-particle" : "", "family" : "Mulder", "given" : "O.G.", "non-dropping-particle" : "", "parse-names" : false, "suffix" : "" }, { "dropping-particle" : "", "family" : "al.", "given" : "et", "non-dropping-particle" : "", "parse-names" : false, "suffix" : "" }, { "dropping-particle" : "", "family" : "Goa", "given" : "K.L.", "non-dropping-particle" : "", "parse-names" : false, "suffix" : "" }, { "dropping-particle" : "", "family" : "Ross", "given" : "S.R.", "non-dropping-particle" : "", "parse-names" : false, "suffix" : "" }, { "dropping-particle" : "", "family" : "Chrisp", "given" : "P.", "non-dropping-particle" : "", "parse-names" : false, "suffix" : "" }, { "dropping-particle" : "", "family" : "Rowan", "given" : "A.J.", "non-dropping-particle" : "", "parse-names" : false, "suffix" : "" }, { "dropping-particle" : "", "family" : "Ramsay", "given" : "R.E.", "non-dropping-particle" : "", "parse-names" : false, "suffix" : "" }, { "dropping-particle" : "", "family" : "Collins", "given" : "J.F.", "non-dropping-particle" : "", "parse-names" : false, "suffix" : "" }, { "dropping-particle" : "", "family" : "al.", "given" : "et", "non-dropping-particle" : "", "parse-names" : false, "suffix" : "" }, { "dropping-particle" : "", "family" : "Datta", "given" : "P.K.", "non-dropping-particle" : "", "parse-names" : false, "suffix" : "" }, { "dropping-particle" : "", "family" : "Crawford", "given" : "P.M.", "non-dropping-particle" : "", "parse-names" : false, "suffix" : "" }, { "dropping-particle" : "", "family" : "Lhatoo", "given" : "S.D.", "non-dropping-particle" : "", "parse-names" : false, "suffix" : "" }, { "dropping-particle" : "", "family" : "Wong", "given" : "I.C.", "non-dropping-particle" : "", "parse-names" : false, "suffix" : "" }, { "dropping-particle" : "", "family" : "Polizzi", "given" : "G.", "non-dropping-particle" : "", "parse-names" : false, "suffix" : "" }, { "dropping-particle" : "", "family" : "Sander", "given" : "J.W.", "non-dropping-particle" : "", "parse-names" : false, "suffix" : "" }, { "dropping-particle" : "", "family" : "Abou-Khalil", "given" : "B.", "non-dropping-particle" : "", "parse-names" : false, "suffix" : "" }, { "dropping-particle" : "", "family" : "Lazenby", "given" : "B.", "non-dropping-particle" : "", "parse-names" : false, "suffix" : "" }, { "dropping-particle" : "", "family" : "Betts", "given" : "T.", "non-dropping-particle" : "", "parse-names" : false, "suffix" : "" }, { "dropping-particle" : "", "family" : "Yarrow", "given" : "H.", "non-dropping-particle" : "", "parse-names" : false, "suffix" : "" }, { "dropping-particle" : "", "family" : "Greenhill", "given" : "L.", "non-dropping-particle" : "", "parse-names" : false, "suffix" : "" }, { "dropping-particle" : "", "family" : "Barrett", "given" : "M.", "non-dropping-particle" : "", "parse-names" : false, "suffix" : "" }, { "dropping-particle" : "", "family" : "Deckers", "given" : "C.L.", "non-dropping-particle" : "", "parse-names" : false, "suffix" : "" }, { "dropping-particle" : "", "family" : "Renier", "given" : "W.O.", "non-dropping-particle" : "", "parse-names" : false, "suffix" : "" }, { "dropping-particle" : "", "family" : "Krakow", "given" : "K.", "non-dropping-particle" : "", "parse-names" : false, "suffix" : "" }, { "dropping-particle" : "", "family" : "Walker", "given" : "M.", "non-dropping-particle" : "", "parse-names" : false, "suffix" : "" }, { "dropping-particle" : "", "family" : "Otoul", "given" : "C.", "non-dropping-particle" : "", "parse-names" : false, "suffix" : "" }, { "dropping-particle" : "", "family" : "Sander", "given" : "J.W.", "non-dropping-particle" : "", "parse-names" : false, "suffix" : "" }, { "dropping-particle" : "", "family" : "Knoester", "given" : "P.D.", "non-dropping-particle" : "", "parse-names" : false, "suffix" : "" }, { "dropping-particle" : "", "family" : "Belitser", "given" : "S.V.", "non-dropping-particle" : "", "parse-names" : false, "suffix" : "" }, { "dropping-particle" : "", "family" : "Deckers", "given" : "C.L.", "non-dropping-particle" : "", "parse-names" : false, "suffix" : "" }, { "dropping-particle" : "", "family" : "al.", "given" : "et", "non-dropping-particle" : "", "parse-names" : false, "suffix" : "" }, { "dropping-particle" : "", "family" : "Knoester", "given" : "P.D.", "non-dropping-particle" : "", "parse-names" : false, "suffix" : "" }, { "dropping-particle" : "", "family" : "Belitser", "given" : "S.V.", "non-dropping-particle" : "", "parse-names" : false, "suffix" : "" }, { "dropping-particle" : "", "family" : "Deckers", "given" : "C.L.", "non-dropping-particle" : "", "parse-names" : false, "suffix" : "" }, { "dropping-particle" : "", "family" : "al.", "given" : "et", "non-dropping-particle" : "", "parse-names" : false, "suffix" : "" }, { "dropping-particle" : "", "family" : "Jones", "given" : "M.W.", "non-dropping-particle" : "", "parse-names" : false, "suffix" : "" }, { "dropping-particle" : "", "family" : "Stephen", "given" : "L.J.", "non-dropping-particle" : "", "parse-names" : false, "suffix" : "" }, { "dropping-particle" : "", "family" : "Sills", "given" : "G.J.", "non-dropping-particle" : "", "parse-names" : false, "suffix" : "" }, { "dropping-particle" : "", "family" : "Brodie", "given" : "M.J.", "non-dropping-particle" : "", "parse-names" : false, "suffix" : "" }, { "dropping-particle" : "", "family" : "Brodie", "given" : "M.J.", "non-dropping-particle" : "", "parse-names" : false, "suffix" : "" }, { "dropping-particle" : "", "family" : "Chadwick", "given" : "D.W.", "non-dropping-particle" : "", "parse-names" : false, "suffix" : "" }, { "dropping-particle" : "", "family" : "Marson", "given" : "A.G.", "non-dropping-particle" : "", "parse-names" : false, "suffix" : "" }, { "dropping-particle" : "", "family" : "Faught", "given" : "E.", "non-dropping-particle" : "", "parse-names" : false, "suffix" : "" }, { "dropping-particle" : "", "family" : "Kothare", "given" : "S.V.", "non-dropping-particle" : "", "parse-names" : false, "suffix" : "" }, { "dropping-particle" : "", "family" : "Valencia", "given" : "I.", "non-dropping-particle" : "", "parse-names" : false, "suffix" : "" }, { "dropping-particle" : "", "family" : "Khurana", "given" : "D.S.", "non-dropping-particle" : "", "parse-names" : false, "suffix" : "" }, { "dropping-particle" : "", "family" : "Hardison", "given" : "H.", "non-dropping-particle" : "", "parse-names" : false, "suffix" : "" }, { "dropping-particle" : "", "family" : "Melvin", "given" : "J.J.", "non-dropping-particle" : "", "parse-names" : false, "suffix" : "" }, { "dropping-particle" : "", "family" : "Legido", "given" : "A.", "non-dropping-particle" : "", "parse-names" : false, "suffix" : "" }, { "dropping-particle" : "", "family" : "Peters", "given" : "D.H.", "non-dropping-particle" : "", "parse-names" : false, "suffix" : "" }, { "dropping-particle" : "", "family" : "Sorkin", "given" : "E.M.", "non-dropping-particle" : "", "parse-names" : false, "suffix" : "" }, { "dropping-particle" : "", "family" : "Zonisamide", "given" : "", "non-dropping-particle" : "", "parse-names" : false, "suffix" : "" }, { "dropping-particle" : "", "family" : "Rainesalo", "given" : "S.", "non-dropping-particle" : "", "parse-names" : false, "suffix" : "" }, { "dropping-particle" : "", "family" : "Peltola", "given" : "J.", "non-dropping-particle" : "", "parse-names" : false, "suffix" : "" }, { "dropping-particle" : "", "family" : "Auvinen", "given" : "A.", "non-dropping-particle" : "", "parse-names" : false, "suffix" : "" }, { "dropping-particle" : "", "family" : "Keranen", "given" : "T.", "non-dropping-particle" : "", "parse-names" : false, "suffix" : "" }, { "dropping-particle" : "Ben", "family" : "Menachem", "given" : "E.", "non-dropping-particle" : "", "parse-names" : false, "suffix" : "" }, { "dropping-particle" : "", "family" : "Gilland", "given" : "E.", "non-dropping-particle" : "", "parse-names" : false, "suffix" : "" } ], "container-title" : "Seizure", "id" : "ITEM-4", "issue" : "4", "issued" : { "date-parts" : [ [ "2007", "6" ] ] }, "page" : "296-304", "publisher" : "Elsevier", "title" : "Comparative retention rates and long-term tolerability of new antiepileptic drugs.", "type" : "article-journal", "volume" : "16" }, "uris" : [ "http://www.mendeley.com/documents/?uuid=8246fee3-1475-3597-b263-8b389b477b10" ] }, { "id" : "ITEM-5", "itemData" : { "DOI" : "10.1111/j.1600-0404.2008.01062.x", "ISSN" : "1600-0404", "PMID" : "18616622", "abstract" : "OBJECTIVES We evaluated long-term retention rates of newer antiepileptic drugs (AED) in adults with localization-related epilepsy retrospectively. METHODS We estimated retention rates by Kaplan-Meier method in all 222 patients (age &gt; or = 16) with localization-related epilepsy exposed to new AED at the Tampere University Hospital. RESULTS There were 141 patients exposed to lamotrigine, 78 to levetiracetam, 97 to topiramate, 68 to gabapentin, and 69 to tiagabine. Three-year retention rate for lamotrigine was 73.5%, levetiracetam 65.4%, topiramate 64.2%, gabapentin 41.7%, and tiagabine 38.2%. The most common cause for withdrawal of these AED was lack of efficacy. CONCLUSIONS Our study suggests that there are clinically significant differences among gabapentin, lamotrigine, levetiracetam, tiagabine, and topiramate as treatment for focal epilepsy in everyday practice. Gabapentin and tiagabine seem to be less useful than the other three AED. Furthermore, our study supports the value of retention rate studies in assessing outcome of the drugs in clinical practice.", "author" : [ { "dropping-particle" : "", "family" : "Peltola", "given" : "J", "non-dropping-particle" : "", "parse-names" : false, "suffix" : "" }, { "dropping-particle" : "", "family" : "Peltola", "given" : "M", "non-dropping-particle" : "", "parse-names" : false, "suffix" : "" }, { "dropping-particle" : "", "family" : "Auvinen", "given" : "A", "non-dropping-particle" : "", "parse-names" : false, "suffix" : "" }, { "dropping-particle" : "", "family" : "Raitanen", "given" : "J", "non-dropping-particle" : "", "parse-names" : false, "suffix" : "" }, { "dropping-particle" : "", "family" : "Fallah", "given" : "M", "non-dropping-particle" : "", "parse-names" : false, "suffix" : "" }, { "dropping-particle" : "", "family" : "Ker\u00e4nen", "given" : "T", "non-dropping-particle" : "", "parse-names" : false, "suffix" : "" } ], "container-title" : "Acta neurologica Scandinavica", "id" : "ITEM-5", "issue" : "1", "issued" : { "date-parts" : [ [ "2009", "1" ] ] }, "page" : "55-60", "title" : "Retention rates of new antiepileptic drugs in localization-related epilepsy: a single-center study.", "type" : "article-journal", "volume" : "119" }, "uris" : [ "http://www.mendeley.com/documents/?uuid=526ffe18-d62b-30c4-be79-7f92720a3051" ] }, { "id" : "ITEM-6", "itemData" : { "DOI" : "10.1016/j.seizure.2010.11.020", "ISSN" : "1532-2688", "PMID" : "21159526", "abstract" : "PURPOSE To compare the long-term retention rates of the two most commonly prescribed antiepileptic drugs (AEDs), carbamazepine (CBZ) and valproate (VPA) as an initial monotherapy in Chinese patients with partial seizures. METHODS This is a retrospective, observational study in a tertiary epilepsy centre. Overall, 584 patients were followed during a ten-year period. Kaplan-Meier survival analysis was used to estimate the cumulative probability of retention. Cox proportional hazard model was used to analyze the risk factors for retention rate. RESULTS The calculated retention rates estimated by Kaplan-Meier survival analysis showed no difference between CBZ and VPA (p=0.074). During the time period from the first six months to two years, the lack of efficacy (LE) that led to drug discontinuation was 10.7% for CBZ compared to 4.5% for VPA (p=0.004). The adverse effects (AEs) that led to discontinuation was 2.4% for CBZ compared to 6.3% for VPA (p=0.025). Clinical control that led to discontinuation was 15.9% for CBZ compared to 7.5% for VPA (p=0.001). The five-year remission rate was higher in the CBZ group (33.3%) than in the VPA group (23.2%, p=0.006). Yet in the complex partial seizure subgroup, there was no significant difference between the two drugs (p=0.61). CONCLUSION Compared with VPA, patients treated with CBZ were more likely to discontinue treatment for LE, and were less likely to discontinue for AEs; however, the two differences above only occurred in the time period between the first six months to two years of treatment. Long-term treatment with CBZ appeared to be more effective in terms of five-year remission and clinical control than VPA.", "author" : [ { "dropping-particle" : "", "family" : "Hu", "given" : "Yida", "non-dropping-particle" : "", "parse-names" : false, "suffix" : "" }, { "dropping-particle" : "", "family" : "Huang", "given" : "Yuanyuan", "non-dropping-particle" : "", "parse-names" : false, "suffix" : "" }, { "dropping-particle" : "", "family" : "Quan", "given" : "Fengying", "non-dropping-particle" : "", "parse-names" : false, "suffix" : "" }, { "dropping-particle" : "", "family" : "Hu", "given" : "Yuming", "non-dropping-particle" : "", "parse-names" : false, "suffix" : "" }, { "dropping-particle" : "", "family" : "Lu", "given" : "Yang", "non-dropping-particle" : "", "parse-names" : false, "suffix" : "" }, { "dropping-particle" : "", "family" : "Wang", "given" : "Xue-Feng", "non-dropping-particle" : "", "parse-names" : false, "suffix" : "" } ], "container-title" : "Seizure", "id" : "ITEM-6", "issue" : "3", "issued" : { "date-parts" : [ [ "2011", "4" ] ] }, "page" : "208-13", "title" : "Comparison of the retention rates between carbamazepine and valproate as an initial monotherapy in Chinese patients with partial seizures: A ten-year follow-up, observational study.", "type" : "article-journal", "volume" : "20" }, "uris" : [ "http://www.mendeley.com/documents/?uuid=eb16a9ce-7add-3652-ae24-1d5a81d6c335" ] } ], "mendeley" : { "formattedCitation" : "&lt;sup&gt;9,10,13\u201316&lt;/sup&gt;", "plainTextFormattedCitation" : "9,10,13\u201316", "previouslyFormattedCitation" : "&lt;sup&gt;9,10,13\u201316&lt;/sup&gt;" }, "properties" : { "noteIndex" : 0 }, "schema" : "https://github.com/citation-style-language/schema/raw/master/csl-citation.json" }</w:instrText>
      </w:r>
      <w:r w:rsidR="00CB09B7">
        <w:fldChar w:fldCharType="separate"/>
      </w:r>
      <w:r w:rsidR="00037474" w:rsidRPr="00037474">
        <w:rPr>
          <w:noProof/>
          <w:vertAlign w:val="superscript"/>
        </w:rPr>
        <w:t>9,10,13–16</w:t>
      </w:r>
      <w:r w:rsidR="00CB09B7">
        <w:fldChar w:fldCharType="end"/>
      </w:r>
      <w:r w:rsidRPr="001219F9">
        <w:t xml:space="preserve"> The relatively high retention rates observed </w:t>
      </w:r>
      <w:r w:rsidR="00AD6A1A">
        <w:t>with</w:t>
      </w:r>
      <w:r w:rsidRPr="001219F9">
        <w:t xml:space="preserve"> carbamazepine and valproate might be explained in part by the fact that these AEDs were started earlier on average compared to other AEDs, at a time when relatively fewer AED alternatives were available, which may have </w:t>
      </w:r>
      <w:r w:rsidR="007626DC">
        <w:t>restricted</w:t>
      </w:r>
      <w:r w:rsidR="007626DC" w:rsidRPr="001219F9">
        <w:t xml:space="preserve"> </w:t>
      </w:r>
      <w:r w:rsidRPr="001219F9">
        <w:t>clinicians</w:t>
      </w:r>
      <w:r w:rsidR="007626DC">
        <w:t>’ options</w:t>
      </w:r>
      <w:r w:rsidRPr="001219F9">
        <w:t xml:space="preserve"> </w:t>
      </w:r>
      <w:r w:rsidR="007626DC">
        <w:t>for</w:t>
      </w:r>
      <w:r w:rsidR="007626DC" w:rsidRPr="001219F9">
        <w:t xml:space="preserve"> </w:t>
      </w:r>
      <w:r w:rsidRPr="001219F9">
        <w:t>switch</w:t>
      </w:r>
      <w:r w:rsidR="007626DC">
        <w:t>ing</w:t>
      </w:r>
      <w:r w:rsidRPr="001219F9">
        <w:t xml:space="preserve"> AEDs. </w:t>
      </w:r>
      <w:r w:rsidR="00406A0E">
        <w:t>Conversely</w:t>
      </w:r>
      <w:r w:rsidRPr="001219F9">
        <w:t xml:space="preserve">, carbamazepine and valproate were more often the first AED used, resulting in higher response rates and fewer drug interactions and ADRs. Retention rates represent a combined reflection of efficacy and tolerability. Our results indeed suggest that AEDs with the </w:t>
      </w:r>
      <w:r w:rsidRPr="001219F9">
        <w:lastRenderedPageBreak/>
        <w:t xml:space="preserve">highest retention rates (carbamazepine, valproate and </w:t>
      </w:r>
      <w:proofErr w:type="spellStart"/>
      <w:r w:rsidRPr="001219F9">
        <w:t>levetiracetam</w:t>
      </w:r>
      <w:proofErr w:type="spellEnd"/>
      <w:r w:rsidRPr="001219F9">
        <w:t>) tend to have the highest efficacy rates</w:t>
      </w:r>
      <w:r w:rsidR="002175FE">
        <w:t>, while</w:t>
      </w:r>
      <w:r w:rsidRPr="001219F9">
        <w:t xml:space="preserve"> those with the lowest retention rates </w:t>
      </w:r>
      <w:r w:rsidR="00291E89" w:rsidRPr="001219F9">
        <w:t>(</w:t>
      </w:r>
      <w:proofErr w:type="spellStart"/>
      <w:r w:rsidR="00291E89" w:rsidRPr="001219F9">
        <w:t>pregabalin</w:t>
      </w:r>
      <w:proofErr w:type="spellEnd"/>
      <w:r w:rsidR="00291E89" w:rsidRPr="001219F9">
        <w:t xml:space="preserve">, oxcarbazepine, </w:t>
      </w:r>
      <w:proofErr w:type="spellStart"/>
      <w:r w:rsidR="00291E89" w:rsidRPr="001219F9">
        <w:t>topiramate</w:t>
      </w:r>
      <w:proofErr w:type="spellEnd"/>
      <w:r w:rsidR="00291E89" w:rsidRPr="001219F9">
        <w:t xml:space="preserve">) </w:t>
      </w:r>
      <w:r w:rsidRPr="001219F9">
        <w:t xml:space="preserve">have the highest ADR </w:t>
      </w:r>
      <w:r w:rsidR="00AD6A1A" w:rsidRPr="001219F9">
        <w:t>rates.</w:t>
      </w:r>
    </w:p>
    <w:p w14:paraId="5EC759F9" w14:textId="5058F9F4" w:rsidR="004D7318" w:rsidRPr="001219F9" w:rsidRDefault="00E96794" w:rsidP="00986FAD">
      <w:pPr>
        <w:pStyle w:val="BodyText"/>
        <w:spacing w:line="480" w:lineRule="auto"/>
        <w:jc w:val="both"/>
      </w:pPr>
      <w:r w:rsidRPr="001219F9">
        <w:t xml:space="preserve">Twelve-month seizure freedom rates per AED ranged from 1.2 to 11%, </w:t>
      </w:r>
      <w:r w:rsidR="00AD6A1A">
        <w:t xml:space="preserve">providing support to the concept of </w:t>
      </w:r>
      <w:r w:rsidRPr="001219F9">
        <w:t>the refractoriness of MTLE-HS. Previous studies reporting seizure freedom rates in patients with MTLE-HS mostly considered seizure freedom at last follow-up</w:t>
      </w:r>
      <w:r w:rsidR="00406A0E">
        <w:t>, with</w:t>
      </w:r>
      <w:r w:rsidR="00BB3AEA">
        <w:t xml:space="preserve"> widely varying results</w:t>
      </w:r>
      <w:r w:rsidRPr="001219F9">
        <w:t>.</w:t>
      </w:r>
      <w:r w:rsidR="00BB3AEA">
        <w:fldChar w:fldCharType="begin" w:fldLock="1"/>
      </w:r>
      <w:r w:rsidR="00973154">
        <w:instrText>ADDIN CSL_CITATION { "citationItems" : [ { "id" : "ITEM-1", "itemData" : { "ISSN" : "0003-9942", "PMID" : "12056946", "author" : [ { "dropping-particle" : "", "family" : "Semah", "given" : "Franck", "non-dropping-particle" : "", "parse-names" : false, "suffix" : "" }, { "dropping-particle" : "", "family" : "Lamy", "given" : "Catherine", "non-dropping-particle" : "", "parse-names" : false, "suffix" : "" }, { "dropping-particle" : "", "family" : "Demeret", "given" : "Sophie", "non-dropping-particle" : "", "parse-names" : false, "suffix" : "" } ], "container-title" : "Archives of neurology", "id" : "ITEM-1", "issue" : "6", "issued" : { "date-parts" : [ [ "2002", "6" ] ] }, "page" : "1042-3; author reply 1043", "title" : "Hippocampal sclerosis and other hippocampal abnormalities in the early identification of candidates for epilepsy surgery.", "type" : "article-journal", "volume" : "59" }, "uris" : [ "http://www.mendeley.com/documents/?uuid=f7763f61-b320-3341-b5d5-a37fca156c73" ] }, { "id" : "ITEM-2", "itemData" : { "ISSN" : "0013-9580", "PMID" : "11442153", "abstract" : "PURPOSE We investigated the response to antiepileptic drug (AED) therapy in patients with localisation-related epilepsy associated with different underlying causes. METHODS Five hundred and fifty adolescent and adult patients who had partial epilepsy treated with AEDs and who had undergone magnetic resonance imaging of brain were followed up prospectively from 1984 at a single centre. More than 70% were newly diagnosed. None had had epilepsy surgery. RESULTS Three hundred and twelve (57%) patients had been seizure free at their last clinic visit for at least a year. Patients with mesial temporal sclerosis (MTS; n = 73, 42% seizure free) were less likely to be controlled (p &lt; 0.01) than were those with arteriovenous malformation (AVM; n = 14, 78%), cerebral infarction (n = 46, 67%), primary tumour (n = 35, 63%), cortical gliosis (n = 81, 57%), cerebral atrophy (n = 49, 55%), and cortical dysplasia (CD; n = 63, 54%). Among the seizure-free patients, those with MTS were more likely to require more than one AED compared with those with other aetiologies (48 vs. 35%; p &lt; 0.05). There was no difference in outcome between patients with symptomatic and cryptogenic epilepsy (n = 361, 58% vs. n = 189, 56% seizure free, respectively). Patients with MTS, CD, and cryptogenic epilepsy were more likely (p = 0.02) to have a family history of epilepsy than were the other groups. MTS patients also had a higher incidence of febrile convulsions (p &lt; 0.001). CONCLUSIONS The majority of patients with focal-onset epilepsy became seizure free on AED treatment. MTS-related seizures had the worst prognosis. Although many patients with this pathology may benefit from epilepsy surgery, a considerable number will be controlled with AED therapy.", "author" : [ { "dropping-particle" : "", "family" : "Stephen", "given" : "L J", "non-dropping-particle" : "", "parse-names" : false, "suffix" : "" }, { "dropping-particle" : "", "family" : "Kwan", "given" : "P", "non-dropping-particle" : "", "parse-names" : false, "suffix" : "" }, { "dropping-particle" : "", "family" : "Brodie", "given" : "M J", "non-dropping-particle" : "", "parse-names" : false, "suffix" : "" } ], "container-title" : "Epilepsia", "id" : "ITEM-2", "issue" : "3", "issued" : { "date-parts" : [ [ "2001", "3" ] ] }, "page" : "357-62", "title" : "Does the cause of localisation-related epilepsy influence the response to antiepileptic drug treatment?", "type" : "article-journal", "volume" : "42" }, "uris" : [ "http://www.mendeley.com/documents/?uuid=f444b74d-0077-3527-866b-0273b2bbbedb" ] } ], "mendeley" : { "formattedCitation" : "&lt;sup&gt;17,18&lt;/sup&gt;", "plainTextFormattedCitation" : "17,18", "previouslyFormattedCitation" : "&lt;sup&gt;17,18&lt;/sup&gt;" }, "properties" : { "noteIndex" : 0 }, "schema" : "https://github.com/citation-style-language/schema/raw/master/csl-citation.json" }</w:instrText>
      </w:r>
      <w:r w:rsidR="00BB3AEA">
        <w:fldChar w:fldCharType="separate"/>
      </w:r>
      <w:r w:rsidR="00037474" w:rsidRPr="00037474">
        <w:rPr>
          <w:noProof/>
          <w:vertAlign w:val="superscript"/>
        </w:rPr>
        <w:t>17,18</w:t>
      </w:r>
      <w:r w:rsidR="00BB3AEA">
        <w:fldChar w:fldCharType="end"/>
      </w:r>
      <w:r w:rsidRPr="001219F9">
        <w:t xml:space="preserve"> A study </w:t>
      </w:r>
      <w:r w:rsidR="00AD6A1A">
        <w:t>of</w:t>
      </w:r>
      <w:r w:rsidRPr="001219F9">
        <w:t xml:space="preserve"> 253 patients with MTLE-HS recruited from a tertiary referral </w:t>
      </w:r>
      <w:proofErr w:type="spellStart"/>
      <w:r w:rsidRPr="001219F9">
        <w:t>centre</w:t>
      </w:r>
      <w:proofErr w:type="spellEnd"/>
      <w:r w:rsidRPr="001219F9">
        <w:t xml:space="preserve"> reported 9% seizure fr</w:t>
      </w:r>
      <w:r w:rsidR="00BB3AEA">
        <w:t>eedom at one year follow-up</w:t>
      </w:r>
      <w:r w:rsidRPr="001219F9">
        <w:t>.</w:t>
      </w:r>
      <w:r w:rsidR="00BB3AEA">
        <w:fldChar w:fldCharType="begin" w:fldLock="1"/>
      </w:r>
      <w:r w:rsidR="00973154">
        <w:instrText>ADDIN CSL_CITATION { "citationItems" : [ { "id" : "ITEM-1", "itemData" : { "DOI" : "10.1016/j.eplepsyres.2009.03.001", "ISSN" : "1872-6844", "PMID" : "19345070", "abstract" : "PURPOSE Hippocampal sclerosis (HS) is the most common pathology in mesial temporal lobe epilepsy (MTLE). There are a few reports concerning prognosis in patients with MTLE-HS treated medically. The study was carried out to determine the clinical risk factors affecting prognosis. METHODS We enrolled 287 patients with MTLE-HS treated medically. Gender, age at onset of epilepsy, history of trauma, infection, febrile convulsion, status epilepticus, mental retardation, handedness, consanguinity, side of hippocampal sclerosis, additional extrahippocampal temporal lesion, aura, seizures types, antiepileptic drugs, psychiatric disturbances and seizure frequency were noted. All patients were divided into three groups. Group I: patients seizure-free during follow up, Group II: patients with improved seizure control whose seizure frequency had decreased &gt;50% after the treatment, and Group III: patients with poor seizure control whose seizure frequency had no change or increased. Each clinical feature was also compared among three subgroups statistically. RESULTS Early age of seizure onset [Group II-III (p=0.000) and Group I-III (p=0.0004)], age of head trauma [Group II-III (p=0.04)], the presence of mental retardation (p=0.04) and female sex (p=0.03) were risk factors for poor prognosis. However, the other parameters did not affect prognosis. CONCLUSION Recognizing bad prognostic features such as the presence of mental retardation, early age of seizure onset, age of head trauma and female gender may help physicians to identify risk groups with MTLE-HS and drug resistance seizures for epilepsy surgery.", "author" : [ { "dropping-particle" : "", "family" : "Varoglu", "given" : "Asuman Orhan", "non-dropping-particle" : "", "parse-names" : false, "suffix" : "" }, { "dropping-particle" : "", "family" : "Saygi", "given" : "Serap", "non-dropping-particle" : "", "parse-names" : false, "suffix" : "" }, { "dropping-particle" : "", "family" : "Acemoglu", "given" : "Hamit", "non-dropping-particle" : "", "parse-names" : false, "suffix" : "" }, { "dropping-particle" : "", "family" : "Ciger", "given" : "Abdurrahman", "non-dropping-particle" : "", "parse-names" : false, "suffix" : "" }, { "dropping-particle" : "", "family" : "Abou-Khalil", "given" : "B.", "non-dropping-particle" : "", "parse-names" : false, "suffix" : "" }, { "dropping-particle" : "", "family" : "Andermann", "given" : "E.", "non-dropping-particle" : "", "parse-names" : false, "suffix" : "" }, { "dropping-particle" : "", "family" : "Andermann", "given" : "F.", "non-dropping-particle" : "", "parse-names" : false, "suffix" : "" }, { "dropping-particle" : "", "family" : "Olivier", "given" : "A.", "non-dropping-particle" : "", "parse-names" : false, "suffix" : "" }, { "dropping-particle" : "", "family" : "Quesney", "given" : "L.", "non-dropping-particle" : "", "parse-names" : false, "suffix" : "" }, { "dropping-particle" : "", "family" : "Blume", "given" : "W.T.", "non-dropping-particle" : "", "parse-names" : false, "suffix" : "" }, { "dropping-particle" : "", "family" : "Desai", "given" : "H.B.", "non-dropping-particle" : "", "parse-names" : false, "suffix" : "" }, { "dropping-particle" : "", "family" : "Girvin", "given" : "J.P.", "non-dropping-particle" : "", "parse-names" : false, "suffix" : "" }, { "dropping-particle" : "", "family" : "McLahlan", "given" : "R.S.", "non-dropping-particle" : "", "parse-names" : false, "suffix" : "" }, { "dropping-particle" : "", "family" : "Lemieux", "given" : "J.V.", "non-dropping-particle" : "", "parse-names" : false, "suffix" : "" }, { "dropping-particle" : "", "family" : "Engel", "given" : "J.", "non-dropping-particle" : "", "parse-names" : false, "suffix" : "" }, { "dropping-particle" : "Van", "family" : "Ness", "given" : "P.C.", "non-dropping-particle" : "", "parse-names" : false, "suffix" : "" }, { "dropping-particle" : "", "family" : "Rasmussen", "given" : "T.B.", "non-dropping-particle" : "", "parse-names" : false, "suffix" : "" }, { "dropping-particle" : "", "family" : "Ojeman", "given" : "L.M.", "non-dropping-particle" : "", "parse-names" : false, "suffix" : "" }, { "dropping-particle" : "", "family" : "Eva", "given" : "K.", "non-dropping-particle" : "", "parse-names" : false, "suffix" : "" }, { "dropping-particle" : "", "family" : "Robert", "given" : "C.", "non-dropping-particle" : "", "parse-names" : false, "suffix" : "" }, { "dropping-particle" : "", "family" : "John", "given" : "R.G. Doss", "non-dropping-particle" : "", "parse-names" : false, "suffix" : "" }, { "dropping-particle" : "", "family" : "Harris", "given" : "R.Z.", "non-dropping-particle" : "", "parse-names" : false, "suffix" : "" }, { "dropping-particle" : "", "family" : "Benet", "given" : "L.Z.", "non-dropping-particle" : "", "parse-names" : false, "suffix" : "" }, { "dropping-particle" : "", "family" : "Schwartz", "given" : "J.B.", "non-dropping-particle" : "", "parse-names" : false, "suffix" : "" }, { "dropping-particle" : "", "family" : "Jack", "given" : "C.R.", "non-dropping-particle" : "", "parse-names" : false, "suffix" : "" }, { "dropping-particle" : "", "family" : "Trenerry", "given" : "M.R.", "non-dropping-particle" : "", "parse-names" : false, "suffix" : "" }, { "dropping-particle" : "", "family" : "Cascino", "given" : "G.D.", "non-dropping-particle" : "", "parse-names" : false, "suffix" : "" }, { "dropping-particle" : "", "family" : "Sharbrough", "given" : "F.W.", "non-dropping-particle" : "", "parse-names" : false, "suffix" : "" }, { "dropping-particle" : "", "family" : "So", "given" : "E.L.", "non-dropping-particle" : "", "parse-names" : false, "suffix" : "" }, { "dropping-particle" : "", "family" : "O\u2019Brien", "given" : "P.C.", "non-dropping-particle" : "", "parse-names" : false, "suffix" : "" }, { "dropping-particle" : "", "family" : "Janszky", "given" : "J.", "non-dropping-particle" : "", "parse-names" : false, "suffix" : "" }, { "dropping-particle" : "", "family" : "Janszky", "given" : "I.", "non-dropping-particle" : "", "parse-names" : false, "suffix" : "" }, { "dropping-particle" : "", "family" : "Schulz", "given" : "R.", "non-dropping-particle" : "", "parse-names" : false, "suffix" : "" }, { "dropping-particle" : "", "family" : "Hoppe", "given" : "M.", "non-dropping-particle" : "", "parse-names" : false, "suffix" : "" }, { "dropping-particle" : "", "family" : "Behne", "given" : "F.", "non-dropping-particle" : "", "parse-names" : false, "suffix" : "" }, { "dropping-particle" : "", "family" : "Pannek", "given" : "H.W.", "non-dropping-particle" : "", "parse-names" : false, "suffix" : "" }, { "dropping-particle" : "", "family" : "Ebner", "given" : "A.", "non-dropping-particle" : "", "parse-names" : false, "suffix" : "" }, { "dropping-particle" : "", "family" : "Jeong", "given" : "S.W.", "non-dropping-particle" : "", "parse-names" : false, "suffix" : "" }, { "dropping-particle" : "", "family" : "Lee", "given" : "S.K.", "non-dropping-particle" : "", "parse-names" : false, "suffix" : "" }, { "dropping-particle" : "", "family" : "Kim", "given" : "K.K.", "non-dropping-particle" : "", "parse-names" : false, "suffix" : "" }, { "dropping-particle" : "", "family" : "Kim", "given" : "H.", "non-dropping-particle" : "", "parse-names" : false, "suffix" : "" }, { "dropping-particle" : "", "family" : "Kim", "given" : "J.Y.", "non-dropping-particle" : "", "parse-names" : false, "suffix" : "" }, { "dropping-particle" : "", "family" : "Chung", "given" : "C.K.", "non-dropping-particle" : "", "parse-names" : false, "suffix" : "" }, { "dropping-particle" : "", "family" : "Kim", "given" : "W.J.", "non-dropping-particle" : "", "parse-names" : false, "suffix" : "" }, { "dropping-particle" : "", "family" : "Park", "given" : "S.C.", "non-dropping-particle" : "", "parse-names" : false, "suffix" : "" }, { "dropping-particle" : "", "family" : "Lee", "given" : "S.J.", "non-dropping-particle" : "", "parse-names" : false, "suffix" : "" }, { "dropping-particle" : "", "family" : "Lee", "given" : "J.H.", "non-dropping-particle" : "", "parse-names" : false, "suffix" : "" }, { "dropping-particle" : "", "family" : "Kim", "given" : "J.Y.", "non-dropping-particle" : "", "parse-names" : false, "suffix" : "" }, { "dropping-particle" : "", "family" : "Lee", "given" : "B.I.", "non-dropping-particle" : "", "parse-names" : false, "suffix" : "" }, { "dropping-particle" : "", "family" : "Kim", "given" : "D.I.", "non-dropping-particle" : "", "parse-names" : false, "suffix" : "" }, { "dropping-particle" : "", "family" : "Lewis", "given" : "D.V.", "non-dropping-particle" : "", "parse-names" : false, "suffix" : "" }, { "dropping-particle" : "", "family" : "Linda", "given" : "M.S.", "non-dropping-particle" : "", "parse-names" : false, "suffix" : "" }, { "dropping-particle" : "", "family" : "Shelley", "given" : "L.S.", "non-dropping-particle" : "", "parse-names" : false, "suffix" : "" }, { "dropping-particle" : "", "family" : "Beth", "given" : "A.M.", "non-dropping-particle" : "", "parse-names" : false, "suffix" : "" }, { "dropping-particle" : "", "family" : "Ahmad", "given" : "B.", "non-dropping-particle" : "", "parse-names" : false, "suffix" : "" }, { "dropping-particle" : "", "family" : "Lindsay", "given" : "J.", "non-dropping-particle" : "", "parse-names" : false, "suffix" : "" }, { "dropping-particle" : "", "family" : "Qunsted", "given" : "C.", "non-dropping-particle" : "", "parse-names" : false, "suffix" : "" }, { "dropping-particle" : "", "family" : "Richard", "given" : "P.", "non-dropping-particle" : "", "parse-names" : false, "suffix" : "" }, { "dropping-particle" : "", "family" : "Margerison", "given" : "J.H.", "non-dropping-particle" : "", "parse-names" : false, "suffix" : "" }, { "dropping-particle" : "", "family" : "Corsellis", "given" : "J.A.N.", "non-dropping-particle" : "", "parse-names" : false, "suffix" : "" }, { "dropping-particle" : "", "family" : "Mattson", "given" : "R.H.", "non-dropping-particle" : "", "parse-names" : false, "suffix" : "" }, { "dropping-particle" : "", "family" : "Cramer", "given" : "J.A.", "non-dropping-particle" : "", "parse-names" : false, "suffix" : "" }, { "dropping-particle" : "", "family" : "Collins", "given" : "J.F.", "non-dropping-particle" : "", "parse-names" : false, "suffix" : "" }, { "dropping-particle" : "", "family" : "Radhakrishnan", "given" : "K.", "non-dropping-particle" : "", "parse-names" : false, "suffix" : "" }, { "dropping-particle" : "", "family" : "So", "given" : "E.L.", "non-dropping-particle" : "", "parse-names" : false, "suffix" : "" }, { "dropping-particle" : "", "family" : "Silbert", "given" : "P.L.", "non-dropping-particle" : "", "parse-names" : false, "suffix" : "" }, { "dropping-particle" : "", "family" : "Jack", "given" : "C.R.", "non-dropping-particle" : "", "parse-names" : false, "suffix" : "" }, { "dropping-particle" : "", "family" : "Cascino", "given" : "G.D.", "non-dropping-particle" : "", "parse-names" : false, "suffix" : "" }, { "dropping-particle" : "", "family" : "Sharbrough", "given" : "F.W.", "non-dropping-particle" : "", "parse-names" : false, "suffix" : "" }, { "dropping-particle" : "", "family" : "al.", "given" : "et", "non-dropping-particle" : "", "parse-names" : false, "suffix" : "" }, { "dropping-particle" : "", "family" : "Rowan", "given" : "A.J.", "non-dropping-particle" : "", "parse-names" : false, "suffix" : "" }, { "dropping-particle" : "", "family" : "Overweg", "given" : "J.", "non-dropping-particle" : "", "parse-names" : false, "suffix" : "" }, { "dropping-particle" : "", "family" : "Sadikoglu", "given" : "S.", "non-dropping-particle" : "", "parse-names" : false, "suffix" : "" }, { "dropping-particle" : "", "family" : "Binnie", "given" : "C.D.", "non-dropping-particle" : "", "parse-names" : false, "suffix" : "" }, { "dropping-particle" : "", "family" : "Nagelkerke", "given" : "N.J.", "non-dropping-particle" : "", "parse-names" : false, "suffix" : "" }, { "dropping-particle" : "", "family" : "H\u00fcnteler", "given" : "E.", "non-dropping-particle" : "", "parse-names" : false, "suffix" : "" }, { "dropping-particle" : "", "family" : "Sander", "given" : "J.W.A.S.", "non-dropping-particle" : "", "parse-names" : false, "suffix" : "" }, { "dropping-particle" : "", "family" : "Selwa", "given" : "L.M.", "non-dropping-particle" : "", "parse-names" : false, "suffix" : "" }, { "dropping-particle" : "", "family" : "Schmidt", "given" : "S.L.", "non-dropping-particle" : "", "parse-names" : false, "suffix" : "" }, { "dropping-particle" : "", "family" : "Malow", "given" : "B.A.", "non-dropping-particle" : "", "parse-names" : false, "suffix" : "" }, { "dropping-particle" : "", "family" : "Beydoun", "given" : "A.", "non-dropping-particle" : "", "parse-names" : false, "suffix" : "" }, { "dropping-particle" : "", "family" : "Semah", "given" : "F.", "non-dropping-particle" : "", "parse-names" : false, "suffix" : "" }, { "dropping-particle" : "", "family" : "Lamy", "given" : "C.", "non-dropping-particle" : "", "parse-names" : false, "suffix" : "" }, { "dropping-particle" : "", "family" : "Demeret", "given" : "S.", "non-dropping-particle" : "", "parse-names" : false, "suffix" : "" }, { "dropping-particle" : "", "family" : "Stephen", "given" : "L.J.", "non-dropping-particle" : "", "parse-names" : false, "suffix" : "" }, { "dropping-particle" : "", "family" : "Kwan", "given" : "P.", "non-dropping-particle" : "", "parse-names" : false, "suffix" : "" }, { "dropping-particle" : "", "family" : "Brodie", "given" : "M.J.", "non-dropping-particle" : "", "parse-names" : false, "suffix" : "" }, { "dropping-particle" : "", "family" : "Tezer", "given" : "F.I.", "non-dropping-particle" : "", "parse-names" : false, "suffix" : "" }, { "dropping-particle" : "", "family" : "Akalan", "given" : "N.", "non-dropping-particle" : "", "parse-names" : false, "suffix" : "" }, { "dropping-particle" : "", "family" : "Oguz", "given" : "K.K.", "non-dropping-particle" : "", "parse-names" : false, "suffix" : "" }, { "dropping-particle" : "", "family" : "Karabulut", "given" : "E.", "non-dropping-particle" : "", "parse-names" : false, "suffix" : "" }, { "dropping-particle" : "", "family" : "Dericioglu", "given" : "N.", "non-dropping-particle" : "", "parse-names" : false, "suffix" : "" }, { "dropping-particle" : "", "family" : "Ciger", "given" : "A.", "non-dropping-particle" : "", "parse-names" : false, "suffix" : "" }, { "dropping-particle" : "", "family" : "Sayg\u0131", "given" : "S.", "non-dropping-particle" : "", "parse-names" : false, "suffix" : "" }, { "dropping-particle" : "", "family" : "Tobias", "given" : "E.", "non-dropping-particle" : "", "parse-names" : false, "suffix" : "" }, { "dropping-particle" : "", "family" : "Brodie", "given" : "A.F.", "non-dropping-particle" : "", "parse-names" : false, "suffix" : "" }, { "dropping-particle" : "", "family" : "Brodie", "given" : "M.J.", "non-dropping-particle" : "", "parse-names" : false, "suffix" : "" }, { "dropping-particle" : "", "family" : "Wieser", "given" : "H.G.", "non-dropping-particle" : "", "parse-names" : false, "suffix" : "" } ], "container-title" : "Epilepsy research", "id" : "ITEM-1", "issue" : "2-3", "issued" : { "date-parts" : [ [ "2009", "8" ] ] }, "page" : "206-11", "publisher" : "Elsevier", "title" : "Prognosis of patients with mesial temporal lobe epilepsy due to hippocampal sclerosis.", "type" : "article-journal", "volume" : "85" }, "uris" : [ "http://www.mendeley.com/documents/?uuid=2ecac702-983d-32b4-bbc0-524548faedf5" ] } ], "mendeley" : { "formattedCitation" : "&lt;sup&gt;19&lt;/sup&gt;", "plainTextFormattedCitation" : "19", "previouslyFormattedCitation" : "&lt;sup&gt;19&lt;/sup&gt;" }, "properties" : { "noteIndex" : 0 }, "schema" : "https://github.com/citation-style-language/schema/raw/master/csl-citation.json" }</w:instrText>
      </w:r>
      <w:r w:rsidR="00BB3AEA">
        <w:fldChar w:fldCharType="separate"/>
      </w:r>
      <w:r w:rsidR="00037474" w:rsidRPr="00037474">
        <w:rPr>
          <w:noProof/>
          <w:vertAlign w:val="superscript"/>
        </w:rPr>
        <w:t>19</w:t>
      </w:r>
      <w:r w:rsidR="00BB3AEA">
        <w:fldChar w:fldCharType="end"/>
      </w:r>
      <w:r w:rsidRPr="001219F9">
        <w:t xml:space="preserve"> A study on 68 patients with </w:t>
      </w:r>
      <w:r w:rsidR="00AD6A1A">
        <w:t xml:space="preserve">newly diagnosed </w:t>
      </w:r>
      <w:r w:rsidRPr="001219F9">
        <w:t>MTLE-HS reported seizure-free perio</w:t>
      </w:r>
      <w:r w:rsidR="00BB3AEA">
        <w:t>ds of at least a year in 53%</w:t>
      </w:r>
      <w:r w:rsidRPr="001219F9">
        <w:t>.</w:t>
      </w:r>
      <w:r w:rsidR="00BB3AEA">
        <w:fldChar w:fldCharType="begin" w:fldLock="1"/>
      </w:r>
      <w:r w:rsidR="00973154">
        <w:instrText>ADDIN CSL_CITATION { "citationItems" : [ { "id" : "ITEM-1", "itemData" : { "DOI" : "10.1016/j.seizure.2012.09.010", "ISSN" : "1532-2688", "PMID" : "23041032", "abstract" : "PURPOSE To evaluate evolution and elucidate clinical phenotypes related to prognosis of patients with mesial temporal lobe epilepsy related to hippocampal sclerosis (MTLE-HS) treated exclusively with antiepileptic drugs (AED). METHODS Forty-seven out of 68 MTLE-HS patients treated between January 2005 and June 2010 were retrospectively studied for demographic, clinical and outcome data. The population was divided into drug-responder and drug-resistant patients; the latter was divided, according to the duration of the seizure-free periods along their evolution, into patients with at least one seizure-free period longer than one year and those with shorter periods. Variables were compared between drug-responders vs drug-resistants and drug-resistants with long seizure-free periods vs drug-resistants without it. RESULTS There were 7 (15%) drug-responders, 39 (83%) drug-resistants and 1 patient (2%) with an undetermined response. Eighteen (46%) drug-resistant individuals had seizure-free periods longer than one year, with mean duration of 46 months (3.8 years). Since no factor was statistically associated with long seizure-free period within drug-resistants, we can clinically distinguish two phenotypes: women with left HS and late onset of seizures, with poor prognosis, and men with right HS and earlier appearance of seizures, attaining a better outcome. Twenty out of 47 (42.5%) patients followed an intermittent pattern of epilepsy. CONCLUSIONS Non-surgical MTLE-HS drug-resistant patients can achieve long seizure-free periods with AED, but relapses are common. Female gender, left or bilateral lesion and later onset of seizures seem to be bad prognosis factors within MTLE-HS drug-resistant patients.", "author" : [ { "dropping-particle" : "", "family" : "Gomez-Iba\u00f1ez", "given" : "Asier", "non-dropping-particle" : "", "parse-names" : false, "suffix" : "" }, { "dropping-particle" : "", "family" : "Gasca-Salas", "given" : "Carmen", "non-dropping-particle" : "", "parse-names" : false, "suffix" : "" }, { "dropping-particle" : "", "family" : "Urrestarazu", "given" : "Elena", "non-dropping-particle" : "", "parse-names" : false, "suffix" : "" }, { "dropping-particle" : "", "family" : "Viteri", "given" : "Cesar", "non-dropping-particle" : "", "parse-names" : false, "suffix" : "" }, { "dropping-particle" : "", "family" : "Margerison", "given" : "J.H.", "non-dropping-particle" : "", "parse-names" : false, "suffix" : "" }, { "dropping-particle" : "", "family" : "Corsellis", "given" : "J.A.", "non-dropping-particle" : "", "parse-names" : false, "suffix" : "" }, { "dropping-particle" : "", "family" : "Varoglu", "given" : "A.O.", "non-dropping-particle" : "", "parse-names" : false, "suffix" : "" }, { "dropping-particle" : "", "family" : "Saygi", "given" : "S.", "non-dropping-particle" : "", "parse-names" : false, "suffix" : "" }, { "dropping-particle" : "", "family" : "Acemoglu", "given" : "H.", "non-dropping-particle" : "", "parse-names" : false, "suffix" : "" }, { "dropping-particle" : "", "family" : "Ciger", "given" : "A.", "non-dropping-particle" : "", "parse-names" : false, "suffix" : "" }, { "dropping-particle" : "", "family" : "Spencer", "given" : "S.S.", "non-dropping-particle" : "", "parse-names" : false, "suffix" : "" }, { "dropping-particle" : "", "family" : "Berg", "given" : "A.T.", "non-dropping-particle" : "", "parse-names" : false, "suffix" : "" }, { "dropping-particle" : "", "family" : "Cendes", "given" : "F.", "non-dropping-particle" : "", "parse-names" : false, "suffix" : "" }, { "dropping-particle" : "", "family" : "Andermann", "given" : "F.", "non-dropping-particle" : "", "parse-names" : false, "suffix" : "" }, { "dropping-particle" : "", "family" : "Gloor", "given" : "P.", "non-dropping-particle" : "", "parse-names" : false, "suffix" : "" }, { "dropping-particle" : "", "family" : "Lopes-Cendes", "given" : "I.", "non-dropping-particle" : "", "parse-names" : false, "suffix" : "" }, { "dropping-particle" : "", "family" : "Andermann", "given" : "E.", "non-dropping-particle" : "", "parse-names" : false, "suffix" : "" }, { "dropping-particle" : "", "family" : "Melanson", "given" : "D.", "non-dropping-particle" : "", "parse-names" : false, "suffix" : "" }, { "dropping-particle" : "", "family" : "al.", "given" : "et", "non-dropping-particle" : "", "parse-names" : false, "suffix" : "" }, { "dropping-particle" : "", "family" : "Stephen", "given" : "L.J.", "non-dropping-particle" : "", "parse-names" : false, "suffix" : "" }, { "dropping-particle" : "", "family" : "Kwan", "given" : "P.", "non-dropping-particle" : "", "parse-names" : false, "suffix" : "" }, { "dropping-particle" : "", "family" : "Brodie", "given" : "M.J.", "non-dropping-particle" : "", "parse-names" : false, "suffix" : "" }, { "dropping-particle" : "", "family" : "Pittau", "given" : "F.", "non-dropping-particle" : "", "parse-names" : false, "suffix" : "" }, { "dropping-particle" : "", "family" : "Bisulli", "given" : "F.", "non-dropping-particle" : "", "parse-names" : false, "suffix" : "" }, { "dropping-particle" : "", "family" : "Mai", "given" : "R.", "non-dropping-particle" : "", "parse-names" : false, "suffix" : "" }, { "dropping-particle" : "", "family" : "Fares", "given" : "J.E.", "non-dropping-particle" : "", "parse-names" : false, "suffix" : "" }, { "dropping-particle" : "", "family" : "Vignatelli", "given" : "L.", "non-dropping-particle" : "", "parse-names" : false, "suffix" : "" }, { "dropping-particle" : "", "family" : "Labate", "given" : "A.", "non-dropping-particle" : "", "parse-names" : false, "suffix" : "" }, { "dropping-particle" : "", "family" : "al.", "given" : "et", "non-dropping-particle" : "", "parse-names" : false, "suffix" : "" }, { "dropping-particle" : "", "family" : "Meletti", "given" : "S.", "non-dropping-particle" : "", "parse-names" : false, "suffix" : "" }, { "dropping-particle" : "", "family" : "Benuzzi", "given" : "F.", "non-dropping-particle" : "", "parse-names" : false, "suffix" : "" }, { "dropping-particle" : "", "family" : "Rubboli", "given" : "G.", "non-dropping-particle" : "", "parse-names" : false, "suffix" : "" }, { "dropping-particle" : "", "family" : "Cantalupo", "given" : "G.", "non-dropping-particle" : "", "parse-names" : false, "suffix" : "" }, { "dropping-particle" : "", "family" : "Maserati", "given" : "M. Stanzani", "non-dropping-particle" : "", "parse-names" : false, "suffix" : "" }, { "dropping-particle" : "", "family" : "Nichelli", "given" : "P.", "non-dropping-particle" : "", "parse-names" : false, "suffix" : "" }, { "dropping-particle" : "", "family" : "al.", "given" : "et", "non-dropping-particle" : "", "parse-names" : false, "suffix" : "" }, { "dropping-particle" : "", "family" : "Meletti", "given" : "S.", "non-dropping-particle" : "", "parse-names" : false, "suffix" : "" }, { "dropping-particle" : "", "family" : "Benuzzi", "given" : "F.", "non-dropping-particle" : "", "parse-names" : false, "suffix" : "" }, { "dropping-particle" : "", "family" : "Cantalupo", "given" : "G.", "non-dropping-particle" : "", "parse-names" : false, "suffix" : "" }, { "dropping-particle" : "", "family" : "Rubboli", "given" : "G.", "non-dropping-particle" : "", "parse-names" : false, "suffix" : "" }, { "dropping-particle" : "", "family" : "Tassinari", "given" : "C.A.", "non-dropping-particle" : "", "parse-names" : false, "suffix" : "" }, { "dropping-particle" : "", "family" : "Nichelli", "given" : "P.", "non-dropping-particle" : "", "parse-names" : false, "suffix" : "" }, { "dropping-particle" : "", "family" : "Theodore", "given" : "W.H.", "non-dropping-particle" : "", "parse-names" : false, "suffix" : "" }, { "dropping-particle" : "", "family" : "Katz", "given" : "D.", "non-dropping-particle" : "", "parse-names" : false, "suffix" : "" }, { "dropping-particle" : "", "family" : "Kufta", "given" : "C.", "non-dropping-particle" : "", "parse-names" : false, "suffix" : "" }, { "dropping-particle" : "", "family" : "Sato", "given" : "S.", "non-dropping-particle" : "", "parse-names" : false, "suffix" : "" }, { "dropping-particle" : "", "family" : "Patronas", "given" : "N.", "non-dropping-particle" : "", "parse-names" : false, "suffix" : "" }, { "dropping-particle" : "", "family" : "Smothers", "given" : "P.", "non-dropping-particle" : "", "parse-names" : false, "suffix" : "" }, { "dropping-particle" : "", "family" : "al.", "given" : "et", "non-dropping-particle" : "", "parse-names" : false, "suffix" : "" }, { "dropping-particle" : "", "family" : "Dowd", "given" : "C.F.", "non-dropping-particle" : "", "parse-names" : false, "suffix" : "" }, { "dropping-particle" : "", "family" : "Dillon", "given" : "W.P.", "non-dropping-particle" : "", "parse-names" : false, "suffix" : "" }, { "dropping-particle" : "", "family" : "Barbaro", "given" : "N.M.", "non-dropping-particle" : "", "parse-names" : false, "suffix" : "" }, { "dropping-particle" : "", "family" : "Laxer", "given" : "K.D.", "non-dropping-particle" : "", "parse-names" : false, "suffix" : "" }, { "dropping-particle" : "", "family" : "Jackson", "given" : "G.D.", "non-dropping-particle" : "", "parse-names" : false, "suffix" : "" }, { "dropping-particle" : "", "family" : "Berkovic", "given" : "S.F.", "non-dropping-particle" : "", "parse-names" : false, "suffix" : "" }, { "dropping-particle" : "", "family" : "Duncan", "given" : "J.S.", "non-dropping-particle" : "", "parse-names" : false, "suffix" : "" }, { "dropping-particle" : "", "family" : "Connelly", "given" : "A.", "non-dropping-particle" : "", "parse-names" : false, "suffix" : "" }, { "dropping-particle" : "", "family" : "Bilevicius", "given" : "E.", "non-dropping-particle" : "", "parse-names" : false, "suffix" : "" }, { "dropping-particle" : "", "family" : "Yasuda", "given" : "C.L.", "non-dropping-particle" : "", "parse-names" : false, "suffix" : "" }, { "dropping-particle" : "", "family" : "Silva", "given" : "M.S.", "non-dropping-particle" : "", "parse-names" : false, "suffix" : "" }, { "dropping-particle" : "", "family" : "Guerreiro", "given" : "C.A.", "non-dropping-particle" : "", "parse-names" : false, "suffix" : "" }, { "dropping-particle" : "", "family" : "Lopes-Cendes", "given" : "I.", "non-dropping-particle" : "", "parse-names" : false, "suffix" : "" }, { "dropping-particle" : "", "family" : "Cendes", "given" : "F.", "non-dropping-particle" : "", "parse-names" : false, "suffix" : "" }, { "dropping-particle" : "", "family" : "Labate", "given" : "A.", "non-dropping-particle" : "", "parse-names" : false, "suffix" : "" }, { "dropping-particle" : "", "family" : "Ventura", "given" : "P.", "non-dropping-particle" : "", "parse-names" : false, "suffix" : "" }, { "dropping-particle" : "", "family" : "Gambardella", "given" : "A.", "non-dropping-particle" : "", "parse-names" : false, "suffix" : "" }, { "dropping-particle" : "Le", "family" : "Piane", "given" : "E.", "non-dropping-particle" : "", "parse-names" : false, "suffix" : "" }, { "dropping-particle" : "", "family" : "Colosimo", "given" : "E.", "non-dropping-particle" : "", "parse-names" : false, "suffix" : "" }, { "dropping-particle" : "", "family" : "Leggio", "given" : "U.", "non-dropping-particle" : "", "parse-names" : false, "suffix" : "" }, { "dropping-particle" : "", "family" : "al.", "given" : "et", "non-dropping-particle" : "", "parse-names" : false, "suffix" : "" }, { "dropping-particle" : "", "family" : "Wiebe", "given" : "S.", "non-dropping-particle" : "", "parse-names" : false, "suffix" : "" }, { "dropping-particle" : "", "family" : "Blume", "given" : "W.T.", "non-dropping-particle" : "", "parse-names" : false, "suffix" : "" }, { "dropping-particle" : "", "family" : "Girvin", "given" : "J.P.", "non-dropping-particle" : "", "parse-names" : false, "suffix" : "" }, { "dropping-particle" : "", "family" : "Eliasziw", "given" : "M.", "non-dropping-particle" : "", "parse-names" : false, "suffix" : "" }, { "dropping-particle" : "", "family" : "Murphy", "given" : "M.", "non-dropping-particle" : "", "parse-names" : false, "suffix" : "" }, { "dropping-particle" : "", "family" : "Smith", "given" : "P.D.", "non-dropping-particle" : "", "parse-names" : false, "suffix" : "" }, { "dropping-particle" : "", "family" : "Wood", "given" : "M.", "non-dropping-particle" : "", "parse-names" : false, "suffix" : "" }, { "dropping-particle" : "", "family" : "Bowden", "given" : "S.", "non-dropping-particle" : "", "parse-names" : false, "suffix" : "" }, { "dropping-particle" : "", "family" : "O\u2019Brien", "given" : "T.J.", "non-dropping-particle" : "", "parse-names" : false, "suffix" : "" }, { "dropping-particle" : "", "family" : "Bulluss", "given" : "K.J.", "non-dropping-particle" : "", "parse-names" : false, "suffix" : "" }, { "dropping-particle" : "", "family" : "al.", "given" : "et", "non-dropping-particle" : "", "parse-names" : false, "suffix" : "" }, { "dropping-particle" : "", "family" : "Kwan", "given" : "P.", "non-dropping-particle" : "", "parse-names" : false, "suffix" : "" }, { "dropping-particle" : "", "family" : "Arzimanoglou", "given" : "A.", "non-dropping-particle" : "", "parse-names" : false, "suffix" : "" }, { "dropping-particle" : "", "family" : "Berg", "given" : "A.T.", "non-dropping-particle" : "", "parse-names" : false, "suffix" : "" }, { "dropping-particle" : "", "family" : "Brodie", "given" : "M.J.", "non-dropping-particle" : "", "parse-names" : false, "suffix" : "" }, { "dropping-particle" : "", "family" : "Hauser", "given" : "W. Allen", "non-dropping-particle" : "", "parse-names" : false, "suffix" : "" }, { "dropping-particle" : "", "family" : "Mathern", "given" : "G.", "non-dropping-particle" : "", "parse-names" : false, "suffix" : "" }, { "dropping-particle" : "", "family" : "al.", "given" : "et", "non-dropping-particle" : "", "parse-names" : false, "suffix" : "" }, { "dropping-particle" : "", "family" : "Neligan", "given" : "A.", "non-dropping-particle" : "", "parse-names" : false, "suffix" : "" }, { "dropping-particle" : "", "family" : "Bell", "given" : "G.S.", "non-dropping-particle" : "", "parse-names" : false, "suffix" : "" }, { "dropping-particle" : "", "family" : "Sander", "given" : "J.W.", "non-dropping-particle" : "", "parse-names" : false, "suffix" : "" }, { "dropping-particle" : "", "family" : "Shorvon", "given" : "S.D.", "non-dropping-particle" : "", "parse-names" : false, "suffix" : "" }, { "dropping-particle" : "", "family" : "Semah", "given" : "F.", "non-dropping-particle" : "", "parse-names" : false, "suffix" : "" }, { "dropping-particle" : "", "family" : "Lamy", "given" : "C.", "non-dropping-particle" : "", "parse-names" : false, "suffix" : "" }, { "dropping-particle" : "", "family" : "Demeret", "given" : "S.", "non-dropping-particle" : "", "parse-names" : false, "suffix" : "" }, { "dropping-particle" : "", "family" : "Kumlien", "given" : "E.", "non-dropping-particle" : "", "parse-names" : false, "suffix" : "" }, { "dropping-particle" : "", "family" : "Doss", "given" : "R.C.", "non-dropping-particle" : "", "parse-names" : false, "suffix" : "" }, { "dropping-particle" : "", "family" : "Gates", "given" : "J.R.", "non-dropping-particle" : "", "parse-names" : false, "suffix" : "" }, { "dropping-particle" : "", "family" : "Kim", "given" : "W.J.", "non-dropping-particle" : "", "parse-names" : false, "suffix" : "" }, { "dropping-particle" : "", "family" : "Park", "given" : "S.C.", "non-dropping-particle" : "", "parse-names" : false, "suffix" : "" }, { "dropping-particle" : "", "family" : "Lee", "given" : "S.J.", "non-dropping-particle" : "", "parse-names" : false, "suffix" : "" }, { "dropping-particle" : "", "family" : "Lee", "given" : "J.H.", "non-dropping-particle" : "", "parse-names" : false, "suffix" : "" }, { "dropping-particle" : "", "family" : "Kim", "given" : "J.Y.", "non-dropping-particle" : "", "parse-names" : false, "suffix" : "" }, { "dropping-particle" : "", "family" : "Lee", "given" : "B.I.", "non-dropping-particle" : "", "parse-names" : false, "suffix" : "" }, { "dropping-particle" : "", "family" : "al.", "given" : "et", "non-dropping-particle" : "", "parse-names" : false, "suffix" : "" }, { "dropping-particle" : "", "family" : "Berg", "given" : "A.T.", "non-dropping-particle" : "", "parse-names" : false, "suffix" : "" }, { "dropping-particle" : "", "family" : "Vickrey", "given" : "B.G.", "non-dropping-particle" : "", "parse-names" : false, "suffix" : "" }, { "dropping-particle" : "", "family" : "Testa", "given" : "F.M.", "non-dropping-particle" : "", "parse-names" : false, "suffix" : "" }, { "dropping-particle" : "", "family" : "Levy", "given" : "S.R.", "non-dropping-particle" : "", "parse-names" : false, "suffix" : "" }, { "dropping-particle" : "", "family" : "Shinnar", "given" : "S.", "non-dropping-particle" : "", "parse-names" : false, "suffix" : "" }, { "dropping-particle" : "", "family" : "DiMario", "given" : "F.", "non-dropping-particle" : "", "parse-names" : false, "suffix" : "" }, { "dropping-particle" : "", "family" : "al.", "given" : "et", "non-dropping-particle" : "", "parse-names" : false, "suffix" : "" }, { "dropping-particle" : "", "family" : "Lindsay", "given" : "J.", "non-dropping-particle" : "", "parse-names" : false, "suffix" : "" }, { "dropping-particle" : "", "family" : "Ounsted", "given" : "C.", "non-dropping-particle" : "", "parse-names" : false, "suffix" : "" }, { "dropping-particle" : "", "family" : "Richards", "given" : "P.", "non-dropping-particle" : "", "parse-names" : false, "suffix" : "" } ], "container-title" : "Seizure", "id" : "ITEM-1", "issue" : "1", "issued" : { "date-parts" : [ [ "2013", "1" ] ] }, "page" : "20-3", "publisher" : "Elsevier", "title" : "Clinical phenotypes within non-surgical patients with mesial temporal lobe epilepsy caused by hippocampal sclerosis based on response to antiepileptic drugs.", "type" : "article-journal", "volume" : "22" }, "uris" : [ "http://www.mendeley.com/documents/?uuid=ba346a68-91d9-301c-9533-5a05de1b9f8f" ] } ], "mendeley" : { "formattedCitation" : "&lt;sup&gt;7&lt;/sup&gt;", "plainTextFormattedCitation" : "7", "previouslyFormattedCitation" : "&lt;sup&gt;7&lt;/sup&gt;" }, "properties" : { "noteIndex" : 0 }, "schema" : "https://github.com/citation-style-language/schema/raw/master/csl-citation.json" }</w:instrText>
      </w:r>
      <w:r w:rsidR="00BB3AEA">
        <w:fldChar w:fldCharType="separate"/>
      </w:r>
      <w:r w:rsidR="00037474" w:rsidRPr="00037474">
        <w:rPr>
          <w:noProof/>
          <w:vertAlign w:val="superscript"/>
        </w:rPr>
        <w:t>7</w:t>
      </w:r>
      <w:r w:rsidR="00BB3AEA">
        <w:fldChar w:fldCharType="end"/>
      </w:r>
      <w:r w:rsidRPr="001219F9">
        <w:t xml:space="preserve"> In a study of 110 patients with MTLE-HS, 31% remained seizure-</w:t>
      </w:r>
      <w:r w:rsidR="00BB3AEA">
        <w:t>free for at least two years</w:t>
      </w:r>
      <w:r w:rsidRPr="001219F9">
        <w:t>.</w:t>
      </w:r>
      <w:r w:rsidR="00BB3AEA">
        <w:fldChar w:fldCharType="begin" w:fldLock="1"/>
      </w:r>
      <w:r w:rsidR="00973154">
        <w:instrText>ADDIN CSL_CITATION { "citationItems" : [ { "id" : "ITEM-1", "itemData" : { "DOI" : "10.1016/j.seizure.2014.03.003", "ISSN" : "1532-2688", "PMID" : "24680551", "abstract" : "PURPOSE There is a lack of information from South America regarding factors that predict the clinical outcomes of patients treated medically for mesial temporal lobe epilepsy with hippocampal sclerosis (MTLE-HS). This study was conducted to determine which of these factors are the most important. METHODS This study included 110 South American patients with MTLE-HS treated with antiepileptic drugs. The factors considered included age, gender, age of epilepsy onset, interval between the lesion and the first seizure, central nervous system infection, traumatic brain injury, perinatal asphyxia, febrile convulsion, history of status epilepticus, types of seizures, site of hippocampal sclerosis (HS), extrahippocampal pathology, and electroencephalogram (EEG) abnormalities. The patients were divided into two groups based on the response to treatment: Group I, seizure free for at least two years; and Group II, not seizure free. RESULTS On the multivariate analysis, the factors associated with a poor prognosis in terms of seizure frequency and control following treatment included the presence of an early onset of seizure, more than 10 seizures per month before treatment, and EEG abnormalities. CONCLUSION The recognition of risk factors, such as early onset of seizures, more than 10 seizures per month before treatment, and EEG abnormalities, could lead to the identification of risk groups among patients with MTLE-HS and refractory epilepsy, possibly designating these individuals as candidates for early epilepsy surgery.", "author" : [ { "dropping-particle" : "", "family" : "S\u00e0nchez", "given" : "Javier", "non-dropping-particle" : "", "parse-names" : false, "suffix" : "" }, { "dropping-particle" : "", "family" : "Centanaro", "given" : "Mirella", "non-dropping-particle" : "", "parse-names" : false, "suffix" : "" }, { "dropping-particle" : "", "family" : "Sol\u00eds", "given" : "Juanita", "non-dropping-particle" : "", "parse-names" : false, "suffix" : "" }, { "dropping-particle" : "", "family" : "Delgado", "given" : "Fabrizio", "non-dropping-particle" : "", "parse-names" : false, "suffix" : "" }, { "dropping-particle" : "", "family" : "Y\u00e9pez", "given" : "Luis", "non-dropping-particle" : "", "parse-names" : false, "suffix" : "" }, { "dropping-particle" : "", "family" : "Kim", "given" : "W.J.", "non-dropping-particle" : "", "parse-names" : false, "suffix" : "" }, { "dropping-particle" : "", "family" : "Park", "given" : "S.C.", "non-dropping-particle" : "", "parse-names" : false, "suffix" : "" }, { "dropping-particle" : "", "family" : "Lee", "given" : "S.J.", "non-dropping-particle" : "", "parse-names" : false, "suffix" : "" }, { "dropping-particle" : "", "family" : "Lee", "given" : "J.H.", "non-dropping-particle" : "", "parse-names" : false, "suffix" : "" }, { "dropping-particle" : "", "family" : "Kim", "given" : "J.Y.", "non-dropping-particle" : "", "parse-names" : false, "suffix" : "" }, { "dropping-particle" : "", "family" : "Lee", "given" : "B.I.", "non-dropping-particle" : "", "parse-names" : false, "suffix" : "" }, { "dropping-particle" : "", "family" : "Semah", "given" : "F.", "non-dropping-particle" : "", "parse-names" : false, "suffix" : "" }, { "dropping-particle" : "", "family" : "Picot", "given" : "M.C.", "non-dropping-particle" : "", "parse-names" : false, "suffix" : "" }, { "dropping-particle" : "", "family" : "Adam", "given" : "C.", "non-dropping-particle" : "", "parse-names" : false, "suffix" : "" }, { "dropping-particle" : "", "family" : "Broglin", "given" : "D.", "non-dropping-particle" : "", "parse-names" : false, "suffix" : "" }, { "dropping-particle" : "", "family" : "Arzimanoglou", "given" : "A.", "non-dropping-particle" : "", "parse-names" : false, "suffix" : "" }, { "dropping-particle" : "", "family" : "Bazin", "given" : "B.", "non-dropping-particle" : "", "parse-names" : false, "suffix" : "" }, { "dropping-particle" : "", "family" : "al.", "given" : "et", "non-dropping-particle" : "", "parse-names" : false, "suffix" : "" }, { "dropping-particle" : "", "family" : "Stephen", "given" : "L.J.", "non-dropping-particle" : "", "parse-names" : false, "suffix" : "" }, { "dropping-particle" : "", "family" : "Kwan", "given" : "P.", "non-dropping-particle" : "", "parse-names" : false, "suffix" : "" }, { "dropping-particle" : "", "family" : "Brodie", "given" : "M.J.", "non-dropping-particle" : "", "parse-names" : false, "suffix" : "" }, { "dropping-particle" : "Van", "family" : "Paesschen", "given" : "W.", "non-dropping-particle" : "", "parse-names" : false, "suffix" : "" }, { "dropping-particle" : "", "family" : "Duncan", "given" : "J.S.", "non-dropping-particle" : "", "parse-names" : false, "suffix" : "" }, { "dropping-particle" : "", "family" : "Stevens", "given" : "J.M.", "non-dropping-particle" : "", "parse-names" : false, "suffix" : "" }, { "dropping-particle" : "", "family" : "Connelly", "given" : "A.", "non-dropping-particle" : "", "parse-names" : false, "suffix" : "" }, { "dropping-particle" : "", "family" : "Babb", "given" : "T.L.", "non-dropping-particle" : "", "parse-names" : false, "suffix" : "" }, { "dropping-particle" : "", "family" : "WJ:", "given" : "Brown", "non-dropping-particle" : "", "parse-names" : false, "suffix" : "" }, { "dropping-particle" : "", "family" : "Lee", "given" : "D.H.", "non-dropping-particle" : "", "parse-names" : false, "suffix" : "" }, { "dropping-particle" : "", "family" : "Gao", "given" : "F.Q.", "non-dropping-particle" : "", "parse-names" : false, "suffix" : "" }, { "dropping-particle" : "", "family" : "Rogers", "given" : "J.M.", "non-dropping-particle" : "", "parse-names" : false, "suffix" : "" }, { "dropping-particle" : "", "family" : "al.", "given" : "et", "non-dropping-particle" : "", "parse-names" : false, "suffix" : "" }, { "dropping-particle" : "", "family" : "Margerison", "given" : "J.H.", "non-dropping-particle" : "", "parse-names" : false, "suffix" : "" }, { "dropping-particle" : "", "family" : "Corsellis", "given" : "J.A.", "non-dropping-particle" : "", "parse-names" : false, "suffix" : "" }, { "dropping-particle" : "", "family" : "Bernasconi", "given" : "A.", "non-dropping-particle" : "", "parse-names" : false, "suffix" : "" }, { "dropping-particle" : "", "family" : "Cendes", "given" : "F.", "non-dropping-particle" : "", "parse-names" : false, "suffix" : "" }, { "dropping-particle" : "", "family" : "Caramanos", "given" : "Z.", "non-dropping-particle" : "", "parse-names" : false, "suffix" : "" }, { "dropping-particle" : "", "family" : "Andermann", "given" : "F.", "non-dropping-particle" : "", "parse-names" : false, "suffix" : "" }, { "dropping-particle" : "", "family" : "Dubeau", "given" : "F.", "non-dropping-particle" : "", "parse-names" : false, "suffix" : "" }, { "dropping-particle" : "", "family" : "Arnold", "given" : "D.L.", "non-dropping-particle" : "", "parse-names" : false, "suffix" : "" }, { "dropping-particle" : "", "family" : "Langfitt", "given" : "J.", "non-dropping-particle" : "", "parse-names" : false, "suffix" : "" }, { "dropping-particle" : "", "family" : "Wiebe", "given" : "S.", "non-dropping-particle" : "", "parse-names" : false, "suffix" : "" }, { "dropping-particle" : "", "family" : "Engel", "given" : "J.", "non-dropping-particle" : "", "parse-names" : false, "suffix" : "" }, { "dropping-particle" : "", "family" : "McDermott", "given" : "M.P.", "non-dropping-particle" : "", "parse-names" : false, "suffix" : "" }, { "dropping-particle" : "", "family" : "Wiebe", "given" : "S.", "non-dropping-particle" : "", "parse-names" : false, "suffix" : "" }, { "dropping-particle" : "", "family" : "Langfitt", "given" : "J.T.", "non-dropping-particle" : "", "parse-names" : false, "suffix" : "" }, { "dropping-particle" : "", "family" : "Stern", "given" : "J.M.", "non-dropping-particle" : "", "parse-names" : false, "suffix" : "" }, { "dropping-particle" : "", "family" : "Dewar", "given" : "S.", "non-dropping-particle" : "", "parse-names" : false, "suffix" : "" }, { "dropping-particle" : "", "family" : "al.", "given" : "et", "non-dropping-particle" : "", "parse-names" : false, "suffix" : "" }, { "dropping-particle" : "", "family" : "Semah", "given" : "F.", "non-dropping-particle" : "", "parse-names" : false, "suffix" : "" }, { "dropping-particle" : "", "family" : "Lamy", "given" : "C.", "non-dropping-particle" : "", "parse-names" : false, "suffix" : "" }, { "dropping-particle" : "", "family" : "Demeret", "given" : "S.", "non-dropping-particle" : "", "parse-names" : false, "suffix" : "" }, { "dropping-particle" : "", "family" : "Rowan", "given" : "A.J.", "non-dropping-particle" : "", "parse-names" : false, "suffix" : "" }, { "dropping-particle" : "", "family" : "Overweg", "given" : "J.", "non-dropping-particle" : "", "parse-names" : false, "suffix" : "" }, { "dropping-particle" : "", "family" : "Sakikoglu", "given" : "S.", "non-dropping-particle" : "", "parse-names" : false, "suffix" : "" }, { "dropping-particle" : "", "family" : "Binnie", "given" : "C.D.", "non-dropping-particle" : "", "parse-names" : false, "suffix" : "" }, { "dropping-particle" : "", "family" : "Nagerkerke", "given" : "N.J.", "non-dropping-particle" : "", "parse-names" : false, "suffix" : "" }, { "dropping-particle" : "", "family" : "Hunteler", "given" : "E.", "non-dropping-particle" : "", "parse-names" : false, "suffix" : "" }, { "dropping-particle" : "", "family" : "Auer", "given" : "T.", "non-dropping-particle" : "", "parse-names" : false, "suffix" : "" }, { "dropping-particle" : "", "family" : "Barsi", "given" : "P.", "non-dropping-particle" : "", "parse-names" : false, "suffix" : "" }, { "dropping-particle" : "", "family" : "Bone", "given" : "B.", "non-dropping-particle" : "", "parse-names" : false, "suffix" : "" }, { "dropping-particle" : "", "family" : "Angyasoli", "given" : "A.", "non-dropping-particle" : "", "parse-names" : false, "suffix" : "" }, { "dropping-particle" : "", "family" : "Aradi", "given" : "M.", "non-dropping-particle" : "", "parse-names" : false, "suffix" : "" }, { "dropping-particle" : "", "family" : "Szalay", "given" : "C.", "non-dropping-particle" : "", "parse-names" : false, "suffix" : "" }, { "dropping-particle" : "", "family" : "Pittau", "given" : "F.", "non-dropping-particle" : "", "parse-names" : false, "suffix" : "" }, { "dropping-particle" : "", "family" : "Bisulli", "given" : "F.", "non-dropping-particle" : "", "parse-names" : false, "suffix" : "" }, { "dropping-particle" : "", "family" : "Mai", "given" : "R.", "non-dropping-particle" : "", "parse-names" : false, "suffix" : "" }, { "dropping-particle" : "", "family" : "Fares", "given" : "J.", "non-dropping-particle" : "", "parse-names" : false, "suffix" : "" }, { "dropping-particle" : "", "family" : "Vignatelli", "given" : "L.", "non-dropping-particle" : "", "parse-names" : false, "suffix" : "" }, { "dropping-particle" : "", "family" : "Labate", "given" : "A.", "non-dropping-particle" : "", "parse-names" : false, "suffix" : "" }, { "dropping-particle" : "", "family" : "Varoglu", "given" : "A.", "non-dropping-particle" : "", "parse-names" : false, "suffix" : "" }, { "dropping-particle" : "", "family" : "Saygi", "given" : "S.", "non-dropping-particle" : "", "parse-names" : false, "suffix" : "" }, { "dropping-particle" : "", "family" : "Acemoglu", "given" : "H.", "non-dropping-particle" : "", "parse-names" : false, "suffix" : "" }, { "dropping-particle" : "", "family" : "Ciger", "given" : "A.", "non-dropping-particle" : "", "parse-names" : false, "suffix" : "" }, { "dropping-particle" : "", "family" : "Ngugi", "given" : "A.K.", "non-dropping-particle" : "", "parse-names" : false, "suffix" : "" }, { "dropping-particle" : "", "family" : "Botomley", "given" : "C.", "non-dropping-particle" : "", "parse-names" : false, "suffix" : "" }, { "dropping-particle" : "", "family" : "Kleinschmidth", "given" : "I.", "non-dropping-particle" : "", "parse-names" : false, "suffix" : "" }, { "dropping-particle" : "", "family" : "Sander", "given" : "J.W.", "non-dropping-particle" : "", "parse-names" : false, "suffix" : "" }, { "dropping-particle" : "", "family" : "Newton", "given" : "C.R.", "non-dropping-particle" : "", "parse-names" : false, "suffix" : "" }, { "dropping-particle" : "", "family" : "Wiser", "given" : "H.G.", "non-dropping-particle" : "", "parse-names" : false, "suffix" : "" }, { "dropping-particle" : "", "family" : "Williamson", "given" : "P.D.", "non-dropping-particle" : "", "parse-names" : false, "suffix" : "" }, { "dropping-particle" : "", "family" : "French", "given" : "J.A.", "non-dropping-particle" : "", "parse-names" : false, "suffix" : "" }, { "dropping-particle" : "", "family" : "Thadani", "given" : "V.M.", "non-dropping-particle" : "", "parse-names" : false, "suffix" : "" }, { "dropping-particle" : "", "family" : "Kim", "given" : "J.H.", "non-dropping-particle" : "", "parse-names" : false, "suffix" : "" }, { "dropping-particle" : "", "family" : "Novelly", "given" : "R.A.", "non-dropping-particle" : "", "parse-names" : false, "suffix" : "" }, { "dropping-particle" : "", "family" : "Spencer", "given" : "S.S.", "non-dropping-particle" : "", "parse-names" : false, "suffix" : "" }, { "dropping-particle" : "", "family" : "Spencer", "given" : "D.D.", "non-dropping-particle" : "", "parse-names" : false, "suffix" : "" }, { "dropping-particle" : "", "family" : "Mattson", "given" : "R.H.", "non-dropping-particle" : "", "parse-names" : false, "suffix" : "" }, { "dropping-particle" : "", "family" : "Berg", "given" : "A.T.", "non-dropping-particle" : "", "parse-names" : false, "suffix" : "" }, { "dropping-particle" : "", "family" : "Shinnar", "given" : "S.", "non-dropping-particle" : "", "parse-names" : false, "suffix" : "" }, { "dropping-particle" : "", "family" : "Marks", "given" : "D.A.", "non-dropping-particle" : "", "parse-names" : false, "suffix" : "" }, { "dropping-particle" : "", "family" : "Kim", "given" : "J.", "non-dropping-particle" : "", "parse-names" : false, "suffix" : "" }, { "dropping-particle" : "", "family" : "Spencer", "given" : "D.D.", "non-dropping-particle" : "", "parse-names" : false, "suffix" : "" }, { "dropping-particle" : "", "family" : "Spencer", "given" : "S.S.", "non-dropping-particle" : "", "parse-names" : false, "suffix" : "" }, { "dropping-particle" : "", "family" : "Mathern", "given" : "G.W.", "non-dropping-particle" : "", "parse-names" : false, "suffix" : "" }, { "dropping-particle" : "", "family" : "Pretorius", "given" : "J.K.", "non-dropping-particle" : "", "parse-names" : false, "suffix" : "" }, { "dropping-particle" : "", "family" : "Babb", "given" : "T.L.", "non-dropping-particle" : "", "parse-names" : false, "suffix" : "" }, { "dropping-particle" : "", "family" : "Kwan", "given" : "P.", "non-dropping-particle" : "", "parse-names" : false, "suffix" : "" }, { "dropping-particle" : "", "family" : "Arzimanoglou", "given" : "A.", "non-dropping-particle" : "", "parse-names" : false, "suffix" : "" }, { "dropping-particle" : "", "family" : "Berg", "given" : "A.T.", "non-dropping-particle" : "", "parse-names" : false, "suffix" : "" }, { "dropping-particle" : "", "family" : "Brodie", "given" : "M.J.", "non-dropping-particle" : "", "parse-names" : false, "suffix" : "" }, { "dropping-particle" : "", "family" : "Hauser", "given" : "W. Allen", "non-dropping-particle" : "", "parse-names" : false, "suffix" : "" }, { "dropping-particle" : "", "family" : "al.", "given" : "et", "non-dropping-particle" : "", "parse-names" : false, "suffix" : "" }, { "dropping-particle" : "", "family" : "Arroyo", "given" : "S.", "non-dropping-particle" : "", "parse-names" : false, "suffix" : "" }, { "dropping-particle" : "", "family" : "Santamaria", "given" : "J.", "non-dropping-particle" : "", "parse-names" : false, "suffix" : "" }, { "dropping-particle" : "", "family" : "Kwan", "given" : "P.", "non-dropping-particle" : "", "parse-names" : false, "suffix" : "" }, { "dropping-particle" : "", "family" : "Brodie", "given" : "M.", "non-dropping-particle" : "", "parse-names" : false, "suffix" : "" }, { "dropping-particle" : "", "family" : "McDonald", "given" : "B.K.", "non-dropping-particle" : "", "parse-names" : false, "suffix" : "" }, { "dropping-particle" : "", "family" : "Johnson", "given" : "A.L.", "non-dropping-particle" : "", "parse-names" : false, "suffix" : "" }, { "dropping-particle" : "", "family" : "Goodridge", "given" : "D.M.", "non-dropping-particle" : "", "parse-names" : false, "suffix" : "" }, { "dropping-particle" : "", "family" : "Cockerell", "given" : "O.C.", "non-dropping-particle" : "", "parse-names" : false, "suffix" : "" }, { "dropping-particle" : "", "family" : "Sander", "given" : "J.M.", "non-dropping-particle" : "", "parse-names" : false, "suffix" : "" }, { "dropping-particle" : "", "family" : "Shorvon", "given" : "S.D.", "non-dropping-particle" : "", "parse-names" : false, "suffix" : "" }, { "dropping-particle" : "", "family" : "Hitiris", "given" : "N.", "non-dropping-particle" : "", "parse-names" : false, "suffix" : "" }, { "dropping-particle" : "", "family" : "Mojanrah", "given" : "R.", "non-dropping-particle" : "", "parse-names" : false, "suffix" : "" }, { "dropping-particle" : "", "family" : "Norrie", "given" : "J.", "non-dropping-particle" : "", "parse-names" : false, "suffix" : "" }, { "dropping-particle" : "", "family" : "Sills", "given" : "G.J.", "non-dropping-particle" : "", "parse-names" : false, "suffix" : "" }, { "dropping-particle" : "", "family" : "Brodie", "given" : "M.J.", "non-dropping-particle" : "", "parse-names" : false, "suffix" : "" }, { "dropping-particle" : "", "family" : "Sillanpaa", "given" : "M.", "non-dropping-particle" : "", "parse-names" : false, "suffix" : "" }, { "dropping-particle" : "", "family" : "Epilepsy", "given" : "Collaborative Group for the Study of", "non-dropping-particle" : "", "parse-names" : false, "suffix" : "" }, { "dropping-particle" : "", "family" : "Gasparini", "given" : "S.", "non-dropping-particle" : "", "parse-names" : false, "suffix" : "" }, { "dropping-particle" : "", "family" : "Ferlazzo", "given" : "E.", "non-dropping-particle" : "", "parse-names" : false, "suffix" : "" }, { "dropping-particle" : "", "family" : "Beghi", "given" : "E.", "non-dropping-particle" : "", "parse-names" : false, "suffix" : "" }, { "dropping-particle" : "", "family" : "Tripepi", "given" : "G.", "non-dropping-particle" : "", "parse-names" : false, "suffix" : "" }, { "dropping-particle" : "", "family" : "Labate", "given" : "A.", "non-dropping-particle" : "", "parse-names" : false, "suffix" : "" }, { "dropping-particle" : "", "family" : "Mumoli", "given" : "L.", "non-dropping-particle" : "", "parse-names" : false, "suffix" : "" }, { "dropping-particle" : "", "family" : "Leonardi", "given" : "C.G.", "non-dropping-particle" : "", "parse-names" : false, "suffix" : "" }, { "dropping-particle" : "", "family" : "Cianci", "given" : "V.", "non-dropping-particle" : "", "parse-names" : false, "suffix" : "" }, { "dropping-particle" : "", "family" : "Latella", "given" : "M.A.", "non-dropping-particle" : "", "parse-names" : false, "suffix" : "" }, { "dropping-particle" : "", "family" : "Gambardella", "given" : "A.", "non-dropping-particle" : "", "parse-names" : false, "suffix" : "" }, { "dropping-particle" : "", "family" : "Aguglia", "given" : "U.", "non-dropping-particle" : "", "parse-names" : false, "suffix" : "" }, { "dropping-particle" : "", "family" : "Fois", "given" : "A.", "non-dropping-particle" : "", "parse-names" : false, "suffix" : "" }, { "dropping-particle" : "", "family" : "Tomaccini", "given" : "D.", "non-dropping-particle" : "", "parse-names" : false, "suffix" : "" }, { "dropping-particle" : "", "family" : "Balestri", "given" : "P.", "non-dropping-particle" : "", "parse-names" : false, "suffix" : "" }, { "dropping-particle" : "", "family" : "Malandrini", "given" : "F.", "non-dropping-particle" : "", "parse-names" : false, "suffix" : "" }, { "dropping-particle" : "", "family" : "Vacotto", "given" : "M.", "non-dropping-particle" : "", "parse-names" : false, "suffix" : "" }, { "dropping-particle" : "", "family" : "DeFeo", "given" : "F.", "non-dropping-particle" : "", "parse-names" : false, "suffix" : "" }, { "dropping-particle" : "", "family" : "Kumlien", "given" : "E.", "non-dropping-particle" : "", "parse-names" : false, "suffix" : "" }, { "dropping-particle" : "", "family" : "Doss", "given" : "R.C.", "non-dropping-particle" : "", "parse-names" : false, "suffix" : "" }, { "dropping-particle" : "", "family" : "Gates", "given" : "J.R.", "non-dropping-particle" : "", "parse-names" : false, "suffix" : "" }, { "dropping-particle" : "", "family" : "Aguglia", "given" : "H.", "non-dropping-particle" : "", "parse-names" : false, "suffix" : "" }, { "dropping-particle" : "", "family" : "Beghi", "given" : "E.", "non-dropping-particle" : "", "parse-names" : false, "suffix" : "" }, { "dropping-particle" : "", "family" : "Labate", "given" : "A.", "non-dropping-particle" : "", "parse-names" : false, "suffix" : "" }, { "dropping-particle" : "", "family" : "Condino", "given" : "F.", "non-dropping-particle" : "", "parse-names" : false, "suffix" : "" }, { "dropping-particle" : "", "family" : "Cianci", "given" : "V.", "non-dropping-particle" : "", "parse-names" : false, "suffix" : "" }, { "dropping-particle" : "", "family" : "Mumoli", "given" : "L.", "non-dropping-particle" : "", "parse-names" : false, "suffix" : "" }, { "dropping-particle" : "", "family" : "Holmes", "given" : "M.D.", "non-dropping-particle" : "", "parse-names" : false, "suffix" : "" }, { "dropping-particle" : "", "family" : "Born", "given" : "D.E.", "non-dropping-particle" : "", "parse-names" : false, "suffix" : "" }, { "dropping-particle" : "", "family" : "Kutsy", "given" : "R.L.", "non-dropping-particle" : "", "parse-names" : false, "suffix" : "" }, { "dropping-particle" : "", "family" : "Wilensky", "given" : "A.J.", "non-dropping-particle" : "", "parse-names" : false, "suffix" : "" }, { "dropping-particle" : "", "family" : "Ojemann", "given" : "G.A.", "non-dropping-particle" : "", "parse-names" : false, "suffix" : "" }, { "dropping-particle" : "", "family" : "Ojemannn", "given" : "L.M.", "non-dropping-particle" : "", "parse-names" : false, "suffix" : "" }, { "dropping-particle" : "", "family" : "Berg", "given" : "A.T.", "non-dropping-particle" : "", "parse-names" : false, "suffix" : "" }, { "dropping-particle" : "", "family" : "Vickrey", "given" : "B.G.", "non-dropping-particle" : "", "parse-names" : false, "suffix" : "" }, { "dropping-particle" : "", "family" : "Langfitt", "given" : "J.T.", "non-dropping-particle" : "", "parse-names" : false, "suffix" : "" }, { "dropping-particle" : "", "family" : "Sperling", "given" : "M.R.", "non-dropping-particle" : "", "parse-names" : false, "suffix" : "" }, { "dropping-particle" : "", "family" : "Walczak", "given" : "T.S.", "non-dropping-particle" : "", "parse-names" : false, "suffix" : "" }, { "dropping-particle" : "", "family" : "Shinnar", "given" : "S.", "non-dropping-particle" : "", "parse-names" : false, "suffix" : "" }, { "dropping-particle" : "", "family" : "Engel", "given" : "J.", "non-dropping-particle" : "", "parse-names" : false, "suffix" : "" }, { "dropping-particle" : "", "family" : "Wiebe", "given" : "S.", "non-dropping-particle" : "", "parse-names" : false, "suffix" : "" }, { "dropping-particle" : "", "family" : "French", "given" : "J.", "non-dropping-particle" : "", "parse-names" : false, "suffix" : "" }, { "dropping-particle" : "", "family" : "Sperling", "given" : "M.", "non-dropping-particle" : "", "parse-names" : false, "suffix" : "" }, { "dropping-particle" : "", "family" : "Williamson", "given" : "P.", "non-dropping-particle" : "", "parse-names" : false, "suffix" : "" }, { "dropping-particle" : "", "family" : "Spencer", "given" : "D.", "non-dropping-particle" : "", "parse-names" : false, "suffix" : "" }, { "dropping-particle" : "", "family" : "Schomer", "given" : "D.L.", "non-dropping-particle" : "", "parse-names" : false, "suffix" : "" }, { "dropping-particle" : "", "family" : "Lewis", "given" : "R.J.", "non-dropping-particle" : "", "parse-names" : false, "suffix" : "" } ], "container-title" : "Seizure", "id" : "ITEM-1", "issue" : "6", "issued" : { "date-parts" : [ [ "2014", "6" ] ] }, "page" : "448-53", "publisher" : "Elsevier", "title" : "Factors predicting the outcome following medical treatment of mesial temporal epilepsy with hippocampal sclerosis.", "type" : "article-journal", "volume" : "23" }, "uris" : [ "http://www.mendeley.com/documents/?uuid=d0de66fe-e7eb-384f-85ec-21645df4bbe5" ] } ], "mendeley" : { "formattedCitation" : "&lt;sup&gt;20&lt;/sup&gt;", "plainTextFormattedCitation" : "20", "previouslyFormattedCitation" : "&lt;sup&gt;20&lt;/sup&gt;" }, "properties" : { "noteIndex" : 0 }, "schema" : "https://github.com/citation-style-language/schema/raw/master/csl-citation.json" }</w:instrText>
      </w:r>
      <w:r w:rsidR="00BB3AEA">
        <w:fldChar w:fldCharType="separate"/>
      </w:r>
      <w:r w:rsidR="00037474" w:rsidRPr="00037474">
        <w:rPr>
          <w:noProof/>
          <w:vertAlign w:val="superscript"/>
        </w:rPr>
        <w:t>20</w:t>
      </w:r>
      <w:r w:rsidR="00BB3AEA">
        <w:fldChar w:fldCharType="end"/>
      </w:r>
      <w:r w:rsidRPr="001219F9">
        <w:t xml:space="preserve"> A similar though smaller study reported 29% of 41 patients with MTLE-HS as being seizure-free or </w:t>
      </w:r>
      <w:r w:rsidR="001D189D">
        <w:t>hav</w:t>
      </w:r>
      <w:r w:rsidR="001D189D" w:rsidRPr="001219F9">
        <w:t xml:space="preserve">ing </w:t>
      </w:r>
      <w:r w:rsidR="001D189D">
        <w:t xml:space="preserve">only </w:t>
      </w:r>
      <w:r w:rsidR="00D50069">
        <w:t>focal aware</w:t>
      </w:r>
      <w:r w:rsidR="00BB3AEA">
        <w:t xml:space="preserve"> seizures</w:t>
      </w:r>
      <w:r w:rsidRPr="001219F9">
        <w:t>.</w:t>
      </w:r>
      <w:r w:rsidR="00BB3AEA">
        <w:fldChar w:fldCharType="begin" w:fldLock="1"/>
      </w:r>
      <w:r w:rsidR="00973154">
        <w:instrText>ADDIN CSL_CITATION { "citationItems" : [ { "id" : "ITEM-1", "itemData" : { "DOI" : "10.1371/journal.pone.0159464", "ISSN" : "1932-6203", "author" : [ { "dropping-particle" : "", "family" : "Kurita", "given" : "Tsugiko", "non-dropping-particle" : "", "parse-names" : false, "suffix" : "" }, { "dropping-particle" : "", "family" : "Sakurai", "given" : "Kotaro", "non-dropping-particle" : "", "parse-names" : false, "suffix" : "" }, { "dropping-particle" : "", "family" : "Takeda", "given" : "Youji", "non-dropping-particle" : "", "parse-names" : false, "suffix" : "" }, { "dropping-particle" : "", "family" : "Horinouchi", "given" : "Toru", "non-dropping-particle" : "", "parse-names" : false, "suffix" : "" }, { "dropping-particle" : "", "family" : "Kusumi", "given" : "Ichiro", "non-dropping-particle" : "", "parse-names" : false, "suffix" : "" } ], "container-title" : "PLOS ONE", "editor" : [ { "dropping-particle" : "", "family" : "Janigro", "given" : "Damir", "non-dropping-particle" : "", "parse-names" : false, "suffix" : "" } ], "id" : "ITEM-1", "issue" : "7", "issued" : { "date-parts" : [ [ "2016", "7", "14" ] ] }, "page" : "e0159464", "publisher" : "Public Library of Science", "title" : "Very Long-Term Outcome of Non-Surgically Treated Patients with Temporal Lobe Epilepsy with Hippocampal Sclerosis: A Retrospective Study", "type" : "article-journal", "volume" : "11" }, "uris" : [ "http://www.mendeley.com/documents/?uuid=0eafad9f-51f2-36f4-9116-79972ee492fc" ] } ], "mendeley" : { "formattedCitation" : "&lt;sup&gt;21&lt;/sup&gt;", "plainTextFormattedCitation" : "21", "previouslyFormattedCitation" : "&lt;sup&gt;21&lt;/sup&gt;" }, "properties" : { "noteIndex" : 0 }, "schema" : "https://github.com/citation-style-language/schema/raw/master/csl-citation.json" }</w:instrText>
      </w:r>
      <w:r w:rsidR="00BB3AEA">
        <w:fldChar w:fldCharType="separate"/>
      </w:r>
      <w:r w:rsidR="00037474" w:rsidRPr="00037474">
        <w:rPr>
          <w:noProof/>
          <w:vertAlign w:val="superscript"/>
        </w:rPr>
        <w:t>21</w:t>
      </w:r>
      <w:r w:rsidR="00BB3AEA">
        <w:fldChar w:fldCharType="end"/>
      </w:r>
      <w:r w:rsidRPr="001219F9">
        <w:t xml:space="preserve"> These two studies were conducted in non-surgical cases only. In contrast, our cases were mostly patients with longstanding disease recruited mainly from tertiary referral </w:t>
      </w:r>
      <w:proofErr w:type="spellStart"/>
      <w:r w:rsidRPr="001219F9">
        <w:t>centres</w:t>
      </w:r>
      <w:proofErr w:type="spellEnd"/>
      <w:r w:rsidRPr="001219F9">
        <w:t>. It has been suggested that seizures tend to become m</w:t>
      </w:r>
      <w:r w:rsidR="00641066">
        <w:t>ore refractory over time</w:t>
      </w:r>
      <w:r w:rsidRPr="001219F9">
        <w:t>.</w:t>
      </w:r>
      <w:r w:rsidR="000C2E38">
        <w:fldChar w:fldCharType="begin" w:fldLock="1"/>
      </w:r>
      <w:r w:rsidR="00973154">
        <w:instrText>ADDIN CSL_CITATION { "citationItems" : [ { "id" : "ITEM-1", "itemData" : { "DOI" : "10.1016/j.seizure.2003.12.010", "ISSN" : "1059-1311", "PMID" : "15519912", "abstract" : "UNLABELLED Retrospectively we analysed postoperative AED treatment in patients with mesial temporal lobe epilepsy and hippocampal sclerosis (MTLE-HS) who were seizure free following selective amygdalohippocampectomy (AHE). In this subgroup, we compared the patients without AEDs with that in the entire series. RESULTS During the year prior to surgery, in the MTLE-HS group, a mean of 2.3 +/- 0.8 AEDs were taken. The percentage of seizure-free MTLE-HS patients without AEDs increases to 40% from the postoperative year 5 on. In the ILAE Class 1a (seizure- and aura-free since surgery) at postoperative year 5 more than 60% and from postoperative year 7 on more than 90% have discontinued AED intake. CONCLUSION These figures indicate that reduction and discontinuation of AEDs is the same in the subgroup \"seizure-free MTLE-HS patients\" compared to the entire series.", "author" : [ { "dropping-particle" : "", "family" : "Wieser", "given" : "Heinz Gregor", "non-dropping-particle" : "", "parse-names" : false, "suffix" : "" }, { "dropping-particle" : "", "family" : "H\u00e4ne", "given" : "Adrian", "non-dropping-particle" : "", "parse-names" : false, "suffix" : "" }, { "dropping-particle" : "", "family" : "Wieser", "given" : "H.G.", "non-dropping-particle" : "", "parse-names" : false, "suffix" : "" }, { "dropping-particle" : "", "family" : "Ortega", "given" : "M.", "non-dropping-particle" : "", "parse-names" : false, "suffix" : "" }, { "dropping-particle" : "", "family" : "Friedman", "given" : "A.", "non-dropping-particle" : "", "parse-names" : false, "suffix" : "" }, { "dropping-particle" : "", "family" : "Yonekawa", "given" : "Y.", "non-dropping-particle" : "", "parse-names" : false, "suffix" : "" }, { "dropping-particle" : "", "family" : "Wieser", "given" : "H.G.", "non-dropping-particle" : "", "parse-names" : false, "suffix" : "" }, { "dropping-particle" : "", "family" : "H\u00e4ne", "given" : "P.", "non-dropping-particle" : "", "parse-names" : false, "suffix" : "" }, { "dropping-particle" : "", "family" : "Wieser", "given" : "H.G.", "non-dropping-particle" : "", "parse-names" : false, "suffix" : "" }, { "dropping-particle" : "", "family" : "Blume", "given" : "W.T.", "non-dropping-particle" : "", "parse-names" : false, "suffix" : "" }, { "dropping-particle" : "", "family" : "Fish", "given" : "D.", "non-dropping-particle" : "", "parse-names" : false, "suffix" : "" }, { "dropping-particle" : "", "family" : "Goldensohn", "given" : "E.", "non-dropping-particle" : "", "parse-names" : false, "suffix" : "" }, { "dropping-particle" : "", "family" : "Hufnagel", "given" : "A.", "non-dropping-particle" : "", "parse-names" : false, "suffix" : "" }, { "dropping-particle" : "", "family" : "King", "given" : "D.", "non-dropping-particle" : "", "parse-names" : false, "suffix" : "" }, { "dropping-particle" : "", "family" : "al.", "given" : "et", "non-dropping-particle" : "", "parse-names" : false, "suffix" : "" } ], "container-title" : "Seizure", "id" : "ITEM-1", "issue" : "8", "issued" : { "date-parts" : [ [ "2004", "12" ] ] }, "page" : "534-6", "publisher" : "Elsevier", "title" : "Antiepileptic drug treatment in seizure-free mesial temporal lobe epilepsy patients with hippocampal sclerosis following selective amygdalohippocampectomy.", "type" : "article-journal", "volume" : "13" }, "uris" : [ "http://www.mendeley.com/documents/?uuid=43d1ca32-66d0-3f41-b2c5-f5ae7a4f3457" ] }, { "id" : "ITEM-2", "itemData" : { "DOI" : "10.1016/j.clineuro.2014.04.029", "ISSN" : "1872-6968", "PMID" : "25012014", "abstract" : "OBJECTIVE Although partial epilepsy with structural lesions on MRI (lesional epilepsy) is less favorably responsive to antiepileptics than those without structural lesions on MRI, the response to antiepileptics in lesional epilepsy is a heterogeneous condition. There is growing evidence that the extent of epileptic network beyond the visible lesion on MRI may be related with the response to antiepileptics. The aims of this study are to clarify whether (1) the epilepsy network beyond the visible lesion on MRI, or (2) duration of lesional epilepsy on MRI are related with the response to antiepileptics or not. METHODS The inclusion criteria for this study were (1) having structural lesions on MRI, (2) taking antiepileptics for at least 1 year, and (3) age \u226513 years old. The definition for drug-resistance epilepsy was a failure of adequate trials of two tolerated, appropriately chosen and used antiepileptics to achieve sustained seizure freedom. The duration was defined as the interval between the start of antiepileptics and the last follow-up. We defined the lesion-plus group as the structural lesions on MRI that has wider spread of epileptic network beyond the visible lesions on MRI, such as hippocampal sclerosis and malformation of cortical development. Lesion-restriction group was defined as the epileptic network being believed to be limited on the structural lesions. RESULTS We found 234 patients with lesional epilepsy, who met the inclusion criteria. Of these 234 patients, 115 patients were male (49%) and 119 patients were female (51%). The median age was 22 years old (range 13-78 years old) and the median duration was 131 months (range 12-516 months). Forty percent (90/234 patients) were intractable to antiepileptics. Of the structural lesions on MRI, hippocampal sclerosis was most frequent (N=90). Other structural lesions were malformation of cortical development (N=38), cerebromalatic lesions related with trauma (N=34), tumor (N=19), cystic lesion (N=15), cerebral infarction (N=11), vascular malformation (N=10), and other miscellaneous lesion (N=24). Lesion-plus group had significantly higher drug-resistance epilepsy than cystic lesions on MRI (60/128 vs. 2/15, p=0.013 by Fisher's exact test). There was a tendency of having more drug-resistance epilepsy in the lesion-plus group than the lesion-restriction group (56/121 vs. 30/89, p=0.09 by Chi-square test). The median duration in drug-resistance epilepsy was significantly longer than that of medica\u2026", "author" : [ { "dropping-particle" : "", "family" : "Park", "given" : "Kang Min", "non-dropping-particle" : "", "parse-names" : false, "suffix" : "" }, { "dropping-particle" : "", "family" : "Shin", "given" : "Kyong Jin", "non-dropping-particle" : "", "parse-names" : false, "suffix" : "" }, { "dropping-particle" : "", "family" : "Ha", "given" : "Sam Yeol", "non-dropping-particle" : "", "parse-names" : false, "suffix" : "" }, { "dropping-particle" : "", "family" : "Park", "given" : "JinSe", "non-dropping-particle" : "", "parse-names" : false, "suffix" : "" }, { "dropping-particle" : "", "family" : "Kim", "given" : "Si Eun", "non-dropping-particle" : "", "parse-names" : false, "suffix" : "" }, { "dropping-particle" : "", "family" : "Kim", "given" : "Sung Eun", "non-dropping-particle" : "", "parse-names" : false, "suffix" : "" } ], "container-title" : "Clinical neurology and neurosurgery", "id" : "ITEM-2", "issued" : { "date-parts" : [ [ "2014", "8" ] ] }, "page" : "64-8", "title" : "Response to antiepileptic drugs in partial epilepsy with structural lesions on MRI.", "type" : "article-journal", "volume" : "123" }, "uris" : [ "http://www.mendeley.com/documents/?uuid=7a6315c3-797e-3dca-8799-15b422bbf5a6" ] } ], "mendeley" : { "formattedCitation" : "&lt;sup&gt;3,22&lt;/sup&gt;", "plainTextFormattedCitation" : "3,22", "previouslyFormattedCitation" : "&lt;sup&gt;3,22&lt;/sup&gt;" }, "properties" : { "noteIndex" : 0 }, "schema" : "https://github.com/citation-style-language/schema/raw/master/csl-citation.json" }</w:instrText>
      </w:r>
      <w:r w:rsidR="000C2E38">
        <w:fldChar w:fldCharType="separate"/>
      </w:r>
      <w:r w:rsidR="00037474" w:rsidRPr="00037474">
        <w:rPr>
          <w:noProof/>
          <w:vertAlign w:val="superscript"/>
        </w:rPr>
        <w:t>3,22</w:t>
      </w:r>
      <w:r w:rsidR="000C2E38">
        <w:fldChar w:fldCharType="end"/>
      </w:r>
      <w:r w:rsidRPr="001219F9">
        <w:t xml:space="preserve"> </w:t>
      </w:r>
      <w:proofErr w:type="gramStart"/>
      <w:r w:rsidRPr="001219F9">
        <w:t>Our</w:t>
      </w:r>
      <w:proofErr w:type="gramEnd"/>
      <w:r w:rsidRPr="001219F9">
        <w:t xml:space="preserve"> figures may represent an underestimation of true response rates though, </w:t>
      </w:r>
      <w:r w:rsidR="001D189D">
        <w:t>as</w:t>
      </w:r>
      <w:r w:rsidR="001D189D" w:rsidRPr="001219F9">
        <w:t xml:space="preserve"> </w:t>
      </w:r>
      <w:r w:rsidRPr="001219F9">
        <w:t xml:space="preserve">seizure-free periods may have been missed, especially those </w:t>
      </w:r>
      <w:r w:rsidR="001D189D" w:rsidRPr="001219F9">
        <w:t>occurr</w:t>
      </w:r>
      <w:r w:rsidR="001D189D">
        <w:t>ing</w:t>
      </w:r>
      <w:r w:rsidR="001D189D" w:rsidRPr="001219F9">
        <w:t xml:space="preserve"> </w:t>
      </w:r>
      <w:r w:rsidRPr="001219F9">
        <w:t xml:space="preserve">early in the disease course. Seizure freedom rates were highest with carbamazepine, </w:t>
      </w:r>
      <w:proofErr w:type="spellStart"/>
      <w:r w:rsidRPr="001219F9">
        <w:t>levetiracetam</w:t>
      </w:r>
      <w:proofErr w:type="spellEnd"/>
      <w:r w:rsidRPr="001219F9">
        <w:t xml:space="preserve"> and oxcarbazepine, although the differences were not statistically significant. </w:t>
      </w:r>
      <w:r w:rsidR="001D189D">
        <w:t xml:space="preserve">No previous </w:t>
      </w:r>
      <w:r w:rsidRPr="001219F9">
        <w:t xml:space="preserve">studies </w:t>
      </w:r>
      <w:r w:rsidR="001D189D">
        <w:t>reported</w:t>
      </w:r>
      <w:r w:rsidR="001D189D" w:rsidRPr="001219F9">
        <w:t xml:space="preserve"> compar</w:t>
      </w:r>
      <w:r w:rsidR="001D189D">
        <w:t>ative</w:t>
      </w:r>
      <w:r w:rsidR="001D189D" w:rsidRPr="001219F9">
        <w:t xml:space="preserve"> </w:t>
      </w:r>
      <w:r w:rsidRPr="001219F9">
        <w:t xml:space="preserve">response to individual AEDs in patients with MTLE-HS specifically. In one report the majority of 34 seizure-free patients were treated either with carbamazepine monotherapy or a combination of carbamazepine and </w:t>
      </w:r>
      <w:proofErr w:type="spellStart"/>
      <w:r w:rsidRPr="001219F9">
        <w:t>levetiracetam</w:t>
      </w:r>
      <w:proofErr w:type="spellEnd"/>
      <w:r w:rsidRPr="001219F9">
        <w:t xml:space="preserve">, </w:t>
      </w:r>
      <w:r w:rsidRPr="001219F9">
        <w:lastRenderedPageBreak/>
        <w:t xml:space="preserve">which were also the AEDs with the highest efficacy rates </w:t>
      </w:r>
      <w:r w:rsidR="001D189D">
        <w:t>in our study</w:t>
      </w:r>
      <w:r w:rsidRPr="001219F9">
        <w:t>.</w:t>
      </w:r>
      <w:r w:rsidR="000C2E38">
        <w:fldChar w:fldCharType="begin" w:fldLock="1"/>
      </w:r>
      <w:r w:rsidR="00973154">
        <w:instrText>ADDIN CSL_CITATION { "citationItems" : [ { "id" : "ITEM-1", "itemData" : { "DOI" : "10.1016/j.seizure.2014.03.003", "ISSN" : "1532-2688", "PMID" : "24680551", "abstract" : "PURPOSE There is a lack of information from South America regarding factors that predict the clinical outcomes of patients treated medically for mesial temporal lobe epilepsy with hippocampal sclerosis (MTLE-HS). This study was conducted to determine which of these factors are the most important. METHODS This study included 110 South American patients with MTLE-HS treated with antiepileptic drugs. The factors considered included age, gender, age of epilepsy onset, interval between the lesion and the first seizure, central nervous system infection, traumatic brain injury, perinatal asphyxia, febrile convulsion, history of status epilepticus, types of seizures, site of hippocampal sclerosis (HS), extrahippocampal pathology, and electroencephalogram (EEG) abnormalities. The patients were divided into two groups based on the response to treatment: Group I, seizure free for at least two years; and Group II, not seizure free. RESULTS On the multivariate analysis, the factors associated with a poor prognosis in terms of seizure frequency and control following treatment included the presence of an early onset of seizure, more than 10 seizures per month before treatment, and EEG abnormalities. CONCLUSION The recognition of risk factors, such as early onset of seizures, more than 10 seizures per month before treatment, and EEG abnormalities, could lead to the identification of risk groups among patients with MTLE-HS and refractory epilepsy, possibly designating these individuals as candidates for early epilepsy surgery.", "author" : [ { "dropping-particle" : "", "family" : "S\u00e0nchez", "given" : "Javier", "non-dropping-particle" : "", "parse-names" : false, "suffix" : "" }, { "dropping-particle" : "", "family" : "Centanaro", "given" : "Mirella", "non-dropping-particle" : "", "parse-names" : false, "suffix" : "" }, { "dropping-particle" : "", "family" : "Sol\u00eds", "given" : "Juanita", "non-dropping-particle" : "", "parse-names" : false, "suffix" : "" }, { "dropping-particle" : "", "family" : "Delgado", "given" : "Fabrizio", "non-dropping-particle" : "", "parse-names" : false, "suffix" : "" }, { "dropping-particle" : "", "family" : "Y\u00e9pez", "given" : "Luis", "non-dropping-particle" : "", "parse-names" : false, "suffix" : "" }, { "dropping-particle" : "", "family" : "Kim", "given" : "W.J.", "non-dropping-particle" : "", "parse-names" : false, "suffix" : "" }, { "dropping-particle" : "", "family" : "Park", "given" : "S.C.", "non-dropping-particle" : "", "parse-names" : false, "suffix" : "" }, { "dropping-particle" : "", "family" : "Lee", "given" : "S.J.", "non-dropping-particle" : "", "parse-names" : false, "suffix" : "" }, { "dropping-particle" : "", "family" : "Lee", "given" : "J.H.", "non-dropping-particle" : "", "parse-names" : false, "suffix" : "" }, { "dropping-particle" : "", "family" : "Kim", "given" : "J.Y.", "non-dropping-particle" : "", "parse-names" : false, "suffix" : "" }, { "dropping-particle" : "", "family" : "Lee", "given" : "B.I.", "non-dropping-particle" : "", "parse-names" : false, "suffix" : "" }, { "dropping-particle" : "", "family" : "Semah", "given" : "F.", "non-dropping-particle" : "", "parse-names" : false, "suffix" : "" }, { "dropping-particle" : "", "family" : "Picot", "given" : "M.C.", "non-dropping-particle" : "", "parse-names" : false, "suffix" : "" }, { "dropping-particle" : "", "family" : "Adam", "given" : "C.", "non-dropping-particle" : "", "parse-names" : false, "suffix" : "" }, { "dropping-particle" : "", "family" : "Broglin", "given" : "D.", "non-dropping-particle" : "", "parse-names" : false, "suffix" : "" }, { "dropping-particle" : "", "family" : "Arzimanoglou", "given" : "A.", "non-dropping-particle" : "", "parse-names" : false, "suffix" : "" }, { "dropping-particle" : "", "family" : "Bazin", "given" : "B.", "non-dropping-particle" : "", "parse-names" : false, "suffix" : "" }, { "dropping-particle" : "", "family" : "al.", "given" : "et", "non-dropping-particle" : "", "parse-names" : false, "suffix" : "" }, { "dropping-particle" : "", "family" : "Stephen", "given" : "L.J.", "non-dropping-particle" : "", "parse-names" : false, "suffix" : "" }, { "dropping-particle" : "", "family" : "Kwan", "given" : "P.", "non-dropping-particle" : "", "parse-names" : false, "suffix" : "" }, { "dropping-particle" : "", "family" : "Brodie", "given" : "M.J.", "non-dropping-particle" : "", "parse-names" : false, "suffix" : "" }, { "dropping-particle" : "Van", "family" : "Paesschen", "given" : "W.", "non-dropping-particle" : "", "parse-names" : false, "suffix" : "" }, { "dropping-particle" : "", "family" : "Duncan", "given" : "J.S.", "non-dropping-particle" : "", "parse-names" : false, "suffix" : "" }, { "dropping-particle" : "", "family" : "Stevens", "given" : "J.M.", "non-dropping-particle" : "", "parse-names" : false, "suffix" : "" }, { "dropping-particle" : "", "family" : "Connelly", "given" : "A.", "non-dropping-particle" : "", "parse-names" : false, "suffix" : "" }, { "dropping-particle" : "", "family" : "Babb", "given" : "T.L.", "non-dropping-particle" : "", "parse-names" : false, "suffix" : "" }, { "dropping-particle" : "", "family" : "WJ:", "given" : "Brown", "non-dropping-particle" : "", "parse-names" : false, "suffix" : "" }, { "dropping-particle" : "", "family" : "Lee", "given" : "D.H.", "non-dropping-particle" : "", "parse-names" : false, "suffix" : "" }, { "dropping-particle" : "", "family" : "Gao", "given" : "F.Q.", "non-dropping-particle" : "", "parse-names" : false, "suffix" : "" }, { "dropping-particle" : "", "family" : "Rogers", "given" : "J.M.", "non-dropping-particle" : "", "parse-names" : false, "suffix" : "" }, { "dropping-particle" : "", "family" : "al.", "given" : "et", "non-dropping-particle" : "", "parse-names" : false, "suffix" : "" }, { "dropping-particle" : "", "family" : "Margerison", "given" : "J.H.", "non-dropping-particle" : "", "parse-names" : false, "suffix" : "" }, { "dropping-particle" : "", "family" : "Corsellis", "given" : "J.A.", "non-dropping-particle" : "", "parse-names" : false, "suffix" : "" }, { "dropping-particle" : "", "family" : "Bernasconi", "given" : "A.", "non-dropping-particle" : "", "parse-names" : false, "suffix" : "" }, { "dropping-particle" : "", "family" : "Cendes", "given" : "F.", "non-dropping-particle" : "", "parse-names" : false, "suffix" : "" }, { "dropping-particle" : "", "family" : "Caramanos", "given" : "Z.", "non-dropping-particle" : "", "parse-names" : false, "suffix" : "" }, { "dropping-particle" : "", "family" : "Andermann", "given" : "F.", "non-dropping-particle" : "", "parse-names" : false, "suffix" : "" }, { "dropping-particle" : "", "family" : "Dubeau", "given" : "F.", "non-dropping-particle" : "", "parse-names" : false, "suffix" : "" }, { "dropping-particle" : "", "family" : "Arnold", "given" : "D.L.", "non-dropping-particle" : "", "parse-names" : false, "suffix" : "" }, { "dropping-particle" : "", "family" : "Langfitt", "given" : "J.", "non-dropping-particle" : "", "parse-names" : false, "suffix" : "" }, { "dropping-particle" : "", "family" : "Wiebe", "given" : "S.", "non-dropping-particle" : "", "parse-names" : false, "suffix" : "" }, { "dropping-particle" : "", "family" : "Engel", "given" : "J.", "non-dropping-particle" : "", "parse-names" : false, "suffix" : "" }, { "dropping-particle" : "", "family" : "McDermott", "given" : "M.P.", "non-dropping-particle" : "", "parse-names" : false, "suffix" : "" }, { "dropping-particle" : "", "family" : "Wiebe", "given" : "S.", "non-dropping-particle" : "", "parse-names" : false, "suffix" : "" }, { "dropping-particle" : "", "family" : "Langfitt", "given" : "J.T.", "non-dropping-particle" : "", "parse-names" : false, "suffix" : "" }, { "dropping-particle" : "", "family" : "Stern", "given" : "J.M.", "non-dropping-particle" : "", "parse-names" : false, "suffix" : "" }, { "dropping-particle" : "", "family" : "Dewar", "given" : "S.", "non-dropping-particle" : "", "parse-names" : false, "suffix" : "" }, { "dropping-particle" : "", "family" : "al.", "given" : "et", "non-dropping-particle" : "", "parse-names" : false, "suffix" : "" }, { "dropping-particle" : "", "family" : "Semah", "given" : "F.", "non-dropping-particle" : "", "parse-names" : false, "suffix" : "" }, { "dropping-particle" : "", "family" : "Lamy", "given" : "C.", "non-dropping-particle" : "", "parse-names" : false, "suffix" : "" }, { "dropping-particle" : "", "family" : "Demeret", "given" : "S.", "non-dropping-particle" : "", "parse-names" : false, "suffix" : "" }, { "dropping-particle" : "", "family" : "Rowan", "given" : "A.J.", "non-dropping-particle" : "", "parse-names" : false, "suffix" : "" }, { "dropping-particle" : "", "family" : "Overweg", "given" : "J.", "non-dropping-particle" : "", "parse-names" : false, "suffix" : "" }, { "dropping-particle" : "", "family" : "Sakikoglu", "given" : "S.", "non-dropping-particle" : "", "parse-names" : false, "suffix" : "" }, { "dropping-particle" : "", "family" : "Binnie", "given" : "C.D.", "non-dropping-particle" : "", "parse-names" : false, "suffix" : "" }, { "dropping-particle" : "", "family" : "Nagerkerke", "given" : "N.J.", "non-dropping-particle" : "", "parse-names" : false, "suffix" : "" }, { "dropping-particle" : "", "family" : "Hunteler", "given" : "E.", "non-dropping-particle" : "", "parse-names" : false, "suffix" : "" }, { "dropping-particle" : "", "family" : "Auer", "given" : "T.", "non-dropping-particle" : "", "parse-names" : false, "suffix" : "" }, { "dropping-particle" : "", "family" : "Barsi", "given" : "P.", "non-dropping-particle" : "", "parse-names" : false, "suffix" : "" }, { "dropping-particle" : "", "family" : "Bone", "given" : "B.", "non-dropping-particle" : "", "parse-names" : false, "suffix" : "" }, { "dropping-particle" : "", "family" : "Angyasoli", "given" : "A.", "non-dropping-particle" : "", "parse-names" : false, "suffix" : "" }, { "dropping-particle" : "", "family" : "Aradi", "given" : "M.", "non-dropping-particle" : "", "parse-names" : false, "suffix" : "" }, { "dropping-particle" : "", "family" : "Szalay", "given" : "C.", "non-dropping-particle" : "", "parse-names" : false, "suffix" : "" }, { "dropping-particle" : "", "family" : "Pittau", "given" : "F.", "non-dropping-particle" : "", "parse-names" : false, "suffix" : "" }, { "dropping-particle" : "", "family" : "Bisulli", "given" : "F.", "non-dropping-particle" : "", "parse-names" : false, "suffix" : "" }, { "dropping-particle" : "", "family" : "Mai", "given" : "R.", "non-dropping-particle" : "", "parse-names" : false, "suffix" : "" }, { "dropping-particle" : "", "family" : "Fares", "given" : "J.", "non-dropping-particle" : "", "parse-names" : false, "suffix" : "" }, { "dropping-particle" : "", "family" : "Vignatelli", "given" : "L.", "non-dropping-particle" : "", "parse-names" : false, "suffix" : "" }, { "dropping-particle" : "", "family" : "Labate", "given" : "A.", "non-dropping-particle" : "", "parse-names" : false, "suffix" : "" }, { "dropping-particle" : "", "family" : "Varoglu", "given" : "A.", "non-dropping-particle" : "", "parse-names" : false, "suffix" : "" }, { "dropping-particle" : "", "family" : "Saygi", "given" : "S.", "non-dropping-particle" : "", "parse-names" : false, "suffix" : "" }, { "dropping-particle" : "", "family" : "Acemoglu", "given" : "H.", "non-dropping-particle" : "", "parse-names" : false, "suffix" : "" }, { "dropping-particle" : "", "family" : "Ciger", "given" : "A.", "non-dropping-particle" : "", "parse-names" : false, "suffix" : "" }, { "dropping-particle" : "", "family" : "Ngugi", "given" : "A.K.", "non-dropping-particle" : "", "parse-names" : false, "suffix" : "" }, { "dropping-particle" : "", "family" : "Botomley", "given" : "C.", "non-dropping-particle" : "", "parse-names" : false, "suffix" : "" }, { "dropping-particle" : "", "family" : "Kleinschmidth", "given" : "I.", "non-dropping-particle" : "", "parse-names" : false, "suffix" : "" }, { "dropping-particle" : "", "family" : "Sander", "given" : "J.W.", "non-dropping-particle" : "", "parse-names" : false, "suffix" : "" }, { "dropping-particle" : "", "family" : "Newton", "given" : "C.R.", "non-dropping-particle" : "", "parse-names" : false, "suffix" : "" }, { "dropping-particle" : "", "family" : "Wiser", "given" : "H.G.", "non-dropping-particle" : "", "parse-names" : false, "suffix" : "" }, { "dropping-particle" : "", "family" : "Williamson", "given" : "P.D.", "non-dropping-particle" : "", "parse-names" : false, "suffix" : "" }, { "dropping-particle" : "", "family" : "French", "given" : "J.A.", "non-dropping-particle" : "", "parse-names" : false, "suffix" : "" }, { "dropping-particle" : "", "family" : "Thadani", "given" : "V.M.", "non-dropping-particle" : "", "parse-names" : false, "suffix" : "" }, { "dropping-particle" : "", "family" : "Kim", "given" : "J.H.", "non-dropping-particle" : "", "parse-names" : false, "suffix" : "" }, { "dropping-particle" : "", "family" : "Novelly", "given" : "R.A.", "non-dropping-particle" : "", "parse-names" : false, "suffix" : "" }, { "dropping-particle" : "", "family" : "Spencer", "given" : "S.S.", "non-dropping-particle" : "", "parse-names" : false, "suffix" : "" }, { "dropping-particle" : "", "family" : "Spencer", "given" : "D.D.", "non-dropping-particle" : "", "parse-names" : false, "suffix" : "" }, { "dropping-particle" : "", "family" : "Mattson", "given" : "R.H.", "non-dropping-particle" : "", "parse-names" : false, "suffix" : "" }, { "dropping-particle" : "", "family" : "Berg", "given" : "A.T.", "non-dropping-particle" : "", "parse-names" : false, "suffix" : "" }, { "dropping-particle" : "", "family" : "Shinnar", "given" : "S.", "non-dropping-particle" : "", "parse-names" : false, "suffix" : "" }, { "dropping-particle" : "", "family" : "Marks", "given" : "D.A.", "non-dropping-particle" : "", "parse-names" : false, "suffix" : "" }, { "dropping-particle" : "", "family" : "Kim", "given" : "J.", "non-dropping-particle" : "", "parse-names" : false, "suffix" : "" }, { "dropping-particle" : "", "family" : "Spencer", "given" : "D.D.", "non-dropping-particle" : "", "parse-names" : false, "suffix" : "" }, { "dropping-particle" : "", "family" : "Spencer", "given" : "S.S.", "non-dropping-particle" : "", "parse-names" : false, "suffix" : "" }, { "dropping-particle" : "", "family" : "Mathern", "given" : "G.W.", "non-dropping-particle" : "", "parse-names" : false, "suffix" : "" }, { "dropping-particle" : "", "family" : "Pretorius", "given" : "J.K.", "non-dropping-particle" : "", "parse-names" : false, "suffix" : "" }, { "dropping-particle" : "", "family" : "Babb", "given" : "T.L.", "non-dropping-particle" : "", "parse-names" : false, "suffix" : "" }, { "dropping-particle" : "", "family" : "Kwan", "given" : "P.", "non-dropping-particle" : "", "parse-names" : false, "suffix" : "" }, { "dropping-particle" : "", "family" : "Arzimanoglou", "given" : "A.", "non-dropping-particle" : "", "parse-names" : false, "suffix" : "" }, { "dropping-particle" : "", "family" : "Berg", "given" : "A.T.", "non-dropping-particle" : "", "parse-names" : false, "suffix" : "" }, { "dropping-particle" : "", "family" : "Brodie", "given" : "M.J.", "non-dropping-particle" : "", "parse-names" : false, "suffix" : "" }, { "dropping-particle" : "", "family" : "Hauser", "given" : "W. Allen", "non-dropping-particle" : "", "parse-names" : false, "suffix" : "" }, { "dropping-particle" : "", "family" : "al.", "given" : "et", "non-dropping-particle" : "", "parse-names" : false, "suffix" : "" }, { "dropping-particle" : "", "family" : "Arroyo", "given" : "S.", "non-dropping-particle" : "", "parse-names" : false, "suffix" : "" }, { "dropping-particle" : "", "family" : "Santamaria", "given" : "J.", "non-dropping-particle" : "", "parse-names" : false, "suffix" : "" }, { "dropping-particle" : "", "family" : "Kwan", "given" : "P.", "non-dropping-particle" : "", "parse-names" : false, "suffix" : "" }, { "dropping-particle" : "", "family" : "Brodie", "given" : "M.", "non-dropping-particle" : "", "parse-names" : false, "suffix" : "" }, { "dropping-particle" : "", "family" : "McDonald", "given" : "B.K.", "non-dropping-particle" : "", "parse-names" : false, "suffix" : "" }, { "dropping-particle" : "", "family" : "Johnson", "given" : "A.L.", "non-dropping-particle" : "", "parse-names" : false, "suffix" : "" }, { "dropping-particle" : "", "family" : "Goodridge", "given" : "D.M.", "non-dropping-particle" : "", "parse-names" : false, "suffix" : "" }, { "dropping-particle" : "", "family" : "Cockerell", "given" : "O.C.", "non-dropping-particle" : "", "parse-names" : false, "suffix" : "" }, { "dropping-particle" : "", "family" : "Sander", "given" : "J.M.", "non-dropping-particle" : "", "parse-names" : false, "suffix" : "" }, { "dropping-particle" : "", "family" : "Shorvon", "given" : "S.D.", "non-dropping-particle" : "", "parse-names" : false, "suffix" : "" }, { "dropping-particle" : "", "family" : "Hitiris", "given" : "N.", "non-dropping-particle" : "", "parse-names" : false, "suffix" : "" }, { "dropping-particle" : "", "family" : "Mojanrah", "given" : "R.", "non-dropping-particle" : "", "parse-names" : false, "suffix" : "" }, { "dropping-particle" : "", "family" : "Norrie", "given" : "J.", "non-dropping-particle" : "", "parse-names" : false, "suffix" : "" }, { "dropping-particle" : "", "family" : "Sills", "given" : "G.J.", "non-dropping-particle" : "", "parse-names" : false, "suffix" : "" }, { "dropping-particle" : "", "family" : "Brodie", "given" : "M.J.", "non-dropping-particle" : "", "parse-names" : false, "suffix" : "" }, { "dropping-particle" : "", "family" : "Sillanpaa", "given" : "M.", "non-dropping-particle" : "", "parse-names" : false, "suffix" : "" }, { "dropping-particle" : "", "family" : "Epilepsy", "given" : "Collaborative Group for the Study of", "non-dropping-particle" : "", "parse-names" : false, "suffix" : "" }, { "dropping-particle" : "", "family" : "Gasparini", "given" : "S.", "non-dropping-particle" : "", "parse-names" : false, "suffix" : "" }, { "dropping-particle" : "", "family" : "Ferlazzo", "given" : "E.", "non-dropping-particle" : "", "parse-names" : false, "suffix" : "" }, { "dropping-particle" : "", "family" : "Beghi", "given" : "E.", "non-dropping-particle" : "", "parse-names" : false, "suffix" : "" }, { "dropping-particle" : "", "family" : "Tripepi", "given" : "G.", "non-dropping-particle" : "", "parse-names" : false, "suffix" : "" }, { "dropping-particle" : "", "family" : "Labate", "given" : "A.", "non-dropping-particle" : "", "parse-names" : false, "suffix" : "" }, { "dropping-particle" : "", "family" : "Mumoli", "given" : "L.", "non-dropping-particle" : "", "parse-names" : false, "suffix" : "" }, { "dropping-particle" : "", "family" : "Leonardi", "given" : "C.G.", "non-dropping-particle" : "", "parse-names" : false, "suffix" : "" }, { "dropping-particle" : "", "family" : "Cianci", "given" : "V.", "non-dropping-particle" : "", "parse-names" : false, "suffix" : "" }, { "dropping-particle" : "", "family" : "Latella", "given" : "M.A.", "non-dropping-particle" : "", "parse-names" : false, "suffix" : "" }, { "dropping-particle" : "", "family" : "Gambardella", "given" : "A.", "non-dropping-particle" : "", "parse-names" : false, "suffix" : "" }, { "dropping-particle" : "", "family" : "Aguglia", "given" : "U.", "non-dropping-particle" : "", "parse-names" : false, "suffix" : "" }, { "dropping-particle" : "", "family" : "Fois", "given" : "A.", "non-dropping-particle" : "", "parse-names" : false, "suffix" : "" }, { "dropping-particle" : "", "family" : "Tomaccini", "given" : "D.", "non-dropping-particle" : "", "parse-names" : false, "suffix" : "" }, { "dropping-particle" : "", "family" : "Balestri", "given" : "P.", "non-dropping-particle" : "", "parse-names" : false, "suffix" : "" }, { "dropping-particle" : "", "family" : "Malandrini", "given" : "F.", "non-dropping-particle" : "", "parse-names" : false, "suffix" : "" }, { "dropping-particle" : "", "family" : "Vacotto", "given" : "M.", "non-dropping-particle" : "", "parse-names" : false, "suffix" : "" }, { "dropping-particle" : "", "family" : "DeFeo", "given" : "F.", "non-dropping-particle" : "", "parse-names" : false, "suffix" : "" }, { "dropping-particle" : "", "family" : "Kumlien", "given" : "E.", "non-dropping-particle" : "", "parse-names" : false, "suffix" : "" }, { "dropping-particle" : "", "family" : "Doss", "given" : "R.C.", "non-dropping-particle" : "", "parse-names" : false, "suffix" : "" }, { "dropping-particle" : "", "family" : "Gates", "given" : "J.R.", "non-dropping-particle" : "", "parse-names" : false, "suffix" : "" }, { "dropping-particle" : "", "family" : "Aguglia", "given" : "H.", "non-dropping-particle" : "", "parse-names" : false, "suffix" : "" }, { "dropping-particle" : "", "family" : "Beghi", "given" : "E.", "non-dropping-particle" : "", "parse-names" : false, "suffix" : "" }, { "dropping-particle" : "", "family" : "Labate", "given" : "A.", "non-dropping-particle" : "", "parse-names" : false, "suffix" : "" }, { "dropping-particle" : "", "family" : "Condino", "given" : "F.", "non-dropping-particle" : "", "parse-names" : false, "suffix" : "" }, { "dropping-particle" : "", "family" : "Cianci", "given" : "V.", "non-dropping-particle" : "", "parse-names" : false, "suffix" : "" }, { "dropping-particle" : "", "family" : "Mumoli", "given" : "L.", "non-dropping-particle" : "", "parse-names" : false, "suffix" : "" }, { "dropping-particle" : "", "family" : "Holmes", "given" : "M.D.", "non-dropping-particle" : "", "parse-names" : false, "suffix" : "" }, { "dropping-particle" : "", "family" : "Born", "given" : "D.E.", "non-dropping-particle" : "", "parse-names" : false, "suffix" : "" }, { "dropping-particle" : "", "family" : "Kutsy", "given" : "R.L.", "non-dropping-particle" : "", "parse-names" : false, "suffix" : "" }, { "dropping-particle" : "", "family" : "Wilensky", "given" : "A.J.", "non-dropping-particle" : "", "parse-names" : false, "suffix" : "" }, { "dropping-particle" : "", "family" : "Ojemann", "given" : "G.A.", "non-dropping-particle" : "", "parse-names" : false, "suffix" : "" }, { "dropping-particle" : "", "family" : "Ojemannn", "given" : "L.M.", "non-dropping-particle" : "", "parse-names" : false, "suffix" : "" }, { "dropping-particle" : "", "family" : "Berg", "given" : "A.T.", "non-dropping-particle" : "", "parse-names" : false, "suffix" : "" }, { "dropping-particle" : "", "family" : "Vickrey", "given" : "B.G.", "non-dropping-particle" : "", "parse-names" : false, "suffix" : "" }, { "dropping-particle" : "", "family" : "Langfitt", "given" : "J.T.", "non-dropping-particle" : "", "parse-names" : false, "suffix" : "" }, { "dropping-particle" : "", "family" : "Sperling", "given" : "M.R.", "non-dropping-particle" : "", "parse-names" : false, "suffix" : "" }, { "dropping-particle" : "", "family" : "Walczak", "given" : "T.S.", "non-dropping-particle" : "", "parse-names" : false, "suffix" : "" }, { "dropping-particle" : "", "family" : "Shinnar", "given" : "S.", "non-dropping-particle" : "", "parse-names" : false, "suffix" : "" }, { "dropping-particle" : "", "family" : "Engel", "given" : "J.", "non-dropping-particle" : "", "parse-names" : false, "suffix" : "" }, { "dropping-particle" : "", "family" : "Wiebe", "given" : "S.", "non-dropping-particle" : "", "parse-names" : false, "suffix" : "" }, { "dropping-particle" : "", "family" : "French", "given" : "J.", "non-dropping-particle" : "", "parse-names" : false, "suffix" : "" }, { "dropping-particle" : "", "family" : "Sperling", "given" : "M.", "non-dropping-particle" : "", "parse-names" : false, "suffix" : "" }, { "dropping-particle" : "", "family" : "Williamson", "given" : "P.", "non-dropping-particle" : "", "parse-names" : false, "suffix" : "" }, { "dropping-particle" : "", "family" : "Spencer", "given" : "D.", "non-dropping-particle" : "", "parse-names" : false, "suffix" : "" }, { "dropping-particle" : "", "family" : "Schomer", "given" : "D.L.", "non-dropping-particle" : "", "parse-names" : false, "suffix" : "" }, { "dropping-particle" : "", "family" : "Lewis", "given" : "R.J.", "non-dropping-particle" : "", "parse-names" : false, "suffix" : "" } ], "container-title" : "Seizure", "id" : "ITEM-1", "issue" : "6", "issued" : { "date-parts" : [ [ "2014", "6" ] ] }, "page" : "448-53", "publisher" : "Elsevier", "title" : "Factors predicting the outcome following medical treatment of mesial temporal epilepsy with hippocampal sclerosis.", "type" : "article-journal", "volume" : "23" }, "uris" : [ "http://www.mendeley.com/documents/?uuid=d0de66fe-e7eb-384f-85ec-21645df4bbe5" ] } ], "mendeley" : { "formattedCitation" : "&lt;sup&gt;20&lt;/sup&gt;", "plainTextFormattedCitation" : "20", "previouslyFormattedCitation" : "&lt;sup&gt;20&lt;/sup&gt;" }, "properties" : { "noteIndex" : 0 }, "schema" : "https://github.com/citation-style-language/schema/raw/master/csl-citation.json" }</w:instrText>
      </w:r>
      <w:r w:rsidR="000C2E38">
        <w:fldChar w:fldCharType="separate"/>
      </w:r>
      <w:r w:rsidR="00037474" w:rsidRPr="00037474">
        <w:rPr>
          <w:noProof/>
          <w:vertAlign w:val="superscript"/>
        </w:rPr>
        <w:t>20</w:t>
      </w:r>
      <w:r w:rsidR="000C2E38">
        <w:fldChar w:fldCharType="end"/>
      </w:r>
      <w:r w:rsidRPr="001219F9">
        <w:t xml:space="preserve"> In an attempt to differentiate AED response from other causes of seizure freedom, we specifically required seizure freedom to occur before initiation of another treatment and to be attributable to the AED in question, as judged by the clinician or </w:t>
      </w:r>
      <w:r w:rsidR="004557B2">
        <w:t>person undertaking phenotyping</w:t>
      </w:r>
      <w:r w:rsidRPr="001219F9">
        <w:t xml:space="preserve">. We recognize that this method involves a degree of subjective interpretation, </w:t>
      </w:r>
      <w:r w:rsidR="006A43A7">
        <w:t xml:space="preserve">the extent </w:t>
      </w:r>
      <w:r w:rsidRPr="001219F9">
        <w:t xml:space="preserve">of which cannot be measured. Despite these strict criteria, confounding from </w:t>
      </w:r>
      <w:proofErr w:type="spellStart"/>
      <w:r w:rsidRPr="001219F9">
        <w:t>polytherapy</w:t>
      </w:r>
      <w:proofErr w:type="spellEnd"/>
      <w:r w:rsidRPr="001219F9">
        <w:t xml:space="preserve"> cannot be excluded. Also, in our study as in others, differentiation between natural seizure fluctuation and true AED response is difficult. Prolonged periods of seizure freedom are observed in a substantial proportion of patients with epilepsy followed ove</w:t>
      </w:r>
      <w:r w:rsidR="000C2E38">
        <w:t>r long time periods</w:t>
      </w:r>
      <w:r w:rsidRPr="001219F9">
        <w:t>,</w:t>
      </w:r>
      <w:r w:rsidR="000C2E38">
        <w:fldChar w:fldCharType="begin" w:fldLock="1"/>
      </w:r>
      <w:r w:rsidR="00973154">
        <w:instrText>ADDIN CSL_CITATION { "citationItems" : [ { "id" : "ITEM-1", "itemData" : { "DOI" : "10.1093/brain/awh726", "ISSN" : "1460-2156", "PMID" : "16401617", "abstract" : "It is not well known how often drug resistance, a major clinical problem, occurs early or late in the course of epilepsy and how often epilepsy follows a continuous, remitting or relapsing-remitting pattern. To provide evidence if, in fact, different patterns of evolution of drug resistance and remission exist, a prospective, long-term population-based study of 144 patients followed on the average for 37.0 years (SD 7.1, median 40.0, range 11-42) since their first seizure before the age of 16 years was performed. At the end of follow-up, 67% of 144 patients were in terminal remission, on or off antiepileptic drugs. Early remission, starting within the first year of treatment, was seen in 45 patients (31%). In 23 (16%) of them, first remission continued, uninterrupted by relapse, to terminal remission. Late remission with a mean delay of 9 years was achieved by a further 72 patients (50%), including 46 (32%) patients who achieved terminal remission without any relapse and suggested, together with 23 patients, a remitting course. Following a relapse after early or late remission, 28 (19%) patients achieved terminal remission, suggesting a remitting-relapsing pattern. Altogether 20 patients (14%) did not re-enter remission, indicating a worsening course of epilepsy. Twenty-seven (19%) patients were drug-resistant from the start to the end of follow-up. In conclusion, half the patients with childhood-onset epilepsy will eventually enter terminal remission without relapse and a fifth after relapse. One-third will have a poor long-term outcome in terms of persistent seizures after remission or without any remission ever.", "author" : [ { "dropping-particle" : "", "family" : "Sillanp\u00e4\u00e4", "given" : "Matti", "non-dropping-particle" : "", "parse-names" : false, "suffix" : "" }, { "dropping-particle" : "", "family" : "Schmidt", "given" : "Dieter", "non-dropping-particle" : "", "parse-names" : false, "suffix" : "" } ], "container-title" : "Brain : a journal of neurology", "id" : "ITEM-1", "issue" : "Pt 3", "issued" : { "date-parts" : [ [ "2006", "3", "6" ] ] }, "page" : "617-24", "title" : "Natural history of treated childhood-onset epilepsy: prospective, long-term population-based study.", "type" : "article-journal", "volume" : "129" }, "uris" : [ "http://www.mendeley.com/documents/?uuid=0f3e44e0-bf94-300f-b6e0-d21944231809" ] }, { "id" : "ITEM-2", "itemData" : { "DOI" : "10.1093/brain/awt223", "ISSN" : "1460-2156", "PMID" : "24067241", "abstract" : "Longitudinal cohort studies of prognosis in epilepsy have been carried out since the late 1970s and these have transformed our understanding of prognosis in epilepsy. This paper reviews the contribution of such studies and focuses particularly on the National General Practice Study of Epilepsy, a prospective population-based cohort study of 1195 patients that was initiated in 1983. The National General Practice Study of Epilepsy and other studies have shown that: (i) epilepsy has an often good prognosis with 65-85% of cases eventually entering long-term remission, and an even higher proportion of cases entering a short-term remission; (ii) the likelihood of long-term remission of seizures is much better in newly diagnosed cases than in patients with chronic epilepsy; (iii) the early response to treatment is a good guide to longer term prognosis (although not inevitably so, as in a minority of cases seizure remission can develop after prolonged activity); (iv) the longer is the remission (and follow-up), the less likely is subsequent recurrence; (v) the longer an epilepsy is active, the poorer is the longer term outlook; (vi) that delaying treatment, even for many years, does not worsen long-term prognosis; (vii) the 'continuous' and 'burst' patterns are more common than the 'intermittent' seizure pattern; (viii) epilepsy has a mortality that is highest in the early years after diagnosis, and in the early years is largely due to the underlying cause, however, higher mortality rates than expected are observed throughout the course of an epilepsy; (ix) the prognosis of febrile seizures is generally good, with ~6-7% developing later epilepsy; and (x) clinical factors associated with outcome have been well studied, and those consistently found to predict a worse outcome include: the presence of neurodeficit, high frequency of seizures before therapy (seizure density), poor response to initial therapy, some epilepsy syndromes.", "author" : [ { "dropping-particle" : "", "family" : "Shorvon", "given" : "Simon D.", "non-dropping-particle" : "", "parse-names" : false, "suffix" : "" }, { "dropping-particle" : "", "family" : "Goodridge", "given" : "David M. G.", "non-dropping-particle" : "", "parse-names" : false, "suffix" : "" } ], "container-title" : "Brain : a journal of neurology", "id" : "ITEM-2", "issue" : "Pt 11", "issued" : { "date-parts" : [ [ "2013", "11", "1" ] ] }, "page" : "3497-510", "title" : "Longitudinal cohort studies of the prognosis of epilepsy: contribution of the National General Practice Study of Epilepsy and other studies.", "type" : "article-journal", "volume" : "136" }, "uris" : [ "http://www.mendeley.com/documents/?uuid=01a02dbd-ad77-3fef-8cf9-507f1f74def7" ] }, { "id" : "ITEM-3", "itemData" : { "DOI" : "10.1684/epd.2015.0751", "ISSN" : "1950-6945", "PMID" : "26234761", "abstract" : "Epilepsy is a brain condition characterized by the recurrence of unprovoked seizures. Generally, prognosis refers to the probability of attaining seizure freedom on treatment and little is known about the natural history of the untreated condition. Here, we summarize aspects of the prognosis and prognostic predictors of treated and untreated epilepsy and of its different syndromes. Usually, epilepsy is a fairly benign condition. Most epilepsies have a good prognosis for full seizure control and eventual discontinuation of AEDs, but epilepsy syndromes have differing outcomes and responses to treatment. Prognostic factors include aetiology, EEG abnormalities, type of seizures and the number of seizures experienced before treatment onset, and poor early effects of drugs. Early response to treatment is an important positive predictor of long-term prognosis, while the history of a high number of seizures at the time of diagnosis, intellectual disability, and symptomatic aetiology are negative predictors. Different prognostic patterns can be identified, suggesting that the epileptogenic process is not static. Epilepsy carries a greater than expected risk of premature death. Aetiology is the single most important risk factor for premature death.", "author" : [ { "dropping-particle" : "", "family" : "Beghi", "given" : "Ettore", "non-dropping-particle" : "", "parse-names" : false, "suffix" : "" }, { "dropping-particle" : "", "family" : "Giussani", "given" : "Giorgia", "non-dropping-particle" : "", "parse-names" : false, "suffix" : "" }, { "dropping-particle" : "", "family" : "Sander", "given" : "Josemir W.", "non-dropping-particle" : "", "parse-names" : false, "suffix" : "" } ], "container-title" : "Epileptic disorders : international epilepsy journal with videotape", "id" : "ITEM-3", "issue" : "3", "issued" : { "date-parts" : [ [ "2015", "9" ] ] }, "page" : "243-53", "publisher" : "John Libbey Eurotext", "title" : "The natural history and prognosis of epilepsy.", "type" : "article-journal", "volume" : "17" }, "uris" : [ "http://www.mendeley.com/documents/?uuid=fa4b042b-b1ea-32fb-b38b-1e81b1205bb1" ] } ], "mendeley" : { "formattedCitation" : "&lt;sup&gt;23\u201325&lt;/sup&gt;", "plainTextFormattedCitation" : "23\u201325", "previouslyFormattedCitation" : "&lt;sup&gt;23\u201325&lt;/sup&gt;" }, "properties" : { "noteIndex" : 0 }, "schema" : "https://github.com/citation-style-language/schema/raw/master/csl-citation.json" }</w:instrText>
      </w:r>
      <w:r w:rsidR="000C2E38">
        <w:fldChar w:fldCharType="separate"/>
      </w:r>
      <w:r w:rsidR="00037474" w:rsidRPr="00037474">
        <w:rPr>
          <w:noProof/>
          <w:vertAlign w:val="superscript"/>
        </w:rPr>
        <w:t>23–25</w:t>
      </w:r>
      <w:r w:rsidR="000C2E38">
        <w:fldChar w:fldCharType="end"/>
      </w:r>
      <w:r w:rsidRPr="001219F9">
        <w:t xml:space="preserve"> even in those with c</w:t>
      </w:r>
      <w:r w:rsidR="000C2E38">
        <w:t>hronic, refractory epilepsy</w:t>
      </w:r>
      <w:r w:rsidRPr="001219F9">
        <w:t>.</w:t>
      </w:r>
      <w:r w:rsidR="000C2E38">
        <w:fldChar w:fldCharType="begin" w:fldLock="1"/>
      </w:r>
      <w:r w:rsidR="00973154">
        <w:instrText>ADDIN CSL_CITATION { "citationItems" : [ { "id" : "ITEM-1", "itemData" : { "DOI" : "10.1136/jnnp-2011-302085", "ISSN" : "1468-330X", "PMID" : "22733083", "abstract" : "BACKGROUND The seizure response to the addition of a previously unused antiepileptic drug in a cohort of 155 people with refractory epilepsy was previously reported after a median of 18 months follow-up. METHODS The authors followed 139 (90%) of the original cohort for a median follow-up of 6.9 years to determine the longer term outcome in people with refractory epilepsy. RESULTS During the 6.9 year follow-up period, a total of 448 medication changes were made. Eight per cent of these resulted in 12 months or more of seizure freedom and a further 17% of changes resulted in at least 50% improvement in seizure frequency. At the last follow-up, 26 (19%) of individuals had been seizure-free for 12 months or more, and 41 (29%) had 50%-99% improvement in seizure frequency. Terminal seizure freedom was correlated with having no seizures at the time of the previous report (p=0.03), a lower number of previous antiepileptic drugs taken (p=0.052) and a lower number of concomitant antiepileptic drugs (p=0.03). In those who entered remission the probability of remaining seizure-free 5 years later was 0.48 (95% CI 0.32 to 0.63). DISCUSSION This suggests that about half of people with apparent drug-resistant epilepsy can have significant improvements in seizure control with further drug changes. Some will subsequently relapse, but long periods of seizure freedom or significantly improved seizure control in the absence of complete seizure control can occur. Such valuable improvements suggest that the recently proposed International League against Epilepsy definition of refractory epilepsy may be too restrictive.", "author" : [ { "dropping-particle" : "", "family" : "Neligan", "given" : "Aidan", "non-dropping-particle" : "", "parse-names" : false, "suffix" : "" }, { "dropping-particle" : "", "family" : "Bell", "given" : "Gail S", "non-dropping-particle" : "", "parse-names" : false, "suffix" : "" }, { "dropping-particle" : "", "family" : "Elsayed", "given" : "Muaz", "non-dropping-particle" : "", "parse-names" : false, "suffix" : "" }, { "dropping-particle" : "", "family" : "Sander", "given" : "Josemir W", "non-dropping-particle" : "", "parse-names" : false, "suffix" : "" }, { "dropping-particle" : "", "family" : "Shorvon", "given" : "Simon D", "non-dropping-particle" : "", "parse-names" : false, "suffix" : "" } ], "container-title" : "Journal of neurology, neurosurgery, and psychiatry", "id" : "ITEM-1", "issue" : "8", "issued" : { "date-parts" : [ [ "2012", "8" ] ] }, "page" : "810-3", "title" : "Treatment changes in a cohort of people with apparently drug-resistant epilepsy: an extended follow-up.", "type" : "article-journal", "volume" : "83" }, "uris" : [ "http://www.mendeley.com/documents/?uuid=b492cc95-a4d2-376b-85f9-ee9534ea4066" ] } ], "mendeley" : { "formattedCitation" : "&lt;sup&gt;26&lt;/sup&gt;", "plainTextFormattedCitation" : "26", "previouslyFormattedCitation" : "&lt;sup&gt;26&lt;/sup&gt;" }, "properties" : { "noteIndex" : 0 }, "schema" : "https://github.com/citation-style-language/schema/raw/master/csl-citation.json" }</w:instrText>
      </w:r>
      <w:r w:rsidR="000C2E38">
        <w:fldChar w:fldCharType="separate"/>
      </w:r>
      <w:r w:rsidR="00037474" w:rsidRPr="00037474">
        <w:rPr>
          <w:noProof/>
          <w:vertAlign w:val="superscript"/>
        </w:rPr>
        <w:t>26</w:t>
      </w:r>
      <w:r w:rsidR="000C2E38">
        <w:fldChar w:fldCharType="end"/>
      </w:r>
      <w:r w:rsidRPr="001219F9">
        <w:t xml:space="preserve"> In a retrospective study, 30% of 122 patients with MTLE-HS had a “relapsing</w:t>
      </w:r>
      <w:r w:rsidR="000C2E38">
        <w:t>-remitting” seizure pattern</w:t>
      </w:r>
      <w:r w:rsidRPr="001219F9">
        <w:t>.</w:t>
      </w:r>
      <w:r w:rsidR="000C2E38">
        <w:fldChar w:fldCharType="begin" w:fldLock="1"/>
      </w:r>
      <w:r w:rsidR="00973154">
        <w:instrText>ADDIN CSL_CITATION { "citationItems" : [ { "id" : "ITEM-1", "itemData" : { "DOI" : "10.1590/0004-282X20140199", "ISSN" : "1678-4227", "PMID" : "25742574", "abstract" : "OBJECTIVE Patients with mesial temporal lobe epilepsy (MTLE) may present unstable pattern of seizures. We aimed to evaluate the occurrence of relapse-remitting seizures in MTLE with (MTLE-HS) and without (MTLE-NL) hippocampal sclerosis. METHOD We evaluated 172 patients with MTLE-HS (122) or MTLE-NL (50). Relapse-remitting pattern was defined as periods longer than two years of seizure-freedom intercalated with seizure recurrence. \"Infrequent seizures\" was considered as up to three seizures per year and \"frequent seizures\" as any period of seizures higher than that. RESULTS Thirty-seven (30%) MTLE-HS and 18 (36%) MTLE-NL patients had relapse-remitting pattern (X2, p = 0.470). This was more common in those with infrequent seizures (X2, p &lt; 0.001). Twelve MTLE-HS and one MTLE-NL patients had prolonged seizure remission between the first and second decade of life (X2, p = 0.06). CONCLUSION Similar proportion of MTLE-HS or MTLE-NL patients present relapse-remitting seizures and this occurs more often in those with infrequent seizures.", "author" : [ { "dropping-particle" : "", "family" : "Coan", "given" : "Ana Carolina", "non-dropping-particle" : "", "parse-names" : false, "suffix" : "" }, { "dropping-particle" : "", "family" : "Campos", "given" : "Brunno M.", "non-dropping-particle" : "", "parse-names" : false, "suffix" : "" }, { "dropping-particle" : "", "family" : "Bergo", "given" : "Felipe P G", "non-dropping-particle" : "", "parse-names" : false, "suffix" : "" }, { "dropping-particle" : "", "family" : "Kubota", "given" : "Bruno Y.", "non-dropping-particle" : "", "parse-names" : false, "suffix" : "" }, { "dropping-particle" : "", "family" : "Yasuda", "given" : "Clarissa L.", "non-dropping-particle" : "", "parse-names" : false, "suffix" : "" }, { "dropping-particle" : "", "family" : "Morita", "given" : "Marcia E.", "non-dropping-particle" : "", "parse-names" : false, "suffix" : "" }, { "dropping-particle" : "", "family" : "Guerreiro", "given" : "Carlos A M", "non-dropping-particle" : "", "parse-names" : false, "suffix" : "" }, { "dropping-particle" : "", "family" : "Cendes", "given" : "Fernando", "non-dropping-particle" : "", "parse-names" : false, "suffix" : "" } ], "container-title" : "Arquivos de neuro-psiquiatria", "id" : "ITEM-1", "issue" : "2", "issued" : { "date-parts" : [ [ "2015", "2" ] ] }, "page" : "79-82", "title" : "Patterns of seizure control in patients with mesial temporal lobe epilepsy with and without hippocampus sclerosis.", "type" : "article-journal", "volume" : "73" }, "uris" : [ "http://www.mendeley.com/documents/?uuid=a2f7327b-cb35-33ed-950f-4974f2ff15b5" ] } ], "mendeley" : { "formattedCitation" : "&lt;sup&gt;27&lt;/sup&gt;", "plainTextFormattedCitation" : "27", "previouslyFormattedCitation" : "&lt;sup&gt;27&lt;/sup&gt;" }, "properties" : { "noteIndex" : 0 }, "schema" : "https://github.com/citation-style-language/schema/raw/master/csl-citation.json" }</w:instrText>
      </w:r>
      <w:r w:rsidR="000C2E38">
        <w:fldChar w:fldCharType="separate"/>
      </w:r>
      <w:r w:rsidR="00037474" w:rsidRPr="00037474">
        <w:rPr>
          <w:noProof/>
          <w:vertAlign w:val="superscript"/>
        </w:rPr>
        <w:t>27</w:t>
      </w:r>
      <w:r w:rsidR="000C2E38">
        <w:fldChar w:fldCharType="end"/>
      </w:r>
      <w:r w:rsidRPr="001219F9">
        <w:t xml:space="preserve"> Our strict criteria may have contributed to the relatively low rates of seizure freedom observed in our population. Individual seizure freedom rates per AED were too low to look at an influence of </w:t>
      </w:r>
      <w:r w:rsidR="00FA008A" w:rsidRPr="001219F9">
        <w:t xml:space="preserve">order of </w:t>
      </w:r>
      <w:r w:rsidRPr="001219F9">
        <w:t xml:space="preserve">AED </w:t>
      </w:r>
      <w:r w:rsidR="00FA008A" w:rsidRPr="001219F9">
        <w:t>use</w:t>
      </w:r>
      <w:r w:rsidRPr="001219F9">
        <w:t xml:space="preserve">. Considering all 10 AEDs together, we noted higher response rates for AEDs </w:t>
      </w:r>
      <w:r w:rsidR="00FA008A" w:rsidRPr="001219F9">
        <w:t xml:space="preserve">used </w:t>
      </w:r>
      <w:r w:rsidRPr="001219F9">
        <w:t xml:space="preserve">as initial treatment and lowest values for AEDs used in third or higher instance. </w:t>
      </w:r>
      <w:r w:rsidR="001D189D">
        <w:t>Our</w:t>
      </w:r>
      <w:r w:rsidR="001D189D" w:rsidRPr="001219F9">
        <w:t xml:space="preserve"> </w:t>
      </w:r>
      <w:r w:rsidRPr="001219F9">
        <w:t xml:space="preserve">data </w:t>
      </w:r>
      <w:r w:rsidR="001D189D">
        <w:t xml:space="preserve">seem to </w:t>
      </w:r>
      <w:r w:rsidRPr="001219F9">
        <w:t>confirm previous reports of decreasing rates of response with subsequent AED trials, a well-known finding also observed in the gene</w:t>
      </w:r>
      <w:r w:rsidR="000C2E38">
        <w:t>ral epilepsy population</w:t>
      </w:r>
      <w:r w:rsidRPr="001219F9">
        <w:t>.</w:t>
      </w:r>
      <w:r w:rsidR="000C2E38">
        <w:fldChar w:fldCharType="begin" w:fldLock="1"/>
      </w:r>
      <w:r w:rsidR="00973154">
        <w:instrText>ADDIN CSL_CITATION { "citationItems" : [ { "id" : "ITEM-1", "itemData" : { "DOI" : "10.1002/ana.21064", "ISSN" : "1531-8249", "PMID" : "17253624", "abstract" : "OBJECTIVE It has long been known that the response to treatment in newly diagnosed epilepsy is better than in chronic epilepsy. However, in the past 15 years, 8 major new antiepileptic drugs have been licensed, and the effect of this wider range of treatment options on prognosis has not been fully assessed. The aim of this study was to quantify the effect of adding a previously unused antiepileptic drug to the treatment regimen in adults with uncontrolled chronic epilepsy that had been resistant to previous antiepileptic drug treatment. METHODS A total of 265 drug additions were studied in 155 adult patients with chronic epilepsy (defined as epilepsy active at least 5 years after and initiation of therapy). RESULTS About 16% of all drug introductions resulted in seizure freedom (defined as seizure freedom at last follow-up for 12 months or longer), and a 50 to 99% seizure reduction occurred in a further 21%. Of the 155 patients, 28% were rendered seizure free by a drug introduction. Clinical factors associated with a better effect were fewer previously used antiepileptic drugs, shorter duration epilepsy, and idiopathic epilepsy. INTERPRETATION This study provides a quantitative estimate of the value of changing drug therapy in patients in whom seizures were previously uncontrolled by previous therapy. The application of a systematic protocol to the treatment of chronic epilepsy will improve seizure control in a substantial proportion of cases. The rather nihilistic view that intractability is inevitable if seizure control is not obtained within a few years of the onset of therapy is incorrect.", "author" : [ { "dropping-particle" : "", "family" : "Luciano", "given" : "Anna L.", "non-dropping-particle" : "", "parse-names" : false, "suffix" : "" }, { "dropping-particle" : "", "family" : "Shorvon", "given" : "Simon D.", "non-dropping-particle" : "", "parse-names" : false, "suffix" : "" } ], "container-title" : "Annals of neurology", "id" : "ITEM-1", "issue" : "4", "issued" : { "date-parts" : [ [ "2007", "10", "25" ] ] }, "page" : "375-81", "title" : "Results of treatment changes in patients with apparently drug-resistant chronic epilepsy.", "type" : "article-journal", "volume" : "62" }, "uris" : [ "http://www.mendeley.com/documents/?uuid=8afeccab-80ae-3e87-9561-9f3e4a0d9662" ] }, { "id" : "ITEM-2", "itemData" : { "DOI" : "10.1002/ana.21166", "ISSN" : "1531-8249", "PMID" : "17880009", "abstract" : "OBJECTIVE We aimed to determine the likelihood of remission and its clinical predictors in adult patients meeting a strict definition of refractory epilepsy. We also wanted to investigate the influence of treatment regimen on remission. METHODS A total of 246 patients with treatment refractory epilepsy (having at least 1 seizure per month and having not responded positively to at least 2 antiepileptic drugs) were identified in 2000 and followed for 3 years. We used Kaplan-Meier methods to estimate the rate of achieving a 6-month terminal seizure remission and Cox regression analysis to evaluate clinical predictors for seizure remission. RESULTS The estimated 6-month terminal seizure remission rate was 19% (95% confidence interval, 14-26%) for all cases and 14% (95% confidence interval, 10-21%) when limited to those treated only with medication. Negative predictors for remission included a history of status epilepticus, younger age at intractability, number of failed drug therapies, and presence of mental retardation. No specific drug was significantly associated with remission, and frequently, no clear intervention led to terminal remission. INTERPRETATION Fifteen percent (approximately 5% per year) of a drug refractory epilepsy population obtained a 6-month terminal seizure remission. Our results signify that no matter how many antiepileptic drug therapies have failed, there is always hope of a meaningful seizure remission in this population. Furthermore, we have elucidated four clinical predictors that can aid the epileptologist in prognostication.", "author" : [ { "dropping-particle" : "", "family" : "Callaghan", "given" : "Brian C.", "non-dropping-particle" : "", "parse-names" : false, "suffix" : "" }, { "dropping-particle" : "", "family" : "Anand", "given" : "Kishlay", "non-dropping-particle" : "", "parse-names" : false, "suffix" : "" }, { "dropping-particle" : "", "family" : "Hesdorffer", "given" : "Dale", "non-dropping-particle" : "", "parse-names" : false, "suffix" : "" }, { "dropping-particle" : "", "family" : "Hauser", "given" : "W. Allen", "non-dropping-particle" : "", "parse-names" : false, "suffix" : "" }, { "dropping-particle" : "", "family" : "French", "given" : "Jacqueline A.", "non-dropping-particle" : "", "parse-names" : false, "suffix" : "" } ], "container-title" : "Annals of neurology", "id" : "ITEM-2", "issue" : "4", "issued" : { "date-parts" : [ [ "2007", "10", "19" ] ] }, "page" : "382-9", "title" : "Likelihood of seizure remission in an adult population with refractory epilepsy.", "type" : "article-journal", "volume" : "62" }, "uris" : [ "http://www.mendeley.com/documents/?uuid=4a16227b-7b06-3b56-a8de-6041069578c9" ] } ], "mendeley" : { "formattedCitation" : "&lt;sup&gt;28,29&lt;/sup&gt;", "plainTextFormattedCitation" : "28,29", "previouslyFormattedCitation" : "&lt;sup&gt;28,29&lt;/sup&gt;" }, "properties" : { "noteIndex" : 0 }, "schema" : "https://github.com/citation-style-language/schema/raw/master/csl-citation.json" }</w:instrText>
      </w:r>
      <w:r w:rsidR="000C2E38">
        <w:fldChar w:fldCharType="separate"/>
      </w:r>
      <w:r w:rsidR="00037474" w:rsidRPr="00037474">
        <w:rPr>
          <w:noProof/>
          <w:vertAlign w:val="superscript"/>
        </w:rPr>
        <w:t>28,29</w:t>
      </w:r>
      <w:r w:rsidR="000C2E38">
        <w:fldChar w:fldCharType="end"/>
      </w:r>
    </w:p>
    <w:p w14:paraId="20D39746" w14:textId="2540A0D4" w:rsidR="004D7318" w:rsidRPr="001219F9" w:rsidRDefault="00E96794" w:rsidP="00986FAD">
      <w:pPr>
        <w:pStyle w:val="BodyText"/>
        <w:spacing w:line="480" w:lineRule="auto"/>
        <w:jc w:val="both"/>
      </w:pPr>
      <w:r w:rsidRPr="001219F9">
        <w:t xml:space="preserve">ADRs were reported in </w:t>
      </w:r>
      <w:r w:rsidR="001D189D">
        <w:t>about half</w:t>
      </w:r>
      <w:r w:rsidRPr="001219F9">
        <w:t xml:space="preserve"> of patients. Prevalence rates of ADRs are known to be depend</w:t>
      </w:r>
      <w:r w:rsidR="000C2E38">
        <w:t>ent on the method of assessment</w:t>
      </w:r>
      <w:r w:rsidRPr="001219F9">
        <w:t>.</w:t>
      </w:r>
      <w:r w:rsidR="000C2E38">
        <w:fldChar w:fldCharType="begin" w:fldLock="1"/>
      </w:r>
      <w:r w:rsidR="00973154">
        <w:instrText>ADDIN CSL_CITATION { "citationItems" : [ { "id" : "ITEM-1", "itemData" : { "DOI" : "10.1016/j.seizure.2007.05.011", "ISSN" : "1059-1311", "PMID" : "17604654", "abstract" : "We retrospectively reviewed our clinical experience with PGB when used as add-on therapy in 101 patients (56 women and 45 men) with refractory partial epilepsy, who have been followed up for at least 1 year. Mean age was 40 years (16-64); mean number of concomitant AEDs was 2.8. Most patients (43) had temporal lobe epilepsy. Median number of seizures per month was 16 (3-240). Mean PGB dose used was 412.5 mg. Responder rate (percentage of patients with &gt;or=50% seizure reduction) at 6 and 12 months was 52% and 39.6%, respectively. Seizure freedom for at least 6 and 12 months has been achieved by 12 patients (11.8%) and 6 patients (5.9%) respectively. At 1 year, 61 patients (60.4%) are still taking PGB. Forty patients have discontinued PGB, because of inefficacy (16 patients, 15.8%), adverse effects (15 patients, 14.8%) or both (9 patients, 8.9%). Sixty per cent of patients reported adverse events, being weight gain (&gt;10% body weight) the most frequent, seen in 26 patients (25.7%). Dizziness/ataxia was seen in 20 (19.8%). Adverse effects were generally mild to moderate.", "author" : [ { "dropping-particle" : "", "family" : "Carre\u00f1o", "given" : "Mar", "non-dropping-particle" : "", "parse-names" : false, "suffix" : "" }, { "dropping-particle" : "", "family" : "Maestro", "given" : "Iratxe", "non-dropping-particle" : "", "parse-names" : false, "suffix" : "" }, { "dropping-particle" : "", "family" : "Molins", "given" : "Albert", "non-dropping-particle" : "", "parse-names" : false, "suffix" : "" }, { "dropping-particle" : "", "family" : "Donaire", "given" : "Antonio", "non-dropping-particle" : "", "parse-names" : false, "suffix" : "" }, { "dropping-particle" : "", "family" : "Falip", "given" : "Merce", "non-dropping-particle" : "", "parse-names" : false, "suffix" : "" }, { "dropping-particle" : "", "family" : "Becerra", "given" : "Juan Luis", "non-dropping-particle" : "", "parse-names" : false, "suffix" : "" }, { "dropping-particle" : "", "family" : "Castillo", "given" : "Joaqu\u00edn", "non-dropping-particle" : "", "parse-names" : false, "suffix" : "" }, { "dropping-particle" : "", "family" : "Ben-Menachem", "given" : "E.", "non-dropping-particle" : "", "parse-names" : false, "suffix" : "" }, { "dropping-particle" : "", "family" : "Arroyo", "given" : "S.", "non-dropping-particle" : "", "parse-names" : false, "suffix" : "" }, { "dropping-particle" : "", "family" : "Anhut", "given" : "H.", "non-dropping-particle" : "", "parse-names" : false, "suffix" : "" }, { "dropping-particle" : "", "family" : "Kugler", "given" : "A.R.", "non-dropping-particle" : "", "parse-names" : false, "suffix" : "" }, { "dropping-particle" : "", "family" : "Lee", "given" : "C.M.", "non-dropping-particle" : "", "parse-names" : false, "suffix" : "" }, { "dropping-particle" : "", "family" : "Knapp", "given" : "L.E.", "non-dropping-particle" : "", "parse-names" : false, "suffix" : "" }, { "dropping-particle" : "", "family" : "Garofalo", "given" : "E.A.", "non-dropping-particle" : "", "parse-names" : false, "suffix" : "" }, { "dropping-particle" : "", "family" : "al.", "given" : "et", "non-dropping-particle" : "", "parse-names" : false, "suffix" : "" }, { "dropping-particle" : "", "family" : "Beydoun", "given" : "A.", "non-dropping-particle" : "", "parse-names" : false, "suffix" : "" }, { "dropping-particle" : "", "family" : "Uthman", "given" : "B.M.", "non-dropping-particle" : "", "parse-names" : false, "suffix" : "" }, { "dropping-particle" : "", "family" : "Kugler", "given" : "A.R.", "non-dropping-particle" : "", "parse-names" : false, "suffix" : "" }, { "dropping-particle" : "", "family" : "Greiner", "given" : "M.J.", "non-dropping-particle" : "", "parse-names" : false, "suffix" : "" }, { "dropping-particle" : "", "family" : "Knapp", "given" : "L.E.", "non-dropping-particle" : "", "parse-names" : false, "suffix" : "" }, { "dropping-particle" : "", "family" : "Garofalo", "given" : "E.A.", "non-dropping-particle" : "", "parse-names" : false, "suffix" : "" }, { "dropping-particle" : "", "family" : "French", "given" : "J.A.", "non-dropping-particle" : "", "parse-names" : false, "suffix" : "" }, { "dropping-particle" : "", "family" : "Kugler", "given" : "A.R.", "non-dropping-particle" : "", "parse-names" : false, "suffix" : "" }, { "dropping-particle" : "", "family" : "Robbins", "given" : "J.L.", "non-dropping-particle" : "", "parse-names" : false, "suffix" : "" }, { "dropping-particle" : "", "family" : "Knapp", "given" : "L.E.", "non-dropping-particle" : "", "parse-names" : false, "suffix" : "" }, { "dropping-particle" : "", "family" : "Garofalo", "given" : "E.A.", "non-dropping-particle" : "", "parse-names" : false, "suffix" : "" }, { "dropping-particle" : "", "family" : "Brodie", "given" : "M.J.", "non-dropping-particle" : "", "parse-names" : false, "suffix" : "" }, { "dropping-particle" : "", "family" : "Elger", "given" : "C.E.", "non-dropping-particle" : "", "parse-names" : false, "suffix" : "" }, { "dropping-particle" : "", "family" : "Brodie", "given" : "M.J.", "non-dropping-particle" : "", "parse-names" : false, "suffix" : "" }, { "dropping-particle" : "", "family" : "Anhut", "given" : "H.", "non-dropping-particle" : "", "parse-names" : false, "suffix" : "" }, { "dropping-particle" : "", "family" : "Lee", "given" : "C.M.", "non-dropping-particle" : "", "parse-names" : false, "suffix" : "" }, { "dropping-particle" : "", "family" : "Barrett", "given" : "J.A.", "non-dropping-particle" : "", "parse-names" : false, "suffix" : "" }, { "dropping-particle" : "", "family" : "Birbeck", "given" : "G.L.", "non-dropping-particle" : "", "parse-names" : false, "suffix" : "" }, { "dropping-particle" : "", "family" : "Hays", "given" : "R.D.", "non-dropping-particle" : "", "parse-names" : false, "suffix" : "" }, { "dropping-particle" : "", "family" : "Cui", "given" : "X.", "non-dropping-particle" : "", "parse-names" : false, "suffix" : "" }, { "dropping-particle" : "", "family" : "Vickrey", "given" : "B.G.", "non-dropping-particle" : "", "parse-names" : false, "suffix" : "" }, { "dropping-particle" : "", "family" : "Zaccara", "given" : "G.", "non-dropping-particle" : "", "parse-names" : false, "suffix" : "" }, { "dropping-particle" : "", "family" : "Messori", "given" : "A.", "non-dropping-particle" : "", "parse-names" : false, "suffix" : "" }, { "dropping-particle" : "", "family" : "Cincotta", "given" : "M.", "non-dropping-particle" : "", "parse-names" : false, "suffix" : "" }, { "dropping-particle" : "", "family" : "Burchini", "given" : "G.", "non-dropping-particle" : "", "parse-names" : false, "suffix" : "" }, { "dropping-particle" : "", "family" : "Glauser", "given" : "T.", "non-dropping-particle" : "", "parse-names" : false, "suffix" : "" }, { "dropping-particle" : "", "family" : "Ben-Menachem", "given" : "E.", "non-dropping-particle" : "", "parse-names" : false, "suffix" : "" }, { "dropping-particle" : "", "family" : "Bourgeois", "given" : "B.", "non-dropping-particle" : "", "parse-names" : false, "suffix" : "" }, { "dropping-particle" : "", "family" : "Cnaan", "given" : "A.", "non-dropping-particle" : "", "parse-names" : false, "suffix" : "" }, { "dropping-particle" : "", "family" : "Chadwick", "given" : "D.", "non-dropping-particle" : "", "parse-names" : false, "suffix" : "" }, { "dropping-particle" : "", "family" : "Guerreiro", "given" : "C.", "non-dropping-particle" : "", "parse-names" : false, "suffix" : "" }, { "dropping-particle" : "", "family" : "al.", "given" : "et", "non-dropping-particle" : "", "parse-names" : false, "suffix" : "" }, { "dropping-particle" : "", "family" : "Depondt", "given" : "C.", "non-dropping-particle" : "", "parse-names" : false, "suffix" : "" }, { "dropping-particle" : "", "family" : "Yuen", "given" : "A.W.", "non-dropping-particle" : "", "parse-names" : false, "suffix" : "" }, { "dropping-particle" : "", "family" : "Bell", "given" : "G.S.", "non-dropping-particle" : "", "parse-names" : false, "suffix" : "" }, { "dropping-particle" : "", "family" : "Mitchell", "given" : "T.", "non-dropping-particle" : "", "parse-names" : false, "suffix" : "" }, { "dropping-particle" : "", "family" : "Koepp", "given" : "M.J.", "non-dropping-particle" : "", "parse-names" : false, "suffix" : "" }, { "dropping-particle" : "", "family" : "Duncan", "given" : "J.S.", "non-dropping-particle" : "", "parse-names" : false, "suffix" : "" }, { "dropping-particle" : "", "family" : "al.", "given" : "et", "non-dropping-particle" : "", "parse-names" : false, "suffix" : "" }, { "dropping-particle" : "", "family" : "Peake", "given" : "D.", "non-dropping-particle" : "", "parse-names" : false, "suffix" : "" }, { "dropping-particle" : "", "family" : "Mordekar", "given" : "S.", "non-dropping-particle" : "", "parse-names" : false, "suffix" : "" }, { "dropping-particle" : "", "family" : "Gosalakkal", "given" : "J.", "non-dropping-particle" : "", "parse-names" : false, "suffix" : "" }, { "dropping-particle" : "", "family" : "Mukhtyar", "given" : "B.", "non-dropping-particle" : "", "parse-names" : false, "suffix" : "" }, { "dropping-particle" : "", "family" : "Buch", "given" : "S.", "non-dropping-particle" : "", "parse-names" : false, "suffix" : "" }, { "dropping-particle" : "", "family" : "Crane", "given" : "J.", "non-dropping-particle" : "", "parse-names" : false, "suffix" : "" }, { "dropping-particle" : "", "family" : "al.", "given" : "et", "non-dropping-particle" : "", "parse-names" : false, "suffix" : "" }, { "dropping-particle" : "", "family" : "Lhatoo", "given" : "S.D.", "non-dropping-particle" : "", "parse-names" : false, "suffix" : "" }, { "dropping-particle" : "", "family" : "Wong", "given" : "I.C.", "non-dropping-particle" : "", "parse-names" : false, "suffix" : "" }, { "dropping-particle" : "", "family" : "Polizzi", "given" : "G.", "non-dropping-particle" : "", "parse-names" : false, "suffix" : "" }, { "dropping-particle" : "", "family" : "Sander", "given" : "J.W.", "non-dropping-particle" : "", "parse-names" : false, "suffix" : "" } ], "container-title" : "Seizure", "id" : "ITEM-1", "issue" : "8", "issued" : { "date-parts" : [ [ "2007", "12" ] ] }, "page" : "709-12", "publisher" : "Elsevier", "title" : "Pregabalin as add-on therapy for refractory partial seizures in every day clinical practice.", "type" : "article-journal", "volume" : "16" }, "uris" : [ "http://www.mendeley.com/documents/?uuid=143ce58f-40ed-3f85-87e2-6b88930a4af3" ] } ], "mendeley" : { "formattedCitation" : "&lt;sup&gt;30&lt;/sup&gt;", "plainTextFormattedCitation" : "30", "previouslyFormattedCitation" : "&lt;sup&gt;30&lt;/sup&gt;" }, "properties" : { "noteIndex" : 0 }, "schema" : "https://github.com/citation-style-language/schema/raw/master/csl-citation.json" }</w:instrText>
      </w:r>
      <w:r w:rsidR="000C2E38">
        <w:fldChar w:fldCharType="separate"/>
      </w:r>
      <w:r w:rsidR="00037474" w:rsidRPr="00037474">
        <w:rPr>
          <w:noProof/>
          <w:vertAlign w:val="superscript"/>
        </w:rPr>
        <w:t>30</w:t>
      </w:r>
      <w:r w:rsidR="000C2E38">
        <w:fldChar w:fldCharType="end"/>
      </w:r>
      <w:r w:rsidRPr="001219F9">
        <w:t xml:space="preserve"> Published rates of ADR prevalence based on unstructured interviews or spontaneous reporting in patients with epile</w:t>
      </w:r>
      <w:r w:rsidR="000C2E38">
        <w:t>psy vary between 10 and 40%</w:t>
      </w:r>
      <w:r w:rsidRPr="001219F9">
        <w:t>.</w:t>
      </w:r>
      <w:r w:rsidR="000C2E38">
        <w:fldChar w:fldCharType="begin" w:fldLock="1"/>
      </w:r>
      <w:r w:rsidR="00973154">
        <w:instrText>ADDIN CSL_CITATION { "citationItems" : [ { "id" : "ITEM-1", "itemData" : { "DOI" : "10.1016/S1474-4422(12)70153-9", "ISSN" : "1474-4465", "PMID" : "22832500", "abstract" : "More than 150 years after bromide was introduced as the first antiepileptic drug, adverse effects remain a leading cause of treatment failure and a major determinant of impaired health-related quality of life in people with epilepsy. Adverse effects can develop acutely or many years after starting treatment and can affect any organ or structure. In the past two decades, many efforts have been made to reduce the burden of antiepileptic drug toxicity. Several methods to screen and quantify adverse effects have been developed. Patient profiles associated with increased risk of specific adverse effects have been uncovered through advances in the areas of epidemiology and pharmacogenomics. Several new-generation antiepileptic drugs with improved tolerability profiles and reduced potential for drug interaction have been added to the therapeutic armamentarium. Overall, these advances have expanded the opportunities to tailor treatment with antiepileptic drugs, to enhance effectiveness and minimise the risk of toxic effects.", "author" : [ { "dropping-particle" : "", "family" : "Perucca", "given" : "Piero", "non-dropping-particle" : "", "parse-names" : false, "suffix" : "" }, { "dropping-particle" : "", "family" : "Gilliam", "given" : "Frank G", "non-dropping-particle" : "", "parse-names" : false, "suffix" : "" } ], "container-title" : "The Lancet. Neurology", "id" : "ITEM-1", "issue" : "9", "issued" : { "date-parts" : [ [ "2012", "9" ] ] }, "page" : "792-802", "title" : "Adverse effects of antiepileptic drugs.", "type" : "article-journal", "volume" : "11" }, "uris" : [ "http://www.mendeley.com/documents/?uuid=384d4ef7-a1a1-3309-b420-d26e0bfc3f1d" ] } ], "mendeley" : { "formattedCitation" : "&lt;sup&gt;31&lt;/sup&gt;", "plainTextFormattedCitation" : "31", "previouslyFormattedCitation" : "&lt;sup&gt;31&lt;/sup&gt;" }, "properties" : { "noteIndex" : 0 }, "schema" : "https://github.com/citation-style-language/schema/raw/master/csl-citation.json" }</w:instrText>
      </w:r>
      <w:r w:rsidR="000C2E38">
        <w:fldChar w:fldCharType="separate"/>
      </w:r>
      <w:r w:rsidR="00037474" w:rsidRPr="00037474">
        <w:rPr>
          <w:noProof/>
          <w:vertAlign w:val="superscript"/>
        </w:rPr>
        <w:t>31</w:t>
      </w:r>
      <w:r w:rsidR="000C2E38">
        <w:fldChar w:fldCharType="end"/>
      </w:r>
      <w:r w:rsidRPr="001219F9">
        <w:t xml:space="preserve"> The higher rate of ADRs in the present study </w:t>
      </w:r>
      <w:r w:rsidRPr="001219F9">
        <w:lastRenderedPageBreak/>
        <w:t xml:space="preserve">might be explained by the fact that most patients were on </w:t>
      </w:r>
      <w:proofErr w:type="spellStart"/>
      <w:r w:rsidRPr="001219F9">
        <w:t>polytherapy</w:t>
      </w:r>
      <w:proofErr w:type="spellEnd"/>
      <w:r w:rsidRPr="001219F9">
        <w:t xml:space="preserve"> and therefore exposed to a higher AED load, although this relationship has not been iden</w:t>
      </w:r>
      <w:r w:rsidR="000C2E38">
        <w:t>tified in other studies</w:t>
      </w:r>
      <w:r w:rsidRPr="001219F9">
        <w:t>.</w:t>
      </w:r>
      <w:r w:rsidR="000C2E38">
        <w:fldChar w:fldCharType="begin" w:fldLock="1"/>
      </w:r>
      <w:r w:rsidR="00973154">
        <w:instrText>ADDIN CSL_CITATION { "citationItems" : [ { "id" : "ITEM-1", "itemData" : { "ISSN" : "0013-9580", "PMID" : "9184603", "abstract" : "PURPOSE We reviewed the literature to determine whether an analysis of published data could clarify the relationship between antiepileptic drug (AED) polytherapy and adverse affects (AE). We highlight the problems encountered. METHODS We made a Medline-search for articles published between 1974 and 1994 reporting the number of AE and doses or serum levels of every AED, per patient or treatment group, and used the PDD/DDD ratio to calculate AED load per patient from doses or the OSL/AToxL ratio to do so from serum levels of individual drugs. The PDD/DDD is the sum of ratios of the actual prescribed daily doses divided by the published average therapeutic dose of each drug. The OSL/AToxL is the sum of each observed serum level divided by its average toxic level. RESULTS We retrieved 118 trial reports. Most had to be excluded because of incomplete reporting of concomitant medication or AE. The data of the 15 articles selected for further analysis indicate a relationship between drug load and number of AE. We noted no relationship between the number of AEDs administered and AE. In add-on studies, the difference in neurotoxicity between the active and placebo arm may be obscured if the relative increase in drug load is small, as exemplified by the study of McGuire et al.. CONCLUSIONS Articles reporting add-on trials of new AEDs generally do not provide detailed information about the basic medication to which the new AED is added, which makes calculation of total drug load impossible. Furthermore, often only frequency of AE is reported, not severity or development of tolerance, making it difficult to judge the impact of AE. However, despite the paucity of available information, we present some evidence that toxicity in AED polytherapy may be related to total drug load, rather than to the number of drugs administered. Therefore, the present trend to reject polytherapy for fear of increased toxicity is not warranted, which removes one of the objections to initiating specific research to prove or disprove the value of AED combinations as long as the drug load is appropriate.", "author" : [ { "dropping-particle" : "", "family" : "Deckers", "given" : "C L", "non-dropping-particle" : "", "parse-names" : false, "suffix" : "" }, { "dropping-particle" : "", "family" : "Hekster", "given" : "Y A", "non-dropping-particle" : "", "parse-names" : false, "suffix" : "" }, { "dropping-particle" : "", "family" : "Keyser", "given" : "A", "non-dropping-particle" : "", "parse-names" : false, "suffix" : "" }, { "dropping-particle" : "", "family" : "Meinardi", "given" : "H", "non-dropping-particle" : "", "parse-names" : false, "suffix" : "" }, { "dropping-particle" : "", "family" : "Renier", "given" : "W O", "non-dropping-particle" : "", "parse-names" : false, "suffix" : "" } ], "container-title" : "Epilepsia", "id" : "ITEM-1", "issue" : "5", "issued" : { "date-parts" : [ [ "1997", "5" ] ] }, "page" : "570-5", "title" : "Reappraisal of polytherapy in epilepsy: a critical review of drug load and adverse effects.", "type" : "article-journal", "volume" : "38" }, "uris" : [ "http://www.mendeley.com/documents/?uuid=502632a9-faaa-37df-a042-00f0cf5c33b8" ] }, { "id" : "ITEM-2", "itemData" : { "DOI" : "10.1111/j.1528-1167.2010.02520.x", "ISSN" : "1528-1167", "PMID" : "20545754", "abstract" : "PURPOSE To evaluate the adverse effects (AEs) of antiepileptic drugs (AEDs) in adults with refractory epilepsy and their relationship with number of coprescribed AEDs and AED load. METHODS Patients with refractory epilepsy were enrolled consecutively at 11 tertiary referral centers. AEs were assessed through unstructured interview and the Adverse Event Profile (AEP) questionnaire. AED loads were calculated as the sum of prescribed daily dose (PDD)/defined daily dose (DDD) ratios for each coprescribed AED. RESULTS Of 809 patients enrolled, 709 had localization-related epilepsy and 627 were on polytherapy. AED loads increased with increasing number of AEDs in the treatment regimen, from 1.2 +/- 0.5 for patients on monotherapy to 2.5 +/- 1, 3.7 +/- 1.1, and 4.7 +/- 1.1 for those on two, three, and &gt; or =4 AEDs, respectively. The number of spontaneously reported AEs correlated with the number of AEs identified by the AEP (r = 0.27, p &lt; 0.0001). AEP scores did not differ between patients with monotherapy and patients with polytherapy (42.8 +/- 11.7 vs. 42.6 +/- 11.2), and there was no correlation between AEP scores and AED load (r = -0.05, p = 0.16). CONCLUSIONS AEs did not differ between monotherapy and polytherapy patients, and did not correlate with AED load, possibly as a result of physicians' intervention in individualizing treatment regimens. Taking into account the limitations of a cross-sectional survey, these findings are consistent with the hypothesis that AEs are determined more by individual susceptibility, type of AEDs used, and physicians' skills, than number of coprescribed AEDs and AED load.", "author" : [ { "dropping-particle" : "", "family" : "Canevini", "given" : "Maria Paola", "non-dropping-particle" : "", "parse-names" : false, "suffix" : "" }, { "dropping-particle" : "", "family" : "Sarro", "given" : "Giovambattista", "non-dropping-particle" : "De", "parse-names" : false, "suffix" : "" }, { "dropping-particle" : "", "family" : "Galimberti", "given" : "Carlo Andrea", "non-dropping-particle" : "", "parse-names" : false, "suffix" : "" }, { "dropping-particle" : "", "family" : "Gatti", "given" : "Giuliana", "non-dropping-particle" : "", "parse-names" : false, "suffix" : "" }, { "dropping-particle" : "", "family" : "Licchetta", "given" : "Laura", "non-dropping-particle" : "", "parse-names" : false, "suffix" : "" }, { "dropping-particle" : "", "family" : "Malerba", "given" : "Ambra", "non-dropping-particle" : "", "parse-names" : false, "suffix" : "" }, { "dropping-particle" : "", "family" : "Muscas", "given" : "Giancarlo", "non-dropping-particle" : "", "parse-names" : false, "suffix" : "" }, { "dropping-particle" : "", "family" : "Neve", "given" : "Angela", "non-dropping-particle" : "La", "parse-names" : false, "suffix" : "" }, { "dropping-particle" : "", "family" : "Striano", "given" : "Pasquale", "non-dropping-particle" : "", "parse-names" : false, "suffix" : "" }, { "dropping-particle" : "", "family" : "Perucca", "given" : "Emilio", "non-dropping-particle" : "", "parse-names" : false, "suffix" : "" }, { "dropping-particle" : "", "family" : "SOPHIE Study Group", "given" : "", "non-dropping-particle" : "", "parse-names" : false, "suffix" : "" } ], "container-title" : "Epilepsia", "id" : "ITEM-2", "issue" : "5", "issued" : { "date-parts" : [ [ "2010", "5" ] ] }, "page" : "797-804", "title" : "Relationship between adverse effects of antiepileptic drugs, number of coprescribed drugs, and drug load in a large cohort of consecutive patients with drug-refractory epilepsy.", "type" : "article-journal", "volume" : "51" }, "uris" : [ "http://www.mendeley.com/documents/?uuid=1348878d-2622-34b0-9483-8451fb72c515" ] } ], "mendeley" : { "formattedCitation" : "&lt;sup&gt;32,33&lt;/sup&gt;", "plainTextFormattedCitation" : "32,33", "previouslyFormattedCitation" : "&lt;sup&gt;32,33&lt;/sup&gt;" }, "properties" : { "noteIndex" : 0 }, "schema" : "https://github.com/citation-style-language/schema/raw/master/csl-citation.json" }</w:instrText>
      </w:r>
      <w:r w:rsidR="000C2E38">
        <w:fldChar w:fldCharType="separate"/>
      </w:r>
      <w:r w:rsidR="00037474" w:rsidRPr="00037474">
        <w:rPr>
          <w:noProof/>
          <w:vertAlign w:val="superscript"/>
        </w:rPr>
        <w:t>32,33</w:t>
      </w:r>
      <w:r w:rsidR="000C2E38">
        <w:fldChar w:fldCharType="end"/>
      </w:r>
      <w:r w:rsidRPr="001219F9">
        <w:t xml:space="preserve"> ADR rates per AED varied between </w:t>
      </w:r>
      <w:r w:rsidR="003D1429" w:rsidRPr="001219F9">
        <w:t xml:space="preserve">6.5% </w:t>
      </w:r>
      <w:r w:rsidRPr="001219F9">
        <w:t xml:space="preserve">and </w:t>
      </w:r>
      <w:r w:rsidR="003D1429" w:rsidRPr="001219F9">
        <w:t>35.7</w:t>
      </w:r>
      <w:r w:rsidRPr="001219F9">
        <w:t xml:space="preserve">%, with the lowest rates reported with </w:t>
      </w:r>
      <w:proofErr w:type="spellStart"/>
      <w:r w:rsidRPr="001219F9">
        <w:t>clobazam</w:t>
      </w:r>
      <w:proofErr w:type="spellEnd"/>
      <w:r w:rsidRPr="001219F9">
        <w:t xml:space="preserve">, gabapentin and lamotrigine, and the highest with oxcarbazepine, </w:t>
      </w:r>
      <w:proofErr w:type="spellStart"/>
      <w:r w:rsidRPr="001219F9">
        <w:t>topiramate</w:t>
      </w:r>
      <w:proofErr w:type="spellEnd"/>
      <w:r w:rsidRPr="001219F9">
        <w:t xml:space="preserve"> and </w:t>
      </w:r>
      <w:proofErr w:type="spellStart"/>
      <w:r w:rsidRPr="001219F9">
        <w:t>pregabalin</w:t>
      </w:r>
      <w:proofErr w:type="spellEnd"/>
      <w:r w:rsidRPr="001219F9">
        <w:t>. Our results are comparable with previous studies reporting ADR rates on individual AEDs, although most of these concerned pat</w:t>
      </w:r>
      <w:r w:rsidR="000C2E38">
        <w:t>ients on monotherapy</w:t>
      </w:r>
      <w:r w:rsidRPr="001219F9">
        <w:t>.</w:t>
      </w:r>
      <w:r w:rsidR="000C2E38">
        <w:fldChar w:fldCharType="begin" w:fldLock="1"/>
      </w:r>
      <w:r w:rsidR="00973154">
        <w:instrText>ADDIN CSL_CITATION { "citationItems" : [ { "id" : "ITEM-1", "itemData" : { "DOI" : "10.1001/archneurol.2010.49", "ISSN" : "1538-3687", "PMID" : "20385905", "abstract" : "OBJECTIVE To compare the effectiveness of antiepileptic drugs (AEDs) for use in older adults with epilepsy. DESIGN Retrospective review. SETTING Columbia Comprehensive Epilepsy Center, New York, New York. PATIENTS Four hundred seventeen outpatients 55 years and older newly taking any of the 10 most commonly prescribed AEDs between 2000 and 2005. MAIN OUTCOME MEASURE The percentage of patients who remained taking the AED for 12 or more months (12-month \"retention\"). We also measured efficacy (12-month seizure freedom) and adverse effects leading to dose change. Retention and seizure-freedom rates were analyzed by pairwise comparisons using chi(2) for the overall group and patients with refractory and nonrefractory disease as well as patients newly taking their first AED. RESULTS The 10 AEDs newly taken by 10 or more patients were analyzed. There were no significant non-AED predictors of retention. Without controlling for severity, lamotrigine had the highest 12-month retention rate (79%), significantly higher than carbamazepine (48%), gabapentin (59%), oxcarbazepine (24%), phenytoin (59%), and topiramate (56%). The retention rate for levetiracetam (73%) was second highest and significantly higher than carbamazepine and oxcarbazepine. Oxcarbazepine had the lowest retention rate, significantly lower than all other AEDs. Lamotrigine had the highest 12-month seizure-freedom rate (54%), followed by levetiracetam (43%). When stratified into patients with nonrefractory and refractory disease, relative rates of seizure freedom and retention remained comparable with the overall group. Imbalance, drowsiness, and gastrointestinal symptoms were the most common intolerable adverse effects. CONCLUSION In this study of older adults with epilepsy, lamotrigine was the most effective AED as measured by 12-month retention and seizure freedom, with levetiracetam a close second. Oxcarbazepine was consistently less effective than most other AEDs.", "author" : [ { "dropping-particle" : "", "family" : "Arif", "given" : "Hiba", "non-dropping-particle" : "", "parse-names" : false, "suffix" : "" }, { "dropping-particle" : "", "family" : "Buchsbaum", "given" : "Richard", "non-dropping-particle" : "", "parse-names" : false, "suffix" : "" }, { "dropping-particle" : "", "family" : "Pierro", "given" : "Joanna", "non-dropping-particle" : "", "parse-names" : false, "suffix" : "" }, { "dropping-particle" : "", "family" : "Whalen", "given" : "Michael", "non-dropping-particle" : "", "parse-names" : false, "suffix" : "" }, { "dropping-particle" : "", "family" : "Sims", "given" : "Jessica", "non-dropping-particle" : "", "parse-names" : false, "suffix" : "" }, { "dropping-particle" : "", "family" : "Resor", "given" : "Stanley R", "non-dropping-particle" : "", "parse-names" : false, "suffix" : "" }, { "dropping-particle" : "", "family" : "Bazil", "given" : "Carl W", "non-dropping-particle" : "", "parse-names" : false, "suffix" : "" }, { "dropping-particle" : "", "family" : "Hirsch", "given" : "Lawrence J", "non-dropping-particle" : "", "parse-names" : false, "suffix" : "" } ], "container-title" : "Archives of neurology", "id" : "ITEM-1", "issue" : "4", "issued" : { "date-parts" : [ [ "2010", "4" ] ] }, "page" : "408-15", "title" : "Comparative effectiveness of 10 antiepileptic drugs in older adults with epilepsy.", "type" : "article-journal", "volume" : "67" }, "uris" : [ "http://www.mendeley.com/documents/?uuid=2425fbbb-1556-345a-91c8-8dec138e20a7" ] }, { "id" : "ITEM-2", "itemData" : { "DOI" : "10.1371/journal.pone.0131566", "ISSN" : "1932-6203", "PMID" : "26147937", "abstract" : "OBJECTIVE To evaluate and compare long-term effectiveness of five antiepileptic drugs (AEDs) for monotherapy of adult patients with focal epilepsy in routine clinical practice. METHODS Adult patients with focal epilepsy, who were prescribed with carbamazepine (CBZ), valproate (VPA), lamotrigine (LTG), topiramate (TPM), or oxcarbazepine (OXC) as monotherapy, during the period from January 2004 to June 2012 registered in Wenzhou Epilepsy Follow Up Registry Database (WEFURD), were included in the study. Prospective long-term follow-up was conducted until June 2013. The endpoints were time to treatment failure, time to seizure remission, and time to first seizure. RESULTS This study included 654 patients: CBZ (n=125), VPA (n=151), LTG (n=135), TPM (n=76), and OXC (n=167). The retention rates of CBZ, VPA, LTG, TPM, and OXC at the third year were 36.1%, 32.4%, 57.6%, 37.9%, and 41.8%, respectively. For time to treatment failure, LTG was significantly better than CBZ and VPA (LTG vs. CBZ, hazard ratio, [HR] 0.80 [95% confidence interval: 0.67-0.96], LTG vs. VPA, 0.53 [0.37-0.74]); TPM was worse than LTG (TPM vs. LTG, 1.77 [1.15-2.74]), and OXC was better than VPA (0.86 [0.78-0.96]). After initial target doses, the seizure remission rates of CBZ, VPA, LTG, TPM, and OXC were 63.0%, 77.0%, 83.6%, 67.9%, and 75.3%, respectively. LTG was significantly better than CBZ (1.44 [1.15-1.82]) and OXC (LTG vs. OXC, 0.76 [0.63-0.93]); OXC was less effective than LTG in preventing the first seizure (1.20 [1.02-1.40]). CONCLUSION LTG was the best, OXC was better than VPA only, while VPA was the worst. The others were equivalent for comparisons between five AEDs regarding the long-term treatment outcomes of monotherapy for adult patients with focal epilepsy in a clinical practice. For selecting AEDs for these patients among the first-line drugs, LTG is an appropriate first choice; others are reservation in the first-line but VPA is not.", "author" : [ { "dropping-particle" : "", "family" : "Zeng", "given" : "Qing-Yi", "non-dropping-particle" : "", "parse-names" : false, "suffix" : "" }, { "dropping-particle" : "", "family" : "Fan", "given" : "Tian-Tian", "non-dropping-particle" : "", "parse-names" : false, "suffix" : "" }, { "dropping-particle" : "", "family" : "Zhu", "given" : "Pan", "non-dropping-particle" : "", "parse-names" : false, "suffix" : "" }, { "dropping-particle" : "", "family" : "He", "given" : "Ru-Qian", "non-dropping-particle" : "", "parse-names" : false, "suffix" : "" }, { "dropping-particle" : "", "family" : "Bao", "given" : "Yi-Xin", "non-dropping-particle" : "", "parse-names" : false, "suffix" : "" }, { "dropping-particle" : "", "family" : "Zheng", "given" : "Rong-Yuan", "non-dropping-particle" : "", "parse-names" : false, "suffix" : "" }, { "dropping-particle" : "", "family" : "Xu", "given" : "Hui-Qin", "non-dropping-particle" : "", "parse-names" : false, "suffix" : "" } ], "container-title" : "PloS one", "id" : "ITEM-2", "issue" : "7", "issued" : { "date-parts" : [ [ "2015" ] ] }, "page" : "e0131566", "title" : "Comparative Long-Term Effectiveness of a Monotherapy with Five Antiepileptic Drugs for Focal Epilepsy in Adult Patients: A Prospective Cohort Study.", "type" : "article-journal", "volume" : "10" }, "uris" : [ "http://www.mendeley.com/documents/?uuid=2e34b6b7-bfe6-315e-8ed7-6d925689fd8e" ] }, { "id" : "ITEM-3", "itemData" : { "DOI" : "10.1016/S0140-6736(07)60460-7", "ISSN" : "1474-547X", "PMID" : "17382827", "abstract" : "BACKGROUND Carbamazepine is widely accepted as a drug of first choice for patients with partial onset seizures. Several newer drugs possess efficacy against these seizure types but previous randomised controlled trials have failed to inform a choice between these drugs. We aimed to assess efficacy with regards to longer-term outcomes, quality of life, and health economic outcomes. METHODS SANAD was an unblinded randomised controlled trial in hospital-based outpatient clinics in the UK. Arm A recruited 1721 patients for whom carbamazepine was deemed to be standard treatment, and they were randomly assigned to receive carbamazepine, gabapentin, lamotrigine, oxcarbazepine, or topiramate. Primary outcomes were time to treatment failure, and time to 12-months remission, and assessment was by both intention to treat and per protocol. This study is registered as an International Standard Randomised Controlled Trial, number ISRCTN38354748. FINDINGS For time to treatment failure, lamotrigine was significantly better than carbamazepine (hazard ratio [HR] 0.78 [95% CI 0.63-0.97]), gabapentin (0.65 [0.52-0.80]), and topiramate (0.64 [0.52-0.79]), and had a non-significant advantage compared with oxcarbazepine (1.15 [0.86-1.54]). For time to 12-month remission carbamazepine was significantly better than gabapentin (0.75 [0.63-0.90]), and estimates suggest a non-significant advantage for carbamazepine against lamotrigine (0.91 [0.77-1.09]), topiramate (0.86 [0.72-1.03]), and oxcarbazepine (0.92 [0.73-1.18]). In a per-protocol analysis, at 2 and 4 years the difference (95% CI) in the proportion achieving a 12-month remission (lamotrigine-carbamazepine) is 0 (-8 to 7) and 5 (-3 to 12), suggesting non-inferiority of lamotrigine compared with carbamazepine. INTERPRETATION Lamotrigine is clinically better than carbamazepine, the standard drug treatment, for time to treatment failure outcomes and is therefore a cost-effective alternative for patients diagnosed with partial onset seizures.", "author" : [ { "dropping-particle" : "", "family" : "Marson", "given" : "Anthony G", "non-dropping-particle" : "", "parse-names" : false, "suffix" : "" }, { "dropping-particle" : "", "family" : "Al-Kharusi", "given" : "Asya M", "non-dropping-particle" : "", "parse-names" : false, "suffix" : "" }, { "dropping-particle" : "", "family" : "Alwaidh", "given" : "Muna", "non-dropping-particle" : "", "parse-names" : false, "suffix" : "" }, { "dropping-particle" : "", "family" : "Appleton", "given" : "Richard", "non-dropping-particle" : "", "parse-names" : false, "suffix" : "" }, { "dropping-particle" : "", "family" : "Baker", "given" : "Gus A", "non-dropping-particle" : "", "parse-names" : false, "suffix" : "" }, { "dropping-particle" : "", "family" : "Chadwick", "given" : "David W", "non-dropping-particle" : "", "parse-names" : false, "suffix" : "" }, { "dropping-particle" : "", "family" : "Cramp", "given" : "Celia", "non-dropping-particle" : "", "parse-names" : false, "suffix" : "" }, { "dropping-particle" : "", "family" : "Cockerell", "given" : "Oliver C", "non-dropping-particle" : "", "parse-names" : false, "suffix" : "" }, { "dropping-particle" : "", "family" : "Cooper", "given" : "Paul N", "non-dropping-particle" : "", "parse-names" : false, "suffix" : "" }, { "dropping-particle" : "", "family" : "Doughty", "given" : "Julie", "non-dropping-particle" : "", "parse-names" : false, "suffix" : "" }, { "dropping-particle" : "", "family" : "Eaton", "given" : "Barbara", "non-dropping-particle" : "", "parse-names" : false, "suffix" : "" }, { "dropping-particle" : "", "family" : "Gamble", "given" : "Carrol", "non-dropping-particle" : "", "parse-names" : false, "suffix" : "" }, { "dropping-particle" : "", "family" : "Goulding", "given" : "Peter J", "non-dropping-particle" : "", "parse-names" : false, "suffix" : "" }, { "dropping-particle" : "", "family" : "Howell", "given" : "Stephen J L", "non-dropping-particle" : "", "parse-names" : false, "suffix" : "" }, { "dropping-particle" : "", "family" : "Hughes", "given" : "Adrian", "non-dropping-particle" : "", "parse-names" : false, "suffix" : "" }, { "dropping-particle" : "", "family" : "Jackson", "given" : "Margaret", "non-dropping-particle" : "", "parse-names" : false, "suffix" : "" }, { "dropping-particle" : "", "family" : "Jacoby", "given" : "Ann", "non-dropping-particle" : "", "parse-names" : false, "suffix" : "" }, { "dropping-particle" : "", "family" : "Kellett", "given" : "Mark", "non-dropping-particle" : "", "parse-names" : false, "suffix" : "" }, { "dropping-particle" : "", "family" : "Lawson", "given" : "Geoffrey R", "non-dropping-particle" : "", "parse-names" : false, "suffix" : "" }, { "dropping-particle" : "", "family" : "Leach", "given" : "John Paul", "non-dropping-particle" : "", "parse-names" : false, "suffix" : "" }, { "dropping-particle" : "", "family" : "Nicolaides", "given" : "Paola", "non-dropping-particle" : "", "parse-names" : false, "suffix" : "" }, { "dropping-particle" : "", "family" : "Roberts", "given" : "Richard", "non-dropping-particle" : "", "parse-names" : false, "suffix" : "" }, { "dropping-particle" : "", "family" : "Shackley", "given" : "Phil", "non-dropping-particle" : "", "parse-names" : false, "suffix" : "" }, { "dropping-particle" : "", "family" : "Shen", "given" : "Jing", "non-dropping-particle" : "", "parse-names" : false, "suffix" : "" }, { "dropping-particle" : "", "family" : "Smith", "given" : "David F", "non-dropping-particle" : "", "parse-names" : false, "suffix" : "" }, { "dropping-particle" : "", "family" : "Smith", "given" : "Philip E M", "non-dropping-particle" : "", "parse-names" : false, "suffix" : "" }, { "dropping-particle" : "", "family" : "Smith", "given" : "Catrin Tudur", "non-dropping-particle" : "", "parse-names" : false, "suffix" : "" }, { "dropping-particle" : "", "family" : "Vanoli", "given" : "Alessandra", "non-dropping-particle" : "", "parse-names" : false, "suffix" : "" }, { "dropping-particle" : "", "family" : "Williamson", "given" : "Paula R", "non-dropping-particle" : "", "parse-names" : false, "suffix" : "" }, { "dropping-particle" : "", "family" : "SANAD Study group", "given" : "", "non-dropping-particle" : "", "parse-names" : false, "suffix" : "" } ], "container-title" : "Lancet (London, England)", "id" : "ITEM-3", "issue" : "9566", "issued" : { "date-parts" : [ [ "2007", "3", "24" ] ] }, "page" : "1000-15", "publisher" : "Europe PMC Funders", "title" : "The SANAD study of effectiveness of carbamazepine, gabapentin, lamotrigine, oxcarbazepine, or topiramate for treatment of partial epilepsy: an unblinded randomised controlled trial.", "type" : "article-journal", "volume" : "369" }, "uris" : [ "http://www.mendeley.com/documents/?uuid=5b6be354-b277-3515-9a9c-f36e702975b9" ] } ], "mendeley" : { "formattedCitation" : "&lt;sup&gt;9,10,34&lt;/sup&gt;", "plainTextFormattedCitation" : "9,10,34", "previouslyFormattedCitation" : "&lt;sup&gt;9,10,34&lt;/sup&gt;" }, "properties" : { "noteIndex" : 0 }, "schema" : "https://github.com/citation-style-language/schema/raw/master/csl-citation.json" }</w:instrText>
      </w:r>
      <w:r w:rsidR="000C2E38">
        <w:fldChar w:fldCharType="separate"/>
      </w:r>
      <w:r w:rsidR="00037474" w:rsidRPr="00037474">
        <w:rPr>
          <w:noProof/>
          <w:vertAlign w:val="superscript"/>
        </w:rPr>
        <w:t>9,10,34</w:t>
      </w:r>
      <w:r w:rsidR="000C2E38">
        <w:fldChar w:fldCharType="end"/>
      </w:r>
      <w:r w:rsidRPr="001219F9">
        <w:t xml:space="preserve"> </w:t>
      </w:r>
      <w:proofErr w:type="gramStart"/>
      <w:r w:rsidRPr="001219F9">
        <w:t>The</w:t>
      </w:r>
      <w:proofErr w:type="gramEnd"/>
      <w:r w:rsidRPr="001219F9">
        <w:t xml:space="preserve"> most commonly reported ADRs were lethargy</w:t>
      </w:r>
      <w:r w:rsidR="004557B2">
        <w:t xml:space="preserve"> </w:t>
      </w:r>
      <w:r w:rsidRPr="001219F9">
        <w:t xml:space="preserve">and drowsiness, </w:t>
      </w:r>
      <w:r w:rsidR="00C325F8" w:rsidRPr="001219F9">
        <w:t xml:space="preserve">dizziness/vertigo/ataxia and blurred vision/diplopia. </w:t>
      </w:r>
      <w:r w:rsidRPr="001219F9">
        <w:t>We acknowledge that the prevalence figures of specific ADRs are likely subject to some degree of reporting bias.</w:t>
      </w:r>
    </w:p>
    <w:p w14:paraId="705F2EE5" w14:textId="73006839" w:rsidR="004D7318" w:rsidRDefault="001D189D" w:rsidP="00986FAD">
      <w:pPr>
        <w:pStyle w:val="BodyText"/>
        <w:spacing w:line="480" w:lineRule="auto"/>
        <w:jc w:val="both"/>
      </w:pPr>
      <w:r>
        <w:t>O</w:t>
      </w:r>
      <w:r w:rsidR="00E96794" w:rsidRPr="001219F9">
        <w:t xml:space="preserve">ur results did not show any clear advantage of newer versus older AEDs. Our study was largely based on retrospective data collected from medical records, with inherent weaknesses and biases. In particular, considerable proportions of data were missing for some of the </w:t>
      </w:r>
      <w:r>
        <w:t xml:space="preserve">collected </w:t>
      </w:r>
      <w:r w:rsidR="00E96794" w:rsidRPr="001219F9">
        <w:t xml:space="preserve">items. While some of these data were </w:t>
      </w:r>
      <w:r>
        <w:t>genuinely</w:t>
      </w:r>
      <w:r w:rsidRPr="001219F9">
        <w:t xml:space="preserve"> </w:t>
      </w:r>
      <w:r w:rsidR="00E96794" w:rsidRPr="001219F9">
        <w:t xml:space="preserve">missing, this is due in part also to the strict definitions we applied, for instance for classifying AED efficacy. Our patients were </w:t>
      </w:r>
      <w:r>
        <w:t xml:space="preserve">mostly </w:t>
      </w:r>
      <w:r w:rsidR="00E96794" w:rsidRPr="001219F9">
        <w:t xml:space="preserve">recruited from tertiary referral </w:t>
      </w:r>
      <w:proofErr w:type="spellStart"/>
      <w:r w:rsidR="00E96794" w:rsidRPr="001219F9">
        <w:t>centres</w:t>
      </w:r>
      <w:proofErr w:type="spellEnd"/>
      <w:r w:rsidR="00E96794" w:rsidRPr="001219F9">
        <w:t xml:space="preserve">, likely resulting in a bias towards more severely affected patients. </w:t>
      </w:r>
      <w:r>
        <w:t>O</w:t>
      </w:r>
      <w:r w:rsidRPr="001219F9">
        <w:t xml:space="preserve">ur </w:t>
      </w:r>
      <w:r w:rsidR="00E96794" w:rsidRPr="001219F9">
        <w:t xml:space="preserve">results </w:t>
      </w:r>
      <w:r>
        <w:t xml:space="preserve">thus </w:t>
      </w:r>
      <w:r w:rsidR="00E96794" w:rsidRPr="001219F9">
        <w:t>may not be applicable to the overall population with MTLE-HS. Also, our data are observational and therefore should not be interpreted as evidence of superiority of one AED over the other, an issue which can only be addressed in a randomized clinical trial in this specific population. It seems unlikely however that randomized clinical trials in specific patient populations will be</w:t>
      </w:r>
      <w:r w:rsidR="004557B2">
        <w:t xml:space="preserve"> carried out </w:t>
      </w:r>
      <w:r w:rsidR="00E96794" w:rsidRPr="001219F9">
        <w:t xml:space="preserve">in the foreseeable future. Our study is the first to provide an indication </w:t>
      </w:r>
      <w:r w:rsidR="00E96794" w:rsidRPr="001219F9">
        <w:lastRenderedPageBreak/>
        <w:t xml:space="preserve">of the effectiveness of medical treatments in a sizeable cohort of patients with a well-defined focal epilepsy syndrome and the results may inform further prospective studies. It is clear that such studies can only be realized through large, </w:t>
      </w:r>
      <w:proofErr w:type="spellStart"/>
      <w:r w:rsidR="00E96794" w:rsidRPr="001219F9">
        <w:t>multicentric</w:t>
      </w:r>
      <w:proofErr w:type="spellEnd"/>
      <w:r w:rsidR="00E96794" w:rsidRPr="001219F9">
        <w:t xml:space="preserve"> collaborations as the one illustrated here. Along the lines of recent reports describing the success of personalized treatments in specific epilepsy syndromes, mostly of m</w:t>
      </w:r>
      <w:r w:rsidR="000C2E38">
        <w:t>onogenic origin</w:t>
      </w:r>
      <w:r w:rsidR="00E96794" w:rsidRPr="001219F9">
        <w:t>,</w:t>
      </w:r>
      <w:r w:rsidR="000C2E38">
        <w:fldChar w:fldCharType="begin" w:fldLock="1"/>
      </w:r>
      <w:r w:rsidR="00973154">
        <w:instrText>ADDIN CSL_CITATION { "citationItems" : [ { "id" : "ITEM-1", "itemData" : { "DOI" : "10.1111/dmcn.12627", "ISSN" : "1469-8749", "PMID" : "25489635", "author" : [ { "dropping-particle" : "", "family" : "Andrade", "given" : "Danielle M", "non-dropping-particle" : "", "parse-names" : false, "suffix" : "" } ], "container-title" : "Developmental medicine and child neurology", "id" : "ITEM-1", "issue" : "2", "issued" : { "date-parts" : [ [ "2015", "2" ] ] }, "page" : "118-9", "title" : "Dravet syndrome, lamotrigine, and personalized medicine.", "type" : "article-journal", "volume" : "57" }, "uris" : [ "http://www.mendeley.com/documents/?uuid=bdc48768-f062-3325-84a2-2fb322c5e5ed" ] }, { "id" : "ITEM-2", "itemData" : { "DOI" : "10.1007/s13311-015-0372-8", "ISSN" : "1878-7479", "PMID" : "26252990", "abstract" : "Mutations in SCN8A are associated with epilepsy and intellectual disability. SCN8A encodes for sodium channel Nav1.6, which is located in the brain. Gain-of-function missense mutations in SCN8A are thought to lead to increased firing of excitatory neurons containing Nav1.6, and therefore to lead to increased seizure susceptibility. We hypothesized that sodium channel blockers could have a beneficial effect in patients with SCN8A-related epilepsy by blocking the overactive Nav1.6 and thereby counteracting the effect of the mutation. Herein, we describe 4 patients with a missense SCN8A mutation and epilepsy who all show a remarkably good response on high doses of phenytoin and loss of seizure control when phenytoin medication was reduced, while side effects were relatively mild. In 2 patients, repeated withdrawal of phenytoin led to the reoccurrence of seizures. Based on the findings in these patients and the underlying molecular mechanism we consider treatment with (high-dose) phenytoin as a possible treatment option in patients with difficult-to-control seizures due to an SCN8A mutation.", "author" : [ { "dropping-particle" : "", "family" : "Boerma", "given" : "Ragna S.", "non-dropping-particle" : "", "parse-names" : false, "suffix" : "" }, { "dropping-particle" : "", "family" : "Braun", "given" : "Kees P.", "non-dropping-particle" : "", "parse-names" : false, "suffix" : "" }, { "dropping-particle" : "", "family" : "Broek", "given" : "Marcel P H", "non-dropping-particle" : "van den", "parse-names" : false, "suffix" : "" }, { "dropping-particle" : "", "family" : "Broek", "given" : "Maarten P. H.", "non-dropping-particle" : "van de", "parse-names" : false, "suffix" : "" }, { "dropping-particle" : "", "family" : "Berkestijn", "given" : "Frederique M. C.", "non-dropping-particle" : "van", "parse-names" : false, "suffix" : "" }, { "dropping-particle" : "", "family" : "Swinkels", "given" : "Marielle E.", "non-dropping-particle" : "", "parse-names" : false, "suffix" : "" }, { "dropping-particle" : "", "family" : "Hagebeuk", "given" : "Eveline O.", "non-dropping-particle" : "", "parse-names" : false, "suffix" : "" }, { "dropping-particle" : "", "family" : "Lindhout", "given" : "Dick", "non-dropping-particle" : "", "parse-names" : false, "suffix" : "" }, { "dropping-particle" : "", "family" : "Kempen", "given" : "Marjan", "non-dropping-particle" : "van", "parse-names" : false, "suffix" : "" }, { "dropping-particle" : "", "family" : "Boon", "given" : "Maartje", "non-dropping-particle" : "", "parse-names" : false, "suffix" : "" }, { "dropping-particle" : "", "family" : "Nicolai", "given" : "Joost", "non-dropping-particle" : "", "parse-names" : false, "suffix" : "" }, { "dropping-particle" : "", "family" : "Kovel", "given" : "Carolien G.", "non-dropping-particle" : "de", "parse-names" : false, "suffix" : "" }, { "dropping-particle" : "", "family" : "Brilstra", "given" : "Eva H.", "non-dropping-particle" : "", "parse-names" : false, "suffix" : "" }, { "dropping-particle" : "", "family" : "Koeleman", "given" : "Bobby P C", "non-dropping-particle" : "", "parse-names" : false, "suffix" : "" } ], "container-title" : "Neurotherapeutics : the journal of the American Society for Experimental NeuroTherapeutics", "id" : "ITEM-2", "issue" : "1", "issued" : { "date-parts" : [ [ "2016", "1", "9" ] ] }, "page" : "192-7", "title" : "Remarkable Phenytoin Sensitivity in 4 Children with SCN8A-related Epilepsy: A Molecular Neuropharmacological Approach.", "type" : "article-journal", "volume" : "13" }, "uris" : [ "http://www.mendeley.com/documents/?uuid=ef59447c-cc0a-3dbd-a02e-1aa6d41f303b" ] }, { "id" : "ITEM-3", "itemData" : { "DOI" : "10.1002/acn3.39", "ISSN" : "23289503", "PMID" : "24839611", "abstract" : "OBJECTIVE Early-onset epileptic encephalopathies have been associated with de novo mutations of numerous ion channel genes. We employed techniques of modern translational medicine to identify a disease-causing mutation, analyze its altered behavior, and screen for therapeutic compounds to treat the proband. METHODS Three modern translational medicine tools were utilized: 1) high-throughput sequencing technology to identify a novel de novo mutation; 2) in vitro expression and electrophysiology assays to confirm the variant protein's dysfunction; and 3) screening of existing drug libraries to identify potential therapeutic compounds. RESULTS A de novo GRIN2A missense mutation (c.2434C&gt;A; p.L812M) increased the charge transfer mediated by NMDA receptors containing the mutant GluN2A-L812M subunit. In vitro analysis with NMDA receptor blockers indicated that GLuN2A-L812M-containing NMDARs retained their sensitivity to the use-dependent channel blocker memantine; while screening of a previously reported GRIN2A mutation (N615K) with these compounds produced contrasting results. Consistent with these data, adjunct memantine therapy reduced our proband's seizure burden. INTERPRETATION This case exemplifies the potential for personalized genomics and therapeutics to be utilized for the early diagnosis and treatment of infantile-onset neurological disease.", "author" : [ { "dropping-particle" : "", "family" : "Pierson", "given" : "Tyler Mark", "non-dropping-particle" : "", "parse-names" : false, "suffix" : "" }, { "dropping-particle" : "", "family" : "Yuan", "given" : "Hongjie", "non-dropping-particle" : "", "parse-names" : false, "suffix" : "" }, { "dropping-particle" : "", "family" : "Marsh", "given" : "Eric D.", "non-dropping-particle" : "", "parse-names" : false, "suffix" : "" }, { "dropping-particle" : "", "family" : "Fuentes-Fajardo", "given" : "Karin", "non-dropping-particle" : "", "parse-names" : false, "suffix" : "" }, { "dropping-particle" : "", "family" : "Adams", "given" : "David R.", "non-dropping-particle" : "", "parse-names" : false, "suffix" : "" }, { "dropping-particle" : "", "family" : "Markello", "given" : "Thomas", "non-dropping-particle" : "", "parse-names" : false, "suffix" : "" }, { "dropping-particle" : "", "family" : "Golas", "given" : "Gretchen", "non-dropping-particle" : "", "parse-names" : false, "suffix" : "" }, { "dropping-particle" : "", "family" : "Simeonov", "given" : "Dimitre R.", "non-dropping-particle" : "", "parse-names" : false, "suffix" : "" }, { "dropping-particle" : "", "family" : "Holloman", "given" : "Conisha", "non-dropping-particle" : "", "parse-names" : false, "suffix" : "" }, { "dropping-particle" : "", "family" : "Tankovic", "given" : "Anel", "non-dropping-particle" : "", "parse-names" : false, "suffix" : "" }, { "dropping-particle" : "", "family" : "Karamchandani", "given" : "Manish M.", "non-dropping-particle" : "", "parse-names" : false, "suffix" : "" }, { "dropping-particle" : "", "family" : "Schreiber", "given" : "John M.", "non-dropping-particle" : "", "parse-names" : false, "suffix" : "" }, { "dropping-particle" : "", "family" : "Mullikin", "given" : "James C.", "non-dropping-particle" : "", "parse-names" : false, "suffix" : "" }, { "dropping-particle" : "", "family" : "PhD for the NISC Comparative Sequencing Program", "given" : "", "non-dropping-particle" : "", "parse-names" : false, "suffix" : "" }, { "dropping-particle" : "", "family" : "Tifft", "given" : "Cynthia J.", "non-dropping-particle" : "", "parse-names" : false, "suffix" : "" }, { "dropping-particle" : "", "family" : "Toro", "given" : "Camilo", "non-dropping-particle" : "", "parse-names" : false, "suffix" : "" }, { "dropping-particle" : "", "family" : "Boerkoel", "given" : "Cornelius F.", "non-dropping-particle" : "", "parse-names" : false, "suffix" : "" }, { "dropping-particle" : "", "family" : "Traynelis", "given" : "Stephen F.", "non-dropping-particle" : "", "parse-names" : false, "suffix" : "" }, { "dropping-particle" : "", "family" : "Gahl", "given" : "William A", "non-dropping-particle" : "", "parse-names" : false, "suffix" : "" } ], "container-title" : "Annals of clinical and translational neurology", "id" : "ITEM-3", "issue" : "3", "issued" : { "date-parts" : [ [ "2014", "3", "1" ] ] }, "page" : "190-198", "title" : "GRIN2A mutation and early-onset epileptic encephalopathy: personalized therapy with memantine.", "type" : "article-journal", "volume" : "1" }, "uris" : [ "http://www.mendeley.com/documents/?uuid=21ef3dca-81c5-333f-9584-0d8d21102671" ] }, { "id" : "ITEM-4", "itemData" : { "DOI" : "10.1002/ana.24128", "ISSN" : "1531-8249", "PMID" : "24591078", "abstract" : "OBJECTIVE Mutations in KCNT1 have been implicated in autosomal dominant nocturnal frontal lobe epilepsy (ADNFLE) and epilepsy of infancy with migrating focal seizures (EIMFS). More recently, a whole exome sequencing study of epileptic encephalopathies identified an additional de novo mutation in 1 proband with EIMFS. We aim to investigate the electrophysiological and pharmacological characteristics of hKCNT1 mutations and examine developmental expression levels. METHODS Here we use a Xenopus laevis oocyte-based automated 2-electrode voltage clamp assay. The effects of quinidine (100 and 300 \u03bcM) are also tested. Using quantitative reverse transcriptase polymerase chain reaction, the relative levels of mouse brain mKcnt1 mRNA expression are determined. RESULTS We demonstrate that KCNT1 mutations implicated in epilepsy cause a marked increase in function. Importantly, there is a significant group difference in gain of function between mutations associated with ADNFLE and EIMFS. Finally, exposure to quinidine significantly reduces this gain of function for all mutations studied. INTERPRETATION These results establish direction for a targeted therapy and potentially exemplify a translational paradigm for in vitro studies informing novel therapies in a neuropsychiatric disease.", "author" : [ { "dropping-particle" : "", "family" : "Milligan", "given" : "Carol J.", "non-dropping-particle" : "", "parse-names" : false, "suffix" : "" }, { "dropping-particle" : "", "family" : "Li", "given" : "Melody", "non-dropping-particle" : "", "parse-names" : false, "suffix" : "" }, { "dropping-particle" : "V.", "family" : "Gazina", "given" : "Elena", "non-dropping-particle" : "", "parse-names" : false, "suffix" : "" }, { "dropping-particle" : "", "family" : "Heron", "given" : "Sarah E.", "non-dropping-particle" : "", "parse-names" : false, "suffix" : "" }, { "dropping-particle" : "", "family" : "Nair", "given" : "Umesh", "non-dropping-particle" : "", "parse-names" : false, "suffix" : "" }, { "dropping-particle" : "", "family" : "Trager", "given" : "Chantel", "non-dropping-particle" : "", "parse-names" : false, "suffix" : "" }, { "dropping-particle" : "", "family" : "Reid", "given" : "Christopher A.", "non-dropping-particle" : "", "parse-names" : false, "suffix" : "" }, { "dropping-particle" : "", "family" : "Venkat", "given" : "Anu", "non-dropping-particle" : "", "parse-names" : false, "suffix" : "" }, { "dropping-particle" : "", "family" : "Younkin", "given" : "Donald P.", "non-dropping-particle" : "", "parse-names" : false, "suffix" : "" }, { "dropping-particle" : "", "family" : "Dlugos", "given" : "Dennis J.", "non-dropping-particle" : "", "parse-names" : false, "suffix" : "" }, { "dropping-particle" : "", "family" : "Petrovski", "given" : "Slav\u00e9", "non-dropping-particle" : "", "parse-names" : false, "suffix" : "" }, { "dropping-particle" : "", "family" : "Goldstein", "given" : "David B.", "non-dropping-particle" : "", "parse-names" : false, "suffix" : "" }, { "dropping-particle" : "", "family" : "Dibbens", "given" : "Leanne M.", "non-dropping-particle" : "", "parse-names" : false, "suffix" : "" }, { "dropping-particle" : "", "family" : "Scheffer", "given" : "Ingrid E.", "non-dropping-particle" : "", "parse-names" : false, "suffix" : "" }, { "dropping-particle" : "", "family" : "Berkovic", "given" : "Samuel F.", "non-dropping-particle" : "", "parse-names" : false, "suffix" : "" }, { "dropping-particle" : "", "family" : "Petrou", "given" : "Steven", "non-dropping-particle" : "", "parse-names" : false, "suffix" : "" } ], "container-title" : "Annals of neurology", "id" : "ITEM-4", "issue" : "4", "issued" : { "date-parts" : [ [ "2014", "4" ] ] }, "page" : "581-90", "title" : "KCNT1 gain of function in 2 epilepsy phenotypes is reversed by quinidine.", "type" : "article-journal", "volume" : "75" }, "uris" : [ "http://www.mendeley.com/documents/?uuid=6e1be8c1-d3cc-3aaf-8f5a-70e9cfd25750" ] } ], "mendeley" : { "formattedCitation" : "&lt;sup&gt;35\u201338&lt;/sup&gt;", "plainTextFormattedCitation" : "35\u201338", "previouslyFormattedCitation" : "&lt;sup&gt;35\u201338&lt;/sup&gt;" }, "properties" : { "noteIndex" : 0 }, "schema" : "https://github.com/citation-style-language/schema/raw/master/csl-citation.json" }</w:instrText>
      </w:r>
      <w:r w:rsidR="000C2E38">
        <w:fldChar w:fldCharType="separate"/>
      </w:r>
      <w:r w:rsidR="00037474" w:rsidRPr="00037474">
        <w:rPr>
          <w:noProof/>
          <w:vertAlign w:val="superscript"/>
        </w:rPr>
        <w:t>35–38</w:t>
      </w:r>
      <w:r w:rsidR="000C2E38">
        <w:fldChar w:fldCharType="end"/>
      </w:r>
      <w:r w:rsidR="00E96794" w:rsidRPr="001219F9">
        <w:t xml:space="preserve"> these studies may help direct treatment in well-characterized subgroups of patients with specific epilepsy syndromes, ultimately leading to more efficacious and less harmful treatments.</w:t>
      </w:r>
    </w:p>
    <w:p w14:paraId="4963D558" w14:textId="77777777" w:rsidR="00986FAD" w:rsidRDefault="00986FAD" w:rsidP="00986FAD">
      <w:pPr>
        <w:pStyle w:val="BodyText"/>
        <w:spacing w:line="480" w:lineRule="auto"/>
        <w:jc w:val="both"/>
      </w:pPr>
    </w:p>
    <w:p w14:paraId="52E2AFEC" w14:textId="77777777" w:rsidR="00D36B50" w:rsidRDefault="00D36B50" w:rsidP="00D36B50">
      <w:pPr>
        <w:pStyle w:val="Heading2"/>
        <w:spacing w:line="480" w:lineRule="auto"/>
        <w:jc w:val="both"/>
        <w:rPr>
          <w:color w:val="auto"/>
        </w:rPr>
      </w:pPr>
      <w:r w:rsidRPr="00D36B50">
        <w:rPr>
          <w:color w:val="auto"/>
        </w:rPr>
        <w:t>Key Point</w:t>
      </w:r>
      <w:r>
        <w:rPr>
          <w:color w:val="auto"/>
        </w:rPr>
        <w:t>s</w:t>
      </w:r>
    </w:p>
    <w:p w14:paraId="5D83DFB4" w14:textId="794652C7" w:rsidR="00D36B50" w:rsidRDefault="002E3A88" w:rsidP="00D9194C">
      <w:pPr>
        <w:pStyle w:val="BodyText"/>
        <w:numPr>
          <w:ilvl w:val="0"/>
          <w:numId w:val="4"/>
        </w:numPr>
        <w:spacing w:line="480" w:lineRule="auto"/>
      </w:pPr>
      <w:r>
        <w:t>Comparative AED effectiveness studies in specific focal epilepsy syndromes are lacking</w:t>
      </w:r>
    </w:p>
    <w:p w14:paraId="2F807438" w14:textId="5EA65A38" w:rsidR="00D9194C" w:rsidRDefault="00D9194C" w:rsidP="00D9194C">
      <w:pPr>
        <w:pStyle w:val="BodyText"/>
        <w:numPr>
          <w:ilvl w:val="0"/>
          <w:numId w:val="4"/>
        </w:numPr>
        <w:spacing w:line="480" w:lineRule="auto"/>
      </w:pPr>
      <w:r>
        <w:t>We conducted a large retrospective database study on effectiveness of 10 AEDs in patients with MTLE-HS</w:t>
      </w:r>
    </w:p>
    <w:p w14:paraId="7E96A352" w14:textId="77777777" w:rsidR="00D9194C" w:rsidRDefault="00D9194C" w:rsidP="00D9194C">
      <w:pPr>
        <w:pStyle w:val="BodyText"/>
        <w:numPr>
          <w:ilvl w:val="0"/>
          <w:numId w:val="4"/>
        </w:numPr>
        <w:spacing w:line="480" w:lineRule="auto"/>
      </w:pPr>
      <w:r w:rsidRPr="001219F9">
        <w:t>The highest 12-month retention rates were observed with carbamazepine</w:t>
      </w:r>
    </w:p>
    <w:p w14:paraId="5E8F1C50" w14:textId="250D9DA5" w:rsidR="00D9194C" w:rsidRDefault="00D9194C" w:rsidP="00D9194C">
      <w:pPr>
        <w:pStyle w:val="BodyText"/>
        <w:numPr>
          <w:ilvl w:val="0"/>
          <w:numId w:val="4"/>
        </w:numPr>
        <w:spacing w:line="480" w:lineRule="auto"/>
      </w:pPr>
      <w:r w:rsidRPr="001219F9">
        <w:t>Twelve-month seizure freedom rates</w:t>
      </w:r>
      <w:r w:rsidR="00DC3D34">
        <w:t xml:space="preserve"> on individual AEDs</w:t>
      </w:r>
      <w:r w:rsidRPr="001219F9">
        <w:t xml:space="preserve"> varied from 1.2% to 11%</w:t>
      </w:r>
    </w:p>
    <w:p w14:paraId="44C13428" w14:textId="6EF2E6F3" w:rsidR="00D9194C" w:rsidRPr="00D36B50" w:rsidRDefault="00D9194C" w:rsidP="00D9194C">
      <w:pPr>
        <w:pStyle w:val="BodyText"/>
        <w:numPr>
          <w:ilvl w:val="0"/>
          <w:numId w:val="4"/>
        </w:numPr>
        <w:spacing w:line="480" w:lineRule="auto"/>
      </w:pPr>
      <w:r w:rsidRPr="001219F9">
        <w:t xml:space="preserve">ADRs were reported in </w:t>
      </w:r>
      <w:r>
        <w:t>nearly half</w:t>
      </w:r>
      <w:r w:rsidRPr="001219F9">
        <w:t xml:space="preserve"> of patients, with the highest rates </w:t>
      </w:r>
      <w:r>
        <w:t>with</w:t>
      </w:r>
      <w:r w:rsidRPr="001219F9">
        <w:t xml:space="preserve"> oxcarbazepine and the lowest </w:t>
      </w:r>
      <w:r>
        <w:t xml:space="preserve">with </w:t>
      </w:r>
      <w:proofErr w:type="spellStart"/>
      <w:r>
        <w:t>clobazam</w:t>
      </w:r>
      <w:proofErr w:type="spellEnd"/>
    </w:p>
    <w:p w14:paraId="35FA001A" w14:textId="77777777" w:rsidR="00D36B50" w:rsidRDefault="00D36B50" w:rsidP="00986FAD">
      <w:pPr>
        <w:pStyle w:val="BodyText"/>
        <w:spacing w:line="480" w:lineRule="auto"/>
        <w:jc w:val="both"/>
      </w:pPr>
    </w:p>
    <w:p w14:paraId="0D7B1151" w14:textId="77777777" w:rsidR="00986FAD" w:rsidRPr="00577196" w:rsidRDefault="00986FAD" w:rsidP="00577196">
      <w:pPr>
        <w:pStyle w:val="Heading2"/>
        <w:spacing w:line="480" w:lineRule="auto"/>
        <w:jc w:val="both"/>
        <w:rPr>
          <w:color w:val="auto"/>
        </w:rPr>
      </w:pPr>
      <w:r w:rsidRPr="00577196">
        <w:rPr>
          <w:color w:val="auto"/>
        </w:rPr>
        <w:lastRenderedPageBreak/>
        <w:t xml:space="preserve">Appendix </w:t>
      </w:r>
    </w:p>
    <w:p w14:paraId="45540F11" w14:textId="77777777" w:rsidR="00986FAD" w:rsidRPr="007F5E23" w:rsidRDefault="00986FAD" w:rsidP="00986FAD">
      <w:pPr>
        <w:pStyle w:val="Bibliography"/>
        <w:spacing w:line="480" w:lineRule="auto"/>
        <w:jc w:val="both"/>
        <w:rPr>
          <w:b/>
        </w:rPr>
      </w:pPr>
      <w:proofErr w:type="spellStart"/>
      <w:r w:rsidRPr="007F5E23">
        <w:rPr>
          <w:b/>
        </w:rPr>
        <w:t>EpiPGX</w:t>
      </w:r>
      <w:proofErr w:type="spellEnd"/>
      <w:r w:rsidRPr="007F5E23">
        <w:rPr>
          <w:b/>
        </w:rPr>
        <w:t xml:space="preserve"> Consortium Contributors</w:t>
      </w:r>
    </w:p>
    <w:p w14:paraId="44D2D352" w14:textId="4F0E782D" w:rsidR="00986FAD" w:rsidRDefault="00986FAD" w:rsidP="00986FAD">
      <w:pPr>
        <w:pStyle w:val="Bibliography"/>
        <w:spacing w:line="480" w:lineRule="auto"/>
        <w:jc w:val="both"/>
      </w:pPr>
      <w:r>
        <w:t xml:space="preserve">Martin J. Brodie; Krishna </w:t>
      </w:r>
      <w:proofErr w:type="spellStart"/>
      <w:r>
        <w:t>Chinthapalli</w:t>
      </w:r>
      <w:proofErr w:type="spellEnd"/>
      <w:r>
        <w:t xml:space="preserve">; </w:t>
      </w:r>
      <w:proofErr w:type="spellStart"/>
      <w:r>
        <w:t>Gerrit</w:t>
      </w:r>
      <w:proofErr w:type="spellEnd"/>
      <w:r>
        <w:t xml:space="preserve">-Jan de </w:t>
      </w:r>
      <w:proofErr w:type="spellStart"/>
      <w:r>
        <w:t>Haan</w:t>
      </w:r>
      <w:proofErr w:type="spellEnd"/>
      <w:r>
        <w:t xml:space="preserve">; Colin Doherty; </w:t>
      </w:r>
      <w:proofErr w:type="spellStart"/>
      <w:r w:rsidRPr="007F5E23">
        <w:t>Lárus</w:t>
      </w:r>
      <w:proofErr w:type="spellEnd"/>
      <w:r w:rsidRPr="007F5E23">
        <w:t xml:space="preserve"> J</w:t>
      </w:r>
      <w:r>
        <w:t>.</w:t>
      </w:r>
      <w:r w:rsidRPr="007F5E23">
        <w:t xml:space="preserve"> </w:t>
      </w:r>
      <w:proofErr w:type="spellStart"/>
      <w:r w:rsidRPr="007F5E23">
        <w:t>Gudmundsson</w:t>
      </w:r>
      <w:proofErr w:type="spellEnd"/>
      <w:r w:rsidRPr="007F5E23">
        <w:t xml:space="preserve">; </w:t>
      </w:r>
      <w:r>
        <w:t xml:space="preserve">Sinead </w:t>
      </w:r>
      <w:proofErr w:type="spellStart"/>
      <w:r>
        <w:t>Heavin</w:t>
      </w:r>
      <w:proofErr w:type="spellEnd"/>
      <w:r>
        <w:t xml:space="preserve">; </w:t>
      </w:r>
      <w:r w:rsidRPr="007F5E23">
        <w:t xml:space="preserve">Andres </w:t>
      </w:r>
      <w:proofErr w:type="spellStart"/>
      <w:r w:rsidRPr="007F5E23">
        <w:t>Ingason</w:t>
      </w:r>
      <w:proofErr w:type="spellEnd"/>
      <w:r w:rsidRPr="007F5E23">
        <w:t xml:space="preserve">; </w:t>
      </w:r>
      <w:r>
        <w:t>Michael Johnson; Clare Kennedy</w:t>
      </w:r>
      <w:r w:rsidR="00746E5D">
        <w:t xml:space="preserve">; </w:t>
      </w:r>
      <w:r w:rsidR="0053094D">
        <w:t xml:space="preserve">Martin </w:t>
      </w:r>
      <w:proofErr w:type="spellStart"/>
      <w:r w:rsidR="0053094D">
        <w:t>Krenn</w:t>
      </w:r>
      <w:proofErr w:type="spellEnd"/>
      <w:r w:rsidR="0053094D">
        <w:t xml:space="preserve">; </w:t>
      </w:r>
      <w:r>
        <w:t xml:space="preserve">Mark McCormack; Terence J. O’Brien; Massimo </w:t>
      </w:r>
      <w:proofErr w:type="spellStart"/>
      <w:r>
        <w:t>Pandolfo</w:t>
      </w:r>
      <w:proofErr w:type="spellEnd"/>
      <w:r>
        <w:t xml:space="preserve">; </w:t>
      </w:r>
      <w:r w:rsidR="00AA53B6" w:rsidRPr="00AA53B6">
        <w:t xml:space="preserve">Ekaterina </w:t>
      </w:r>
      <w:proofErr w:type="spellStart"/>
      <w:r w:rsidR="00AA53B6" w:rsidRPr="00AA53B6">
        <w:t>Pataraia</w:t>
      </w:r>
      <w:proofErr w:type="spellEnd"/>
      <w:r w:rsidR="00DB67E8">
        <w:t>;</w:t>
      </w:r>
      <w:r w:rsidR="00AA53B6" w:rsidRPr="00AA53B6">
        <w:t xml:space="preserve"> </w:t>
      </w:r>
      <w:r>
        <w:t xml:space="preserve">Slave </w:t>
      </w:r>
      <w:proofErr w:type="spellStart"/>
      <w:r>
        <w:t>Petrovski</w:t>
      </w:r>
      <w:proofErr w:type="spellEnd"/>
      <w:r>
        <w:t xml:space="preserve">; Sarah Rau; Narek </w:t>
      </w:r>
      <w:proofErr w:type="spellStart"/>
      <w:r>
        <w:t>Sargsyan</w:t>
      </w:r>
      <w:proofErr w:type="spellEnd"/>
      <w:r>
        <w:t xml:space="preserve">; Lisa Slattery; </w:t>
      </w:r>
      <w:proofErr w:type="spellStart"/>
      <w:r w:rsidRPr="007F5E23">
        <w:t>Kári</w:t>
      </w:r>
      <w:proofErr w:type="spellEnd"/>
      <w:r w:rsidRPr="007F5E23">
        <w:t xml:space="preserve"> </w:t>
      </w:r>
      <w:proofErr w:type="spellStart"/>
      <w:r w:rsidRPr="007F5E23">
        <w:t>Stefánsson</w:t>
      </w:r>
      <w:proofErr w:type="spellEnd"/>
      <w:r>
        <w:t xml:space="preserve">; William Stern; Anna </w:t>
      </w:r>
      <w:proofErr w:type="spellStart"/>
      <w:r>
        <w:t>Tostevin</w:t>
      </w:r>
      <w:proofErr w:type="spellEnd"/>
      <w:r>
        <w:t>; Joseph Willis</w:t>
      </w:r>
      <w:r w:rsidR="0053094D">
        <w:t xml:space="preserve">; Fritz </w:t>
      </w:r>
      <w:proofErr w:type="spellStart"/>
      <w:r w:rsidR="0053094D">
        <w:t>Zimprich</w:t>
      </w:r>
      <w:proofErr w:type="spellEnd"/>
      <w:r>
        <w:t>.</w:t>
      </w:r>
    </w:p>
    <w:p w14:paraId="16F27F4B" w14:textId="77777777" w:rsidR="0066531F" w:rsidRDefault="0066531F" w:rsidP="00986FAD">
      <w:pPr>
        <w:pStyle w:val="Bibliography"/>
        <w:spacing w:line="480" w:lineRule="auto"/>
        <w:jc w:val="both"/>
      </w:pPr>
    </w:p>
    <w:p w14:paraId="6701C9F4" w14:textId="77777777" w:rsidR="00986FAD" w:rsidRPr="00577196" w:rsidRDefault="00986FAD" w:rsidP="00577196">
      <w:pPr>
        <w:pStyle w:val="Heading2"/>
        <w:spacing w:line="480" w:lineRule="auto"/>
        <w:jc w:val="both"/>
        <w:rPr>
          <w:color w:val="auto"/>
        </w:rPr>
      </w:pPr>
      <w:r w:rsidRPr="00577196">
        <w:rPr>
          <w:color w:val="auto"/>
        </w:rPr>
        <w:t>Acknowledgments</w:t>
      </w:r>
    </w:p>
    <w:p w14:paraId="4AAD7553" w14:textId="124C5D93" w:rsidR="00986FAD" w:rsidRPr="006D3D3A" w:rsidRDefault="00986FAD" w:rsidP="00986FAD">
      <w:pPr>
        <w:pStyle w:val="Bibliography"/>
        <w:spacing w:line="480" w:lineRule="auto"/>
        <w:jc w:val="both"/>
      </w:pPr>
      <w:r>
        <w:t xml:space="preserve">We wish to thank </w:t>
      </w:r>
      <w:proofErr w:type="spellStart"/>
      <w:r>
        <w:t>Vicenzo</w:t>
      </w:r>
      <w:proofErr w:type="spellEnd"/>
      <w:r>
        <w:t xml:space="preserve"> </w:t>
      </w:r>
      <w:proofErr w:type="spellStart"/>
      <w:r>
        <w:t>Belcastro</w:t>
      </w:r>
      <w:proofErr w:type="spellEnd"/>
      <w:r>
        <w:t xml:space="preserve">, </w:t>
      </w:r>
      <w:proofErr w:type="spellStart"/>
      <w:r>
        <w:t>Amedeo</w:t>
      </w:r>
      <w:proofErr w:type="spellEnd"/>
      <w:r>
        <w:t xml:space="preserve"> Bianchi, Francesca </w:t>
      </w:r>
      <w:proofErr w:type="spellStart"/>
      <w:r>
        <w:t>Bisulli</w:t>
      </w:r>
      <w:proofErr w:type="spellEnd"/>
      <w:r>
        <w:t xml:space="preserve">, Giuseppe </w:t>
      </w:r>
      <w:proofErr w:type="spellStart"/>
      <w:r>
        <w:t>Capovilla</w:t>
      </w:r>
      <w:proofErr w:type="spellEnd"/>
      <w:r>
        <w:t xml:space="preserve">, Giovanni </w:t>
      </w:r>
      <w:proofErr w:type="spellStart"/>
      <w:r>
        <w:t>Crichiutti</w:t>
      </w:r>
      <w:proofErr w:type="spellEnd"/>
      <w:r>
        <w:t xml:space="preserve">, </w:t>
      </w:r>
      <w:r w:rsidR="00AB3165">
        <w:t xml:space="preserve">Simona Donatello, </w:t>
      </w:r>
      <w:r>
        <w:t xml:space="preserve">Antonio Gambardella, Anna Teresa </w:t>
      </w:r>
      <w:proofErr w:type="spellStart"/>
      <w:r>
        <w:t>Giallonardo</w:t>
      </w:r>
      <w:proofErr w:type="spellEnd"/>
      <w:r>
        <w:t xml:space="preserve">, </w:t>
      </w:r>
      <w:r w:rsidR="0053094D">
        <w:t xml:space="preserve">Christian </w:t>
      </w:r>
      <w:proofErr w:type="spellStart"/>
      <w:r w:rsidR="0053094D">
        <w:t>Hengsbach</w:t>
      </w:r>
      <w:proofErr w:type="spellEnd"/>
      <w:r w:rsidR="0053094D">
        <w:t xml:space="preserve">, </w:t>
      </w:r>
      <w:r>
        <w:t xml:space="preserve">Angela La Neve, </w:t>
      </w:r>
      <w:r w:rsidRPr="006D3D3A">
        <w:rPr>
          <w:lang w:val="en-GB"/>
        </w:rPr>
        <w:t xml:space="preserve">Benjamin </w:t>
      </w:r>
      <w:proofErr w:type="spellStart"/>
      <w:r w:rsidRPr="006D3D3A">
        <w:rPr>
          <w:lang w:val="en-GB"/>
        </w:rPr>
        <w:t>Legros</w:t>
      </w:r>
      <w:proofErr w:type="spellEnd"/>
      <w:r w:rsidRPr="006D3D3A">
        <w:rPr>
          <w:lang w:val="en-GB"/>
        </w:rPr>
        <w:t xml:space="preserve">, </w:t>
      </w:r>
      <w:r>
        <w:t xml:space="preserve">Carla Marini, Roberto </w:t>
      </w:r>
      <w:proofErr w:type="spellStart"/>
      <w:r>
        <w:t>Michelucci</w:t>
      </w:r>
      <w:proofErr w:type="spellEnd"/>
      <w:r>
        <w:t xml:space="preserve">, </w:t>
      </w:r>
      <w:r w:rsidR="0053094D" w:rsidRPr="0053094D">
        <w:t>Susanne Schubert-</w:t>
      </w:r>
      <w:proofErr w:type="spellStart"/>
      <w:r w:rsidR="0053094D" w:rsidRPr="0053094D">
        <w:t>Bast</w:t>
      </w:r>
      <w:proofErr w:type="spellEnd"/>
      <w:r w:rsidR="0053094D">
        <w:t xml:space="preserve">, </w:t>
      </w:r>
      <w:r w:rsidR="0053094D" w:rsidRPr="0053094D">
        <w:t>Bernhard Steinhoff</w:t>
      </w:r>
      <w:r w:rsidR="0053094D">
        <w:t xml:space="preserve">, </w:t>
      </w:r>
      <w:proofErr w:type="spellStart"/>
      <w:r w:rsidRPr="006D3D3A">
        <w:t>Wim</w:t>
      </w:r>
      <w:proofErr w:type="spellEnd"/>
      <w:r w:rsidRPr="006D3D3A">
        <w:t xml:space="preserve"> Van </w:t>
      </w:r>
      <w:proofErr w:type="spellStart"/>
      <w:r w:rsidRPr="006D3D3A">
        <w:t>Paesschen</w:t>
      </w:r>
      <w:proofErr w:type="spellEnd"/>
      <w:r w:rsidR="0053094D">
        <w:t xml:space="preserve">, </w:t>
      </w:r>
      <w:r>
        <w:t xml:space="preserve">Aglaia </w:t>
      </w:r>
      <w:proofErr w:type="spellStart"/>
      <w:r>
        <w:t>Vignoli</w:t>
      </w:r>
      <w:proofErr w:type="spellEnd"/>
      <w:r w:rsidR="0053094D">
        <w:t xml:space="preserve">, and Yvonne Weber </w:t>
      </w:r>
      <w:r>
        <w:t>for assisting with patient recruitment</w:t>
      </w:r>
      <w:r w:rsidRPr="006D3D3A">
        <w:t xml:space="preserve">. </w:t>
      </w:r>
      <w:r w:rsidRPr="0081321F">
        <w:t xml:space="preserve"> </w:t>
      </w:r>
      <w:r w:rsidR="0053094D">
        <w:t xml:space="preserve">                             </w:t>
      </w:r>
      <w:r>
        <w:t xml:space="preserve">We wish to </w:t>
      </w:r>
      <w:r w:rsidR="00FE44DF">
        <w:t xml:space="preserve">acknowledge </w:t>
      </w:r>
      <w:r>
        <w:t xml:space="preserve">all contributing patients and clinicians. </w:t>
      </w:r>
      <w:r w:rsidRPr="006D3D3A">
        <w:t xml:space="preserve"> </w:t>
      </w:r>
    </w:p>
    <w:p w14:paraId="7B7AC944" w14:textId="29D801B6" w:rsidR="00986FAD" w:rsidRDefault="00986FAD" w:rsidP="00986FAD">
      <w:pPr>
        <w:pStyle w:val="Bibliography"/>
        <w:spacing w:line="480" w:lineRule="auto"/>
        <w:jc w:val="both"/>
        <w:rPr>
          <w:color w:val="000000"/>
        </w:rPr>
      </w:pPr>
      <w:r>
        <w:t>This work was supported by a grant from the European Commission (7</w:t>
      </w:r>
      <w:r w:rsidRPr="007F5E23">
        <w:rPr>
          <w:vertAlign w:val="superscript"/>
        </w:rPr>
        <w:t>th</w:t>
      </w:r>
      <w:r>
        <w:t xml:space="preserve"> Framework </w:t>
      </w:r>
      <w:proofErr w:type="spellStart"/>
      <w:r>
        <w:t>Programme</w:t>
      </w:r>
      <w:proofErr w:type="spellEnd"/>
      <w:r>
        <w:t xml:space="preserve"> Grant 279062, </w:t>
      </w:r>
      <w:proofErr w:type="spellStart"/>
      <w:r>
        <w:t>EpiPGX</w:t>
      </w:r>
      <w:proofErr w:type="spellEnd"/>
      <w:r>
        <w:t xml:space="preserve">). </w:t>
      </w:r>
      <w:proofErr w:type="spellStart"/>
      <w:r w:rsidR="003F12D4">
        <w:t>Ganna</w:t>
      </w:r>
      <w:proofErr w:type="spellEnd"/>
      <w:r w:rsidR="003F12D4">
        <w:t xml:space="preserve"> </w:t>
      </w:r>
      <w:proofErr w:type="spellStart"/>
      <w:r w:rsidR="003F12D4">
        <w:t>Androsova</w:t>
      </w:r>
      <w:proofErr w:type="spellEnd"/>
      <w:r w:rsidR="003F12D4">
        <w:t xml:space="preserve"> has received funding from the framework of the EU-funded FP7 research program </w:t>
      </w:r>
      <w:proofErr w:type="spellStart"/>
      <w:r w:rsidR="003F12D4">
        <w:t>BioCog</w:t>
      </w:r>
      <w:proofErr w:type="spellEnd"/>
      <w:r w:rsidR="003F12D4">
        <w:t xml:space="preserve"> (Biomarker Development for Postoperative Cognitive Impairment in the Elderly): </w:t>
      </w:r>
      <w:hyperlink r:id="rId9" w:tgtFrame="_blank" w:history="1">
        <w:r w:rsidR="003F12D4">
          <w:rPr>
            <w:rStyle w:val="Hyperlink"/>
          </w:rPr>
          <w:t>www.biocog.eu</w:t>
        </w:r>
      </w:hyperlink>
      <w:r w:rsidR="003F12D4">
        <w:t>. </w:t>
      </w:r>
      <w:r w:rsidR="00FE44DF" w:rsidRPr="00FE44DF">
        <w:t xml:space="preserve">This work was partly undertaken at UCLH/UCL Comprehensive Bio-Medical Research Centre, which received a proportion of funding from the </w:t>
      </w:r>
      <w:r w:rsidR="00FE44DF" w:rsidRPr="00FE44DF">
        <w:lastRenderedPageBreak/>
        <w:t xml:space="preserve">Department of Health’s NIHR Biomedical Research </w:t>
      </w:r>
      <w:proofErr w:type="spellStart"/>
      <w:r w:rsidR="00FE44DF" w:rsidRPr="00FE44DF">
        <w:t>Centres</w:t>
      </w:r>
      <w:proofErr w:type="spellEnd"/>
      <w:r w:rsidR="00FE44DF" w:rsidRPr="00FE44DF">
        <w:t xml:space="preserve"> funding scheme. </w:t>
      </w:r>
      <w:r w:rsidR="00FE44DF" w:rsidRPr="00FE44DF">
        <w:rPr>
          <w:lang w:val="nl-BE"/>
        </w:rPr>
        <w:t>M</w:t>
      </w:r>
      <w:r w:rsidR="00FE44DF">
        <w:rPr>
          <w:lang w:val="nl-BE"/>
        </w:rPr>
        <w:t>erel Wassenaar</w:t>
      </w:r>
      <w:r w:rsidR="00FE44DF" w:rsidRPr="00FE44DF">
        <w:rPr>
          <w:lang w:val="nl-BE"/>
        </w:rPr>
        <w:t xml:space="preserve"> and B</w:t>
      </w:r>
      <w:r w:rsidR="00FE44DF">
        <w:rPr>
          <w:lang w:val="nl-BE"/>
        </w:rPr>
        <w:t xml:space="preserve">ianca </w:t>
      </w:r>
      <w:r w:rsidR="00FE44DF" w:rsidRPr="00FE44DF">
        <w:rPr>
          <w:lang w:val="nl-BE"/>
        </w:rPr>
        <w:t>B</w:t>
      </w:r>
      <w:r w:rsidR="00FE44DF">
        <w:rPr>
          <w:lang w:val="nl-BE"/>
        </w:rPr>
        <w:t>erghuis</w:t>
      </w:r>
      <w:r w:rsidR="00FE44DF" w:rsidRPr="00FE44DF">
        <w:rPr>
          <w:lang w:val="nl-BE"/>
        </w:rPr>
        <w:t xml:space="preserve"> were supported by the Christelijke Vereniging voor de Verpleging van Lijders aan Epilepsie (Nederland).  </w:t>
      </w:r>
      <w:proofErr w:type="spellStart"/>
      <w:r w:rsidR="003F12D4">
        <w:t>Pauls</w:t>
      </w:r>
      <w:proofErr w:type="spellEnd"/>
      <w:r w:rsidR="003F12D4">
        <w:t xml:space="preserve"> </w:t>
      </w:r>
      <w:proofErr w:type="spellStart"/>
      <w:r w:rsidR="003F12D4">
        <w:t>Auce</w:t>
      </w:r>
      <w:proofErr w:type="spellEnd"/>
      <w:r w:rsidR="003F12D4">
        <w:t xml:space="preserve"> received funding from the University of Liverpool. </w:t>
      </w:r>
      <w:r w:rsidR="009D26E8">
        <w:t xml:space="preserve">Antonietta Coppola received research funding from the Italian League </w:t>
      </w:r>
      <w:proofErr w:type="gramStart"/>
      <w:r w:rsidR="009D26E8">
        <w:t>Against</w:t>
      </w:r>
      <w:proofErr w:type="gramEnd"/>
      <w:r w:rsidR="009D26E8">
        <w:t xml:space="preserve"> Epilepsy (LICE). Holger </w:t>
      </w:r>
      <w:proofErr w:type="spellStart"/>
      <w:r w:rsidR="009D26E8">
        <w:t>Lerche</w:t>
      </w:r>
      <w:proofErr w:type="spellEnd"/>
      <w:r w:rsidR="009D26E8">
        <w:t xml:space="preserve"> received support to recruit patients for </w:t>
      </w:r>
      <w:proofErr w:type="spellStart"/>
      <w:r w:rsidR="009D26E8">
        <w:t>pharmacogenomic</w:t>
      </w:r>
      <w:proofErr w:type="spellEnd"/>
      <w:r w:rsidR="009D26E8">
        <w:t xml:space="preserve"> studies from the German Society for </w:t>
      </w:r>
      <w:proofErr w:type="spellStart"/>
      <w:r w:rsidR="009D26E8">
        <w:t>Epileptology</w:t>
      </w:r>
      <w:proofErr w:type="spellEnd"/>
      <w:r w:rsidR="009D26E8">
        <w:t xml:space="preserve"> (</w:t>
      </w:r>
      <w:proofErr w:type="spellStart"/>
      <w:r w:rsidR="009D26E8">
        <w:t>DGfE</w:t>
      </w:r>
      <w:proofErr w:type="spellEnd"/>
      <w:r w:rsidR="009D26E8">
        <w:t xml:space="preserve">) and the foundation no </w:t>
      </w:r>
      <w:proofErr w:type="spellStart"/>
      <w:r w:rsidR="009D26E8">
        <w:t>epilep</w:t>
      </w:r>
      <w:proofErr w:type="spellEnd"/>
      <w:r w:rsidR="009D26E8">
        <w:t xml:space="preserve">. </w:t>
      </w:r>
      <w:proofErr w:type="spellStart"/>
      <w:r w:rsidR="00FE44DF" w:rsidRPr="00FE44DF">
        <w:t>Josemir</w:t>
      </w:r>
      <w:proofErr w:type="spellEnd"/>
      <w:r w:rsidR="00FE44DF" w:rsidRPr="00FE44DF">
        <w:t xml:space="preserve"> W. Sander’s current position is endowed by the UK Epilepsy Society and he receives research support from the Dr. Marvin Weil Epilepsy Research Fund. </w:t>
      </w:r>
      <w:r w:rsidR="003F12D4">
        <w:t xml:space="preserve">Pasquale </w:t>
      </w:r>
      <w:proofErr w:type="spellStart"/>
      <w:r w:rsidR="003F12D4">
        <w:t>Striano</w:t>
      </w:r>
      <w:proofErr w:type="spellEnd"/>
      <w:r w:rsidR="003F12D4">
        <w:t xml:space="preserve"> </w:t>
      </w:r>
      <w:r w:rsidR="003F12D4">
        <w:rPr>
          <w:color w:val="000000"/>
        </w:rPr>
        <w:t>received</w:t>
      </w:r>
      <w:r w:rsidR="003F12D4" w:rsidRPr="003F12D4">
        <w:rPr>
          <w:color w:val="000000"/>
        </w:rPr>
        <w:t xml:space="preserve"> research support from the Italian Ministry of Health.</w:t>
      </w:r>
      <w:r w:rsidR="003F12D4">
        <w:rPr>
          <w:color w:val="000000"/>
        </w:rPr>
        <w:t xml:space="preserve"> Federico Zara received</w:t>
      </w:r>
      <w:r w:rsidR="003F12D4" w:rsidRPr="003F12D4">
        <w:rPr>
          <w:color w:val="000000"/>
        </w:rPr>
        <w:t xml:space="preserve"> research support from the Italian Ministry of Health, the European Community Sixth, the Italian Ministry of Health, the Telethon Foundation and the Italian League </w:t>
      </w:r>
      <w:proofErr w:type="gramStart"/>
      <w:r w:rsidR="003F12D4" w:rsidRPr="003F12D4">
        <w:rPr>
          <w:color w:val="000000"/>
        </w:rPr>
        <w:t>Agains</w:t>
      </w:r>
      <w:r w:rsidR="00FE44DF">
        <w:rPr>
          <w:color w:val="000000"/>
        </w:rPr>
        <w:t>t</w:t>
      </w:r>
      <w:proofErr w:type="gramEnd"/>
      <w:r w:rsidR="003F12D4" w:rsidRPr="003F12D4">
        <w:rPr>
          <w:color w:val="000000"/>
        </w:rPr>
        <w:t xml:space="preserve"> Epilepsy.</w:t>
      </w:r>
    </w:p>
    <w:p w14:paraId="308826EC" w14:textId="77777777" w:rsidR="00986FAD" w:rsidRDefault="00986FAD" w:rsidP="00986FAD">
      <w:pPr>
        <w:pStyle w:val="Bibliography"/>
        <w:spacing w:line="480" w:lineRule="auto"/>
        <w:jc w:val="both"/>
      </w:pPr>
    </w:p>
    <w:p w14:paraId="7249F0E4" w14:textId="77777777" w:rsidR="00986FAD" w:rsidRPr="00577196" w:rsidRDefault="00986FAD" w:rsidP="00577196">
      <w:pPr>
        <w:pStyle w:val="Heading2"/>
        <w:spacing w:line="480" w:lineRule="auto"/>
        <w:jc w:val="both"/>
        <w:rPr>
          <w:color w:val="auto"/>
        </w:rPr>
      </w:pPr>
      <w:r w:rsidRPr="00577196">
        <w:rPr>
          <w:color w:val="auto"/>
        </w:rPr>
        <w:t>Disclosures</w:t>
      </w:r>
    </w:p>
    <w:p w14:paraId="64F34628" w14:textId="475A1EE7" w:rsidR="00DA24FC" w:rsidRPr="003F12D4" w:rsidRDefault="00633C8E" w:rsidP="009D26E8">
      <w:pPr>
        <w:spacing w:after="240" w:line="480" w:lineRule="auto"/>
        <w:jc w:val="both"/>
      </w:pPr>
      <w:r>
        <w:rPr>
          <w:rFonts w:eastAsia="Times New Roman" w:cs="Times New Roman"/>
          <w:lang w:val="en-GB" w:eastAsia="en-GB"/>
        </w:rPr>
        <w:t xml:space="preserve">Andreja </w:t>
      </w:r>
      <w:proofErr w:type="spellStart"/>
      <w:r>
        <w:rPr>
          <w:rFonts w:eastAsia="Times New Roman" w:cs="Times New Roman"/>
          <w:lang w:val="en-GB" w:eastAsia="en-GB"/>
        </w:rPr>
        <w:t>Avbersek</w:t>
      </w:r>
      <w:proofErr w:type="spellEnd"/>
      <w:r>
        <w:rPr>
          <w:rFonts w:eastAsia="Times New Roman" w:cs="Times New Roman"/>
          <w:lang w:val="en-GB" w:eastAsia="en-GB"/>
        </w:rPr>
        <w:t xml:space="preserve"> is employed by UCB Pharma SPRL Belgium as an Associate Director. </w:t>
      </w:r>
      <w:r w:rsidR="009D26E8" w:rsidRPr="009D26E8">
        <w:rPr>
          <w:rFonts w:eastAsia="Times New Roman" w:cs="Times New Roman"/>
          <w:lang w:val="en-GB" w:eastAsia="en-GB"/>
        </w:rPr>
        <w:t xml:space="preserve">Antonietta Coppola received research support, </w:t>
      </w:r>
      <w:r w:rsidR="009D26E8">
        <w:rPr>
          <w:rFonts w:eastAsia="Times New Roman" w:cs="Times New Roman"/>
          <w:lang w:val="en-GB" w:eastAsia="en-GB"/>
        </w:rPr>
        <w:t>s</w:t>
      </w:r>
      <w:r w:rsidR="009D26E8" w:rsidRPr="009D26E8">
        <w:rPr>
          <w:rFonts w:eastAsia="Times New Roman" w:cs="Times New Roman"/>
          <w:lang w:val="en-GB" w:eastAsia="en-GB"/>
        </w:rPr>
        <w:t>peaker</w:t>
      </w:r>
      <w:r w:rsidR="009D26E8">
        <w:rPr>
          <w:rFonts w:eastAsia="Times New Roman" w:cs="Times New Roman"/>
          <w:lang w:val="en-GB" w:eastAsia="en-GB"/>
        </w:rPr>
        <w:t>’s</w:t>
      </w:r>
      <w:r w:rsidR="009D26E8" w:rsidRPr="009D26E8">
        <w:rPr>
          <w:rFonts w:eastAsia="Times New Roman" w:cs="Times New Roman"/>
          <w:lang w:val="en-GB" w:eastAsia="en-GB"/>
        </w:rPr>
        <w:t xml:space="preserve"> fee</w:t>
      </w:r>
      <w:r w:rsidR="009D26E8">
        <w:rPr>
          <w:rFonts w:eastAsia="Times New Roman" w:cs="Times New Roman"/>
          <w:lang w:val="en-GB" w:eastAsia="en-GB"/>
        </w:rPr>
        <w:t xml:space="preserve">s and travel grants </w:t>
      </w:r>
      <w:r w:rsidR="009D26E8" w:rsidRPr="009D26E8">
        <w:rPr>
          <w:rFonts w:eastAsia="Times New Roman" w:cs="Times New Roman"/>
          <w:lang w:val="en-GB" w:eastAsia="en-GB"/>
        </w:rPr>
        <w:t>from E</w:t>
      </w:r>
      <w:r w:rsidR="009D26E8">
        <w:rPr>
          <w:rFonts w:eastAsia="Times New Roman" w:cs="Times New Roman"/>
          <w:lang w:val="en-GB" w:eastAsia="en-GB"/>
        </w:rPr>
        <w:t>isai</w:t>
      </w:r>
      <w:r w:rsidR="009D26E8" w:rsidRPr="009D26E8">
        <w:rPr>
          <w:rFonts w:eastAsia="Times New Roman" w:cs="Times New Roman"/>
          <w:lang w:val="en-GB" w:eastAsia="en-GB"/>
        </w:rPr>
        <w:t xml:space="preserve"> and travel grants from UCB</w:t>
      </w:r>
      <w:r w:rsidR="009D26E8">
        <w:rPr>
          <w:rFonts w:eastAsia="Times New Roman" w:cs="Times New Roman"/>
          <w:lang w:val="en-GB" w:eastAsia="en-GB"/>
        </w:rPr>
        <w:t xml:space="preserve"> Pharma</w:t>
      </w:r>
      <w:r w:rsidR="009D26E8" w:rsidRPr="009D26E8">
        <w:rPr>
          <w:rFonts w:eastAsia="Times New Roman" w:cs="Times New Roman"/>
          <w:lang w:val="en-GB" w:eastAsia="en-GB"/>
        </w:rPr>
        <w:t>.</w:t>
      </w:r>
      <w:r w:rsidR="009D26E8">
        <w:rPr>
          <w:rFonts w:eastAsia="Times New Roman" w:cs="Times New Roman"/>
          <w:lang w:val="en-GB" w:eastAsia="en-GB"/>
        </w:rPr>
        <w:t xml:space="preserve"> </w:t>
      </w:r>
      <w:proofErr w:type="spellStart"/>
      <w:r w:rsidR="00A34F44" w:rsidRPr="009D26E8">
        <w:rPr>
          <w:color w:val="000000"/>
        </w:rPr>
        <w:t>Gianpiero</w:t>
      </w:r>
      <w:proofErr w:type="spellEnd"/>
      <w:r w:rsidR="00A34F44" w:rsidRPr="009D26E8">
        <w:rPr>
          <w:color w:val="000000"/>
        </w:rPr>
        <w:t xml:space="preserve"> </w:t>
      </w:r>
      <w:proofErr w:type="spellStart"/>
      <w:r w:rsidR="00A34F44" w:rsidRPr="009D26E8">
        <w:rPr>
          <w:color w:val="000000"/>
        </w:rPr>
        <w:t>Cavalleri</w:t>
      </w:r>
      <w:proofErr w:type="spellEnd"/>
      <w:r w:rsidR="00A34F44" w:rsidRPr="009D26E8">
        <w:rPr>
          <w:color w:val="000000"/>
        </w:rPr>
        <w:t xml:space="preserve"> has received </w:t>
      </w:r>
      <w:r w:rsidR="003F12D4" w:rsidRPr="009D26E8">
        <w:rPr>
          <w:color w:val="000000"/>
        </w:rPr>
        <w:t xml:space="preserve">speaker’s </w:t>
      </w:r>
      <w:r w:rsidR="00A34F44" w:rsidRPr="009D26E8">
        <w:rPr>
          <w:color w:val="000000"/>
        </w:rPr>
        <w:t xml:space="preserve">honoraria from UCB Pharma. </w:t>
      </w:r>
      <w:r w:rsidR="00A34F44" w:rsidRPr="009D26E8">
        <w:t xml:space="preserve">Holger </w:t>
      </w:r>
      <w:proofErr w:type="spellStart"/>
      <w:r w:rsidR="00A34F44" w:rsidRPr="009D26E8">
        <w:t>Lerche</w:t>
      </w:r>
      <w:proofErr w:type="spellEnd"/>
      <w:r w:rsidR="00A34F44" w:rsidRPr="009D26E8">
        <w:t xml:space="preserve"> received support to</w:t>
      </w:r>
      <w:r w:rsidR="00A34F44" w:rsidRPr="003F12D4">
        <w:t xml:space="preserve"> recruit patients for </w:t>
      </w:r>
      <w:proofErr w:type="spellStart"/>
      <w:r w:rsidR="00A34F44" w:rsidRPr="003F12D4">
        <w:t>pharmaco</w:t>
      </w:r>
      <w:r w:rsidR="003F12D4" w:rsidRPr="003F12D4">
        <w:t>genomic</w:t>
      </w:r>
      <w:proofErr w:type="spellEnd"/>
      <w:r w:rsidR="003F12D4" w:rsidRPr="003F12D4">
        <w:t xml:space="preserve"> studies from UCB Pharma</w:t>
      </w:r>
      <w:r w:rsidR="00A34F44" w:rsidRPr="003F12D4">
        <w:t>.</w:t>
      </w:r>
      <w:r w:rsidR="00A34F44" w:rsidRPr="003F12D4">
        <w:rPr>
          <w:color w:val="000000"/>
        </w:rPr>
        <w:t xml:space="preserve"> </w:t>
      </w:r>
      <w:proofErr w:type="spellStart"/>
      <w:r w:rsidRPr="00633C8E">
        <w:rPr>
          <w:color w:val="000000"/>
        </w:rPr>
        <w:t>J</w:t>
      </w:r>
      <w:r>
        <w:rPr>
          <w:color w:val="000000"/>
        </w:rPr>
        <w:t>osemir</w:t>
      </w:r>
      <w:proofErr w:type="spellEnd"/>
      <w:r>
        <w:rPr>
          <w:color w:val="000000"/>
        </w:rPr>
        <w:t xml:space="preserve"> W. Sander</w:t>
      </w:r>
      <w:r w:rsidRPr="00633C8E">
        <w:rPr>
          <w:color w:val="000000"/>
        </w:rPr>
        <w:t xml:space="preserve"> has received departmental research support from GSK, Eisai and UCB Pharma and has been consulted by and received fees for lectures from </w:t>
      </w:r>
      <w:proofErr w:type="spellStart"/>
      <w:r w:rsidRPr="00633C8E">
        <w:rPr>
          <w:color w:val="000000"/>
        </w:rPr>
        <w:t>Bial</w:t>
      </w:r>
      <w:proofErr w:type="spellEnd"/>
      <w:r w:rsidRPr="00633C8E">
        <w:rPr>
          <w:color w:val="000000"/>
        </w:rPr>
        <w:t xml:space="preserve">, Eisai and UCB </w:t>
      </w:r>
      <w:r w:rsidRPr="00633C8E">
        <w:rPr>
          <w:color w:val="000000"/>
        </w:rPr>
        <w:lastRenderedPageBreak/>
        <w:t xml:space="preserve">Pharma. </w:t>
      </w:r>
      <w:r w:rsidR="003F12D4" w:rsidRPr="003F12D4">
        <w:rPr>
          <w:color w:val="000000"/>
          <w:lang w:val="en-GB"/>
        </w:rPr>
        <w:t xml:space="preserve">Graeme Sills has received honoraria from Eisai Ltd and UCB Pharma for speaking engagements unrelated to the submitted work. </w:t>
      </w:r>
      <w:r w:rsidR="003F12D4" w:rsidRPr="003F12D4">
        <w:rPr>
          <w:color w:val="000000"/>
        </w:rPr>
        <w:t>P</w:t>
      </w:r>
      <w:r w:rsidR="003F12D4">
        <w:rPr>
          <w:color w:val="000000"/>
        </w:rPr>
        <w:t>asquale</w:t>
      </w:r>
      <w:r w:rsidR="003F12D4" w:rsidRPr="003F12D4">
        <w:rPr>
          <w:color w:val="000000"/>
        </w:rPr>
        <w:t xml:space="preserve"> </w:t>
      </w:r>
      <w:proofErr w:type="spellStart"/>
      <w:r w:rsidR="003F12D4" w:rsidRPr="003F12D4">
        <w:rPr>
          <w:color w:val="000000"/>
        </w:rPr>
        <w:t>Striano</w:t>
      </w:r>
      <w:proofErr w:type="spellEnd"/>
      <w:r w:rsidR="003F12D4" w:rsidRPr="003F12D4">
        <w:rPr>
          <w:color w:val="000000"/>
        </w:rPr>
        <w:t xml:space="preserve"> received honoraria from FB Health, </w:t>
      </w:r>
      <w:proofErr w:type="spellStart"/>
      <w:r w:rsidR="003F12D4" w:rsidRPr="003F12D4">
        <w:rPr>
          <w:color w:val="000000"/>
        </w:rPr>
        <w:t>Kolfarma</w:t>
      </w:r>
      <w:proofErr w:type="spellEnd"/>
      <w:r w:rsidR="003F12D4" w:rsidRPr="003F12D4">
        <w:rPr>
          <w:color w:val="000000"/>
        </w:rPr>
        <w:t xml:space="preserve"> </w:t>
      </w:r>
      <w:proofErr w:type="spellStart"/>
      <w:r w:rsidR="003F12D4" w:rsidRPr="003F12D4">
        <w:rPr>
          <w:color w:val="000000"/>
        </w:rPr>
        <w:t>s.r.l</w:t>
      </w:r>
      <w:proofErr w:type="spellEnd"/>
      <w:r w:rsidR="003F12D4" w:rsidRPr="003F12D4">
        <w:rPr>
          <w:color w:val="000000"/>
        </w:rPr>
        <w:t xml:space="preserve">., UCB </w:t>
      </w:r>
      <w:r w:rsidR="003F12D4">
        <w:rPr>
          <w:color w:val="000000"/>
        </w:rPr>
        <w:t>P</w:t>
      </w:r>
      <w:r w:rsidR="003F12D4" w:rsidRPr="003F12D4">
        <w:rPr>
          <w:color w:val="000000"/>
        </w:rPr>
        <w:t>harma</w:t>
      </w:r>
      <w:r w:rsidR="003F12D4">
        <w:rPr>
          <w:color w:val="000000"/>
        </w:rPr>
        <w:t xml:space="preserve"> and</w:t>
      </w:r>
      <w:r w:rsidR="003F12D4" w:rsidRPr="003F12D4">
        <w:rPr>
          <w:color w:val="000000"/>
        </w:rPr>
        <w:t xml:space="preserve"> Eisai Inc. </w:t>
      </w:r>
      <w:r w:rsidR="003F12D4" w:rsidRPr="003F12D4">
        <w:rPr>
          <w:color w:val="000000"/>
        </w:rPr>
        <w:br/>
        <w:t>F</w:t>
      </w:r>
      <w:r w:rsidR="003F12D4">
        <w:rPr>
          <w:color w:val="000000"/>
        </w:rPr>
        <w:t>ederico</w:t>
      </w:r>
      <w:r w:rsidR="003F12D4" w:rsidRPr="003F12D4">
        <w:rPr>
          <w:color w:val="000000"/>
        </w:rPr>
        <w:t xml:space="preserve"> Zara received  honoraria from Eisai Inc. </w:t>
      </w:r>
      <w:r w:rsidR="00DA24FC" w:rsidRPr="003F12D4">
        <w:rPr>
          <w:color w:val="000000"/>
        </w:rPr>
        <w:t xml:space="preserve">M. </w:t>
      </w:r>
      <w:r w:rsidRPr="003F12D4">
        <w:rPr>
          <w:color w:val="000000"/>
        </w:rPr>
        <w:t xml:space="preserve">Sanjay </w:t>
      </w:r>
      <w:proofErr w:type="spellStart"/>
      <w:r w:rsidR="00DA24FC" w:rsidRPr="003F12D4">
        <w:rPr>
          <w:color w:val="000000"/>
        </w:rPr>
        <w:t>Sisodiya</w:t>
      </w:r>
      <w:proofErr w:type="spellEnd"/>
      <w:r w:rsidR="00DA24FC" w:rsidRPr="003F12D4">
        <w:rPr>
          <w:color w:val="000000"/>
        </w:rPr>
        <w:t xml:space="preserve"> declares that he or his institution have received </w:t>
      </w:r>
      <w:proofErr w:type="spellStart"/>
      <w:r w:rsidR="00DA24FC" w:rsidRPr="003F12D4">
        <w:rPr>
          <w:color w:val="000000"/>
        </w:rPr>
        <w:t>honororia</w:t>
      </w:r>
      <w:proofErr w:type="spellEnd"/>
      <w:r w:rsidR="00DA24FC" w:rsidRPr="003F12D4">
        <w:rPr>
          <w:color w:val="000000"/>
        </w:rPr>
        <w:t xml:space="preserve"> or research support from UCB, Eisai, </w:t>
      </w:r>
      <w:proofErr w:type="spellStart"/>
      <w:r w:rsidR="00DA24FC" w:rsidRPr="003F12D4">
        <w:rPr>
          <w:color w:val="000000"/>
        </w:rPr>
        <w:t>Vitaflo</w:t>
      </w:r>
      <w:proofErr w:type="spellEnd"/>
      <w:r w:rsidR="00DA24FC" w:rsidRPr="003F12D4">
        <w:rPr>
          <w:color w:val="000000"/>
        </w:rPr>
        <w:t xml:space="preserve"> and </w:t>
      </w:r>
      <w:proofErr w:type="spellStart"/>
      <w:r w:rsidR="00DA24FC" w:rsidRPr="003F12D4">
        <w:rPr>
          <w:color w:val="000000"/>
        </w:rPr>
        <w:t>Nutricia</w:t>
      </w:r>
      <w:proofErr w:type="spellEnd"/>
      <w:r w:rsidR="00DA24FC" w:rsidRPr="003F12D4">
        <w:rPr>
          <w:color w:val="000000"/>
        </w:rPr>
        <w:t xml:space="preserve">. Chantal Depondt has received research support and honoraria from UCB </w:t>
      </w:r>
      <w:r w:rsidR="00A34F44" w:rsidRPr="003F12D4">
        <w:rPr>
          <w:color w:val="000000"/>
        </w:rPr>
        <w:t xml:space="preserve">Pharma </w:t>
      </w:r>
      <w:r w:rsidR="00DA24FC" w:rsidRPr="003F12D4">
        <w:rPr>
          <w:color w:val="000000"/>
        </w:rPr>
        <w:t xml:space="preserve">(for work not related to this manuscript and paid to the hospital). The remaining authors </w:t>
      </w:r>
      <w:r w:rsidR="00FE44DF">
        <w:rPr>
          <w:color w:val="000000"/>
        </w:rPr>
        <w:t>report</w:t>
      </w:r>
      <w:r w:rsidR="00DA24FC" w:rsidRPr="003F12D4">
        <w:rPr>
          <w:color w:val="000000"/>
        </w:rPr>
        <w:t xml:space="preserve"> no conflicts of interest. </w:t>
      </w:r>
    </w:p>
    <w:p w14:paraId="15FC5CA6" w14:textId="4A25191A" w:rsidR="00986FAD" w:rsidRDefault="00986FAD" w:rsidP="009D26E8">
      <w:pPr>
        <w:spacing w:line="480" w:lineRule="auto"/>
        <w:jc w:val="both"/>
      </w:pPr>
      <w:r w:rsidRPr="003F12D4">
        <w:t>We confirm that we have read the Journal’s position on issues involved in ethical</w:t>
      </w:r>
      <w:r w:rsidRPr="004A16A1">
        <w:t xml:space="preserve"> publication and affirm that this report is consistent with those guidelines</w:t>
      </w:r>
      <w:r>
        <w:t>.</w:t>
      </w:r>
    </w:p>
    <w:p w14:paraId="4EE4A8D0" w14:textId="77777777" w:rsidR="0053094D" w:rsidRDefault="0053094D" w:rsidP="009D26E8">
      <w:pPr>
        <w:spacing w:line="480" w:lineRule="auto"/>
        <w:jc w:val="both"/>
      </w:pPr>
    </w:p>
    <w:p w14:paraId="32193F5C" w14:textId="77777777" w:rsidR="00986FAD" w:rsidRPr="001219F9" w:rsidRDefault="00986FAD" w:rsidP="00EB4EBC">
      <w:pPr>
        <w:pStyle w:val="Heading3"/>
        <w:spacing w:line="480" w:lineRule="auto"/>
        <w:jc w:val="both"/>
        <w:rPr>
          <w:color w:val="auto"/>
        </w:rPr>
      </w:pPr>
      <w:r w:rsidRPr="001219F9">
        <w:rPr>
          <w:color w:val="auto"/>
        </w:rPr>
        <w:t>References</w:t>
      </w:r>
    </w:p>
    <w:p w14:paraId="7F4AA174" w14:textId="1A254E36" w:rsidR="007630E7" w:rsidRPr="007630E7" w:rsidRDefault="00973154" w:rsidP="00EB4EBC">
      <w:pPr>
        <w:widowControl w:val="0"/>
        <w:autoSpaceDE w:val="0"/>
        <w:autoSpaceDN w:val="0"/>
        <w:adjustRightInd w:val="0"/>
        <w:spacing w:line="480" w:lineRule="auto"/>
        <w:ind w:left="640" w:hanging="640"/>
        <w:jc w:val="both"/>
        <w:rPr>
          <w:rFonts w:ascii="Cambria" w:hAnsi="Cambria"/>
          <w:noProof/>
        </w:rPr>
      </w:pPr>
      <w:r>
        <w:fldChar w:fldCharType="begin" w:fldLock="1"/>
      </w:r>
      <w:r>
        <w:instrText xml:space="preserve">ADDIN Mendeley Bibliography CSL_BIBLIOGRAPHY </w:instrText>
      </w:r>
      <w:r>
        <w:fldChar w:fldCharType="separate"/>
      </w:r>
      <w:r w:rsidR="007630E7" w:rsidRPr="007630E7">
        <w:rPr>
          <w:rFonts w:ascii="Cambria" w:hAnsi="Cambria"/>
          <w:noProof/>
        </w:rPr>
        <w:t xml:space="preserve">1. </w:t>
      </w:r>
      <w:r w:rsidR="007630E7" w:rsidRPr="007630E7">
        <w:rPr>
          <w:rFonts w:ascii="Cambria" w:hAnsi="Cambria"/>
          <w:noProof/>
        </w:rPr>
        <w:tab/>
        <w:t>Panayiotopoulos CP. A Clinical Guide to Epileptic Syndromes and their Treatment. London: Springer London; 2010</w:t>
      </w:r>
    </w:p>
    <w:p w14:paraId="6D20D826" w14:textId="77777777" w:rsidR="007630E7" w:rsidRPr="007630E7" w:rsidRDefault="007630E7" w:rsidP="00EB4EBC">
      <w:pPr>
        <w:widowControl w:val="0"/>
        <w:autoSpaceDE w:val="0"/>
        <w:autoSpaceDN w:val="0"/>
        <w:adjustRightInd w:val="0"/>
        <w:spacing w:line="480" w:lineRule="auto"/>
        <w:ind w:left="640" w:hanging="640"/>
        <w:jc w:val="both"/>
        <w:rPr>
          <w:rFonts w:ascii="Cambria" w:hAnsi="Cambria"/>
          <w:noProof/>
        </w:rPr>
      </w:pPr>
      <w:r w:rsidRPr="007630E7">
        <w:rPr>
          <w:rFonts w:ascii="Cambria" w:hAnsi="Cambria"/>
          <w:noProof/>
        </w:rPr>
        <w:t xml:space="preserve">2. </w:t>
      </w:r>
      <w:r w:rsidRPr="007630E7">
        <w:rPr>
          <w:rFonts w:ascii="Cambria" w:hAnsi="Cambria"/>
          <w:noProof/>
        </w:rPr>
        <w:tab/>
        <w:t>Blümcke I, Spreafico R. Cause Matters: A Neuropathological Challenge to Human Epilepsies. Brain Pathol 2012; 22: 347–9.</w:t>
      </w:r>
    </w:p>
    <w:p w14:paraId="20111122" w14:textId="77777777" w:rsidR="007630E7" w:rsidRPr="007630E7" w:rsidRDefault="007630E7" w:rsidP="00EB4EBC">
      <w:pPr>
        <w:widowControl w:val="0"/>
        <w:autoSpaceDE w:val="0"/>
        <w:autoSpaceDN w:val="0"/>
        <w:adjustRightInd w:val="0"/>
        <w:spacing w:line="480" w:lineRule="auto"/>
        <w:ind w:left="640" w:hanging="640"/>
        <w:jc w:val="both"/>
        <w:rPr>
          <w:rFonts w:ascii="Cambria" w:hAnsi="Cambria"/>
          <w:noProof/>
        </w:rPr>
      </w:pPr>
      <w:r w:rsidRPr="007630E7">
        <w:rPr>
          <w:rFonts w:ascii="Cambria" w:hAnsi="Cambria"/>
          <w:noProof/>
        </w:rPr>
        <w:t xml:space="preserve">3. </w:t>
      </w:r>
      <w:r w:rsidRPr="007630E7">
        <w:rPr>
          <w:rFonts w:ascii="Cambria" w:hAnsi="Cambria"/>
          <w:noProof/>
        </w:rPr>
        <w:tab/>
        <w:t>Wieser HG, Häne A, Wieser HG, et al. Antiepileptic drug treatment in seizure-free mesial temporal lobe epilepsy patients with hippocampal sclerosis following selective amygdalohippocampectomy. Seizure 2004; 13: 534–6.</w:t>
      </w:r>
    </w:p>
    <w:p w14:paraId="49CB0B69" w14:textId="77777777" w:rsidR="007630E7" w:rsidRPr="00DC3D34" w:rsidRDefault="007630E7" w:rsidP="00EB4EBC">
      <w:pPr>
        <w:widowControl w:val="0"/>
        <w:autoSpaceDE w:val="0"/>
        <w:autoSpaceDN w:val="0"/>
        <w:adjustRightInd w:val="0"/>
        <w:spacing w:line="480" w:lineRule="auto"/>
        <w:ind w:left="640" w:hanging="640"/>
        <w:jc w:val="both"/>
        <w:rPr>
          <w:rFonts w:ascii="Cambria" w:hAnsi="Cambria"/>
          <w:noProof/>
          <w:lang w:val="nl-BE"/>
        </w:rPr>
      </w:pPr>
      <w:r w:rsidRPr="007630E7">
        <w:rPr>
          <w:rFonts w:ascii="Cambria" w:hAnsi="Cambria"/>
          <w:noProof/>
        </w:rPr>
        <w:t xml:space="preserve">4. </w:t>
      </w:r>
      <w:r w:rsidRPr="007630E7">
        <w:rPr>
          <w:rFonts w:ascii="Cambria" w:hAnsi="Cambria"/>
          <w:noProof/>
        </w:rPr>
        <w:tab/>
        <w:t xml:space="preserve">Wiebe S, Blume WT, Girvin JP, et al. A randomized, controlled trial of surgery for temporal-lobe epilepsy. </w:t>
      </w:r>
      <w:r w:rsidRPr="00DC3D34">
        <w:rPr>
          <w:rFonts w:ascii="Cambria" w:hAnsi="Cambria"/>
          <w:noProof/>
          <w:lang w:val="nl-BE"/>
        </w:rPr>
        <w:t>N Engl J Med 2001; 345: 311–8.</w:t>
      </w:r>
    </w:p>
    <w:p w14:paraId="0D818E9E" w14:textId="77777777" w:rsidR="007630E7" w:rsidRPr="007630E7" w:rsidRDefault="007630E7" w:rsidP="00EB4EBC">
      <w:pPr>
        <w:widowControl w:val="0"/>
        <w:autoSpaceDE w:val="0"/>
        <w:autoSpaceDN w:val="0"/>
        <w:adjustRightInd w:val="0"/>
        <w:spacing w:line="480" w:lineRule="auto"/>
        <w:ind w:left="640" w:hanging="640"/>
        <w:jc w:val="both"/>
        <w:rPr>
          <w:rFonts w:ascii="Cambria" w:hAnsi="Cambria"/>
          <w:noProof/>
        </w:rPr>
      </w:pPr>
      <w:r w:rsidRPr="00DC3D34">
        <w:rPr>
          <w:rFonts w:ascii="Cambria" w:hAnsi="Cambria"/>
          <w:noProof/>
          <w:lang w:val="nl-BE"/>
        </w:rPr>
        <w:lastRenderedPageBreak/>
        <w:t xml:space="preserve">5. </w:t>
      </w:r>
      <w:r w:rsidRPr="00DC3D34">
        <w:rPr>
          <w:rFonts w:ascii="Cambria" w:hAnsi="Cambria"/>
          <w:noProof/>
          <w:lang w:val="nl-BE"/>
        </w:rPr>
        <w:tab/>
        <w:t xml:space="preserve">Engel J, McDermott MP, Wiebe S, et al. </w:t>
      </w:r>
      <w:r w:rsidRPr="007630E7">
        <w:rPr>
          <w:rFonts w:ascii="Cambria" w:hAnsi="Cambria"/>
          <w:noProof/>
        </w:rPr>
        <w:t>Early surgical therapy for drug-resistant temporal lobe epilepsy: a randomized trial. JAMA 2012; 307: 922–30.</w:t>
      </w:r>
    </w:p>
    <w:p w14:paraId="3E490436" w14:textId="77777777" w:rsidR="007630E7" w:rsidRPr="00C7657E" w:rsidRDefault="007630E7" w:rsidP="00EB4EBC">
      <w:pPr>
        <w:widowControl w:val="0"/>
        <w:autoSpaceDE w:val="0"/>
        <w:autoSpaceDN w:val="0"/>
        <w:adjustRightInd w:val="0"/>
        <w:spacing w:line="480" w:lineRule="auto"/>
        <w:ind w:left="640" w:hanging="640"/>
        <w:jc w:val="both"/>
        <w:rPr>
          <w:rFonts w:ascii="Cambria" w:hAnsi="Cambria"/>
          <w:noProof/>
          <w:lang w:val="fr-BE"/>
        </w:rPr>
      </w:pPr>
      <w:r w:rsidRPr="007630E7">
        <w:rPr>
          <w:rFonts w:ascii="Cambria" w:hAnsi="Cambria"/>
          <w:noProof/>
        </w:rPr>
        <w:t xml:space="preserve">6. </w:t>
      </w:r>
      <w:r w:rsidRPr="007630E7">
        <w:rPr>
          <w:rFonts w:ascii="Cambria" w:hAnsi="Cambria"/>
          <w:noProof/>
        </w:rPr>
        <w:tab/>
        <w:t xml:space="preserve">Labate A, Siniscalchi A, Mumoli L, et al. Topiramate and temporal lobe epilepsy: an open-label study. </w:t>
      </w:r>
      <w:r w:rsidRPr="00C7657E">
        <w:rPr>
          <w:rFonts w:ascii="Cambria" w:hAnsi="Cambria"/>
          <w:noProof/>
          <w:lang w:val="fr-BE"/>
        </w:rPr>
        <w:t>Epileptic Disord 2012; 14: 163–6.</w:t>
      </w:r>
    </w:p>
    <w:p w14:paraId="12336A08" w14:textId="77777777" w:rsidR="007630E7" w:rsidRPr="007630E7" w:rsidRDefault="007630E7" w:rsidP="00EB4EBC">
      <w:pPr>
        <w:widowControl w:val="0"/>
        <w:autoSpaceDE w:val="0"/>
        <w:autoSpaceDN w:val="0"/>
        <w:adjustRightInd w:val="0"/>
        <w:spacing w:line="480" w:lineRule="auto"/>
        <w:ind w:left="640" w:hanging="640"/>
        <w:jc w:val="both"/>
        <w:rPr>
          <w:rFonts w:ascii="Cambria" w:hAnsi="Cambria"/>
          <w:noProof/>
        </w:rPr>
      </w:pPr>
      <w:r w:rsidRPr="00C7657E">
        <w:rPr>
          <w:rFonts w:ascii="Cambria" w:hAnsi="Cambria"/>
          <w:noProof/>
          <w:lang w:val="fr-BE"/>
        </w:rPr>
        <w:t xml:space="preserve">7. </w:t>
      </w:r>
      <w:r w:rsidRPr="00C7657E">
        <w:rPr>
          <w:rFonts w:ascii="Cambria" w:hAnsi="Cambria"/>
          <w:noProof/>
          <w:lang w:val="fr-BE"/>
        </w:rPr>
        <w:tab/>
        <w:t xml:space="preserve">Gomez-Ibañez A, Gasca-Salas C, Urrestarazu E, et al. </w:t>
      </w:r>
      <w:r w:rsidRPr="007630E7">
        <w:rPr>
          <w:rFonts w:ascii="Cambria" w:hAnsi="Cambria"/>
          <w:noProof/>
        </w:rPr>
        <w:t>Clinical phenotypes within non-surgical patients with mesial temporal lobe epilepsy caused by hippocampal sclerosis based on response to antiepileptic drugs. Seizure 2013; 22: 20–3.</w:t>
      </w:r>
    </w:p>
    <w:p w14:paraId="59776349" w14:textId="77777777" w:rsidR="007630E7" w:rsidRPr="007630E7" w:rsidRDefault="007630E7" w:rsidP="00EB4EBC">
      <w:pPr>
        <w:widowControl w:val="0"/>
        <w:autoSpaceDE w:val="0"/>
        <w:autoSpaceDN w:val="0"/>
        <w:adjustRightInd w:val="0"/>
        <w:spacing w:line="480" w:lineRule="auto"/>
        <w:ind w:left="640" w:hanging="640"/>
        <w:jc w:val="both"/>
        <w:rPr>
          <w:rFonts w:ascii="Cambria" w:hAnsi="Cambria"/>
          <w:noProof/>
        </w:rPr>
      </w:pPr>
      <w:r w:rsidRPr="007630E7">
        <w:rPr>
          <w:rFonts w:ascii="Cambria" w:hAnsi="Cambria"/>
          <w:noProof/>
        </w:rPr>
        <w:t xml:space="preserve">8. </w:t>
      </w:r>
      <w:r w:rsidRPr="007630E7">
        <w:rPr>
          <w:rFonts w:ascii="Cambria" w:hAnsi="Cambria"/>
          <w:noProof/>
        </w:rPr>
        <w:tab/>
        <w:t>Palleria C, Coppola A, Citraro R, et al. Perspectives on treatment options for mesial temporal lobe epilepsy with hippocampal sclerosis. Expert Opin Pharmacother 2015; 16: 2355–71.</w:t>
      </w:r>
    </w:p>
    <w:p w14:paraId="5428D211" w14:textId="77777777" w:rsidR="007630E7" w:rsidRPr="00C7657E" w:rsidRDefault="007630E7" w:rsidP="00EB4EBC">
      <w:pPr>
        <w:widowControl w:val="0"/>
        <w:autoSpaceDE w:val="0"/>
        <w:autoSpaceDN w:val="0"/>
        <w:adjustRightInd w:val="0"/>
        <w:spacing w:line="480" w:lineRule="auto"/>
        <w:ind w:left="640" w:hanging="640"/>
        <w:jc w:val="both"/>
        <w:rPr>
          <w:rFonts w:ascii="Cambria" w:hAnsi="Cambria"/>
          <w:noProof/>
          <w:lang w:val="fr-BE"/>
        </w:rPr>
      </w:pPr>
      <w:r w:rsidRPr="007630E7">
        <w:rPr>
          <w:rFonts w:ascii="Cambria" w:hAnsi="Cambria"/>
          <w:noProof/>
        </w:rPr>
        <w:t xml:space="preserve">9. </w:t>
      </w:r>
      <w:r w:rsidRPr="007630E7">
        <w:rPr>
          <w:rFonts w:ascii="Cambria" w:hAnsi="Cambria"/>
          <w:noProof/>
        </w:rPr>
        <w:tab/>
        <w:t xml:space="preserve">Arif H, Buchsbaum R, Pierro J, et al. Comparative effectiveness of 10 antiepileptic drugs in older adults with epilepsy. </w:t>
      </w:r>
      <w:r w:rsidRPr="00C7657E">
        <w:rPr>
          <w:rFonts w:ascii="Cambria" w:hAnsi="Cambria"/>
          <w:noProof/>
          <w:lang w:val="fr-BE"/>
        </w:rPr>
        <w:t>Arch Neurol 2010; 67: 408–15.</w:t>
      </w:r>
    </w:p>
    <w:p w14:paraId="3D0FBB41" w14:textId="77777777" w:rsidR="007630E7" w:rsidRPr="007630E7" w:rsidRDefault="007630E7" w:rsidP="00EB4EBC">
      <w:pPr>
        <w:widowControl w:val="0"/>
        <w:autoSpaceDE w:val="0"/>
        <w:autoSpaceDN w:val="0"/>
        <w:adjustRightInd w:val="0"/>
        <w:spacing w:line="480" w:lineRule="auto"/>
        <w:ind w:left="640" w:hanging="640"/>
        <w:jc w:val="both"/>
        <w:rPr>
          <w:rFonts w:ascii="Cambria" w:hAnsi="Cambria"/>
          <w:noProof/>
        </w:rPr>
      </w:pPr>
      <w:r w:rsidRPr="00C7657E">
        <w:rPr>
          <w:rFonts w:ascii="Cambria" w:hAnsi="Cambria"/>
          <w:noProof/>
          <w:lang w:val="fr-BE"/>
        </w:rPr>
        <w:t xml:space="preserve">10. </w:t>
      </w:r>
      <w:r w:rsidRPr="00C7657E">
        <w:rPr>
          <w:rFonts w:ascii="Cambria" w:hAnsi="Cambria"/>
          <w:noProof/>
          <w:lang w:val="fr-BE"/>
        </w:rPr>
        <w:tab/>
        <w:t xml:space="preserve">Zeng Q-Y, Fan T-T, Zhu P, et al. </w:t>
      </w:r>
      <w:r w:rsidRPr="007630E7">
        <w:rPr>
          <w:rFonts w:ascii="Cambria" w:hAnsi="Cambria"/>
          <w:noProof/>
        </w:rPr>
        <w:t>Comparative Long-Term Effectiveness of a Monotherapy with Five Antiepileptic Drugs for Focal Epilepsy in Adult Patients: A Prospective Cohort Study. PLoS One 2015; 10: e0131566.</w:t>
      </w:r>
    </w:p>
    <w:p w14:paraId="1F8F87BA" w14:textId="77777777" w:rsidR="007630E7" w:rsidRPr="007630E7" w:rsidRDefault="007630E7" w:rsidP="00EB4EBC">
      <w:pPr>
        <w:widowControl w:val="0"/>
        <w:autoSpaceDE w:val="0"/>
        <w:autoSpaceDN w:val="0"/>
        <w:adjustRightInd w:val="0"/>
        <w:spacing w:line="480" w:lineRule="auto"/>
        <w:ind w:left="640" w:hanging="640"/>
        <w:jc w:val="both"/>
        <w:rPr>
          <w:rFonts w:ascii="Cambria" w:hAnsi="Cambria"/>
          <w:noProof/>
        </w:rPr>
      </w:pPr>
      <w:r w:rsidRPr="007630E7">
        <w:rPr>
          <w:rFonts w:ascii="Cambria" w:hAnsi="Cambria"/>
          <w:noProof/>
        </w:rPr>
        <w:t xml:space="preserve">11. </w:t>
      </w:r>
      <w:r w:rsidRPr="007630E7">
        <w:rPr>
          <w:rFonts w:ascii="Cambria" w:hAnsi="Cambria"/>
          <w:noProof/>
        </w:rPr>
        <w:tab/>
        <w:t>Kwan P, Arzimanoglou A, Berg AT, et al. Definition of drug resistant epilepsy: Consensus proposal by the ad hoc Task Force of the ILAE Commission on Therapeutic Strategies. Epilepsia 2009; 51: 1069–77.</w:t>
      </w:r>
    </w:p>
    <w:p w14:paraId="6056BF9D" w14:textId="2A3BE65E" w:rsidR="007630E7" w:rsidRPr="007630E7" w:rsidRDefault="007630E7" w:rsidP="00EB4EBC">
      <w:pPr>
        <w:widowControl w:val="0"/>
        <w:autoSpaceDE w:val="0"/>
        <w:autoSpaceDN w:val="0"/>
        <w:adjustRightInd w:val="0"/>
        <w:spacing w:line="480" w:lineRule="auto"/>
        <w:ind w:left="640" w:hanging="640"/>
        <w:jc w:val="both"/>
        <w:rPr>
          <w:rFonts w:ascii="Cambria" w:hAnsi="Cambria"/>
          <w:noProof/>
        </w:rPr>
      </w:pPr>
      <w:r w:rsidRPr="007630E7">
        <w:rPr>
          <w:rFonts w:ascii="Cambria" w:hAnsi="Cambria"/>
          <w:noProof/>
        </w:rPr>
        <w:lastRenderedPageBreak/>
        <w:t xml:space="preserve">12. </w:t>
      </w:r>
      <w:r w:rsidRPr="007630E7">
        <w:rPr>
          <w:rFonts w:ascii="Cambria" w:hAnsi="Cambria"/>
          <w:noProof/>
        </w:rPr>
        <w:tab/>
        <w:t>R Core Team. R: A language and environment for statistical computing. R Foundation for Statist</w:t>
      </w:r>
      <w:r w:rsidR="006551F7">
        <w:rPr>
          <w:rFonts w:ascii="Cambria" w:hAnsi="Cambria"/>
          <w:noProof/>
        </w:rPr>
        <w:t>ical Computing, Vienna, Austria; 2014</w:t>
      </w:r>
      <w:r w:rsidRPr="007630E7">
        <w:rPr>
          <w:rFonts w:ascii="Cambria" w:hAnsi="Cambria"/>
          <w:noProof/>
        </w:rPr>
        <w:t>.</w:t>
      </w:r>
    </w:p>
    <w:p w14:paraId="7B01CA17" w14:textId="77777777" w:rsidR="007630E7" w:rsidRPr="007630E7" w:rsidRDefault="007630E7" w:rsidP="00EB4EBC">
      <w:pPr>
        <w:widowControl w:val="0"/>
        <w:autoSpaceDE w:val="0"/>
        <w:autoSpaceDN w:val="0"/>
        <w:adjustRightInd w:val="0"/>
        <w:spacing w:line="480" w:lineRule="auto"/>
        <w:ind w:left="640" w:hanging="640"/>
        <w:jc w:val="both"/>
        <w:rPr>
          <w:rFonts w:ascii="Cambria" w:hAnsi="Cambria"/>
          <w:noProof/>
        </w:rPr>
      </w:pPr>
      <w:r w:rsidRPr="007630E7">
        <w:rPr>
          <w:rFonts w:ascii="Cambria" w:hAnsi="Cambria"/>
          <w:noProof/>
        </w:rPr>
        <w:t xml:space="preserve">13. </w:t>
      </w:r>
      <w:r w:rsidRPr="007630E7">
        <w:rPr>
          <w:rFonts w:ascii="Cambria" w:hAnsi="Cambria"/>
          <w:noProof/>
        </w:rPr>
        <w:tab/>
        <w:t>Lhatoo SD, Wong ICK, Polizzi G, et al. Long-Term Retention Rates of Lamotrigine, Gabapentin, and Topiramate in Chronic Epilepsy. Epilepsia 2000; 41: 1592–6.</w:t>
      </w:r>
    </w:p>
    <w:p w14:paraId="0EB2CF51" w14:textId="77777777" w:rsidR="007630E7" w:rsidRPr="007630E7" w:rsidRDefault="007630E7" w:rsidP="00EB4EBC">
      <w:pPr>
        <w:widowControl w:val="0"/>
        <w:autoSpaceDE w:val="0"/>
        <w:autoSpaceDN w:val="0"/>
        <w:adjustRightInd w:val="0"/>
        <w:spacing w:line="480" w:lineRule="auto"/>
        <w:ind w:left="640" w:hanging="640"/>
        <w:jc w:val="both"/>
        <w:rPr>
          <w:rFonts w:ascii="Cambria" w:hAnsi="Cambria"/>
          <w:noProof/>
        </w:rPr>
      </w:pPr>
      <w:r w:rsidRPr="007630E7">
        <w:rPr>
          <w:rFonts w:ascii="Cambria" w:hAnsi="Cambria"/>
          <w:noProof/>
        </w:rPr>
        <w:t xml:space="preserve">14. </w:t>
      </w:r>
      <w:r w:rsidRPr="007630E7">
        <w:rPr>
          <w:rFonts w:ascii="Cambria" w:hAnsi="Cambria"/>
          <w:noProof/>
        </w:rPr>
        <w:tab/>
        <w:t>Chung S, Wang N, Hank N, et al. Comparative retention rates and long-term tolerability of new antiepileptic drugs. Seizure 2007; 16: 296–304.</w:t>
      </w:r>
    </w:p>
    <w:p w14:paraId="7CC80CBF" w14:textId="77777777" w:rsidR="007630E7" w:rsidRPr="00C7657E" w:rsidRDefault="007630E7" w:rsidP="00EB4EBC">
      <w:pPr>
        <w:widowControl w:val="0"/>
        <w:autoSpaceDE w:val="0"/>
        <w:autoSpaceDN w:val="0"/>
        <w:adjustRightInd w:val="0"/>
        <w:spacing w:line="480" w:lineRule="auto"/>
        <w:ind w:left="640" w:hanging="640"/>
        <w:jc w:val="both"/>
        <w:rPr>
          <w:rFonts w:ascii="Cambria" w:hAnsi="Cambria"/>
          <w:noProof/>
          <w:lang w:val="fr-BE"/>
        </w:rPr>
      </w:pPr>
      <w:r w:rsidRPr="007630E7">
        <w:rPr>
          <w:rFonts w:ascii="Cambria" w:hAnsi="Cambria"/>
          <w:noProof/>
        </w:rPr>
        <w:t xml:space="preserve">15. </w:t>
      </w:r>
      <w:r w:rsidRPr="007630E7">
        <w:rPr>
          <w:rFonts w:ascii="Cambria" w:hAnsi="Cambria"/>
          <w:noProof/>
        </w:rPr>
        <w:tab/>
        <w:t xml:space="preserve">Peltola J, Peltola M, Auvinen A, et al. Retention rates of new antiepileptic drugs in localization-related epilepsy: a single-center study. </w:t>
      </w:r>
      <w:r w:rsidRPr="00C7657E">
        <w:rPr>
          <w:rFonts w:ascii="Cambria" w:hAnsi="Cambria"/>
          <w:noProof/>
          <w:lang w:val="fr-BE"/>
        </w:rPr>
        <w:t>Acta Neurol Scand 2009; 119: 55–60.</w:t>
      </w:r>
    </w:p>
    <w:p w14:paraId="219DEFAD" w14:textId="77777777" w:rsidR="007630E7" w:rsidRPr="007630E7" w:rsidRDefault="007630E7" w:rsidP="00EB4EBC">
      <w:pPr>
        <w:widowControl w:val="0"/>
        <w:autoSpaceDE w:val="0"/>
        <w:autoSpaceDN w:val="0"/>
        <w:adjustRightInd w:val="0"/>
        <w:spacing w:line="480" w:lineRule="auto"/>
        <w:ind w:left="640" w:hanging="640"/>
        <w:jc w:val="both"/>
        <w:rPr>
          <w:rFonts w:ascii="Cambria" w:hAnsi="Cambria"/>
          <w:noProof/>
        </w:rPr>
      </w:pPr>
      <w:r w:rsidRPr="00C7657E">
        <w:rPr>
          <w:rFonts w:ascii="Cambria" w:hAnsi="Cambria"/>
          <w:noProof/>
          <w:lang w:val="fr-BE"/>
        </w:rPr>
        <w:t xml:space="preserve">16. </w:t>
      </w:r>
      <w:r w:rsidRPr="00C7657E">
        <w:rPr>
          <w:rFonts w:ascii="Cambria" w:hAnsi="Cambria"/>
          <w:noProof/>
          <w:lang w:val="fr-BE"/>
        </w:rPr>
        <w:tab/>
        <w:t xml:space="preserve">Hu Y, Huang Y, Quan F, et al. </w:t>
      </w:r>
      <w:r w:rsidRPr="007630E7">
        <w:rPr>
          <w:rFonts w:ascii="Cambria" w:hAnsi="Cambria"/>
          <w:noProof/>
        </w:rPr>
        <w:t>Comparison of the retention rates between carbamazepine and valproate as an initial monotherapy in Chinese patients with partial seizures: A ten-year follow-up, observational study. Seizure 2011; 20: 208–13.</w:t>
      </w:r>
    </w:p>
    <w:p w14:paraId="43009617" w14:textId="77777777" w:rsidR="007630E7" w:rsidRPr="007630E7" w:rsidRDefault="007630E7" w:rsidP="00EB4EBC">
      <w:pPr>
        <w:widowControl w:val="0"/>
        <w:autoSpaceDE w:val="0"/>
        <w:autoSpaceDN w:val="0"/>
        <w:adjustRightInd w:val="0"/>
        <w:spacing w:line="480" w:lineRule="auto"/>
        <w:ind w:left="640" w:hanging="640"/>
        <w:jc w:val="both"/>
        <w:rPr>
          <w:rFonts w:ascii="Cambria" w:hAnsi="Cambria"/>
          <w:noProof/>
        </w:rPr>
      </w:pPr>
      <w:r w:rsidRPr="007630E7">
        <w:rPr>
          <w:rFonts w:ascii="Cambria" w:hAnsi="Cambria"/>
          <w:noProof/>
        </w:rPr>
        <w:t xml:space="preserve">17. </w:t>
      </w:r>
      <w:r w:rsidRPr="007630E7">
        <w:rPr>
          <w:rFonts w:ascii="Cambria" w:hAnsi="Cambria"/>
          <w:noProof/>
        </w:rPr>
        <w:tab/>
        <w:t>Semah F, Lamy C, Demeret S. Hippocampal sclerosis and other hippocampal abnormalities in the early identification of candidates for epilepsy surgery. Arch Neurol 2002; 59: 1042–3; author reply 1043.</w:t>
      </w:r>
    </w:p>
    <w:p w14:paraId="088ACCD2" w14:textId="77777777" w:rsidR="007630E7" w:rsidRPr="007630E7" w:rsidRDefault="007630E7" w:rsidP="00EB4EBC">
      <w:pPr>
        <w:widowControl w:val="0"/>
        <w:autoSpaceDE w:val="0"/>
        <w:autoSpaceDN w:val="0"/>
        <w:adjustRightInd w:val="0"/>
        <w:spacing w:line="480" w:lineRule="auto"/>
        <w:ind w:left="640" w:hanging="640"/>
        <w:jc w:val="both"/>
        <w:rPr>
          <w:rFonts w:ascii="Cambria" w:hAnsi="Cambria"/>
          <w:noProof/>
        </w:rPr>
      </w:pPr>
      <w:r w:rsidRPr="007630E7">
        <w:rPr>
          <w:rFonts w:ascii="Cambria" w:hAnsi="Cambria"/>
          <w:noProof/>
        </w:rPr>
        <w:t xml:space="preserve">18. </w:t>
      </w:r>
      <w:r w:rsidRPr="007630E7">
        <w:rPr>
          <w:rFonts w:ascii="Cambria" w:hAnsi="Cambria"/>
          <w:noProof/>
        </w:rPr>
        <w:tab/>
        <w:t>Stephen LJ, Kwan P, Brodie MJ. Does the cause of localisation-related epilepsy influence the response to antiepileptic drug treatment? Epilepsia 2001; 42: 357–62.</w:t>
      </w:r>
    </w:p>
    <w:p w14:paraId="4FE04D4F" w14:textId="77777777" w:rsidR="007630E7" w:rsidRPr="00C7657E" w:rsidRDefault="007630E7" w:rsidP="00EB4EBC">
      <w:pPr>
        <w:widowControl w:val="0"/>
        <w:autoSpaceDE w:val="0"/>
        <w:autoSpaceDN w:val="0"/>
        <w:adjustRightInd w:val="0"/>
        <w:spacing w:line="480" w:lineRule="auto"/>
        <w:ind w:left="640" w:hanging="640"/>
        <w:jc w:val="both"/>
        <w:rPr>
          <w:rFonts w:ascii="Cambria" w:hAnsi="Cambria"/>
          <w:noProof/>
          <w:lang w:val="fr-BE"/>
        </w:rPr>
      </w:pPr>
      <w:r w:rsidRPr="0063543A">
        <w:rPr>
          <w:rFonts w:ascii="Cambria" w:hAnsi="Cambria"/>
          <w:noProof/>
          <w:lang w:val="en-GB"/>
        </w:rPr>
        <w:t xml:space="preserve">19. </w:t>
      </w:r>
      <w:r w:rsidRPr="0063543A">
        <w:rPr>
          <w:rFonts w:ascii="Cambria" w:hAnsi="Cambria"/>
          <w:noProof/>
          <w:lang w:val="en-GB"/>
        </w:rPr>
        <w:tab/>
        <w:t xml:space="preserve">Varoglu AO, Saygi S, Acemoglu H, et al. </w:t>
      </w:r>
      <w:r w:rsidRPr="007630E7">
        <w:rPr>
          <w:rFonts w:ascii="Cambria" w:hAnsi="Cambria"/>
          <w:noProof/>
        </w:rPr>
        <w:t xml:space="preserve">Prognosis of patients with mesial </w:t>
      </w:r>
      <w:r w:rsidRPr="007630E7">
        <w:rPr>
          <w:rFonts w:ascii="Cambria" w:hAnsi="Cambria"/>
          <w:noProof/>
        </w:rPr>
        <w:lastRenderedPageBreak/>
        <w:t xml:space="preserve">temporal lobe epilepsy due to hippocampal sclerosis. </w:t>
      </w:r>
      <w:r w:rsidRPr="00C7657E">
        <w:rPr>
          <w:rFonts w:ascii="Cambria" w:hAnsi="Cambria"/>
          <w:noProof/>
          <w:lang w:val="fr-BE"/>
        </w:rPr>
        <w:t>Epilepsy Res 2009; 85: 206–11.</w:t>
      </w:r>
    </w:p>
    <w:p w14:paraId="6B02B24D" w14:textId="77777777" w:rsidR="007630E7" w:rsidRPr="007630E7" w:rsidRDefault="007630E7" w:rsidP="00EB4EBC">
      <w:pPr>
        <w:widowControl w:val="0"/>
        <w:autoSpaceDE w:val="0"/>
        <w:autoSpaceDN w:val="0"/>
        <w:adjustRightInd w:val="0"/>
        <w:spacing w:line="480" w:lineRule="auto"/>
        <w:ind w:left="640" w:hanging="640"/>
        <w:jc w:val="both"/>
        <w:rPr>
          <w:rFonts w:ascii="Cambria" w:hAnsi="Cambria"/>
          <w:noProof/>
        </w:rPr>
      </w:pPr>
      <w:r w:rsidRPr="00C7657E">
        <w:rPr>
          <w:rFonts w:ascii="Cambria" w:hAnsi="Cambria"/>
          <w:noProof/>
          <w:lang w:val="fr-BE"/>
        </w:rPr>
        <w:t xml:space="preserve">20. </w:t>
      </w:r>
      <w:r w:rsidRPr="00C7657E">
        <w:rPr>
          <w:rFonts w:ascii="Cambria" w:hAnsi="Cambria"/>
          <w:noProof/>
          <w:lang w:val="fr-BE"/>
        </w:rPr>
        <w:tab/>
        <w:t xml:space="preserve">Sànchez J, Centanaro M, Solís J, et al. </w:t>
      </w:r>
      <w:r w:rsidRPr="007630E7">
        <w:rPr>
          <w:rFonts w:ascii="Cambria" w:hAnsi="Cambria"/>
          <w:noProof/>
        </w:rPr>
        <w:t>Factors predicting the outcome following medical treatment of mesial temporal epilepsy with hippocampal sclerosis. Seizure 2014; 23: 448–53.</w:t>
      </w:r>
    </w:p>
    <w:p w14:paraId="617F35AC" w14:textId="77777777" w:rsidR="007630E7" w:rsidRPr="007630E7" w:rsidRDefault="007630E7" w:rsidP="00EB4EBC">
      <w:pPr>
        <w:widowControl w:val="0"/>
        <w:autoSpaceDE w:val="0"/>
        <w:autoSpaceDN w:val="0"/>
        <w:adjustRightInd w:val="0"/>
        <w:spacing w:line="480" w:lineRule="auto"/>
        <w:ind w:left="640" w:hanging="640"/>
        <w:jc w:val="both"/>
        <w:rPr>
          <w:rFonts w:ascii="Cambria" w:hAnsi="Cambria"/>
          <w:noProof/>
        </w:rPr>
      </w:pPr>
      <w:r w:rsidRPr="007630E7">
        <w:rPr>
          <w:rFonts w:ascii="Cambria" w:hAnsi="Cambria"/>
          <w:noProof/>
        </w:rPr>
        <w:t xml:space="preserve">21. </w:t>
      </w:r>
      <w:r w:rsidRPr="007630E7">
        <w:rPr>
          <w:rFonts w:ascii="Cambria" w:hAnsi="Cambria"/>
          <w:noProof/>
        </w:rPr>
        <w:tab/>
        <w:t>Kurita T, Sakurai K, Takeda Y, et al. Very Long-Term Outcome of Non-Surgically Treated Patients with Temporal Lobe Epilepsy with Hippocampal Sclerosis: A Retrospective Study. PLoS One 2016; 11: e0159464.</w:t>
      </w:r>
    </w:p>
    <w:p w14:paraId="683AF181" w14:textId="77777777" w:rsidR="007630E7" w:rsidRPr="007630E7" w:rsidRDefault="007630E7" w:rsidP="00EB4EBC">
      <w:pPr>
        <w:widowControl w:val="0"/>
        <w:autoSpaceDE w:val="0"/>
        <w:autoSpaceDN w:val="0"/>
        <w:adjustRightInd w:val="0"/>
        <w:spacing w:line="480" w:lineRule="auto"/>
        <w:ind w:left="640" w:hanging="640"/>
        <w:jc w:val="both"/>
        <w:rPr>
          <w:rFonts w:ascii="Cambria" w:hAnsi="Cambria"/>
          <w:noProof/>
        </w:rPr>
      </w:pPr>
      <w:r w:rsidRPr="007630E7">
        <w:rPr>
          <w:rFonts w:ascii="Cambria" w:hAnsi="Cambria"/>
          <w:noProof/>
        </w:rPr>
        <w:t xml:space="preserve">22. </w:t>
      </w:r>
      <w:r w:rsidRPr="007630E7">
        <w:rPr>
          <w:rFonts w:ascii="Cambria" w:hAnsi="Cambria"/>
          <w:noProof/>
        </w:rPr>
        <w:tab/>
        <w:t>Park KM, Shin KJ, Ha SY, et al. Response to antiepileptic drugs in partial epilepsy with structural lesions on MRI. Clin Neurol Neurosurg 2014; 123: 64–8.</w:t>
      </w:r>
    </w:p>
    <w:p w14:paraId="384FE2E4" w14:textId="77777777" w:rsidR="007630E7" w:rsidRPr="007630E7" w:rsidRDefault="007630E7" w:rsidP="00EB4EBC">
      <w:pPr>
        <w:widowControl w:val="0"/>
        <w:autoSpaceDE w:val="0"/>
        <w:autoSpaceDN w:val="0"/>
        <w:adjustRightInd w:val="0"/>
        <w:spacing w:line="480" w:lineRule="auto"/>
        <w:ind w:left="640" w:hanging="640"/>
        <w:jc w:val="both"/>
        <w:rPr>
          <w:rFonts w:ascii="Cambria" w:hAnsi="Cambria"/>
          <w:noProof/>
        </w:rPr>
      </w:pPr>
      <w:r w:rsidRPr="007630E7">
        <w:rPr>
          <w:rFonts w:ascii="Cambria" w:hAnsi="Cambria"/>
          <w:noProof/>
        </w:rPr>
        <w:t xml:space="preserve">23. </w:t>
      </w:r>
      <w:r w:rsidRPr="007630E7">
        <w:rPr>
          <w:rFonts w:ascii="Cambria" w:hAnsi="Cambria"/>
          <w:noProof/>
        </w:rPr>
        <w:tab/>
        <w:t>Sillanpää M, Schmidt D. Natural history of treated childhood-onset epilepsy: prospective, long-term population-based study. Brain 2006; 129: 617–24.</w:t>
      </w:r>
    </w:p>
    <w:p w14:paraId="6BC0166C" w14:textId="77777777" w:rsidR="007630E7" w:rsidRPr="007630E7" w:rsidRDefault="007630E7" w:rsidP="00EB4EBC">
      <w:pPr>
        <w:widowControl w:val="0"/>
        <w:autoSpaceDE w:val="0"/>
        <w:autoSpaceDN w:val="0"/>
        <w:adjustRightInd w:val="0"/>
        <w:spacing w:line="480" w:lineRule="auto"/>
        <w:ind w:left="640" w:hanging="640"/>
        <w:jc w:val="both"/>
        <w:rPr>
          <w:rFonts w:ascii="Cambria" w:hAnsi="Cambria"/>
          <w:noProof/>
        </w:rPr>
      </w:pPr>
      <w:r w:rsidRPr="007630E7">
        <w:rPr>
          <w:rFonts w:ascii="Cambria" w:hAnsi="Cambria"/>
          <w:noProof/>
        </w:rPr>
        <w:t xml:space="preserve">24. </w:t>
      </w:r>
      <w:r w:rsidRPr="007630E7">
        <w:rPr>
          <w:rFonts w:ascii="Cambria" w:hAnsi="Cambria"/>
          <w:noProof/>
        </w:rPr>
        <w:tab/>
        <w:t>Shorvon SD, Goodridge DMG. Longitudinal cohort studies of the prognosis of epilepsy: contribution of the National General Practice Study of Epilepsy and other studies. Brain 2013; 136: 3497–510.</w:t>
      </w:r>
    </w:p>
    <w:p w14:paraId="43292605" w14:textId="77777777" w:rsidR="007630E7" w:rsidRPr="007630E7" w:rsidRDefault="007630E7" w:rsidP="00EB4EBC">
      <w:pPr>
        <w:widowControl w:val="0"/>
        <w:autoSpaceDE w:val="0"/>
        <w:autoSpaceDN w:val="0"/>
        <w:adjustRightInd w:val="0"/>
        <w:spacing w:line="480" w:lineRule="auto"/>
        <w:ind w:left="640" w:hanging="640"/>
        <w:jc w:val="both"/>
        <w:rPr>
          <w:rFonts w:ascii="Cambria" w:hAnsi="Cambria"/>
          <w:noProof/>
        </w:rPr>
      </w:pPr>
      <w:r w:rsidRPr="007630E7">
        <w:rPr>
          <w:rFonts w:ascii="Cambria" w:hAnsi="Cambria"/>
          <w:noProof/>
        </w:rPr>
        <w:t xml:space="preserve">25. </w:t>
      </w:r>
      <w:r w:rsidRPr="007630E7">
        <w:rPr>
          <w:rFonts w:ascii="Cambria" w:hAnsi="Cambria"/>
          <w:noProof/>
        </w:rPr>
        <w:tab/>
        <w:t>Beghi E, Giussani G, Sander JW. The natural history and prognosis of epilepsy. Epileptic Disord 2015; 17: 243–53.</w:t>
      </w:r>
    </w:p>
    <w:p w14:paraId="1CA4602A" w14:textId="77777777" w:rsidR="007630E7" w:rsidRPr="007630E7" w:rsidRDefault="007630E7" w:rsidP="00EB4EBC">
      <w:pPr>
        <w:widowControl w:val="0"/>
        <w:autoSpaceDE w:val="0"/>
        <w:autoSpaceDN w:val="0"/>
        <w:adjustRightInd w:val="0"/>
        <w:spacing w:line="480" w:lineRule="auto"/>
        <w:ind w:left="640" w:hanging="640"/>
        <w:jc w:val="both"/>
        <w:rPr>
          <w:rFonts w:ascii="Cambria" w:hAnsi="Cambria"/>
          <w:noProof/>
        </w:rPr>
      </w:pPr>
      <w:r w:rsidRPr="007630E7">
        <w:rPr>
          <w:rFonts w:ascii="Cambria" w:hAnsi="Cambria"/>
          <w:noProof/>
        </w:rPr>
        <w:t xml:space="preserve">26. </w:t>
      </w:r>
      <w:r w:rsidRPr="007630E7">
        <w:rPr>
          <w:rFonts w:ascii="Cambria" w:hAnsi="Cambria"/>
          <w:noProof/>
        </w:rPr>
        <w:tab/>
        <w:t>Neligan A, Bell GS, Elsayed M, et al. Treatment changes in a cohort of people with apparently drug-resistant epilepsy: an extended follow-up. J Neurol Neurosurg Psychiatry 2012; 83: 810–3.</w:t>
      </w:r>
    </w:p>
    <w:p w14:paraId="6909F6A2" w14:textId="77777777" w:rsidR="007630E7" w:rsidRPr="007630E7" w:rsidRDefault="007630E7" w:rsidP="00EB4EBC">
      <w:pPr>
        <w:widowControl w:val="0"/>
        <w:autoSpaceDE w:val="0"/>
        <w:autoSpaceDN w:val="0"/>
        <w:adjustRightInd w:val="0"/>
        <w:spacing w:line="480" w:lineRule="auto"/>
        <w:ind w:left="640" w:hanging="640"/>
        <w:jc w:val="both"/>
        <w:rPr>
          <w:rFonts w:ascii="Cambria" w:hAnsi="Cambria"/>
          <w:noProof/>
        </w:rPr>
      </w:pPr>
      <w:r w:rsidRPr="007630E7">
        <w:rPr>
          <w:rFonts w:ascii="Cambria" w:hAnsi="Cambria"/>
          <w:noProof/>
        </w:rPr>
        <w:lastRenderedPageBreak/>
        <w:t xml:space="preserve">27. </w:t>
      </w:r>
      <w:r w:rsidRPr="007630E7">
        <w:rPr>
          <w:rFonts w:ascii="Cambria" w:hAnsi="Cambria"/>
          <w:noProof/>
        </w:rPr>
        <w:tab/>
        <w:t>Coan AC, Campos BM, Bergo FPG, et al. Patterns of seizure control in patients with mesial temporal lobe epilepsy with and without hippocampus sclerosis. Arq Neuropsiquiatr 2015; 73: 79–82.</w:t>
      </w:r>
    </w:p>
    <w:p w14:paraId="3E479AB7" w14:textId="77777777" w:rsidR="007630E7" w:rsidRPr="007630E7" w:rsidRDefault="007630E7" w:rsidP="00EB4EBC">
      <w:pPr>
        <w:widowControl w:val="0"/>
        <w:autoSpaceDE w:val="0"/>
        <w:autoSpaceDN w:val="0"/>
        <w:adjustRightInd w:val="0"/>
        <w:spacing w:line="480" w:lineRule="auto"/>
        <w:ind w:left="640" w:hanging="640"/>
        <w:jc w:val="both"/>
        <w:rPr>
          <w:rFonts w:ascii="Cambria" w:hAnsi="Cambria"/>
          <w:noProof/>
        </w:rPr>
      </w:pPr>
      <w:r w:rsidRPr="007630E7">
        <w:rPr>
          <w:rFonts w:ascii="Cambria" w:hAnsi="Cambria"/>
          <w:noProof/>
        </w:rPr>
        <w:t xml:space="preserve">28. </w:t>
      </w:r>
      <w:r w:rsidRPr="007630E7">
        <w:rPr>
          <w:rFonts w:ascii="Cambria" w:hAnsi="Cambria"/>
          <w:noProof/>
        </w:rPr>
        <w:tab/>
        <w:t>Luciano AL, Shorvon SD. Results of treatment changes in patients with apparently drug-resistant chronic epilepsy. Ann Neurol 2007; 62: 375–81.</w:t>
      </w:r>
    </w:p>
    <w:p w14:paraId="5C072D9A" w14:textId="77777777" w:rsidR="007630E7" w:rsidRPr="007630E7" w:rsidRDefault="007630E7" w:rsidP="00EB4EBC">
      <w:pPr>
        <w:widowControl w:val="0"/>
        <w:autoSpaceDE w:val="0"/>
        <w:autoSpaceDN w:val="0"/>
        <w:adjustRightInd w:val="0"/>
        <w:spacing w:line="480" w:lineRule="auto"/>
        <w:ind w:left="640" w:hanging="640"/>
        <w:jc w:val="both"/>
        <w:rPr>
          <w:rFonts w:ascii="Cambria" w:hAnsi="Cambria"/>
          <w:noProof/>
        </w:rPr>
      </w:pPr>
      <w:r w:rsidRPr="007630E7">
        <w:rPr>
          <w:rFonts w:ascii="Cambria" w:hAnsi="Cambria"/>
          <w:noProof/>
        </w:rPr>
        <w:t xml:space="preserve">29. </w:t>
      </w:r>
      <w:r w:rsidRPr="007630E7">
        <w:rPr>
          <w:rFonts w:ascii="Cambria" w:hAnsi="Cambria"/>
          <w:noProof/>
        </w:rPr>
        <w:tab/>
        <w:t>Callaghan BC, Anand K, Hesdorffer D, et al. Likelihood of seizure remission in an adult population with refractory epilepsy. Ann Neurol 2007; 62: 382–9.</w:t>
      </w:r>
    </w:p>
    <w:p w14:paraId="1A6D65F5" w14:textId="77777777" w:rsidR="007630E7" w:rsidRPr="007630E7" w:rsidRDefault="007630E7" w:rsidP="00EB4EBC">
      <w:pPr>
        <w:widowControl w:val="0"/>
        <w:autoSpaceDE w:val="0"/>
        <w:autoSpaceDN w:val="0"/>
        <w:adjustRightInd w:val="0"/>
        <w:spacing w:line="480" w:lineRule="auto"/>
        <w:ind w:left="640" w:hanging="640"/>
        <w:jc w:val="both"/>
        <w:rPr>
          <w:rFonts w:ascii="Cambria" w:hAnsi="Cambria"/>
          <w:noProof/>
        </w:rPr>
      </w:pPr>
      <w:r w:rsidRPr="007630E7">
        <w:rPr>
          <w:rFonts w:ascii="Cambria" w:hAnsi="Cambria"/>
          <w:noProof/>
        </w:rPr>
        <w:t xml:space="preserve">30. </w:t>
      </w:r>
      <w:r w:rsidRPr="007630E7">
        <w:rPr>
          <w:rFonts w:ascii="Cambria" w:hAnsi="Cambria"/>
          <w:noProof/>
        </w:rPr>
        <w:tab/>
        <w:t>Carreño M, Maestro I, Molins A, et al. Pregabalin as add-on therapy for refractory partial seizures in every day clinical practice. Seizure 2007; 16: 709–12.</w:t>
      </w:r>
    </w:p>
    <w:p w14:paraId="71ED28E4" w14:textId="77777777" w:rsidR="007630E7" w:rsidRPr="007630E7" w:rsidRDefault="007630E7" w:rsidP="00EB4EBC">
      <w:pPr>
        <w:widowControl w:val="0"/>
        <w:autoSpaceDE w:val="0"/>
        <w:autoSpaceDN w:val="0"/>
        <w:adjustRightInd w:val="0"/>
        <w:spacing w:line="480" w:lineRule="auto"/>
        <w:ind w:left="640" w:hanging="640"/>
        <w:jc w:val="both"/>
        <w:rPr>
          <w:rFonts w:ascii="Cambria" w:hAnsi="Cambria"/>
          <w:noProof/>
        </w:rPr>
      </w:pPr>
      <w:r w:rsidRPr="007630E7">
        <w:rPr>
          <w:rFonts w:ascii="Cambria" w:hAnsi="Cambria"/>
          <w:noProof/>
        </w:rPr>
        <w:t xml:space="preserve">31. </w:t>
      </w:r>
      <w:r w:rsidRPr="007630E7">
        <w:rPr>
          <w:rFonts w:ascii="Cambria" w:hAnsi="Cambria"/>
          <w:noProof/>
        </w:rPr>
        <w:tab/>
        <w:t>Perucca P, Gilliam FG. Adverse effects of antiepileptic drugs. Lancet Neurol 2012; 11: 792–802.</w:t>
      </w:r>
    </w:p>
    <w:p w14:paraId="32469835" w14:textId="77777777" w:rsidR="007630E7" w:rsidRPr="00C7657E" w:rsidRDefault="007630E7" w:rsidP="00EB4EBC">
      <w:pPr>
        <w:widowControl w:val="0"/>
        <w:autoSpaceDE w:val="0"/>
        <w:autoSpaceDN w:val="0"/>
        <w:adjustRightInd w:val="0"/>
        <w:spacing w:line="480" w:lineRule="auto"/>
        <w:ind w:left="640" w:hanging="640"/>
        <w:jc w:val="both"/>
        <w:rPr>
          <w:rFonts w:ascii="Cambria" w:hAnsi="Cambria"/>
          <w:noProof/>
          <w:lang w:val="fr-BE"/>
        </w:rPr>
      </w:pPr>
      <w:r w:rsidRPr="007630E7">
        <w:rPr>
          <w:rFonts w:ascii="Cambria" w:hAnsi="Cambria"/>
          <w:noProof/>
        </w:rPr>
        <w:t xml:space="preserve">32. </w:t>
      </w:r>
      <w:r w:rsidRPr="007630E7">
        <w:rPr>
          <w:rFonts w:ascii="Cambria" w:hAnsi="Cambria"/>
          <w:noProof/>
        </w:rPr>
        <w:tab/>
        <w:t xml:space="preserve">Deckers CL, Hekster YA, Keyser A, et al. Reappraisal of polytherapy in epilepsy: a critical review of drug load and adverse effects. </w:t>
      </w:r>
      <w:r w:rsidRPr="00C7657E">
        <w:rPr>
          <w:rFonts w:ascii="Cambria" w:hAnsi="Cambria"/>
          <w:noProof/>
          <w:lang w:val="fr-BE"/>
        </w:rPr>
        <w:t>Epilepsia 1997; 38: 570–5.</w:t>
      </w:r>
    </w:p>
    <w:p w14:paraId="5949F9F3" w14:textId="77777777" w:rsidR="007630E7" w:rsidRPr="007630E7" w:rsidRDefault="007630E7" w:rsidP="00EB4EBC">
      <w:pPr>
        <w:widowControl w:val="0"/>
        <w:autoSpaceDE w:val="0"/>
        <w:autoSpaceDN w:val="0"/>
        <w:adjustRightInd w:val="0"/>
        <w:spacing w:line="480" w:lineRule="auto"/>
        <w:ind w:left="640" w:hanging="640"/>
        <w:jc w:val="both"/>
        <w:rPr>
          <w:rFonts w:ascii="Cambria" w:hAnsi="Cambria"/>
          <w:noProof/>
        </w:rPr>
      </w:pPr>
      <w:r w:rsidRPr="00C7657E">
        <w:rPr>
          <w:rFonts w:ascii="Cambria" w:hAnsi="Cambria"/>
          <w:noProof/>
          <w:lang w:val="fr-BE"/>
        </w:rPr>
        <w:t xml:space="preserve">33. </w:t>
      </w:r>
      <w:r w:rsidRPr="00C7657E">
        <w:rPr>
          <w:rFonts w:ascii="Cambria" w:hAnsi="Cambria"/>
          <w:noProof/>
          <w:lang w:val="fr-BE"/>
        </w:rPr>
        <w:tab/>
        <w:t xml:space="preserve">Canevini MP, De Sarro G, Galimberti CA, et al. </w:t>
      </w:r>
      <w:r w:rsidRPr="007630E7">
        <w:rPr>
          <w:rFonts w:ascii="Cambria" w:hAnsi="Cambria"/>
          <w:noProof/>
        </w:rPr>
        <w:t>Relationship between adverse effects of antiepileptic drugs, number of coprescribed drugs, and drug load in a large cohort of consecutive patients with drug-refractory epilepsy. Epilepsia 2010; 51: 797–804.</w:t>
      </w:r>
    </w:p>
    <w:p w14:paraId="0606D12C" w14:textId="77777777" w:rsidR="007630E7" w:rsidRPr="007630E7" w:rsidRDefault="007630E7" w:rsidP="00EB4EBC">
      <w:pPr>
        <w:widowControl w:val="0"/>
        <w:autoSpaceDE w:val="0"/>
        <w:autoSpaceDN w:val="0"/>
        <w:adjustRightInd w:val="0"/>
        <w:spacing w:line="480" w:lineRule="auto"/>
        <w:ind w:left="640" w:hanging="640"/>
        <w:jc w:val="both"/>
        <w:rPr>
          <w:rFonts w:ascii="Cambria" w:hAnsi="Cambria"/>
          <w:noProof/>
        </w:rPr>
      </w:pPr>
      <w:r w:rsidRPr="007630E7">
        <w:rPr>
          <w:rFonts w:ascii="Cambria" w:hAnsi="Cambria"/>
          <w:noProof/>
        </w:rPr>
        <w:t xml:space="preserve">34. </w:t>
      </w:r>
      <w:r w:rsidRPr="007630E7">
        <w:rPr>
          <w:rFonts w:ascii="Cambria" w:hAnsi="Cambria"/>
          <w:noProof/>
        </w:rPr>
        <w:tab/>
        <w:t xml:space="preserve">Marson AG, Al-Kharusi AM, Alwaidh M, et al. The SANAD study of effectiveness of carbamazepine, gabapentin, lamotrigine, oxcarbazepine, or </w:t>
      </w:r>
      <w:r w:rsidRPr="007630E7">
        <w:rPr>
          <w:rFonts w:ascii="Cambria" w:hAnsi="Cambria"/>
          <w:noProof/>
        </w:rPr>
        <w:lastRenderedPageBreak/>
        <w:t>topiramate for treatment of partial epilepsy: an unblinded randomised controlled trial. Lancet (London, England) 2007; 369: 1000–15.</w:t>
      </w:r>
    </w:p>
    <w:p w14:paraId="4E933C0E" w14:textId="77777777" w:rsidR="007630E7" w:rsidRPr="00DC3D34" w:rsidRDefault="007630E7" w:rsidP="00EB4EBC">
      <w:pPr>
        <w:widowControl w:val="0"/>
        <w:autoSpaceDE w:val="0"/>
        <w:autoSpaceDN w:val="0"/>
        <w:adjustRightInd w:val="0"/>
        <w:spacing w:line="480" w:lineRule="auto"/>
        <w:ind w:left="640" w:hanging="640"/>
        <w:jc w:val="both"/>
        <w:rPr>
          <w:rFonts w:ascii="Cambria" w:hAnsi="Cambria"/>
          <w:noProof/>
          <w:lang w:val="nl-BE"/>
        </w:rPr>
      </w:pPr>
      <w:r w:rsidRPr="007630E7">
        <w:rPr>
          <w:rFonts w:ascii="Cambria" w:hAnsi="Cambria"/>
          <w:noProof/>
        </w:rPr>
        <w:t xml:space="preserve">35. </w:t>
      </w:r>
      <w:r w:rsidRPr="007630E7">
        <w:rPr>
          <w:rFonts w:ascii="Cambria" w:hAnsi="Cambria"/>
          <w:noProof/>
        </w:rPr>
        <w:tab/>
        <w:t xml:space="preserve">Andrade DM. Dravet syndrome, lamotrigine, and personalized medicine. </w:t>
      </w:r>
      <w:r w:rsidRPr="00DC3D34">
        <w:rPr>
          <w:rFonts w:ascii="Cambria" w:hAnsi="Cambria"/>
          <w:noProof/>
          <w:lang w:val="nl-BE"/>
        </w:rPr>
        <w:t>Dev Med Child Neurol 2015; 57: 118–9.</w:t>
      </w:r>
    </w:p>
    <w:p w14:paraId="0173D256" w14:textId="77777777" w:rsidR="007630E7" w:rsidRPr="007630E7" w:rsidRDefault="007630E7" w:rsidP="00EB4EBC">
      <w:pPr>
        <w:widowControl w:val="0"/>
        <w:autoSpaceDE w:val="0"/>
        <w:autoSpaceDN w:val="0"/>
        <w:adjustRightInd w:val="0"/>
        <w:spacing w:line="480" w:lineRule="auto"/>
        <w:ind w:left="640" w:hanging="640"/>
        <w:jc w:val="both"/>
        <w:rPr>
          <w:rFonts w:ascii="Cambria" w:hAnsi="Cambria"/>
          <w:noProof/>
        </w:rPr>
      </w:pPr>
      <w:r w:rsidRPr="00DC3D34">
        <w:rPr>
          <w:rFonts w:ascii="Cambria" w:hAnsi="Cambria"/>
          <w:noProof/>
          <w:lang w:val="nl-BE"/>
        </w:rPr>
        <w:t xml:space="preserve">36. </w:t>
      </w:r>
      <w:r w:rsidRPr="00DC3D34">
        <w:rPr>
          <w:rFonts w:ascii="Cambria" w:hAnsi="Cambria"/>
          <w:noProof/>
          <w:lang w:val="nl-BE"/>
        </w:rPr>
        <w:tab/>
        <w:t xml:space="preserve">Boerma RS, Braun KP, van den Broek MPH, et al. </w:t>
      </w:r>
      <w:r w:rsidRPr="007630E7">
        <w:rPr>
          <w:rFonts w:ascii="Cambria" w:hAnsi="Cambria"/>
          <w:noProof/>
        </w:rPr>
        <w:t>Remarkable Phenytoin Sensitivity in 4 Children with SCN8A-related Epilepsy: A Molecular Neuropharmacological Approach. Neurotherapeutics 2016; 13: 192–7.</w:t>
      </w:r>
    </w:p>
    <w:p w14:paraId="5358DA46" w14:textId="77777777" w:rsidR="007630E7" w:rsidRPr="00C7657E" w:rsidRDefault="007630E7" w:rsidP="00EB4EBC">
      <w:pPr>
        <w:widowControl w:val="0"/>
        <w:autoSpaceDE w:val="0"/>
        <w:autoSpaceDN w:val="0"/>
        <w:adjustRightInd w:val="0"/>
        <w:spacing w:line="480" w:lineRule="auto"/>
        <w:ind w:left="640" w:hanging="640"/>
        <w:jc w:val="both"/>
        <w:rPr>
          <w:rFonts w:ascii="Cambria" w:hAnsi="Cambria"/>
          <w:noProof/>
          <w:lang w:val="fr-BE"/>
        </w:rPr>
      </w:pPr>
      <w:r w:rsidRPr="007630E7">
        <w:rPr>
          <w:rFonts w:ascii="Cambria" w:hAnsi="Cambria"/>
          <w:noProof/>
        </w:rPr>
        <w:t xml:space="preserve">37. </w:t>
      </w:r>
      <w:r w:rsidRPr="007630E7">
        <w:rPr>
          <w:rFonts w:ascii="Cambria" w:hAnsi="Cambria"/>
          <w:noProof/>
        </w:rPr>
        <w:tab/>
        <w:t xml:space="preserve">Pierson TM, Yuan H, Marsh ED, et al. GRIN2A mutation and early-onset epileptic encephalopathy: personalized therapy with memantine. </w:t>
      </w:r>
      <w:r w:rsidRPr="00C7657E">
        <w:rPr>
          <w:rFonts w:ascii="Cambria" w:hAnsi="Cambria"/>
          <w:noProof/>
          <w:lang w:val="fr-BE"/>
        </w:rPr>
        <w:t>Ann Clin Transl Neurol 2014; 1: 190–8.</w:t>
      </w:r>
    </w:p>
    <w:p w14:paraId="12BA8FA4" w14:textId="77777777" w:rsidR="007630E7" w:rsidRPr="007630E7" w:rsidRDefault="007630E7" w:rsidP="00EB4EBC">
      <w:pPr>
        <w:widowControl w:val="0"/>
        <w:autoSpaceDE w:val="0"/>
        <w:autoSpaceDN w:val="0"/>
        <w:adjustRightInd w:val="0"/>
        <w:spacing w:line="480" w:lineRule="auto"/>
        <w:ind w:left="640" w:hanging="640"/>
        <w:jc w:val="both"/>
        <w:rPr>
          <w:rFonts w:ascii="Cambria" w:hAnsi="Cambria"/>
          <w:noProof/>
        </w:rPr>
      </w:pPr>
      <w:r w:rsidRPr="00C7657E">
        <w:rPr>
          <w:rFonts w:ascii="Cambria" w:hAnsi="Cambria"/>
          <w:noProof/>
          <w:lang w:val="fr-BE"/>
        </w:rPr>
        <w:t xml:space="preserve">38. </w:t>
      </w:r>
      <w:r w:rsidRPr="00C7657E">
        <w:rPr>
          <w:rFonts w:ascii="Cambria" w:hAnsi="Cambria"/>
          <w:noProof/>
          <w:lang w:val="fr-BE"/>
        </w:rPr>
        <w:tab/>
        <w:t xml:space="preserve">Milligan CJ, Li M, Gazina E V., et al. </w:t>
      </w:r>
      <w:r w:rsidRPr="007630E7">
        <w:rPr>
          <w:rFonts w:ascii="Cambria" w:hAnsi="Cambria"/>
          <w:noProof/>
        </w:rPr>
        <w:t>KCNT1 gain of function in 2 epilepsy phenotypes is reversed by quinidine. Ann Neurol 2014; 75: 581–90.</w:t>
      </w:r>
    </w:p>
    <w:p w14:paraId="25F86367" w14:textId="007A9DAC" w:rsidR="00986FAD" w:rsidRDefault="00973154" w:rsidP="00EB4EBC">
      <w:pPr>
        <w:widowControl w:val="0"/>
        <w:autoSpaceDE w:val="0"/>
        <w:autoSpaceDN w:val="0"/>
        <w:adjustRightInd w:val="0"/>
        <w:spacing w:line="480" w:lineRule="auto"/>
        <w:ind w:left="640" w:hanging="640"/>
        <w:jc w:val="both"/>
      </w:pPr>
      <w:r>
        <w:fldChar w:fldCharType="end"/>
      </w:r>
    </w:p>
    <w:p w14:paraId="15E82D69" w14:textId="77777777" w:rsidR="00771CF5" w:rsidRDefault="00771CF5" w:rsidP="00EB4EBC">
      <w:pPr>
        <w:widowControl w:val="0"/>
        <w:autoSpaceDE w:val="0"/>
        <w:autoSpaceDN w:val="0"/>
        <w:adjustRightInd w:val="0"/>
        <w:spacing w:line="480" w:lineRule="auto"/>
        <w:ind w:left="640" w:hanging="640"/>
        <w:jc w:val="both"/>
      </w:pPr>
    </w:p>
    <w:p w14:paraId="0722C122" w14:textId="77777777" w:rsidR="00771CF5" w:rsidRDefault="00771CF5" w:rsidP="00EB4EBC">
      <w:pPr>
        <w:widowControl w:val="0"/>
        <w:autoSpaceDE w:val="0"/>
        <w:autoSpaceDN w:val="0"/>
        <w:adjustRightInd w:val="0"/>
        <w:spacing w:line="480" w:lineRule="auto"/>
        <w:ind w:left="640" w:hanging="640"/>
        <w:jc w:val="both"/>
      </w:pPr>
    </w:p>
    <w:p w14:paraId="5B57DA5D" w14:textId="77777777" w:rsidR="00771CF5" w:rsidRDefault="00771CF5" w:rsidP="00EB4EBC">
      <w:pPr>
        <w:widowControl w:val="0"/>
        <w:autoSpaceDE w:val="0"/>
        <w:autoSpaceDN w:val="0"/>
        <w:adjustRightInd w:val="0"/>
        <w:spacing w:line="480" w:lineRule="auto"/>
        <w:ind w:left="640" w:hanging="640"/>
        <w:jc w:val="both"/>
      </w:pPr>
    </w:p>
    <w:p w14:paraId="546117A5" w14:textId="77777777" w:rsidR="00771CF5" w:rsidRDefault="00771CF5" w:rsidP="00EB4EBC">
      <w:pPr>
        <w:widowControl w:val="0"/>
        <w:autoSpaceDE w:val="0"/>
        <w:autoSpaceDN w:val="0"/>
        <w:adjustRightInd w:val="0"/>
        <w:spacing w:line="480" w:lineRule="auto"/>
        <w:ind w:left="640" w:hanging="640"/>
        <w:jc w:val="both"/>
      </w:pPr>
    </w:p>
    <w:p w14:paraId="2BD50A6E" w14:textId="77777777" w:rsidR="00771CF5" w:rsidRDefault="00771CF5" w:rsidP="00EB4EBC">
      <w:pPr>
        <w:widowControl w:val="0"/>
        <w:autoSpaceDE w:val="0"/>
        <w:autoSpaceDN w:val="0"/>
        <w:adjustRightInd w:val="0"/>
        <w:spacing w:line="480" w:lineRule="auto"/>
        <w:ind w:left="640" w:hanging="640"/>
        <w:jc w:val="both"/>
      </w:pPr>
    </w:p>
    <w:p w14:paraId="5796528B" w14:textId="77777777" w:rsidR="001E18BB" w:rsidRDefault="001E18BB" w:rsidP="007630E7">
      <w:pPr>
        <w:widowControl w:val="0"/>
        <w:autoSpaceDE w:val="0"/>
        <w:autoSpaceDN w:val="0"/>
        <w:adjustRightInd w:val="0"/>
        <w:spacing w:line="480" w:lineRule="auto"/>
        <w:ind w:left="640" w:hanging="640"/>
      </w:pPr>
    </w:p>
    <w:p w14:paraId="32D35000" w14:textId="77777777" w:rsidR="0063543A" w:rsidRDefault="001E18BB" w:rsidP="001E18BB">
      <w:pPr>
        <w:pStyle w:val="ImageCaption"/>
        <w:spacing w:line="480" w:lineRule="auto"/>
        <w:jc w:val="both"/>
        <w:rPr>
          <w:i w:val="0"/>
        </w:rPr>
      </w:pPr>
      <w:r w:rsidRPr="001219F9">
        <w:rPr>
          <w:b/>
          <w:i w:val="0"/>
        </w:rPr>
        <w:lastRenderedPageBreak/>
        <w:t>Figure 1</w:t>
      </w:r>
      <w:r w:rsidRPr="001219F9">
        <w:rPr>
          <w:i w:val="0"/>
        </w:rPr>
        <w:t xml:space="preserve">. Flow chart for recruiting the patients with mesial temporal lobe epilepsy with hippocampal sclerosis. </w:t>
      </w:r>
    </w:p>
    <w:p w14:paraId="4FDC4968" w14:textId="6FB0EEC8" w:rsidR="001E18BB" w:rsidRDefault="001E18BB" w:rsidP="001E18BB">
      <w:pPr>
        <w:pStyle w:val="ImageCaption"/>
        <w:spacing w:line="480" w:lineRule="auto"/>
        <w:jc w:val="both"/>
        <w:rPr>
          <w:i w:val="0"/>
        </w:rPr>
      </w:pPr>
      <w:r w:rsidRPr="001219F9">
        <w:rPr>
          <w:i w:val="0"/>
        </w:rPr>
        <w:t xml:space="preserve">Numbers of antiepileptic drug trials for drug retention, efficacy and adverse drug reactions include only </w:t>
      </w:r>
      <w:r>
        <w:rPr>
          <w:i w:val="0"/>
        </w:rPr>
        <w:t>those with interpretable data</w:t>
      </w:r>
      <w:r w:rsidRPr="001219F9">
        <w:rPr>
          <w:i w:val="0"/>
        </w:rPr>
        <w:t>. Abbreviations: AED, anti-epileptic drug.</w:t>
      </w:r>
    </w:p>
    <w:p w14:paraId="71C5663D" w14:textId="77777777" w:rsidR="0063543A" w:rsidRDefault="001E18BB" w:rsidP="001E18BB">
      <w:pPr>
        <w:pStyle w:val="ImageCaption"/>
        <w:spacing w:line="480" w:lineRule="auto"/>
        <w:jc w:val="both"/>
        <w:rPr>
          <w:i w:val="0"/>
        </w:rPr>
      </w:pPr>
      <w:r w:rsidRPr="001219F9">
        <w:rPr>
          <w:b/>
          <w:i w:val="0"/>
        </w:rPr>
        <w:t>Figure 2</w:t>
      </w:r>
      <w:r w:rsidRPr="001219F9">
        <w:rPr>
          <w:i w:val="0"/>
        </w:rPr>
        <w:t xml:space="preserve">. Survival estimates for continuing AED treatments. </w:t>
      </w:r>
    </w:p>
    <w:p w14:paraId="50F90375" w14:textId="3CF02E77" w:rsidR="001E18BB" w:rsidRPr="001219F9" w:rsidRDefault="001E18BB" w:rsidP="001E18BB">
      <w:pPr>
        <w:pStyle w:val="ImageCaption"/>
        <w:spacing w:line="480" w:lineRule="auto"/>
        <w:jc w:val="both"/>
        <w:rPr>
          <w:i w:val="0"/>
        </w:rPr>
      </w:pPr>
      <w:r>
        <w:rPr>
          <w:i w:val="0"/>
        </w:rPr>
        <w:t xml:space="preserve">The bar </w:t>
      </w:r>
      <w:r w:rsidRPr="001219F9">
        <w:rPr>
          <w:i w:val="0"/>
        </w:rPr>
        <w:t xml:space="preserve">plot </w:t>
      </w:r>
      <w:r>
        <w:rPr>
          <w:i w:val="0"/>
        </w:rPr>
        <w:t>shows</w:t>
      </w:r>
      <w:r w:rsidRPr="001219F9">
        <w:rPr>
          <w:i w:val="0"/>
        </w:rPr>
        <w:t xml:space="preserve"> the median survival estimate per AED. </w:t>
      </w:r>
      <w:r>
        <w:rPr>
          <w:i w:val="0"/>
        </w:rPr>
        <w:t>Their pairwise</w:t>
      </w:r>
      <w:r w:rsidRPr="001219F9">
        <w:rPr>
          <w:i w:val="0"/>
        </w:rPr>
        <w:t xml:space="preserve"> </w:t>
      </w:r>
      <w:r>
        <w:rPr>
          <w:i w:val="0"/>
        </w:rPr>
        <w:t>comparisons are given below as</w:t>
      </w:r>
      <w:r w:rsidRPr="001219F9">
        <w:rPr>
          <w:i w:val="0"/>
        </w:rPr>
        <w:t xml:space="preserve"> Bonferroni corrected p-values.</w:t>
      </w:r>
      <w:r w:rsidRPr="001219F9">
        <w:t xml:space="preserve"> </w:t>
      </w:r>
      <w:r w:rsidRPr="001219F9">
        <w:rPr>
          <w:i w:val="0"/>
        </w:rPr>
        <w:t xml:space="preserve">Abbreviations: CBZ, carbamazepine; CLB, </w:t>
      </w:r>
      <w:proofErr w:type="spellStart"/>
      <w:r w:rsidRPr="001219F9">
        <w:rPr>
          <w:i w:val="0"/>
        </w:rPr>
        <w:t>clobazam</w:t>
      </w:r>
      <w:proofErr w:type="spellEnd"/>
      <w:r w:rsidRPr="001219F9">
        <w:rPr>
          <w:i w:val="0"/>
        </w:rPr>
        <w:t xml:space="preserve">; GBP, gabapentin; LEV, </w:t>
      </w:r>
      <w:proofErr w:type="spellStart"/>
      <w:r w:rsidRPr="001219F9">
        <w:rPr>
          <w:i w:val="0"/>
        </w:rPr>
        <w:t>levetiracetam</w:t>
      </w:r>
      <w:proofErr w:type="spellEnd"/>
      <w:r w:rsidRPr="001219F9">
        <w:rPr>
          <w:i w:val="0"/>
        </w:rPr>
        <w:t xml:space="preserve">; LTG, lamotrigine; ; OXC, oxcarbazepine; PGB, </w:t>
      </w:r>
      <w:proofErr w:type="spellStart"/>
      <w:r w:rsidRPr="001219F9">
        <w:rPr>
          <w:i w:val="0"/>
        </w:rPr>
        <w:t>pregabalin</w:t>
      </w:r>
      <w:proofErr w:type="spellEnd"/>
      <w:r w:rsidRPr="001219F9">
        <w:rPr>
          <w:i w:val="0"/>
        </w:rPr>
        <w:t xml:space="preserve">; TPM, </w:t>
      </w:r>
      <w:proofErr w:type="spellStart"/>
      <w:r w:rsidRPr="001219F9">
        <w:rPr>
          <w:i w:val="0"/>
        </w:rPr>
        <w:t>topiramate</w:t>
      </w:r>
      <w:proofErr w:type="spellEnd"/>
      <w:r w:rsidRPr="001219F9">
        <w:rPr>
          <w:i w:val="0"/>
        </w:rPr>
        <w:t xml:space="preserve">; VGB, </w:t>
      </w:r>
      <w:proofErr w:type="spellStart"/>
      <w:r w:rsidRPr="001219F9">
        <w:rPr>
          <w:i w:val="0"/>
        </w:rPr>
        <w:t>vigabatrin</w:t>
      </w:r>
      <w:proofErr w:type="spellEnd"/>
      <w:r w:rsidRPr="001219F9">
        <w:rPr>
          <w:i w:val="0"/>
        </w:rPr>
        <w:t>; VPA, valproate.</w:t>
      </w:r>
    </w:p>
    <w:p w14:paraId="5A92E15B" w14:textId="77777777" w:rsidR="001E18BB" w:rsidRDefault="001E18BB" w:rsidP="007630E7">
      <w:pPr>
        <w:widowControl w:val="0"/>
        <w:autoSpaceDE w:val="0"/>
        <w:autoSpaceDN w:val="0"/>
        <w:adjustRightInd w:val="0"/>
        <w:spacing w:line="480" w:lineRule="auto"/>
        <w:ind w:left="640" w:hanging="640"/>
      </w:pPr>
    </w:p>
    <w:p w14:paraId="3CE97EEE" w14:textId="77777777" w:rsidR="001E18BB" w:rsidRDefault="001E18BB" w:rsidP="007630E7">
      <w:pPr>
        <w:widowControl w:val="0"/>
        <w:autoSpaceDE w:val="0"/>
        <w:autoSpaceDN w:val="0"/>
        <w:adjustRightInd w:val="0"/>
        <w:spacing w:line="480" w:lineRule="auto"/>
        <w:ind w:left="640" w:hanging="640"/>
      </w:pPr>
    </w:p>
    <w:p w14:paraId="64B74188" w14:textId="77777777" w:rsidR="001E18BB" w:rsidRDefault="001E18BB" w:rsidP="007630E7">
      <w:pPr>
        <w:widowControl w:val="0"/>
        <w:autoSpaceDE w:val="0"/>
        <w:autoSpaceDN w:val="0"/>
        <w:adjustRightInd w:val="0"/>
        <w:spacing w:line="480" w:lineRule="auto"/>
        <w:ind w:left="640" w:hanging="640"/>
      </w:pPr>
    </w:p>
    <w:p w14:paraId="6559ECC6" w14:textId="77777777" w:rsidR="001E18BB" w:rsidRDefault="001E18BB" w:rsidP="007630E7">
      <w:pPr>
        <w:widowControl w:val="0"/>
        <w:autoSpaceDE w:val="0"/>
        <w:autoSpaceDN w:val="0"/>
        <w:adjustRightInd w:val="0"/>
        <w:spacing w:line="480" w:lineRule="auto"/>
        <w:ind w:left="640" w:hanging="640"/>
      </w:pPr>
    </w:p>
    <w:p w14:paraId="45DD5720" w14:textId="77777777" w:rsidR="001E18BB" w:rsidRDefault="001E18BB" w:rsidP="007630E7">
      <w:pPr>
        <w:widowControl w:val="0"/>
        <w:autoSpaceDE w:val="0"/>
        <w:autoSpaceDN w:val="0"/>
        <w:adjustRightInd w:val="0"/>
        <w:spacing w:line="480" w:lineRule="auto"/>
        <w:ind w:left="640" w:hanging="640"/>
      </w:pPr>
    </w:p>
    <w:p w14:paraId="575ADC7F" w14:textId="77777777" w:rsidR="00200CC5" w:rsidRDefault="00200CC5" w:rsidP="007630E7">
      <w:pPr>
        <w:widowControl w:val="0"/>
        <w:autoSpaceDE w:val="0"/>
        <w:autoSpaceDN w:val="0"/>
        <w:adjustRightInd w:val="0"/>
        <w:spacing w:line="480" w:lineRule="auto"/>
        <w:ind w:left="640" w:hanging="640"/>
      </w:pPr>
    </w:p>
    <w:p w14:paraId="53C9CB81" w14:textId="77777777" w:rsidR="00200CC5" w:rsidRDefault="00200CC5" w:rsidP="007630E7">
      <w:pPr>
        <w:widowControl w:val="0"/>
        <w:autoSpaceDE w:val="0"/>
        <w:autoSpaceDN w:val="0"/>
        <w:adjustRightInd w:val="0"/>
        <w:spacing w:line="480" w:lineRule="auto"/>
        <w:ind w:left="640" w:hanging="640"/>
      </w:pPr>
    </w:p>
    <w:p w14:paraId="7F90E5C2" w14:textId="77777777" w:rsidR="00200CC5" w:rsidRDefault="00200CC5" w:rsidP="007630E7">
      <w:pPr>
        <w:widowControl w:val="0"/>
        <w:autoSpaceDE w:val="0"/>
        <w:autoSpaceDN w:val="0"/>
        <w:adjustRightInd w:val="0"/>
        <w:spacing w:line="480" w:lineRule="auto"/>
        <w:ind w:left="640" w:hanging="640"/>
      </w:pPr>
    </w:p>
    <w:p w14:paraId="17D04E04" w14:textId="77777777" w:rsidR="00816516" w:rsidRDefault="00816516" w:rsidP="00986FAD">
      <w:pPr>
        <w:pStyle w:val="BodyText"/>
        <w:spacing w:line="480" w:lineRule="auto"/>
        <w:jc w:val="both"/>
      </w:pPr>
      <w:bookmarkStart w:id="7" w:name="supplementary-material"/>
      <w:bookmarkStart w:id="8" w:name="references"/>
      <w:bookmarkEnd w:id="7"/>
      <w:bookmarkEnd w:id="8"/>
    </w:p>
    <w:p w14:paraId="1398E78F" w14:textId="77777777" w:rsidR="00F8775D" w:rsidRDefault="00F8775D" w:rsidP="00986FAD">
      <w:pPr>
        <w:pStyle w:val="BodyText"/>
        <w:spacing w:line="480" w:lineRule="auto"/>
        <w:jc w:val="both"/>
      </w:pPr>
    </w:p>
    <w:p w14:paraId="27D60E31" w14:textId="77777777" w:rsidR="00F8775D" w:rsidRPr="001219F9" w:rsidRDefault="00F8775D" w:rsidP="00F8775D">
      <w:pPr>
        <w:pStyle w:val="BodyText"/>
        <w:spacing w:line="480" w:lineRule="auto"/>
        <w:jc w:val="both"/>
      </w:pPr>
      <w:r w:rsidRPr="001219F9">
        <w:rPr>
          <w:b/>
        </w:rPr>
        <w:t>Table 1.</w:t>
      </w:r>
      <w:r w:rsidRPr="001219F9">
        <w:t xml:space="preserve"> Demographic and clinical details of the patient cohort.</w:t>
      </w:r>
    </w:p>
    <w:tbl>
      <w:tblPr>
        <w:tblW w:w="4703" w:type="pct"/>
        <w:tblLook w:val="07E0" w:firstRow="1" w:lastRow="1" w:firstColumn="1" w:lastColumn="1" w:noHBand="1" w:noVBand="1"/>
      </w:tblPr>
      <w:tblGrid>
        <w:gridCol w:w="4362"/>
        <w:gridCol w:w="1984"/>
        <w:gridCol w:w="1984"/>
      </w:tblGrid>
      <w:tr w:rsidR="00F8775D" w:rsidRPr="001219F9" w14:paraId="369E6BDE" w14:textId="77777777" w:rsidTr="00A11E83">
        <w:tc>
          <w:tcPr>
            <w:tcW w:w="2618" w:type="pct"/>
          </w:tcPr>
          <w:p w14:paraId="59EB33B5" w14:textId="77777777" w:rsidR="00F8775D" w:rsidRPr="001219F9" w:rsidRDefault="00F8775D" w:rsidP="00A11E83">
            <w:pPr>
              <w:pStyle w:val="Compact"/>
              <w:spacing w:line="480" w:lineRule="auto"/>
              <w:ind w:right="-675"/>
              <w:jc w:val="both"/>
              <w:rPr>
                <w:b/>
              </w:rPr>
            </w:pPr>
          </w:p>
        </w:tc>
        <w:tc>
          <w:tcPr>
            <w:tcW w:w="1191" w:type="pct"/>
          </w:tcPr>
          <w:p w14:paraId="2F2B92A7" w14:textId="77777777" w:rsidR="00F8775D" w:rsidRPr="001219F9" w:rsidRDefault="00F8775D" w:rsidP="00A11E83">
            <w:pPr>
              <w:spacing w:line="480" w:lineRule="auto"/>
              <w:jc w:val="both"/>
              <w:rPr>
                <w:b/>
              </w:rPr>
            </w:pPr>
            <w:r w:rsidRPr="001219F9">
              <w:rPr>
                <w:b/>
              </w:rPr>
              <w:t>Mean</w:t>
            </w:r>
          </w:p>
        </w:tc>
        <w:tc>
          <w:tcPr>
            <w:tcW w:w="1191" w:type="pct"/>
          </w:tcPr>
          <w:p w14:paraId="35A5D9B9" w14:textId="77777777" w:rsidR="00F8775D" w:rsidRPr="001219F9" w:rsidRDefault="00F8775D" w:rsidP="00A11E83">
            <w:pPr>
              <w:spacing w:line="480" w:lineRule="auto"/>
              <w:jc w:val="both"/>
              <w:rPr>
                <w:b/>
              </w:rPr>
            </w:pPr>
            <w:r w:rsidRPr="001219F9">
              <w:rPr>
                <w:b/>
              </w:rPr>
              <w:t>Range</w:t>
            </w:r>
          </w:p>
        </w:tc>
      </w:tr>
      <w:tr w:rsidR="00F8775D" w:rsidRPr="001219F9" w14:paraId="6D0EFC50" w14:textId="77777777" w:rsidTr="00A11E83">
        <w:tc>
          <w:tcPr>
            <w:tcW w:w="2618" w:type="pct"/>
          </w:tcPr>
          <w:p w14:paraId="769CFF6F" w14:textId="77777777" w:rsidR="00F8775D" w:rsidRPr="001219F9" w:rsidRDefault="00F8775D" w:rsidP="00A11E83">
            <w:pPr>
              <w:pStyle w:val="Compact"/>
              <w:spacing w:line="480" w:lineRule="auto"/>
              <w:ind w:right="-675"/>
              <w:jc w:val="both"/>
            </w:pPr>
            <w:r w:rsidRPr="001219F9">
              <w:rPr>
                <w:b/>
              </w:rPr>
              <w:t>Age (years)</w:t>
            </w:r>
          </w:p>
        </w:tc>
        <w:tc>
          <w:tcPr>
            <w:tcW w:w="1191" w:type="pct"/>
          </w:tcPr>
          <w:p w14:paraId="000032B9" w14:textId="77777777" w:rsidR="00F8775D" w:rsidRPr="001219F9" w:rsidRDefault="00F8775D" w:rsidP="00A11E83">
            <w:pPr>
              <w:spacing w:line="480" w:lineRule="auto"/>
              <w:jc w:val="both"/>
            </w:pPr>
          </w:p>
        </w:tc>
        <w:tc>
          <w:tcPr>
            <w:tcW w:w="1191" w:type="pct"/>
          </w:tcPr>
          <w:p w14:paraId="22A69E2D" w14:textId="77777777" w:rsidR="00F8775D" w:rsidRPr="001219F9" w:rsidRDefault="00F8775D" w:rsidP="00A11E83">
            <w:pPr>
              <w:spacing w:line="480" w:lineRule="auto"/>
              <w:jc w:val="both"/>
            </w:pPr>
          </w:p>
        </w:tc>
      </w:tr>
      <w:tr w:rsidR="00F8775D" w:rsidRPr="001219F9" w14:paraId="37450ABB" w14:textId="77777777" w:rsidTr="00A11E83">
        <w:tc>
          <w:tcPr>
            <w:tcW w:w="2618" w:type="pct"/>
          </w:tcPr>
          <w:p w14:paraId="72F27A20" w14:textId="77777777" w:rsidR="00F8775D" w:rsidRPr="001219F9" w:rsidRDefault="00F8775D" w:rsidP="00A11E83">
            <w:pPr>
              <w:pStyle w:val="Compact"/>
              <w:spacing w:line="480" w:lineRule="auto"/>
              <w:jc w:val="both"/>
            </w:pPr>
            <w:r>
              <w:t xml:space="preserve">   </w:t>
            </w:r>
            <w:r w:rsidRPr="001219F9">
              <w:t>At last visit</w:t>
            </w:r>
          </w:p>
        </w:tc>
        <w:tc>
          <w:tcPr>
            <w:tcW w:w="1191" w:type="pct"/>
          </w:tcPr>
          <w:p w14:paraId="5B442193" w14:textId="77777777" w:rsidR="00F8775D" w:rsidRPr="001219F9" w:rsidRDefault="00F8775D" w:rsidP="00A11E83">
            <w:pPr>
              <w:pStyle w:val="Compact"/>
              <w:spacing w:line="480" w:lineRule="auto"/>
              <w:jc w:val="both"/>
            </w:pPr>
            <w:r w:rsidRPr="001219F9">
              <w:t>45</w:t>
            </w:r>
          </w:p>
        </w:tc>
        <w:tc>
          <w:tcPr>
            <w:tcW w:w="1191" w:type="pct"/>
          </w:tcPr>
          <w:p w14:paraId="5FC8D94B" w14:textId="77777777" w:rsidR="00F8775D" w:rsidRPr="001219F9" w:rsidRDefault="00F8775D" w:rsidP="00A11E83">
            <w:pPr>
              <w:pStyle w:val="Compact"/>
              <w:spacing w:line="480" w:lineRule="auto"/>
              <w:jc w:val="both"/>
            </w:pPr>
            <w:r w:rsidRPr="001219F9">
              <w:t>15 - 77</w:t>
            </w:r>
          </w:p>
        </w:tc>
      </w:tr>
      <w:tr w:rsidR="00F8775D" w:rsidRPr="001219F9" w14:paraId="2F4DFC94" w14:textId="77777777" w:rsidTr="00A11E83">
        <w:tc>
          <w:tcPr>
            <w:tcW w:w="2618" w:type="pct"/>
          </w:tcPr>
          <w:p w14:paraId="6EB984C4" w14:textId="77777777" w:rsidR="00F8775D" w:rsidRPr="001219F9" w:rsidRDefault="00F8775D" w:rsidP="00A11E83">
            <w:pPr>
              <w:pStyle w:val="Compact"/>
              <w:spacing w:line="480" w:lineRule="auto"/>
              <w:jc w:val="both"/>
            </w:pPr>
            <w:r>
              <w:t xml:space="preserve">   </w:t>
            </w:r>
            <w:r w:rsidRPr="001219F9">
              <w:t>At epilepsy diagnosis</w:t>
            </w:r>
          </w:p>
        </w:tc>
        <w:tc>
          <w:tcPr>
            <w:tcW w:w="1191" w:type="pct"/>
          </w:tcPr>
          <w:p w14:paraId="5E27556D" w14:textId="77777777" w:rsidR="00F8775D" w:rsidRPr="001219F9" w:rsidRDefault="00F8775D" w:rsidP="00A11E83">
            <w:pPr>
              <w:pStyle w:val="Compact"/>
              <w:spacing w:line="480" w:lineRule="auto"/>
              <w:jc w:val="both"/>
            </w:pPr>
            <w:r w:rsidRPr="001219F9">
              <w:t>16</w:t>
            </w:r>
          </w:p>
        </w:tc>
        <w:tc>
          <w:tcPr>
            <w:tcW w:w="1191" w:type="pct"/>
          </w:tcPr>
          <w:p w14:paraId="26052AF7" w14:textId="77777777" w:rsidR="00F8775D" w:rsidRPr="001219F9" w:rsidRDefault="00F8775D" w:rsidP="00A11E83">
            <w:pPr>
              <w:pStyle w:val="Compact"/>
              <w:spacing w:line="480" w:lineRule="auto"/>
              <w:jc w:val="both"/>
            </w:pPr>
            <w:r w:rsidRPr="001219F9">
              <w:t>1 - 74</w:t>
            </w:r>
          </w:p>
        </w:tc>
      </w:tr>
      <w:tr w:rsidR="00F8775D" w:rsidRPr="001219F9" w14:paraId="01A6F194" w14:textId="77777777" w:rsidTr="00A11E83">
        <w:tc>
          <w:tcPr>
            <w:tcW w:w="2618" w:type="pct"/>
          </w:tcPr>
          <w:p w14:paraId="5DDF921B" w14:textId="77777777" w:rsidR="00F8775D" w:rsidRPr="001219F9" w:rsidRDefault="00F8775D" w:rsidP="00A11E83">
            <w:pPr>
              <w:pStyle w:val="Compact"/>
              <w:spacing w:line="480" w:lineRule="auto"/>
              <w:jc w:val="both"/>
            </w:pPr>
            <w:r w:rsidRPr="001219F9">
              <w:rPr>
                <w:b/>
              </w:rPr>
              <w:t>Epilepsy duration (years)</w:t>
            </w:r>
          </w:p>
        </w:tc>
        <w:tc>
          <w:tcPr>
            <w:tcW w:w="1191" w:type="pct"/>
          </w:tcPr>
          <w:p w14:paraId="64F4F591" w14:textId="77777777" w:rsidR="00F8775D" w:rsidRPr="001219F9" w:rsidRDefault="00F8775D" w:rsidP="00A11E83">
            <w:pPr>
              <w:pStyle w:val="Compact"/>
              <w:spacing w:line="480" w:lineRule="auto"/>
              <w:jc w:val="both"/>
            </w:pPr>
            <w:r w:rsidRPr="001219F9">
              <w:t>30</w:t>
            </w:r>
          </w:p>
        </w:tc>
        <w:tc>
          <w:tcPr>
            <w:tcW w:w="1191" w:type="pct"/>
          </w:tcPr>
          <w:p w14:paraId="247D9AC3" w14:textId="77777777" w:rsidR="00F8775D" w:rsidRPr="001219F9" w:rsidRDefault="00F8775D" w:rsidP="00A11E83">
            <w:pPr>
              <w:pStyle w:val="Compact"/>
              <w:spacing w:line="480" w:lineRule="auto"/>
              <w:jc w:val="both"/>
            </w:pPr>
            <w:r w:rsidRPr="001219F9">
              <w:t>1 - 71</w:t>
            </w:r>
          </w:p>
        </w:tc>
      </w:tr>
      <w:tr w:rsidR="00F8775D" w:rsidRPr="001219F9" w14:paraId="50D547D1" w14:textId="77777777" w:rsidTr="00A11E83">
        <w:tc>
          <w:tcPr>
            <w:tcW w:w="2618" w:type="pct"/>
          </w:tcPr>
          <w:p w14:paraId="7C8E59DC" w14:textId="77777777" w:rsidR="00F8775D" w:rsidRPr="001219F9" w:rsidRDefault="00F8775D" w:rsidP="00A11E83">
            <w:pPr>
              <w:pStyle w:val="Compact"/>
              <w:spacing w:line="480" w:lineRule="auto"/>
              <w:jc w:val="both"/>
            </w:pPr>
            <w:r w:rsidRPr="001219F9">
              <w:rPr>
                <w:b/>
              </w:rPr>
              <w:t>AED trials per patient</w:t>
            </w:r>
          </w:p>
        </w:tc>
        <w:tc>
          <w:tcPr>
            <w:tcW w:w="1191" w:type="pct"/>
          </w:tcPr>
          <w:p w14:paraId="7C1A355F" w14:textId="77777777" w:rsidR="00F8775D" w:rsidRPr="001219F9" w:rsidRDefault="00F8775D" w:rsidP="00A11E83">
            <w:pPr>
              <w:pStyle w:val="Compact"/>
              <w:spacing w:line="480" w:lineRule="auto"/>
              <w:jc w:val="both"/>
            </w:pPr>
            <w:r w:rsidRPr="001219F9">
              <w:t>4</w:t>
            </w:r>
          </w:p>
        </w:tc>
        <w:tc>
          <w:tcPr>
            <w:tcW w:w="1191" w:type="pct"/>
          </w:tcPr>
          <w:p w14:paraId="147E6AD6" w14:textId="77777777" w:rsidR="00F8775D" w:rsidRPr="001219F9" w:rsidRDefault="00F8775D" w:rsidP="00A11E83">
            <w:pPr>
              <w:pStyle w:val="Compact"/>
              <w:spacing w:line="480" w:lineRule="auto"/>
              <w:jc w:val="both"/>
            </w:pPr>
            <w:r w:rsidRPr="001219F9">
              <w:t>1 - 12</w:t>
            </w:r>
          </w:p>
        </w:tc>
      </w:tr>
      <w:tr w:rsidR="00F8775D" w:rsidRPr="001219F9" w14:paraId="6621B65E" w14:textId="77777777" w:rsidTr="00A11E83">
        <w:tc>
          <w:tcPr>
            <w:tcW w:w="2618" w:type="pct"/>
          </w:tcPr>
          <w:p w14:paraId="2130FFFC" w14:textId="77777777" w:rsidR="00F8775D" w:rsidRPr="001219F9" w:rsidRDefault="00F8775D" w:rsidP="00A11E83">
            <w:pPr>
              <w:pStyle w:val="Compact"/>
              <w:spacing w:line="480" w:lineRule="auto"/>
              <w:jc w:val="both"/>
              <w:rPr>
                <w:b/>
              </w:rPr>
            </w:pPr>
          </w:p>
        </w:tc>
        <w:tc>
          <w:tcPr>
            <w:tcW w:w="1191" w:type="pct"/>
          </w:tcPr>
          <w:p w14:paraId="6FD91EF7" w14:textId="77777777" w:rsidR="00F8775D" w:rsidRPr="001219F9" w:rsidRDefault="00F8775D" w:rsidP="00A11E83">
            <w:pPr>
              <w:pStyle w:val="Compact"/>
              <w:spacing w:line="480" w:lineRule="auto"/>
              <w:jc w:val="both"/>
              <w:rPr>
                <w:b/>
              </w:rPr>
            </w:pPr>
            <w:r w:rsidRPr="001219F9">
              <w:rPr>
                <w:b/>
              </w:rPr>
              <w:t>Total Number</w:t>
            </w:r>
          </w:p>
        </w:tc>
        <w:tc>
          <w:tcPr>
            <w:tcW w:w="1191" w:type="pct"/>
          </w:tcPr>
          <w:p w14:paraId="7785E150" w14:textId="77777777" w:rsidR="00F8775D" w:rsidRPr="001219F9" w:rsidRDefault="00F8775D" w:rsidP="00A11E83">
            <w:pPr>
              <w:pStyle w:val="Compact"/>
              <w:spacing w:line="480" w:lineRule="auto"/>
              <w:jc w:val="both"/>
              <w:rPr>
                <w:b/>
              </w:rPr>
            </w:pPr>
            <w:r w:rsidRPr="001219F9">
              <w:rPr>
                <w:b/>
              </w:rPr>
              <w:t>Percentage (%)</w:t>
            </w:r>
          </w:p>
        </w:tc>
      </w:tr>
      <w:tr w:rsidR="00F8775D" w:rsidRPr="001219F9" w14:paraId="08EF4D3B" w14:textId="77777777" w:rsidTr="00A11E83">
        <w:tc>
          <w:tcPr>
            <w:tcW w:w="2618" w:type="pct"/>
          </w:tcPr>
          <w:p w14:paraId="365E1B2D" w14:textId="77777777" w:rsidR="00F8775D" w:rsidRPr="001219F9" w:rsidRDefault="00F8775D" w:rsidP="00A11E83">
            <w:pPr>
              <w:pStyle w:val="Compact"/>
              <w:spacing w:line="480" w:lineRule="auto"/>
              <w:jc w:val="both"/>
            </w:pPr>
            <w:r w:rsidRPr="001219F9">
              <w:rPr>
                <w:b/>
              </w:rPr>
              <w:t>Sex</w:t>
            </w:r>
          </w:p>
        </w:tc>
        <w:tc>
          <w:tcPr>
            <w:tcW w:w="1191" w:type="pct"/>
          </w:tcPr>
          <w:p w14:paraId="53455DD2" w14:textId="77777777" w:rsidR="00F8775D" w:rsidRPr="001219F9" w:rsidRDefault="00F8775D" w:rsidP="00A11E83">
            <w:pPr>
              <w:pStyle w:val="Compact"/>
              <w:spacing w:line="480" w:lineRule="auto"/>
              <w:jc w:val="both"/>
            </w:pPr>
          </w:p>
        </w:tc>
        <w:tc>
          <w:tcPr>
            <w:tcW w:w="1191" w:type="pct"/>
          </w:tcPr>
          <w:p w14:paraId="272D1E47" w14:textId="77777777" w:rsidR="00F8775D" w:rsidRPr="001219F9" w:rsidRDefault="00F8775D" w:rsidP="00A11E83">
            <w:pPr>
              <w:pStyle w:val="Compact"/>
              <w:spacing w:line="480" w:lineRule="auto"/>
              <w:jc w:val="both"/>
            </w:pPr>
          </w:p>
        </w:tc>
      </w:tr>
      <w:tr w:rsidR="00F8775D" w:rsidRPr="001219F9" w14:paraId="743F48A0" w14:textId="77777777" w:rsidTr="00A11E83">
        <w:tc>
          <w:tcPr>
            <w:tcW w:w="2618" w:type="pct"/>
          </w:tcPr>
          <w:p w14:paraId="5F729631" w14:textId="77777777" w:rsidR="00F8775D" w:rsidRPr="001219F9" w:rsidRDefault="00F8775D" w:rsidP="00A11E83">
            <w:pPr>
              <w:pStyle w:val="Compact"/>
              <w:spacing w:line="480" w:lineRule="auto"/>
              <w:jc w:val="both"/>
            </w:pPr>
            <w:r>
              <w:t xml:space="preserve">   </w:t>
            </w:r>
            <w:r w:rsidRPr="001219F9">
              <w:t>Male</w:t>
            </w:r>
          </w:p>
        </w:tc>
        <w:tc>
          <w:tcPr>
            <w:tcW w:w="1191" w:type="pct"/>
          </w:tcPr>
          <w:p w14:paraId="49F8B3C3" w14:textId="77777777" w:rsidR="00F8775D" w:rsidRPr="001219F9" w:rsidRDefault="00F8775D" w:rsidP="00A11E83">
            <w:pPr>
              <w:pStyle w:val="Compact"/>
              <w:spacing w:line="480" w:lineRule="auto"/>
              <w:jc w:val="both"/>
            </w:pPr>
            <w:r w:rsidRPr="001219F9">
              <w:t>331</w:t>
            </w:r>
          </w:p>
        </w:tc>
        <w:tc>
          <w:tcPr>
            <w:tcW w:w="1191" w:type="pct"/>
          </w:tcPr>
          <w:p w14:paraId="65151123" w14:textId="77777777" w:rsidR="00F8775D" w:rsidRPr="001219F9" w:rsidRDefault="00F8775D" w:rsidP="00A11E83">
            <w:pPr>
              <w:pStyle w:val="Compact"/>
              <w:spacing w:line="480" w:lineRule="auto"/>
              <w:jc w:val="both"/>
            </w:pPr>
            <w:r w:rsidRPr="001219F9">
              <w:t>43.2</w:t>
            </w:r>
          </w:p>
        </w:tc>
      </w:tr>
      <w:tr w:rsidR="00F8775D" w:rsidRPr="001219F9" w14:paraId="43C121A6" w14:textId="77777777" w:rsidTr="00A11E83">
        <w:tc>
          <w:tcPr>
            <w:tcW w:w="2618" w:type="pct"/>
          </w:tcPr>
          <w:p w14:paraId="3AD204F5" w14:textId="77777777" w:rsidR="00F8775D" w:rsidRPr="001219F9" w:rsidRDefault="00F8775D" w:rsidP="00A11E83">
            <w:pPr>
              <w:pStyle w:val="Compact"/>
              <w:spacing w:line="480" w:lineRule="auto"/>
              <w:jc w:val="both"/>
            </w:pPr>
            <w:r>
              <w:t xml:space="preserve">   </w:t>
            </w:r>
            <w:r w:rsidRPr="001219F9">
              <w:t>Female</w:t>
            </w:r>
          </w:p>
        </w:tc>
        <w:tc>
          <w:tcPr>
            <w:tcW w:w="1191" w:type="pct"/>
          </w:tcPr>
          <w:p w14:paraId="2614F4F6" w14:textId="77777777" w:rsidR="00F8775D" w:rsidRPr="001219F9" w:rsidRDefault="00F8775D" w:rsidP="00A11E83">
            <w:pPr>
              <w:pStyle w:val="Compact"/>
              <w:spacing w:line="480" w:lineRule="auto"/>
              <w:jc w:val="both"/>
            </w:pPr>
            <w:r w:rsidRPr="001219F9">
              <w:t>436</w:t>
            </w:r>
          </w:p>
        </w:tc>
        <w:tc>
          <w:tcPr>
            <w:tcW w:w="1191" w:type="pct"/>
          </w:tcPr>
          <w:p w14:paraId="0D063F90" w14:textId="77777777" w:rsidR="00F8775D" w:rsidRPr="001219F9" w:rsidRDefault="00F8775D" w:rsidP="00A11E83">
            <w:pPr>
              <w:pStyle w:val="Compact"/>
              <w:spacing w:line="480" w:lineRule="auto"/>
              <w:jc w:val="both"/>
            </w:pPr>
            <w:r w:rsidRPr="001219F9">
              <w:t>56.8</w:t>
            </w:r>
          </w:p>
        </w:tc>
      </w:tr>
      <w:tr w:rsidR="00F8775D" w:rsidRPr="001219F9" w14:paraId="2ED8E099" w14:textId="77777777" w:rsidTr="00A11E83">
        <w:tc>
          <w:tcPr>
            <w:tcW w:w="2618" w:type="pct"/>
          </w:tcPr>
          <w:p w14:paraId="6334A8D5" w14:textId="77777777" w:rsidR="00F8775D" w:rsidRPr="001219F9" w:rsidRDefault="00F8775D" w:rsidP="00A11E83">
            <w:pPr>
              <w:pStyle w:val="Compact"/>
              <w:spacing w:line="480" w:lineRule="auto"/>
              <w:jc w:val="both"/>
            </w:pPr>
            <w:r w:rsidRPr="001219F9">
              <w:rPr>
                <w:b/>
              </w:rPr>
              <w:t>Ethnicity</w:t>
            </w:r>
          </w:p>
        </w:tc>
        <w:tc>
          <w:tcPr>
            <w:tcW w:w="1191" w:type="pct"/>
          </w:tcPr>
          <w:p w14:paraId="763DD0D0" w14:textId="77777777" w:rsidR="00F8775D" w:rsidRPr="001219F9" w:rsidRDefault="00F8775D" w:rsidP="00A11E83">
            <w:pPr>
              <w:pStyle w:val="Compact"/>
              <w:spacing w:line="480" w:lineRule="auto"/>
              <w:jc w:val="both"/>
            </w:pPr>
          </w:p>
        </w:tc>
        <w:tc>
          <w:tcPr>
            <w:tcW w:w="1191" w:type="pct"/>
          </w:tcPr>
          <w:p w14:paraId="3C80A8CF" w14:textId="77777777" w:rsidR="00F8775D" w:rsidRPr="001219F9" w:rsidRDefault="00F8775D" w:rsidP="00A11E83">
            <w:pPr>
              <w:pStyle w:val="Compact"/>
              <w:spacing w:line="480" w:lineRule="auto"/>
              <w:jc w:val="both"/>
            </w:pPr>
          </w:p>
        </w:tc>
      </w:tr>
      <w:tr w:rsidR="00F8775D" w:rsidRPr="001219F9" w14:paraId="40959A21" w14:textId="77777777" w:rsidTr="00A11E83">
        <w:tc>
          <w:tcPr>
            <w:tcW w:w="2618" w:type="pct"/>
          </w:tcPr>
          <w:p w14:paraId="512D076D" w14:textId="77777777" w:rsidR="00F8775D" w:rsidRPr="001219F9" w:rsidRDefault="00F8775D" w:rsidP="00A11E83">
            <w:pPr>
              <w:pStyle w:val="Compact"/>
              <w:spacing w:line="480" w:lineRule="auto"/>
              <w:jc w:val="both"/>
            </w:pPr>
            <w:r>
              <w:t xml:space="preserve">   </w:t>
            </w:r>
            <w:r w:rsidRPr="001219F9">
              <w:t>European</w:t>
            </w:r>
          </w:p>
        </w:tc>
        <w:tc>
          <w:tcPr>
            <w:tcW w:w="1191" w:type="pct"/>
          </w:tcPr>
          <w:p w14:paraId="4782C321" w14:textId="77777777" w:rsidR="00F8775D" w:rsidRPr="001219F9" w:rsidRDefault="00F8775D" w:rsidP="00A11E83">
            <w:pPr>
              <w:spacing w:line="480" w:lineRule="auto"/>
              <w:jc w:val="both"/>
            </w:pPr>
            <w:r w:rsidRPr="001219F9">
              <w:t>637</w:t>
            </w:r>
          </w:p>
        </w:tc>
        <w:tc>
          <w:tcPr>
            <w:tcW w:w="1191" w:type="pct"/>
          </w:tcPr>
          <w:p w14:paraId="7E849D5B" w14:textId="77777777" w:rsidR="00F8775D" w:rsidRPr="001219F9" w:rsidRDefault="00F8775D" w:rsidP="00A11E83">
            <w:pPr>
              <w:spacing w:line="480" w:lineRule="auto"/>
              <w:jc w:val="both"/>
            </w:pPr>
            <w:r w:rsidRPr="001219F9">
              <w:t>83.1</w:t>
            </w:r>
          </w:p>
        </w:tc>
      </w:tr>
      <w:tr w:rsidR="00F8775D" w:rsidRPr="001219F9" w14:paraId="43F59F4E" w14:textId="77777777" w:rsidTr="00A11E83">
        <w:tc>
          <w:tcPr>
            <w:tcW w:w="2618" w:type="pct"/>
          </w:tcPr>
          <w:p w14:paraId="4646B762" w14:textId="77777777" w:rsidR="00F8775D" w:rsidRPr="001219F9" w:rsidRDefault="00F8775D" w:rsidP="00A11E83">
            <w:pPr>
              <w:pStyle w:val="Compact"/>
              <w:spacing w:line="480" w:lineRule="auto"/>
              <w:jc w:val="both"/>
            </w:pPr>
            <w:r>
              <w:t xml:space="preserve">   </w:t>
            </w:r>
            <w:r w:rsidRPr="001219F9">
              <w:t>Other</w:t>
            </w:r>
          </w:p>
        </w:tc>
        <w:tc>
          <w:tcPr>
            <w:tcW w:w="1191" w:type="pct"/>
          </w:tcPr>
          <w:p w14:paraId="21F60AD0" w14:textId="77777777" w:rsidR="00F8775D" w:rsidRPr="001219F9" w:rsidRDefault="00F8775D" w:rsidP="00A11E83">
            <w:pPr>
              <w:pStyle w:val="Compact"/>
              <w:spacing w:line="480" w:lineRule="auto"/>
              <w:jc w:val="both"/>
            </w:pPr>
            <w:r w:rsidRPr="001219F9">
              <w:t>48</w:t>
            </w:r>
          </w:p>
        </w:tc>
        <w:tc>
          <w:tcPr>
            <w:tcW w:w="1191" w:type="pct"/>
          </w:tcPr>
          <w:p w14:paraId="770989BA" w14:textId="77777777" w:rsidR="00F8775D" w:rsidRPr="001219F9" w:rsidRDefault="00F8775D" w:rsidP="00A11E83">
            <w:pPr>
              <w:pStyle w:val="Compact"/>
              <w:spacing w:line="480" w:lineRule="auto"/>
              <w:jc w:val="both"/>
            </w:pPr>
            <w:r w:rsidRPr="001219F9">
              <w:t>6.3</w:t>
            </w:r>
          </w:p>
        </w:tc>
      </w:tr>
      <w:tr w:rsidR="00F8775D" w:rsidRPr="001219F9" w14:paraId="190E146A" w14:textId="77777777" w:rsidTr="00A11E83">
        <w:tc>
          <w:tcPr>
            <w:tcW w:w="2618" w:type="pct"/>
          </w:tcPr>
          <w:p w14:paraId="40ED3B0B" w14:textId="77777777" w:rsidR="00F8775D" w:rsidRPr="001219F9" w:rsidRDefault="00F8775D" w:rsidP="00A11E83">
            <w:pPr>
              <w:pStyle w:val="Compact"/>
              <w:spacing w:line="480" w:lineRule="auto"/>
              <w:jc w:val="both"/>
            </w:pPr>
            <w:r>
              <w:t xml:space="preserve">   </w:t>
            </w:r>
            <w:r w:rsidRPr="001219F9">
              <w:t>Unknown</w:t>
            </w:r>
          </w:p>
        </w:tc>
        <w:tc>
          <w:tcPr>
            <w:tcW w:w="1191" w:type="pct"/>
          </w:tcPr>
          <w:p w14:paraId="67FEE850" w14:textId="77777777" w:rsidR="00F8775D" w:rsidRPr="001219F9" w:rsidRDefault="00F8775D" w:rsidP="00A11E83">
            <w:pPr>
              <w:pStyle w:val="Compact"/>
              <w:spacing w:line="480" w:lineRule="auto"/>
              <w:jc w:val="both"/>
            </w:pPr>
            <w:r w:rsidRPr="001219F9">
              <w:t>82</w:t>
            </w:r>
          </w:p>
        </w:tc>
        <w:tc>
          <w:tcPr>
            <w:tcW w:w="1191" w:type="pct"/>
          </w:tcPr>
          <w:p w14:paraId="392344AB" w14:textId="77777777" w:rsidR="00F8775D" w:rsidRPr="001219F9" w:rsidRDefault="00F8775D" w:rsidP="00A11E83">
            <w:pPr>
              <w:pStyle w:val="Compact"/>
              <w:spacing w:line="480" w:lineRule="auto"/>
              <w:jc w:val="both"/>
            </w:pPr>
            <w:r w:rsidRPr="001219F9">
              <w:t>10.7</w:t>
            </w:r>
          </w:p>
        </w:tc>
      </w:tr>
      <w:tr w:rsidR="00F8775D" w:rsidRPr="001219F9" w14:paraId="3EE6EDB5" w14:textId="77777777" w:rsidTr="00A11E83">
        <w:tc>
          <w:tcPr>
            <w:tcW w:w="2618" w:type="pct"/>
          </w:tcPr>
          <w:p w14:paraId="4C31D424" w14:textId="77777777" w:rsidR="00F8775D" w:rsidRPr="001219F9" w:rsidRDefault="00F8775D" w:rsidP="00A11E83">
            <w:pPr>
              <w:pStyle w:val="Compact"/>
              <w:spacing w:line="480" w:lineRule="auto"/>
              <w:jc w:val="both"/>
            </w:pPr>
            <w:r w:rsidRPr="001219F9">
              <w:rPr>
                <w:b/>
              </w:rPr>
              <w:t>Sclerosis side</w:t>
            </w:r>
          </w:p>
        </w:tc>
        <w:tc>
          <w:tcPr>
            <w:tcW w:w="1191" w:type="pct"/>
          </w:tcPr>
          <w:p w14:paraId="2EA4344F" w14:textId="77777777" w:rsidR="00F8775D" w:rsidRPr="001219F9" w:rsidRDefault="00F8775D" w:rsidP="00A11E83">
            <w:pPr>
              <w:pStyle w:val="Compact"/>
              <w:spacing w:line="480" w:lineRule="auto"/>
              <w:jc w:val="both"/>
            </w:pPr>
          </w:p>
        </w:tc>
        <w:tc>
          <w:tcPr>
            <w:tcW w:w="1191" w:type="pct"/>
          </w:tcPr>
          <w:p w14:paraId="6C777C42" w14:textId="77777777" w:rsidR="00F8775D" w:rsidRPr="001219F9" w:rsidRDefault="00F8775D" w:rsidP="00A11E83">
            <w:pPr>
              <w:pStyle w:val="Compact"/>
              <w:spacing w:line="480" w:lineRule="auto"/>
              <w:jc w:val="both"/>
            </w:pPr>
          </w:p>
        </w:tc>
      </w:tr>
      <w:tr w:rsidR="00F8775D" w:rsidRPr="001219F9" w14:paraId="77852313" w14:textId="77777777" w:rsidTr="00A11E83">
        <w:tc>
          <w:tcPr>
            <w:tcW w:w="2618" w:type="pct"/>
          </w:tcPr>
          <w:p w14:paraId="3C3A0AA7" w14:textId="77777777" w:rsidR="00F8775D" w:rsidRPr="001219F9" w:rsidRDefault="00F8775D" w:rsidP="00A11E83">
            <w:pPr>
              <w:pStyle w:val="Compact"/>
              <w:spacing w:line="480" w:lineRule="auto"/>
              <w:jc w:val="both"/>
            </w:pPr>
            <w:r>
              <w:t xml:space="preserve">   </w:t>
            </w:r>
            <w:r w:rsidRPr="001219F9">
              <w:t>Left</w:t>
            </w:r>
          </w:p>
        </w:tc>
        <w:tc>
          <w:tcPr>
            <w:tcW w:w="1191" w:type="pct"/>
          </w:tcPr>
          <w:p w14:paraId="19B7709A" w14:textId="77777777" w:rsidR="00F8775D" w:rsidRPr="001219F9" w:rsidRDefault="00F8775D" w:rsidP="00A11E83">
            <w:pPr>
              <w:spacing w:line="480" w:lineRule="auto"/>
              <w:jc w:val="both"/>
            </w:pPr>
            <w:r w:rsidRPr="001219F9">
              <w:t>340</w:t>
            </w:r>
          </w:p>
        </w:tc>
        <w:tc>
          <w:tcPr>
            <w:tcW w:w="1191" w:type="pct"/>
          </w:tcPr>
          <w:p w14:paraId="2D6785CF" w14:textId="77777777" w:rsidR="00F8775D" w:rsidRPr="001219F9" w:rsidRDefault="00F8775D" w:rsidP="00A11E83">
            <w:pPr>
              <w:spacing w:line="480" w:lineRule="auto"/>
              <w:jc w:val="both"/>
            </w:pPr>
            <w:r w:rsidRPr="001219F9">
              <w:t>44.3</w:t>
            </w:r>
          </w:p>
        </w:tc>
      </w:tr>
      <w:tr w:rsidR="00F8775D" w:rsidRPr="001219F9" w14:paraId="34396BEB" w14:textId="77777777" w:rsidTr="00A11E83">
        <w:tc>
          <w:tcPr>
            <w:tcW w:w="2618" w:type="pct"/>
          </w:tcPr>
          <w:p w14:paraId="499F77AE" w14:textId="77777777" w:rsidR="00F8775D" w:rsidRPr="001219F9" w:rsidRDefault="00F8775D" w:rsidP="00A11E83">
            <w:pPr>
              <w:pStyle w:val="Compact"/>
              <w:spacing w:line="480" w:lineRule="auto"/>
              <w:jc w:val="both"/>
            </w:pPr>
            <w:r>
              <w:lastRenderedPageBreak/>
              <w:t xml:space="preserve">   </w:t>
            </w:r>
            <w:r w:rsidRPr="001219F9">
              <w:t>Right</w:t>
            </w:r>
          </w:p>
        </w:tc>
        <w:tc>
          <w:tcPr>
            <w:tcW w:w="1191" w:type="pct"/>
          </w:tcPr>
          <w:p w14:paraId="05BF17B8" w14:textId="77777777" w:rsidR="00F8775D" w:rsidRPr="001219F9" w:rsidRDefault="00F8775D" w:rsidP="00A11E83">
            <w:pPr>
              <w:pStyle w:val="Compact"/>
              <w:spacing w:line="480" w:lineRule="auto"/>
              <w:jc w:val="both"/>
            </w:pPr>
            <w:r w:rsidRPr="001219F9">
              <w:t>274</w:t>
            </w:r>
          </w:p>
        </w:tc>
        <w:tc>
          <w:tcPr>
            <w:tcW w:w="1191" w:type="pct"/>
          </w:tcPr>
          <w:p w14:paraId="0EFDA897" w14:textId="77777777" w:rsidR="00F8775D" w:rsidRPr="001219F9" w:rsidRDefault="00F8775D" w:rsidP="00A11E83">
            <w:pPr>
              <w:pStyle w:val="Compact"/>
              <w:spacing w:line="480" w:lineRule="auto"/>
              <w:jc w:val="both"/>
            </w:pPr>
            <w:r w:rsidRPr="001219F9">
              <w:t>35.7</w:t>
            </w:r>
          </w:p>
        </w:tc>
      </w:tr>
      <w:tr w:rsidR="00F8775D" w:rsidRPr="001219F9" w14:paraId="671DDFD7" w14:textId="77777777" w:rsidTr="00A11E83">
        <w:tc>
          <w:tcPr>
            <w:tcW w:w="2618" w:type="pct"/>
          </w:tcPr>
          <w:p w14:paraId="19EDDFA7" w14:textId="77777777" w:rsidR="00F8775D" w:rsidRPr="001219F9" w:rsidRDefault="00F8775D" w:rsidP="00A11E83">
            <w:pPr>
              <w:pStyle w:val="Compact"/>
              <w:spacing w:line="480" w:lineRule="auto"/>
              <w:jc w:val="both"/>
            </w:pPr>
            <w:r>
              <w:t xml:space="preserve">   </w:t>
            </w:r>
            <w:r w:rsidRPr="001219F9">
              <w:t>Bilateral</w:t>
            </w:r>
          </w:p>
        </w:tc>
        <w:tc>
          <w:tcPr>
            <w:tcW w:w="1191" w:type="pct"/>
          </w:tcPr>
          <w:p w14:paraId="55A9D5DE" w14:textId="77777777" w:rsidR="00F8775D" w:rsidRPr="001219F9" w:rsidRDefault="00F8775D" w:rsidP="00A11E83">
            <w:pPr>
              <w:pStyle w:val="Compact"/>
              <w:spacing w:line="480" w:lineRule="auto"/>
              <w:jc w:val="both"/>
            </w:pPr>
            <w:r w:rsidRPr="001219F9">
              <w:t>40</w:t>
            </w:r>
          </w:p>
        </w:tc>
        <w:tc>
          <w:tcPr>
            <w:tcW w:w="1191" w:type="pct"/>
          </w:tcPr>
          <w:p w14:paraId="6F7E9B6F" w14:textId="77777777" w:rsidR="00F8775D" w:rsidRPr="001219F9" w:rsidRDefault="00F8775D" w:rsidP="00A11E83">
            <w:pPr>
              <w:pStyle w:val="Compact"/>
              <w:spacing w:line="480" w:lineRule="auto"/>
              <w:jc w:val="both"/>
            </w:pPr>
            <w:r w:rsidRPr="001219F9">
              <w:t>5.2</w:t>
            </w:r>
          </w:p>
        </w:tc>
      </w:tr>
      <w:tr w:rsidR="00F8775D" w:rsidRPr="001219F9" w14:paraId="5F59A266" w14:textId="77777777" w:rsidTr="00A11E83">
        <w:tc>
          <w:tcPr>
            <w:tcW w:w="2618" w:type="pct"/>
          </w:tcPr>
          <w:p w14:paraId="00213851" w14:textId="77777777" w:rsidR="00F8775D" w:rsidRPr="001219F9" w:rsidRDefault="00F8775D" w:rsidP="00A11E83">
            <w:pPr>
              <w:pStyle w:val="Compact"/>
              <w:spacing w:line="480" w:lineRule="auto"/>
              <w:jc w:val="both"/>
            </w:pPr>
            <w:r>
              <w:t xml:space="preserve">   </w:t>
            </w:r>
            <w:r w:rsidRPr="001219F9">
              <w:t>Unknown</w:t>
            </w:r>
          </w:p>
        </w:tc>
        <w:tc>
          <w:tcPr>
            <w:tcW w:w="1191" w:type="pct"/>
          </w:tcPr>
          <w:p w14:paraId="157A1C8C" w14:textId="77777777" w:rsidR="00F8775D" w:rsidRPr="001219F9" w:rsidRDefault="00F8775D" w:rsidP="00A11E83">
            <w:pPr>
              <w:pStyle w:val="Compact"/>
              <w:spacing w:line="480" w:lineRule="auto"/>
              <w:jc w:val="both"/>
            </w:pPr>
            <w:r w:rsidRPr="001219F9">
              <w:t>113</w:t>
            </w:r>
          </w:p>
        </w:tc>
        <w:tc>
          <w:tcPr>
            <w:tcW w:w="1191" w:type="pct"/>
          </w:tcPr>
          <w:p w14:paraId="08A5E548" w14:textId="77777777" w:rsidR="00F8775D" w:rsidRPr="001219F9" w:rsidRDefault="00F8775D" w:rsidP="00A11E83">
            <w:pPr>
              <w:pStyle w:val="Compact"/>
              <w:spacing w:line="480" w:lineRule="auto"/>
              <w:jc w:val="both"/>
            </w:pPr>
            <w:r w:rsidRPr="001219F9">
              <w:t>14.7</w:t>
            </w:r>
          </w:p>
        </w:tc>
      </w:tr>
      <w:tr w:rsidR="00F8775D" w:rsidRPr="001219F9" w14:paraId="048F5272" w14:textId="77777777" w:rsidTr="00A11E83">
        <w:tc>
          <w:tcPr>
            <w:tcW w:w="2618" w:type="pct"/>
          </w:tcPr>
          <w:p w14:paraId="0CB80BA4" w14:textId="77777777" w:rsidR="00F8775D" w:rsidRPr="001219F9" w:rsidRDefault="00F8775D" w:rsidP="00A11E83">
            <w:pPr>
              <w:pStyle w:val="Compact"/>
              <w:spacing w:line="480" w:lineRule="auto"/>
              <w:jc w:val="both"/>
            </w:pPr>
            <w:r w:rsidRPr="001219F9">
              <w:rPr>
                <w:b/>
              </w:rPr>
              <w:t>Seizure type</w:t>
            </w:r>
          </w:p>
        </w:tc>
        <w:tc>
          <w:tcPr>
            <w:tcW w:w="1191" w:type="pct"/>
          </w:tcPr>
          <w:p w14:paraId="0BA33D71" w14:textId="77777777" w:rsidR="00F8775D" w:rsidRPr="001219F9" w:rsidRDefault="00F8775D" w:rsidP="00A11E83">
            <w:pPr>
              <w:pStyle w:val="Compact"/>
              <w:spacing w:line="480" w:lineRule="auto"/>
              <w:jc w:val="both"/>
            </w:pPr>
          </w:p>
        </w:tc>
        <w:tc>
          <w:tcPr>
            <w:tcW w:w="1191" w:type="pct"/>
          </w:tcPr>
          <w:p w14:paraId="1078C7A2" w14:textId="77777777" w:rsidR="00F8775D" w:rsidRPr="001219F9" w:rsidRDefault="00F8775D" w:rsidP="00A11E83">
            <w:pPr>
              <w:pStyle w:val="Compact"/>
              <w:spacing w:line="480" w:lineRule="auto"/>
              <w:jc w:val="both"/>
            </w:pPr>
          </w:p>
        </w:tc>
      </w:tr>
      <w:tr w:rsidR="00F8775D" w:rsidRPr="001219F9" w14:paraId="3AA3EDED" w14:textId="77777777" w:rsidTr="00A11E83">
        <w:tc>
          <w:tcPr>
            <w:tcW w:w="2618" w:type="pct"/>
          </w:tcPr>
          <w:p w14:paraId="095A828F" w14:textId="611C58D8" w:rsidR="00F8775D" w:rsidRPr="001219F9" w:rsidRDefault="00F8775D" w:rsidP="00D50069">
            <w:pPr>
              <w:pStyle w:val="Compact"/>
              <w:spacing w:line="480" w:lineRule="auto"/>
              <w:jc w:val="both"/>
            </w:pPr>
            <w:r>
              <w:t xml:space="preserve">   </w:t>
            </w:r>
            <w:r w:rsidR="00D50069">
              <w:t>Focal aware</w:t>
            </w:r>
          </w:p>
        </w:tc>
        <w:tc>
          <w:tcPr>
            <w:tcW w:w="1191" w:type="pct"/>
          </w:tcPr>
          <w:p w14:paraId="704F62B1" w14:textId="77777777" w:rsidR="00F8775D" w:rsidRPr="001219F9" w:rsidRDefault="00F8775D" w:rsidP="00A11E83">
            <w:pPr>
              <w:spacing w:line="480" w:lineRule="auto"/>
              <w:jc w:val="both"/>
            </w:pPr>
            <w:r w:rsidRPr="001219F9">
              <w:t>393</w:t>
            </w:r>
          </w:p>
        </w:tc>
        <w:tc>
          <w:tcPr>
            <w:tcW w:w="1191" w:type="pct"/>
          </w:tcPr>
          <w:p w14:paraId="308A09BA" w14:textId="77777777" w:rsidR="00F8775D" w:rsidRPr="001219F9" w:rsidRDefault="00F8775D" w:rsidP="00A11E83">
            <w:pPr>
              <w:spacing w:line="480" w:lineRule="auto"/>
              <w:jc w:val="both"/>
            </w:pPr>
            <w:r w:rsidRPr="001219F9">
              <w:t>51.2</w:t>
            </w:r>
          </w:p>
        </w:tc>
      </w:tr>
      <w:tr w:rsidR="00F8775D" w:rsidRPr="001219F9" w14:paraId="22FA2C3E" w14:textId="77777777" w:rsidTr="00A11E83">
        <w:tc>
          <w:tcPr>
            <w:tcW w:w="2618" w:type="pct"/>
          </w:tcPr>
          <w:p w14:paraId="3DEB7045" w14:textId="34056278" w:rsidR="00F8775D" w:rsidRPr="001219F9" w:rsidRDefault="00F8775D" w:rsidP="00D50069">
            <w:pPr>
              <w:pStyle w:val="Compact"/>
              <w:spacing w:line="480" w:lineRule="auto"/>
              <w:jc w:val="both"/>
            </w:pPr>
            <w:r>
              <w:t xml:space="preserve">   </w:t>
            </w:r>
            <w:r w:rsidR="00D50069">
              <w:t>Focal impaired awareness</w:t>
            </w:r>
          </w:p>
        </w:tc>
        <w:tc>
          <w:tcPr>
            <w:tcW w:w="1191" w:type="pct"/>
          </w:tcPr>
          <w:p w14:paraId="0C3ED25F" w14:textId="77777777" w:rsidR="00F8775D" w:rsidRPr="001219F9" w:rsidRDefault="00F8775D" w:rsidP="00A11E83">
            <w:pPr>
              <w:pStyle w:val="Compact"/>
              <w:spacing w:line="480" w:lineRule="auto"/>
              <w:jc w:val="both"/>
            </w:pPr>
            <w:r w:rsidRPr="001219F9">
              <w:t>713</w:t>
            </w:r>
          </w:p>
        </w:tc>
        <w:tc>
          <w:tcPr>
            <w:tcW w:w="1191" w:type="pct"/>
          </w:tcPr>
          <w:p w14:paraId="61194F0A" w14:textId="77777777" w:rsidR="00F8775D" w:rsidRPr="001219F9" w:rsidRDefault="00F8775D" w:rsidP="00A11E83">
            <w:pPr>
              <w:pStyle w:val="Compact"/>
              <w:spacing w:line="480" w:lineRule="auto"/>
              <w:jc w:val="both"/>
            </w:pPr>
            <w:r w:rsidRPr="001219F9">
              <w:t>93</w:t>
            </w:r>
          </w:p>
        </w:tc>
      </w:tr>
      <w:tr w:rsidR="00F8775D" w:rsidRPr="001219F9" w14:paraId="6784C0CE" w14:textId="77777777" w:rsidTr="00A11E83">
        <w:tc>
          <w:tcPr>
            <w:tcW w:w="2618" w:type="pct"/>
          </w:tcPr>
          <w:p w14:paraId="728018CB" w14:textId="617F585F" w:rsidR="00F8775D" w:rsidRPr="001219F9" w:rsidRDefault="00F8775D" w:rsidP="00D50069">
            <w:pPr>
              <w:pStyle w:val="Compact"/>
              <w:spacing w:line="480" w:lineRule="auto"/>
              <w:jc w:val="both"/>
            </w:pPr>
            <w:r>
              <w:t xml:space="preserve">   </w:t>
            </w:r>
            <w:r w:rsidR="00D50069">
              <w:t>Focal to bilateral tonic-</w:t>
            </w:r>
            <w:proofErr w:type="spellStart"/>
            <w:r w:rsidR="00D50069">
              <w:t>clonic</w:t>
            </w:r>
            <w:proofErr w:type="spellEnd"/>
          </w:p>
        </w:tc>
        <w:tc>
          <w:tcPr>
            <w:tcW w:w="1191" w:type="pct"/>
          </w:tcPr>
          <w:p w14:paraId="37440E85" w14:textId="77777777" w:rsidR="00F8775D" w:rsidRPr="001219F9" w:rsidRDefault="00F8775D" w:rsidP="00A11E83">
            <w:pPr>
              <w:pStyle w:val="Compact"/>
              <w:spacing w:line="480" w:lineRule="auto"/>
              <w:jc w:val="both"/>
            </w:pPr>
            <w:r w:rsidRPr="001219F9">
              <w:t>567</w:t>
            </w:r>
          </w:p>
        </w:tc>
        <w:tc>
          <w:tcPr>
            <w:tcW w:w="1191" w:type="pct"/>
          </w:tcPr>
          <w:p w14:paraId="48EDD803" w14:textId="77777777" w:rsidR="00F8775D" w:rsidRPr="001219F9" w:rsidRDefault="00F8775D" w:rsidP="00A11E83">
            <w:pPr>
              <w:pStyle w:val="Compact"/>
              <w:spacing w:line="480" w:lineRule="auto"/>
              <w:jc w:val="both"/>
            </w:pPr>
            <w:r w:rsidRPr="001219F9">
              <w:t>73.9</w:t>
            </w:r>
          </w:p>
        </w:tc>
      </w:tr>
      <w:tr w:rsidR="00F8775D" w:rsidRPr="001219F9" w14:paraId="072691B6" w14:textId="77777777" w:rsidTr="00A11E83">
        <w:tc>
          <w:tcPr>
            <w:tcW w:w="2618" w:type="pct"/>
            <w:tcBorders>
              <w:bottom w:val="single" w:sz="4" w:space="0" w:color="auto"/>
            </w:tcBorders>
          </w:tcPr>
          <w:p w14:paraId="6AE5973E" w14:textId="77777777" w:rsidR="00F8775D" w:rsidRPr="007F5E23" w:rsidRDefault="00F8775D" w:rsidP="00A11E83">
            <w:pPr>
              <w:pStyle w:val="Compact"/>
              <w:spacing w:line="480" w:lineRule="auto"/>
              <w:rPr>
                <w:b/>
              </w:rPr>
            </w:pPr>
            <w:r w:rsidRPr="007F5E23">
              <w:rPr>
                <w:b/>
              </w:rPr>
              <w:t>Patients undergoing epilepsy surgery</w:t>
            </w:r>
          </w:p>
        </w:tc>
        <w:tc>
          <w:tcPr>
            <w:tcW w:w="1191" w:type="pct"/>
            <w:tcBorders>
              <w:bottom w:val="single" w:sz="4" w:space="0" w:color="auto"/>
            </w:tcBorders>
          </w:tcPr>
          <w:p w14:paraId="04E821C2" w14:textId="77777777" w:rsidR="00F8775D" w:rsidRPr="001219F9" w:rsidRDefault="00F8775D" w:rsidP="00A11E83">
            <w:pPr>
              <w:pStyle w:val="Compact"/>
              <w:spacing w:line="480" w:lineRule="auto"/>
              <w:jc w:val="both"/>
            </w:pPr>
            <w:r>
              <w:t>434</w:t>
            </w:r>
          </w:p>
        </w:tc>
        <w:tc>
          <w:tcPr>
            <w:tcW w:w="1191" w:type="pct"/>
            <w:tcBorders>
              <w:bottom w:val="single" w:sz="4" w:space="0" w:color="auto"/>
            </w:tcBorders>
          </w:tcPr>
          <w:p w14:paraId="5863C918" w14:textId="77777777" w:rsidR="00F8775D" w:rsidRPr="001219F9" w:rsidRDefault="00F8775D" w:rsidP="00A11E83">
            <w:pPr>
              <w:pStyle w:val="Compact"/>
              <w:spacing w:line="480" w:lineRule="auto"/>
              <w:jc w:val="both"/>
            </w:pPr>
            <w:r>
              <w:t>56.6</w:t>
            </w:r>
          </w:p>
        </w:tc>
      </w:tr>
    </w:tbl>
    <w:p w14:paraId="2DFC5AFE" w14:textId="77777777" w:rsidR="00F8775D" w:rsidRDefault="00F8775D" w:rsidP="00F8775D">
      <w:pPr>
        <w:pStyle w:val="BodyText"/>
        <w:spacing w:line="480" w:lineRule="auto"/>
        <w:jc w:val="both"/>
      </w:pPr>
    </w:p>
    <w:p w14:paraId="453BA029" w14:textId="77777777" w:rsidR="00F8775D" w:rsidRDefault="00F8775D" w:rsidP="00F8775D">
      <w:pPr>
        <w:pStyle w:val="BodyText"/>
        <w:spacing w:line="480" w:lineRule="auto"/>
        <w:jc w:val="both"/>
      </w:pPr>
    </w:p>
    <w:p w14:paraId="1B7C0F3A" w14:textId="77777777" w:rsidR="00F8775D" w:rsidRDefault="00F8775D" w:rsidP="00F8775D">
      <w:pPr>
        <w:pStyle w:val="BodyText"/>
        <w:spacing w:line="480" w:lineRule="auto"/>
        <w:jc w:val="both"/>
      </w:pPr>
    </w:p>
    <w:p w14:paraId="0160DEBE" w14:textId="77777777" w:rsidR="00F8775D" w:rsidRDefault="00F8775D" w:rsidP="00F8775D">
      <w:pPr>
        <w:pStyle w:val="BodyText"/>
        <w:spacing w:line="480" w:lineRule="auto"/>
        <w:jc w:val="both"/>
      </w:pPr>
    </w:p>
    <w:p w14:paraId="7C4DDB1D" w14:textId="77777777" w:rsidR="00F8775D" w:rsidRDefault="00F8775D" w:rsidP="00F8775D">
      <w:pPr>
        <w:pStyle w:val="BodyText"/>
        <w:spacing w:line="480" w:lineRule="auto"/>
        <w:jc w:val="both"/>
      </w:pPr>
    </w:p>
    <w:p w14:paraId="51DBDB4D" w14:textId="77777777" w:rsidR="00F8775D" w:rsidRDefault="00F8775D" w:rsidP="00F8775D">
      <w:pPr>
        <w:pStyle w:val="BodyText"/>
        <w:spacing w:line="480" w:lineRule="auto"/>
        <w:jc w:val="both"/>
      </w:pPr>
    </w:p>
    <w:p w14:paraId="7A78F043" w14:textId="77777777" w:rsidR="00F8775D" w:rsidRDefault="00F8775D" w:rsidP="00F8775D">
      <w:pPr>
        <w:pStyle w:val="BodyText"/>
        <w:spacing w:line="480" w:lineRule="auto"/>
        <w:jc w:val="both"/>
      </w:pPr>
    </w:p>
    <w:p w14:paraId="0CA62BA3" w14:textId="77777777" w:rsidR="00F8775D" w:rsidRDefault="00F8775D" w:rsidP="00F8775D">
      <w:pPr>
        <w:pStyle w:val="BodyText"/>
        <w:spacing w:line="480" w:lineRule="auto"/>
        <w:jc w:val="both"/>
      </w:pPr>
    </w:p>
    <w:p w14:paraId="5DE4B1E7" w14:textId="77777777" w:rsidR="00F8775D" w:rsidRDefault="00F8775D" w:rsidP="00F8775D">
      <w:pPr>
        <w:pStyle w:val="BodyText"/>
        <w:spacing w:line="480" w:lineRule="auto"/>
        <w:jc w:val="both"/>
      </w:pPr>
    </w:p>
    <w:p w14:paraId="2989D2C5" w14:textId="77777777" w:rsidR="00F8775D" w:rsidRDefault="00F8775D" w:rsidP="00F8775D">
      <w:pPr>
        <w:pStyle w:val="BodyText"/>
        <w:spacing w:line="480" w:lineRule="auto"/>
        <w:jc w:val="both"/>
      </w:pPr>
    </w:p>
    <w:p w14:paraId="4D709CBF" w14:textId="77777777" w:rsidR="00F8775D" w:rsidRPr="001219F9" w:rsidRDefault="00F8775D" w:rsidP="00F8775D">
      <w:pPr>
        <w:pStyle w:val="BodyText"/>
        <w:spacing w:line="480" w:lineRule="auto"/>
        <w:jc w:val="both"/>
      </w:pPr>
      <w:r w:rsidRPr="001219F9">
        <w:rPr>
          <w:b/>
        </w:rPr>
        <w:lastRenderedPageBreak/>
        <w:t>Table 2</w:t>
      </w:r>
      <w:r w:rsidRPr="001219F9">
        <w:t>. Treatment details of 767 patients for each AED.</w:t>
      </w:r>
    </w:p>
    <w:tbl>
      <w:tblPr>
        <w:tblW w:w="5103" w:type="pct"/>
        <w:tblInd w:w="-176" w:type="dxa"/>
        <w:tblLayout w:type="fixed"/>
        <w:tblLook w:val="07E0" w:firstRow="1" w:lastRow="1" w:firstColumn="1" w:lastColumn="1" w:noHBand="1" w:noVBand="1"/>
      </w:tblPr>
      <w:tblGrid>
        <w:gridCol w:w="690"/>
        <w:gridCol w:w="776"/>
        <w:gridCol w:w="1051"/>
        <w:gridCol w:w="1276"/>
        <w:gridCol w:w="1417"/>
        <w:gridCol w:w="1276"/>
        <w:gridCol w:w="851"/>
        <w:gridCol w:w="850"/>
        <w:gridCol w:w="851"/>
      </w:tblGrid>
      <w:tr w:rsidR="00F8775D" w:rsidRPr="001219F9" w14:paraId="563BFFEC" w14:textId="77777777" w:rsidTr="00A11E83">
        <w:tc>
          <w:tcPr>
            <w:tcW w:w="690" w:type="dxa"/>
          </w:tcPr>
          <w:p w14:paraId="743A394E" w14:textId="77777777" w:rsidR="00F8775D" w:rsidRPr="001219F9" w:rsidRDefault="00F8775D" w:rsidP="00A11E83">
            <w:pPr>
              <w:pStyle w:val="Compact"/>
              <w:spacing w:line="480" w:lineRule="auto"/>
              <w:jc w:val="both"/>
              <w:rPr>
                <w:sz w:val="22"/>
              </w:rPr>
            </w:pPr>
          </w:p>
        </w:tc>
        <w:tc>
          <w:tcPr>
            <w:tcW w:w="776" w:type="dxa"/>
          </w:tcPr>
          <w:p w14:paraId="78B55114" w14:textId="77777777" w:rsidR="00F8775D" w:rsidRPr="001219F9" w:rsidRDefault="00F8775D" w:rsidP="00A11E83">
            <w:pPr>
              <w:pStyle w:val="Compact"/>
              <w:spacing w:line="480" w:lineRule="auto"/>
              <w:jc w:val="both"/>
              <w:rPr>
                <w:sz w:val="22"/>
              </w:rPr>
            </w:pPr>
          </w:p>
        </w:tc>
        <w:tc>
          <w:tcPr>
            <w:tcW w:w="1051" w:type="dxa"/>
          </w:tcPr>
          <w:p w14:paraId="5EF4741C" w14:textId="77777777" w:rsidR="00F8775D" w:rsidRPr="001219F9" w:rsidRDefault="00F8775D" w:rsidP="00A11E83">
            <w:pPr>
              <w:pStyle w:val="Compact"/>
              <w:spacing w:line="480" w:lineRule="auto"/>
              <w:jc w:val="both"/>
              <w:rPr>
                <w:sz w:val="22"/>
              </w:rPr>
            </w:pPr>
          </w:p>
        </w:tc>
        <w:tc>
          <w:tcPr>
            <w:tcW w:w="1276" w:type="dxa"/>
          </w:tcPr>
          <w:p w14:paraId="63173C26" w14:textId="77777777" w:rsidR="00F8775D" w:rsidRPr="001219F9" w:rsidRDefault="00F8775D" w:rsidP="00A11E83">
            <w:pPr>
              <w:pStyle w:val="Compact"/>
              <w:spacing w:line="480" w:lineRule="auto"/>
              <w:jc w:val="both"/>
              <w:rPr>
                <w:sz w:val="22"/>
              </w:rPr>
            </w:pPr>
          </w:p>
        </w:tc>
        <w:tc>
          <w:tcPr>
            <w:tcW w:w="1417" w:type="dxa"/>
          </w:tcPr>
          <w:p w14:paraId="0D6B5FD0" w14:textId="77777777" w:rsidR="00F8775D" w:rsidRPr="001219F9" w:rsidRDefault="00F8775D" w:rsidP="00A11E83">
            <w:pPr>
              <w:pStyle w:val="Compact"/>
              <w:spacing w:line="480" w:lineRule="auto"/>
              <w:jc w:val="both"/>
              <w:rPr>
                <w:sz w:val="22"/>
              </w:rPr>
            </w:pPr>
          </w:p>
        </w:tc>
        <w:tc>
          <w:tcPr>
            <w:tcW w:w="1276" w:type="dxa"/>
          </w:tcPr>
          <w:p w14:paraId="6B477884" w14:textId="77777777" w:rsidR="00F8775D" w:rsidRPr="001219F9" w:rsidRDefault="00F8775D" w:rsidP="00A11E83">
            <w:pPr>
              <w:pStyle w:val="Compact"/>
              <w:spacing w:line="480" w:lineRule="auto"/>
              <w:jc w:val="both"/>
              <w:rPr>
                <w:sz w:val="22"/>
              </w:rPr>
            </w:pPr>
          </w:p>
        </w:tc>
        <w:tc>
          <w:tcPr>
            <w:tcW w:w="2552" w:type="dxa"/>
            <w:gridSpan w:val="3"/>
          </w:tcPr>
          <w:p w14:paraId="2FE74482" w14:textId="77777777" w:rsidR="00F8775D" w:rsidRPr="00B32AD7" w:rsidRDefault="00F8775D" w:rsidP="00A11E83">
            <w:pPr>
              <w:pStyle w:val="Compact"/>
              <w:spacing w:line="480" w:lineRule="auto"/>
              <w:jc w:val="both"/>
              <w:rPr>
                <w:b/>
                <w:sz w:val="22"/>
              </w:rPr>
            </w:pPr>
            <w:r w:rsidRPr="00B32AD7">
              <w:rPr>
                <w:b/>
                <w:sz w:val="22"/>
              </w:rPr>
              <w:t>AED order</w:t>
            </w:r>
          </w:p>
        </w:tc>
      </w:tr>
      <w:tr w:rsidR="00F8775D" w:rsidRPr="001219F9" w14:paraId="12809B02" w14:textId="77777777" w:rsidTr="00A11E83">
        <w:tc>
          <w:tcPr>
            <w:tcW w:w="690" w:type="dxa"/>
            <w:tcBorders>
              <w:bottom w:val="single" w:sz="4" w:space="0" w:color="auto"/>
            </w:tcBorders>
          </w:tcPr>
          <w:p w14:paraId="56D5F2A0" w14:textId="77777777" w:rsidR="00F8775D" w:rsidRPr="00B32AD7" w:rsidRDefault="00F8775D" w:rsidP="00A11E83">
            <w:pPr>
              <w:pStyle w:val="Compact"/>
              <w:spacing w:line="480" w:lineRule="auto"/>
              <w:jc w:val="both"/>
              <w:rPr>
                <w:b/>
                <w:sz w:val="22"/>
              </w:rPr>
            </w:pPr>
            <w:r w:rsidRPr="00B32AD7">
              <w:rPr>
                <w:b/>
                <w:sz w:val="22"/>
              </w:rPr>
              <w:t>AED</w:t>
            </w:r>
          </w:p>
        </w:tc>
        <w:tc>
          <w:tcPr>
            <w:tcW w:w="776" w:type="dxa"/>
            <w:tcBorders>
              <w:bottom w:val="single" w:sz="4" w:space="0" w:color="auto"/>
            </w:tcBorders>
          </w:tcPr>
          <w:p w14:paraId="68C9C18F" w14:textId="77777777" w:rsidR="00F8775D" w:rsidRPr="00B32AD7" w:rsidRDefault="00F8775D" w:rsidP="00A11E83">
            <w:pPr>
              <w:pStyle w:val="Compact"/>
              <w:spacing w:line="480" w:lineRule="auto"/>
              <w:jc w:val="both"/>
              <w:rPr>
                <w:b/>
                <w:sz w:val="22"/>
              </w:rPr>
            </w:pPr>
            <w:r w:rsidRPr="00B32AD7">
              <w:rPr>
                <w:b/>
                <w:sz w:val="22"/>
              </w:rPr>
              <w:t>No of trials</w:t>
            </w:r>
          </w:p>
        </w:tc>
        <w:tc>
          <w:tcPr>
            <w:tcW w:w="1051" w:type="dxa"/>
            <w:tcBorders>
              <w:bottom w:val="single" w:sz="4" w:space="0" w:color="auto"/>
            </w:tcBorders>
          </w:tcPr>
          <w:p w14:paraId="1F137832" w14:textId="77777777" w:rsidR="00F8775D" w:rsidRPr="00B32AD7" w:rsidRDefault="00F8775D" w:rsidP="00A11E83">
            <w:pPr>
              <w:pStyle w:val="Compact"/>
              <w:spacing w:line="480" w:lineRule="auto"/>
              <w:rPr>
                <w:b/>
                <w:sz w:val="22"/>
              </w:rPr>
            </w:pPr>
            <w:r w:rsidRPr="00B32AD7">
              <w:rPr>
                <w:b/>
                <w:sz w:val="22"/>
              </w:rPr>
              <w:t>No of patients</w:t>
            </w:r>
          </w:p>
        </w:tc>
        <w:tc>
          <w:tcPr>
            <w:tcW w:w="1276" w:type="dxa"/>
            <w:tcBorders>
              <w:bottom w:val="single" w:sz="4" w:space="0" w:color="auto"/>
            </w:tcBorders>
          </w:tcPr>
          <w:p w14:paraId="48F6E98F" w14:textId="77777777" w:rsidR="00F8775D" w:rsidRPr="00B32AD7" w:rsidRDefault="00F8775D" w:rsidP="00A11E83">
            <w:pPr>
              <w:pStyle w:val="Compact"/>
              <w:spacing w:line="480" w:lineRule="auto"/>
              <w:jc w:val="both"/>
              <w:rPr>
                <w:b/>
                <w:sz w:val="22"/>
              </w:rPr>
            </w:pPr>
            <w:r w:rsidRPr="00B32AD7">
              <w:rPr>
                <w:b/>
                <w:sz w:val="22"/>
              </w:rPr>
              <w:t>12-month retention rate (%)</w:t>
            </w:r>
          </w:p>
        </w:tc>
        <w:tc>
          <w:tcPr>
            <w:tcW w:w="1417" w:type="dxa"/>
            <w:tcBorders>
              <w:bottom w:val="single" w:sz="4" w:space="0" w:color="auto"/>
            </w:tcBorders>
          </w:tcPr>
          <w:p w14:paraId="436AF328" w14:textId="77777777" w:rsidR="00F8775D" w:rsidRPr="00B32AD7" w:rsidRDefault="00F8775D" w:rsidP="00A11E83">
            <w:pPr>
              <w:pStyle w:val="Compact"/>
              <w:spacing w:line="480" w:lineRule="auto"/>
              <w:jc w:val="both"/>
              <w:rPr>
                <w:b/>
                <w:sz w:val="22"/>
              </w:rPr>
            </w:pPr>
            <w:r w:rsidRPr="00B32AD7">
              <w:rPr>
                <w:b/>
                <w:sz w:val="22"/>
              </w:rPr>
              <w:t>Treatment duration (median months +/- MAD)</w:t>
            </w:r>
          </w:p>
        </w:tc>
        <w:tc>
          <w:tcPr>
            <w:tcW w:w="1276" w:type="dxa"/>
            <w:tcBorders>
              <w:bottom w:val="single" w:sz="4" w:space="0" w:color="auto"/>
            </w:tcBorders>
          </w:tcPr>
          <w:p w14:paraId="78FF280F" w14:textId="77777777" w:rsidR="00F8775D" w:rsidRPr="00B32AD7" w:rsidRDefault="00F8775D" w:rsidP="00A11E83">
            <w:pPr>
              <w:pStyle w:val="Compact"/>
              <w:spacing w:line="480" w:lineRule="auto"/>
              <w:jc w:val="both"/>
              <w:rPr>
                <w:b/>
                <w:sz w:val="22"/>
              </w:rPr>
            </w:pPr>
            <w:r w:rsidRPr="00B32AD7">
              <w:rPr>
                <w:b/>
                <w:sz w:val="22"/>
              </w:rPr>
              <w:t>Maximum dose (median mg/day)</w:t>
            </w:r>
          </w:p>
        </w:tc>
        <w:tc>
          <w:tcPr>
            <w:tcW w:w="851" w:type="dxa"/>
            <w:tcBorders>
              <w:bottom w:val="single" w:sz="4" w:space="0" w:color="auto"/>
            </w:tcBorders>
          </w:tcPr>
          <w:p w14:paraId="6FB0C22E" w14:textId="77777777" w:rsidR="00F8775D" w:rsidRPr="00B32AD7" w:rsidRDefault="00F8775D" w:rsidP="00A11E83">
            <w:pPr>
              <w:pStyle w:val="Compact"/>
              <w:spacing w:line="480" w:lineRule="auto"/>
              <w:jc w:val="both"/>
              <w:rPr>
                <w:b/>
                <w:sz w:val="22"/>
              </w:rPr>
            </w:pPr>
            <w:r w:rsidRPr="00B32AD7">
              <w:rPr>
                <w:b/>
                <w:sz w:val="22"/>
              </w:rPr>
              <w:t>AED 1 (%)</w:t>
            </w:r>
          </w:p>
        </w:tc>
        <w:tc>
          <w:tcPr>
            <w:tcW w:w="850" w:type="dxa"/>
            <w:tcBorders>
              <w:bottom w:val="single" w:sz="4" w:space="0" w:color="auto"/>
            </w:tcBorders>
          </w:tcPr>
          <w:p w14:paraId="6B164CC7" w14:textId="77777777" w:rsidR="00F8775D" w:rsidRPr="00B32AD7" w:rsidRDefault="00F8775D" w:rsidP="00A11E83">
            <w:pPr>
              <w:pStyle w:val="Compact"/>
              <w:spacing w:line="480" w:lineRule="auto"/>
              <w:jc w:val="both"/>
              <w:rPr>
                <w:b/>
                <w:sz w:val="22"/>
              </w:rPr>
            </w:pPr>
            <w:r w:rsidRPr="00B32AD7">
              <w:rPr>
                <w:b/>
                <w:sz w:val="22"/>
              </w:rPr>
              <w:t>AED 2 (%)</w:t>
            </w:r>
          </w:p>
        </w:tc>
        <w:tc>
          <w:tcPr>
            <w:tcW w:w="851" w:type="dxa"/>
            <w:tcBorders>
              <w:bottom w:val="single" w:sz="4" w:space="0" w:color="auto"/>
            </w:tcBorders>
          </w:tcPr>
          <w:p w14:paraId="518C680D" w14:textId="77777777" w:rsidR="00F8775D" w:rsidRPr="00B32AD7" w:rsidRDefault="00F8775D" w:rsidP="00A11E83">
            <w:pPr>
              <w:pStyle w:val="Compact"/>
              <w:spacing w:line="480" w:lineRule="auto"/>
              <w:jc w:val="both"/>
              <w:rPr>
                <w:b/>
                <w:sz w:val="22"/>
              </w:rPr>
            </w:pPr>
            <w:r w:rsidRPr="00B32AD7">
              <w:rPr>
                <w:b/>
                <w:sz w:val="22"/>
              </w:rPr>
              <w:t>AED 3 (%)</w:t>
            </w:r>
          </w:p>
        </w:tc>
      </w:tr>
      <w:tr w:rsidR="00F8775D" w:rsidRPr="001219F9" w14:paraId="5FAF8069" w14:textId="77777777" w:rsidTr="00A11E83">
        <w:tc>
          <w:tcPr>
            <w:tcW w:w="690" w:type="dxa"/>
            <w:tcBorders>
              <w:top w:val="single" w:sz="4" w:space="0" w:color="auto"/>
            </w:tcBorders>
          </w:tcPr>
          <w:p w14:paraId="6AC75EDC" w14:textId="77777777" w:rsidR="00F8775D" w:rsidRPr="00B32AD7" w:rsidRDefault="00F8775D" w:rsidP="00A11E83">
            <w:pPr>
              <w:pStyle w:val="Compact"/>
              <w:spacing w:line="480" w:lineRule="auto"/>
              <w:jc w:val="both"/>
              <w:rPr>
                <w:b/>
                <w:sz w:val="22"/>
              </w:rPr>
            </w:pPr>
            <w:r w:rsidRPr="00B32AD7">
              <w:rPr>
                <w:b/>
                <w:sz w:val="22"/>
              </w:rPr>
              <w:t>CBZ</w:t>
            </w:r>
          </w:p>
        </w:tc>
        <w:tc>
          <w:tcPr>
            <w:tcW w:w="776" w:type="dxa"/>
            <w:tcBorders>
              <w:top w:val="single" w:sz="4" w:space="0" w:color="auto"/>
            </w:tcBorders>
          </w:tcPr>
          <w:p w14:paraId="7D8F1488" w14:textId="77777777" w:rsidR="00F8775D" w:rsidRPr="001219F9" w:rsidRDefault="00F8775D" w:rsidP="00A11E83">
            <w:pPr>
              <w:pStyle w:val="Compact"/>
              <w:spacing w:line="480" w:lineRule="auto"/>
              <w:jc w:val="both"/>
              <w:rPr>
                <w:sz w:val="22"/>
              </w:rPr>
            </w:pPr>
            <w:r w:rsidRPr="001219F9">
              <w:rPr>
                <w:sz w:val="22"/>
              </w:rPr>
              <w:t>659</w:t>
            </w:r>
          </w:p>
        </w:tc>
        <w:tc>
          <w:tcPr>
            <w:tcW w:w="1051" w:type="dxa"/>
            <w:tcBorders>
              <w:top w:val="single" w:sz="4" w:space="0" w:color="auto"/>
            </w:tcBorders>
          </w:tcPr>
          <w:p w14:paraId="751393EC" w14:textId="77777777" w:rsidR="00F8775D" w:rsidRPr="001219F9" w:rsidRDefault="00F8775D" w:rsidP="00A11E83">
            <w:pPr>
              <w:pStyle w:val="Compact"/>
              <w:spacing w:line="480" w:lineRule="auto"/>
              <w:jc w:val="both"/>
              <w:rPr>
                <w:sz w:val="22"/>
              </w:rPr>
            </w:pPr>
            <w:r w:rsidRPr="001219F9">
              <w:rPr>
                <w:sz w:val="22"/>
              </w:rPr>
              <w:t>615</w:t>
            </w:r>
          </w:p>
        </w:tc>
        <w:tc>
          <w:tcPr>
            <w:tcW w:w="1276" w:type="dxa"/>
            <w:tcBorders>
              <w:top w:val="single" w:sz="4" w:space="0" w:color="auto"/>
            </w:tcBorders>
          </w:tcPr>
          <w:p w14:paraId="0B1EC1F1" w14:textId="77777777" w:rsidR="00F8775D" w:rsidRPr="001219F9" w:rsidRDefault="00F8775D" w:rsidP="00A11E83">
            <w:pPr>
              <w:pStyle w:val="Compact"/>
              <w:spacing w:line="480" w:lineRule="auto"/>
              <w:jc w:val="both"/>
              <w:rPr>
                <w:sz w:val="22"/>
              </w:rPr>
            </w:pPr>
            <w:r w:rsidRPr="001219F9">
              <w:rPr>
                <w:sz w:val="22"/>
              </w:rPr>
              <w:t>85.9</w:t>
            </w:r>
          </w:p>
        </w:tc>
        <w:tc>
          <w:tcPr>
            <w:tcW w:w="1417" w:type="dxa"/>
            <w:tcBorders>
              <w:top w:val="single" w:sz="4" w:space="0" w:color="auto"/>
            </w:tcBorders>
          </w:tcPr>
          <w:p w14:paraId="3603021C" w14:textId="77777777" w:rsidR="00F8775D" w:rsidRPr="001219F9" w:rsidRDefault="00F8775D" w:rsidP="00A11E83">
            <w:pPr>
              <w:pStyle w:val="Compact"/>
              <w:spacing w:line="480" w:lineRule="auto"/>
              <w:jc w:val="both"/>
              <w:rPr>
                <w:sz w:val="22"/>
              </w:rPr>
            </w:pPr>
            <w:r w:rsidRPr="001219F9">
              <w:rPr>
                <w:sz w:val="22"/>
              </w:rPr>
              <w:t>70 +/- 77.4</w:t>
            </w:r>
          </w:p>
        </w:tc>
        <w:tc>
          <w:tcPr>
            <w:tcW w:w="1276" w:type="dxa"/>
            <w:tcBorders>
              <w:top w:val="single" w:sz="4" w:space="0" w:color="auto"/>
            </w:tcBorders>
          </w:tcPr>
          <w:p w14:paraId="2C74B18F" w14:textId="77777777" w:rsidR="00F8775D" w:rsidRPr="001219F9" w:rsidRDefault="00F8775D" w:rsidP="00A11E83">
            <w:pPr>
              <w:pStyle w:val="Compact"/>
              <w:spacing w:line="480" w:lineRule="auto"/>
              <w:jc w:val="both"/>
              <w:rPr>
                <w:sz w:val="22"/>
              </w:rPr>
            </w:pPr>
            <w:r w:rsidRPr="001219F9">
              <w:rPr>
                <w:sz w:val="22"/>
              </w:rPr>
              <w:t>1200</w:t>
            </w:r>
          </w:p>
        </w:tc>
        <w:tc>
          <w:tcPr>
            <w:tcW w:w="851" w:type="dxa"/>
            <w:tcBorders>
              <w:top w:val="single" w:sz="4" w:space="0" w:color="auto"/>
            </w:tcBorders>
          </w:tcPr>
          <w:p w14:paraId="13CC7612" w14:textId="77777777" w:rsidR="00F8775D" w:rsidRPr="001219F9" w:rsidRDefault="00F8775D" w:rsidP="00A11E83">
            <w:pPr>
              <w:pStyle w:val="Compact"/>
              <w:spacing w:line="480" w:lineRule="auto"/>
              <w:jc w:val="both"/>
              <w:rPr>
                <w:sz w:val="22"/>
              </w:rPr>
            </w:pPr>
            <w:r w:rsidRPr="001219F9">
              <w:rPr>
                <w:sz w:val="22"/>
              </w:rPr>
              <w:t>29.2</w:t>
            </w:r>
          </w:p>
        </w:tc>
        <w:tc>
          <w:tcPr>
            <w:tcW w:w="850" w:type="dxa"/>
            <w:tcBorders>
              <w:top w:val="single" w:sz="4" w:space="0" w:color="auto"/>
            </w:tcBorders>
          </w:tcPr>
          <w:p w14:paraId="25DA5015" w14:textId="77777777" w:rsidR="00F8775D" w:rsidRPr="001219F9" w:rsidRDefault="00F8775D" w:rsidP="00A11E83">
            <w:pPr>
              <w:pStyle w:val="Compact"/>
              <w:spacing w:line="480" w:lineRule="auto"/>
              <w:jc w:val="both"/>
              <w:rPr>
                <w:sz w:val="22"/>
              </w:rPr>
            </w:pPr>
            <w:r w:rsidRPr="001219F9">
              <w:rPr>
                <w:sz w:val="22"/>
              </w:rPr>
              <w:t>22.4</w:t>
            </w:r>
          </w:p>
        </w:tc>
        <w:tc>
          <w:tcPr>
            <w:tcW w:w="851" w:type="dxa"/>
            <w:tcBorders>
              <w:top w:val="single" w:sz="4" w:space="0" w:color="auto"/>
            </w:tcBorders>
          </w:tcPr>
          <w:p w14:paraId="433EEA4E" w14:textId="77777777" w:rsidR="00F8775D" w:rsidRPr="001219F9" w:rsidRDefault="00F8775D" w:rsidP="00A11E83">
            <w:pPr>
              <w:pStyle w:val="Compact"/>
              <w:spacing w:line="480" w:lineRule="auto"/>
              <w:jc w:val="both"/>
              <w:rPr>
                <w:sz w:val="22"/>
              </w:rPr>
            </w:pPr>
            <w:r w:rsidRPr="001219F9">
              <w:rPr>
                <w:sz w:val="22"/>
              </w:rPr>
              <w:t>48.4</w:t>
            </w:r>
          </w:p>
        </w:tc>
      </w:tr>
      <w:tr w:rsidR="00F8775D" w:rsidRPr="001219F9" w14:paraId="18ECEA68" w14:textId="77777777" w:rsidTr="00A11E83">
        <w:tc>
          <w:tcPr>
            <w:tcW w:w="690" w:type="dxa"/>
          </w:tcPr>
          <w:p w14:paraId="6ADE2052" w14:textId="77777777" w:rsidR="00F8775D" w:rsidRPr="00B32AD7" w:rsidRDefault="00F8775D" w:rsidP="00A11E83">
            <w:pPr>
              <w:pStyle w:val="Compact"/>
              <w:spacing w:line="480" w:lineRule="auto"/>
              <w:jc w:val="both"/>
              <w:rPr>
                <w:b/>
                <w:sz w:val="22"/>
              </w:rPr>
            </w:pPr>
            <w:r w:rsidRPr="00B32AD7">
              <w:rPr>
                <w:b/>
                <w:sz w:val="22"/>
              </w:rPr>
              <w:t>VPA</w:t>
            </w:r>
          </w:p>
        </w:tc>
        <w:tc>
          <w:tcPr>
            <w:tcW w:w="776" w:type="dxa"/>
          </w:tcPr>
          <w:p w14:paraId="668AE45F" w14:textId="77777777" w:rsidR="00F8775D" w:rsidRPr="001219F9" w:rsidRDefault="00F8775D" w:rsidP="00A11E83">
            <w:pPr>
              <w:pStyle w:val="Compact"/>
              <w:spacing w:line="480" w:lineRule="auto"/>
              <w:jc w:val="both"/>
              <w:rPr>
                <w:sz w:val="22"/>
              </w:rPr>
            </w:pPr>
            <w:r w:rsidRPr="001219F9">
              <w:rPr>
                <w:sz w:val="22"/>
              </w:rPr>
              <w:t>508</w:t>
            </w:r>
          </w:p>
        </w:tc>
        <w:tc>
          <w:tcPr>
            <w:tcW w:w="1051" w:type="dxa"/>
          </w:tcPr>
          <w:p w14:paraId="7967F0A4" w14:textId="77777777" w:rsidR="00F8775D" w:rsidRPr="001219F9" w:rsidRDefault="00F8775D" w:rsidP="00A11E83">
            <w:pPr>
              <w:pStyle w:val="Compact"/>
              <w:spacing w:line="480" w:lineRule="auto"/>
              <w:jc w:val="both"/>
              <w:rPr>
                <w:sz w:val="22"/>
              </w:rPr>
            </w:pPr>
            <w:r w:rsidRPr="001219F9">
              <w:rPr>
                <w:sz w:val="22"/>
              </w:rPr>
              <w:t>477</w:t>
            </w:r>
          </w:p>
        </w:tc>
        <w:tc>
          <w:tcPr>
            <w:tcW w:w="1276" w:type="dxa"/>
          </w:tcPr>
          <w:p w14:paraId="2387C581" w14:textId="77777777" w:rsidR="00F8775D" w:rsidRPr="001219F9" w:rsidRDefault="00F8775D" w:rsidP="00A11E83">
            <w:pPr>
              <w:pStyle w:val="Compact"/>
              <w:spacing w:line="480" w:lineRule="auto"/>
              <w:jc w:val="both"/>
              <w:rPr>
                <w:sz w:val="22"/>
              </w:rPr>
            </w:pPr>
            <w:r w:rsidRPr="001219F9">
              <w:rPr>
                <w:sz w:val="22"/>
              </w:rPr>
              <w:t>85.0</w:t>
            </w:r>
          </w:p>
        </w:tc>
        <w:tc>
          <w:tcPr>
            <w:tcW w:w="1417" w:type="dxa"/>
          </w:tcPr>
          <w:p w14:paraId="2AB0BE5B" w14:textId="77777777" w:rsidR="00F8775D" w:rsidRPr="001219F9" w:rsidRDefault="00F8775D" w:rsidP="00A11E83">
            <w:pPr>
              <w:pStyle w:val="Compact"/>
              <w:spacing w:line="480" w:lineRule="auto"/>
              <w:jc w:val="both"/>
              <w:rPr>
                <w:sz w:val="22"/>
              </w:rPr>
            </w:pPr>
            <w:r w:rsidRPr="001219F9">
              <w:rPr>
                <w:sz w:val="22"/>
              </w:rPr>
              <w:t>55 +/- 63.1</w:t>
            </w:r>
          </w:p>
        </w:tc>
        <w:tc>
          <w:tcPr>
            <w:tcW w:w="1276" w:type="dxa"/>
          </w:tcPr>
          <w:p w14:paraId="59837064" w14:textId="77777777" w:rsidR="00F8775D" w:rsidRPr="001219F9" w:rsidRDefault="00F8775D" w:rsidP="00A11E83">
            <w:pPr>
              <w:pStyle w:val="Compact"/>
              <w:spacing w:line="480" w:lineRule="auto"/>
              <w:jc w:val="both"/>
              <w:rPr>
                <w:sz w:val="22"/>
              </w:rPr>
            </w:pPr>
            <w:r w:rsidRPr="001219F9">
              <w:rPr>
                <w:sz w:val="22"/>
              </w:rPr>
              <w:t>1500</w:t>
            </w:r>
          </w:p>
        </w:tc>
        <w:tc>
          <w:tcPr>
            <w:tcW w:w="851" w:type="dxa"/>
          </w:tcPr>
          <w:p w14:paraId="227B832C" w14:textId="77777777" w:rsidR="00F8775D" w:rsidRPr="001219F9" w:rsidRDefault="00F8775D" w:rsidP="00A11E83">
            <w:pPr>
              <w:pStyle w:val="Compact"/>
              <w:spacing w:line="480" w:lineRule="auto"/>
              <w:jc w:val="both"/>
              <w:rPr>
                <w:sz w:val="22"/>
              </w:rPr>
            </w:pPr>
            <w:r w:rsidRPr="001219F9">
              <w:rPr>
                <w:sz w:val="22"/>
              </w:rPr>
              <w:t>24.0</w:t>
            </w:r>
          </w:p>
        </w:tc>
        <w:tc>
          <w:tcPr>
            <w:tcW w:w="850" w:type="dxa"/>
          </w:tcPr>
          <w:p w14:paraId="7763F677" w14:textId="77777777" w:rsidR="00F8775D" w:rsidRPr="001219F9" w:rsidRDefault="00F8775D" w:rsidP="00A11E83">
            <w:pPr>
              <w:pStyle w:val="Compact"/>
              <w:spacing w:line="480" w:lineRule="auto"/>
              <w:jc w:val="both"/>
              <w:rPr>
                <w:sz w:val="22"/>
              </w:rPr>
            </w:pPr>
            <w:r w:rsidRPr="001219F9">
              <w:rPr>
                <w:sz w:val="22"/>
              </w:rPr>
              <w:t>18.7</w:t>
            </w:r>
          </w:p>
        </w:tc>
        <w:tc>
          <w:tcPr>
            <w:tcW w:w="851" w:type="dxa"/>
          </w:tcPr>
          <w:p w14:paraId="50F31802" w14:textId="77777777" w:rsidR="00F8775D" w:rsidRPr="001219F9" w:rsidRDefault="00F8775D" w:rsidP="00A11E83">
            <w:pPr>
              <w:pStyle w:val="Compact"/>
              <w:spacing w:line="480" w:lineRule="auto"/>
              <w:jc w:val="both"/>
              <w:rPr>
                <w:sz w:val="22"/>
              </w:rPr>
            </w:pPr>
            <w:r w:rsidRPr="001219F9">
              <w:rPr>
                <w:sz w:val="22"/>
              </w:rPr>
              <w:t>57.3</w:t>
            </w:r>
          </w:p>
        </w:tc>
      </w:tr>
      <w:tr w:rsidR="00F8775D" w:rsidRPr="001219F9" w14:paraId="6BD72647" w14:textId="77777777" w:rsidTr="00A11E83">
        <w:tc>
          <w:tcPr>
            <w:tcW w:w="690" w:type="dxa"/>
          </w:tcPr>
          <w:p w14:paraId="53E95DEA" w14:textId="77777777" w:rsidR="00F8775D" w:rsidRPr="00B32AD7" w:rsidRDefault="00F8775D" w:rsidP="00A11E83">
            <w:pPr>
              <w:pStyle w:val="Compact"/>
              <w:spacing w:line="480" w:lineRule="auto"/>
              <w:jc w:val="both"/>
              <w:rPr>
                <w:b/>
                <w:sz w:val="22"/>
              </w:rPr>
            </w:pPr>
            <w:r w:rsidRPr="00B32AD7">
              <w:rPr>
                <w:b/>
                <w:sz w:val="22"/>
              </w:rPr>
              <w:t>LTG</w:t>
            </w:r>
          </w:p>
        </w:tc>
        <w:tc>
          <w:tcPr>
            <w:tcW w:w="776" w:type="dxa"/>
          </w:tcPr>
          <w:p w14:paraId="3AC4B472" w14:textId="77777777" w:rsidR="00F8775D" w:rsidRPr="001219F9" w:rsidRDefault="00F8775D" w:rsidP="00A11E83">
            <w:pPr>
              <w:pStyle w:val="Compact"/>
              <w:spacing w:line="480" w:lineRule="auto"/>
              <w:jc w:val="both"/>
              <w:rPr>
                <w:sz w:val="22"/>
              </w:rPr>
            </w:pPr>
            <w:r w:rsidRPr="001219F9">
              <w:rPr>
                <w:sz w:val="22"/>
              </w:rPr>
              <w:t>467</w:t>
            </w:r>
          </w:p>
        </w:tc>
        <w:tc>
          <w:tcPr>
            <w:tcW w:w="1051" w:type="dxa"/>
          </w:tcPr>
          <w:p w14:paraId="274B5C79" w14:textId="77777777" w:rsidR="00F8775D" w:rsidRPr="001219F9" w:rsidRDefault="00F8775D" w:rsidP="00A11E83">
            <w:pPr>
              <w:pStyle w:val="Compact"/>
              <w:spacing w:line="480" w:lineRule="auto"/>
              <w:jc w:val="both"/>
              <w:rPr>
                <w:sz w:val="22"/>
              </w:rPr>
            </w:pPr>
            <w:r w:rsidRPr="001219F9">
              <w:rPr>
                <w:sz w:val="22"/>
              </w:rPr>
              <w:t>458</w:t>
            </w:r>
          </w:p>
        </w:tc>
        <w:tc>
          <w:tcPr>
            <w:tcW w:w="1276" w:type="dxa"/>
          </w:tcPr>
          <w:p w14:paraId="11274662" w14:textId="77777777" w:rsidR="00F8775D" w:rsidRPr="001219F9" w:rsidRDefault="00F8775D" w:rsidP="00A11E83">
            <w:pPr>
              <w:pStyle w:val="Compact"/>
              <w:spacing w:line="480" w:lineRule="auto"/>
              <w:jc w:val="both"/>
              <w:rPr>
                <w:sz w:val="22"/>
              </w:rPr>
            </w:pPr>
            <w:r w:rsidRPr="001219F9">
              <w:rPr>
                <w:sz w:val="22"/>
              </w:rPr>
              <w:t>63.8</w:t>
            </w:r>
          </w:p>
        </w:tc>
        <w:tc>
          <w:tcPr>
            <w:tcW w:w="1417" w:type="dxa"/>
          </w:tcPr>
          <w:p w14:paraId="2AC3C876" w14:textId="77777777" w:rsidR="00F8775D" w:rsidRPr="001219F9" w:rsidRDefault="00F8775D" w:rsidP="00A11E83">
            <w:pPr>
              <w:pStyle w:val="Compact"/>
              <w:spacing w:line="480" w:lineRule="auto"/>
              <w:jc w:val="both"/>
              <w:rPr>
                <w:sz w:val="22"/>
              </w:rPr>
            </w:pPr>
            <w:r w:rsidRPr="001219F9">
              <w:rPr>
                <w:sz w:val="22"/>
              </w:rPr>
              <w:t>22 +/- 26</w:t>
            </w:r>
          </w:p>
        </w:tc>
        <w:tc>
          <w:tcPr>
            <w:tcW w:w="1276" w:type="dxa"/>
          </w:tcPr>
          <w:p w14:paraId="33EE2CD0" w14:textId="77777777" w:rsidR="00F8775D" w:rsidRPr="001219F9" w:rsidRDefault="00F8775D" w:rsidP="00A11E83">
            <w:pPr>
              <w:pStyle w:val="Compact"/>
              <w:spacing w:line="480" w:lineRule="auto"/>
              <w:jc w:val="both"/>
              <w:rPr>
                <w:sz w:val="22"/>
              </w:rPr>
            </w:pPr>
            <w:r w:rsidRPr="001219F9">
              <w:rPr>
                <w:sz w:val="22"/>
              </w:rPr>
              <w:t>400</w:t>
            </w:r>
          </w:p>
        </w:tc>
        <w:tc>
          <w:tcPr>
            <w:tcW w:w="851" w:type="dxa"/>
          </w:tcPr>
          <w:p w14:paraId="5339E826" w14:textId="77777777" w:rsidR="00F8775D" w:rsidRPr="001219F9" w:rsidRDefault="00F8775D" w:rsidP="00A11E83">
            <w:pPr>
              <w:pStyle w:val="Compact"/>
              <w:spacing w:line="480" w:lineRule="auto"/>
              <w:jc w:val="both"/>
              <w:rPr>
                <w:sz w:val="22"/>
              </w:rPr>
            </w:pPr>
            <w:r w:rsidRPr="001219F9">
              <w:rPr>
                <w:sz w:val="22"/>
              </w:rPr>
              <w:t>9.9</w:t>
            </w:r>
          </w:p>
        </w:tc>
        <w:tc>
          <w:tcPr>
            <w:tcW w:w="850" w:type="dxa"/>
          </w:tcPr>
          <w:p w14:paraId="6F8BE9AC" w14:textId="77777777" w:rsidR="00F8775D" w:rsidRPr="001219F9" w:rsidRDefault="00F8775D" w:rsidP="00A11E83">
            <w:pPr>
              <w:pStyle w:val="Compact"/>
              <w:spacing w:line="480" w:lineRule="auto"/>
              <w:jc w:val="both"/>
              <w:rPr>
                <w:sz w:val="22"/>
              </w:rPr>
            </w:pPr>
            <w:r w:rsidRPr="001219F9">
              <w:rPr>
                <w:sz w:val="22"/>
              </w:rPr>
              <w:t>14.5</w:t>
            </w:r>
          </w:p>
        </w:tc>
        <w:tc>
          <w:tcPr>
            <w:tcW w:w="851" w:type="dxa"/>
          </w:tcPr>
          <w:p w14:paraId="65904C97" w14:textId="77777777" w:rsidR="00F8775D" w:rsidRPr="001219F9" w:rsidRDefault="00F8775D" w:rsidP="00A11E83">
            <w:pPr>
              <w:pStyle w:val="Compact"/>
              <w:spacing w:line="480" w:lineRule="auto"/>
              <w:jc w:val="both"/>
              <w:rPr>
                <w:sz w:val="22"/>
              </w:rPr>
            </w:pPr>
            <w:r w:rsidRPr="001219F9">
              <w:rPr>
                <w:sz w:val="22"/>
              </w:rPr>
              <w:t>75.6</w:t>
            </w:r>
          </w:p>
        </w:tc>
      </w:tr>
      <w:tr w:rsidR="00F8775D" w:rsidRPr="001219F9" w14:paraId="53CEE11F" w14:textId="77777777" w:rsidTr="00A11E83">
        <w:tc>
          <w:tcPr>
            <w:tcW w:w="690" w:type="dxa"/>
          </w:tcPr>
          <w:p w14:paraId="37E46170" w14:textId="77777777" w:rsidR="00F8775D" w:rsidRPr="00B32AD7" w:rsidRDefault="00F8775D" w:rsidP="00A11E83">
            <w:pPr>
              <w:pStyle w:val="Compact"/>
              <w:spacing w:line="480" w:lineRule="auto"/>
              <w:jc w:val="both"/>
              <w:rPr>
                <w:b/>
                <w:sz w:val="22"/>
              </w:rPr>
            </w:pPr>
            <w:r w:rsidRPr="00B32AD7">
              <w:rPr>
                <w:b/>
                <w:sz w:val="22"/>
              </w:rPr>
              <w:t>LEV</w:t>
            </w:r>
          </w:p>
        </w:tc>
        <w:tc>
          <w:tcPr>
            <w:tcW w:w="776" w:type="dxa"/>
          </w:tcPr>
          <w:p w14:paraId="4F7AD1E4" w14:textId="77777777" w:rsidR="00F8775D" w:rsidRPr="001219F9" w:rsidRDefault="00F8775D" w:rsidP="00A11E83">
            <w:pPr>
              <w:pStyle w:val="Compact"/>
              <w:spacing w:line="480" w:lineRule="auto"/>
              <w:jc w:val="both"/>
              <w:rPr>
                <w:sz w:val="22"/>
              </w:rPr>
            </w:pPr>
            <w:r w:rsidRPr="001219F9">
              <w:rPr>
                <w:sz w:val="22"/>
              </w:rPr>
              <w:t>431</w:t>
            </w:r>
          </w:p>
        </w:tc>
        <w:tc>
          <w:tcPr>
            <w:tcW w:w="1051" w:type="dxa"/>
          </w:tcPr>
          <w:p w14:paraId="35D2E741" w14:textId="77777777" w:rsidR="00F8775D" w:rsidRPr="001219F9" w:rsidRDefault="00F8775D" w:rsidP="00A11E83">
            <w:pPr>
              <w:pStyle w:val="Compact"/>
              <w:spacing w:line="480" w:lineRule="auto"/>
              <w:jc w:val="both"/>
              <w:rPr>
                <w:sz w:val="22"/>
              </w:rPr>
            </w:pPr>
            <w:r w:rsidRPr="001219F9">
              <w:rPr>
                <w:sz w:val="22"/>
              </w:rPr>
              <w:t>423</w:t>
            </w:r>
          </w:p>
        </w:tc>
        <w:tc>
          <w:tcPr>
            <w:tcW w:w="1276" w:type="dxa"/>
          </w:tcPr>
          <w:p w14:paraId="76FE70C4" w14:textId="77777777" w:rsidR="00F8775D" w:rsidRPr="001219F9" w:rsidRDefault="00F8775D" w:rsidP="00A11E83">
            <w:pPr>
              <w:pStyle w:val="Compact"/>
              <w:spacing w:line="480" w:lineRule="auto"/>
              <w:jc w:val="both"/>
              <w:rPr>
                <w:sz w:val="22"/>
              </w:rPr>
            </w:pPr>
            <w:r w:rsidRPr="001219F9">
              <w:rPr>
                <w:sz w:val="22"/>
              </w:rPr>
              <w:t>71.3</w:t>
            </w:r>
          </w:p>
        </w:tc>
        <w:tc>
          <w:tcPr>
            <w:tcW w:w="1417" w:type="dxa"/>
          </w:tcPr>
          <w:p w14:paraId="1A390C56" w14:textId="77777777" w:rsidR="00F8775D" w:rsidRPr="001219F9" w:rsidRDefault="00F8775D" w:rsidP="00A11E83">
            <w:pPr>
              <w:pStyle w:val="Compact"/>
              <w:spacing w:line="480" w:lineRule="auto"/>
              <w:jc w:val="both"/>
              <w:rPr>
                <w:sz w:val="22"/>
              </w:rPr>
            </w:pPr>
            <w:r w:rsidRPr="001219F9">
              <w:rPr>
                <w:sz w:val="22"/>
              </w:rPr>
              <w:t>31 +/- 37.2</w:t>
            </w:r>
          </w:p>
        </w:tc>
        <w:tc>
          <w:tcPr>
            <w:tcW w:w="1276" w:type="dxa"/>
          </w:tcPr>
          <w:p w14:paraId="199AFFC2" w14:textId="77777777" w:rsidR="00F8775D" w:rsidRPr="001219F9" w:rsidRDefault="00F8775D" w:rsidP="00A11E83">
            <w:pPr>
              <w:pStyle w:val="Compact"/>
              <w:spacing w:line="480" w:lineRule="auto"/>
              <w:jc w:val="both"/>
              <w:rPr>
                <w:sz w:val="22"/>
              </w:rPr>
            </w:pPr>
            <w:r w:rsidRPr="001219F9">
              <w:rPr>
                <w:sz w:val="22"/>
              </w:rPr>
              <w:t>2875</w:t>
            </w:r>
          </w:p>
        </w:tc>
        <w:tc>
          <w:tcPr>
            <w:tcW w:w="851" w:type="dxa"/>
          </w:tcPr>
          <w:p w14:paraId="6A527803" w14:textId="77777777" w:rsidR="00F8775D" w:rsidRPr="001219F9" w:rsidRDefault="00F8775D" w:rsidP="00A11E83">
            <w:pPr>
              <w:pStyle w:val="Compact"/>
              <w:spacing w:line="480" w:lineRule="auto"/>
              <w:jc w:val="both"/>
              <w:rPr>
                <w:sz w:val="22"/>
              </w:rPr>
            </w:pPr>
            <w:r w:rsidRPr="001219F9">
              <w:rPr>
                <w:sz w:val="22"/>
              </w:rPr>
              <w:t>4.6</w:t>
            </w:r>
          </w:p>
        </w:tc>
        <w:tc>
          <w:tcPr>
            <w:tcW w:w="850" w:type="dxa"/>
          </w:tcPr>
          <w:p w14:paraId="78D2F051" w14:textId="77777777" w:rsidR="00F8775D" w:rsidRPr="001219F9" w:rsidRDefault="00F8775D" w:rsidP="00A11E83">
            <w:pPr>
              <w:pStyle w:val="Compact"/>
              <w:spacing w:line="480" w:lineRule="auto"/>
              <w:jc w:val="both"/>
              <w:rPr>
                <w:sz w:val="22"/>
              </w:rPr>
            </w:pPr>
            <w:r w:rsidRPr="001219F9">
              <w:rPr>
                <w:sz w:val="22"/>
              </w:rPr>
              <w:t>8.4</w:t>
            </w:r>
          </w:p>
        </w:tc>
        <w:tc>
          <w:tcPr>
            <w:tcW w:w="851" w:type="dxa"/>
          </w:tcPr>
          <w:p w14:paraId="4F5A3C7A" w14:textId="77777777" w:rsidR="00F8775D" w:rsidRPr="001219F9" w:rsidRDefault="00F8775D" w:rsidP="00A11E83">
            <w:pPr>
              <w:pStyle w:val="Compact"/>
              <w:spacing w:line="480" w:lineRule="auto"/>
              <w:jc w:val="both"/>
              <w:rPr>
                <w:sz w:val="22"/>
              </w:rPr>
            </w:pPr>
            <w:r w:rsidRPr="001219F9">
              <w:rPr>
                <w:sz w:val="22"/>
              </w:rPr>
              <w:t>86.9</w:t>
            </w:r>
          </w:p>
        </w:tc>
      </w:tr>
      <w:tr w:rsidR="00F8775D" w:rsidRPr="001219F9" w14:paraId="3E51B5DD" w14:textId="77777777" w:rsidTr="00A11E83">
        <w:tc>
          <w:tcPr>
            <w:tcW w:w="690" w:type="dxa"/>
          </w:tcPr>
          <w:p w14:paraId="429F4312" w14:textId="77777777" w:rsidR="00F8775D" w:rsidRPr="00B32AD7" w:rsidRDefault="00F8775D" w:rsidP="00A11E83">
            <w:pPr>
              <w:pStyle w:val="Compact"/>
              <w:spacing w:line="480" w:lineRule="auto"/>
              <w:jc w:val="both"/>
              <w:rPr>
                <w:b/>
                <w:sz w:val="22"/>
              </w:rPr>
            </w:pPr>
            <w:r w:rsidRPr="00B32AD7">
              <w:rPr>
                <w:b/>
                <w:sz w:val="22"/>
              </w:rPr>
              <w:t>TPM</w:t>
            </w:r>
          </w:p>
        </w:tc>
        <w:tc>
          <w:tcPr>
            <w:tcW w:w="776" w:type="dxa"/>
          </w:tcPr>
          <w:p w14:paraId="72DCD716" w14:textId="77777777" w:rsidR="00F8775D" w:rsidRPr="001219F9" w:rsidRDefault="00F8775D" w:rsidP="00A11E83">
            <w:pPr>
              <w:pStyle w:val="Compact"/>
              <w:spacing w:line="480" w:lineRule="auto"/>
              <w:jc w:val="both"/>
              <w:rPr>
                <w:sz w:val="22"/>
              </w:rPr>
            </w:pPr>
            <w:r w:rsidRPr="001219F9">
              <w:rPr>
                <w:sz w:val="22"/>
              </w:rPr>
              <w:t>308</w:t>
            </w:r>
          </w:p>
        </w:tc>
        <w:tc>
          <w:tcPr>
            <w:tcW w:w="1051" w:type="dxa"/>
          </w:tcPr>
          <w:p w14:paraId="1D34671F" w14:textId="77777777" w:rsidR="00F8775D" w:rsidRPr="001219F9" w:rsidRDefault="00F8775D" w:rsidP="00A11E83">
            <w:pPr>
              <w:pStyle w:val="Compact"/>
              <w:spacing w:line="480" w:lineRule="auto"/>
              <w:jc w:val="both"/>
              <w:rPr>
                <w:sz w:val="22"/>
              </w:rPr>
            </w:pPr>
            <w:r w:rsidRPr="001219F9">
              <w:rPr>
                <w:sz w:val="22"/>
              </w:rPr>
              <w:t>304</w:t>
            </w:r>
          </w:p>
        </w:tc>
        <w:tc>
          <w:tcPr>
            <w:tcW w:w="1276" w:type="dxa"/>
          </w:tcPr>
          <w:p w14:paraId="7E64DAF6" w14:textId="77777777" w:rsidR="00F8775D" w:rsidRPr="001219F9" w:rsidRDefault="00F8775D" w:rsidP="00A11E83">
            <w:pPr>
              <w:pStyle w:val="Compact"/>
              <w:spacing w:line="480" w:lineRule="auto"/>
              <w:jc w:val="both"/>
              <w:rPr>
                <w:sz w:val="22"/>
              </w:rPr>
            </w:pPr>
            <w:r w:rsidRPr="001219F9">
              <w:rPr>
                <w:sz w:val="22"/>
              </w:rPr>
              <w:t>63.8</w:t>
            </w:r>
          </w:p>
        </w:tc>
        <w:tc>
          <w:tcPr>
            <w:tcW w:w="1417" w:type="dxa"/>
          </w:tcPr>
          <w:p w14:paraId="7E31133D" w14:textId="77777777" w:rsidR="00F8775D" w:rsidRPr="001219F9" w:rsidRDefault="00F8775D" w:rsidP="00A11E83">
            <w:pPr>
              <w:pStyle w:val="Compact"/>
              <w:spacing w:line="480" w:lineRule="auto"/>
              <w:jc w:val="both"/>
              <w:rPr>
                <w:sz w:val="22"/>
              </w:rPr>
            </w:pPr>
            <w:r w:rsidRPr="001219F9">
              <w:rPr>
                <w:sz w:val="22"/>
              </w:rPr>
              <w:t>17 +/- 17.4</w:t>
            </w:r>
          </w:p>
        </w:tc>
        <w:tc>
          <w:tcPr>
            <w:tcW w:w="1276" w:type="dxa"/>
          </w:tcPr>
          <w:p w14:paraId="3BBBFF60" w14:textId="77777777" w:rsidR="00F8775D" w:rsidRPr="001219F9" w:rsidRDefault="00F8775D" w:rsidP="00A11E83">
            <w:pPr>
              <w:pStyle w:val="Compact"/>
              <w:spacing w:line="480" w:lineRule="auto"/>
              <w:jc w:val="both"/>
              <w:rPr>
                <w:sz w:val="22"/>
              </w:rPr>
            </w:pPr>
            <w:r w:rsidRPr="001219F9">
              <w:rPr>
                <w:sz w:val="22"/>
              </w:rPr>
              <w:t>300</w:t>
            </w:r>
          </w:p>
        </w:tc>
        <w:tc>
          <w:tcPr>
            <w:tcW w:w="851" w:type="dxa"/>
          </w:tcPr>
          <w:p w14:paraId="3640D53A" w14:textId="77777777" w:rsidR="00F8775D" w:rsidRPr="001219F9" w:rsidRDefault="00F8775D" w:rsidP="00A11E83">
            <w:pPr>
              <w:pStyle w:val="Compact"/>
              <w:spacing w:line="480" w:lineRule="auto"/>
              <w:jc w:val="both"/>
              <w:rPr>
                <w:sz w:val="22"/>
              </w:rPr>
            </w:pPr>
            <w:r w:rsidRPr="001219F9">
              <w:rPr>
                <w:sz w:val="22"/>
              </w:rPr>
              <w:t>5.6</w:t>
            </w:r>
          </w:p>
        </w:tc>
        <w:tc>
          <w:tcPr>
            <w:tcW w:w="850" w:type="dxa"/>
          </w:tcPr>
          <w:p w14:paraId="7040D341" w14:textId="77777777" w:rsidR="00F8775D" w:rsidRPr="001219F9" w:rsidRDefault="00F8775D" w:rsidP="00A11E83">
            <w:pPr>
              <w:pStyle w:val="Compact"/>
              <w:spacing w:line="480" w:lineRule="auto"/>
              <w:jc w:val="both"/>
              <w:rPr>
                <w:sz w:val="22"/>
              </w:rPr>
            </w:pPr>
            <w:r w:rsidRPr="001219F9">
              <w:rPr>
                <w:sz w:val="22"/>
              </w:rPr>
              <w:t>8.7</w:t>
            </w:r>
          </w:p>
        </w:tc>
        <w:tc>
          <w:tcPr>
            <w:tcW w:w="851" w:type="dxa"/>
          </w:tcPr>
          <w:p w14:paraId="01F565DE" w14:textId="77777777" w:rsidR="00F8775D" w:rsidRPr="001219F9" w:rsidRDefault="00F8775D" w:rsidP="00A11E83">
            <w:pPr>
              <w:pStyle w:val="Compact"/>
              <w:spacing w:line="480" w:lineRule="auto"/>
              <w:jc w:val="both"/>
              <w:rPr>
                <w:sz w:val="22"/>
              </w:rPr>
            </w:pPr>
            <w:r w:rsidRPr="001219F9">
              <w:rPr>
                <w:sz w:val="22"/>
              </w:rPr>
              <w:t>85.7</w:t>
            </w:r>
          </w:p>
        </w:tc>
      </w:tr>
      <w:tr w:rsidR="00F8775D" w:rsidRPr="001219F9" w14:paraId="7A2BB803" w14:textId="77777777" w:rsidTr="00A11E83">
        <w:tc>
          <w:tcPr>
            <w:tcW w:w="690" w:type="dxa"/>
          </w:tcPr>
          <w:p w14:paraId="5FBAAC50" w14:textId="77777777" w:rsidR="00F8775D" w:rsidRPr="00B32AD7" w:rsidRDefault="00F8775D" w:rsidP="00A11E83">
            <w:pPr>
              <w:pStyle w:val="Compact"/>
              <w:spacing w:line="480" w:lineRule="auto"/>
              <w:jc w:val="both"/>
              <w:rPr>
                <w:b/>
                <w:sz w:val="22"/>
              </w:rPr>
            </w:pPr>
            <w:r w:rsidRPr="00B32AD7">
              <w:rPr>
                <w:b/>
                <w:sz w:val="22"/>
              </w:rPr>
              <w:t>CLB</w:t>
            </w:r>
          </w:p>
        </w:tc>
        <w:tc>
          <w:tcPr>
            <w:tcW w:w="776" w:type="dxa"/>
          </w:tcPr>
          <w:p w14:paraId="17715F6B" w14:textId="77777777" w:rsidR="00F8775D" w:rsidRPr="001219F9" w:rsidRDefault="00F8775D" w:rsidP="00A11E83">
            <w:pPr>
              <w:pStyle w:val="Compact"/>
              <w:spacing w:line="480" w:lineRule="auto"/>
              <w:jc w:val="both"/>
              <w:rPr>
                <w:sz w:val="22"/>
              </w:rPr>
            </w:pPr>
            <w:r w:rsidRPr="001219F9">
              <w:rPr>
                <w:sz w:val="22"/>
              </w:rPr>
              <w:t>235</w:t>
            </w:r>
          </w:p>
        </w:tc>
        <w:tc>
          <w:tcPr>
            <w:tcW w:w="1051" w:type="dxa"/>
          </w:tcPr>
          <w:p w14:paraId="736643FD" w14:textId="77777777" w:rsidR="00F8775D" w:rsidRPr="001219F9" w:rsidRDefault="00F8775D" w:rsidP="00A11E83">
            <w:pPr>
              <w:pStyle w:val="Compact"/>
              <w:spacing w:line="480" w:lineRule="auto"/>
              <w:jc w:val="both"/>
              <w:rPr>
                <w:sz w:val="22"/>
              </w:rPr>
            </w:pPr>
            <w:r w:rsidRPr="001219F9">
              <w:rPr>
                <w:sz w:val="22"/>
              </w:rPr>
              <w:t>230</w:t>
            </w:r>
          </w:p>
        </w:tc>
        <w:tc>
          <w:tcPr>
            <w:tcW w:w="1276" w:type="dxa"/>
          </w:tcPr>
          <w:p w14:paraId="354B42FD" w14:textId="77777777" w:rsidR="00F8775D" w:rsidRPr="001219F9" w:rsidRDefault="00F8775D" w:rsidP="00A11E83">
            <w:pPr>
              <w:pStyle w:val="Compact"/>
              <w:spacing w:line="480" w:lineRule="auto"/>
              <w:jc w:val="both"/>
              <w:rPr>
                <w:sz w:val="22"/>
              </w:rPr>
            </w:pPr>
            <w:r w:rsidRPr="001219F9">
              <w:rPr>
                <w:sz w:val="22"/>
              </w:rPr>
              <w:t>79.0</w:t>
            </w:r>
          </w:p>
        </w:tc>
        <w:tc>
          <w:tcPr>
            <w:tcW w:w="1417" w:type="dxa"/>
          </w:tcPr>
          <w:p w14:paraId="2355A3FA" w14:textId="77777777" w:rsidR="00F8775D" w:rsidRPr="001219F9" w:rsidRDefault="00F8775D" w:rsidP="00A11E83">
            <w:pPr>
              <w:pStyle w:val="Compact"/>
              <w:spacing w:line="480" w:lineRule="auto"/>
              <w:jc w:val="both"/>
              <w:rPr>
                <w:sz w:val="22"/>
              </w:rPr>
            </w:pPr>
            <w:r w:rsidRPr="001219F9">
              <w:rPr>
                <w:sz w:val="22"/>
              </w:rPr>
              <w:t>37 +/- 36.9</w:t>
            </w:r>
          </w:p>
        </w:tc>
        <w:tc>
          <w:tcPr>
            <w:tcW w:w="1276" w:type="dxa"/>
          </w:tcPr>
          <w:p w14:paraId="27806CE9" w14:textId="77777777" w:rsidR="00F8775D" w:rsidRPr="001219F9" w:rsidRDefault="00F8775D" w:rsidP="00A11E83">
            <w:pPr>
              <w:pStyle w:val="Compact"/>
              <w:spacing w:line="480" w:lineRule="auto"/>
              <w:jc w:val="both"/>
              <w:rPr>
                <w:sz w:val="22"/>
              </w:rPr>
            </w:pPr>
            <w:r w:rsidRPr="001219F9">
              <w:rPr>
                <w:sz w:val="22"/>
              </w:rPr>
              <w:t>20</w:t>
            </w:r>
          </w:p>
        </w:tc>
        <w:tc>
          <w:tcPr>
            <w:tcW w:w="851" w:type="dxa"/>
          </w:tcPr>
          <w:p w14:paraId="04DEFE3D" w14:textId="77777777" w:rsidR="00F8775D" w:rsidRPr="001219F9" w:rsidRDefault="00F8775D" w:rsidP="00A11E83">
            <w:pPr>
              <w:pStyle w:val="Compact"/>
              <w:spacing w:line="480" w:lineRule="auto"/>
              <w:jc w:val="both"/>
              <w:rPr>
                <w:sz w:val="22"/>
              </w:rPr>
            </w:pPr>
            <w:r w:rsidRPr="001219F9">
              <w:rPr>
                <w:sz w:val="22"/>
              </w:rPr>
              <w:t>7.1</w:t>
            </w:r>
          </w:p>
        </w:tc>
        <w:tc>
          <w:tcPr>
            <w:tcW w:w="850" w:type="dxa"/>
          </w:tcPr>
          <w:p w14:paraId="79CC2A98" w14:textId="77777777" w:rsidR="00F8775D" w:rsidRPr="001219F9" w:rsidRDefault="00F8775D" w:rsidP="00A11E83">
            <w:pPr>
              <w:pStyle w:val="Compact"/>
              <w:spacing w:line="480" w:lineRule="auto"/>
              <w:jc w:val="both"/>
              <w:rPr>
                <w:sz w:val="22"/>
              </w:rPr>
            </w:pPr>
            <w:r w:rsidRPr="001219F9">
              <w:rPr>
                <w:sz w:val="22"/>
              </w:rPr>
              <w:t>12.0</w:t>
            </w:r>
          </w:p>
        </w:tc>
        <w:tc>
          <w:tcPr>
            <w:tcW w:w="851" w:type="dxa"/>
          </w:tcPr>
          <w:p w14:paraId="288B1184" w14:textId="77777777" w:rsidR="00F8775D" w:rsidRPr="001219F9" w:rsidRDefault="00F8775D" w:rsidP="00A11E83">
            <w:pPr>
              <w:pStyle w:val="Compact"/>
              <w:spacing w:line="480" w:lineRule="auto"/>
              <w:jc w:val="both"/>
              <w:rPr>
                <w:sz w:val="22"/>
              </w:rPr>
            </w:pPr>
            <w:r w:rsidRPr="001219F9">
              <w:rPr>
                <w:sz w:val="22"/>
              </w:rPr>
              <w:t>80.9</w:t>
            </w:r>
          </w:p>
        </w:tc>
      </w:tr>
      <w:tr w:rsidR="00F8775D" w:rsidRPr="001219F9" w14:paraId="3183C828" w14:textId="77777777" w:rsidTr="00A11E83">
        <w:tc>
          <w:tcPr>
            <w:tcW w:w="690" w:type="dxa"/>
          </w:tcPr>
          <w:p w14:paraId="7A3F3ABB" w14:textId="77777777" w:rsidR="00F8775D" w:rsidRPr="00B32AD7" w:rsidRDefault="00F8775D" w:rsidP="00A11E83">
            <w:pPr>
              <w:pStyle w:val="Compact"/>
              <w:spacing w:line="480" w:lineRule="auto"/>
              <w:jc w:val="both"/>
              <w:rPr>
                <w:b/>
                <w:sz w:val="22"/>
              </w:rPr>
            </w:pPr>
            <w:r w:rsidRPr="00B32AD7">
              <w:rPr>
                <w:b/>
                <w:sz w:val="22"/>
              </w:rPr>
              <w:t>VGB</w:t>
            </w:r>
          </w:p>
        </w:tc>
        <w:tc>
          <w:tcPr>
            <w:tcW w:w="776" w:type="dxa"/>
          </w:tcPr>
          <w:p w14:paraId="66BD0A7F" w14:textId="77777777" w:rsidR="00F8775D" w:rsidRPr="001219F9" w:rsidRDefault="00F8775D" w:rsidP="00A11E83">
            <w:pPr>
              <w:pStyle w:val="Compact"/>
              <w:spacing w:line="480" w:lineRule="auto"/>
              <w:jc w:val="both"/>
              <w:rPr>
                <w:sz w:val="22"/>
              </w:rPr>
            </w:pPr>
            <w:r w:rsidRPr="001219F9">
              <w:rPr>
                <w:sz w:val="22"/>
              </w:rPr>
              <w:t>233</w:t>
            </w:r>
          </w:p>
        </w:tc>
        <w:tc>
          <w:tcPr>
            <w:tcW w:w="1051" w:type="dxa"/>
          </w:tcPr>
          <w:p w14:paraId="7D489FFF" w14:textId="77777777" w:rsidR="00F8775D" w:rsidRPr="001219F9" w:rsidRDefault="00F8775D" w:rsidP="00A11E83">
            <w:pPr>
              <w:pStyle w:val="Compact"/>
              <w:spacing w:line="480" w:lineRule="auto"/>
              <w:jc w:val="both"/>
              <w:rPr>
                <w:sz w:val="22"/>
              </w:rPr>
            </w:pPr>
            <w:r w:rsidRPr="001219F9">
              <w:rPr>
                <w:sz w:val="22"/>
              </w:rPr>
              <w:t>231</w:t>
            </w:r>
          </w:p>
        </w:tc>
        <w:tc>
          <w:tcPr>
            <w:tcW w:w="1276" w:type="dxa"/>
          </w:tcPr>
          <w:p w14:paraId="662EEF1F" w14:textId="77777777" w:rsidR="00F8775D" w:rsidRPr="001219F9" w:rsidRDefault="00F8775D" w:rsidP="00A11E83">
            <w:pPr>
              <w:pStyle w:val="Compact"/>
              <w:spacing w:line="480" w:lineRule="auto"/>
              <w:jc w:val="both"/>
              <w:rPr>
                <w:sz w:val="22"/>
              </w:rPr>
            </w:pPr>
            <w:r w:rsidRPr="001219F9">
              <w:rPr>
                <w:sz w:val="22"/>
              </w:rPr>
              <w:t>69.4</w:t>
            </w:r>
          </w:p>
        </w:tc>
        <w:tc>
          <w:tcPr>
            <w:tcW w:w="1417" w:type="dxa"/>
          </w:tcPr>
          <w:p w14:paraId="31987146" w14:textId="77777777" w:rsidR="00F8775D" w:rsidRPr="001219F9" w:rsidRDefault="00F8775D" w:rsidP="00A11E83">
            <w:pPr>
              <w:pStyle w:val="Compact"/>
              <w:spacing w:line="480" w:lineRule="auto"/>
              <w:jc w:val="both"/>
              <w:rPr>
                <w:sz w:val="22"/>
              </w:rPr>
            </w:pPr>
            <w:r w:rsidRPr="001219F9">
              <w:rPr>
                <w:sz w:val="22"/>
              </w:rPr>
              <w:t>26 +/- 27.7</w:t>
            </w:r>
          </w:p>
        </w:tc>
        <w:tc>
          <w:tcPr>
            <w:tcW w:w="1276" w:type="dxa"/>
          </w:tcPr>
          <w:p w14:paraId="403E4B51" w14:textId="77777777" w:rsidR="00F8775D" w:rsidRPr="001219F9" w:rsidRDefault="00F8775D" w:rsidP="00A11E83">
            <w:pPr>
              <w:pStyle w:val="Compact"/>
              <w:spacing w:line="480" w:lineRule="auto"/>
              <w:jc w:val="both"/>
              <w:rPr>
                <w:sz w:val="22"/>
              </w:rPr>
            </w:pPr>
            <w:r w:rsidRPr="001219F9">
              <w:rPr>
                <w:sz w:val="22"/>
              </w:rPr>
              <w:t>2500</w:t>
            </w:r>
          </w:p>
        </w:tc>
        <w:tc>
          <w:tcPr>
            <w:tcW w:w="851" w:type="dxa"/>
          </w:tcPr>
          <w:p w14:paraId="30DC47CE" w14:textId="77777777" w:rsidR="00F8775D" w:rsidRPr="001219F9" w:rsidRDefault="00F8775D" w:rsidP="00A11E83">
            <w:pPr>
              <w:pStyle w:val="Compact"/>
              <w:spacing w:line="480" w:lineRule="auto"/>
              <w:jc w:val="both"/>
              <w:rPr>
                <w:sz w:val="22"/>
              </w:rPr>
            </w:pPr>
            <w:r w:rsidRPr="001219F9">
              <w:rPr>
                <w:sz w:val="22"/>
              </w:rPr>
              <w:t>3.7</w:t>
            </w:r>
          </w:p>
        </w:tc>
        <w:tc>
          <w:tcPr>
            <w:tcW w:w="850" w:type="dxa"/>
          </w:tcPr>
          <w:p w14:paraId="0DBB7A76" w14:textId="77777777" w:rsidR="00F8775D" w:rsidRPr="001219F9" w:rsidRDefault="00F8775D" w:rsidP="00A11E83">
            <w:pPr>
              <w:pStyle w:val="Compact"/>
              <w:spacing w:line="480" w:lineRule="auto"/>
              <w:jc w:val="both"/>
              <w:rPr>
                <w:sz w:val="22"/>
              </w:rPr>
            </w:pPr>
            <w:r w:rsidRPr="001219F9">
              <w:rPr>
                <w:sz w:val="22"/>
              </w:rPr>
              <w:t>13.0</w:t>
            </w:r>
          </w:p>
        </w:tc>
        <w:tc>
          <w:tcPr>
            <w:tcW w:w="851" w:type="dxa"/>
          </w:tcPr>
          <w:p w14:paraId="6C55C56D" w14:textId="77777777" w:rsidR="00F8775D" w:rsidRPr="001219F9" w:rsidRDefault="00F8775D" w:rsidP="00A11E83">
            <w:pPr>
              <w:pStyle w:val="Compact"/>
              <w:spacing w:line="480" w:lineRule="auto"/>
              <w:jc w:val="both"/>
              <w:rPr>
                <w:sz w:val="22"/>
              </w:rPr>
            </w:pPr>
            <w:r w:rsidRPr="001219F9">
              <w:rPr>
                <w:sz w:val="22"/>
              </w:rPr>
              <w:t>83.3</w:t>
            </w:r>
          </w:p>
        </w:tc>
      </w:tr>
      <w:tr w:rsidR="00F8775D" w:rsidRPr="001219F9" w14:paraId="2BC15D50" w14:textId="77777777" w:rsidTr="00A11E83">
        <w:tc>
          <w:tcPr>
            <w:tcW w:w="690" w:type="dxa"/>
          </w:tcPr>
          <w:p w14:paraId="27A26D0A" w14:textId="77777777" w:rsidR="00F8775D" w:rsidRPr="00B32AD7" w:rsidRDefault="00F8775D" w:rsidP="00A11E83">
            <w:pPr>
              <w:pStyle w:val="Compact"/>
              <w:spacing w:line="480" w:lineRule="auto"/>
              <w:jc w:val="both"/>
              <w:rPr>
                <w:b/>
                <w:sz w:val="22"/>
              </w:rPr>
            </w:pPr>
            <w:r w:rsidRPr="00B32AD7">
              <w:rPr>
                <w:b/>
                <w:sz w:val="22"/>
              </w:rPr>
              <w:t>GBP</w:t>
            </w:r>
          </w:p>
        </w:tc>
        <w:tc>
          <w:tcPr>
            <w:tcW w:w="776" w:type="dxa"/>
          </w:tcPr>
          <w:p w14:paraId="1D3DEF8D" w14:textId="77777777" w:rsidR="00F8775D" w:rsidRPr="001219F9" w:rsidRDefault="00F8775D" w:rsidP="00A11E83">
            <w:pPr>
              <w:pStyle w:val="Compact"/>
              <w:spacing w:line="480" w:lineRule="auto"/>
              <w:jc w:val="both"/>
              <w:rPr>
                <w:sz w:val="22"/>
              </w:rPr>
            </w:pPr>
            <w:r w:rsidRPr="001219F9">
              <w:rPr>
                <w:sz w:val="22"/>
              </w:rPr>
              <w:t>194</w:t>
            </w:r>
          </w:p>
        </w:tc>
        <w:tc>
          <w:tcPr>
            <w:tcW w:w="1051" w:type="dxa"/>
          </w:tcPr>
          <w:p w14:paraId="6C1BC2AC" w14:textId="77777777" w:rsidR="00F8775D" w:rsidRPr="001219F9" w:rsidRDefault="00F8775D" w:rsidP="00A11E83">
            <w:pPr>
              <w:pStyle w:val="Compact"/>
              <w:spacing w:line="480" w:lineRule="auto"/>
              <w:jc w:val="both"/>
              <w:rPr>
                <w:sz w:val="22"/>
              </w:rPr>
            </w:pPr>
            <w:r w:rsidRPr="001219F9">
              <w:rPr>
                <w:sz w:val="22"/>
              </w:rPr>
              <w:t>192</w:t>
            </w:r>
          </w:p>
        </w:tc>
        <w:tc>
          <w:tcPr>
            <w:tcW w:w="1276" w:type="dxa"/>
          </w:tcPr>
          <w:p w14:paraId="00082125" w14:textId="77777777" w:rsidR="00F8775D" w:rsidRPr="001219F9" w:rsidRDefault="00F8775D" w:rsidP="00A11E83">
            <w:pPr>
              <w:pStyle w:val="Compact"/>
              <w:spacing w:line="480" w:lineRule="auto"/>
              <w:jc w:val="both"/>
              <w:rPr>
                <w:sz w:val="22"/>
              </w:rPr>
            </w:pPr>
            <w:r w:rsidRPr="001219F9">
              <w:rPr>
                <w:sz w:val="22"/>
              </w:rPr>
              <w:t>64.3</w:t>
            </w:r>
          </w:p>
        </w:tc>
        <w:tc>
          <w:tcPr>
            <w:tcW w:w="1417" w:type="dxa"/>
          </w:tcPr>
          <w:p w14:paraId="52EC480E" w14:textId="77777777" w:rsidR="00F8775D" w:rsidRPr="001219F9" w:rsidRDefault="00F8775D" w:rsidP="00A11E83">
            <w:pPr>
              <w:pStyle w:val="Compact"/>
              <w:spacing w:line="480" w:lineRule="auto"/>
              <w:jc w:val="both"/>
              <w:rPr>
                <w:sz w:val="22"/>
              </w:rPr>
            </w:pPr>
            <w:r w:rsidRPr="001219F9">
              <w:rPr>
                <w:sz w:val="22"/>
              </w:rPr>
              <w:t>14 +/- 15.3</w:t>
            </w:r>
          </w:p>
        </w:tc>
        <w:tc>
          <w:tcPr>
            <w:tcW w:w="1276" w:type="dxa"/>
          </w:tcPr>
          <w:p w14:paraId="4D952318" w14:textId="77777777" w:rsidR="00F8775D" w:rsidRPr="001219F9" w:rsidRDefault="00F8775D" w:rsidP="00A11E83">
            <w:pPr>
              <w:pStyle w:val="Compact"/>
              <w:spacing w:line="480" w:lineRule="auto"/>
              <w:jc w:val="both"/>
              <w:rPr>
                <w:sz w:val="22"/>
              </w:rPr>
            </w:pPr>
            <w:r w:rsidRPr="001219F9">
              <w:rPr>
                <w:sz w:val="22"/>
              </w:rPr>
              <w:t>1800</w:t>
            </w:r>
          </w:p>
        </w:tc>
        <w:tc>
          <w:tcPr>
            <w:tcW w:w="851" w:type="dxa"/>
          </w:tcPr>
          <w:p w14:paraId="6D70274F" w14:textId="77777777" w:rsidR="00F8775D" w:rsidRPr="001219F9" w:rsidRDefault="00F8775D" w:rsidP="00A11E83">
            <w:pPr>
              <w:pStyle w:val="Compact"/>
              <w:spacing w:line="480" w:lineRule="auto"/>
              <w:jc w:val="both"/>
              <w:rPr>
                <w:sz w:val="22"/>
              </w:rPr>
            </w:pPr>
            <w:r w:rsidRPr="001219F9">
              <w:rPr>
                <w:sz w:val="22"/>
              </w:rPr>
              <w:t>8.1</w:t>
            </w:r>
          </w:p>
        </w:tc>
        <w:tc>
          <w:tcPr>
            <w:tcW w:w="850" w:type="dxa"/>
          </w:tcPr>
          <w:p w14:paraId="02A0E881" w14:textId="77777777" w:rsidR="00F8775D" w:rsidRPr="001219F9" w:rsidRDefault="00F8775D" w:rsidP="00A11E83">
            <w:pPr>
              <w:pStyle w:val="Compact"/>
              <w:spacing w:line="480" w:lineRule="auto"/>
              <w:jc w:val="both"/>
              <w:rPr>
                <w:sz w:val="22"/>
              </w:rPr>
            </w:pPr>
            <w:r w:rsidRPr="001219F9">
              <w:rPr>
                <w:sz w:val="22"/>
              </w:rPr>
              <w:t>9.4</w:t>
            </w:r>
          </w:p>
        </w:tc>
        <w:tc>
          <w:tcPr>
            <w:tcW w:w="851" w:type="dxa"/>
          </w:tcPr>
          <w:p w14:paraId="7204586E" w14:textId="77777777" w:rsidR="00F8775D" w:rsidRPr="001219F9" w:rsidRDefault="00F8775D" w:rsidP="00A11E83">
            <w:pPr>
              <w:pStyle w:val="Compact"/>
              <w:spacing w:line="480" w:lineRule="auto"/>
              <w:jc w:val="both"/>
              <w:rPr>
                <w:sz w:val="22"/>
              </w:rPr>
            </w:pPr>
            <w:r w:rsidRPr="001219F9">
              <w:rPr>
                <w:sz w:val="22"/>
              </w:rPr>
              <w:t>82.5</w:t>
            </w:r>
          </w:p>
        </w:tc>
      </w:tr>
      <w:tr w:rsidR="00F8775D" w:rsidRPr="001219F9" w14:paraId="17BD2CAB" w14:textId="77777777" w:rsidTr="00A11E83">
        <w:tc>
          <w:tcPr>
            <w:tcW w:w="690" w:type="dxa"/>
          </w:tcPr>
          <w:p w14:paraId="34259F4E" w14:textId="77777777" w:rsidR="00F8775D" w:rsidRPr="00B32AD7" w:rsidRDefault="00F8775D" w:rsidP="00A11E83">
            <w:pPr>
              <w:pStyle w:val="Compact"/>
              <w:spacing w:line="480" w:lineRule="auto"/>
              <w:jc w:val="both"/>
              <w:rPr>
                <w:b/>
                <w:sz w:val="22"/>
              </w:rPr>
            </w:pPr>
            <w:r w:rsidRPr="00B32AD7">
              <w:rPr>
                <w:b/>
                <w:sz w:val="22"/>
              </w:rPr>
              <w:t>OXC</w:t>
            </w:r>
          </w:p>
        </w:tc>
        <w:tc>
          <w:tcPr>
            <w:tcW w:w="776" w:type="dxa"/>
          </w:tcPr>
          <w:p w14:paraId="225D33A0" w14:textId="77777777" w:rsidR="00F8775D" w:rsidRPr="001219F9" w:rsidRDefault="00F8775D" w:rsidP="00A11E83">
            <w:pPr>
              <w:pStyle w:val="Compact"/>
              <w:spacing w:line="480" w:lineRule="auto"/>
              <w:jc w:val="both"/>
              <w:rPr>
                <w:sz w:val="22"/>
              </w:rPr>
            </w:pPr>
            <w:r w:rsidRPr="001219F9">
              <w:rPr>
                <w:sz w:val="22"/>
              </w:rPr>
              <w:t>141</w:t>
            </w:r>
          </w:p>
        </w:tc>
        <w:tc>
          <w:tcPr>
            <w:tcW w:w="1051" w:type="dxa"/>
          </w:tcPr>
          <w:p w14:paraId="6C92551E" w14:textId="77777777" w:rsidR="00F8775D" w:rsidRPr="001219F9" w:rsidRDefault="00F8775D" w:rsidP="00A11E83">
            <w:pPr>
              <w:pStyle w:val="Compact"/>
              <w:spacing w:line="480" w:lineRule="auto"/>
              <w:jc w:val="both"/>
              <w:rPr>
                <w:sz w:val="22"/>
              </w:rPr>
            </w:pPr>
            <w:r w:rsidRPr="001219F9">
              <w:rPr>
                <w:sz w:val="22"/>
              </w:rPr>
              <w:t>140</w:t>
            </w:r>
          </w:p>
        </w:tc>
        <w:tc>
          <w:tcPr>
            <w:tcW w:w="1276" w:type="dxa"/>
          </w:tcPr>
          <w:p w14:paraId="44D8517D" w14:textId="77777777" w:rsidR="00F8775D" w:rsidRPr="001219F9" w:rsidRDefault="00F8775D" w:rsidP="00A11E83">
            <w:pPr>
              <w:pStyle w:val="Compact"/>
              <w:spacing w:line="480" w:lineRule="auto"/>
              <w:jc w:val="both"/>
              <w:rPr>
                <w:sz w:val="22"/>
              </w:rPr>
            </w:pPr>
            <w:r w:rsidRPr="001219F9">
              <w:rPr>
                <w:sz w:val="22"/>
              </w:rPr>
              <w:t>51.4</w:t>
            </w:r>
          </w:p>
        </w:tc>
        <w:tc>
          <w:tcPr>
            <w:tcW w:w="1417" w:type="dxa"/>
          </w:tcPr>
          <w:p w14:paraId="39BB1056" w14:textId="77777777" w:rsidR="00F8775D" w:rsidRPr="001219F9" w:rsidRDefault="00F8775D" w:rsidP="00A11E83">
            <w:pPr>
              <w:pStyle w:val="Compact"/>
              <w:spacing w:line="480" w:lineRule="auto"/>
              <w:jc w:val="both"/>
              <w:rPr>
                <w:sz w:val="22"/>
              </w:rPr>
            </w:pPr>
            <w:r w:rsidRPr="001219F9">
              <w:rPr>
                <w:sz w:val="22"/>
              </w:rPr>
              <w:t>12 +/- 15</w:t>
            </w:r>
          </w:p>
        </w:tc>
        <w:tc>
          <w:tcPr>
            <w:tcW w:w="1276" w:type="dxa"/>
          </w:tcPr>
          <w:p w14:paraId="586E8A9B" w14:textId="77777777" w:rsidR="00F8775D" w:rsidRPr="001219F9" w:rsidRDefault="00F8775D" w:rsidP="00A11E83">
            <w:pPr>
              <w:pStyle w:val="Compact"/>
              <w:spacing w:line="480" w:lineRule="auto"/>
              <w:jc w:val="both"/>
              <w:rPr>
                <w:sz w:val="22"/>
              </w:rPr>
            </w:pPr>
            <w:r w:rsidRPr="001219F9">
              <w:rPr>
                <w:sz w:val="22"/>
              </w:rPr>
              <w:t>1500</w:t>
            </w:r>
          </w:p>
        </w:tc>
        <w:tc>
          <w:tcPr>
            <w:tcW w:w="851" w:type="dxa"/>
          </w:tcPr>
          <w:p w14:paraId="23C85492" w14:textId="77777777" w:rsidR="00F8775D" w:rsidRPr="001219F9" w:rsidRDefault="00F8775D" w:rsidP="00A11E83">
            <w:pPr>
              <w:pStyle w:val="Compact"/>
              <w:spacing w:line="480" w:lineRule="auto"/>
              <w:jc w:val="both"/>
              <w:rPr>
                <w:sz w:val="22"/>
              </w:rPr>
            </w:pPr>
            <w:r w:rsidRPr="001219F9">
              <w:rPr>
                <w:sz w:val="22"/>
              </w:rPr>
              <w:t>6.9</w:t>
            </w:r>
          </w:p>
        </w:tc>
        <w:tc>
          <w:tcPr>
            <w:tcW w:w="850" w:type="dxa"/>
          </w:tcPr>
          <w:p w14:paraId="57612CF8" w14:textId="77777777" w:rsidR="00F8775D" w:rsidRPr="001219F9" w:rsidRDefault="00F8775D" w:rsidP="00A11E83">
            <w:pPr>
              <w:pStyle w:val="Compact"/>
              <w:spacing w:line="480" w:lineRule="auto"/>
              <w:jc w:val="both"/>
              <w:rPr>
                <w:sz w:val="22"/>
              </w:rPr>
            </w:pPr>
            <w:r w:rsidRPr="001219F9">
              <w:rPr>
                <w:sz w:val="22"/>
              </w:rPr>
              <w:t>11.1</w:t>
            </w:r>
          </w:p>
        </w:tc>
        <w:tc>
          <w:tcPr>
            <w:tcW w:w="851" w:type="dxa"/>
          </w:tcPr>
          <w:p w14:paraId="46070E52" w14:textId="77777777" w:rsidR="00F8775D" w:rsidRPr="001219F9" w:rsidRDefault="00F8775D" w:rsidP="00A11E83">
            <w:pPr>
              <w:pStyle w:val="Compact"/>
              <w:spacing w:line="480" w:lineRule="auto"/>
              <w:jc w:val="both"/>
              <w:rPr>
                <w:sz w:val="22"/>
              </w:rPr>
            </w:pPr>
            <w:r w:rsidRPr="001219F9">
              <w:rPr>
                <w:sz w:val="22"/>
              </w:rPr>
              <w:t>82.0</w:t>
            </w:r>
          </w:p>
        </w:tc>
      </w:tr>
      <w:tr w:rsidR="00F8775D" w:rsidRPr="001219F9" w14:paraId="07D89AD0" w14:textId="77777777" w:rsidTr="00A11E83">
        <w:tc>
          <w:tcPr>
            <w:tcW w:w="690" w:type="dxa"/>
            <w:tcBorders>
              <w:bottom w:val="single" w:sz="4" w:space="0" w:color="auto"/>
            </w:tcBorders>
          </w:tcPr>
          <w:p w14:paraId="4F675D88" w14:textId="77777777" w:rsidR="00F8775D" w:rsidRPr="00B32AD7" w:rsidRDefault="00F8775D" w:rsidP="00A11E83">
            <w:pPr>
              <w:pStyle w:val="Compact"/>
              <w:spacing w:line="480" w:lineRule="auto"/>
              <w:jc w:val="both"/>
              <w:rPr>
                <w:b/>
                <w:sz w:val="22"/>
              </w:rPr>
            </w:pPr>
            <w:r w:rsidRPr="00B32AD7">
              <w:rPr>
                <w:b/>
                <w:sz w:val="22"/>
              </w:rPr>
              <w:t>PGB</w:t>
            </w:r>
          </w:p>
        </w:tc>
        <w:tc>
          <w:tcPr>
            <w:tcW w:w="776" w:type="dxa"/>
            <w:tcBorders>
              <w:bottom w:val="single" w:sz="4" w:space="0" w:color="auto"/>
            </w:tcBorders>
          </w:tcPr>
          <w:p w14:paraId="4B7C1A33" w14:textId="77777777" w:rsidR="00F8775D" w:rsidRPr="001219F9" w:rsidRDefault="00F8775D" w:rsidP="00A11E83">
            <w:pPr>
              <w:pStyle w:val="Compact"/>
              <w:spacing w:line="480" w:lineRule="auto"/>
              <w:jc w:val="both"/>
              <w:rPr>
                <w:sz w:val="22"/>
              </w:rPr>
            </w:pPr>
            <w:r w:rsidRPr="001219F9">
              <w:rPr>
                <w:sz w:val="22"/>
              </w:rPr>
              <w:t>73</w:t>
            </w:r>
          </w:p>
        </w:tc>
        <w:tc>
          <w:tcPr>
            <w:tcW w:w="1051" w:type="dxa"/>
            <w:tcBorders>
              <w:bottom w:val="single" w:sz="4" w:space="0" w:color="auto"/>
            </w:tcBorders>
          </w:tcPr>
          <w:p w14:paraId="7305F0AA" w14:textId="77777777" w:rsidR="00F8775D" w:rsidRPr="001219F9" w:rsidRDefault="00F8775D" w:rsidP="00A11E83">
            <w:pPr>
              <w:pStyle w:val="Compact"/>
              <w:spacing w:line="480" w:lineRule="auto"/>
              <w:jc w:val="both"/>
              <w:rPr>
                <w:sz w:val="22"/>
              </w:rPr>
            </w:pPr>
            <w:r w:rsidRPr="001219F9">
              <w:rPr>
                <w:sz w:val="22"/>
              </w:rPr>
              <w:t>73</w:t>
            </w:r>
          </w:p>
        </w:tc>
        <w:tc>
          <w:tcPr>
            <w:tcW w:w="1276" w:type="dxa"/>
            <w:tcBorders>
              <w:bottom w:val="single" w:sz="4" w:space="0" w:color="auto"/>
            </w:tcBorders>
          </w:tcPr>
          <w:p w14:paraId="45EE974E" w14:textId="77777777" w:rsidR="00F8775D" w:rsidRPr="001219F9" w:rsidRDefault="00F8775D" w:rsidP="00A11E83">
            <w:pPr>
              <w:pStyle w:val="Compact"/>
              <w:spacing w:line="480" w:lineRule="auto"/>
              <w:jc w:val="both"/>
              <w:rPr>
                <w:sz w:val="22"/>
              </w:rPr>
            </w:pPr>
            <w:r w:rsidRPr="001219F9">
              <w:rPr>
                <w:sz w:val="22"/>
              </w:rPr>
              <w:t>40.0</w:t>
            </w:r>
          </w:p>
        </w:tc>
        <w:tc>
          <w:tcPr>
            <w:tcW w:w="1417" w:type="dxa"/>
            <w:tcBorders>
              <w:bottom w:val="single" w:sz="4" w:space="0" w:color="auto"/>
            </w:tcBorders>
          </w:tcPr>
          <w:p w14:paraId="6D2F543D" w14:textId="77777777" w:rsidR="00F8775D" w:rsidRPr="001219F9" w:rsidRDefault="00F8775D" w:rsidP="00A11E83">
            <w:pPr>
              <w:pStyle w:val="Compact"/>
              <w:spacing w:line="480" w:lineRule="auto"/>
              <w:jc w:val="both"/>
              <w:rPr>
                <w:sz w:val="22"/>
              </w:rPr>
            </w:pPr>
            <w:r w:rsidRPr="001219F9">
              <w:rPr>
                <w:sz w:val="22"/>
              </w:rPr>
              <w:t>10 +/- 9.8</w:t>
            </w:r>
          </w:p>
        </w:tc>
        <w:tc>
          <w:tcPr>
            <w:tcW w:w="1276" w:type="dxa"/>
            <w:tcBorders>
              <w:bottom w:val="single" w:sz="4" w:space="0" w:color="auto"/>
            </w:tcBorders>
          </w:tcPr>
          <w:p w14:paraId="4BBF9E3F" w14:textId="77777777" w:rsidR="00F8775D" w:rsidRPr="001219F9" w:rsidRDefault="00F8775D" w:rsidP="00A11E83">
            <w:pPr>
              <w:pStyle w:val="Compact"/>
              <w:spacing w:line="480" w:lineRule="auto"/>
              <w:jc w:val="both"/>
              <w:rPr>
                <w:sz w:val="22"/>
              </w:rPr>
            </w:pPr>
            <w:r w:rsidRPr="001219F9">
              <w:rPr>
                <w:sz w:val="22"/>
              </w:rPr>
              <w:t>300</w:t>
            </w:r>
          </w:p>
        </w:tc>
        <w:tc>
          <w:tcPr>
            <w:tcW w:w="851" w:type="dxa"/>
            <w:tcBorders>
              <w:bottom w:val="single" w:sz="4" w:space="0" w:color="auto"/>
            </w:tcBorders>
          </w:tcPr>
          <w:p w14:paraId="1126BAEB" w14:textId="77777777" w:rsidR="00F8775D" w:rsidRPr="001219F9" w:rsidRDefault="00F8775D" w:rsidP="00A11E83">
            <w:pPr>
              <w:pStyle w:val="Compact"/>
              <w:spacing w:line="480" w:lineRule="auto"/>
              <w:jc w:val="both"/>
              <w:rPr>
                <w:sz w:val="22"/>
              </w:rPr>
            </w:pPr>
            <w:r w:rsidRPr="001219F9">
              <w:rPr>
                <w:sz w:val="22"/>
              </w:rPr>
              <w:t>1.6</w:t>
            </w:r>
          </w:p>
        </w:tc>
        <w:tc>
          <w:tcPr>
            <w:tcW w:w="850" w:type="dxa"/>
            <w:tcBorders>
              <w:bottom w:val="single" w:sz="4" w:space="0" w:color="auto"/>
            </w:tcBorders>
          </w:tcPr>
          <w:p w14:paraId="15DD8FA8" w14:textId="77777777" w:rsidR="00F8775D" w:rsidRPr="001219F9" w:rsidRDefault="00F8775D" w:rsidP="00A11E83">
            <w:pPr>
              <w:pStyle w:val="Compact"/>
              <w:spacing w:line="480" w:lineRule="auto"/>
              <w:jc w:val="both"/>
              <w:rPr>
                <w:sz w:val="22"/>
              </w:rPr>
            </w:pPr>
            <w:r w:rsidRPr="001219F9">
              <w:rPr>
                <w:sz w:val="22"/>
              </w:rPr>
              <w:t>6.3</w:t>
            </w:r>
          </w:p>
        </w:tc>
        <w:tc>
          <w:tcPr>
            <w:tcW w:w="851" w:type="dxa"/>
            <w:tcBorders>
              <w:bottom w:val="single" w:sz="4" w:space="0" w:color="auto"/>
            </w:tcBorders>
          </w:tcPr>
          <w:p w14:paraId="6FDCE20A" w14:textId="77777777" w:rsidR="00F8775D" w:rsidRPr="001219F9" w:rsidRDefault="00F8775D" w:rsidP="00A11E83">
            <w:pPr>
              <w:pStyle w:val="Compact"/>
              <w:spacing w:line="480" w:lineRule="auto"/>
              <w:jc w:val="both"/>
              <w:rPr>
                <w:sz w:val="22"/>
              </w:rPr>
            </w:pPr>
            <w:r w:rsidRPr="001219F9">
              <w:rPr>
                <w:sz w:val="22"/>
              </w:rPr>
              <w:t>92.1</w:t>
            </w:r>
          </w:p>
        </w:tc>
      </w:tr>
    </w:tbl>
    <w:p w14:paraId="1BB7D6BC" w14:textId="77777777" w:rsidR="00F8775D" w:rsidRPr="001219F9" w:rsidRDefault="00F8775D" w:rsidP="00F8775D">
      <w:pPr>
        <w:pStyle w:val="BodyText"/>
        <w:spacing w:line="480" w:lineRule="auto"/>
        <w:jc w:val="both"/>
      </w:pPr>
      <w:r w:rsidRPr="001219F9">
        <w:t xml:space="preserve">Abbreviations: AED, antiepileptic drug; MAD, median absolute deviation; CBZ, carbamazepine; CLB, </w:t>
      </w:r>
      <w:proofErr w:type="spellStart"/>
      <w:r w:rsidRPr="001219F9">
        <w:t>clobazam</w:t>
      </w:r>
      <w:proofErr w:type="spellEnd"/>
      <w:r w:rsidRPr="001219F9">
        <w:t xml:space="preserve">; GBP, gabapentin; LEV, </w:t>
      </w:r>
      <w:proofErr w:type="spellStart"/>
      <w:r w:rsidRPr="001219F9">
        <w:t>levetiracetam</w:t>
      </w:r>
      <w:proofErr w:type="spellEnd"/>
      <w:r w:rsidRPr="001219F9">
        <w:t xml:space="preserve">; LTG, lamotrigine; OXC, oxcarbazepine; PGB, </w:t>
      </w:r>
      <w:proofErr w:type="spellStart"/>
      <w:r w:rsidRPr="001219F9">
        <w:t>pregabalin</w:t>
      </w:r>
      <w:proofErr w:type="spellEnd"/>
      <w:r w:rsidRPr="001219F9">
        <w:t xml:space="preserve">; TPM, </w:t>
      </w:r>
      <w:proofErr w:type="spellStart"/>
      <w:r w:rsidRPr="001219F9">
        <w:t>topiramate</w:t>
      </w:r>
      <w:proofErr w:type="spellEnd"/>
      <w:r w:rsidRPr="001219F9">
        <w:t xml:space="preserve">; VGB, </w:t>
      </w:r>
      <w:proofErr w:type="spellStart"/>
      <w:r w:rsidRPr="001219F9">
        <w:t>vigabatrin</w:t>
      </w:r>
      <w:proofErr w:type="spellEnd"/>
      <w:r w:rsidRPr="001219F9">
        <w:t>; VPA, valproate. AED 1 means that the AED in question was the first AED used etc.</w:t>
      </w:r>
    </w:p>
    <w:p w14:paraId="33D97F6B" w14:textId="11D51DD1" w:rsidR="00F8775D" w:rsidRPr="001219F9" w:rsidRDefault="00F8775D" w:rsidP="00F8775D">
      <w:pPr>
        <w:pStyle w:val="BodyText"/>
        <w:spacing w:line="480" w:lineRule="auto"/>
        <w:jc w:val="both"/>
      </w:pPr>
      <w:r w:rsidRPr="001219F9">
        <w:rPr>
          <w:b/>
        </w:rPr>
        <w:lastRenderedPageBreak/>
        <w:t>Table 3.</w:t>
      </w:r>
      <w:r w:rsidRPr="001219F9">
        <w:t xml:space="preserve"> </w:t>
      </w:r>
      <w:proofErr w:type="gramStart"/>
      <w:r w:rsidRPr="001219F9">
        <w:t xml:space="preserve">AED </w:t>
      </w:r>
      <w:r w:rsidR="000C610E">
        <w:t>outcome</w:t>
      </w:r>
      <w:r w:rsidR="000C610E" w:rsidRPr="001219F9">
        <w:t xml:space="preserve"> </w:t>
      </w:r>
      <w:r w:rsidRPr="001219F9">
        <w:t>summary.</w:t>
      </w:r>
      <w:proofErr w:type="gramEnd"/>
    </w:p>
    <w:tbl>
      <w:tblPr>
        <w:tblW w:w="5000" w:type="pct"/>
        <w:tblInd w:w="-176" w:type="dxa"/>
        <w:tblLayout w:type="fixed"/>
        <w:tblLook w:val="07E0" w:firstRow="1" w:lastRow="1" w:firstColumn="1" w:lastColumn="1" w:noHBand="1" w:noVBand="1"/>
      </w:tblPr>
      <w:tblGrid>
        <w:gridCol w:w="866"/>
        <w:gridCol w:w="123"/>
        <w:gridCol w:w="1406"/>
        <w:gridCol w:w="1824"/>
        <w:gridCol w:w="1546"/>
        <w:gridCol w:w="1686"/>
        <w:gridCol w:w="1405"/>
      </w:tblGrid>
      <w:tr w:rsidR="00F8775D" w:rsidRPr="001219F9" w14:paraId="7840CAD7" w14:textId="77777777" w:rsidTr="00951833">
        <w:tc>
          <w:tcPr>
            <w:tcW w:w="872" w:type="dxa"/>
            <w:tcBorders>
              <w:bottom w:val="single" w:sz="0" w:space="0" w:color="auto"/>
            </w:tcBorders>
            <w:vAlign w:val="bottom"/>
          </w:tcPr>
          <w:p w14:paraId="39F9F048" w14:textId="77777777" w:rsidR="00F8775D" w:rsidRPr="00B32AD7" w:rsidRDefault="00F8775D" w:rsidP="00A11E83">
            <w:pPr>
              <w:pStyle w:val="Compact"/>
              <w:spacing w:line="480" w:lineRule="auto"/>
              <w:jc w:val="both"/>
              <w:rPr>
                <w:b/>
              </w:rPr>
            </w:pPr>
            <w:r w:rsidRPr="00B32AD7">
              <w:rPr>
                <w:b/>
              </w:rPr>
              <w:t>AED</w:t>
            </w:r>
          </w:p>
        </w:tc>
        <w:tc>
          <w:tcPr>
            <w:tcW w:w="1542" w:type="dxa"/>
            <w:gridSpan w:val="2"/>
            <w:tcBorders>
              <w:bottom w:val="single" w:sz="0" w:space="0" w:color="auto"/>
            </w:tcBorders>
            <w:vAlign w:val="bottom"/>
          </w:tcPr>
          <w:p w14:paraId="4483CDC7" w14:textId="77777777" w:rsidR="00F8775D" w:rsidRPr="00B32AD7" w:rsidRDefault="00F8775D" w:rsidP="00A11E83">
            <w:pPr>
              <w:pStyle w:val="Compact"/>
              <w:spacing w:line="480" w:lineRule="auto"/>
              <w:jc w:val="both"/>
              <w:rPr>
                <w:b/>
              </w:rPr>
            </w:pPr>
            <w:r w:rsidRPr="00B32AD7">
              <w:rPr>
                <w:b/>
              </w:rPr>
              <w:t>No of trials</w:t>
            </w:r>
          </w:p>
        </w:tc>
        <w:tc>
          <w:tcPr>
            <w:tcW w:w="1840" w:type="dxa"/>
            <w:tcBorders>
              <w:bottom w:val="single" w:sz="0" w:space="0" w:color="auto"/>
            </w:tcBorders>
            <w:vAlign w:val="bottom"/>
          </w:tcPr>
          <w:p w14:paraId="0F7A1A0C" w14:textId="77777777" w:rsidR="00F8775D" w:rsidRPr="00B32AD7" w:rsidRDefault="00F8775D" w:rsidP="00A11E83">
            <w:pPr>
              <w:pStyle w:val="Compact"/>
              <w:spacing w:line="480" w:lineRule="auto"/>
              <w:jc w:val="both"/>
              <w:rPr>
                <w:b/>
              </w:rPr>
            </w:pPr>
            <w:r w:rsidRPr="00B32AD7">
              <w:rPr>
                <w:b/>
              </w:rPr>
              <w:t>Response (%)</w:t>
            </w:r>
          </w:p>
        </w:tc>
        <w:tc>
          <w:tcPr>
            <w:tcW w:w="1559" w:type="dxa"/>
            <w:tcBorders>
              <w:bottom w:val="single" w:sz="0" w:space="0" w:color="auto"/>
            </w:tcBorders>
            <w:vAlign w:val="bottom"/>
          </w:tcPr>
          <w:p w14:paraId="5A45EE2A" w14:textId="77777777" w:rsidR="00F8775D" w:rsidRPr="00B32AD7" w:rsidRDefault="00F8775D" w:rsidP="00A11E83">
            <w:pPr>
              <w:pStyle w:val="Compact"/>
              <w:spacing w:line="480" w:lineRule="auto"/>
              <w:jc w:val="both"/>
              <w:rPr>
                <w:b/>
              </w:rPr>
            </w:pPr>
            <w:r w:rsidRPr="00B32AD7">
              <w:rPr>
                <w:b/>
              </w:rPr>
              <w:t>Failure (%)</w:t>
            </w:r>
          </w:p>
        </w:tc>
        <w:tc>
          <w:tcPr>
            <w:tcW w:w="1701" w:type="dxa"/>
            <w:tcBorders>
              <w:bottom w:val="single" w:sz="0" w:space="0" w:color="auto"/>
            </w:tcBorders>
            <w:vAlign w:val="bottom"/>
          </w:tcPr>
          <w:p w14:paraId="47CE96C0" w14:textId="77777777" w:rsidR="00F8775D" w:rsidRPr="00B32AD7" w:rsidRDefault="00F8775D" w:rsidP="00A11E83">
            <w:pPr>
              <w:pStyle w:val="Compact"/>
              <w:spacing w:line="480" w:lineRule="auto"/>
              <w:jc w:val="both"/>
              <w:rPr>
                <w:b/>
              </w:rPr>
            </w:pPr>
            <w:r w:rsidRPr="00B32AD7">
              <w:rPr>
                <w:b/>
              </w:rPr>
              <w:t>Unclassified</w:t>
            </w:r>
          </w:p>
        </w:tc>
        <w:tc>
          <w:tcPr>
            <w:tcW w:w="1417" w:type="dxa"/>
            <w:tcBorders>
              <w:bottom w:val="single" w:sz="0" w:space="0" w:color="auto"/>
            </w:tcBorders>
            <w:vAlign w:val="bottom"/>
          </w:tcPr>
          <w:p w14:paraId="5B7A2741" w14:textId="77777777" w:rsidR="00F8775D" w:rsidRPr="00B32AD7" w:rsidRDefault="00F8775D" w:rsidP="00A11E83">
            <w:pPr>
              <w:pStyle w:val="Compact"/>
              <w:spacing w:line="480" w:lineRule="auto"/>
              <w:jc w:val="both"/>
              <w:rPr>
                <w:b/>
              </w:rPr>
            </w:pPr>
            <w:r w:rsidRPr="00B32AD7">
              <w:rPr>
                <w:b/>
              </w:rPr>
              <w:t>Unknown</w:t>
            </w:r>
          </w:p>
        </w:tc>
      </w:tr>
      <w:tr w:rsidR="00F8775D" w:rsidRPr="001219F9" w14:paraId="4663FE33" w14:textId="77777777" w:rsidTr="00951833">
        <w:tc>
          <w:tcPr>
            <w:tcW w:w="996" w:type="dxa"/>
            <w:gridSpan w:val="2"/>
          </w:tcPr>
          <w:p w14:paraId="68B29F53" w14:textId="77777777" w:rsidR="00F8775D" w:rsidRPr="00B32AD7" w:rsidRDefault="00F8775D" w:rsidP="00A11E83">
            <w:pPr>
              <w:pStyle w:val="Compact"/>
              <w:spacing w:line="480" w:lineRule="auto"/>
              <w:jc w:val="both"/>
              <w:rPr>
                <w:b/>
              </w:rPr>
            </w:pPr>
            <w:r w:rsidRPr="00B32AD7">
              <w:rPr>
                <w:b/>
              </w:rPr>
              <w:t>CBZ</w:t>
            </w:r>
          </w:p>
        </w:tc>
        <w:tc>
          <w:tcPr>
            <w:tcW w:w="1418" w:type="dxa"/>
          </w:tcPr>
          <w:p w14:paraId="279731B5" w14:textId="77777777" w:rsidR="00F8775D" w:rsidRPr="001219F9" w:rsidRDefault="00F8775D" w:rsidP="00A11E83">
            <w:pPr>
              <w:pStyle w:val="Compact"/>
              <w:spacing w:line="480" w:lineRule="auto"/>
              <w:jc w:val="both"/>
            </w:pPr>
            <w:r w:rsidRPr="001219F9">
              <w:t>659</w:t>
            </w:r>
          </w:p>
        </w:tc>
        <w:tc>
          <w:tcPr>
            <w:tcW w:w="1840" w:type="dxa"/>
          </w:tcPr>
          <w:p w14:paraId="6E5ABE93" w14:textId="77777777" w:rsidR="00F8775D" w:rsidRPr="001219F9" w:rsidRDefault="00F8775D" w:rsidP="00A11E83">
            <w:pPr>
              <w:pStyle w:val="Compact"/>
              <w:spacing w:line="480" w:lineRule="auto"/>
              <w:jc w:val="both"/>
            </w:pPr>
            <w:r w:rsidRPr="001219F9">
              <w:t>27 (11)</w:t>
            </w:r>
          </w:p>
        </w:tc>
        <w:tc>
          <w:tcPr>
            <w:tcW w:w="1559" w:type="dxa"/>
          </w:tcPr>
          <w:p w14:paraId="2A4DF4BB" w14:textId="77777777" w:rsidR="00F8775D" w:rsidRPr="001219F9" w:rsidRDefault="00F8775D" w:rsidP="00A11E83">
            <w:pPr>
              <w:pStyle w:val="Compact"/>
              <w:spacing w:line="480" w:lineRule="auto"/>
              <w:jc w:val="both"/>
            </w:pPr>
            <w:r w:rsidRPr="001219F9">
              <w:t>130 (52.8)</w:t>
            </w:r>
          </w:p>
        </w:tc>
        <w:tc>
          <w:tcPr>
            <w:tcW w:w="1701" w:type="dxa"/>
          </w:tcPr>
          <w:p w14:paraId="0BB26FFF" w14:textId="77777777" w:rsidR="00F8775D" w:rsidRPr="001219F9" w:rsidRDefault="00F8775D" w:rsidP="00A11E83">
            <w:pPr>
              <w:pStyle w:val="Compact"/>
              <w:spacing w:line="480" w:lineRule="auto"/>
              <w:jc w:val="both"/>
            </w:pPr>
            <w:r w:rsidRPr="001219F9">
              <w:t>89</w:t>
            </w:r>
          </w:p>
        </w:tc>
        <w:tc>
          <w:tcPr>
            <w:tcW w:w="1417" w:type="dxa"/>
          </w:tcPr>
          <w:p w14:paraId="577F36BE" w14:textId="77777777" w:rsidR="00F8775D" w:rsidRPr="001219F9" w:rsidRDefault="00F8775D" w:rsidP="00A11E83">
            <w:pPr>
              <w:pStyle w:val="Compact"/>
              <w:spacing w:line="480" w:lineRule="auto"/>
              <w:jc w:val="both"/>
            </w:pPr>
            <w:r w:rsidRPr="001219F9">
              <w:t>413</w:t>
            </w:r>
          </w:p>
        </w:tc>
      </w:tr>
      <w:tr w:rsidR="00F8775D" w:rsidRPr="001219F9" w14:paraId="6A23C8BC" w14:textId="77777777" w:rsidTr="00951833">
        <w:tc>
          <w:tcPr>
            <w:tcW w:w="996" w:type="dxa"/>
            <w:gridSpan w:val="2"/>
          </w:tcPr>
          <w:p w14:paraId="051BC8F1" w14:textId="77777777" w:rsidR="00F8775D" w:rsidRPr="00B32AD7" w:rsidRDefault="00F8775D" w:rsidP="00A11E83">
            <w:pPr>
              <w:pStyle w:val="Compact"/>
              <w:spacing w:line="480" w:lineRule="auto"/>
              <w:jc w:val="both"/>
              <w:rPr>
                <w:b/>
              </w:rPr>
            </w:pPr>
            <w:r w:rsidRPr="00B32AD7">
              <w:rPr>
                <w:b/>
              </w:rPr>
              <w:t>VPA</w:t>
            </w:r>
          </w:p>
        </w:tc>
        <w:tc>
          <w:tcPr>
            <w:tcW w:w="1418" w:type="dxa"/>
          </w:tcPr>
          <w:p w14:paraId="15F873EF" w14:textId="77777777" w:rsidR="00F8775D" w:rsidRPr="001219F9" w:rsidRDefault="00F8775D" w:rsidP="00A11E83">
            <w:pPr>
              <w:pStyle w:val="Compact"/>
              <w:spacing w:line="480" w:lineRule="auto"/>
              <w:jc w:val="both"/>
            </w:pPr>
            <w:r w:rsidRPr="001219F9">
              <w:t>508</w:t>
            </w:r>
          </w:p>
        </w:tc>
        <w:tc>
          <w:tcPr>
            <w:tcW w:w="1840" w:type="dxa"/>
          </w:tcPr>
          <w:p w14:paraId="77845C02" w14:textId="77777777" w:rsidR="00F8775D" w:rsidRPr="001219F9" w:rsidRDefault="00F8775D" w:rsidP="00A11E83">
            <w:pPr>
              <w:pStyle w:val="Compact"/>
              <w:spacing w:line="480" w:lineRule="auto"/>
              <w:jc w:val="both"/>
            </w:pPr>
            <w:r w:rsidRPr="001219F9">
              <w:t>15 (7.9)</w:t>
            </w:r>
          </w:p>
        </w:tc>
        <w:tc>
          <w:tcPr>
            <w:tcW w:w="1559" w:type="dxa"/>
          </w:tcPr>
          <w:p w14:paraId="2BCA9DCE" w14:textId="77777777" w:rsidR="00F8775D" w:rsidRPr="001219F9" w:rsidRDefault="00F8775D" w:rsidP="00A11E83">
            <w:pPr>
              <w:pStyle w:val="Compact"/>
              <w:spacing w:line="480" w:lineRule="auto"/>
              <w:jc w:val="both"/>
            </w:pPr>
            <w:r w:rsidRPr="001219F9">
              <w:t>112 (59.3)</w:t>
            </w:r>
          </w:p>
        </w:tc>
        <w:tc>
          <w:tcPr>
            <w:tcW w:w="1701" w:type="dxa"/>
          </w:tcPr>
          <w:p w14:paraId="1714C307" w14:textId="77777777" w:rsidR="00F8775D" w:rsidRPr="001219F9" w:rsidRDefault="00F8775D" w:rsidP="00A11E83">
            <w:pPr>
              <w:pStyle w:val="Compact"/>
              <w:spacing w:line="480" w:lineRule="auto"/>
              <w:jc w:val="both"/>
            </w:pPr>
            <w:r w:rsidRPr="001219F9">
              <w:t>62</w:t>
            </w:r>
          </w:p>
        </w:tc>
        <w:tc>
          <w:tcPr>
            <w:tcW w:w="1417" w:type="dxa"/>
          </w:tcPr>
          <w:p w14:paraId="128A9932" w14:textId="77777777" w:rsidR="00F8775D" w:rsidRPr="001219F9" w:rsidRDefault="00F8775D" w:rsidP="00A11E83">
            <w:pPr>
              <w:pStyle w:val="Compact"/>
              <w:spacing w:line="480" w:lineRule="auto"/>
              <w:jc w:val="both"/>
            </w:pPr>
            <w:r w:rsidRPr="001219F9">
              <w:t>319</w:t>
            </w:r>
          </w:p>
        </w:tc>
      </w:tr>
      <w:tr w:rsidR="00F8775D" w:rsidRPr="001219F9" w14:paraId="6B86B5F1" w14:textId="77777777" w:rsidTr="00951833">
        <w:tc>
          <w:tcPr>
            <w:tcW w:w="996" w:type="dxa"/>
            <w:gridSpan w:val="2"/>
          </w:tcPr>
          <w:p w14:paraId="79D8CFA0" w14:textId="77777777" w:rsidR="00F8775D" w:rsidRPr="00B32AD7" w:rsidRDefault="00F8775D" w:rsidP="00A11E83">
            <w:pPr>
              <w:pStyle w:val="Compact"/>
              <w:spacing w:line="480" w:lineRule="auto"/>
              <w:jc w:val="both"/>
              <w:rPr>
                <w:b/>
              </w:rPr>
            </w:pPr>
            <w:r w:rsidRPr="00B32AD7">
              <w:rPr>
                <w:b/>
              </w:rPr>
              <w:t>LTG</w:t>
            </w:r>
          </w:p>
        </w:tc>
        <w:tc>
          <w:tcPr>
            <w:tcW w:w="1418" w:type="dxa"/>
          </w:tcPr>
          <w:p w14:paraId="0DA22C95" w14:textId="77777777" w:rsidR="00F8775D" w:rsidRPr="001219F9" w:rsidRDefault="00F8775D" w:rsidP="00A11E83">
            <w:pPr>
              <w:pStyle w:val="Compact"/>
              <w:spacing w:line="480" w:lineRule="auto"/>
              <w:jc w:val="both"/>
            </w:pPr>
            <w:r w:rsidRPr="001219F9">
              <w:t>467</w:t>
            </w:r>
          </w:p>
        </w:tc>
        <w:tc>
          <w:tcPr>
            <w:tcW w:w="1840" w:type="dxa"/>
          </w:tcPr>
          <w:p w14:paraId="2195028F" w14:textId="77777777" w:rsidR="00F8775D" w:rsidRPr="001219F9" w:rsidRDefault="00F8775D" w:rsidP="00A11E83">
            <w:pPr>
              <w:pStyle w:val="Compact"/>
              <w:spacing w:line="480" w:lineRule="auto"/>
              <w:jc w:val="both"/>
            </w:pPr>
            <w:r w:rsidRPr="001219F9">
              <w:t>12 (5.4)</w:t>
            </w:r>
          </w:p>
        </w:tc>
        <w:tc>
          <w:tcPr>
            <w:tcW w:w="1559" w:type="dxa"/>
          </w:tcPr>
          <w:p w14:paraId="6C8FE4CA" w14:textId="77777777" w:rsidR="00F8775D" w:rsidRPr="001219F9" w:rsidRDefault="00F8775D" w:rsidP="00A11E83">
            <w:pPr>
              <w:pStyle w:val="Compact"/>
              <w:spacing w:line="480" w:lineRule="auto"/>
              <w:jc w:val="both"/>
            </w:pPr>
            <w:r w:rsidRPr="001219F9">
              <w:t>121 (54.5)</w:t>
            </w:r>
          </w:p>
        </w:tc>
        <w:tc>
          <w:tcPr>
            <w:tcW w:w="1701" w:type="dxa"/>
          </w:tcPr>
          <w:p w14:paraId="6749061A" w14:textId="77777777" w:rsidR="00F8775D" w:rsidRPr="001219F9" w:rsidRDefault="00F8775D" w:rsidP="00A11E83">
            <w:pPr>
              <w:pStyle w:val="Compact"/>
              <w:spacing w:line="480" w:lineRule="auto"/>
              <w:jc w:val="both"/>
            </w:pPr>
            <w:r w:rsidRPr="001219F9">
              <w:t>89</w:t>
            </w:r>
          </w:p>
        </w:tc>
        <w:tc>
          <w:tcPr>
            <w:tcW w:w="1417" w:type="dxa"/>
          </w:tcPr>
          <w:p w14:paraId="777C02DC" w14:textId="77777777" w:rsidR="00F8775D" w:rsidRPr="001219F9" w:rsidRDefault="00F8775D" w:rsidP="00A11E83">
            <w:pPr>
              <w:pStyle w:val="Compact"/>
              <w:spacing w:line="480" w:lineRule="auto"/>
              <w:jc w:val="both"/>
            </w:pPr>
            <w:r w:rsidRPr="001219F9">
              <w:t>245</w:t>
            </w:r>
          </w:p>
        </w:tc>
      </w:tr>
      <w:tr w:rsidR="00F8775D" w:rsidRPr="001219F9" w14:paraId="297A6018" w14:textId="77777777" w:rsidTr="00951833">
        <w:tc>
          <w:tcPr>
            <w:tcW w:w="996" w:type="dxa"/>
            <w:gridSpan w:val="2"/>
          </w:tcPr>
          <w:p w14:paraId="29FEE0B4" w14:textId="77777777" w:rsidR="00F8775D" w:rsidRPr="00B32AD7" w:rsidRDefault="00F8775D" w:rsidP="00A11E83">
            <w:pPr>
              <w:pStyle w:val="Compact"/>
              <w:spacing w:line="480" w:lineRule="auto"/>
              <w:jc w:val="both"/>
              <w:rPr>
                <w:b/>
              </w:rPr>
            </w:pPr>
            <w:r w:rsidRPr="00B32AD7">
              <w:rPr>
                <w:b/>
              </w:rPr>
              <w:t>LEV</w:t>
            </w:r>
          </w:p>
        </w:tc>
        <w:tc>
          <w:tcPr>
            <w:tcW w:w="1418" w:type="dxa"/>
          </w:tcPr>
          <w:p w14:paraId="31FF2080" w14:textId="77777777" w:rsidR="00F8775D" w:rsidRPr="001219F9" w:rsidRDefault="00F8775D" w:rsidP="00A11E83">
            <w:pPr>
              <w:pStyle w:val="Compact"/>
              <w:spacing w:line="480" w:lineRule="auto"/>
              <w:jc w:val="both"/>
            </w:pPr>
            <w:r w:rsidRPr="001219F9">
              <w:t>431</w:t>
            </w:r>
          </w:p>
        </w:tc>
        <w:tc>
          <w:tcPr>
            <w:tcW w:w="1840" w:type="dxa"/>
          </w:tcPr>
          <w:p w14:paraId="238E9070" w14:textId="77777777" w:rsidR="00F8775D" w:rsidRPr="001219F9" w:rsidRDefault="00F8775D" w:rsidP="00A11E83">
            <w:pPr>
              <w:pStyle w:val="Compact"/>
              <w:spacing w:line="480" w:lineRule="auto"/>
              <w:jc w:val="both"/>
            </w:pPr>
            <w:r w:rsidRPr="001219F9">
              <w:t>24 (9.2)</w:t>
            </w:r>
          </w:p>
        </w:tc>
        <w:tc>
          <w:tcPr>
            <w:tcW w:w="1559" w:type="dxa"/>
          </w:tcPr>
          <w:p w14:paraId="2F47EC89" w14:textId="77777777" w:rsidR="00F8775D" w:rsidRPr="001219F9" w:rsidRDefault="00F8775D" w:rsidP="00A11E83">
            <w:pPr>
              <w:pStyle w:val="Compact"/>
              <w:spacing w:line="480" w:lineRule="auto"/>
              <w:jc w:val="both"/>
            </w:pPr>
            <w:r w:rsidRPr="001219F9">
              <w:t>147 (56.5)</w:t>
            </w:r>
          </w:p>
        </w:tc>
        <w:tc>
          <w:tcPr>
            <w:tcW w:w="1701" w:type="dxa"/>
          </w:tcPr>
          <w:p w14:paraId="754A010F" w14:textId="77777777" w:rsidR="00F8775D" w:rsidRPr="001219F9" w:rsidRDefault="00F8775D" w:rsidP="00A11E83">
            <w:pPr>
              <w:pStyle w:val="Compact"/>
              <w:spacing w:line="480" w:lineRule="auto"/>
              <w:jc w:val="both"/>
            </w:pPr>
            <w:r w:rsidRPr="001219F9">
              <w:t>89</w:t>
            </w:r>
          </w:p>
        </w:tc>
        <w:tc>
          <w:tcPr>
            <w:tcW w:w="1417" w:type="dxa"/>
          </w:tcPr>
          <w:p w14:paraId="33178C9E" w14:textId="77777777" w:rsidR="00F8775D" w:rsidRPr="001219F9" w:rsidRDefault="00F8775D" w:rsidP="00A11E83">
            <w:pPr>
              <w:pStyle w:val="Compact"/>
              <w:spacing w:line="480" w:lineRule="auto"/>
              <w:jc w:val="both"/>
            </w:pPr>
            <w:r w:rsidRPr="001219F9">
              <w:t>171</w:t>
            </w:r>
          </w:p>
        </w:tc>
      </w:tr>
      <w:tr w:rsidR="00F8775D" w:rsidRPr="001219F9" w14:paraId="1887C5A4" w14:textId="77777777" w:rsidTr="00951833">
        <w:tc>
          <w:tcPr>
            <w:tcW w:w="996" w:type="dxa"/>
            <w:gridSpan w:val="2"/>
          </w:tcPr>
          <w:p w14:paraId="56C53243" w14:textId="77777777" w:rsidR="00F8775D" w:rsidRPr="00B32AD7" w:rsidRDefault="00F8775D" w:rsidP="00A11E83">
            <w:pPr>
              <w:pStyle w:val="Compact"/>
              <w:spacing w:line="480" w:lineRule="auto"/>
              <w:jc w:val="both"/>
              <w:rPr>
                <w:b/>
              </w:rPr>
            </w:pPr>
            <w:r w:rsidRPr="00B32AD7">
              <w:rPr>
                <w:b/>
              </w:rPr>
              <w:t>TPM</w:t>
            </w:r>
          </w:p>
        </w:tc>
        <w:tc>
          <w:tcPr>
            <w:tcW w:w="1418" w:type="dxa"/>
          </w:tcPr>
          <w:p w14:paraId="6626215C" w14:textId="77777777" w:rsidR="00F8775D" w:rsidRPr="001219F9" w:rsidRDefault="00F8775D" w:rsidP="00A11E83">
            <w:pPr>
              <w:pStyle w:val="Compact"/>
              <w:spacing w:line="480" w:lineRule="auto"/>
              <w:jc w:val="both"/>
            </w:pPr>
            <w:r w:rsidRPr="001219F9">
              <w:t>308</w:t>
            </w:r>
          </w:p>
        </w:tc>
        <w:tc>
          <w:tcPr>
            <w:tcW w:w="1840" w:type="dxa"/>
          </w:tcPr>
          <w:p w14:paraId="5FDAAB46" w14:textId="77777777" w:rsidR="00F8775D" w:rsidRPr="001219F9" w:rsidRDefault="00F8775D" w:rsidP="00A11E83">
            <w:pPr>
              <w:pStyle w:val="Compact"/>
              <w:spacing w:line="480" w:lineRule="auto"/>
              <w:jc w:val="both"/>
            </w:pPr>
            <w:r w:rsidRPr="001219F9">
              <w:t>7 (4.2)</w:t>
            </w:r>
          </w:p>
        </w:tc>
        <w:tc>
          <w:tcPr>
            <w:tcW w:w="1559" w:type="dxa"/>
          </w:tcPr>
          <w:p w14:paraId="62E98900" w14:textId="77777777" w:rsidR="00F8775D" w:rsidRPr="001219F9" w:rsidRDefault="00F8775D" w:rsidP="00A11E83">
            <w:pPr>
              <w:pStyle w:val="Compact"/>
              <w:spacing w:line="480" w:lineRule="auto"/>
              <w:jc w:val="both"/>
            </w:pPr>
            <w:r w:rsidRPr="001219F9">
              <w:t>104 (63)</w:t>
            </w:r>
          </w:p>
        </w:tc>
        <w:tc>
          <w:tcPr>
            <w:tcW w:w="1701" w:type="dxa"/>
          </w:tcPr>
          <w:p w14:paraId="3439A668" w14:textId="77777777" w:rsidR="00F8775D" w:rsidRPr="001219F9" w:rsidRDefault="00F8775D" w:rsidP="00A11E83">
            <w:pPr>
              <w:pStyle w:val="Compact"/>
              <w:spacing w:line="480" w:lineRule="auto"/>
              <w:jc w:val="both"/>
            </w:pPr>
            <w:r w:rsidRPr="001219F9">
              <w:t>54</w:t>
            </w:r>
          </w:p>
        </w:tc>
        <w:tc>
          <w:tcPr>
            <w:tcW w:w="1417" w:type="dxa"/>
          </w:tcPr>
          <w:p w14:paraId="22B1C2B8" w14:textId="77777777" w:rsidR="00F8775D" w:rsidRPr="001219F9" w:rsidRDefault="00F8775D" w:rsidP="00A11E83">
            <w:pPr>
              <w:pStyle w:val="Compact"/>
              <w:spacing w:line="480" w:lineRule="auto"/>
              <w:jc w:val="both"/>
            </w:pPr>
            <w:r w:rsidRPr="001219F9">
              <w:t>143</w:t>
            </w:r>
          </w:p>
        </w:tc>
      </w:tr>
      <w:tr w:rsidR="00F8775D" w:rsidRPr="001219F9" w14:paraId="611187E0" w14:textId="77777777" w:rsidTr="00951833">
        <w:tc>
          <w:tcPr>
            <w:tcW w:w="996" w:type="dxa"/>
            <w:gridSpan w:val="2"/>
          </w:tcPr>
          <w:p w14:paraId="2BB5F248" w14:textId="77777777" w:rsidR="00F8775D" w:rsidRPr="00B32AD7" w:rsidRDefault="00F8775D" w:rsidP="00A11E83">
            <w:pPr>
              <w:pStyle w:val="Compact"/>
              <w:spacing w:line="480" w:lineRule="auto"/>
              <w:jc w:val="both"/>
              <w:rPr>
                <w:b/>
              </w:rPr>
            </w:pPr>
            <w:r w:rsidRPr="00B32AD7">
              <w:rPr>
                <w:b/>
              </w:rPr>
              <w:t>CLB</w:t>
            </w:r>
          </w:p>
        </w:tc>
        <w:tc>
          <w:tcPr>
            <w:tcW w:w="1418" w:type="dxa"/>
          </w:tcPr>
          <w:p w14:paraId="7E1C757E" w14:textId="77777777" w:rsidR="00F8775D" w:rsidRPr="001219F9" w:rsidRDefault="00F8775D" w:rsidP="00A11E83">
            <w:pPr>
              <w:pStyle w:val="Compact"/>
              <w:spacing w:line="480" w:lineRule="auto"/>
              <w:jc w:val="both"/>
            </w:pPr>
            <w:r w:rsidRPr="001219F9">
              <w:t>235</w:t>
            </w:r>
          </w:p>
        </w:tc>
        <w:tc>
          <w:tcPr>
            <w:tcW w:w="1840" w:type="dxa"/>
          </w:tcPr>
          <w:p w14:paraId="24D44B9A" w14:textId="77777777" w:rsidR="00F8775D" w:rsidRPr="001219F9" w:rsidRDefault="00F8775D" w:rsidP="00A11E83">
            <w:pPr>
              <w:pStyle w:val="Compact"/>
              <w:spacing w:line="480" w:lineRule="auto"/>
              <w:jc w:val="both"/>
            </w:pPr>
            <w:r w:rsidRPr="001219F9">
              <w:t>3 (2.9)</w:t>
            </w:r>
          </w:p>
        </w:tc>
        <w:tc>
          <w:tcPr>
            <w:tcW w:w="1559" w:type="dxa"/>
          </w:tcPr>
          <w:p w14:paraId="7F650AEA" w14:textId="77777777" w:rsidR="00F8775D" w:rsidRPr="001219F9" w:rsidRDefault="00F8775D" w:rsidP="00A11E83">
            <w:pPr>
              <w:pStyle w:val="Compact"/>
              <w:spacing w:line="480" w:lineRule="auto"/>
              <w:jc w:val="both"/>
            </w:pPr>
            <w:r w:rsidRPr="001219F9">
              <w:t>57 (54.3)</w:t>
            </w:r>
          </w:p>
        </w:tc>
        <w:tc>
          <w:tcPr>
            <w:tcW w:w="1701" w:type="dxa"/>
          </w:tcPr>
          <w:p w14:paraId="6260A725" w14:textId="77777777" w:rsidR="00F8775D" w:rsidRPr="001219F9" w:rsidRDefault="00F8775D" w:rsidP="00A11E83">
            <w:pPr>
              <w:pStyle w:val="Compact"/>
              <w:spacing w:line="480" w:lineRule="auto"/>
              <w:jc w:val="both"/>
            </w:pPr>
            <w:r w:rsidRPr="001219F9">
              <w:t>45</w:t>
            </w:r>
          </w:p>
        </w:tc>
        <w:tc>
          <w:tcPr>
            <w:tcW w:w="1417" w:type="dxa"/>
          </w:tcPr>
          <w:p w14:paraId="30F9251D" w14:textId="77777777" w:rsidR="00F8775D" w:rsidRPr="001219F9" w:rsidRDefault="00F8775D" w:rsidP="00A11E83">
            <w:pPr>
              <w:pStyle w:val="Compact"/>
              <w:spacing w:line="480" w:lineRule="auto"/>
              <w:jc w:val="both"/>
            </w:pPr>
            <w:r w:rsidRPr="001219F9">
              <w:t>130</w:t>
            </w:r>
          </w:p>
        </w:tc>
      </w:tr>
      <w:tr w:rsidR="00F8775D" w:rsidRPr="001219F9" w14:paraId="36544D81" w14:textId="77777777" w:rsidTr="00951833">
        <w:tc>
          <w:tcPr>
            <w:tcW w:w="996" w:type="dxa"/>
            <w:gridSpan w:val="2"/>
          </w:tcPr>
          <w:p w14:paraId="78967B02" w14:textId="77777777" w:rsidR="00F8775D" w:rsidRPr="00B32AD7" w:rsidRDefault="00F8775D" w:rsidP="00A11E83">
            <w:pPr>
              <w:pStyle w:val="Compact"/>
              <w:spacing w:line="480" w:lineRule="auto"/>
              <w:jc w:val="both"/>
              <w:rPr>
                <w:b/>
              </w:rPr>
            </w:pPr>
            <w:r w:rsidRPr="00B32AD7">
              <w:rPr>
                <w:b/>
              </w:rPr>
              <w:t>VGB</w:t>
            </w:r>
          </w:p>
        </w:tc>
        <w:tc>
          <w:tcPr>
            <w:tcW w:w="1418" w:type="dxa"/>
          </w:tcPr>
          <w:p w14:paraId="3FF9E560" w14:textId="77777777" w:rsidR="00F8775D" w:rsidRPr="001219F9" w:rsidRDefault="00F8775D" w:rsidP="00A11E83">
            <w:pPr>
              <w:pStyle w:val="Compact"/>
              <w:spacing w:line="480" w:lineRule="auto"/>
              <w:jc w:val="both"/>
            </w:pPr>
            <w:r w:rsidRPr="001219F9">
              <w:t>233</w:t>
            </w:r>
          </w:p>
        </w:tc>
        <w:tc>
          <w:tcPr>
            <w:tcW w:w="1840" w:type="dxa"/>
          </w:tcPr>
          <w:p w14:paraId="70E1720F" w14:textId="77777777" w:rsidR="00F8775D" w:rsidRPr="001219F9" w:rsidRDefault="00F8775D" w:rsidP="00A11E83">
            <w:pPr>
              <w:pStyle w:val="Compact"/>
              <w:spacing w:line="480" w:lineRule="auto"/>
              <w:jc w:val="both"/>
            </w:pPr>
            <w:r w:rsidRPr="001219F9">
              <w:t>1 (1.2)</w:t>
            </w:r>
          </w:p>
        </w:tc>
        <w:tc>
          <w:tcPr>
            <w:tcW w:w="1559" w:type="dxa"/>
          </w:tcPr>
          <w:p w14:paraId="13E18FA8" w14:textId="77777777" w:rsidR="00F8775D" w:rsidRPr="001219F9" w:rsidRDefault="00F8775D" w:rsidP="00A11E83">
            <w:pPr>
              <w:pStyle w:val="Compact"/>
              <w:spacing w:line="480" w:lineRule="auto"/>
              <w:jc w:val="both"/>
            </w:pPr>
            <w:r w:rsidRPr="001219F9">
              <w:t>57 (66.3)</w:t>
            </w:r>
          </w:p>
        </w:tc>
        <w:tc>
          <w:tcPr>
            <w:tcW w:w="1701" w:type="dxa"/>
          </w:tcPr>
          <w:p w14:paraId="4F50CA37" w14:textId="77777777" w:rsidR="00F8775D" w:rsidRPr="001219F9" w:rsidRDefault="00F8775D" w:rsidP="00A11E83">
            <w:pPr>
              <w:pStyle w:val="Compact"/>
              <w:spacing w:line="480" w:lineRule="auto"/>
              <w:jc w:val="both"/>
            </w:pPr>
            <w:r w:rsidRPr="001219F9">
              <w:t>28</w:t>
            </w:r>
          </w:p>
        </w:tc>
        <w:tc>
          <w:tcPr>
            <w:tcW w:w="1417" w:type="dxa"/>
          </w:tcPr>
          <w:p w14:paraId="696A83EF" w14:textId="77777777" w:rsidR="00F8775D" w:rsidRPr="001219F9" w:rsidRDefault="00F8775D" w:rsidP="00A11E83">
            <w:pPr>
              <w:pStyle w:val="Compact"/>
              <w:spacing w:line="480" w:lineRule="auto"/>
              <w:jc w:val="both"/>
            </w:pPr>
            <w:r w:rsidRPr="001219F9">
              <w:t>147</w:t>
            </w:r>
          </w:p>
        </w:tc>
      </w:tr>
      <w:tr w:rsidR="00F8775D" w:rsidRPr="001219F9" w14:paraId="31C9C034" w14:textId="77777777" w:rsidTr="00951833">
        <w:tc>
          <w:tcPr>
            <w:tcW w:w="996" w:type="dxa"/>
            <w:gridSpan w:val="2"/>
          </w:tcPr>
          <w:p w14:paraId="5B2E13FF" w14:textId="77777777" w:rsidR="00F8775D" w:rsidRPr="00B32AD7" w:rsidRDefault="00F8775D" w:rsidP="00A11E83">
            <w:pPr>
              <w:pStyle w:val="Compact"/>
              <w:spacing w:line="480" w:lineRule="auto"/>
              <w:jc w:val="both"/>
              <w:rPr>
                <w:b/>
              </w:rPr>
            </w:pPr>
            <w:r w:rsidRPr="00B32AD7">
              <w:rPr>
                <w:b/>
              </w:rPr>
              <w:t>GBP</w:t>
            </w:r>
          </w:p>
        </w:tc>
        <w:tc>
          <w:tcPr>
            <w:tcW w:w="1418" w:type="dxa"/>
          </w:tcPr>
          <w:p w14:paraId="11C1F814" w14:textId="77777777" w:rsidR="00F8775D" w:rsidRPr="001219F9" w:rsidRDefault="00F8775D" w:rsidP="00A11E83">
            <w:pPr>
              <w:pStyle w:val="Compact"/>
              <w:spacing w:line="480" w:lineRule="auto"/>
              <w:jc w:val="both"/>
            </w:pPr>
            <w:r w:rsidRPr="001219F9">
              <w:t>194</w:t>
            </w:r>
          </w:p>
        </w:tc>
        <w:tc>
          <w:tcPr>
            <w:tcW w:w="1840" w:type="dxa"/>
          </w:tcPr>
          <w:p w14:paraId="5956D3F5" w14:textId="77777777" w:rsidR="00F8775D" w:rsidRPr="001219F9" w:rsidRDefault="00F8775D" w:rsidP="00A11E83">
            <w:pPr>
              <w:pStyle w:val="Compact"/>
              <w:spacing w:line="480" w:lineRule="auto"/>
              <w:jc w:val="both"/>
            </w:pPr>
            <w:r w:rsidRPr="001219F9">
              <w:t>1 (1.2)</w:t>
            </w:r>
          </w:p>
        </w:tc>
        <w:tc>
          <w:tcPr>
            <w:tcW w:w="1559" w:type="dxa"/>
          </w:tcPr>
          <w:p w14:paraId="730E3CC9" w14:textId="77777777" w:rsidR="00F8775D" w:rsidRPr="001219F9" w:rsidRDefault="00F8775D" w:rsidP="00A11E83">
            <w:pPr>
              <w:pStyle w:val="Compact"/>
              <w:spacing w:line="480" w:lineRule="auto"/>
              <w:jc w:val="both"/>
            </w:pPr>
            <w:r w:rsidRPr="001219F9">
              <w:t>50 (59.5)</w:t>
            </w:r>
          </w:p>
        </w:tc>
        <w:tc>
          <w:tcPr>
            <w:tcW w:w="1701" w:type="dxa"/>
          </w:tcPr>
          <w:p w14:paraId="043EE29C" w14:textId="77777777" w:rsidR="00F8775D" w:rsidRPr="001219F9" w:rsidRDefault="00F8775D" w:rsidP="00A11E83">
            <w:pPr>
              <w:pStyle w:val="Compact"/>
              <w:spacing w:line="480" w:lineRule="auto"/>
              <w:jc w:val="both"/>
            </w:pPr>
            <w:r w:rsidRPr="001219F9">
              <w:t>33</w:t>
            </w:r>
          </w:p>
        </w:tc>
        <w:tc>
          <w:tcPr>
            <w:tcW w:w="1417" w:type="dxa"/>
          </w:tcPr>
          <w:p w14:paraId="7B882A3F" w14:textId="77777777" w:rsidR="00F8775D" w:rsidRPr="001219F9" w:rsidRDefault="00F8775D" w:rsidP="00A11E83">
            <w:pPr>
              <w:pStyle w:val="Compact"/>
              <w:spacing w:line="480" w:lineRule="auto"/>
              <w:jc w:val="both"/>
            </w:pPr>
            <w:r w:rsidRPr="001219F9">
              <w:t>110</w:t>
            </w:r>
          </w:p>
        </w:tc>
        <w:bookmarkStart w:id="9" w:name="_GoBack"/>
        <w:bookmarkEnd w:id="9"/>
      </w:tr>
      <w:tr w:rsidR="00F8775D" w:rsidRPr="001219F9" w14:paraId="37F72CD6" w14:textId="77777777" w:rsidTr="00951833">
        <w:tc>
          <w:tcPr>
            <w:tcW w:w="996" w:type="dxa"/>
            <w:gridSpan w:val="2"/>
          </w:tcPr>
          <w:p w14:paraId="23DF5466" w14:textId="77777777" w:rsidR="00F8775D" w:rsidRPr="00B32AD7" w:rsidRDefault="00F8775D" w:rsidP="00A11E83">
            <w:pPr>
              <w:pStyle w:val="Compact"/>
              <w:spacing w:line="480" w:lineRule="auto"/>
              <w:jc w:val="both"/>
              <w:rPr>
                <w:b/>
              </w:rPr>
            </w:pPr>
            <w:r w:rsidRPr="00B32AD7">
              <w:rPr>
                <w:b/>
              </w:rPr>
              <w:t>OXC</w:t>
            </w:r>
          </w:p>
        </w:tc>
        <w:tc>
          <w:tcPr>
            <w:tcW w:w="1418" w:type="dxa"/>
          </w:tcPr>
          <w:p w14:paraId="49B587CC" w14:textId="77777777" w:rsidR="00F8775D" w:rsidRPr="001219F9" w:rsidRDefault="00F8775D" w:rsidP="00A11E83">
            <w:pPr>
              <w:pStyle w:val="Compact"/>
              <w:spacing w:line="480" w:lineRule="auto"/>
              <w:jc w:val="both"/>
            </w:pPr>
            <w:r w:rsidRPr="001219F9">
              <w:t>141</w:t>
            </w:r>
          </w:p>
        </w:tc>
        <w:tc>
          <w:tcPr>
            <w:tcW w:w="1840" w:type="dxa"/>
          </w:tcPr>
          <w:p w14:paraId="54278688" w14:textId="77777777" w:rsidR="00F8775D" w:rsidRPr="001219F9" w:rsidRDefault="00F8775D" w:rsidP="00A11E83">
            <w:pPr>
              <w:pStyle w:val="Compact"/>
              <w:spacing w:line="480" w:lineRule="auto"/>
              <w:jc w:val="both"/>
            </w:pPr>
            <w:r w:rsidRPr="001219F9">
              <w:t>7 (8.2)</w:t>
            </w:r>
          </w:p>
        </w:tc>
        <w:tc>
          <w:tcPr>
            <w:tcW w:w="1559" w:type="dxa"/>
          </w:tcPr>
          <w:p w14:paraId="0B60FF0E" w14:textId="77777777" w:rsidR="00F8775D" w:rsidRPr="001219F9" w:rsidRDefault="00F8775D" w:rsidP="00A11E83">
            <w:pPr>
              <w:pStyle w:val="Compact"/>
              <w:spacing w:line="480" w:lineRule="auto"/>
              <w:jc w:val="both"/>
            </w:pPr>
            <w:r w:rsidRPr="001219F9">
              <w:t>61 (71.8)</w:t>
            </w:r>
          </w:p>
        </w:tc>
        <w:tc>
          <w:tcPr>
            <w:tcW w:w="1701" w:type="dxa"/>
          </w:tcPr>
          <w:p w14:paraId="232561ED" w14:textId="77777777" w:rsidR="00F8775D" w:rsidRPr="001219F9" w:rsidRDefault="00F8775D" w:rsidP="00A11E83">
            <w:pPr>
              <w:pStyle w:val="Compact"/>
              <w:spacing w:line="480" w:lineRule="auto"/>
              <w:jc w:val="both"/>
            </w:pPr>
            <w:r w:rsidRPr="001219F9">
              <w:t>17</w:t>
            </w:r>
          </w:p>
        </w:tc>
        <w:tc>
          <w:tcPr>
            <w:tcW w:w="1417" w:type="dxa"/>
          </w:tcPr>
          <w:p w14:paraId="6C2A9085" w14:textId="77777777" w:rsidR="00F8775D" w:rsidRPr="001219F9" w:rsidRDefault="00F8775D" w:rsidP="00A11E83">
            <w:pPr>
              <w:pStyle w:val="Compact"/>
              <w:spacing w:line="480" w:lineRule="auto"/>
              <w:jc w:val="both"/>
            </w:pPr>
            <w:r w:rsidRPr="001219F9">
              <w:t>56</w:t>
            </w:r>
          </w:p>
        </w:tc>
      </w:tr>
      <w:tr w:rsidR="00F8775D" w:rsidRPr="001219F9" w14:paraId="15A4AF9F" w14:textId="77777777" w:rsidTr="00951833">
        <w:tc>
          <w:tcPr>
            <w:tcW w:w="996" w:type="dxa"/>
            <w:gridSpan w:val="2"/>
            <w:tcBorders>
              <w:bottom w:val="single" w:sz="4" w:space="0" w:color="auto"/>
            </w:tcBorders>
          </w:tcPr>
          <w:p w14:paraId="207FE496" w14:textId="77777777" w:rsidR="00F8775D" w:rsidRPr="00B32AD7" w:rsidRDefault="00F8775D" w:rsidP="00A11E83">
            <w:pPr>
              <w:pStyle w:val="Compact"/>
              <w:spacing w:line="480" w:lineRule="auto"/>
              <w:jc w:val="both"/>
              <w:rPr>
                <w:b/>
              </w:rPr>
            </w:pPr>
            <w:r w:rsidRPr="00B32AD7">
              <w:rPr>
                <w:b/>
              </w:rPr>
              <w:t>PGB</w:t>
            </w:r>
          </w:p>
        </w:tc>
        <w:tc>
          <w:tcPr>
            <w:tcW w:w="1418" w:type="dxa"/>
            <w:tcBorders>
              <w:bottom w:val="single" w:sz="4" w:space="0" w:color="auto"/>
            </w:tcBorders>
          </w:tcPr>
          <w:p w14:paraId="657115F9" w14:textId="77777777" w:rsidR="00F8775D" w:rsidRPr="001219F9" w:rsidRDefault="00F8775D" w:rsidP="00A11E83">
            <w:pPr>
              <w:pStyle w:val="Compact"/>
              <w:spacing w:line="480" w:lineRule="auto"/>
              <w:jc w:val="both"/>
            </w:pPr>
            <w:r w:rsidRPr="001219F9">
              <w:t>73</w:t>
            </w:r>
          </w:p>
        </w:tc>
        <w:tc>
          <w:tcPr>
            <w:tcW w:w="1840" w:type="dxa"/>
            <w:tcBorders>
              <w:bottom w:val="single" w:sz="4" w:space="0" w:color="auto"/>
            </w:tcBorders>
          </w:tcPr>
          <w:p w14:paraId="3E64D63C" w14:textId="77777777" w:rsidR="00F8775D" w:rsidRPr="001219F9" w:rsidRDefault="00F8775D" w:rsidP="00A11E83">
            <w:pPr>
              <w:pStyle w:val="Compact"/>
              <w:spacing w:line="480" w:lineRule="auto"/>
              <w:jc w:val="both"/>
            </w:pPr>
            <w:r w:rsidRPr="001219F9">
              <w:t>2 (4.7)</w:t>
            </w:r>
          </w:p>
        </w:tc>
        <w:tc>
          <w:tcPr>
            <w:tcW w:w="1559" w:type="dxa"/>
            <w:tcBorders>
              <w:bottom w:val="single" w:sz="4" w:space="0" w:color="auto"/>
            </w:tcBorders>
          </w:tcPr>
          <w:p w14:paraId="3D7BA166" w14:textId="77777777" w:rsidR="00F8775D" w:rsidRPr="001219F9" w:rsidRDefault="00F8775D" w:rsidP="00A11E83">
            <w:pPr>
              <w:pStyle w:val="Compact"/>
              <w:spacing w:line="480" w:lineRule="auto"/>
              <w:jc w:val="both"/>
            </w:pPr>
            <w:r w:rsidRPr="001219F9">
              <w:t>18 (41.9)</w:t>
            </w:r>
          </w:p>
        </w:tc>
        <w:tc>
          <w:tcPr>
            <w:tcW w:w="1701" w:type="dxa"/>
            <w:tcBorders>
              <w:bottom w:val="single" w:sz="4" w:space="0" w:color="auto"/>
            </w:tcBorders>
          </w:tcPr>
          <w:p w14:paraId="4AEBAB95" w14:textId="77777777" w:rsidR="00F8775D" w:rsidRPr="001219F9" w:rsidRDefault="00F8775D" w:rsidP="00A11E83">
            <w:pPr>
              <w:pStyle w:val="Compact"/>
              <w:spacing w:line="480" w:lineRule="auto"/>
              <w:jc w:val="both"/>
            </w:pPr>
            <w:r w:rsidRPr="001219F9">
              <w:t>23</w:t>
            </w:r>
          </w:p>
        </w:tc>
        <w:tc>
          <w:tcPr>
            <w:tcW w:w="1417" w:type="dxa"/>
            <w:tcBorders>
              <w:bottom w:val="single" w:sz="4" w:space="0" w:color="auto"/>
            </w:tcBorders>
          </w:tcPr>
          <w:p w14:paraId="4E2251B0" w14:textId="77777777" w:rsidR="00F8775D" w:rsidRPr="001219F9" w:rsidRDefault="00F8775D" w:rsidP="00A11E83">
            <w:pPr>
              <w:pStyle w:val="Compact"/>
              <w:spacing w:line="480" w:lineRule="auto"/>
              <w:jc w:val="both"/>
            </w:pPr>
            <w:r w:rsidRPr="001219F9">
              <w:t>30</w:t>
            </w:r>
          </w:p>
        </w:tc>
      </w:tr>
    </w:tbl>
    <w:p w14:paraId="69F222B4" w14:textId="09667F82" w:rsidR="00F8775D" w:rsidRPr="00805EE0" w:rsidRDefault="00805EE0" w:rsidP="00F8775D">
      <w:pPr>
        <w:pStyle w:val="ImageCaption"/>
        <w:spacing w:line="480" w:lineRule="auto"/>
        <w:jc w:val="both"/>
        <w:rPr>
          <w:i w:val="0"/>
        </w:rPr>
      </w:pPr>
      <w:r>
        <w:rPr>
          <w:i w:val="0"/>
        </w:rPr>
        <w:t>U</w:t>
      </w:r>
      <w:r w:rsidR="000C610E">
        <w:rPr>
          <w:i w:val="0"/>
        </w:rPr>
        <w:t xml:space="preserve">nclassified: the outcome is known but can be classified </w:t>
      </w:r>
      <w:r w:rsidRPr="00805EE0">
        <w:rPr>
          <w:i w:val="0"/>
        </w:rPr>
        <w:t xml:space="preserve">neither </w:t>
      </w:r>
      <w:r w:rsidR="000C610E">
        <w:rPr>
          <w:i w:val="0"/>
        </w:rPr>
        <w:t xml:space="preserve">as a </w:t>
      </w:r>
      <w:r w:rsidRPr="00805EE0">
        <w:rPr>
          <w:i w:val="0"/>
        </w:rPr>
        <w:t xml:space="preserve">response nor </w:t>
      </w:r>
      <w:r w:rsidR="000C610E">
        <w:rPr>
          <w:i w:val="0"/>
        </w:rPr>
        <w:t>a failure; u</w:t>
      </w:r>
      <w:r w:rsidRPr="00805EE0">
        <w:rPr>
          <w:i w:val="0"/>
        </w:rPr>
        <w:t>nknown</w:t>
      </w:r>
      <w:r w:rsidR="000C610E">
        <w:rPr>
          <w:i w:val="0"/>
        </w:rPr>
        <w:t xml:space="preserve">: the outcome is unknown, e.g. because insufficient information is available. </w:t>
      </w:r>
    </w:p>
    <w:p w14:paraId="092A3939" w14:textId="77777777" w:rsidR="00F8775D" w:rsidRDefault="00F8775D" w:rsidP="00F8775D">
      <w:pPr>
        <w:pStyle w:val="ImageCaption"/>
        <w:spacing w:line="480" w:lineRule="auto"/>
        <w:jc w:val="both"/>
        <w:rPr>
          <w:i w:val="0"/>
        </w:rPr>
      </w:pPr>
    </w:p>
    <w:p w14:paraId="33E1ED6A" w14:textId="77777777" w:rsidR="00F8775D" w:rsidRDefault="00F8775D" w:rsidP="00F8775D">
      <w:pPr>
        <w:pStyle w:val="ImageCaption"/>
        <w:spacing w:line="480" w:lineRule="auto"/>
        <w:jc w:val="both"/>
        <w:rPr>
          <w:i w:val="0"/>
        </w:rPr>
      </w:pPr>
    </w:p>
    <w:p w14:paraId="7D5DCDB3" w14:textId="77777777" w:rsidR="00F8775D" w:rsidRDefault="00F8775D" w:rsidP="00F8775D">
      <w:pPr>
        <w:pStyle w:val="ImageCaption"/>
        <w:spacing w:line="480" w:lineRule="auto"/>
        <w:jc w:val="both"/>
        <w:rPr>
          <w:i w:val="0"/>
        </w:rPr>
      </w:pPr>
    </w:p>
    <w:p w14:paraId="12A95633" w14:textId="77777777" w:rsidR="00F8775D" w:rsidRDefault="00F8775D" w:rsidP="00F8775D">
      <w:pPr>
        <w:pStyle w:val="ImageCaption"/>
        <w:spacing w:line="480" w:lineRule="auto"/>
        <w:jc w:val="both"/>
        <w:rPr>
          <w:i w:val="0"/>
        </w:rPr>
      </w:pPr>
    </w:p>
    <w:p w14:paraId="055C93E9" w14:textId="77777777" w:rsidR="00F8775D" w:rsidRDefault="00F8775D" w:rsidP="00F8775D">
      <w:pPr>
        <w:pStyle w:val="ImageCaption"/>
        <w:spacing w:line="480" w:lineRule="auto"/>
        <w:jc w:val="both"/>
        <w:rPr>
          <w:i w:val="0"/>
        </w:rPr>
      </w:pPr>
    </w:p>
    <w:p w14:paraId="4BA2F9A8" w14:textId="77777777" w:rsidR="00F8775D" w:rsidRDefault="00F8775D" w:rsidP="00F8775D">
      <w:pPr>
        <w:pStyle w:val="ImageCaption"/>
        <w:spacing w:line="480" w:lineRule="auto"/>
        <w:jc w:val="both"/>
        <w:rPr>
          <w:i w:val="0"/>
        </w:rPr>
      </w:pPr>
    </w:p>
    <w:p w14:paraId="46507BB8" w14:textId="77777777" w:rsidR="00F8775D" w:rsidRDefault="00F8775D" w:rsidP="00F8775D">
      <w:pPr>
        <w:pStyle w:val="ImageCaption"/>
        <w:spacing w:line="480" w:lineRule="auto"/>
        <w:jc w:val="both"/>
        <w:rPr>
          <w:i w:val="0"/>
        </w:rPr>
      </w:pPr>
    </w:p>
    <w:p w14:paraId="18A72BF2" w14:textId="77777777" w:rsidR="00F8775D" w:rsidRPr="001219F9" w:rsidRDefault="00F8775D" w:rsidP="00F8775D">
      <w:pPr>
        <w:pStyle w:val="BodyText"/>
        <w:spacing w:line="480" w:lineRule="auto"/>
        <w:jc w:val="both"/>
      </w:pPr>
      <w:r w:rsidRPr="001219F9">
        <w:rPr>
          <w:b/>
        </w:rPr>
        <w:t>Table 4.</w:t>
      </w:r>
      <w:r w:rsidRPr="001219F9">
        <w:t xml:space="preserve"> Overall ADR incidence and top 10 most frequent ADRs per AED.</w:t>
      </w:r>
    </w:p>
    <w:tbl>
      <w:tblPr>
        <w:tblW w:w="5523" w:type="pct"/>
        <w:tblInd w:w="-885" w:type="dxa"/>
        <w:tblLayout w:type="fixed"/>
        <w:tblLook w:val="07E0" w:firstRow="1" w:lastRow="1" w:firstColumn="1" w:lastColumn="1" w:noHBand="1" w:noVBand="1"/>
      </w:tblPr>
      <w:tblGrid>
        <w:gridCol w:w="534"/>
        <w:gridCol w:w="850"/>
        <w:gridCol w:w="885"/>
        <w:gridCol w:w="851"/>
        <w:gridCol w:w="850"/>
        <w:gridCol w:w="852"/>
        <w:gridCol w:w="707"/>
        <w:gridCol w:w="710"/>
        <w:gridCol w:w="851"/>
        <w:gridCol w:w="850"/>
        <w:gridCol w:w="851"/>
        <w:gridCol w:w="991"/>
      </w:tblGrid>
      <w:tr w:rsidR="00F8775D" w:rsidRPr="001219F9" w14:paraId="4D2DBBD2" w14:textId="77777777" w:rsidTr="00A11E83">
        <w:tc>
          <w:tcPr>
            <w:tcW w:w="534" w:type="dxa"/>
            <w:tcBorders>
              <w:top w:val="single" w:sz="4" w:space="0" w:color="auto"/>
              <w:bottom w:val="single" w:sz="4" w:space="0" w:color="auto"/>
            </w:tcBorders>
          </w:tcPr>
          <w:p w14:paraId="604D9E2E" w14:textId="77777777" w:rsidR="00F8775D" w:rsidRPr="00210676" w:rsidRDefault="00F8775D" w:rsidP="00A11E83">
            <w:pPr>
              <w:pStyle w:val="Compact"/>
              <w:spacing w:line="480" w:lineRule="auto"/>
              <w:jc w:val="both"/>
              <w:rPr>
                <w:b/>
                <w:sz w:val="14"/>
                <w:szCs w:val="14"/>
              </w:rPr>
            </w:pPr>
            <w:bookmarkStart w:id="10" w:name="discussion"/>
            <w:bookmarkEnd w:id="10"/>
            <w:r w:rsidRPr="00210676">
              <w:rPr>
                <w:b/>
                <w:sz w:val="14"/>
                <w:szCs w:val="14"/>
              </w:rPr>
              <w:t>AED</w:t>
            </w:r>
          </w:p>
        </w:tc>
        <w:tc>
          <w:tcPr>
            <w:tcW w:w="850" w:type="dxa"/>
            <w:tcBorders>
              <w:top w:val="single" w:sz="4" w:space="0" w:color="auto"/>
              <w:bottom w:val="single" w:sz="4" w:space="0" w:color="auto"/>
            </w:tcBorders>
          </w:tcPr>
          <w:p w14:paraId="1CBA3E8D" w14:textId="77777777" w:rsidR="00F8775D" w:rsidRPr="00210676" w:rsidRDefault="00F8775D" w:rsidP="00A11E83">
            <w:pPr>
              <w:pStyle w:val="Compact"/>
              <w:spacing w:line="480" w:lineRule="auto"/>
              <w:rPr>
                <w:b/>
                <w:sz w:val="14"/>
                <w:szCs w:val="14"/>
              </w:rPr>
            </w:pPr>
            <w:r w:rsidRPr="00210676">
              <w:rPr>
                <w:b/>
                <w:sz w:val="14"/>
                <w:szCs w:val="14"/>
              </w:rPr>
              <w:t>Patients with ADR (%)</w:t>
            </w:r>
          </w:p>
        </w:tc>
        <w:tc>
          <w:tcPr>
            <w:tcW w:w="885" w:type="dxa"/>
            <w:tcBorders>
              <w:top w:val="single" w:sz="4" w:space="0" w:color="auto"/>
              <w:bottom w:val="single" w:sz="4" w:space="0" w:color="auto"/>
            </w:tcBorders>
          </w:tcPr>
          <w:p w14:paraId="2FFE7A05" w14:textId="77777777" w:rsidR="00F8775D" w:rsidRPr="00210676" w:rsidRDefault="00F8775D" w:rsidP="00A11E83">
            <w:pPr>
              <w:pStyle w:val="Compact"/>
              <w:spacing w:line="480" w:lineRule="auto"/>
              <w:jc w:val="both"/>
              <w:rPr>
                <w:b/>
                <w:sz w:val="14"/>
                <w:szCs w:val="14"/>
              </w:rPr>
            </w:pPr>
            <w:r w:rsidRPr="00210676">
              <w:rPr>
                <w:b/>
                <w:sz w:val="14"/>
                <w:szCs w:val="14"/>
              </w:rPr>
              <w:t>Lethargy/</w:t>
            </w:r>
            <w:proofErr w:type="spellStart"/>
            <w:r w:rsidRPr="00210676">
              <w:rPr>
                <w:b/>
                <w:sz w:val="14"/>
                <w:szCs w:val="14"/>
              </w:rPr>
              <w:t>drowsi</w:t>
            </w:r>
            <w:proofErr w:type="spellEnd"/>
            <w:r>
              <w:rPr>
                <w:b/>
                <w:sz w:val="14"/>
                <w:szCs w:val="14"/>
              </w:rPr>
              <w:t>-</w:t>
            </w:r>
            <w:r w:rsidRPr="00210676">
              <w:rPr>
                <w:b/>
                <w:sz w:val="14"/>
                <w:szCs w:val="14"/>
              </w:rPr>
              <w:t>ness (%)</w:t>
            </w:r>
          </w:p>
        </w:tc>
        <w:tc>
          <w:tcPr>
            <w:tcW w:w="851" w:type="dxa"/>
            <w:tcBorders>
              <w:top w:val="single" w:sz="4" w:space="0" w:color="auto"/>
              <w:bottom w:val="single" w:sz="4" w:space="0" w:color="auto"/>
            </w:tcBorders>
          </w:tcPr>
          <w:p w14:paraId="509BE0A4" w14:textId="77777777" w:rsidR="00F8775D" w:rsidRPr="00210676" w:rsidRDefault="00F8775D" w:rsidP="00A11E83">
            <w:pPr>
              <w:pStyle w:val="Compact"/>
              <w:spacing w:line="480" w:lineRule="auto"/>
              <w:jc w:val="both"/>
              <w:rPr>
                <w:b/>
                <w:sz w:val="14"/>
                <w:szCs w:val="14"/>
              </w:rPr>
            </w:pPr>
            <w:r w:rsidRPr="00210676">
              <w:rPr>
                <w:b/>
                <w:sz w:val="14"/>
                <w:szCs w:val="14"/>
              </w:rPr>
              <w:t>Dizziness/Vertigo/Ataxia (%)</w:t>
            </w:r>
          </w:p>
        </w:tc>
        <w:tc>
          <w:tcPr>
            <w:tcW w:w="850" w:type="dxa"/>
            <w:tcBorders>
              <w:top w:val="single" w:sz="4" w:space="0" w:color="auto"/>
              <w:bottom w:val="single" w:sz="4" w:space="0" w:color="auto"/>
            </w:tcBorders>
          </w:tcPr>
          <w:p w14:paraId="0705D0B8" w14:textId="77777777" w:rsidR="00F8775D" w:rsidRPr="00210676" w:rsidRDefault="00F8775D" w:rsidP="00A11E83">
            <w:pPr>
              <w:pStyle w:val="Compact"/>
              <w:spacing w:line="480" w:lineRule="auto"/>
              <w:jc w:val="both"/>
              <w:rPr>
                <w:b/>
                <w:sz w:val="14"/>
                <w:szCs w:val="14"/>
              </w:rPr>
            </w:pPr>
            <w:r w:rsidRPr="00210676">
              <w:rPr>
                <w:b/>
                <w:sz w:val="14"/>
                <w:szCs w:val="14"/>
              </w:rPr>
              <w:t>Blurred Vision/</w:t>
            </w:r>
            <w:r>
              <w:rPr>
                <w:b/>
                <w:sz w:val="14"/>
                <w:szCs w:val="14"/>
              </w:rPr>
              <w:t xml:space="preserve"> </w:t>
            </w:r>
            <w:r w:rsidRPr="00210676">
              <w:rPr>
                <w:b/>
                <w:sz w:val="14"/>
                <w:szCs w:val="14"/>
              </w:rPr>
              <w:t>Diplopia (%)</w:t>
            </w:r>
          </w:p>
        </w:tc>
        <w:tc>
          <w:tcPr>
            <w:tcW w:w="852" w:type="dxa"/>
            <w:tcBorders>
              <w:top w:val="single" w:sz="4" w:space="0" w:color="auto"/>
              <w:bottom w:val="single" w:sz="4" w:space="0" w:color="auto"/>
            </w:tcBorders>
          </w:tcPr>
          <w:p w14:paraId="0524CDDB" w14:textId="77777777" w:rsidR="00F8775D" w:rsidRPr="00210676" w:rsidRDefault="00F8775D" w:rsidP="00A11E83">
            <w:pPr>
              <w:pStyle w:val="Compact"/>
              <w:spacing w:line="480" w:lineRule="auto"/>
              <w:jc w:val="both"/>
              <w:rPr>
                <w:b/>
                <w:sz w:val="14"/>
                <w:szCs w:val="14"/>
              </w:rPr>
            </w:pPr>
            <w:proofErr w:type="spellStart"/>
            <w:r w:rsidRPr="00210676">
              <w:rPr>
                <w:b/>
                <w:sz w:val="14"/>
                <w:szCs w:val="14"/>
              </w:rPr>
              <w:t>Behavio</w:t>
            </w:r>
            <w:r>
              <w:rPr>
                <w:b/>
                <w:sz w:val="14"/>
                <w:szCs w:val="14"/>
              </w:rPr>
              <w:t>-</w:t>
            </w:r>
            <w:r w:rsidRPr="00210676">
              <w:rPr>
                <w:b/>
                <w:sz w:val="14"/>
                <w:szCs w:val="14"/>
              </w:rPr>
              <w:t>ral</w:t>
            </w:r>
            <w:proofErr w:type="spellEnd"/>
            <w:r w:rsidRPr="00210676">
              <w:rPr>
                <w:b/>
                <w:sz w:val="14"/>
                <w:szCs w:val="14"/>
              </w:rPr>
              <w:t>/emo</w:t>
            </w:r>
            <w:r>
              <w:rPr>
                <w:b/>
                <w:sz w:val="14"/>
                <w:szCs w:val="14"/>
              </w:rPr>
              <w:t>-</w:t>
            </w:r>
            <w:proofErr w:type="spellStart"/>
            <w:r w:rsidRPr="00210676">
              <w:rPr>
                <w:b/>
                <w:sz w:val="14"/>
                <w:szCs w:val="14"/>
              </w:rPr>
              <w:t>tional</w:t>
            </w:r>
            <w:proofErr w:type="spellEnd"/>
            <w:r w:rsidRPr="00210676">
              <w:rPr>
                <w:b/>
                <w:sz w:val="14"/>
                <w:szCs w:val="14"/>
              </w:rPr>
              <w:t xml:space="preserve"> ADRs (%)</w:t>
            </w:r>
          </w:p>
        </w:tc>
        <w:tc>
          <w:tcPr>
            <w:tcW w:w="707" w:type="dxa"/>
            <w:tcBorders>
              <w:top w:val="single" w:sz="4" w:space="0" w:color="auto"/>
              <w:bottom w:val="single" w:sz="4" w:space="0" w:color="auto"/>
            </w:tcBorders>
          </w:tcPr>
          <w:p w14:paraId="6FFA0812" w14:textId="77777777" w:rsidR="00F8775D" w:rsidRPr="00210676" w:rsidRDefault="00F8775D" w:rsidP="00A11E83">
            <w:pPr>
              <w:pStyle w:val="Compact"/>
              <w:spacing w:line="480" w:lineRule="auto"/>
              <w:jc w:val="both"/>
              <w:rPr>
                <w:b/>
                <w:sz w:val="14"/>
                <w:szCs w:val="14"/>
              </w:rPr>
            </w:pPr>
            <w:r w:rsidRPr="00210676">
              <w:rPr>
                <w:b/>
                <w:sz w:val="14"/>
                <w:szCs w:val="14"/>
              </w:rPr>
              <w:t>Weight change (%)</w:t>
            </w:r>
          </w:p>
        </w:tc>
        <w:tc>
          <w:tcPr>
            <w:tcW w:w="710" w:type="dxa"/>
            <w:tcBorders>
              <w:top w:val="single" w:sz="4" w:space="0" w:color="auto"/>
              <w:bottom w:val="single" w:sz="4" w:space="0" w:color="auto"/>
            </w:tcBorders>
          </w:tcPr>
          <w:p w14:paraId="66149F9C" w14:textId="77777777" w:rsidR="00F8775D" w:rsidRPr="00210676" w:rsidRDefault="00F8775D" w:rsidP="00A11E83">
            <w:pPr>
              <w:pStyle w:val="Compact"/>
              <w:spacing w:line="480" w:lineRule="auto"/>
              <w:jc w:val="both"/>
              <w:rPr>
                <w:b/>
                <w:sz w:val="14"/>
                <w:szCs w:val="14"/>
              </w:rPr>
            </w:pPr>
            <w:proofErr w:type="spellStart"/>
            <w:r w:rsidRPr="00210676">
              <w:rPr>
                <w:b/>
                <w:sz w:val="14"/>
                <w:szCs w:val="14"/>
              </w:rPr>
              <w:t>Cuta</w:t>
            </w:r>
            <w:r>
              <w:rPr>
                <w:b/>
                <w:sz w:val="14"/>
                <w:szCs w:val="14"/>
              </w:rPr>
              <w:t>-</w:t>
            </w:r>
            <w:r w:rsidRPr="00210676">
              <w:rPr>
                <w:b/>
                <w:sz w:val="14"/>
                <w:szCs w:val="14"/>
              </w:rPr>
              <w:t>neous</w:t>
            </w:r>
            <w:proofErr w:type="spellEnd"/>
            <w:r w:rsidRPr="00210676">
              <w:rPr>
                <w:b/>
                <w:sz w:val="14"/>
                <w:szCs w:val="14"/>
              </w:rPr>
              <w:t xml:space="preserve"> ADRs (%)</w:t>
            </w:r>
          </w:p>
        </w:tc>
        <w:tc>
          <w:tcPr>
            <w:tcW w:w="851" w:type="dxa"/>
            <w:tcBorders>
              <w:top w:val="single" w:sz="4" w:space="0" w:color="auto"/>
              <w:bottom w:val="single" w:sz="4" w:space="0" w:color="auto"/>
            </w:tcBorders>
          </w:tcPr>
          <w:p w14:paraId="403C144A" w14:textId="77777777" w:rsidR="00F8775D" w:rsidRPr="00210676" w:rsidRDefault="00F8775D" w:rsidP="00A11E83">
            <w:pPr>
              <w:pStyle w:val="Compact"/>
              <w:spacing w:line="480" w:lineRule="auto"/>
              <w:jc w:val="both"/>
              <w:rPr>
                <w:b/>
                <w:sz w:val="14"/>
                <w:szCs w:val="14"/>
              </w:rPr>
            </w:pPr>
            <w:r w:rsidRPr="00210676">
              <w:rPr>
                <w:b/>
                <w:sz w:val="14"/>
                <w:szCs w:val="14"/>
              </w:rPr>
              <w:t>Cognitive impair</w:t>
            </w:r>
            <w:r>
              <w:rPr>
                <w:b/>
                <w:sz w:val="14"/>
                <w:szCs w:val="14"/>
              </w:rPr>
              <w:t>-</w:t>
            </w:r>
            <w:proofErr w:type="spellStart"/>
            <w:r w:rsidRPr="00210676">
              <w:rPr>
                <w:b/>
                <w:sz w:val="14"/>
                <w:szCs w:val="14"/>
              </w:rPr>
              <w:t>ment</w:t>
            </w:r>
            <w:proofErr w:type="spellEnd"/>
            <w:r w:rsidRPr="00210676">
              <w:rPr>
                <w:b/>
                <w:sz w:val="14"/>
                <w:szCs w:val="14"/>
              </w:rPr>
              <w:t xml:space="preserve"> (%)</w:t>
            </w:r>
          </w:p>
        </w:tc>
        <w:tc>
          <w:tcPr>
            <w:tcW w:w="850" w:type="dxa"/>
            <w:tcBorders>
              <w:top w:val="single" w:sz="4" w:space="0" w:color="auto"/>
              <w:bottom w:val="single" w:sz="4" w:space="0" w:color="auto"/>
            </w:tcBorders>
          </w:tcPr>
          <w:p w14:paraId="5BE334F2" w14:textId="77777777" w:rsidR="00F8775D" w:rsidRPr="00210676" w:rsidRDefault="00F8775D" w:rsidP="00A11E83">
            <w:pPr>
              <w:pStyle w:val="Compact"/>
              <w:spacing w:line="480" w:lineRule="auto"/>
              <w:jc w:val="both"/>
              <w:rPr>
                <w:b/>
                <w:sz w:val="14"/>
                <w:szCs w:val="14"/>
              </w:rPr>
            </w:pPr>
            <w:r w:rsidRPr="00210676">
              <w:rPr>
                <w:b/>
                <w:sz w:val="14"/>
                <w:szCs w:val="14"/>
              </w:rPr>
              <w:t>Tremor (%)</w:t>
            </w:r>
          </w:p>
        </w:tc>
        <w:tc>
          <w:tcPr>
            <w:tcW w:w="851" w:type="dxa"/>
            <w:tcBorders>
              <w:top w:val="single" w:sz="4" w:space="0" w:color="auto"/>
              <w:bottom w:val="single" w:sz="4" w:space="0" w:color="auto"/>
            </w:tcBorders>
          </w:tcPr>
          <w:p w14:paraId="36730E7E" w14:textId="77777777" w:rsidR="00F8775D" w:rsidRPr="00210676" w:rsidRDefault="00F8775D" w:rsidP="00A11E83">
            <w:pPr>
              <w:pStyle w:val="Compact"/>
              <w:spacing w:line="480" w:lineRule="auto"/>
              <w:jc w:val="both"/>
              <w:rPr>
                <w:b/>
                <w:sz w:val="14"/>
                <w:szCs w:val="14"/>
              </w:rPr>
            </w:pPr>
            <w:r w:rsidRPr="00210676">
              <w:rPr>
                <w:b/>
                <w:sz w:val="14"/>
                <w:szCs w:val="14"/>
              </w:rPr>
              <w:t>Gastro</w:t>
            </w:r>
            <w:r>
              <w:rPr>
                <w:b/>
                <w:sz w:val="14"/>
                <w:szCs w:val="14"/>
              </w:rPr>
              <w:t>-</w:t>
            </w:r>
            <w:r w:rsidRPr="00210676">
              <w:rPr>
                <w:b/>
                <w:sz w:val="14"/>
                <w:szCs w:val="14"/>
              </w:rPr>
              <w:t>intestinal ADRs (%)</w:t>
            </w:r>
          </w:p>
        </w:tc>
        <w:tc>
          <w:tcPr>
            <w:tcW w:w="991" w:type="dxa"/>
            <w:tcBorders>
              <w:top w:val="single" w:sz="4" w:space="0" w:color="auto"/>
              <w:bottom w:val="single" w:sz="4" w:space="0" w:color="auto"/>
            </w:tcBorders>
          </w:tcPr>
          <w:p w14:paraId="76FFC4CC" w14:textId="77777777" w:rsidR="00F8775D" w:rsidRPr="00210676" w:rsidRDefault="00F8775D" w:rsidP="00A11E83">
            <w:pPr>
              <w:pStyle w:val="Compact"/>
              <w:spacing w:line="480" w:lineRule="auto"/>
              <w:jc w:val="both"/>
              <w:rPr>
                <w:b/>
                <w:sz w:val="14"/>
                <w:szCs w:val="14"/>
              </w:rPr>
            </w:pPr>
            <w:r w:rsidRPr="00210676">
              <w:rPr>
                <w:b/>
                <w:sz w:val="14"/>
                <w:szCs w:val="14"/>
              </w:rPr>
              <w:t>Depression (%)</w:t>
            </w:r>
          </w:p>
        </w:tc>
      </w:tr>
      <w:tr w:rsidR="00F8775D" w:rsidRPr="001219F9" w14:paraId="19B82CF0" w14:textId="77777777" w:rsidTr="00A11E83">
        <w:tc>
          <w:tcPr>
            <w:tcW w:w="534" w:type="dxa"/>
            <w:tcBorders>
              <w:top w:val="single" w:sz="4" w:space="0" w:color="auto"/>
            </w:tcBorders>
          </w:tcPr>
          <w:p w14:paraId="6E8B4EEA" w14:textId="77777777" w:rsidR="00F8775D" w:rsidRPr="00210676" w:rsidRDefault="00F8775D" w:rsidP="00A11E83">
            <w:pPr>
              <w:pStyle w:val="Compact"/>
              <w:spacing w:line="480" w:lineRule="auto"/>
              <w:rPr>
                <w:b/>
                <w:sz w:val="14"/>
                <w:szCs w:val="14"/>
              </w:rPr>
            </w:pPr>
            <w:r w:rsidRPr="00210676">
              <w:rPr>
                <w:b/>
                <w:sz w:val="14"/>
                <w:szCs w:val="14"/>
              </w:rPr>
              <w:t>OXC</w:t>
            </w:r>
          </w:p>
        </w:tc>
        <w:tc>
          <w:tcPr>
            <w:tcW w:w="850" w:type="dxa"/>
            <w:tcBorders>
              <w:top w:val="single" w:sz="4" w:space="0" w:color="auto"/>
            </w:tcBorders>
          </w:tcPr>
          <w:p w14:paraId="715F48DD" w14:textId="77777777" w:rsidR="00F8775D" w:rsidRPr="001219F9" w:rsidRDefault="00F8775D" w:rsidP="00A11E83">
            <w:pPr>
              <w:pStyle w:val="Compact"/>
              <w:spacing w:line="480" w:lineRule="auto"/>
              <w:rPr>
                <w:sz w:val="14"/>
                <w:szCs w:val="14"/>
              </w:rPr>
            </w:pPr>
            <w:r w:rsidRPr="001219F9">
              <w:rPr>
                <w:sz w:val="14"/>
                <w:szCs w:val="14"/>
              </w:rPr>
              <w:t>50 (35.7)</w:t>
            </w:r>
          </w:p>
        </w:tc>
        <w:tc>
          <w:tcPr>
            <w:tcW w:w="885" w:type="dxa"/>
            <w:tcBorders>
              <w:top w:val="single" w:sz="4" w:space="0" w:color="auto"/>
            </w:tcBorders>
          </w:tcPr>
          <w:p w14:paraId="6F7B28AA" w14:textId="77777777" w:rsidR="00F8775D" w:rsidRPr="001219F9" w:rsidRDefault="00F8775D" w:rsidP="00A11E83">
            <w:pPr>
              <w:pStyle w:val="Compact"/>
              <w:spacing w:line="480" w:lineRule="auto"/>
              <w:rPr>
                <w:sz w:val="14"/>
                <w:szCs w:val="14"/>
              </w:rPr>
            </w:pPr>
            <w:r w:rsidRPr="001219F9">
              <w:rPr>
                <w:sz w:val="14"/>
                <w:szCs w:val="14"/>
              </w:rPr>
              <w:t>9 (6.4)</w:t>
            </w:r>
          </w:p>
        </w:tc>
        <w:tc>
          <w:tcPr>
            <w:tcW w:w="851" w:type="dxa"/>
            <w:tcBorders>
              <w:top w:val="single" w:sz="4" w:space="0" w:color="auto"/>
            </w:tcBorders>
          </w:tcPr>
          <w:p w14:paraId="62D3EEA0" w14:textId="77777777" w:rsidR="00F8775D" w:rsidRPr="001219F9" w:rsidRDefault="00F8775D" w:rsidP="00A11E83">
            <w:pPr>
              <w:pStyle w:val="Compact"/>
              <w:spacing w:line="480" w:lineRule="auto"/>
              <w:rPr>
                <w:sz w:val="14"/>
                <w:szCs w:val="14"/>
              </w:rPr>
            </w:pPr>
            <w:r w:rsidRPr="001219F9">
              <w:rPr>
                <w:sz w:val="14"/>
                <w:szCs w:val="14"/>
              </w:rPr>
              <w:t>13 (9.2)</w:t>
            </w:r>
          </w:p>
        </w:tc>
        <w:tc>
          <w:tcPr>
            <w:tcW w:w="850" w:type="dxa"/>
            <w:tcBorders>
              <w:top w:val="single" w:sz="4" w:space="0" w:color="auto"/>
            </w:tcBorders>
          </w:tcPr>
          <w:p w14:paraId="77766D7A" w14:textId="77777777" w:rsidR="00F8775D" w:rsidRPr="001219F9" w:rsidRDefault="00F8775D" w:rsidP="00A11E83">
            <w:pPr>
              <w:pStyle w:val="Compact"/>
              <w:spacing w:line="480" w:lineRule="auto"/>
              <w:rPr>
                <w:sz w:val="14"/>
                <w:szCs w:val="14"/>
              </w:rPr>
            </w:pPr>
            <w:r w:rsidRPr="001219F9">
              <w:rPr>
                <w:sz w:val="14"/>
                <w:szCs w:val="14"/>
              </w:rPr>
              <w:t>15 (10.6)</w:t>
            </w:r>
          </w:p>
        </w:tc>
        <w:tc>
          <w:tcPr>
            <w:tcW w:w="852" w:type="dxa"/>
            <w:tcBorders>
              <w:top w:val="single" w:sz="4" w:space="0" w:color="auto"/>
            </w:tcBorders>
          </w:tcPr>
          <w:p w14:paraId="1552DD1B" w14:textId="77777777" w:rsidR="00F8775D" w:rsidRPr="001219F9" w:rsidRDefault="00F8775D" w:rsidP="00A11E83">
            <w:pPr>
              <w:pStyle w:val="Compact"/>
              <w:spacing w:line="480" w:lineRule="auto"/>
              <w:rPr>
                <w:sz w:val="14"/>
                <w:szCs w:val="14"/>
              </w:rPr>
            </w:pPr>
            <w:r w:rsidRPr="001219F9">
              <w:rPr>
                <w:sz w:val="14"/>
                <w:szCs w:val="14"/>
              </w:rPr>
              <w:t>4 (2.8)</w:t>
            </w:r>
          </w:p>
        </w:tc>
        <w:tc>
          <w:tcPr>
            <w:tcW w:w="707" w:type="dxa"/>
            <w:tcBorders>
              <w:top w:val="single" w:sz="4" w:space="0" w:color="auto"/>
            </w:tcBorders>
          </w:tcPr>
          <w:p w14:paraId="26F90AFC" w14:textId="77777777" w:rsidR="00F8775D" w:rsidRPr="001219F9" w:rsidRDefault="00F8775D" w:rsidP="00A11E83">
            <w:pPr>
              <w:pStyle w:val="Compact"/>
              <w:spacing w:line="480" w:lineRule="auto"/>
              <w:rPr>
                <w:sz w:val="14"/>
                <w:szCs w:val="14"/>
              </w:rPr>
            </w:pPr>
            <w:r w:rsidRPr="001219F9">
              <w:rPr>
                <w:sz w:val="14"/>
                <w:szCs w:val="14"/>
              </w:rPr>
              <w:t>0 (0)</w:t>
            </w:r>
          </w:p>
        </w:tc>
        <w:tc>
          <w:tcPr>
            <w:tcW w:w="710" w:type="dxa"/>
            <w:tcBorders>
              <w:top w:val="single" w:sz="4" w:space="0" w:color="auto"/>
            </w:tcBorders>
          </w:tcPr>
          <w:p w14:paraId="3B272589" w14:textId="77777777" w:rsidR="00F8775D" w:rsidRPr="001219F9" w:rsidRDefault="00F8775D" w:rsidP="00A11E83">
            <w:pPr>
              <w:pStyle w:val="Compact"/>
              <w:spacing w:line="480" w:lineRule="auto"/>
              <w:rPr>
                <w:sz w:val="14"/>
                <w:szCs w:val="14"/>
              </w:rPr>
            </w:pPr>
            <w:r w:rsidRPr="001219F9">
              <w:rPr>
                <w:sz w:val="14"/>
                <w:szCs w:val="14"/>
              </w:rPr>
              <w:t>6 (4.3)</w:t>
            </w:r>
          </w:p>
        </w:tc>
        <w:tc>
          <w:tcPr>
            <w:tcW w:w="851" w:type="dxa"/>
            <w:tcBorders>
              <w:top w:val="single" w:sz="4" w:space="0" w:color="auto"/>
            </w:tcBorders>
          </w:tcPr>
          <w:p w14:paraId="67D7D741" w14:textId="77777777" w:rsidR="00F8775D" w:rsidRPr="001219F9" w:rsidRDefault="00F8775D" w:rsidP="00A11E83">
            <w:pPr>
              <w:pStyle w:val="Compact"/>
              <w:spacing w:line="480" w:lineRule="auto"/>
              <w:rPr>
                <w:sz w:val="14"/>
                <w:szCs w:val="14"/>
              </w:rPr>
            </w:pPr>
            <w:r w:rsidRPr="001219F9">
              <w:rPr>
                <w:sz w:val="14"/>
                <w:szCs w:val="14"/>
              </w:rPr>
              <w:t>3 (2.1)</w:t>
            </w:r>
          </w:p>
        </w:tc>
        <w:tc>
          <w:tcPr>
            <w:tcW w:w="850" w:type="dxa"/>
            <w:tcBorders>
              <w:top w:val="single" w:sz="4" w:space="0" w:color="auto"/>
            </w:tcBorders>
          </w:tcPr>
          <w:p w14:paraId="5E69B453" w14:textId="77777777" w:rsidR="00F8775D" w:rsidRPr="001219F9" w:rsidRDefault="00F8775D" w:rsidP="00A11E83">
            <w:pPr>
              <w:pStyle w:val="Compact"/>
              <w:spacing w:line="480" w:lineRule="auto"/>
              <w:rPr>
                <w:sz w:val="14"/>
                <w:szCs w:val="14"/>
              </w:rPr>
            </w:pPr>
            <w:r w:rsidRPr="001219F9">
              <w:rPr>
                <w:sz w:val="14"/>
                <w:szCs w:val="14"/>
              </w:rPr>
              <w:t>2 (1.4)</w:t>
            </w:r>
          </w:p>
        </w:tc>
        <w:tc>
          <w:tcPr>
            <w:tcW w:w="851" w:type="dxa"/>
            <w:tcBorders>
              <w:top w:val="single" w:sz="4" w:space="0" w:color="auto"/>
            </w:tcBorders>
          </w:tcPr>
          <w:p w14:paraId="1837BA95" w14:textId="77777777" w:rsidR="00F8775D" w:rsidRPr="001219F9" w:rsidRDefault="00F8775D" w:rsidP="00A11E83">
            <w:pPr>
              <w:pStyle w:val="Compact"/>
              <w:spacing w:line="480" w:lineRule="auto"/>
              <w:rPr>
                <w:sz w:val="14"/>
                <w:szCs w:val="14"/>
              </w:rPr>
            </w:pPr>
            <w:r w:rsidRPr="001219F9">
              <w:rPr>
                <w:sz w:val="14"/>
                <w:szCs w:val="14"/>
              </w:rPr>
              <w:t>2 (1.4)</w:t>
            </w:r>
          </w:p>
        </w:tc>
        <w:tc>
          <w:tcPr>
            <w:tcW w:w="991" w:type="dxa"/>
            <w:tcBorders>
              <w:top w:val="single" w:sz="4" w:space="0" w:color="auto"/>
            </w:tcBorders>
          </w:tcPr>
          <w:p w14:paraId="2CFDA538" w14:textId="77777777" w:rsidR="00F8775D" w:rsidRPr="001219F9" w:rsidRDefault="00F8775D" w:rsidP="00A11E83">
            <w:pPr>
              <w:pStyle w:val="Compact"/>
              <w:spacing w:line="480" w:lineRule="auto"/>
              <w:rPr>
                <w:sz w:val="14"/>
                <w:szCs w:val="14"/>
              </w:rPr>
            </w:pPr>
            <w:r w:rsidRPr="001219F9">
              <w:rPr>
                <w:sz w:val="14"/>
                <w:szCs w:val="14"/>
              </w:rPr>
              <w:t>1 (0.7)</w:t>
            </w:r>
          </w:p>
        </w:tc>
      </w:tr>
      <w:tr w:rsidR="00F8775D" w:rsidRPr="001219F9" w14:paraId="6312921D" w14:textId="77777777" w:rsidTr="00A11E83">
        <w:tc>
          <w:tcPr>
            <w:tcW w:w="534" w:type="dxa"/>
          </w:tcPr>
          <w:p w14:paraId="49A0B3A0" w14:textId="77777777" w:rsidR="00F8775D" w:rsidRPr="00210676" w:rsidRDefault="00F8775D" w:rsidP="00A11E83">
            <w:pPr>
              <w:pStyle w:val="Compact"/>
              <w:spacing w:line="480" w:lineRule="auto"/>
              <w:rPr>
                <w:b/>
                <w:sz w:val="14"/>
                <w:szCs w:val="14"/>
              </w:rPr>
            </w:pPr>
            <w:r w:rsidRPr="00210676">
              <w:rPr>
                <w:b/>
                <w:sz w:val="14"/>
                <w:szCs w:val="14"/>
              </w:rPr>
              <w:t>TPM</w:t>
            </w:r>
          </w:p>
        </w:tc>
        <w:tc>
          <w:tcPr>
            <w:tcW w:w="850" w:type="dxa"/>
          </w:tcPr>
          <w:p w14:paraId="3517E30F" w14:textId="77777777" w:rsidR="00F8775D" w:rsidRPr="001219F9" w:rsidRDefault="00F8775D" w:rsidP="00A11E83">
            <w:pPr>
              <w:pStyle w:val="Compact"/>
              <w:spacing w:line="480" w:lineRule="auto"/>
              <w:rPr>
                <w:sz w:val="14"/>
                <w:szCs w:val="14"/>
              </w:rPr>
            </w:pPr>
            <w:r w:rsidRPr="001219F9">
              <w:rPr>
                <w:sz w:val="14"/>
                <w:szCs w:val="14"/>
              </w:rPr>
              <w:t>94 (30.9)</w:t>
            </w:r>
          </w:p>
        </w:tc>
        <w:tc>
          <w:tcPr>
            <w:tcW w:w="885" w:type="dxa"/>
          </w:tcPr>
          <w:p w14:paraId="706E796F" w14:textId="77777777" w:rsidR="00F8775D" w:rsidRPr="001219F9" w:rsidRDefault="00F8775D" w:rsidP="00A11E83">
            <w:pPr>
              <w:pStyle w:val="Compact"/>
              <w:spacing w:line="480" w:lineRule="auto"/>
              <w:rPr>
                <w:sz w:val="14"/>
                <w:szCs w:val="14"/>
              </w:rPr>
            </w:pPr>
            <w:r w:rsidRPr="001219F9">
              <w:rPr>
                <w:sz w:val="14"/>
                <w:szCs w:val="14"/>
              </w:rPr>
              <w:t>17 (5.5)</w:t>
            </w:r>
          </w:p>
        </w:tc>
        <w:tc>
          <w:tcPr>
            <w:tcW w:w="851" w:type="dxa"/>
          </w:tcPr>
          <w:p w14:paraId="59357FFF" w14:textId="77777777" w:rsidR="00F8775D" w:rsidRPr="001219F9" w:rsidRDefault="00F8775D" w:rsidP="00A11E83">
            <w:pPr>
              <w:pStyle w:val="Compact"/>
              <w:spacing w:line="480" w:lineRule="auto"/>
              <w:rPr>
                <w:sz w:val="14"/>
                <w:szCs w:val="14"/>
              </w:rPr>
            </w:pPr>
            <w:r w:rsidRPr="001219F9">
              <w:rPr>
                <w:sz w:val="14"/>
                <w:szCs w:val="14"/>
              </w:rPr>
              <w:t>10 (3.2)</w:t>
            </w:r>
          </w:p>
        </w:tc>
        <w:tc>
          <w:tcPr>
            <w:tcW w:w="850" w:type="dxa"/>
          </w:tcPr>
          <w:p w14:paraId="747C5065" w14:textId="77777777" w:rsidR="00F8775D" w:rsidRPr="001219F9" w:rsidRDefault="00F8775D" w:rsidP="00A11E83">
            <w:pPr>
              <w:pStyle w:val="Compact"/>
              <w:spacing w:line="480" w:lineRule="auto"/>
              <w:rPr>
                <w:sz w:val="14"/>
                <w:szCs w:val="14"/>
              </w:rPr>
            </w:pPr>
            <w:r w:rsidRPr="001219F9">
              <w:rPr>
                <w:sz w:val="14"/>
                <w:szCs w:val="14"/>
              </w:rPr>
              <w:t>0 (0)</w:t>
            </w:r>
          </w:p>
        </w:tc>
        <w:tc>
          <w:tcPr>
            <w:tcW w:w="852" w:type="dxa"/>
          </w:tcPr>
          <w:p w14:paraId="60252F12" w14:textId="77777777" w:rsidR="00F8775D" w:rsidRPr="001219F9" w:rsidRDefault="00F8775D" w:rsidP="00A11E83">
            <w:pPr>
              <w:pStyle w:val="Compact"/>
              <w:spacing w:line="480" w:lineRule="auto"/>
              <w:rPr>
                <w:sz w:val="14"/>
                <w:szCs w:val="14"/>
              </w:rPr>
            </w:pPr>
            <w:r w:rsidRPr="001219F9">
              <w:rPr>
                <w:sz w:val="14"/>
                <w:szCs w:val="14"/>
              </w:rPr>
              <w:t>20 (6.5)</w:t>
            </w:r>
          </w:p>
        </w:tc>
        <w:tc>
          <w:tcPr>
            <w:tcW w:w="707" w:type="dxa"/>
          </w:tcPr>
          <w:p w14:paraId="0D8BB376" w14:textId="77777777" w:rsidR="00F8775D" w:rsidRPr="001219F9" w:rsidRDefault="00F8775D" w:rsidP="00A11E83">
            <w:pPr>
              <w:pStyle w:val="Compact"/>
              <w:spacing w:line="480" w:lineRule="auto"/>
              <w:rPr>
                <w:sz w:val="14"/>
                <w:szCs w:val="14"/>
              </w:rPr>
            </w:pPr>
            <w:r w:rsidRPr="001219F9">
              <w:rPr>
                <w:sz w:val="14"/>
                <w:szCs w:val="14"/>
              </w:rPr>
              <w:t>18 (5.8)</w:t>
            </w:r>
          </w:p>
        </w:tc>
        <w:tc>
          <w:tcPr>
            <w:tcW w:w="710" w:type="dxa"/>
          </w:tcPr>
          <w:p w14:paraId="43707B40" w14:textId="77777777" w:rsidR="00F8775D" w:rsidRPr="001219F9" w:rsidRDefault="00F8775D" w:rsidP="00A11E83">
            <w:pPr>
              <w:pStyle w:val="Compact"/>
              <w:spacing w:line="480" w:lineRule="auto"/>
              <w:rPr>
                <w:sz w:val="14"/>
                <w:szCs w:val="14"/>
              </w:rPr>
            </w:pPr>
            <w:r w:rsidRPr="001219F9">
              <w:rPr>
                <w:sz w:val="14"/>
                <w:szCs w:val="14"/>
              </w:rPr>
              <w:t>2 (0.6)</w:t>
            </w:r>
          </w:p>
        </w:tc>
        <w:tc>
          <w:tcPr>
            <w:tcW w:w="851" w:type="dxa"/>
          </w:tcPr>
          <w:p w14:paraId="4D3527BB" w14:textId="77777777" w:rsidR="00F8775D" w:rsidRPr="001219F9" w:rsidRDefault="00F8775D" w:rsidP="00A11E83">
            <w:pPr>
              <w:pStyle w:val="Compact"/>
              <w:spacing w:line="480" w:lineRule="auto"/>
              <w:rPr>
                <w:sz w:val="14"/>
                <w:szCs w:val="14"/>
              </w:rPr>
            </w:pPr>
            <w:r w:rsidRPr="001219F9">
              <w:rPr>
                <w:sz w:val="14"/>
                <w:szCs w:val="14"/>
              </w:rPr>
              <w:t>32 (10.4)</w:t>
            </w:r>
          </w:p>
        </w:tc>
        <w:tc>
          <w:tcPr>
            <w:tcW w:w="850" w:type="dxa"/>
          </w:tcPr>
          <w:p w14:paraId="0B4216D7" w14:textId="77777777" w:rsidR="00F8775D" w:rsidRPr="001219F9" w:rsidRDefault="00F8775D" w:rsidP="00A11E83">
            <w:pPr>
              <w:pStyle w:val="Compact"/>
              <w:spacing w:line="480" w:lineRule="auto"/>
              <w:rPr>
                <w:sz w:val="14"/>
                <w:szCs w:val="14"/>
              </w:rPr>
            </w:pPr>
            <w:r w:rsidRPr="001219F9">
              <w:rPr>
                <w:sz w:val="14"/>
                <w:szCs w:val="14"/>
              </w:rPr>
              <w:t>0 (0)</w:t>
            </w:r>
          </w:p>
        </w:tc>
        <w:tc>
          <w:tcPr>
            <w:tcW w:w="851" w:type="dxa"/>
          </w:tcPr>
          <w:p w14:paraId="0172EAC9" w14:textId="77777777" w:rsidR="00F8775D" w:rsidRPr="001219F9" w:rsidRDefault="00F8775D" w:rsidP="00A11E83">
            <w:pPr>
              <w:pStyle w:val="Compact"/>
              <w:spacing w:line="480" w:lineRule="auto"/>
              <w:rPr>
                <w:sz w:val="14"/>
                <w:szCs w:val="14"/>
              </w:rPr>
            </w:pPr>
            <w:r w:rsidRPr="001219F9">
              <w:rPr>
                <w:sz w:val="14"/>
                <w:szCs w:val="14"/>
              </w:rPr>
              <w:t>7 (2.3)</w:t>
            </w:r>
          </w:p>
        </w:tc>
        <w:tc>
          <w:tcPr>
            <w:tcW w:w="991" w:type="dxa"/>
          </w:tcPr>
          <w:p w14:paraId="30A5C8BC" w14:textId="77777777" w:rsidR="00F8775D" w:rsidRPr="001219F9" w:rsidRDefault="00F8775D" w:rsidP="00A11E83">
            <w:pPr>
              <w:pStyle w:val="Compact"/>
              <w:spacing w:line="480" w:lineRule="auto"/>
              <w:rPr>
                <w:sz w:val="14"/>
                <w:szCs w:val="14"/>
              </w:rPr>
            </w:pPr>
            <w:r w:rsidRPr="001219F9">
              <w:rPr>
                <w:sz w:val="14"/>
                <w:szCs w:val="14"/>
              </w:rPr>
              <w:t>13 (4.2)</w:t>
            </w:r>
          </w:p>
        </w:tc>
      </w:tr>
      <w:tr w:rsidR="00F8775D" w:rsidRPr="001219F9" w14:paraId="275D1F53" w14:textId="77777777" w:rsidTr="00A11E83">
        <w:tc>
          <w:tcPr>
            <w:tcW w:w="534" w:type="dxa"/>
          </w:tcPr>
          <w:p w14:paraId="5A7C4241" w14:textId="77777777" w:rsidR="00F8775D" w:rsidRPr="00210676" w:rsidRDefault="00F8775D" w:rsidP="00A11E83">
            <w:pPr>
              <w:pStyle w:val="Compact"/>
              <w:spacing w:line="480" w:lineRule="auto"/>
              <w:rPr>
                <w:b/>
                <w:sz w:val="14"/>
                <w:szCs w:val="14"/>
              </w:rPr>
            </w:pPr>
            <w:r w:rsidRPr="00210676">
              <w:rPr>
                <w:b/>
                <w:sz w:val="14"/>
                <w:szCs w:val="14"/>
              </w:rPr>
              <w:t>PGB</w:t>
            </w:r>
          </w:p>
        </w:tc>
        <w:tc>
          <w:tcPr>
            <w:tcW w:w="850" w:type="dxa"/>
          </w:tcPr>
          <w:p w14:paraId="6C06A66E" w14:textId="77777777" w:rsidR="00F8775D" w:rsidRPr="001219F9" w:rsidRDefault="00F8775D" w:rsidP="00A11E83">
            <w:pPr>
              <w:pStyle w:val="Compact"/>
              <w:spacing w:line="480" w:lineRule="auto"/>
              <w:rPr>
                <w:sz w:val="14"/>
                <w:szCs w:val="14"/>
              </w:rPr>
            </w:pPr>
            <w:r w:rsidRPr="001219F9">
              <w:rPr>
                <w:sz w:val="14"/>
                <w:szCs w:val="14"/>
              </w:rPr>
              <w:t>20 (27.4)</w:t>
            </w:r>
          </w:p>
        </w:tc>
        <w:tc>
          <w:tcPr>
            <w:tcW w:w="885" w:type="dxa"/>
          </w:tcPr>
          <w:p w14:paraId="562BBC9A" w14:textId="77777777" w:rsidR="00F8775D" w:rsidRPr="001219F9" w:rsidRDefault="00F8775D" w:rsidP="00A11E83">
            <w:pPr>
              <w:pStyle w:val="Compact"/>
              <w:spacing w:line="480" w:lineRule="auto"/>
              <w:rPr>
                <w:sz w:val="14"/>
                <w:szCs w:val="14"/>
              </w:rPr>
            </w:pPr>
            <w:r w:rsidRPr="001219F9">
              <w:rPr>
                <w:sz w:val="14"/>
                <w:szCs w:val="14"/>
              </w:rPr>
              <w:t>4 (5.5)</w:t>
            </w:r>
          </w:p>
        </w:tc>
        <w:tc>
          <w:tcPr>
            <w:tcW w:w="851" w:type="dxa"/>
          </w:tcPr>
          <w:p w14:paraId="66EF3656" w14:textId="77777777" w:rsidR="00F8775D" w:rsidRPr="001219F9" w:rsidRDefault="00F8775D" w:rsidP="00A11E83">
            <w:pPr>
              <w:pStyle w:val="Compact"/>
              <w:spacing w:line="480" w:lineRule="auto"/>
              <w:rPr>
                <w:sz w:val="14"/>
                <w:szCs w:val="14"/>
              </w:rPr>
            </w:pPr>
            <w:r w:rsidRPr="001219F9">
              <w:rPr>
                <w:sz w:val="14"/>
                <w:szCs w:val="14"/>
              </w:rPr>
              <w:t>4 (5.5)</w:t>
            </w:r>
          </w:p>
        </w:tc>
        <w:tc>
          <w:tcPr>
            <w:tcW w:w="850" w:type="dxa"/>
          </w:tcPr>
          <w:p w14:paraId="02046BA5" w14:textId="77777777" w:rsidR="00F8775D" w:rsidRPr="001219F9" w:rsidRDefault="00F8775D" w:rsidP="00A11E83">
            <w:pPr>
              <w:pStyle w:val="Compact"/>
              <w:spacing w:line="480" w:lineRule="auto"/>
              <w:rPr>
                <w:sz w:val="14"/>
                <w:szCs w:val="14"/>
              </w:rPr>
            </w:pPr>
            <w:r w:rsidRPr="001219F9">
              <w:rPr>
                <w:sz w:val="14"/>
                <w:szCs w:val="14"/>
              </w:rPr>
              <w:t>0 (0)</w:t>
            </w:r>
          </w:p>
        </w:tc>
        <w:tc>
          <w:tcPr>
            <w:tcW w:w="852" w:type="dxa"/>
          </w:tcPr>
          <w:p w14:paraId="7EA249B7" w14:textId="77777777" w:rsidR="00F8775D" w:rsidRPr="001219F9" w:rsidRDefault="00F8775D" w:rsidP="00A11E83">
            <w:pPr>
              <w:pStyle w:val="Compact"/>
              <w:spacing w:line="480" w:lineRule="auto"/>
              <w:rPr>
                <w:sz w:val="14"/>
                <w:szCs w:val="14"/>
              </w:rPr>
            </w:pPr>
            <w:r w:rsidRPr="001219F9">
              <w:rPr>
                <w:sz w:val="14"/>
                <w:szCs w:val="14"/>
              </w:rPr>
              <w:t>1 (1.4)</w:t>
            </w:r>
          </w:p>
        </w:tc>
        <w:tc>
          <w:tcPr>
            <w:tcW w:w="707" w:type="dxa"/>
          </w:tcPr>
          <w:p w14:paraId="32F2FB34" w14:textId="77777777" w:rsidR="00F8775D" w:rsidRPr="001219F9" w:rsidRDefault="00F8775D" w:rsidP="00A11E83">
            <w:pPr>
              <w:pStyle w:val="Compact"/>
              <w:spacing w:line="480" w:lineRule="auto"/>
              <w:rPr>
                <w:sz w:val="14"/>
                <w:szCs w:val="14"/>
              </w:rPr>
            </w:pPr>
            <w:r w:rsidRPr="001219F9">
              <w:rPr>
                <w:sz w:val="14"/>
                <w:szCs w:val="14"/>
              </w:rPr>
              <w:t>4 (5.5)</w:t>
            </w:r>
          </w:p>
        </w:tc>
        <w:tc>
          <w:tcPr>
            <w:tcW w:w="710" w:type="dxa"/>
          </w:tcPr>
          <w:p w14:paraId="2E9BBEC0" w14:textId="77777777" w:rsidR="00F8775D" w:rsidRPr="001219F9" w:rsidRDefault="00F8775D" w:rsidP="00A11E83">
            <w:pPr>
              <w:pStyle w:val="Compact"/>
              <w:spacing w:line="480" w:lineRule="auto"/>
              <w:rPr>
                <w:sz w:val="14"/>
                <w:szCs w:val="14"/>
              </w:rPr>
            </w:pPr>
            <w:r w:rsidRPr="001219F9">
              <w:rPr>
                <w:sz w:val="14"/>
                <w:szCs w:val="14"/>
              </w:rPr>
              <w:t>0 (0)</w:t>
            </w:r>
          </w:p>
        </w:tc>
        <w:tc>
          <w:tcPr>
            <w:tcW w:w="851" w:type="dxa"/>
          </w:tcPr>
          <w:p w14:paraId="27F1A2D2" w14:textId="77777777" w:rsidR="00F8775D" w:rsidRPr="001219F9" w:rsidRDefault="00F8775D" w:rsidP="00A11E83">
            <w:pPr>
              <w:pStyle w:val="Compact"/>
              <w:spacing w:line="480" w:lineRule="auto"/>
              <w:rPr>
                <w:sz w:val="14"/>
                <w:szCs w:val="14"/>
              </w:rPr>
            </w:pPr>
            <w:r w:rsidRPr="001219F9">
              <w:rPr>
                <w:sz w:val="14"/>
                <w:szCs w:val="14"/>
              </w:rPr>
              <w:t>0 (0)</w:t>
            </w:r>
          </w:p>
        </w:tc>
        <w:tc>
          <w:tcPr>
            <w:tcW w:w="850" w:type="dxa"/>
          </w:tcPr>
          <w:p w14:paraId="7C00084F" w14:textId="77777777" w:rsidR="00F8775D" w:rsidRPr="001219F9" w:rsidRDefault="00F8775D" w:rsidP="00A11E83">
            <w:pPr>
              <w:pStyle w:val="Compact"/>
              <w:spacing w:line="480" w:lineRule="auto"/>
              <w:rPr>
                <w:sz w:val="14"/>
                <w:szCs w:val="14"/>
              </w:rPr>
            </w:pPr>
            <w:r w:rsidRPr="001219F9">
              <w:rPr>
                <w:sz w:val="14"/>
                <w:szCs w:val="14"/>
              </w:rPr>
              <w:t>0 (0)</w:t>
            </w:r>
          </w:p>
        </w:tc>
        <w:tc>
          <w:tcPr>
            <w:tcW w:w="851" w:type="dxa"/>
          </w:tcPr>
          <w:p w14:paraId="284BBD7B" w14:textId="77777777" w:rsidR="00F8775D" w:rsidRPr="001219F9" w:rsidRDefault="00F8775D" w:rsidP="00A11E83">
            <w:pPr>
              <w:pStyle w:val="Compact"/>
              <w:spacing w:line="480" w:lineRule="auto"/>
              <w:rPr>
                <w:sz w:val="14"/>
                <w:szCs w:val="14"/>
              </w:rPr>
            </w:pPr>
            <w:r w:rsidRPr="001219F9">
              <w:rPr>
                <w:sz w:val="14"/>
                <w:szCs w:val="14"/>
              </w:rPr>
              <w:t>2 (2.7)</w:t>
            </w:r>
          </w:p>
        </w:tc>
        <w:tc>
          <w:tcPr>
            <w:tcW w:w="991" w:type="dxa"/>
          </w:tcPr>
          <w:p w14:paraId="7CB0D80B" w14:textId="77777777" w:rsidR="00F8775D" w:rsidRPr="001219F9" w:rsidRDefault="00F8775D" w:rsidP="00A11E83">
            <w:pPr>
              <w:pStyle w:val="Compact"/>
              <w:spacing w:line="480" w:lineRule="auto"/>
              <w:rPr>
                <w:sz w:val="14"/>
                <w:szCs w:val="14"/>
              </w:rPr>
            </w:pPr>
            <w:r w:rsidRPr="001219F9">
              <w:rPr>
                <w:sz w:val="14"/>
                <w:szCs w:val="14"/>
              </w:rPr>
              <w:t>1 (1.4)</w:t>
            </w:r>
          </w:p>
        </w:tc>
      </w:tr>
      <w:tr w:rsidR="00F8775D" w:rsidRPr="001219F9" w14:paraId="61D7C1A2" w14:textId="77777777" w:rsidTr="00A11E83">
        <w:tc>
          <w:tcPr>
            <w:tcW w:w="534" w:type="dxa"/>
          </w:tcPr>
          <w:p w14:paraId="3A877A43" w14:textId="77777777" w:rsidR="00F8775D" w:rsidRPr="00210676" w:rsidRDefault="00F8775D" w:rsidP="00A11E83">
            <w:pPr>
              <w:pStyle w:val="Compact"/>
              <w:spacing w:line="480" w:lineRule="auto"/>
              <w:rPr>
                <w:b/>
                <w:sz w:val="14"/>
                <w:szCs w:val="14"/>
              </w:rPr>
            </w:pPr>
            <w:r w:rsidRPr="00210676">
              <w:rPr>
                <w:b/>
                <w:sz w:val="14"/>
                <w:szCs w:val="14"/>
              </w:rPr>
              <w:t>VPA</w:t>
            </w:r>
          </w:p>
        </w:tc>
        <w:tc>
          <w:tcPr>
            <w:tcW w:w="850" w:type="dxa"/>
          </w:tcPr>
          <w:p w14:paraId="7A6A1E46" w14:textId="77777777" w:rsidR="00F8775D" w:rsidRPr="001219F9" w:rsidRDefault="00F8775D" w:rsidP="00A11E83">
            <w:pPr>
              <w:pStyle w:val="Compact"/>
              <w:spacing w:line="480" w:lineRule="auto"/>
              <w:rPr>
                <w:sz w:val="14"/>
                <w:szCs w:val="14"/>
              </w:rPr>
            </w:pPr>
            <w:r w:rsidRPr="001219F9">
              <w:rPr>
                <w:sz w:val="14"/>
                <w:szCs w:val="14"/>
              </w:rPr>
              <w:t>100 (21)</w:t>
            </w:r>
          </w:p>
        </w:tc>
        <w:tc>
          <w:tcPr>
            <w:tcW w:w="885" w:type="dxa"/>
          </w:tcPr>
          <w:p w14:paraId="54185DA3" w14:textId="77777777" w:rsidR="00F8775D" w:rsidRPr="001219F9" w:rsidRDefault="00F8775D" w:rsidP="00A11E83">
            <w:pPr>
              <w:pStyle w:val="Compact"/>
              <w:spacing w:line="480" w:lineRule="auto"/>
              <w:rPr>
                <w:sz w:val="14"/>
                <w:szCs w:val="14"/>
              </w:rPr>
            </w:pPr>
            <w:r w:rsidRPr="001219F9">
              <w:rPr>
                <w:sz w:val="14"/>
                <w:szCs w:val="14"/>
              </w:rPr>
              <w:t>13 (2.6)</w:t>
            </w:r>
          </w:p>
        </w:tc>
        <w:tc>
          <w:tcPr>
            <w:tcW w:w="851" w:type="dxa"/>
          </w:tcPr>
          <w:p w14:paraId="45CD19F2" w14:textId="77777777" w:rsidR="00F8775D" w:rsidRPr="001219F9" w:rsidRDefault="00F8775D" w:rsidP="00A11E83">
            <w:pPr>
              <w:pStyle w:val="Compact"/>
              <w:spacing w:line="480" w:lineRule="auto"/>
              <w:rPr>
                <w:sz w:val="14"/>
                <w:szCs w:val="14"/>
              </w:rPr>
            </w:pPr>
            <w:r w:rsidRPr="001219F9">
              <w:rPr>
                <w:sz w:val="14"/>
                <w:szCs w:val="14"/>
              </w:rPr>
              <w:t>3 (0.6)</w:t>
            </w:r>
          </w:p>
        </w:tc>
        <w:tc>
          <w:tcPr>
            <w:tcW w:w="850" w:type="dxa"/>
          </w:tcPr>
          <w:p w14:paraId="686929AF" w14:textId="77777777" w:rsidR="00F8775D" w:rsidRPr="001219F9" w:rsidRDefault="00F8775D" w:rsidP="00A11E83">
            <w:pPr>
              <w:pStyle w:val="Compact"/>
              <w:spacing w:line="480" w:lineRule="auto"/>
              <w:rPr>
                <w:sz w:val="14"/>
                <w:szCs w:val="14"/>
              </w:rPr>
            </w:pPr>
            <w:r w:rsidRPr="001219F9">
              <w:rPr>
                <w:sz w:val="14"/>
                <w:szCs w:val="14"/>
              </w:rPr>
              <w:t>0 (0)</w:t>
            </w:r>
          </w:p>
        </w:tc>
        <w:tc>
          <w:tcPr>
            <w:tcW w:w="852" w:type="dxa"/>
          </w:tcPr>
          <w:p w14:paraId="2571176F" w14:textId="77777777" w:rsidR="00F8775D" w:rsidRPr="001219F9" w:rsidRDefault="00F8775D" w:rsidP="00A11E83">
            <w:pPr>
              <w:pStyle w:val="Compact"/>
              <w:spacing w:line="480" w:lineRule="auto"/>
              <w:rPr>
                <w:sz w:val="14"/>
                <w:szCs w:val="14"/>
              </w:rPr>
            </w:pPr>
            <w:r w:rsidRPr="001219F9">
              <w:rPr>
                <w:sz w:val="14"/>
                <w:szCs w:val="14"/>
              </w:rPr>
              <w:t>3 (0.6)</w:t>
            </w:r>
          </w:p>
        </w:tc>
        <w:tc>
          <w:tcPr>
            <w:tcW w:w="707" w:type="dxa"/>
          </w:tcPr>
          <w:p w14:paraId="7E9CD6A3" w14:textId="77777777" w:rsidR="00F8775D" w:rsidRPr="001219F9" w:rsidRDefault="00F8775D" w:rsidP="00A11E83">
            <w:pPr>
              <w:pStyle w:val="Compact"/>
              <w:spacing w:line="480" w:lineRule="auto"/>
              <w:rPr>
                <w:sz w:val="14"/>
                <w:szCs w:val="14"/>
              </w:rPr>
            </w:pPr>
            <w:r w:rsidRPr="001219F9">
              <w:rPr>
                <w:sz w:val="14"/>
                <w:szCs w:val="14"/>
              </w:rPr>
              <w:t>28 (5.5)</w:t>
            </w:r>
          </w:p>
        </w:tc>
        <w:tc>
          <w:tcPr>
            <w:tcW w:w="710" w:type="dxa"/>
          </w:tcPr>
          <w:p w14:paraId="61E318D5" w14:textId="77777777" w:rsidR="00F8775D" w:rsidRPr="001219F9" w:rsidRDefault="00F8775D" w:rsidP="00A11E83">
            <w:pPr>
              <w:pStyle w:val="Compact"/>
              <w:spacing w:line="480" w:lineRule="auto"/>
              <w:rPr>
                <w:sz w:val="14"/>
                <w:szCs w:val="14"/>
              </w:rPr>
            </w:pPr>
            <w:r w:rsidRPr="001219F9">
              <w:rPr>
                <w:sz w:val="14"/>
                <w:szCs w:val="14"/>
              </w:rPr>
              <w:t>4 (0.8)</w:t>
            </w:r>
          </w:p>
        </w:tc>
        <w:tc>
          <w:tcPr>
            <w:tcW w:w="851" w:type="dxa"/>
          </w:tcPr>
          <w:p w14:paraId="603C99B0" w14:textId="77777777" w:rsidR="00F8775D" w:rsidRPr="001219F9" w:rsidRDefault="00F8775D" w:rsidP="00A11E83">
            <w:pPr>
              <w:pStyle w:val="Compact"/>
              <w:spacing w:line="480" w:lineRule="auto"/>
              <w:rPr>
                <w:sz w:val="14"/>
                <w:szCs w:val="14"/>
              </w:rPr>
            </w:pPr>
            <w:r w:rsidRPr="001219F9">
              <w:rPr>
                <w:sz w:val="14"/>
                <w:szCs w:val="14"/>
              </w:rPr>
              <w:t>4 (0.8)</w:t>
            </w:r>
          </w:p>
        </w:tc>
        <w:tc>
          <w:tcPr>
            <w:tcW w:w="850" w:type="dxa"/>
          </w:tcPr>
          <w:p w14:paraId="0FE0EDE0" w14:textId="77777777" w:rsidR="00F8775D" w:rsidRPr="001219F9" w:rsidRDefault="00F8775D" w:rsidP="00A11E83">
            <w:pPr>
              <w:pStyle w:val="Compact"/>
              <w:spacing w:line="480" w:lineRule="auto"/>
              <w:rPr>
                <w:sz w:val="14"/>
                <w:szCs w:val="14"/>
              </w:rPr>
            </w:pPr>
            <w:r w:rsidRPr="001219F9">
              <w:rPr>
                <w:sz w:val="14"/>
                <w:szCs w:val="14"/>
              </w:rPr>
              <w:t>35 (6.9)</w:t>
            </w:r>
          </w:p>
        </w:tc>
        <w:tc>
          <w:tcPr>
            <w:tcW w:w="851" w:type="dxa"/>
          </w:tcPr>
          <w:p w14:paraId="4312644B" w14:textId="77777777" w:rsidR="00F8775D" w:rsidRPr="001219F9" w:rsidRDefault="00F8775D" w:rsidP="00A11E83">
            <w:pPr>
              <w:pStyle w:val="Compact"/>
              <w:spacing w:line="480" w:lineRule="auto"/>
              <w:rPr>
                <w:sz w:val="14"/>
                <w:szCs w:val="14"/>
              </w:rPr>
            </w:pPr>
            <w:r w:rsidRPr="001219F9">
              <w:rPr>
                <w:sz w:val="14"/>
                <w:szCs w:val="14"/>
              </w:rPr>
              <w:t>14 (2.8)</w:t>
            </w:r>
          </w:p>
        </w:tc>
        <w:tc>
          <w:tcPr>
            <w:tcW w:w="991" w:type="dxa"/>
          </w:tcPr>
          <w:p w14:paraId="339E7ABF" w14:textId="77777777" w:rsidR="00F8775D" w:rsidRPr="001219F9" w:rsidRDefault="00F8775D" w:rsidP="00A11E83">
            <w:pPr>
              <w:pStyle w:val="Compact"/>
              <w:spacing w:line="480" w:lineRule="auto"/>
              <w:rPr>
                <w:sz w:val="14"/>
                <w:szCs w:val="14"/>
              </w:rPr>
            </w:pPr>
            <w:r w:rsidRPr="001219F9">
              <w:rPr>
                <w:sz w:val="14"/>
                <w:szCs w:val="14"/>
              </w:rPr>
              <w:t>2 (0.4)</w:t>
            </w:r>
          </w:p>
        </w:tc>
      </w:tr>
      <w:tr w:rsidR="00F8775D" w:rsidRPr="001219F9" w14:paraId="03242F76" w14:textId="77777777" w:rsidTr="00A11E83">
        <w:tc>
          <w:tcPr>
            <w:tcW w:w="534" w:type="dxa"/>
          </w:tcPr>
          <w:p w14:paraId="2D2C524C" w14:textId="77777777" w:rsidR="00F8775D" w:rsidRPr="00210676" w:rsidRDefault="00F8775D" w:rsidP="00A11E83">
            <w:pPr>
              <w:pStyle w:val="Compact"/>
              <w:spacing w:line="480" w:lineRule="auto"/>
              <w:rPr>
                <w:b/>
                <w:sz w:val="14"/>
                <w:szCs w:val="14"/>
              </w:rPr>
            </w:pPr>
            <w:r w:rsidRPr="00210676">
              <w:rPr>
                <w:b/>
                <w:sz w:val="14"/>
                <w:szCs w:val="14"/>
              </w:rPr>
              <w:t>CBZ</w:t>
            </w:r>
          </w:p>
        </w:tc>
        <w:tc>
          <w:tcPr>
            <w:tcW w:w="850" w:type="dxa"/>
          </w:tcPr>
          <w:p w14:paraId="185DFD69" w14:textId="77777777" w:rsidR="00F8775D" w:rsidRPr="001219F9" w:rsidRDefault="00F8775D" w:rsidP="00A11E83">
            <w:pPr>
              <w:pStyle w:val="Compact"/>
              <w:spacing w:line="480" w:lineRule="auto"/>
              <w:rPr>
                <w:sz w:val="14"/>
                <w:szCs w:val="14"/>
              </w:rPr>
            </w:pPr>
            <w:r w:rsidRPr="001219F9">
              <w:rPr>
                <w:sz w:val="14"/>
                <w:szCs w:val="14"/>
              </w:rPr>
              <w:t>115 (18.7)</w:t>
            </w:r>
          </w:p>
        </w:tc>
        <w:tc>
          <w:tcPr>
            <w:tcW w:w="885" w:type="dxa"/>
          </w:tcPr>
          <w:p w14:paraId="68CF69C7" w14:textId="77777777" w:rsidR="00F8775D" w:rsidRPr="001219F9" w:rsidRDefault="00F8775D" w:rsidP="00A11E83">
            <w:pPr>
              <w:pStyle w:val="Compact"/>
              <w:spacing w:line="480" w:lineRule="auto"/>
              <w:rPr>
                <w:sz w:val="14"/>
                <w:szCs w:val="14"/>
              </w:rPr>
            </w:pPr>
            <w:r w:rsidRPr="001219F9">
              <w:rPr>
                <w:sz w:val="14"/>
                <w:szCs w:val="14"/>
              </w:rPr>
              <w:t>28 (4.2)</w:t>
            </w:r>
          </w:p>
        </w:tc>
        <w:tc>
          <w:tcPr>
            <w:tcW w:w="851" w:type="dxa"/>
          </w:tcPr>
          <w:p w14:paraId="7819DFD1" w14:textId="77777777" w:rsidR="00F8775D" w:rsidRPr="001219F9" w:rsidRDefault="00F8775D" w:rsidP="00A11E83">
            <w:pPr>
              <w:pStyle w:val="Compact"/>
              <w:spacing w:line="480" w:lineRule="auto"/>
              <w:rPr>
                <w:sz w:val="14"/>
                <w:szCs w:val="14"/>
              </w:rPr>
            </w:pPr>
            <w:r w:rsidRPr="001219F9">
              <w:rPr>
                <w:sz w:val="14"/>
                <w:szCs w:val="14"/>
              </w:rPr>
              <w:t>39 (5.9)</w:t>
            </w:r>
          </w:p>
        </w:tc>
        <w:tc>
          <w:tcPr>
            <w:tcW w:w="850" w:type="dxa"/>
          </w:tcPr>
          <w:p w14:paraId="13AC3DAE" w14:textId="77777777" w:rsidR="00F8775D" w:rsidRPr="001219F9" w:rsidRDefault="00F8775D" w:rsidP="00A11E83">
            <w:pPr>
              <w:pStyle w:val="Compact"/>
              <w:spacing w:line="480" w:lineRule="auto"/>
              <w:rPr>
                <w:sz w:val="14"/>
                <w:szCs w:val="14"/>
              </w:rPr>
            </w:pPr>
            <w:r w:rsidRPr="001219F9">
              <w:rPr>
                <w:sz w:val="14"/>
                <w:szCs w:val="14"/>
              </w:rPr>
              <w:t>38 (5.8)</w:t>
            </w:r>
          </w:p>
        </w:tc>
        <w:tc>
          <w:tcPr>
            <w:tcW w:w="852" w:type="dxa"/>
          </w:tcPr>
          <w:p w14:paraId="51C6ED23" w14:textId="77777777" w:rsidR="00F8775D" w:rsidRPr="001219F9" w:rsidRDefault="00F8775D" w:rsidP="00A11E83">
            <w:pPr>
              <w:pStyle w:val="Compact"/>
              <w:spacing w:line="480" w:lineRule="auto"/>
              <w:rPr>
                <w:sz w:val="14"/>
                <w:szCs w:val="14"/>
              </w:rPr>
            </w:pPr>
            <w:r w:rsidRPr="001219F9">
              <w:rPr>
                <w:sz w:val="14"/>
                <w:szCs w:val="14"/>
              </w:rPr>
              <w:t>2 (0.3)</w:t>
            </w:r>
          </w:p>
        </w:tc>
        <w:tc>
          <w:tcPr>
            <w:tcW w:w="707" w:type="dxa"/>
          </w:tcPr>
          <w:p w14:paraId="57844901" w14:textId="77777777" w:rsidR="00F8775D" w:rsidRPr="001219F9" w:rsidRDefault="00F8775D" w:rsidP="00A11E83">
            <w:pPr>
              <w:pStyle w:val="Compact"/>
              <w:spacing w:line="480" w:lineRule="auto"/>
              <w:rPr>
                <w:sz w:val="14"/>
                <w:szCs w:val="14"/>
              </w:rPr>
            </w:pPr>
            <w:r w:rsidRPr="001219F9">
              <w:rPr>
                <w:sz w:val="14"/>
                <w:szCs w:val="14"/>
              </w:rPr>
              <w:t>2 (0.3)</w:t>
            </w:r>
          </w:p>
        </w:tc>
        <w:tc>
          <w:tcPr>
            <w:tcW w:w="710" w:type="dxa"/>
          </w:tcPr>
          <w:p w14:paraId="08F19DC8" w14:textId="77777777" w:rsidR="00F8775D" w:rsidRPr="001219F9" w:rsidRDefault="00F8775D" w:rsidP="00A11E83">
            <w:pPr>
              <w:pStyle w:val="Compact"/>
              <w:spacing w:line="480" w:lineRule="auto"/>
              <w:rPr>
                <w:sz w:val="14"/>
                <w:szCs w:val="14"/>
              </w:rPr>
            </w:pPr>
            <w:r w:rsidRPr="001219F9">
              <w:rPr>
                <w:sz w:val="14"/>
                <w:szCs w:val="14"/>
              </w:rPr>
              <w:t>13 (2)</w:t>
            </w:r>
          </w:p>
        </w:tc>
        <w:tc>
          <w:tcPr>
            <w:tcW w:w="851" w:type="dxa"/>
          </w:tcPr>
          <w:p w14:paraId="383EC325" w14:textId="77777777" w:rsidR="00F8775D" w:rsidRPr="001219F9" w:rsidRDefault="00F8775D" w:rsidP="00A11E83">
            <w:pPr>
              <w:pStyle w:val="Compact"/>
              <w:spacing w:line="480" w:lineRule="auto"/>
              <w:rPr>
                <w:sz w:val="14"/>
                <w:szCs w:val="14"/>
              </w:rPr>
            </w:pPr>
            <w:r w:rsidRPr="001219F9">
              <w:rPr>
                <w:sz w:val="14"/>
                <w:szCs w:val="14"/>
              </w:rPr>
              <w:t>1 (0.2)</w:t>
            </w:r>
          </w:p>
        </w:tc>
        <w:tc>
          <w:tcPr>
            <w:tcW w:w="850" w:type="dxa"/>
          </w:tcPr>
          <w:p w14:paraId="5AD132D7" w14:textId="77777777" w:rsidR="00F8775D" w:rsidRPr="001219F9" w:rsidRDefault="00F8775D" w:rsidP="00A11E83">
            <w:pPr>
              <w:pStyle w:val="Compact"/>
              <w:spacing w:line="480" w:lineRule="auto"/>
              <w:rPr>
                <w:sz w:val="14"/>
                <w:szCs w:val="14"/>
              </w:rPr>
            </w:pPr>
            <w:r w:rsidRPr="001219F9">
              <w:rPr>
                <w:sz w:val="14"/>
                <w:szCs w:val="14"/>
              </w:rPr>
              <w:t>3 (0.5)</w:t>
            </w:r>
          </w:p>
        </w:tc>
        <w:tc>
          <w:tcPr>
            <w:tcW w:w="851" w:type="dxa"/>
          </w:tcPr>
          <w:p w14:paraId="26983820" w14:textId="77777777" w:rsidR="00F8775D" w:rsidRPr="001219F9" w:rsidRDefault="00F8775D" w:rsidP="00A11E83">
            <w:pPr>
              <w:pStyle w:val="Compact"/>
              <w:spacing w:line="480" w:lineRule="auto"/>
              <w:rPr>
                <w:sz w:val="14"/>
                <w:szCs w:val="14"/>
              </w:rPr>
            </w:pPr>
            <w:r w:rsidRPr="001219F9">
              <w:rPr>
                <w:sz w:val="14"/>
                <w:szCs w:val="14"/>
              </w:rPr>
              <w:t>3 (0.5)</w:t>
            </w:r>
          </w:p>
        </w:tc>
        <w:tc>
          <w:tcPr>
            <w:tcW w:w="991" w:type="dxa"/>
          </w:tcPr>
          <w:p w14:paraId="38ADEB2F" w14:textId="77777777" w:rsidR="00F8775D" w:rsidRPr="001219F9" w:rsidRDefault="00F8775D" w:rsidP="00A11E83">
            <w:pPr>
              <w:pStyle w:val="Compact"/>
              <w:spacing w:line="480" w:lineRule="auto"/>
              <w:rPr>
                <w:sz w:val="14"/>
                <w:szCs w:val="14"/>
              </w:rPr>
            </w:pPr>
            <w:r w:rsidRPr="001219F9">
              <w:rPr>
                <w:sz w:val="14"/>
                <w:szCs w:val="14"/>
              </w:rPr>
              <w:t>2 (0.3)</w:t>
            </w:r>
          </w:p>
        </w:tc>
      </w:tr>
      <w:tr w:rsidR="00F8775D" w:rsidRPr="001219F9" w14:paraId="0A0198A1" w14:textId="77777777" w:rsidTr="00A11E83">
        <w:tc>
          <w:tcPr>
            <w:tcW w:w="534" w:type="dxa"/>
          </w:tcPr>
          <w:p w14:paraId="1E3D7CFD" w14:textId="77777777" w:rsidR="00F8775D" w:rsidRPr="00210676" w:rsidRDefault="00F8775D" w:rsidP="00A11E83">
            <w:pPr>
              <w:pStyle w:val="Compact"/>
              <w:spacing w:line="480" w:lineRule="auto"/>
              <w:rPr>
                <w:b/>
                <w:sz w:val="14"/>
                <w:szCs w:val="14"/>
              </w:rPr>
            </w:pPr>
            <w:r w:rsidRPr="00210676">
              <w:rPr>
                <w:b/>
                <w:sz w:val="14"/>
                <w:szCs w:val="14"/>
              </w:rPr>
              <w:t>LEV</w:t>
            </w:r>
          </w:p>
        </w:tc>
        <w:tc>
          <w:tcPr>
            <w:tcW w:w="850" w:type="dxa"/>
          </w:tcPr>
          <w:p w14:paraId="37F0B574" w14:textId="77777777" w:rsidR="00F8775D" w:rsidRPr="001219F9" w:rsidRDefault="00F8775D" w:rsidP="00A11E83">
            <w:pPr>
              <w:pStyle w:val="Compact"/>
              <w:spacing w:line="480" w:lineRule="auto"/>
              <w:rPr>
                <w:sz w:val="14"/>
                <w:szCs w:val="14"/>
              </w:rPr>
            </w:pPr>
            <w:r w:rsidRPr="001219F9">
              <w:rPr>
                <w:sz w:val="14"/>
                <w:szCs w:val="14"/>
              </w:rPr>
              <w:t>74 (17.5)</w:t>
            </w:r>
          </w:p>
        </w:tc>
        <w:tc>
          <w:tcPr>
            <w:tcW w:w="885" w:type="dxa"/>
          </w:tcPr>
          <w:p w14:paraId="286DEED2" w14:textId="77777777" w:rsidR="00F8775D" w:rsidRPr="001219F9" w:rsidRDefault="00F8775D" w:rsidP="00A11E83">
            <w:pPr>
              <w:pStyle w:val="Compact"/>
              <w:spacing w:line="480" w:lineRule="auto"/>
              <w:rPr>
                <w:sz w:val="14"/>
                <w:szCs w:val="14"/>
              </w:rPr>
            </w:pPr>
            <w:r w:rsidRPr="001219F9">
              <w:rPr>
                <w:sz w:val="14"/>
                <w:szCs w:val="14"/>
              </w:rPr>
              <w:t>31 (7.2)</w:t>
            </w:r>
          </w:p>
        </w:tc>
        <w:tc>
          <w:tcPr>
            <w:tcW w:w="851" w:type="dxa"/>
          </w:tcPr>
          <w:p w14:paraId="1C6FB34D" w14:textId="77777777" w:rsidR="00F8775D" w:rsidRPr="001219F9" w:rsidRDefault="00F8775D" w:rsidP="00A11E83">
            <w:pPr>
              <w:pStyle w:val="Compact"/>
              <w:spacing w:line="480" w:lineRule="auto"/>
              <w:rPr>
                <w:sz w:val="14"/>
                <w:szCs w:val="14"/>
              </w:rPr>
            </w:pPr>
            <w:r w:rsidRPr="001219F9">
              <w:rPr>
                <w:sz w:val="14"/>
                <w:szCs w:val="14"/>
              </w:rPr>
              <w:t>12 (2.8)</w:t>
            </w:r>
          </w:p>
        </w:tc>
        <w:tc>
          <w:tcPr>
            <w:tcW w:w="850" w:type="dxa"/>
          </w:tcPr>
          <w:p w14:paraId="043E4F9E" w14:textId="77777777" w:rsidR="00F8775D" w:rsidRPr="001219F9" w:rsidRDefault="00F8775D" w:rsidP="00A11E83">
            <w:pPr>
              <w:pStyle w:val="Compact"/>
              <w:spacing w:line="480" w:lineRule="auto"/>
              <w:rPr>
                <w:sz w:val="14"/>
                <w:szCs w:val="14"/>
              </w:rPr>
            </w:pPr>
            <w:r w:rsidRPr="001219F9">
              <w:rPr>
                <w:sz w:val="14"/>
                <w:szCs w:val="14"/>
              </w:rPr>
              <w:t>0 (0)</w:t>
            </w:r>
          </w:p>
        </w:tc>
        <w:tc>
          <w:tcPr>
            <w:tcW w:w="852" w:type="dxa"/>
          </w:tcPr>
          <w:p w14:paraId="65810E2D" w14:textId="77777777" w:rsidR="00F8775D" w:rsidRPr="001219F9" w:rsidRDefault="00F8775D" w:rsidP="00A11E83">
            <w:pPr>
              <w:pStyle w:val="Compact"/>
              <w:spacing w:line="480" w:lineRule="auto"/>
              <w:rPr>
                <w:sz w:val="14"/>
                <w:szCs w:val="14"/>
              </w:rPr>
            </w:pPr>
            <w:r w:rsidRPr="001219F9">
              <w:rPr>
                <w:sz w:val="14"/>
                <w:szCs w:val="14"/>
              </w:rPr>
              <w:t>29 (6.7)</w:t>
            </w:r>
          </w:p>
        </w:tc>
        <w:tc>
          <w:tcPr>
            <w:tcW w:w="707" w:type="dxa"/>
          </w:tcPr>
          <w:p w14:paraId="2309D3E1" w14:textId="77777777" w:rsidR="00F8775D" w:rsidRPr="001219F9" w:rsidRDefault="00F8775D" w:rsidP="00A11E83">
            <w:pPr>
              <w:pStyle w:val="Compact"/>
              <w:spacing w:line="480" w:lineRule="auto"/>
              <w:rPr>
                <w:sz w:val="14"/>
                <w:szCs w:val="14"/>
              </w:rPr>
            </w:pPr>
            <w:r w:rsidRPr="001219F9">
              <w:rPr>
                <w:sz w:val="14"/>
                <w:szCs w:val="14"/>
              </w:rPr>
              <w:t>0 (0)</w:t>
            </w:r>
          </w:p>
        </w:tc>
        <w:tc>
          <w:tcPr>
            <w:tcW w:w="710" w:type="dxa"/>
          </w:tcPr>
          <w:p w14:paraId="4B12180F" w14:textId="77777777" w:rsidR="00F8775D" w:rsidRPr="001219F9" w:rsidRDefault="00F8775D" w:rsidP="00A11E83">
            <w:pPr>
              <w:pStyle w:val="Compact"/>
              <w:spacing w:line="480" w:lineRule="auto"/>
              <w:rPr>
                <w:sz w:val="14"/>
                <w:szCs w:val="14"/>
              </w:rPr>
            </w:pPr>
            <w:r w:rsidRPr="001219F9">
              <w:rPr>
                <w:sz w:val="14"/>
                <w:szCs w:val="14"/>
              </w:rPr>
              <w:t>1 (0.2)</w:t>
            </w:r>
          </w:p>
        </w:tc>
        <w:tc>
          <w:tcPr>
            <w:tcW w:w="851" w:type="dxa"/>
          </w:tcPr>
          <w:p w14:paraId="1031CF91" w14:textId="77777777" w:rsidR="00F8775D" w:rsidRPr="001219F9" w:rsidRDefault="00F8775D" w:rsidP="00A11E83">
            <w:pPr>
              <w:pStyle w:val="Compact"/>
              <w:spacing w:line="480" w:lineRule="auto"/>
              <w:rPr>
                <w:sz w:val="14"/>
                <w:szCs w:val="14"/>
              </w:rPr>
            </w:pPr>
            <w:r w:rsidRPr="001219F9">
              <w:rPr>
                <w:sz w:val="14"/>
                <w:szCs w:val="14"/>
              </w:rPr>
              <w:t>2 (0.5)</w:t>
            </w:r>
          </w:p>
        </w:tc>
        <w:tc>
          <w:tcPr>
            <w:tcW w:w="850" w:type="dxa"/>
          </w:tcPr>
          <w:p w14:paraId="61F4B887" w14:textId="77777777" w:rsidR="00F8775D" w:rsidRPr="001219F9" w:rsidRDefault="00F8775D" w:rsidP="00A11E83">
            <w:pPr>
              <w:pStyle w:val="Compact"/>
              <w:spacing w:line="480" w:lineRule="auto"/>
              <w:rPr>
                <w:sz w:val="14"/>
                <w:szCs w:val="14"/>
              </w:rPr>
            </w:pPr>
            <w:r w:rsidRPr="001219F9">
              <w:rPr>
                <w:sz w:val="14"/>
                <w:szCs w:val="14"/>
              </w:rPr>
              <w:t>3 (0.7)</w:t>
            </w:r>
          </w:p>
        </w:tc>
        <w:tc>
          <w:tcPr>
            <w:tcW w:w="851" w:type="dxa"/>
          </w:tcPr>
          <w:p w14:paraId="0457FE7E" w14:textId="77777777" w:rsidR="00F8775D" w:rsidRPr="001219F9" w:rsidRDefault="00F8775D" w:rsidP="00A11E83">
            <w:pPr>
              <w:pStyle w:val="Compact"/>
              <w:spacing w:line="480" w:lineRule="auto"/>
              <w:rPr>
                <w:sz w:val="14"/>
                <w:szCs w:val="14"/>
              </w:rPr>
            </w:pPr>
            <w:r w:rsidRPr="001219F9">
              <w:rPr>
                <w:sz w:val="14"/>
                <w:szCs w:val="14"/>
              </w:rPr>
              <w:t>6 (1.4)</w:t>
            </w:r>
          </w:p>
        </w:tc>
        <w:tc>
          <w:tcPr>
            <w:tcW w:w="991" w:type="dxa"/>
          </w:tcPr>
          <w:p w14:paraId="3ECAED62" w14:textId="77777777" w:rsidR="00F8775D" w:rsidRPr="001219F9" w:rsidRDefault="00F8775D" w:rsidP="00A11E83">
            <w:pPr>
              <w:pStyle w:val="Compact"/>
              <w:spacing w:line="480" w:lineRule="auto"/>
              <w:rPr>
                <w:sz w:val="14"/>
                <w:szCs w:val="14"/>
              </w:rPr>
            </w:pPr>
            <w:r w:rsidRPr="001219F9">
              <w:rPr>
                <w:sz w:val="14"/>
                <w:szCs w:val="14"/>
              </w:rPr>
              <w:t>16 (3.7)</w:t>
            </w:r>
          </w:p>
        </w:tc>
      </w:tr>
      <w:tr w:rsidR="00F8775D" w:rsidRPr="001219F9" w14:paraId="25D06A48" w14:textId="77777777" w:rsidTr="00A11E83">
        <w:tc>
          <w:tcPr>
            <w:tcW w:w="534" w:type="dxa"/>
          </w:tcPr>
          <w:p w14:paraId="7A490BA9" w14:textId="77777777" w:rsidR="00F8775D" w:rsidRPr="00210676" w:rsidRDefault="00F8775D" w:rsidP="00A11E83">
            <w:pPr>
              <w:pStyle w:val="Compact"/>
              <w:spacing w:line="480" w:lineRule="auto"/>
              <w:rPr>
                <w:b/>
                <w:sz w:val="14"/>
                <w:szCs w:val="14"/>
              </w:rPr>
            </w:pPr>
            <w:r w:rsidRPr="00210676">
              <w:rPr>
                <w:b/>
                <w:sz w:val="14"/>
                <w:szCs w:val="14"/>
              </w:rPr>
              <w:t>VGB</w:t>
            </w:r>
          </w:p>
        </w:tc>
        <w:tc>
          <w:tcPr>
            <w:tcW w:w="850" w:type="dxa"/>
          </w:tcPr>
          <w:p w14:paraId="5F5154EB" w14:textId="77777777" w:rsidR="00F8775D" w:rsidRPr="001219F9" w:rsidRDefault="00F8775D" w:rsidP="00A11E83">
            <w:pPr>
              <w:pStyle w:val="Compact"/>
              <w:spacing w:line="480" w:lineRule="auto"/>
              <w:rPr>
                <w:sz w:val="14"/>
                <w:szCs w:val="14"/>
              </w:rPr>
            </w:pPr>
            <w:r w:rsidRPr="001219F9">
              <w:rPr>
                <w:sz w:val="14"/>
                <w:szCs w:val="14"/>
              </w:rPr>
              <w:t>39 (16.9)</w:t>
            </w:r>
          </w:p>
        </w:tc>
        <w:tc>
          <w:tcPr>
            <w:tcW w:w="885" w:type="dxa"/>
          </w:tcPr>
          <w:p w14:paraId="4E33A53F" w14:textId="77777777" w:rsidR="00F8775D" w:rsidRPr="001219F9" w:rsidRDefault="00F8775D" w:rsidP="00A11E83">
            <w:pPr>
              <w:pStyle w:val="Compact"/>
              <w:spacing w:line="480" w:lineRule="auto"/>
              <w:rPr>
                <w:sz w:val="14"/>
                <w:szCs w:val="14"/>
              </w:rPr>
            </w:pPr>
            <w:r w:rsidRPr="001219F9">
              <w:rPr>
                <w:sz w:val="14"/>
                <w:szCs w:val="14"/>
              </w:rPr>
              <w:t>3 (1.3)</w:t>
            </w:r>
          </w:p>
        </w:tc>
        <w:tc>
          <w:tcPr>
            <w:tcW w:w="851" w:type="dxa"/>
          </w:tcPr>
          <w:p w14:paraId="2E572E9D" w14:textId="77777777" w:rsidR="00F8775D" w:rsidRPr="001219F9" w:rsidRDefault="00F8775D" w:rsidP="00A11E83">
            <w:pPr>
              <w:pStyle w:val="Compact"/>
              <w:spacing w:line="480" w:lineRule="auto"/>
              <w:rPr>
                <w:sz w:val="14"/>
                <w:szCs w:val="14"/>
              </w:rPr>
            </w:pPr>
            <w:r w:rsidRPr="001219F9">
              <w:rPr>
                <w:sz w:val="14"/>
                <w:szCs w:val="14"/>
              </w:rPr>
              <w:t>0 (0)</w:t>
            </w:r>
          </w:p>
        </w:tc>
        <w:tc>
          <w:tcPr>
            <w:tcW w:w="850" w:type="dxa"/>
          </w:tcPr>
          <w:p w14:paraId="61A416DF" w14:textId="77777777" w:rsidR="00F8775D" w:rsidRPr="001219F9" w:rsidRDefault="00F8775D" w:rsidP="00A11E83">
            <w:pPr>
              <w:pStyle w:val="Compact"/>
              <w:spacing w:line="480" w:lineRule="auto"/>
              <w:rPr>
                <w:sz w:val="14"/>
                <w:szCs w:val="14"/>
              </w:rPr>
            </w:pPr>
            <w:r w:rsidRPr="001219F9">
              <w:rPr>
                <w:sz w:val="14"/>
                <w:szCs w:val="14"/>
              </w:rPr>
              <w:t>5 (2.1)</w:t>
            </w:r>
          </w:p>
        </w:tc>
        <w:tc>
          <w:tcPr>
            <w:tcW w:w="852" w:type="dxa"/>
          </w:tcPr>
          <w:p w14:paraId="6F0E610B" w14:textId="77777777" w:rsidR="00F8775D" w:rsidRPr="001219F9" w:rsidRDefault="00F8775D" w:rsidP="00A11E83">
            <w:pPr>
              <w:pStyle w:val="Compact"/>
              <w:spacing w:line="480" w:lineRule="auto"/>
              <w:rPr>
                <w:sz w:val="14"/>
                <w:szCs w:val="14"/>
              </w:rPr>
            </w:pPr>
            <w:r w:rsidRPr="001219F9">
              <w:rPr>
                <w:sz w:val="14"/>
                <w:szCs w:val="14"/>
              </w:rPr>
              <w:t>0 (0)</w:t>
            </w:r>
          </w:p>
        </w:tc>
        <w:tc>
          <w:tcPr>
            <w:tcW w:w="707" w:type="dxa"/>
          </w:tcPr>
          <w:p w14:paraId="15ADE2C0" w14:textId="77777777" w:rsidR="00F8775D" w:rsidRPr="001219F9" w:rsidRDefault="00F8775D" w:rsidP="00A11E83">
            <w:pPr>
              <w:pStyle w:val="Compact"/>
              <w:spacing w:line="480" w:lineRule="auto"/>
              <w:rPr>
                <w:sz w:val="14"/>
                <w:szCs w:val="14"/>
              </w:rPr>
            </w:pPr>
            <w:r w:rsidRPr="001219F9">
              <w:rPr>
                <w:sz w:val="14"/>
                <w:szCs w:val="14"/>
              </w:rPr>
              <w:t>5 (2.1)</w:t>
            </w:r>
          </w:p>
        </w:tc>
        <w:tc>
          <w:tcPr>
            <w:tcW w:w="710" w:type="dxa"/>
          </w:tcPr>
          <w:p w14:paraId="4AE0AE0D" w14:textId="77777777" w:rsidR="00F8775D" w:rsidRPr="001219F9" w:rsidRDefault="00F8775D" w:rsidP="00A11E83">
            <w:pPr>
              <w:pStyle w:val="Compact"/>
              <w:spacing w:line="480" w:lineRule="auto"/>
              <w:rPr>
                <w:sz w:val="14"/>
                <w:szCs w:val="14"/>
              </w:rPr>
            </w:pPr>
            <w:r w:rsidRPr="001219F9">
              <w:rPr>
                <w:sz w:val="14"/>
                <w:szCs w:val="14"/>
              </w:rPr>
              <w:t>0 (0)</w:t>
            </w:r>
          </w:p>
        </w:tc>
        <w:tc>
          <w:tcPr>
            <w:tcW w:w="851" w:type="dxa"/>
          </w:tcPr>
          <w:p w14:paraId="2881FB72" w14:textId="77777777" w:rsidR="00F8775D" w:rsidRPr="001219F9" w:rsidRDefault="00F8775D" w:rsidP="00A11E83">
            <w:pPr>
              <w:pStyle w:val="Compact"/>
              <w:spacing w:line="480" w:lineRule="auto"/>
              <w:rPr>
                <w:sz w:val="14"/>
                <w:szCs w:val="14"/>
              </w:rPr>
            </w:pPr>
            <w:r w:rsidRPr="001219F9">
              <w:rPr>
                <w:sz w:val="14"/>
                <w:szCs w:val="14"/>
              </w:rPr>
              <w:t>1 (0.4)</w:t>
            </w:r>
          </w:p>
        </w:tc>
        <w:tc>
          <w:tcPr>
            <w:tcW w:w="850" w:type="dxa"/>
          </w:tcPr>
          <w:p w14:paraId="1D980C46" w14:textId="77777777" w:rsidR="00F8775D" w:rsidRPr="001219F9" w:rsidRDefault="00F8775D" w:rsidP="00A11E83">
            <w:pPr>
              <w:pStyle w:val="Compact"/>
              <w:spacing w:line="480" w:lineRule="auto"/>
              <w:rPr>
                <w:sz w:val="14"/>
                <w:szCs w:val="14"/>
              </w:rPr>
            </w:pPr>
            <w:r w:rsidRPr="001219F9">
              <w:rPr>
                <w:sz w:val="14"/>
                <w:szCs w:val="14"/>
              </w:rPr>
              <w:t>1 (0.4)</w:t>
            </w:r>
          </w:p>
        </w:tc>
        <w:tc>
          <w:tcPr>
            <w:tcW w:w="851" w:type="dxa"/>
          </w:tcPr>
          <w:p w14:paraId="6D1B9452" w14:textId="77777777" w:rsidR="00F8775D" w:rsidRPr="001219F9" w:rsidRDefault="00F8775D" w:rsidP="00A11E83">
            <w:pPr>
              <w:pStyle w:val="Compact"/>
              <w:spacing w:line="480" w:lineRule="auto"/>
              <w:rPr>
                <w:sz w:val="14"/>
                <w:szCs w:val="14"/>
              </w:rPr>
            </w:pPr>
            <w:r w:rsidRPr="001219F9">
              <w:rPr>
                <w:sz w:val="14"/>
                <w:szCs w:val="14"/>
              </w:rPr>
              <w:t>0 (0)</w:t>
            </w:r>
          </w:p>
        </w:tc>
        <w:tc>
          <w:tcPr>
            <w:tcW w:w="991" w:type="dxa"/>
          </w:tcPr>
          <w:p w14:paraId="56160526" w14:textId="77777777" w:rsidR="00F8775D" w:rsidRPr="001219F9" w:rsidRDefault="00F8775D" w:rsidP="00A11E83">
            <w:pPr>
              <w:pStyle w:val="Compact"/>
              <w:spacing w:line="480" w:lineRule="auto"/>
              <w:rPr>
                <w:sz w:val="14"/>
                <w:szCs w:val="14"/>
              </w:rPr>
            </w:pPr>
            <w:r w:rsidRPr="001219F9">
              <w:rPr>
                <w:sz w:val="14"/>
                <w:szCs w:val="14"/>
              </w:rPr>
              <w:t>4 (1.7)</w:t>
            </w:r>
          </w:p>
        </w:tc>
      </w:tr>
      <w:tr w:rsidR="00F8775D" w:rsidRPr="001219F9" w14:paraId="120B29E2" w14:textId="77777777" w:rsidTr="00A11E83">
        <w:tc>
          <w:tcPr>
            <w:tcW w:w="534" w:type="dxa"/>
          </w:tcPr>
          <w:p w14:paraId="478A2013" w14:textId="77777777" w:rsidR="00F8775D" w:rsidRPr="00210676" w:rsidRDefault="00F8775D" w:rsidP="00A11E83">
            <w:pPr>
              <w:pStyle w:val="Compact"/>
              <w:spacing w:line="480" w:lineRule="auto"/>
              <w:rPr>
                <w:b/>
                <w:sz w:val="14"/>
                <w:szCs w:val="14"/>
              </w:rPr>
            </w:pPr>
            <w:r w:rsidRPr="00210676">
              <w:rPr>
                <w:b/>
                <w:sz w:val="14"/>
                <w:szCs w:val="14"/>
              </w:rPr>
              <w:t>LTG</w:t>
            </w:r>
          </w:p>
        </w:tc>
        <w:tc>
          <w:tcPr>
            <w:tcW w:w="850" w:type="dxa"/>
          </w:tcPr>
          <w:p w14:paraId="18FD6387" w14:textId="77777777" w:rsidR="00F8775D" w:rsidRPr="001219F9" w:rsidRDefault="00F8775D" w:rsidP="00A11E83">
            <w:pPr>
              <w:pStyle w:val="Compact"/>
              <w:spacing w:line="480" w:lineRule="auto"/>
              <w:rPr>
                <w:sz w:val="14"/>
                <w:szCs w:val="14"/>
              </w:rPr>
            </w:pPr>
            <w:r w:rsidRPr="001219F9">
              <w:rPr>
                <w:sz w:val="14"/>
                <w:szCs w:val="14"/>
              </w:rPr>
              <w:t>76 (16.6)</w:t>
            </w:r>
          </w:p>
        </w:tc>
        <w:tc>
          <w:tcPr>
            <w:tcW w:w="885" w:type="dxa"/>
          </w:tcPr>
          <w:p w14:paraId="4BDFF7BA" w14:textId="77777777" w:rsidR="00F8775D" w:rsidRPr="001219F9" w:rsidRDefault="00F8775D" w:rsidP="00A11E83">
            <w:pPr>
              <w:pStyle w:val="Compact"/>
              <w:spacing w:line="480" w:lineRule="auto"/>
              <w:rPr>
                <w:sz w:val="14"/>
                <w:szCs w:val="14"/>
              </w:rPr>
            </w:pPr>
            <w:r w:rsidRPr="001219F9">
              <w:rPr>
                <w:sz w:val="14"/>
                <w:szCs w:val="14"/>
              </w:rPr>
              <w:t>17 (3.6)</w:t>
            </w:r>
          </w:p>
        </w:tc>
        <w:tc>
          <w:tcPr>
            <w:tcW w:w="851" w:type="dxa"/>
          </w:tcPr>
          <w:p w14:paraId="6A2F718F" w14:textId="77777777" w:rsidR="00F8775D" w:rsidRPr="001219F9" w:rsidRDefault="00F8775D" w:rsidP="00A11E83">
            <w:pPr>
              <w:pStyle w:val="Compact"/>
              <w:spacing w:line="480" w:lineRule="auto"/>
              <w:rPr>
                <w:sz w:val="14"/>
                <w:szCs w:val="14"/>
              </w:rPr>
            </w:pPr>
            <w:r w:rsidRPr="001219F9">
              <w:rPr>
                <w:sz w:val="14"/>
                <w:szCs w:val="14"/>
              </w:rPr>
              <w:t>23 (4.9)</w:t>
            </w:r>
          </w:p>
        </w:tc>
        <w:tc>
          <w:tcPr>
            <w:tcW w:w="850" w:type="dxa"/>
          </w:tcPr>
          <w:p w14:paraId="392476BB" w14:textId="77777777" w:rsidR="00F8775D" w:rsidRPr="001219F9" w:rsidRDefault="00F8775D" w:rsidP="00A11E83">
            <w:pPr>
              <w:pStyle w:val="Compact"/>
              <w:spacing w:line="480" w:lineRule="auto"/>
              <w:rPr>
                <w:sz w:val="14"/>
                <w:szCs w:val="14"/>
              </w:rPr>
            </w:pPr>
            <w:r w:rsidRPr="001219F9">
              <w:rPr>
                <w:sz w:val="14"/>
                <w:szCs w:val="14"/>
              </w:rPr>
              <w:t>14 (3)</w:t>
            </w:r>
          </w:p>
        </w:tc>
        <w:tc>
          <w:tcPr>
            <w:tcW w:w="852" w:type="dxa"/>
          </w:tcPr>
          <w:p w14:paraId="46EBC078" w14:textId="77777777" w:rsidR="00F8775D" w:rsidRPr="001219F9" w:rsidRDefault="00F8775D" w:rsidP="00A11E83">
            <w:pPr>
              <w:pStyle w:val="Compact"/>
              <w:spacing w:line="480" w:lineRule="auto"/>
              <w:rPr>
                <w:sz w:val="14"/>
                <w:szCs w:val="14"/>
              </w:rPr>
            </w:pPr>
            <w:r w:rsidRPr="001219F9">
              <w:rPr>
                <w:sz w:val="14"/>
                <w:szCs w:val="14"/>
              </w:rPr>
              <w:t>2 (0.4)</w:t>
            </w:r>
          </w:p>
        </w:tc>
        <w:tc>
          <w:tcPr>
            <w:tcW w:w="707" w:type="dxa"/>
          </w:tcPr>
          <w:p w14:paraId="5D43A1F2" w14:textId="77777777" w:rsidR="00F8775D" w:rsidRPr="001219F9" w:rsidRDefault="00F8775D" w:rsidP="00A11E83">
            <w:pPr>
              <w:pStyle w:val="Compact"/>
              <w:spacing w:line="480" w:lineRule="auto"/>
              <w:rPr>
                <w:sz w:val="14"/>
                <w:szCs w:val="14"/>
              </w:rPr>
            </w:pPr>
            <w:r w:rsidRPr="001219F9">
              <w:rPr>
                <w:sz w:val="14"/>
                <w:szCs w:val="14"/>
              </w:rPr>
              <w:t>0 (0)</w:t>
            </w:r>
          </w:p>
        </w:tc>
        <w:tc>
          <w:tcPr>
            <w:tcW w:w="710" w:type="dxa"/>
          </w:tcPr>
          <w:p w14:paraId="06A89F67" w14:textId="77777777" w:rsidR="00F8775D" w:rsidRPr="001219F9" w:rsidRDefault="00F8775D" w:rsidP="00A11E83">
            <w:pPr>
              <w:pStyle w:val="Compact"/>
              <w:spacing w:line="480" w:lineRule="auto"/>
              <w:rPr>
                <w:sz w:val="14"/>
                <w:szCs w:val="14"/>
              </w:rPr>
            </w:pPr>
            <w:r w:rsidRPr="001219F9">
              <w:rPr>
                <w:sz w:val="14"/>
                <w:szCs w:val="14"/>
              </w:rPr>
              <w:t>31 (6.6)</w:t>
            </w:r>
          </w:p>
        </w:tc>
        <w:tc>
          <w:tcPr>
            <w:tcW w:w="851" w:type="dxa"/>
          </w:tcPr>
          <w:p w14:paraId="0DF7E7C5" w14:textId="77777777" w:rsidR="00F8775D" w:rsidRPr="001219F9" w:rsidRDefault="00F8775D" w:rsidP="00A11E83">
            <w:pPr>
              <w:pStyle w:val="Compact"/>
              <w:spacing w:line="480" w:lineRule="auto"/>
              <w:rPr>
                <w:sz w:val="14"/>
                <w:szCs w:val="14"/>
              </w:rPr>
            </w:pPr>
            <w:r w:rsidRPr="001219F9">
              <w:rPr>
                <w:sz w:val="14"/>
                <w:szCs w:val="14"/>
              </w:rPr>
              <w:t>2 (0.4)</w:t>
            </w:r>
          </w:p>
        </w:tc>
        <w:tc>
          <w:tcPr>
            <w:tcW w:w="850" w:type="dxa"/>
          </w:tcPr>
          <w:p w14:paraId="7A8330A0" w14:textId="77777777" w:rsidR="00F8775D" w:rsidRPr="001219F9" w:rsidRDefault="00F8775D" w:rsidP="00A11E83">
            <w:pPr>
              <w:pStyle w:val="Compact"/>
              <w:spacing w:line="480" w:lineRule="auto"/>
              <w:rPr>
                <w:sz w:val="14"/>
                <w:szCs w:val="14"/>
              </w:rPr>
            </w:pPr>
            <w:r w:rsidRPr="001219F9">
              <w:rPr>
                <w:sz w:val="14"/>
                <w:szCs w:val="14"/>
              </w:rPr>
              <w:t>0 (0)</w:t>
            </w:r>
          </w:p>
        </w:tc>
        <w:tc>
          <w:tcPr>
            <w:tcW w:w="851" w:type="dxa"/>
          </w:tcPr>
          <w:p w14:paraId="15ED75F2" w14:textId="77777777" w:rsidR="00F8775D" w:rsidRPr="001219F9" w:rsidRDefault="00F8775D" w:rsidP="00A11E83">
            <w:pPr>
              <w:pStyle w:val="Compact"/>
              <w:spacing w:line="480" w:lineRule="auto"/>
              <w:rPr>
                <w:sz w:val="14"/>
                <w:szCs w:val="14"/>
              </w:rPr>
            </w:pPr>
            <w:r w:rsidRPr="001219F9">
              <w:rPr>
                <w:sz w:val="14"/>
                <w:szCs w:val="14"/>
              </w:rPr>
              <w:t>5 (1.1)</w:t>
            </w:r>
          </w:p>
        </w:tc>
        <w:tc>
          <w:tcPr>
            <w:tcW w:w="991" w:type="dxa"/>
          </w:tcPr>
          <w:p w14:paraId="51D27624" w14:textId="77777777" w:rsidR="00F8775D" w:rsidRPr="001219F9" w:rsidRDefault="00F8775D" w:rsidP="00A11E83">
            <w:pPr>
              <w:pStyle w:val="Compact"/>
              <w:spacing w:line="480" w:lineRule="auto"/>
              <w:rPr>
                <w:sz w:val="14"/>
                <w:szCs w:val="14"/>
              </w:rPr>
            </w:pPr>
            <w:r w:rsidRPr="001219F9">
              <w:rPr>
                <w:sz w:val="14"/>
                <w:szCs w:val="14"/>
              </w:rPr>
              <w:t>1 (0.2)</w:t>
            </w:r>
          </w:p>
        </w:tc>
      </w:tr>
      <w:tr w:rsidR="00F8775D" w:rsidRPr="001219F9" w14:paraId="6538B77C" w14:textId="77777777" w:rsidTr="00A11E83">
        <w:tc>
          <w:tcPr>
            <w:tcW w:w="534" w:type="dxa"/>
          </w:tcPr>
          <w:p w14:paraId="51527EAB" w14:textId="77777777" w:rsidR="00F8775D" w:rsidRPr="00210676" w:rsidRDefault="00F8775D" w:rsidP="00A11E83">
            <w:pPr>
              <w:pStyle w:val="Compact"/>
              <w:spacing w:line="480" w:lineRule="auto"/>
              <w:rPr>
                <w:b/>
                <w:sz w:val="14"/>
                <w:szCs w:val="14"/>
              </w:rPr>
            </w:pPr>
            <w:r w:rsidRPr="00210676">
              <w:rPr>
                <w:b/>
                <w:sz w:val="14"/>
                <w:szCs w:val="14"/>
              </w:rPr>
              <w:t>GBP</w:t>
            </w:r>
          </w:p>
        </w:tc>
        <w:tc>
          <w:tcPr>
            <w:tcW w:w="850" w:type="dxa"/>
          </w:tcPr>
          <w:p w14:paraId="64D24F78" w14:textId="77777777" w:rsidR="00F8775D" w:rsidRPr="001219F9" w:rsidRDefault="00F8775D" w:rsidP="00A11E83">
            <w:pPr>
              <w:pStyle w:val="Compact"/>
              <w:spacing w:line="480" w:lineRule="auto"/>
              <w:rPr>
                <w:sz w:val="14"/>
                <w:szCs w:val="14"/>
              </w:rPr>
            </w:pPr>
            <w:r w:rsidRPr="001219F9">
              <w:rPr>
                <w:sz w:val="14"/>
                <w:szCs w:val="14"/>
              </w:rPr>
              <w:t>17 (8.9)</w:t>
            </w:r>
          </w:p>
        </w:tc>
        <w:tc>
          <w:tcPr>
            <w:tcW w:w="885" w:type="dxa"/>
          </w:tcPr>
          <w:p w14:paraId="733F9744" w14:textId="77777777" w:rsidR="00F8775D" w:rsidRPr="001219F9" w:rsidRDefault="00F8775D" w:rsidP="00A11E83">
            <w:pPr>
              <w:pStyle w:val="Compact"/>
              <w:spacing w:line="480" w:lineRule="auto"/>
              <w:rPr>
                <w:sz w:val="14"/>
                <w:szCs w:val="14"/>
              </w:rPr>
            </w:pPr>
            <w:r w:rsidRPr="001219F9">
              <w:rPr>
                <w:sz w:val="14"/>
                <w:szCs w:val="14"/>
              </w:rPr>
              <w:t>7 (3.6)</w:t>
            </w:r>
          </w:p>
        </w:tc>
        <w:tc>
          <w:tcPr>
            <w:tcW w:w="851" w:type="dxa"/>
          </w:tcPr>
          <w:p w14:paraId="699B0263" w14:textId="77777777" w:rsidR="00F8775D" w:rsidRPr="001219F9" w:rsidRDefault="00F8775D" w:rsidP="00A11E83">
            <w:pPr>
              <w:pStyle w:val="Compact"/>
              <w:spacing w:line="480" w:lineRule="auto"/>
              <w:rPr>
                <w:sz w:val="14"/>
                <w:szCs w:val="14"/>
              </w:rPr>
            </w:pPr>
            <w:r w:rsidRPr="001219F9">
              <w:rPr>
                <w:sz w:val="14"/>
                <w:szCs w:val="14"/>
              </w:rPr>
              <w:t>1 (0.5)</w:t>
            </w:r>
          </w:p>
        </w:tc>
        <w:tc>
          <w:tcPr>
            <w:tcW w:w="850" w:type="dxa"/>
          </w:tcPr>
          <w:p w14:paraId="7AB78560" w14:textId="77777777" w:rsidR="00F8775D" w:rsidRPr="001219F9" w:rsidRDefault="00F8775D" w:rsidP="00A11E83">
            <w:pPr>
              <w:pStyle w:val="Compact"/>
              <w:spacing w:line="480" w:lineRule="auto"/>
              <w:rPr>
                <w:sz w:val="14"/>
                <w:szCs w:val="14"/>
              </w:rPr>
            </w:pPr>
            <w:r w:rsidRPr="001219F9">
              <w:rPr>
                <w:sz w:val="14"/>
                <w:szCs w:val="14"/>
              </w:rPr>
              <w:t>0 (0)</w:t>
            </w:r>
          </w:p>
        </w:tc>
        <w:tc>
          <w:tcPr>
            <w:tcW w:w="852" w:type="dxa"/>
          </w:tcPr>
          <w:p w14:paraId="6D84A5EA" w14:textId="77777777" w:rsidR="00F8775D" w:rsidRPr="001219F9" w:rsidRDefault="00F8775D" w:rsidP="00A11E83">
            <w:pPr>
              <w:pStyle w:val="Compact"/>
              <w:spacing w:line="480" w:lineRule="auto"/>
              <w:rPr>
                <w:sz w:val="14"/>
                <w:szCs w:val="14"/>
              </w:rPr>
            </w:pPr>
            <w:r w:rsidRPr="001219F9">
              <w:rPr>
                <w:sz w:val="14"/>
                <w:szCs w:val="14"/>
              </w:rPr>
              <w:t>1 (0.5)</w:t>
            </w:r>
          </w:p>
        </w:tc>
        <w:tc>
          <w:tcPr>
            <w:tcW w:w="707" w:type="dxa"/>
          </w:tcPr>
          <w:p w14:paraId="14DDED62" w14:textId="77777777" w:rsidR="00F8775D" w:rsidRPr="001219F9" w:rsidRDefault="00F8775D" w:rsidP="00A11E83">
            <w:pPr>
              <w:pStyle w:val="Compact"/>
              <w:spacing w:line="480" w:lineRule="auto"/>
              <w:rPr>
                <w:sz w:val="14"/>
                <w:szCs w:val="14"/>
              </w:rPr>
            </w:pPr>
            <w:r w:rsidRPr="001219F9">
              <w:rPr>
                <w:sz w:val="14"/>
                <w:szCs w:val="14"/>
              </w:rPr>
              <w:t>3 (1.5)</w:t>
            </w:r>
          </w:p>
        </w:tc>
        <w:tc>
          <w:tcPr>
            <w:tcW w:w="710" w:type="dxa"/>
          </w:tcPr>
          <w:p w14:paraId="20E88752" w14:textId="77777777" w:rsidR="00F8775D" w:rsidRPr="001219F9" w:rsidRDefault="00F8775D" w:rsidP="00A11E83">
            <w:pPr>
              <w:pStyle w:val="Compact"/>
              <w:spacing w:line="480" w:lineRule="auto"/>
              <w:rPr>
                <w:sz w:val="14"/>
                <w:szCs w:val="14"/>
              </w:rPr>
            </w:pPr>
            <w:r w:rsidRPr="001219F9">
              <w:rPr>
                <w:sz w:val="14"/>
                <w:szCs w:val="14"/>
              </w:rPr>
              <w:t>0 (0)</w:t>
            </w:r>
          </w:p>
        </w:tc>
        <w:tc>
          <w:tcPr>
            <w:tcW w:w="851" w:type="dxa"/>
          </w:tcPr>
          <w:p w14:paraId="139C098B" w14:textId="77777777" w:rsidR="00F8775D" w:rsidRPr="001219F9" w:rsidRDefault="00F8775D" w:rsidP="00A11E83">
            <w:pPr>
              <w:pStyle w:val="Compact"/>
              <w:spacing w:line="480" w:lineRule="auto"/>
              <w:rPr>
                <w:sz w:val="14"/>
                <w:szCs w:val="14"/>
              </w:rPr>
            </w:pPr>
            <w:r w:rsidRPr="001219F9">
              <w:rPr>
                <w:sz w:val="14"/>
                <w:szCs w:val="14"/>
              </w:rPr>
              <w:t>2 (1)</w:t>
            </w:r>
          </w:p>
        </w:tc>
        <w:tc>
          <w:tcPr>
            <w:tcW w:w="850" w:type="dxa"/>
          </w:tcPr>
          <w:p w14:paraId="6426C82D" w14:textId="77777777" w:rsidR="00F8775D" w:rsidRPr="001219F9" w:rsidRDefault="00F8775D" w:rsidP="00A11E83">
            <w:pPr>
              <w:pStyle w:val="Compact"/>
              <w:spacing w:line="480" w:lineRule="auto"/>
              <w:rPr>
                <w:sz w:val="14"/>
                <w:szCs w:val="14"/>
              </w:rPr>
            </w:pPr>
            <w:r w:rsidRPr="001219F9">
              <w:rPr>
                <w:sz w:val="14"/>
                <w:szCs w:val="14"/>
              </w:rPr>
              <w:t>0 (0)</w:t>
            </w:r>
          </w:p>
        </w:tc>
        <w:tc>
          <w:tcPr>
            <w:tcW w:w="851" w:type="dxa"/>
          </w:tcPr>
          <w:p w14:paraId="3EDA4668" w14:textId="77777777" w:rsidR="00F8775D" w:rsidRPr="001219F9" w:rsidRDefault="00F8775D" w:rsidP="00A11E83">
            <w:pPr>
              <w:pStyle w:val="Compact"/>
              <w:spacing w:line="480" w:lineRule="auto"/>
              <w:rPr>
                <w:sz w:val="14"/>
                <w:szCs w:val="14"/>
              </w:rPr>
            </w:pPr>
            <w:r w:rsidRPr="001219F9">
              <w:rPr>
                <w:sz w:val="14"/>
                <w:szCs w:val="14"/>
              </w:rPr>
              <w:t>5 (2.6)</w:t>
            </w:r>
          </w:p>
        </w:tc>
        <w:tc>
          <w:tcPr>
            <w:tcW w:w="991" w:type="dxa"/>
          </w:tcPr>
          <w:p w14:paraId="56CBD860" w14:textId="77777777" w:rsidR="00F8775D" w:rsidRPr="001219F9" w:rsidRDefault="00F8775D" w:rsidP="00A11E83">
            <w:pPr>
              <w:pStyle w:val="Compact"/>
              <w:spacing w:line="480" w:lineRule="auto"/>
              <w:rPr>
                <w:sz w:val="14"/>
                <w:szCs w:val="14"/>
              </w:rPr>
            </w:pPr>
            <w:r w:rsidRPr="001219F9">
              <w:rPr>
                <w:sz w:val="14"/>
                <w:szCs w:val="14"/>
              </w:rPr>
              <w:t>2 (1)</w:t>
            </w:r>
          </w:p>
        </w:tc>
      </w:tr>
      <w:tr w:rsidR="00F8775D" w:rsidRPr="001219F9" w14:paraId="55EC1C6C" w14:textId="77777777" w:rsidTr="00A11E83">
        <w:tc>
          <w:tcPr>
            <w:tcW w:w="534" w:type="dxa"/>
            <w:tcBorders>
              <w:bottom w:val="single" w:sz="4" w:space="0" w:color="auto"/>
            </w:tcBorders>
          </w:tcPr>
          <w:p w14:paraId="4BE3FD5E" w14:textId="77777777" w:rsidR="00F8775D" w:rsidRPr="00210676" w:rsidRDefault="00F8775D" w:rsidP="00A11E83">
            <w:pPr>
              <w:pStyle w:val="Compact"/>
              <w:spacing w:line="480" w:lineRule="auto"/>
              <w:rPr>
                <w:b/>
                <w:sz w:val="14"/>
                <w:szCs w:val="14"/>
              </w:rPr>
            </w:pPr>
            <w:r w:rsidRPr="00210676">
              <w:rPr>
                <w:b/>
                <w:sz w:val="14"/>
                <w:szCs w:val="14"/>
              </w:rPr>
              <w:t>CLB</w:t>
            </w:r>
          </w:p>
        </w:tc>
        <w:tc>
          <w:tcPr>
            <w:tcW w:w="850" w:type="dxa"/>
            <w:tcBorders>
              <w:bottom w:val="single" w:sz="4" w:space="0" w:color="auto"/>
            </w:tcBorders>
          </w:tcPr>
          <w:p w14:paraId="047BD984" w14:textId="77777777" w:rsidR="00F8775D" w:rsidRPr="001219F9" w:rsidRDefault="00F8775D" w:rsidP="00A11E83">
            <w:pPr>
              <w:pStyle w:val="Compact"/>
              <w:spacing w:line="480" w:lineRule="auto"/>
              <w:rPr>
                <w:sz w:val="14"/>
                <w:szCs w:val="14"/>
              </w:rPr>
            </w:pPr>
            <w:r w:rsidRPr="001219F9">
              <w:rPr>
                <w:sz w:val="14"/>
                <w:szCs w:val="14"/>
              </w:rPr>
              <w:t>15 (6.5)</w:t>
            </w:r>
          </w:p>
        </w:tc>
        <w:tc>
          <w:tcPr>
            <w:tcW w:w="885" w:type="dxa"/>
            <w:tcBorders>
              <w:bottom w:val="single" w:sz="4" w:space="0" w:color="auto"/>
            </w:tcBorders>
          </w:tcPr>
          <w:p w14:paraId="1E5452AE" w14:textId="77777777" w:rsidR="00F8775D" w:rsidRPr="001219F9" w:rsidRDefault="00F8775D" w:rsidP="00A11E83">
            <w:pPr>
              <w:pStyle w:val="Compact"/>
              <w:spacing w:line="480" w:lineRule="auto"/>
              <w:rPr>
                <w:sz w:val="14"/>
                <w:szCs w:val="14"/>
              </w:rPr>
            </w:pPr>
            <w:r w:rsidRPr="001219F9">
              <w:rPr>
                <w:sz w:val="14"/>
                <w:szCs w:val="14"/>
              </w:rPr>
              <w:t>6 (2.6)</w:t>
            </w:r>
          </w:p>
        </w:tc>
        <w:tc>
          <w:tcPr>
            <w:tcW w:w="851" w:type="dxa"/>
            <w:tcBorders>
              <w:bottom w:val="single" w:sz="4" w:space="0" w:color="auto"/>
            </w:tcBorders>
          </w:tcPr>
          <w:p w14:paraId="23F499C1" w14:textId="77777777" w:rsidR="00F8775D" w:rsidRPr="001219F9" w:rsidRDefault="00F8775D" w:rsidP="00A11E83">
            <w:pPr>
              <w:pStyle w:val="Compact"/>
              <w:spacing w:line="480" w:lineRule="auto"/>
              <w:rPr>
                <w:sz w:val="14"/>
                <w:szCs w:val="14"/>
              </w:rPr>
            </w:pPr>
            <w:r w:rsidRPr="001219F9">
              <w:rPr>
                <w:sz w:val="14"/>
                <w:szCs w:val="14"/>
              </w:rPr>
              <w:t>0 (0)</w:t>
            </w:r>
          </w:p>
        </w:tc>
        <w:tc>
          <w:tcPr>
            <w:tcW w:w="850" w:type="dxa"/>
            <w:tcBorders>
              <w:bottom w:val="single" w:sz="4" w:space="0" w:color="auto"/>
            </w:tcBorders>
          </w:tcPr>
          <w:p w14:paraId="79BB51F5" w14:textId="77777777" w:rsidR="00F8775D" w:rsidRPr="001219F9" w:rsidRDefault="00F8775D" w:rsidP="00A11E83">
            <w:pPr>
              <w:pStyle w:val="Compact"/>
              <w:spacing w:line="480" w:lineRule="auto"/>
              <w:rPr>
                <w:sz w:val="14"/>
                <w:szCs w:val="14"/>
              </w:rPr>
            </w:pPr>
            <w:r w:rsidRPr="001219F9">
              <w:rPr>
                <w:sz w:val="14"/>
                <w:szCs w:val="14"/>
              </w:rPr>
              <w:t>0 (0)</w:t>
            </w:r>
          </w:p>
        </w:tc>
        <w:tc>
          <w:tcPr>
            <w:tcW w:w="852" w:type="dxa"/>
            <w:tcBorders>
              <w:bottom w:val="single" w:sz="4" w:space="0" w:color="auto"/>
            </w:tcBorders>
          </w:tcPr>
          <w:p w14:paraId="224423D5" w14:textId="77777777" w:rsidR="00F8775D" w:rsidRPr="001219F9" w:rsidRDefault="00F8775D" w:rsidP="00A11E83">
            <w:pPr>
              <w:pStyle w:val="Compact"/>
              <w:spacing w:line="480" w:lineRule="auto"/>
              <w:rPr>
                <w:sz w:val="14"/>
                <w:szCs w:val="14"/>
              </w:rPr>
            </w:pPr>
            <w:r w:rsidRPr="001219F9">
              <w:rPr>
                <w:sz w:val="14"/>
                <w:szCs w:val="14"/>
              </w:rPr>
              <w:t>3 (1.3)</w:t>
            </w:r>
          </w:p>
        </w:tc>
        <w:tc>
          <w:tcPr>
            <w:tcW w:w="707" w:type="dxa"/>
            <w:tcBorders>
              <w:bottom w:val="single" w:sz="4" w:space="0" w:color="auto"/>
            </w:tcBorders>
          </w:tcPr>
          <w:p w14:paraId="2B1F7793" w14:textId="77777777" w:rsidR="00F8775D" w:rsidRPr="001219F9" w:rsidRDefault="00F8775D" w:rsidP="00A11E83">
            <w:pPr>
              <w:pStyle w:val="Compact"/>
              <w:spacing w:line="480" w:lineRule="auto"/>
              <w:rPr>
                <w:sz w:val="14"/>
                <w:szCs w:val="14"/>
              </w:rPr>
            </w:pPr>
            <w:r w:rsidRPr="001219F9">
              <w:rPr>
                <w:sz w:val="14"/>
                <w:szCs w:val="14"/>
              </w:rPr>
              <w:t>1 (0.4)</w:t>
            </w:r>
          </w:p>
        </w:tc>
        <w:tc>
          <w:tcPr>
            <w:tcW w:w="710" w:type="dxa"/>
            <w:tcBorders>
              <w:bottom w:val="single" w:sz="4" w:space="0" w:color="auto"/>
            </w:tcBorders>
          </w:tcPr>
          <w:p w14:paraId="713B0A08" w14:textId="77777777" w:rsidR="00F8775D" w:rsidRPr="001219F9" w:rsidRDefault="00F8775D" w:rsidP="00A11E83">
            <w:pPr>
              <w:pStyle w:val="Compact"/>
              <w:spacing w:line="480" w:lineRule="auto"/>
              <w:rPr>
                <w:sz w:val="14"/>
                <w:szCs w:val="14"/>
              </w:rPr>
            </w:pPr>
            <w:r w:rsidRPr="001219F9">
              <w:rPr>
                <w:sz w:val="14"/>
                <w:szCs w:val="14"/>
              </w:rPr>
              <w:t>2 (0.9)</w:t>
            </w:r>
          </w:p>
        </w:tc>
        <w:tc>
          <w:tcPr>
            <w:tcW w:w="851" w:type="dxa"/>
            <w:tcBorders>
              <w:bottom w:val="single" w:sz="4" w:space="0" w:color="auto"/>
            </w:tcBorders>
          </w:tcPr>
          <w:p w14:paraId="00FCC7A0" w14:textId="77777777" w:rsidR="00F8775D" w:rsidRPr="001219F9" w:rsidRDefault="00F8775D" w:rsidP="00A11E83">
            <w:pPr>
              <w:pStyle w:val="Compact"/>
              <w:spacing w:line="480" w:lineRule="auto"/>
              <w:rPr>
                <w:sz w:val="14"/>
                <w:szCs w:val="14"/>
              </w:rPr>
            </w:pPr>
            <w:r w:rsidRPr="001219F9">
              <w:rPr>
                <w:sz w:val="14"/>
                <w:szCs w:val="14"/>
              </w:rPr>
              <w:t>1 (0.4)</w:t>
            </w:r>
          </w:p>
        </w:tc>
        <w:tc>
          <w:tcPr>
            <w:tcW w:w="850" w:type="dxa"/>
            <w:tcBorders>
              <w:bottom w:val="single" w:sz="4" w:space="0" w:color="auto"/>
            </w:tcBorders>
          </w:tcPr>
          <w:p w14:paraId="7C82FC32" w14:textId="77777777" w:rsidR="00F8775D" w:rsidRPr="001219F9" w:rsidRDefault="00F8775D" w:rsidP="00A11E83">
            <w:pPr>
              <w:pStyle w:val="Compact"/>
              <w:spacing w:line="480" w:lineRule="auto"/>
              <w:rPr>
                <w:sz w:val="14"/>
                <w:szCs w:val="14"/>
              </w:rPr>
            </w:pPr>
            <w:r w:rsidRPr="001219F9">
              <w:rPr>
                <w:sz w:val="14"/>
                <w:szCs w:val="14"/>
              </w:rPr>
              <w:t>1 (0.4)</w:t>
            </w:r>
          </w:p>
        </w:tc>
        <w:tc>
          <w:tcPr>
            <w:tcW w:w="851" w:type="dxa"/>
            <w:tcBorders>
              <w:bottom w:val="single" w:sz="4" w:space="0" w:color="auto"/>
            </w:tcBorders>
          </w:tcPr>
          <w:p w14:paraId="4811F769" w14:textId="77777777" w:rsidR="00F8775D" w:rsidRPr="001219F9" w:rsidRDefault="00F8775D" w:rsidP="00A11E83">
            <w:pPr>
              <w:pStyle w:val="Compact"/>
              <w:spacing w:line="480" w:lineRule="auto"/>
              <w:rPr>
                <w:sz w:val="14"/>
                <w:szCs w:val="14"/>
              </w:rPr>
            </w:pPr>
            <w:r w:rsidRPr="001219F9">
              <w:rPr>
                <w:sz w:val="14"/>
                <w:szCs w:val="14"/>
              </w:rPr>
              <w:t>0 (0)</w:t>
            </w:r>
          </w:p>
        </w:tc>
        <w:tc>
          <w:tcPr>
            <w:tcW w:w="991" w:type="dxa"/>
            <w:tcBorders>
              <w:bottom w:val="single" w:sz="4" w:space="0" w:color="auto"/>
            </w:tcBorders>
          </w:tcPr>
          <w:p w14:paraId="744D5613" w14:textId="77777777" w:rsidR="00F8775D" w:rsidRPr="001219F9" w:rsidRDefault="00F8775D" w:rsidP="00A11E83">
            <w:pPr>
              <w:pStyle w:val="Compact"/>
              <w:spacing w:line="480" w:lineRule="auto"/>
              <w:rPr>
                <w:sz w:val="14"/>
                <w:szCs w:val="14"/>
              </w:rPr>
            </w:pPr>
            <w:r w:rsidRPr="001219F9">
              <w:rPr>
                <w:sz w:val="14"/>
                <w:szCs w:val="14"/>
              </w:rPr>
              <w:t>1 (0.4)</w:t>
            </w:r>
          </w:p>
        </w:tc>
      </w:tr>
    </w:tbl>
    <w:p w14:paraId="5E0B4F4C" w14:textId="77777777" w:rsidR="00F8775D" w:rsidRPr="001219F9" w:rsidRDefault="00F8775D" w:rsidP="00F8775D">
      <w:pPr>
        <w:pStyle w:val="ImageCaption"/>
        <w:spacing w:line="480" w:lineRule="auto"/>
        <w:jc w:val="both"/>
        <w:rPr>
          <w:i w:val="0"/>
        </w:rPr>
      </w:pPr>
    </w:p>
    <w:p w14:paraId="72EDFE4F" w14:textId="77777777" w:rsidR="00F8775D" w:rsidRDefault="00F8775D" w:rsidP="00F8775D"/>
    <w:p w14:paraId="295AE682" w14:textId="77777777" w:rsidR="00F8775D" w:rsidRDefault="00F8775D" w:rsidP="00F8775D"/>
    <w:p w14:paraId="1F49D5A8" w14:textId="77777777" w:rsidR="00F8775D" w:rsidRDefault="00F8775D" w:rsidP="00F8775D"/>
    <w:p w14:paraId="6E964BFF" w14:textId="77777777" w:rsidR="00F8775D" w:rsidRDefault="00F8775D" w:rsidP="00F8775D"/>
    <w:p w14:paraId="16EE57CC" w14:textId="77777777" w:rsidR="00F8775D" w:rsidRDefault="00F8775D" w:rsidP="00F8775D"/>
    <w:p w14:paraId="50AADEA3" w14:textId="77777777" w:rsidR="00F8775D" w:rsidRDefault="00F8775D" w:rsidP="00F8775D"/>
    <w:p w14:paraId="462BEF87" w14:textId="77777777" w:rsidR="00F8775D" w:rsidRDefault="00F8775D" w:rsidP="00F8775D"/>
    <w:p w14:paraId="1E90DF7E" w14:textId="77777777" w:rsidR="00F8775D" w:rsidRDefault="00F8775D" w:rsidP="00F8775D"/>
    <w:p w14:paraId="36DAA942" w14:textId="77777777" w:rsidR="00F8775D" w:rsidRDefault="00F8775D" w:rsidP="00F8775D"/>
    <w:p w14:paraId="7D9C2390" w14:textId="77777777" w:rsidR="00F8775D" w:rsidRDefault="00F8775D" w:rsidP="00F8775D"/>
    <w:p w14:paraId="6A0D3C4D" w14:textId="77777777" w:rsidR="00F8775D" w:rsidRDefault="00F8775D" w:rsidP="00F8775D"/>
    <w:p w14:paraId="05576F78" w14:textId="77777777" w:rsidR="00F8775D" w:rsidRPr="008623DC" w:rsidRDefault="00F8775D" w:rsidP="00F8775D">
      <w:pPr>
        <w:pStyle w:val="Heading3"/>
        <w:spacing w:line="480" w:lineRule="auto"/>
        <w:jc w:val="both"/>
        <w:rPr>
          <w:color w:val="auto"/>
        </w:rPr>
      </w:pPr>
      <w:r w:rsidRPr="008623DC">
        <w:rPr>
          <w:color w:val="auto"/>
        </w:rPr>
        <w:t xml:space="preserve">Supporting information: </w:t>
      </w:r>
    </w:p>
    <w:p w14:paraId="065C072B" w14:textId="77777777" w:rsidR="00F8775D" w:rsidRPr="008623DC" w:rsidRDefault="00F8775D" w:rsidP="00F8775D">
      <w:pPr>
        <w:widowControl w:val="0"/>
        <w:autoSpaceDE w:val="0"/>
        <w:autoSpaceDN w:val="0"/>
        <w:adjustRightInd w:val="0"/>
        <w:spacing w:line="480" w:lineRule="auto"/>
        <w:ind w:left="640" w:hanging="640"/>
      </w:pPr>
      <w:r w:rsidRPr="008623DC">
        <w:rPr>
          <w:b/>
        </w:rPr>
        <w:t>Supplementary Table 1.</w:t>
      </w:r>
      <w:r w:rsidRPr="008623DC">
        <w:t xml:space="preserve"> Breakdown of subjects by </w:t>
      </w:r>
      <w:proofErr w:type="spellStart"/>
      <w:r w:rsidRPr="008623DC">
        <w:t>centres</w:t>
      </w:r>
      <w:proofErr w:type="spellEnd"/>
    </w:p>
    <w:p w14:paraId="138BB56B" w14:textId="77777777" w:rsidR="00F8775D" w:rsidRPr="008623DC" w:rsidRDefault="00F8775D" w:rsidP="00F8775D">
      <w:pPr>
        <w:widowControl w:val="0"/>
        <w:autoSpaceDE w:val="0"/>
        <w:autoSpaceDN w:val="0"/>
        <w:adjustRightInd w:val="0"/>
        <w:spacing w:line="480" w:lineRule="auto"/>
        <w:ind w:left="640" w:hanging="640"/>
      </w:pPr>
      <w:r w:rsidRPr="008623DC">
        <w:rPr>
          <w:b/>
        </w:rPr>
        <w:t>Supplementary Figure 1.</w:t>
      </w:r>
      <w:r w:rsidRPr="008623DC">
        <w:t xml:space="preserve"> Distribution of AED start dates</w:t>
      </w:r>
    </w:p>
    <w:p w14:paraId="71BB9792" w14:textId="77777777" w:rsidR="00F8775D" w:rsidRPr="008623DC" w:rsidRDefault="00F8775D" w:rsidP="00F8775D">
      <w:pPr>
        <w:widowControl w:val="0"/>
        <w:autoSpaceDE w:val="0"/>
        <w:autoSpaceDN w:val="0"/>
        <w:adjustRightInd w:val="0"/>
        <w:spacing w:line="480" w:lineRule="auto"/>
        <w:ind w:left="640" w:hanging="640"/>
      </w:pPr>
      <w:r w:rsidRPr="008623DC">
        <w:rPr>
          <w:b/>
        </w:rPr>
        <w:t>Supplementary Figure 2.</w:t>
      </w:r>
      <w:r w:rsidRPr="008623DC">
        <w:t xml:space="preserve"> AED treatment duration</w:t>
      </w:r>
    </w:p>
    <w:p w14:paraId="44B2A3BD" w14:textId="77777777" w:rsidR="00F8775D" w:rsidRPr="008623DC" w:rsidRDefault="00F8775D" w:rsidP="00F8775D">
      <w:pPr>
        <w:widowControl w:val="0"/>
        <w:autoSpaceDE w:val="0"/>
        <w:autoSpaceDN w:val="0"/>
        <w:adjustRightInd w:val="0"/>
        <w:spacing w:line="480" w:lineRule="auto"/>
        <w:ind w:left="640" w:hanging="640"/>
      </w:pPr>
      <w:r w:rsidRPr="008623DC">
        <w:rPr>
          <w:b/>
        </w:rPr>
        <w:t>Supplementary Table 2.</w:t>
      </w:r>
      <w:r w:rsidRPr="008623DC">
        <w:t xml:space="preserve"> Order of AED use</w:t>
      </w:r>
    </w:p>
    <w:p w14:paraId="1440727D" w14:textId="77777777" w:rsidR="00F8775D" w:rsidRPr="008623DC" w:rsidRDefault="00F8775D" w:rsidP="00F8775D">
      <w:pPr>
        <w:widowControl w:val="0"/>
        <w:autoSpaceDE w:val="0"/>
        <w:autoSpaceDN w:val="0"/>
        <w:adjustRightInd w:val="0"/>
        <w:spacing w:line="480" w:lineRule="auto"/>
        <w:ind w:left="640" w:hanging="640"/>
      </w:pPr>
      <w:r w:rsidRPr="008623DC">
        <w:rPr>
          <w:b/>
        </w:rPr>
        <w:t>Supplementary Figure 3.</w:t>
      </w:r>
      <w:r w:rsidRPr="008623DC">
        <w:t xml:space="preserve"> Frequencies of patients' age distribution</w:t>
      </w:r>
    </w:p>
    <w:p w14:paraId="0774DD4F" w14:textId="77777777" w:rsidR="00F8775D" w:rsidRPr="008623DC" w:rsidRDefault="00F8775D" w:rsidP="00F8775D">
      <w:pPr>
        <w:widowControl w:val="0"/>
        <w:autoSpaceDE w:val="0"/>
        <w:autoSpaceDN w:val="0"/>
        <w:adjustRightInd w:val="0"/>
        <w:spacing w:line="480" w:lineRule="auto"/>
        <w:ind w:left="640" w:hanging="640"/>
      </w:pPr>
      <w:r w:rsidRPr="008623DC">
        <w:rPr>
          <w:b/>
        </w:rPr>
        <w:t>Supplementary Table 3.</w:t>
      </w:r>
      <w:r w:rsidRPr="008623DC">
        <w:t xml:space="preserve"> Reasons for AED discontinuation</w:t>
      </w:r>
    </w:p>
    <w:p w14:paraId="6BF818A3" w14:textId="77777777" w:rsidR="00F8775D" w:rsidRPr="001219F9" w:rsidRDefault="00F8775D" w:rsidP="00986FAD">
      <w:pPr>
        <w:pStyle w:val="BodyText"/>
        <w:spacing w:line="480" w:lineRule="auto"/>
        <w:jc w:val="both"/>
      </w:pPr>
    </w:p>
    <w:sectPr w:rsidR="00F8775D" w:rsidRPr="001219F9">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89AC1" w14:textId="77777777" w:rsidR="00F13FA3" w:rsidRDefault="00F13FA3">
      <w:pPr>
        <w:spacing w:after="0"/>
      </w:pPr>
      <w:r>
        <w:separator/>
      </w:r>
    </w:p>
  </w:endnote>
  <w:endnote w:type="continuationSeparator" w:id="0">
    <w:p w14:paraId="317F59B1" w14:textId="77777777" w:rsidR="00F13FA3" w:rsidRDefault="00F13FA3">
      <w:pPr>
        <w:spacing w:after="0"/>
      </w:pPr>
      <w:r>
        <w:continuationSeparator/>
      </w:r>
    </w:p>
  </w:endnote>
  <w:endnote w:type="continuationNotice" w:id="1">
    <w:p w14:paraId="1935390C" w14:textId="77777777" w:rsidR="00F13FA3" w:rsidRDefault="00F13FA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D7FEC" w14:textId="77777777" w:rsidR="00F13FA3" w:rsidRDefault="00F13FA3">
      <w:r>
        <w:separator/>
      </w:r>
    </w:p>
  </w:footnote>
  <w:footnote w:type="continuationSeparator" w:id="0">
    <w:p w14:paraId="09C8DDF6" w14:textId="77777777" w:rsidR="00F13FA3" w:rsidRDefault="00F13FA3">
      <w:r>
        <w:continuationSeparator/>
      </w:r>
    </w:p>
  </w:footnote>
  <w:footnote w:type="continuationNotice" w:id="1">
    <w:p w14:paraId="328A1ADE" w14:textId="77777777" w:rsidR="00F13FA3" w:rsidRDefault="00F13FA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234400"/>
      <w:docPartObj>
        <w:docPartGallery w:val="Page Numbers (Top of Page)"/>
        <w:docPartUnique/>
      </w:docPartObj>
    </w:sdtPr>
    <w:sdtEndPr>
      <w:rPr>
        <w:noProof/>
      </w:rPr>
    </w:sdtEndPr>
    <w:sdtContent>
      <w:p w14:paraId="1CE8B1CE" w14:textId="0CD4AC03" w:rsidR="00951833" w:rsidRDefault="00951833">
        <w:pPr>
          <w:pStyle w:val="Header"/>
          <w:jc w:val="right"/>
        </w:pPr>
        <w:proofErr w:type="spellStart"/>
        <w:r>
          <w:t>Androsova</w:t>
        </w:r>
        <w:proofErr w:type="spellEnd"/>
        <w:r>
          <w:t xml:space="preserve"> </w:t>
        </w:r>
        <w:r>
          <w:fldChar w:fldCharType="begin"/>
        </w:r>
        <w:r>
          <w:instrText xml:space="preserve"> PAGE   \* MERGEFORMAT </w:instrText>
        </w:r>
        <w:r>
          <w:fldChar w:fldCharType="separate"/>
        </w:r>
        <w:r w:rsidR="00CB64B7">
          <w:rPr>
            <w:noProof/>
          </w:rPr>
          <w:t>1</w:t>
        </w:r>
        <w:r>
          <w:rPr>
            <w:noProof/>
          </w:rPr>
          <w:fldChar w:fldCharType="end"/>
        </w:r>
      </w:p>
    </w:sdtContent>
  </w:sdt>
  <w:p w14:paraId="7EBAD64D" w14:textId="77777777" w:rsidR="00951833" w:rsidRDefault="009518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7F69BA"/>
    <w:multiLevelType w:val="multilevel"/>
    <w:tmpl w:val="91249BE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E8E4911A"/>
    <w:multiLevelType w:val="multilevel"/>
    <w:tmpl w:val="54BE5F7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nsid w:val="1AF67BC7"/>
    <w:multiLevelType w:val="hybridMultilevel"/>
    <w:tmpl w:val="A25A0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946C8E"/>
    <w:multiLevelType w:val="multilevel"/>
    <w:tmpl w:val="ECC0443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ntal Depondt">
    <w15:presenceInfo w15:providerId="Windows Live" w15:userId="9197862a30d695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061AD"/>
    <w:rsid w:val="00010AF4"/>
    <w:rsid w:val="00011C8B"/>
    <w:rsid w:val="00026EC5"/>
    <w:rsid w:val="00037474"/>
    <w:rsid w:val="000703F5"/>
    <w:rsid w:val="00091D9D"/>
    <w:rsid w:val="00095430"/>
    <w:rsid w:val="000A1AFC"/>
    <w:rsid w:val="000C2E38"/>
    <w:rsid w:val="000C610E"/>
    <w:rsid w:val="000D14D6"/>
    <w:rsid w:val="000D61B1"/>
    <w:rsid w:val="000E51E8"/>
    <w:rsid w:val="000F1A2F"/>
    <w:rsid w:val="000F1E90"/>
    <w:rsid w:val="00111EF6"/>
    <w:rsid w:val="00121378"/>
    <w:rsid w:val="00121872"/>
    <w:rsid w:val="001219F9"/>
    <w:rsid w:val="00124D6D"/>
    <w:rsid w:val="00134060"/>
    <w:rsid w:val="001347EA"/>
    <w:rsid w:val="00134DD4"/>
    <w:rsid w:val="0016213A"/>
    <w:rsid w:val="001843D6"/>
    <w:rsid w:val="00190E0F"/>
    <w:rsid w:val="001A1921"/>
    <w:rsid w:val="001B0838"/>
    <w:rsid w:val="001B6492"/>
    <w:rsid w:val="001C110E"/>
    <w:rsid w:val="001D189D"/>
    <w:rsid w:val="001E18BB"/>
    <w:rsid w:val="001E700B"/>
    <w:rsid w:val="00200CC5"/>
    <w:rsid w:val="00202F8E"/>
    <w:rsid w:val="00210676"/>
    <w:rsid w:val="00211483"/>
    <w:rsid w:val="002175FE"/>
    <w:rsid w:val="002460CD"/>
    <w:rsid w:val="00291E89"/>
    <w:rsid w:val="00297D3E"/>
    <w:rsid w:val="002A3646"/>
    <w:rsid w:val="002B142E"/>
    <w:rsid w:val="002B62E1"/>
    <w:rsid w:val="002D3236"/>
    <w:rsid w:val="002E3A88"/>
    <w:rsid w:val="002E64CB"/>
    <w:rsid w:val="00300022"/>
    <w:rsid w:val="003016B3"/>
    <w:rsid w:val="003018CE"/>
    <w:rsid w:val="00306E25"/>
    <w:rsid w:val="00332AFB"/>
    <w:rsid w:val="00341E29"/>
    <w:rsid w:val="00345EB5"/>
    <w:rsid w:val="00354F5A"/>
    <w:rsid w:val="003854DC"/>
    <w:rsid w:val="0039335C"/>
    <w:rsid w:val="003A12A8"/>
    <w:rsid w:val="003D1429"/>
    <w:rsid w:val="003D3404"/>
    <w:rsid w:val="003F0D2B"/>
    <w:rsid w:val="003F10F4"/>
    <w:rsid w:val="003F12D4"/>
    <w:rsid w:val="003F627D"/>
    <w:rsid w:val="00406A0E"/>
    <w:rsid w:val="004557B2"/>
    <w:rsid w:val="004615C6"/>
    <w:rsid w:val="0046692D"/>
    <w:rsid w:val="00467BDE"/>
    <w:rsid w:val="00497A7C"/>
    <w:rsid w:val="004B7808"/>
    <w:rsid w:val="004C1A07"/>
    <w:rsid w:val="004D395B"/>
    <w:rsid w:val="004D7318"/>
    <w:rsid w:val="004E29B3"/>
    <w:rsid w:val="004F19FE"/>
    <w:rsid w:val="0052433C"/>
    <w:rsid w:val="0053094D"/>
    <w:rsid w:val="00531883"/>
    <w:rsid w:val="00533929"/>
    <w:rsid w:val="00565300"/>
    <w:rsid w:val="00577196"/>
    <w:rsid w:val="0058481A"/>
    <w:rsid w:val="00590D07"/>
    <w:rsid w:val="005A492A"/>
    <w:rsid w:val="005B6558"/>
    <w:rsid w:val="005E5F03"/>
    <w:rsid w:val="005F7700"/>
    <w:rsid w:val="0060359E"/>
    <w:rsid w:val="00633C8E"/>
    <w:rsid w:val="0063543A"/>
    <w:rsid w:val="00636648"/>
    <w:rsid w:val="00641066"/>
    <w:rsid w:val="006551F7"/>
    <w:rsid w:val="0066531F"/>
    <w:rsid w:val="0067083F"/>
    <w:rsid w:val="00675484"/>
    <w:rsid w:val="006824AA"/>
    <w:rsid w:val="006844FB"/>
    <w:rsid w:val="0069198B"/>
    <w:rsid w:val="006A0A86"/>
    <w:rsid w:val="006A43A7"/>
    <w:rsid w:val="006A55B5"/>
    <w:rsid w:val="006A6707"/>
    <w:rsid w:val="006A7738"/>
    <w:rsid w:val="006C111A"/>
    <w:rsid w:val="006C5017"/>
    <w:rsid w:val="006D3D3A"/>
    <w:rsid w:val="006D52F9"/>
    <w:rsid w:val="006E4C37"/>
    <w:rsid w:val="00702E5C"/>
    <w:rsid w:val="00703A4D"/>
    <w:rsid w:val="00713AE4"/>
    <w:rsid w:val="00746E5D"/>
    <w:rsid w:val="007547FE"/>
    <w:rsid w:val="007626DC"/>
    <w:rsid w:val="007630E7"/>
    <w:rsid w:val="00771CF5"/>
    <w:rsid w:val="00784D58"/>
    <w:rsid w:val="007900C6"/>
    <w:rsid w:val="007A16CE"/>
    <w:rsid w:val="007A5AFA"/>
    <w:rsid w:val="007B34CD"/>
    <w:rsid w:val="007C1AF4"/>
    <w:rsid w:val="007E42B0"/>
    <w:rsid w:val="007E7ADD"/>
    <w:rsid w:val="007F5E23"/>
    <w:rsid w:val="00805EE0"/>
    <w:rsid w:val="0081321F"/>
    <w:rsid w:val="00816516"/>
    <w:rsid w:val="00826BB1"/>
    <w:rsid w:val="00837747"/>
    <w:rsid w:val="00845CE0"/>
    <w:rsid w:val="00852AAF"/>
    <w:rsid w:val="008623DC"/>
    <w:rsid w:val="008633DF"/>
    <w:rsid w:val="008839CD"/>
    <w:rsid w:val="00891D9B"/>
    <w:rsid w:val="0089650F"/>
    <w:rsid w:val="008B209A"/>
    <w:rsid w:val="008D205B"/>
    <w:rsid w:val="008D6863"/>
    <w:rsid w:val="008E41C9"/>
    <w:rsid w:val="008E5F39"/>
    <w:rsid w:val="008F1852"/>
    <w:rsid w:val="008F602A"/>
    <w:rsid w:val="00951833"/>
    <w:rsid w:val="0095449D"/>
    <w:rsid w:val="0096258E"/>
    <w:rsid w:val="0096460D"/>
    <w:rsid w:val="00965270"/>
    <w:rsid w:val="00973154"/>
    <w:rsid w:val="00986FAD"/>
    <w:rsid w:val="00990D0B"/>
    <w:rsid w:val="00993761"/>
    <w:rsid w:val="009A0317"/>
    <w:rsid w:val="009B4784"/>
    <w:rsid w:val="009D26E8"/>
    <w:rsid w:val="009D3D4C"/>
    <w:rsid w:val="009F3548"/>
    <w:rsid w:val="00A0122D"/>
    <w:rsid w:val="00A075FA"/>
    <w:rsid w:val="00A11E83"/>
    <w:rsid w:val="00A14D2A"/>
    <w:rsid w:val="00A207DD"/>
    <w:rsid w:val="00A212ED"/>
    <w:rsid w:val="00A34F44"/>
    <w:rsid w:val="00A469B1"/>
    <w:rsid w:val="00A46F30"/>
    <w:rsid w:val="00A849BD"/>
    <w:rsid w:val="00AA3E1D"/>
    <w:rsid w:val="00AA53B6"/>
    <w:rsid w:val="00AA55C4"/>
    <w:rsid w:val="00AB3165"/>
    <w:rsid w:val="00AD6A1A"/>
    <w:rsid w:val="00B214D3"/>
    <w:rsid w:val="00B26C4A"/>
    <w:rsid w:val="00B32AD7"/>
    <w:rsid w:val="00B33FAA"/>
    <w:rsid w:val="00B86B75"/>
    <w:rsid w:val="00B955D8"/>
    <w:rsid w:val="00B95F34"/>
    <w:rsid w:val="00B97DA9"/>
    <w:rsid w:val="00BA6655"/>
    <w:rsid w:val="00BB3AEA"/>
    <w:rsid w:val="00BB42C1"/>
    <w:rsid w:val="00BC3F3E"/>
    <w:rsid w:val="00BC48D5"/>
    <w:rsid w:val="00BD1D8A"/>
    <w:rsid w:val="00BD438E"/>
    <w:rsid w:val="00C04531"/>
    <w:rsid w:val="00C1603B"/>
    <w:rsid w:val="00C27D6E"/>
    <w:rsid w:val="00C325F8"/>
    <w:rsid w:val="00C36279"/>
    <w:rsid w:val="00C401B5"/>
    <w:rsid w:val="00C41A34"/>
    <w:rsid w:val="00C47A59"/>
    <w:rsid w:val="00C604D3"/>
    <w:rsid w:val="00C63C5D"/>
    <w:rsid w:val="00C65622"/>
    <w:rsid w:val="00C66EE5"/>
    <w:rsid w:val="00C75A25"/>
    <w:rsid w:val="00C7657E"/>
    <w:rsid w:val="00C77C54"/>
    <w:rsid w:val="00C87E2B"/>
    <w:rsid w:val="00CB09B7"/>
    <w:rsid w:val="00CB64B7"/>
    <w:rsid w:val="00CC72B5"/>
    <w:rsid w:val="00CD0EAE"/>
    <w:rsid w:val="00D04E5F"/>
    <w:rsid w:val="00D2192C"/>
    <w:rsid w:val="00D36B50"/>
    <w:rsid w:val="00D41A9D"/>
    <w:rsid w:val="00D50069"/>
    <w:rsid w:val="00D54DB4"/>
    <w:rsid w:val="00D65B91"/>
    <w:rsid w:val="00D75477"/>
    <w:rsid w:val="00D82297"/>
    <w:rsid w:val="00D9194C"/>
    <w:rsid w:val="00DA24FC"/>
    <w:rsid w:val="00DA762F"/>
    <w:rsid w:val="00DB0C70"/>
    <w:rsid w:val="00DB67E8"/>
    <w:rsid w:val="00DC3D34"/>
    <w:rsid w:val="00DD6C85"/>
    <w:rsid w:val="00E04ED8"/>
    <w:rsid w:val="00E147BD"/>
    <w:rsid w:val="00E22AC9"/>
    <w:rsid w:val="00E23033"/>
    <w:rsid w:val="00E26854"/>
    <w:rsid w:val="00E315A3"/>
    <w:rsid w:val="00E32D78"/>
    <w:rsid w:val="00E54B8B"/>
    <w:rsid w:val="00E65B25"/>
    <w:rsid w:val="00E67B63"/>
    <w:rsid w:val="00E84737"/>
    <w:rsid w:val="00E8624A"/>
    <w:rsid w:val="00E92695"/>
    <w:rsid w:val="00E96479"/>
    <w:rsid w:val="00E96794"/>
    <w:rsid w:val="00E97209"/>
    <w:rsid w:val="00EA3015"/>
    <w:rsid w:val="00EA4D5E"/>
    <w:rsid w:val="00EB08E1"/>
    <w:rsid w:val="00EB4EBC"/>
    <w:rsid w:val="00EE279C"/>
    <w:rsid w:val="00F0180C"/>
    <w:rsid w:val="00F12ED2"/>
    <w:rsid w:val="00F13FA3"/>
    <w:rsid w:val="00F27FAC"/>
    <w:rsid w:val="00F36C18"/>
    <w:rsid w:val="00F66B8D"/>
    <w:rsid w:val="00F67501"/>
    <w:rsid w:val="00F8775D"/>
    <w:rsid w:val="00F92959"/>
    <w:rsid w:val="00FA008A"/>
    <w:rsid w:val="00FB6CAA"/>
    <w:rsid w:val="00FC4AFB"/>
    <w:rsid w:val="00FE44DF"/>
    <w:rsid w:val="00FF664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BB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footnote text" w:uiPriority="9" w:qFormat="1"/>
    <w:lsdException w:name="header" w:uiPriority="99"/>
    <w:lsdException w:name="List 2" w:semiHidden="0" w:unhideWhenUsed="0"/>
    <w:lsdException w:name="Title" w:semiHidden="0" w:unhideWhenUsed="0" w:qFormat="1"/>
    <w:lsdException w:name="Default Paragraph Font" w:uiPriority="1"/>
    <w:lsdException w:name="Body Text" w:qFormat="1"/>
    <w:lsdException w:name="Subtitle" w:semiHidden="0" w:unhideWhenUsed="0" w:qFormat="1"/>
    <w:lsdException w:name="Date" w:qFormat="1"/>
    <w:lsdException w:name="Block Text" w:uiPriority="9" w:qFormat="1"/>
    <w:lsdException w:name="Strong" w:semiHidden="0"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qFormat="1"/>
    <w:lsdException w:name="TOC Heading" w:semiHidden="0" w:uiPriority="39" w:unhideWhenUsed="0" w:qFormat="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BalloonText">
    <w:name w:val="Balloon Text"/>
    <w:basedOn w:val="Normal"/>
    <w:link w:val="BalloonTextChar"/>
    <w:rsid w:val="00E96794"/>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rsid w:val="00531883"/>
    <w:rPr>
      <w:rFonts w:ascii="Times New Roman" w:hAnsi="Times New Roman" w:cs="Times New Roman"/>
      <w:sz w:val="18"/>
      <w:szCs w:val="18"/>
    </w:rPr>
  </w:style>
  <w:style w:type="character" w:styleId="CommentReference">
    <w:name w:val="annotation reference"/>
    <w:basedOn w:val="DefaultParagraphFont"/>
    <w:rsid w:val="00E96794"/>
    <w:rPr>
      <w:sz w:val="16"/>
      <w:szCs w:val="16"/>
    </w:rPr>
  </w:style>
  <w:style w:type="paragraph" w:styleId="CommentText">
    <w:name w:val="annotation text"/>
    <w:basedOn w:val="Normal"/>
    <w:link w:val="CommentTextChar"/>
    <w:rsid w:val="00E96794"/>
    <w:rPr>
      <w:sz w:val="20"/>
      <w:szCs w:val="20"/>
    </w:rPr>
  </w:style>
  <w:style w:type="character" w:customStyle="1" w:styleId="CommentTextChar">
    <w:name w:val="Comment Text Char"/>
    <w:basedOn w:val="DefaultParagraphFont"/>
    <w:link w:val="CommentText"/>
    <w:rsid w:val="00E96794"/>
    <w:rPr>
      <w:sz w:val="20"/>
      <w:szCs w:val="20"/>
    </w:rPr>
  </w:style>
  <w:style w:type="paragraph" w:styleId="Header">
    <w:name w:val="header"/>
    <w:basedOn w:val="Normal"/>
    <w:link w:val="HeaderChar"/>
    <w:uiPriority w:val="99"/>
    <w:unhideWhenUsed/>
    <w:rsid w:val="00E96794"/>
    <w:pPr>
      <w:tabs>
        <w:tab w:val="center" w:pos="4680"/>
        <w:tab w:val="right" w:pos="9360"/>
      </w:tabs>
      <w:spacing w:after="0"/>
    </w:pPr>
  </w:style>
  <w:style w:type="character" w:customStyle="1" w:styleId="HeaderChar">
    <w:name w:val="Header Char"/>
    <w:basedOn w:val="DefaultParagraphFont"/>
    <w:link w:val="Header"/>
    <w:uiPriority w:val="99"/>
    <w:rsid w:val="00E96794"/>
  </w:style>
  <w:style w:type="paragraph" w:styleId="Footer">
    <w:name w:val="footer"/>
    <w:basedOn w:val="Normal"/>
    <w:link w:val="FooterChar"/>
    <w:unhideWhenUsed/>
    <w:rsid w:val="00E96794"/>
    <w:pPr>
      <w:tabs>
        <w:tab w:val="center" w:pos="4680"/>
        <w:tab w:val="right" w:pos="9360"/>
      </w:tabs>
      <w:spacing w:after="0"/>
    </w:pPr>
  </w:style>
  <w:style w:type="character" w:customStyle="1" w:styleId="FooterChar">
    <w:name w:val="Footer Char"/>
    <w:basedOn w:val="DefaultParagraphFont"/>
    <w:link w:val="Footer"/>
    <w:rsid w:val="00E96794"/>
  </w:style>
  <w:style w:type="paragraph" w:styleId="CommentSubject">
    <w:name w:val="annotation subject"/>
    <w:basedOn w:val="CommentText"/>
    <w:next w:val="CommentText"/>
    <w:link w:val="CommentSubjectChar"/>
    <w:unhideWhenUsed/>
    <w:rsid w:val="00E96794"/>
    <w:rPr>
      <w:b/>
      <w:bCs/>
    </w:rPr>
  </w:style>
  <w:style w:type="character" w:customStyle="1" w:styleId="CommentSubjectChar">
    <w:name w:val="Comment Subject Char"/>
    <w:basedOn w:val="CommentTextChar"/>
    <w:link w:val="CommentSubject"/>
    <w:rsid w:val="00E96794"/>
    <w:rPr>
      <w:b/>
      <w:bCs/>
      <w:sz w:val="20"/>
      <w:szCs w:val="20"/>
    </w:rPr>
  </w:style>
  <w:style w:type="paragraph" w:styleId="Revision">
    <w:name w:val="Revision"/>
    <w:hidden/>
    <w:rsid w:val="00E96794"/>
    <w:pPr>
      <w:spacing w:after="0"/>
    </w:pPr>
  </w:style>
  <w:style w:type="character" w:customStyle="1" w:styleId="BodyTextChar">
    <w:name w:val="Body Text Char"/>
    <w:basedOn w:val="DefaultParagraphFont"/>
    <w:link w:val="BodyText"/>
    <w:rsid w:val="008D20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footnote text" w:uiPriority="9" w:qFormat="1"/>
    <w:lsdException w:name="header" w:uiPriority="99"/>
    <w:lsdException w:name="List 2" w:semiHidden="0" w:unhideWhenUsed="0"/>
    <w:lsdException w:name="Title" w:semiHidden="0" w:unhideWhenUsed="0" w:qFormat="1"/>
    <w:lsdException w:name="Default Paragraph Font" w:uiPriority="1"/>
    <w:lsdException w:name="Body Text" w:qFormat="1"/>
    <w:lsdException w:name="Subtitle" w:semiHidden="0" w:unhideWhenUsed="0" w:qFormat="1"/>
    <w:lsdException w:name="Date" w:qFormat="1"/>
    <w:lsdException w:name="Block Text" w:uiPriority="9" w:qFormat="1"/>
    <w:lsdException w:name="Strong" w:semiHidden="0"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qFormat="1"/>
    <w:lsdException w:name="TOC Heading" w:semiHidden="0" w:uiPriority="39" w:unhideWhenUsed="0" w:qFormat="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BalloonText">
    <w:name w:val="Balloon Text"/>
    <w:basedOn w:val="Normal"/>
    <w:link w:val="BalloonTextChar"/>
    <w:rsid w:val="00E96794"/>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rsid w:val="00531883"/>
    <w:rPr>
      <w:rFonts w:ascii="Times New Roman" w:hAnsi="Times New Roman" w:cs="Times New Roman"/>
      <w:sz w:val="18"/>
      <w:szCs w:val="18"/>
    </w:rPr>
  </w:style>
  <w:style w:type="character" w:styleId="CommentReference">
    <w:name w:val="annotation reference"/>
    <w:basedOn w:val="DefaultParagraphFont"/>
    <w:rsid w:val="00E96794"/>
    <w:rPr>
      <w:sz w:val="16"/>
      <w:szCs w:val="16"/>
    </w:rPr>
  </w:style>
  <w:style w:type="paragraph" w:styleId="CommentText">
    <w:name w:val="annotation text"/>
    <w:basedOn w:val="Normal"/>
    <w:link w:val="CommentTextChar"/>
    <w:rsid w:val="00E96794"/>
    <w:rPr>
      <w:sz w:val="20"/>
      <w:szCs w:val="20"/>
    </w:rPr>
  </w:style>
  <w:style w:type="character" w:customStyle="1" w:styleId="CommentTextChar">
    <w:name w:val="Comment Text Char"/>
    <w:basedOn w:val="DefaultParagraphFont"/>
    <w:link w:val="CommentText"/>
    <w:rsid w:val="00E96794"/>
    <w:rPr>
      <w:sz w:val="20"/>
      <w:szCs w:val="20"/>
    </w:rPr>
  </w:style>
  <w:style w:type="paragraph" w:styleId="Header">
    <w:name w:val="header"/>
    <w:basedOn w:val="Normal"/>
    <w:link w:val="HeaderChar"/>
    <w:uiPriority w:val="99"/>
    <w:unhideWhenUsed/>
    <w:rsid w:val="00E96794"/>
    <w:pPr>
      <w:tabs>
        <w:tab w:val="center" w:pos="4680"/>
        <w:tab w:val="right" w:pos="9360"/>
      </w:tabs>
      <w:spacing w:after="0"/>
    </w:pPr>
  </w:style>
  <w:style w:type="character" w:customStyle="1" w:styleId="HeaderChar">
    <w:name w:val="Header Char"/>
    <w:basedOn w:val="DefaultParagraphFont"/>
    <w:link w:val="Header"/>
    <w:uiPriority w:val="99"/>
    <w:rsid w:val="00E96794"/>
  </w:style>
  <w:style w:type="paragraph" w:styleId="Footer">
    <w:name w:val="footer"/>
    <w:basedOn w:val="Normal"/>
    <w:link w:val="FooterChar"/>
    <w:unhideWhenUsed/>
    <w:rsid w:val="00E96794"/>
    <w:pPr>
      <w:tabs>
        <w:tab w:val="center" w:pos="4680"/>
        <w:tab w:val="right" w:pos="9360"/>
      </w:tabs>
      <w:spacing w:after="0"/>
    </w:pPr>
  </w:style>
  <w:style w:type="character" w:customStyle="1" w:styleId="FooterChar">
    <w:name w:val="Footer Char"/>
    <w:basedOn w:val="DefaultParagraphFont"/>
    <w:link w:val="Footer"/>
    <w:rsid w:val="00E96794"/>
  </w:style>
  <w:style w:type="paragraph" w:styleId="CommentSubject">
    <w:name w:val="annotation subject"/>
    <w:basedOn w:val="CommentText"/>
    <w:next w:val="CommentText"/>
    <w:link w:val="CommentSubjectChar"/>
    <w:unhideWhenUsed/>
    <w:rsid w:val="00E96794"/>
    <w:rPr>
      <w:b/>
      <w:bCs/>
    </w:rPr>
  </w:style>
  <w:style w:type="character" w:customStyle="1" w:styleId="CommentSubjectChar">
    <w:name w:val="Comment Subject Char"/>
    <w:basedOn w:val="CommentTextChar"/>
    <w:link w:val="CommentSubject"/>
    <w:rsid w:val="00E96794"/>
    <w:rPr>
      <w:b/>
      <w:bCs/>
      <w:sz w:val="20"/>
      <w:szCs w:val="20"/>
    </w:rPr>
  </w:style>
  <w:style w:type="paragraph" w:styleId="Revision">
    <w:name w:val="Revision"/>
    <w:hidden/>
    <w:rsid w:val="00E96794"/>
    <w:pPr>
      <w:spacing w:after="0"/>
    </w:pPr>
  </w:style>
  <w:style w:type="character" w:customStyle="1" w:styleId="BodyTextChar">
    <w:name w:val="Body Text Char"/>
    <w:basedOn w:val="DefaultParagraphFont"/>
    <w:link w:val="BodyText"/>
    <w:rsid w:val="008D2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2019">
      <w:bodyDiv w:val="1"/>
      <w:marLeft w:val="0"/>
      <w:marRight w:val="0"/>
      <w:marTop w:val="0"/>
      <w:marBottom w:val="0"/>
      <w:divBdr>
        <w:top w:val="none" w:sz="0" w:space="0" w:color="auto"/>
        <w:left w:val="none" w:sz="0" w:space="0" w:color="auto"/>
        <w:bottom w:val="none" w:sz="0" w:space="0" w:color="auto"/>
        <w:right w:val="none" w:sz="0" w:space="0" w:color="auto"/>
      </w:divBdr>
      <w:divsChild>
        <w:div w:id="574241709">
          <w:marLeft w:val="0"/>
          <w:marRight w:val="0"/>
          <w:marTop w:val="0"/>
          <w:marBottom w:val="0"/>
          <w:divBdr>
            <w:top w:val="none" w:sz="0" w:space="0" w:color="auto"/>
            <w:left w:val="none" w:sz="0" w:space="0" w:color="auto"/>
            <w:bottom w:val="none" w:sz="0" w:space="0" w:color="auto"/>
            <w:right w:val="none" w:sz="0" w:space="0" w:color="auto"/>
          </w:divBdr>
        </w:div>
      </w:divsChild>
    </w:div>
    <w:div w:id="308244494">
      <w:bodyDiv w:val="1"/>
      <w:marLeft w:val="0"/>
      <w:marRight w:val="0"/>
      <w:marTop w:val="0"/>
      <w:marBottom w:val="0"/>
      <w:divBdr>
        <w:top w:val="none" w:sz="0" w:space="0" w:color="auto"/>
        <w:left w:val="none" w:sz="0" w:space="0" w:color="auto"/>
        <w:bottom w:val="none" w:sz="0" w:space="0" w:color="auto"/>
        <w:right w:val="none" w:sz="0" w:space="0" w:color="auto"/>
      </w:divBdr>
      <w:divsChild>
        <w:div w:id="1635912498">
          <w:marLeft w:val="0"/>
          <w:marRight w:val="0"/>
          <w:marTop w:val="0"/>
          <w:marBottom w:val="0"/>
          <w:divBdr>
            <w:top w:val="none" w:sz="0" w:space="0" w:color="auto"/>
            <w:left w:val="none" w:sz="0" w:space="0" w:color="auto"/>
            <w:bottom w:val="none" w:sz="0" w:space="0" w:color="auto"/>
            <w:right w:val="none" w:sz="0" w:space="0" w:color="auto"/>
          </w:divBdr>
          <w:divsChild>
            <w:div w:id="1698579967">
              <w:marLeft w:val="0"/>
              <w:marRight w:val="0"/>
              <w:marTop w:val="0"/>
              <w:marBottom w:val="0"/>
              <w:divBdr>
                <w:top w:val="none" w:sz="0" w:space="0" w:color="auto"/>
                <w:left w:val="none" w:sz="0" w:space="0" w:color="auto"/>
                <w:bottom w:val="none" w:sz="0" w:space="0" w:color="auto"/>
                <w:right w:val="none" w:sz="0" w:space="0" w:color="auto"/>
              </w:divBdr>
              <w:divsChild>
                <w:div w:id="780800417">
                  <w:marLeft w:val="0"/>
                  <w:marRight w:val="0"/>
                  <w:marTop w:val="0"/>
                  <w:marBottom w:val="0"/>
                  <w:divBdr>
                    <w:top w:val="none" w:sz="0" w:space="0" w:color="auto"/>
                    <w:left w:val="none" w:sz="0" w:space="0" w:color="auto"/>
                    <w:bottom w:val="none" w:sz="0" w:space="0" w:color="auto"/>
                    <w:right w:val="none" w:sz="0" w:space="0" w:color="auto"/>
                  </w:divBdr>
                  <w:divsChild>
                    <w:div w:id="191305991">
                      <w:marLeft w:val="0"/>
                      <w:marRight w:val="0"/>
                      <w:marTop w:val="0"/>
                      <w:marBottom w:val="0"/>
                      <w:divBdr>
                        <w:top w:val="none" w:sz="0" w:space="0" w:color="auto"/>
                        <w:left w:val="none" w:sz="0" w:space="0" w:color="auto"/>
                        <w:bottom w:val="none" w:sz="0" w:space="0" w:color="auto"/>
                        <w:right w:val="none" w:sz="0" w:space="0" w:color="auto"/>
                      </w:divBdr>
                      <w:divsChild>
                        <w:div w:id="52841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526490">
      <w:bodyDiv w:val="1"/>
      <w:marLeft w:val="0"/>
      <w:marRight w:val="0"/>
      <w:marTop w:val="0"/>
      <w:marBottom w:val="0"/>
      <w:divBdr>
        <w:top w:val="none" w:sz="0" w:space="0" w:color="auto"/>
        <w:left w:val="none" w:sz="0" w:space="0" w:color="auto"/>
        <w:bottom w:val="none" w:sz="0" w:space="0" w:color="auto"/>
        <w:right w:val="none" w:sz="0" w:space="0" w:color="auto"/>
      </w:divBdr>
      <w:divsChild>
        <w:div w:id="3305653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ebmail.erasme.ulb.ac.be/owa/redir.aspx?SURL=E6gJQoD7N4tqnbaHMmRMPOPOTeUe808G6Wo7wX_kjMia491sL5nUCGgAdAB0AHAAOgAvAC8AdwB3AHcALgBiAGkAbwBjAG8AZwAuAGUAdQA.&amp;URL=http%3a%2f%2fwww.biocog.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65239-C727-4DD4-9208-866F4F72E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44340</Words>
  <Characters>252740</Characters>
  <Application>Microsoft Office Word</Application>
  <DocSecurity>0</DocSecurity>
  <Lines>2106</Lines>
  <Paragraphs>592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Comparative effectiveness of antiepileptic drugs in patients with mesial temporal lobe epilepsy with hippocampal sclerosis</vt:lpstr>
      <vt:lpstr>Comparative effectiveness of antiepileptic drugs in patients with mesial temporal lobe epilepsy with hippocampal sclerosis</vt:lpstr>
    </vt:vector>
  </TitlesOfParts>
  <Company>UNI</Company>
  <LinksUpToDate>false</LinksUpToDate>
  <CharactersWithSpaces>296488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effectiveness of antiepileptic drugs in patients with mesial temporal lobe epilepsy with hippocampal sclerosis</dc:title>
  <dc:creator>Ganna Androsova, Roland Krause, Moj Borghei, Merel Wassenaar, Gianpiero L. Cavalleri, John Craig, Andres Ingason, Bobby P.C. Koeleman, Wolfram S. Kunz, Holger Lerche, Tony Marson, Josemir W. Sander, Graeme J. Sills, Pasquale Striano, Sanjay M. Sisodiya, Chantal Depondt, The EpiPGX Consortium</dc:creator>
  <cp:lastModifiedBy>Chantal</cp:lastModifiedBy>
  <cp:revision>3</cp:revision>
  <cp:lastPrinted>2017-05-05T08:39:00Z</cp:lastPrinted>
  <dcterms:created xsi:type="dcterms:W3CDTF">2017-06-30T11:14:00Z</dcterms:created>
  <dcterms:modified xsi:type="dcterms:W3CDTF">2017-06-30T11:21:00Z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321ae7f0-9317-3fa6-8ff5-d2c5fa3e04b8</vt:lpwstr>
  </property>
  <property fmtid="{D5CDD505-2E9C-101B-9397-08002B2CF9AE}" pid="4" name="Mendeley Citation Style_1">
    <vt:lpwstr>http://www.zotero.org/styles/epilepsia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http://www.zotero.org/styles/epilepsia</vt:lpwstr>
  </property>
  <property fmtid="{D5CDD505-2E9C-101B-9397-08002B2CF9AE}" pid="16" name="Mendeley Recent Style Name 5_1">
    <vt:lpwstr>Epilepsia</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