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F68F4" w14:textId="77777777" w:rsidR="003A2C78" w:rsidRPr="00537CBA" w:rsidRDefault="00FD2759" w:rsidP="00FD2759">
      <w:pPr>
        <w:jc w:val="center"/>
        <w:rPr>
          <w:rFonts w:ascii="Arial" w:hAnsi="Arial"/>
          <w:sz w:val="24"/>
          <w:szCs w:val="24"/>
          <w:lang w:val="en-GB"/>
        </w:rPr>
      </w:pPr>
      <w:r w:rsidRPr="00FD2759">
        <w:rPr>
          <w:rFonts w:ascii="Arial" w:hAnsi="Arial"/>
          <w:sz w:val="24"/>
          <w:szCs w:val="24"/>
          <w:lang w:val="en-GB"/>
        </w:rPr>
        <w:t xml:space="preserve">CARBAMAZEPINE AND OXCARBAZEPINE-INDUCED HYPONATREMIA IN </w:t>
      </w:r>
      <w:r w:rsidR="0038112F">
        <w:rPr>
          <w:rFonts w:ascii="Arial" w:hAnsi="Arial"/>
          <w:sz w:val="24"/>
          <w:szCs w:val="24"/>
          <w:lang w:val="en-GB"/>
        </w:rPr>
        <w:t>PEOPLE WITH</w:t>
      </w:r>
      <w:r w:rsidR="0038112F" w:rsidRPr="00FD2759">
        <w:rPr>
          <w:rFonts w:ascii="Arial" w:hAnsi="Arial"/>
          <w:sz w:val="24"/>
          <w:szCs w:val="24"/>
          <w:lang w:val="en-GB"/>
        </w:rPr>
        <w:t xml:space="preserve"> </w:t>
      </w:r>
      <w:r w:rsidRPr="00FD2759">
        <w:rPr>
          <w:rFonts w:ascii="Arial" w:hAnsi="Arial"/>
          <w:sz w:val="24"/>
          <w:szCs w:val="24"/>
          <w:lang w:val="en-GB"/>
        </w:rPr>
        <w:t>EPILEPSY</w:t>
      </w:r>
    </w:p>
    <w:p w14:paraId="349A1449" w14:textId="77777777" w:rsidR="0047078F" w:rsidRPr="00CF4898" w:rsidRDefault="0047078F">
      <w:pPr>
        <w:rPr>
          <w:rFonts w:ascii="Arial" w:hAnsi="Arial" w:cs="Arial"/>
          <w:sz w:val="24"/>
          <w:szCs w:val="24"/>
          <w:lang w:val="en-GB"/>
        </w:rPr>
      </w:pPr>
    </w:p>
    <w:p w14:paraId="1608FE7A" w14:textId="77777777" w:rsidR="00EF7F1F" w:rsidRPr="00C87273" w:rsidRDefault="00EF7F1F" w:rsidP="00D718B2">
      <w:pPr>
        <w:adjustRightInd w:val="0"/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C87273">
        <w:rPr>
          <w:rFonts w:ascii="Arial" w:hAnsi="Arial" w:cs="Arial"/>
          <w:sz w:val="24"/>
          <w:szCs w:val="24"/>
          <w:lang w:val="en-GB"/>
        </w:rPr>
        <w:t>Bianca Berghuis</w:t>
      </w:r>
      <w:r w:rsidRPr="00C87273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C87273">
        <w:rPr>
          <w:rFonts w:ascii="Arial" w:hAnsi="Arial" w:cs="Arial"/>
          <w:sz w:val="24"/>
          <w:szCs w:val="24"/>
          <w:lang w:val="en-GB"/>
        </w:rPr>
        <w:t xml:space="preserve">, </w:t>
      </w:r>
      <w:r w:rsidR="00786AF5" w:rsidRPr="00C87273">
        <w:rPr>
          <w:rFonts w:ascii="Arial" w:hAnsi="Arial" w:cs="Arial"/>
          <w:sz w:val="24"/>
          <w:szCs w:val="24"/>
          <w:lang w:val="en-GB"/>
        </w:rPr>
        <w:t xml:space="preserve">MD, </w:t>
      </w:r>
      <w:r w:rsidR="0047516D" w:rsidRPr="00C87273">
        <w:rPr>
          <w:rFonts w:ascii="Arial" w:hAnsi="Arial" w:cs="Arial"/>
          <w:sz w:val="24"/>
          <w:szCs w:val="24"/>
          <w:lang w:val="en-GB"/>
        </w:rPr>
        <w:t xml:space="preserve">Job van </w:t>
      </w:r>
      <w:r w:rsidR="00D3705F" w:rsidRPr="00C87273">
        <w:rPr>
          <w:rFonts w:ascii="Arial" w:hAnsi="Arial" w:cs="Arial"/>
          <w:sz w:val="24"/>
          <w:szCs w:val="24"/>
          <w:lang w:val="en-GB"/>
        </w:rPr>
        <w:t xml:space="preserve">der </w:t>
      </w:r>
      <w:r w:rsidR="0047516D" w:rsidRPr="00C87273">
        <w:rPr>
          <w:rFonts w:ascii="Arial" w:hAnsi="Arial" w:cs="Arial"/>
          <w:sz w:val="24"/>
          <w:szCs w:val="24"/>
          <w:lang w:val="en-GB"/>
        </w:rPr>
        <w:t>Palen</w:t>
      </w:r>
      <w:r w:rsidR="0047516D" w:rsidRPr="00C87273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="008A4501" w:rsidRPr="00C87273">
        <w:rPr>
          <w:rFonts w:ascii="Arial" w:hAnsi="Arial" w:cs="Arial"/>
          <w:sz w:val="24"/>
          <w:szCs w:val="24"/>
          <w:lang w:val="en-GB"/>
        </w:rPr>
        <w:t>,</w:t>
      </w:r>
      <w:r w:rsidR="00AC46B1">
        <w:rPr>
          <w:rFonts w:ascii="Arial" w:hAnsi="Arial" w:cs="Arial"/>
          <w:sz w:val="24"/>
          <w:szCs w:val="24"/>
          <w:lang w:val="en-GB"/>
        </w:rPr>
        <w:t>PhD</w:t>
      </w:r>
      <w:r w:rsidR="00E91053">
        <w:rPr>
          <w:rFonts w:ascii="Arial" w:hAnsi="Arial" w:cs="Arial"/>
          <w:sz w:val="24"/>
          <w:szCs w:val="24"/>
          <w:lang w:val="en-GB"/>
        </w:rPr>
        <w:t>,</w:t>
      </w:r>
      <w:r w:rsidR="008A4501" w:rsidRPr="00C87273">
        <w:rPr>
          <w:rFonts w:ascii="Arial" w:hAnsi="Arial" w:cs="Arial"/>
          <w:sz w:val="24"/>
          <w:szCs w:val="24"/>
          <w:lang w:val="en-GB"/>
        </w:rPr>
        <w:t xml:space="preserve"> </w:t>
      </w:r>
      <w:r w:rsidRPr="00C87273">
        <w:rPr>
          <w:rFonts w:ascii="Arial" w:hAnsi="Arial" w:cs="Arial"/>
          <w:sz w:val="24"/>
          <w:szCs w:val="24"/>
          <w:lang w:val="en-GB"/>
        </w:rPr>
        <w:t>Gerrit-Jan de Haan</w:t>
      </w:r>
      <w:r w:rsidRPr="00C87273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C87273">
        <w:rPr>
          <w:rFonts w:ascii="Arial" w:hAnsi="Arial" w:cs="Arial"/>
          <w:sz w:val="24"/>
          <w:szCs w:val="24"/>
          <w:lang w:val="en-GB"/>
        </w:rPr>
        <w:t>,</w:t>
      </w:r>
      <w:r w:rsidR="00786AF5" w:rsidRPr="00C87273">
        <w:rPr>
          <w:rFonts w:ascii="Arial" w:hAnsi="Arial" w:cs="Arial"/>
          <w:sz w:val="24"/>
          <w:szCs w:val="24"/>
          <w:lang w:val="en-GB"/>
        </w:rPr>
        <w:t xml:space="preserve"> </w:t>
      </w:r>
      <w:r w:rsidR="0078048F">
        <w:rPr>
          <w:rFonts w:ascii="Arial" w:hAnsi="Arial" w:cs="Arial"/>
          <w:sz w:val="24"/>
          <w:szCs w:val="24"/>
          <w:lang w:val="en-GB"/>
        </w:rPr>
        <w:t xml:space="preserve">MD, PhD, </w:t>
      </w:r>
      <w:r w:rsidR="009E3CDA" w:rsidRPr="009E3CDA">
        <w:rPr>
          <w:rFonts w:ascii="Arial" w:hAnsi="Arial" w:cs="Arial"/>
          <w:color w:val="000000"/>
          <w:sz w:val="24"/>
          <w:szCs w:val="24"/>
          <w:lang w:val="en-GB"/>
        </w:rPr>
        <w:t xml:space="preserve">The </w:t>
      </w:r>
      <w:proofErr w:type="spellStart"/>
      <w:r w:rsidR="009E3CDA" w:rsidRPr="009E3CDA">
        <w:rPr>
          <w:rFonts w:ascii="Arial" w:hAnsi="Arial" w:cs="Arial"/>
          <w:color w:val="000000"/>
          <w:sz w:val="24"/>
          <w:szCs w:val="24"/>
          <w:lang w:val="en-GB"/>
        </w:rPr>
        <w:t>EpiPGX</w:t>
      </w:r>
      <w:proofErr w:type="spellEnd"/>
      <w:r w:rsidR="009E3CDA" w:rsidRPr="009E3CDA">
        <w:rPr>
          <w:rFonts w:ascii="Arial" w:hAnsi="Arial" w:cs="Arial"/>
          <w:color w:val="000000"/>
          <w:sz w:val="24"/>
          <w:szCs w:val="24"/>
          <w:lang w:val="en-GB"/>
        </w:rPr>
        <w:t xml:space="preserve"> consortium</w:t>
      </w:r>
      <w:r w:rsidR="0078048F">
        <w:rPr>
          <w:rFonts w:ascii="Arial" w:hAnsi="Arial" w:cs="Arial"/>
          <w:sz w:val="24"/>
          <w:szCs w:val="24"/>
          <w:vertAlign w:val="superscript"/>
          <w:lang w:val="en-GB"/>
        </w:rPr>
        <w:t>*</w:t>
      </w:r>
      <w:r w:rsidR="009E3CDA">
        <w:rPr>
          <w:color w:val="000000"/>
          <w:lang w:val="en-GB"/>
        </w:rPr>
        <w:t>,</w:t>
      </w:r>
      <w:r w:rsidR="0078048F">
        <w:rPr>
          <w:color w:val="000000"/>
          <w:lang w:val="en-GB"/>
        </w:rPr>
        <w:t xml:space="preserve"> </w:t>
      </w:r>
      <w:r w:rsidRPr="00C87273">
        <w:rPr>
          <w:rFonts w:ascii="Arial" w:hAnsi="Arial" w:cs="Arial"/>
          <w:sz w:val="24"/>
          <w:szCs w:val="24"/>
          <w:lang w:val="en-GB"/>
        </w:rPr>
        <w:t>Dick Lindhout</w:t>
      </w:r>
      <w:r w:rsidRPr="00C87273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="00D718B2">
        <w:rPr>
          <w:rFonts w:ascii="Arial" w:hAnsi="Arial" w:cs="Arial"/>
          <w:sz w:val="24"/>
          <w:szCs w:val="24"/>
          <w:vertAlign w:val="superscript"/>
          <w:lang w:val="en-GB"/>
        </w:rPr>
        <w:t>,3</w:t>
      </w:r>
      <w:r w:rsidRPr="00C87273">
        <w:rPr>
          <w:rFonts w:ascii="Arial" w:hAnsi="Arial" w:cs="Arial"/>
          <w:sz w:val="24"/>
          <w:szCs w:val="24"/>
          <w:lang w:val="en-GB"/>
        </w:rPr>
        <w:t>,</w:t>
      </w:r>
      <w:r w:rsidR="00E5599C" w:rsidRPr="00C87273">
        <w:rPr>
          <w:rFonts w:ascii="Arial" w:hAnsi="Arial" w:cs="Arial"/>
          <w:sz w:val="24"/>
          <w:szCs w:val="24"/>
          <w:lang w:val="en-GB"/>
        </w:rPr>
        <w:t xml:space="preserve"> </w:t>
      </w:r>
      <w:r w:rsidR="00AC46B1">
        <w:rPr>
          <w:rFonts w:ascii="Arial" w:hAnsi="Arial" w:cs="Arial"/>
          <w:sz w:val="24"/>
          <w:szCs w:val="24"/>
          <w:lang w:val="en-GB"/>
        </w:rPr>
        <w:t>MD</w:t>
      </w:r>
      <w:r w:rsidR="00E91053">
        <w:rPr>
          <w:rFonts w:ascii="Arial" w:hAnsi="Arial" w:cs="Arial"/>
          <w:sz w:val="24"/>
          <w:szCs w:val="24"/>
          <w:lang w:val="en-GB"/>
        </w:rPr>
        <w:t>,</w:t>
      </w:r>
      <w:r w:rsidR="00AC46B1">
        <w:rPr>
          <w:rFonts w:ascii="Arial" w:hAnsi="Arial" w:cs="Arial"/>
          <w:sz w:val="24"/>
          <w:szCs w:val="24"/>
          <w:lang w:val="en-GB"/>
        </w:rPr>
        <w:t xml:space="preserve"> PhD</w:t>
      </w:r>
      <w:r w:rsidR="00E5599C" w:rsidRPr="00C87273">
        <w:rPr>
          <w:rFonts w:ascii="Arial" w:hAnsi="Arial" w:cs="Arial"/>
          <w:sz w:val="24"/>
          <w:szCs w:val="24"/>
          <w:lang w:val="en-GB"/>
        </w:rPr>
        <w:t>,</w:t>
      </w:r>
      <w:r w:rsidRPr="00C87273">
        <w:rPr>
          <w:rFonts w:ascii="Arial" w:hAnsi="Arial" w:cs="Arial"/>
          <w:sz w:val="24"/>
          <w:szCs w:val="24"/>
          <w:lang w:val="en-GB"/>
        </w:rPr>
        <w:t xml:space="preserve"> Bobby P.C</w:t>
      </w:r>
      <w:r w:rsidR="00A66BBA" w:rsidRPr="00C87273">
        <w:rPr>
          <w:rFonts w:ascii="Arial" w:hAnsi="Arial" w:cs="Arial"/>
          <w:sz w:val="24"/>
          <w:szCs w:val="24"/>
          <w:lang w:val="en-GB"/>
        </w:rPr>
        <w:t>.</w:t>
      </w:r>
      <w:r w:rsidRPr="00C87273">
        <w:rPr>
          <w:rFonts w:ascii="Arial" w:hAnsi="Arial" w:cs="Arial"/>
          <w:sz w:val="24"/>
          <w:szCs w:val="24"/>
          <w:lang w:val="en-GB"/>
        </w:rPr>
        <w:t xml:space="preserve"> Koeleman</w:t>
      </w:r>
      <w:r w:rsidR="00D718B2">
        <w:rPr>
          <w:rFonts w:ascii="Arial" w:hAnsi="Arial" w:cs="Arial"/>
          <w:sz w:val="24"/>
          <w:szCs w:val="24"/>
          <w:vertAlign w:val="superscript"/>
          <w:lang w:val="en-GB"/>
        </w:rPr>
        <w:t>3</w:t>
      </w:r>
      <w:r w:rsidR="00E5599C" w:rsidRPr="00C87273">
        <w:rPr>
          <w:rFonts w:ascii="Arial" w:hAnsi="Arial" w:cs="Arial"/>
          <w:sz w:val="24"/>
          <w:szCs w:val="24"/>
          <w:lang w:val="en-GB"/>
        </w:rPr>
        <w:t>, PhD</w:t>
      </w:r>
      <w:r w:rsidR="002B7B4F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2B7B4F" w:rsidRPr="00C87273">
        <w:rPr>
          <w:rFonts w:ascii="Arial" w:hAnsi="Arial" w:cs="Arial"/>
          <w:sz w:val="24"/>
          <w:szCs w:val="24"/>
          <w:lang w:val="en-GB"/>
        </w:rPr>
        <w:t>Josemir</w:t>
      </w:r>
      <w:proofErr w:type="spellEnd"/>
      <w:r w:rsidR="002B7B4F" w:rsidRPr="00C87273">
        <w:rPr>
          <w:rFonts w:ascii="Arial" w:hAnsi="Arial" w:cs="Arial"/>
          <w:sz w:val="24"/>
          <w:szCs w:val="24"/>
          <w:lang w:val="en-GB"/>
        </w:rPr>
        <w:t xml:space="preserve"> W. Sander</w:t>
      </w:r>
      <w:r w:rsidR="00D718B2">
        <w:rPr>
          <w:rFonts w:ascii="Arial" w:hAnsi="Arial" w:cs="Arial"/>
          <w:sz w:val="24"/>
          <w:szCs w:val="24"/>
          <w:vertAlign w:val="superscript"/>
          <w:lang w:val="en-GB"/>
        </w:rPr>
        <w:t>1,4</w:t>
      </w:r>
      <w:r w:rsidR="00D718B2">
        <w:rPr>
          <w:rFonts w:ascii="Arial" w:hAnsi="Arial" w:cs="Arial"/>
          <w:sz w:val="24"/>
          <w:szCs w:val="24"/>
          <w:lang w:val="en-GB"/>
        </w:rPr>
        <w:t xml:space="preserve">, </w:t>
      </w:r>
      <w:r w:rsidR="003F7243">
        <w:rPr>
          <w:rFonts w:ascii="Arial" w:hAnsi="Arial" w:cs="Arial"/>
          <w:sz w:val="24"/>
          <w:szCs w:val="24"/>
          <w:lang w:val="en-GB"/>
        </w:rPr>
        <w:t xml:space="preserve">PhD, </w:t>
      </w:r>
      <w:r w:rsidR="00D718B2">
        <w:rPr>
          <w:rFonts w:ascii="Arial" w:hAnsi="Arial" w:cs="Arial"/>
          <w:sz w:val="24"/>
          <w:szCs w:val="24"/>
          <w:lang w:val="en-GB"/>
        </w:rPr>
        <w:t>FRCP</w:t>
      </w:r>
    </w:p>
    <w:p w14:paraId="72174C82" w14:textId="77777777" w:rsidR="00EF7F1F" w:rsidRPr="00CF4898" w:rsidRDefault="00EF7F1F" w:rsidP="00A574A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CF4898">
        <w:rPr>
          <w:rFonts w:ascii="Arial" w:hAnsi="Arial" w:cs="Arial"/>
          <w:sz w:val="24"/>
          <w:szCs w:val="24"/>
          <w:vertAlign w:val="superscript"/>
        </w:rPr>
        <w:t>1</w:t>
      </w:r>
      <w:r w:rsidR="00EC3ED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F4898">
        <w:rPr>
          <w:rFonts w:ascii="Arial" w:hAnsi="Arial" w:cs="Arial"/>
          <w:sz w:val="24"/>
          <w:szCs w:val="24"/>
        </w:rPr>
        <w:t xml:space="preserve">Stichting Epilepsie Instellingen Nederland </w:t>
      </w:r>
      <w:r w:rsidR="00AF4A9A" w:rsidRPr="00CF4898">
        <w:rPr>
          <w:rFonts w:ascii="Arial" w:hAnsi="Arial" w:cs="Arial"/>
          <w:sz w:val="24"/>
          <w:szCs w:val="24"/>
        </w:rPr>
        <w:t>(</w:t>
      </w:r>
      <w:r w:rsidRPr="00CF4898">
        <w:rPr>
          <w:rFonts w:ascii="Arial" w:hAnsi="Arial" w:cs="Arial"/>
          <w:sz w:val="24"/>
          <w:szCs w:val="24"/>
        </w:rPr>
        <w:t>SEIN</w:t>
      </w:r>
      <w:r w:rsidR="00AF4A9A" w:rsidRPr="00CF4898">
        <w:rPr>
          <w:rFonts w:ascii="Arial" w:hAnsi="Arial" w:cs="Arial"/>
          <w:sz w:val="24"/>
          <w:szCs w:val="24"/>
        </w:rPr>
        <w:t>)</w:t>
      </w:r>
      <w:r w:rsidRPr="00CF4898">
        <w:rPr>
          <w:rFonts w:ascii="Arial" w:hAnsi="Arial" w:cs="Arial"/>
          <w:sz w:val="24"/>
          <w:szCs w:val="24"/>
        </w:rPr>
        <w:t xml:space="preserve">, Zwolle, The Netherlands; </w:t>
      </w:r>
    </w:p>
    <w:p w14:paraId="02DF0E4B" w14:textId="77777777" w:rsidR="00D3705F" w:rsidRDefault="00D3705F" w:rsidP="00A574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CF4898">
        <w:rPr>
          <w:rFonts w:ascii="Arial" w:hAnsi="Arial" w:cs="Arial"/>
          <w:sz w:val="24"/>
          <w:szCs w:val="24"/>
          <w:vertAlign w:val="superscript"/>
          <w:lang w:val="en-GB"/>
        </w:rPr>
        <w:t xml:space="preserve">2 </w:t>
      </w:r>
      <w:r w:rsidRPr="00CF4898">
        <w:rPr>
          <w:rFonts w:ascii="Arial" w:hAnsi="Arial" w:cs="Arial"/>
          <w:sz w:val="24"/>
          <w:szCs w:val="24"/>
          <w:lang w:val="en-GB"/>
        </w:rPr>
        <w:t xml:space="preserve">Department of Epidemiology, </w:t>
      </w:r>
      <w:proofErr w:type="spellStart"/>
      <w:r w:rsidRPr="00CF4898">
        <w:rPr>
          <w:rFonts w:ascii="Arial" w:hAnsi="Arial" w:cs="Arial"/>
          <w:sz w:val="24"/>
          <w:szCs w:val="24"/>
          <w:lang w:val="en-GB"/>
        </w:rPr>
        <w:t>Medisch</w:t>
      </w:r>
      <w:proofErr w:type="spellEnd"/>
      <w:r w:rsidRPr="00CF4898">
        <w:rPr>
          <w:rFonts w:ascii="Arial" w:hAnsi="Arial" w:cs="Arial"/>
          <w:sz w:val="24"/>
          <w:szCs w:val="24"/>
          <w:lang w:val="en-GB"/>
        </w:rPr>
        <w:t xml:space="preserve"> Spectrum </w:t>
      </w:r>
      <w:proofErr w:type="spellStart"/>
      <w:r w:rsidRPr="00CF4898">
        <w:rPr>
          <w:rFonts w:ascii="Arial" w:hAnsi="Arial" w:cs="Arial"/>
          <w:sz w:val="24"/>
          <w:szCs w:val="24"/>
          <w:lang w:val="en-GB"/>
        </w:rPr>
        <w:t>Twente</w:t>
      </w:r>
      <w:proofErr w:type="spellEnd"/>
      <w:r w:rsidRPr="00CF4898">
        <w:rPr>
          <w:rFonts w:ascii="Arial" w:hAnsi="Arial" w:cs="Arial"/>
          <w:sz w:val="24"/>
          <w:szCs w:val="24"/>
          <w:lang w:val="en-GB"/>
        </w:rPr>
        <w:t>, P.</w:t>
      </w:r>
      <w:r w:rsidR="00A76A9E" w:rsidRPr="00CF4898">
        <w:rPr>
          <w:rFonts w:ascii="Arial" w:hAnsi="Arial" w:cs="Arial"/>
          <w:sz w:val="24"/>
          <w:szCs w:val="24"/>
          <w:lang w:val="en-GB"/>
        </w:rPr>
        <w:t xml:space="preserve">O. Box 50000, 7500 KA </w:t>
      </w:r>
      <w:proofErr w:type="spellStart"/>
      <w:r w:rsidR="00A76A9E" w:rsidRPr="00CF4898">
        <w:rPr>
          <w:rFonts w:ascii="Arial" w:hAnsi="Arial" w:cs="Arial"/>
          <w:sz w:val="24"/>
          <w:szCs w:val="24"/>
          <w:lang w:val="en-GB"/>
        </w:rPr>
        <w:t>Enschede</w:t>
      </w:r>
      <w:proofErr w:type="spellEnd"/>
      <w:r w:rsidR="00A76A9E" w:rsidRPr="00CF4898">
        <w:rPr>
          <w:rFonts w:ascii="Arial" w:hAnsi="Arial" w:cs="Arial"/>
          <w:sz w:val="24"/>
          <w:szCs w:val="24"/>
          <w:lang w:val="en-GB"/>
        </w:rPr>
        <w:t xml:space="preserve">, </w:t>
      </w:r>
      <w:r w:rsidR="00AF4A9A" w:rsidRPr="00CF4898">
        <w:rPr>
          <w:rFonts w:ascii="Arial" w:hAnsi="Arial" w:cs="Arial"/>
          <w:sz w:val="24"/>
          <w:szCs w:val="24"/>
          <w:lang w:val="en-GB"/>
        </w:rPr>
        <w:t xml:space="preserve">and </w:t>
      </w:r>
      <w:r w:rsidR="00A66BBA" w:rsidRPr="00CF4898">
        <w:rPr>
          <w:rFonts w:ascii="Arial" w:hAnsi="Arial" w:cs="Arial"/>
          <w:sz w:val="24"/>
          <w:szCs w:val="24"/>
          <w:lang w:val="en-GB"/>
        </w:rPr>
        <w:t xml:space="preserve">Department of Research Methodology, Measurement and Data Analysis, University of </w:t>
      </w:r>
      <w:proofErr w:type="spellStart"/>
      <w:r w:rsidR="00A66BBA" w:rsidRPr="00CF4898">
        <w:rPr>
          <w:rFonts w:ascii="Arial" w:hAnsi="Arial" w:cs="Arial"/>
          <w:sz w:val="24"/>
          <w:szCs w:val="24"/>
          <w:lang w:val="en-GB"/>
        </w:rPr>
        <w:t>Twente</w:t>
      </w:r>
      <w:proofErr w:type="spellEnd"/>
      <w:r w:rsidR="00A66BBA" w:rsidRPr="00CF4898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A66BBA" w:rsidRPr="00CF4898">
        <w:rPr>
          <w:rFonts w:ascii="Arial" w:hAnsi="Arial" w:cs="Arial"/>
          <w:sz w:val="24"/>
          <w:szCs w:val="24"/>
          <w:lang w:val="en-GB"/>
        </w:rPr>
        <w:t>Enschede</w:t>
      </w:r>
      <w:proofErr w:type="spellEnd"/>
      <w:r w:rsidR="00A66BBA" w:rsidRPr="00CF4898">
        <w:rPr>
          <w:rFonts w:ascii="Arial" w:hAnsi="Arial" w:cs="Arial"/>
          <w:sz w:val="24"/>
          <w:szCs w:val="24"/>
          <w:lang w:val="en-GB"/>
        </w:rPr>
        <w:t>, Netherlands</w:t>
      </w:r>
    </w:p>
    <w:p w14:paraId="4233F87C" w14:textId="77777777" w:rsidR="00D718B2" w:rsidRDefault="00D718B2" w:rsidP="00D718B2">
      <w:pPr>
        <w:adjustRightInd w:val="0"/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vertAlign w:val="superscript"/>
          <w:lang w:val="en-GB"/>
        </w:rPr>
        <w:t xml:space="preserve">3 </w:t>
      </w:r>
      <w:r w:rsidRPr="00CF4898">
        <w:rPr>
          <w:rFonts w:ascii="Arial" w:hAnsi="Arial" w:cs="Arial"/>
          <w:sz w:val="24"/>
          <w:szCs w:val="24"/>
          <w:lang w:val="en-GB"/>
        </w:rPr>
        <w:t xml:space="preserve">Department of Genetics, University Medical </w:t>
      </w:r>
      <w:proofErr w:type="spellStart"/>
      <w:r w:rsidRPr="00CF4898">
        <w:rPr>
          <w:rFonts w:ascii="Arial" w:hAnsi="Arial" w:cs="Arial"/>
          <w:sz w:val="24"/>
          <w:szCs w:val="24"/>
          <w:lang w:val="en-GB"/>
        </w:rPr>
        <w:t>Center</w:t>
      </w:r>
      <w:proofErr w:type="spellEnd"/>
      <w:r w:rsidRPr="00CF4898">
        <w:rPr>
          <w:rFonts w:ascii="Arial" w:hAnsi="Arial" w:cs="Arial"/>
          <w:sz w:val="24"/>
          <w:szCs w:val="24"/>
          <w:lang w:val="en-GB"/>
        </w:rPr>
        <w:t xml:space="preserve"> Utrecht, Utrecht,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CF4898">
        <w:rPr>
          <w:rFonts w:ascii="Arial" w:hAnsi="Arial" w:cs="Arial"/>
          <w:sz w:val="24"/>
          <w:szCs w:val="24"/>
          <w:lang w:val="en-GB"/>
        </w:rPr>
        <w:t xml:space="preserve">Netherlands; </w:t>
      </w:r>
    </w:p>
    <w:p w14:paraId="5ED09174" w14:textId="7FF8E0B9" w:rsidR="00EF7F1F" w:rsidRDefault="00D718B2" w:rsidP="00A574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vertAlign w:val="superscript"/>
          <w:lang w:val="en-GB"/>
        </w:rPr>
        <w:t>4</w:t>
      </w:r>
      <w:r w:rsidR="00EF7F1F" w:rsidRPr="00CF4898">
        <w:rPr>
          <w:rFonts w:ascii="Arial" w:hAnsi="Arial" w:cs="Arial"/>
          <w:sz w:val="24"/>
          <w:szCs w:val="24"/>
          <w:vertAlign w:val="superscript"/>
          <w:lang w:val="en-GB"/>
        </w:rPr>
        <w:t xml:space="preserve"> </w:t>
      </w:r>
      <w:r w:rsidR="00EF7F1F" w:rsidRPr="00CF4898">
        <w:rPr>
          <w:rFonts w:ascii="Arial" w:hAnsi="Arial" w:cs="Arial"/>
          <w:sz w:val="24"/>
          <w:szCs w:val="24"/>
          <w:lang w:val="en-GB"/>
        </w:rPr>
        <w:t>NIHR UCL Hospitals Biomedical Research Centre, UCL Institute of Neurology, Queen Square, London</w:t>
      </w:r>
      <w:r w:rsidR="00AF4A9A" w:rsidRPr="00CF4898">
        <w:rPr>
          <w:rFonts w:ascii="Arial" w:hAnsi="Arial" w:cs="Arial"/>
          <w:sz w:val="24"/>
          <w:szCs w:val="24"/>
          <w:lang w:val="en-GB"/>
        </w:rPr>
        <w:t xml:space="preserve"> WC1N 3BG </w:t>
      </w:r>
      <w:r w:rsidR="008D45F2" w:rsidRPr="00CF4898">
        <w:rPr>
          <w:rFonts w:ascii="Arial" w:hAnsi="Arial" w:cs="Arial"/>
          <w:sz w:val="24"/>
          <w:szCs w:val="24"/>
          <w:lang w:val="en-GB"/>
        </w:rPr>
        <w:t>&amp;</w:t>
      </w:r>
      <w:r w:rsidR="00AF4A9A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523457">
        <w:rPr>
          <w:rFonts w:ascii="Arial" w:hAnsi="Arial" w:cs="Arial"/>
          <w:sz w:val="24"/>
          <w:szCs w:val="24"/>
          <w:lang w:val="en-GB"/>
        </w:rPr>
        <w:t xml:space="preserve">Chalfont Centre for </w:t>
      </w:r>
      <w:r w:rsidR="00AF4A9A" w:rsidRPr="00CF4898">
        <w:rPr>
          <w:rFonts w:ascii="Arial" w:hAnsi="Arial" w:cs="Arial"/>
          <w:sz w:val="24"/>
          <w:szCs w:val="24"/>
          <w:lang w:val="en-GB"/>
        </w:rPr>
        <w:t>Epilepsy, Chalfont St Peter SL9 0RJ</w:t>
      </w:r>
      <w:r w:rsidR="00EF7F1F" w:rsidRPr="00CF4898">
        <w:rPr>
          <w:rFonts w:ascii="Arial" w:hAnsi="Arial" w:cs="Arial"/>
          <w:sz w:val="24"/>
          <w:szCs w:val="24"/>
          <w:lang w:val="en-GB"/>
        </w:rPr>
        <w:t>, United Kingdom</w:t>
      </w:r>
      <w:r w:rsidR="00A76A9E" w:rsidRPr="00CF4898">
        <w:rPr>
          <w:rFonts w:ascii="Arial" w:hAnsi="Arial" w:cs="Arial"/>
          <w:sz w:val="24"/>
          <w:szCs w:val="24"/>
          <w:lang w:val="en-GB"/>
        </w:rPr>
        <w:t>;</w:t>
      </w:r>
    </w:p>
    <w:p w14:paraId="0268E8E9" w14:textId="71D4FDFD" w:rsidR="009E3CDA" w:rsidRPr="00B83ACE" w:rsidRDefault="00523457" w:rsidP="005234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523457">
        <w:rPr>
          <w:rFonts w:ascii="Arial" w:hAnsi="Arial" w:cs="Arial"/>
          <w:sz w:val="24"/>
          <w:szCs w:val="24"/>
          <w:lang w:val="en-GB"/>
        </w:rPr>
        <w:t>*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9E3CDA" w:rsidRPr="00B83ACE">
        <w:rPr>
          <w:rFonts w:ascii="Arial" w:hAnsi="Arial" w:cs="Arial"/>
          <w:sz w:val="24"/>
          <w:szCs w:val="24"/>
          <w:lang w:val="en-GB"/>
        </w:rPr>
        <w:t>for full membership list see appendix</w:t>
      </w:r>
    </w:p>
    <w:p w14:paraId="0DBBD6FD" w14:textId="77777777" w:rsidR="00C113A3" w:rsidRDefault="00C113A3" w:rsidP="00A574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14:paraId="7A335F0E" w14:textId="77777777" w:rsidR="00C113A3" w:rsidRDefault="00C113A3" w:rsidP="00A574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C113A3">
        <w:rPr>
          <w:rFonts w:ascii="Arial" w:hAnsi="Arial" w:cs="Arial"/>
          <w:b/>
          <w:sz w:val="24"/>
          <w:szCs w:val="24"/>
          <w:lang w:val="en-GB"/>
        </w:rPr>
        <w:t>Running title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Pr="00FD2759">
        <w:rPr>
          <w:rFonts w:ascii="Arial" w:hAnsi="Arial"/>
          <w:sz w:val="24"/>
          <w:szCs w:val="24"/>
          <w:lang w:val="en-GB"/>
        </w:rPr>
        <w:t>C</w:t>
      </w:r>
      <w:r>
        <w:rPr>
          <w:rFonts w:ascii="Arial" w:hAnsi="Arial"/>
          <w:sz w:val="24"/>
          <w:szCs w:val="24"/>
          <w:lang w:val="en-GB"/>
        </w:rPr>
        <w:t>BZ and OXC induced hyponatremia</w:t>
      </w:r>
    </w:p>
    <w:p w14:paraId="1FD2A74E" w14:textId="0FFBA8F2" w:rsidR="00C113A3" w:rsidRPr="00CF4898" w:rsidRDefault="00C113A3" w:rsidP="00C113A3">
      <w:pPr>
        <w:adjustRightInd w:val="0"/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CF4898">
        <w:rPr>
          <w:rFonts w:ascii="Arial" w:hAnsi="Arial" w:cs="Arial"/>
          <w:b/>
          <w:sz w:val="24"/>
          <w:szCs w:val="24"/>
          <w:lang w:val="en-GB"/>
        </w:rPr>
        <w:t>Keywords</w:t>
      </w:r>
      <w:r>
        <w:rPr>
          <w:rFonts w:ascii="Arial" w:hAnsi="Arial" w:cs="Arial"/>
          <w:sz w:val="24"/>
          <w:szCs w:val="24"/>
          <w:lang w:val="en-GB"/>
        </w:rPr>
        <w:t xml:space="preserve">: Antiepileptic drugs, </w:t>
      </w:r>
      <w:r w:rsidR="00523457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odium levels, </w:t>
      </w:r>
      <w:r w:rsidR="00523457">
        <w:rPr>
          <w:rFonts w:ascii="Arial" w:hAnsi="Arial" w:cs="Arial"/>
          <w:sz w:val="24"/>
          <w:szCs w:val="24"/>
          <w:lang w:val="en-GB"/>
        </w:rPr>
        <w:t>adverse</w:t>
      </w:r>
      <w:r w:rsidRPr="00CF4898">
        <w:rPr>
          <w:rFonts w:ascii="Arial" w:hAnsi="Arial" w:cs="Arial"/>
          <w:sz w:val="24"/>
          <w:szCs w:val="24"/>
          <w:lang w:val="en-GB"/>
        </w:rPr>
        <w:t xml:space="preserve"> effects</w:t>
      </w:r>
      <w:r w:rsidR="003F7243">
        <w:rPr>
          <w:rFonts w:ascii="Arial" w:hAnsi="Arial" w:cs="Arial"/>
          <w:sz w:val="24"/>
          <w:szCs w:val="24"/>
          <w:lang w:val="en-GB"/>
        </w:rPr>
        <w:t xml:space="preserve">, </w:t>
      </w:r>
      <w:r w:rsidR="00523457">
        <w:rPr>
          <w:rFonts w:ascii="Arial" w:hAnsi="Arial" w:cs="Arial"/>
          <w:sz w:val="24"/>
          <w:szCs w:val="24"/>
          <w:lang w:val="en-GB"/>
        </w:rPr>
        <w:t>e</w:t>
      </w:r>
      <w:r w:rsidR="00810822">
        <w:rPr>
          <w:rFonts w:ascii="Arial" w:hAnsi="Arial" w:cs="Arial"/>
          <w:sz w:val="24"/>
          <w:szCs w:val="24"/>
          <w:lang w:val="en-GB"/>
        </w:rPr>
        <w:t>lectrolytes</w:t>
      </w:r>
      <w:r w:rsidRPr="00CF4898">
        <w:rPr>
          <w:rFonts w:ascii="Arial" w:hAnsi="Arial" w:cs="Arial"/>
          <w:sz w:val="24"/>
          <w:szCs w:val="24"/>
          <w:lang w:val="en-GB"/>
        </w:rPr>
        <w:t>.</w:t>
      </w:r>
    </w:p>
    <w:p w14:paraId="6F6921B1" w14:textId="77777777" w:rsidR="00C113A3" w:rsidRDefault="008319FE" w:rsidP="00A574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Number of text pages: 21</w:t>
      </w:r>
    </w:p>
    <w:p w14:paraId="2F3E72A5" w14:textId="77777777" w:rsidR="00A71100" w:rsidRPr="00CF4898" w:rsidRDefault="00A71100" w:rsidP="00A574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Number of references: 18</w:t>
      </w:r>
    </w:p>
    <w:p w14:paraId="09C0FAC9" w14:textId="77777777" w:rsidR="00786AF5" w:rsidRPr="00786AF5" w:rsidRDefault="000E7444" w:rsidP="00A71100">
      <w:pPr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Number of tables: 5</w:t>
      </w:r>
      <w:r w:rsidR="00786AF5" w:rsidRPr="00786AF5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B61B880" w14:textId="77777777" w:rsidR="007E69D7" w:rsidRDefault="00786AF5" w:rsidP="00A71100">
      <w:pPr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86AF5">
        <w:rPr>
          <w:rFonts w:ascii="Arial" w:hAnsi="Arial" w:cs="Arial"/>
          <w:sz w:val="24"/>
          <w:szCs w:val="24"/>
          <w:lang w:val="en-GB"/>
        </w:rPr>
        <w:t xml:space="preserve">Number of figures: </w:t>
      </w:r>
      <w:r w:rsidR="00D10281">
        <w:rPr>
          <w:rFonts w:ascii="Arial" w:hAnsi="Arial" w:cs="Arial"/>
          <w:sz w:val="24"/>
          <w:szCs w:val="24"/>
          <w:lang w:val="en-GB"/>
        </w:rPr>
        <w:t>1</w:t>
      </w:r>
    </w:p>
    <w:p w14:paraId="7EEFEB46" w14:textId="77777777" w:rsidR="00247E44" w:rsidRDefault="00247E44" w:rsidP="00A71100">
      <w:pPr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Number of Supplementary fig</w:t>
      </w:r>
      <w:r w:rsidR="00D10281">
        <w:rPr>
          <w:rFonts w:ascii="Arial" w:hAnsi="Arial" w:cs="Arial"/>
          <w:sz w:val="24"/>
          <w:szCs w:val="24"/>
          <w:lang w:val="en-GB"/>
        </w:rPr>
        <w:t>ures: 2</w:t>
      </w:r>
    </w:p>
    <w:p w14:paraId="5521E865" w14:textId="093C7272" w:rsidR="00A71100" w:rsidRDefault="00A71100" w:rsidP="00A71100">
      <w:pPr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Word count paper: </w:t>
      </w:r>
      <w:r w:rsidR="00301396">
        <w:rPr>
          <w:rFonts w:ascii="Arial" w:hAnsi="Arial" w:cs="Arial"/>
          <w:sz w:val="24"/>
          <w:szCs w:val="24"/>
          <w:lang w:val="en-GB"/>
        </w:rPr>
        <w:t>2</w:t>
      </w:r>
      <w:r w:rsidR="00301396">
        <w:rPr>
          <w:rFonts w:ascii="Arial" w:hAnsi="Arial" w:cs="Arial"/>
          <w:sz w:val="24"/>
          <w:szCs w:val="24"/>
          <w:lang w:val="en-GB"/>
        </w:rPr>
        <w:t>477</w:t>
      </w:r>
    </w:p>
    <w:p w14:paraId="10DD5039" w14:textId="111FB5AF" w:rsidR="00A71100" w:rsidRDefault="00A71100" w:rsidP="00A71100">
      <w:pPr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Word count abstract: </w:t>
      </w:r>
      <w:r w:rsidR="00390C56">
        <w:rPr>
          <w:rFonts w:ascii="Arial" w:hAnsi="Arial" w:cs="Arial"/>
          <w:sz w:val="24"/>
          <w:szCs w:val="24"/>
          <w:lang w:val="en-GB"/>
        </w:rPr>
        <w:t>22</w:t>
      </w:r>
      <w:r w:rsidR="007114CB">
        <w:rPr>
          <w:rFonts w:ascii="Arial" w:hAnsi="Arial" w:cs="Arial"/>
          <w:sz w:val="24"/>
          <w:szCs w:val="24"/>
          <w:lang w:val="en-GB"/>
        </w:rPr>
        <w:t>7</w:t>
      </w:r>
    </w:p>
    <w:p w14:paraId="155B52E8" w14:textId="77777777" w:rsidR="00786AF5" w:rsidRPr="00786AF5" w:rsidRDefault="00786AF5" w:rsidP="00A81FDF">
      <w:pPr>
        <w:adjustRightInd w:val="0"/>
        <w:spacing w:after="0" w:line="240" w:lineRule="auto"/>
        <w:rPr>
          <w:rFonts w:ascii="Arial" w:hAnsi="Arial" w:cs="Arial"/>
          <w:b/>
          <w:sz w:val="22"/>
          <w:lang w:val="en-GB"/>
        </w:rPr>
      </w:pPr>
    </w:p>
    <w:p w14:paraId="6B884A99" w14:textId="561F42B9" w:rsidR="00EF7F1F" w:rsidRPr="00DA2506" w:rsidRDefault="00EF7F1F" w:rsidP="00A81FDF">
      <w:pPr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A2506">
        <w:rPr>
          <w:rFonts w:ascii="Arial" w:hAnsi="Arial" w:cs="Arial"/>
          <w:b/>
          <w:sz w:val="24"/>
          <w:szCs w:val="24"/>
          <w:lang w:val="en-US"/>
        </w:rPr>
        <w:t>Correspondence to:</w:t>
      </w:r>
    </w:p>
    <w:p w14:paraId="66A2B1E3" w14:textId="77777777" w:rsidR="00DC08B9" w:rsidRPr="00DA2506" w:rsidRDefault="00EF7F1F" w:rsidP="00A81FDF">
      <w:pPr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A2506">
        <w:rPr>
          <w:rFonts w:ascii="Arial" w:hAnsi="Arial" w:cs="Arial"/>
          <w:sz w:val="24"/>
          <w:szCs w:val="24"/>
          <w:lang w:val="en-US"/>
        </w:rPr>
        <w:t xml:space="preserve">Bianca Berghuis, </w:t>
      </w:r>
    </w:p>
    <w:p w14:paraId="0A8F374C" w14:textId="77777777" w:rsidR="00DC08B9" w:rsidRPr="00DA2506" w:rsidRDefault="00EF7F1F" w:rsidP="00A81FDF">
      <w:pPr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A2506">
        <w:rPr>
          <w:rFonts w:ascii="Arial" w:hAnsi="Arial" w:cs="Arial"/>
          <w:sz w:val="24"/>
          <w:szCs w:val="24"/>
          <w:lang w:val="en-US"/>
        </w:rPr>
        <w:t xml:space="preserve">PO BOX 563, </w:t>
      </w:r>
    </w:p>
    <w:p w14:paraId="33490C51" w14:textId="77777777" w:rsidR="00EF7F1F" w:rsidRDefault="00EF7F1F" w:rsidP="00A81FDF">
      <w:pPr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F4898">
        <w:rPr>
          <w:rFonts w:ascii="Arial" w:hAnsi="Arial" w:cs="Arial"/>
          <w:sz w:val="24"/>
          <w:szCs w:val="24"/>
          <w:lang w:val="en-US"/>
        </w:rPr>
        <w:t>8000 AN Zwolle, Netherlands.</w:t>
      </w:r>
    </w:p>
    <w:p w14:paraId="146A51A0" w14:textId="77777777" w:rsidR="00D02BA1" w:rsidRPr="00DC08B9" w:rsidRDefault="00D02BA1" w:rsidP="00A81FDF">
      <w:pPr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C08B9">
        <w:rPr>
          <w:rFonts w:ascii="Arial" w:hAnsi="Arial" w:cs="Arial"/>
          <w:sz w:val="24"/>
          <w:szCs w:val="24"/>
          <w:lang w:val="en-GB"/>
        </w:rPr>
        <w:t>bberghuis@sein.nl</w:t>
      </w:r>
    </w:p>
    <w:p w14:paraId="4DCA2491" w14:textId="77777777" w:rsidR="00D6753C" w:rsidRPr="00DC08B9" w:rsidRDefault="00EF7F1F" w:rsidP="002B5466">
      <w:pPr>
        <w:adjustRightInd w:val="0"/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DC08B9">
        <w:rPr>
          <w:rFonts w:ascii="Arial" w:hAnsi="Arial" w:cs="Arial"/>
          <w:b/>
          <w:sz w:val="24"/>
          <w:szCs w:val="24"/>
          <w:lang w:val="en-GB"/>
        </w:rPr>
        <w:t>T: +31 643044750</w:t>
      </w:r>
    </w:p>
    <w:p w14:paraId="5EE9A66A" w14:textId="77777777" w:rsidR="00680559" w:rsidRPr="00DC08B9" w:rsidRDefault="00680559" w:rsidP="00A81FDF">
      <w:pPr>
        <w:adjustRightInd w:val="0"/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44A2253F" w14:textId="77777777" w:rsidR="002B5466" w:rsidRDefault="002B5466" w:rsidP="00A81FDF">
      <w:pPr>
        <w:adjustRightInd w:val="0"/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1B7BBB94" w14:textId="77777777" w:rsidR="00AA6F19" w:rsidRPr="00CF4898" w:rsidRDefault="00AA6F19" w:rsidP="00E363F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F4898">
        <w:rPr>
          <w:rFonts w:ascii="Arial" w:hAnsi="Arial" w:cs="Arial"/>
          <w:b/>
          <w:sz w:val="28"/>
          <w:szCs w:val="28"/>
          <w:lang w:val="en-GB"/>
        </w:rPr>
        <w:t>A</w:t>
      </w:r>
      <w:r w:rsidR="006F1A0D">
        <w:rPr>
          <w:rFonts w:ascii="Arial" w:hAnsi="Arial" w:cs="Arial"/>
          <w:b/>
          <w:sz w:val="28"/>
          <w:szCs w:val="28"/>
          <w:lang w:val="en-GB"/>
        </w:rPr>
        <w:t>BSTRACT</w:t>
      </w:r>
    </w:p>
    <w:p w14:paraId="74D7E07F" w14:textId="77777777" w:rsidR="00BC640E" w:rsidRPr="00CF4898" w:rsidRDefault="00BC640E" w:rsidP="002E48B2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CF4898">
        <w:rPr>
          <w:rFonts w:ascii="Arial" w:hAnsi="Arial" w:cs="Arial"/>
          <w:b/>
          <w:sz w:val="24"/>
          <w:szCs w:val="24"/>
          <w:lang w:val="en-US"/>
        </w:rPr>
        <w:t>Objective</w:t>
      </w:r>
      <w:r w:rsidR="00B41F20" w:rsidRPr="00CF489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41F20" w:rsidRPr="00CF4898">
        <w:rPr>
          <w:rFonts w:ascii="Arial" w:hAnsi="Arial" w:cs="Arial"/>
          <w:sz w:val="24"/>
          <w:szCs w:val="24"/>
          <w:lang w:val="en-US"/>
        </w:rPr>
        <w:t xml:space="preserve">To </w:t>
      </w:r>
      <w:r w:rsidR="00DE752E" w:rsidRPr="00CF4898">
        <w:rPr>
          <w:rFonts w:ascii="Arial" w:hAnsi="Arial" w:cs="Arial"/>
          <w:sz w:val="24"/>
          <w:szCs w:val="24"/>
          <w:lang w:val="en-US"/>
        </w:rPr>
        <w:t xml:space="preserve">ascertain possible </w:t>
      </w:r>
      <w:r w:rsidR="00B41F20" w:rsidRPr="00CF4898">
        <w:rPr>
          <w:rFonts w:ascii="Arial" w:hAnsi="Arial" w:cs="Arial"/>
          <w:sz w:val="24"/>
          <w:szCs w:val="24"/>
          <w:lang w:val="en-US"/>
        </w:rPr>
        <w:t xml:space="preserve">determinants of </w:t>
      </w:r>
      <w:r w:rsidR="00B41F20" w:rsidRPr="00CF4898">
        <w:rPr>
          <w:rFonts w:ascii="Arial" w:hAnsi="Arial" w:cs="Arial"/>
          <w:sz w:val="24"/>
          <w:szCs w:val="24"/>
          <w:lang w:val="en-GB"/>
        </w:rPr>
        <w:t>carbamazepine (</w:t>
      </w:r>
      <w:r w:rsidR="00B41F20" w:rsidRPr="00CF4898">
        <w:rPr>
          <w:rFonts w:ascii="Arial" w:hAnsi="Arial" w:cs="Arial"/>
          <w:sz w:val="24"/>
          <w:szCs w:val="24"/>
          <w:lang w:val="en-US"/>
        </w:rPr>
        <w:t>CBZ) and</w:t>
      </w:r>
      <w:r w:rsidR="00B41F20" w:rsidRPr="00CF4898">
        <w:rPr>
          <w:rFonts w:ascii="Arial" w:hAnsi="Arial" w:cs="Arial"/>
          <w:sz w:val="24"/>
          <w:szCs w:val="24"/>
          <w:lang w:val="en-GB"/>
        </w:rPr>
        <w:t xml:space="preserve"> oxcarbazepine</w:t>
      </w:r>
      <w:r w:rsidR="00B41F20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A56131" w:rsidRPr="00CF4898">
        <w:rPr>
          <w:rFonts w:ascii="Arial" w:hAnsi="Arial" w:cs="Arial"/>
          <w:sz w:val="24"/>
          <w:szCs w:val="24"/>
          <w:lang w:val="en-US"/>
        </w:rPr>
        <w:t>(</w:t>
      </w:r>
      <w:r w:rsidR="00B41F20" w:rsidRPr="00CF4898">
        <w:rPr>
          <w:rFonts w:ascii="Arial" w:hAnsi="Arial" w:cs="Arial"/>
          <w:sz w:val="24"/>
          <w:szCs w:val="24"/>
          <w:lang w:val="en-US"/>
        </w:rPr>
        <w:t>OXC</w:t>
      </w:r>
      <w:r w:rsidR="00A56131" w:rsidRPr="00CF4898">
        <w:rPr>
          <w:rFonts w:ascii="Arial" w:hAnsi="Arial" w:cs="Arial"/>
          <w:sz w:val="24"/>
          <w:szCs w:val="24"/>
          <w:lang w:val="en-US"/>
        </w:rPr>
        <w:t>)</w:t>
      </w:r>
      <w:r w:rsidR="00B41F20" w:rsidRPr="00CF4898">
        <w:rPr>
          <w:rFonts w:ascii="Arial" w:hAnsi="Arial" w:cs="Arial"/>
          <w:sz w:val="24"/>
          <w:szCs w:val="24"/>
          <w:lang w:val="en-US"/>
        </w:rPr>
        <w:t xml:space="preserve"> induced hyponatremia</w:t>
      </w:r>
      <w:r w:rsidR="005D3391" w:rsidRPr="00CF4898">
        <w:rPr>
          <w:rFonts w:ascii="Arial" w:hAnsi="Arial" w:cs="Arial"/>
          <w:sz w:val="24"/>
          <w:szCs w:val="24"/>
          <w:lang w:val="en-US"/>
        </w:rPr>
        <w:t xml:space="preserve"> in </w:t>
      </w:r>
      <w:r w:rsidR="00DE752E" w:rsidRPr="00CF4898">
        <w:rPr>
          <w:rFonts w:ascii="Arial" w:hAnsi="Arial" w:cs="Arial"/>
          <w:sz w:val="24"/>
          <w:szCs w:val="24"/>
          <w:lang w:val="en-US"/>
        </w:rPr>
        <w:t xml:space="preserve">a </w:t>
      </w:r>
      <w:r w:rsidR="005D3391" w:rsidRPr="00CF4898">
        <w:rPr>
          <w:rFonts w:ascii="Arial" w:hAnsi="Arial" w:cs="Arial"/>
          <w:sz w:val="24"/>
          <w:szCs w:val="24"/>
          <w:lang w:val="en-US"/>
        </w:rPr>
        <w:t xml:space="preserve">large </w:t>
      </w:r>
      <w:r w:rsidR="00DE752E" w:rsidRPr="00CF4898">
        <w:rPr>
          <w:rFonts w:ascii="Arial" w:hAnsi="Arial" w:cs="Arial"/>
          <w:sz w:val="24"/>
          <w:szCs w:val="24"/>
          <w:lang w:val="en-US"/>
        </w:rPr>
        <w:t xml:space="preserve">cohort of people with </w:t>
      </w:r>
      <w:r w:rsidR="00A56131" w:rsidRPr="00CF4898">
        <w:rPr>
          <w:rFonts w:ascii="Arial" w:hAnsi="Arial" w:cs="Arial"/>
          <w:sz w:val="24"/>
          <w:szCs w:val="24"/>
          <w:lang w:val="en-US"/>
        </w:rPr>
        <w:t>epilepsy</w:t>
      </w:r>
      <w:r w:rsidR="00EE5F60" w:rsidRPr="00CF4898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18CC7022" w14:textId="15335743" w:rsidR="00BC640E" w:rsidRPr="00CF4898" w:rsidRDefault="00AF4A9A" w:rsidP="002E48B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F4898">
        <w:rPr>
          <w:rFonts w:ascii="Arial" w:hAnsi="Arial" w:cs="Arial"/>
          <w:b/>
          <w:sz w:val="24"/>
          <w:szCs w:val="24"/>
          <w:lang w:val="en-US"/>
        </w:rPr>
        <w:t xml:space="preserve">Methods </w:t>
      </w:r>
      <w:r w:rsidRPr="00CF4898">
        <w:rPr>
          <w:rFonts w:ascii="Arial" w:hAnsi="Arial" w:cs="Arial"/>
          <w:sz w:val="24"/>
          <w:szCs w:val="24"/>
          <w:lang w:val="en-US"/>
        </w:rPr>
        <w:t>We collected data</w:t>
      </w:r>
      <w:r w:rsidR="005D3391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DE752E" w:rsidRPr="00CF4898">
        <w:rPr>
          <w:rFonts w:ascii="Arial" w:hAnsi="Arial" w:cs="Arial"/>
          <w:sz w:val="24"/>
          <w:szCs w:val="24"/>
          <w:lang w:val="en-US"/>
        </w:rPr>
        <w:t xml:space="preserve">on serum sodium levels in people with epilepsy attending a tertiary epilepsy </w:t>
      </w:r>
      <w:proofErr w:type="spellStart"/>
      <w:r w:rsidR="00DE752E" w:rsidRPr="00D11124">
        <w:rPr>
          <w:rFonts w:ascii="Arial" w:hAnsi="Arial" w:cs="Arial"/>
          <w:sz w:val="24"/>
          <w:szCs w:val="24"/>
          <w:lang w:val="en-US"/>
        </w:rPr>
        <w:t>cent</w:t>
      </w:r>
      <w:r w:rsidR="00D11124">
        <w:rPr>
          <w:rFonts w:ascii="Arial" w:hAnsi="Arial" w:cs="Arial"/>
          <w:sz w:val="24"/>
          <w:szCs w:val="24"/>
          <w:lang w:val="en-US"/>
        </w:rPr>
        <w:t>r</w:t>
      </w:r>
      <w:r w:rsidR="00DE752E" w:rsidRPr="00D11124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DE752E" w:rsidRPr="00CF4898">
        <w:rPr>
          <w:rFonts w:ascii="Arial" w:hAnsi="Arial" w:cs="Arial"/>
          <w:sz w:val="24"/>
          <w:szCs w:val="24"/>
          <w:lang w:val="en-US"/>
        </w:rPr>
        <w:t xml:space="preserve"> while on treatment with CBZ </w:t>
      </w:r>
      <w:r w:rsidR="007D6680">
        <w:rPr>
          <w:rFonts w:ascii="Arial" w:hAnsi="Arial" w:cs="Arial"/>
          <w:sz w:val="24"/>
          <w:szCs w:val="24"/>
          <w:lang w:val="en-US"/>
        </w:rPr>
        <w:t>or</w:t>
      </w:r>
      <w:r w:rsidR="00DE752E" w:rsidRPr="00CF4898">
        <w:rPr>
          <w:rFonts w:ascii="Arial" w:hAnsi="Arial" w:cs="Arial"/>
          <w:sz w:val="24"/>
          <w:szCs w:val="24"/>
          <w:lang w:val="en-US"/>
        </w:rPr>
        <w:t xml:space="preserve"> OXC</w:t>
      </w:r>
      <w:r w:rsidRPr="00CF4898">
        <w:rPr>
          <w:rFonts w:ascii="Arial" w:hAnsi="Arial" w:cs="Arial"/>
          <w:sz w:val="24"/>
          <w:szCs w:val="24"/>
          <w:lang w:val="en-US"/>
        </w:rPr>
        <w:t xml:space="preserve">. We defined </w:t>
      </w:r>
      <w:r w:rsidR="00736499" w:rsidRPr="00CF4898">
        <w:rPr>
          <w:rFonts w:ascii="Arial" w:hAnsi="Arial" w:cs="Arial"/>
          <w:sz w:val="24"/>
          <w:szCs w:val="24"/>
          <w:lang w:val="en-US"/>
        </w:rPr>
        <w:t>h</w:t>
      </w:r>
      <w:r w:rsidR="00A908C7" w:rsidRPr="00CF4898">
        <w:rPr>
          <w:rFonts w:ascii="Arial" w:hAnsi="Arial" w:cs="Arial"/>
          <w:sz w:val="24"/>
          <w:szCs w:val="24"/>
          <w:lang w:val="en-US"/>
        </w:rPr>
        <w:t>yponatremia as Na+</w:t>
      </w:r>
      <w:r w:rsidR="00A908C7" w:rsidRPr="00CF4898">
        <w:rPr>
          <w:rFonts w:ascii="Arial" w:hAnsi="Arial" w:cs="Arial"/>
          <w:sz w:val="24"/>
          <w:szCs w:val="24"/>
          <w:lang w:val="en-GB"/>
        </w:rPr>
        <w:t xml:space="preserve">≤134 </w:t>
      </w:r>
      <w:proofErr w:type="spellStart"/>
      <w:r w:rsidR="00A908C7" w:rsidRPr="00CF4898">
        <w:rPr>
          <w:rFonts w:ascii="Arial" w:hAnsi="Arial" w:cs="Arial"/>
          <w:sz w:val="24"/>
          <w:szCs w:val="24"/>
          <w:lang w:val="en-US"/>
        </w:rPr>
        <w:t>mEq</w:t>
      </w:r>
      <w:proofErr w:type="spellEnd"/>
      <w:r w:rsidR="00A908C7" w:rsidRPr="00CF4898">
        <w:rPr>
          <w:rFonts w:ascii="Arial" w:hAnsi="Arial" w:cs="Arial"/>
          <w:sz w:val="24"/>
          <w:szCs w:val="24"/>
          <w:lang w:val="en-US"/>
        </w:rPr>
        <w:t>/L</w:t>
      </w:r>
      <w:r w:rsidRPr="00CF4898">
        <w:rPr>
          <w:rFonts w:ascii="Arial" w:hAnsi="Arial" w:cs="Arial"/>
          <w:sz w:val="24"/>
          <w:szCs w:val="24"/>
          <w:lang w:val="en-US"/>
        </w:rPr>
        <w:t xml:space="preserve"> and s</w:t>
      </w:r>
      <w:r w:rsidR="00D03545" w:rsidRPr="00CF4898">
        <w:rPr>
          <w:rFonts w:ascii="Arial" w:hAnsi="Arial" w:cs="Arial"/>
          <w:sz w:val="24"/>
          <w:szCs w:val="24"/>
          <w:lang w:val="en-US"/>
        </w:rPr>
        <w:t xml:space="preserve">evere hyponatremia </w:t>
      </w:r>
      <w:r w:rsidR="00FD0469" w:rsidRPr="00CF4898">
        <w:rPr>
          <w:rFonts w:ascii="Arial" w:hAnsi="Arial" w:cs="Arial"/>
          <w:sz w:val="24"/>
          <w:szCs w:val="24"/>
          <w:lang w:val="en-US"/>
        </w:rPr>
        <w:t>as Na+</w:t>
      </w:r>
      <w:r w:rsidR="00FD0469" w:rsidRPr="00CF4898">
        <w:rPr>
          <w:rFonts w:ascii="Arial" w:hAnsi="Arial" w:cs="Arial"/>
          <w:sz w:val="24"/>
          <w:szCs w:val="24"/>
          <w:lang w:val="en-GB"/>
        </w:rPr>
        <w:t xml:space="preserve">≤128 </w:t>
      </w:r>
      <w:proofErr w:type="spellStart"/>
      <w:r w:rsidR="00FD0469" w:rsidRPr="00CF4898">
        <w:rPr>
          <w:rFonts w:ascii="Arial" w:hAnsi="Arial" w:cs="Arial"/>
          <w:sz w:val="24"/>
          <w:szCs w:val="24"/>
          <w:lang w:val="en-US"/>
        </w:rPr>
        <w:t>mEq</w:t>
      </w:r>
      <w:proofErr w:type="spellEnd"/>
      <w:r w:rsidR="00FD0469" w:rsidRPr="00CF4898">
        <w:rPr>
          <w:rFonts w:ascii="Arial" w:hAnsi="Arial" w:cs="Arial"/>
          <w:sz w:val="24"/>
          <w:szCs w:val="24"/>
          <w:lang w:val="en-US"/>
        </w:rPr>
        <w:t>/L.</w:t>
      </w:r>
    </w:p>
    <w:p w14:paraId="75F695E6" w14:textId="1128431E" w:rsidR="00511DC2" w:rsidRPr="00CF4898" w:rsidRDefault="00BC640E" w:rsidP="00581E9F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F4898">
        <w:rPr>
          <w:rFonts w:ascii="Arial" w:hAnsi="Arial" w:cs="Arial"/>
          <w:b/>
          <w:sz w:val="24"/>
          <w:szCs w:val="24"/>
          <w:lang w:val="en-US"/>
        </w:rPr>
        <w:t>Results</w:t>
      </w:r>
      <w:r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483A89" w:rsidRPr="00CF4898">
        <w:rPr>
          <w:rFonts w:ascii="Arial" w:hAnsi="Arial" w:cs="Arial"/>
          <w:sz w:val="24"/>
          <w:szCs w:val="24"/>
          <w:lang w:val="en-US"/>
        </w:rPr>
        <w:t>We identified 1</w:t>
      </w:r>
      <w:r w:rsidR="00746BD7">
        <w:rPr>
          <w:rFonts w:ascii="Arial" w:hAnsi="Arial" w:cs="Arial"/>
          <w:sz w:val="24"/>
          <w:szCs w:val="24"/>
          <w:lang w:val="en-US"/>
        </w:rPr>
        <w:t>,</w:t>
      </w:r>
      <w:r w:rsidR="00483A89" w:rsidRPr="00CF4898">
        <w:rPr>
          <w:rFonts w:ascii="Arial" w:hAnsi="Arial" w:cs="Arial"/>
          <w:sz w:val="24"/>
          <w:szCs w:val="24"/>
          <w:lang w:val="en-US"/>
        </w:rPr>
        <w:t>782 people who had used CBZ (n=1</w:t>
      </w:r>
      <w:r w:rsidR="00882857">
        <w:rPr>
          <w:rFonts w:ascii="Arial" w:hAnsi="Arial" w:cs="Arial"/>
          <w:sz w:val="24"/>
          <w:szCs w:val="24"/>
          <w:lang w:val="en-US"/>
        </w:rPr>
        <w:t>,</w:t>
      </w:r>
      <w:r w:rsidR="00483A89" w:rsidRPr="00CF4898">
        <w:rPr>
          <w:rFonts w:ascii="Arial" w:hAnsi="Arial" w:cs="Arial"/>
          <w:sz w:val="24"/>
          <w:szCs w:val="24"/>
          <w:lang w:val="en-US"/>
        </w:rPr>
        <w:t>424) or OXC (n=358)</w:t>
      </w:r>
      <w:r w:rsidR="006C0A2F">
        <w:rPr>
          <w:rFonts w:ascii="Arial" w:hAnsi="Arial" w:cs="Arial"/>
          <w:sz w:val="24"/>
          <w:szCs w:val="24"/>
          <w:lang w:val="en-US"/>
        </w:rPr>
        <w:t xml:space="preserve"> of whom 50 were treated with both drugs.</w:t>
      </w:r>
      <w:r w:rsidR="00483A89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AF4A9A" w:rsidRPr="00CF4898">
        <w:rPr>
          <w:rFonts w:ascii="Arial" w:hAnsi="Arial" w:cs="Arial"/>
          <w:sz w:val="24"/>
          <w:szCs w:val="24"/>
          <w:lang w:val="en-US"/>
        </w:rPr>
        <w:t xml:space="preserve"> Data on so</w:t>
      </w:r>
      <w:r w:rsidR="00483A89" w:rsidRPr="00CF4898">
        <w:rPr>
          <w:rFonts w:ascii="Arial" w:hAnsi="Arial" w:cs="Arial"/>
          <w:sz w:val="24"/>
          <w:szCs w:val="24"/>
          <w:lang w:val="en-US"/>
        </w:rPr>
        <w:t>dium level measure</w:t>
      </w:r>
      <w:r w:rsidR="00AF4A9A" w:rsidRPr="00CF4898">
        <w:rPr>
          <w:rFonts w:ascii="Arial" w:hAnsi="Arial" w:cs="Arial"/>
          <w:sz w:val="24"/>
          <w:szCs w:val="24"/>
          <w:lang w:val="en-US"/>
        </w:rPr>
        <w:t xml:space="preserve">ments were available </w:t>
      </w:r>
      <w:r w:rsidR="00483A89" w:rsidRPr="00CF4898">
        <w:rPr>
          <w:rFonts w:ascii="Arial" w:hAnsi="Arial" w:cs="Arial"/>
          <w:sz w:val="24"/>
          <w:szCs w:val="24"/>
          <w:lang w:val="en-US"/>
        </w:rPr>
        <w:t>in 1</w:t>
      </w:r>
      <w:r w:rsidR="00746BD7">
        <w:rPr>
          <w:rFonts w:ascii="Arial" w:hAnsi="Arial" w:cs="Arial"/>
          <w:sz w:val="24"/>
          <w:szCs w:val="24"/>
          <w:lang w:val="en-US"/>
        </w:rPr>
        <w:t>,</w:t>
      </w:r>
      <w:r w:rsidR="00483A89" w:rsidRPr="00CF4898">
        <w:rPr>
          <w:rFonts w:ascii="Arial" w:hAnsi="Arial" w:cs="Arial"/>
          <w:sz w:val="24"/>
          <w:szCs w:val="24"/>
          <w:lang w:val="en-US"/>
        </w:rPr>
        <w:t>132 on CB</w:t>
      </w:r>
      <w:r w:rsidR="00EE7DE2" w:rsidRPr="00CF4898">
        <w:rPr>
          <w:rFonts w:ascii="Arial" w:hAnsi="Arial" w:cs="Arial"/>
          <w:sz w:val="24"/>
          <w:szCs w:val="24"/>
          <w:lang w:val="en-US"/>
        </w:rPr>
        <w:t>Z</w:t>
      </w:r>
      <w:r w:rsidR="00483A89" w:rsidRPr="00CF4898">
        <w:rPr>
          <w:rFonts w:ascii="Arial" w:hAnsi="Arial" w:cs="Arial"/>
          <w:sz w:val="24"/>
          <w:szCs w:val="24"/>
          <w:lang w:val="en-US"/>
        </w:rPr>
        <w:t xml:space="preserve"> and in 289 on OXC. </w:t>
      </w:r>
      <w:r w:rsidR="00FD2759">
        <w:rPr>
          <w:rFonts w:ascii="Arial" w:hAnsi="Arial" w:cs="Arial"/>
          <w:sz w:val="24"/>
          <w:szCs w:val="24"/>
          <w:lang w:val="en-US"/>
        </w:rPr>
        <w:t>H</w:t>
      </w:r>
      <w:r w:rsidR="00FD2759" w:rsidRPr="00CF4898">
        <w:rPr>
          <w:rFonts w:ascii="Arial" w:hAnsi="Arial" w:cs="Arial"/>
          <w:sz w:val="24"/>
          <w:szCs w:val="24"/>
          <w:lang w:val="en-US"/>
        </w:rPr>
        <w:t xml:space="preserve">yponatremia </w:t>
      </w:r>
      <w:r w:rsidR="00FD2759">
        <w:rPr>
          <w:rFonts w:ascii="Arial" w:hAnsi="Arial" w:cs="Arial"/>
          <w:sz w:val="24"/>
          <w:szCs w:val="24"/>
          <w:lang w:val="en-US"/>
        </w:rPr>
        <w:t>occurred in 26%</w:t>
      </w:r>
      <w:r w:rsidR="008279D3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D03545" w:rsidRPr="00CF4898">
        <w:rPr>
          <w:rFonts w:ascii="Arial" w:hAnsi="Arial" w:cs="Arial"/>
          <w:sz w:val="24"/>
          <w:szCs w:val="24"/>
          <w:lang w:val="en-US"/>
        </w:rPr>
        <w:t xml:space="preserve">of </w:t>
      </w:r>
      <w:r w:rsidR="002D5A86">
        <w:rPr>
          <w:rFonts w:ascii="Arial" w:hAnsi="Arial" w:cs="Arial"/>
          <w:sz w:val="24"/>
          <w:szCs w:val="24"/>
          <w:lang w:val="en-US"/>
        </w:rPr>
        <w:t xml:space="preserve">those </w:t>
      </w:r>
      <w:r w:rsidR="00D03545" w:rsidRPr="00CF4898">
        <w:rPr>
          <w:rFonts w:ascii="Arial" w:hAnsi="Arial" w:cs="Arial"/>
          <w:sz w:val="24"/>
          <w:szCs w:val="24"/>
          <w:lang w:val="en-US"/>
        </w:rPr>
        <w:t xml:space="preserve">taking </w:t>
      </w:r>
      <w:r w:rsidR="00825E83" w:rsidRPr="00CF4898">
        <w:rPr>
          <w:rFonts w:ascii="Arial" w:hAnsi="Arial" w:cs="Arial"/>
          <w:sz w:val="24"/>
          <w:szCs w:val="24"/>
          <w:lang w:val="en-US"/>
        </w:rPr>
        <w:t xml:space="preserve">CBZ and </w:t>
      </w:r>
      <w:r w:rsidR="007C4124" w:rsidRPr="00CF4898">
        <w:rPr>
          <w:rFonts w:ascii="Arial" w:hAnsi="Arial" w:cs="Arial"/>
          <w:sz w:val="24"/>
          <w:szCs w:val="24"/>
          <w:lang w:val="en-US"/>
        </w:rPr>
        <w:t>46%</w:t>
      </w:r>
      <w:r w:rsidR="00825E83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FD0469" w:rsidRPr="00CF4898">
        <w:rPr>
          <w:rFonts w:ascii="Arial" w:hAnsi="Arial" w:cs="Arial"/>
          <w:sz w:val="24"/>
          <w:szCs w:val="24"/>
          <w:lang w:val="en-US"/>
        </w:rPr>
        <w:t>taking</w:t>
      </w:r>
      <w:r w:rsidR="00825E83" w:rsidRPr="00CF4898">
        <w:rPr>
          <w:rFonts w:ascii="Arial" w:hAnsi="Arial" w:cs="Arial"/>
          <w:sz w:val="24"/>
          <w:szCs w:val="24"/>
          <w:lang w:val="en-US"/>
        </w:rPr>
        <w:t xml:space="preserve"> OXC</w:t>
      </w:r>
      <w:r w:rsidR="007C4124" w:rsidRPr="00CF4898">
        <w:rPr>
          <w:rFonts w:ascii="Arial" w:hAnsi="Arial" w:cs="Arial"/>
          <w:sz w:val="24"/>
          <w:szCs w:val="24"/>
          <w:lang w:val="en-US"/>
        </w:rPr>
        <w:t xml:space="preserve">. This was severe in </w:t>
      </w:r>
      <w:r w:rsidR="00AF4A9A" w:rsidRPr="00CF4898">
        <w:rPr>
          <w:rFonts w:ascii="Arial" w:hAnsi="Arial" w:cs="Arial"/>
          <w:sz w:val="24"/>
          <w:szCs w:val="24"/>
          <w:lang w:val="en-US"/>
        </w:rPr>
        <w:t>7% in the CBZ group and 2</w:t>
      </w:r>
      <w:r w:rsidR="00522989">
        <w:rPr>
          <w:rFonts w:ascii="Arial" w:hAnsi="Arial" w:cs="Arial"/>
          <w:sz w:val="24"/>
          <w:szCs w:val="24"/>
          <w:lang w:val="en-US"/>
        </w:rPr>
        <w:t>2</w:t>
      </w:r>
      <w:r w:rsidR="00AF4A9A" w:rsidRPr="00CF4898">
        <w:rPr>
          <w:rFonts w:ascii="Arial" w:hAnsi="Arial" w:cs="Arial"/>
          <w:sz w:val="24"/>
          <w:szCs w:val="24"/>
          <w:lang w:val="en-US"/>
        </w:rPr>
        <w:t>% in the OXC group</w:t>
      </w:r>
      <w:r w:rsidR="007C4124" w:rsidRPr="00CF4898">
        <w:rPr>
          <w:rFonts w:ascii="Arial" w:hAnsi="Arial" w:cs="Arial"/>
          <w:sz w:val="24"/>
          <w:szCs w:val="24"/>
          <w:lang w:val="en-US"/>
        </w:rPr>
        <w:t xml:space="preserve">. </w:t>
      </w:r>
      <w:r w:rsidR="00390C56">
        <w:rPr>
          <w:rFonts w:ascii="Arial" w:hAnsi="Arial" w:cs="Arial"/>
          <w:sz w:val="24"/>
          <w:szCs w:val="24"/>
          <w:lang w:val="en-US"/>
        </w:rPr>
        <w:t>Hyponatremia was symptomatic in 48%</w:t>
      </w:r>
      <w:r w:rsidR="009B3408">
        <w:rPr>
          <w:rFonts w:ascii="Arial" w:hAnsi="Arial" w:cs="Arial"/>
          <w:sz w:val="24"/>
          <w:szCs w:val="24"/>
          <w:lang w:val="en-US"/>
        </w:rPr>
        <w:t xml:space="preserve"> </w:t>
      </w:r>
      <w:r w:rsidR="00390C56">
        <w:rPr>
          <w:rFonts w:ascii="Arial" w:hAnsi="Arial" w:cs="Arial"/>
          <w:sz w:val="24"/>
          <w:szCs w:val="24"/>
          <w:lang w:val="en-US"/>
        </w:rPr>
        <w:t xml:space="preserve">and lead to </w:t>
      </w:r>
      <w:r w:rsidR="009B3408">
        <w:rPr>
          <w:rFonts w:ascii="Arial" w:hAnsi="Arial" w:cs="Arial"/>
          <w:sz w:val="24"/>
          <w:szCs w:val="24"/>
          <w:lang w:val="en-US"/>
        </w:rPr>
        <w:t xml:space="preserve">admissions </w:t>
      </w:r>
      <w:r w:rsidR="00390C56">
        <w:rPr>
          <w:rFonts w:ascii="Arial" w:hAnsi="Arial" w:cs="Arial"/>
          <w:sz w:val="24"/>
          <w:szCs w:val="24"/>
          <w:lang w:val="en-US"/>
        </w:rPr>
        <w:t xml:space="preserve">in 3%.  </w:t>
      </w:r>
      <w:r w:rsidR="00BF4B1D" w:rsidRPr="00CF4898">
        <w:rPr>
          <w:rFonts w:ascii="Arial" w:hAnsi="Arial" w:cs="Arial"/>
          <w:sz w:val="24"/>
          <w:szCs w:val="24"/>
          <w:lang w:val="en-US"/>
        </w:rPr>
        <w:t>Age over</w:t>
      </w:r>
      <w:r w:rsidR="00FD0469" w:rsidRPr="00CF4898">
        <w:rPr>
          <w:rFonts w:ascii="Arial" w:hAnsi="Arial" w:cs="Arial"/>
          <w:sz w:val="24"/>
          <w:szCs w:val="24"/>
          <w:lang w:val="en-US"/>
        </w:rPr>
        <w:t xml:space="preserve"> 40 years</w:t>
      </w:r>
      <w:r w:rsidR="004D48BF" w:rsidRPr="00CF4898">
        <w:rPr>
          <w:rFonts w:ascii="Arial" w:hAnsi="Arial" w:cs="Arial"/>
          <w:sz w:val="24"/>
          <w:szCs w:val="24"/>
          <w:lang w:val="en-US"/>
        </w:rPr>
        <w:t xml:space="preserve">, </w:t>
      </w:r>
      <w:r w:rsidR="006C0A2F">
        <w:rPr>
          <w:rFonts w:ascii="Arial" w:hAnsi="Arial" w:cs="Arial"/>
          <w:sz w:val="24"/>
          <w:szCs w:val="24"/>
          <w:lang w:val="en-US"/>
        </w:rPr>
        <w:t xml:space="preserve">high </w:t>
      </w:r>
      <w:r w:rsidR="004D48BF" w:rsidRPr="00CF4898">
        <w:rPr>
          <w:rFonts w:ascii="Arial" w:hAnsi="Arial" w:cs="Arial"/>
          <w:sz w:val="24"/>
          <w:szCs w:val="24"/>
          <w:lang w:val="en-US"/>
        </w:rPr>
        <w:t>serum levels of CBZ</w:t>
      </w:r>
      <w:r w:rsidR="005B05B2">
        <w:rPr>
          <w:rFonts w:ascii="Arial" w:hAnsi="Arial" w:cs="Arial"/>
          <w:sz w:val="24"/>
          <w:szCs w:val="24"/>
          <w:lang w:val="en-US"/>
        </w:rPr>
        <w:t xml:space="preserve"> </w:t>
      </w:r>
      <w:r w:rsidR="0055004F">
        <w:rPr>
          <w:rFonts w:ascii="Arial" w:hAnsi="Arial" w:cs="Arial"/>
          <w:sz w:val="24"/>
          <w:szCs w:val="24"/>
          <w:lang w:val="en-US"/>
        </w:rPr>
        <w:t>and</w:t>
      </w:r>
      <w:r w:rsidR="004D48BF" w:rsidRPr="00CF4898">
        <w:rPr>
          <w:rFonts w:ascii="Arial" w:hAnsi="Arial" w:cs="Arial"/>
          <w:sz w:val="24"/>
          <w:szCs w:val="24"/>
          <w:lang w:val="en-US"/>
        </w:rPr>
        <w:t xml:space="preserve"> OXC and concomitant use of other antiepileptic drugs</w:t>
      </w:r>
      <w:r w:rsidR="00CB4BCB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4D48BF" w:rsidRPr="00CF4898">
        <w:rPr>
          <w:rFonts w:ascii="Arial" w:hAnsi="Arial" w:cs="Arial"/>
          <w:sz w:val="24"/>
          <w:szCs w:val="24"/>
          <w:lang w:val="en-US"/>
        </w:rPr>
        <w:t>were the main risk</w:t>
      </w:r>
      <w:r w:rsidR="007E69D7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4D48BF" w:rsidRPr="00CF4898">
        <w:rPr>
          <w:rFonts w:ascii="Arial" w:hAnsi="Arial" w:cs="Arial"/>
          <w:sz w:val="24"/>
          <w:szCs w:val="24"/>
          <w:lang w:val="en-US"/>
        </w:rPr>
        <w:t xml:space="preserve">factors for hyponatremia in both treatment groups. </w:t>
      </w:r>
      <w:r w:rsidR="0038112F">
        <w:rPr>
          <w:rFonts w:ascii="Arial" w:hAnsi="Arial" w:cs="Arial"/>
          <w:sz w:val="24"/>
          <w:szCs w:val="24"/>
          <w:lang w:val="en-US"/>
        </w:rPr>
        <w:t>Females on OXC were at a higher risk of hyponatremia than males.</w:t>
      </w:r>
      <w:r w:rsidR="00E749A7">
        <w:rPr>
          <w:rFonts w:ascii="Arial" w:hAnsi="Arial" w:cs="Arial"/>
          <w:sz w:val="24"/>
          <w:szCs w:val="24"/>
          <w:lang w:val="en-US"/>
        </w:rPr>
        <w:t xml:space="preserve"> </w:t>
      </w:r>
      <w:r w:rsidR="000100E2" w:rsidRPr="006902CB">
        <w:rPr>
          <w:rFonts w:ascii="Arial" w:hAnsi="Arial" w:cs="Arial"/>
          <w:sz w:val="24"/>
          <w:szCs w:val="24"/>
          <w:lang w:val="en-US"/>
        </w:rPr>
        <w:t xml:space="preserve">The risk of hyponatremia on CBZ was significantly associated </w:t>
      </w:r>
      <w:r w:rsidR="00D916CA">
        <w:rPr>
          <w:rFonts w:ascii="Arial" w:hAnsi="Arial" w:cs="Arial"/>
          <w:sz w:val="24"/>
          <w:szCs w:val="24"/>
          <w:lang w:val="en-US"/>
        </w:rPr>
        <w:t>with</w:t>
      </w:r>
      <w:r w:rsidR="00D916CA" w:rsidRPr="006902CB">
        <w:rPr>
          <w:rFonts w:ascii="Arial" w:hAnsi="Arial" w:cs="Arial"/>
          <w:sz w:val="24"/>
          <w:szCs w:val="24"/>
          <w:lang w:val="en-US"/>
        </w:rPr>
        <w:t xml:space="preserve"> </w:t>
      </w:r>
      <w:r w:rsidR="000100E2" w:rsidRPr="006902CB">
        <w:rPr>
          <w:rFonts w:ascii="Arial" w:hAnsi="Arial" w:cs="Arial"/>
          <w:sz w:val="24"/>
          <w:szCs w:val="24"/>
          <w:lang w:val="en-US"/>
        </w:rPr>
        <w:t xml:space="preserve">the risk of hyponatremia on OXC within </w:t>
      </w:r>
      <w:r w:rsidR="000100E2">
        <w:rPr>
          <w:rFonts w:ascii="Arial" w:hAnsi="Arial" w:cs="Arial"/>
          <w:sz w:val="24"/>
          <w:szCs w:val="24"/>
          <w:lang w:val="en-US"/>
        </w:rPr>
        <w:t xml:space="preserve">a subgroup that used both drugs </w:t>
      </w:r>
      <w:r w:rsidR="00882857">
        <w:rPr>
          <w:rFonts w:ascii="Arial" w:hAnsi="Arial" w:cs="Arial"/>
          <w:sz w:val="24"/>
          <w:szCs w:val="24"/>
          <w:lang w:val="en-US"/>
        </w:rPr>
        <w:t>consecutively</w:t>
      </w:r>
      <w:r w:rsidR="000100E2">
        <w:rPr>
          <w:rFonts w:ascii="Arial" w:hAnsi="Arial" w:cs="Arial"/>
          <w:sz w:val="24"/>
          <w:szCs w:val="24"/>
          <w:lang w:val="en-US"/>
        </w:rPr>
        <w:t>.</w:t>
      </w:r>
    </w:p>
    <w:p w14:paraId="0FE198AF" w14:textId="71FADCAC" w:rsidR="004C5672" w:rsidRDefault="00BE5209" w:rsidP="00DF3ED1">
      <w:pPr>
        <w:spacing w:line="48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4"/>
          <w:szCs w:val="24"/>
          <w:lang w:val="en-US"/>
        </w:rPr>
        <w:t>Significance</w:t>
      </w:r>
      <w:r w:rsidR="00E4727C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2D5A86">
        <w:rPr>
          <w:rFonts w:ascii="Arial" w:hAnsi="Arial" w:cs="Arial"/>
          <w:sz w:val="24"/>
          <w:szCs w:val="24"/>
          <w:lang w:val="en-US"/>
        </w:rPr>
        <w:t>Hyponatremia is a common problem in people taking</w:t>
      </w:r>
      <w:r w:rsidR="0096715F">
        <w:rPr>
          <w:rFonts w:ascii="Arial" w:hAnsi="Arial" w:cs="Arial"/>
          <w:sz w:val="24"/>
          <w:szCs w:val="24"/>
          <w:lang w:val="en-US"/>
        </w:rPr>
        <w:t xml:space="preserve"> CBZ or OXC</w:t>
      </w:r>
      <w:r w:rsidR="006C0A2F">
        <w:rPr>
          <w:rFonts w:ascii="Arial" w:hAnsi="Arial" w:cs="Arial"/>
          <w:sz w:val="24"/>
          <w:szCs w:val="24"/>
          <w:lang w:val="en-US"/>
        </w:rPr>
        <w:t xml:space="preserve">. </w:t>
      </w:r>
      <w:r w:rsidR="0038112F">
        <w:rPr>
          <w:rFonts w:ascii="Arial" w:hAnsi="Arial" w:cs="Arial"/>
          <w:sz w:val="24"/>
          <w:szCs w:val="24"/>
          <w:lang w:val="en-US"/>
        </w:rPr>
        <w:t xml:space="preserve">Regular </w:t>
      </w:r>
      <w:r w:rsidR="008250DE">
        <w:rPr>
          <w:rFonts w:ascii="Arial" w:hAnsi="Arial" w:cs="Arial"/>
          <w:sz w:val="24"/>
          <w:szCs w:val="24"/>
          <w:lang w:val="en-US"/>
        </w:rPr>
        <w:t>ascertainment of sodium levels in those taking either drug is</w:t>
      </w:r>
      <w:r w:rsidR="0038112F">
        <w:rPr>
          <w:rFonts w:ascii="Arial" w:hAnsi="Arial" w:cs="Arial"/>
          <w:sz w:val="24"/>
          <w:szCs w:val="24"/>
          <w:lang w:val="en-US"/>
        </w:rPr>
        <w:t xml:space="preserve"> </w:t>
      </w:r>
      <w:r w:rsidR="00390C56">
        <w:rPr>
          <w:rFonts w:ascii="Arial" w:hAnsi="Arial" w:cs="Arial"/>
          <w:sz w:val="24"/>
          <w:szCs w:val="24"/>
          <w:lang w:val="en-US"/>
        </w:rPr>
        <w:t>recommended</w:t>
      </w:r>
      <w:r w:rsidR="0038112F">
        <w:rPr>
          <w:rFonts w:ascii="Arial" w:hAnsi="Arial" w:cs="Arial"/>
          <w:sz w:val="24"/>
          <w:szCs w:val="24"/>
          <w:lang w:val="en-US"/>
        </w:rPr>
        <w:t xml:space="preserve"> and results should be acted upon.</w:t>
      </w:r>
    </w:p>
    <w:p w14:paraId="5CAB3C6D" w14:textId="6C223FD4" w:rsidR="00247E44" w:rsidRPr="00CF4898" w:rsidRDefault="00247E44" w:rsidP="00247E44">
      <w:pPr>
        <w:adjustRightInd w:val="0"/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CF4898">
        <w:rPr>
          <w:rFonts w:ascii="Arial" w:hAnsi="Arial" w:cs="Arial"/>
          <w:b/>
          <w:sz w:val="24"/>
          <w:szCs w:val="24"/>
          <w:lang w:val="en-GB"/>
        </w:rPr>
        <w:t>Keywords</w:t>
      </w:r>
      <w:r w:rsidR="007A322E">
        <w:rPr>
          <w:rFonts w:ascii="Arial" w:hAnsi="Arial" w:cs="Arial"/>
          <w:sz w:val="24"/>
          <w:szCs w:val="24"/>
          <w:lang w:val="en-GB"/>
        </w:rPr>
        <w:t xml:space="preserve">: </w:t>
      </w:r>
      <w:r w:rsidR="00505F6D">
        <w:rPr>
          <w:rFonts w:ascii="Arial" w:hAnsi="Arial" w:cs="Arial"/>
          <w:sz w:val="24"/>
          <w:szCs w:val="24"/>
          <w:lang w:val="en-GB"/>
        </w:rPr>
        <w:t>A</w:t>
      </w:r>
      <w:r w:rsidR="007A322E">
        <w:rPr>
          <w:rFonts w:ascii="Arial" w:hAnsi="Arial" w:cs="Arial"/>
          <w:sz w:val="24"/>
          <w:szCs w:val="24"/>
          <w:lang w:val="en-GB"/>
        </w:rPr>
        <w:t xml:space="preserve">ntiepileptic drugs, </w:t>
      </w:r>
      <w:r w:rsidR="00523457">
        <w:rPr>
          <w:rFonts w:ascii="Arial" w:hAnsi="Arial" w:cs="Arial"/>
          <w:sz w:val="24"/>
          <w:szCs w:val="24"/>
          <w:lang w:val="en-GB"/>
        </w:rPr>
        <w:t>s</w:t>
      </w:r>
      <w:r w:rsidR="00505F6D">
        <w:rPr>
          <w:rFonts w:ascii="Arial" w:hAnsi="Arial" w:cs="Arial"/>
          <w:sz w:val="24"/>
          <w:szCs w:val="24"/>
          <w:lang w:val="en-GB"/>
        </w:rPr>
        <w:t xml:space="preserve">odium levels, </w:t>
      </w:r>
      <w:r w:rsidR="00523457">
        <w:rPr>
          <w:rFonts w:ascii="Arial" w:hAnsi="Arial" w:cs="Arial"/>
          <w:sz w:val="24"/>
          <w:szCs w:val="24"/>
          <w:lang w:val="en-GB"/>
        </w:rPr>
        <w:t>adverse</w:t>
      </w:r>
      <w:r w:rsidRPr="00CF4898">
        <w:rPr>
          <w:rFonts w:ascii="Arial" w:hAnsi="Arial" w:cs="Arial"/>
          <w:sz w:val="24"/>
          <w:szCs w:val="24"/>
          <w:lang w:val="en-GB"/>
        </w:rPr>
        <w:t xml:space="preserve"> effects</w:t>
      </w:r>
      <w:r w:rsidR="008250DE" w:rsidRPr="008250DE">
        <w:rPr>
          <w:rFonts w:ascii="Arial" w:hAnsi="Arial" w:cs="Arial"/>
          <w:sz w:val="24"/>
          <w:szCs w:val="24"/>
          <w:lang w:val="en-GB"/>
        </w:rPr>
        <w:t xml:space="preserve">, </w:t>
      </w:r>
      <w:r w:rsidR="00523457">
        <w:rPr>
          <w:rFonts w:ascii="Arial" w:hAnsi="Arial" w:cs="Arial"/>
          <w:sz w:val="24"/>
          <w:szCs w:val="24"/>
          <w:lang w:val="en-GB"/>
        </w:rPr>
        <w:t>e</w:t>
      </w:r>
      <w:r w:rsidR="00810822" w:rsidRPr="008250DE">
        <w:rPr>
          <w:rFonts w:ascii="Arial" w:hAnsi="Arial" w:cs="Arial"/>
          <w:sz w:val="24"/>
          <w:szCs w:val="24"/>
          <w:lang w:val="en-GB"/>
        </w:rPr>
        <w:t>lectrolytes</w:t>
      </w:r>
      <w:r w:rsidR="008250DE" w:rsidRPr="008250DE">
        <w:rPr>
          <w:rFonts w:ascii="Arial" w:hAnsi="Arial" w:cs="Arial"/>
          <w:sz w:val="24"/>
          <w:szCs w:val="24"/>
          <w:lang w:val="en-GB"/>
        </w:rPr>
        <w:t>.</w:t>
      </w:r>
    </w:p>
    <w:p w14:paraId="303A0D0C" w14:textId="77777777" w:rsidR="0047078F" w:rsidRPr="006B4774" w:rsidRDefault="00A94AE3" w:rsidP="0081082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br w:type="page"/>
      </w:r>
      <w:r w:rsidR="006F1A0D">
        <w:rPr>
          <w:rFonts w:ascii="Arial" w:hAnsi="Arial" w:cs="Arial"/>
          <w:b/>
          <w:sz w:val="28"/>
          <w:szCs w:val="28"/>
          <w:lang w:val="en-GB"/>
        </w:rPr>
        <w:lastRenderedPageBreak/>
        <w:t>INTRODUCTION</w:t>
      </w:r>
    </w:p>
    <w:p w14:paraId="3E134AF8" w14:textId="77777777" w:rsidR="0047078F" w:rsidRPr="00CF4898" w:rsidRDefault="006C2031" w:rsidP="00924A9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F4898">
        <w:rPr>
          <w:rFonts w:ascii="Arial" w:hAnsi="Arial" w:cs="Arial"/>
          <w:sz w:val="24"/>
          <w:szCs w:val="24"/>
          <w:lang w:val="en-GB"/>
        </w:rPr>
        <w:t>The antiepileptic drugs (AED</w:t>
      </w:r>
      <w:r w:rsidR="003C181E">
        <w:rPr>
          <w:rFonts w:ascii="Arial" w:hAnsi="Arial" w:cs="Arial"/>
          <w:sz w:val="24"/>
          <w:szCs w:val="24"/>
          <w:lang w:val="en-GB"/>
        </w:rPr>
        <w:t>s</w:t>
      </w:r>
      <w:r w:rsidRPr="00CF4898">
        <w:rPr>
          <w:rFonts w:ascii="Arial" w:hAnsi="Arial" w:cs="Arial"/>
          <w:sz w:val="24"/>
          <w:szCs w:val="24"/>
          <w:lang w:val="en-GB"/>
        </w:rPr>
        <w:t>) c</w:t>
      </w:r>
      <w:r w:rsidR="00C3115F" w:rsidRPr="00CF4898">
        <w:rPr>
          <w:rFonts w:ascii="Arial" w:hAnsi="Arial" w:cs="Arial"/>
          <w:sz w:val="24"/>
          <w:szCs w:val="24"/>
          <w:lang w:val="en-GB"/>
        </w:rPr>
        <w:t xml:space="preserve">arbamazepine (CBZ) and </w:t>
      </w:r>
      <w:r w:rsidRPr="00CF4898">
        <w:rPr>
          <w:rFonts w:ascii="Arial" w:hAnsi="Arial" w:cs="Arial"/>
          <w:sz w:val="24"/>
          <w:szCs w:val="24"/>
          <w:lang w:val="en-GB"/>
        </w:rPr>
        <w:t xml:space="preserve">its </w:t>
      </w:r>
      <w:r w:rsidRPr="00CF4898">
        <w:rPr>
          <w:rFonts w:ascii="Arial" w:hAnsi="Arial" w:cs="Arial"/>
          <w:sz w:val="24"/>
          <w:szCs w:val="24"/>
          <w:lang w:val="en-US"/>
        </w:rPr>
        <w:t>keto</w:t>
      </w:r>
      <w:r w:rsidR="00CD62B1" w:rsidRPr="00CF4898">
        <w:rPr>
          <w:rFonts w:ascii="Arial" w:hAnsi="Arial" w:cs="Arial"/>
          <w:sz w:val="24"/>
          <w:szCs w:val="24"/>
          <w:lang w:val="en-US"/>
        </w:rPr>
        <w:t>-</w:t>
      </w:r>
      <w:r w:rsidRPr="00CF4898">
        <w:rPr>
          <w:rFonts w:ascii="Arial" w:hAnsi="Arial" w:cs="Arial"/>
          <w:sz w:val="24"/>
          <w:szCs w:val="24"/>
          <w:lang w:val="en-US"/>
        </w:rPr>
        <w:t xml:space="preserve">analogue </w:t>
      </w:r>
      <w:r w:rsidRPr="00CF4898">
        <w:rPr>
          <w:rFonts w:ascii="Arial" w:hAnsi="Arial" w:cs="Arial"/>
          <w:sz w:val="24"/>
          <w:szCs w:val="24"/>
          <w:lang w:val="en-GB"/>
        </w:rPr>
        <w:t>o</w:t>
      </w:r>
      <w:r w:rsidR="00C3115F" w:rsidRPr="00CF4898">
        <w:rPr>
          <w:rFonts w:ascii="Arial" w:hAnsi="Arial" w:cs="Arial"/>
          <w:sz w:val="24"/>
          <w:szCs w:val="24"/>
          <w:lang w:val="en-GB"/>
        </w:rPr>
        <w:t>xcarbazepine (OXC</w:t>
      </w:r>
      <w:r w:rsidR="00BC3607" w:rsidRPr="00CF4898">
        <w:rPr>
          <w:rFonts w:ascii="Arial" w:hAnsi="Arial" w:cs="Arial"/>
          <w:sz w:val="24"/>
          <w:szCs w:val="24"/>
          <w:lang w:val="en-GB"/>
        </w:rPr>
        <w:t>)</w:t>
      </w:r>
      <w:r w:rsidR="00C3115F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C3115F" w:rsidRPr="00CF4898">
        <w:rPr>
          <w:rFonts w:ascii="Arial" w:hAnsi="Arial" w:cs="Arial"/>
          <w:sz w:val="24"/>
          <w:szCs w:val="24"/>
          <w:lang w:val="en-US"/>
        </w:rPr>
        <w:t xml:space="preserve">are </w:t>
      </w:r>
      <w:r w:rsidR="00D03545" w:rsidRPr="00CF4898">
        <w:rPr>
          <w:rFonts w:ascii="Arial" w:hAnsi="Arial" w:cs="Arial"/>
          <w:sz w:val="24"/>
          <w:szCs w:val="24"/>
          <w:lang w:val="en-US"/>
        </w:rPr>
        <w:t xml:space="preserve">among the </w:t>
      </w:r>
      <w:r w:rsidRPr="00CF4898">
        <w:rPr>
          <w:rFonts w:ascii="Arial" w:hAnsi="Arial" w:cs="Arial"/>
          <w:sz w:val="24"/>
          <w:szCs w:val="24"/>
          <w:lang w:val="en-US"/>
        </w:rPr>
        <w:t xml:space="preserve">drugs of choice for the treatment </w:t>
      </w:r>
      <w:r w:rsidR="00C3115F" w:rsidRPr="00CF4898">
        <w:rPr>
          <w:rFonts w:ascii="Arial" w:hAnsi="Arial" w:cs="Arial"/>
          <w:sz w:val="24"/>
          <w:szCs w:val="24"/>
          <w:lang w:val="en-US"/>
        </w:rPr>
        <w:t xml:space="preserve">of focal epilepsy. </w:t>
      </w:r>
      <w:r w:rsidRPr="00CF4898">
        <w:rPr>
          <w:rFonts w:ascii="Arial" w:hAnsi="Arial" w:cs="Arial"/>
          <w:sz w:val="24"/>
          <w:szCs w:val="24"/>
          <w:lang w:val="en-US"/>
        </w:rPr>
        <w:t xml:space="preserve">The </w:t>
      </w:r>
      <w:r w:rsidR="007C4972" w:rsidRPr="00CF4898">
        <w:rPr>
          <w:rFonts w:ascii="Arial" w:hAnsi="Arial" w:cs="Arial"/>
          <w:sz w:val="24"/>
          <w:szCs w:val="24"/>
          <w:lang w:val="en-US"/>
        </w:rPr>
        <w:t xml:space="preserve">use of </w:t>
      </w:r>
      <w:r w:rsidR="00BC3607" w:rsidRPr="00CF4898">
        <w:rPr>
          <w:rFonts w:ascii="Arial" w:hAnsi="Arial" w:cs="Arial"/>
          <w:sz w:val="24"/>
          <w:szCs w:val="24"/>
          <w:lang w:val="en-US"/>
        </w:rPr>
        <w:t xml:space="preserve">CBZ and OXC </w:t>
      </w:r>
      <w:r w:rsidR="007C4972" w:rsidRPr="00CF4898">
        <w:rPr>
          <w:rFonts w:ascii="Arial" w:hAnsi="Arial" w:cs="Arial"/>
          <w:sz w:val="24"/>
          <w:szCs w:val="24"/>
          <w:lang w:val="en-US"/>
        </w:rPr>
        <w:t>is limited by hyponatremia</w:t>
      </w:r>
      <w:r w:rsidR="0096715F">
        <w:rPr>
          <w:rFonts w:ascii="Arial" w:hAnsi="Arial" w:cs="Arial"/>
          <w:sz w:val="24"/>
          <w:szCs w:val="24"/>
          <w:lang w:val="en-US"/>
        </w:rPr>
        <w:t xml:space="preserve">. It </w:t>
      </w:r>
      <w:r w:rsidR="0096715F" w:rsidRPr="00CF4898">
        <w:rPr>
          <w:rFonts w:ascii="Arial" w:hAnsi="Arial" w:cs="Arial"/>
          <w:sz w:val="24"/>
          <w:szCs w:val="24"/>
          <w:lang w:val="en-US"/>
        </w:rPr>
        <w:t>can lead to symptoms ranging from unsteadiness and mild confusion to seizures and coma</w:t>
      </w:r>
      <w:r w:rsidR="0096715F">
        <w:rPr>
          <w:rFonts w:ascii="Arial" w:hAnsi="Arial" w:cs="Arial"/>
          <w:sz w:val="24"/>
          <w:szCs w:val="24"/>
          <w:lang w:val="en-US"/>
        </w:rPr>
        <w:t xml:space="preserve"> although it </w:t>
      </w:r>
      <w:r w:rsidR="00A56131" w:rsidRPr="00CF4898">
        <w:rPr>
          <w:rFonts w:ascii="Arial" w:hAnsi="Arial" w:cs="Arial"/>
          <w:sz w:val="24"/>
          <w:szCs w:val="24"/>
          <w:lang w:val="en-US"/>
        </w:rPr>
        <w:t xml:space="preserve">is often assumed </w:t>
      </w:r>
      <w:r w:rsidR="0096715F">
        <w:rPr>
          <w:rFonts w:ascii="Arial" w:hAnsi="Arial" w:cs="Arial"/>
          <w:sz w:val="24"/>
          <w:szCs w:val="24"/>
          <w:lang w:val="en-US"/>
        </w:rPr>
        <w:t xml:space="preserve">to be </w:t>
      </w:r>
      <w:r w:rsidR="0096715F" w:rsidRPr="00CF4898">
        <w:rPr>
          <w:rFonts w:ascii="Arial" w:hAnsi="Arial" w:cs="Arial"/>
          <w:sz w:val="24"/>
          <w:szCs w:val="24"/>
          <w:lang w:val="en-US"/>
        </w:rPr>
        <w:t>asymptomatic</w:t>
      </w:r>
      <w:r w:rsidR="00337106">
        <w:rPr>
          <w:rFonts w:ascii="Arial" w:hAnsi="Arial" w:cs="Arial"/>
          <w:sz w:val="24"/>
          <w:szCs w:val="24"/>
          <w:lang w:val="en-US"/>
        </w:rPr>
        <w:t>.</w:t>
      </w:r>
      <w:r w:rsidR="002E72DE">
        <w:rPr>
          <w:rFonts w:ascii="Arial" w:hAnsi="Arial" w:cs="Arial"/>
          <w:sz w:val="24"/>
          <w:szCs w:val="24"/>
          <w:vertAlign w:val="superscript"/>
          <w:lang w:val="en-US"/>
        </w:rPr>
        <w:t xml:space="preserve">1,2 </w:t>
      </w:r>
      <w:r w:rsidR="0096715F">
        <w:rPr>
          <w:rFonts w:ascii="Arial" w:hAnsi="Arial" w:cs="Arial"/>
          <w:sz w:val="24"/>
          <w:szCs w:val="24"/>
          <w:lang w:val="en-US"/>
        </w:rPr>
        <w:t>Its s</w:t>
      </w:r>
      <w:r w:rsidR="00A56131" w:rsidRPr="00CF4898">
        <w:rPr>
          <w:rFonts w:ascii="Arial" w:hAnsi="Arial" w:cs="Arial"/>
          <w:sz w:val="24"/>
          <w:szCs w:val="24"/>
          <w:lang w:val="en-US"/>
        </w:rPr>
        <w:t xml:space="preserve">everity depends on the absolute sodium levels and the rate of </w:t>
      </w:r>
      <w:r w:rsidR="00E31972" w:rsidRPr="00CF4898">
        <w:rPr>
          <w:rFonts w:ascii="Arial" w:hAnsi="Arial" w:cs="Arial"/>
          <w:sz w:val="24"/>
          <w:szCs w:val="24"/>
          <w:lang w:val="en-US"/>
        </w:rPr>
        <w:t xml:space="preserve">decline of </w:t>
      </w:r>
      <w:r w:rsidR="00A56131" w:rsidRPr="00CF4898">
        <w:rPr>
          <w:rFonts w:ascii="Arial" w:hAnsi="Arial" w:cs="Arial"/>
          <w:sz w:val="24"/>
          <w:szCs w:val="24"/>
          <w:lang w:val="en-US"/>
        </w:rPr>
        <w:t>sodium</w:t>
      </w:r>
      <w:r w:rsidR="00337106">
        <w:rPr>
          <w:rFonts w:ascii="Arial" w:hAnsi="Arial" w:cs="Arial"/>
          <w:sz w:val="24"/>
          <w:szCs w:val="24"/>
          <w:lang w:val="en-US"/>
        </w:rPr>
        <w:t>.</w:t>
      </w:r>
      <w:r w:rsidR="002E72DE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="00A56131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BC3607" w:rsidRPr="00CF4898">
        <w:rPr>
          <w:rFonts w:ascii="Arial" w:hAnsi="Arial" w:cs="Arial"/>
          <w:sz w:val="24"/>
          <w:szCs w:val="24"/>
          <w:lang w:val="en-US"/>
        </w:rPr>
        <w:t xml:space="preserve">The </w:t>
      </w:r>
      <w:r w:rsidR="005E0F65" w:rsidRPr="00CF4898">
        <w:rPr>
          <w:rFonts w:ascii="Arial" w:hAnsi="Arial" w:cs="Arial"/>
          <w:sz w:val="24"/>
          <w:szCs w:val="24"/>
          <w:lang w:val="en-US"/>
        </w:rPr>
        <w:t xml:space="preserve">reported </w:t>
      </w:r>
      <w:r w:rsidR="00BC3607" w:rsidRPr="00CF4898">
        <w:rPr>
          <w:rFonts w:ascii="Arial" w:hAnsi="Arial" w:cs="Arial"/>
          <w:sz w:val="24"/>
          <w:szCs w:val="24"/>
          <w:lang w:val="en-US"/>
        </w:rPr>
        <w:t xml:space="preserve">prevalence of </w:t>
      </w:r>
      <w:r w:rsidR="007C4972" w:rsidRPr="00CF4898">
        <w:rPr>
          <w:rFonts w:ascii="Arial" w:hAnsi="Arial" w:cs="Arial"/>
          <w:sz w:val="24"/>
          <w:szCs w:val="24"/>
          <w:lang w:val="en-US"/>
        </w:rPr>
        <w:t xml:space="preserve">CBZ and OXC induced </w:t>
      </w:r>
      <w:r w:rsidR="00BC3607" w:rsidRPr="00CF4898">
        <w:rPr>
          <w:rFonts w:ascii="Arial" w:hAnsi="Arial" w:cs="Arial"/>
          <w:sz w:val="24"/>
          <w:szCs w:val="24"/>
          <w:lang w:val="en-US"/>
        </w:rPr>
        <w:t>hyponatremia</w:t>
      </w:r>
      <w:r w:rsidR="00820DAF" w:rsidRPr="00CF4898">
        <w:rPr>
          <w:rFonts w:ascii="Arial" w:hAnsi="Arial" w:cs="Arial"/>
          <w:sz w:val="24"/>
          <w:szCs w:val="24"/>
          <w:lang w:val="en-US"/>
        </w:rPr>
        <w:t xml:space="preserve"> (COIH)</w:t>
      </w:r>
      <w:r w:rsidR="00BC3607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7C4972" w:rsidRPr="00CF4898">
        <w:rPr>
          <w:rFonts w:ascii="Arial" w:hAnsi="Arial" w:cs="Arial"/>
          <w:sz w:val="24"/>
          <w:szCs w:val="24"/>
          <w:lang w:val="en-US"/>
        </w:rPr>
        <w:t>varies</w:t>
      </w:r>
      <w:r w:rsidR="00BC3607" w:rsidRPr="00CF4898">
        <w:rPr>
          <w:rFonts w:ascii="Arial" w:hAnsi="Arial" w:cs="Arial"/>
          <w:sz w:val="24"/>
          <w:szCs w:val="24"/>
          <w:lang w:val="en-US"/>
        </w:rPr>
        <w:t xml:space="preserve"> greatly</w:t>
      </w:r>
      <w:r w:rsidR="00E31972" w:rsidRPr="00CF4898">
        <w:rPr>
          <w:rFonts w:ascii="Arial" w:hAnsi="Arial" w:cs="Arial"/>
          <w:sz w:val="24"/>
          <w:szCs w:val="24"/>
          <w:lang w:val="en-US"/>
        </w:rPr>
        <w:t>;</w:t>
      </w:r>
      <w:r w:rsidR="00BC3607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E31972" w:rsidRPr="00CF4898">
        <w:rPr>
          <w:rFonts w:ascii="Arial" w:hAnsi="Arial" w:cs="Arial"/>
          <w:sz w:val="24"/>
          <w:szCs w:val="24"/>
          <w:lang w:val="en-US"/>
        </w:rPr>
        <w:t>f</w:t>
      </w:r>
      <w:r w:rsidR="00BC3607" w:rsidRPr="00CF4898">
        <w:rPr>
          <w:rFonts w:ascii="Arial" w:hAnsi="Arial" w:cs="Arial"/>
          <w:sz w:val="24"/>
          <w:szCs w:val="24"/>
          <w:lang w:val="en-US"/>
        </w:rPr>
        <w:t xml:space="preserve">or CBZ the </w:t>
      </w:r>
      <w:r w:rsidR="00CD62B1" w:rsidRPr="00CF4898">
        <w:rPr>
          <w:rFonts w:ascii="Arial" w:hAnsi="Arial" w:cs="Arial"/>
          <w:sz w:val="24"/>
          <w:szCs w:val="24"/>
          <w:lang w:val="en-US"/>
        </w:rPr>
        <w:t xml:space="preserve">reported </w:t>
      </w:r>
      <w:r w:rsidR="00BC3607" w:rsidRPr="00CF4898">
        <w:rPr>
          <w:rFonts w:ascii="Arial" w:hAnsi="Arial" w:cs="Arial"/>
          <w:sz w:val="24"/>
          <w:szCs w:val="24"/>
          <w:lang w:val="en-US"/>
        </w:rPr>
        <w:t xml:space="preserve">estimates are </w:t>
      </w:r>
      <w:r w:rsidRPr="00CF4898">
        <w:rPr>
          <w:rFonts w:ascii="Arial" w:hAnsi="Arial" w:cs="Arial"/>
          <w:sz w:val="24"/>
          <w:szCs w:val="24"/>
          <w:lang w:val="en-US"/>
        </w:rPr>
        <w:t xml:space="preserve">between </w:t>
      </w:r>
      <w:r w:rsidR="00BC3607" w:rsidRPr="00CF4898">
        <w:rPr>
          <w:rFonts w:ascii="Arial" w:hAnsi="Arial" w:cs="Arial"/>
          <w:sz w:val="24"/>
          <w:szCs w:val="24"/>
          <w:lang w:val="en-US"/>
        </w:rPr>
        <w:t>4</w:t>
      </w:r>
      <w:r w:rsidRPr="00CF4898">
        <w:rPr>
          <w:rFonts w:ascii="Arial" w:hAnsi="Arial" w:cs="Arial"/>
          <w:sz w:val="24"/>
          <w:szCs w:val="24"/>
          <w:lang w:val="en-US"/>
        </w:rPr>
        <w:t xml:space="preserve"> and 4</w:t>
      </w:r>
      <w:r w:rsidR="00BC3607" w:rsidRPr="00CF4898">
        <w:rPr>
          <w:rFonts w:ascii="Arial" w:hAnsi="Arial" w:cs="Arial"/>
          <w:sz w:val="24"/>
          <w:szCs w:val="24"/>
          <w:lang w:val="en-US"/>
        </w:rPr>
        <w:t xml:space="preserve">0% </w:t>
      </w:r>
      <w:r w:rsidRPr="00CF4898">
        <w:rPr>
          <w:rFonts w:ascii="Arial" w:hAnsi="Arial" w:cs="Arial"/>
          <w:sz w:val="24"/>
          <w:szCs w:val="24"/>
          <w:lang w:val="en-US"/>
        </w:rPr>
        <w:t xml:space="preserve">whilst for </w:t>
      </w:r>
      <w:r w:rsidR="00BC3607" w:rsidRPr="00CF4898">
        <w:rPr>
          <w:rFonts w:ascii="Arial" w:hAnsi="Arial" w:cs="Arial"/>
          <w:sz w:val="24"/>
          <w:szCs w:val="24"/>
          <w:lang w:val="en-US"/>
        </w:rPr>
        <w:t xml:space="preserve">OXC </w:t>
      </w:r>
      <w:r w:rsidR="00A56131" w:rsidRPr="00CF4898">
        <w:rPr>
          <w:rFonts w:ascii="Arial" w:hAnsi="Arial" w:cs="Arial"/>
          <w:sz w:val="24"/>
          <w:szCs w:val="24"/>
          <w:lang w:val="en-US"/>
        </w:rPr>
        <w:t xml:space="preserve">they are </w:t>
      </w:r>
      <w:r w:rsidRPr="00CF4898">
        <w:rPr>
          <w:rFonts w:ascii="Arial" w:hAnsi="Arial" w:cs="Arial"/>
          <w:sz w:val="24"/>
          <w:szCs w:val="24"/>
          <w:lang w:val="en-US"/>
        </w:rPr>
        <w:t xml:space="preserve">between </w:t>
      </w:r>
      <w:r w:rsidR="00BC3607" w:rsidRPr="00CF4898">
        <w:rPr>
          <w:rFonts w:ascii="Arial" w:hAnsi="Arial" w:cs="Arial"/>
          <w:sz w:val="24"/>
          <w:szCs w:val="24"/>
          <w:lang w:val="en-US"/>
        </w:rPr>
        <w:t>23</w:t>
      </w:r>
      <w:r w:rsidRPr="00CF4898">
        <w:rPr>
          <w:rFonts w:ascii="Arial" w:hAnsi="Arial" w:cs="Arial"/>
          <w:sz w:val="24"/>
          <w:szCs w:val="24"/>
          <w:lang w:val="en-US"/>
        </w:rPr>
        <w:t xml:space="preserve"> and </w:t>
      </w:r>
      <w:r w:rsidR="00BC3607" w:rsidRPr="00CF4898">
        <w:rPr>
          <w:rFonts w:ascii="Arial" w:hAnsi="Arial" w:cs="Arial"/>
          <w:sz w:val="24"/>
          <w:szCs w:val="24"/>
          <w:lang w:val="en-US"/>
        </w:rPr>
        <w:t>73%</w:t>
      </w:r>
      <w:r w:rsidR="00337106">
        <w:rPr>
          <w:rFonts w:ascii="Arial" w:hAnsi="Arial" w:cs="Arial"/>
          <w:sz w:val="24"/>
          <w:szCs w:val="24"/>
          <w:lang w:val="en-US"/>
        </w:rPr>
        <w:t>.</w:t>
      </w:r>
      <w:r w:rsidR="002E72DE">
        <w:rPr>
          <w:rFonts w:ascii="Arial" w:hAnsi="Arial" w:cs="Arial"/>
          <w:sz w:val="24"/>
          <w:szCs w:val="24"/>
          <w:vertAlign w:val="superscript"/>
          <w:lang w:val="en-US"/>
        </w:rPr>
        <w:t>4,5</w:t>
      </w:r>
      <w:r w:rsidR="00BC3607" w:rsidRPr="00CF4898">
        <w:rPr>
          <w:rFonts w:ascii="Arial" w:hAnsi="Arial" w:cs="Arial"/>
          <w:sz w:val="24"/>
          <w:szCs w:val="24"/>
          <w:lang w:val="en-US"/>
        </w:rPr>
        <w:t xml:space="preserve">  </w:t>
      </w:r>
      <w:r w:rsidR="00C67D1F" w:rsidRPr="00CF4898">
        <w:rPr>
          <w:rFonts w:ascii="Arial" w:hAnsi="Arial" w:cs="Arial"/>
          <w:sz w:val="24"/>
          <w:szCs w:val="24"/>
          <w:lang w:val="en-US"/>
        </w:rPr>
        <w:t xml:space="preserve">Data on </w:t>
      </w:r>
      <w:r w:rsidR="00731CEB" w:rsidRPr="00CF4898">
        <w:rPr>
          <w:rFonts w:ascii="Arial" w:hAnsi="Arial" w:cs="Arial"/>
          <w:sz w:val="24"/>
          <w:szCs w:val="24"/>
          <w:lang w:val="en-US"/>
        </w:rPr>
        <w:t>risk factors</w:t>
      </w:r>
      <w:r w:rsidR="00C67D1F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E31972" w:rsidRPr="00CF4898">
        <w:rPr>
          <w:rFonts w:ascii="Arial" w:hAnsi="Arial" w:cs="Arial"/>
          <w:sz w:val="24"/>
          <w:szCs w:val="24"/>
          <w:lang w:val="en-US"/>
        </w:rPr>
        <w:t xml:space="preserve">for hyponatremia </w:t>
      </w:r>
      <w:r w:rsidR="00C67D1F" w:rsidRPr="00CF4898">
        <w:rPr>
          <w:rFonts w:ascii="Arial" w:hAnsi="Arial" w:cs="Arial"/>
          <w:sz w:val="24"/>
          <w:szCs w:val="24"/>
          <w:lang w:val="en-US"/>
        </w:rPr>
        <w:t>are limited</w:t>
      </w:r>
      <w:r w:rsidR="0038112F">
        <w:rPr>
          <w:rFonts w:ascii="Arial" w:hAnsi="Arial" w:cs="Arial"/>
          <w:sz w:val="24"/>
          <w:szCs w:val="24"/>
          <w:lang w:val="en-US"/>
        </w:rPr>
        <w:t>. A</w:t>
      </w:r>
      <w:r w:rsidR="00C67D1F" w:rsidRPr="00CF4898">
        <w:rPr>
          <w:rFonts w:ascii="Arial" w:hAnsi="Arial" w:cs="Arial"/>
          <w:sz w:val="24"/>
          <w:szCs w:val="24"/>
          <w:lang w:val="en-US"/>
        </w:rPr>
        <w:t xml:space="preserve"> few studies have looked at </w:t>
      </w:r>
      <w:r w:rsidR="00202C49">
        <w:rPr>
          <w:rFonts w:ascii="Arial" w:hAnsi="Arial" w:cs="Arial"/>
          <w:sz w:val="24"/>
          <w:szCs w:val="24"/>
          <w:lang w:val="en-US"/>
        </w:rPr>
        <w:t>sex</w:t>
      </w:r>
      <w:r w:rsidR="00C67D1F" w:rsidRPr="00CF4898">
        <w:rPr>
          <w:rFonts w:ascii="Arial" w:hAnsi="Arial" w:cs="Arial"/>
          <w:sz w:val="24"/>
          <w:szCs w:val="24"/>
          <w:lang w:val="en-US"/>
        </w:rPr>
        <w:t>, age</w:t>
      </w:r>
      <w:r w:rsidR="00E91BCF" w:rsidRPr="00CF4898">
        <w:rPr>
          <w:rFonts w:ascii="Arial" w:hAnsi="Arial" w:cs="Arial"/>
          <w:sz w:val="24"/>
          <w:szCs w:val="24"/>
          <w:lang w:val="en-US"/>
        </w:rPr>
        <w:t>,</w:t>
      </w:r>
      <w:r w:rsidR="00C67D1F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924A92" w:rsidRPr="00CF4898">
        <w:rPr>
          <w:rFonts w:ascii="Arial" w:hAnsi="Arial" w:cs="Arial"/>
          <w:sz w:val="24"/>
          <w:szCs w:val="24"/>
          <w:lang w:val="en-US"/>
        </w:rPr>
        <w:t xml:space="preserve">dose </w:t>
      </w:r>
      <w:r w:rsidR="00C67D1F" w:rsidRPr="00CF4898">
        <w:rPr>
          <w:rFonts w:ascii="Arial" w:hAnsi="Arial" w:cs="Arial"/>
          <w:sz w:val="24"/>
          <w:szCs w:val="24"/>
          <w:lang w:val="en-US"/>
        </w:rPr>
        <w:t xml:space="preserve">and </w:t>
      </w:r>
      <w:r w:rsidR="00924A92" w:rsidRPr="00CF4898">
        <w:rPr>
          <w:rFonts w:ascii="Arial" w:hAnsi="Arial" w:cs="Arial"/>
          <w:sz w:val="24"/>
          <w:szCs w:val="24"/>
          <w:lang w:val="en-US"/>
        </w:rPr>
        <w:t>use of other AE</w:t>
      </w:r>
      <w:r w:rsidR="00924A92" w:rsidRPr="00CF4898">
        <w:rPr>
          <w:rFonts w:ascii="Arial" w:hAnsi="Arial" w:cs="Arial"/>
          <w:sz w:val="24"/>
          <w:szCs w:val="24"/>
          <w:lang w:val="en-GB"/>
        </w:rPr>
        <w:t>Ds</w:t>
      </w:r>
      <w:r w:rsidR="00C67D1F" w:rsidRPr="00CF4898">
        <w:rPr>
          <w:rFonts w:ascii="Arial" w:hAnsi="Arial" w:cs="Arial"/>
          <w:sz w:val="24"/>
          <w:szCs w:val="24"/>
          <w:lang w:val="en-US"/>
        </w:rPr>
        <w:t xml:space="preserve">, but results were </w:t>
      </w:r>
      <w:r w:rsidR="007C4972" w:rsidRPr="00CF4898">
        <w:rPr>
          <w:rFonts w:ascii="Arial" w:hAnsi="Arial" w:cs="Arial"/>
          <w:sz w:val="24"/>
          <w:szCs w:val="24"/>
          <w:lang w:val="en-US"/>
        </w:rPr>
        <w:t>inconclusive, often due to low sample size</w:t>
      </w:r>
      <w:r w:rsidR="00C67D1F" w:rsidRPr="00CF4898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052FDC1F" w14:textId="551F931F" w:rsidR="00AF35AF" w:rsidRPr="00CF4898" w:rsidRDefault="0038112F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aimed </w:t>
      </w:r>
      <w:r w:rsidRPr="00CF4898">
        <w:rPr>
          <w:rFonts w:ascii="Arial" w:hAnsi="Arial" w:cs="Arial"/>
          <w:sz w:val="24"/>
          <w:szCs w:val="24"/>
          <w:lang w:val="en-US"/>
        </w:rPr>
        <w:t xml:space="preserve">to </w:t>
      </w:r>
      <w:r w:rsidR="008250DE">
        <w:rPr>
          <w:rFonts w:ascii="Arial" w:hAnsi="Arial" w:cs="Arial"/>
          <w:sz w:val="24"/>
          <w:szCs w:val="24"/>
          <w:lang w:val="en-US"/>
        </w:rPr>
        <w:t xml:space="preserve">confirm </w:t>
      </w:r>
      <w:r>
        <w:rPr>
          <w:rFonts w:ascii="Arial" w:hAnsi="Arial" w:cs="Arial"/>
          <w:sz w:val="24"/>
          <w:szCs w:val="24"/>
          <w:lang w:val="en-US"/>
        </w:rPr>
        <w:t>previous observation</w:t>
      </w:r>
      <w:r w:rsidR="00A97DEE">
        <w:rPr>
          <w:rFonts w:ascii="Arial" w:hAnsi="Arial" w:cs="Arial"/>
          <w:sz w:val="24"/>
          <w:szCs w:val="24"/>
          <w:lang w:val="en-US"/>
        </w:rPr>
        <w:t>s</w:t>
      </w:r>
      <w:r w:rsidR="009B3408">
        <w:rPr>
          <w:rFonts w:ascii="Arial" w:hAnsi="Arial" w:cs="Arial"/>
          <w:sz w:val="24"/>
          <w:szCs w:val="24"/>
          <w:lang w:val="en-US"/>
        </w:rPr>
        <w:t xml:space="preserve">, evaluate the clinical characteristics of </w:t>
      </w:r>
      <w:proofErr w:type="spellStart"/>
      <w:r w:rsidR="009B3408">
        <w:rPr>
          <w:rFonts w:ascii="Arial" w:hAnsi="Arial" w:cs="Arial"/>
          <w:sz w:val="24"/>
          <w:szCs w:val="24"/>
          <w:lang w:val="en-US"/>
        </w:rPr>
        <w:t>hyponatremic</w:t>
      </w:r>
      <w:proofErr w:type="spellEnd"/>
      <w:r w:rsidR="009B340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and </w:t>
      </w:r>
      <w:r w:rsidR="00373821" w:rsidRPr="00CF4898">
        <w:rPr>
          <w:rFonts w:ascii="Arial" w:hAnsi="Arial" w:cs="Arial"/>
          <w:sz w:val="24"/>
          <w:szCs w:val="24"/>
          <w:lang w:val="en-US"/>
        </w:rPr>
        <w:t xml:space="preserve">identify possible determinants of COIH in a large </w:t>
      </w:r>
      <w:r w:rsidR="006C2031" w:rsidRPr="00CF4898">
        <w:rPr>
          <w:rFonts w:ascii="Arial" w:hAnsi="Arial" w:cs="Arial"/>
          <w:sz w:val="24"/>
          <w:szCs w:val="24"/>
          <w:lang w:val="en-US"/>
        </w:rPr>
        <w:t>c</w:t>
      </w:r>
      <w:r w:rsidR="00197453" w:rsidRPr="00CF4898">
        <w:rPr>
          <w:rFonts w:ascii="Arial" w:hAnsi="Arial" w:cs="Arial"/>
          <w:sz w:val="24"/>
          <w:szCs w:val="24"/>
          <w:lang w:val="en-US"/>
        </w:rPr>
        <w:t>ohort</w:t>
      </w:r>
      <w:r w:rsidR="00615686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64188D" w:rsidRPr="00CF4898">
        <w:rPr>
          <w:rFonts w:ascii="Arial" w:hAnsi="Arial" w:cs="Arial"/>
          <w:sz w:val="24"/>
          <w:szCs w:val="24"/>
          <w:lang w:val="en-US"/>
        </w:rPr>
        <w:t xml:space="preserve">of </w:t>
      </w:r>
      <w:r w:rsidR="006C2031" w:rsidRPr="00CF4898">
        <w:rPr>
          <w:rFonts w:ascii="Arial" w:hAnsi="Arial" w:cs="Arial"/>
          <w:sz w:val="24"/>
          <w:szCs w:val="24"/>
          <w:lang w:val="en-US"/>
        </w:rPr>
        <w:t>people</w:t>
      </w:r>
      <w:r w:rsidR="007C4972" w:rsidRPr="00CF4898">
        <w:rPr>
          <w:rFonts w:ascii="Arial" w:hAnsi="Arial" w:cs="Arial"/>
          <w:sz w:val="24"/>
          <w:szCs w:val="24"/>
          <w:lang w:val="en-US"/>
        </w:rPr>
        <w:t xml:space="preserve"> treated for epilepsy</w:t>
      </w:r>
      <w:r w:rsidR="002D6C89">
        <w:rPr>
          <w:rFonts w:ascii="Arial" w:hAnsi="Arial" w:cs="Arial"/>
          <w:sz w:val="24"/>
          <w:szCs w:val="24"/>
          <w:lang w:val="en-US"/>
        </w:rPr>
        <w:t>.</w:t>
      </w:r>
      <w:r w:rsidR="00373821" w:rsidRPr="00CF489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81C4471" w14:textId="77777777" w:rsidR="00AF35AF" w:rsidRPr="00CF4898" w:rsidRDefault="00AF35AF">
      <w:pPr>
        <w:rPr>
          <w:rFonts w:ascii="Arial" w:hAnsi="Arial" w:cs="Arial"/>
          <w:sz w:val="24"/>
          <w:szCs w:val="24"/>
          <w:lang w:val="en-US"/>
        </w:rPr>
      </w:pPr>
    </w:p>
    <w:p w14:paraId="0F7A58DA" w14:textId="77777777" w:rsidR="005F4FE9" w:rsidRDefault="005F4FE9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</w:p>
    <w:p w14:paraId="63AF66B4" w14:textId="77777777" w:rsidR="00C97717" w:rsidRPr="006B4774" w:rsidRDefault="006F1A0D" w:rsidP="00EE541E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>METHODS</w:t>
      </w:r>
    </w:p>
    <w:p w14:paraId="5B03FA7B" w14:textId="7A490D5B" w:rsidR="0042224B" w:rsidRPr="00F32664" w:rsidRDefault="00373821" w:rsidP="004C710A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CF4898">
        <w:rPr>
          <w:rFonts w:ascii="Arial" w:hAnsi="Arial" w:cs="Arial"/>
          <w:sz w:val="24"/>
          <w:szCs w:val="24"/>
          <w:lang w:val="en-US"/>
        </w:rPr>
        <w:t>An electronic database</w:t>
      </w:r>
      <w:r w:rsidR="00B42203">
        <w:rPr>
          <w:rFonts w:ascii="Arial" w:hAnsi="Arial" w:cs="Arial"/>
          <w:sz w:val="24"/>
          <w:szCs w:val="24"/>
          <w:lang w:val="en-US"/>
        </w:rPr>
        <w:t xml:space="preserve"> designed for pharmacogenomics studies (</w:t>
      </w:r>
      <w:r w:rsidR="00C13C47">
        <w:rPr>
          <w:rFonts w:ascii="Arial" w:hAnsi="Arial" w:cs="Arial"/>
          <w:sz w:val="24"/>
          <w:szCs w:val="24"/>
          <w:lang w:val="en-US"/>
        </w:rPr>
        <w:t>www.epipgx.eu)</w:t>
      </w:r>
      <w:r w:rsidR="00B42203">
        <w:rPr>
          <w:rFonts w:ascii="Arial" w:hAnsi="Arial" w:cs="Arial"/>
          <w:sz w:val="24"/>
          <w:szCs w:val="24"/>
          <w:lang w:val="en-US"/>
        </w:rPr>
        <w:t>,</w:t>
      </w:r>
      <w:r w:rsidRPr="00CF4898">
        <w:rPr>
          <w:rFonts w:ascii="Arial" w:hAnsi="Arial" w:cs="Arial"/>
          <w:sz w:val="24"/>
          <w:szCs w:val="24"/>
          <w:lang w:val="en-GB"/>
        </w:rPr>
        <w:t xml:space="preserve"> capturing all relevant clinical data with an emphasis on AED history</w:t>
      </w:r>
      <w:r w:rsidR="00B42203">
        <w:rPr>
          <w:rFonts w:ascii="Arial" w:hAnsi="Arial" w:cs="Arial"/>
          <w:sz w:val="24"/>
          <w:szCs w:val="24"/>
          <w:lang w:val="en-GB"/>
        </w:rPr>
        <w:t>,</w:t>
      </w:r>
      <w:r w:rsidRPr="00CF4898">
        <w:rPr>
          <w:rFonts w:ascii="Arial" w:hAnsi="Arial" w:cs="Arial"/>
          <w:sz w:val="24"/>
          <w:szCs w:val="24"/>
          <w:lang w:val="en-GB"/>
        </w:rPr>
        <w:t xml:space="preserve"> has been in use </w:t>
      </w:r>
      <w:r w:rsidRPr="00CF4898">
        <w:rPr>
          <w:rFonts w:ascii="Arial" w:hAnsi="Arial" w:cs="Arial"/>
          <w:sz w:val="24"/>
          <w:szCs w:val="24"/>
          <w:lang w:val="en-US"/>
        </w:rPr>
        <w:t>s</w:t>
      </w:r>
      <w:r w:rsidR="005E0F65" w:rsidRPr="00CF4898">
        <w:rPr>
          <w:rFonts w:ascii="Arial" w:hAnsi="Arial" w:cs="Arial"/>
          <w:sz w:val="24"/>
          <w:szCs w:val="24"/>
          <w:lang w:val="en-US"/>
        </w:rPr>
        <w:t xml:space="preserve">ince 2010 at a tertiary referral </w:t>
      </w:r>
      <w:proofErr w:type="spellStart"/>
      <w:r w:rsidR="00CD21CC" w:rsidRPr="00CF4898">
        <w:rPr>
          <w:rFonts w:ascii="Arial" w:hAnsi="Arial" w:cs="Arial"/>
          <w:sz w:val="24"/>
          <w:szCs w:val="24"/>
          <w:lang w:val="en-US"/>
        </w:rPr>
        <w:t>cent</w:t>
      </w:r>
      <w:r w:rsidR="00413111">
        <w:rPr>
          <w:rFonts w:ascii="Arial" w:hAnsi="Arial" w:cs="Arial"/>
          <w:sz w:val="24"/>
          <w:szCs w:val="24"/>
          <w:lang w:val="en-US"/>
        </w:rPr>
        <w:t>r</w:t>
      </w:r>
      <w:r w:rsidR="00CD21CC" w:rsidRPr="00CF4898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5E0F65" w:rsidRPr="00CF4898">
        <w:rPr>
          <w:rFonts w:ascii="Arial" w:hAnsi="Arial" w:cs="Arial"/>
          <w:sz w:val="24"/>
          <w:szCs w:val="24"/>
          <w:lang w:val="en-US"/>
        </w:rPr>
        <w:t xml:space="preserve"> for </w:t>
      </w:r>
      <w:r w:rsidRPr="00CF4898">
        <w:rPr>
          <w:rFonts w:ascii="Arial" w:hAnsi="Arial" w:cs="Arial"/>
          <w:sz w:val="24"/>
          <w:szCs w:val="24"/>
          <w:lang w:val="en-US"/>
        </w:rPr>
        <w:t>epilepsy</w:t>
      </w:r>
      <w:r w:rsidR="0038112F">
        <w:rPr>
          <w:rFonts w:ascii="Arial" w:hAnsi="Arial" w:cs="Arial"/>
          <w:sz w:val="24"/>
          <w:szCs w:val="24"/>
          <w:lang w:val="en-US"/>
        </w:rPr>
        <w:t xml:space="preserve"> (</w:t>
      </w:r>
      <w:r w:rsidR="0038112F" w:rsidRPr="00A745A3">
        <w:rPr>
          <w:rFonts w:ascii="Arial" w:hAnsi="Arial" w:cs="Arial"/>
          <w:sz w:val="24"/>
          <w:szCs w:val="24"/>
          <w:lang w:val="en-US"/>
        </w:rPr>
        <w:t>http://www.sein.nl/en/</w:t>
      </w:r>
      <w:r w:rsidR="0038112F">
        <w:rPr>
          <w:rFonts w:ascii="Arial" w:hAnsi="Arial" w:cs="Arial"/>
          <w:sz w:val="24"/>
          <w:szCs w:val="24"/>
          <w:lang w:val="en-US"/>
        </w:rPr>
        <w:t>)</w:t>
      </w:r>
      <w:r w:rsidRPr="00CF4898">
        <w:rPr>
          <w:rFonts w:ascii="Arial" w:hAnsi="Arial" w:cs="Arial"/>
          <w:sz w:val="24"/>
          <w:szCs w:val="24"/>
          <w:lang w:val="en-US"/>
        </w:rPr>
        <w:t xml:space="preserve">. </w:t>
      </w:r>
      <w:r w:rsidR="00D8085B">
        <w:rPr>
          <w:rFonts w:ascii="Arial" w:hAnsi="Arial" w:cs="Arial"/>
          <w:sz w:val="24"/>
          <w:szCs w:val="24"/>
          <w:lang w:val="en-US"/>
        </w:rPr>
        <w:t xml:space="preserve">It was </w:t>
      </w:r>
      <w:r w:rsidR="007C4124" w:rsidRPr="00CF4898">
        <w:rPr>
          <w:rFonts w:ascii="Arial" w:hAnsi="Arial" w:cs="Arial"/>
          <w:sz w:val="24"/>
          <w:szCs w:val="24"/>
          <w:lang w:val="en-US"/>
        </w:rPr>
        <w:t xml:space="preserve">used </w:t>
      </w:r>
      <w:r w:rsidRPr="00CF4898">
        <w:rPr>
          <w:rFonts w:ascii="Arial" w:hAnsi="Arial" w:cs="Arial"/>
          <w:sz w:val="24"/>
          <w:szCs w:val="24"/>
          <w:lang w:val="en-GB"/>
        </w:rPr>
        <w:t xml:space="preserve">to identify all </w:t>
      </w:r>
      <w:r w:rsidR="00D8085B">
        <w:rPr>
          <w:rFonts w:ascii="Arial" w:hAnsi="Arial" w:cs="Arial"/>
          <w:sz w:val="24"/>
          <w:szCs w:val="24"/>
          <w:lang w:val="en-GB"/>
        </w:rPr>
        <w:t xml:space="preserve">individuals </w:t>
      </w:r>
      <w:r w:rsidR="00C76530" w:rsidRPr="00CF4898">
        <w:rPr>
          <w:rFonts w:ascii="Arial" w:hAnsi="Arial" w:cs="Arial"/>
          <w:sz w:val="24"/>
          <w:szCs w:val="24"/>
          <w:lang w:val="en-GB"/>
        </w:rPr>
        <w:t xml:space="preserve">who </w:t>
      </w:r>
      <w:r w:rsidR="007C4124" w:rsidRPr="00CF4898">
        <w:rPr>
          <w:rFonts w:ascii="Arial" w:hAnsi="Arial" w:cs="Arial"/>
          <w:sz w:val="24"/>
          <w:szCs w:val="24"/>
          <w:lang w:val="en-GB"/>
        </w:rPr>
        <w:t xml:space="preserve">were </w:t>
      </w:r>
      <w:r w:rsidR="00C76530" w:rsidRPr="00CF4898">
        <w:rPr>
          <w:rFonts w:ascii="Arial" w:hAnsi="Arial" w:cs="Arial"/>
          <w:sz w:val="24"/>
          <w:szCs w:val="24"/>
          <w:lang w:val="en-GB"/>
        </w:rPr>
        <w:t xml:space="preserve">prescribed </w:t>
      </w:r>
      <w:r w:rsidR="0042224B" w:rsidRPr="00CF4898">
        <w:rPr>
          <w:rFonts w:ascii="Arial" w:hAnsi="Arial" w:cs="Arial"/>
          <w:sz w:val="24"/>
          <w:szCs w:val="24"/>
          <w:lang w:val="en-GB"/>
        </w:rPr>
        <w:t xml:space="preserve">CBZ or OXC and </w:t>
      </w:r>
      <w:r w:rsidR="0027042B" w:rsidRPr="00CF4898">
        <w:rPr>
          <w:rFonts w:ascii="Arial" w:hAnsi="Arial" w:cs="Arial"/>
          <w:sz w:val="24"/>
          <w:szCs w:val="24"/>
          <w:lang w:val="en-GB"/>
        </w:rPr>
        <w:t xml:space="preserve">who had </w:t>
      </w:r>
      <w:r w:rsidR="0042224B" w:rsidRPr="00CF4898">
        <w:rPr>
          <w:rFonts w:ascii="Arial" w:hAnsi="Arial" w:cs="Arial"/>
          <w:sz w:val="24"/>
          <w:szCs w:val="24"/>
          <w:lang w:val="en-GB"/>
        </w:rPr>
        <w:t xml:space="preserve">a </w:t>
      </w:r>
      <w:r w:rsidRPr="00CF4898">
        <w:rPr>
          <w:rFonts w:ascii="Arial" w:hAnsi="Arial" w:cs="Arial"/>
          <w:sz w:val="24"/>
          <w:szCs w:val="24"/>
          <w:lang w:val="en-GB"/>
        </w:rPr>
        <w:t>record</w:t>
      </w:r>
      <w:r w:rsidR="004A3AA5">
        <w:rPr>
          <w:rFonts w:ascii="Arial" w:hAnsi="Arial" w:cs="Arial"/>
          <w:sz w:val="24"/>
          <w:szCs w:val="24"/>
          <w:lang w:val="en-GB"/>
        </w:rPr>
        <w:t>ed</w:t>
      </w:r>
      <w:r w:rsidR="0042224B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D7461B" w:rsidRPr="00CF4898">
        <w:rPr>
          <w:rFonts w:ascii="Arial" w:hAnsi="Arial" w:cs="Arial"/>
          <w:sz w:val="24"/>
          <w:szCs w:val="24"/>
          <w:lang w:val="en-GB"/>
        </w:rPr>
        <w:t>serum sodium level during therapy</w:t>
      </w:r>
      <w:r w:rsidRPr="00CF4898">
        <w:rPr>
          <w:rFonts w:ascii="Arial" w:hAnsi="Arial" w:cs="Arial"/>
          <w:sz w:val="24"/>
          <w:szCs w:val="24"/>
          <w:lang w:val="en-GB"/>
        </w:rPr>
        <w:t>.</w:t>
      </w:r>
      <w:r w:rsidR="003A5E89">
        <w:rPr>
          <w:rFonts w:ascii="Arial" w:hAnsi="Arial" w:cs="Arial"/>
          <w:sz w:val="24"/>
          <w:szCs w:val="24"/>
          <w:lang w:val="en-GB"/>
        </w:rPr>
        <w:t xml:space="preserve"> </w:t>
      </w:r>
      <w:r w:rsidR="00D0293B">
        <w:rPr>
          <w:rFonts w:ascii="Arial" w:hAnsi="Arial" w:cs="Arial"/>
          <w:sz w:val="24"/>
          <w:szCs w:val="24"/>
          <w:lang w:val="en-GB"/>
        </w:rPr>
        <w:t>L</w:t>
      </w:r>
      <w:r w:rsidR="003A5E89">
        <w:rPr>
          <w:rFonts w:ascii="Arial" w:hAnsi="Arial" w:cs="Arial"/>
          <w:sz w:val="24"/>
          <w:szCs w:val="24"/>
          <w:lang w:val="en-GB"/>
        </w:rPr>
        <w:t xml:space="preserve">evels were measured </w:t>
      </w:r>
      <w:r w:rsidR="00D0293B">
        <w:rPr>
          <w:rFonts w:ascii="Arial" w:hAnsi="Arial" w:cs="Arial"/>
          <w:sz w:val="24"/>
          <w:szCs w:val="24"/>
          <w:lang w:val="en-GB"/>
        </w:rPr>
        <w:t>during the course</w:t>
      </w:r>
      <w:r w:rsidR="003A5E89">
        <w:rPr>
          <w:rFonts w:ascii="Arial" w:hAnsi="Arial" w:cs="Arial"/>
          <w:sz w:val="24"/>
          <w:szCs w:val="24"/>
          <w:lang w:val="en-GB"/>
        </w:rPr>
        <w:t xml:space="preserve"> of routine monitoring.</w:t>
      </w:r>
      <w:r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413111">
        <w:rPr>
          <w:rFonts w:ascii="Arial" w:hAnsi="Arial" w:cs="Arial"/>
          <w:sz w:val="24"/>
          <w:szCs w:val="24"/>
          <w:lang w:val="en-GB"/>
        </w:rPr>
        <w:t>For</w:t>
      </w:r>
      <w:r w:rsidR="00413111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D7461B" w:rsidRPr="00CF4898">
        <w:rPr>
          <w:rFonts w:ascii="Arial" w:hAnsi="Arial" w:cs="Arial"/>
          <w:sz w:val="24"/>
          <w:szCs w:val="24"/>
          <w:lang w:val="en-GB"/>
        </w:rPr>
        <w:t xml:space="preserve">each </w:t>
      </w:r>
      <w:r w:rsidR="004A447F" w:rsidRPr="00CF4898">
        <w:rPr>
          <w:rFonts w:ascii="Arial" w:hAnsi="Arial" w:cs="Arial"/>
          <w:sz w:val="24"/>
          <w:szCs w:val="24"/>
          <w:lang w:val="en-GB"/>
        </w:rPr>
        <w:t xml:space="preserve">sodium level </w:t>
      </w:r>
      <w:r w:rsidR="007C4124" w:rsidRPr="00CF4898">
        <w:rPr>
          <w:rFonts w:ascii="Arial" w:hAnsi="Arial" w:cs="Arial"/>
          <w:sz w:val="24"/>
          <w:szCs w:val="24"/>
          <w:lang w:val="en-GB"/>
        </w:rPr>
        <w:t>measurement,</w:t>
      </w:r>
      <w:r w:rsidR="00C76530" w:rsidRPr="00CF4898">
        <w:rPr>
          <w:rFonts w:ascii="Arial" w:hAnsi="Arial" w:cs="Arial"/>
          <w:sz w:val="24"/>
          <w:szCs w:val="24"/>
          <w:lang w:val="en-GB"/>
        </w:rPr>
        <w:t xml:space="preserve"> we recorded </w:t>
      </w:r>
      <w:r w:rsidR="00BF2623" w:rsidRPr="00CF4898">
        <w:rPr>
          <w:rFonts w:ascii="Arial" w:hAnsi="Arial" w:cs="Arial"/>
          <w:sz w:val="24"/>
          <w:szCs w:val="24"/>
          <w:lang w:val="en-GB"/>
        </w:rPr>
        <w:t xml:space="preserve">the </w:t>
      </w:r>
      <w:r w:rsidR="00D7461B" w:rsidRPr="00CF4898">
        <w:rPr>
          <w:rFonts w:ascii="Arial" w:hAnsi="Arial" w:cs="Arial"/>
          <w:sz w:val="24"/>
          <w:szCs w:val="24"/>
          <w:lang w:val="en-GB"/>
        </w:rPr>
        <w:t xml:space="preserve">date, serum level of CBZ or OXC and </w:t>
      </w:r>
      <w:r w:rsidR="00623F78" w:rsidRPr="00CF4898">
        <w:rPr>
          <w:rFonts w:ascii="Arial" w:hAnsi="Arial" w:cs="Arial"/>
          <w:sz w:val="24"/>
          <w:szCs w:val="24"/>
          <w:lang w:val="en-GB"/>
        </w:rPr>
        <w:t>concomitant use</w:t>
      </w:r>
      <w:r w:rsidR="00D7461B" w:rsidRPr="00CF4898">
        <w:rPr>
          <w:rFonts w:ascii="Arial" w:hAnsi="Arial" w:cs="Arial"/>
          <w:sz w:val="24"/>
          <w:szCs w:val="24"/>
          <w:lang w:val="en-GB"/>
        </w:rPr>
        <w:t xml:space="preserve"> of other AEDs</w:t>
      </w:r>
      <w:r w:rsidR="00C76530" w:rsidRPr="00CF4898">
        <w:rPr>
          <w:rFonts w:ascii="Arial" w:hAnsi="Arial" w:cs="Arial"/>
          <w:sz w:val="24"/>
          <w:szCs w:val="24"/>
          <w:lang w:val="en-GB"/>
        </w:rPr>
        <w:t xml:space="preserve">. Most </w:t>
      </w:r>
      <w:r w:rsidR="00413111">
        <w:rPr>
          <w:rFonts w:ascii="Arial" w:hAnsi="Arial" w:cs="Arial"/>
          <w:sz w:val="24"/>
          <w:szCs w:val="24"/>
          <w:lang w:val="en-GB"/>
        </w:rPr>
        <w:t xml:space="preserve">individuals </w:t>
      </w:r>
      <w:r w:rsidR="00C76530" w:rsidRPr="00CF4898">
        <w:rPr>
          <w:rFonts w:ascii="Arial" w:hAnsi="Arial" w:cs="Arial"/>
          <w:sz w:val="24"/>
          <w:szCs w:val="24"/>
          <w:lang w:val="en-GB"/>
        </w:rPr>
        <w:t xml:space="preserve">had </w:t>
      </w:r>
      <w:r w:rsidR="0056465F" w:rsidRPr="00CF4898">
        <w:rPr>
          <w:rFonts w:ascii="Arial" w:hAnsi="Arial" w:cs="Arial"/>
          <w:sz w:val="24"/>
          <w:szCs w:val="24"/>
          <w:lang w:val="en-GB"/>
        </w:rPr>
        <w:t>several measurements</w:t>
      </w:r>
      <w:r w:rsidR="00C76530" w:rsidRPr="00CF4898">
        <w:rPr>
          <w:rFonts w:ascii="Arial" w:hAnsi="Arial" w:cs="Arial"/>
          <w:sz w:val="24"/>
          <w:szCs w:val="24"/>
          <w:lang w:val="en-GB"/>
        </w:rPr>
        <w:t xml:space="preserve"> and </w:t>
      </w:r>
      <w:r w:rsidR="004A3AA5" w:rsidRPr="00CF4898">
        <w:rPr>
          <w:rFonts w:ascii="Arial" w:hAnsi="Arial" w:cs="Arial"/>
          <w:sz w:val="24"/>
          <w:szCs w:val="24"/>
          <w:lang w:val="en-GB"/>
        </w:rPr>
        <w:t>we used the lowest sodium level recorded for</w:t>
      </w:r>
      <w:r w:rsidR="004A3AA5">
        <w:rPr>
          <w:rFonts w:ascii="Arial" w:hAnsi="Arial" w:cs="Arial"/>
          <w:sz w:val="24"/>
          <w:szCs w:val="24"/>
          <w:lang w:val="en-GB"/>
        </w:rPr>
        <w:t xml:space="preserve"> </w:t>
      </w:r>
      <w:r w:rsidR="004A3AA5" w:rsidRPr="00CF4898">
        <w:rPr>
          <w:rFonts w:ascii="Arial" w:hAnsi="Arial" w:cs="Arial"/>
          <w:sz w:val="24"/>
          <w:szCs w:val="24"/>
          <w:lang w:val="en-GB"/>
        </w:rPr>
        <w:t xml:space="preserve">each </w:t>
      </w:r>
      <w:r w:rsidRPr="00CF4898">
        <w:rPr>
          <w:rFonts w:ascii="Arial" w:hAnsi="Arial" w:cs="Arial"/>
          <w:sz w:val="24"/>
          <w:szCs w:val="24"/>
          <w:lang w:val="en-GB"/>
        </w:rPr>
        <w:t xml:space="preserve">for </w:t>
      </w:r>
      <w:r w:rsidR="004A3AA5">
        <w:rPr>
          <w:rFonts w:ascii="Arial" w:hAnsi="Arial" w:cs="Arial"/>
          <w:sz w:val="24"/>
          <w:szCs w:val="24"/>
          <w:lang w:val="en-GB"/>
        </w:rPr>
        <w:t xml:space="preserve">the </w:t>
      </w:r>
      <w:r w:rsidR="004A3AA5" w:rsidRPr="00CF4898">
        <w:rPr>
          <w:rFonts w:ascii="Arial" w:hAnsi="Arial" w:cs="Arial"/>
          <w:sz w:val="24"/>
          <w:szCs w:val="24"/>
          <w:lang w:val="en-GB"/>
        </w:rPr>
        <w:t>analysis</w:t>
      </w:r>
      <w:r w:rsidRPr="00CF4898">
        <w:rPr>
          <w:rFonts w:ascii="Arial" w:hAnsi="Arial" w:cs="Arial"/>
          <w:sz w:val="24"/>
          <w:szCs w:val="24"/>
          <w:lang w:val="en-GB"/>
        </w:rPr>
        <w:t xml:space="preserve">. </w:t>
      </w:r>
      <w:r w:rsidR="007C4124" w:rsidRPr="00CF4898">
        <w:rPr>
          <w:rFonts w:ascii="Arial" w:hAnsi="Arial" w:cs="Arial"/>
          <w:sz w:val="24"/>
          <w:szCs w:val="24"/>
          <w:lang w:val="en-GB"/>
        </w:rPr>
        <w:t>We defined h</w:t>
      </w:r>
      <w:r w:rsidR="004C710A" w:rsidRPr="00CF4898">
        <w:rPr>
          <w:rFonts w:ascii="Arial" w:hAnsi="Arial" w:cs="Arial"/>
          <w:sz w:val="24"/>
          <w:szCs w:val="24"/>
          <w:lang w:val="en-GB"/>
        </w:rPr>
        <w:t xml:space="preserve">yponatremia as a sodium level ≤134 </w:t>
      </w:r>
      <w:proofErr w:type="spellStart"/>
      <w:r w:rsidR="004C710A" w:rsidRPr="00CF4898">
        <w:rPr>
          <w:rFonts w:ascii="Arial" w:hAnsi="Arial" w:cs="Arial"/>
          <w:sz w:val="24"/>
          <w:szCs w:val="24"/>
          <w:lang w:val="en-GB"/>
        </w:rPr>
        <w:t>mEq</w:t>
      </w:r>
      <w:proofErr w:type="spellEnd"/>
      <w:r w:rsidR="004C710A" w:rsidRPr="00CF4898">
        <w:rPr>
          <w:rFonts w:ascii="Arial" w:hAnsi="Arial" w:cs="Arial"/>
          <w:sz w:val="24"/>
          <w:szCs w:val="24"/>
          <w:lang w:val="en-GB"/>
        </w:rPr>
        <w:t xml:space="preserve">/L, and severe hyponatremia as ≤128 </w:t>
      </w:r>
      <w:proofErr w:type="spellStart"/>
      <w:r w:rsidR="004C710A" w:rsidRPr="00CF4898">
        <w:rPr>
          <w:rFonts w:ascii="Arial" w:hAnsi="Arial" w:cs="Arial"/>
          <w:sz w:val="24"/>
          <w:szCs w:val="24"/>
          <w:lang w:val="en-GB"/>
        </w:rPr>
        <w:t>mEq</w:t>
      </w:r>
      <w:proofErr w:type="spellEnd"/>
      <w:r w:rsidR="004C710A" w:rsidRPr="00CF4898">
        <w:rPr>
          <w:rFonts w:ascii="Arial" w:hAnsi="Arial" w:cs="Arial"/>
          <w:sz w:val="24"/>
          <w:szCs w:val="24"/>
          <w:lang w:val="en-GB"/>
        </w:rPr>
        <w:t>/L</w:t>
      </w:r>
      <w:r w:rsidR="00882857">
        <w:rPr>
          <w:rFonts w:ascii="Arial" w:hAnsi="Arial" w:cs="Arial"/>
          <w:sz w:val="24"/>
          <w:szCs w:val="24"/>
          <w:lang w:val="en-GB"/>
        </w:rPr>
        <w:t>,</w:t>
      </w:r>
      <w:r w:rsidR="00882857" w:rsidRPr="00882857">
        <w:rPr>
          <w:rFonts w:ascii="Arial" w:hAnsi="Arial" w:cs="Arial"/>
          <w:sz w:val="24"/>
          <w:szCs w:val="24"/>
          <w:lang w:val="en-GB"/>
        </w:rPr>
        <w:t xml:space="preserve"> </w:t>
      </w:r>
      <w:r w:rsidR="00882857">
        <w:rPr>
          <w:rFonts w:ascii="Arial" w:hAnsi="Arial" w:cs="Arial"/>
          <w:sz w:val="24"/>
          <w:szCs w:val="24"/>
          <w:lang w:val="en-GB"/>
        </w:rPr>
        <w:t>in line with previous studies</w:t>
      </w:r>
      <w:r w:rsidR="004C710A" w:rsidRPr="00CF4898">
        <w:rPr>
          <w:rFonts w:ascii="Arial" w:hAnsi="Arial" w:cs="Arial"/>
          <w:sz w:val="24"/>
          <w:szCs w:val="24"/>
          <w:lang w:val="en-GB"/>
        </w:rPr>
        <w:t>.</w:t>
      </w:r>
      <w:r w:rsidR="00515664" w:rsidRPr="00515664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515664">
        <w:rPr>
          <w:rFonts w:ascii="Arial" w:hAnsi="Arial" w:cs="Arial"/>
          <w:sz w:val="24"/>
          <w:szCs w:val="24"/>
          <w:vertAlign w:val="superscript"/>
          <w:lang w:val="en-US"/>
        </w:rPr>
        <w:t>5,6</w:t>
      </w:r>
      <w:r w:rsidR="00515664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4C710A" w:rsidRPr="00CF4898">
        <w:rPr>
          <w:rFonts w:ascii="Arial" w:hAnsi="Arial" w:cs="Arial"/>
          <w:sz w:val="24"/>
          <w:szCs w:val="24"/>
          <w:lang w:val="en-GB"/>
        </w:rPr>
        <w:t xml:space="preserve"> Potentially predictive variables for hyponatremia tested were: CBZ/OXC serum levels, age, </w:t>
      </w:r>
      <w:r w:rsidR="00202C49">
        <w:rPr>
          <w:rFonts w:ascii="Arial" w:hAnsi="Arial" w:cs="Arial"/>
          <w:sz w:val="24"/>
          <w:szCs w:val="24"/>
          <w:lang w:val="en-GB"/>
        </w:rPr>
        <w:t>sex</w:t>
      </w:r>
      <w:r w:rsidR="00202C49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4C710A" w:rsidRPr="00CF4898">
        <w:rPr>
          <w:rFonts w:ascii="Arial" w:hAnsi="Arial" w:cs="Arial"/>
          <w:sz w:val="24"/>
          <w:szCs w:val="24"/>
          <w:lang w:val="en-GB"/>
        </w:rPr>
        <w:t>and concomitant AEDs.</w:t>
      </w:r>
      <w:r w:rsidR="00A64688">
        <w:rPr>
          <w:rFonts w:ascii="Arial" w:hAnsi="Arial" w:cs="Arial"/>
          <w:sz w:val="24"/>
          <w:szCs w:val="24"/>
          <w:lang w:val="en-GB"/>
        </w:rPr>
        <w:t xml:space="preserve"> Cli</w:t>
      </w:r>
      <w:r w:rsidR="00544391">
        <w:rPr>
          <w:rFonts w:ascii="Arial" w:hAnsi="Arial" w:cs="Arial"/>
          <w:sz w:val="24"/>
          <w:szCs w:val="24"/>
          <w:lang w:val="en-GB"/>
        </w:rPr>
        <w:t xml:space="preserve">nical characteristics of </w:t>
      </w:r>
      <w:r w:rsidR="009B3408">
        <w:rPr>
          <w:rFonts w:ascii="Arial" w:hAnsi="Arial" w:cs="Arial"/>
          <w:sz w:val="24"/>
          <w:szCs w:val="24"/>
          <w:lang w:val="en-GB"/>
        </w:rPr>
        <w:t xml:space="preserve">those </w:t>
      </w:r>
      <w:proofErr w:type="spellStart"/>
      <w:r w:rsidR="00A64688">
        <w:rPr>
          <w:rFonts w:ascii="Arial" w:hAnsi="Arial" w:cs="Arial"/>
          <w:sz w:val="24"/>
          <w:szCs w:val="24"/>
          <w:lang w:val="en-GB"/>
        </w:rPr>
        <w:t>hyponatremi</w:t>
      </w:r>
      <w:r w:rsidR="009B3408">
        <w:rPr>
          <w:rFonts w:ascii="Arial" w:hAnsi="Arial" w:cs="Arial"/>
          <w:sz w:val="24"/>
          <w:szCs w:val="24"/>
          <w:lang w:val="en-GB"/>
        </w:rPr>
        <w:t>c</w:t>
      </w:r>
      <w:proofErr w:type="spellEnd"/>
      <w:r w:rsidR="00A64688">
        <w:rPr>
          <w:rFonts w:ascii="Arial" w:hAnsi="Arial" w:cs="Arial"/>
          <w:sz w:val="24"/>
          <w:szCs w:val="24"/>
          <w:lang w:val="en-GB"/>
        </w:rPr>
        <w:t xml:space="preserve"> were retrieved from case notes. </w:t>
      </w:r>
      <w:r w:rsidR="009B3408">
        <w:rPr>
          <w:rFonts w:ascii="Arial" w:hAnsi="Arial" w:cs="Arial"/>
          <w:sz w:val="24"/>
          <w:szCs w:val="24"/>
          <w:lang w:val="en-GB"/>
        </w:rPr>
        <w:t>S</w:t>
      </w:r>
      <w:r w:rsidR="00A64688">
        <w:rPr>
          <w:rFonts w:ascii="Arial" w:hAnsi="Arial" w:cs="Arial"/>
          <w:sz w:val="24"/>
          <w:szCs w:val="24"/>
          <w:lang w:val="en-GB"/>
        </w:rPr>
        <w:t xml:space="preserve">ymptoms present at the time </w:t>
      </w:r>
      <w:r w:rsidR="009B3408">
        <w:rPr>
          <w:rFonts w:ascii="Arial" w:hAnsi="Arial" w:cs="Arial"/>
          <w:sz w:val="24"/>
          <w:szCs w:val="24"/>
          <w:lang w:val="en-GB"/>
        </w:rPr>
        <w:t xml:space="preserve">of </w:t>
      </w:r>
      <w:r w:rsidR="00A64688">
        <w:rPr>
          <w:rFonts w:ascii="Arial" w:hAnsi="Arial" w:cs="Arial"/>
          <w:sz w:val="24"/>
          <w:szCs w:val="24"/>
          <w:lang w:val="en-GB"/>
        </w:rPr>
        <w:t>hyponatremi</w:t>
      </w:r>
      <w:r w:rsidR="009B3408">
        <w:rPr>
          <w:rFonts w:ascii="Arial" w:hAnsi="Arial" w:cs="Arial"/>
          <w:sz w:val="24"/>
          <w:szCs w:val="24"/>
          <w:lang w:val="en-GB"/>
        </w:rPr>
        <w:t>a</w:t>
      </w:r>
      <w:r w:rsidR="00A64688">
        <w:rPr>
          <w:rFonts w:ascii="Arial" w:hAnsi="Arial" w:cs="Arial"/>
          <w:sz w:val="24"/>
          <w:szCs w:val="24"/>
          <w:lang w:val="en-GB"/>
        </w:rPr>
        <w:t xml:space="preserve">, </w:t>
      </w:r>
      <w:r w:rsidR="009B3408">
        <w:rPr>
          <w:rFonts w:ascii="Arial" w:hAnsi="Arial" w:cs="Arial"/>
          <w:sz w:val="24"/>
          <w:szCs w:val="24"/>
          <w:lang w:val="en-GB"/>
        </w:rPr>
        <w:t xml:space="preserve">which could </w:t>
      </w:r>
      <w:r w:rsidR="00A64688">
        <w:rPr>
          <w:rFonts w:ascii="Arial" w:hAnsi="Arial" w:cs="Arial"/>
          <w:sz w:val="24"/>
          <w:szCs w:val="24"/>
          <w:lang w:val="en-GB"/>
        </w:rPr>
        <w:t xml:space="preserve">not </w:t>
      </w:r>
      <w:r w:rsidR="009B3408">
        <w:rPr>
          <w:rFonts w:ascii="Arial" w:hAnsi="Arial" w:cs="Arial"/>
          <w:sz w:val="24"/>
          <w:szCs w:val="24"/>
          <w:lang w:val="en-GB"/>
        </w:rPr>
        <w:t xml:space="preserve">be </w:t>
      </w:r>
      <w:r w:rsidR="00A64688">
        <w:rPr>
          <w:rFonts w:ascii="Arial" w:hAnsi="Arial" w:cs="Arial"/>
          <w:sz w:val="24"/>
          <w:szCs w:val="24"/>
          <w:lang w:val="en-GB"/>
        </w:rPr>
        <w:t xml:space="preserve">explained by </w:t>
      </w:r>
      <w:r w:rsidR="0001203C">
        <w:rPr>
          <w:rFonts w:ascii="Arial" w:hAnsi="Arial" w:cs="Arial"/>
          <w:sz w:val="24"/>
          <w:szCs w:val="24"/>
          <w:lang w:val="en-GB"/>
        </w:rPr>
        <w:t xml:space="preserve">another clear </w:t>
      </w:r>
      <w:r w:rsidR="00A64688">
        <w:rPr>
          <w:rFonts w:ascii="Arial" w:hAnsi="Arial" w:cs="Arial"/>
          <w:sz w:val="24"/>
          <w:szCs w:val="24"/>
          <w:lang w:val="en-GB"/>
        </w:rPr>
        <w:t>cause</w:t>
      </w:r>
      <w:r w:rsidR="0001203C">
        <w:rPr>
          <w:rFonts w:ascii="Arial" w:hAnsi="Arial" w:cs="Arial"/>
          <w:sz w:val="24"/>
          <w:szCs w:val="24"/>
          <w:lang w:val="en-GB"/>
        </w:rPr>
        <w:t xml:space="preserve"> such as overt </w:t>
      </w:r>
      <w:r w:rsidR="005F4ECC">
        <w:rPr>
          <w:rFonts w:ascii="Arial" w:hAnsi="Arial" w:cs="Arial"/>
          <w:sz w:val="24"/>
          <w:szCs w:val="24"/>
          <w:lang w:val="en-GB"/>
        </w:rPr>
        <w:t xml:space="preserve">AED </w:t>
      </w:r>
      <w:r w:rsidR="00EE377B">
        <w:rPr>
          <w:rFonts w:ascii="Arial" w:hAnsi="Arial" w:cs="Arial"/>
          <w:sz w:val="24"/>
          <w:szCs w:val="24"/>
          <w:lang w:val="en-GB"/>
        </w:rPr>
        <w:t>intoxication or comorbidity</w:t>
      </w:r>
      <w:r w:rsidR="0001203C">
        <w:rPr>
          <w:rFonts w:ascii="Arial" w:hAnsi="Arial" w:cs="Arial"/>
          <w:sz w:val="24"/>
          <w:szCs w:val="24"/>
          <w:lang w:val="en-GB"/>
        </w:rPr>
        <w:t xml:space="preserve"> </w:t>
      </w:r>
      <w:r w:rsidR="00EE377B">
        <w:rPr>
          <w:rFonts w:ascii="Arial" w:hAnsi="Arial" w:cs="Arial"/>
          <w:sz w:val="24"/>
          <w:szCs w:val="24"/>
          <w:lang w:val="en-GB"/>
        </w:rPr>
        <w:t>were</w:t>
      </w:r>
      <w:r w:rsidR="005F4ECC">
        <w:rPr>
          <w:rFonts w:ascii="Arial" w:hAnsi="Arial" w:cs="Arial"/>
          <w:sz w:val="24"/>
          <w:szCs w:val="24"/>
          <w:lang w:val="en-GB"/>
        </w:rPr>
        <w:t xml:space="preserve"> score</w:t>
      </w:r>
      <w:r w:rsidR="008E0EB2">
        <w:rPr>
          <w:rFonts w:ascii="Arial" w:hAnsi="Arial" w:cs="Arial"/>
          <w:sz w:val="24"/>
          <w:szCs w:val="24"/>
          <w:lang w:val="en-GB"/>
        </w:rPr>
        <w:t>d.</w:t>
      </w:r>
      <w:r w:rsidR="00F3266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2AD1A86" w14:textId="77777777" w:rsidR="008A0454" w:rsidRPr="00CF4898" w:rsidRDefault="0056465F" w:rsidP="00643D50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A94AE3">
        <w:rPr>
          <w:rFonts w:ascii="Arial" w:hAnsi="Arial" w:cs="Arial"/>
          <w:b/>
          <w:i/>
          <w:sz w:val="24"/>
          <w:szCs w:val="24"/>
          <w:lang w:val="en-GB"/>
        </w:rPr>
        <w:t>Statistics</w:t>
      </w:r>
      <w:r w:rsidR="004A3AA5" w:rsidRPr="00A94AE3">
        <w:rPr>
          <w:rFonts w:ascii="Arial" w:hAnsi="Arial" w:cs="Arial"/>
          <w:b/>
          <w:i/>
          <w:sz w:val="24"/>
          <w:szCs w:val="24"/>
          <w:lang w:val="en-GB"/>
        </w:rPr>
        <w:t>:</w:t>
      </w:r>
      <w:r w:rsidRPr="00CF4898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B01732" w:rsidRPr="00CF4898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373821" w:rsidRPr="00CF4898">
        <w:rPr>
          <w:rFonts w:ascii="Arial" w:hAnsi="Arial" w:cs="Arial"/>
          <w:sz w:val="24"/>
          <w:szCs w:val="24"/>
          <w:lang w:val="en-GB"/>
        </w:rPr>
        <w:t>S</w:t>
      </w:r>
      <w:r w:rsidR="00B01732" w:rsidRPr="00CF4898">
        <w:rPr>
          <w:rFonts w:ascii="Arial" w:hAnsi="Arial" w:cs="Arial"/>
          <w:sz w:val="24"/>
          <w:szCs w:val="24"/>
          <w:lang w:val="en-GB"/>
        </w:rPr>
        <w:t>odium level</w:t>
      </w:r>
      <w:r w:rsidR="00373821" w:rsidRPr="00CF4898">
        <w:rPr>
          <w:rFonts w:ascii="Arial" w:hAnsi="Arial" w:cs="Arial"/>
          <w:sz w:val="24"/>
          <w:szCs w:val="24"/>
          <w:lang w:val="en-GB"/>
        </w:rPr>
        <w:t>s</w:t>
      </w:r>
      <w:r w:rsidR="00B01732" w:rsidRPr="00CF4898">
        <w:rPr>
          <w:rFonts w:ascii="Arial" w:hAnsi="Arial" w:cs="Arial"/>
          <w:sz w:val="24"/>
          <w:szCs w:val="24"/>
          <w:lang w:val="en-GB"/>
        </w:rPr>
        <w:t xml:space="preserve"> w</w:t>
      </w:r>
      <w:r w:rsidR="004C710A" w:rsidRPr="00CF4898">
        <w:rPr>
          <w:rFonts w:ascii="Arial" w:hAnsi="Arial" w:cs="Arial"/>
          <w:sz w:val="24"/>
          <w:szCs w:val="24"/>
          <w:lang w:val="en-GB"/>
        </w:rPr>
        <w:t>ere</w:t>
      </w:r>
      <w:r w:rsidR="00B01732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27042B" w:rsidRPr="00CF4898">
        <w:rPr>
          <w:rFonts w:ascii="Arial" w:hAnsi="Arial" w:cs="Arial"/>
          <w:sz w:val="24"/>
          <w:szCs w:val="24"/>
          <w:lang w:val="en-GB"/>
        </w:rPr>
        <w:t xml:space="preserve">modelled </w:t>
      </w:r>
      <w:r w:rsidR="00197453" w:rsidRPr="00CF4898">
        <w:rPr>
          <w:rFonts w:ascii="Arial" w:hAnsi="Arial" w:cs="Arial"/>
          <w:sz w:val="24"/>
          <w:szCs w:val="24"/>
          <w:lang w:val="en-GB"/>
        </w:rPr>
        <w:t xml:space="preserve">either </w:t>
      </w:r>
      <w:r w:rsidR="00B01732" w:rsidRPr="00CF4898">
        <w:rPr>
          <w:rFonts w:ascii="Arial" w:hAnsi="Arial" w:cs="Arial"/>
          <w:sz w:val="24"/>
          <w:szCs w:val="24"/>
          <w:lang w:val="en-GB"/>
        </w:rPr>
        <w:t>as a continu</w:t>
      </w:r>
      <w:r w:rsidR="004376B0" w:rsidRPr="00CF4898">
        <w:rPr>
          <w:rFonts w:ascii="Arial" w:hAnsi="Arial" w:cs="Arial"/>
          <w:sz w:val="24"/>
          <w:szCs w:val="24"/>
          <w:lang w:val="en-GB"/>
        </w:rPr>
        <w:t>ous</w:t>
      </w:r>
      <w:r w:rsidR="00B01732" w:rsidRPr="00CF4898">
        <w:rPr>
          <w:rFonts w:ascii="Arial" w:hAnsi="Arial" w:cs="Arial"/>
          <w:sz w:val="24"/>
          <w:szCs w:val="24"/>
          <w:lang w:val="en-GB"/>
        </w:rPr>
        <w:t xml:space="preserve"> variable </w:t>
      </w:r>
      <w:r w:rsidR="004779E2" w:rsidRPr="00CF4898">
        <w:rPr>
          <w:rFonts w:ascii="Arial" w:hAnsi="Arial" w:cs="Arial"/>
          <w:sz w:val="24"/>
          <w:szCs w:val="24"/>
          <w:lang w:val="en-GB"/>
        </w:rPr>
        <w:t>or</w:t>
      </w:r>
      <w:r w:rsidR="00B01732" w:rsidRPr="00CF4898">
        <w:rPr>
          <w:rFonts w:ascii="Arial" w:hAnsi="Arial" w:cs="Arial"/>
          <w:sz w:val="24"/>
          <w:szCs w:val="24"/>
          <w:lang w:val="en-GB"/>
        </w:rPr>
        <w:t xml:space="preserve"> as a dichotomized variable</w:t>
      </w:r>
      <w:r w:rsidR="00F86238">
        <w:rPr>
          <w:rFonts w:ascii="Arial" w:hAnsi="Arial" w:cs="Arial"/>
          <w:sz w:val="24"/>
          <w:szCs w:val="24"/>
          <w:lang w:val="en-GB"/>
        </w:rPr>
        <w:t xml:space="preserve"> (</w:t>
      </w:r>
      <w:r w:rsidR="00A94AE3">
        <w:rPr>
          <w:rFonts w:ascii="Arial" w:hAnsi="Arial" w:cs="Arial"/>
          <w:sz w:val="24"/>
          <w:szCs w:val="24"/>
          <w:lang w:val="en-GB"/>
        </w:rPr>
        <w:t>≤</w:t>
      </w:r>
      <w:r w:rsidR="00F86238">
        <w:rPr>
          <w:rFonts w:ascii="Arial" w:hAnsi="Arial" w:cs="Arial"/>
          <w:sz w:val="24"/>
          <w:szCs w:val="24"/>
          <w:lang w:val="en-GB"/>
        </w:rPr>
        <w:t xml:space="preserve">or &gt;134 </w:t>
      </w:r>
      <w:proofErr w:type="spellStart"/>
      <w:r w:rsidR="00F86238">
        <w:rPr>
          <w:rFonts w:ascii="Arial" w:hAnsi="Arial" w:cs="Arial"/>
          <w:sz w:val="24"/>
          <w:szCs w:val="24"/>
          <w:lang w:val="en-GB"/>
        </w:rPr>
        <w:t>mEq</w:t>
      </w:r>
      <w:proofErr w:type="spellEnd"/>
      <w:r w:rsidR="00F86238">
        <w:rPr>
          <w:rFonts w:ascii="Arial" w:hAnsi="Arial" w:cs="Arial"/>
          <w:sz w:val="24"/>
          <w:szCs w:val="24"/>
          <w:lang w:val="en-GB"/>
        </w:rPr>
        <w:t>/L)</w:t>
      </w:r>
      <w:r w:rsidR="0033423B" w:rsidRPr="00CF4898">
        <w:rPr>
          <w:rFonts w:ascii="Arial" w:hAnsi="Arial" w:cs="Arial"/>
          <w:sz w:val="24"/>
          <w:szCs w:val="24"/>
          <w:lang w:val="en-GB"/>
        </w:rPr>
        <w:t xml:space="preserve">. </w:t>
      </w:r>
      <w:r w:rsidR="002478FA" w:rsidRPr="00CF4898">
        <w:rPr>
          <w:rFonts w:ascii="Arial" w:hAnsi="Arial" w:cs="Arial"/>
          <w:sz w:val="24"/>
          <w:szCs w:val="24"/>
          <w:lang w:val="en-GB"/>
        </w:rPr>
        <w:t>Independent sample</w:t>
      </w:r>
      <w:r w:rsidR="009F472B">
        <w:rPr>
          <w:rFonts w:ascii="Arial" w:hAnsi="Arial" w:cs="Arial"/>
          <w:sz w:val="24"/>
          <w:szCs w:val="24"/>
          <w:lang w:val="en-GB"/>
        </w:rPr>
        <w:t>s</w:t>
      </w:r>
      <w:r w:rsidR="002478FA" w:rsidRPr="00CF4898">
        <w:rPr>
          <w:rFonts w:ascii="Arial" w:hAnsi="Arial" w:cs="Arial"/>
          <w:sz w:val="24"/>
          <w:szCs w:val="24"/>
          <w:lang w:val="en-GB"/>
        </w:rPr>
        <w:t xml:space="preserve"> T-Test</w:t>
      </w:r>
      <w:r w:rsidR="0033423B" w:rsidRPr="00CF4898">
        <w:rPr>
          <w:rFonts w:ascii="Arial" w:hAnsi="Arial" w:cs="Arial"/>
          <w:sz w:val="24"/>
          <w:szCs w:val="24"/>
          <w:lang w:val="en-GB"/>
        </w:rPr>
        <w:t>s</w:t>
      </w:r>
      <w:r w:rsidR="00741C60" w:rsidRPr="00CF4898">
        <w:rPr>
          <w:rFonts w:ascii="Arial" w:hAnsi="Arial" w:cs="Arial"/>
          <w:sz w:val="24"/>
          <w:szCs w:val="24"/>
          <w:lang w:val="en-GB"/>
        </w:rPr>
        <w:t xml:space="preserve"> for continuous variables</w:t>
      </w:r>
      <w:r w:rsidR="002478FA" w:rsidRPr="00CF4898">
        <w:rPr>
          <w:rFonts w:ascii="Arial" w:hAnsi="Arial" w:cs="Arial"/>
          <w:sz w:val="24"/>
          <w:szCs w:val="24"/>
          <w:lang w:val="en-GB"/>
        </w:rPr>
        <w:t xml:space="preserve"> and 2</w:t>
      </w:r>
      <w:r w:rsidR="004376B0" w:rsidRPr="00CF4898">
        <w:rPr>
          <w:rFonts w:ascii="Arial" w:hAnsi="Arial" w:cs="Arial"/>
          <w:sz w:val="24"/>
          <w:szCs w:val="24"/>
          <w:lang w:val="en-GB"/>
        </w:rPr>
        <w:t>*</w:t>
      </w:r>
      <w:r w:rsidR="002478FA" w:rsidRPr="00CF4898">
        <w:rPr>
          <w:rFonts w:ascii="Arial" w:hAnsi="Arial" w:cs="Arial"/>
          <w:sz w:val="24"/>
          <w:szCs w:val="24"/>
          <w:lang w:val="en-GB"/>
        </w:rPr>
        <w:t xml:space="preserve">2 tables </w:t>
      </w:r>
      <w:r w:rsidR="004376B0" w:rsidRPr="00CF4898">
        <w:rPr>
          <w:rFonts w:ascii="Arial" w:hAnsi="Arial" w:cs="Arial"/>
          <w:sz w:val="24"/>
          <w:szCs w:val="24"/>
          <w:lang w:val="en-GB"/>
        </w:rPr>
        <w:t xml:space="preserve">with </w:t>
      </w:r>
      <w:r w:rsidR="004376B0" w:rsidRPr="00CF4898">
        <w:rPr>
          <w:rFonts w:ascii="Arial" w:hAnsi="Arial" w:cs="Arial"/>
          <w:bCs/>
          <w:sz w:val="24"/>
          <w:szCs w:val="24"/>
          <w:shd w:val="clear" w:color="auto" w:fill="FFFFFF"/>
          <w:lang w:val="en-GB"/>
        </w:rPr>
        <w:t>chi-squared test</w:t>
      </w:r>
      <w:r w:rsidR="0033423B" w:rsidRPr="00CF4898">
        <w:rPr>
          <w:rFonts w:ascii="Arial" w:hAnsi="Arial" w:cs="Arial"/>
          <w:bCs/>
          <w:sz w:val="24"/>
          <w:szCs w:val="24"/>
          <w:shd w:val="clear" w:color="auto" w:fill="FFFFFF"/>
          <w:lang w:val="en-GB"/>
        </w:rPr>
        <w:t>s</w:t>
      </w:r>
      <w:r w:rsidR="004376B0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741C60" w:rsidRPr="00CF4898">
        <w:rPr>
          <w:rFonts w:ascii="Arial" w:hAnsi="Arial" w:cs="Arial"/>
          <w:sz w:val="24"/>
          <w:szCs w:val="24"/>
          <w:lang w:val="en-GB"/>
        </w:rPr>
        <w:t xml:space="preserve">for categorical variables </w:t>
      </w:r>
      <w:r w:rsidR="002478FA" w:rsidRPr="00CF4898">
        <w:rPr>
          <w:rFonts w:ascii="Arial" w:hAnsi="Arial" w:cs="Arial"/>
          <w:sz w:val="24"/>
          <w:szCs w:val="24"/>
          <w:lang w:val="en-GB"/>
        </w:rPr>
        <w:t xml:space="preserve">were used to examine the </w:t>
      </w:r>
      <w:r w:rsidR="0033423B" w:rsidRPr="00CF4898">
        <w:rPr>
          <w:rFonts w:ascii="Arial" w:hAnsi="Arial" w:cs="Arial"/>
          <w:sz w:val="24"/>
          <w:szCs w:val="24"/>
          <w:lang w:val="en-GB"/>
        </w:rPr>
        <w:t xml:space="preserve">association </w:t>
      </w:r>
      <w:r w:rsidR="002478FA" w:rsidRPr="00CF4898">
        <w:rPr>
          <w:rFonts w:ascii="Arial" w:hAnsi="Arial" w:cs="Arial"/>
          <w:sz w:val="24"/>
          <w:szCs w:val="24"/>
          <w:lang w:val="en-GB"/>
        </w:rPr>
        <w:t>of the individual risk factors</w:t>
      </w:r>
      <w:r w:rsidR="004376B0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27042B" w:rsidRPr="00CF4898">
        <w:rPr>
          <w:rFonts w:ascii="Arial" w:hAnsi="Arial" w:cs="Arial"/>
          <w:sz w:val="24"/>
          <w:szCs w:val="24"/>
          <w:lang w:val="en-GB"/>
        </w:rPr>
        <w:t xml:space="preserve">with </w:t>
      </w:r>
      <w:r w:rsidR="004376B0" w:rsidRPr="00CF4898">
        <w:rPr>
          <w:rFonts w:ascii="Arial" w:hAnsi="Arial" w:cs="Arial"/>
          <w:sz w:val="24"/>
          <w:szCs w:val="24"/>
          <w:lang w:val="en-GB"/>
        </w:rPr>
        <w:t>hyponatremia</w:t>
      </w:r>
      <w:r w:rsidR="002478FA" w:rsidRPr="00CF4898">
        <w:rPr>
          <w:rFonts w:ascii="Arial" w:hAnsi="Arial" w:cs="Arial"/>
          <w:sz w:val="24"/>
          <w:szCs w:val="24"/>
          <w:lang w:val="en-GB"/>
        </w:rPr>
        <w:t xml:space="preserve">. </w:t>
      </w:r>
      <w:r w:rsidR="0038112F">
        <w:rPr>
          <w:rFonts w:ascii="Arial" w:hAnsi="Arial" w:cs="Arial"/>
          <w:sz w:val="24"/>
          <w:szCs w:val="24"/>
          <w:lang w:val="en-GB"/>
        </w:rPr>
        <w:t>L</w:t>
      </w:r>
      <w:r w:rsidR="0038112F" w:rsidRPr="00CF4898">
        <w:rPr>
          <w:rFonts w:ascii="Arial" w:hAnsi="Arial" w:cs="Arial"/>
          <w:sz w:val="24"/>
          <w:szCs w:val="24"/>
          <w:lang w:val="en-GB"/>
        </w:rPr>
        <w:t xml:space="preserve">inear regression was used </w:t>
      </w:r>
      <w:r w:rsidR="0038112F">
        <w:rPr>
          <w:rFonts w:ascii="Arial" w:hAnsi="Arial" w:cs="Arial"/>
          <w:sz w:val="24"/>
          <w:szCs w:val="24"/>
          <w:lang w:val="en-GB"/>
        </w:rPr>
        <w:t>t</w:t>
      </w:r>
      <w:r w:rsidR="0038112F" w:rsidRPr="00CF4898">
        <w:rPr>
          <w:rFonts w:ascii="Arial" w:hAnsi="Arial" w:cs="Arial"/>
          <w:sz w:val="24"/>
          <w:szCs w:val="24"/>
          <w:lang w:val="en-GB"/>
        </w:rPr>
        <w:t xml:space="preserve">o </w:t>
      </w:r>
      <w:r w:rsidR="0033423B" w:rsidRPr="00CF4898">
        <w:rPr>
          <w:rFonts w:ascii="Arial" w:hAnsi="Arial" w:cs="Arial"/>
          <w:sz w:val="24"/>
          <w:szCs w:val="24"/>
          <w:lang w:val="en-GB"/>
        </w:rPr>
        <w:t>assess the relationship of these variable</w:t>
      </w:r>
      <w:r w:rsidR="00294020" w:rsidRPr="00CF4898">
        <w:rPr>
          <w:rFonts w:ascii="Arial" w:hAnsi="Arial" w:cs="Arial"/>
          <w:sz w:val="24"/>
          <w:szCs w:val="24"/>
          <w:lang w:val="en-GB"/>
        </w:rPr>
        <w:t>s</w:t>
      </w:r>
      <w:r w:rsidR="0033423B" w:rsidRPr="00CF4898">
        <w:rPr>
          <w:rFonts w:ascii="Arial" w:hAnsi="Arial" w:cs="Arial"/>
          <w:sz w:val="24"/>
          <w:szCs w:val="24"/>
          <w:lang w:val="en-GB"/>
        </w:rPr>
        <w:t xml:space="preserve"> with sodium level</w:t>
      </w:r>
      <w:r w:rsidR="00413111">
        <w:rPr>
          <w:rFonts w:ascii="Arial" w:hAnsi="Arial" w:cs="Arial"/>
          <w:sz w:val="24"/>
          <w:szCs w:val="24"/>
          <w:lang w:val="en-GB"/>
        </w:rPr>
        <w:t>s</w:t>
      </w:r>
      <w:r w:rsidR="0033423B" w:rsidRPr="00CF4898">
        <w:rPr>
          <w:rFonts w:ascii="Arial" w:hAnsi="Arial" w:cs="Arial"/>
          <w:sz w:val="24"/>
          <w:szCs w:val="24"/>
          <w:lang w:val="en-GB"/>
        </w:rPr>
        <w:t xml:space="preserve"> as a continuous variable</w:t>
      </w:r>
      <w:r w:rsidR="008A0454" w:rsidRPr="00CF4898">
        <w:rPr>
          <w:rFonts w:ascii="Arial" w:hAnsi="Arial" w:cs="Arial"/>
          <w:sz w:val="24"/>
          <w:szCs w:val="24"/>
          <w:lang w:val="en-GB"/>
        </w:rPr>
        <w:t xml:space="preserve"> in a multivariate analysis</w:t>
      </w:r>
      <w:r w:rsidR="0033423B" w:rsidRPr="00CF4898">
        <w:rPr>
          <w:rFonts w:ascii="Arial" w:hAnsi="Arial" w:cs="Arial"/>
          <w:sz w:val="24"/>
          <w:szCs w:val="24"/>
          <w:lang w:val="en-GB"/>
        </w:rPr>
        <w:t xml:space="preserve">. </w:t>
      </w:r>
      <w:r w:rsidR="001142DF" w:rsidRPr="00CF4898">
        <w:rPr>
          <w:rFonts w:ascii="Arial" w:hAnsi="Arial" w:cs="Arial"/>
          <w:sz w:val="24"/>
          <w:szCs w:val="24"/>
          <w:lang w:val="en-GB"/>
        </w:rPr>
        <w:t xml:space="preserve">The appropriateness </w:t>
      </w:r>
      <w:r w:rsidR="002C63BB" w:rsidRPr="00CF4898">
        <w:rPr>
          <w:rFonts w:ascii="Arial" w:hAnsi="Arial" w:cs="Arial"/>
          <w:sz w:val="24"/>
          <w:szCs w:val="24"/>
          <w:lang w:val="en-GB"/>
        </w:rPr>
        <w:t xml:space="preserve">of the </w:t>
      </w:r>
      <w:r w:rsidR="00932147" w:rsidRPr="00CF4898">
        <w:rPr>
          <w:rFonts w:ascii="Arial" w:hAnsi="Arial" w:cs="Arial"/>
          <w:sz w:val="24"/>
          <w:szCs w:val="24"/>
          <w:lang w:val="en-GB"/>
        </w:rPr>
        <w:t xml:space="preserve">multivariate linear regression </w:t>
      </w:r>
      <w:r w:rsidR="001142DF" w:rsidRPr="00CF4898">
        <w:rPr>
          <w:rFonts w:ascii="Arial" w:hAnsi="Arial" w:cs="Arial"/>
          <w:sz w:val="24"/>
          <w:szCs w:val="24"/>
          <w:lang w:val="en-GB"/>
        </w:rPr>
        <w:t>was assessed by plotting</w:t>
      </w:r>
      <w:r w:rsidR="00932147" w:rsidRPr="00CF4898">
        <w:rPr>
          <w:rFonts w:ascii="Arial" w:hAnsi="Arial" w:cs="Arial"/>
          <w:sz w:val="24"/>
          <w:szCs w:val="24"/>
          <w:lang w:val="en-GB"/>
        </w:rPr>
        <w:t xml:space="preserve"> standardi</w:t>
      </w:r>
      <w:r w:rsidR="00413111">
        <w:rPr>
          <w:rFonts w:ascii="Arial" w:hAnsi="Arial" w:cs="Arial"/>
          <w:sz w:val="24"/>
          <w:szCs w:val="24"/>
          <w:lang w:val="en-GB"/>
        </w:rPr>
        <w:t>s</w:t>
      </w:r>
      <w:r w:rsidR="00932147" w:rsidRPr="00CF4898">
        <w:rPr>
          <w:rFonts w:ascii="Arial" w:hAnsi="Arial" w:cs="Arial"/>
          <w:sz w:val="24"/>
          <w:szCs w:val="24"/>
          <w:lang w:val="en-GB"/>
        </w:rPr>
        <w:t>ed residuals</w:t>
      </w:r>
      <w:r w:rsidR="001142DF" w:rsidRPr="00CF4898">
        <w:rPr>
          <w:rFonts w:ascii="Arial" w:hAnsi="Arial" w:cs="Arial"/>
          <w:sz w:val="24"/>
          <w:szCs w:val="24"/>
          <w:lang w:val="en-GB"/>
        </w:rPr>
        <w:t xml:space="preserve">, which were visually inspected for </w:t>
      </w:r>
      <w:r w:rsidR="00AD7C28" w:rsidRPr="00CF4898">
        <w:rPr>
          <w:rFonts w:ascii="Arial" w:hAnsi="Arial" w:cs="Arial"/>
          <w:sz w:val="24"/>
          <w:szCs w:val="24"/>
          <w:lang w:val="en-GB"/>
        </w:rPr>
        <w:t>n</w:t>
      </w:r>
      <w:r w:rsidR="001142DF" w:rsidRPr="00CF4898">
        <w:rPr>
          <w:rFonts w:ascii="Arial" w:hAnsi="Arial" w:cs="Arial"/>
          <w:sz w:val="24"/>
          <w:szCs w:val="24"/>
          <w:lang w:val="en-GB"/>
        </w:rPr>
        <w:t>ormality</w:t>
      </w:r>
      <w:r w:rsidR="00932147" w:rsidRPr="00CF4898">
        <w:rPr>
          <w:rFonts w:ascii="Arial" w:hAnsi="Arial" w:cs="Arial"/>
          <w:sz w:val="24"/>
          <w:szCs w:val="24"/>
          <w:lang w:val="en-GB"/>
        </w:rPr>
        <w:t>.</w:t>
      </w:r>
      <w:r w:rsidR="008A0454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58503B">
        <w:rPr>
          <w:rFonts w:ascii="Arial" w:hAnsi="Arial" w:cs="Arial"/>
          <w:sz w:val="24"/>
          <w:szCs w:val="24"/>
          <w:lang w:val="en-GB"/>
        </w:rPr>
        <w:t>M</w:t>
      </w:r>
      <w:r w:rsidR="004A3AA5" w:rsidRPr="00CF4898">
        <w:rPr>
          <w:rFonts w:ascii="Arial" w:hAnsi="Arial" w:cs="Arial"/>
          <w:sz w:val="24"/>
          <w:szCs w:val="24"/>
          <w:lang w:val="en-GB"/>
        </w:rPr>
        <w:t>ultivariate logistic regression was used</w:t>
      </w:r>
      <w:r w:rsidR="0058503B">
        <w:rPr>
          <w:rFonts w:ascii="Arial" w:hAnsi="Arial" w:cs="Arial"/>
          <w:sz w:val="24"/>
          <w:szCs w:val="24"/>
          <w:lang w:val="en-GB"/>
        </w:rPr>
        <w:t xml:space="preserve"> t</w:t>
      </w:r>
      <w:r w:rsidR="008A0454" w:rsidRPr="00CF4898">
        <w:rPr>
          <w:rFonts w:ascii="Arial" w:hAnsi="Arial" w:cs="Arial"/>
          <w:sz w:val="24"/>
          <w:szCs w:val="24"/>
          <w:lang w:val="en-GB"/>
        </w:rPr>
        <w:t xml:space="preserve">o </w:t>
      </w:r>
      <w:r w:rsidR="008A0454" w:rsidRPr="00CF4898">
        <w:rPr>
          <w:rFonts w:ascii="Arial" w:hAnsi="Arial" w:cs="Arial"/>
          <w:sz w:val="24"/>
          <w:szCs w:val="24"/>
          <w:lang w:val="en-GB"/>
        </w:rPr>
        <w:lastRenderedPageBreak/>
        <w:t xml:space="preserve">assess the relationship of these variables with hyponatremia </w:t>
      </w:r>
      <w:r w:rsidR="000E2668" w:rsidRPr="00CF4898">
        <w:rPr>
          <w:rFonts w:ascii="Arial" w:hAnsi="Arial" w:cs="Arial"/>
          <w:sz w:val="24"/>
          <w:szCs w:val="24"/>
          <w:lang w:val="en-GB"/>
        </w:rPr>
        <w:t>as a dichotomous variable</w:t>
      </w:r>
      <w:r w:rsidR="0058503B">
        <w:rPr>
          <w:rFonts w:ascii="Arial" w:hAnsi="Arial" w:cs="Arial"/>
          <w:sz w:val="24"/>
          <w:szCs w:val="24"/>
          <w:lang w:val="en-GB"/>
        </w:rPr>
        <w:t>.</w:t>
      </w:r>
      <w:r w:rsidR="008A0454" w:rsidRPr="00CF489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5DF585B" w14:textId="77777777" w:rsidR="00EC4A1B" w:rsidRDefault="00EC4A1B" w:rsidP="00643D50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CF4898">
        <w:rPr>
          <w:rFonts w:ascii="Arial" w:hAnsi="Arial" w:cs="Arial"/>
          <w:sz w:val="24"/>
          <w:szCs w:val="24"/>
          <w:lang w:val="en-GB"/>
        </w:rPr>
        <w:t xml:space="preserve">In </w:t>
      </w:r>
      <w:r w:rsidR="0038112F">
        <w:rPr>
          <w:rFonts w:ascii="Arial" w:hAnsi="Arial" w:cs="Arial"/>
          <w:sz w:val="24"/>
          <w:szCs w:val="24"/>
          <w:lang w:val="en-GB"/>
        </w:rPr>
        <w:t>people</w:t>
      </w:r>
      <w:r w:rsidR="0038112F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Pr="00CF4898">
        <w:rPr>
          <w:rFonts w:ascii="Arial" w:hAnsi="Arial" w:cs="Arial"/>
          <w:sz w:val="24"/>
          <w:szCs w:val="24"/>
          <w:lang w:val="en-GB"/>
        </w:rPr>
        <w:t>with a sodium level ≤128</w:t>
      </w:r>
      <w:r w:rsidR="0046501E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6501E" w:rsidRPr="00CF4898">
        <w:rPr>
          <w:rFonts w:ascii="Arial" w:hAnsi="Arial" w:cs="Arial"/>
          <w:sz w:val="24"/>
          <w:szCs w:val="24"/>
          <w:lang w:val="en-GB"/>
        </w:rPr>
        <w:t>mEq</w:t>
      </w:r>
      <w:proofErr w:type="spellEnd"/>
      <w:r w:rsidR="0046501E" w:rsidRPr="00CF4898">
        <w:rPr>
          <w:rFonts w:ascii="Arial" w:hAnsi="Arial" w:cs="Arial"/>
          <w:sz w:val="24"/>
          <w:szCs w:val="24"/>
          <w:lang w:val="en-GB"/>
        </w:rPr>
        <w:t>/L</w:t>
      </w:r>
      <w:r w:rsidR="00821798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4C710A" w:rsidRPr="00CF4898">
        <w:rPr>
          <w:rFonts w:ascii="Arial" w:hAnsi="Arial" w:cs="Arial"/>
          <w:sz w:val="24"/>
          <w:szCs w:val="24"/>
          <w:lang w:val="en-GB"/>
        </w:rPr>
        <w:t xml:space="preserve">information on </w:t>
      </w:r>
      <w:r w:rsidR="00821798" w:rsidRPr="00CF4898">
        <w:rPr>
          <w:rFonts w:ascii="Arial" w:hAnsi="Arial" w:cs="Arial"/>
          <w:sz w:val="24"/>
          <w:szCs w:val="24"/>
          <w:lang w:val="en-GB"/>
        </w:rPr>
        <w:t>co</w:t>
      </w:r>
      <w:r w:rsidR="004779E2" w:rsidRPr="00CF4898">
        <w:rPr>
          <w:rFonts w:ascii="Arial" w:hAnsi="Arial" w:cs="Arial"/>
          <w:sz w:val="24"/>
          <w:szCs w:val="24"/>
          <w:lang w:val="en-GB"/>
        </w:rPr>
        <w:t>-</w:t>
      </w:r>
      <w:r w:rsidR="00821798" w:rsidRPr="00CF4898">
        <w:rPr>
          <w:rFonts w:ascii="Arial" w:hAnsi="Arial" w:cs="Arial"/>
          <w:sz w:val="24"/>
          <w:szCs w:val="24"/>
          <w:lang w:val="en-GB"/>
        </w:rPr>
        <w:t xml:space="preserve">medication other than AEDs was retrieved from </w:t>
      </w:r>
      <w:r w:rsidR="004C710A" w:rsidRPr="00CF4898">
        <w:rPr>
          <w:rFonts w:ascii="Arial" w:hAnsi="Arial" w:cs="Arial"/>
          <w:sz w:val="24"/>
          <w:szCs w:val="24"/>
          <w:lang w:val="en-GB"/>
        </w:rPr>
        <w:t>case notes</w:t>
      </w:r>
      <w:r w:rsidR="00821798" w:rsidRPr="00CF4898">
        <w:rPr>
          <w:rFonts w:ascii="Arial" w:hAnsi="Arial" w:cs="Arial"/>
          <w:sz w:val="24"/>
          <w:szCs w:val="24"/>
          <w:lang w:val="en-GB"/>
        </w:rPr>
        <w:t xml:space="preserve"> and </w:t>
      </w:r>
      <w:r w:rsidR="00741C60" w:rsidRPr="00CF4898">
        <w:rPr>
          <w:rFonts w:ascii="Arial" w:hAnsi="Arial" w:cs="Arial"/>
          <w:sz w:val="24"/>
          <w:szCs w:val="24"/>
          <w:lang w:val="en-GB"/>
        </w:rPr>
        <w:t xml:space="preserve">differences in </w:t>
      </w:r>
      <w:r w:rsidR="00664EB5" w:rsidRPr="00CF4898">
        <w:rPr>
          <w:rFonts w:ascii="Arial" w:hAnsi="Arial" w:cs="Arial"/>
          <w:sz w:val="24"/>
          <w:szCs w:val="24"/>
          <w:lang w:val="en-GB"/>
        </w:rPr>
        <w:t xml:space="preserve">mean sodium </w:t>
      </w:r>
      <w:r w:rsidR="00741C60" w:rsidRPr="00CF4898">
        <w:rPr>
          <w:rFonts w:ascii="Arial" w:hAnsi="Arial" w:cs="Arial"/>
          <w:sz w:val="24"/>
          <w:szCs w:val="24"/>
          <w:lang w:val="en-GB"/>
        </w:rPr>
        <w:t xml:space="preserve">levels between those using and not using these various medications were </w:t>
      </w:r>
      <w:r w:rsidR="00821798" w:rsidRPr="00CF4898">
        <w:rPr>
          <w:rFonts w:ascii="Arial" w:hAnsi="Arial" w:cs="Arial"/>
          <w:sz w:val="24"/>
          <w:szCs w:val="24"/>
          <w:lang w:val="en-GB"/>
        </w:rPr>
        <w:t>analysed with independent sample</w:t>
      </w:r>
      <w:r w:rsidR="009F472B">
        <w:rPr>
          <w:rFonts w:ascii="Arial" w:hAnsi="Arial" w:cs="Arial"/>
          <w:sz w:val="24"/>
          <w:szCs w:val="24"/>
          <w:lang w:val="en-GB"/>
        </w:rPr>
        <w:t>s</w:t>
      </w:r>
      <w:r w:rsidR="00821798" w:rsidRPr="00CF4898">
        <w:rPr>
          <w:rFonts w:ascii="Arial" w:hAnsi="Arial" w:cs="Arial"/>
          <w:sz w:val="24"/>
          <w:szCs w:val="24"/>
          <w:lang w:val="en-GB"/>
        </w:rPr>
        <w:t xml:space="preserve"> T-Test</w:t>
      </w:r>
      <w:r w:rsidR="000E2668" w:rsidRPr="00CF4898">
        <w:rPr>
          <w:rFonts w:ascii="Arial" w:hAnsi="Arial" w:cs="Arial"/>
          <w:sz w:val="24"/>
          <w:szCs w:val="24"/>
          <w:lang w:val="en-GB"/>
        </w:rPr>
        <w:t>s</w:t>
      </w:r>
      <w:r w:rsidR="00821798" w:rsidRPr="00CF4898">
        <w:rPr>
          <w:rFonts w:ascii="Arial" w:hAnsi="Arial" w:cs="Arial"/>
          <w:sz w:val="24"/>
          <w:szCs w:val="24"/>
          <w:lang w:val="en-GB"/>
        </w:rPr>
        <w:t>.</w:t>
      </w:r>
      <w:r w:rsidR="00741C60" w:rsidRPr="00CF489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44D4E15" w14:textId="77777777" w:rsidR="001847C9" w:rsidRDefault="001847C9" w:rsidP="00643D50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>In the subgroup analys</w:t>
      </w:r>
      <w:r w:rsidR="00307E00">
        <w:rPr>
          <w:rFonts w:ascii="Arial" w:hAnsi="Arial" w:cs="Arial"/>
          <w:sz w:val="24"/>
          <w:szCs w:val="24"/>
          <w:lang w:val="en-GB"/>
        </w:rPr>
        <w:t>e</w:t>
      </w:r>
      <w:r>
        <w:rPr>
          <w:rFonts w:ascii="Arial" w:hAnsi="Arial" w:cs="Arial"/>
          <w:sz w:val="24"/>
          <w:szCs w:val="24"/>
          <w:lang w:val="en-GB"/>
        </w:rPr>
        <w:t>s for users of both CBZ and OXC</w:t>
      </w:r>
      <w:r w:rsidR="00307E00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means of sodium levels were compared with the paired sample</w:t>
      </w:r>
      <w:r w:rsidR="009F472B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T-Test and the </w:t>
      </w:r>
      <w:proofErr w:type="spellStart"/>
      <w:r w:rsidRPr="001847C9">
        <w:rPr>
          <w:rFonts w:ascii="Arial" w:hAnsi="Arial" w:cs="Arial"/>
          <w:sz w:val="24"/>
          <w:szCs w:val="24"/>
          <w:lang w:val="en-US"/>
        </w:rPr>
        <w:t>McNemar</w:t>
      </w:r>
      <w:proofErr w:type="spellEnd"/>
      <w:r w:rsidRPr="001847C9">
        <w:rPr>
          <w:rFonts w:ascii="Arial" w:hAnsi="Arial" w:cs="Arial"/>
          <w:sz w:val="24"/>
          <w:szCs w:val="24"/>
          <w:lang w:val="en-US"/>
        </w:rPr>
        <w:t xml:space="preserve"> test</w:t>
      </w:r>
      <w:r>
        <w:rPr>
          <w:rFonts w:ascii="Arial" w:hAnsi="Arial" w:cs="Arial"/>
          <w:sz w:val="24"/>
          <w:szCs w:val="24"/>
          <w:lang w:val="en-US"/>
        </w:rPr>
        <w:t xml:space="preserve"> was used to analyze the differences </w:t>
      </w:r>
      <w:r w:rsidR="00307E00">
        <w:rPr>
          <w:rFonts w:ascii="Arial" w:hAnsi="Arial" w:cs="Arial"/>
          <w:sz w:val="24"/>
          <w:szCs w:val="24"/>
          <w:lang w:val="en-US"/>
        </w:rPr>
        <w:t xml:space="preserve">for binary data, such as the occurrence </w:t>
      </w:r>
      <w:r w:rsidR="00300C9D">
        <w:rPr>
          <w:rFonts w:ascii="Arial" w:hAnsi="Arial" w:cs="Arial"/>
          <w:sz w:val="24"/>
          <w:szCs w:val="24"/>
          <w:lang w:val="en-US"/>
        </w:rPr>
        <w:t xml:space="preserve">of hyponatremia. </w:t>
      </w:r>
    </w:p>
    <w:p w14:paraId="04B97039" w14:textId="77777777" w:rsidR="00AE1B6E" w:rsidRPr="00CF4898" w:rsidRDefault="00AE1B6E" w:rsidP="00643D50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statistical analysis was carried out on </w:t>
      </w:r>
      <w:r w:rsidRPr="00CF4898">
        <w:rPr>
          <w:rFonts w:ascii="Arial" w:hAnsi="Arial" w:cs="Arial"/>
          <w:sz w:val="24"/>
          <w:szCs w:val="24"/>
          <w:lang w:val="en-GB"/>
        </w:rPr>
        <w:t>SPSS version 22.0 for Windows (SPSS Inc., Chicago, IL)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5912E018" w14:textId="77777777" w:rsidR="002478FA" w:rsidRPr="00CF4898" w:rsidRDefault="004C710A" w:rsidP="006B0937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EF737E">
        <w:rPr>
          <w:rFonts w:ascii="Arial" w:hAnsi="Arial" w:cs="Arial"/>
          <w:b/>
          <w:i/>
          <w:sz w:val="24"/>
          <w:szCs w:val="24"/>
          <w:lang w:val="en-GB"/>
        </w:rPr>
        <w:t>Ethics</w:t>
      </w:r>
      <w:r w:rsidR="0058503B" w:rsidRPr="00EF737E">
        <w:rPr>
          <w:rFonts w:ascii="Arial" w:hAnsi="Arial" w:cs="Arial"/>
          <w:b/>
          <w:i/>
          <w:sz w:val="24"/>
          <w:szCs w:val="24"/>
          <w:lang w:val="en-GB"/>
        </w:rPr>
        <w:t>:</w:t>
      </w:r>
      <w:r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AF5CA1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572299">
        <w:rPr>
          <w:rFonts w:ascii="Arial" w:hAnsi="Arial" w:cs="Arial"/>
          <w:sz w:val="24"/>
          <w:szCs w:val="24"/>
          <w:lang w:val="en-GB"/>
        </w:rPr>
        <w:t xml:space="preserve">The </w:t>
      </w:r>
      <w:r w:rsidR="00572299">
        <w:rPr>
          <w:rFonts w:ascii="Arial" w:hAnsi="Arial" w:cs="Arial"/>
          <w:sz w:val="24"/>
          <w:szCs w:val="24"/>
          <w:lang w:val="en"/>
        </w:rPr>
        <w:t>E</w:t>
      </w:r>
      <w:r w:rsidR="00572299" w:rsidRPr="00CF4898">
        <w:rPr>
          <w:rFonts w:ascii="Arial" w:hAnsi="Arial" w:cs="Arial"/>
          <w:sz w:val="24"/>
          <w:szCs w:val="24"/>
          <w:lang w:val="en"/>
        </w:rPr>
        <w:t xml:space="preserve">thical </w:t>
      </w:r>
      <w:r w:rsidR="00572299">
        <w:rPr>
          <w:rFonts w:ascii="Arial" w:hAnsi="Arial" w:cs="Arial"/>
          <w:sz w:val="24"/>
          <w:szCs w:val="24"/>
          <w:lang w:val="en"/>
        </w:rPr>
        <w:t>C</w:t>
      </w:r>
      <w:r w:rsidR="00572299" w:rsidRPr="00CF4898">
        <w:rPr>
          <w:rFonts w:ascii="Arial" w:hAnsi="Arial" w:cs="Arial"/>
          <w:sz w:val="24"/>
          <w:szCs w:val="24"/>
          <w:lang w:val="en"/>
        </w:rPr>
        <w:t>ommittee of UMC</w:t>
      </w:r>
      <w:r w:rsidR="00572299">
        <w:rPr>
          <w:rFonts w:ascii="Arial" w:hAnsi="Arial" w:cs="Arial"/>
          <w:sz w:val="24"/>
          <w:szCs w:val="24"/>
          <w:lang w:val="en"/>
        </w:rPr>
        <w:t xml:space="preserve"> </w:t>
      </w:r>
      <w:r w:rsidR="00572299" w:rsidRPr="00CF4898">
        <w:rPr>
          <w:rFonts w:ascii="Arial" w:hAnsi="Arial" w:cs="Arial"/>
          <w:sz w:val="24"/>
          <w:szCs w:val="24"/>
          <w:lang w:val="en"/>
        </w:rPr>
        <w:t>U</w:t>
      </w:r>
      <w:r w:rsidR="00572299">
        <w:rPr>
          <w:rFonts w:ascii="Arial" w:hAnsi="Arial" w:cs="Arial"/>
          <w:sz w:val="24"/>
          <w:szCs w:val="24"/>
          <w:lang w:val="en"/>
        </w:rPr>
        <w:t xml:space="preserve">trecht </w:t>
      </w:r>
      <w:r w:rsidR="00572299">
        <w:rPr>
          <w:rFonts w:ascii="Arial" w:hAnsi="Arial" w:cs="Arial"/>
          <w:sz w:val="24"/>
          <w:szCs w:val="24"/>
          <w:lang w:val="en-GB"/>
        </w:rPr>
        <w:t>approved this investigation. A</w:t>
      </w:r>
      <w:r w:rsidR="00C76530" w:rsidRPr="00CF4898">
        <w:rPr>
          <w:rFonts w:ascii="Arial" w:hAnsi="Arial" w:cs="Arial"/>
          <w:sz w:val="24"/>
          <w:szCs w:val="24"/>
          <w:lang w:val="en-GB"/>
        </w:rPr>
        <w:t xml:space="preserve">ll participants </w:t>
      </w:r>
      <w:r w:rsidR="00D9509E" w:rsidRPr="00CF4898">
        <w:rPr>
          <w:rFonts w:ascii="Arial" w:hAnsi="Arial" w:cs="Arial"/>
          <w:sz w:val="24"/>
          <w:szCs w:val="24"/>
          <w:lang w:val="en-GB"/>
        </w:rPr>
        <w:t xml:space="preserve">had </w:t>
      </w:r>
      <w:r w:rsidR="00572299" w:rsidRPr="00CF4898">
        <w:rPr>
          <w:rFonts w:ascii="Arial" w:hAnsi="Arial" w:cs="Arial"/>
          <w:sz w:val="24"/>
          <w:szCs w:val="24"/>
          <w:lang w:val="en-GB"/>
        </w:rPr>
        <w:t>previous</w:t>
      </w:r>
      <w:r w:rsidR="00572299">
        <w:rPr>
          <w:rFonts w:ascii="Arial" w:hAnsi="Arial" w:cs="Arial"/>
          <w:sz w:val="24"/>
          <w:szCs w:val="24"/>
          <w:lang w:val="en-GB"/>
        </w:rPr>
        <w:t>ly</w:t>
      </w:r>
      <w:r w:rsidR="00572299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C76530" w:rsidRPr="00CF4898">
        <w:rPr>
          <w:rFonts w:ascii="Arial" w:hAnsi="Arial" w:cs="Arial"/>
          <w:sz w:val="24"/>
          <w:szCs w:val="24"/>
          <w:lang w:val="en-GB"/>
        </w:rPr>
        <w:t xml:space="preserve">provided </w:t>
      </w:r>
      <w:r w:rsidR="00ED58C7">
        <w:rPr>
          <w:rFonts w:ascii="Arial" w:hAnsi="Arial" w:cs="Arial"/>
          <w:sz w:val="24"/>
          <w:szCs w:val="24"/>
          <w:lang w:val="en-GB"/>
        </w:rPr>
        <w:t>written</w:t>
      </w:r>
      <w:r w:rsidR="00D9509E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C76530" w:rsidRPr="00CF4898">
        <w:rPr>
          <w:rFonts w:ascii="Arial" w:hAnsi="Arial" w:cs="Arial"/>
          <w:sz w:val="24"/>
          <w:szCs w:val="24"/>
          <w:lang w:val="en-GB"/>
        </w:rPr>
        <w:t>informed consent</w:t>
      </w:r>
      <w:r w:rsidR="00D9509E" w:rsidRPr="00CF4898">
        <w:rPr>
          <w:rFonts w:ascii="Arial" w:hAnsi="Arial" w:cs="Arial"/>
          <w:sz w:val="24"/>
          <w:szCs w:val="24"/>
          <w:lang w:val="en-GB"/>
        </w:rPr>
        <w:t xml:space="preserve"> for data retrieval</w:t>
      </w:r>
      <w:r w:rsidR="00C76530" w:rsidRPr="00CF4898">
        <w:rPr>
          <w:rFonts w:ascii="Arial" w:hAnsi="Arial" w:cs="Arial"/>
          <w:sz w:val="24"/>
          <w:szCs w:val="24"/>
          <w:lang w:val="en-GB"/>
        </w:rPr>
        <w:t>.</w:t>
      </w:r>
    </w:p>
    <w:p w14:paraId="442BEB0F" w14:textId="77777777" w:rsidR="006B4774" w:rsidRDefault="006B4774" w:rsidP="00B01732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3E57F54" w14:textId="77777777" w:rsidR="005F4FE9" w:rsidRDefault="005F4FE9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</w:p>
    <w:p w14:paraId="7652B465" w14:textId="77777777" w:rsidR="00B01732" w:rsidRPr="006B4774" w:rsidRDefault="006F1A0D" w:rsidP="00B01732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>RESULTS</w:t>
      </w:r>
    </w:p>
    <w:p w14:paraId="5DDF82B2" w14:textId="77777777" w:rsidR="00664EB5" w:rsidRDefault="00C76530" w:rsidP="0016761F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F4898">
        <w:rPr>
          <w:rFonts w:ascii="Arial" w:hAnsi="Arial" w:cs="Arial"/>
          <w:sz w:val="24"/>
          <w:szCs w:val="24"/>
          <w:lang w:val="en-US"/>
        </w:rPr>
        <w:t xml:space="preserve">We identified </w:t>
      </w:r>
      <w:r w:rsidR="004C710A" w:rsidRPr="00CF4898">
        <w:rPr>
          <w:rFonts w:ascii="Arial" w:hAnsi="Arial" w:cs="Arial"/>
          <w:sz w:val="24"/>
          <w:szCs w:val="24"/>
          <w:lang w:val="en-US"/>
        </w:rPr>
        <w:t>1</w:t>
      </w:r>
      <w:r w:rsidR="00F63B64">
        <w:rPr>
          <w:rFonts w:ascii="Arial" w:hAnsi="Arial" w:cs="Arial"/>
          <w:sz w:val="24"/>
          <w:szCs w:val="24"/>
          <w:lang w:val="en-US"/>
        </w:rPr>
        <w:t>,</w:t>
      </w:r>
      <w:r w:rsidR="004C710A" w:rsidRPr="00CF4898">
        <w:rPr>
          <w:rFonts w:ascii="Arial" w:hAnsi="Arial" w:cs="Arial"/>
          <w:sz w:val="24"/>
          <w:szCs w:val="24"/>
          <w:lang w:val="en-US"/>
        </w:rPr>
        <w:t>7</w:t>
      </w:r>
      <w:r w:rsidR="00755A24">
        <w:rPr>
          <w:rFonts w:ascii="Arial" w:hAnsi="Arial" w:cs="Arial"/>
          <w:sz w:val="24"/>
          <w:szCs w:val="24"/>
          <w:lang w:val="en-US"/>
        </w:rPr>
        <w:t>3</w:t>
      </w:r>
      <w:r w:rsidR="004C710A" w:rsidRPr="00CF4898">
        <w:rPr>
          <w:rFonts w:ascii="Arial" w:hAnsi="Arial" w:cs="Arial"/>
          <w:sz w:val="24"/>
          <w:szCs w:val="24"/>
          <w:lang w:val="en-US"/>
        </w:rPr>
        <w:t xml:space="preserve">2 people </w:t>
      </w:r>
      <w:r w:rsidR="00D0293B">
        <w:rPr>
          <w:rFonts w:ascii="Arial" w:hAnsi="Arial" w:cs="Arial"/>
          <w:sz w:val="24"/>
          <w:szCs w:val="24"/>
          <w:lang w:val="en-US"/>
        </w:rPr>
        <w:t>(</w:t>
      </w:r>
      <w:r w:rsidR="00D0293B">
        <w:rPr>
          <w:rFonts w:ascii="Arial" w:hAnsi="Arial" w:cs="Arial"/>
          <w:sz w:val="24"/>
          <w:szCs w:val="24"/>
          <w:lang w:val="en-GB"/>
        </w:rPr>
        <w:t xml:space="preserve">94% Caucasians) </w:t>
      </w:r>
      <w:r w:rsidR="004C710A" w:rsidRPr="00CF4898">
        <w:rPr>
          <w:rFonts w:ascii="Arial" w:hAnsi="Arial" w:cs="Arial"/>
          <w:sz w:val="24"/>
          <w:szCs w:val="24"/>
          <w:lang w:val="en-US"/>
        </w:rPr>
        <w:t xml:space="preserve">who </w:t>
      </w:r>
      <w:r w:rsidR="00664EB5" w:rsidRPr="00CF4898">
        <w:rPr>
          <w:rFonts w:ascii="Arial" w:hAnsi="Arial" w:cs="Arial"/>
          <w:sz w:val="24"/>
          <w:szCs w:val="24"/>
          <w:lang w:val="en-US"/>
        </w:rPr>
        <w:t xml:space="preserve">had </w:t>
      </w:r>
      <w:r w:rsidR="00412FCD" w:rsidRPr="00CF4898">
        <w:rPr>
          <w:rFonts w:ascii="Arial" w:hAnsi="Arial" w:cs="Arial"/>
          <w:sz w:val="24"/>
          <w:szCs w:val="24"/>
          <w:lang w:val="en-US"/>
        </w:rPr>
        <w:t>used CBZ</w:t>
      </w:r>
      <w:r w:rsidR="004C710A" w:rsidRPr="00CF4898">
        <w:rPr>
          <w:rFonts w:ascii="Arial" w:hAnsi="Arial" w:cs="Arial"/>
          <w:sz w:val="24"/>
          <w:szCs w:val="24"/>
          <w:lang w:val="en-US"/>
        </w:rPr>
        <w:t xml:space="preserve"> (n=1</w:t>
      </w:r>
      <w:r w:rsidR="00F63B64">
        <w:rPr>
          <w:rFonts w:ascii="Arial" w:hAnsi="Arial" w:cs="Arial"/>
          <w:sz w:val="24"/>
          <w:szCs w:val="24"/>
          <w:lang w:val="en-US"/>
        </w:rPr>
        <w:t>,</w:t>
      </w:r>
      <w:r w:rsidR="003555B5" w:rsidRPr="00CF4898">
        <w:rPr>
          <w:rFonts w:ascii="Arial" w:hAnsi="Arial" w:cs="Arial"/>
          <w:sz w:val="24"/>
          <w:szCs w:val="24"/>
          <w:lang w:val="en-US"/>
        </w:rPr>
        <w:t>424</w:t>
      </w:r>
      <w:r w:rsidR="004C710A" w:rsidRPr="00CF4898">
        <w:rPr>
          <w:rFonts w:ascii="Arial" w:hAnsi="Arial" w:cs="Arial"/>
          <w:sz w:val="24"/>
          <w:szCs w:val="24"/>
          <w:lang w:val="en-US"/>
        </w:rPr>
        <w:t>)</w:t>
      </w:r>
      <w:r w:rsidR="00412FCD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6A3C2D" w:rsidRPr="00CF4898">
        <w:rPr>
          <w:rFonts w:ascii="Arial" w:hAnsi="Arial" w:cs="Arial"/>
          <w:sz w:val="24"/>
          <w:szCs w:val="24"/>
          <w:lang w:val="en-US"/>
        </w:rPr>
        <w:t>or OXC (n=358)</w:t>
      </w:r>
      <w:r w:rsidR="001A36DF" w:rsidRPr="00CF4898">
        <w:rPr>
          <w:rFonts w:ascii="Arial" w:hAnsi="Arial" w:cs="Arial"/>
          <w:sz w:val="24"/>
          <w:szCs w:val="24"/>
          <w:lang w:val="en-US"/>
        </w:rPr>
        <w:t xml:space="preserve">; sodium levels were not </w:t>
      </w:r>
      <w:r w:rsidR="007C4124" w:rsidRPr="00CF4898">
        <w:rPr>
          <w:rFonts w:ascii="Arial" w:hAnsi="Arial" w:cs="Arial"/>
          <w:sz w:val="24"/>
          <w:szCs w:val="24"/>
          <w:lang w:val="en-US"/>
        </w:rPr>
        <w:t>measured</w:t>
      </w:r>
      <w:r w:rsidR="001A36DF" w:rsidRPr="00CF4898">
        <w:rPr>
          <w:rFonts w:ascii="Arial" w:hAnsi="Arial" w:cs="Arial"/>
          <w:sz w:val="24"/>
          <w:szCs w:val="24"/>
          <w:lang w:val="en-US"/>
        </w:rPr>
        <w:t xml:space="preserve"> or not recorded in 361 (2</w:t>
      </w:r>
      <w:r w:rsidR="005074FD">
        <w:rPr>
          <w:rFonts w:ascii="Arial" w:hAnsi="Arial" w:cs="Arial"/>
          <w:sz w:val="24"/>
          <w:szCs w:val="24"/>
          <w:lang w:val="en-US"/>
        </w:rPr>
        <w:t>1</w:t>
      </w:r>
      <w:r w:rsidR="001A36DF" w:rsidRPr="00CF4898">
        <w:rPr>
          <w:rFonts w:ascii="Arial" w:hAnsi="Arial" w:cs="Arial"/>
          <w:sz w:val="24"/>
          <w:szCs w:val="24"/>
          <w:lang w:val="en-US"/>
        </w:rPr>
        <w:t xml:space="preserve">%). </w:t>
      </w:r>
      <w:r w:rsidR="00755A24" w:rsidRPr="00CF4898">
        <w:rPr>
          <w:rFonts w:ascii="Arial" w:hAnsi="Arial" w:cs="Arial"/>
          <w:sz w:val="24"/>
          <w:szCs w:val="24"/>
          <w:lang w:val="en-US"/>
        </w:rPr>
        <w:t xml:space="preserve">Fifty </w:t>
      </w:r>
      <w:r w:rsidR="00755A24">
        <w:rPr>
          <w:rFonts w:ascii="Arial" w:hAnsi="Arial" w:cs="Arial"/>
          <w:sz w:val="24"/>
          <w:szCs w:val="24"/>
          <w:lang w:val="en-US"/>
        </w:rPr>
        <w:t xml:space="preserve">people in the cohort </w:t>
      </w:r>
      <w:r w:rsidR="00755A24" w:rsidRPr="00CF4898">
        <w:rPr>
          <w:rFonts w:ascii="Arial" w:hAnsi="Arial" w:cs="Arial"/>
          <w:sz w:val="24"/>
          <w:szCs w:val="24"/>
          <w:lang w:val="en-US"/>
        </w:rPr>
        <w:t xml:space="preserve">had sodium levels measured during both CBZ and OXC treatment; no one used both drugs at the same time. </w:t>
      </w:r>
      <w:r w:rsidR="007B4F33" w:rsidRPr="00CF4898">
        <w:rPr>
          <w:rFonts w:ascii="Arial" w:hAnsi="Arial" w:cs="Arial"/>
          <w:sz w:val="24"/>
          <w:szCs w:val="24"/>
          <w:lang w:val="en-US"/>
        </w:rPr>
        <w:t>S</w:t>
      </w:r>
      <w:r w:rsidR="000B746C" w:rsidRPr="00CF4898">
        <w:rPr>
          <w:rFonts w:ascii="Arial" w:hAnsi="Arial" w:cs="Arial"/>
          <w:sz w:val="24"/>
          <w:szCs w:val="24"/>
          <w:lang w:val="en-US"/>
        </w:rPr>
        <w:t>odium levels</w:t>
      </w:r>
      <w:r w:rsidR="00D22063" w:rsidRPr="00CF4898">
        <w:rPr>
          <w:rFonts w:ascii="Arial" w:hAnsi="Arial" w:cs="Arial"/>
          <w:sz w:val="24"/>
          <w:szCs w:val="24"/>
          <w:lang w:val="en-US"/>
        </w:rPr>
        <w:t xml:space="preserve"> were </w:t>
      </w:r>
      <w:r w:rsidR="007B4F33" w:rsidRPr="00CF4898">
        <w:rPr>
          <w:rFonts w:ascii="Arial" w:hAnsi="Arial" w:cs="Arial"/>
          <w:sz w:val="24"/>
          <w:szCs w:val="24"/>
          <w:lang w:val="en-US"/>
        </w:rPr>
        <w:t>measured</w:t>
      </w:r>
      <w:r w:rsidR="001A36DF" w:rsidRPr="00CF4898">
        <w:rPr>
          <w:rFonts w:ascii="Arial" w:hAnsi="Arial" w:cs="Arial"/>
          <w:sz w:val="24"/>
          <w:szCs w:val="24"/>
          <w:lang w:val="en-US"/>
        </w:rPr>
        <w:t xml:space="preserve"> and recorded</w:t>
      </w:r>
      <w:r w:rsidR="00D22063" w:rsidRPr="00CF4898">
        <w:rPr>
          <w:rFonts w:ascii="Arial" w:hAnsi="Arial" w:cs="Arial"/>
          <w:sz w:val="24"/>
          <w:szCs w:val="24"/>
          <w:lang w:val="en-US"/>
        </w:rPr>
        <w:t xml:space="preserve"> in</w:t>
      </w:r>
      <w:r w:rsidR="000B746C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2700EC" w:rsidRPr="00CF4898">
        <w:rPr>
          <w:rFonts w:ascii="Arial" w:hAnsi="Arial" w:cs="Arial"/>
          <w:sz w:val="24"/>
          <w:szCs w:val="24"/>
          <w:lang w:val="en-US"/>
        </w:rPr>
        <w:t>1</w:t>
      </w:r>
      <w:r w:rsidR="00746BD7">
        <w:rPr>
          <w:rFonts w:ascii="Arial" w:hAnsi="Arial" w:cs="Arial"/>
          <w:sz w:val="24"/>
          <w:szCs w:val="24"/>
          <w:lang w:val="en-US"/>
        </w:rPr>
        <w:t>,</w:t>
      </w:r>
      <w:r w:rsidR="002700EC" w:rsidRPr="00CF4898">
        <w:rPr>
          <w:rFonts w:ascii="Arial" w:hAnsi="Arial" w:cs="Arial"/>
          <w:sz w:val="24"/>
          <w:szCs w:val="24"/>
          <w:lang w:val="en-US"/>
        </w:rPr>
        <w:t xml:space="preserve">132 </w:t>
      </w:r>
      <w:r w:rsidR="000E5EAE" w:rsidRPr="00CF4898">
        <w:rPr>
          <w:rFonts w:ascii="Arial" w:hAnsi="Arial" w:cs="Arial"/>
          <w:sz w:val="24"/>
          <w:szCs w:val="24"/>
          <w:lang w:val="en-US"/>
        </w:rPr>
        <w:t xml:space="preserve">(79%) </w:t>
      </w:r>
      <w:r w:rsidR="000B746C" w:rsidRPr="00CF4898">
        <w:rPr>
          <w:rFonts w:ascii="Arial" w:hAnsi="Arial" w:cs="Arial"/>
          <w:sz w:val="24"/>
          <w:szCs w:val="24"/>
          <w:lang w:val="en-US"/>
        </w:rPr>
        <w:t xml:space="preserve">treated with </w:t>
      </w:r>
      <w:r w:rsidR="002700EC" w:rsidRPr="00CF4898">
        <w:rPr>
          <w:rFonts w:ascii="Arial" w:hAnsi="Arial" w:cs="Arial"/>
          <w:sz w:val="24"/>
          <w:szCs w:val="24"/>
          <w:lang w:val="en-US"/>
        </w:rPr>
        <w:t>C</w:t>
      </w:r>
      <w:r w:rsidR="005F3037">
        <w:rPr>
          <w:rFonts w:ascii="Arial" w:hAnsi="Arial" w:cs="Arial"/>
          <w:sz w:val="24"/>
          <w:szCs w:val="24"/>
          <w:lang w:val="en-US"/>
        </w:rPr>
        <w:t>BZ</w:t>
      </w:r>
      <w:r w:rsidR="002700EC" w:rsidRPr="00CF4898">
        <w:rPr>
          <w:rFonts w:ascii="Arial" w:hAnsi="Arial" w:cs="Arial"/>
          <w:sz w:val="24"/>
          <w:szCs w:val="24"/>
          <w:lang w:val="en-US"/>
        </w:rPr>
        <w:t xml:space="preserve"> (616 </w:t>
      </w:r>
      <w:r w:rsidRPr="00CF4898">
        <w:rPr>
          <w:rFonts w:ascii="Arial" w:hAnsi="Arial" w:cs="Arial"/>
          <w:sz w:val="24"/>
          <w:szCs w:val="24"/>
          <w:lang w:val="en-US"/>
        </w:rPr>
        <w:t>males</w:t>
      </w:r>
      <w:r w:rsidR="002700EC" w:rsidRPr="00CF4898">
        <w:rPr>
          <w:rFonts w:ascii="Arial" w:hAnsi="Arial" w:cs="Arial"/>
          <w:sz w:val="24"/>
          <w:szCs w:val="24"/>
          <w:lang w:val="en-US"/>
        </w:rPr>
        <w:t>)</w:t>
      </w:r>
      <w:r w:rsidR="00BF2030" w:rsidRPr="00CF4898">
        <w:rPr>
          <w:rFonts w:ascii="Arial" w:hAnsi="Arial" w:cs="Arial"/>
          <w:sz w:val="24"/>
          <w:szCs w:val="24"/>
          <w:lang w:val="en-US"/>
        </w:rPr>
        <w:t xml:space="preserve"> with a mean age of 41</w:t>
      </w:r>
      <w:r w:rsidR="00A90B7A" w:rsidRPr="00CF4898">
        <w:rPr>
          <w:rFonts w:ascii="Arial" w:hAnsi="Arial" w:cs="Arial"/>
          <w:sz w:val="24"/>
          <w:szCs w:val="24"/>
          <w:lang w:val="en-US"/>
        </w:rPr>
        <w:t>.</w:t>
      </w:r>
      <w:r w:rsidR="00BF2030" w:rsidRPr="00CF4898">
        <w:rPr>
          <w:rFonts w:ascii="Arial" w:hAnsi="Arial" w:cs="Arial"/>
          <w:sz w:val="24"/>
          <w:szCs w:val="24"/>
          <w:lang w:val="en-US"/>
        </w:rPr>
        <w:t>8 ±15</w:t>
      </w:r>
      <w:r w:rsidR="00A90B7A" w:rsidRPr="00CF4898">
        <w:rPr>
          <w:rFonts w:ascii="Arial" w:hAnsi="Arial" w:cs="Arial"/>
          <w:sz w:val="24"/>
          <w:szCs w:val="24"/>
          <w:lang w:val="en-US"/>
        </w:rPr>
        <w:t>.</w:t>
      </w:r>
      <w:r w:rsidR="00BF2030" w:rsidRPr="00CF4898">
        <w:rPr>
          <w:rFonts w:ascii="Arial" w:hAnsi="Arial" w:cs="Arial"/>
          <w:sz w:val="24"/>
          <w:szCs w:val="24"/>
          <w:lang w:val="en-US"/>
        </w:rPr>
        <w:t>6 (years ±</w:t>
      </w:r>
      <w:r w:rsidR="007947AE" w:rsidRPr="00CF4898">
        <w:rPr>
          <w:rFonts w:ascii="Arial" w:hAnsi="Arial" w:cs="Arial"/>
          <w:sz w:val="24"/>
          <w:szCs w:val="24"/>
          <w:lang w:val="en-US"/>
        </w:rPr>
        <w:t>SD) and</w:t>
      </w:r>
      <w:r w:rsidR="00BF2030" w:rsidRPr="00CF4898">
        <w:rPr>
          <w:rFonts w:ascii="Arial" w:hAnsi="Arial" w:cs="Arial"/>
          <w:sz w:val="24"/>
          <w:szCs w:val="24"/>
          <w:lang w:val="en-US"/>
        </w:rPr>
        <w:t xml:space="preserve"> a mean Na+ level of 138.4 ±4.2</w:t>
      </w:r>
      <w:r w:rsidR="00A319C2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319C2" w:rsidRPr="00CF4898">
        <w:rPr>
          <w:rFonts w:ascii="Arial" w:hAnsi="Arial" w:cs="Arial"/>
          <w:sz w:val="24"/>
          <w:szCs w:val="24"/>
          <w:lang w:val="en-GB"/>
        </w:rPr>
        <w:t>mEq</w:t>
      </w:r>
      <w:proofErr w:type="spellEnd"/>
      <w:r w:rsidR="00A319C2" w:rsidRPr="00CF4898">
        <w:rPr>
          <w:rFonts w:ascii="Arial" w:hAnsi="Arial" w:cs="Arial"/>
          <w:sz w:val="24"/>
          <w:szCs w:val="24"/>
          <w:lang w:val="en-GB"/>
        </w:rPr>
        <w:t>/L</w:t>
      </w:r>
      <w:r w:rsidR="00BF2030" w:rsidRPr="00CF4898">
        <w:rPr>
          <w:rFonts w:ascii="Arial" w:hAnsi="Arial" w:cs="Arial"/>
          <w:sz w:val="24"/>
          <w:szCs w:val="24"/>
          <w:lang w:val="en-US"/>
        </w:rPr>
        <w:t xml:space="preserve">. </w:t>
      </w:r>
      <w:r w:rsidR="001C12EA" w:rsidRPr="00CF4898">
        <w:rPr>
          <w:rFonts w:ascii="Arial" w:hAnsi="Arial" w:cs="Arial"/>
          <w:sz w:val="24"/>
          <w:szCs w:val="24"/>
          <w:lang w:val="en-US"/>
        </w:rPr>
        <w:t>I</w:t>
      </w:r>
      <w:r w:rsidR="007947AE" w:rsidRPr="00CF4898">
        <w:rPr>
          <w:rFonts w:ascii="Arial" w:hAnsi="Arial" w:cs="Arial"/>
          <w:sz w:val="24"/>
          <w:szCs w:val="24"/>
          <w:lang w:val="en-US"/>
        </w:rPr>
        <w:t xml:space="preserve">n the OXC group </w:t>
      </w:r>
      <w:r w:rsidR="000E5EAE" w:rsidRPr="00CF4898">
        <w:rPr>
          <w:rFonts w:ascii="Arial" w:hAnsi="Arial" w:cs="Arial"/>
          <w:sz w:val="24"/>
          <w:szCs w:val="24"/>
          <w:lang w:val="en-US"/>
        </w:rPr>
        <w:t>sodium levels were measured</w:t>
      </w:r>
      <w:r w:rsidR="001A36DF" w:rsidRPr="00CF4898">
        <w:rPr>
          <w:rFonts w:ascii="Arial" w:hAnsi="Arial" w:cs="Arial"/>
          <w:sz w:val="24"/>
          <w:szCs w:val="24"/>
          <w:lang w:val="en-US"/>
        </w:rPr>
        <w:t xml:space="preserve"> and recorded</w:t>
      </w:r>
      <w:r w:rsidR="000E5EAE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7947AE" w:rsidRPr="00CF4898">
        <w:rPr>
          <w:rFonts w:ascii="Arial" w:hAnsi="Arial" w:cs="Arial"/>
          <w:sz w:val="24"/>
          <w:szCs w:val="24"/>
          <w:lang w:val="en-US"/>
        </w:rPr>
        <w:t>in</w:t>
      </w:r>
      <w:r w:rsidR="00D22063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0B746C" w:rsidRPr="00CF4898">
        <w:rPr>
          <w:rFonts w:ascii="Arial" w:hAnsi="Arial" w:cs="Arial"/>
          <w:sz w:val="24"/>
          <w:szCs w:val="24"/>
          <w:lang w:val="en-US"/>
        </w:rPr>
        <w:t>289</w:t>
      </w:r>
      <w:r w:rsidR="007947AE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A13C04" w:rsidRPr="00CF4898">
        <w:rPr>
          <w:rFonts w:ascii="Arial" w:hAnsi="Arial" w:cs="Arial"/>
          <w:sz w:val="24"/>
          <w:szCs w:val="24"/>
          <w:lang w:val="en-US"/>
        </w:rPr>
        <w:t xml:space="preserve">people </w:t>
      </w:r>
      <w:r w:rsidR="00664EB5" w:rsidRPr="00CF4898">
        <w:rPr>
          <w:rFonts w:ascii="Arial" w:hAnsi="Arial" w:cs="Arial"/>
          <w:sz w:val="24"/>
          <w:szCs w:val="24"/>
          <w:lang w:val="en-US"/>
        </w:rPr>
        <w:t>(</w:t>
      </w:r>
      <w:r w:rsidR="000E5EAE" w:rsidRPr="00CF4898">
        <w:rPr>
          <w:rFonts w:ascii="Arial" w:hAnsi="Arial" w:cs="Arial"/>
          <w:sz w:val="24"/>
          <w:szCs w:val="24"/>
          <w:lang w:val="en-US"/>
        </w:rPr>
        <w:t xml:space="preserve">81%; </w:t>
      </w:r>
      <w:r w:rsidR="00664EB5" w:rsidRPr="00CF4898">
        <w:rPr>
          <w:rFonts w:ascii="Arial" w:hAnsi="Arial" w:cs="Arial"/>
          <w:sz w:val="24"/>
          <w:szCs w:val="24"/>
          <w:lang w:val="en-US"/>
        </w:rPr>
        <w:t>150 males)</w:t>
      </w:r>
      <w:r w:rsidR="007947AE" w:rsidRPr="00CF4898">
        <w:rPr>
          <w:rFonts w:ascii="Arial" w:hAnsi="Arial" w:cs="Arial"/>
          <w:sz w:val="24"/>
          <w:szCs w:val="24"/>
          <w:lang w:val="en-US"/>
        </w:rPr>
        <w:t>, with a mean age of 37</w:t>
      </w:r>
      <w:r w:rsidR="00A90B7A" w:rsidRPr="00CF4898">
        <w:rPr>
          <w:rFonts w:ascii="Arial" w:hAnsi="Arial" w:cs="Arial"/>
          <w:sz w:val="24"/>
          <w:szCs w:val="24"/>
          <w:lang w:val="en-US"/>
        </w:rPr>
        <w:t>.</w:t>
      </w:r>
      <w:r w:rsidR="007947AE" w:rsidRPr="00CF4898">
        <w:rPr>
          <w:rFonts w:ascii="Arial" w:hAnsi="Arial" w:cs="Arial"/>
          <w:sz w:val="24"/>
          <w:szCs w:val="24"/>
          <w:lang w:val="en-US"/>
        </w:rPr>
        <w:t>2 ±16</w:t>
      </w:r>
      <w:r w:rsidR="00A90B7A" w:rsidRPr="00CF4898">
        <w:rPr>
          <w:rFonts w:ascii="Arial" w:hAnsi="Arial" w:cs="Arial"/>
          <w:sz w:val="24"/>
          <w:szCs w:val="24"/>
          <w:lang w:val="en-US"/>
        </w:rPr>
        <w:t>.</w:t>
      </w:r>
      <w:r w:rsidR="007947AE" w:rsidRPr="00CF4898">
        <w:rPr>
          <w:rFonts w:ascii="Arial" w:hAnsi="Arial" w:cs="Arial"/>
          <w:sz w:val="24"/>
          <w:szCs w:val="24"/>
          <w:lang w:val="en-US"/>
        </w:rPr>
        <w:t>2 and a mean Na+ level of 135</w:t>
      </w:r>
      <w:r w:rsidR="00A90B7A" w:rsidRPr="00CF4898">
        <w:rPr>
          <w:rFonts w:ascii="Arial" w:hAnsi="Arial" w:cs="Arial"/>
          <w:sz w:val="24"/>
          <w:szCs w:val="24"/>
          <w:lang w:val="en-US"/>
        </w:rPr>
        <w:t>.</w:t>
      </w:r>
      <w:r w:rsidR="007947AE" w:rsidRPr="00CF4898">
        <w:rPr>
          <w:rFonts w:ascii="Arial" w:hAnsi="Arial" w:cs="Arial"/>
          <w:sz w:val="24"/>
          <w:szCs w:val="24"/>
          <w:lang w:val="en-US"/>
        </w:rPr>
        <w:t>7 ±5.5</w:t>
      </w:r>
      <w:r w:rsidR="00A319C2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319C2" w:rsidRPr="00CF4898">
        <w:rPr>
          <w:rFonts w:ascii="Arial" w:hAnsi="Arial" w:cs="Arial"/>
          <w:sz w:val="24"/>
          <w:szCs w:val="24"/>
          <w:lang w:val="en-GB"/>
        </w:rPr>
        <w:t>mEq</w:t>
      </w:r>
      <w:proofErr w:type="spellEnd"/>
      <w:r w:rsidR="00A319C2" w:rsidRPr="00CF4898">
        <w:rPr>
          <w:rFonts w:ascii="Arial" w:hAnsi="Arial" w:cs="Arial"/>
          <w:sz w:val="24"/>
          <w:szCs w:val="24"/>
          <w:lang w:val="en-GB"/>
        </w:rPr>
        <w:t>/L</w:t>
      </w:r>
      <w:r w:rsidR="000B746C" w:rsidRPr="00CF4898">
        <w:rPr>
          <w:rFonts w:ascii="Arial" w:hAnsi="Arial" w:cs="Arial"/>
          <w:sz w:val="24"/>
          <w:szCs w:val="24"/>
          <w:lang w:val="en-US"/>
        </w:rPr>
        <w:t xml:space="preserve">. </w:t>
      </w:r>
      <w:r w:rsidR="0015521F" w:rsidRPr="00CF4898">
        <w:rPr>
          <w:rFonts w:ascii="Arial" w:hAnsi="Arial" w:cs="Arial"/>
          <w:sz w:val="24"/>
          <w:szCs w:val="24"/>
          <w:lang w:val="en-US"/>
        </w:rPr>
        <w:t>The average number of Na+ measurements was 1.71±1.0 (min 1,</w:t>
      </w:r>
      <w:r w:rsidR="00A75BED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15521F" w:rsidRPr="00CF4898">
        <w:rPr>
          <w:rFonts w:ascii="Arial" w:hAnsi="Arial" w:cs="Arial"/>
          <w:sz w:val="24"/>
          <w:szCs w:val="24"/>
          <w:lang w:val="en-US"/>
        </w:rPr>
        <w:t xml:space="preserve">max 11). </w:t>
      </w:r>
      <w:r w:rsidR="006A3C2D" w:rsidRPr="00CF4898">
        <w:rPr>
          <w:rFonts w:ascii="Arial" w:hAnsi="Arial" w:cs="Arial"/>
          <w:sz w:val="24"/>
          <w:szCs w:val="24"/>
          <w:lang w:val="en-US"/>
        </w:rPr>
        <w:t>H</w:t>
      </w:r>
      <w:r w:rsidR="0007739E" w:rsidRPr="00CF4898">
        <w:rPr>
          <w:rFonts w:ascii="Arial" w:hAnsi="Arial" w:cs="Arial"/>
          <w:sz w:val="24"/>
          <w:szCs w:val="24"/>
          <w:lang w:val="en-US"/>
        </w:rPr>
        <w:t xml:space="preserve">yponatremia was </w:t>
      </w:r>
      <w:r w:rsidR="006A3C2D" w:rsidRPr="00CF4898">
        <w:rPr>
          <w:rFonts w:ascii="Arial" w:hAnsi="Arial" w:cs="Arial"/>
          <w:sz w:val="24"/>
          <w:szCs w:val="24"/>
          <w:lang w:val="en-US"/>
        </w:rPr>
        <w:t xml:space="preserve">seen in </w:t>
      </w:r>
      <w:r w:rsidR="001C12EA" w:rsidRPr="00CF4898">
        <w:rPr>
          <w:rFonts w:ascii="Arial" w:hAnsi="Arial" w:cs="Arial"/>
          <w:sz w:val="24"/>
          <w:szCs w:val="24"/>
          <w:lang w:val="en-US"/>
        </w:rPr>
        <w:t xml:space="preserve">26% </w:t>
      </w:r>
      <w:r w:rsidR="002378F7" w:rsidRPr="00CF4898">
        <w:rPr>
          <w:rFonts w:ascii="Arial" w:hAnsi="Arial" w:cs="Arial"/>
          <w:sz w:val="24"/>
          <w:szCs w:val="24"/>
          <w:lang w:val="en-US"/>
        </w:rPr>
        <w:t>(294/1</w:t>
      </w:r>
      <w:r w:rsidR="00F63B64">
        <w:rPr>
          <w:rFonts w:ascii="Arial" w:hAnsi="Arial" w:cs="Arial"/>
          <w:sz w:val="24"/>
          <w:szCs w:val="24"/>
          <w:lang w:val="en-US"/>
        </w:rPr>
        <w:t>,</w:t>
      </w:r>
      <w:r w:rsidR="002378F7" w:rsidRPr="00CF4898">
        <w:rPr>
          <w:rFonts w:ascii="Arial" w:hAnsi="Arial" w:cs="Arial"/>
          <w:sz w:val="24"/>
          <w:szCs w:val="24"/>
          <w:lang w:val="en-US"/>
        </w:rPr>
        <w:t xml:space="preserve">132) </w:t>
      </w:r>
      <w:r w:rsidR="001C12EA" w:rsidRPr="00CF4898">
        <w:rPr>
          <w:rFonts w:ascii="Arial" w:hAnsi="Arial" w:cs="Arial"/>
          <w:sz w:val="24"/>
          <w:szCs w:val="24"/>
          <w:lang w:val="en-US"/>
        </w:rPr>
        <w:t xml:space="preserve">in the CBZ group and 46% </w:t>
      </w:r>
      <w:r w:rsidR="00F847B1" w:rsidRPr="00CF4898">
        <w:rPr>
          <w:rFonts w:ascii="Arial" w:hAnsi="Arial" w:cs="Arial"/>
          <w:sz w:val="24"/>
          <w:szCs w:val="24"/>
          <w:lang w:val="en-US"/>
        </w:rPr>
        <w:t xml:space="preserve">(134/289) </w:t>
      </w:r>
      <w:r w:rsidR="001C12EA" w:rsidRPr="00CF4898">
        <w:rPr>
          <w:rFonts w:ascii="Arial" w:hAnsi="Arial" w:cs="Arial"/>
          <w:sz w:val="24"/>
          <w:szCs w:val="24"/>
          <w:lang w:val="en-US"/>
        </w:rPr>
        <w:t>in the OXC group. Severe hyponatremia was found in 7%</w:t>
      </w:r>
      <w:r w:rsidR="002378F7" w:rsidRPr="00CF4898">
        <w:rPr>
          <w:rFonts w:ascii="Arial" w:hAnsi="Arial" w:cs="Arial"/>
          <w:sz w:val="24"/>
          <w:szCs w:val="24"/>
          <w:lang w:val="en-US"/>
        </w:rPr>
        <w:t xml:space="preserve"> (81/1</w:t>
      </w:r>
      <w:r w:rsidR="00F63B64">
        <w:rPr>
          <w:rFonts w:ascii="Arial" w:hAnsi="Arial" w:cs="Arial"/>
          <w:sz w:val="24"/>
          <w:szCs w:val="24"/>
          <w:lang w:val="en-US"/>
        </w:rPr>
        <w:t>,</w:t>
      </w:r>
      <w:r w:rsidR="002378F7" w:rsidRPr="00CF4898">
        <w:rPr>
          <w:rFonts w:ascii="Arial" w:hAnsi="Arial" w:cs="Arial"/>
          <w:sz w:val="24"/>
          <w:szCs w:val="24"/>
          <w:lang w:val="en-US"/>
        </w:rPr>
        <w:t>132)</w:t>
      </w:r>
      <w:r w:rsidR="001C12EA" w:rsidRPr="00CF4898">
        <w:rPr>
          <w:rFonts w:ascii="Arial" w:hAnsi="Arial" w:cs="Arial"/>
          <w:sz w:val="24"/>
          <w:szCs w:val="24"/>
          <w:lang w:val="en-US"/>
        </w:rPr>
        <w:t xml:space="preserve"> in the CBZ group and in 2</w:t>
      </w:r>
      <w:r w:rsidR="00522989">
        <w:rPr>
          <w:rFonts w:ascii="Arial" w:hAnsi="Arial" w:cs="Arial"/>
          <w:sz w:val="24"/>
          <w:szCs w:val="24"/>
          <w:lang w:val="en-US"/>
        </w:rPr>
        <w:t>2</w:t>
      </w:r>
      <w:r w:rsidR="001C12EA" w:rsidRPr="00CF4898">
        <w:rPr>
          <w:rFonts w:ascii="Arial" w:hAnsi="Arial" w:cs="Arial"/>
          <w:sz w:val="24"/>
          <w:szCs w:val="24"/>
          <w:lang w:val="en-US"/>
        </w:rPr>
        <w:t>%</w:t>
      </w:r>
      <w:r w:rsidR="00F847B1" w:rsidRPr="00CF4898">
        <w:rPr>
          <w:rFonts w:ascii="Arial" w:hAnsi="Arial" w:cs="Arial"/>
          <w:sz w:val="24"/>
          <w:szCs w:val="24"/>
          <w:lang w:val="en-US"/>
        </w:rPr>
        <w:t xml:space="preserve"> (65/289)</w:t>
      </w:r>
      <w:r w:rsidR="001C12EA" w:rsidRPr="00CF4898">
        <w:rPr>
          <w:rFonts w:ascii="Arial" w:hAnsi="Arial" w:cs="Arial"/>
          <w:sz w:val="24"/>
          <w:szCs w:val="24"/>
          <w:lang w:val="en-US"/>
        </w:rPr>
        <w:t xml:space="preserve"> in the OXC group. </w:t>
      </w:r>
    </w:p>
    <w:p w14:paraId="62A5D82E" w14:textId="3D7D80F3" w:rsidR="00C720F6" w:rsidRDefault="009B3408" w:rsidP="0016761F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Hyponatremia was symptomatic in </w:t>
      </w:r>
      <w:r w:rsidR="00C720F6">
        <w:rPr>
          <w:rFonts w:ascii="Arial" w:hAnsi="Arial" w:cs="Arial"/>
          <w:sz w:val="24"/>
          <w:szCs w:val="24"/>
          <w:lang w:val="en-US"/>
        </w:rPr>
        <w:t>48%</w:t>
      </w:r>
      <w:r>
        <w:rPr>
          <w:rFonts w:ascii="Arial" w:hAnsi="Arial" w:cs="Arial"/>
          <w:sz w:val="24"/>
          <w:szCs w:val="24"/>
          <w:lang w:val="en-US"/>
        </w:rPr>
        <w:t xml:space="preserve"> (194/</w:t>
      </w:r>
      <w:r w:rsidR="00F14E14"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  <w:lang w:val="en-US"/>
        </w:rPr>
        <w:t>02, 26 missing data) of those found to have low sodium levels</w:t>
      </w:r>
      <w:r w:rsidR="00C720F6">
        <w:rPr>
          <w:rFonts w:ascii="Arial" w:hAnsi="Arial" w:cs="Arial"/>
          <w:sz w:val="24"/>
          <w:szCs w:val="24"/>
          <w:lang w:val="en-US"/>
        </w:rPr>
        <w:t xml:space="preserve"> (35% in p</w:t>
      </w:r>
      <w:r w:rsidR="00523457">
        <w:rPr>
          <w:rFonts w:ascii="Arial" w:hAnsi="Arial" w:cs="Arial"/>
          <w:sz w:val="24"/>
          <w:szCs w:val="24"/>
          <w:lang w:val="en-US"/>
        </w:rPr>
        <w:t>eople</w:t>
      </w:r>
      <w:r w:rsidR="00C720F6">
        <w:rPr>
          <w:rFonts w:ascii="Arial" w:hAnsi="Arial" w:cs="Arial"/>
          <w:sz w:val="24"/>
          <w:szCs w:val="24"/>
          <w:lang w:val="en-US"/>
        </w:rPr>
        <w:t xml:space="preserve"> with mild hyponatremia and 72% in severe hyponatremia). </w:t>
      </w:r>
      <w:r w:rsidR="007550F5">
        <w:rPr>
          <w:rFonts w:ascii="Arial" w:hAnsi="Arial" w:cs="Arial"/>
          <w:sz w:val="24"/>
          <w:szCs w:val="24"/>
          <w:lang w:val="en-US"/>
        </w:rPr>
        <w:t xml:space="preserve"> </w:t>
      </w:r>
      <w:r w:rsidR="0001203C">
        <w:rPr>
          <w:rFonts w:ascii="Arial" w:hAnsi="Arial" w:cs="Arial"/>
          <w:sz w:val="24"/>
          <w:szCs w:val="24"/>
          <w:lang w:val="en-US"/>
        </w:rPr>
        <w:t xml:space="preserve">Among those symptomatic 6% had CBZ or OXC levels above the therapeutic  range (10 with CBZ levels </w:t>
      </w:r>
      <w:r w:rsidR="0001203C">
        <w:rPr>
          <w:rFonts w:ascii="Calibri" w:hAnsi="Calibri" w:cs="Arial"/>
          <w:sz w:val="24"/>
          <w:szCs w:val="24"/>
          <w:lang w:val="en-US"/>
        </w:rPr>
        <w:t>≥</w:t>
      </w:r>
      <w:r w:rsidR="0001203C">
        <w:rPr>
          <w:rFonts w:ascii="Arial" w:hAnsi="Arial" w:cs="Arial"/>
          <w:sz w:val="24"/>
          <w:szCs w:val="24"/>
          <w:lang w:val="en-US"/>
        </w:rPr>
        <w:t xml:space="preserve">11, one with OXC level </w:t>
      </w:r>
      <w:r w:rsidR="0001203C">
        <w:rPr>
          <w:rFonts w:ascii="Calibri" w:hAnsi="Calibri" w:cs="Arial"/>
          <w:sz w:val="24"/>
          <w:szCs w:val="24"/>
          <w:lang w:val="en-US"/>
        </w:rPr>
        <w:t>≥</w:t>
      </w:r>
      <w:r w:rsidR="0001203C">
        <w:rPr>
          <w:rFonts w:ascii="Arial" w:hAnsi="Arial" w:cs="Arial"/>
          <w:sz w:val="24"/>
          <w:szCs w:val="24"/>
          <w:lang w:val="en-US"/>
        </w:rPr>
        <w:t>35</w:t>
      </w:r>
      <w:r w:rsidR="0001203C">
        <w:rPr>
          <w:rFonts w:ascii="Arial" w:hAnsi="Arial" w:cs="Arial"/>
          <w:sz w:val="24"/>
          <w:szCs w:val="24"/>
          <w:lang w:val="en-GB"/>
        </w:rPr>
        <w:t>)</w:t>
      </w:r>
      <w:r w:rsidR="0001203C" w:rsidRPr="00D83580">
        <w:rPr>
          <w:rFonts w:ascii="Arial" w:hAnsi="Arial" w:cs="Arial"/>
          <w:sz w:val="24"/>
          <w:szCs w:val="24"/>
          <w:lang w:val="en-US"/>
        </w:rPr>
        <w:t xml:space="preserve">. </w:t>
      </w:r>
      <w:r w:rsidRPr="00D83580">
        <w:rPr>
          <w:rFonts w:ascii="Arial" w:hAnsi="Arial" w:cs="Arial"/>
          <w:sz w:val="24"/>
          <w:szCs w:val="24"/>
          <w:lang w:val="en-US"/>
        </w:rPr>
        <w:t>S</w:t>
      </w:r>
      <w:r w:rsidR="00544391" w:rsidRPr="00D83580">
        <w:rPr>
          <w:rFonts w:ascii="Arial" w:hAnsi="Arial" w:cs="Arial"/>
          <w:sz w:val="24"/>
          <w:szCs w:val="24"/>
          <w:lang w:val="en-US"/>
        </w:rPr>
        <w:t>ymptom</w:t>
      </w:r>
      <w:r w:rsidRPr="00D83580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720F6">
        <w:rPr>
          <w:rFonts w:ascii="Arial" w:hAnsi="Arial" w:cs="Arial"/>
          <w:sz w:val="24"/>
          <w:szCs w:val="24"/>
          <w:lang w:val="en-US"/>
        </w:rPr>
        <w:t xml:space="preserve">were </w:t>
      </w:r>
      <w:r>
        <w:rPr>
          <w:rFonts w:ascii="Arial" w:hAnsi="Arial" w:cs="Arial"/>
          <w:sz w:val="24"/>
          <w:szCs w:val="24"/>
          <w:lang w:val="en-US"/>
        </w:rPr>
        <w:t xml:space="preserve">mostly </w:t>
      </w:r>
      <w:r w:rsidR="00C720F6">
        <w:rPr>
          <w:rFonts w:ascii="Arial" w:hAnsi="Arial" w:cs="Arial"/>
          <w:sz w:val="24"/>
          <w:szCs w:val="24"/>
          <w:lang w:val="en-US"/>
        </w:rPr>
        <w:t>mild</w:t>
      </w:r>
      <w:r w:rsidR="009D5893">
        <w:rPr>
          <w:rFonts w:ascii="Arial" w:hAnsi="Arial" w:cs="Arial"/>
          <w:sz w:val="24"/>
          <w:szCs w:val="24"/>
          <w:lang w:val="en-US"/>
        </w:rPr>
        <w:t>:</w:t>
      </w:r>
      <w:r w:rsidR="00C720F6">
        <w:rPr>
          <w:rFonts w:ascii="Arial" w:hAnsi="Arial" w:cs="Arial"/>
          <w:sz w:val="24"/>
          <w:szCs w:val="24"/>
          <w:lang w:val="en-US"/>
        </w:rPr>
        <w:t xml:space="preserve"> dizziness</w:t>
      </w:r>
      <w:r w:rsidR="00544391">
        <w:rPr>
          <w:rFonts w:ascii="Arial" w:hAnsi="Arial" w:cs="Arial"/>
          <w:sz w:val="24"/>
          <w:szCs w:val="24"/>
          <w:lang w:val="en-US"/>
        </w:rPr>
        <w:t xml:space="preserve"> (94</w:t>
      </w:r>
      <w:r w:rsidR="00D80DDF">
        <w:rPr>
          <w:rFonts w:ascii="Arial" w:hAnsi="Arial" w:cs="Arial"/>
          <w:sz w:val="24"/>
          <w:szCs w:val="24"/>
          <w:lang w:val="en-US"/>
        </w:rPr>
        <w:t>/194</w:t>
      </w:r>
      <w:r w:rsidR="00544391">
        <w:rPr>
          <w:rFonts w:ascii="Arial" w:hAnsi="Arial" w:cs="Arial"/>
          <w:sz w:val="24"/>
          <w:szCs w:val="24"/>
          <w:lang w:val="en-US"/>
        </w:rPr>
        <w:t>;</w:t>
      </w:r>
      <w:r w:rsidR="009D5893">
        <w:rPr>
          <w:rFonts w:ascii="Arial" w:hAnsi="Arial" w:cs="Arial"/>
          <w:sz w:val="24"/>
          <w:szCs w:val="24"/>
          <w:lang w:val="en-US"/>
        </w:rPr>
        <w:t xml:space="preserve"> </w:t>
      </w:r>
      <w:r w:rsidR="00544391">
        <w:rPr>
          <w:rFonts w:ascii="Arial" w:hAnsi="Arial" w:cs="Arial"/>
          <w:sz w:val="24"/>
          <w:szCs w:val="24"/>
          <w:lang w:val="en-US"/>
        </w:rPr>
        <w:t>48%)</w:t>
      </w:r>
      <w:r w:rsidR="00C720F6">
        <w:rPr>
          <w:rFonts w:ascii="Arial" w:hAnsi="Arial" w:cs="Arial"/>
          <w:sz w:val="24"/>
          <w:szCs w:val="24"/>
          <w:lang w:val="en-US"/>
        </w:rPr>
        <w:t>, diplopia</w:t>
      </w:r>
      <w:r w:rsidR="009D5893">
        <w:rPr>
          <w:rFonts w:ascii="Arial" w:hAnsi="Arial" w:cs="Arial"/>
          <w:sz w:val="24"/>
          <w:szCs w:val="24"/>
          <w:lang w:val="en-US"/>
        </w:rPr>
        <w:t xml:space="preserve"> </w:t>
      </w:r>
      <w:r w:rsidR="00544391">
        <w:rPr>
          <w:rFonts w:ascii="Arial" w:hAnsi="Arial" w:cs="Arial"/>
          <w:sz w:val="24"/>
          <w:szCs w:val="24"/>
          <w:lang w:val="en-US"/>
        </w:rPr>
        <w:t>(48</w:t>
      </w:r>
      <w:r w:rsidR="00D80DDF">
        <w:rPr>
          <w:rFonts w:ascii="Arial" w:hAnsi="Arial" w:cs="Arial"/>
          <w:sz w:val="24"/>
          <w:szCs w:val="24"/>
          <w:lang w:val="en-US"/>
        </w:rPr>
        <w:t>/194</w:t>
      </w:r>
      <w:r w:rsidR="00544391">
        <w:rPr>
          <w:rFonts w:ascii="Arial" w:hAnsi="Arial" w:cs="Arial"/>
          <w:sz w:val="24"/>
          <w:szCs w:val="24"/>
          <w:lang w:val="en-US"/>
        </w:rPr>
        <w:t>; 25%)</w:t>
      </w:r>
      <w:r w:rsidR="00C720F6">
        <w:rPr>
          <w:rFonts w:ascii="Arial" w:hAnsi="Arial" w:cs="Arial"/>
          <w:sz w:val="24"/>
          <w:szCs w:val="24"/>
          <w:lang w:val="en-US"/>
        </w:rPr>
        <w:t>, unstea</w:t>
      </w:r>
      <w:r w:rsidR="00544391">
        <w:rPr>
          <w:rFonts w:ascii="Arial" w:hAnsi="Arial" w:cs="Arial"/>
          <w:sz w:val="24"/>
          <w:szCs w:val="24"/>
          <w:lang w:val="en-US"/>
        </w:rPr>
        <w:t>dy gait</w:t>
      </w:r>
      <w:r w:rsidR="00523457">
        <w:rPr>
          <w:rFonts w:ascii="Arial" w:hAnsi="Arial" w:cs="Arial"/>
          <w:sz w:val="24"/>
          <w:szCs w:val="24"/>
          <w:lang w:val="en-US"/>
        </w:rPr>
        <w:t xml:space="preserve"> </w:t>
      </w:r>
      <w:r w:rsidR="00544391">
        <w:rPr>
          <w:rFonts w:ascii="Arial" w:hAnsi="Arial" w:cs="Arial"/>
          <w:sz w:val="24"/>
          <w:szCs w:val="24"/>
          <w:lang w:val="en-US"/>
        </w:rPr>
        <w:t>(63</w:t>
      </w:r>
      <w:r w:rsidR="00D80DDF">
        <w:rPr>
          <w:rFonts w:ascii="Arial" w:hAnsi="Arial" w:cs="Arial"/>
          <w:sz w:val="24"/>
          <w:szCs w:val="24"/>
          <w:lang w:val="en-US"/>
        </w:rPr>
        <w:t>/194</w:t>
      </w:r>
      <w:r w:rsidR="00544391">
        <w:rPr>
          <w:rFonts w:ascii="Arial" w:hAnsi="Arial" w:cs="Arial"/>
          <w:sz w:val="24"/>
          <w:szCs w:val="24"/>
          <w:lang w:val="en-US"/>
        </w:rPr>
        <w:t>;</w:t>
      </w:r>
      <w:r w:rsidR="00523457">
        <w:rPr>
          <w:rFonts w:ascii="Arial" w:hAnsi="Arial" w:cs="Arial"/>
          <w:sz w:val="24"/>
          <w:szCs w:val="24"/>
          <w:lang w:val="en-US"/>
        </w:rPr>
        <w:t xml:space="preserve"> </w:t>
      </w:r>
      <w:r w:rsidR="00544391">
        <w:rPr>
          <w:rFonts w:ascii="Arial" w:hAnsi="Arial" w:cs="Arial"/>
          <w:sz w:val="24"/>
          <w:szCs w:val="24"/>
          <w:lang w:val="en-US"/>
        </w:rPr>
        <w:t>32%), lethargy</w:t>
      </w:r>
      <w:r w:rsidR="00523457">
        <w:rPr>
          <w:rFonts w:ascii="Arial" w:hAnsi="Arial" w:cs="Arial"/>
          <w:sz w:val="24"/>
          <w:szCs w:val="24"/>
          <w:lang w:val="en-US"/>
        </w:rPr>
        <w:t xml:space="preserve"> </w:t>
      </w:r>
      <w:r w:rsidR="00544391">
        <w:rPr>
          <w:rFonts w:ascii="Arial" w:hAnsi="Arial" w:cs="Arial"/>
          <w:sz w:val="24"/>
          <w:szCs w:val="24"/>
          <w:lang w:val="en-US"/>
        </w:rPr>
        <w:t>(37</w:t>
      </w:r>
      <w:r w:rsidR="00D80DDF">
        <w:rPr>
          <w:rFonts w:ascii="Arial" w:hAnsi="Arial" w:cs="Arial"/>
          <w:sz w:val="24"/>
          <w:szCs w:val="24"/>
          <w:lang w:val="en-US"/>
        </w:rPr>
        <w:t>/194</w:t>
      </w:r>
      <w:r w:rsidR="00544391">
        <w:rPr>
          <w:rFonts w:ascii="Arial" w:hAnsi="Arial" w:cs="Arial"/>
          <w:sz w:val="24"/>
          <w:szCs w:val="24"/>
          <w:lang w:val="en-US"/>
        </w:rPr>
        <w:t>;19%)</w:t>
      </w:r>
      <w:r w:rsidR="00C720F6">
        <w:rPr>
          <w:rFonts w:ascii="Arial" w:hAnsi="Arial" w:cs="Arial"/>
          <w:sz w:val="24"/>
          <w:szCs w:val="24"/>
          <w:lang w:val="en-US"/>
        </w:rPr>
        <w:t>, cognitive slowness</w:t>
      </w:r>
      <w:r w:rsidR="00544391">
        <w:rPr>
          <w:rFonts w:ascii="Arial" w:hAnsi="Arial" w:cs="Arial"/>
          <w:sz w:val="24"/>
          <w:szCs w:val="24"/>
          <w:lang w:val="en-US"/>
        </w:rPr>
        <w:t xml:space="preserve"> (26</w:t>
      </w:r>
      <w:r w:rsidR="00D80DDF">
        <w:rPr>
          <w:rFonts w:ascii="Arial" w:hAnsi="Arial" w:cs="Arial"/>
          <w:sz w:val="24"/>
          <w:szCs w:val="24"/>
          <w:lang w:val="en-US"/>
        </w:rPr>
        <w:t>/194</w:t>
      </w:r>
      <w:r w:rsidR="00544391">
        <w:rPr>
          <w:rFonts w:ascii="Arial" w:hAnsi="Arial" w:cs="Arial"/>
          <w:sz w:val="24"/>
          <w:szCs w:val="24"/>
          <w:lang w:val="en-US"/>
        </w:rPr>
        <w:t>;13%)</w:t>
      </w:r>
      <w:r w:rsidR="00C720F6">
        <w:rPr>
          <w:rFonts w:ascii="Arial" w:hAnsi="Arial" w:cs="Arial"/>
          <w:sz w:val="24"/>
          <w:szCs w:val="24"/>
          <w:lang w:val="en-US"/>
        </w:rPr>
        <w:t>,</w:t>
      </w:r>
      <w:r w:rsidR="00544391">
        <w:rPr>
          <w:rFonts w:ascii="Arial" w:hAnsi="Arial" w:cs="Arial"/>
          <w:sz w:val="24"/>
          <w:szCs w:val="24"/>
          <w:lang w:val="en-US"/>
        </w:rPr>
        <w:t xml:space="preserve"> tiredness (71</w:t>
      </w:r>
      <w:r w:rsidR="00D80DDF">
        <w:rPr>
          <w:rFonts w:ascii="Arial" w:hAnsi="Arial" w:cs="Arial"/>
          <w:sz w:val="24"/>
          <w:szCs w:val="24"/>
          <w:lang w:val="en-US"/>
        </w:rPr>
        <w:t>/194</w:t>
      </w:r>
      <w:r w:rsidR="00544391">
        <w:rPr>
          <w:rFonts w:ascii="Arial" w:hAnsi="Arial" w:cs="Arial"/>
          <w:sz w:val="24"/>
          <w:szCs w:val="24"/>
          <w:lang w:val="en-US"/>
        </w:rPr>
        <w:t>;37%)</w:t>
      </w:r>
      <w:r w:rsidR="00C720F6">
        <w:rPr>
          <w:rFonts w:ascii="Arial" w:hAnsi="Arial" w:cs="Arial"/>
          <w:sz w:val="24"/>
          <w:szCs w:val="24"/>
          <w:lang w:val="en-US"/>
        </w:rPr>
        <w:t xml:space="preserve"> headache</w:t>
      </w:r>
      <w:r w:rsidR="00523457">
        <w:rPr>
          <w:rFonts w:ascii="Arial" w:hAnsi="Arial" w:cs="Arial"/>
          <w:sz w:val="24"/>
          <w:szCs w:val="24"/>
          <w:lang w:val="en-US"/>
        </w:rPr>
        <w:t xml:space="preserve"> </w:t>
      </w:r>
      <w:r w:rsidR="00544391">
        <w:rPr>
          <w:rFonts w:ascii="Arial" w:hAnsi="Arial" w:cs="Arial"/>
          <w:sz w:val="24"/>
          <w:szCs w:val="24"/>
          <w:lang w:val="en-US"/>
        </w:rPr>
        <w:t>(30</w:t>
      </w:r>
      <w:r w:rsidR="00D80DDF">
        <w:rPr>
          <w:rFonts w:ascii="Arial" w:hAnsi="Arial" w:cs="Arial"/>
          <w:sz w:val="24"/>
          <w:szCs w:val="24"/>
          <w:lang w:val="en-US"/>
        </w:rPr>
        <w:t>/194</w:t>
      </w:r>
      <w:r w:rsidR="00544391">
        <w:rPr>
          <w:rFonts w:ascii="Arial" w:hAnsi="Arial" w:cs="Arial"/>
          <w:sz w:val="24"/>
          <w:szCs w:val="24"/>
          <w:lang w:val="en-US"/>
        </w:rPr>
        <w:t>; 15%)</w:t>
      </w:r>
      <w:r w:rsidR="00C720F6">
        <w:rPr>
          <w:rFonts w:ascii="Arial" w:hAnsi="Arial" w:cs="Arial"/>
          <w:sz w:val="24"/>
          <w:szCs w:val="24"/>
          <w:lang w:val="en-US"/>
        </w:rPr>
        <w:t>, nausea and vomiting</w:t>
      </w:r>
      <w:r w:rsidR="00544391">
        <w:rPr>
          <w:rFonts w:ascii="Arial" w:hAnsi="Arial" w:cs="Arial"/>
          <w:sz w:val="24"/>
          <w:szCs w:val="24"/>
          <w:lang w:val="en-US"/>
        </w:rPr>
        <w:t xml:space="preserve"> </w:t>
      </w:r>
      <w:r w:rsidR="00586B6F">
        <w:rPr>
          <w:rFonts w:ascii="Arial" w:hAnsi="Arial" w:cs="Arial"/>
          <w:sz w:val="24"/>
          <w:szCs w:val="24"/>
          <w:lang w:val="en-US"/>
        </w:rPr>
        <w:t>(</w:t>
      </w:r>
      <w:r w:rsidR="00544391">
        <w:rPr>
          <w:rFonts w:ascii="Arial" w:hAnsi="Arial" w:cs="Arial"/>
          <w:sz w:val="24"/>
          <w:szCs w:val="24"/>
          <w:lang w:val="en-US"/>
        </w:rPr>
        <w:t>34</w:t>
      </w:r>
      <w:r w:rsidR="00D80DDF">
        <w:rPr>
          <w:rFonts w:ascii="Arial" w:hAnsi="Arial" w:cs="Arial"/>
          <w:sz w:val="24"/>
          <w:szCs w:val="24"/>
          <w:lang w:val="en-US"/>
        </w:rPr>
        <w:t>/194</w:t>
      </w:r>
      <w:r w:rsidR="00586B6F">
        <w:rPr>
          <w:rFonts w:ascii="Arial" w:hAnsi="Arial" w:cs="Arial"/>
          <w:sz w:val="24"/>
          <w:szCs w:val="24"/>
          <w:lang w:val="en-US"/>
        </w:rPr>
        <w:t>;18%)</w:t>
      </w:r>
      <w:r w:rsidR="009D5893">
        <w:rPr>
          <w:rFonts w:ascii="Arial" w:hAnsi="Arial" w:cs="Arial"/>
          <w:sz w:val="24"/>
          <w:szCs w:val="24"/>
          <w:lang w:val="en-US"/>
        </w:rPr>
        <w:t>. Falls were reported by 11% (21/194;</w:t>
      </w:r>
      <w:r w:rsidR="00523457">
        <w:rPr>
          <w:rFonts w:ascii="Arial" w:hAnsi="Arial" w:cs="Arial"/>
          <w:sz w:val="24"/>
          <w:szCs w:val="24"/>
          <w:lang w:val="en-US"/>
        </w:rPr>
        <w:t xml:space="preserve"> </w:t>
      </w:r>
      <w:r w:rsidR="009D5893">
        <w:rPr>
          <w:rFonts w:ascii="Arial" w:hAnsi="Arial" w:cs="Arial"/>
          <w:sz w:val="24"/>
          <w:szCs w:val="24"/>
          <w:lang w:val="en-US"/>
        </w:rPr>
        <w:t xml:space="preserve">11%) and two </w:t>
      </w:r>
      <w:r w:rsidR="00BC0921">
        <w:rPr>
          <w:rFonts w:ascii="Arial" w:hAnsi="Arial" w:cs="Arial"/>
          <w:sz w:val="24"/>
          <w:szCs w:val="24"/>
          <w:lang w:val="en-US"/>
        </w:rPr>
        <w:t xml:space="preserve">who had </w:t>
      </w:r>
      <w:r w:rsidR="009D5893">
        <w:rPr>
          <w:rFonts w:ascii="Arial" w:hAnsi="Arial" w:cs="Arial"/>
          <w:sz w:val="24"/>
          <w:szCs w:val="24"/>
          <w:lang w:val="en-US"/>
        </w:rPr>
        <w:t xml:space="preserve">severe hyponatremia sustained a fracture due to falling. </w:t>
      </w:r>
      <w:r w:rsidR="00586B6F">
        <w:rPr>
          <w:rFonts w:ascii="Arial" w:hAnsi="Arial" w:cs="Arial"/>
          <w:sz w:val="24"/>
          <w:szCs w:val="24"/>
          <w:lang w:val="en-US"/>
        </w:rPr>
        <w:t xml:space="preserve">In the group with severe hyponatremia seizure aggravation was </w:t>
      </w:r>
      <w:r w:rsidR="009D5893">
        <w:rPr>
          <w:rFonts w:ascii="Arial" w:hAnsi="Arial" w:cs="Arial"/>
          <w:sz w:val="24"/>
          <w:szCs w:val="24"/>
          <w:lang w:val="en-US"/>
        </w:rPr>
        <w:t xml:space="preserve">seen </w:t>
      </w:r>
      <w:r w:rsidR="000D3FDB">
        <w:rPr>
          <w:rFonts w:ascii="Arial" w:hAnsi="Arial" w:cs="Arial"/>
          <w:sz w:val="24"/>
          <w:szCs w:val="24"/>
          <w:lang w:val="en-US"/>
        </w:rPr>
        <w:t>in 22% (22/102)</w:t>
      </w:r>
      <w:r w:rsidR="00EA6F86">
        <w:rPr>
          <w:rFonts w:ascii="Arial" w:hAnsi="Arial" w:cs="Arial"/>
          <w:sz w:val="24"/>
          <w:szCs w:val="24"/>
          <w:lang w:val="en-US"/>
        </w:rPr>
        <w:t>. Six (</w:t>
      </w:r>
      <w:r w:rsidR="0022287F">
        <w:rPr>
          <w:rFonts w:ascii="Arial" w:hAnsi="Arial" w:cs="Arial"/>
          <w:sz w:val="24"/>
          <w:szCs w:val="24"/>
          <w:lang w:val="en-US"/>
        </w:rPr>
        <w:t xml:space="preserve">3%, </w:t>
      </w:r>
      <w:r w:rsidR="00EA6F86">
        <w:rPr>
          <w:rFonts w:ascii="Arial" w:hAnsi="Arial" w:cs="Arial"/>
          <w:sz w:val="24"/>
          <w:szCs w:val="24"/>
          <w:lang w:val="en-US"/>
        </w:rPr>
        <w:t xml:space="preserve">5 with severe hyponatremia) were </w:t>
      </w:r>
      <w:r w:rsidR="009D5893">
        <w:rPr>
          <w:rFonts w:ascii="Arial" w:hAnsi="Arial" w:cs="Arial"/>
          <w:sz w:val="24"/>
          <w:szCs w:val="24"/>
          <w:lang w:val="en-US"/>
        </w:rPr>
        <w:t xml:space="preserve">admitted to </w:t>
      </w:r>
      <w:r w:rsidR="00EA6F86">
        <w:rPr>
          <w:rFonts w:ascii="Arial" w:hAnsi="Arial" w:cs="Arial"/>
          <w:sz w:val="24"/>
          <w:szCs w:val="24"/>
          <w:lang w:val="en-US"/>
        </w:rPr>
        <w:t>hospital</w:t>
      </w:r>
      <w:r w:rsidR="009D5893">
        <w:rPr>
          <w:rFonts w:ascii="Arial" w:hAnsi="Arial" w:cs="Arial"/>
          <w:sz w:val="24"/>
          <w:szCs w:val="24"/>
          <w:lang w:val="en-US"/>
        </w:rPr>
        <w:t xml:space="preserve"> for treatment. </w:t>
      </w:r>
      <w:r w:rsidR="00EA6F8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A54C633" w14:textId="77777777" w:rsidR="00664EB5" w:rsidRPr="00CF4898" w:rsidRDefault="00664EB5" w:rsidP="0016761F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CF4898">
        <w:rPr>
          <w:rFonts w:ascii="Arial" w:hAnsi="Arial" w:cs="Arial"/>
          <w:b/>
          <w:sz w:val="24"/>
          <w:szCs w:val="24"/>
          <w:lang w:val="en-US"/>
        </w:rPr>
        <w:lastRenderedPageBreak/>
        <w:t>CBZ/OXC and sodium levels</w:t>
      </w:r>
      <w:r w:rsidR="00FF6E95" w:rsidRPr="00CF4898">
        <w:rPr>
          <w:rFonts w:ascii="Arial" w:hAnsi="Arial" w:cs="Arial"/>
          <w:b/>
          <w:sz w:val="24"/>
          <w:szCs w:val="24"/>
          <w:lang w:val="en-US"/>
        </w:rPr>
        <w:t xml:space="preserve"> (table 1)</w:t>
      </w:r>
    </w:p>
    <w:p w14:paraId="7144379D" w14:textId="77777777" w:rsidR="005D6A29" w:rsidRDefault="006A3C2D" w:rsidP="0016761F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F4898">
        <w:rPr>
          <w:rFonts w:ascii="Arial" w:hAnsi="Arial" w:cs="Arial"/>
          <w:sz w:val="24"/>
          <w:szCs w:val="24"/>
          <w:lang w:val="en-US"/>
        </w:rPr>
        <w:t xml:space="preserve">Sodium levels </w:t>
      </w:r>
      <w:r w:rsidR="006D11CE" w:rsidRPr="00CF4898">
        <w:rPr>
          <w:rFonts w:ascii="Arial" w:hAnsi="Arial" w:cs="Arial"/>
          <w:sz w:val="24"/>
          <w:szCs w:val="24"/>
          <w:lang w:val="en-US"/>
        </w:rPr>
        <w:t xml:space="preserve">were </w:t>
      </w:r>
      <w:r w:rsidR="00616312" w:rsidRPr="00CF4898">
        <w:rPr>
          <w:rFonts w:ascii="Arial" w:hAnsi="Arial" w:cs="Arial"/>
          <w:sz w:val="24"/>
          <w:szCs w:val="24"/>
          <w:lang w:val="en-US"/>
        </w:rPr>
        <w:t xml:space="preserve">significantly </w:t>
      </w:r>
      <w:r w:rsidR="006D11CE" w:rsidRPr="00CF4898">
        <w:rPr>
          <w:rFonts w:ascii="Arial" w:hAnsi="Arial" w:cs="Arial"/>
          <w:sz w:val="24"/>
          <w:szCs w:val="24"/>
          <w:lang w:val="en-US"/>
        </w:rPr>
        <w:t>associated with</w:t>
      </w:r>
      <w:r w:rsidR="00A75BED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Pr="00CF4898">
        <w:rPr>
          <w:rFonts w:ascii="Arial" w:hAnsi="Arial" w:cs="Arial"/>
          <w:sz w:val="24"/>
          <w:szCs w:val="24"/>
          <w:lang w:val="en-US"/>
        </w:rPr>
        <w:t>serum levels of CBZ</w:t>
      </w:r>
      <w:r w:rsidR="00542D23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Pr="00CF4898">
        <w:rPr>
          <w:rFonts w:ascii="Arial" w:hAnsi="Arial" w:cs="Arial"/>
          <w:sz w:val="24"/>
          <w:szCs w:val="24"/>
          <w:lang w:val="en-US"/>
        </w:rPr>
        <w:t>(</w:t>
      </w:r>
      <w:r w:rsidRPr="00CF4898">
        <w:rPr>
          <w:rFonts w:ascii="Arial" w:hAnsi="Arial" w:cs="Arial"/>
          <w:i/>
          <w:sz w:val="24"/>
          <w:szCs w:val="24"/>
          <w:lang w:val="en-US"/>
        </w:rPr>
        <w:t>p&lt;</w:t>
      </w:r>
      <w:r w:rsidRPr="00CF4898">
        <w:rPr>
          <w:rFonts w:ascii="Arial" w:hAnsi="Arial" w:cs="Arial"/>
          <w:sz w:val="24"/>
          <w:szCs w:val="24"/>
          <w:lang w:val="en-US"/>
        </w:rPr>
        <w:t>0.001) and OXC (</w:t>
      </w:r>
      <w:r w:rsidR="004779E2" w:rsidRPr="00CF4898">
        <w:rPr>
          <w:rFonts w:ascii="Arial" w:hAnsi="Arial" w:cs="Arial"/>
          <w:i/>
          <w:sz w:val="24"/>
          <w:szCs w:val="24"/>
          <w:lang w:val="en-US"/>
        </w:rPr>
        <w:t>p</w:t>
      </w:r>
      <w:r w:rsidR="004779E2" w:rsidRPr="00CF4898">
        <w:rPr>
          <w:rFonts w:ascii="Arial" w:hAnsi="Arial" w:cs="Arial"/>
          <w:sz w:val="24"/>
          <w:szCs w:val="24"/>
          <w:lang w:val="en-US"/>
        </w:rPr>
        <w:t>=0.001</w:t>
      </w:r>
      <w:r w:rsidRPr="00CF4898">
        <w:rPr>
          <w:rFonts w:ascii="Arial" w:hAnsi="Arial" w:cs="Arial"/>
          <w:sz w:val="24"/>
          <w:szCs w:val="24"/>
          <w:lang w:val="en-US"/>
        </w:rPr>
        <w:t>)</w:t>
      </w:r>
      <w:r w:rsidR="00925878" w:rsidRPr="00CF4898">
        <w:rPr>
          <w:rFonts w:ascii="Arial" w:hAnsi="Arial" w:cs="Arial"/>
          <w:sz w:val="24"/>
          <w:szCs w:val="24"/>
          <w:lang w:val="en-US"/>
        </w:rPr>
        <w:t xml:space="preserve">, but explained </w:t>
      </w:r>
      <w:r w:rsidR="00A75BED" w:rsidRPr="00CF4898">
        <w:rPr>
          <w:rFonts w:ascii="Arial" w:hAnsi="Arial" w:cs="Arial"/>
          <w:sz w:val="24"/>
          <w:szCs w:val="24"/>
          <w:lang w:val="en-US"/>
        </w:rPr>
        <w:t xml:space="preserve">only </w:t>
      </w:r>
      <w:r w:rsidR="00925878" w:rsidRPr="00CF4898">
        <w:rPr>
          <w:rFonts w:ascii="Arial" w:hAnsi="Arial" w:cs="Arial"/>
          <w:sz w:val="24"/>
          <w:szCs w:val="24"/>
          <w:lang w:val="en-US"/>
        </w:rPr>
        <w:t xml:space="preserve">a small part of </w:t>
      </w:r>
      <w:r w:rsidR="00886639" w:rsidRPr="00CF4898">
        <w:rPr>
          <w:rFonts w:ascii="Arial" w:hAnsi="Arial" w:cs="Arial"/>
          <w:sz w:val="24"/>
          <w:szCs w:val="24"/>
          <w:lang w:val="en-US"/>
        </w:rPr>
        <w:t xml:space="preserve">the </w:t>
      </w:r>
      <w:r w:rsidR="00A90B7A" w:rsidRPr="00CF4898">
        <w:rPr>
          <w:rFonts w:ascii="Arial" w:hAnsi="Arial" w:cs="Arial"/>
          <w:sz w:val="24"/>
          <w:szCs w:val="24"/>
          <w:lang w:val="en-US"/>
        </w:rPr>
        <w:t xml:space="preserve">variance in the </w:t>
      </w:r>
      <w:r w:rsidR="00886639" w:rsidRPr="00CF4898">
        <w:rPr>
          <w:rFonts w:ascii="Arial" w:hAnsi="Arial" w:cs="Arial"/>
          <w:sz w:val="24"/>
          <w:szCs w:val="24"/>
          <w:lang w:val="en-US"/>
        </w:rPr>
        <w:t>continuous sodium level</w:t>
      </w:r>
      <w:r w:rsidR="00A90B7A" w:rsidRPr="00CF4898">
        <w:rPr>
          <w:rFonts w:ascii="Arial" w:hAnsi="Arial" w:cs="Arial"/>
          <w:sz w:val="24"/>
          <w:szCs w:val="24"/>
          <w:lang w:val="en-US"/>
        </w:rPr>
        <w:t>s</w:t>
      </w:r>
      <w:r w:rsidR="00886639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0937B4" w:rsidRPr="00CF4898">
        <w:rPr>
          <w:rFonts w:ascii="Arial" w:hAnsi="Arial" w:cs="Arial"/>
          <w:sz w:val="24"/>
          <w:szCs w:val="24"/>
          <w:lang w:val="en-US"/>
        </w:rPr>
        <w:t>(R</w:t>
      </w:r>
      <w:r w:rsidR="000937B4" w:rsidRPr="00CF489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0937B4" w:rsidRPr="00CF4898">
        <w:rPr>
          <w:rFonts w:ascii="Arial" w:hAnsi="Arial" w:cs="Arial"/>
          <w:sz w:val="24"/>
          <w:szCs w:val="24"/>
          <w:lang w:val="en-US"/>
        </w:rPr>
        <w:t>=0.03</w:t>
      </w:r>
      <w:r w:rsidR="00886639" w:rsidRPr="00CF4898">
        <w:rPr>
          <w:rFonts w:ascii="Arial" w:hAnsi="Arial" w:cs="Arial"/>
          <w:sz w:val="24"/>
          <w:szCs w:val="24"/>
          <w:lang w:val="en-US"/>
        </w:rPr>
        <w:t xml:space="preserve"> and 0.04</w:t>
      </w:r>
      <w:r w:rsidR="00A90B7A" w:rsidRPr="00CF4898">
        <w:rPr>
          <w:rFonts w:ascii="Arial" w:hAnsi="Arial" w:cs="Arial"/>
          <w:sz w:val="24"/>
          <w:szCs w:val="24"/>
          <w:lang w:val="en-US"/>
        </w:rPr>
        <w:t>,</w:t>
      </w:r>
      <w:r w:rsidR="00886639" w:rsidRPr="00CF4898">
        <w:rPr>
          <w:rFonts w:ascii="Arial" w:hAnsi="Arial" w:cs="Arial"/>
          <w:sz w:val="24"/>
          <w:szCs w:val="24"/>
          <w:lang w:val="en-US"/>
        </w:rPr>
        <w:t xml:space="preserve"> resp</w:t>
      </w:r>
      <w:r w:rsidR="00A90B7A" w:rsidRPr="00CF4898">
        <w:rPr>
          <w:rFonts w:ascii="Arial" w:hAnsi="Arial" w:cs="Arial"/>
          <w:sz w:val="24"/>
          <w:szCs w:val="24"/>
          <w:lang w:val="en-US"/>
        </w:rPr>
        <w:t>ectively</w:t>
      </w:r>
      <w:r w:rsidR="004779E2" w:rsidRPr="00CF4898">
        <w:rPr>
          <w:rFonts w:ascii="Arial" w:hAnsi="Arial" w:cs="Arial"/>
          <w:sz w:val="24"/>
          <w:szCs w:val="24"/>
          <w:lang w:val="en-US"/>
        </w:rPr>
        <w:t>,</w:t>
      </w:r>
      <w:r w:rsidR="0018667E" w:rsidRPr="00CF4898">
        <w:rPr>
          <w:rFonts w:ascii="Arial" w:hAnsi="Arial" w:cs="Arial"/>
          <w:sz w:val="24"/>
          <w:szCs w:val="24"/>
          <w:lang w:val="en-US"/>
        </w:rPr>
        <w:t xml:space="preserve"> figure </w:t>
      </w:r>
      <w:r w:rsidR="00197453" w:rsidRPr="00CF4898">
        <w:rPr>
          <w:rFonts w:ascii="Arial" w:hAnsi="Arial" w:cs="Arial"/>
          <w:sz w:val="24"/>
          <w:szCs w:val="24"/>
          <w:lang w:val="en-US"/>
        </w:rPr>
        <w:t>1)</w:t>
      </w:r>
      <w:r w:rsidR="006D11CE" w:rsidRPr="00CF4898">
        <w:rPr>
          <w:rFonts w:ascii="Arial" w:hAnsi="Arial" w:cs="Arial"/>
          <w:sz w:val="24"/>
          <w:szCs w:val="24"/>
          <w:lang w:val="en-US"/>
        </w:rPr>
        <w:t xml:space="preserve">. Adjustment for age, </w:t>
      </w:r>
      <w:r w:rsidR="00202C49">
        <w:rPr>
          <w:rFonts w:ascii="Arial" w:hAnsi="Arial" w:cs="Arial"/>
          <w:sz w:val="24"/>
          <w:szCs w:val="24"/>
          <w:lang w:val="en-US"/>
        </w:rPr>
        <w:t>sex</w:t>
      </w:r>
      <w:r w:rsidR="00202C49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6D11CE" w:rsidRPr="00CF4898">
        <w:rPr>
          <w:rFonts w:ascii="Arial" w:hAnsi="Arial" w:cs="Arial"/>
          <w:sz w:val="24"/>
          <w:szCs w:val="24"/>
          <w:lang w:val="en-US"/>
        </w:rPr>
        <w:t>and number of concomitant</w:t>
      </w:r>
      <w:r w:rsidR="00542D23" w:rsidRPr="00CF4898">
        <w:rPr>
          <w:rFonts w:ascii="Arial" w:hAnsi="Arial" w:cs="Arial"/>
          <w:sz w:val="24"/>
          <w:szCs w:val="24"/>
          <w:lang w:val="en-US"/>
        </w:rPr>
        <w:t>ly</w:t>
      </w:r>
      <w:r w:rsidR="006D11CE" w:rsidRPr="00CF4898">
        <w:rPr>
          <w:rFonts w:ascii="Arial" w:hAnsi="Arial" w:cs="Arial"/>
          <w:sz w:val="24"/>
          <w:szCs w:val="24"/>
          <w:lang w:val="en-US"/>
        </w:rPr>
        <w:t xml:space="preserve"> use</w:t>
      </w:r>
      <w:r w:rsidR="00542D23" w:rsidRPr="00CF4898">
        <w:rPr>
          <w:rFonts w:ascii="Arial" w:hAnsi="Arial" w:cs="Arial"/>
          <w:sz w:val="24"/>
          <w:szCs w:val="24"/>
          <w:lang w:val="en-US"/>
        </w:rPr>
        <w:t>d</w:t>
      </w:r>
      <w:r w:rsidR="006D11CE" w:rsidRPr="00CF4898">
        <w:rPr>
          <w:rFonts w:ascii="Arial" w:hAnsi="Arial" w:cs="Arial"/>
          <w:sz w:val="24"/>
          <w:szCs w:val="24"/>
          <w:lang w:val="en-US"/>
        </w:rPr>
        <w:t xml:space="preserve"> AEDs did not influence this association.</w:t>
      </w:r>
      <w:r w:rsidR="00586FBF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081B5A" w:rsidRPr="00CF4898">
        <w:rPr>
          <w:rFonts w:ascii="Arial" w:hAnsi="Arial" w:cs="Arial"/>
          <w:sz w:val="24"/>
          <w:szCs w:val="24"/>
          <w:lang w:val="en-US"/>
        </w:rPr>
        <w:t>A</w:t>
      </w:r>
      <w:r w:rsidR="00D3644B" w:rsidRPr="00CF4898">
        <w:rPr>
          <w:rFonts w:ascii="Arial" w:hAnsi="Arial" w:cs="Arial"/>
          <w:sz w:val="24"/>
          <w:szCs w:val="24"/>
          <w:lang w:val="en-US"/>
        </w:rPr>
        <w:t xml:space="preserve">ll these cofactors were </w:t>
      </w:r>
      <w:r w:rsidR="00542D23" w:rsidRPr="00CF4898">
        <w:rPr>
          <w:rFonts w:ascii="Arial" w:hAnsi="Arial" w:cs="Arial"/>
          <w:sz w:val="24"/>
          <w:szCs w:val="24"/>
          <w:lang w:val="en-US"/>
        </w:rPr>
        <w:t xml:space="preserve">independently </w:t>
      </w:r>
      <w:r w:rsidR="00D3644B" w:rsidRPr="00CF4898">
        <w:rPr>
          <w:rFonts w:ascii="Arial" w:hAnsi="Arial" w:cs="Arial"/>
          <w:sz w:val="24"/>
          <w:szCs w:val="24"/>
          <w:lang w:val="en-US"/>
        </w:rPr>
        <w:t>associated with continuous sodium level</w:t>
      </w:r>
      <w:r w:rsidR="00542D23" w:rsidRPr="00CF4898">
        <w:rPr>
          <w:rFonts w:ascii="Arial" w:hAnsi="Arial" w:cs="Arial"/>
          <w:sz w:val="24"/>
          <w:szCs w:val="24"/>
          <w:lang w:val="en-US"/>
        </w:rPr>
        <w:t>s</w:t>
      </w:r>
      <w:r w:rsidR="00D3644B" w:rsidRPr="00CF4898">
        <w:rPr>
          <w:rFonts w:ascii="Arial" w:hAnsi="Arial" w:cs="Arial"/>
          <w:sz w:val="24"/>
          <w:szCs w:val="24"/>
          <w:lang w:val="en-US"/>
        </w:rPr>
        <w:t xml:space="preserve">. </w:t>
      </w:r>
      <w:r w:rsidR="00DA2506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DA2506">
        <w:rPr>
          <w:rFonts w:ascii="Arial" w:hAnsi="Arial" w:cs="Arial"/>
          <w:sz w:val="24"/>
          <w:szCs w:val="24"/>
          <w:lang w:val="en-US"/>
        </w:rPr>
        <w:t>suppl</w:t>
      </w:r>
      <w:proofErr w:type="spellEnd"/>
      <w:r w:rsidR="00DA2506">
        <w:rPr>
          <w:rFonts w:ascii="Arial" w:hAnsi="Arial" w:cs="Arial"/>
          <w:sz w:val="24"/>
          <w:szCs w:val="24"/>
          <w:lang w:val="en-US"/>
        </w:rPr>
        <w:t xml:space="preserve"> fig </w:t>
      </w:r>
      <w:r w:rsidR="00B952C0">
        <w:rPr>
          <w:rFonts w:ascii="Arial" w:hAnsi="Arial" w:cs="Arial"/>
          <w:sz w:val="24"/>
          <w:szCs w:val="24"/>
          <w:lang w:val="en-US"/>
        </w:rPr>
        <w:t xml:space="preserve">1 </w:t>
      </w:r>
      <w:r w:rsidR="00DA2506">
        <w:rPr>
          <w:rFonts w:ascii="Arial" w:hAnsi="Arial" w:cs="Arial"/>
          <w:sz w:val="24"/>
          <w:szCs w:val="24"/>
          <w:lang w:val="en-US"/>
        </w:rPr>
        <w:t>for age and sodium</w:t>
      </w:r>
      <w:r w:rsidR="002C660A">
        <w:rPr>
          <w:rFonts w:ascii="Arial" w:hAnsi="Arial" w:cs="Arial"/>
          <w:sz w:val="24"/>
          <w:szCs w:val="24"/>
          <w:lang w:val="en-US"/>
        </w:rPr>
        <w:t xml:space="preserve"> </w:t>
      </w:r>
      <w:r w:rsidR="00DA2506">
        <w:rPr>
          <w:rFonts w:ascii="Arial" w:hAnsi="Arial" w:cs="Arial"/>
          <w:sz w:val="24"/>
          <w:szCs w:val="24"/>
          <w:lang w:val="en-US"/>
        </w:rPr>
        <w:t xml:space="preserve">levels) </w:t>
      </w:r>
      <w:r w:rsidR="005A17AE" w:rsidRPr="00CF4898">
        <w:rPr>
          <w:rFonts w:ascii="Arial" w:hAnsi="Arial" w:cs="Arial"/>
          <w:sz w:val="24"/>
          <w:szCs w:val="24"/>
          <w:lang w:val="en-US"/>
        </w:rPr>
        <w:t xml:space="preserve">Mean sodium levels were lower in females (136.9 </w:t>
      </w:r>
      <w:proofErr w:type="spellStart"/>
      <w:r w:rsidR="005A17AE" w:rsidRPr="00CF4898">
        <w:rPr>
          <w:rFonts w:ascii="Arial" w:hAnsi="Arial" w:cs="Arial"/>
          <w:sz w:val="24"/>
          <w:szCs w:val="24"/>
          <w:lang w:val="en-US"/>
        </w:rPr>
        <w:t>mEq</w:t>
      </w:r>
      <w:proofErr w:type="spellEnd"/>
      <w:r w:rsidR="005A17AE" w:rsidRPr="00CF4898">
        <w:rPr>
          <w:rFonts w:ascii="Arial" w:hAnsi="Arial" w:cs="Arial"/>
          <w:sz w:val="24"/>
          <w:szCs w:val="24"/>
          <w:lang w:val="en-US"/>
        </w:rPr>
        <w:t>/</w:t>
      </w:r>
      <w:r w:rsidR="003E742F" w:rsidRPr="00CF4898">
        <w:rPr>
          <w:rFonts w:ascii="Arial" w:hAnsi="Arial" w:cs="Arial"/>
          <w:sz w:val="24"/>
          <w:szCs w:val="24"/>
          <w:lang w:val="en-US"/>
        </w:rPr>
        <w:t>L</w:t>
      </w:r>
      <w:r w:rsidR="005A17AE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896192" w:rsidRPr="00CF4898">
        <w:rPr>
          <w:rFonts w:ascii="Arial" w:hAnsi="Arial" w:cs="Arial"/>
          <w:sz w:val="24"/>
          <w:szCs w:val="24"/>
          <w:lang w:val="en-US"/>
        </w:rPr>
        <w:t xml:space="preserve">with </w:t>
      </w:r>
      <w:r w:rsidR="005A17AE" w:rsidRPr="00CF4898">
        <w:rPr>
          <w:rFonts w:ascii="Arial" w:hAnsi="Arial" w:cs="Arial"/>
          <w:sz w:val="24"/>
          <w:szCs w:val="24"/>
          <w:lang w:val="en-US"/>
        </w:rPr>
        <w:t>CBZ, 133.3</w:t>
      </w:r>
      <w:r w:rsidR="003E742F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E742F" w:rsidRPr="00CF4898">
        <w:rPr>
          <w:rFonts w:ascii="Arial" w:hAnsi="Arial" w:cs="Arial"/>
          <w:sz w:val="24"/>
          <w:szCs w:val="24"/>
          <w:lang w:val="en-US"/>
        </w:rPr>
        <w:t>mEq</w:t>
      </w:r>
      <w:proofErr w:type="spellEnd"/>
      <w:r w:rsidR="003E742F" w:rsidRPr="00CF4898">
        <w:rPr>
          <w:rFonts w:ascii="Arial" w:hAnsi="Arial" w:cs="Arial"/>
          <w:sz w:val="24"/>
          <w:szCs w:val="24"/>
          <w:lang w:val="en-US"/>
        </w:rPr>
        <w:t>/L</w:t>
      </w:r>
      <w:r w:rsidR="005A17AE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896192" w:rsidRPr="00CF4898">
        <w:rPr>
          <w:rFonts w:ascii="Arial" w:hAnsi="Arial" w:cs="Arial"/>
          <w:sz w:val="24"/>
          <w:szCs w:val="24"/>
          <w:lang w:val="en-US"/>
        </w:rPr>
        <w:t>with</w:t>
      </w:r>
      <w:r w:rsidR="005A17AE" w:rsidRPr="00CF4898">
        <w:rPr>
          <w:rFonts w:ascii="Arial" w:hAnsi="Arial" w:cs="Arial"/>
          <w:sz w:val="24"/>
          <w:szCs w:val="24"/>
          <w:lang w:val="en-US"/>
        </w:rPr>
        <w:t xml:space="preserve"> OXC) </w:t>
      </w:r>
      <w:r w:rsidR="00896192" w:rsidRPr="00CF4898">
        <w:rPr>
          <w:rFonts w:ascii="Arial" w:hAnsi="Arial" w:cs="Arial"/>
          <w:sz w:val="24"/>
          <w:szCs w:val="24"/>
          <w:lang w:val="en-US"/>
        </w:rPr>
        <w:t xml:space="preserve">than in </w:t>
      </w:r>
      <w:r w:rsidR="005A17AE" w:rsidRPr="00CF4898">
        <w:rPr>
          <w:rFonts w:ascii="Arial" w:hAnsi="Arial" w:cs="Arial"/>
          <w:sz w:val="24"/>
          <w:szCs w:val="24"/>
          <w:lang w:val="en-US"/>
        </w:rPr>
        <w:t xml:space="preserve">males (137.6 </w:t>
      </w:r>
      <w:proofErr w:type="spellStart"/>
      <w:r w:rsidR="005A17AE" w:rsidRPr="00CF4898">
        <w:rPr>
          <w:rFonts w:ascii="Arial" w:hAnsi="Arial" w:cs="Arial"/>
          <w:sz w:val="24"/>
          <w:szCs w:val="24"/>
          <w:lang w:val="en-US"/>
        </w:rPr>
        <w:t>mEq</w:t>
      </w:r>
      <w:proofErr w:type="spellEnd"/>
      <w:r w:rsidR="005A17AE" w:rsidRPr="00CF4898">
        <w:rPr>
          <w:rFonts w:ascii="Arial" w:hAnsi="Arial" w:cs="Arial"/>
          <w:sz w:val="24"/>
          <w:szCs w:val="24"/>
          <w:lang w:val="en-US"/>
        </w:rPr>
        <w:t>/</w:t>
      </w:r>
      <w:r w:rsidR="003E742F" w:rsidRPr="00CF4898">
        <w:rPr>
          <w:rFonts w:ascii="Arial" w:hAnsi="Arial" w:cs="Arial"/>
          <w:sz w:val="24"/>
          <w:szCs w:val="24"/>
          <w:lang w:val="en-US"/>
        </w:rPr>
        <w:t>L</w:t>
      </w:r>
      <w:r w:rsidR="005A17AE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896192" w:rsidRPr="00CF4898">
        <w:rPr>
          <w:rFonts w:ascii="Arial" w:hAnsi="Arial" w:cs="Arial"/>
          <w:sz w:val="24"/>
          <w:szCs w:val="24"/>
          <w:lang w:val="en-US"/>
        </w:rPr>
        <w:t>with</w:t>
      </w:r>
      <w:r w:rsidR="005A17AE" w:rsidRPr="00CF4898">
        <w:rPr>
          <w:rFonts w:ascii="Arial" w:hAnsi="Arial" w:cs="Arial"/>
          <w:sz w:val="24"/>
          <w:szCs w:val="24"/>
          <w:lang w:val="en-US"/>
        </w:rPr>
        <w:t xml:space="preserve"> CBZ, 135.4 </w:t>
      </w:r>
      <w:proofErr w:type="spellStart"/>
      <w:r w:rsidR="005A17AE" w:rsidRPr="00CF4898">
        <w:rPr>
          <w:rFonts w:ascii="Arial" w:hAnsi="Arial" w:cs="Arial"/>
          <w:sz w:val="24"/>
          <w:szCs w:val="24"/>
          <w:lang w:val="en-US"/>
        </w:rPr>
        <w:t>mEq</w:t>
      </w:r>
      <w:proofErr w:type="spellEnd"/>
      <w:r w:rsidR="005A17AE" w:rsidRPr="00CF4898">
        <w:rPr>
          <w:rFonts w:ascii="Arial" w:hAnsi="Arial" w:cs="Arial"/>
          <w:sz w:val="24"/>
          <w:szCs w:val="24"/>
          <w:lang w:val="en-US"/>
        </w:rPr>
        <w:t>/</w:t>
      </w:r>
      <w:r w:rsidR="003E742F" w:rsidRPr="00CF4898">
        <w:rPr>
          <w:rFonts w:ascii="Arial" w:hAnsi="Arial" w:cs="Arial"/>
          <w:sz w:val="24"/>
          <w:szCs w:val="24"/>
          <w:lang w:val="en-US"/>
        </w:rPr>
        <w:t>L</w:t>
      </w:r>
      <w:r w:rsidR="005A17AE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896192" w:rsidRPr="00CF4898">
        <w:rPr>
          <w:rFonts w:ascii="Arial" w:hAnsi="Arial" w:cs="Arial"/>
          <w:sz w:val="24"/>
          <w:szCs w:val="24"/>
          <w:lang w:val="en-US"/>
        </w:rPr>
        <w:t>with</w:t>
      </w:r>
      <w:r w:rsidR="005A17AE" w:rsidRPr="00CF4898">
        <w:rPr>
          <w:rFonts w:ascii="Arial" w:hAnsi="Arial" w:cs="Arial"/>
          <w:sz w:val="24"/>
          <w:szCs w:val="24"/>
          <w:lang w:val="en-US"/>
        </w:rPr>
        <w:t xml:space="preserve"> OXC) (</w:t>
      </w:r>
      <w:r w:rsidR="005A17AE" w:rsidRPr="00CF4898">
        <w:rPr>
          <w:rFonts w:ascii="Arial" w:hAnsi="Arial" w:cs="Arial"/>
          <w:i/>
          <w:sz w:val="24"/>
          <w:szCs w:val="24"/>
          <w:lang w:val="en-US"/>
        </w:rPr>
        <w:t>p</w:t>
      </w:r>
      <w:r w:rsidR="005A17AE" w:rsidRPr="00CF4898">
        <w:rPr>
          <w:rFonts w:ascii="Arial" w:hAnsi="Arial" w:cs="Arial"/>
          <w:sz w:val="24"/>
          <w:szCs w:val="24"/>
          <w:lang w:val="en-US"/>
        </w:rPr>
        <w:t xml:space="preserve">=0.012 in CBZ and </w:t>
      </w:r>
      <w:r w:rsidR="005A17AE" w:rsidRPr="00CF4898">
        <w:rPr>
          <w:rFonts w:ascii="Arial" w:hAnsi="Arial" w:cs="Arial"/>
          <w:i/>
          <w:sz w:val="24"/>
          <w:szCs w:val="24"/>
          <w:lang w:val="en-US"/>
        </w:rPr>
        <w:t>p</w:t>
      </w:r>
      <w:r w:rsidR="005A17AE" w:rsidRPr="00CF4898">
        <w:rPr>
          <w:rFonts w:ascii="Arial" w:hAnsi="Arial" w:cs="Arial"/>
          <w:sz w:val="24"/>
          <w:szCs w:val="24"/>
          <w:lang w:val="en-US"/>
        </w:rPr>
        <w:t xml:space="preserve">=0.005 in OXC). </w:t>
      </w:r>
    </w:p>
    <w:p w14:paraId="61167EDD" w14:textId="77777777" w:rsidR="005D6A29" w:rsidRDefault="005D6A29">
      <w:pPr>
        <w:rPr>
          <w:rFonts w:ascii="Arial" w:hAnsi="Arial" w:cs="Arial"/>
          <w:sz w:val="24"/>
          <w:szCs w:val="24"/>
          <w:lang w:val="en-US"/>
        </w:rPr>
      </w:pPr>
    </w:p>
    <w:p w14:paraId="370DD5CD" w14:textId="77777777" w:rsidR="008942B5" w:rsidRPr="00CF4898" w:rsidRDefault="008942B5" w:rsidP="0016761F">
      <w:pPr>
        <w:spacing w:line="480" w:lineRule="auto"/>
        <w:rPr>
          <w:rFonts w:ascii="Arial" w:hAnsi="Arial" w:cs="Arial"/>
          <w:b/>
          <w:sz w:val="24"/>
          <w:szCs w:val="24"/>
          <w:lang w:val="en-GB"/>
        </w:rPr>
      </w:pPr>
      <w:r w:rsidRPr="00CF4898">
        <w:rPr>
          <w:rFonts w:ascii="Arial" w:hAnsi="Arial" w:cs="Arial"/>
          <w:b/>
          <w:sz w:val="24"/>
          <w:szCs w:val="24"/>
          <w:lang w:val="en-US"/>
        </w:rPr>
        <w:t>CBZ/OXC and hyponatremia</w:t>
      </w:r>
      <w:r w:rsidR="00C04084" w:rsidRPr="00CF489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04084" w:rsidRPr="00CF4898">
        <w:rPr>
          <w:rFonts w:ascii="Arial" w:hAnsi="Arial" w:cs="Arial"/>
          <w:b/>
          <w:sz w:val="24"/>
          <w:szCs w:val="24"/>
          <w:lang w:val="en-GB"/>
        </w:rPr>
        <w:t>(table 2, table</w:t>
      </w:r>
      <w:r w:rsidR="00150BAC" w:rsidRPr="00CF489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04084" w:rsidRPr="00CF4898">
        <w:rPr>
          <w:rFonts w:ascii="Arial" w:hAnsi="Arial" w:cs="Arial"/>
          <w:b/>
          <w:sz w:val="24"/>
          <w:szCs w:val="24"/>
          <w:lang w:val="en-GB"/>
        </w:rPr>
        <w:t>3)</w:t>
      </w:r>
    </w:p>
    <w:p w14:paraId="28CFFA6E" w14:textId="77777777" w:rsidR="00F5368D" w:rsidRPr="00CF4898" w:rsidRDefault="005B1DEB" w:rsidP="0016761F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CF4898">
        <w:rPr>
          <w:rFonts w:ascii="Arial" w:hAnsi="Arial" w:cs="Arial"/>
          <w:sz w:val="24"/>
          <w:szCs w:val="24"/>
          <w:lang w:val="en-US"/>
        </w:rPr>
        <w:t>Serum levels of CBZ and OXC were significantly associated with hyponatremia, increasing the risk by a factor 1</w:t>
      </w:r>
      <w:r w:rsidR="00750466" w:rsidRPr="00CF4898">
        <w:rPr>
          <w:rFonts w:ascii="Arial" w:hAnsi="Arial" w:cs="Arial"/>
          <w:sz w:val="24"/>
          <w:szCs w:val="24"/>
          <w:lang w:val="en-US"/>
        </w:rPr>
        <w:t>.</w:t>
      </w:r>
      <w:r w:rsidR="00542D23" w:rsidRPr="00CF4898">
        <w:rPr>
          <w:rFonts w:ascii="Arial" w:hAnsi="Arial" w:cs="Arial"/>
          <w:sz w:val="24"/>
          <w:szCs w:val="24"/>
          <w:lang w:val="en-US"/>
        </w:rPr>
        <w:t>20</w:t>
      </w:r>
      <w:r w:rsidRPr="00CF4898">
        <w:rPr>
          <w:rFonts w:ascii="Arial" w:hAnsi="Arial" w:cs="Arial"/>
          <w:sz w:val="24"/>
          <w:szCs w:val="24"/>
          <w:lang w:val="en-US"/>
        </w:rPr>
        <w:t xml:space="preserve"> (95% CI 1.12-1.2</w:t>
      </w:r>
      <w:r w:rsidR="00542D23" w:rsidRPr="00CF4898">
        <w:rPr>
          <w:rFonts w:ascii="Arial" w:hAnsi="Arial" w:cs="Arial"/>
          <w:sz w:val="24"/>
          <w:szCs w:val="24"/>
          <w:lang w:val="en-US"/>
        </w:rPr>
        <w:t>8</w:t>
      </w:r>
      <w:r w:rsidRPr="00CF4898">
        <w:rPr>
          <w:rFonts w:ascii="Arial" w:hAnsi="Arial" w:cs="Arial"/>
          <w:sz w:val="24"/>
          <w:szCs w:val="24"/>
          <w:lang w:val="en-US"/>
        </w:rPr>
        <w:t xml:space="preserve">, </w:t>
      </w:r>
      <w:r w:rsidRPr="00CF4898">
        <w:rPr>
          <w:rFonts w:ascii="Arial" w:hAnsi="Arial" w:cs="Arial"/>
          <w:i/>
          <w:sz w:val="24"/>
          <w:szCs w:val="24"/>
          <w:lang w:val="en-US"/>
        </w:rPr>
        <w:t>p</w:t>
      </w:r>
      <w:r w:rsidRPr="00CF4898">
        <w:rPr>
          <w:rFonts w:ascii="Arial" w:hAnsi="Arial" w:cs="Arial"/>
          <w:sz w:val="24"/>
          <w:szCs w:val="24"/>
          <w:lang w:val="en-US"/>
        </w:rPr>
        <w:t>&lt;0.001) and 1</w:t>
      </w:r>
      <w:r w:rsidR="00750466" w:rsidRPr="00CF4898">
        <w:rPr>
          <w:rFonts w:ascii="Arial" w:hAnsi="Arial" w:cs="Arial"/>
          <w:sz w:val="24"/>
          <w:szCs w:val="24"/>
          <w:lang w:val="en-US"/>
        </w:rPr>
        <w:t>.</w:t>
      </w:r>
      <w:r w:rsidRPr="00CF4898">
        <w:rPr>
          <w:rFonts w:ascii="Arial" w:hAnsi="Arial" w:cs="Arial"/>
          <w:sz w:val="24"/>
          <w:szCs w:val="24"/>
          <w:lang w:val="en-US"/>
        </w:rPr>
        <w:t>06 (95% CI 1.02-1.</w:t>
      </w:r>
      <w:r w:rsidR="00542D23" w:rsidRPr="00CF4898">
        <w:rPr>
          <w:rFonts w:ascii="Arial" w:hAnsi="Arial" w:cs="Arial"/>
          <w:sz w:val="24"/>
          <w:szCs w:val="24"/>
          <w:lang w:val="en-US"/>
        </w:rPr>
        <w:t>1</w:t>
      </w:r>
      <w:r w:rsidRPr="00CF4898">
        <w:rPr>
          <w:rFonts w:ascii="Arial" w:hAnsi="Arial" w:cs="Arial"/>
          <w:sz w:val="24"/>
          <w:szCs w:val="24"/>
          <w:lang w:val="en-US"/>
        </w:rPr>
        <w:t xml:space="preserve">0, </w:t>
      </w:r>
      <w:r w:rsidRPr="00CF4898">
        <w:rPr>
          <w:rFonts w:ascii="Arial" w:hAnsi="Arial" w:cs="Arial"/>
          <w:i/>
          <w:sz w:val="24"/>
          <w:szCs w:val="24"/>
          <w:lang w:val="en-US"/>
        </w:rPr>
        <w:t>p</w:t>
      </w:r>
      <w:r w:rsidRPr="00CF4898">
        <w:rPr>
          <w:rFonts w:ascii="Arial" w:hAnsi="Arial" w:cs="Arial"/>
          <w:sz w:val="24"/>
          <w:szCs w:val="24"/>
          <w:lang w:val="en-US"/>
        </w:rPr>
        <w:t>=0.001)</w:t>
      </w:r>
      <w:r w:rsidR="00BD15A2" w:rsidRPr="00CF4898">
        <w:rPr>
          <w:rFonts w:ascii="Arial" w:hAnsi="Arial" w:cs="Arial"/>
          <w:sz w:val="24"/>
          <w:szCs w:val="24"/>
          <w:lang w:val="en-US"/>
        </w:rPr>
        <w:t xml:space="preserve"> per unit</w:t>
      </w:r>
      <w:r w:rsidR="00F5368D" w:rsidRPr="00CF4898">
        <w:rPr>
          <w:rFonts w:ascii="Arial" w:hAnsi="Arial" w:cs="Arial"/>
          <w:sz w:val="24"/>
          <w:szCs w:val="24"/>
          <w:lang w:val="en-US"/>
        </w:rPr>
        <w:t xml:space="preserve"> (mg/L)</w:t>
      </w:r>
      <w:r w:rsidR="00BD15A2" w:rsidRPr="00CF4898">
        <w:rPr>
          <w:rFonts w:ascii="Arial" w:hAnsi="Arial" w:cs="Arial"/>
          <w:sz w:val="24"/>
          <w:szCs w:val="24"/>
          <w:lang w:val="en-US"/>
        </w:rPr>
        <w:t xml:space="preserve"> increase,</w:t>
      </w:r>
      <w:r w:rsidRPr="00CF4898">
        <w:rPr>
          <w:rFonts w:ascii="Arial" w:hAnsi="Arial" w:cs="Arial"/>
          <w:sz w:val="24"/>
          <w:szCs w:val="24"/>
          <w:lang w:val="en-US"/>
        </w:rPr>
        <w:t xml:space="preserve"> respectively. </w:t>
      </w:r>
      <w:r w:rsidR="000515FA" w:rsidRPr="00CF4898">
        <w:rPr>
          <w:rFonts w:ascii="Arial" w:hAnsi="Arial" w:cs="Arial"/>
          <w:sz w:val="24"/>
          <w:szCs w:val="24"/>
          <w:lang w:val="en-US"/>
        </w:rPr>
        <w:t>This association remained significant in the multivariate logistic analysis.</w:t>
      </w:r>
    </w:p>
    <w:p w14:paraId="4DC72973" w14:textId="77777777" w:rsidR="00015023" w:rsidRPr="00CF4898" w:rsidRDefault="006A3C2D" w:rsidP="0016761F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CF4898">
        <w:rPr>
          <w:rFonts w:ascii="Arial" w:hAnsi="Arial" w:cs="Arial"/>
          <w:sz w:val="24"/>
          <w:szCs w:val="24"/>
          <w:lang w:val="en-US"/>
        </w:rPr>
        <w:t xml:space="preserve">When </w:t>
      </w:r>
      <w:r w:rsidR="005522EF" w:rsidRPr="00CF4898">
        <w:rPr>
          <w:rFonts w:ascii="Arial" w:hAnsi="Arial" w:cs="Arial"/>
          <w:sz w:val="24"/>
          <w:szCs w:val="24"/>
          <w:lang w:val="en-US"/>
        </w:rPr>
        <w:t xml:space="preserve">sodium </w:t>
      </w:r>
      <w:r w:rsidR="00E65172" w:rsidRPr="00CF4898">
        <w:rPr>
          <w:rFonts w:ascii="Arial" w:hAnsi="Arial" w:cs="Arial"/>
          <w:sz w:val="24"/>
          <w:szCs w:val="24"/>
          <w:lang w:val="en-US"/>
        </w:rPr>
        <w:t>level</w:t>
      </w:r>
      <w:r w:rsidRPr="00CF4898">
        <w:rPr>
          <w:rFonts w:ascii="Arial" w:hAnsi="Arial" w:cs="Arial"/>
          <w:sz w:val="24"/>
          <w:szCs w:val="24"/>
          <w:lang w:val="en-US"/>
        </w:rPr>
        <w:t xml:space="preserve">s were used </w:t>
      </w:r>
      <w:r w:rsidR="00E65172" w:rsidRPr="00CF4898">
        <w:rPr>
          <w:rFonts w:ascii="Arial" w:hAnsi="Arial" w:cs="Arial"/>
          <w:sz w:val="24"/>
          <w:szCs w:val="24"/>
          <w:lang w:val="en-US"/>
        </w:rPr>
        <w:t>as a dichotomized variable</w:t>
      </w:r>
      <w:r w:rsidR="005522EF" w:rsidRPr="00CF4898">
        <w:rPr>
          <w:rFonts w:ascii="Arial" w:hAnsi="Arial" w:cs="Arial"/>
          <w:sz w:val="24"/>
          <w:szCs w:val="24"/>
          <w:lang w:val="en-US"/>
        </w:rPr>
        <w:t>,</w:t>
      </w:r>
      <w:r w:rsidR="00E65172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D44F81">
        <w:rPr>
          <w:rFonts w:ascii="Arial" w:hAnsi="Arial" w:cs="Arial"/>
          <w:sz w:val="24"/>
          <w:szCs w:val="24"/>
          <w:lang w:val="en-US"/>
        </w:rPr>
        <w:t>sex</w:t>
      </w:r>
      <w:r w:rsidR="00D44F81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4779E2" w:rsidRPr="00CF4898">
        <w:rPr>
          <w:rFonts w:ascii="Arial" w:hAnsi="Arial" w:cs="Arial"/>
          <w:sz w:val="24"/>
          <w:szCs w:val="24"/>
          <w:lang w:val="en-US"/>
        </w:rPr>
        <w:t xml:space="preserve">remained </w:t>
      </w:r>
      <w:r w:rsidR="005522EF" w:rsidRPr="00CF4898">
        <w:rPr>
          <w:rFonts w:ascii="Arial" w:hAnsi="Arial" w:cs="Arial"/>
          <w:sz w:val="24"/>
          <w:szCs w:val="24"/>
          <w:lang w:val="en-US"/>
        </w:rPr>
        <w:t xml:space="preserve">a risk factor for hyponatremia in the </w:t>
      </w:r>
      <w:r w:rsidR="004779E2" w:rsidRPr="00CF4898">
        <w:rPr>
          <w:rFonts w:ascii="Arial" w:hAnsi="Arial" w:cs="Arial"/>
          <w:sz w:val="24"/>
          <w:szCs w:val="24"/>
          <w:lang w:val="en-US"/>
        </w:rPr>
        <w:t>OXC</w:t>
      </w:r>
      <w:r w:rsidR="00AB3F4E" w:rsidRPr="00CF4898">
        <w:rPr>
          <w:rFonts w:ascii="Arial" w:hAnsi="Arial" w:cs="Arial"/>
          <w:sz w:val="24"/>
          <w:szCs w:val="24"/>
          <w:lang w:val="en-US"/>
        </w:rPr>
        <w:t xml:space="preserve"> group</w:t>
      </w:r>
      <w:r w:rsidR="004779E2" w:rsidRPr="00CF4898">
        <w:rPr>
          <w:rFonts w:ascii="Arial" w:hAnsi="Arial" w:cs="Arial"/>
          <w:sz w:val="24"/>
          <w:szCs w:val="24"/>
          <w:lang w:val="en-US"/>
        </w:rPr>
        <w:t>, but not in the CBZ group</w:t>
      </w:r>
      <w:r w:rsidR="005522EF" w:rsidRPr="00CF4898">
        <w:rPr>
          <w:rFonts w:ascii="Arial" w:hAnsi="Arial" w:cs="Arial"/>
          <w:sz w:val="24"/>
          <w:szCs w:val="24"/>
          <w:lang w:val="en-GB"/>
        </w:rPr>
        <w:t>.</w:t>
      </w:r>
      <w:r w:rsidR="00AB3F4E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886639" w:rsidRPr="00CF4898">
        <w:rPr>
          <w:rFonts w:ascii="Arial" w:hAnsi="Arial" w:cs="Arial"/>
          <w:sz w:val="24"/>
          <w:szCs w:val="24"/>
          <w:lang w:val="en-GB"/>
        </w:rPr>
        <w:t xml:space="preserve">Women </w:t>
      </w:r>
      <w:r w:rsidR="0058503B" w:rsidRPr="00CF4898">
        <w:rPr>
          <w:rFonts w:ascii="Arial" w:hAnsi="Arial" w:cs="Arial"/>
          <w:sz w:val="24"/>
          <w:szCs w:val="24"/>
          <w:lang w:val="en-GB"/>
        </w:rPr>
        <w:t xml:space="preserve">in the OXC group </w:t>
      </w:r>
      <w:r w:rsidR="00886639" w:rsidRPr="00CF4898">
        <w:rPr>
          <w:rFonts w:ascii="Arial" w:hAnsi="Arial" w:cs="Arial"/>
          <w:sz w:val="24"/>
          <w:szCs w:val="24"/>
          <w:lang w:val="en-GB"/>
        </w:rPr>
        <w:t>were more likely to develop hyponatremia (5</w:t>
      </w:r>
      <w:r w:rsidR="008942B5" w:rsidRPr="00CF4898">
        <w:rPr>
          <w:rFonts w:ascii="Arial" w:hAnsi="Arial" w:cs="Arial"/>
          <w:sz w:val="24"/>
          <w:szCs w:val="24"/>
          <w:lang w:val="en-GB"/>
        </w:rPr>
        <w:t>5</w:t>
      </w:r>
      <w:r w:rsidR="00886639" w:rsidRPr="00CF4898">
        <w:rPr>
          <w:rFonts w:ascii="Arial" w:hAnsi="Arial" w:cs="Arial"/>
          <w:sz w:val="24"/>
          <w:szCs w:val="24"/>
          <w:lang w:val="en-GB"/>
        </w:rPr>
        <w:t xml:space="preserve">%) </w:t>
      </w:r>
      <w:r w:rsidR="00896192" w:rsidRPr="00CF4898">
        <w:rPr>
          <w:rFonts w:ascii="Arial" w:hAnsi="Arial" w:cs="Arial"/>
          <w:sz w:val="24"/>
          <w:szCs w:val="24"/>
          <w:lang w:val="en-GB"/>
        </w:rPr>
        <w:t xml:space="preserve">than </w:t>
      </w:r>
      <w:r w:rsidR="00886639" w:rsidRPr="00CF4898">
        <w:rPr>
          <w:rFonts w:ascii="Arial" w:hAnsi="Arial" w:cs="Arial"/>
          <w:sz w:val="24"/>
          <w:szCs w:val="24"/>
          <w:lang w:val="en-GB"/>
        </w:rPr>
        <w:t>men (3</w:t>
      </w:r>
      <w:r w:rsidR="008942B5" w:rsidRPr="00CF4898">
        <w:rPr>
          <w:rFonts w:ascii="Arial" w:hAnsi="Arial" w:cs="Arial"/>
          <w:sz w:val="24"/>
          <w:szCs w:val="24"/>
          <w:lang w:val="en-GB"/>
        </w:rPr>
        <w:t>9</w:t>
      </w:r>
      <w:r w:rsidR="00886639" w:rsidRPr="00CF4898">
        <w:rPr>
          <w:rFonts w:ascii="Arial" w:hAnsi="Arial" w:cs="Arial"/>
          <w:sz w:val="24"/>
          <w:szCs w:val="24"/>
          <w:lang w:val="en-GB"/>
        </w:rPr>
        <w:t xml:space="preserve">%). </w:t>
      </w:r>
    </w:p>
    <w:p w14:paraId="6C8DF24C" w14:textId="77777777" w:rsidR="006D11CE" w:rsidRDefault="00015023" w:rsidP="0016761F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F4898">
        <w:rPr>
          <w:rFonts w:ascii="Arial" w:hAnsi="Arial" w:cs="Arial"/>
          <w:sz w:val="24"/>
          <w:szCs w:val="24"/>
          <w:lang w:val="en-US"/>
        </w:rPr>
        <w:t xml:space="preserve">In </w:t>
      </w:r>
      <w:r w:rsidR="00081B5A" w:rsidRPr="00CF4898">
        <w:rPr>
          <w:rFonts w:ascii="Arial" w:hAnsi="Arial" w:cs="Arial"/>
          <w:sz w:val="24"/>
          <w:szCs w:val="24"/>
          <w:lang w:val="en-US"/>
        </w:rPr>
        <w:t xml:space="preserve">those over </w:t>
      </w:r>
      <w:r w:rsidR="00FF4576" w:rsidRPr="00CF4898">
        <w:rPr>
          <w:rFonts w:ascii="Arial" w:hAnsi="Arial" w:cs="Arial"/>
          <w:sz w:val="24"/>
          <w:szCs w:val="24"/>
          <w:lang w:val="en-US"/>
        </w:rPr>
        <w:t xml:space="preserve">40 </w:t>
      </w:r>
      <w:r w:rsidR="00081B5A" w:rsidRPr="00CF4898">
        <w:rPr>
          <w:rFonts w:ascii="Arial" w:hAnsi="Arial" w:cs="Arial"/>
          <w:sz w:val="24"/>
          <w:szCs w:val="24"/>
          <w:lang w:val="en-US"/>
        </w:rPr>
        <w:t xml:space="preserve">years </w:t>
      </w:r>
      <w:r w:rsidR="00FF4576" w:rsidRPr="00CF4898">
        <w:rPr>
          <w:rFonts w:ascii="Arial" w:hAnsi="Arial" w:cs="Arial"/>
          <w:sz w:val="24"/>
          <w:szCs w:val="24"/>
          <w:lang w:val="en-US"/>
        </w:rPr>
        <w:t xml:space="preserve">hyponatremia </w:t>
      </w:r>
      <w:r w:rsidRPr="00CF4898">
        <w:rPr>
          <w:rFonts w:ascii="Arial" w:hAnsi="Arial" w:cs="Arial"/>
          <w:sz w:val="24"/>
          <w:szCs w:val="24"/>
          <w:lang w:val="en-US"/>
        </w:rPr>
        <w:t>was</w:t>
      </w:r>
      <w:r w:rsidR="00081B5A" w:rsidRPr="00CF4898">
        <w:rPr>
          <w:rFonts w:ascii="Arial" w:hAnsi="Arial" w:cs="Arial"/>
          <w:sz w:val="24"/>
          <w:szCs w:val="24"/>
          <w:lang w:val="en-US"/>
        </w:rPr>
        <w:t xml:space="preserve"> seen </w:t>
      </w:r>
      <w:r w:rsidRPr="00CF4898">
        <w:rPr>
          <w:rFonts w:ascii="Arial" w:hAnsi="Arial" w:cs="Arial"/>
          <w:sz w:val="24"/>
          <w:szCs w:val="24"/>
          <w:lang w:val="en-US"/>
        </w:rPr>
        <w:t xml:space="preserve">in 34% (compared </w:t>
      </w:r>
      <w:r w:rsidR="00896192" w:rsidRPr="00CF4898">
        <w:rPr>
          <w:rFonts w:ascii="Arial" w:hAnsi="Arial" w:cs="Arial"/>
          <w:sz w:val="24"/>
          <w:szCs w:val="24"/>
          <w:lang w:val="en-US"/>
        </w:rPr>
        <w:t xml:space="preserve">with </w:t>
      </w:r>
      <w:r w:rsidRPr="00CF4898">
        <w:rPr>
          <w:rFonts w:ascii="Arial" w:hAnsi="Arial" w:cs="Arial"/>
          <w:sz w:val="24"/>
          <w:szCs w:val="24"/>
          <w:lang w:val="en-US"/>
        </w:rPr>
        <w:t xml:space="preserve">17% &lt;40 years) </w:t>
      </w:r>
      <w:r w:rsidR="00FF4576" w:rsidRPr="00CF4898">
        <w:rPr>
          <w:rFonts w:ascii="Arial" w:hAnsi="Arial" w:cs="Arial"/>
          <w:sz w:val="24"/>
          <w:szCs w:val="24"/>
          <w:lang w:val="en-US"/>
        </w:rPr>
        <w:t xml:space="preserve">in the CBZ group </w:t>
      </w:r>
      <w:r w:rsidR="003A0E39" w:rsidRPr="00CF4898">
        <w:rPr>
          <w:rFonts w:ascii="Arial" w:hAnsi="Arial" w:cs="Arial"/>
          <w:sz w:val="24"/>
          <w:szCs w:val="24"/>
          <w:lang w:val="en-US"/>
        </w:rPr>
        <w:t xml:space="preserve">and in </w:t>
      </w:r>
      <w:r w:rsidR="00161F6F" w:rsidRPr="00CF4898">
        <w:rPr>
          <w:rFonts w:ascii="Arial" w:hAnsi="Arial" w:cs="Arial"/>
          <w:sz w:val="24"/>
          <w:szCs w:val="24"/>
          <w:lang w:val="en-US"/>
        </w:rPr>
        <w:t>56</w:t>
      </w:r>
      <w:r w:rsidR="00FF4576" w:rsidRPr="00CF4898">
        <w:rPr>
          <w:rFonts w:ascii="Arial" w:hAnsi="Arial" w:cs="Arial"/>
          <w:sz w:val="24"/>
          <w:szCs w:val="24"/>
          <w:lang w:val="en-US"/>
        </w:rPr>
        <w:t xml:space="preserve">% </w:t>
      </w:r>
      <w:r w:rsidR="00284A4B" w:rsidRPr="00CF4898">
        <w:rPr>
          <w:rFonts w:ascii="Arial" w:hAnsi="Arial" w:cs="Arial"/>
          <w:sz w:val="24"/>
          <w:szCs w:val="24"/>
          <w:lang w:val="en-US"/>
        </w:rPr>
        <w:t xml:space="preserve">(compared </w:t>
      </w:r>
      <w:r w:rsidR="00896192" w:rsidRPr="00CF4898">
        <w:rPr>
          <w:rFonts w:ascii="Arial" w:hAnsi="Arial" w:cs="Arial"/>
          <w:sz w:val="24"/>
          <w:szCs w:val="24"/>
          <w:lang w:val="en-US"/>
        </w:rPr>
        <w:t>with</w:t>
      </w:r>
      <w:r w:rsidR="00284A4B" w:rsidRPr="00CF4898">
        <w:rPr>
          <w:rFonts w:ascii="Arial" w:hAnsi="Arial" w:cs="Arial"/>
          <w:sz w:val="24"/>
          <w:szCs w:val="24"/>
          <w:lang w:val="en-US"/>
        </w:rPr>
        <w:t xml:space="preserve"> 3</w:t>
      </w:r>
      <w:r w:rsidR="00081B5A" w:rsidRPr="00CF4898">
        <w:rPr>
          <w:rFonts w:ascii="Arial" w:hAnsi="Arial" w:cs="Arial"/>
          <w:sz w:val="24"/>
          <w:szCs w:val="24"/>
          <w:lang w:val="en-US"/>
        </w:rPr>
        <w:t>9</w:t>
      </w:r>
      <w:r w:rsidR="00284A4B" w:rsidRPr="00CF4898">
        <w:rPr>
          <w:rFonts w:ascii="Arial" w:hAnsi="Arial" w:cs="Arial"/>
          <w:sz w:val="24"/>
          <w:szCs w:val="24"/>
          <w:lang w:val="en-US"/>
        </w:rPr>
        <w:t>% &lt;40</w:t>
      </w:r>
      <w:r w:rsidR="00486608">
        <w:rPr>
          <w:rFonts w:ascii="Arial" w:hAnsi="Arial" w:cs="Arial"/>
          <w:sz w:val="24"/>
          <w:szCs w:val="24"/>
          <w:lang w:val="en-US"/>
        </w:rPr>
        <w:t xml:space="preserve"> years</w:t>
      </w:r>
      <w:r w:rsidR="00284A4B" w:rsidRPr="00CF4898">
        <w:rPr>
          <w:rFonts w:ascii="Arial" w:hAnsi="Arial" w:cs="Arial"/>
          <w:sz w:val="24"/>
          <w:szCs w:val="24"/>
          <w:lang w:val="en-US"/>
        </w:rPr>
        <w:t xml:space="preserve">) </w:t>
      </w:r>
      <w:r w:rsidR="00FF4576" w:rsidRPr="00CF4898">
        <w:rPr>
          <w:rFonts w:ascii="Arial" w:hAnsi="Arial" w:cs="Arial"/>
          <w:sz w:val="24"/>
          <w:szCs w:val="24"/>
          <w:lang w:val="en-US"/>
        </w:rPr>
        <w:t xml:space="preserve">in the OXC group. </w:t>
      </w:r>
      <w:r w:rsidR="00FF6E95" w:rsidRPr="00CF4898">
        <w:rPr>
          <w:rFonts w:ascii="Arial" w:hAnsi="Arial" w:cs="Arial"/>
          <w:sz w:val="24"/>
          <w:szCs w:val="24"/>
          <w:lang w:val="en-GB"/>
        </w:rPr>
        <w:t xml:space="preserve">In a multivariate </w:t>
      </w:r>
      <w:r w:rsidR="00A552CA" w:rsidRPr="00CF4898">
        <w:rPr>
          <w:rFonts w:ascii="Arial" w:hAnsi="Arial" w:cs="Arial"/>
          <w:sz w:val="24"/>
          <w:szCs w:val="24"/>
          <w:lang w:val="en-GB"/>
        </w:rPr>
        <w:t xml:space="preserve">logistic regression </w:t>
      </w:r>
      <w:r w:rsidR="00FF6E95" w:rsidRPr="00CF4898">
        <w:rPr>
          <w:rFonts w:ascii="Arial" w:hAnsi="Arial" w:cs="Arial"/>
          <w:sz w:val="24"/>
          <w:szCs w:val="24"/>
          <w:lang w:val="en-GB"/>
        </w:rPr>
        <w:t>analysis, a</w:t>
      </w:r>
      <w:proofErr w:type="spellStart"/>
      <w:r w:rsidR="00E776C0" w:rsidRPr="00CF4898">
        <w:rPr>
          <w:rFonts w:ascii="Arial" w:hAnsi="Arial" w:cs="Arial"/>
          <w:sz w:val="24"/>
          <w:szCs w:val="24"/>
          <w:lang w:val="en-US"/>
        </w:rPr>
        <w:t>ge</w:t>
      </w:r>
      <w:proofErr w:type="spellEnd"/>
      <w:r w:rsidR="00E776C0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6A3C2D" w:rsidRPr="00CF4898">
        <w:rPr>
          <w:rFonts w:ascii="Arial" w:hAnsi="Arial" w:cs="Arial"/>
          <w:sz w:val="24"/>
          <w:szCs w:val="24"/>
          <w:lang w:val="en-US"/>
        </w:rPr>
        <w:t xml:space="preserve">over </w:t>
      </w:r>
      <w:r w:rsidR="00E776C0" w:rsidRPr="00CF4898">
        <w:rPr>
          <w:rFonts w:ascii="Arial" w:hAnsi="Arial" w:cs="Arial"/>
          <w:sz w:val="24"/>
          <w:szCs w:val="24"/>
          <w:lang w:val="en-US"/>
        </w:rPr>
        <w:t xml:space="preserve">40 increased the </w:t>
      </w:r>
      <w:r w:rsidR="00161F6F" w:rsidRPr="00CF4898">
        <w:rPr>
          <w:rFonts w:ascii="Arial" w:hAnsi="Arial" w:cs="Arial"/>
          <w:sz w:val="24"/>
          <w:szCs w:val="24"/>
          <w:lang w:val="en-US"/>
        </w:rPr>
        <w:t xml:space="preserve">odds </w:t>
      </w:r>
      <w:r w:rsidR="00E776C0" w:rsidRPr="00CF4898">
        <w:rPr>
          <w:rFonts w:ascii="Arial" w:hAnsi="Arial" w:cs="Arial"/>
          <w:sz w:val="24"/>
          <w:szCs w:val="24"/>
          <w:lang w:val="en-US"/>
        </w:rPr>
        <w:t xml:space="preserve">of hyponatremia by </w:t>
      </w:r>
      <w:r w:rsidR="00A552CA" w:rsidRPr="00CF4898">
        <w:rPr>
          <w:rFonts w:ascii="Arial" w:hAnsi="Arial" w:cs="Arial"/>
          <w:sz w:val="24"/>
          <w:szCs w:val="24"/>
          <w:lang w:val="en-US"/>
        </w:rPr>
        <w:t xml:space="preserve">a factor </w:t>
      </w:r>
      <w:r w:rsidR="00E776C0" w:rsidRPr="00CF4898">
        <w:rPr>
          <w:rFonts w:ascii="Arial" w:hAnsi="Arial" w:cs="Arial"/>
          <w:sz w:val="24"/>
          <w:szCs w:val="24"/>
          <w:lang w:val="en-US"/>
        </w:rPr>
        <w:t xml:space="preserve">2.5 </w:t>
      </w:r>
      <w:r w:rsidR="000E5EAE" w:rsidRPr="00CF4898">
        <w:rPr>
          <w:rFonts w:ascii="Arial" w:hAnsi="Arial" w:cs="Arial"/>
          <w:sz w:val="24"/>
          <w:szCs w:val="24"/>
          <w:lang w:val="en-US"/>
        </w:rPr>
        <w:t>in</w:t>
      </w:r>
      <w:r w:rsidR="00136466" w:rsidRPr="00CF4898">
        <w:rPr>
          <w:rFonts w:ascii="Arial" w:hAnsi="Arial" w:cs="Arial"/>
          <w:sz w:val="24"/>
          <w:szCs w:val="24"/>
          <w:lang w:val="en-US"/>
        </w:rPr>
        <w:t xml:space="preserve"> the CBZ group </w:t>
      </w:r>
      <w:r w:rsidR="00E776C0" w:rsidRPr="00CF4898">
        <w:rPr>
          <w:rFonts w:ascii="Arial" w:hAnsi="Arial" w:cs="Arial"/>
          <w:sz w:val="24"/>
          <w:szCs w:val="24"/>
          <w:lang w:val="en-US"/>
        </w:rPr>
        <w:t xml:space="preserve">and 2.2 </w:t>
      </w:r>
      <w:r w:rsidR="000E5EAE" w:rsidRPr="00CF4898">
        <w:rPr>
          <w:rFonts w:ascii="Arial" w:hAnsi="Arial" w:cs="Arial"/>
          <w:sz w:val="24"/>
          <w:szCs w:val="24"/>
          <w:lang w:val="en-US"/>
        </w:rPr>
        <w:t xml:space="preserve">in </w:t>
      </w:r>
      <w:r w:rsidR="00E776C0" w:rsidRPr="00CF4898">
        <w:rPr>
          <w:rFonts w:ascii="Arial" w:hAnsi="Arial" w:cs="Arial"/>
          <w:sz w:val="24"/>
          <w:szCs w:val="24"/>
          <w:lang w:val="en-US"/>
        </w:rPr>
        <w:t>the OXC group</w:t>
      </w:r>
      <w:r w:rsidR="00136466" w:rsidRPr="00CF4898">
        <w:rPr>
          <w:rFonts w:ascii="Arial" w:hAnsi="Arial" w:cs="Arial"/>
          <w:sz w:val="24"/>
          <w:szCs w:val="24"/>
          <w:lang w:val="en-US"/>
        </w:rPr>
        <w:t>.</w:t>
      </w:r>
      <w:r w:rsidR="00E776C0" w:rsidRPr="00CF489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C953F6E" w14:textId="77777777" w:rsidR="00FB5033" w:rsidRPr="00FB5033" w:rsidRDefault="00FB5033" w:rsidP="0016761F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FB5033">
        <w:rPr>
          <w:rFonts w:ascii="Arial" w:hAnsi="Arial" w:cs="Arial"/>
          <w:sz w:val="24"/>
          <w:szCs w:val="24"/>
          <w:lang w:val="en-US"/>
        </w:rPr>
        <w:lastRenderedPageBreak/>
        <w:t xml:space="preserve">The </w:t>
      </w:r>
      <w:r w:rsidRPr="00FB5033">
        <w:rPr>
          <w:rFonts w:ascii="Arial" w:hAnsi="Arial" w:cs="Arial"/>
          <w:sz w:val="24"/>
          <w:szCs w:val="24"/>
          <w:lang w:val="en-GB"/>
        </w:rPr>
        <w:t xml:space="preserve">hyponatremia frequency in different age categories for </w:t>
      </w:r>
      <w:r w:rsidR="0041383E">
        <w:rPr>
          <w:rFonts w:ascii="Arial" w:hAnsi="Arial" w:cs="Arial"/>
          <w:sz w:val="24"/>
          <w:szCs w:val="24"/>
          <w:lang w:val="en-GB"/>
        </w:rPr>
        <w:t xml:space="preserve">CBZ and OXC </w:t>
      </w:r>
      <w:r w:rsidR="00C444A3">
        <w:rPr>
          <w:rFonts w:ascii="Arial" w:hAnsi="Arial" w:cs="Arial"/>
          <w:sz w:val="24"/>
          <w:szCs w:val="24"/>
          <w:lang w:val="en-GB"/>
        </w:rPr>
        <w:t xml:space="preserve">users </w:t>
      </w:r>
      <w:r w:rsidR="0041383E">
        <w:rPr>
          <w:rFonts w:ascii="Arial" w:hAnsi="Arial" w:cs="Arial"/>
          <w:sz w:val="24"/>
          <w:szCs w:val="24"/>
          <w:lang w:val="en-GB"/>
        </w:rPr>
        <w:t>is</w:t>
      </w:r>
      <w:r>
        <w:rPr>
          <w:rFonts w:ascii="Arial" w:hAnsi="Arial" w:cs="Arial"/>
          <w:sz w:val="24"/>
          <w:szCs w:val="24"/>
          <w:lang w:val="en-GB"/>
        </w:rPr>
        <w:t xml:space="preserve"> shown in</w:t>
      </w:r>
      <w:r w:rsidR="00B952C0">
        <w:rPr>
          <w:rFonts w:ascii="Arial" w:hAnsi="Arial" w:cs="Arial"/>
          <w:sz w:val="24"/>
          <w:szCs w:val="24"/>
          <w:lang w:val="en-GB"/>
        </w:rPr>
        <w:t xml:space="preserve"> supplementary</w:t>
      </w:r>
      <w:r>
        <w:rPr>
          <w:rFonts w:ascii="Arial" w:hAnsi="Arial" w:cs="Arial"/>
          <w:sz w:val="24"/>
          <w:szCs w:val="24"/>
          <w:lang w:val="en-GB"/>
        </w:rPr>
        <w:t xml:space="preserve"> figure 2.</w:t>
      </w:r>
    </w:p>
    <w:p w14:paraId="24AF0F24" w14:textId="77777777" w:rsidR="00B11F41" w:rsidRPr="00CF4898" w:rsidRDefault="003752B2" w:rsidP="0016761F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F4898">
        <w:rPr>
          <w:rFonts w:ascii="Arial" w:hAnsi="Arial" w:cs="Arial"/>
          <w:sz w:val="24"/>
          <w:szCs w:val="24"/>
          <w:lang w:val="en-US"/>
        </w:rPr>
        <w:t xml:space="preserve">Monotherapy was associated with a lower risk of hyponatremia than </w:t>
      </w:r>
      <w:proofErr w:type="spellStart"/>
      <w:r w:rsidRPr="00CF4898">
        <w:rPr>
          <w:rFonts w:ascii="Arial" w:hAnsi="Arial" w:cs="Arial"/>
          <w:sz w:val="24"/>
          <w:szCs w:val="24"/>
          <w:lang w:val="en-US"/>
        </w:rPr>
        <w:t>polytherapy</w:t>
      </w:r>
      <w:proofErr w:type="spellEnd"/>
      <w:r w:rsidRPr="00CF4898">
        <w:rPr>
          <w:rFonts w:ascii="Arial" w:hAnsi="Arial" w:cs="Arial"/>
          <w:sz w:val="24"/>
          <w:szCs w:val="24"/>
          <w:lang w:val="en-US"/>
        </w:rPr>
        <w:t>.</w:t>
      </w:r>
      <w:r w:rsidR="00330CAA" w:rsidRPr="00330CAA">
        <w:rPr>
          <w:rFonts w:ascii="Arial" w:hAnsi="Arial" w:cs="Arial"/>
          <w:sz w:val="24"/>
          <w:szCs w:val="24"/>
          <w:lang w:val="en-US"/>
        </w:rPr>
        <w:t xml:space="preserve"> </w:t>
      </w:r>
      <w:r w:rsidR="00330CAA" w:rsidRPr="00CF4898">
        <w:rPr>
          <w:rFonts w:ascii="Arial" w:hAnsi="Arial" w:cs="Arial"/>
          <w:sz w:val="24"/>
          <w:szCs w:val="24"/>
          <w:lang w:val="en-US"/>
        </w:rPr>
        <w:t xml:space="preserve">After correction for drug levels, age and </w:t>
      </w:r>
      <w:r w:rsidR="00330CAA">
        <w:rPr>
          <w:rFonts w:ascii="Arial" w:hAnsi="Arial" w:cs="Arial"/>
          <w:sz w:val="24"/>
          <w:szCs w:val="24"/>
          <w:lang w:val="en-US"/>
        </w:rPr>
        <w:t>sex</w:t>
      </w:r>
      <w:r w:rsidR="00330CAA" w:rsidRPr="00CF4898">
        <w:rPr>
          <w:rFonts w:ascii="Arial" w:hAnsi="Arial" w:cs="Arial"/>
          <w:sz w:val="24"/>
          <w:szCs w:val="24"/>
          <w:lang w:val="en-US"/>
        </w:rPr>
        <w:t xml:space="preserve"> this association did not reach significance in the OXC group.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300F9E">
        <w:rPr>
          <w:rFonts w:ascii="Arial" w:hAnsi="Arial" w:cs="Arial"/>
          <w:sz w:val="24"/>
          <w:szCs w:val="24"/>
          <w:lang w:val="en-US"/>
        </w:rPr>
        <w:t xml:space="preserve">risk </w:t>
      </w:r>
      <w:r w:rsidR="008B47E8">
        <w:rPr>
          <w:rFonts w:ascii="Arial" w:hAnsi="Arial" w:cs="Arial"/>
          <w:sz w:val="24"/>
          <w:szCs w:val="24"/>
          <w:lang w:val="en-US"/>
        </w:rPr>
        <w:t xml:space="preserve">of hyponatremia </w:t>
      </w:r>
      <w:r w:rsidR="00300F9E">
        <w:rPr>
          <w:rFonts w:ascii="Arial" w:hAnsi="Arial" w:cs="Arial"/>
          <w:sz w:val="24"/>
          <w:szCs w:val="24"/>
          <w:lang w:val="en-US"/>
        </w:rPr>
        <w:t>was significantly increased with i</w:t>
      </w:r>
      <w:r w:rsidR="008942B5" w:rsidRPr="00CF4898">
        <w:rPr>
          <w:rFonts w:ascii="Arial" w:hAnsi="Arial" w:cs="Arial"/>
          <w:sz w:val="24"/>
          <w:szCs w:val="24"/>
          <w:lang w:val="en-US"/>
        </w:rPr>
        <w:t xml:space="preserve">ncreasing number of </w:t>
      </w:r>
      <w:r w:rsidR="00FA56B6" w:rsidRPr="00CF4898">
        <w:rPr>
          <w:rFonts w:ascii="Arial" w:hAnsi="Arial" w:cs="Arial"/>
          <w:sz w:val="24"/>
          <w:szCs w:val="24"/>
          <w:lang w:val="en-US"/>
        </w:rPr>
        <w:t>concomitant AEDs</w:t>
      </w:r>
      <w:r w:rsidR="008942B5" w:rsidRPr="00CF4898">
        <w:rPr>
          <w:rFonts w:ascii="Arial" w:hAnsi="Arial" w:cs="Arial"/>
          <w:sz w:val="24"/>
          <w:szCs w:val="24"/>
          <w:lang w:val="en-US"/>
        </w:rPr>
        <w:t xml:space="preserve"> </w:t>
      </w:r>
      <w:r w:rsidR="00FA56B6" w:rsidRPr="00CF4898">
        <w:rPr>
          <w:rFonts w:ascii="Arial" w:hAnsi="Arial" w:cs="Arial"/>
          <w:sz w:val="24"/>
          <w:szCs w:val="24"/>
          <w:lang w:val="en-US"/>
        </w:rPr>
        <w:t>in both groups.</w:t>
      </w:r>
      <w:r w:rsidR="00346288" w:rsidRPr="00CF489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AE4AA0C" w14:textId="77777777" w:rsidR="00FA56B6" w:rsidRPr="00CF4898" w:rsidRDefault="003752B2" w:rsidP="0016761F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CF4898">
        <w:rPr>
          <w:rFonts w:ascii="Arial" w:hAnsi="Arial" w:cs="Arial"/>
          <w:sz w:val="24"/>
          <w:szCs w:val="24"/>
          <w:lang w:val="en-US"/>
        </w:rPr>
        <w:t>ndependent risk factors in both treatment groups</w:t>
      </w:r>
      <w:r>
        <w:rPr>
          <w:rFonts w:ascii="Arial" w:hAnsi="Arial" w:cs="Arial"/>
          <w:sz w:val="24"/>
          <w:szCs w:val="24"/>
          <w:lang w:val="en-US"/>
        </w:rPr>
        <w:t xml:space="preserve"> were the </w:t>
      </w:r>
      <w:r w:rsidR="00D87631" w:rsidRPr="00CF4898">
        <w:rPr>
          <w:rFonts w:ascii="Arial" w:hAnsi="Arial" w:cs="Arial"/>
          <w:sz w:val="24"/>
          <w:szCs w:val="24"/>
          <w:lang w:val="en-US"/>
        </w:rPr>
        <w:t xml:space="preserve">concomitant use of </w:t>
      </w:r>
      <w:proofErr w:type="spellStart"/>
      <w:r w:rsidR="00346EBA" w:rsidRPr="00CF4898">
        <w:rPr>
          <w:rFonts w:ascii="Arial" w:hAnsi="Arial" w:cs="Arial"/>
          <w:sz w:val="24"/>
          <w:szCs w:val="24"/>
          <w:lang w:val="en-US"/>
        </w:rPr>
        <w:t>c</w:t>
      </w:r>
      <w:r w:rsidR="00FA56B6" w:rsidRPr="00CF4898">
        <w:rPr>
          <w:rFonts w:ascii="Arial" w:hAnsi="Arial" w:cs="Arial"/>
          <w:sz w:val="24"/>
          <w:szCs w:val="24"/>
          <w:lang w:val="en-US"/>
        </w:rPr>
        <w:t>lobazam</w:t>
      </w:r>
      <w:proofErr w:type="spellEnd"/>
      <w:r w:rsidR="001B42DF" w:rsidRPr="00CF4898">
        <w:rPr>
          <w:rFonts w:ascii="Arial" w:hAnsi="Arial" w:cs="Arial"/>
          <w:sz w:val="24"/>
          <w:szCs w:val="24"/>
          <w:lang w:val="en-US"/>
        </w:rPr>
        <w:t xml:space="preserve"> (CLB)</w:t>
      </w:r>
      <w:r w:rsidR="00FA56B6" w:rsidRPr="00CF4898">
        <w:rPr>
          <w:rFonts w:ascii="Arial" w:hAnsi="Arial" w:cs="Arial"/>
          <w:sz w:val="24"/>
          <w:szCs w:val="24"/>
          <w:lang w:val="en-US"/>
        </w:rPr>
        <w:t xml:space="preserve"> and </w:t>
      </w:r>
      <w:r w:rsidR="00D063C5" w:rsidRPr="00CF4898">
        <w:rPr>
          <w:rFonts w:ascii="Arial" w:hAnsi="Arial" w:cs="Arial"/>
          <w:sz w:val="24"/>
          <w:szCs w:val="24"/>
          <w:lang w:val="en-US"/>
        </w:rPr>
        <w:t>p</w:t>
      </w:r>
      <w:r w:rsidR="00FA56B6" w:rsidRPr="00CF4898">
        <w:rPr>
          <w:rFonts w:ascii="Arial" w:hAnsi="Arial" w:cs="Arial"/>
          <w:sz w:val="24"/>
          <w:szCs w:val="24"/>
          <w:lang w:val="en-US"/>
        </w:rPr>
        <w:t>henytoin</w:t>
      </w:r>
      <w:r w:rsidR="001B42DF" w:rsidRPr="00CF4898">
        <w:rPr>
          <w:rFonts w:ascii="Arial" w:hAnsi="Arial" w:cs="Arial"/>
          <w:sz w:val="24"/>
          <w:szCs w:val="24"/>
          <w:lang w:val="en-US"/>
        </w:rPr>
        <w:t xml:space="preserve"> (PHT)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330CAA">
        <w:rPr>
          <w:rFonts w:ascii="Arial" w:hAnsi="Arial" w:cs="Arial"/>
          <w:sz w:val="24"/>
          <w:szCs w:val="24"/>
          <w:lang w:val="en-US"/>
        </w:rPr>
        <w:t xml:space="preserve"> </w:t>
      </w:r>
      <w:r w:rsidR="00AF6E06" w:rsidRPr="00CF4898">
        <w:rPr>
          <w:rFonts w:ascii="Arial" w:hAnsi="Arial" w:cs="Arial"/>
          <w:sz w:val="24"/>
          <w:szCs w:val="24"/>
          <w:lang w:val="en-US"/>
        </w:rPr>
        <w:t>Valproate</w:t>
      </w:r>
      <w:r w:rsidR="001B42DF" w:rsidRPr="00CF4898">
        <w:rPr>
          <w:rFonts w:ascii="Arial" w:hAnsi="Arial" w:cs="Arial"/>
          <w:sz w:val="24"/>
          <w:szCs w:val="24"/>
          <w:lang w:val="en-US"/>
        </w:rPr>
        <w:t xml:space="preserve"> (VPA)</w:t>
      </w:r>
      <w:r w:rsidR="00AF6E06" w:rsidRPr="00CF4898">
        <w:rPr>
          <w:rFonts w:ascii="Arial" w:hAnsi="Arial" w:cs="Arial"/>
          <w:sz w:val="24"/>
          <w:szCs w:val="24"/>
          <w:lang w:val="en-US"/>
        </w:rPr>
        <w:t xml:space="preserve"> and </w:t>
      </w:r>
      <w:r w:rsidR="00D063C5" w:rsidRPr="00CF4898">
        <w:rPr>
          <w:rFonts w:ascii="Arial" w:hAnsi="Arial" w:cs="Arial"/>
          <w:sz w:val="24"/>
          <w:szCs w:val="24"/>
          <w:lang w:val="en-US"/>
        </w:rPr>
        <w:t>p</w:t>
      </w:r>
      <w:r w:rsidR="00AF6E06" w:rsidRPr="00CF4898">
        <w:rPr>
          <w:rFonts w:ascii="Arial" w:hAnsi="Arial" w:cs="Arial"/>
          <w:sz w:val="24"/>
          <w:szCs w:val="24"/>
          <w:lang w:val="en-US"/>
        </w:rPr>
        <w:t>henobarbital</w:t>
      </w:r>
      <w:r w:rsidR="001B42DF" w:rsidRPr="00CF4898">
        <w:rPr>
          <w:rFonts w:ascii="Arial" w:hAnsi="Arial" w:cs="Arial"/>
          <w:sz w:val="24"/>
          <w:szCs w:val="24"/>
          <w:lang w:val="en-US"/>
        </w:rPr>
        <w:t xml:space="preserve"> (PB)</w:t>
      </w:r>
      <w:r w:rsidR="00AF6E06" w:rsidRPr="00CF4898">
        <w:rPr>
          <w:rFonts w:ascii="Arial" w:hAnsi="Arial" w:cs="Arial"/>
          <w:sz w:val="24"/>
          <w:szCs w:val="24"/>
          <w:lang w:val="en-US"/>
        </w:rPr>
        <w:t xml:space="preserve"> were additional risk factors for hyponatremia in the CBZ group</w:t>
      </w:r>
      <w:r w:rsidR="00D063C5" w:rsidRPr="00CF4898">
        <w:rPr>
          <w:rFonts w:ascii="Arial" w:hAnsi="Arial" w:cs="Arial"/>
          <w:sz w:val="24"/>
          <w:szCs w:val="24"/>
          <w:lang w:val="en-US"/>
        </w:rPr>
        <w:t>.</w:t>
      </w:r>
    </w:p>
    <w:p w14:paraId="615C839F" w14:textId="77777777" w:rsidR="002C660A" w:rsidRDefault="009D2C3A" w:rsidP="0016761F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These observations were similar across </w:t>
      </w:r>
      <w:r w:rsidR="003A57CF" w:rsidRPr="00CF4898">
        <w:rPr>
          <w:rFonts w:ascii="Arial" w:hAnsi="Arial" w:cs="Arial"/>
          <w:sz w:val="24"/>
          <w:szCs w:val="24"/>
          <w:lang w:val="en-US"/>
        </w:rPr>
        <w:t xml:space="preserve">sodium levels in </w:t>
      </w:r>
      <w:r w:rsidR="00F63B64">
        <w:rPr>
          <w:rFonts w:ascii="Arial" w:hAnsi="Arial" w:cs="Arial"/>
          <w:sz w:val="24"/>
          <w:szCs w:val="24"/>
          <w:lang w:val="en-US"/>
        </w:rPr>
        <w:t>three</w:t>
      </w:r>
      <w:r w:rsidR="003A57CF" w:rsidRPr="00CF4898">
        <w:rPr>
          <w:rFonts w:ascii="Arial" w:hAnsi="Arial" w:cs="Arial"/>
          <w:sz w:val="24"/>
          <w:szCs w:val="24"/>
          <w:lang w:val="en-US"/>
        </w:rPr>
        <w:t xml:space="preserve"> categories (</w:t>
      </w:r>
      <w:r w:rsidR="003A57CF" w:rsidRPr="00CF4898">
        <w:rPr>
          <w:rFonts w:ascii="Arial" w:hAnsi="Arial" w:cs="Arial"/>
          <w:sz w:val="24"/>
          <w:szCs w:val="24"/>
          <w:lang w:val="en-GB"/>
        </w:rPr>
        <w:t>≤ 128, 129-134, ≥ 135</w:t>
      </w:r>
      <w:r w:rsidR="00C16709">
        <w:rPr>
          <w:rFonts w:ascii="Arial" w:hAnsi="Arial" w:cs="Arial"/>
          <w:sz w:val="24"/>
          <w:szCs w:val="24"/>
          <w:lang w:val="en-US"/>
        </w:rPr>
        <w:t>)</w:t>
      </w:r>
      <w:r w:rsidR="00EB5B0B" w:rsidRPr="00CF4898">
        <w:rPr>
          <w:rFonts w:ascii="Arial" w:hAnsi="Arial" w:cs="Arial"/>
          <w:sz w:val="24"/>
          <w:szCs w:val="24"/>
          <w:lang w:val="en-US"/>
        </w:rPr>
        <w:t xml:space="preserve"> but</w:t>
      </w:r>
      <w:r w:rsidR="007441D9" w:rsidRPr="00CF4898">
        <w:rPr>
          <w:rFonts w:ascii="Arial" w:hAnsi="Arial" w:cs="Arial"/>
          <w:sz w:val="24"/>
          <w:szCs w:val="24"/>
          <w:lang w:val="en-US"/>
        </w:rPr>
        <w:t xml:space="preserve"> numbers </w:t>
      </w:r>
      <w:r w:rsidR="000B49AF" w:rsidRPr="00CF4898">
        <w:rPr>
          <w:rFonts w:ascii="Arial" w:hAnsi="Arial" w:cs="Arial"/>
          <w:sz w:val="24"/>
          <w:szCs w:val="24"/>
          <w:lang w:val="en-US"/>
        </w:rPr>
        <w:t xml:space="preserve">in the severe hyponatremia group </w:t>
      </w:r>
      <w:r w:rsidR="007441D9" w:rsidRPr="00CF4898">
        <w:rPr>
          <w:rFonts w:ascii="Arial" w:hAnsi="Arial" w:cs="Arial"/>
          <w:sz w:val="24"/>
          <w:szCs w:val="24"/>
          <w:lang w:val="en-US"/>
        </w:rPr>
        <w:t>were small (results not shown).</w:t>
      </w:r>
    </w:p>
    <w:p w14:paraId="35324EF1" w14:textId="77777777" w:rsidR="000E7444" w:rsidRDefault="000E7444" w:rsidP="0016761F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60B47C5" w14:textId="403DB979" w:rsidR="000E3704" w:rsidRPr="00CF4898" w:rsidRDefault="000E3704" w:rsidP="0016761F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CF4898">
        <w:rPr>
          <w:rFonts w:ascii="Arial" w:hAnsi="Arial" w:cs="Arial"/>
          <w:b/>
          <w:sz w:val="24"/>
          <w:szCs w:val="24"/>
          <w:lang w:val="en-US"/>
        </w:rPr>
        <w:t>Se</w:t>
      </w:r>
      <w:bookmarkStart w:id="0" w:name="_GoBack"/>
      <w:bookmarkEnd w:id="0"/>
      <w:r w:rsidRPr="00CF4898">
        <w:rPr>
          <w:rFonts w:ascii="Arial" w:hAnsi="Arial" w:cs="Arial"/>
          <w:b/>
          <w:sz w:val="24"/>
          <w:szCs w:val="24"/>
          <w:lang w:val="en-US"/>
        </w:rPr>
        <w:t xml:space="preserve">vere hyponatremia and co-medication </w:t>
      </w:r>
      <w:r w:rsidR="00D035BF" w:rsidRPr="00CF4898">
        <w:rPr>
          <w:rFonts w:ascii="Arial" w:hAnsi="Arial" w:cs="Arial"/>
          <w:b/>
          <w:sz w:val="24"/>
          <w:szCs w:val="24"/>
          <w:lang w:val="en-US"/>
        </w:rPr>
        <w:t>(table 4)</w:t>
      </w:r>
    </w:p>
    <w:p w14:paraId="59CD30B3" w14:textId="77777777" w:rsidR="003238A8" w:rsidRDefault="000C0808" w:rsidP="0016761F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CF4898">
        <w:rPr>
          <w:rFonts w:ascii="Arial" w:hAnsi="Arial" w:cs="Arial"/>
          <w:sz w:val="24"/>
          <w:szCs w:val="24"/>
          <w:lang w:val="en-US"/>
        </w:rPr>
        <w:t xml:space="preserve">In </w:t>
      </w:r>
      <w:r w:rsidR="003752B2">
        <w:rPr>
          <w:rFonts w:ascii="Arial" w:hAnsi="Arial" w:cs="Arial"/>
          <w:sz w:val="24"/>
          <w:szCs w:val="24"/>
          <w:lang w:val="en-US"/>
        </w:rPr>
        <w:t xml:space="preserve">those with </w:t>
      </w:r>
      <w:r w:rsidRPr="00CF4898">
        <w:rPr>
          <w:rFonts w:ascii="Arial" w:hAnsi="Arial" w:cs="Arial"/>
          <w:sz w:val="24"/>
          <w:szCs w:val="24"/>
          <w:lang w:val="en-US"/>
        </w:rPr>
        <w:t xml:space="preserve">a sodium level of </w:t>
      </w:r>
      <w:r w:rsidRPr="00CF4898">
        <w:rPr>
          <w:rFonts w:ascii="Arial" w:hAnsi="Arial" w:cs="Arial"/>
          <w:sz w:val="24"/>
          <w:szCs w:val="24"/>
          <w:lang w:val="en-GB"/>
        </w:rPr>
        <w:t xml:space="preserve">≤128 </w:t>
      </w:r>
      <w:proofErr w:type="spellStart"/>
      <w:r w:rsidRPr="00CF4898">
        <w:rPr>
          <w:rFonts w:ascii="Arial" w:hAnsi="Arial" w:cs="Arial"/>
          <w:sz w:val="24"/>
          <w:szCs w:val="24"/>
          <w:lang w:val="en-GB"/>
        </w:rPr>
        <w:t>mEq</w:t>
      </w:r>
      <w:proofErr w:type="spellEnd"/>
      <w:r w:rsidRPr="00CF4898">
        <w:rPr>
          <w:rFonts w:ascii="Arial" w:hAnsi="Arial" w:cs="Arial"/>
          <w:sz w:val="24"/>
          <w:szCs w:val="24"/>
          <w:lang w:val="en-GB"/>
        </w:rPr>
        <w:t>/L</w:t>
      </w:r>
      <w:r w:rsidR="0072368D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2C4E7D" w:rsidRPr="00CF4898">
        <w:rPr>
          <w:rFonts w:ascii="Arial" w:hAnsi="Arial" w:cs="Arial"/>
          <w:sz w:val="24"/>
          <w:szCs w:val="24"/>
          <w:lang w:val="en-GB"/>
        </w:rPr>
        <w:t>(n=14</w:t>
      </w:r>
      <w:r w:rsidR="00B97F39" w:rsidRPr="00CF4898">
        <w:rPr>
          <w:rFonts w:ascii="Arial" w:hAnsi="Arial" w:cs="Arial"/>
          <w:sz w:val="24"/>
          <w:szCs w:val="24"/>
          <w:lang w:val="en-GB"/>
        </w:rPr>
        <w:t>6</w:t>
      </w:r>
      <w:r w:rsidR="002C4E7D" w:rsidRPr="00CF4898">
        <w:rPr>
          <w:rFonts w:ascii="Arial" w:hAnsi="Arial" w:cs="Arial"/>
          <w:sz w:val="24"/>
          <w:szCs w:val="24"/>
          <w:lang w:val="en-GB"/>
        </w:rPr>
        <w:t xml:space="preserve">) </w:t>
      </w:r>
      <w:r w:rsidR="0072368D" w:rsidRPr="00CF4898">
        <w:rPr>
          <w:rFonts w:ascii="Arial" w:hAnsi="Arial" w:cs="Arial"/>
          <w:sz w:val="24"/>
          <w:szCs w:val="24"/>
          <w:lang w:val="en-GB"/>
        </w:rPr>
        <w:t>concomitant use of antidiabetics</w:t>
      </w:r>
      <w:r w:rsidR="00A75FFA" w:rsidRPr="00CF4898">
        <w:rPr>
          <w:rFonts w:ascii="Arial" w:hAnsi="Arial" w:cs="Arial"/>
          <w:sz w:val="24"/>
          <w:szCs w:val="24"/>
          <w:lang w:val="en-GB"/>
        </w:rPr>
        <w:t xml:space="preserve"> (n=5)</w:t>
      </w:r>
      <w:r w:rsidR="0072368D" w:rsidRPr="00CF4898">
        <w:rPr>
          <w:rFonts w:ascii="Arial" w:hAnsi="Arial" w:cs="Arial"/>
          <w:sz w:val="24"/>
          <w:szCs w:val="24"/>
          <w:lang w:val="en-GB"/>
        </w:rPr>
        <w:t xml:space="preserve">, </w:t>
      </w:r>
      <w:r w:rsidR="009E716E" w:rsidRPr="00CF4898">
        <w:rPr>
          <w:rFonts w:ascii="Arial" w:hAnsi="Arial" w:cs="Arial"/>
          <w:sz w:val="24"/>
          <w:szCs w:val="24"/>
          <w:lang w:val="en-GB"/>
        </w:rPr>
        <w:t xml:space="preserve">NSAIDS </w:t>
      </w:r>
      <w:r w:rsidR="00A75FFA" w:rsidRPr="00CF4898">
        <w:rPr>
          <w:rFonts w:ascii="Arial" w:hAnsi="Arial" w:cs="Arial"/>
          <w:sz w:val="24"/>
          <w:szCs w:val="24"/>
          <w:lang w:val="en-GB"/>
        </w:rPr>
        <w:t>(n=20)</w:t>
      </w:r>
      <w:r w:rsidR="0072368D" w:rsidRPr="00CF4898">
        <w:rPr>
          <w:rFonts w:ascii="Arial" w:hAnsi="Arial" w:cs="Arial"/>
          <w:sz w:val="24"/>
          <w:szCs w:val="24"/>
          <w:lang w:val="en-GB"/>
        </w:rPr>
        <w:t>, antipsychotics</w:t>
      </w:r>
      <w:r w:rsidR="00A75FFA" w:rsidRPr="00CF4898">
        <w:rPr>
          <w:rFonts w:ascii="Arial" w:hAnsi="Arial" w:cs="Arial"/>
          <w:sz w:val="24"/>
          <w:szCs w:val="24"/>
          <w:lang w:val="en-GB"/>
        </w:rPr>
        <w:t xml:space="preserve"> (n=15)</w:t>
      </w:r>
      <w:r w:rsidR="0072368D" w:rsidRPr="00CF4898">
        <w:rPr>
          <w:rFonts w:ascii="Arial" w:hAnsi="Arial" w:cs="Arial"/>
          <w:sz w:val="24"/>
          <w:szCs w:val="24"/>
          <w:lang w:val="en-GB"/>
        </w:rPr>
        <w:t>, antidepress</w:t>
      </w:r>
      <w:r w:rsidR="009E716E" w:rsidRPr="00CF4898">
        <w:rPr>
          <w:rFonts w:ascii="Arial" w:hAnsi="Arial" w:cs="Arial"/>
          <w:sz w:val="24"/>
          <w:szCs w:val="24"/>
          <w:lang w:val="en-GB"/>
        </w:rPr>
        <w:t>ants</w:t>
      </w:r>
      <w:r w:rsidR="00A75FFA" w:rsidRPr="00CF4898">
        <w:rPr>
          <w:rFonts w:ascii="Arial" w:hAnsi="Arial" w:cs="Arial"/>
          <w:sz w:val="24"/>
          <w:szCs w:val="24"/>
          <w:lang w:val="en-GB"/>
        </w:rPr>
        <w:t xml:space="preserve"> (n=10)</w:t>
      </w:r>
      <w:r w:rsidR="0072368D" w:rsidRPr="00CF4898">
        <w:rPr>
          <w:rFonts w:ascii="Arial" w:hAnsi="Arial" w:cs="Arial"/>
          <w:sz w:val="24"/>
          <w:szCs w:val="24"/>
          <w:lang w:val="en-GB"/>
        </w:rPr>
        <w:t>, antihypertensive</w:t>
      </w:r>
      <w:r w:rsidR="009E716E" w:rsidRPr="00CF4898">
        <w:rPr>
          <w:rFonts w:ascii="Arial" w:hAnsi="Arial" w:cs="Arial"/>
          <w:sz w:val="24"/>
          <w:szCs w:val="24"/>
          <w:lang w:val="en-GB"/>
        </w:rPr>
        <w:t xml:space="preserve"> drugs</w:t>
      </w:r>
      <w:r w:rsidR="00D9509E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A75FFA" w:rsidRPr="00CF4898">
        <w:rPr>
          <w:rFonts w:ascii="Arial" w:hAnsi="Arial" w:cs="Arial"/>
          <w:sz w:val="24"/>
          <w:szCs w:val="24"/>
          <w:lang w:val="en-GB"/>
        </w:rPr>
        <w:t>(n=25)</w:t>
      </w:r>
      <w:r w:rsidR="0072368D" w:rsidRPr="00CF4898">
        <w:rPr>
          <w:rFonts w:ascii="Arial" w:hAnsi="Arial" w:cs="Arial"/>
          <w:sz w:val="24"/>
          <w:szCs w:val="24"/>
          <w:lang w:val="en-GB"/>
        </w:rPr>
        <w:t xml:space="preserve"> (especially diuretics</w:t>
      </w:r>
      <w:r w:rsidR="00AE1980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A75FFA" w:rsidRPr="00CF4898">
        <w:rPr>
          <w:rFonts w:ascii="Arial" w:hAnsi="Arial" w:cs="Arial"/>
          <w:sz w:val="24"/>
          <w:szCs w:val="24"/>
          <w:lang w:val="en-GB"/>
        </w:rPr>
        <w:t>(</w:t>
      </w:r>
      <w:r w:rsidR="006D2D73" w:rsidRPr="00CF4898">
        <w:rPr>
          <w:rFonts w:ascii="Arial" w:hAnsi="Arial" w:cs="Arial"/>
          <w:sz w:val="24"/>
          <w:szCs w:val="24"/>
          <w:lang w:val="en-GB"/>
        </w:rPr>
        <w:t>n=</w:t>
      </w:r>
      <w:r w:rsidR="00A75FFA" w:rsidRPr="00CF4898">
        <w:rPr>
          <w:rFonts w:ascii="Arial" w:hAnsi="Arial" w:cs="Arial"/>
          <w:sz w:val="24"/>
          <w:szCs w:val="24"/>
          <w:lang w:val="en-GB"/>
        </w:rPr>
        <w:t>4)</w:t>
      </w:r>
      <w:r w:rsidR="0072368D" w:rsidRPr="00CF4898">
        <w:rPr>
          <w:rFonts w:ascii="Arial" w:hAnsi="Arial" w:cs="Arial"/>
          <w:sz w:val="24"/>
          <w:szCs w:val="24"/>
          <w:lang w:val="en-GB"/>
        </w:rPr>
        <w:t xml:space="preserve"> and </w:t>
      </w:r>
      <w:r w:rsidR="009E716E" w:rsidRPr="00CF4898">
        <w:rPr>
          <w:rFonts w:ascii="Arial" w:hAnsi="Arial" w:cs="Arial"/>
          <w:sz w:val="24"/>
          <w:szCs w:val="24"/>
          <w:lang w:val="en-GB"/>
        </w:rPr>
        <w:t xml:space="preserve">ACE </w:t>
      </w:r>
      <w:r w:rsidR="0072368D" w:rsidRPr="00CF4898">
        <w:rPr>
          <w:rFonts w:ascii="Arial" w:hAnsi="Arial" w:cs="Arial"/>
          <w:sz w:val="24"/>
          <w:szCs w:val="24"/>
          <w:lang w:val="en-GB"/>
        </w:rPr>
        <w:t>inhibitors</w:t>
      </w:r>
      <w:r w:rsidR="00AE1980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A75FFA" w:rsidRPr="00CF4898">
        <w:rPr>
          <w:rFonts w:ascii="Arial" w:hAnsi="Arial" w:cs="Arial"/>
          <w:sz w:val="24"/>
          <w:szCs w:val="24"/>
          <w:lang w:val="en-GB"/>
        </w:rPr>
        <w:t>(</w:t>
      </w:r>
      <w:r w:rsidR="006D2D73" w:rsidRPr="00CF4898">
        <w:rPr>
          <w:rFonts w:ascii="Arial" w:hAnsi="Arial" w:cs="Arial"/>
          <w:sz w:val="24"/>
          <w:szCs w:val="24"/>
          <w:lang w:val="en-GB"/>
        </w:rPr>
        <w:t>n=</w:t>
      </w:r>
      <w:r w:rsidR="00A75FFA" w:rsidRPr="00CF4898">
        <w:rPr>
          <w:rFonts w:ascii="Arial" w:hAnsi="Arial" w:cs="Arial"/>
          <w:sz w:val="24"/>
          <w:szCs w:val="24"/>
          <w:lang w:val="en-GB"/>
        </w:rPr>
        <w:t>8)</w:t>
      </w:r>
      <w:r w:rsidR="006D2D73" w:rsidRPr="00CF4898">
        <w:rPr>
          <w:rFonts w:ascii="Arial" w:hAnsi="Arial" w:cs="Arial"/>
          <w:sz w:val="24"/>
          <w:szCs w:val="24"/>
          <w:lang w:val="en-GB"/>
        </w:rPr>
        <w:t>)</w:t>
      </w:r>
      <w:r w:rsidR="00A75FFA" w:rsidRPr="00CF4898">
        <w:rPr>
          <w:rFonts w:ascii="Arial" w:hAnsi="Arial" w:cs="Arial"/>
          <w:sz w:val="24"/>
          <w:szCs w:val="24"/>
          <w:lang w:val="en-GB"/>
        </w:rPr>
        <w:t xml:space="preserve"> and proton</w:t>
      </w:r>
      <w:r w:rsidR="009E716E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A75FFA" w:rsidRPr="00CF4898">
        <w:rPr>
          <w:rFonts w:ascii="Arial" w:hAnsi="Arial" w:cs="Arial"/>
          <w:sz w:val="24"/>
          <w:szCs w:val="24"/>
          <w:lang w:val="en-GB"/>
        </w:rPr>
        <w:t>pomp</w:t>
      </w:r>
      <w:r w:rsidR="009E716E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A75FFA" w:rsidRPr="00CF4898">
        <w:rPr>
          <w:rFonts w:ascii="Arial" w:hAnsi="Arial" w:cs="Arial"/>
          <w:sz w:val="24"/>
          <w:szCs w:val="24"/>
          <w:lang w:val="en-GB"/>
        </w:rPr>
        <w:t>inhibitors</w:t>
      </w:r>
      <w:r w:rsidR="00AE1980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A75FFA" w:rsidRPr="00CF4898">
        <w:rPr>
          <w:rFonts w:ascii="Arial" w:hAnsi="Arial" w:cs="Arial"/>
          <w:sz w:val="24"/>
          <w:szCs w:val="24"/>
          <w:lang w:val="en-GB"/>
        </w:rPr>
        <w:t>(n=16) was</w:t>
      </w:r>
      <w:r w:rsidR="0072368D" w:rsidRPr="00CF4898">
        <w:rPr>
          <w:rFonts w:ascii="Arial" w:hAnsi="Arial" w:cs="Arial"/>
          <w:sz w:val="24"/>
          <w:szCs w:val="24"/>
          <w:lang w:val="en-GB"/>
        </w:rPr>
        <w:t xml:space="preserve"> checked. </w:t>
      </w:r>
      <w:r w:rsidR="00AE1980" w:rsidRPr="00CF4898">
        <w:rPr>
          <w:rFonts w:ascii="Arial" w:hAnsi="Arial" w:cs="Arial"/>
          <w:sz w:val="24"/>
          <w:szCs w:val="24"/>
          <w:lang w:val="en-GB"/>
        </w:rPr>
        <w:t>I</w:t>
      </w:r>
      <w:r w:rsidR="00954D3C" w:rsidRPr="00CF4898">
        <w:rPr>
          <w:rFonts w:ascii="Arial" w:hAnsi="Arial" w:cs="Arial"/>
          <w:sz w:val="24"/>
          <w:szCs w:val="24"/>
          <w:lang w:val="en-GB"/>
        </w:rPr>
        <w:t xml:space="preserve">n </w:t>
      </w:r>
      <w:r w:rsidR="00FA00A1" w:rsidRPr="00CF4898">
        <w:rPr>
          <w:rFonts w:ascii="Arial" w:hAnsi="Arial" w:cs="Arial"/>
          <w:sz w:val="24"/>
          <w:szCs w:val="24"/>
          <w:lang w:val="en-GB"/>
        </w:rPr>
        <w:t>those</w:t>
      </w:r>
      <w:r w:rsidR="00954D3C" w:rsidRPr="00CF4898">
        <w:rPr>
          <w:rFonts w:ascii="Arial" w:hAnsi="Arial" w:cs="Arial"/>
          <w:sz w:val="24"/>
          <w:szCs w:val="24"/>
          <w:lang w:val="en-GB"/>
        </w:rPr>
        <w:t xml:space="preserve"> treated with OXC</w:t>
      </w:r>
      <w:r w:rsidR="006D2D73" w:rsidRPr="00CF4898">
        <w:rPr>
          <w:rFonts w:ascii="Arial" w:hAnsi="Arial" w:cs="Arial"/>
          <w:sz w:val="24"/>
          <w:szCs w:val="24"/>
          <w:lang w:val="en-GB"/>
        </w:rPr>
        <w:t>,</w:t>
      </w:r>
      <w:r w:rsidR="00954D3C" w:rsidRPr="00CF4898">
        <w:rPr>
          <w:rFonts w:ascii="Arial" w:hAnsi="Arial" w:cs="Arial"/>
          <w:sz w:val="24"/>
          <w:szCs w:val="24"/>
          <w:lang w:val="en-GB"/>
        </w:rPr>
        <w:t xml:space="preserve"> additional use of antihypertensive</w:t>
      </w:r>
      <w:r w:rsidR="009E716E" w:rsidRPr="00CF4898">
        <w:rPr>
          <w:rFonts w:ascii="Arial" w:hAnsi="Arial" w:cs="Arial"/>
          <w:sz w:val="24"/>
          <w:szCs w:val="24"/>
          <w:lang w:val="en-GB"/>
        </w:rPr>
        <w:t xml:space="preserve"> drugs</w:t>
      </w:r>
      <w:r w:rsidR="00954D3C" w:rsidRPr="00CF4898">
        <w:rPr>
          <w:rFonts w:ascii="Arial" w:hAnsi="Arial" w:cs="Arial"/>
          <w:sz w:val="24"/>
          <w:szCs w:val="24"/>
          <w:lang w:val="en-GB"/>
        </w:rPr>
        <w:t xml:space="preserve"> and </w:t>
      </w:r>
      <w:r w:rsidR="004D6985" w:rsidRPr="00CF4898">
        <w:rPr>
          <w:rFonts w:ascii="Arial" w:hAnsi="Arial" w:cs="Arial"/>
          <w:sz w:val="24"/>
          <w:szCs w:val="24"/>
          <w:lang w:val="en-GB"/>
        </w:rPr>
        <w:t xml:space="preserve">use of </w:t>
      </w:r>
      <w:r w:rsidR="00954D3C" w:rsidRPr="00CF4898">
        <w:rPr>
          <w:rFonts w:ascii="Arial" w:hAnsi="Arial" w:cs="Arial"/>
          <w:sz w:val="24"/>
          <w:szCs w:val="24"/>
          <w:lang w:val="en-GB"/>
        </w:rPr>
        <w:t>co</w:t>
      </w:r>
      <w:r w:rsidR="009E716E" w:rsidRPr="00CF4898">
        <w:rPr>
          <w:rFonts w:ascii="Arial" w:hAnsi="Arial" w:cs="Arial"/>
          <w:sz w:val="24"/>
          <w:szCs w:val="24"/>
          <w:lang w:val="en-GB"/>
        </w:rPr>
        <w:t>-</w:t>
      </w:r>
      <w:r w:rsidR="00954D3C" w:rsidRPr="00CF4898">
        <w:rPr>
          <w:rFonts w:ascii="Arial" w:hAnsi="Arial" w:cs="Arial"/>
          <w:sz w:val="24"/>
          <w:szCs w:val="24"/>
          <w:lang w:val="en-GB"/>
        </w:rPr>
        <w:t xml:space="preserve">medication </w:t>
      </w:r>
      <w:r w:rsidR="004D6985" w:rsidRPr="00CF4898">
        <w:rPr>
          <w:rFonts w:ascii="Arial" w:hAnsi="Arial" w:cs="Arial"/>
          <w:sz w:val="24"/>
          <w:szCs w:val="24"/>
          <w:lang w:val="en-GB"/>
        </w:rPr>
        <w:t>that</w:t>
      </w:r>
      <w:r w:rsidR="009233C4" w:rsidRPr="00CF4898">
        <w:rPr>
          <w:rFonts w:ascii="Arial" w:hAnsi="Arial" w:cs="Arial"/>
          <w:sz w:val="24"/>
          <w:szCs w:val="24"/>
          <w:lang w:val="en-GB"/>
        </w:rPr>
        <w:t>,</w:t>
      </w:r>
      <w:r w:rsidR="004D6985" w:rsidRPr="00CF4898">
        <w:rPr>
          <w:rFonts w:ascii="Arial" w:hAnsi="Arial" w:cs="Arial"/>
          <w:sz w:val="24"/>
          <w:szCs w:val="24"/>
          <w:lang w:val="en-GB"/>
        </w:rPr>
        <w:t xml:space="preserve"> </w:t>
      </w:r>
      <w:r w:rsidR="009233C4" w:rsidRPr="00CF4898">
        <w:rPr>
          <w:rFonts w:ascii="Arial" w:hAnsi="Arial" w:cs="Arial"/>
          <w:sz w:val="24"/>
          <w:szCs w:val="24"/>
          <w:lang w:val="en-GB"/>
        </w:rPr>
        <w:t xml:space="preserve">as a group, </w:t>
      </w:r>
      <w:r w:rsidR="004D6985" w:rsidRPr="00CF4898">
        <w:rPr>
          <w:rFonts w:ascii="Arial" w:hAnsi="Arial" w:cs="Arial"/>
          <w:sz w:val="24"/>
          <w:szCs w:val="24"/>
          <w:lang w:val="en-GB"/>
        </w:rPr>
        <w:t xml:space="preserve">can influence sodium levels </w:t>
      </w:r>
      <w:r w:rsidR="00954D3C" w:rsidRPr="00CF4898">
        <w:rPr>
          <w:rFonts w:ascii="Arial" w:hAnsi="Arial" w:cs="Arial"/>
          <w:sz w:val="24"/>
          <w:szCs w:val="24"/>
          <w:lang w:val="en-GB"/>
        </w:rPr>
        <w:t>were significantly associated with a lower sodium level</w:t>
      </w:r>
      <w:r w:rsidR="00D063C5" w:rsidRPr="00CF4898">
        <w:rPr>
          <w:rFonts w:ascii="Arial" w:hAnsi="Arial" w:cs="Arial"/>
          <w:sz w:val="24"/>
          <w:szCs w:val="24"/>
          <w:lang w:val="en-GB"/>
        </w:rPr>
        <w:t>.</w:t>
      </w:r>
    </w:p>
    <w:p w14:paraId="2FD21E97" w14:textId="77777777" w:rsidR="00AC276B" w:rsidRDefault="00AC276B">
      <w:pPr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14:paraId="2AEC5F59" w14:textId="77777777" w:rsidR="00F15B79" w:rsidRDefault="00F15B79">
      <w:pPr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14:paraId="4912A0AA" w14:textId="77777777" w:rsidR="00F15B79" w:rsidRDefault="00F15B79">
      <w:pPr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14:paraId="6AAA7099" w14:textId="77777777" w:rsidR="005F4FE9" w:rsidRPr="00AC276B" w:rsidRDefault="004754EE" w:rsidP="0016761F">
      <w:pPr>
        <w:spacing w:line="480" w:lineRule="auto"/>
        <w:rPr>
          <w:rFonts w:ascii="Arial" w:hAnsi="Arial" w:cs="Arial"/>
          <w:b/>
          <w:sz w:val="24"/>
          <w:szCs w:val="24"/>
          <w:lang w:val="en-GB"/>
        </w:rPr>
      </w:pPr>
      <w:r w:rsidRPr="00AC276B">
        <w:rPr>
          <w:rFonts w:ascii="Arial" w:hAnsi="Arial" w:cs="Arial"/>
          <w:b/>
          <w:sz w:val="24"/>
          <w:szCs w:val="24"/>
          <w:lang w:val="en-GB"/>
        </w:rPr>
        <w:lastRenderedPageBreak/>
        <w:t>U</w:t>
      </w:r>
      <w:r w:rsidR="005F4FE9" w:rsidRPr="00AC276B">
        <w:rPr>
          <w:rFonts w:ascii="Arial" w:hAnsi="Arial" w:cs="Arial"/>
          <w:b/>
          <w:sz w:val="24"/>
          <w:szCs w:val="24"/>
          <w:lang w:val="en-GB"/>
        </w:rPr>
        <w:t>sers of CBZ and OXC</w:t>
      </w:r>
      <w:r w:rsidR="00CE4674">
        <w:rPr>
          <w:rFonts w:ascii="Arial" w:hAnsi="Arial" w:cs="Arial"/>
          <w:b/>
          <w:sz w:val="24"/>
          <w:szCs w:val="24"/>
          <w:lang w:val="en-GB"/>
        </w:rPr>
        <w:t xml:space="preserve"> (table 5)</w:t>
      </w:r>
    </w:p>
    <w:p w14:paraId="27AE8B6E" w14:textId="09E61033" w:rsidR="00863F1C" w:rsidRDefault="00D0293B" w:rsidP="00EF301D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AC276B">
        <w:rPr>
          <w:rFonts w:ascii="Arial" w:hAnsi="Arial" w:cs="Arial"/>
          <w:sz w:val="24"/>
          <w:szCs w:val="24"/>
          <w:lang w:val="en-GB"/>
        </w:rPr>
        <w:t>S</w:t>
      </w:r>
      <w:r w:rsidRPr="00AC276B">
        <w:rPr>
          <w:rFonts w:ascii="Arial" w:hAnsi="Arial" w:cs="Arial"/>
          <w:sz w:val="24"/>
          <w:szCs w:val="24"/>
          <w:lang w:val="en-US"/>
        </w:rPr>
        <w:t>odium levels were measured during CBZ and OXC treatment in</w:t>
      </w:r>
      <w:r w:rsidR="003D1AD5" w:rsidRPr="00AC276B">
        <w:rPr>
          <w:rFonts w:ascii="Arial" w:hAnsi="Arial" w:cs="Arial"/>
          <w:sz w:val="24"/>
          <w:szCs w:val="24"/>
          <w:lang w:val="en-US"/>
        </w:rPr>
        <w:t xml:space="preserve"> </w:t>
      </w:r>
      <w:r w:rsidRPr="00AC276B">
        <w:rPr>
          <w:rFonts w:ascii="Arial" w:hAnsi="Arial" w:cs="Arial"/>
          <w:sz w:val="24"/>
          <w:szCs w:val="24"/>
          <w:lang w:val="en-US"/>
        </w:rPr>
        <w:t xml:space="preserve">50 </w:t>
      </w:r>
      <w:r w:rsidR="00D8085B">
        <w:rPr>
          <w:rFonts w:ascii="Arial" w:hAnsi="Arial" w:cs="Arial"/>
          <w:sz w:val="24"/>
          <w:szCs w:val="24"/>
          <w:lang w:val="en-US"/>
        </w:rPr>
        <w:t>individuals</w:t>
      </w:r>
      <w:r w:rsidR="00CF40C7" w:rsidRPr="00AC276B">
        <w:rPr>
          <w:rFonts w:ascii="Arial" w:hAnsi="Arial" w:cs="Arial"/>
          <w:sz w:val="24"/>
          <w:szCs w:val="24"/>
          <w:lang w:val="en-US"/>
        </w:rPr>
        <w:t xml:space="preserve"> who used </w:t>
      </w:r>
      <w:r w:rsidR="00D8085B">
        <w:rPr>
          <w:rFonts w:ascii="Arial" w:hAnsi="Arial" w:cs="Arial"/>
          <w:sz w:val="24"/>
          <w:szCs w:val="24"/>
          <w:lang w:val="en-US"/>
        </w:rPr>
        <w:t>the</w:t>
      </w:r>
      <w:r w:rsidR="00572299">
        <w:rPr>
          <w:rFonts w:ascii="Arial" w:hAnsi="Arial" w:cs="Arial"/>
          <w:sz w:val="24"/>
          <w:szCs w:val="24"/>
          <w:lang w:val="en-US"/>
        </w:rPr>
        <w:t xml:space="preserve"> </w:t>
      </w:r>
      <w:r w:rsidR="00CF40C7" w:rsidRPr="00071A7B">
        <w:rPr>
          <w:rFonts w:ascii="Arial" w:hAnsi="Arial" w:cs="Arial"/>
          <w:sz w:val="24"/>
          <w:szCs w:val="24"/>
          <w:lang w:val="en-US"/>
        </w:rPr>
        <w:t>drugs</w:t>
      </w:r>
      <w:r w:rsidR="0043248C" w:rsidRPr="00071A7B">
        <w:rPr>
          <w:rFonts w:ascii="Arial" w:hAnsi="Arial" w:cs="Arial"/>
          <w:sz w:val="24"/>
          <w:szCs w:val="24"/>
          <w:lang w:val="en-US"/>
        </w:rPr>
        <w:t xml:space="preserve"> </w:t>
      </w:r>
      <w:r w:rsidR="00851327" w:rsidRPr="00071A7B">
        <w:rPr>
          <w:rFonts w:ascii="Arial" w:hAnsi="Arial" w:cs="Arial"/>
          <w:sz w:val="24"/>
          <w:szCs w:val="24"/>
          <w:lang w:val="en-US"/>
        </w:rPr>
        <w:t>sequent</w:t>
      </w:r>
      <w:r w:rsidR="00071A7B" w:rsidRPr="00071A7B">
        <w:rPr>
          <w:rFonts w:ascii="Arial" w:hAnsi="Arial" w:cs="Arial"/>
          <w:sz w:val="24"/>
          <w:szCs w:val="24"/>
          <w:lang w:val="en-US"/>
        </w:rPr>
        <w:t>ial</w:t>
      </w:r>
      <w:r w:rsidR="00851327" w:rsidRPr="00071A7B">
        <w:rPr>
          <w:rFonts w:ascii="Arial" w:hAnsi="Arial" w:cs="Arial"/>
          <w:sz w:val="24"/>
          <w:szCs w:val="24"/>
          <w:lang w:val="en-US"/>
        </w:rPr>
        <w:t>ly</w:t>
      </w:r>
      <w:r w:rsidR="00572299">
        <w:rPr>
          <w:rFonts w:ascii="Arial" w:hAnsi="Arial" w:cs="Arial"/>
          <w:sz w:val="24"/>
          <w:szCs w:val="24"/>
          <w:lang w:val="en-US"/>
        </w:rPr>
        <w:t xml:space="preserve"> (</w:t>
      </w:r>
      <w:r w:rsidR="00572299" w:rsidRPr="00D92106">
        <w:rPr>
          <w:rFonts w:ascii="Arial" w:hAnsi="Arial" w:cs="Arial"/>
          <w:sz w:val="24"/>
          <w:szCs w:val="24"/>
          <w:lang w:val="en-US"/>
        </w:rPr>
        <w:t xml:space="preserve">64% </w:t>
      </w:r>
      <w:r w:rsidR="00572299">
        <w:rPr>
          <w:rFonts w:ascii="Arial" w:hAnsi="Arial" w:cs="Arial"/>
          <w:sz w:val="24"/>
          <w:szCs w:val="24"/>
          <w:lang w:val="en-US"/>
        </w:rPr>
        <w:t xml:space="preserve">had </w:t>
      </w:r>
      <w:r w:rsidR="00572299" w:rsidRPr="00D92106">
        <w:rPr>
          <w:rFonts w:ascii="Arial" w:hAnsi="Arial" w:cs="Arial"/>
          <w:sz w:val="24"/>
          <w:szCs w:val="24"/>
          <w:lang w:val="en-US"/>
        </w:rPr>
        <w:t>CBZ first</w:t>
      </w:r>
      <w:r w:rsidR="00DE45F2">
        <w:rPr>
          <w:rFonts w:ascii="Arial" w:hAnsi="Arial" w:cs="Arial"/>
          <w:sz w:val="24"/>
          <w:szCs w:val="24"/>
          <w:lang w:val="en-US"/>
        </w:rPr>
        <w:t xml:space="preserve"> </w:t>
      </w:r>
      <w:r w:rsidR="00572299">
        <w:rPr>
          <w:rFonts w:ascii="Arial" w:hAnsi="Arial" w:cs="Arial"/>
          <w:sz w:val="24"/>
          <w:szCs w:val="24"/>
          <w:lang w:val="en-US"/>
        </w:rPr>
        <w:t xml:space="preserve">then had </w:t>
      </w:r>
      <w:r w:rsidR="00572299" w:rsidRPr="00D92106">
        <w:rPr>
          <w:rFonts w:ascii="Arial" w:hAnsi="Arial" w:cs="Arial"/>
          <w:sz w:val="24"/>
          <w:szCs w:val="24"/>
          <w:lang w:val="en-US"/>
        </w:rPr>
        <w:t>OXC</w:t>
      </w:r>
      <w:r w:rsidR="00572299">
        <w:rPr>
          <w:rFonts w:ascii="Arial" w:hAnsi="Arial" w:cs="Arial"/>
          <w:sz w:val="24"/>
          <w:szCs w:val="24"/>
          <w:lang w:val="en-US"/>
        </w:rPr>
        <w:t>)</w:t>
      </w:r>
      <w:r w:rsidR="003D1AD5" w:rsidRPr="00071A7B">
        <w:rPr>
          <w:rFonts w:ascii="Arial" w:hAnsi="Arial" w:cs="Arial"/>
          <w:sz w:val="24"/>
          <w:szCs w:val="24"/>
          <w:lang w:val="en-US"/>
        </w:rPr>
        <w:t>.</w:t>
      </w:r>
      <w:r w:rsidR="005F4FE9" w:rsidRPr="00071A7B">
        <w:rPr>
          <w:rFonts w:ascii="Arial" w:hAnsi="Arial" w:cs="Arial"/>
          <w:sz w:val="24"/>
          <w:szCs w:val="24"/>
          <w:lang w:val="en-US"/>
        </w:rPr>
        <w:t xml:space="preserve"> </w:t>
      </w:r>
      <w:r w:rsidRPr="006902CB">
        <w:rPr>
          <w:rFonts w:ascii="Arial" w:hAnsi="Arial" w:cs="Arial"/>
          <w:sz w:val="24"/>
          <w:szCs w:val="24"/>
          <w:lang w:val="en-US"/>
        </w:rPr>
        <w:t>M</w:t>
      </w:r>
      <w:r w:rsidR="005F4FE9" w:rsidRPr="006902CB">
        <w:rPr>
          <w:rFonts w:ascii="Arial" w:hAnsi="Arial" w:cs="Arial"/>
          <w:sz w:val="24"/>
          <w:szCs w:val="24"/>
          <w:lang w:val="en-US"/>
        </w:rPr>
        <w:t xml:space="preserve">ean sodium levels were significantly lower </w:t>
      </w:r>
      <w:r w:rsidRPr="006902CB">
        <w:rPr>
          <w:rFonts w:ascii="Arial" w:hAnsi="Arial" w:cs="Arial"/>
          <w:sz w:val="24"/>
          <w:szCs w:val="24"/>
          <w:lang w:val="en-US"/>
        </w:rPr>
        <w:t xml:space="preserve">on </w:t>
      </w:r>
      <w:r w:rsidR="005F4FE9" w:rsidRPr="006902CB">
        <w:rPr>
          <w:rFonts w:ascii="Arial" w:hAnsi="Arial" w:cs="Arial"/>
          <w:sz w:val="24"/>
          <w:szCs w:val="24"/>
          <w:lang w:val="en-US"/>
        </w:rPr>
        <w:t>OXC</w:t>
      </w:r>
      <w:r w:rsidR="000B3F56" w:rsidRPr="006902CB">
        <w:rPr>
          <w:rFonts w:ascii="Arial" w:hAnsi="Arial" w:cs="Arial"/>
          <w:sz w:val="24"/>
          <w:szCs w:val="24"/>
          <w:lang w:val="en-US"/>
        </w:rPr>
        <w:t xml:space="preserve"> (131 </w:t>
      </w:r>
      <w:proofErr w:type="spellStart"/>
      <w:r w:rsidR="000B3F56" w:rsidRPr="006902CB">
        <w:rPr>
          <w:rFonts w:ascii="Arial" w:hAnsi="Arial" w:cs="Arial"/>
          <w:sz w:val="24"/>
          <w:szCs w:val="24"/>
          <w:lang w:val="en-US"/>
        </w:rPr>
        <w:t>mEq</w:t>
      </w:r>
      <w:proofErr w:type="spellEnd"/>
      <w:r w:rsidR="000B3F56" w:rsidRPr="006902CB">
        <w:rPr>
          <w:rFonts w:ascii="Arial" w:hAnsi="Arial" w:cs="Arial"/>
          <w:sz w:val="24"/>
          <w:szCs w:val="24"/>
          <w:lang w:val="en-US"/>
        </w:rPr>
        <w:t>/L)</w:t>
      </w:r>
      <w:r w:rsidR="005F4FE9" w:rsidRPr="006902CB">
        <w:rPr>
          <w:rFonts w:ascii="Arial" w:hAnsi="Arial" w:cs="Arial"/>
          <w:sz w:val="24"/>
          <w:szCs w:val="24"/>
          <w:lang w:val="en-US"/>
        </w:rPr>
        <w:t xml:space="preserve"> </w:t>
      </w:r>
      <w:r w:rsidRPr="006902CB">
        <w:rPr>
          <w:rFonts w:ascii="Arial" w:hAnsi="Arial" w:cs="Arial"/>
          <w:sz w:val="24"/>
          <w:szCs w:val="24"/>
          <w:lang w:val="en-US"/>
        </w:rPr>
        <w:t xml:space="preserve">when </w:t>
      </w:r>
      <w:r w:rsidR="005F4FE9" w:rsidRPr="006902CB">
        <w:rPr>
          <w:rFonts w:ascii="Arial" w:hAnsi="Arial" w:cs="Arial"/>
          <w:sz w:val="24"/>
          <w:szCs w:val="24"/>
          <w:lang w:val="en-US"/>
        </w:rPr>
        <w:t xml:space="preserve">compared to CBZ </w:t>
      </w:r>
      <w:r w:rsidRPr="006902CB">
        <w:rPr>
          <w:rFonts w:ascii="Arial" w:hAnsi="Arial" w:cs="Arial"/>
          <w:sz w:val="24"/>
          <w:szCs w:val="24"/>
          <w:lang w:val="en-US"/>
        </w:rPr>
        <w:t>treatment</w:t>
      </w:r>
      <w:r w:rsidR="000B3F56" w:rsidRPr="006902CB">
        <w:rPr>
          <w:rFonts w:ascii="Arial" w:hAnsi="Arial" w:cs="Arial"/>
          <w:sz w:val="24"/>
          <w:szCs w:val="24"/>
          <w:lang w:val="en-US"/>
        </w:rPr>
        <w:t xml:space="preserve"> (135 </w:t>
      </w:r>
      <w:proofErr w:type="spellStart"/>
      <w:r w:rsidR="000B3F56" w:rsidRPr="006902CB">
        <w:rPr>
          <w:rFonts w:ascii="Arial" w:hAnsi="Arial" w:cs="Arial"/>
          <w:sz w:val="24"/>
          <w:szCs w:val="24"/>
          <w:lang w:val="en-US"/>
        </w:rPr>
        <w:t>mEq</w:t>
      </w:r>
      <w:proofErr w:type="spellEnd"/>
      <w:r w:rsidR="000B3F56" w:rsidRPr="006902CB">
        <w:rPr>
          <w:rFonts w:ascii="Arial" w:hAnsi="Arial" w:cs="Arial"/>
          <w:sz w:val="24"/>
          <w:szCs w:val="24"/>
          <w:lang w:val="en-US"/>
        </w:rPr>
        <w:t>/L</w:t>
      </w:r>
      <w:r w:rsidR="00D73E36" w:rsidRPr="006902CB">
        <w:rPr>
          <w:rFonts w:ascii="Arial" w:hAnsi="Arial" w:cs="Arial"/>
          <w:sz w:val="24"/>
          <w:szCs w:val="24"/>
          <w:lang w:val="en-US"/>
        </w:rPr>
        <w:t xml:space="preserve">, </w:t>
      </w:r>
      <w:r w:rsidR="00D73E36" w:rsidRPr="006902CB">
        <w:rPr>
          <w:rFonts w:ascii="Arial" w:hAnsi="Arial" w:cs="Arial"/>
          <w:i/>
          <w:sz w:val="24"/>
          <w:szCs w:val="24"/>
          <w:lang w:val="en-US"/>
        </w:rPr>
        <w:t>p</w:t>
      </w:r>
      <w:r w:rsidR="00D73E36" w:rsidRPr="006902CB">
        <w:rPr>
          <w:rFonts w:ascii="Arial" w:hAnsi="Arial" w:cs="Arial"/>
          <w:sz w:val="24"/>
          <w:szCs w:val="24"/>
          <w:lang w:val="en-US"/>
        </w:rPr>
        <w:t>&lt;0.001)</w:t>
      </w:r>
      <w:r w:rsidR="005F4FE9" w:rsidRPr="006902CB">
        <w:rPr>
          <w:rFonts w:ascii="Arial" w:hAnsi="Arial" w:cs="Arial"/>
          <w:sz w:val="24"/>
          <w:szCs w:val="24"/>
          <w:lang w:val="en-US"/>
        </w:rPr>
        <w:t xml:space="preserve">. </w:t>
      </w:r>
      <w:r w:rsidR="00095686" w:rsidRPr="006902CB">
        <w:rPr>
          <w:rFonts w:ascii="Arial" w:hAnsi="Arial" w:cs="Arial"/>
          <w:sz w:val="24"/>
          <w:szCs w:val="24"/>
          <w:lang w:val="en-US"/>
        </w:rPr>
        <w:t>Hyponatremia was</w:t>
      </w:r>
      <w:r w:rsidR="00651580" w:rsidRPr="006902CB">
        <w:rPr>
          <w:rFonts w:ascii="Arial" w:hAnsi="Arial" w:cs="Arial"/>
          <w:sz w:val="24"/>
          <w:szCs w:val="24"/>
          <w:lang w:val="en-US"/>
        </w:rPr>
        <w:t xml:space="preserve"> seen</w:t>
      </w:r>
      <w:r w:rsidR="00095686" w:rsidRPr="006902CB">
        <w:rPr>
          <w:rFonts w:ascii="Arial" w:hAnsi="Arial" w:cs="Arial"/>
          <w:sz w:val="24"/>
          <w:szCs w:val="24"/>
          <w:lang w:val="en-US"/>
        </w:rPr>
        <w:t xml:space="preserve"> </w:t>
      </w:r>
      <w:r w:rsidR="00651580" w:rsidRPr="006902CB">
        <w:rPr>
          <w:rFonts w:ascii="Arial" w:hAnsi="Arial" w:cs="Arial"/>
          <w:sz w:val="24"/>
          <w:szCs w:val="24"/>
          <w:lang w:val="en-US"/>
        </w:rPr>
        <w:t>more frequent</w:t>
      </w:r>
      <w:r w:rsidR="006D6D2F">
        <w:rPr>
          <w:rFonts w:ascii="Arial" w:hAnsi="Arial" w:cs="Arial"/>
          <w:sz w:val="24"/>
          <w:szCs w:val="24"/>
          <w:lang w:val="en-US"/>
        </w:rPr>
        <w:t>ly</w:t>
      </w:r>
      <w:r w:rsidR="00651580" w:rsidRPr="006902CB">
        <w:rPr>
          <w:rFonts w:ascii="Arial" w:hAnsi="Arial" w:cs="Arial"/>
          <w:sz w:val="24"/>
          <w:szCs w:val="24"/>
          <w:lang w:val="en-US"/>
        </w:rPr>
        <w:t xml:space="preserve"> than in the total cohort</w:t>
      </w:r>
      <w:r w:rsidR="00357A02" w:rsidRPr="006902CB">
        <w:rPr>
          <w:rFonts w:ascii="Arial" w:hAnsi="Arial" w:cs="Arial"/>
          <w:sz w:val="24"/>
          <w:szCs w:val="24"/>
          <w:lang w:val="en-US"/>
        </w:rPr>
        <w:t xml:space="preserve">; </w:t>
      </w:r>
      <w:r w:rsidR="00651580" w:rsidRPr="006902CB">
        <w:rPr>
          <w:rFonts w:ascii="Arial" w:hAnsi="Arial" w:cs="Arial"/>
          <w:sz w:val="24"/>
          <w:szCs w:val="24"/>
          <w:lang w:val="en-US"/>
        </w:rPr>
        <w:t>during CBZ use in 40%</w:t>
      </w:r>
      <w:r w:rsidR="00357A02" w:rsidRPr="006902CB">
        <w:rPr>
          <w:rFonts w:ascii="Arial" w:hAnsi="Arial" w:cs="Arial"/>
          <w:sz w:val="24"/>
          <w:szCs w:val="24"/>
          <w:lang w:val="en-US"/>
        </w:rPr>
        <w:t xml:space="preserve"> (</w:t>
      </w:r>
      <w:r w:rsidR="00651580" w:rsidRPr="006902CB">
        <w:rPr>
          <w:rFonts w:ascii="Arial" w:hAnsi="Arial" w:cs="Arial"/>
          <w:sz w:val="24"/>
          <w:szCs w:val="24"/>
          <w:lang w:val="en-US"/>
        </w:rPr>
        <w:t>20/50</w:t>
      </w:r>
      <w:r w:rsidR="00357A02" w:rsidRPr="006902CB">
        <w:rPr>
          <w:rFonts w:ascii="Arial" w:hAnsi="Arial" w:cs="Arial"/>
          <w:sz w:val="24"/>
          <w:szCs w:val="24"/>
          <w:lang w:val="en-US"/>
        </w:rPr>
        <w:t>)</w:t>
      </w:r>
      <w:r w:rsidR="00CF40C7" w:rsidRPr="006902CB">
        <w:rPr>
          <w:rFonts w:ascii="Arial" w:hAnsi="Arial" w:cs="Arial"/>
          <w:sz w:val="24"/>
          <w:szCs w:val="24"/>
          <w:lang w:val="en-US"/>
        </w:rPr>
        <w:t xml:space="preserve"> and</w:t>
      </w:r>
      <w:r w:rsidR="00651580" w:rsidRPr="006902CB">
        <w:rPr>
          <w:rFonts w:ascii="Arial" w:hAnsi="Arial" w:cs="Arial"/>
          <w:sz w:val="24"/>
          <w:szCs w:val="24"/>
          <w:lang w:val="en-US"/>
        </w:rPr>
        <w:t xml:space="preserve"> during OXC use in 68%</w:t>
      </w:r>
      <w:r w:rsidR="00357A02" w:rsidRPr="006902CB">
        <w:rPr>
          <w:rFonts w:ascii="Arial" w:hAnsi="Arial" w:cs="Arial"/>
          <w:sz w:val="24"/>
          <w:szCs w:val="24"/>
          <w:lang w:val="en-US"/>
        </w:rPr>
        <w:t xml:space="preserve"> (</w:t>
      </w:r>
      <w:r w:rsidR="00651580" w:rsidRPr="006902CB">
        <w:rPr>
          <w:rFonts w:ascii="Arial" w:hAnsi="Arial" w:cs="Arial"/>
          <w:sz w:val="24"/>
          <w:szCs w:val="24"/>
          <w:lang w:val="en-US"/>
        </w:rPr>
        <w:t xml:space="preserve">34/50). </w:t>
      </w:r>
      <w:r w:rsidR="003C58CD" w:rsidRPr="006902CB">
        <w:rPr>
          <w:rFonts w:ascii="Arial" w:hAnsi="Arial" w:cs="Arial"/>
          <w:sz w:val="24"/>
          <w:szCs w:val="24"/>
          <w:lang w:val="en-US"/>
        </w:rPr>
        <w:t xml:space="preserve">The risk of hyponatremia on CBZ was significantly associated </w:t>
      </w:r>
      <w:r w:rsidR="00137D5F">
        <w:rPr>
          <w:rFonts w:ascii="Arial" w:hAnsi="Arial" w:cs="Arial"/>
          <w:sz w:val="24"/>
          <w:szCs w:val="24"/>
          <w:lang w:val="en-US"/>
        </w:rPr>
        <w:t>with</w:t>
      </w:r>
      <w:r w:rsidR="00137D5F" w:rsidRPr="006902CB">
        <w:rPr>
          <w:rFonts w:ascii="Arial" w:hAnsi="Arial" w:cs="Arial"/>
          <w:sz w:val="24"/>
          <w:szCs w:val="24"/>
          <w:lang w:val="en-US"/>
        </w:rPr>
        <w:t xml:space="preserve"> </w:t>
      </w:r>
      <w:r w:rsidR="003C58CD" w:rsidRPr="006902CB">
        <w:rPr>
          <w:rFonts w:ascii="Arial" w:hAnsi="Arial" w:cs="Arial"/>
          <w:sz w:val="24"/>
          <w:szCs w:val="24"/>
          <w:lang w:val="en-US"/>
        </w:rPr>
        <w:t>the risk of hyponatremia on OXC within this group (</w:t>
      </w:r>
      <w:r w:rsidR="003C58CD" w:rsidRPr="006902CB">
        <w:rPr>
          <w:rFonts w:ascii="Arial" w:hAnsi="Arial" w:cs="Arial"/>
          <w:i/>
          <w:sz w:val="24"/>
          <w:szCs w:val="24"/>
          <w:lang w:val="en-US"/>
        </w:rPr>
        <w:t>p</w:t>
      </w:r>
      <w:r w:rsidR="003C58CD" w:rsidRPr="006902CB">
        <w:rPr>
          <w:rFonts w:ascii="Arial" w:hAnsi="Arial" w:cs="Arial"/>
          <w:sz w:val="24"/>
          <w:szCs w:val="24"/>
          <w:lang w:val="en-US"/>
        </w:rPr>
        <w:t>=0.00</w:t>
      </w:r>
      <w:r w:rsidR="00D92106">
        <w:rPr>
          <w:rFonts w:ascii="Arial" w:hAnsi="Arial" w:cs="Arial"/>
          <w:sz w:val="24"/>
          <w:szCs w:val="24"/>
          <w:lang w:val="en-US"/>
        </w:rPr>
        <w:t>1</w:t>
      </w:r>
      <w:r w:rsidR="003C58CD" w:rsidRPr="006902CB">
        <w:rPr>
          <w:rFonts w:ascii="Arial" w:hAnsi="Arial" w:cs="Arial"/>
          <w:sz w:val="24"/>
          <w:szCs w:val="24"/>
          <w:lang w:val="en-US"/>
        </w:rPr>
        <w:t xml:space="preserve">). </w:t>
      </w:r>
      <w:r w:rsidR="00CF40C7" w:rsidRPr="00D92106">
        <w:rPr>
          <w:rFonts w:ascii="Arial" w:hAnsi="Arial" w:cs="Arial"/>
          <w:sz w:val="24"/>
          <w:szCs w:val="24"/>
          <w:lang w:val="en-US"/>
        </w:rPr>
        <w:t xml:space="preserve">Eighteen of </w:t>
      </w:r>
      <w:r w:rsidR="00D8085B">
        <w:rPr>
          <w:rFonts w:ascii="Arial" w:hAnsi="Arial" w:cs="Arial"/>
          <w:sz w:val="24"/>
          <w:szCs w:val="24"/>
          <w:lang w:val="en-US"/>
        </w:rPr>
        <w:t xml:space="preserve">the </w:t>
      </w:r>
      <w:r w:rsidR="00CF40C7" w:rsidRPr="00D92106">
        <w:rPr>
          <w:rFonts w:ascii="Arial" w:hAnsi="Arial" w:cs="Arial"/>
          <w:sz w:val="24"/>
          <w:szCs w:val="24"/>
          <w:lang w:val="en-US"/>
        </w:rPr>
        <w:t>20</w:t>
      </w:r>
      <w:r w:rsidR="00651580" w:rsidRPr="00D92106">
        <w:rPr>
          <w:rFonts w:ascii="Arial" w:hAnsi="Arial" w:cs="Arial"/>
          <w:sz w:val="24"/>
          <w:szCs w:val="24"/>
          <w:lang w:val="en-US"/>
        </w:rPr>
        <w:t xml:space="preserve"> </w:t>
      </w:r>
      <w:r w:rsidR="00D8085B">
        <w:rPr>
          <w:rFonts w:ascii="Arial" w:hAnsi="Arial" w:cs="Arial"/>
          <w:sz w:val="24"/>
          <w:szCs w:val="24"/>
          <w:lang w:val="en-US"/>
        </w:rPr>
        <w:t xml:space="preserve">who had </w:t>
      </w:r>
      <w:r w:rsidR="00651580" w:rsidRPr="00D92106">
        <w:rPr>
          <w:rFonts w:ascii="Arial" w:hAnsi="Arial" w:cs="Arial"/>
          <w:sz w:val="24"/>
          <w:szCs w:val="24"/>
          <w:lang w:val="en-US"/>
        </w:rPr>
        <w:t xml:space="preserve">hyponatremia </w:t>
      </w:r>
      <w:r w:rsidR="00D92106">
        <w:rPr>
          <w:rFonts w:ascii="Arial" w:hAnsi="Arial" w:cs="Arial"/>
          <w:sz w:val="24"/>
          <w:szCs w:val="24"/>
          <w:lang w:val="en-US"/>
        </w:rPr>
        <w:t>on</w:t>
      </w:r>
      <w:r w:rsidR="00D92106" w:rsidRPr="00D92106">
        <w:rPr>
          <w:rFonts w:ascii="Arial" w:hAnsi="Arial" w:cs="Arial"/>
          <w:sz w:val="24"/>
          <w:szCs w:val="24"/>
          <w:lang w:val="en-US"/>
        </w:rPr>
        <w:t xml:space="preserve"> </w:t>
      </w:r>
      <w:r w:rsidR="00651580" w:rsidRPr="00D92106">
        <w:rPr>
          <w:rFonts w:ascii="Arial" w:hAnsi="Arial" w:cs="Arial"/>
          <w:sz w:val="24"/>
          <w:szCs w:val="24"/>
          <w:lang w:val="en-US"/>
        </w:rPr>
        <w:t xml:space="preserve">CBZ </w:t>
      </w:r>
      <w:r w:rsidR="00EB686F" w:rsidRPr="00D92106">
        <w:rPr>
          <w:rFonts w:ascii="Arial" w:hAnsi="Arial" w:cs="Arial"/>
          <w:sz w:val="24"/>
          <w:szCs w:val="24"/>
          <w:lang w:val="en-US"/>
        </w:rPr>
        <w:t>also developed hyponatremia on OXC</w:t>
      </w:r>
      <w:r w:rsidR="00D92106">
        <w:rPr>
          <w:rFonts w:ascii="Arial" w:hAnsi="Arial" w:cs="Arial"/>
          <w:sz w:val="24"/>
          <w:szCs w:val="24"/>
          <w:lang w:val="en-US"/>
        </w:rPr>
        <w:t>.</w:t>
      </w:r>
      <w:r w:rsidR="00E35D08">
        <w:rPr>
          <w:rFonts w:ascii="Arial" w:hAnsi="Arial" w:cs="Arial"/>
          <w:sz w:val="24"/>
          <w:szCs w:val="24"/>
          <w:lang w:val="en-US"/>
        </w:rPr>
        <w:t xml:space="preserve"> The </w:t>
      </w:r>
      <w:r w:rsidR="00572299">
        <w:rPr>
          <w:rFonts w:ascii="Arial" w:hAnsi="Arial" w:cs="Arial"/>
          <w:sz w:val="24"/>
          <w:szCs w:val="24"/>
          <w:lang w:val="en-US"/>
        </w:rPr>
        <w:t xml:space="preserve">remaining </w:t>
      </w:r>
      <w:r w:rsidR="00E35D08">
        <w:rPr>
          <w:rFonts w:ascii="Arial" w:hAnsi="Arial" w:cs="Arial"/>
          <w:sz w:val="24"/>
          <w:szCs w:val="24"/>
          <w:lang w:val="en-US"/>
        </w:rPr>
        <w:t>two were mild</w:t>
      </w:r>
      <w:r w:rsidR="00F63B64">
        <w:rPr>
          <w:rFonts w:ascii="Arial" w:hAnsi="Arial" w:cs="Arial"/>
          <w:sz w:val="24"/>
          <w:szCs w:val="24"/>
          <w:lang w:val="en-US"/>
        </w:rPr>
        <w:t>ly</w:t>
      </w:r>
      <w:r w:rsidR="00E35D0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35D08">
        <w:rPr>
          <w:rFonts w:ascii="Arial" w:hAnsi="Arial" w:cs="Arial"/>
          <w:sz w:val="24"/>
          <w:szCs w:val="24"/>
          <w:lang w:val="en-US"/>
        </w:rPr>
        <w:t>hyponatremic</w:t>
      </w:r>
      <w:proofErr w:type="spellEnd"/>
      <w:r w:rsidR="00E35D08">
        <w:rPr>
          <w:rFonts w:ascii="Arial" w:hAnsi="Arial" w:cs="Arial"/>
          <w:sz w:val="24"/>
          <w:szCs w:val="24"/>
          <w:lang w:val="en-US"/>
        </w:rPr>
        <w:t xml:space="preserve"> (</w:t>
      </w:r>
      <w:r w:rsidR="00E35D08" w:rsidRPr="00D92106">
        <w:rPr>
          <w:rFonts w:ascii="Calibri" w:hAnsi="Calibri" w:cs="Arial"/>
          <w:sz w:val="24"/>
          <w:szCs w:val="24"/>
          <w:lang w:val="en-US"/>
        </w:rPr>
        <w:t>≥</w:t>
      </w:r>
      <w:r w:rsidR="00E35D08" w:rsidRPr="00D92106">
        <w:rPr>
          <w:rFonts w:ascii="Arial" w:hAnsi="Arial" w:cs="Arial"/>
          <w:sz w:val="24"/>
          <w:szCs w:val="24"/>
          <w:lang w:val="en-US"/>
        </w:rPr>
        <w:t xml:space="preserve">132 </w:t>
      </w:r>
      <w:proofErr w:type="spellStart"/>
      <w:r w:rsidR="00E35D08" w:rsidRPr="00D92106">
        <w:rPr>
          <w:rFonts w:ascii="Arial" w:hAnsi="Arial" w:cs="Arial"/>
          <w:sz w:val="24"/>
          <w:szCs w:val="24"/>
          <w:lang w:val="en-US"/>
        </w:rPr>
        <w:t>mEq</w:t>
      </w:r>
      <w:proofErr w:type="spellEnd"/>
      <w:r w:rsidR="00E35D08" w:rsidRPr="00D92106">
        <w:rPr>
          <w:rFonts w:ascii="Arial" w:hAnsi="Arial" w:cs="Arial"/>
          <w:sz w:val="24"/>
          <w:szCs w:val="24"/>
          <w:lang w:val="en-US"/>
        </w:rPr>
        <w:t>/l)</w:t>
      </w:r>
      <w:r w:rsidR="00E35D08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E27B960" w14:textId="77777777" w:rsidR="00EF301D" w:rsidRPr="00344AA3" w:rsidRDefault="00EF301D" w:rsidP="00EF301D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4FF7D7B" w14:textId="77777777" w:rsidR="00F15B79" w:rsidRDefault="00F15B79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</w:p>
    <w:p w14:paraId="587D96D9" w14:textId="77777777" w:rsidR="00ED58C7" w:rsidRPr="00185DD3" w:rsidRDefault="006F1A0D" w:rsidP="00ED58C7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>DISCUSSION</w:t>
      </w:r>
    </w:p>
    <w:p w14:paraId="6510E164" w14:textId="77777777" w:rsidR="00ED58C7" w:rsidRPr="00185DD3" w:rsidRDefault="007C5EFC" w:rsidP="00ED58C7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>CBZ and OXC are widely used but p</w:t>
      </w:r>
      <w:r w:rsidR="00ED58C7" w:rsidRPr="00EB77A1">
        <w:rPr>
          <w:rFonts w:ascii="Arial" w:hAnsi="Arial" w:cs="Arial"/>
          <w:sz w:val="24"/>
          <w:szCs w:val="24"/>
          <w:lang w:val="en-US"/>
        </w:rPr>
        <w:t>hysicians should be aware of the high prevalence of COIH. We have seen a relatively high frequency of severe hyponatremia, especially in those treated with OXC. We checked potential co</w:t>
      </w:r>
      <w:r w:rsidR="00ED58C7" w:rsidRPr="00EB77A1">
        <w:rPr>
          <w:rFonts w:ascii="Arial" w:hAnsi="Arial" w:cs="Arial"/>
          <w:sz w:val="24"/>
          <w:szCs w:val="24"/>
          <w:lang w:val="en-GB"/>
        </w:rPr>
        <w:t>-</w:t>
      </w:r>
      <w:r w:rsidR="00ED58C7" w:rsidRPr="00EB77A1">
        <w:rPr>
          <w:rFonts w:ascii="Arial" w:hAnsi="Arial" w:cs="Arial"/>
          <w:sz w:val="24"/>
          <w:szCs w:val="24"/>
          <w:lang w:val="en-US"/>
        </w:rPr>
        <w:t>medication that might also</w:t>
      </w:r>
      <w:r w:rsidR="0099230D">
        <w:rPr>
          <w:rFonts w:ascii="Arial" w:hAnsi="Arial" w:cs="Arial"/>
          <w:sz w:val="24"/>
          <w:szCs w:val="24"/>
          <w:lang w:val="en-US"/>
        </w:rPr>
        <w:t xml:space="preserve"> trigger hyponatremia</w:t>
      </w:r>
      <w:r w:rsidR="00ED58C7" w:rsidRPr="00EB77A1">
        <w:rPr>
          <w:rFonts w:ascii="Arial" w:hAnsi="Arial" w:cs="Arial"/>
          <w:sz w:val="24"/>
          <w:szCs w:val="24"/>
          <w:lang w:val="en-US"/>
        </w:rPr>
        <w:t xml:space="preserve">. </w:t>
      </w:r>
      <w:r w:rsidR="005D5E34">
        <w:rPr>
          <w:rFonts w:ascii="Arial" w:hAnsi="Arial" w:cs="Arial"/>
          <w:sz w:val="24"/>
          <w:szCs w:val="24"/>
          <w:lang w:val="en-US"/>
        </w:rPr>
        <w:t>P</w:t>
      </w:r>
      <w:r w:rsidR="003752B2">
        <w:rPr>
          <w:rFonts w:ascii="Arial" w:hAnsi="Arial" w:cs="Arial"/>
          <w:sz w:val="24"/>
          <w:szCs w:val="24"/>
          <w:lang w:val="en-US"/>
        </w:rPr>
        <w:t xml:space="preserve">eople </w:t>
      </w:r>
      <w:r w:rsidR="005D5E34">
        <w:rPr>
          <w:rFonts w:ascii="Arial" w:hAnsi="Arial" w:cs="Arial"/>
          <w:sz w:val="24"/>
          <w:szCs w:val="24"/>
          <w:lang w:val="en-US"/>
        </w:rPr>
        <w:t xml:space="preserve">who </w:t>
      </w:r>
      <w:r w:rsidR="003752B2">
        <w:rPr>
          <w:rFonts w:ascii="Arial" w:hAnsi="Arial" w:cs="Arial"/>
          <w:sz w:val="24"/>
          <w:szCs w:val="24"/>
          <w:lang w:val="en-US"/>
        </w:rPr>
        <w:t>were on</w:t>
      </w:r>
      <w:r w:rsidR="00417E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D58C7" w:rsidRPr="00EB77A1">
        <w:rPr>
          <w:rFonts w:ascii="Arial" w:hAnsi="Arial" w:cs="Arial"/>
          <w:sz w:val="24"/>
          <w:szCs w:val="24"/>
          <w:lang w:val="en-US"/>
        </w:rPr>
        <w:t>antihypertensive</w:t>
      </w:r>
      <w:r w:rsidR="0099230D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="00ED58C7" w:rsidRPr="00EB77A1">
        <w:rPr>
          <w:rFonts w:ascii="Arial" w:hAnsi="Arial" w:cs="Arial"/>
          <w:sz w:val="24"/>
          <w:szCs w:val="24"/>
          <w:lang w:val="en-US"/>
        </w:rPr>
        <w:t xml:space="preserve"> </w:t>
      </w:r>
      <w:r w:rsidR="005D5E34" w:rsidRPr="00EB77A1">
        <w:rPr>
          <w:rFonts w:ascii="Arial" w:hAnsi="Arial" w:cs="Arial"/>
          <w:sz w:val="24"/>
          <w:szCs w:val="24"/>
          <w:lang w:val="en-US"/>
        </w:rPr>
        <w:t>had a significant</w:t>
      </w:r>
      <w:r w:rsidR="00137D5F">
        <w:rPr>
          <w:rFonts w:ascii="Arial" w:hAnsi="Arial" w:cs="Arial"/>
          <w:sz w:val="24"/>
          <w:szCs w:val="24"/>
          <w:lang w:val="en-US"/>
        </w:rPr>
        <w:t>ly</w:t>
      </w:r>
      <w:r w:rsidR="005D5E34">
        <w:rPr>
          <w:rFonts w:ascii="Arial" w:hAnsi="Arial" w:cs="Arial"/>
          <w:sz w:val="24"/>
          <w:szCs w:val="24"/>
          <w:lang w:val="en-US"/>
        </w:rPr>
        <w:t xml:space="preserve"> lower</w:t>
      </w:r>
      <w:r w:rsidR="005D5E34" w:rsidRPr="005D5E34">
        <w:rPr>
          <w:rFonts w:ascii="Arial" w:hAnsi="Arial" w:cs="Arial"/>
          <w:sz w:val="24"/>
          <w:szCs w:val="24"/>
          <w:lang w:val="en-US"/>
        </w:rPr>
        <w:t xml:space="preserve"> </w:t>
      </w:r>
      <w:r w:rsidR="005D5E34" w:rsidRPr="00EB77A1">
        <w:rPr>
          <w:rFonts w:ascii="Arial" w:hAnsi="Arial" w:cs="Arial"/>
          <w:sz w:val="24"/>
          <w:szCs w:val="24"/>
          <w:lang w:val="en-US"/>
        </w:rPr>
        <w:t>mean sodium level</w:t>
      </w:r>
      <w:r w:rsidR="00ED58C7" w:rsidRPr="00EB77A1">
        <w:rPr>
          <w:rFonts w:ascii="Arial" w:hAnsi="Arial" w:cs="Arial"/>
          <w:sz w:val="24"/>
          <w:szCs w:val="24"/>
          <w:lang w:val="en-US"/>
        </w:rPr>
        <w:t xml:space="preserve"> in the OXC group.</w:t>
      </w:r>
      <w:r w:rsidR="00ED58C7" w:rsidRPr="00EB77A1">
        <w:rPr>
          <w:rFonts w:ascii="Arial" w:hAnsi="Arial" w:cs="Arial"/>
          <w:color w:val="00B0F0"/>
          <w:sz w:val="24"/>
          <w:szCs w:val="24"/>
          <w:lang w:val="en-US"/>
        </w:rPr>
        <w:t xml:space="preserve"> </w:t>
      </w:r>
      <w:r w:rsidR="00ED58C7" w:rsidRPr="00EB77A1">
        <w:rPr>
          <w:rFonts w:ascii="Arial" w:hAnsi="Arial" w:cs="Arial"/>
          <w:sz w:val="24"/>
          <w:szCs w:val="24"/>
          <w:lang w:val="en-US"/>
        </w:rPr>
        <w:t>Only 3% (2/58) of this group used diuretics and 1</w:t>
      </w:r>
      <w:r w:rsidR="003752B2">
        <w:rPr>
          <w:rFonts w:ascii="Arial" w:hAnsi="Arial" w:cs="Arial"/>
          <w:sz w:val="24"/>
          <w:szCs w:val="24"/>
          <w:lang w:val="en-US"/>
        </w:rPr>
        <w:t>4</w:t>
      </w:r>
      <w:r w:rsidR="00ED58C7" w:rsidRPr="00EB77A1">
        <w:rPr>
          <w:rFonts w:ascii="Arial" w:hAnsi="Arial" w:cs="Arial"/>
          <w:sz w:val="24"/>
          <w:szCs w:val="24"/>
          <w:lang w:val="en-US"/>
        </w:rPr>
        <w:t xml:space="preserve">% </w:t>
      </w:r>
      <w:proofErr w:type="spellStart"/>
      <w:r w:rsidR="00ED58C7" w:rsidRPr="00EB77A1">
        <w:rPr>
          <w:rFonts w:ascii="Arial" w:hAnsi="Arial" w:cs="Arial"/>
          <w:sz w:val="24"/>
          <w:szCs w:val="24"/>
          <w:lang w:val="en-US"/>
        </w:rPr>
        <w:t>antihypertensive</w:t>
      </w:r>
      <w:r w:rsidR="0099230D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="00ED58C7" w:rsidRPr="00EB77A1">
        <w:rPr>
          <w:rFonts w:ascii="Arial" w:hAnsi="Arial" w:cs="Arial"/>
          <w:sz w:val="24"/>
          <w:szCs w:val="24"/>
          <w:lang w:val="en-US"/>
        </w:rPr>
        <w:t xml:space="preserve"> (including diuretics) compared with 24% use of diuretics in another study with a larger cohort of OXC treated people and a lower prevalence (11%) of severe hyponatremia</w:t>
      </w:r>
      <w:r w:rsidR="00337106">
        <w:rPr>
          <w:rFonts w:ascii="Arial" w:hAnsi="Arial" w:cs="Arial"/>
          <w:sz w:val="24"/>
          <w:szCs w:val="24"/>
          <w:lang w:val="en-US"/>
        </w:rPr>
        <w:t>.</w:t>
      </w:r>
      <w:r w:rsidR="002E72DE">
        <w:rPr>
          <w:rFonts w:ascii="Arial" w:hAnsi="Arial" w:cs="Arial"/>
          <w:sz w:val="24"/>
          <w:szCs w:val="24"/>
          <w:vertAlign w:val="superscript"/>
          <w:lang w:val="en-US"/>
        </w:rPr>
        <w:t>6</w:t>
      </w:r>
      <w:r w:rsidR="00ED58C7" w:rsidRPr="00185DD3">
        <w:rPr>
          <w:rFonts w:ascii="Arial" w:hAnsi="Arial" w:cs="Arial"/>
          <w:sz w:val="24"/>
          <w:szCs w:val="24"/>
          <w:lang w:val="en-US"/>
        </w:rPr>
        <w:t xml:space="preserve"> Co</w:t>
      </w:r>
      <w:r w:rsidR="00ED58C7" w:rsidRPr="00185DD3">
        <w:rPr>
          <w:rFonts w:ascii="Arial" w:hAnsi="Arial" w:cs="Arial"/>
          <w:sz w:val="24"/>
          <w:szCs w:val="24"/>
          <w:lang w:val="en-GB"/>
        </w:rPr>
        <w:t>-</w:t>
      </w:r>
      <w:r w:rsidR="00ED58C7" w:rsidRPr="00185DD3">
        <w:rPr>
          <w:rFonts w:ascii="Arial" w:hAnsi="Arial" w:cs="Arial"/>
          <w:sz w:val="24"/>
          <w:szCs w:val="24"/>
          <w:lang w:val="en-US"/>
        </w:rPr>
        <w:t xml:space="preserve">medication does not seem to explain the higher prevalence of severe hyponatremia in the OXC group.  </w:t>
      </w:r>
    </w:p>
    <w:p w14:paraId="53A39C02" w14:textId="77777777" w:rsidR="00ED58C7" w:rsidRDefault="005D5E34" w:rsidP="00ED58C7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rate of </w:t>
      </w:r>
      <w:r w:rsidR="00ED58C7" w:rsidRPr="00185DD3">
        <w:rPr>
          <w:rFonts w:ascii="Arial" w:hAnsi="Arial" w:cs="Arial"/>
          <w:sz w:val="24"/>
          <w:szCs w:val="24"/>
          <w:lang w:val="en-US"/>
        </w:rPr>
        <w:t xml:space="preserve">COIH was higher </w:t>
      </w:r>
      <w:r w:rsidR="003752B2">
        <w:rPr>
          <w:rFonts w:ascii="Arial" w:hAnsi="Arial" w:cs="Arial"/>
          <w:sz w:val="24"/>
          <w:szCs w:val="24"/>
          <w:lang w:val="en-US"/>
        </w:rPr>
        <w:t xml:space="preserve">in the elderly </w:t>
      </w:r>
      <w:r w:rsidR="00ED58C7" w:rsidRPr="00185DD3">
        <w:rPr>
          <w:rFonts w:ascii="Arial" w:hAnsi="Arial" w:cs="Arial"/>
          <w:sz w:val="24"/>
          <w:szCs w:val="24"/>
          <w:lang w:val="en-US"/>
        </w:rPr>
        <w:t xml:space="preserve">and this was in line with </w:t>
      </w:r>
      <w:r w:rsidR="002161CB">
        <w:rPr>
          <w:rFonts w:ascii="Arial" w:hAnsi="Arial" w:cs="Arial"/>
          <w:sz w:val="24"/>
          <w:szCs w:val="24"/>
          <w:lang w:val="en-US"/>
        </w:rPr>
        <w:t>previous reports</w:t>
      </w:r>
      <w:r w:rsidR="00337106">
        <w:rPr>
          <w:rFonts w:ascii="Arial" w:hAnsi="Arial" w:cs="Arial"/>
          <w:sz w:val="24"/>
          <w:szCs w:val="24"/>
          <w:lang w:val="en-US"/>
        </w:rPr>
        <w:t>.</w:t>
      </w:r>
      <w:r w:rsidR="006769A4">
        <w:rPr>
          <w:rFonts w:ascii="Arial" w:hAnsi="Arial" w:cs="Arial"/>
          <w:sz w:val="24"/>
          <w:szCs w:val="24"/>
          <w:vertAlign w:val="superscript"/>
          <w:lang w:val="en-US"/>
        </w:rPr>
        <w:t>5-7</w:t>
      </w:r>
      <w:r w:rsidR="00ED58C7" w:rsidRPr="00185DD3">
        <w:rPr>
          <w:rFonts w:ascii="Arial" w:hAnsi="Arial" w:cs="Arial"/>
          <w:sz w:val="24"/>
          <w:szCs w:val="24"/>
          <w:lang w:val="en-US"/>
        </w:rPr>
        <w:t xml:space="preserve"> The odds of hyponatremia were doubled in people over the age of 40 years.</w:t>
      </w:r>
      <w:r w:rsidR="00ED58C7" w:rsidRPr="00185DD3">
        <w:rPr>
          <w:rFonts w:ascii="Arial" w:hAnsi="Arial" w:cs="Arial"/>
          <w:sz w:val="24"/>
          <w:szCs w:val="24"/>
          <w:lang w:val="en-GB"/>
        </w:rPr>
        <w:t xml:space="preserve"> Thirst sensation, renal function, urine concentrating abilities and hormonal modulators of salt and water balance are often impaired in the elderly, which makes older people more susceptible to COIH</w:t>
      </w:r>
      <w:r w:rsidR="00337106">
        <w:rPr>
          <w:rFonts w:ascii="Arial" w:hAnsi="Arial" w:cs="Arial"/>
          <w:sz w:val="24"/>
          <w:szCs w:val="24"/>
          <w:lang w:val="en-GB"/>
        </w:rPr>
        <w:t>.</w:t>
      </w:r>
      <w:r w:rsidR="002E72DE">
        <w:rPr>
          <w:rFonts w:ascii="Arial" w:hAnsi="Arial" w:cs="Arial"/>
          <w:sz w:val="24"/>
          <w:szCs w:val="24"/>
          <w:vertAlign w:val="superscript"/>
          <w:lang w:val="en-GB"/>
        </w:rPr>
        <w:t>8</w:t>
      </w:r>
      <w:r w:rsidR="00ED58C7" w:rsidRPr="00185DD3">
        <w:rPr>
          <w:rFonts w:ascii="Arial" w:hAnsi="Arial" w:cs="Arial"/>
          <w:sz w:val="24"/>
          <w:szCs w:val="24"/>
          <w:lang w:val="en-GB"/>
        </w:rPr>
        <w:t xml:space="preserve"> </w:t>
      </w:r>
      <w:r w:rsidR="00ED58C7" w:rsidRPr="00185DD3">
        <w:rPr>
          <w:rFonts w:ascii="Arial" w:hAnsi="Arial" w:cs="Arial"/>
          <w:sz w:val="24"/>
          <w:szCs w:val="24"/>
          <w:lang w:val="en-US"/>
        </w:rPr>
        <w:t>In a previous study</w:t>
      </w:r>
      <w:r w:rsidR="002E72DE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="00ED58C7" w:rsidRPr="00185DD3">
        <w:rPr>
          <w:rFonts w:ascii="Arial" w:hAnsi="Arial" w:cs="Arial"/>
          <w:sz w:val="24"/>
          <w:szCs w:val="24"/>
          <w:lang w:val="en-US"/>
        </w:rPr>
        <w:t xml:space="preserve"> a much stronger age effect was</w:t>
      </w:r>
      <w:r w:rsidR="00802157">
        <w:rPr>
          <w:rFonts w:ascii="Arial" w:hAnsi="Arial" w:cs="Arial"/>
          <w:sz w:val="24"/>
          <w:szCs w:val="24"/>
          <w:lang w:val="en-US"/>
        </w:rPr>
        <w:t xml:space="preserve"> reporte</w:t>
      </w:r>
      <w:r w:rsidR="00802157" w:rsidRPr="00CC193C">
        <w:rPr>
          <w:rFonts w:ascii="Arial" w:hAnsi="Arial" w:cs="Arial"/>
          <w:sz w:val="24"/>
          <w:szCs w:val="24"/>
          <w:lang w:val="en-US"/>
        </w:rPr>
        <w:t xml:space="preserve">d in </w:t>
      </w:r>
      <w:r w:rsidR="00ED58C7" w:rsidRPr="00CC193C">
        <w:rPr>
          <w:rFonts w:ascii="Arial" w:hAnsi="Arial" w:cs="Arial"/>
          <w:sz w:val="24"/>
          <w:szCs w:val="24"/>
          <w:lang w:val="en-US"/>
        </w:rPr>
        <w:t>th</w:t>
      </w:r>
      <w:r w:rsidR="00ED58C7" w:rsidRPr="00185DD3">
        <w:rPr>
          <w:rFonts w:ascii="Arial" w:hAnsi="Arial" w:cs="Arial"/>
          <w:sz w:val="24"/>
          <w:szCs w:val="24"/>
          <w:lang w:val="en-US"/>
        </w:rPr>
        <w:t xml:space="preserve">e OXC treated group than </w:t>
      </w:r>
      <w:r w:rsidR="00CC193C">
        <w:rPr>
          <w:rFonts w:ascii="Arial" w:hAnsi="Arial" w:cs="Arial"/>
          <w:sz w:val="24"/>
          <w:szCs w:val="24"/>
          <w:lang w:val="en-US"/>
        </w:rPr>
        <w:t xml:space="preserve">in those treated with </w:t>
      </w:r>
      <w:r w:rsidR="00ED58C7" w:rsidRPr="00185DD3">
        <w:rPr>
          <w:rFonts w:ascii="Arial" w:hAnsi="Arial" w:cs="Arial"/>
          <w:sz w:val="24"/>
          <w:szCs w:val="24"/>
          <w:lang w:val="en-US"/>
        </w:rPr>
        <w:t>CBZ</w:t>
      </w:r>
      <w:r w:rsidR="00802157">
        <w:rPr>
          <w:rFonts w:ascii="Arial" w:hAnsi="Arial" w:cs="Arial"/>
          <w:sz w:val="24"/>
          <w:szCs w:val="24"/>
          <w:lang w:val="en-US"/>
        </w:rPr>
        <w:t xml:space="preserve"> but the sample was smaller. </w:t>
      </w:r>
      <w:r w:rsidR="00ED58C7">
        <w:rPr>
          <w:rFonts w:ascii="Arial" w:hAnsi="Arial" w:cs="Arial"/>
          <w:sz w:val="24"/>
          <w:szCs w:val="24"/>
          <w:lang w:val="en-US"/>
        </w:rPr>
        <w:t xml:space="preserve">We found that </w:t>
      </w:r>
      <w:r w:rsidR="00ED58C7" w:rsidRPr="00185DD3">
        <w:rPr>
          <w:rFonts w:ascii="Arial" w:hAnsi="Arial" w:cs="Arial"/>
          <w:sz w:val="24"/>
          <w:szCs w:val="24"/>
          <w:lang w:val="en-US"/>
        </w:rPr>
        <w:t>the age effect was comparable in both groups.</w:t>
      </w:r>
    </w:p>
    <w:p w14:paraId="46A4DB08" w14:textId="77777777" w:rsidR="00C24FF1" w:rsidRPr="00BB3B7D" w:rsidRDefault="00A36C61" w:rsidP="00A36C61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subgroup analysis of </w:t>
      </w:r>
      <w:r w:rsidR="00D0293B">
        <w:rPr>
          <w:rFonts w:ascii="Arial" w:hAnsi="Arial" w:cs="Arial"/>
          <w:sz w:val="24"/>
          <w:szCs w:val="24"/>
          <w:lang w:val="en-US"/>
        </w:rPr>
        <w:t xml:space="preserve">those </w:t>
      </w:r>
      <w:r>
        <w:rPr>
          <w:rFonts w:ascii="Arial" w:hAnsi="Arial" w:cs="Arial"/>
          <w:sz w:val="24"/>
          <w:szCs w:val="24"/>
          <w:lang w:val="en-US"/>
        </w:rPr>
        <w:t xml:space="preserve">who used CBZ and </w:t>
      </w:r>
      <w:r w:rsidR="00D0293B">
        <w:rPr>
          <w:rFonts w:ascii="Arial" w:hAnsi="Arial" w:cs="Arial"/>
          <w:sz w:val="24"/>
          <w:szCs w:val="24"/>
          <w:lang w:val="en-US"/>
        </w:rPr>
        <w:t xml:space="preserve">subsequently </w:t>
      </w:r>
      <w:r>
        <w:rPr>
          <w:rFonts w:ascii="Arial" w:hAnsi="Arial" w:cs="Arial"/>
          <w:sz w:val="24"/>
          <w:szCs w:val="24"/>
          <w:lang w:val="en-US"/>
        </w:rPr>
        <w:t xml:space="preserve">OXC </w:t>
      </w:r>
      <w:r w:rsidR="00137D5F">
        <w:rPr>
          <w:rFonts w:ascii="Arial" w:hAnsi="Arial" w:cs="Arial"/>
          <w:sz w:val="24"/>
          <w:szCs w:val="24"/>
          <w:lang w:val="en-US"/>
        </w:rPr>
        <w:t xml:space="preserve">suggests </w:t>
      </w:r>
      <w:r>
        <w:rPr>
          <w:rFonts w:ascii="Arial" w:hAnsi="Arial" w:cs="Arial"/>
          <w:sz w:val="24"/>
          <w:szCs w:val="24"/>
          <w:lang w:val="en-US"/>
        </w:rPr>
        <w:t>that an individual with hyponatremi</w:t>
      </w:r>
      <w:r w:rsidR="009C1FEA">
        <w:rPr>
          <w:rFonts w:ascii="Arial" w:hAnsi="Arial" w:cs="Arial"/>
          <w:sz w:val="24"/>
          <w:szCs w:val="24"/>
          <w:lang w:val="en-US"/>
        </w:rPr>
        <w:t xml:space="preserve">a </w:t>
      </w:r>
      <w:r w:rsidR="00137D5F">
        <w:rPr>
          <w:rFonts w:ascii="Arial" w:hAnsi="Arial" w:cs="Arial"/>
          <w:sz w:val="24"/>
          <w:szCs w:val="24"/>
          <w:lang w:val="en-US"/>
        </w:rPr>
        <w:t xml:space="preserve">associated with </w:t>
      </w:r>
      <w:r w:rsidR="009C1FEA">
        <w:rPr>
          <w:rFonts w:ascii="Arial" w:hAnsi="Arial" w:cs="Arial"/>
          <w:sz w:val="24"/>
          <w:szCs w:val="24"/>
          <w:lang w:val="en-US"/>
        </w:rPr>
        <w:t xml:space="preserve">CBZ </w:t>
      </w:r>
      <w:r w:rsidR="0099057D">
        <w:rPr>
          <w:rFonts w:ascii="Arial" w:hAnsi="Arial" w:cs="Arial"/>
          <w:sz w:val="24"/>
          <w:szCs w:val="24"/>
          <w:lang w:val="en-US"/>
        </w:rPr>
        <w:t>is also</w:t>
      </w:r>
      <w:r>
        <w:rPr>
          <w:rFonts w:ascii="Arial" w:hAnsi="Arial" w:cs="Arial"/>
          <w:sz w:val="24"/>
          <w:szCs w:val="24"/>
          <w:lang w:val="en-US"/>
        </w:rPr>
        <w:t xml:space="preserve"> likely </w:t>
      </w:r>
      <w:r w:rsidR="00D461B9">
        <w:rPr>
          <w:rFonts w:ascii="Arial" w:hAnsi="Arial" w:cs="Arial"/>
          <w:sz w:val="24"/>
          <w:szCs w:val="24"/>
          <w:lang w:val="en-US"/>
        </w:rPr>
        <w:t>to</w:t>
      </w:r>
      <w:r>
        <w:rPr>
          <w:rFonts w:ascii="Arial" w:hAnsi="Arial" w:cs="Arial"/>
          <w:sz w:val="24"/>
          <w:szCs w:val="24"/>
          <w:lang w:val="en-US"/>
        </w:rPr>
        <w:t xml:space="preserve"> develop hyponatremia </w:t>
      </w:r>
      <w:r w:rsidR="00137D5F">
        <w:rPr>
          <w:rFonts w:ascii="Arial" w:hAnsi="Arial" w:cs="Arial"/>
          <w:sz w:val="24"/>
          <w:szCs w:val="24"/>
          <w:lang w:val="en-US"/>
        </w:rPr>
        <w:t xml:space="preserve">while taking </w:t>
      </w:r>
      <w:r>
        <w:rPr>
          <w:rFonts w:ascii="Arial" w:hAnsi="Arial" w:cs="Arial"/>
          <w:sz w:val="24"/>
          <w:szCs w:val="24"/>
          <w:lang w:val="en-US"/>
        </w:rPr>
        <w:t xml:space="preserve">OXC. </w:t>
      </w:r>
      <w:r w:rsidR="0099057D">
        <w:rPr>
          <w:rFonts w:ascii="Arial" w:hAnsi="Arial" w:cs="Arial"/>
          <w:sz w:val="24"/>
          <w:szCs w:val="24"/>
          <w:lang w:val="en-US"/>
        </w:rPr>
        <w:t xml:space="preserve">In an individual who does not develop </w:t>
      </w:r>
      <w:r>
        <w:rPr>
          <w:rFonts w:ascii="Arial" w:hAnsi="Arial" w:cs="Arial"/>
          <w:sz w:val="24"/>
          <w:szCs w:val="24"/>
          <w:lang w:val="en-US"/>
        </w:rPr>
        <w:t>hyponatremia</w:t>
      </w:r>
      <w:r w:rsidR="0099057D">
        <w:rPr>
          <w:rFonts w:ascii="Arial" w:hAnsi="Arial" w:cs="Arial"/>
          <w:sz w:val="24"/>
          <w:szCs w:val="24"/>
          <w:lang w:val="en-US"/>
        </w:rPr>
        <w:t xml:space="preserve"> </w:t>
      </w:r>
      <w:r w:rsidR="00137D5F">
        <w:rPr>
          <w:rFonts w:ascii="Arial" w:hAnsi="Arial" w:cs="Arial"/>
          <w:sz w:val="24"/>
          <w:szCs w:val="24"/>
          <w:lang w:val="en-US"/>
        </w:rPr>
        <w:t xml:space="preserve">with </w:t>
      </w:r>
      <w:r w:rsidR="0099057D">
        <w:rPr>
          <w:rFonts w:ascii="Arial" w:hAnsi="Arial" w:cs="Arial"/>
          <w:sz w:val="24"/>
          <w:szCs w:val="24"/>
          <w:lang w:val="en-US"/>
        </w:rPr>
        <w:t xml:space="preserve">CBZ, there is a </w:t>
      </w:r>
      <w:r>
        <w:rPr>
          <w:rFonts w:ascii="Arial" w:hAnsi="Arial" w:cs="Arial"/>
          <w:sz w:val="24"/>
          <w:szCs w:val="24"/>
          <w:lang w:val="en-US"/>
        </w:rPr>
        <w:t xml:space="preserve">53% </w:t>
      </w:r>
      <w:r w:rsidR="007D7384">
        <w:rPr>
          <w:rFonts w:ascii="Arial" w:hAnsi="Arial" w:cs="Arial"/>
          <w:sz w:val="24"/>
          <w:szCs w:val="24"/>
          <w:lang w:val="en-US"/>
        </w:rPr>
        <w:t>chance</w:t>
      </w:r>
      <w:r w:rsidR="0099057D">
        <w:rPr>
          <w:rFonts w:ascii="Arial" w:hAnsi="Arial" w:cs="Arial"/>
          <w:sz w:val="24"/>
          <w:szCs w:val="24"/>
          <w:lang w:val="en-US"/>
        </w:rPr>
        <w:t xml:space="preserve"> of </w:t>
      </w:r>
      <w:r>
        <w:rPr>
          <w:rFonts w:ascii="Arial" w:hAnsi="Arial" w:cs="Arial"/>
          <w:sz w:val="24"/>
          <w:szCs w:val="24"/>
          <w:lang w:val="en-US"/>
        </w:rPr>
        <w:t xml:space="preserve">hyponatremia </w:t>
      </w:r>
      <w:r w:rsidR="0099057D">
        <w:rPr>
          <w:rFonts w:ascii="Arial" w:hAnsi="Arial" w:cs="Arial"/>
          <w:sz w:val="24"/>
          <w:szCs w:val="24"/>
          <w:lang w:val="en-US"/>
        </w:rPr>
        <w:t xml:space="preserve">if subsequently </w:t>
      </w:r>
      <w:r>
        <w:rPr>
          <w:rFonts w:ascii="Arial" w:hAnsi="Arial" w:cs="Arial"/>
          <w:sz w:val="24"/>
          <w:szCs w:val="24"/>
          <w:lang w:val="en-US"/>
        </w:rPr>
        <w:t>OXC</w:t>
      </w:r>
      <w:r w:rsidR="0099057D">
        <w:rPr>
          <w:rFonts w:ascii="Arial" w:hAnsi="Arial" w:cs="Arial"/>
          <w:sz w:val="24"/>
          <w:szCs w:val="24"/>
          <w:lang w:val="en-US"/>
        </w:rPr>
        <w:t xml:space="preserve"> is used. T</w:t>
      </w:r>
      <w:r>
        <w:rPr>
          <w:rFonts w:ascii="Arial" w:hAnsi="Arial" w:cs="Arial"/>
          <w:sz w:val="24"/>
          <w:szCs w:val="24"/>
          <w:lang w:val="en-US"/>
        </w:rPr>
        <w:t>he underlying mechanism</w:t>
      </w:r>
      <w:r w:rsidR="0099057D">
        <w:rPr>
          <w:rFonts w:ascii="Arial" w:hAnsi="Arial" w:cs="Arial"/>
          <w:sz w:val="24"/>
          <w:szCs w:val="24"/>
          <w:lang w:val="en-US"/>
        </w:rPr>
        <w:t xml:space="preserve">s are likely to be </w:t>
      </w:r>
      <w:r>
        <w:rPr>
          <w:rFonts w:ascii="Arial" w:hAnsi="Arial" w:cs="Arial"/>
          <w:sz w:val="24"/>
          <w:szCs w:val="24"/>
          <w:lang w:val="en-US"/>
        </w:rPr>
        <w:t xml:space="preserve">similar but </w:t>
      </w:r>
      <w:r w:rsidR="0099057D">
        <w:rPr>
          <w:rFonts w:ascii="Arial" w:hAnsi="Arial" w:cs="Arial"/>
          <w:sz w:val="24"/>
          <w:szCs w:val="24"/>
          <w:lang w:val="en-US"/>
        </w:rPr>
        <w:t xml:space="preserve">seem apparently </w:t>
      </w:r>
      <w:r>
        <w:rPr>
          <w:rFonts w:ascii="Arial" w:hAnsi="Arial" w:cs="Arial"/>
          <w:sz w:val="24"/>
          <w:szCs w:val="24"/>
          <w:lang w:val="en-US"/>
        </w:rPr>
        <w:t xml:space="preserve">more </w:t>
      </w:r>
      <w:r w:rsidR="0099057D">
        <w:rPr>
          <w:rFonts w:ascii="Arial" w:hAnsi="Arial" w:cs="Arial"/>
          <w:sz w:val="24"/>
          <w:szCs w:val="24"/>
          <w:lang w:val="en-US"/>
        </w:rPr>
        <w:t xml:space="preserve">efficient </w:t>
      </w:r>
      <w:r w:rsidR="0099057D">
        <w:rPr>
          <w:rFonts w:ascii="Arial" w:hAnsi="Arial" w:cs="Arial"/>
          <w:sz w:val="24"/>
          <w:szCs w:val="24"/>
          <w:lang w:val="en-US"/>
        </w:rPr>
        <w:lastRenderedPageBreak/>
        <w:t xml:space="preserve">when </w:t>
      </w:r>
      <w:r>
        <w:rPr>
          <w:rFonts w:ascii="Arial" w:hAnsi="Arial" w:cs="Arial"/>
          <w:sz w:val="24"/>
          <w:szCs w:val="24"/>
          <w:lang w:val="en-US"/>
        </w:rPr>
        <w:t xml:space="preserve">OXC </w:t>
      </w:r>
      <w:r w:rsidR="0099057D">
        <w:rPr>
          <w:rFonts w:ascii="Arial" w:hAnsi="Arial" w:cs="Arial"/>
          <w:sz w:val="24"/>
          <w:szCs w:val="24"/>
          <w:lang w:val="en-US"/>
        </w:rPr>
        <w:t xml:space="preserve">is </w:t>
      </w:r>
      <w:r>
        <w:rPr>
          <w:rFonts w:ascii="Arial" w:hAnsi="Arial" w:cs="Arial"/>
          <w:sz w:val="24"/>
          <w:szCs w:val="24"/>
          <w:lang w:val="en-US"/>
        </w:rPr>
        <w:t>use</w:t>
      </w:r>
      <w:r w:rsidR="0099057D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>. This analysis also implies that a subset of p</w:t>
      </w:r>
      <w:r w:rsidR="00802157">
        <w:rPr>
          <w:rFonts w:ascii="Arial" w:hAnsi="Arial" w:cs="Arial"/>
          <w:sz w:val="24"/>
          <w:szCs w:val="24"/>
          <w:lang w:val="en-US"/>
        </w:rPr>
        <w:t xml:space="preserve">eople may be </w:t>
      </w:r>
      <w:r>
        <w:rPr>
          <w:rFonts w:ascii="Arial" w:hAnsi="Arial" w:cs="Arial"/>
          <w:sz w:val="24"/>
          <w:szCs w:val="24"/>
          <w:lang w:val="en-US"/>
        </w:rPr>
        <w:t xml:space="preserve">genetically predisposed to COIH. </w:t>
      </w:r>
    </w:p>
    <w:p w14:paraId="3D73A7BC" w14:textId="77777777" w:rsidR="004245E6" w:rsidRDefault="00ED58C7" w:rsidP="00ED58C7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185DD3">
        <w:rPr>
          <w:rFonts w:ascii="Arial" w:hAnsi="Arial" w:cs="Arial"/>
          <w:sz w:val="24"/>
          <w:szCs w:val="24"/>
          <w:lang w:val="en-US"/>
        </w:rPr>
        <w:t xml:space="preserve">Our findings suggest </w:t>
      </w:r>
      <w:r w:rsidR="0099230D">
        <w:rPr>
          <w:rFonts w:ascii="Arial" w:hAnsi="Arial" w:cs="Arial"/>
          <w:sz w:val="24"/>
          <w:szCs w:val="24"/>
          <w:lang w:val="en-US"/>
        </w:rPr>
        <w:t xml:space="preserve">that </w:t>
      </w:r>
      <w:r w:rsidRPr="00185DD3">
        <w:rPr>
          <w:rFonts w:ascii="Arial" w:hAnsi="Arial" w:cs="Arial"/>
          <w:sz w:val="24"/>
          <w:szCs w:val="24"/>
          <w:lang w:val="en-US"/>
        </w:rPr>
        <w:t xml:space="preserve">women seem to be at higher risk of developing hyponatremia if taking OXC. In the CBZ group being female was a risk factor in the linear regression analysis, but with a very small effect size. COIH is probably caused by </w:t>
      </w:r>
      <w:proofErr w:type="spellStart"/>
      <w:r w:rsidRPr="00185DD3">
        <w:rPr>
          <w:rFonts w:ascii="Arial" w:hAnsi="Arial" w:cs="Arial"/>
          <w:sz w:val="24"/>
          <w:szCs w:val="24"/>
          <w:lang w:val="en-US"/>
        </w:rPr>
        <w:t>antidiuresis</w:t>
      </w:r>
      <w:proofErr w:type="spellEnd"/>
      <w:r w:rsidRPr="00185DD3">
        <w:rPr>
          <w:rFonts w:ascii="Arial" w:hAnsi="Arial" w:cs="Arial"/>
          <w:sz w:val="24"/>
          <w:szCs w:val="24"/>
          <w:lang w:val="en-US"/>
        </w:rPr>
        <w:t xml:space="preserve"> where CBZ and OXC are thought to </w:t>
      </w:r>
      <w:r w:rsidRPr="00185DD3">
        <w:rPr>
          <w:rFonts w:ascii="Arial" w:hAnsi="Arial" w:cs="Arial"/>
          <w:sz w:val="24"/>
          <w:szCs w:val="24"/>
          <w:lang w:val="en-GB"/>
        </w:rPr>
        <w:t>stimulate the vasopressin water reabsorption pathway</w:t>
      </w:r>
      <w:r w:rsidR="00337106">
        <w:rPr>
          <w:rFonts w:ascii="Arial" w:hAnsi="Arial" w:cs="Arial"/>
          <w:sz w:val="24"/>
          <w:szCs w:val="24"/>
          <w:lang w:val="en-GB"/>
        </w:rPr>
        <w:t>.</w:t>
      </w:r>
      <w:r w:rsidR="002E72DE">
        <w:rPr>
          <w:rFonts w:ascii="Arial" w:hAnsi="Arial" w:cs="Arial"/>
          <w:sz w:val="24"/>
          <w:szCs w:val="24"/>
          <w:vertAlign w:val="superscript"/>
          <w:lang w:val="en-GB"/>
        </w:rPr>
        <w:t>9</w:t>
      </w:r>
      <w:r w:rsidRPr="00185DD3">
        <w:rPr>
          <w:rFonts w:ascii="Arial" w:hAnsi="Arial" w:cs="Arial"/>
          <w:sz w:val="24"/>
          <w:szCs w:val="24"/>
          <w:lang w:val="en-GB"/>
        </w:rPr>
        <w:t xml:space="preserve"> The </w:t>
      </w:r>
      <w:r w:rsidRPr="00185DD3">
        <w:rPr>
          <w:rFonts w:ascii="Arial" w:hAnsi="Arial" w:cs="Arial"/>
          <w:i/>
          <w:sz w:val="24"/>
          <w:szCs w:val="24"/>
          <w:lang w:val="en-GB"/>
        </w:rPr>
        <w:t>AVPR2</w:t>
      </w:r>
      <w:r w:rsidRPr="00185DD3">
        <w:rPr>
          <w:rFonts w:ascii="Arial" w:hAnsi="Arial" w:cs="Arial"/>
          <w:sz w:val="24"/>
          <w:szCs w:val="24"/>
          <w:lang w:val="en-GB"/>
        </w:rPr>
        <w:t xml:space="preserve"> gene, coding for the vasopressin 2 receptor (V2R) which plays a key role in water reabsorption, is located on the X chromosome in a region (Xq28) with high probability of escape from inactivation</w:t>
      </w:r>
      <w:r w:rsidR="00337106">
        <w:rPr>
          <w:rFonts w:ascii="Arial" w:hAnsi="Arial" w:cs="Arial"/>
          <w:sz w:val="24"/>
          <w:szCs w:val="24"/>
          <w:lang w:val="en-GB"/>
        </w:rPr>
        <w:t>.</w:t>
      </w:r>
      <w:r w:rsidR="002E72DE">
        <w:rPr>
          <w:rFonts w:ascii="Arial" w:hAnsi="Arial" w:cs="Arial"/>
          <w:sz w:val="24"/>
          <w:szCs w:val="24"/>
          <w:vertAlign w:val="superscript"/>
          <w:lang w:val="en-GB"/>
        </w:rPr>
        <w:t>10</w:t>
      </w:r>
      <w:r w:rsidRPr="00185DD3">
        <w:rPr>
          <w:rFonts w:ascii="Arial" w:hAnsi="Arial" w:cs="Arial"/>
          <w:sz w:val="24"/>
          <w:szCs w:val="24"/>
          <w:lang w:val="en-GB"/>
        </w:rPr>
        <w:t xml:space="preserve"> Escape from inactivation results in higher expression of levels of transcript in females</w:t>
      </w:r>
      <w:r w:rsidR="00337106">
        <w:rPr>
          <w:rFonts w:ascii="Arial" w:hAnsi="Arial" w:cs="Arial"/>
          <w:sz w:val="24"/>
          <w:szCs w:val="24"/>
          <w:lang w:val="en-GB"/>
        </w:rPr>
        <w:t>.</w:t>
      </w:r>
      <w:r w:rsidR="002E72DE">
        <w:rPr>
          <w:rFonts w:ascii="Arial" w:hAnsi="Arial" w:cs="Arial"/>
          <w:sz w:val="24"/>
          <w:szCs w:val="24"/>
          <w:vertAlign w:val="superscript"/>
          <w:lang w:val="en-GB"/>
        </w:rPr>
        <w:t>11,12</w:t>
      </w:r>
      <w:r w:rsidRPr="00185DD3">
        <w:rPr>
          <w:rFonts w:ascii="Arial" w:hAnsi="Arial" w:cs="Arial"/>
          <w:sz w:val="24"/>
          <w:szCs w:val="24"/>
          <w:lang w:val="en-GB"/>
        </w:rPr>
        <w:t xml:space="preserve"> This </w:t>
      </w:r>
      <w:r w:rsidR="002161CB">
        <w:rPr>
          <w:rFonts w:ascii="Arial" w:hAnsi="Arial" w:cs="Arial"/>
          <w:sz w:val="24"/>
          <w:szCs w:val="24"/>
          <w:lang w:val="en-GB"/>
        </w:rPr>
        <w:t xml:space="preserve">provides a possible </w:t>
      </w:r>
      <w:r w:rsidR="002161CB" w:rsidRPr="00185DD3">
        <w:rPr>
          <w:rFonts w:ascii="Arial" w:hAnsi="Arial" w:cs="Arial"/>
          <w:sz w:val="24"/>
          <w:szCs w:val="24"/>
          <w:lang w:val="en-GB"/>
        </w:rPr>
        <w:t>explana</w:t>
      </w:r>
      <w:r w:rsidR="002161CB">
        <w:rPr>
          <w:rFonts w:ascii="Arial" w:hAnsi="Arial" w:cs="Arial"/>
          <w:sz w:val="24"/>
          <w:szCs w:val="24"/>
          <w:lang w:val="en-GB"/>
        </w:rPr>
        <w:t>tion for</w:t>
      </w:r>
      <w:r w:rsidRPr="00185DD3">
        <w:rPr>
          <w:rFonts w:ascii="Arial" w:hAnsi="Arial" w:cs="Arial"/>
          <w:sz w:val="24"/>
          <w:szCs w:val="24"/>
          <w:lang w:val="en-GB"/>
        </w:rPr>
        <w:t xml:space="preserve"> why women are at a higher risk of hyponatremia, especially with the use of drugs that stimulate V2R.</w:t>
      </w:r>
      <w:r w:rsidR="00B773B3">
        <w:rPr>
          <w:rFonts w:ascii="Arial" w:hAnsi="Arial" w:cs="Arial"/>
          <w:sz w:val="24"/>
          <w:szCs w:val="24"/>
          <w:lang w:val="en-GB"/>
        </w:rPr>
        <w:t xml:space="preserve"> </w:t>
      </w:r>
      <w:r w:rsidR="00A47453">
        <w:rPr>
          <w:rFonts w:ascii="Arial" w:hAnsi="Arial" w:cs="Arial"/>
          <w:sz w:val="24"/>
          <w:szCs w:val="24"/>
          <w:lang w:val="en-GB"/>
        </w:rPr>
        <w:t>T</w:t>
      </w:r>
      <w:r w:rsidR="009D688D">
        <w:rPr>
          <w:rFonts w:ascii="Arial" w:hAnsi="Arial" w:cs="Arial"/>
          <w:sz w:val="24"/>
          <w:szCs w:val="24"/>
          <w:lang w:val="en-GB"/>
        </w:rPr>
        <w:t>he underlying mechanism</w:t>
      </w:r>
      <w:r w:rsidR="00B4302C">
        <w:rPr>
          <w:rFonts w:ascii="Arial" w:hAnsi="Arial" w:cs="Arial"/>
          <w:sz w:val="24"/>
          <w:szCs w:val="24"/>
          <w:lang w:val="en-GB"/>
        </w:rPr>
        <w:t>s</w:t>
      </w:r>
      <w:r w:rsidR="009D688D">
        <w:rPr>
          <w:rFonts w:ascii="Arial" w:hAnsi="Arial" w:cs="Arial"/>
          <w:sz w:val="24"/>
          <w:szCs w:val="24"/>
          <w:lang w:val="en-GB"/>
        </w:rPr>
        <w:t xml:space="preserve"> </w:t>
      </w:r>
      <w:r w:rsidR="00B4302C">
        <w:rPr>
          <w:rFonts w:ascii="Arial" w:hAnsi="Arial" w:cs="Arial"/>
          <w:sz w:val="24"/>
          <w:szCs w:val="24"/>
          <w:lang w:val="en-GB"/>
        </w:rPr>
        <w:t>seem</w:t>
      </w:r>
      <w:r w:rsidR="00A47453">
        <w:rPr>
          <w:rFonts w:ascii="Arial" w:hAnsi="Arial" w:cs="Arial"/>
          <w:sz w:val="24"/>
          <w:szCs w:val="24"/>
          <w:lang w:val="en-GB"/>
        </w:rPr>
        <w:t xml:space="preserve"> to be </w:t>
      </w:r>
      <w:r w:rsidR="004245E6">
        <w:rPr>
          <w:rFonts w:ascii="Arial" w:hAnsi="Arial" w:cs="Arial"/>
          <w:sz w:val="24"/>
          <w:szCs w:val="24"/>
          <w:lang w:val="en-GB"/>
        </w:rPr>
        <w:t>more susceptible to OXC</w:t>
      </w:r>
      <w:r w:rsidR="00A47453">
        <w:rPr>
          <w:rFonts w:ascii="Arial" w:hAnsi="Arial" w:cs="Arial"/>
          <w:sz w:val="24"/>
          <w:szCs w:val="24"/>
          <w:lang w:val="en-GB"/>
        </w:rPr>
        <w:t xml:space="preserve"> possibly through a</w:t>
      </w:r>
      <w:r w:rsidR="009D688D">
        <w:rPr>
          <w:rFonts w:ascii="Arial" w:hAnsi="Arial" w:cs="Arial"/>
          <w:sz w:val="24"/>
          <w:szCs w:val="24"/>
          <w:lang w:val="en-GB"/>
        </w:rPr>
        <w:t xml:space="preserve"> </w:t>
      </w:r>
      <w:r w:rsidR="004245E6">
        <w:rPr>
          <w:rFonts w:ascii="Arial" w:hAnsi="Arial" w:cs="Arial"/>
          <w:sz w:val="24"/>
          <w:szCs w:val="24"/>
          <w:lang w:val="en-GB"/>
        </w:rPr>
        <w:t>stronger</w:t>
      </w:r>
      <w:r w:rsidR="009D688D">
        <w:rPr>
          <w:rFonts w:ascii="Arial" w:hAnsi="Arial" w:cs="Arial"/>
          <w:sz w:val="24"/>
          <w:szCs w:val="24"/>
          <w:lang w:val="en-GB"/>
        </w:rPr>
        <w:t xml:space="preserve"> </w:t>
      </w:r>
      <w:r w:rsidR="00A47453">
        <w:rPr>
          <w:rFonts w:ascii="Arial" w:hAnsi="Arial" w:cs="Arial"/>
          <w:sz w:val="24"/>
          <w:szCs w:val="24"/>
          <w:lang w:val="en-GB"/>
        </w:rPr>
        <w:t xml:space="preserve">effect </w:t>
      </w:r>
      <w:r w:rsidR="009D688D">
        <w:rPr>
          <w:rFonts w:ascii="Arial" w:hAnsi="Arial" w:cs="Arial"/>
          <w:sz w:val="24"/>
          <w:szCs w:val="24"/>
          <w:lang w:val="en-GB"/>
        </w:rPr>
        <w:t>of OXC</w:t>
      </w:r>
      <w:r w:rsidR="00B4302C">
        <w:rPr>
          <w:rFonts w:ascii="Arial" w:hAnsi="Arial" w:cs="Arial"/>
          <w:sz w:val="24"/>
          <w:szCs w:val="24"/>
          <w:lang w:val="en-GB"/>
        </w:rPr>
        <w:t xml:space="preserve">, compared </w:t>
      </w:r>
      <w:r w:rsidR="00DF0C91">
        <w:rPr>
          <w:rFonts w:ascii="Arial" w:hAnsi="Arial" w:cs="Arial"/>
          <w:sz w:val="24"/>
          <w:szCs w:val="24"/>
          <w:lang w:val="en-GB"/>
        </w:rPr>
        <w:t xml:space="preserve">with </w:t>
      </w:r>
      <w:r w:rsidR="00B4302C">
        <w:rPr>
          <w:rFonts w:ascii="Arial" w:hAnsi="Arial" w:cs="Arial"/>
          <w:sz w:val="24"/>
          <w:szCs w:val="24"/>
          <w:lang w:val="en-GB"/>
        </w:rPr>
        <w:t>CBZ,</w:t>
      </w:r>
      <w:r w:rsidR="00A47453">
        <w:rPr>
          <w:rFonts w:ascii="Arial" w:hAnsi="Arial" w:cs="Arial"/>
          <w:sz w:val="24"/>
          <w:szCs w:val="24"/>
          <w:lang w:val="en-GB"/>
        </w:rPr>
        <w:t xml:space="preserve"> </w:t>
      </w:r>
      <w:r w:rsidR="004245E6">
        <w:rPr>
          <w:rFonts w:ascii="Arial" w:hAnsi="Arial" w:cs="Arial"/>
          <w:sz w:val="24"/>
          <w:szCs w:val="24"/>
          <w:lang w:val="en-GB"/>
        </w:rPr>
        <w:t>on V2R</w:t>
      </w:r>
      <w:r w:rsidR="00B4302C">
        <w:rPr>
          <w:rFonts w:ascii="Arial" w:hAnsi="Arial" w:cs="Arial"/>
          <w:sz w:val="24"/>
          <w:szCs w:val="24"/>
          <w:lang w:val="en-GB"/>
        </w:rPr>
        <w:t>.</w:t>
      </w:r>
      <w:r w:rsidR="00C479D2">
        <w:rPr>
          <w:rFonts w:ascii="Arial" w:hAnsi="Arial" w:cs="Arial"/>
          <w:sz w:val="24"/>
          <w:szCs w:val="24"/>
          <w:lang w:val="en-GB"/>
        </w:rPr>
        <w:t xml:space="preserve"> </w:t>
      </w:r>
      <w:r w:rsidR="0099057D">
        <w:rPr>
          <w:rFonts w:ascii="Arial" w:hAnsi="Arial" w:cs="Arial"/>
          <w:sz w:val="24"/>
          <w:szCs w:val="24"/>
          <w:lang w:val="en-GB"/>
        </w:rPr>
        <w:t>T</w:t>
      </w:r>
      <w:r w:rsidR="00C479D2">
        <w:rPr>
          <w:rFonts w:ascii="Arial" w:hAnsi="Arial" w:cs="Arial"/>
          <w:sz w:val="24"/>
          <w:szCs w:val="24"/>
          <w:lang w:val="en-GB"/>
        </w:rPr>
        <w:t xml:space="preserve">he </w:t>
      </w:r>
      <w:r w:rsidR="0099057D">
        <w:rPr>
          <w:rFonts w:ascii="Arial" w:hAnsi="Arial" w:cs="Arial"/>
          <w:sz w:val="24"/>
          <w:szCs w:val="24"/>
          <w:lang w:val="en-GB"/>
        </w:rPr>
        <w:t xml:space="preserve">use of </w:t>
      </w:r>
      <w:r w:rsidR="00C479D2">
        <w:rPr>
          <w:rFonts w:ascii="Arial" w:hAnsi="Arial" w:cs="Arial"/>
          <w:sz w:val="24"/>
          <w:szCs w:val="24"/>
          <w:lang w:val="en-GB"/>
        </w:rPr>
        <w:t xml:space="preserve">OXC could </w:t>
      </w:r>
      <w:r w:rsidR="0099057D">
        <w:rPr>
          <w:rFonts w:ascii="Arial" w:hAnsi="Arial" w:cs="Arial"/>
          <w:sz w:val="24"/>
          <w:szCs w:val="24"/>
          <w:lang w:val="en-GB"/>
        </w:rPr>
        <w:t xml:space="preserve">therefore have a larger </w:t>
      </w:r>
      <w:r w:rsidR="004245E6">
        <w:rPr>
          <w:rFonts w:ascii="Arial" w:hAnsi="Arial" w:cs="Arial"/>
          <w:sz w:val="24"/>
          <w:szCs w:val="24"/>
          <w:lang w:val="en-GB"/>
        </w:rPr>
        <w:t xml:space="preserve">influence </w:t>
      </w:r>
      <w:r w:rsidR="006A6646">
        <w:rPr>
          <w:rFonts w:ascii="Arial" w:hAnsi="Arial" w:cs="Arial"/>
          <w:sz w:val="24"/>
          <w:szCs w:val="24"/>
          <w:lang w:val="en-GB"/>
        </w:rPr>
        <w:t>in women</w:t>
      </w:r>
      <w:r w:rsidR="004245E6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18F6AB5E" w14:textId="77777777" w:rsidR="00ED58C7" w:rsidRPr="00185DD3" w:rsidRDefault="00472580" w:rsidP="00ED58C7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>In a large</w:t>
      </w:r>
      <w:r w:rsidR="002A6E41">
        <w:rPr>
          <w:rFonts w:ascii="Arial" w:hAnsi="Arial" w:cs="Arial"/>
          <w:sz w:val="24"/>
          <w:szCs w:val="24"/>
          <w:lang w:val="en-GB"/>
        </w:rPr>
        <w:t xml:space="preserve">r </w:t>
      </w:r>
      <w:r>
        <w:rPr>
          <w:rFonts w:ascii="Arial" w:hAnsi="Arial" w:cs="Arial"/>
          <w:sz w:val="24"/>
          <w:szCs w:val="24"/>
          <w:lang w:val="en-GB"/>
        </w:rPr>
        <w:t>cohort study on O</w:t>
      </w:r>
      <w:r w:rsidR="009D688D">
        <w:rPr>
          <w:rFonts w:ascii="Arial" w:hAnsi="Arial" w:cs="Arial"/>
          <w:sz w:val="24"/>
          <w:szCs w:val="24"/>
          <w:lang w:val="en-GB"/>
        </w:rPr>
        <w:t>XC induced hyponatremia a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202C49">
        <w:rPr>
          <w:rFonts w:ascii="Arial" w:hAnsi="Arial" w:cs="Arial"/>
          <w:sz w:val="24"/>
          <w:szCs w:val="24"/>
          <w:lang w:val="en-GB"/>
        </w:rPr>
        <w:t>sex</w:t>
      </w:r>
      <w:r>
        <w:rPr>
          <w:rFonts w:ascii="Arial" w:hAnsi="Arial" w:cs="Arial"/>
          <w:sz w:val="24"/>
          <w:szCs w:val="24"/>
          <w:lang w:val="en-GB"/>
        </w:rPr>
        <w:t xml:space="preserve"> difference was not found but within this cohort the mean age was 15 years higher than the mean age in our OXC cohort.</w:t>
      </w:r>
      <w:r w:rsidR="002E72DE">
        <w:rPr>
          <w:rFonts w:ascii="Arial" w:hAnsi="Arial" w:cs="Arial"/>
          <w:sz w:val="24"/>
          <w:szCs w:val="24"/>
          <w:vertAlign w:val="superscript"/>
          <w:lang w:val="en-GB"/>
        </w:rPr>
        <w:t>6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996E13">
        <w:rPr>
          <w:rFonts w:ascii="Arial" w:hAnsi="Arial" w:cs="Arial"/>
          <w:sz w:val="24"/>
          <w:szCs w:val="24"/>
          <w:lang w:val="en-GB"/>
        </w:rPr>
        <w:t xml:space="preserve">The effect of impaired renal function at older age on the COIH risk </w:t>
      </w:r>
      <w:r w:rsidR="00E8707F">
        <w:rPr>
          <w:rFonts w:ascii="Arial" w:hAnsi="Arial" w:cs="Arial"/>
          <w:sz w:val="24"/>
          <w:szCs w:val="24"/>
          <w:lang w:val="en-GB"/>
        </w:rPr>
        <w:t>wa</w:t>
      </w:r>
      <w:r w:rsidR="00996E13">
        <w:rPr>
          <w:rFonts w:ascii="Arial" w:hAnsi="Arial" w:cs="Arial"/>
          <w:sz w:val="24"/>
          <w:szCs w:val="24"/>
          <w:lang w:val="en-GB"/>
        </w:rPr>
        <w:t xml:space="preserve">s stronger </w:t>
      </w:r>
      <w:r w:rsidR="00E8707F">
        <w:rPr>
          <w:rFonts w:ascii="Arial" w:hAnsi="Arial" w:cs="Arial"/>
          <w:sz w:val="24"/>
          <w:szCs w:val="24"/>
          <w:lang w:val="en-GB"/>
        </w:rPr>
        <w:t xml:space="preserve">in this study </w:t>
      </w:r>
      <w:r w:rsidR="00996E13">
        <w:rPr>
          <w:rFonts w:ascii="Arial" w:hAnsi="Arial" w:cs="Arial"/>
          <w:sz w:val="24"/>
          <w:szCs w:val="24"/>
          <w:lang w:val="en-GB"/>
        </w:rPr>
        <w:t>th</w:t>
      </w:r>
      <w:r w:rsidR="006A6646">
        <w:rPr>
          <w:rFonts w:ascii="Arial" w:hAnsi="Arial" w:cs="Arial"/>
          <w:sz w:val="24"/>
          <w:szCs w:val="24"/>
          <w:lang w:val="en-GB"/>
        </w:rPr>
        <w:t>a</w:t>
      </w:r>
      <w:r w:rsidR="00996E13">
        <w:rPr>
          <w:rFonts w:ascii="Arial" w:hAnsi="Arial" w:cs="Arial"/>
          <w:sz w:val="24"/>
          <w:szCs w:val="24"/>
          <w:lang w:val="en-GB"/>
        </w:rPr>
        <w:t>n the effect of sex difference. So in a</w:t>
      </w:r>
      <w:r w:rsidR="0055617D">
        <w:rPr>
          <w:rFonts w:ascii="Arial" w:hAnsi="Arial" w:cs="Arial"/>
          <w:sz w:val="24"/>
          <w:szCs w:val="24"/>
          <w:lang w:val="en-GB"/>
        </w:rPr>
        <w:t>n</w:t>
      </w:r>
      <w:r w:rsidR="00996E13">
        <w:rPr>
          <w:rFonts w:ascii="Arial" w:hAnsi="Arial" w:cs="Arial"/>
          <w:sz w:val="24"/>
          <w:szCs w:val="24"/>
          <w:lang w:val="en-GB"/>
        </w:rPr>
        <w:t xml:space="preserve"> older cohort this sex</w:t>
      </w:r>
      <w:r w:rsidR="009156BC">
        <w:rPr>
          <w:rFonts w:ascii="Arial" w:hAnsi="Arial" w:cs="Arial"/>
          <w:sz w:val="24"/>
          <w:szCs w:val="24"/>
          <w:lang w:val="en-GB"/>
        </w:rPr>
        <w:t xml:space="preserve"> effect c</w:t>
      </w:r>
      <w:r w:rsidR="00A60A2C">
        <w:rPr>
          <w:rFonts w:ascii="Arial" w:hAnsi="Arial" w:cs="Arial"/>
          <w:sz w:val="24"/>
          <w:szCs w:val="24"/>
          <w:lang w:val="en-GB"/>
        </w:rPr>
        <w:t>ould</w:t>
      </w:r>
      <w:r w:rsidR="00996E13">
        <w:rPr>
          <w:rFonts w:ascii="Arial" w:hAnsi="Arial" w:cs="Arial"/>
          <w:sz w:val="24"/>
          <w:szCs w:val="24"/>
          <w:lang w:val="en-GB"/>
        </w:rPr>
        <w:t xml:space="preserve"> be missed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="00F611EB">
        <w:rPr>
          <w:rFonts w:ascii="Arial" w:hAnsi="Arial" w:cs="Arial"/>
          <w:sz w:val="24"/>
          <w:szCs w:val="24"/>
          <w:lang w:val="en-GB"/>
        </w:rPr>
        <w:t>Perhaps also the difference in ethnic background plays a role</w:t>
      </w:r>
      <w:r w:rsidR="00BD1543">
        <w:rPr>
          <w:rFonts w:ascii="Arial" w:hAnsi="Arial" w:cs="Arial"/>
          <w:sz w:val="24"/>
          <w:szCs w:val="24"/>
          <w:lang w:val="en-GB"/>
        </w:rPr>
        <w:t>.</w:t>
      </w:r>
      <w:r w:rsidR="006A6646">
        <w:rPr>
          <w:rFonts w:ascii="Arial" w:hAnsi="Arial" w:cs="Arial"/>
          <w:sz w:val="24"/>
          <w:szCs w:val="24"/>
          <w:lang w:val="en-GB"/>
        </w:rPr>
        <w:t xml:space="preserve"> </w:t>
      </w:r>
      <w:r w:rsidR="003E6D36">
        <w:rPr>
          <w:rFonts w:ascii="Arial" w:hAnsi="Arial" w:cs="Arial"/>
          <w:sz w:val="24"/>
          <w:szCs w:val="24"/>
          <w:lang w:val="en-US"/>
        </w:rPr>
        <w:t>Previous s</w:t>
      </w:r>
      <w:r w:rsidR="00ED58C7" w:rsidRPr="00185DD3">
        <w:rPr>
          <w:rFonts w:ascii="Arial" w:hAnsi="Arial" w:cs="Arial"/>
          <w:sz w:val="24"/>
          <w:szCs w:val="24"/>
          <w:lang w:val="en-US"/>
        </w:rPr>
        <w:t xml:space="preserve">tudies </w:t>
      </w:r>
      <w:r w:rsidR="003E6D36">
        <w:rPr>
          <w:rFonts w:ascii="Arial" w:hAnsi="Arial" w:cs="Arial"/>
          <w:sz w:val="24"/>
          <w:szCs w:val="24"/>
          <w:lang w:val="en-US"/>
        </w:rPr>
        <w:t xml:space="preserve">reported conflicting results regarding the </w:t>
      </w:r>
      <w:r w:rsidR="00ED58C7" w:rsidRPr="00185DD3">
        <w:rPr>
          <w:rFonts w:ascii="Arial" w:hAnsi="Arial" w:cs="Arial"/>
          <w:sz w:val="24"/>
          <w:szCs w:val="24"/>
          <w:lang w:val="en-US"/>
        </w:rPr>
        <w:t>association between CBZ and OXC dose and hyponatremia. Some smaller studies did find a dose response relationship</w:t>
      </w:r>
      <w:r w:rsidR="006769A4">
        <w:rPr>
          <w:rFonts w:ascii="Arial" w:hAnsi="Arial" w:cs="Arial"/>
          <w:sz w:val="24"/>
          <w:szCs w:val="24"/>
          <w:lang w:val="en-US"/>
        </w:rPr>
        <w:t>,</w:t>
      </w:r>
      <w:r w:rsidR="002E72DE">
        <w:rPr>
          <w:rFonts w:ascii="Arial" w:hAnsi="Arial" w:cs="Arial"/>
          <w:sz w:val="24"/>
          <w:szCs w:val="24"/>
          <w:vertAlign w:val="superscript"/>
          <w:lang w:val="en-US"/>
        </w:rPr>
        <w:t>13-16</w:t>
      </w:r>
      <w:r w:rsidR="00ED58C7" w:rsidRPr="00185DD3">
        <w:rPr>
          <w:rFonts w:ascii="Arial" w:hAnsi="Arial" w:cs="Arial"/>
          <w:sz w:val="24"/>
          <w:szCs w:val="24"/>
          <w:lang w:val="en-US"/>
        </w:rPr>
        <w:t xml:space="preserve"> but larger studies could not confirm this</w:t>
      </w:r>
      <w:r w:rsidR="00337106">
        <w:rPr>
          <w:rFonts w:ascii="Arial" w:hAnsi="Arial" w:cs="Arial"/>
          <w:sz w:val="24"/>
          <w:szCs w:val="24"/>
          <w:lang w:val="en-US"/>
        </w:rPr>
        <w:t>.</w:t>
      </w:r>
      <w:r w:rsidR="002E72DE">
        <w:rPr>
          <w:rFonts w:ascii="Arial" w:hAnsi="Arial" w:cs="Arial"/>
          <w:sz w:val="24"/>
          <w:szCs w:val="24"/>
          <w:vertAlign w:val="superscript"/>
          <w:lang w:val="en-US"/>
        </w:rPr>
        <w:t>5,6</w:t>
      </w:r>
      <w:r w:rsidR="00ED58C7" w:rsidRPr="00185DD3">
        <w:rPr>
          <w:rFonts w:ascii="Arial" w:hAnsi="Arial" w:cs="Arial"/>
          <w:sz w:val="24"/>
          <w:szCs w:val="24"/>
          <w:lang w:val="en-US"/>
        </w:rPr>
        <w:t xml:space="preserve"> We found a significant relationship between CBZ and OXC </w:t>
      </w:r>
      <w:r w:rsidR="001A53DC">
        <w:rPr>
          <w:rFonts w:ascii="Arial" w:hAnsi="Arial" w:cs="Arial"/>
          <w:sz w:val="24"/>
          <w:szCs w:val="24"/>
          <w:lang w:val="en-US"/>
        </w:rPr>
        <w:t>drug levels</w:t>
      </w:r>
      <w:r w:rsidR="00ED58C7" w:rsidRPr="00185DD3">
        <w:rPr>
          <w:rFonts w:ascii="Arial" w:hAnsi="Arial" w:cs="Arial"/>
          <w:sz w:val="24"/>
          <w:szCs w:val="24"/>
          <w:lang w:val="en-US"/>
        </w:rPr>
        <w:t xml:space="preserve"> and hyponatremia, but the effect size was small. This might explain why this was not seen in some other </w:t>
      </w:r>
      <w:r w:rsidR="00ED58C7" w:rsidRPr="00185DD3">
        <w:rPr>
          <w:rFonts w:ascii="Arial" w:hAnsi="Arial" w:cs="Arial"/>
          <w:sz w:val="24"/>
          <w:szCs w:val="24"/>
          <w:lang w:val="en-US"/>
        </w:rPr>
        <w:lastRenderedPageBreak/>
        <w:t xml:space="preserve">studies. </w:t>
      </w:r>
      <w:r w:rsidR="00C75477">
        <w:rPr>
          <w:rFonts w:ascii="Arial" w:hAnsi="Arial" w:cs="Arial"/>
          <w:sz w:val="24"/>
          <w:szCs w:val="24"/>
          <w:lang w:val="en-US"/>
        </w:rPr>
        <w:t>S</w:t>
      </w:r>
      <w:r w:rsidR="00ED58C7" w:rsidRPr="00185DD3">
        <w:rPr>
          <w:rFonts w:ascii="Arial" w:hAnsi="Arial" w:cs="Arial"/>
          <w:sz w:val="24"/>
          <w:szCs w:val="24"/>
          <w:lang w:val="en-US"/>
        </w:rPr>
        <w:t xml:space="preserve">taying below the ‘mean </w:t>
      </w:r>
      <w:r w:rsidR="00352298">
        <w:rPr>
          <w:rFonts w:ascii="Arial" w:hAnsi="Arial" w:cs="Arial"/>
          <w:sz w:val="24"/>
          <w:szCs w:val="24"/>
          <w:lang w:val="en-US"/>
        </w:rPr>
        <w:t xml:space="preserve">relatively </w:t>
      </w:r>
      <w:r w:rsidR="00ED58C7" w:rsidRPr="00185DD3">
        <w:rPr>
          <w:rFonts w:ascii="Arial" w:hAnsi="Arial" w:cs="Arial"/>
          <w:sz w:val="24"/>
          <w:szCs w:val="24"/>
          <w:lang w:val="en-US"/>
        </w:rPr>
        <w:t xml:space="preserve">safe drug level’ (7.4 mg/L for CBZ and 18.7 mg/L for OXC) might lower the need to withdraw these drugs due to hyponatremia. </w:t>
      </w:r>
    </w:p>
    <w:p w14:paraId="4A190758" w14:textId="77777777" w:rsidR="00ED58C7" w:rsidRDefault="00ED58C7" w:rsidP="00ED58C7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185DD3">
        <w:rPr>
          <w:rFonts w:ascii="Arial" w:hAnsi="Arial" w:cs="Arial"/>
          <w:sz w:val="24"/>
          <w:szCs w:val="24"/>
          <w:lang w:val="en-US"/>
        </w:rPr>
        <w:t xml:space="preserve">We found that concomitant use of CLB and PHT in both groups and VPA and PB in the CBZ group may increase the risk of hyponatremia. </w:t>
      </w:r>
      <w:r w:rsidRPr="00185DD3">
        <w:rPr>
          <w:rFonts w:ascii="Arial" w:hAnsi="Arial" w:cs="Arial"/>
          <w:sz w:val="24"/>
          <w:szCs w:val="24"/>
          <w:lang w:val="en"/>
        </w:rPr>
        <w:t>The diuretic response to a water load was previously tested and found to be significantly greater in those taking carbamazepine and phenytoin in combination than in those on carbamazepine monotherapy</w:t>
      </w:r>
      <w:r w:rsidR="002E72DE">
        <w:rPr>
          <w:rFonts w:ascii="Arial" w:hAnsi="Arial" w:cs="Arial"/>
          <w:sz w:val="24"/>
          <w:szCs w:val="24"/>
          <w:vertAlign w:val="superscript"/>
          <w:lang w:val="en"/>
        </w:rPr>
        <w:t>17</w:t>
      </w:r>
      <w:r w:rsidRPr="00185DD3">
        <w:rPr>
          <w:rFonts w:ascii="Arial" w:hAnsi="Arial" w:cs="Arial"/>
          <w:sz w:val="24"/>
          <w:szCs w:val="24"/>
          <w:lang w:val="en"/>
        </w:rPr>
        <w:t>;</w:t>
      </w:r>
      <w:r w:rsidRPr="00185DD3">
        <w:rPr>
          <w:rFonts w:ascii="Arial" w:hAnsi="Arial" w:cs="Arial"/>
          <w:sz w:val="24"/>
          <w:szCs w:val="24"/>
          <w:lang w:val="en-US"/>
        </w:rPr>
        <w:t xml:space="preserve"> </w:t>
      </w:r>
      <w:r w:rsidRPr="00185DD3">
        <w:rPr>
          <w:rFonts w:ascii="Arial" w:hAnsi="Arial" w:cs="Arial"/>
          <w:sz w:val="24"/>
          <w:szCs w:val="24"/>
          <w:lang w:val="en"/>
        </w:rPr>
        <w:t>this may explain our finding.</w:t>
      </w:r>
      <w:r w:rsidRPr="00185DD3">
        <w:rPr>
          <w:rFonts w:ascii="Arial" w:hAnsi="Arial" w:cs="Arial"/>
          <w:sz w:val="24"/>
          <w:szCs w:val="24"/>
          <w:lang w:val="en-US"/>
        </w:rPr>
        <w:t xml:space="preserve"> Concomitant use of VPA and PB were also previously described as risk factors for CBZ induced hyponatremia</w:t>
      </w:r>
      <w:r w:rsidR="00337106">
        <w:rPr>
          <w:rFonts w:ascii="Arial" w:hAnsi="Arial" w:cs="Arial"/>
          <w:sz w:val="24"/>
          <w:szCs w:val="24"/>
          <w:lang w:val="en-US"/>
        </w:rPr>
        <w:t>.</w:t>
      </w:r>
      <w:r w:rsidR="006769A4">
        <w:rPr>
          <w:rFonts w:ascii="Arial" w:hAnsi="Arial" w:cs="Arial"/>
          <w:sz w:val="24"/>
          <w:szCs w:val="24"/>
          <w:vertAlign w:val="superscript"/>
          <w:lang w:val="en-US"/>
        </w:rPr>
        <w:t>7</w:t>
      </w:r>
      <w:r w:rsidRPr="00185DD3">
        <w:rPr>
          <w:rFonts w:ascii="Arial" w:hAnsi="Arial" w:cs="Arial"/>
          <w:sz w:val="24"/>
          <w:szCs w:val="24"/>
          <w:lang w:val="en-US"/>
        </w:rPr>
        <w:t xml:space="preserve"> A previous study suggested OXC in combination with </w:t>
      </w:r>
      <w:proofErr w:type="spellStart"/>
      <w:r w:rsidRPr="00185DD3">
        <w:rPr>
          <w:rFonts w:ascii="Arial" w:hAnsi="Arial" w:cs="Arial"/>
          <w:sz w:val="24"/>
          <w:szCs w:val="24"/>
          <w:lang w:val="en-US"/>
        </w:rPr>
        <w:t>levetiracetam</w:t>
      </w:r>
      <w:proofErr w:type="spellEnd"/>
      <w:r w:rsidRPr="00185DD3">
        <w:rPr>
          <w:rFonts w:ascii="Arial" w:hAnsi="Arial" w:cs="Arial"/>
          <w:sz w:val="24"/>
          <w:szCs w:val="24"/>
          <w:lang w:val="en-US"/>
        </w:rPr>
        <w:t xml:space="preserve"> (LEV) was a risk factor</w:t>
      </w:r>
      <w:r w:rsidR="002E72DE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Pr="00185DD3">
        <w:rPr>
          <w:rFonts w:ascii="Arial" w:hAnsi="Arial" w:cs="Arial"/>
          <w:sz w:val="24"/>
          <w:szCs w:val="24"/>
          <w:lang w:val="en-US"/>
        </w:rPr>
        <w:t xml:space="preserve">, but we found that concomitant use of LEV did not influence hyponatremia risk in either group. </w:t>
      </w:r>
    </w:p>
    <w:p w14:paraId="3D3B9EC6" w14:textId="77777777" w:rsidR="00DF1E22" w:rsidRDefault="00ED58C7" w:rsidP="00ED58C7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185DD3">
        <w:rPr>
          <w:rFonts w:ascii="Arial" w:hAnsi="Arial" w:cs="Arial"/>
          <w:sz w:val="24"/>
          <w:szCs w:val="24"/>
          <w:lang w:val="en-US"/>
        </w:rPr>
        <w:t>One limitation</w:t>
      </w:r>
      <w:r w:rsidR="00F53058">
        <w:rPr>
          <w:rFonts w:ascii="Arial" w:hAnsi="Arial" w:cs="Arial"/>
          <w:sz w:val="24"/>
          <w:szCs w:val="24"/>
          <w:lang w:val="en-US"/>
        </w:rPr>
        <w:t xml:space="preserve"> of this study</w:t>
      </w:r>
      <w:r w:rsidRPr="00185DD3">
        <w:rPr>
          <w:rFonts w:ascii="Arial" w:hAnsi="Arial" w:cs="Arial"/>
          <w:sz w:val="24"/>
          <w:szCs w:val="24"/>
          <w:lang w:val="en-US"/>
        </w:rPr>
        <w:t xml:space="preserve"> is that there </w:t>
      </w:r>
      <w:r>
        <w:rPr>
          <w:rFonts w:ascii="Arial" w:hAnsi="Arial" w:cs="Arial"/>
          <w:sz w:val="24"/>
          <w:szCs w:val="24"/>
          <w:lang w:val="en-US"/>
        </w:rPr>
        <w:t>were</w:t>
      </w:r>
      <w:r w:rsidRPr="00185DD3">
        <w:rPr>
          <w:rFonts w:ascii="Arial" w:hAnsi="Arial" w:cs="Arial"/>
          <w:sz w:val="24"/>
          <w:szCs w:val="24"/>
          <w:lang w:val="en-US"/>
        </w:rPr>
        <w:t xml:space="preserve"> no recorded </w:t>
      </w:r>
      <w:r>
        <w:rPr>
          <w:rFonts w:ascii="Arial" w:hAnsi="Arial" w:cs="Arial"/>
          <w:sz w:val="24"/>
          <w:szCs w:val="24"/>
          <w:lang w:val="en-US"/>
        </w:rPr>
        <w:t xml:space="preserve">sodium </w:t>
      </w:r>
      <w:r w:rsidRPr="00185DD3">
        <w:rPr>
          <w:rFonts w:ascii="Arial" w:hAnsi="Arial" w:cs="Arial"/>
          <w:sz w:val="24"/>
          <w:szCs w:val="24"/>
          <w:lang w:val="en-US"/>
        </w:rPr>
        <w:t xml:space="preserve">levels for a fifth of the cohort. This, however, </w:t>
      </w:r>
      <w:r w:rsidR="0058503B">
        <w:rPr>
          <w:rFonts w:ascii="Arial" w:hAnsi="Arial" w:cs="Arial"/>
          <w:sz w:val="24"/>
          <w:szCs w:val="24"/>
          <w:lang w:val="en-US"/>
        </w:rPr>
        <w:t xml:space="preserve">may </w:t>
      </w:r>
      <w:r w:rsidRPr="00185DD3">
        <w:rPr>
          <w:rFonts w:ascii="Arial" w:hAnsi="Arial" w:cs="Arial"/>
          <w:sz w:val="24"/>
          <w:szCs w:val="24"/>
          <w:lang w:val="en-US"/>
        </w:rPr>
        <w:t>reflect clinical practice in which some people</w:t>
      </w:r>
      <w:r w:rsidR="00DF0C91">
        <w:rPr>
          <w:rFonts w:ascii="Arial" w:hAnsi="Arial" w:cs="Arial"/>
          <w:sz w:val="24"/>
          <w:szCs w:val="24"/>
          <w:lang w:val="en-US"/>
        </w:rPr>
        <w:t>,</w:t>
      </w:r>
      <w:r w:rsidRPr="00185DD3">
        <w:rPr>
          <w:rFonts w:ascii="Arial" w:hAnsi="Arial" w:cs="Arial"/>
          <w:sz w:val="24"/>
          <w:szCs w:val="24"/>
          <w:lang w:val="en-US"/>
        </w:rPr>
        <w:t xml:space="preserve"> due to pressure of time and dislike of </w:t>
      </w:r>
      <w:r w:rsidR="001A53DC" w:rsidRPr="00185DD3">
        <w:rPr>
          <w:rFonts w:ascii="Arial" w:hAnsi="Arial" w:cs="Arial"/>
          <w:sz w:val="24"/>
          <w:szCs w:val="24"/>
          <w:lang w:val="en-US"/>
        </w:rPr>
        <w:t>ven</w:t>
      </w:r>
      <w:r w:rsidR="001A53DC">
        <w:rPr>
          <w:rFonts w:ascii="Arial" w:hAnsi="Arial" w:cs="Arial"/>
          <w:sz w:val="24"/>
          <w:szCs w:val="24"/>
          <w:lang w:val="en-US"/>
        </w:rPr>
        <w:t>i</w:t>
      </w:r>
      <w:r w:rsidR="001A53DC" w:rsidRPr="00185DD3">
        <w:rPr>
          <w:rFonts w:ascii="Arial" w:hAnsi="Arial" w:cs="Arial"/>
          <w:sz w:val="24"/>
          <w:szCs w:val="24"/>
          <w:lang w:val="en-US"/>
        </w:rPr>
        <w:t>puncture</w:t>
      </w:r>
      <w:r w:rsidR="00DF0C91">
        <w:rPr>
          <w:rFonts w:ascii="Arial" w:hAnsi="Arial" w:cs="Arial"/>
          <w:sz w:val="24"/>
          <w:szCs w:val="24"/>
          <w:lang w:val="en-US"/>
        </w:rPr>
        <w:t>,</w:t>
      </w:r>
      <w:r w:rsidRPr="00185DD3">
        <w:rPr>
          <w:rFonts w:ascii="Arial" w:hAnsi="Arial" w:cs="Arial"/>
          <w:sz w:val="24"/>
          <w:szCs w:val="24"/>
          <w:lang w:val="en-US"/>
        </w:rPr>
        <w:t xml:space="preserve"> do not have samples taken for assay.  The study was conducted at a single tertiary referral </w:t>
      </w:r>
      <w:proofErr w:type="spellStart"/>
      <w:r w:rsidRPr="00185DD3">
        <w:rPr>
          <w:rFonts w:ascii="Arial" w:hAnsi="Arial" w:cs="Arial"/>
          <w:sz w:val="24"/>
          <w:szCs w:val="24"/>
          <w:lang w:val="en-US"/>
        </w:rPr>
        <w:t>cent</w:t>
      </w:r>
      <w:r w:rsidR="00DF0C91">
        <w:rPr>
          <w:rFonts w:ascii="Arial" w:hAnsi="Arial" w:cs="Arial"/>
          <w:sz w:val="24"/>
          <w:szCs w:val="24"/>
          <w:lang w:val="en-US"/>
        </w:rPr>
        <w:t>r</w:t>
      </w:r>
      <w:r w:rsidRPr="00185DD3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Pr="00185DD3">
        <w:rPr>
          <w:rFonts w:ascii="Arial" w:hAnsi="Arial" w:cs="Arial"/>
          <w:sz w:val="24"/>
          <w:szCs w:val="24"/>
          <w:lang w:val="en-US"/>
        </w:rPr>
        <w:t xml:space="preserve"> and it is likely that levels were estimated more frequently than in the primary or secondary level</w:t>
      </w:r>
      <w:r w:rsidR="00DF0C91">
        <w:rPr>
          <w:rFonts w:ascii="Arial" w:hAnsi="Arial" w:cs="Arial"/>
          <w:sz w:val="24"/>
          <w:szCs w:val="24"/>
          <w:lang w:val="en-US"/>
        </w:rPr>
        <w:t>s</w:t>
      </w:r>
      <w:r w:rsidRPr="00185DD3">
        <w:rPr>
          <w:rFonts w:ascii="Arial" w:hAnsi="Arial" w:cs="Arial"/>
          <w:sz w:val="24"/>
          <w:szCs w:val="24"/>
          <w:lang w:val="en-US"/>
        </w:rPr>
        <w:t xml:space="preserve"> of care.    </w:t>
      </w:r>
    </w:p>
    <w:p w14:paraId="0245EB68" w14:textId="74DBD257" w:rsidR="00CC26A0" w:rsidRDefault="00ED58C7" w:rsidP="00ED58C7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185DD3">
        <w:rPr>
          <w:rFonts w:ascii="Arial" w:hAnsi="Arial" w:cs="Arial"/>
          <w:sz w:val="24"/>
          <w:szCs w:val="24"/>
          <w:lang w:val="en-US"/>
        </w:rPr>
        <w:t xml:space="preserve">It is important for clinicians to be aware of the high prevalence of COIH and nonspecific symptoms. </w:t>
      </w:r>
      <w:r w:rsidR="0001203C">
        <w:rPr>
          <w:rFonts w:ascii="Arial" w:hAnsi="Arial" w:cs="Arial"/>
          <w:sz w:val="24"/>
          <w:szCs w:val="24"/>
          <w:lang w:val="en-US"/>
        </w:rPr>
        <w:t>Mild to moderate COIH may cause</w:t>
      </w:r>
      <w:r w:rsidR="0001203C" w:rsidRPr="00AE714F">
        <w:rPr>
          <w:sz w:val="16"/>
          <w:szCs w:val="16"/>
          <w:lang w:val="en-GB"/>
        </w:rPr>
        <w:t xml:space="preserve"> </w:t>
      </w:r>
      <w:r w:rsidR="0001203C" w:rsidRPr="00AE714F">
        <w:rPr>
          <w:rFonts w:ascii="Arial" w:hAnsi="Arial" w:cs="Arial"/>
          <w:sz w:val="24"/>
          <w:szCs w:val="24"/>
          <w:lang w:val="en-GB"/>
        </w:rPr>
        <w:t>lethargy, cognitive slowness</w:t>
      </w:r>
      <w:r w:rsidR="0001203C">
        <w:rPr>
          <w:rFonts w:ascii="Arial" w:hAnsi="Arial" w:cs="Arial"/>
          <w:sz w:val="24"/>
          <w:szCs w:val="24"/>
          <w:lang w:val="en-GB"/>
        </w:rPr>
        <w:t xml:space="preserve">, </w:t>
      </w:r>
      <w:r w:rsidR="0001203C" w:rsidRPr="00AE714F">
        <w:rPr>
          <w:rFonts w:ascii="Arial" w:hAnsi="Arial" w:cs="Arial"/>
          <w:sz w:val="24"/>
          <w:szCs w:val="24"/>
          <w:lang w:val="en-GB"/>
        </w:rPr>
        <w:t>headache</w:t>
      </w:r>
      <w:r w:rsidR="0001203C">
        <w:rPr>
          <w:rFonts w:ascii="Arial" w:hAnsi="Arial" w:cs="Arial"/>
          <w:sz w:val="24"/>
          <w:szCs w:val="24"/>
          <w:lang w:val="en-GB"/>
        </w:rPr>
        <w:t xml:space="preserve">, </w:t>
      </w:r>
      <w:r w:rsidR="0001203C" w:rsidRPr="00AE714F">
        <w:rPr>
          <w:rFonts w:ascii="Arial" w:hAnsi="Arial" w:cs="Arial"/>
          <w:sz w:val="24"/>
          <w:szCs w:val="24"/>
          <w:lang w:val="en-GB"/>
        </w:rPr>
        <w:t>dizziness</w:t>
      </w:r>
      <w:r w:rsidR="0001203C">
        <w:rPr>
          <w:rFonts w:ascii="Arial" w:hAnsi="Arial" w:cs="Arial"/>
          <w:sz w:val="24"/>
          <w:szCs w:val="24"/>
          <w:lang w:val="en-GB"/>
        </w:rPr>
        <w:t xml:space="preserve"> and </w:t>
      </w:r>
      <w:r w:rsidR="0001203C" w:rsidRPr="00AE714F">
        <w:rPr>
          <w:rFonts w:ascii="Arial" w:hAnsi="Arial" w:cs="Arial"/>
          <w:sz w:val="24"/>
          <w:szCs w:val="24"/>
          <w:lang w:val="en-GB"/>
        </w:rPr>
        <w:t>nausea</w:t>
      </w:r>
      <w:r w:rsidR="0001203C">
        <w:rPr>
          <w:rFonts w:ascii="Arial" w:hAnsi="Arial" w:cs="Arial"/>
          <w:sz w:val="24"/>
          <w:szCs w:val="24"/>
          <w:lang w:val="en-US"/>
        </w:rPr>
        <w:t xml:space="preserve">. Severe COIH may lead to </w:t>
      </w:r>
      <w:r w:rsidR="0001203C" w:rsidRPr="008A754F">
        <w:rPr>
          <w:rFonts w:ascii="Arial" w:hAnsi="Arial" w:cs="Arial"/>
          <w:sz w:val="24"/>
          <w:szCs w:val="24"/>
          <w:lang w:val="en-US"/>
        </w:rPr>
        <w:t xml:space="preserve">falls, </w:t>
      </w:r>
      <w:r w:rsidR="0001203C" w:rsidRPr="00AE714F">
        <w:rPr>
          <w:rFonts w:ascii="Arial" w:hAnsi="Arial" w:cs="Arial"/>
          <w:sz w:val="24"/>
          <w:szCs w:val="24"/>
          <w:lang w:val="en-GB"/>
        </w:rPr>
        <w:t>seizure aggravation and hospitalization</w:t>
      </w:r>
      <w:r w:rsidR="0001203C" w:rsidRPr="008A754F">
        <w:rPr>
          <w:rFonts w:ascii="Arial" w:hAnsi="Arial" w:cs="Arial"/>
          <w:sz w:val="24"/>
          <w:szCs w:val="24"/>
          <w:lang w:val="en-US"/>
        </w:rPr>
        <w:t>.</w:t>
      </w:r>
      <w:r w:rsidR="0001203C">
        <w:rPr>
          <w:rFonts w:ascii="Arial" w:hAnsi="Arial" w:cs="Arial"/>
          <w:sz w:val="24"/>
          <w:szCs w:val="24"/>
          <w:vertAlign w:val="superscript"/>
          <w:lang w:val="en-US"/>
        </w:rPr>
        <w:t>6,9</w:t>
      </w:r>
      <w:r w:rsidR="0001203C" w:rsidRPr="00472580">
        <w:rPr>
          <w:rFonts w:ascii="Arial" w:hAnsi="Arial" w:cs="Arial"/>
          <w:sz w:val="24"/>
          <w:szCs w:val="24"/>
          <w:lang w:val="en-US"/>
        </w:rPr>
        <w:t xml:space="preserve"> </w:t>
      </w:r>
      <w:r w:rsidR="00D75633">
        <w:rPr>
          <w:rFonts w:ascii="Arial" w:hAnsi="Arial" w:cs="Arial"/>
          <w:sz w:val="24"/>
          <w:szCs w:val="24"/>
          <w:lang w:val="en-US"/>
        </w:rPr>
        <w:t xml:space="preserve">We found mild symptoms in </w:t>
      </w:r>
      <w:r w:rsidR="009D5893">
        <w:rPr>
          <w:rFonts w:ascii="Arial" w:hAnsi="Arial" w:cs="Arial"/>
          <w:sz w:val="24"/>
          <w:szCs w:val="24"/>
          <w:lang w:val="en-US"/>
        </w:rPr>
        <w:t xml:space="preserve">almost half of those </w:t>
      </w:r>
      <w:r w:rsidR="00D75633">
        <w:rPr>
          <w:rFonts w:ascii="Arial" w:hAnsi="Arial" w:cs="Arial"/>
          <w:sz w:val="24"/>
          <w:szCs w:val="24"/>
          <w:lang w:val="en-US"/>
        </w:rPr>
        <w:t>with hyponatremia</w:t>
      </w:r>
      <w:r w:rsidR="0001203C">
        <w:rPr>
          <w:rFonts w:ascii="Arial" w:hAnsi="Arial" w:cs="Arial"/>
          <w:sz w:val="24"/>
          <w:szCs w:val="24"/>
          <w:lang w:val="en-US"/>
        </w:rPr>
        <w:t xml:space="preserve"> although due to the design we used we can’t be certain if these symptoms were due to hyponatremia or if another cause, such as high AED levels could be playing a role. Of interest, is that only 6% of the symptomatic had high </w:t>
      </w:r>
      <w:r w:rsidR="0001203C">
        <w:rPr>
          <w:rFonts w:ascii="Arial" w:hAnsi="Arial" w:cs="Arial"/>
          <w:sz w:val="24"/>
          <w:szCs w:val="24"/>
          <w:lang w:val="en-US"/>
        </w:rPr>
        <w:lastRenderedPageBreak/>
        <w:t>levels of either CBZ or OXC at the time. We have not systematically collected data on levels of other concomitant AEDs or of metabolites of CBZ and OXC.</w:t>
      </w:r>
    </w:p>
    <w:p w14:paraId="427F39DC" w14:textId="023E5676" w:rsidR="00ED58C7" w:rsidRDefault="002161CB" w:rsidP="00ED58C7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recent</w:t>
      </w:r>
      <w:r w:rsidR="00761897">
        <w:rPr>
          <w:rFonts w:ascii="Arial" w:hAnsi="Arial" w:cs="Arial"/>
          <w:sz w:val="24"/>
          <w:szCs w:val="24"/>
          <w:lang w:val="en-US"/>
        </w:rPr>
        <w:t xml:space="preserve"> population</w:t>
      </w:r>
      <w:r w:rsidR="00531113">
        <w:rPr>
          <w:rFonts w:ascii="Arial" w:hAnsi="Arial" w:cs="Arial"/>
          <w:sz w:val="24"/>
          <w:szCs w:val="24"/>
          <w:lang w:val="en-US"/>
        </w:rPr>
        <w:t>-</w:t>
      </w:r>
      <w:r w:rsidR="00761897">
        <w:rPr>
          <w:rFonts w:ascii="Arial" w:hAnsi="Arial" w:cs="Arial"/>
          <w:sz w:val="24"/>
          <w:szCs w:val="24"/>
          <w:lang w:val="en-US"/>
        </w:rPr>
        <w:t xml:space="preserve">based study </w:t>
      </w:r>
      <w:r>
        <w:rPr>
          <w:rFonts w:ascii="Arial" w:hAnsi="Arial" w:cs="Arial"/>
          <w:sz w:val="24"/>
          <w:szCs w:val="24"/>
          <w:lang w:val="en-US"/>
        </w:rPr>
        <w:t xml:space="preserve">found </w:t>
      </w:r>
      <w:r w:rsidR="00761897">
        <w:rPr>
          <w:rFonts w:ascii="Arial" w:hAnsi="Arial" w:cs="Arial"/>
          <w:sz w:val="24"/>
          <w:szCs w:val="24"/>
          <w:lang w:val="en-US"/>
        </w:rPr>
        <w:t xml:space="preserve">that CBZ use compared to no antiepileptic use was associated with a 8.2 higher relative risk of </w:t>
      </w:r>
      <w:r>
        <w:rPr>
          <w:rFonts w:ascii="Arial" w:hAnsi="Arial" w:cs="Arial"/>
          <w:sz w:val="24"/>
          <w:szCs w:val="24"/>
          <w:lang w:val="en-US"/>
        </w:rPr>
        <w:t>hospitalization with</w:t>
      </w:r>
      <w:r w:rsidR="00761897">
        <w:rPr>
          <w:rFonts w:ascii="Arial" w:hAnsi="Arial" w:cs="Arial"/>
          <w:sz w:val="24"/>
          <w:szCs w:val="24"/>
          <w:lang w:val="en-US"/>
        </w:rPr>
        <w:t xml:space="preserve"> hyponatremia within 30 days of drug initiation in </w:t>
      </w:r>
      <w:r>
        <w:rPr>
          <w:rFonts w:ascii="Arial" w:hAnsi="Arial" w:cs="Arial"/>
          <w:sz w:val="24"/>
          <w:szCs w:val="24"/>
          <w:lang w:val="en-US"/>
        </w:rPr>
        <w:t xml:space="preserve">people over </w:t>
      </w:r>
      <w:r w:rsidR="00761897">
        <w:rPr>
          <w:rFonts w:ascii="Arial" w:hAnsi="Arial" w:cs="Arial"/>
          <w:sz w:val="24"/>
          <w:szCs w:val="24"/>
          <w:lang w:val="en-US"/>
        </w:rPr>
        <w:t>65 years.</w:t>
      </w:r>
      <w:r w:rsidR="002E72DE">
        <w:rPr>
          <w:rFonts w:ascii="Arial" w:hAnsi="Arial" w:cs="Arial"/>
          <w:sz w:val="24"/>
          <w:szCs w:val="24"/>
          <w:vertAlign w:val="superscript"/>
          <w:lang w:val="en-US"/>
        </w:rPr>
        <w:t>18</w:t>
      </w:r>
      <w:r w:rsidR="00761897">
        <w:rPr>
          <w:rFonts w:ascii="Arial" w:hAnsi="Arial" w:cs="Arial"/>
          <w:sz w:val="24"/>
          <w:szCs w:val="24"/>
          <w:lang w:val="en-US"/>
        </w:rPr>
        <w:t xml:space="preserve"> </w:t>
      </w:r>
      <w:r w:rsidR="001164CC" w:rsidRPr="00A428B7">
        <w:rPr>
          <w:rFonts w:ascii="Arial" w:hAnsi="Arial" w:cs="Arial"/>
          <w:sz w:val="24"/>
          <w:szCs w:val="24"/>
          <w:lang w:val="en-US"/>
        </w:rPr>
        <w:t xml:space="preserve">To prevent this, </w:t>
      </w:r>
      <w:r w:rsidR="001164CC" w:rsidRPr="004245E6">
        <w:rPr>
          <w:rFonts w:ascii="Arial" w:hAnsi="Arial" w:cs="Arial"/>
          <w:sz w:val="24"/>
          <w:szCs w:val="24"/>
          <w:lang w:val="en-US"/>
        </w:rPr>
        <w:t>p</w:t>
      </w:r>
      <w:r w:rsidR="00ED58C7" w:rsidRPr="004245E6">
        <w:rPr>
          <w:rFonts w:ascii="Arial" w:hAnsi="Arial" w:cs="Arial"/>
          <w:sz w:val="24"/>
          <w:szCs w:val="24"/>
          <w:lang w:val="en-US"/>
        </w:rPr>
        <w:t>h</w:t>
      </w:r>
      <w:r w:rsidR="00ED58C7" w:rsidRPr="00185DD3">
        <w:rPr>
          <w:rFonts w:ascii="Arial" w:hAnsi="Arial" w:cs="Arial"/>
          <w:sz w:val="24"/>
          <w:szCs w:val="24"/>
          <w:lang w:val="en-US"/>
        </w:rPr>
        <w:t xml:space="preserve">ysicians should have a low threshold of suspicion for this common </w:t>
      </w:r>
      <w:r w:rsidR="00ED58C7">
        <w:rPr>
          <w:rFonts w:ascii="Arial" w:hAnsi="Arial" w:cs="Arial"/>
          <w:sz w:val="24"/>
          <w:szCs w:val="24"/>
          <w:lang w:val="en-US"/>
        </w:rPr>
        <w:t>adverse</w:t>
      </w:r>
      <w:r w:rsidR="00ED58C7" w:rsidRPr="00185DD3">
        <w:rPr>
          <w:rFonts w:ascii="Arial" w:hAnsi="Arial" w:cs="Arial"/>
          <w:sz w:val="24"/>
          <w:szCs w:val="24"/>
          <w:lang w:val="en-US"/>
        </w:rPr>
        <w:t xml:space="preserve"> effect and checking sodium levels should be </w:t>
      </w:r>
      <w:r w:rsidR="00F15B79">
        <w:rPr>
          <w:rFonts w:ascii="Arial" w:hAnsi="Arial" w:cs="Arial"/>
          <w:sz w:val="24"/>
          <w:szCs w:val="24"/>
          <w:lang w:val="en-US"/>
        </w:rPr>
        <w:t>routine</w:t>
      </w:r>
      <w:r w:rsidR="00ED58C7" w:rsidRPr="00185DD3">
        <w:rPr>
          <w:rFonts w:ascii="Arial" w:hAnsi="Arial" w:cs="Arial"/>
          <w:sz w:val="24"/>
          <w:szCs w:val="24"/>
          <w:lang w:val="en-US"/>
        </w:rPr>
        <w:t xml:space="preserve"> in clinical practice for people taking either of these drugs. </w:t>
      </w:r>
      <w:r w:rsidR="00DF0068" w:rsidRPr="00DF0068">
        <w:rPr>
          <w:rFonts w:ascii="Arial" w:hAnsi="Arial" w:cs="Arial"/>
          <w:sz w:val="24"/>
          <w:szCs w:val="24"/>
          <w:lang w:val="en-US"/>
        </w:rPr>
        <w:t>Mild hyponatremia can be treated with fluid restriction</w:t>
      </w:r>
      <w:r w:rsidR="00DF0C91">
        <w:rPr>
          <w:rFonts w:ascii="Arial" w:hAnsi="Arial" w:cs="Arial"/>
          <w:sz w:val="24"/>
          <w:szCs w:val="24"/>
          <w:lang w:val="en-US"/>
        </w:rPr>
        <w:t>;</w:t>
      </w:r>
      <w:r w:rsidR="00DF0068" w:rsidRPr="00DF0068">
        <w:rPr>
          <w:rFonts w:ascii="Arial" w:hAnsi="Arial" w:cs="Arial"/>
          <w:sz w:val="24"/>
          <w:szCs w:val="24"/>
          <w:lang w:val="en-US"/>
        </w:rPr>
        <w:t xml:space="preserve"> in </w:t>
      </w:r>
      <w:r w:rsidR="00DF0068">
        <w:rPr>
          <w:rFonts w:ascii="Arial" w:hAnsi="Arial" w:cs="Arial"/>
          <w:sz w:val="24"/>
          <w:szCs w:val="24"/>
          <w:lang w:val="en-US"/>
        </w:rPr>
        <w:t xml:space="preserve">case of </w:t>
      </w:r>
      <w:r w:rsidR="00DF0068" w:rsidRPr="00DF0068">
        <w:rPr>
          <w:rFonts w:ascii="Arial" w:hAnsi="Arial" w:cs="Arial"/>
          <w:sz w:val="24"/>
          <w:szCs w:val="24"/>
          <w:lang w:val="en-US"/>
        </w:rPr>
        <w:t xml:space="preserve">severe hyponatremia </w:t>
      </w:r>
      <w:r w:rsidR="00D75633">
        <w:rPr>
          <w:rFonts w:ascii="Arial" w:hAnsi="Arial" w:cs="Arial"/>
          <w:sz w:val="24"/>
          <w:szCs w:val="24"/>
          <w:lang w:val="en-US"/>
        </w:rPr>
        <w:t xml:space="preserve">we </w:t>
      </w:r>
      <w:r w:rsidR="009D5893">
        <w:rPr>
          <w:rFonts w:ascii="Arial" w:hAnsi="Arial" w:cs="Arial"/>
          <w:sz w:val="24"/>
          <w:szCs w:val="24"/>
          <w:lang w:val="en-US"/>
        </w:rPr>
        <w:t xml:space="preserve">would </w:t>
      </w:r>
      <w:r w:rsidR="007114CB">
        <w:rPr>
          <w:rFonts w:ascii="Arial" w:hAnsi="Arial" w:cs="Arial"/>
          <w:sz w:val="24"/>
          <w:szCs w:val="24"/>
          <w:lang w:val="en-US"/>
        </w:rPr>
        <w:t xml:space="preserve">recommend </w:t>
      </w:r>
      <w:r w:rsidR="009D5893">
        <w:rPr>
          <w:rFonts w:ascii="Arial" w:hAnsi="Arial" w:cs="Arial"/>
          <w:sz w:val="24"/>
          <w:szCs w:val="24"/>
          <w:lang w:val="en-US"/>
        </w:rPr>
        <w:t xml:space="preserve">the introduction of an alternative antiepileptic drug with the </w:t>
      </w:r>
      <w:r w:rsidR="00D75633">
        <w:rPr>
          <w:rFonts w:ascii="Arial" w:hAnsi="Arial" w:cs="Arial"/>
          <w:sz w:val="24"/>
          <w:szCs w:val="24"/>
          <w:lang w:val="en-GB"/>
        </w:rPr>
        <w:t>gradual withdraw</w:t>
      </w:r>
      <w:r w:rsidR="009D5893">
        <w:rPr>
          <w:rFonts w:ascii="Arial" w:hAnsi="Arial" w:cs="Arial"/>
          <w:sz w:val="24"/>
          <w:szCs w:val="24"/>
          <w:lang w:val="en-GB"/>
        </w:rPr>
        <w:t>al of</w:t>
      </w:r>
      <w:r w:rsidR="00D75633">
        <w:rPr>
          <w:rFonts w:ascii="Arial" w:hAnsi="Arial" w:cs="Arial"/>
          <w:sz w:val="24"/>
          <w:szCs w:val="24"/>
          <w:lang w:val="en-US"/>
        </w:rPr>
        <w:t xml:space="preserve"> </w:t>
      </w:r>
      <w:r w:rsidR="00BC0921">
        <w:rPr>
          <w:rFonts w:ascii="Arial" w:hAnsi="Arial" w:cs="Arial"/>
          <w:sz w:val="24"/>
          <w:szCs w:val="24"/>
          <w:lang w:val="en-US"/>
        </w:rPr>
        <w:t xml:space="preserve">either </w:t>
      </w:r>
      <w:r w:rsidR="00BC0921" w:rsidRPr="00DF0068">
        <w:rPr>
          <w:rFonts w:ascii="Arial" w:hAnsi="Arial" w:cs="Arial"/>
          <w:sz w:val="24"/>
          <w:szCs w:val="24"/>
          <w:lang w:val="en-US"/>
        </w:rPr>
        <w:t>CBZ or</w:t>
      </w:r>
      <w:r w:rsidR="00DF0068" w:rsidRPr="001D784D">
        <w:rPr>
          <w:rFonts w:ascii="Arial" w:hAnsi="Arial" w:cs="Arial"/>
          <w:sz w:val="24"/>
          <w:szCs w:val="24"/>
          <w:lang w:val="en-GB"/>
        </w:rPr>
        <w:t xml:space="preserve"> OXC</w:t>
      </w:r>
      <w:r w:rsidR="004F4A29">
        <w:rPr>
          <w:rFonts w:ascii="Arial" w:hAnsi="Arial" w:cs="Arial"/>
          <w:sz w:val="24"/>
          <w:szCs w:val="24"/>
          <w:lang w:val="en-GB"/>
        </w:rPr>
        <w:t>.</w:t>
      </w:r>
      <w:r w:rsidR="00DF0068" w:rsidRPr="001D784D">
        <w:rPr>
          <w:rFonts w:ascii="Arial" w:hAnsi="Arial" w:cs="Arial"/>
          <w:sz w:val="24"/>
          <w:szCs w:val="24"/>
          <w:lang w:val="en-GB"/>
        </w:rPr>
        <w:t xml:space="preserve"> </w:t>
      </w:r>
      <w:r w:rsidR="00ED58C7" w:rsidRPr="00185DD3">
        <w:rPr>
          <w:rFonts w:ascii="Arial" w:hAnsi="Arial" w:cs="Arial"/>
          <w:sz w:val="24"/>
          <w:szCs w:val="24"/>
          <w:lang w:val="en-US"/>
        </w:rPr>
        <w:t xml:space="preserve">Alternative antiepileptic medication </w:t>
      </w:r>
      <w:r w:rsidR="00546B86">
        <w:rPr>
          <w:rFonts w:ascii="Arial" w:hAnsi="Arial" w:cs="Arial"/>
          <w:sz w:val="24"/>
          <w:szCs w:val="24"/>
          <w:lang w:val="en-US"/>
        </w:rPr>
        <w:t xml:space="preserve">also </w:t>
      </w:r>
      <w:r w:rsidR="00E713DC">
        <w:rPr>
          <w:rFonts w:ascii="Arial" w:hAnsi="Arial" w:cs="Arial"/>
          <w:sz w:val="24"/>
          <w:szCs w:val="24"/>
          <w:lang w:val="en-US"/>
        </w:rPr>
        <w:t>need</w:t>
      </w:r>
      <w:r w:rsidR="0009710F">
        <w:rPr>
          <w:rFonts w:ascii="Arial" w:hAnsi="Arial" w:cs="Arial"/>
          <w:sz w:val="24"/>
          <w:szCs w:val="24"/>
          <w:lang w:val="en-US"/>
        </w:rPr>
        <w:t>s</w:t>
      </w:r>
      <w:r w:rsidR="00E713DC">
        <w:rPr>
          <w:rFonts w:ascii="Arial" w:hAnsi="Arial" w:cs="Arial"/>
          <w:sz w:val="24"/>
          <w:szCs w:val="24"/>
          <w:lang w:val="en-US"/>
        </w:rPr>
        <w:t xml:space="preserve"> to </w:t>
      </w:r>
      <w:r w:rsidR="00ED58C7" w:rsidRPr="00185DD3">
        <w:rPr>
          <w:rFonts w:ascii="Arial" w:hAnsi="Arial" w:cs="Arial"/>
          <w:sz w:val="24"/>
          <w:szCs w:val="24"/>
          <w:lang w:val="en-US"/>
        </w:rPr>
        <w:t>be considered</w:t>
      </w:r>
      <w:r w:rsidR="00ED58C7" w:rsidRPr="00185DD3" w:rsidDel="000A30CA">
        <w:rPr>
          <w:rFonts w:ascii="Arial" w:hAnsi="Arial" w:cs="Arial"/>
          <w:sz w:val="24"/>
          <w:szCs w:val="24"/>
          <w:lang w:val="en-US"/>
        </w:rPr>
        <w:t xml:space="preserve"> </w:t>
      </w:r>
      <w:r w:rsidR="00ED58C7" w:rsidRPr="00185DD3">
        <w:rPr>
          <w:rFonts w:ascii="Arial" w:hAnsi="Arial" w:cs="Arial"/>
          <w:sz w:val="24"/>
          <w:szCs w:val="24"/>
          <w:lang w:val="en-US"/>
        </w:rPr>
        <w:t>especially in the elderly, females and in those on multiple AEDs</w:t>
      </w:r>
      <w:r w:rsidR="00DF0068">
        <w:rPr>
          <w:rFonts w:ascii="Arial" w:hAnsi="Arial" w:cs="Arial"/>
          <w:sz w:val="24"/>
          <w:szCs w:val="24"/>
          <w:lang w:val="en-US"/>
        </w:rPr>
        <w:t>, before hyponatremia develops</w:t>
      </w:r>
      <w:r w:rsidR="00ED58C7" w:rsidRPr="00185DD3">
        <w:rPr>
          <w:rFonts w:ascii="Arial" w:hAnsi="Arial" w:cs="Arial"/>
          <w:sz w:val="24"/>
          <w:szCs w:val="24"/>
          <w:lang w:val="en-US"/>
        </w:rPr>
        <w:t>.</w:t>
      </w:r>
      <w:r w:rsidR="00A803C7">
        <w:rPr>
          <w:rFonts w:ascii="Arial" w:hAnsi="Arial" w:cs="Arial"/>
          <w:sz w:val="24"/>
          <w:szCs w:val="24"/>
          <w:lang w:val="en-US"/>
        </w:rPr>
        <w:t xml:space="preserve"> Prospective studies are </w:t>
      </w:r>
      <w:r w:rsidR="00BA1986">
        <w:rPr>
          <w:rFonts w:ascii="Arial" w:hAnsi="Arial" w:cs="Arial"/>
          <w:sz w:val="24"/>
          <w:szCs w:val="24"/>
          <w:lang w:val="en-US"/>
        </w:rPr>
        <w:t xml:space="preserve">warranted to establish the true </w:t>
      </w:r>
      <w:r w:rsidR="00A803C7">
        <w:rPr>
          <w:rFonts w:ascii="Arial" w:hAnsi="Arial" w:cs="Arial"/>
          <w:sz w:val="24"/>
          <w:szCs w:val="24"/>
          <w:lang w:val="en-US"/>
        </w:rPr>
        <w:t xml:space="preserve">frequency of symptomatic hyponatremia. </w:t>
      </w:r>
    </w:p>
    <w:p w14:paraId="25DB869D" w14:textId="77777777" w:rsidR="004725D8" w:rsidRPr="00BA1986" w:rsidRDefault="004725D8" w:rsidP="004725D8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71C7F8C5" w14:textId="77777777" w:rsidR="00D93A72" w:rsidRDefault="00D93A72">
      <w:pPr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br w:type="page"/>
      </w:r>
    </w:p>
    <w:p w14:paraId="1F9F7F33" w14:textId="77777777" w:rsidR="006F1A0D" w:rsidRPr="00A318DA" w:rsidRDefault="006F1A0D" w:rsidP="00D93A72">
      <w:pPr>
        <w:spacing w:line="360" w:lineRule="auto"/>
        <w:rPr>
          <w:rFonts w:ascii="Arial" w:hAnsi="Arial" w:cs="Arial"/>
          <w:b/>
          <w:sz w:val="24"/>
          <w:szCs w:val="24"/>
          <w:lang w:val="en"/>
        </w:rPr>
      </w:pPr>
      <w:r w:rsidRPr="00A318DA">
        <w:rPr>
          <w:rFonts w:ascii="Arial" w:hAnsi="Arial" w:cs="Arial"/>
          <w:b/>
          <w:sz w:val="24"/>
          <w:szCs w:val="24"/>
          <w:lang w:val="en"/>
        </w:rPr>
        <w:lastRenderedPageBreak/>
        <w:t>Acknowledgments</w:t>
      </w:r>
    </w:p>
    <w:p w14:paraId="44DF9514" w14:textId="77777777" w:rsidR="006F1A0D" w:rsidRDefault="006F1A0D" w:rsidP="00D93A72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T</w:t>
      </w:r>
      <w:r w:rsidRPr="00185DD3">
        <w:rPr>
          <w:rFonts w:ascii="Arial" w:eastAsia="Times New Roman" w:hAnsi="Arial" w:cs="Arial"/>
          <w:color w:val="000000"/>
          <w:sz w:val="24"/>
          <w:szCs w:val="24"/>
          <w:lang w:val="en-GB"/>
        </w:rPr>
        <w:t>he European Union Seventh Framework Programme (FP7/2007-2013)</w:t>
      </w: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r w:rsidRPr="00185DD3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supported </w:t>
      </w: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this work </w:t>
      </w:r>
      <w:r w:rsidRPr="00185DD3">
        <w:rPr>
          <w:rFonts w:ascii="Arial" w:eastAsia="Times New Roman" w:hAnsi="Arial" w:cs="Arial"/>
          <w:color w:val="000000"/>
          <w:sz w:val="24"/>
          <w:szCs w:val="24"/>
          <w:lang w:val="en-GB"/>
        </w:rPr>
        <w:t>under grant agreement n° 279062</w:t>
      </w: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, as part of the </w:t>
      </w:r>
      <w:proofErr w:type="spellStart"/>
      <w:r w:rsidRPr="00185DD3">
        <w:rPr>
          <w:rFonts w:ascii="Arial" w:eastAsia="Times New Roman" w:hAnsi="Arial" w:cs="Arial"/>
          <w:color w:val="000000"/>
          <w:sz w:val="24"/>
          <w:szCs w:val="24"/>
          <w:lang w:val="en-GB"/>
        </w:rPr>
        <w:t>EpiPGX</w:t>
      </w:r>
      <w:proofErr w:type="spellEnd"/>
      <w:r w:rsidRPr="00185DD3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project </w:t>
      </w:r>
    </w:p>
    <w:p w14:paraId="5066FA07" w14:textId="77777777" w:rsidR="006F1A0D" w:rsidRDefault="006F1A0D" w:rsidP="00D93A72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-GB"/>
        </w:rPr>
        <w:t>JWS</w:t>
      </w:r>
      <w:r w:rsidRPr="00185DD3">
        <w:rPr>
          <w:rFonts w:ascii="Arial" w:hAnsi="Arial" w:cs="Arial"/>
          <w:sz w:val="24"/>
          <w:szCs w:val="24"/>
          <w:lang w:val="en"/>
        </w:rPr>
        <w:t xml:space="preserve"> is based at UCLH/UCL Comprehensive Biomedical Research Centre, which receives a proportion of funding from the UK Department of Health’s National Institute for Health Research Biomedical Research </w:t>
      </w:r>
      <w:proofErr w:type="spellStart"/>
      <w:r w:rsidRPr="00185DD3">
        <w:rPr>
          <w:rFonts w:ascii="Arial" w:hAnsi="Arial" w:cs="Arial"/>
          <w:sz w:val="24"/>
          <w:szCs w:val="24"/>
          <w:lang w:val="en"/>
        </w:rPr>
        <w:t>Centres</w:t>
      </w:r>
      <w:proofErr w:type="spellEnd"/>
      <w:r w:rsidRPr="00185DD3">
        <w:rPr>
          <w:rFonts w:ascii="Arial" w:hAnsi="Arial" w:cs="Arial"/>
          <w:sz w:val="24"/>
          <w:szCs w:val="24"/>
          <w:lang w:val="en"/>
        </w:rPr>
        <w:t xml:space="preserve"> funding scheme. He receives support from the </w:t>
      </w:r>
      <w:proofErr w:type="spellStart"/>
      <w:r w:rsidRPr="00185DD3">
        <w:rPr>
          <w:rFonts w:ascii="Arial" w:hAnsi="Arial" w:cs="Arial"/>
          <w:sz w:val="24"/>
          <w:szCs w:val="24"/>
          <w:lang w:val="en"/>
        </w:rPr>
        <w:t>Dr</w:t>
      </w:r>
      <w:proofErr w:type="spellEnd"/>
      <w:r w:rsidRPr="00185DD3">
        <w:rPr>
          <w:rFonts w:ascii="Arial" w:hAnsi="Arial" w:cs="Arial"/>
          <w:sz w:val="24"/>
          <w:szCs w:val="24"/>
          <w:lang w:val="en"/>
        </w:rPr>
        <w:t xml:space="preserve"> Marvin Weil Epilepsy Research Fund.</w:t>
      </w:r>
    </w:p>
    <w:p w14:paraId="1992CF9D" w14:textId="77777777" w:rsidR="006F1A0D" w:rsidRDefault="006F1A0D" w:rsidP="00D93A72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185DD3">
        <w:rPr>
          <w:rFonts w:ascii="Arial" w:hAnsi="Arial" w:cs="Arial"/>
          <w:sz w:val="24"/>
          <w:szCs w:val="24"/>
          <w:lang w:val="en"/>
        </w:rPr>
        <w:t xml:space="preserve">We thank Janic van Zijl, Marita Devile, Trusjen Punte and Anja Sonsma, </w:t>
      </w:r>
      <w:r>
        <w:rPr>
          <w:rFonts w:ascii="Arial" w:hAnsi="Arial" w:cs="Arial"/>
          <w:sz w:val="24"/>
          <w:szCs w:val="24"/>
          <w:lang w:val="en"/>
        </w:rPr>
        <w:t xml:space="preserve">for </w:t>
      </w:r>
      <w:r w:rsidRPr="00185DD3">
        <w:rPr>
          <w:rFonts w:ascii="Arial" w:hAnsi="Arial" w:cs="Arial"/>
          <w:sz w:val="24"/>
          <w:szCs w:val="24"/>
          <w:lang w:val="en"/>
        </w:rPr>
        <w:t>help</w:t>
      </w:r>
      <w:r>
        <w:rPr>
          <w:rFonts w:ascii="Arial" w:hAnsi="Arial" w:cs="Arial"/>
          <w:sz w:val="24"/>
          <w:szCs w:val="24"/>
          <w:lang w:val="en"/>
        </w:rPr>
        <w:t xml:space="preserve">ing </w:t>
      </w:r>
      <w:r w:rsidRPr="00185DD3">
        <w:rPr>
          <w:rFonts w:ascii="Arial" w:hAnsi="Arial" w:cs="Arial"/>
          <w:sz w:val="24"/>
          <w:szCs w:val="24"/>
          <w:lang w:val="en"/>
        </w:rPr>
        <w:t xml:space="preserve">with </w:t>
      </w:r>
      <w:r>
        <w:rPr>
          <w:rFonts w:ascii="Arial" w:hAnsi="Arial" w:cs="Arial"/>
          <w:sz w:val="24"/>
          <w:szCs w:val="24"/>
          <w:lang w:val="en"/>
        </w:rPr>
        <w:t xml:space="preserve">data </w:t>
      </w:r>
      <w:r w:rsidRPr="00185DD3">
        <w:rPr>
          <w:rFonts w:ascii="Arial" w:hAnsi="Arial" w:cs="Arial"/>
          <w:sz w:val="24"/>
          <w:szCs w:val="24"/>
          <w:lang w:val="en"/>
        </w:rPr>
        <w:t>collecti</w:t>
      </w:r>
      <w:r>
        <w:rPr>
          <w:rFonts w:ascii="Arial" w:hAnsi="Arial" w:cs="Arial"/>
          <w:sz w:val="24"/>
          <w:szCs w:val="24"/>
          <w:lang w:val="en"/>
        </w:rPr>
        <w:t>on</w:t>
      </w:r>
      <w:r w:rsidRPr="00185DD3">
        <w:rPr>
          <w:rFonts w:ascii="Arial" w:hAnsi="Arial" w:cs="Arial"/>
          <w:sz w:val="24"/>
          <w:szCs w:val="24"/>
          <w:lang w:val="en"/>
        </w:rPr>
        <w:t xml:space="preserve">. </w:t>
      </w:r>
    </w:p>
    <w:p w14:paraId="3033712F" w14:textId="77777777" w:rsidR="006F1A0D" w:rsidRPr="00680559" w:rsidRDefault="006F1A0D" w:rsidP="00D93A7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"/>
        </w:rPr>
        <w:t xml:space="preserve">We are grateful to Gail Bell for reviewing the manuscript. </w:t>
      </w:r>
    </w:p>
    <w:p w14:paraId="4089E5ED" w14:textId="77777777" w:rsidR="006F1A0D" w:rsidRDefault="006F1A0D" w:rsidP="00D93A72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05468460" w14:textId="77777777" w:rsidR="006F1A0D" w:rsidRPr="00A81FDF" w:rsidRDefault="006F1A0D" w:rsidP="00D93A7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A81FDF">
        <w:rPr>
          <w:rFonts w:ascii="Arial" w:hAnsi="Arial" w:cs="Arial"/>
          <w:b/>
          <w:sz w:val="24"/>
          <w:szCs w:val="24"/>
          <w:lang w:val="en-GB"/>
        </w:rPr>
        <w:t>Author Disclosures</w:t>
      </w:r>
    </w:p>
    <w:p w14:paraId="7D511117" w14:textId="77777777" w:rsidR="006F1A0D" w:rsidRDefault="006F1A0D" w:rsidP="00D93A7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3560C5">
        <w:rPr>
          <w:rFonts w:ascii="Arial" w:hAnsi="Arial" w:cs="Arial"/>
          <w:sz w:val="24"/>
          <w:szCs w:val="24"/>
          <w:lang w:val="en-GB"/>
        </w:rPr>
        <w:t>B</w:t>
      </w:r>
      <w:r>
        <w:rPr>
          <w:rFonts w:ascii="Arial" w:hAnsi="Arial" w:cs="Arial"/>
          <w:sz w:val="24"/>
          <w:szCs w:val="24"/>
          <w:lang w:val="en-GB"/>
        </w:rPr>
        <w:t xml:space="preserve">B,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JvdP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GJdH</w:t>
      </w:r>
      <w:proofErr w:type="spellEnd"/>
      <w:r>
        <w:rPr>
          <w:rFonts w:ascii="Arial" w:hAnsi="Arial" w:cs="Arial"/>
          <w:sz w:val="24"/>
          <w:szCs w:val="24"/>
          <w:lang w:val="en-GB"/>
        </w:rPr>
        <w:t>, DL and BK r</w:t>
      </w:r>
      <w:r w:rsidRPr="003560C5">
        <w:rPr>
          <w:rFonts w:ascii="Arial" w:hAnsi="Arial" w:cs="Arial"/>
          <w:sz w:val="24"/>
          <w:szCs w:val="24"/>
          <w:lang w:val="en-GB"/>
        </w:rPr>
        <w:t>eport no disclosures</w:t>
      </w:r>
    </w:p>
    <w:p w14:paraId="2A09A4BB" w14:textId="77777777" w:rsidR="006F1A0D" w:rsidRDefault="006F1A0D" w:rsidP="00D93A72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AC46B1">
        <w:rPr>
          <w:rFonts w:ascii="Arial" w:hAnsi="Arial" w:cs="Arial"/>
          <w:sz w:val="24"/>
          <w:szCs w:val="24"/>
          <w:lang w:val="en-GB"/>
        </w:rPr>
        <w:t xml:space="preserve">JWS has received research funding from Eisai, GSK and UCB, personal fees from Eisai, UCB </w:t>
      </w:r>
      <w:proofErr w:type="spellStart"/>
      <w:r w:rsidRPr="00AC46B1">
        <w:rPr>
          <w:rFonts w:ascii="Arial" w:hAnsi="Arial" w:cs="Arial"/>
          <w:sz w:val="24"/>
          <w:szCs w:val="24"/>
          <w:lang w:val="en-GB"/>
        </w:rPr>
        <w:t>Lundbeck</w:t>
      </w:r>
      <w:proofErr w:type="spellEnd"/>
      <w:r w:rsidRPr="00AC46B1">
        <w:rPr>
          <w:rFonts w:ascii="Arial" w:hAnsi="Arial" w:cs="Arial"/>
          <w:sz w:val="24"/>
          <w:szCs w:val="24"/>
          <w:lang w:val="en-GB"/>
        </w:rPr>
        <w:t xml:space="preserve"> and </w:t>
      </w:r>
      <w:proofErr w:type="spellStart"/>
      <w:r w:rsidRPr="00AC46B1">
        <w:rPr>
          <w:rFonts w:ascii="Arial" w:hAnsi="Arial" w:cs="Arial"/>
          <w:sz w:val="24"/>
          <w:szCs w:val="24"/>
          <w:lang w:val="en-GB"/>
        </w:rPr>
        <w:t>Teva</w:t>
      </w:r>
      <w:proofErr w:type="spellEnd"/>
      <w:r w:rsidRPr="00AC46B1">
        <w:rPr>
          <w:rFonts w:ascii="Arial" w:hAnsi="Arial" w:cs="Arial"/>
          <w:sz w:val="24"/>
          <w:szCs w:val="24"/>
          <w:lang w:val="en-GB"/>
        </w:rPr>
        <w:t>, outside the submitted work. He receives research support from the Marvin Weil Epilepsy Research Fund</w:t>
      </w:r>
      <w:r>
        <w:rPr>
          <w:rFonts w:ascii="Arial" w:hAnsi="Arial" w:cs="Arial"/>
          <w:sz w:val="24"/>
          <w:szCs w:val="24"/>
          <w:lang w:val="en-GB"/>
        </w:rPr>
        <w:t xml:space="preserve"> and the UK Epilepsy Society endows his current position. H</w:t>
      </w:r>
      <w:r w:rsidRPr="00AC46B1">
        <w:rPr>
          <w:rFonts w:ascii="Arial" w:hAnsi="Arial" w:cs="Arial"/>
          <w:sz w:val="24"/>
          <w:szCs w:val="24"/>
          <w:lang w:val="en-GB"/>
        </w:rPr>
        <w:t xml:space="preserve">e is a member of the editorial board of The Lancet Neurology. </w:t>
      </w:r>
    </w:p>
    <w:p w14:paraId="4F0159B2" w14:textId="77777777" w:rsidR="006F1A0D" w:rsidRPr="002B5466" w:rsidRDefault="006F1A0D" w:rsidP="00D93A72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B5466">
        <w:rPr>
          <w:rFonts w:ascii="Arial" w:hAnsi="Arial" w:cs="Arial"/>
          <w:b/>
          <w:sz w:val="24"/>
          <w:szCs w:val="24"/>
          <w:lang w:val="en-GB"/>
        </w:rPr>
        <w:t>Author Contributions</w:t>
      </w:r>
    </w:p>
    <w:p w14:paraId="01DAF19C" w14:textId="77777777" w:rsidR="006F1A0D" w:rsidRDefault="006F1A0D" w:rsidP="00D93A72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2B5466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BB, JWS, and BK conceptualised and designed the study. BB collected the data. BB and </w:t>
      </w:r>
      <w:proofErr w:type="spellStart"/>
      <w:r w:rsidRPr="002B5466">
        <w:rPr>
          <w:rFonts w:ascii="Arial" w:eastAsia="Times New Roman" w:hAnsi="Arial" w:cs="Arial"/>
          <w:color w:val="000000"/>
          <w:sz w:val="24"/>
          <w:szCs w:val="24"/>
          <w:lang w:val="en-GB"/>
        </w:rPr>
        <w:t>JvdP</w:t>
      </w:r>
      <w:proofErr w:type="spellEnd"/>
      <w:r w:rsidRPr="002B5466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carried out the statistical analyses. BB drafted the manuscript.</w:t>
      </w: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r w:rsidRPr="002B5466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2B5466">
        <w:rPr>
          <w:rFonts w:ascii="Arial" w:eastAsia="Times New Roman" w:hAnsi="Arial" w:cs="Arial"/>
          <w:color w:val="000000"/>
          <w:sz w:val="24"/>
          <w:szCs w:val="24"/>
          <w:lang w:val="en-GB"/>
        </w:rPr>
        <w:t>JvdP</w:t>
      </w:r>
      <w:proofErr w:type="spellEnd"/>
      <w:r w:rsidRPr="002B5466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2B5466">
        <w:rPr>
          <w:rFonts w:ascii="Arial" w:eastAsia="Times New Roman" w:hAnsi="Arial" w:cs="Arial"/>
          <w:color w:val="000000"/>
          <w:sz w:val="24"/>
          <w:szCs w:val="24"/>
          <w:lang w:val="en-GB"/>
        </w:rPr>
        <w:t>GJdH</w:t>
      </w:r>
      <w:proofErr w:type="spellEnd"/>
      <w:r w:rsidRPr="002B5466">
        <w:rPr>
          <w:rFonts w:ascii="Arial" w:eastAsia="Times New Roman" w:hAnsi="Arial" w:cs="Arial"/>
          <w:color w:val="000000"/>
          <w:sz w:val="24"/>
          <w:szCs w:val="24"/>
          <w:lang w:val="en-GB"/>
        </w:rPr>
        <w:t>, JWS, DL and BK critically revised the manuscript. All approved the final version. BK</w:t>
      </w: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and JWS are </w:t>
      </w:r>
      <w:r w:rsidRPr="002B5466">
        <w:rPr>
          <w:rFonts w:ascii="Arial" w:eastAsia="Times New Roman" w:hAnsi="Arial" w:cs="Arial"/>
          <w:color w:val="000000"/>
          <w:sz w:val="24"/>
          <w:szCs w:val="24"/>
          <w:lang w:val="en-GB"/>
        </w:rPr>
        <w:t>the guarantor</w:t>
      </w: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s</w:t>
      </w:r>
      <w:r w:rsidRPr="002B5466">
        <w:rPr>
          <w:rFonts w:ascii="Arial" w:eastAsia="Times New Roman" w:hAnsi="Arial" w:cs="Arial"/>
          <w:color w:val="000000"/>
          <w:sz w:val="24"/>
          <w:szCs w:val="24"/>
          <w:lang w:val="en-GB"/>
        </w:rPr>
        <w:t>.</w:t>
      </w:r>
    </w:p>
    <w:p w14:paraId="4773AF62" w14:textId="77777777" w:rsidR="005D6A29" w:rsidRDefault="005D6A29" w:rsidP="00D93A72">
      <w:pPr>
        <w:adjustRightInd w:val="0"/>
        <w:spacing w:after="0" w:line="360" w:lineRule="auto"/>
        <w:rPr>
          <w:rFonts w:ascii="Arial" w:hAnsi="Arial" w:cs="Arial"/>
          <w:sz w:val="22"/>
          <w:lang w:val="en-GB"/>
        </w:rPr>
      </w:pPr>
      <w:r w:rsidRPr="00D93A72">
        <w:rPr>
          <w:rFonts w:ascii="Arial" w:hAnsi="Arial" w:cs="Arial"/>
          <w:b/>
          <w:sz w:val="24"/>
          <w:szCs w:val="24"/>
          <w:lang w:val="en-GB"/>
        </w:rPr>
        <w:t>Supplemental Data</w:t>
      </w:r>
      <w:r w:rsidRPr="00786AF5">
        <w:rPr>
          <w:rFonts w:ascii="Arial" w:hAnsi="Arial" w:cs="Arial"/>
          <w:sz w:val="22"/>
          <w:lang w:val="en-GB"/>
        </w:rPr>
        <w:t>: STROBE Statement</w:t>
      </w:r>
    </w:p>
    <w:p w14:paraId="3C1C27E8" w14:textId="77777777" w:rsidR="009C724F" w:rsidRDefault="009C724F" w:rsidP="00D93A72">
      <w:pPr>
        <w:adjustRightInd w:val="0"/>
        <w:spacing w:after="0" w:line="360" w:lineRule="auto"/>
        <w:rPr>
          <w:rFonts w:ascii="Arial" w:hAnsi="Arial" w:cs="Arial"/>
          <w:sz w:val="22"/>
          <w:lang w:val="en-GB"/>
        </w:rPr>
      </w:pPr>
    </w:p>
    <w:p w14:paraId="1F33CFF1" w14:textId="77777777" w:rsidR="009C724F" w:rsidRPr="009C724F" w:rsidRDefault="009C724F" w:rsidP="00D93A72">
      <w:pPr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9C724F">
        <w:rPr>
          <w:rFonts w:ascii="Arial" w:hAnsi="Arial" w:cs="Arial"/>
          <w:sz w:val="24"/>
          <w:szCs w:val="24"/>
          <w:lang w:val="en-GB"/>
        </w:rPr>
        <w:t xml:space="preserve">We confirm that we have read the Journal’s position on issues involved in ethical publication and affirm that this report is consistent with those guidelines. </w:t>
      </w:r>
    </w:p>
    <w:p w14:paraId="21BD102B" w14:textId="77777777" w:rsidR="006F1A0D" w:rsidRPr="00A318DA" w:rsidRDefault="006F1A0D" w:rsidP="006F1A0D">
      <w:pPr>
        <w:rPr>
          <w:rFonts w:ascii="Arial" w:hAnsi="Arial" w:cs="Arial"/>
          <w:b/>
          <w:sz w:val="20"/>
          <w:szCs w:val="20"/>
          <w:lang w:val="en-GB"/>
        </w:rPr>
      </w:pPr>
      <w:r w:rsidRPr="00A318DA"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6D21FD43" w14:textId="77777777" w:rsidR="005F146E" w:rsidRDefault="005F146E">
      <w:pPr>
        <w:rPr>
          <w:rFonts w:ascii="Arial" w:hAnsi="Arial" w:cs="Arial"/>
          <w:b/>
          <w:sz w:val="28"/>
          <w:szCs w:val="28"/>
          <w:lang w:val="en"/>
        </w:rPr>
      </w:pPr>
    </w:p>
    <w:p w14:paraId="4BFDE3A8" w14:textId="77777777" w:rsidR="004725D8" w:rsidRPr="009C571F" w:rsidRDefault="004725D8" w:rsidP="002E67E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9C571F">
        <w:rPr>
          <w:rFonts w:ascii="Arial" w:hAnsi="Arial" w:cs="Arial"/>
          <w:b/>
          <w:sz w:val="28"/>
          <w:szCs w:val="28"/>
        </w:rPr>
        <w:t>R</w:t>
      </w:r>
      <w:r w:rsidR="006F1A0D" w:rsidRPr="009C571F">
        <w:rPr>
          <w:rFonts w:ascii="Arial" w:hAnsi="Arial" w:cs="Arial"/>
          <w:b/>
          <w:sz w:val="28"/>
          <w:szCs w:val="28"/>
        </w:rPr>
        <w:t>EFERENCES</w:t>
      </w:r>
    </w:p>
    <w:p w14:paraId="661388A8" w14:textId="77777777" w:rsidR="00E0660C" w:rsidRPr="00E0660C" w:rsidRDefault="004725D8" w:rsidP="00E0660C">
      <w:pPr>
        <w:pStyle w:val="EndNoteBibliography"/>
        <w:spacing w:after="0"/>
      </w:pPr>
      <w:r w:rsidRPr="00C127ED">
        <w:rPr>
          <w:rFonts w:ascii="Arial" w:hAnsi="Arial" w:cs="Arial"/>
          <w:sz w:val="22"/>
          <w:lang w:val="en-GB"/>
        </w:rPr>
        <w:fldChar w:fldCharType="begin"/>
      </w:r>
      <w:r w:rsidRPr="009C571F">
        <w:rPr>
          <w:rFonts w:ascii="Arial" w:hAnsi="Arial" w:cs="Arial"/>
          <w:sz w:val="22"/>
          <w:lang w:val="nl-NL"/>
        </w:rPr>
        <w:instrText xml:space="preserve"> ADDIN EN.REFLIST </w:instrText>
      </w:r>
      <w:r w:rsidRPr="00C127ED">
        <w:rPr>
          <w:rFonts w:ascii="Arial" w:hAnsi="Arial" w:cs="Arial"/>
          <w:sz w:val="22"/>
          <w:lang w:val="en-GB"/>
        </w:rPr>
        <w:fldChar w:fldCharType="separate"/>
      </w:r>
      <w:r w:rsidR="00E0660C" w:rsidRPr="009C571F">
        <w:rPr>
          <w:lang w:val="nl-NL"/>
        </w:rPr>
        <w:t>1.</w:t>
      </w:r>
      <w:r w:rsidR="00E0660C" w:rsidRPr="009C571F">
        <w:rPr>
          <w:lang w:val="nl-NL"/>
        </w:rPr>
        <w:tab/>
        <w:t>Renneboog B, Musch W, Vandemergel X</w:t>
      </w:r>
      <w:r w:rsidR="00564C60" w:rsidRPr="009C571F">
        <w:rPr>
          <w:lang w:val="nl-NL"/>
        </w:rPr>
        <w:t xml:space="preserve"> et al</w:t>
      </w:r>
      <w:r w:rsidR="00E0660C" w:rsidRPr="009C571F">
        <w:rPr>
          <w:lang w:val="nl-NL"/>
        </w:rPr>
        <w:t xml:space="preserve">. </w:t>
      </w:r>
      <w:r w:rsidR="00E0660C" w:rsidRPr="00E0660C">
        <w:t xml:space="preserve">Mild chronic hyponatremia is associated with falls, unsteadiness, and attention deficits. </w:t>
      </w:r>
      <w:r w:rsidR="00E0660C" w:rsidRPr="00845DF7">
        <w:t>Am J Med.</w:t>
      </w:r>
      <w:r w:rsidR="00E0660C" w:rsidRPr="00E0660C">
        <w:t xml:space="preserve"> 2006;119(1):71 e1-8.</w:t>
      </w:r>
    </w:p>
    <w:p w14:paraId="166E9310" w14:textId="77777777" w:rsidR="00E0660C" w:rsidRPr="00E0660C" w:rsidRDefault="00E0660C" w:rsidP="00E0660C">
      <w:pPr>
        <w:pStyle w:val="EndNoteBibliography"/>
        <w:spacing w:after="0"/>
      </w:pPr>
      <w:r w:rsidRPr="00E0660C">
        <w:t>2.</w:t>
      </w:r>
      <w:r w:rsidRPr="00E0660C">
        <w:tab/>
        <w:t xml:space="preserve">Matsumura M, Yamaguchi M, Sato T. Severe hyponatremia in a patient treated with levomepromazine and carbamazepine. </w:t>
      </w:r>
      <w:r w:rsidRPr="00845DF7">
        <w:t xml:space="preserve">Intern Med. </w:t>
      </w:r>
      <w:r w:rsidRPr="00E0660C">
        <w:t>2001;40(5):459.</w:t>
      </w:r>
    </w:p>
    <w:p w14:paraId="2B0C9439" w14:textId="77777777" w:rsidR="00E0660C" w:rsidRPr="007A322E" w:rsidRDefault="00E0660C" w:rsidP="00E0660C">
      <w:pPr>
        <w:pStyle w:val="EndNoteBibliography"/>
        <w:spacing w:after="0"/>
        <w:rPr>
          <w:lang w:val="nl-NL"/>
        </w:rPr>
      </w:pPr>
      <w:r w:rsidRPr="00E0660C">
        <w:t>3.</w:t>
      </w:r>
      <w:r w:rsidRPr="00E0660C">
        <w:tab/>
        <w:t>Giuliani C, Peri A. Effects of Hyponatremia on the Brain.</w:t>
      </w:r>
      <w:r w:rsidRPr="00564C60">
        <w:rPr>
          <w:i/>
        </w:rPr>
        <w:t xml:space="preserve"> </w:t>
      </w:r>
      <w:r w:rsidRPr="00845DF7">
        <w:rPr>
          <w:lang w:val="nl-NL"/>
        </w:rPr>
        <w:t>J Clin Med. 2</w:t>
      </w:r>
      <w:r w:rsidRPr="007A322E">
        <w:rPr>
          <w:lang w:val="nl-NL"/>
        </w:rPr>
        <w:t>014;3(4):1163-77.</w:t>
      </w:r>
    </w:p>
    <w:p w14:paraId="1C9F0628" w14:textId="77777777" w:rsidR="00E0660C" w:rsidRPr="00E0660C" w:rsidRDefault="00E0660C" w:rsidP="00E0660C">
      <w:pPr>
        <w:pStyle w:val="EndNoteBibliography"/>
        <w:spacing w:after="0"/>
      </w:pPr>
      <w:r w:rsidRPr="00564C60">
        <w:rPr>
          <w:lang w:val="nl-NL"/>
        </w:rPr>
        <w:t>4.</w:t>
      </w:r>
      <w:r w:rsidRPr="00564C60">
        <w:rPr>
          <w:lang w:val="nl-NL"/>
        </w:rPr>
        <w:tab/>
        <w:t>Van Amelsvoort T, Bakshi R, Devaux CB</w:t>
      </w:r>
      <w:r w:rsidR="00564C60" w:rsidRPr="00564C60">
        <w:rPr>
          <w:lang w:val="nl-NL"/>
        </w:rPr>
        <w:t xml:space="preserve"> et al</w:t>
      </w:r>
      <w:r w:rsidRPr="00564C60">
        <w:rPr>
          <w:lang w:val="nl-NL"/>
        </w:rPr>
        <w:t xml:space="preserve">. </w:t>
      </w:r>
      <w:r w:rsidRPr="00E0660C">
        <w:t>Hyponatremia associated with carbamazepine and oxcarbazepine therapy: a review.</w:t>
      </w:r>
      <w:r w:rsidRPr="00564C60">
        <w:rPr>
          <w:i/>
        </w:rPr>
        <w:t xml:space="preserve"> </w:t>
      </w:r>
      <w:r w:rsidRPr="00845DF7">
        <w:t>Epilepsia.</w:t>
      </w:r>
      <w:r w:rsidRPr="00E0660C">
        <w:t xml:space="preserve"> 1994;35(1):181-8.</w:t>
      </w:r>
    </w:p>
    <w:p w14:paraId="1BBBEFE5" w14:textId="77777777" w:rsidR="00E0660C" w:rsidRPr="00E0660C" w:rsidRDefault="00E0660C" w:rsidP="00E0660C">
      <w:pPr>
        <w:pStyle w:val="EndNoteBibliography"/>
        <w:spacing w:after="0"/>
      </w:pPr>
      <w:r w:rsidRPr="00A71100">
        <w:rPr>
          <w:lang w:val="en-GB"/>
        </w:rPr>
        <w:t>5.</w:t>
      </w:r>
      <w:r w:rsidRPr="00A71100">
        <w:rPr>
          <w:lang w:val="en-GB"/>
        </w:rPr>
        <w:tab/>
        <w:t>Dong X, Leppik IE, White J</w:t>
      </w:r>
      <w:r w:rsidR="00564C60" w:rsidRPr="00A71100">
        <w:rPr>
          <w:lang w:val="en-GB"/>
        </w:rPr>
        <w:t xml:space="preserve"> et al</w:t>
      </w:r>
      <w:r w:rsidRPr="00A71100">
        <w:rPr>
          <w:lang w:val="en-GB"/>
        </w:rPr>
        <w:t xml:space="preserve">. </w:t>
      </w:r>
      <w:r w:rsidRPr="00E0660C">
        <w:t xml:space="preserve">Hyponatremia from oxcarbazepine and carbamazepine. </w:t>
      </w:r>
      <w:r w:rsidRPr="00845DF7">
        <w:t>Neurology.</w:t>
      </w:r>
      <w:r w:rsidRPr="00E0660C">
        <w:t xml:space="preserve"> 2005;65(12):1976-8.</w:t>
      </w:r>
    </w:p>
    <w:p w14:paraId="13EEE2FC" w14:textId="77777777" w:rsidR="00E0660C" w:rsidRPr="00E0660C" w:rsidRDefault="00E0660C" w:rsidP="00E0660C">
      <w:pPr>
        <w:pStyle w:val="EndNoteBibliography"/>
        <w:spacing w:after="0"/>
      </w:pPr>
      <w:r w:rsidRPr="007A322E">
        <w:rPr>
          <w:lang w:val="en-GB"/>
        </w:rPr>
        <w:t>6.</w:t>
      </w:r>
      <w:r w:rsidRPr="007A322E">
        <w:rPr>
          <w:lang w:val="en-GB"/>
        </w:rPr>
        <w:tab/>
        <w:t>Kim YS, Kim DW, Jung KH</w:t>
      </w:r>
      <w:r w:rsidR="00564C60" w:rsidRPr="007A322E">
        <w:rPr>
          <w:lang w:val="en-GB"/>
        </w:rPr>
        <w:t xml:space="preserve"> </w:t>
      </w:r>
      <w:r w:rsidRPr="007A322E">
        <w:rPr>
          <w:lang w:val="en-GB"/>
        </w:rPr>
        <w:t xml:space="preserve">et al. </w:t>
      </w:r>
      <w:r w:rsidRPr="00E0660C">
        <w:t>Frequency of and risk factors for oxcarbazepine-induced severe and symptomatic hyponatremia.</w:t>
      </w:r>
      <w:r w:rsidRPr="00564C60">
        <w:rPr>
          <w:i/>
        </w:rPr>
        <w:t xml:space="preserve"> </w:t>
      </w:r>
      <w:r w:rsidRPr="00845DF7">
        <w:t xml:space="preserve">Seizure. </w:t>
      </w:r>
      <w:r w:rsidRPr="00E0660C">
        <w:t>2014;23(3):208-12.</w:t>
      </w:r>
    </w:p>
    <w:p w14:paraId="4E869944" w14:textId="77777777" w:rsidR="00E0660C" w:rsidRPr="00E0660C" w:rsidRDefault="00E0660C" w:rsidP="00E0660C">
      <w:pPr>
        <w:pStyle w:val="EndNoteBibliography"/>
        <w:spacing w:after="0"/>
      </w:pPr>
      <w:r w:rsidRPr="007A322E">
        <w:rPr>
          <w:lang w:val="en-GB"/>
        </w:rPr>
        <w:t>7.</w:t>
      </w:r>
      <w:r w:rsidRPr="007A322E">
        <w:rPr>
          <w:lang w:val="en-GB"/>
        </w:rPr>
        <w:tab/>
        <w:t>Kalff R, Houtkooper MA, Meyer JW</w:t>
      </w:r>
      <w:r w:rsidR="00564C60" w:rsidRPr="007A322E">
        <w:rPr>
          <w:lang w:val="en-GB"/>
        </w:rPr>
        <w:t xml:space="preserve"> et al</w:t>
      </w:r>
      <w:r w:rsidRPr="007A322E">
        <w:rPr>
          <w:lang w:val="en-GB"/>
        </w:rPr>
        <w:t xml:space="preserve">. </w:t>
      </w:r>
      <w:r w:rsidRPr="00E0660C">
        <w:t xml:space="preserve">Carbamazepine and serum sodium levels. </w:t>
      </w:r>
      <w:r w:rsidRPr="00845DF7">
        <w:t>Epilepsia.</w:t>
      </w:r>
      <w:r w:rsidRPr="00E0660C">
        <w:t xml:space="preserve"> 1984;25(3):390-7.</w:t>
      </w:r>
    </w:p>
    <w:p w14:paraId="1CB296A1" w14:textId="77777777" w:rsidR="00E0660C" w:rsidRPr="00564C60" w:rsidRDefault="00E0660C" w:rsidP="00E0660C">
      <w:pPr>
        <w:pStyle w:val="EndNoteBibliography"/>
        <w:spacing w:after="0"/>
        <w:rPr>
          <w:lang w:val="nl-NL"/>
        </w:rPr>
      </w:pPr>
      <w:r w:rsidRPr="00E0660C">
        <w:t>8.</w:t>
      </w:r>
      <w:r w:rsidRPr="00E0660C">
        <w:tab/>
        <w:t xml:space="preserve">Kugler JP, Hustead T. Hyponatremia and hypernatremia in the elderly. </w:t>
      </w:r>
      <w:r w:rsidRPr="00845DF7">
        <w:rPr>
          <w:lang w:val="nl-NL"/>
        </w:rPr>
        <w:t xml:space="preserve">Am Fam Physician. </w:t>
      </w:r>
      <w:r w:rsidRPr="00564C60">
        <w:rPr>
          <w:lang w:val="nl-NL"/>
        </w:rPr>
        <w:t>2000;61(12):3623-30.</w:t>
      </w:r>
    </w:p>
    <w:p w14:paraId="0A495890" w14:textId="77777777" w:rsidR="00E0660C" w:rsidRPr="00564C60" w:rsidRDefault="00E0660C" w:rsidP="00E0660C">
      <w:pPr>
        <w:pStyle w:val="EndNoteBibliography"/>
        <w:spacing w:after="0"/>
        <w:rPr>
          <w:lang w:val="nl-NL"/>
        </w:rPr>
      </w:pPr>
      <w:r w:rsidRPr="00564C60">
        <w:rPr>
          <w:lang w:val="nl-NL"/>
        </w:rPr>
        <w:t>9.</w:t>
      </w:r>
      <w:r w:rsidRPr="00564C60">
        <w:rPr>
          <w:lang w:val="nl-NL"/>
        </w:rPr>
        <w:tab/>
        <w:t>Berghuis B, de Haan GJ, van den Broek MP</w:t>
      </w:r>
      <w:r w:rsidR="00564C60">
        <w:rPr>
          <w:lang w:val="nl-NL"/>
        </w:rPr>
        <w:t xml:space="preserve"> et al</w:t>
      </w:r>
      <w:r w:rsidRPr="00564C60">
        <w:rPr>
          <w:lang w:val="nl-NL"/>
        </w:rPr>
        <w:t xml:space="preserve">. </w:t>
      </w:r>
      <w:r w:rsidRPr="00E0660C">
        <w:t xml:space="preserve">Epidemiology, pathophysiology and putative genetic basis of carbamazepine- and oxcarbazepine-induced hyponatremia. </w:t>
      </w:r>
      <w:r w:rsidRPr="00845DF7">
        <w:rPr>
          <w:lang w:val="nl-NL"/>
        </w:rPr>
        <w:t xml:space="preserve">Eur J Neurol. </w:t>
      </w:r>
      <w:r w:rsidRPr="00564C60">
        <w:rPr>
          <w:lang w:val="nl-NL"/>
        </w:rPr>
        <w:t>2016.</w:t>
      </w:r>
    </w:p>
    <w:p w14:paraId="3AD73706" w14:textId="77777777" w:rsidR="00E0660C" w:rsidRPr="00E0660C" w:rsidRDefault="00E0660C" w:rsidP="00E0660C">
      <w:pPr>
        <w:pStyle w:val="EndNoteBibliography"/>
        <w:spacing w:after="0"/>
      </w:pPr>
      <w:r w:rsidRPr="00564C60">
        <w:rPr>
          <w:lang w:val="nl-NL"/>
        </w:rPr>
        <w:t>10.</w:t>
      </w:r>
      <w:r w:rsidRPr="00564C60">
        <w:rPr>
          <w:lang w:val="nl-NL"/>
        </w:rPr>
        <w:tab/>
        <w:t>Juul KV, Bichet DG, Nielsen S</w:t>
      </w:r>
      <w:r w:rsidR="00564C60">
        <w:rPr>
          <w:lang w:val="nl-NL"/>
        </w:rPr>
        <w:t xml:space="preserve"> et al</w:t>
      </w:r>
      <w:r w:rsidRPr="00564C60">
        <w:rPr>
          <w:lang w:val="nl-NL"/>
        </w:rPr>
        <w:t xml:space="preserve">. </w:t>
      </w:r>
      <w:r w:rsidRPr="00E0660C">
        <w:t xml:space="preserve">The physiological and pathophysiological functions of renal and extrarenal vasopressin V2 receptors. </w:t>
      </w:r>
      <w:r w:rsidRPr="00845DF7">
        <w:t>Am J Physiol Renal Physiol.</w:t>
      </w:r>
      <w:r w:rsidRPr="00564C60">
        <w:rPr>
          <w:i/>
        </w:rPr>
        <w:t xml:space="preserve"> </w:t>
      </w:r>
      <w:r w:rsidRPr="00E0660C">
        <w:t>2014;306(9):F931-40.</w:t>
      </w:r>
    </w:p>
    <w:p w14:paraId="6D66A92F" w14:textId="77777777" w:rsidR="00E0660C" w:rsidRPr="00564C60" w:rsidRDefault="00564C60" w:rsidP="00E0660C">
      <w:pPr>
        <w:pStyle w:val="EndNoteBibliography"/>
        <w:spacing w:after="0"/>
        <w:rPr>
          <w:lang w:val="nl-NL"/>
        </w:rPr>
      </w:pPr>
      <w:r w:rsidRPr="007A322E">
        <w:rPr>
          <w:lang w:val="en-GB"/>
        </w:rPr>
        <w:t>11.</w:t>
      </w:r>
      <w:r w:rsidRPr="007A322E">
        <w:rPr>
          <w:lang w:val="en-GB"/>
        </w:rPr>
        <w:tab/>
        <w:t>Berletch JB, Yang F, Xu J et al</w:t>
      </w:r>
      <w:r w:rsidR="00E0660C" w:rsidRPr="007A322E">
        <w:rPr>
          <w:lang w:val="en-GB"/>
        </w:rPr>
        <w:t xml:space="preserve">. </w:t>
      </w:r>
      <w:r w:rsidR="00E0660C" w:rsidRPr="00E0660C">
        <w:t xml:space="preserve">Genes that escape from X inactivation. </w:t>
      </w:r>
      <w:r w:rsidR="00E0660C" w:rsidRPr="00845DF7">
        <w:rPr>
          <w:lang w:val="nl-NL"/>
        </w:rPr>
        <w:t xml:space="preserve">Hum Genet. </w:t>
      </w:r>
      <w:r w:rsidR="00E0660C" w:rsidRPr="00564C60">
        <w:rPr>
          <w:lang w:val="nl-NL"/>
        </w:rPr>
        <w:t>2011;130(2):237-45.</w:t>
      </w:r>
    </w:p>
    <w:p w14:paraId="16755F45" w14:textId="77777777" w:rsidR="00E0660C" w:rsidRPr="00E0660C" w:rsidRDefault="00564C60" w:rsidP="00E0660C">
      <w:pPr>
        <w:pStyle w:val="EndNoteBibliography"/>
        <w:spacing w:after="0"/>
      </w:pPr>
      <w:r>
        <w:rPr>
          <w:lang w:val="nl-NL"/>
        </w:rPr>
        <w:t>12.</w:t>
      </w:r>
      <w:r>
        <w:rPr>
          <w:lang w:val="nl-NL"/>
        </w:rPr>
        <w:tab/>
        <w:t xml:space="preserve">Liu J, Sharma N, Zheng W </w:t>
      </w:r>
      <w:r w:rsidR="00E0660C" w:rsidRPr="00564C60">
        <w:rPr>
          <w:lang w:val="nl-NL"/>
        </w:rPr>
        <w:t xml:space="preserve">et al. </w:t>
      </w:r>
      <w:r w:rsidR="00E0660C" w:rsidRPr="00E0660C">
        <w:t xml:space="preserve">Sex differences in vasopressin V₂ receptor expression and vasopressin-induced antidiuresis. </w:t>
      </w:r>
      <w:r w:rsidR="00E0660C" w:rsidRPr="00845DF7">
        <w:t xml:space="preserve">Am J Physiol Renal Physiol. </w:t>
      </w:r>
      <w:r w:rsidR="00E0660C" w:rsidRPr="00E0660C">
        <w:t>2011;300(2):F433-40.</w:t>
      </w:r>
    </w:p>
    <w:p w14:paraId="2FD4A2D3" w14:textId="77777777" w:rsidR="00E0660C" w:rsidRPr="00E0660C" w:rsidRDefault="00E0660C" w:rsidP="00E0660C">
      <w:pPr>
        <w:pStyle w:val="EndNoteBibliography"/>
        <w:spacing w:after="0"/>
      </w:pPr>
      <w:r w:rsidRPr="00E0660C">
        <w:t>13.</w:t>
      </w:r>
      <w:r w:rsidRPr="00E0660C">
        <w:tab/>
        <w:t>Henry DA, Lawson DH, Reavey P</w:t>
      </w:r>
      <w:r w:rsidR="00564C60">
        <w:t xml:space="preserve"> et al.</w:t>
      </w:r>
      <w:r w:rsidRPr="00E0660C">
        <w:t xml:space="preserve"> Hyponatraemia during carbamazepine treatment. </w:t>
      </w:r>
      <w:r w:rsidRPr="00845DF7">
        <w:t xml:space="preserve">Br Med J. </w:t>
      </w:r>
      <w:r w:rsidRPr="00E0660C">
        <w:t>1977;1(6053):83-4.</w:t>
      </w:r>
    </w:p>
    <w:p w14:paraId="0B773A71" w14:textId="77777777" w:rsidR="00E0660C" w:rsidRPr="00E0660C" w:rsidRDefault="00E0660C" w:rsidP="00E0660C">
      <w:pPr>
        <w:pStyle w:val="EndNoteBibliography"/>
        <w:spacing w:after="0"/>
      </w:pPr>
      <w:r w:rsidRPr="00E0660C">
        <w:t>14.</w:t>
      </w:r>
      <w:r w:rsidRPr="00E0660C">
        <w:tab/>
        <w:t xml:space="preserve">Nielsen OA, Johannessen AC, Bardrum B. Oxcarbazepine-induced hyponatremia, a cross-sectional study. </w:t>
      </w:r>
      <w:r w:rsidRPr="00845DF7">
        <w:t>Epilepsy Res.</w:t>
      </w:r>
      <w:r w:rsidRPr="00E0660C">
        <w:t xml:space="preserve"> 1988;2(4):269-71.</w:t>
      </w:r>
    </w:p>
    <w:p w14:paraId="7809C6F5" w14:textId="77777777" w:rsidR="00E0660C" w:rsidRPr="00E0660C" w:rsidRDefault="00E0660C" w:rsidP="00E0660C">
      <w:pPr>
        <w:pStyle w:val="EndNoteBibliography"/>
        <w:spacing w:after="0"/>
      </w:pPr>
      <w:r w:rsidRPr="007A322E">
        <w:rPr>
          <w:lang w:val="en-GB"/>
        </w:rPr>
        <w:t>15.</w:t>
      </w:r>
      <w:r w:rsidRPr="007A322E">
        <w:rPr>
          <w:lang w:val="en-GB"/>
        </w:rPr>
        <w:tab/>
        <w:t xml:space="preserve">Lin CH, Lu CH, Wang FJ et al. </w:t>
      </w:r>
      <w:r w:rsidRPr="00E0660C">
        <w:t xml:space="preserve">Risk factors of oxcarbazepine-induced hyponatremia in patients with epilepsy. </w:t>
      </w:r>
      <w:r w:rsidRPr="0022332F">
        <w:t xml:space="preserve">Clin Neuropharmacol. </w:t>
      </w:r>
      <w:r w:rsidRPr="00E0660C">
        <w:t>2010;33(6):293-6.</w:t>
      </w:r>
    </w:p>
    <w:p w14:paraId="2A2290E7" w14:textId="77777777" w:rsidR="00E0660C" w:rsidRPr="00E0660C" w:rsidRDefault="00E0660C" w:rsidP="00E0660C">
      <w:pPr>
        <w:pStyle w:val="EndNoteBibliography"/>
        <w:spacing w:after="0"/>
      </w:pPr>
      <w:r w:rsidRPr="00E0660C">
        <w:t>16.</w:t>
      </w:r>
      <w:r w:rsidRPr="00E0660C">
        <w:tab/>
        <w:t>Kelly BD, Hillery J. Hyponatremia during carbamazepine therapy in patients with intellectual disability.</w:t>
      </w:r>
      <w:r w:rsidR="00845DF7">
        <w:t xml:space="preserve"> </w:t>
      </w:r>
      <w:r w:rsidRPr="00564C60">
        <w:rPr>
          <w:i/>
        </w:rPr>
        <w:t xml:space="preserve"> </w:t>
      </w:r>
      <w:r w:rsidRPr="0022332F">
        <w:t xml:space="preserve">J Intellect Disabil Res. </w:t>
      </w:r>
      <w:r w:rsidRPr="00E0660C">
        <w:t>2001;45(Pt 2):152-6.</w:t>
      </w:r>
    </w:p>
    <w:p w14:paraId="0B1DB6FA" w14:textId="77777777" w:rsidR="00E0660C" w:rsidRPr="007A322E" w:rsidRDefault="00E0660C" w:rsidP="00E0660C">
      <w:pPr>
        <w:pStyle w:val="EndNoteBibliography"/>
        <w:spacing w:after="0"/>
        <w:rPr>
          <w:lang w:val="nl-NL"/>
        </w:rPr>
      </w:pPr>
      <w:r w:rsidRPr="00E0660C">
        <w:t>17.</w:t>
      </w:r>
      <w:r w:rsidRPr="00E0660C">
        <w:tab/>
        <w:t xml:space="preserve">Perucca E, Richens A. Reversal by phenytoin of carbamazepine-induced water intoxication: a pharmacokinetic interaction. </w:t>
      </w:r>
      <w:r w:rsidRPr="0022332F">
        <w:rPr>
          <w:lang w:val="nl-NL"/>
        </w:rPr>
        <w:t xml:space="preserve">J Neurol Neurosurg Psychiatry. </w:t>
      </w:r>
      <w:r w:rsidRPr="007A322E">
        <w:rPr>
          <w:lang w:val="nl-NL"/>
        </w:rPr>
        <w:t>1980;43(6):540-5.</w:t>
      </w:r>
    </w:p>
    <w:p w14:paraId="0E014C1F" w14:textId="77777777" w:rsidR="00E0660C" w:rsidRPr="00E0660C" w:rsidRDefault="00E0660C" w:rsidP="00E0660C">
      <w:pPr>
        <w:pStyle w:val="EndNoteBibliography"/>
      </w:pPr>
      <w:r w:rsidRPr="00564C60">
        <w:rPr>
          <w:lang w:val="nl-NL"/>
        </w:rPr>
        <w:t>18.</w:t>
      </w:r>
      <w:r w:rsidRPr="00564C60">
        <w:rPr>
          <w:lang w:val="nl-NL"/>
        </w:rPr>
        <w:tab/>
        <w:t xml:space="preserve">Gandhi S, McArthur E, Mamdani MM et al. </w:t>
      </w:r>
      <w:r w:rsidRPr="00E0660C">
        <w:t xml:space="preserve">Antiepileptic drugs and hyponatremia in older adults: Two population-based cohort studies. </w:t>
      </w:r>
      <w:r w:rsidRPr="0022332F">
        <w:t>Epilepsia</w:t>
      </w:r>
      <w:r w:rsidRPr="00E0660C">
        <w:t>. 2016.</w:t>
      </w:r>
    </w:p>
    <w:p w14:paraId="62D1F6AF" w14:textId="77777777" w:rsidR="004725D8" w:rsidRDefault="004725D8" w:rsidP="002E67ED">
      <w:pPr>
        <w:spacing w:line="480" w:lineRule="auto"/>
        <w:rPr>
          <w:rFonts w:ascii="Arial" w:hAnsi="Arial" w:cs="Arial"/>
          <w:sz w:val="22"/>
          <w:lang w:val="en-GB"/>
        </w:rPr>
      </w:pPr>
      <w:r w:rsidRPr="00C127ED">
        <w:rPr>
          <w:rFonts w:ascii="Arial" w:hAnsi="Arial" w:cs="Arial"/>
          <w:sz w:val="22"/>
          <w:lang w:val="en-GB"/>
        </w:rPr>
        <w:fldChar w:fldCharType="end"/>
      </w:r>
    </w:p>
    <w:p w14:paraId="2BF184F9" w14:textId="77777777" w:rsidR="003E1982" w:rsidRPr="00185DD3" w:rsidRDefault="003E1982" w:rsidP="002E67ED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6B86FF6C" w14:textId="77777777" w:rsidR="003E1982" w:rsidRDefault="003E1982" w:rsidP="003E1982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3501D091" w14:textId="77777777" w:rsidR="00241F3C" w:rsidRPr="00AB2B39" w:rsidRDefault="00241F3C" w:rsidP="00AB2B39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</w:p>
    <w:p w14:paraId="21AB07BF" w14:textId="77777777" w:rsidR="00164EEA" w:rsidRPr="00A71F36" w:rsidRDefault="00164EEA" w:rsidP="0016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954DF49" w14:textId="77777777" w:rsidR="007046E0" w:rsidRDefault="007046E0" w:rsidP="007046E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1" w:name="_ACKNOWLEDGMENTS_"/>
      <w:bookmarkEnd w:id="1"/>
      <w:r>
        <w:rPr>
          <w:rFonts w:ascii="Arial" w:hAnsi="Arial" w:cs="Arial"/>
          <w:b/>
          <w:sz w:val="28"/>
          <w:szCs w:val="28"/>
          <w:lang w:val="en-US"/>
        </w:rPr>
        <w:t>F</w:t>
      </w:r>
      <w:r w:rsidR="00D93A72">
        <w:rPr>
          <w:rFonts w:ascii="Arial" w:hAnsi="Arial" w:cs="Arial"/>
          <w:b/>
          <w:sz w:val="28"/>
          <w:szCs w:val="28"/>
          <w:lang w:val="en-US"/>
        </w:rPr>
        <w:t>IGURE LEGENDS</w:t>
      </w:r>
    </w:p>
    <w:p w14:paraId="0806D681" w14:textId="77777777" w:rsidR="007046E0" w:rsidRPr="00AB2B39" w:rsidRDefault="007046E0" w:rsidP="007046E0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095FC452" w14:textId="77777777" w:rsidR="004A1D90" w:rsidRDefault="007046E0" w:rsidP="007046E0">
      <w:pPr>
        <w:spacing w:line="480" w:lineRule="auto"/>
        <w:rPr>
          <w:rFonts w:ascii="Arial" w:hAnsi="Arial" w:cs="Arial"/>
          <w:noProof/>
          <w:sz w:val="24"/>
          <w:szCs w:val="24"/>
          <w:lang w:val="en-GB" w:eastAsia="nl-NL"/>
        </w:rPr>
      </w:pPr>
      <w:r w:rsidRPr="00AB2B39">
        <w:rPr>
          <w:rFonts w:ascii="Arial" w:hAnsi="Arial" w:cs="Arial"/>
          <w:noProof/>
          <w:sz w:val="24"/>
          <w:szCs w:val="24"/>
          <w:lang w:val="en-GB" w:eastAsia="nl-NL"/>
        </w:rPr>
        <w:t xml:space="preserve">Fig 1. </w:t>
      </w:r>
    </w:p>
    <w:p w14:paraId="39FB2CC5" w14:textId="77777777" w:rsidR="004A1D90" w:rsidRDefault="004A1D90" w:rsidP="007046E0">
      <w:pPr>
        <w:spacing w:line="480" w:lineRule="auto"/>
        <w:rPr>
          <w:rFonts w:ascii="Arial" w:hAnsi="Arial" w:cs="Arial"/>
          <w:noProof/>
          <w:sz w:val="24"/>
          <w:szCs w:val="24"/>
          <w:lang w:val="en-GB" w:eastAsia="nl-NL"/>
        </w:rPr>
      </w:pPr>
      <w:r>
        <w:rPr>
          <w:rFonts w:ascii="Arial" w:hAnsi="Arial" w:cs="Arial"/>
          <w:noProof/>
          <w:sz w:val="24"/>
          <w:szCs w:val="24"/>
          <w:lang w:val="en-GB" w:eastAsia="nl-NL"/>
        </w:rPr>
        <w:t>Sodium</w:t>
      </w:r>
      <w:r w:rsidR="00BF66A5">
        <w:rPr>
          <w:rFonts w:ascii="Arial" w:hAnsi="Arial" w:cs="Arial"/>
          <w:noProof/>
          <w:sz w:val="24"/>
          <w:szCs w:val="24"/>
          <w:lang w:val="en-GB" w:eastAsia="nl-NL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n-GB" w:eastAsia="nl-NL"/>
        </w:rPr>
        <w:t>levels in relation to drug</w:t>
      </w:r>
      <w:r w:rsidR="00732FA0">
        <w:rPr>
          <w:rFonts w:ascii="Arial" w:hAnsi="Arial" w:cs="Arial"/>
          <w:noProof/>
          <w:sz w:val="24"/>
          <w:szCs w:val="24"/>
          <w:lang w:val="en-GB" w:eastAsia="nl-NL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n-GB" w:eastAsia="nl-NL"/>
        </w:rPr>
        <w:t>levels and age</w:t>
      </w:r>
    </w:p>
    <w:p w14:paraId="73F15722" w14:textId="77777777" w:rsidR="00A8142F" w:rsidRDefault="007046E0" w:rsidP="00B01732">
      <w:pPr>
        <w:spacing w:line="480" w:lineRule="auto"/>
        <w:rPr>
          <w:rFonts w:ascii="Arial" w:hAnsi="Arial" w:cs="Arial"/>
          <w:noProof/>
          <w:sz w:val="24"/>
          <w:szCs w:val="24"/>
          <w:lang w:val="en-GB" w:eastAsia="nl-NL"/>
        </w:rPr>
      </w:pPr>
      <w:r w:rsidRPr="00AB2B39">
        <w:rPr>
          <w:rFonts w:ascii="Arial" w:hAnsi="Arial" w:cs="Arial"/>
          <w:noProof/>
          <w:sz w:val="24"/>
          <w:szCs w:val="24"/>
          <w:lang w:val="en-GB" w:eastAsia="nl-NL"/>
        </w:rPr>
        <w:t>Relationship between sodium level (Na+</w:t>
      </w:r>
      <w:r w:rsidR="003017C1">
        <w:rPr>
          <w:rFonts w:ascii="Arial" w:hAnsi="Arial" w:cs="Arial"/>
          <w:noProof/>
          <w:sz w:val="24"/>
          <w:szCs w:val="24"/>
          <w:lang w:val="en-GB" w:eastAsia="nl-NL"/>
        </w:rPr>
        <w:t xml:space="preserve"> mEq/L</w:t>
      </w:r>
      <w:r w:rsidRPr="00AB2B39">
        <w:rPr>
          <w:rFonts w:ascii="Arial" w:hAnsi="Arial" w:cs="Arial"/>
          <w:noProof/>
          <w:sz w:val="24"/>
          <w:szCs w:val="24"/>
          <w:lang w:val="en-GB" w:eastAsia="nl-NL"/>
        </w:rPr>
        <w:t>) and drug level</w:t>
      </w:r>
      <w:r w:rsidR="003017C1">
        <w:rPr>
          <w:rFonts w:ascii="Arial" w:hAnsi="Arial" w:cs="Arial"/>
          <w:noProof/>
          <w:sz w:val="24"/>
          <w:szCs w:val="24"/>
          <w:lang w:val="en-GB" w:eastAsia="nl-NL"/>
        </w:rPr>
        <w:t xml:space="preserve"> (mg/L)</w:t>
      </w:r>
      <w:r w:rsidRPr="00AB2B39">
        <w:rPr>
          <w:rFonts w:ascii="Arial" w:hAnsi="Arial" w:cs="Arial"/>
          <w:noProof/>
          <w:sz w:val="24"/>
          <w:szCs w:val="24"/>
          <w:lang w:val="en-GB" w:eastAsia="nl-NL"/>
        </w:rPr>
        <w:t xml:space="preserve"> and relationship between sodium level and age (years) within both the carbamazepine (CBZ) and oxcarbazepine (OXC) treatment group.</w:t>
      </w:r>
    </w:p>
    <w:p w14:paraId="0CA89DD4" w14:textId="77777777" w:rsidR="00C444A3" w:rsidRDefault="00C444A3" w:rsidP="00B01732">
      <w:pPr>
        <w:spacing w:line="480" w:lineRule="auto"/>
        <w:rPr>
          <w:rFonts w:ascii="Arial" w:hAnsi="Arial" w:cs="Arial"/>
          <w:noProof/>
          <w:sz w:val="24"/>
          <w:szCs w:val="24"/>
          <w:lang w:val="en-GB" w:eastAsia="nl-NL"/>
        </w:rPr>
      </w:pPr>
    </w:p>
    <w:p w14:paraId="3BBB85D6" w14:textId="77777777" w:rsidR="00510943" w:rsidRDefault="00510943" w:rsidP="00C444A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14:paraId="240A48F2" w14:textId="77777777" w:rsidR="00510943" w:rsidRDefault="00510943" w:rsidP="00C444A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14:paraId="399D3C76" w14:textId="77777777" w:rsidR="00A30514" w:rsidRDefault="00510943" w:rsidP="00510943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10943">
        <w:rPr>
          <w:rFonts w:ascii="Arial" w:hAnsi="Arial" w:cs="Arial"/>
          <w:b/>
          <w:sz w:val="28"/>
          <w:szCs w:val="28"/>
          <w:lang w:val="en-GB"/>
        </w:rPr>
        <w:t>SUPPLEM</w:t>
      </w:r>
      <w:r w:rsidR="00B952C0">
        <w:rPr>
          <w:rFonts w:ascii="Arial" w:hAnsi="Arial" w:cs="Arial"/>
          <w:b/>
          <w:sz w:val="28"/>
          <w:szCs w:val="28"/>
          <w:lang w:val="en-GB"/>
        </w:rPr>
        <w:t>ENTA</w:t>
      </w:r>
      <w:r w:rsidRPr="00510943">
        <w:rPr>
          <w:rFonts w:ascii="Arial" w:hAnsi="Arial" w:cs="Arial"/>
          <w:b/>
          <w:sz w:val="28"/>
          <w:szCs w:val="28"/>
          <w:lang w:val="en-GB"/>
        </w:rPr>
        <w:t>RY FIGURE LEGENDS</w:t>
      </w:r>
    </w:p>
    <w:p w14:paraId="60255ED2" w14:textId="77777777" w:rsidR="00B952C0" w:rsidRPr="00B952C0" w:rsidRDefault="00B952C0" w:rsidP="00B952C0">
      <w:pPr>
        <w:pStyle w:val="Default"/>
        <w:spacing w:line="480" w:lineRule="auto"/>
        <w:rPr>
          <w:lang w:val="en-GB"/>
        </w:rPr>
      </w:pPr>
      <w:r>
        <w:rPr>
          <w:rFonts w:ascii="Arial" w:hAnsi="Arial" w:cs="Arial"/>
          <w:lang w:val="en-GB"/>
        </w:rPr>
        <w:t xml:space="preserve">Suppl. fig 1. </w:t>
      </w:r>
    </w:p>
    <w:p w14:paraId="14B383F8" w14:textId="77777777" w:rsidR="00B952C0" w:rsidRDefault="00B952C0" w:rsidP="00B952C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B952C0">
        <w:rPr>
          <w:rFonts w:ascii="Arial" w:hAnsi="Arial" w:cs="Arial"/>
          <w:sz w:val="24"/>
          <w:szCs w:val="24"/>
          <w:lang w:val="en-GB"/>
        </w:rPr>
        <w:t xml:space="preserve">Mean sodium levels in different age categories for carbamazepine and </w:t>
      </w:r>
      <w:r>
        <w:rPr>
          <w:rFonts w:ascii="Arial" w:hAnsi="Arial" w:cs="Arial"/>
          <w:sz w:val="24"/>
          <w:szCs w:val="24"/>
          <w:lang w:val="en-GB"/>
        </w:rPr>
        <w:t>o</w:t>
      </w:r>
      <w:r w:rsidRPr="00B952C0">
        <w:rPr>
          <w:rFonts w:ascii="Arial" w:hAnsi="Arial" w:cs="Arial"/>
          <w:sz w:val="24"/>
          <w:szCs w:val="24"/>
          <w:lang w:val="en-GB"/>
        </w:rPr>
        <w:t>xcarbazepine users.</w:t>
      </w:r>
    </w:p>
    <w:p w14:paraId="45DA873A" w14:textId="77777777" w:rsidR="00B952C0" w:rsidRPr="00B952C0" w:rsidRDefault="00B952C0" w:rsidP="00B952C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n-GB"/>
        </w:rPr>
      </w:pPr>
    </w:p>
    <w:p w14:paraId="6B829682" w14:textId="77777777" w:rsidR="00B952C0" w:rsidRPr="00C444A3" w:rsidRDefault="00B952C0" w:rsidP="00B952C0">
      <w:pPr>
        <w:spacing w:line="48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noProof/>
          <w:sz w:val="24"/>
          <w:szCs w:val="24"/>
          <w:lang w:val="en-GB" w:eastAsia="nl-NL"/>
        </w:rPr>
        <w:t>Suppl. f</w:t>
      </w:r>
      <w:r w:rsidRPr="00C444A3">
        <w:rPr>
          <w:rFonts w:ascii="Arial" w:hAnsi="Arial" w:cs="Arial"/>
          <w:noProof/>
          <w:sz w:val="24"/>
          <w:szCs w:val="24"/>
          <w:lang w:val="en-GB" w:eastAsia="nl-NL"/>
        </w:rPr>
        <w:t>ig 2.</w:t>
      </w:r>
    </w:p>
    <w:p w14:paraId="0BD4DC49" w14:textId="77777777" w:rsidR="00B952C0" w:rsidRDefault="00B952C0" w:rsidP="00B952C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C444A3">
        <w:rPr>
          <w:rFonts w:ascii="Arial" w:hAnsi="Arial" w:cs="Arial"/>
          <w:sz w:val="24"/>
          <w:szCs w:val="24"/>
          <w:lang w:val="en-GB"/>
        </w:rPr>
        <w:t>Hyponatremia frequency in different age categories for carbamazepine and oxcarbazepine users.</w:t>
      </w:r>
    </w:p>
    <w:p w14:paraId="00139518" w14:textId="77777777" w:rsidR="00A81A80" w:rsidRDefault="00A81A80">
      <w:pPr>
        <w:rPr>
          <w:sz w:val="22"/>
          <w:lang w:val="en-GB"/>
        </w:rPr>
      </w:pPr>
      <w:r>
        <w:rPr>
          <w:sz w:val="22"/>
          <w:lang w:val="en-GB"/>
        </w:rPr>
        <w:br w:type="page"/>
      </w:r>
    </w:p>
    <w:tbl>
      <w:tblPr>
        <w:tblpPr w:leftFromText="141" w:rightFromText="141" w:horzAnchor="margin" w:tblpXSpec="center" w:tblpY="435"/>
        <w:tblW w:w="109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641"/>
        <w:gridCol w:w="718"/>
        <w:gridCol w:w="851"/>
        <w:gridCol w:w="974"/>
        <w:gridCol w:w="585"/>
        <w:gridCol w:w="709"/>
        <w:gridCol w:w="709"/>
        <w:gridCol w:w="265"/>
        <w:gridCol w:w="709"/>
        <w:gridCol w:w="160"/>
        <w:gridCol w:w="708"/>
        <w:gridCol w:w="993"/>
        <w:gridCol w:w="708"/>
        <w:gridCol w:w="993"/>
      </w:tblGrid>
      <w:tr w:rsidR="00A81A80" w:rsidRPr="00301396" w14:paraId="22809F07" w14:textId="77777777" w:rsidTr="00A81A80">
        <w:trPr>
          <w:trHeight w:val="315"/>
        </w:trPr>
        <w:tc>
          <w:tcPr>
            <w:tcW w:w="10916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0A4B7285" w14:textId="77777777" w:rsidR="00A81A80" w:rsidRPr="001D52DA" w:rsidRDefault="00A81A80" w:rsidP="00A81A80">
            <w:pPr>
              <w:spacing w:after="0"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D52DA">
              <w:rPr>
                <w:rFonts w:ascii="Arial" w:hAnsi="Arial" w:cs="Arial"/>
                <w:b/>
                <w:sz w:val="28"/>
                <w:szCs w:val="28"/>
                <w:lang w:val="en-US"/>
              </w:rPr>
              <w:lastRenderedPageBreak/>
              <w:t>T</w:t>
            </w:r>
            <w:r w:rsidR="008C6D37" w:rsidRPr="001D52DA">
              <w:rPr>
                <w:rFonts w:ascii="Arial" w:hAnsi="Arial" w:cs="Arial"/>
                <w:b/>
                <w:sz w:val="28"/>
                <w:szCs w:val="28"/>
                <w:lang w:val="en-US"/>
              </w:rPr>
              <w:t>ABLES</w:t>
            </w:r>
          </w:p>
          <w:p w14:paraId="0B74FFA9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szCs w:val="18"/>
                <w:lang w:val="en-GB" w:eastAsia="nl-NL"/>
              </w:rPr>
            </w:pPr>
            <w:r w:rsidRPr="00241F3C">
              <w:rPr>
                <w:rFonts w:ascii="Arial" w:hAnsi="Arial" w:cs="Arial"/>
                <w:sz w:val="20"/>
                <w:szCs w:val="20"/>
                <w:lang w:val="en-US"/>
              </w:rPr>
              <w:t>Table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41F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41F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 xml:space="preserve">Univariate and multivariate </w:t>
            </w:r>
            <w:r w:rsidRPr="00241F3C">
              <w:rPr>
                <w:rFonts w:ascii="Arial" w:hAnsi="Arial" w:cs="Arial"/>
                <w:sz w:val="20"/>
                <w:szCs w:val="20"/>
                <w:lang w:val="en-GB"/>
              </w:rPr>
              <w:t>analysis of demographic and clinical data</w:t>
            </w:r>
            <w:r w:rsidRPr="00241F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 xml:space="preserve"> with sodium level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(</w:t>
            </w:r>
            <w:proofErr w:type="spellStart"/>
            <w:r w:rsidRPr="00241F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mEql</w:t>
            </w:r>
            <w:proofErr w:type="spellEnd"/>
            <w:r w:rsidRPr="00241F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/l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)</w:t>
            </w:r>
            <w:r w:rsidRPr="00241F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 xml:space="preserve"> as dependent variable.</w:t>
            </w:r>
          </w:p>
        </w:tc>
      </w:tr>
      <w:tr w:rsidR="00A81A80" w:rsidRPr="00241F3C" w14:paraId="0F2593B3" w14:textId="77777777" w:rsidTr="00A81A80">
        <w:trPr>
          <w:trHeight w:val="315"/>
        </w:trPr>
        <w:tc>
          <w:tcPr>
            <w:tcW w:w="119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618C67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Cs w:val="18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Cs w:val="18"/>
                <w:lang w:val="en-GB" w:eastAsia="nl-NL"/>
              </w:rPr>
              <w:t> </w:t>
            </w:r>
          </w:p>
        </w:tc>
        <w:tc>
          <w:tcPr>
            <w:tcW w:w="5452" w:type="dxa"/>
            <w:gridSpan w:val="8"/>
            <w:tcBorders>
              <w:top w:val="single" w:sz="8" w:space="0" w:color="FFFFFF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8543046" w14:textId="77777777" w:rsidR="00A81A80" w:rsidRPr="00241F3C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  <w:r w:rsidRPr="00241F3C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Univariate Analysis</w:t>
            </w:r>
          </w:p>
        </w:tc>
        <w:tc>
          <w:tcPr>
            <w:tcW w:w="869" w:type="dxa"/>
            <w:gridSpan w:val="2"/>
            <w:tcBorders>
              <w:top w:val="nil"/>
            </w:tcBorders>
            <w:shd w:val="clear" w:color="auto" w:fill="auto"/>
          </w:tcPr>
          <w:p w14:paraId="40CCB3A3" w14:textId="77777777" w:rsidR="00A81A80" w:rsidRPr="00241F3C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081455A0" w14:textId="77777777" w:rsidR="00A81A80" w:rsidRPr="00241F3C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  <w:r w:rsidRPr="00241F3C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Multivariate Analysis</w:t>
            </w:r>
          </w:p>
        </w:tc>
      </w:tr>
      <w:tr w:rsidR="00A81A80" w:rsidRPr="00241F3C" w14:paraId="1636148E" w14:textId="77777777" w:rsidTr="00A81A80">
        <w:trPr>
          <w:trHeight w:val="510"/>
        </w:trPr>
        <w:tc>
          <w:tcPr>
            <w:tcW w:w="11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9FF2D3" w14:textId="77777777" w:rsidR="00A81A80" w:rsidRPr="00241F3C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3184" w:type="dxa"/>
            <w:gridSpan w:val="4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633565B" w14:textId="77777777" w:rsidR="00A81A80" w:rsidRPr="00117F0C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  <w:r w:rsidRPr="00117F0C">
              <w:rPr>
                <w:rFonts w:ascii="Arial" w:eastAsia="Times New Roman" w:hAnsi="Arial" w:cs="Arial"/>
                <w:b/>
                <w:szCs w:val="18"/>
                <w:lang w:val="en-GB" w:eastAsia="nl-NL"/>
              </w:rPr>
              <w:t>carbamazepine</w:t>
            </w:r>
          </w:p>
        </w:tc>
        <w:tc>
          <w:tcPr>
            <w:tcW w:w="2268" w:type="dxa"/>
            <w:gridSpan w:val="4"/>
            <w:tcBorders>
              <w:top w:val="single" w:sz="8" w:space="0" w:color="FFFFFF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84A266" w14:textId="77777777" w:rsidR="00A81A80" w:rsidRPr="00117F0C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  <w:r w:rsidRPr="00117F0C">
              <w:rPr>
                <w:rFonts w:ascii="Arial" w:eastAsia="Times New Roman" w:hAnsi="Arial" w:cs="Arial"/>
                <w:b/>
                <w:szCs w:val="18"/>
                <w:lang w:val="en-GB" w:eastAsia="nl-NL"/>
              </w:rPr>
              <w:t>oxcarbazepine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56E583" w14:textId="77777777" w:rsidR="00A81A80" w:rsidRPr="00117F0C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9AFD737" w14:textId="77777777" w:rsidR="00A81A80" w:rsidRPr="00117F0C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</w:pPr>
            <w:r w:rsidRPr="00117F0C">
              <w:rPr>
                <w:rFonts w:ascii="Arial" w:eastAsia="Times New Roman" w:hAnsi="Arial" w:cs="Arial"/>
                <w:b/>
                <w:szCs w:val="18"/>
                <w:lang w:val="en-GB" w:eastAsia="nl-NL"/>
              </w:rPr>
              <w:t>carbamazepine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9E01FF0" w14:textId="77777777" w:rsidR="00A81A80" w:rsidRPr="00117F0C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  <w:r w:rsidRPr="00117F0C">
              <w:rPr>
                <w:rFonts w:ascii="Arial" w:eastAsia="Times New Roman" w:hAnsi="Arial" w:cs="Arial"/>
                <w:b/>
                <w:szCs w:val="18"/>
                <w:lang w:val="en-GB" w:eastAsia="nl-NL"/>
              </w:rPr>
              <w:t>oxcarbazepine</w:t>
            </w:r>
          </w:p>
        </w:tc>
      </w:tr>
      <w:tr w:rsidR="00A81A80" w:rsidRPr="00D47146" w14:paraId="7F6B2231" w14:textId="77777777" w:rsidTr="00A81A80">
        <w:trPr>
          <w:trHeight w:val="330"/>
        </w:trPr>
        <w:tc>
          <w:tcPr>
            <w:tcW w:w="1193" w:type="dxa"/>
            <w:shd w:val="clear" w:color="auto" w:fill="auto"/>
            <w:vAlign w:val="bottom"/>
            <w:hideMark/>
          </w:tcPr>
          <w:p w14:paraId="33BF4150" w14:textId="77777777" w:rsidR="00A81A80" w:rsidRPr="00241F3C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Cs w:val="18"/>
                <w:lang w:val="en-GB" w:eastAsia="nl-N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B39569B" w14:textId="77777777" w:rsidR="00A81A80" w:rsidRPr="00241F3C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</w:pPr>
            <w:r w:rsidRPr="00241F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N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1BC4927" w14:textId="77777777" w:rsidR="00A81A80" w:rsidRPr="00241F3C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</w:pPr>
            <w:r w:rsidRPr="00241F3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R</w:t>
            </w:r>
            <w:r w:rsidRPr="00241F3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GB" w:eastAsia="nl-N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F4F5CFE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</w:pPr>
            <w:proofErr w:type="spellStart"/>
            <w:r w:rsidRPr="00D471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egr</w:t>
            </w:r>
            <w:proofErr w:type="spellEnd"/>
            <w:r w:rsidRPr="00D471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 xml:space="preserve">. </w:t>
            </w:r>
            <w:proofErr w:type="spellStart"/>
            <w:r w:rsidRPr="00D471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coeff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2AF77FC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nl-NL"/>
              </w:rPr>
              <w:t>P-value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09AADC1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9088939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R</w:t>
            </w:r>
            <w:r w:rsidRPr="00D47146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GB" w:eastAsia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78544D3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</w:pPr>
            <w:proofErr w:type="spellStart"/>
            <w:r w:rsidRPr="00D471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egr</w:t>
            </w:r>
            <w:proofErr w:type="spellEnd"/>
            <w:r w:rsidRPr="00D471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 xml:space="preserve">. </w:t>
            </w:r>
            <w:proofErr w:type="spellStart"/>
            <w:r w:rsidRPr="00D471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coeff</w:t>
            </w:r>
            <w:proofErr w:type="spellEnd"/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AE0275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nl-NL"/>
              </w:rPr>
              <w:t>P- value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11800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3227525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</w:pPr>
            <w:proofErr w:type="spellStart"/>
            <w:r w:rsidRPr="00D471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egr</w:t>
            </w:r>
            <w:proofErr w:type="spellEnd"/>
            <w:r w:rsidRPr="00D471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 xml:space="preserve">. </w:t>
            </w:r>
            <w:proofErr w:type="spellStart"/>
            <w:r w:rsidRPr="00D471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coeff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BF4C84F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nl-NL"/>
              </w:rPr>
              <w:t>P</w:t>
            </w:r>
            <w:r w:rsidRPr="00D471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- value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8B55D8F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</w:pPr>
            <w:proofErr w:type="spellStart"/>
            <w:r w:rsidRPr="00D471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egr</w:t>
            </w:r>
            <w:proofErr w:type="spellEnd"/>
            <w:r w:rsidRPr="00D471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 xml:space="preserve">. </w:t>
            </w:r>
            <w:proofErr w:type="spellStart"/>
            <w:r w:rsidRPr="00D471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coeff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0D32625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 w:eastAsia="nl-NL"/>
              </w:rPr>
              <w:t>P</w:t>
            </w:r>
            <w:r w:rsidRPr="00D471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- value</w:t>
            </w:r>
          </w:p>
        </w:tc>
      </w:tr>
      <w:tr w:rsidR="00A81A80" w:rsidRPr="00D47146" w14:paraId="3C48182B" w14:textId="77777777" w:rsidTr="00A81A80">
        <w:trPr>
          <w:trHeight w:val="70"/>
        </w:trPr>
        <w:tc>
          <w:tcPr>
            <w:tcW w:w="1193" w:type="dxa"/>
            <w:vMerge w:val="restart"/>
            <w:tcBorders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C050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drug level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 xml:space="preserve"> (mg/L)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9DDA97B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,</w:t>
            </w: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008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7BBCD84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0.025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AC82848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-0.34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BBE1824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&lt;0.001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6B0E995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257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BFDBE10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0.039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07149D9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-0.17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14:paraId="752AE218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0</w:t>
            </w: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.001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</w:tcPr>
          <w:p w14:paraId="0930B1E0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C249B4B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-0.31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3665993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&lt;0.001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8872143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-0.19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313DE68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&lt;0.001</w:t>
            </w:r>
          </w:p>
        </w:tc>
      </w:tr>
      <w:tr w:rsidR="00A81A80" w:rsidRPr="00D47146" w14:paraId="5A77C915" w14:textId="77777777" w:rsidTr="00A81A80">
        <w:trPr>
          <w:trHeight w:val="315"/>
        </w:trPr>
        <w:tc>
          <w:tcPr>
            <w:tcW w:w="119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020A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45EF9FF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AA9869A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49D890E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A9FA006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8CADA06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91AFBD6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B3C0A8C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14:paraId="396D737A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</w:tcPr>
          <w:p w14:paraId="36F3E843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6221D1E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5C3EC61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8500EF7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25B0FBE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81A80" w:rsidRPr="00D47146" w14:paraId="5BC5E72A" w14:textId="77777777" w:rsidTr="00A81A80">
        <w:trPr>
          <w:trHeight w:val="300"/>
        </w:trPr>
        <w:tc>
          <w:tcPr>
            <w:tcW w:w="119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1B65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</w:t>
            </w:r>
            <w:r w:rsidRPr="00D47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years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1A9D9B1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</w:t>
            </w: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132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C1139A3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0.078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BDCEFFE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-0.09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5EFAB94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&lt;0.001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6963178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AF4A73B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6C045B9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-0.08</w:t>
            </w:r>
          </w:p>
        </w:tc>
        <w:tc>
          <w:tcPr>
            <w:tcW w:w="974" w:type="dxa"/>
            <w:gridSpan w:val="2"/>
            <w:vMerge w:val="restart"/>
            <w:tcBorders>
              <w:top w:val="nil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14:paraId="193F8208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0.001</w:t>
            </w:r>
          </w:p>
        </w:tc>
        <w:tc>
          <w:tcPr>
            <w:tcW w:w="160" w:type="dxa"/>
            <w:tcBorders>
              <w:top w:val="nil"/>
            </w:tcBorders>
            <w:shd w:val="clear" w:color="auto" w:fill="auto"/>
          </w:tcPr>
          <w:p w14:paraId="346C2CBF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4FD6BF0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-0.08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92293C7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&lt;0.001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E8C1EF9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-0.06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08CFCAB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0.007</w:t>
            </w:r>
          </w:p>
        </w:tc>
      </w:tr>
      <w:tr w:rsidR="00A81A80" w:rsidRPr="00D47146" w14:paraId="6AB37219" w14:textId="77777777" w:rsidTr="00A81A80">
        <w:trPr>
          <w:trHeight w:val="315"/>
        </w:trPr>
        <w:tc>
          <w:tcPr>
            <w:tcW w:w="119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1531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C33D7F6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BF0C611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EEB61E0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716B734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D7EFDCA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BDAF530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9FD2539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14:paraId="7F8A0665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</w:tcPr>
          <w:p w14:paraId="6D245949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6822475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9BD555F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F81188C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6977014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81A80" w:rsidRPr="00D47146" w14:paraId="1F819127" w14:textId="77777777" w:rsidTr="00A81A80">
        <w:trPr>
          <w:trHeight w:val="300"/>
        </w:trPr>
        <w:tc>
          <w:tcPr>
            <w:tcW w:w="119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2A30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sex*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CB825A4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</w:t>
            </w: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132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F88D2E0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0.006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F0EDFEC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0.76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8B14703" w14:textId="77777777" w:rsidR="00A81A80" w:rsidRPr="00D47146" w:rsidRDefault="00A81A80" w:rsidP="0048660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0.01</w:t>
            </w:r>
            <w:r w:rsidR="0048660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3FE159C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58FBB24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60B3A22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2.11</w:t>
            </w:r>
          </w:p>
        </w:tc>
        <w:tc>
          <w:tcPr>
            <w:tcW w:w="974" w:type="dxa"/>
            <w:gridSpan w:val="2"/>
            <w:vMerge w:val="restart"/>
            <w:tcBorders>
              <w:top w:val="nil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14:paraId="67C1ECF6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0.005</w:t>
            </w:r>
          </w:p>
        </w:tc>
        <w:tc>
          <w:tcPr>
            <w:tcW w:w="160" w:type="dxa"/>
            <w:tcBorders>
              <w:top w:val="nil"/>
            </w:tcBorders>
            <w:shd w:val="clear" w:color="auto" w:fill="auto"/>
          </w:tcPr>
          <w:p w14:paraId="15AC8591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68CCA3E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0.91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23779B3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544A551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586CD60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0.003</w:t>
            </w:r>
          </w:p>
        </w:tc>
      </w:tr>
      <w:tr w:rsidR="00A81A80" w:rsidRPr="00D47146" w14:paraId="5D446E62" w14:textId="77777777" w:rsidTr="00A81A80">
        <w:trPr>
          <w:trHeight w:val="315"/>
        </w:trPr>
        <w:tc>
          <w:tcPr>
            <w:tcW w:w="119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3E43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62379EA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A08DD39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11BBE08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0560914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FA72BBE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B45EBF2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479672D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14:paraId="1077EF09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</w:tcPr>
          <w:p w14:paraId="6419DCE5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F3C38F9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46284FE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294EAA0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5F9DA9D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81A80" w:rsidRPr="00D47146" w14:paraId="5C882702" w14:textId="77777777" w:rsidTr="00A81A80">
        <w:trPr>
          <w:trHeight w:val="300"/>
        </w:trPr>
        <w:tc>
          <w:tcPr>
            <w:tcW w:w="119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8C08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D47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NcoAEDs</w:t>
            </w:r>
            <w:proofErr w:type="spellEnd"/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E47CDFF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</w:t>
            </w:r>
            <w:r w:rsidRPr="00D471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087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3B6873B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0.018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C6EA2E0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-0.77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B6B26F2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&lt;0.001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8C1D4E7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277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F11643B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0.054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93EFBC2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-1.81</w:t>
            </w:r>
          </w:p>
        </w:tc>
        <w:tc>
          <w:tcPr>
            <w:tcW w:w="974" w:type="dxa"/>
            <w:gridSpan w:val="2"/>
            <w:vMerge w:val="restart"/>
            <w:tcBorders>
              <w:top w:val="nil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14:paraId="104D1087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&lt;0.001</w:t>
            </w:r>
          </w:p>
        </w:tc>
        <w:tc>
          <w:tcPr>
            <w:tcW w:w="160" w:type="dxa"/>
            <w:tcBorders>
              <w:top w:val="nil"/>
            </w:tcBorders>
            <w:shd w:val="clear" w:color="auto" w:fill="auto"/>
          </w:tcPr>
          <w:p w14:paraId="777FD6B8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E5D3C36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-0.64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9DBEF0F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&lt;0.001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56EEDA3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-1.32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B9F6239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0.005</w:t>
            </w:r>
          </w:p>
        </w:tc>
      </w:tr>
      <w:tr w:rsidR="00A81A80" w:rsidRPr="00D47146" w14:paraId="6E1C0072" w14:textId="77777777" w:rsidTr="00A81A80">
        <w:trPr>
          <w:trHeight w:val="315"/>
        </w:trPr>
        <w:tc>
          <w:tcPr>
            <w:tcW w:w="119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4CC5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68701A0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4562BDF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8DDCE33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03C393F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16CDAA2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80C7441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0D4E81D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  <w:hideMark/>
          </w:tcPr>
          <w:p w14:paraId="52D955CF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</w:tcPr>
          <w:p w14:paraId="76BDC5A8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954A79A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FAEBC99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D862AE0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F279F6D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A81A80" w:rsidRPr="00D47146" w14:paraId="21E6107D" w14:textId="77777777" w:rsidTr="00A81A80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34A0C2D" w14:textId="77777777" w:rsidR="00A81A80" w:rsidRPr="00D47146" w:rsidRDefault="00A81A80" w:rsidP="00A81A8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AC1F072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D31ED93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F740808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164D666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481E970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6E53432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2103914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14:paraId="236AA915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</w:tcPr>
          <w:p w14:paraId="4DE544EC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F91F7B6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n=968</w:t>
            </w:r>
          </w:p>
        </w:tc>
        <w:tc>
          <w:tcPr>
            <w:tcW w:w="9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DD8E31F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R²=0.116       </w:t>
            </w:r>
          </w:p>
        </w:tc>
        <w:tc>
          <w:tcPr>
            <w:tcW w:w="70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48E0C95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n=245</w:t>
            </w:r>
          </w:p>
        </w:tc>
        <w:tc>
          <w:tcPr>
            <w:tcW w:w="9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8856E52" w14:textId="77777777" w:rsidR="00A81A80" w:rsidRPr="00D47146" w:rsidRDefault="00A81A80" w:rsidP="00A81A80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D47146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R²=0.135                  </w:t>
            </w:r>
          </w:p>
        </w:tc>
      </w:tr>
    </w:tbl>
    <w:p w14:paraId="121356F1" w14:textId="77777777" w:rsidR="00A81A80" w:rsidRDefault="00A81A80" w:rsidP="00A81A80">
      <w:pPr>
        <w:spacing w:line="480" w:lineRule="auto"/>
        <w:rPr>
          <w:rFonts w:ascii="Arial" w:hAnsi="Arial" w:cs="Arial"/>
          <w:szCs w:val="18"/>
          <w:lang w:val="en-GB"/>
        </w:rPr>
      </w:pPr>
      <w:r>
        <w:rPr>
          <w:rFonts w:ascii="Arial" w:eastAsia="Times New Roman" w:hAnsi="Arial" w:cs="Arial"/>
          <w:szCs w:val="18"/>
          <w:lang w:val="en-GB" w:eastAsia="nl-NL"/>
        </w:rPr>
        <w:t xml:space="preserve">           </w:t>
      </w:r>
      <w:proofErr w:type="spellStart"/>
      <w:r w:rsidRPr="00185DD3">
        <w:rPr>
          <w:rFonts w:ascii="Arial" w:hAnsi="Arial" w:cs="Arial"/>
          <w:szCs w:val="18"/>
          <w:lang w:val="en-GB"/>
        </w:rPr>
        <w:t>R</w:t>
      </w:r>
      <w:r>
        <w:rPr>
          <w:rFonts w:ascii="Arial" w:hAnsi="Arial" w:cs="Arial"/>
          <w:szCs w:val="18"/>
          <w:lang w:val="en-GB"/>
        </w:rPr>
        <w:t>egr</w:t>
      </w:r>
      <w:proofErr w:type="spellEnd"/>
      <w:r w:rsidRPr="00185DD3">
        <w:rPr>
          <w:rFonts w:ascii="Arial" w:hAnsi="Arial" w:cs="Arial"/>
          <w:szCs w:val="18"/>
          <w:lang w:val="en-GB"/>
        </w:rPr>
        <w:t xml:space="preserve">. </w:t>
      </w:r>
      <w:proofErr w:type="spellStart"/>
      <w:r w:rsidRPr="00185DD3">
        <w:rPr>
          <w:rFonts w:ascii="Arial" w:hAnsi="Arial" w:cs="Arial"/>
          <w:szCs w:val="18"/>
          <w:lang w:val="en-GB"/>
        </w:rPr>
        <w:t>coeff</w:t>
      </w:r>
      <w:proofErr w:type="spellEnd"/>
      <w:r w:rsidRPr="00185DD3">
        <w:rPr>
          <w:rFonts w:ascii="Arial" w:hAnsi="Arial" w:cs="Arial"/>
          <w:szCs w:val="18"/>
          <w:lang w:val="en-GB"/>
        </w:rPr>
        <w:t xml:space="preserve">= regression coefficient. </w:t>
      </w:r>
    </w:p>
    <w:p w14:paraId="0AFB12A0" w14:textId="77777777" w:rsidR="00A81A80" w:rsidRPr="00574B55" w:rsidRDefault="00A81A80" w:rsidP="00A81A80">
      <w:pPr>
        <w:spacing w:line="480" w:lineRule="auto"/>
        <w:rPr>
          <w:rFonts w:asciiTheme="minorHAnsi" w:hAnsiTheme="minorHAnsi"/>
          <w:b/>
          <w:sz w:val="20"/>
          <w:szCs w:val="20"/>
          <w:lang w:val="en-GB"/>
        </w:rPr>
      </w:pPr>
      <w:r>
        <w:rPr>
          <w:rFonts w:ascii="Arial" w:hAnsi="Arial" w:cs="Arial"/>
          <w:szCs w:val="18"/>
          <w:lang w:val="en-GB"/>
        </w:rPr>
        <w:t xml:space="preserve">           </w:t>
      </w:r>
      <w:proofErr w:type="spellStart"/>
      <w:r w:rsidRPr="00D47146">
        <w:rPr>
          <w:rFonts w:ascii="Arial" w:hAnsi="Arial" w:cs="Arial"/>
          <w:szCs w:val="18"/>
          <w:lang w:val="en-GB"/>
        </w:rPr>
        <w:t>NcoAED</w:t>
      </w:r>
      <w:proofErr w:type="spellEnd"/>
      <w:r w:rsidRPr="00D47146">
        <w:rPr>
          <w:rFonts w:ascii="Arial" w:hAnsi="Arial" w:cs="Arial"/>
          <w:szCs w:val="18"/>
          <w:lang w:val="en-GB"/>
        </w:rPr>
        <w:t>= number of concomitant AEDs used.</w:t>
      </w:r>
      <w:r>
        <w:rPr>
          <w:rFonts w:ascii="Arial" w:hAnsi="Arial" w:cs="Arial"/>
          <w:szCs w:val="18"/>
          <w:lang w:val="en-GB"/>
        </w:rPr>
        <w:t xml:space="preserve"> </w:t>
      </w:r>
      <w:r w:rsidRPr="00574B55">
        <w:rPr>
          <w:rFonts w:ascii="Arial" w:hAnsi="Arial" w:cs="Arial"/>
          <w:szCs w:val="18"/>
          <w:lang w:val="en-GB"/>
        </w:rPr>
        <w:t>* reference group= female</w:t>
      </w:r>
    </w:p>
    <w:p w14:paraId="5D064B01" w14:textId="77777777" w:rsidR="00A8142F" w:rsidRDefault="00A8142F" w:rsidP="00C444A3">
      <w:pPr>
        <w:shd w:val="clear" w:color="auto" w:fill="FFFFFF"/>
        <w:spacing w:after="0" w:line="480" w:lineRule="auto"/>
        <w:rPr>
          <w:sz w:val="22"/>
          <w:lang w:val="en-GB"/>
        </w:rPr>
      </w:pPr>
    </w:p>
    <w:p w14:paraId="55785F1F" w14:textId="77777777" w:rsidR="00A81A80" w:rsidRDefault="00A81A80" w:rsidP="00C444A3">
      <w:pPr>
        <w:shd w:val="clear" w:color="auto" w:fill="FFFFFF"/>
        <w:spacing w:after="0" w:line="480" w:lineRule="auto"/>
        <w:rPr>
          <w:sz w:val="22"/>
          <w:lang w:val="en-GB"/>
        </w:rPr>
      </w:pPr>
    </w:p>
    <w:p w14:paraId="05E60879" w14:textId="77777777" w:rsidR="00A81A80" w:rsidRDefault="00A81A80" w:rsidP="00C444A3">
      <w:pPr>
        <w:shd w:val="clear" w:color="auto" w:fill="FFFFFF"/>
        <w:spacing w:after="0" w:line="480" w:lineRule="auto"/>
        <w:rPr>
          <w:sz w:val="22"/>
          <w:lang w:val="en-GB"/>
        </w:rPr>
      </w:pPr>
    </w:p>
    <w:p w14:paraId="64DFC61F" w14:textId="77777777" w:rsidR="00A81A80" w:rsidRDefault="00A81A80" w:rsidP="00C444A3">
      <w:pPr>
        <w:shd w:val="clear" w:color="auto" w:fill="FFFFFF"/>
        <w:spacing w:after="0" w:line="480" w:lineRule="auto"/>
        <w:rPr>
          <w:sz w:val="22"/>
          <w:lang w:val="en-GB"/>
        </w:rPr>
      </w:pPr>
    </w:p>
    <w:p w14:paraId="77C08DFE" w14:textId="77777777" w:rsidR="00A81A80" w:rsidRDefault="00A81A80">
      <w:pPr>
        <w:rPr>
          <w:sz w:val="22"/>
          <w:lang w:val="en-GB"/>
        </w:rPr>
      </w:pPr>
      <w:r>
        <w:rPr>
          <w:sz w:val="22"/>
          <w:lang w:val="en-GB"/>
        </w:rPr>
        <w:br w:type="page"/>
      </w:r>
    </w:p>
    <w:tbl>
      <w:tblPr>
        <w:tblpPr w:leftFromText="141" w:rightFromText="141" w:vertAnchor="text" w:horzAnchor="margin" w:tblpY="198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41"/>
        <w:gridCol w:w="567"/>
        <w:gridCol w:w="1134"/>
        <w:gridCol w:w="1134"/>
        <w:gridCol w:w="851"/>
        <w:gridCol w:w="189"/>
        <w:gridCol w:w="1063"/>
        <w:gridCol w:w="1063"/>
        <w:gridCol w:w="841"/>
      </w:tblGrid>
      <w:tr w:rsidR="00A81A80" w:rsidRPr="005D45F7" w14:paraId="33FB2AF6" w14:textId="77777777" w:rsidTr="000E7444">
        <w:trPr>
          <w:trHeight w:val="300"/>
        </w:trPr>
        <w:tc>
          <w:tcPr>
            <w:tcW w:w="1630" w:type="dxa"/>
            <w:tcBorders>
              <w:top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1143758" w14:textId="77777777" w:rsidR="00A81A80" w:rsidRPr="005D45F7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F9BFE5D" w14:textId="77777777" w:rsidR="00A81A80" w:rsidRPr="005D45F7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E7A15FE" w14:textId="77777777" w:rsidR="00A81A80" w:rsidRPr="00C16709" w:rsidRDefault="00A81A80" w:rsidP="000E7444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nl-NL"/>
              </w:rPr>
            </w:pPr>
            <w:r w:rsidRPr="00C16709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carbamazepine</w:t>
            </w:r>
          </w:p>
        </w:tc>
        <w:tc>
          <w:tcPr>
            <w:tcW w:w="1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CAA93CE" w14:textId="77777777" w:rsidR="00A81A80" w:rsidRPr="00C16709" w:rsidRDefault="00A81A80" w:rsidP="000E7444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6F51A34" w14:textId="77777777" w:rsidR="00A81A80" w:rsidRPr="00C16709" w:rsidRDefault="00A81A80" w:rsidP="000E7444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nl-NL"/>
              </w:rPr>
            </w:pPr>
            <w:r w:rsidRPr="00C16709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oxcarbazepine</w:t>
            </w:r>
          </w:p>
        </w:tc>
      </w:tr>
      <w:tr w:rsidR="00A81A80" w:rsidRPr="005D45F7" w14:paraId="70B9D93B" w14:textId="77777777" w:rsidTr="000E7444">
        <w:trPr>
          <w:trHeight w:val="300"/>
        </w:trPr>
        <w:tc>
          <w:tcPr>
            <w:tcW w:w="1630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ABF2C3" w14:textId="77777777" w:rsidR="00A81A80" w:rsidRPr="005D45F7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8D030C" w14:textId="77777777" w:rsidR="00A81A80" w:rsidRPr="00C16709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BAC5E3" w14:textId="77777777" w:rsidR="00A81A80" w:rsidRPr="00C16709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C1670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nl-NL"/>
              </w:rPr>
              <w:t>na&lt; =134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469045" w14:textId="77777777" w:rsidR="00A81A80" w:rsidRPr="00C16709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C1670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nl-NL"/>
              </w:rPr>
              <w:t>na&gt;134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199C2E" w14:textId="77777777" w:rsidR="00A81A80" w:rsidRPr="00C16709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C16709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nl-NL"/>
              </w:rPr>
              <w:t>p</w:t>
            </w:r>
            <w:r w:rsidRPr="00C1670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nl-NL"/>
              </w:rPr>
              <w:t>-</w:t>
            </w:r>
            <w:proofErr w:type="spellStart"/>
            <w:r w:rsidRPr="00C1670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nl-NL"/>
              </w:rPr>
              <w:t>value</w:t>
            </w:r>
            <w:proofErr w:type="spellEnd"/>
          </w:p>
        </w:tc>
        <w:tc>
          <w:tcPr>
            <w:tcW w:w="18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B8966E2" w14:textId="77777777" w:rsidR="00A81A80" w:rsidRPr="00C16709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3C9B3C" w14:textId="77777777" w:rsidR="00A81A80" w:rsidRPr="00C16709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C1670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nl-NL"/>
              </w:rPr>
              <w:t>na&lt; =134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1C09F1" w14:textId="77777777" w:rsidR="00A81A80" w:rsidRPr="00C16709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C1670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nl-NL"/>
              </w:rPr>
              <w:t>na&gt;134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B61E6C" w14:textId="77777777" w:rsidR="00A81A80" w:rsidRPr="00C16709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nl-NL"/>
              </w:rPr>
            </w:pPr>
            <w:r w:rsidRPr="00C16709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nl-NL"/>
              </w:rPr>
              <w:t>p</w:t>
            </w:r>
            <w:r w:rsidRPr="00C1670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nl-NL"/>
              </w:rPr>
              <w:t>-</w:t>
            </w:r>
            <w:proofErr w:type="spellStart"/>
            <w:r w:rsidRPr="00C1670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nl-NL"/>
              </w:rPr>
              <w:t>value</w:t>
            </w:r>
            <w:proofErr w:type="spellEnd"/>
          </w:p>
        </w:tc>
      </w:tr>
      <w:tr w:rsidR="00A81A80" w:rsidRPr="005D45F7" w14:paraId="12439C22" w14:textId="77777777" w:rsidTr="000E7444">
        <w:trPr>
          <w:trHeight w:val="300"/>
        </w:trPr>
        <w:tc>
          <w:tcPr>
            <w:tcW w:w="1771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4CF9346" w14:textId="77777777" w:rsidR="00A81A80" w:rsidRPr="00EF737E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EF737E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val="en-GB" w:eastAsia="nl-NL"/>
              </w:rPr>
              <w:t>mean drug level (mg/L)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51B6C7" w14:textId="77777777" w:rsidR="00A81A80" w:rsidRPr="00EF737E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BDDBBAC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47584FC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B7B86AB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&lt;0.001</w:t>
            </w:r>
          </w:p>
        </w:tc>
        <w:tc>
          <w:tcPr>
            <w:tcW w:w="189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CEA4720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2B7A451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21.7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A277D7D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18.7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805D184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0.001</w:t>
            </w:r>
          </w:p>
        </w:tc>
      </w:tr>
      <w:tr w:rsidR="00A81A80" w:rsidRPr="005D45F7" w14:paraId="45FB3CAB" w14:textId="77777777" w:rsidTr="000E7444">
        <w:trPr>
          <w:trHeight w:val="388"/>
        </w:trPr>
        <w:tc>
          <w:tcPr>
            <w:tcW w:w="1630" w:type="dxa"/>
            <w:tcBorders>
              <w:top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6C97C79" w14:textId="77777777" w:rsidR="00A81A80" w:rsidRPr="005D45F7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nl-NL"/>
              </w:rPr>
              <w:t>mean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D45F7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nl-NL"/>
              </w:rPr>
              <w:t>age</w:t>
            </w:r>
            <w:proofErr w:type="spellEnd"/>
            <w:r w:rsidRPr="005D45F7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5D45F7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nl-NL"/>
              </w:rPr>
              <w:t>yrs</w:t>
            </w:r>
            <w:proofErr w:type="spellEnd"/>
            <w:r w:rsidRPr="005D45F7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3AB909AB" w14:textId="77777777" w:rsidR="00A81A80" w:rsidRPr="005D45F7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7B4CB8C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49.1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1DF19F51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39.3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97997A7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&lt;0.001</w:t>
            </w:r>
          </w:p>
        </w:tc>
        <w:tc>
          <w:tcPr>
            <w:tcW w:w="189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28BBC879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7068586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40.6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03D4F07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34.3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B0DA838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0.001</w:t>
            </w:r>
          </w:p>
        </w:tc>
      </w:tr>
      <w:tr w:rsidR="00A81A80" w:rsidRPr="005D45F7" w14:paraId="66C08968" w14:textId="77777777" w:rsidTr="000E7444">
        <w:trPr>
          <w:trHeight w:val="23"/>
        </w:trPr>
        <w:tc>
          <w:tcPr>
            <w:tcW w:w="1630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533B2B" w14:textId="77777777" w:rsidR="00A81A80" w:rsidRPr="005D45F7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11D2A9" w14:textId="77777777" w:rsidR="00A81A80" w:rsidRPr="005D45F7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B88C4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4AAC35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BD4165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9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0582BF39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EEA708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8A8FA8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B6113F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81A80" w:rsidRPr="005D45F7" w14:paraId="63000193" w14:textId="77777777" w:rsidTr="000E7444">
        <w:trPr>
          <w:trHeight w:val="300"/>
        </w:trPr>
        <w:tc>
          <w:tcPr>
            <w:tcW w:w="1630" w:type="dxa"/>
            <w:tcBorders>
              <w:top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644DBA" w14:textId="77777777" w:rsidR="00A81A80" w:rsidRPr="005D45F7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nl-NL"/>
              </w:rPr>
              <w:t>AgeCat40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067E1C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≤ 40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0D216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88 (17%)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286EA2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440 (83%)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29121F" w14:textId="77777777" w:rsidR="00A81A80" w:rsidRPr="005D45F7" w:rsidRDefault="00A81A80" w:rsidP="001419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&lt;0.001</w:t>
            </w:r>
          </w:p>
        </w:tc>
        <w:tc>
          <w:tcPr>
            <w:tcW w:w="189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78A8FDDC" w14:textId="77777777" w:rsidR="00A81A80" w:rsidRPr="005D45F7" w:rsidRDefault="00A81A80" w:rsidP="001419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1FCF85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64 (39%)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68D8B1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101 (61%)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4DBAB2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0.003</w:t>
            </w:r>
          </w:p>
        </w:tc>
      </w:tr>
      <w:tr w:rsidR="00A81A80" w:rsidRPr="005D45F7" w14:paraId="7A73B711" w14:textId="77777777" w:rsidTr="000E7444">
        <w:trPr>
          <w:trHeight w:val="300"/>
        </w:trPr>
        <w:tc>
          <w:tcPr>
            <w:tcW w:w="1630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49461D" w14:textId="77777777" w:rsidR="00A81A80" w:rsidRPr="005D45F7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13749E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&gt;40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DA013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206 (34%)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A2C819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398 (66%)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E3670F" w14:textId="77777777" w:rsidR="00A81A80" w:rsidRPr="005D45F7" w:rsidRDefault="00A81A80" w:rsidP="001419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9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52F58D94" w14:textId="77777777" w:rsidR="00A81A80" w:rsidRPr="005D45F7" w:rsidRDefault="00A81A80" w:rsidP="001419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454C98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70 (56%)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98374A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54 (44%)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8DE414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81A80" w:rsidRPr="005D45F7" w14:paraId="6E780F86" w14:textId="77777777" w:rsidTr="000E7444">
        <w:trPr>
          <w:trHeight w:val="300"/>
        </w:trPr>
        <w:tc>
          <w:tcPr>
            <w:tcW w:w="1630" w:type="dxa"/>
            <w:tcBorders>
              <w:top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30548" w14:textId="77777777" w:rsidR="00A81A80" w:rsidRPr="005D45F7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nl-NL"/>
              </w:rPr>
              <w:t>sex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2E699B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963FF7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152 (25%)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20CCB5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464 (75%)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5A1DC2" w14:textId="77777777" w:rsidR="00A81A80" w:rsidRPr="005D45F7" w:rsidRDefault="00A81A80" w:rsidP="001419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0.28</w:t>
            </w:r>
          </w:p>
        </w:tc>
        <w:tc>
          <w:tcPr>
            <w:tcW w:w="189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09348BCC" w14:textId="77777777" w:rsidR="00A81A80" w:rsidRPr="005D45F7" w:rsidRDefault="00A81A80" w:rsidP="001419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E3CF4D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58 (39%)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948DAC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92 (61%)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0BCB03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0.006</w:t>
            </w:r>
          </w:p>
        </w:tc>
      </w:tr>
      <w:tr w:rsidR="00A81A80" w:rsidRPr="005D45F7" w14:paraId="67951497" w14:textId="77777777" w:rsidTr="000E7444">
        <w:trPr>
          <w:trHeight w:val="300"/>
        </w:trPr>
        <w:tc>
          <w:tcPr>
            <w:tcW w:w="1630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F874EE" w14:textId="77777777" w:rsidR="00A81A80" w:rsidRPr="005D45F7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AA7BA4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5630B9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142 (28%)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9803A4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374 (72%)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D0B3FE" w14:textId="77777777" w:rsidR="00A81A80" w:rsidRPr="005D45F7" w:rsidRDefault="00A81A80" w:rsidP="001419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9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57961C92" w14:textId="77777777" w:rsidR="00A81A80" w:rsidRPr="005D45F7" w:rsidRDefault="00A81A80" w:rsidP="001419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D2EC46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76 (55%)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F0E1A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63 (45%)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8CB8AA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81A80" w:rsidRPr="005D45F7" w14:paraId="2557B501" w14:textId="77777777" w:rsidTr="000E7444">
        <w:trPr>
          <w:trHeight w:val="300"/>
        </w:trPr>
        <w:tc>
          <w:tcPr>
            <w:tcW w:w="1630" w:type="dxa"/>
            <w:tcBorders>
              <w:top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43E5F5" w14:textId="77777777" w:rsidR="00A81A80" w:rsidRPr="005D45F7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5D45F7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nl-NL"/>
              </w:rPr>
              <w:t>monotherapy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D9C093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D6F58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53 (17%)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652F53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260 (83%)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D5715E" w14:textId="77777777" w:rsidR="00A81A80" w:rsidRPr="005D45F7" w:rsidRDefault="00A81A80" w:rsidP="001419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&lt;0.001</w:t>
            </w:r>
          </w:p>
        </w:tc>
        <w:tc>
          <w:tcPr>
            <w:tcW w:w="189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756B2AC4" w14:textId="77777777" w:rsidR="00A81A80" w:rsidRPr="005D45F7" w:rsidRDefault="00A81A80" w:rsidP="001419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5498B7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29 (36%)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737387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52 (64%)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23F415" w14:textId="77777777" w:rsidR="00A81A80" w:rsidRPr="005D45F7" w:rsidRDefault="00A81A80" w:rsidP="001419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0.03</w:t>
            </w:r>
          </w:p>
        </w:tc>
      </w:tr>
      <w:tr w:rsidR="00A81A80" w:rsidRPr="005D45F7" w14:paraId="00191ACE" w14:textId="77777777" w:rsidTr="000E7444">
        <w:trPr>
          <w:trHeight w:val="300"/>
        </w:trPr>
        <w:tc>
          <w:tcPr>
            <w:tcW w:w="1630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C7A601" w14:textId="77777777" w:rsidR="00A81A80" w:rsidRPr="005D45F7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384881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no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427C64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230 (30%)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AAE829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544 (70%)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9952F3" w14:textId="77777777" w:rsidR="00A81A80" w:rsidRPr="005D45F7" w:rsidRDefault="00A81A80" w:rsidP="001419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9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710FF6E3" w14:textId="77777777" w:rsidR="00A81A80" w:rsidRPr="005D45F7" w:rsidRDefault="00A81A80" w:rsidP="001419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7F4EAA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99 (51%)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F98E54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97 (49%)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D5D355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81A80" w:rsidRPr="005D45F7" w14:paraId="0B802E74" w14:textId="77777777" w:rsidTr="000E7444">
        <w:trPr>
          <w:trHeight w:val="300"/>
        </w:trPr>
        <w:tc>
          <w:tcPr>
            <w:tcW w:w="1630" w:type="dxa"/>
            <w:tcBorders>
              <w:top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2609C8" w14:textId="77777777" w:rsidR="00A81A80" w:rsidRPr="005D45F7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nl-NL"/>
              </w:rPr>
              <w:t>CLB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52194B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A13F58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56 (42%)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07D86E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80 (59%)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06B60C" w14:textId="77777777" w:rsidR="00A81A80" w:rsidRPr="005D45F7" w:rsidRDefault="00A81A80" w:rsidP="001419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&lt;0.001</w:t>
            </w:r>
          </w:p>
        </w:tc>
        <w:tc>
          <w:tcPr>
            <w:tcW w:w="189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2D82CC24" w14:textId="77777777" w:rsidR="00A81A80" w:rsidRPr="005D45F7" w:rsidRDefault="00A81A80" w:rsidP="001419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DE5C7E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31 (70%)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8F1854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13 (30%)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A51E17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&lt;0.001</w:t>
            </w:r>
          </w:p>
        </w:tc>
      </w:tr>
      <w:tr w:rsidR="00A81A80" w:rsidRPr="005D45F7" w14:paraId="2785F50A" w14:textId="77777777" w:rsidTr="000E7444">
        <w:trPr>
          <w:trHeight w:val="300"/>
        </w:trPr>
        <w:tc>
          <w:tcPr>
            <w:tcW w:w="1630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2C04D" w14:textId="77777777" w:rsidR="00A81A80" w:rsidRPr="005D45F7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83199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no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339C70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227 (24%)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055711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724 (76%)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EA13F9" w14:textId="77777777" w:rsidR="00A81A80" w:rsidRPr="005D45F7" w:rsidRDefault="00A81A80" w:rsidP="001419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9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560D0768" w14:textId="77777777" w:rsidR="00A81A80" w:rsidRPr="005D45F7" w:rsidRDefault="00A81A80" w:rsidP="001419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1F35A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97 (42%)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41A3FB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136 (58%)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3C9751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81A80" w:rsidRPr="005D45F7" w14:paraId="70372416" w14:textId="77777777" w:rsidTr="000E7444">
        <w:trPr>
          <w:trHeight w:val="300"/>
        </w:trPr>
        <w:tc>
          <w:tcPr>
            <w:tcW w:w="1630" w:type="dxa"/>
            <w:tcBorders>
              <w:top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648B6" w14:textId="77777777" w:rsidR="00A81A80" w:rsidRPr="005D45F7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nl-NL"/>
              </w:rPr>
              <w:t>PHT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F06447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43E2CB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34 (38%)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6047E9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56 (62%)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37809" w14:textId="77777777" w:rsidR="00A81A80" w:rsidRPr="005D45F7" w:rsidRDefault="00A81A80" w:rsidP="001419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0.008</w:t>
            </w:r>
          </w:p>
        </w:tc>
        <w:tc>
          <w:tcPr>
            <w:tcW w:w="189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7210A232" w14:textId="77777777" w:rsidR="00A81A80" w:rsidRPr="005D45F7" w:rsidRDefault="00A81A80" w:rsidP="001419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2B4976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17 (77%)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ADD98F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5 (23%)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800470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0.002</w:t>
            </w:r>
          </w:p>
        </w:tc>
      </w:tr>
      <w:tr w:rsidR="00A81A80" w:rsidRPr="005D45F7" w14:paraId="61BCD151" w14:textId="77777777" w:rsidTr="000E7444">
        <w:trPr>
          <w:trHeight w:val="300"/>
        </w:trPr>
        <w:tc>
          <w:tcPr>
            <w:tcW w:w="1630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70534F" w14:textId="77777777" w:rsidR="00A81A80" w:rsidRPr="005D45F7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38C629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no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16B8CF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249 (25%)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BCB397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748 (75%)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29240" w14:textId="77777777" w:rsidR="00A81A80" w:rsidRPr="005D45F7" w:rsidRDefault="00A81A80" w:rsidP="001419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9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37F19EC1" w14:textId="77777777" w:rsidR="00A81A80" w:rsidRPr="005D45F7" w:rsidRDefault="00A81A80" w:rsidP="001419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64358B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111 (44%)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66F0C2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144 (56%)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2F2575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81A80" w:rsidRPr="005D45F7" w14:paraId="71881EC3" w14:textId="77777777" w:rsidTr="000E7444">
        <w:trPr>
          <w:trHeight w:val="300"/>
        </w:trPr>
        <w:tc>
          <w:tcPr>
            <w:tcW w:w="1630" w:type="dxa"/>
            <w:tcBorders>
              <w:top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B70C22" w14:textId="77777777" w:rsidR="00A81A80" w:rsidRPr="005D45F7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nl-NL"/>
              </w:rPr>
              <w:t>VPA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5949EC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75A6D8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90 (31%)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8E8A95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197 (69%)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672EFF" w14:textId="77777777" w:rsidR="00A81A80" w:rsidRPr="005D45F7" w:rsidRDefault="00A81A80" w:rsidP="001419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0.02</w:t>
            </w:r>
          </w:p>
        </w:tc>
        <w:tc>
          <w:tcPr>
            <w:tcW w:w="189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482E7AC" w14:textId="77777777" w:rsidR="00A81A80" w:rsidRPr="005D45F7" w:rsidRDefault="00A81A80" w:rsidP="001419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FE6EB3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 (44%)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E9B23A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 (56%)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6735CE" w14:textId="77777777" w:rsidR="00A81A80" w:rsidRPr="005D45F7" w:rsidRDefault="00A81A80" w:rsidP="001419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0.7</w:t>
            </w:r>
            <w:r w:rsidR="0048660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A81A80" w:rsidRPr="005D45F7" w14:paraId="1C57A1DF" w14:textId="77777777" w:rsidTr="000E7444">
        <w:trPr>
          <w:trHeight w:val="300"/>
        </w:trPr>
        <w:tc>
          <w:tcPr>
            <w:tcW w:w="1630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1113A8" w14:textId="77777777" w:rsidR="00A81A80" w:rsidRPr="005D45F7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BCE67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no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9A0C00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193 (24%)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CB39E3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607 (76%)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7883DF" w14:textId="77777777" w:rsidR="00A81A80" w:rsidRPr="005D45F7" w:rsidRDefault="00A81A80" w:rsidP="001419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9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6467C3A6" w14:textId="77777777" w:rsidR="00A81A80" w:rsidRPr="005D45F7" w:rsidRDefault="00A81A80" w:rsidP="001419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C995A3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106 (47%)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7E995A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120 (53%)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CE1DBD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81A80" w:rsidRPr="005D45F7" w14:paraId="635824BA" w14:textId="77777777" w:rsidTr="000E7444">
        <w:trPr>
          <w:trHeight w:val="300"/>
        </w:trPr>
        <w:tc>
          <w:tcPr>
            <w:tcW w:w="1630" w:type="dxa"/>
            <w:tcBorders>
              <w:top w:val="single" w:sz="4" w:space="0" w:color="FFFFFF" w:themeColor="background1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E9A30E" w14:textId="77777777" w:rsidR="00A81A80" w:rsidRPr="005D45F7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PB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212F05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15B1FA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22(38%)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599186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36(62%)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308304" w14:textId="77777777" w:rsidR="00A81A80" w:rsidRPr="005D45F7" w:rsidRDefault="00A81A80" w:rsidP="001419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0.03</w:t>
            </w:r>
          </w:p>
        </w:tc>
        <w:tc>
          <w:tcPr>
            <w:tcW w:w="189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081F1948" w14:textId="77777777" w:rsidR="00A81A80" w:rsidRPr="005D45F7" w:rsidRDefault="00A81A80" w:rsidP="001419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19970E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 (71%)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4BAE4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 (29%)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42AF9E" w14:textId="77777777" w:rsidR="00A81A80" w:rsidRPr="005D45F7" w:rsidRDefault="00A81A80" w:rsidP="001419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0.18</w:t>
            </w:r>
          </w:p>
        </w:tc>
      </w:tr>
      <w:tr w:rsidR="00A81A80" w:rsidRPr="005D45F7" w14:paraId="6FFB18F3" w14:textId="77777777" w:rsidTr="000E7444">
        <w:trPr>
          <w:trHeight w:val="300"/>
        </w:trPr>
        <w:tc>
          <w:tcPr>
            <w:tcW w:w="163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785D5BA" w14:textId="77777777" w:rsidR="00A81A80" w:rsidRPr="005D45F7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4651875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no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568432D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261(25%)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BE60D28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768(75%)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393A260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9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01C93DFB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205B7876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129 (46%)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0291C23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D45F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153 (54%)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4295051" w14:textId="77777777" w:rsidR="00A81A80" w:rsidRPr="005D45F7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0EF92747" w14:textId="77777777" w:rsidR="00A81A80" w:rsidRPr="005D45F7" w:rsidRDefault="00A81A80" w:rsidP="00A81A80">
      <w:pPr>
        <w:rPr>
          <w:rFonts w:ascii="Arial" w:hAnsi="Arial" w:cs="Arial"/>
          <w:sz w:val="20"/>
          <w:szCs w:val="20"/>
        </w:rPr>
      </w:pPr>
    </w:p>
    <w:p w14:paraId="07649228" w14:textId="77777777" w:rsidR="00A81A80" w:rsidRDefault="00A81A80" w:rsidP="00A81A80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241F3C">
        <w:rPr>
          <w:rFonts w:ascii="Arial" w:eastAsia="Times New Roman" w:hAnsi="Arial" w:cs="Arial"/>
          <w:sz w:val="20"/>
          <w:szCs w:val="20"/>
          <w:lang w:val="en-GB" w:eastAsia="nl-NL"/>
        </w:rPr>
        <w:t>Table 2.</w:t>
      </w:r>
      <w:r w:rsidRPr="00241F3C">
        <w:rPr>
          <w:rFonts w:ascii="Arial" w:hAnsi="Arial" w:cs="Arial"/>
          <w:sz w:val="20"/>
          <w:szCs w:val="20"/>
          <w:lang w:val="en-GB"/>
        </w:rPr>
        <w:t xml:space="preserve"> Univariate analyses of demographic and clinical data with </w:t>
      </w:r>
      <w:r w:rsidRPr="00241F3C">
        <w:rPr>
          <w:rFonts w:ascii="Arial" w:eastAsia="Times New Roman" w:hAnsi="Arial" w:cs="Arial"/>
          <w:sz w:val="20"/>
          <w:szCs w:val="20"/>
          <w:lang w:val="en-GB" w:eastAsia="nl-NL"/>
        </w:rPr>
        <w:t xml:space="preserve">hyponatremia </w:t>
      </w:r>
      <w:r>
        <w:rPr>
          <w:rFonts w:ascii="Arial" w:eastAsia="Times New Roman" w:hAnsi="Arial" w:cs="Arial"/>
          <w:sz w:val="20"/>
          <w:szCs w:val="20"/>
          <w:lang w:val="en-GB" w:eastAsia="nl-NL"/>
        </w:rPr>
        <w:t xml:space="preserve">(Na </w:t>
      </w:r>
      <w:r w:rsidRPr="00EF737E">
        <w:rPr>
          <w:rFonts w:ascii="Arial" w:eastAsia="Times New Roman" w:hAnsi="Arial" w:cs="Arial"/>
          <w:sz w:val="20"/>
          <w:szCs w:val="20"/>
          <w:lang w:val="en-GB" w:eastAsia="nl-NL"/>
        </w:rPr>
        <w:t xml:space="preserve">≤ </w:t>
      </w:r>
      <w:r>
        <w:rPr>
          <w:rFonts w:ascii="Arial" w:eastAsia="Times New Roman" w:hAnsi="Arial" w:cs="Arial"/>
          <w:sz w:val="20"/>
          <w:szCs w:val="20"/>
          <w:lang w:val="en-GB" w:eastAsia="nl-NL"/>
        </w:rPr>
        <w:t xml:space="preserve">134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nl-NL"/>
        </w:rPr>
        <w:t>mEq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nl-NL"/>
        </w:rPr>
        <w:t xml:space="preserve">/L) </w:t>
      </w:r>
      <w:r w:rsidRPr="00241F3C">
        <w:rPr>
          <w:rFonts w:ascii="Arial" w:eastAsia="Times New Roman" w:hAnsi="Arial" w:cs="Arial"/>
          <w:sz w:val="20"/>
          <w:szCs w:val="20"/>
          <w:lang w:val="en-GB" w:eastAsia="nl-NL"/>
        </w:rPr>
        <w:t>as dependent</w:t>
      </w:r>
      <w:r w:rsidRPr="00AB2B39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r w:rsidRPr="00241F3C">
        <w:rPr>
          <w:rFonts w:ascii="Arial" w:eastAsia="Times New Roman" w:hAnsi="Arial" w:cs="Arial"/>
          <w:sz w:val="20"/>
          <w:szCs w:val="20"/>
          <w:lang w:val="en-GB" w:eastAsia="nl-NL"/>
        </w:rPr>
        <w:t>variable.</w:t>
      </w:r>
      <w:r w:rsidRPr="00AB2B39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r w:rsidRPr="00AB2B39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3847C752" w14:textId="77777777" w:rsidR="00A81A80" w:rsidRDefault="00A81A80" w:rsidP="00A81A80">
      <w:pPr>
        <w:spacing w:line="48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34B676DF" w14:textId="77777777" w:rsidR="00A81A80" w:rsidRDefault="00A81A80" w:rsidP="00A81A80">
      <w:pPr>
        <w:spacing w:line="48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56FB19EF" w14:textId="77777777" w:rsidR="00A81A80" w:rsidRDefault="00A81A80" w:rsidP="00A81A80">
      <w:pPr>
        <w:spacing w:line="48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7A1EC641" w14:textId="77777777" w:rsidR="00A81A80" w:rsidRDefault="00A81A80" w:rsidP="00A81A80">
      <w:pPr>
        <w:spacing w:line="48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09A8A30D" w14:textId="77777777" w:rsidR="00A81A80" w:rsidRDefault="00A81A80" w:rsidP="00A81A80">
      <w:pPr>
        <w:spacing w:line="48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2583F1E1" w14:textId="77777777" w:rsidR="00A81A80" w:rsidRDefault="00A81A80" w:rsidP="00A81A80">
      <w:pPr>
        <w:spacing w:line="48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51E31B81" w14:textId="77777777" w:rsidR="00A81A80" w:rsidRDefault="00A81A80" w:rsidP="00A81A80">
      <w:pPr>
        <w:spacing w:line="48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10A30ABE" w14:textId="77777777" w:rsidR="00A81A80" w:rsidRDefault="00A81A80" w:rsidP="00A81A80">
      <w:pPr>
        <w:spacing w:line="48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59DFDD8F" w14:textId="77777777" w:rsidR="00A81A80" w:rsidRDefault="00A81A80" w:rsidP="00A81A80">
      <w:pPr>
        <w:spacing w:line="48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7C439C2D" w14:textId="77777777" w:rsidR="00A81A80" w:rsidRDefault="00A81A80" w:rsidP="00A81A80">
      <w:pPr>
        <w:spacing w:line="48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48CB5366" w14:textId="77777777" w:rsidR="00A81A80" w:rsidRDefault="00A81A80" w:rsidP="00A81A80">
      <w:pPr>
        <w:spacing w:line="48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3B4B3D02" w14:textId="77777777" w:rsidR="00A81A80" w:rsidRDefault="00A81A80" w:rsidP="00A81A80">
      <w:pPr>
        <w:spacing w:line="48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50703E1B" w14:textId="77777777" w:rsidR="00A81A80" w:rsidRDefault="00A81A80" w:rsidP="00A81A80">
      <w:pPr>
        <w:spacing w:line="48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7D0B7D7A" w14:textId="77777777" w:rsidR="00A81A80" w:rsidRDefault="00A81A80" w:rsidP="00A81A80">
      <w:pPr>
        <w:spacing w:line="48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3CD9B233" w14:textId="77777777" w:rsidR="00A81A80" w:rsidRDefault="00A81A80" w:rsidP="00A81A80">
      <w:pPr>
        <w:spacing w:line="48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06961231" w14:textId="77777777" w:rsidR="00A81A80" w:rsidRDefault="00A81A80" w:rsidP="00A81A80">
      <w:pPr>
        <w:spacing w:line="48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4644961A" w14:textId="77777777" w:rsidR="00A81A80" w:rsidRPr="003A3B0F" w:rsidRDefault="00A81A80" w:rsidP="00A81A80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5D45F7">
        <w:rPr>
          <w:rFonts w:ascii="Arial" w:eastAsia="Times New Roman" w:hAnsi="Arial" w:cs="Arial"/>
          <w:sz w:val="20"/>
          <w:szCs w:val="20"/>
          <w:lang w:val="en-GB" w:eastAsia="nl-NL"/>
        </w:rPr>
        <w:t>AgeCat40 = age categor</w:t>
      </w:r>
      <w:r>
        <w:rPr>
          <w:rFonts w:ascii="Arial" w:eastAsia="Times New Roman" w:hAnsi="Arial" w:cs="Arial"/>
          <w:sz w:val="20"/>
          <w:szCs w:val="20"/>
          <w:lang w:val="en-GB" w:eastAsia="nl-NL"/>
        </w:rPr>
        <w:t>y</w:t>
      </w:r>
      <w:r w:rsidRPr="005D45F7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split at 40 years; CLB=</w:t>
      </w:r>
      <w:proofErr w:type="spellStart"/>
      <w:r w:rsidRPr="005D45F7">
        <w:rPr>
          <w:rFonts w:ascii="Arial" w:eastAsia="Times New Roman" w:hAnsi="Arial" w:cs="Arial"/>
          <w:sz w:val="20"/>
          <w:szCs w:val="20"/>
          <w:lang w:val="en-GB" w:eastAsia="nl-NL"/>
        </w:rPr>
        <w:t>clobazam</w:t>
      </w:r>
      <w:proofErr w:type="spellEnd"/>
      <w:r w:rsidRPr="005D45F7">
        <w:rPr>
          <w:rFonts w:ascii="Arial" w:eastAsia="Times New Roman" w:hAnsi="Arial" w:cs="Arial"/>
          <w:sz w:val="20"/>
          <w:szCs w:val="20"/>
          <w:lang w:val="en-GB" w:eastAsia="nl-NL"/>
        </w:rPr>
        <w:t xml:space="preserve">, PHT= phenytoin, VPA= </w:t>
      </w:r>
      <w:proofErr w:type="spellStart"/>
      <w:r w:rsidRPr="005D45F7">
        <w:rPr>
          <w:rFonts w:ascii="Arial" w:eastAsia="Times New Roman" w:hAnsi="Arial" w:cs="Arial"/>
          <w:sz w:val="20"/>
          <w:szCs w:val="20"/>
          <w:lang w:val="en-GB" w:eastAsia="nl-NL"/>
        </w:rPr>
        <w:t>valproic</w:t>
      </w:r>
      <w:proofErr w:type="spellEnd"/>
      <w:r w:rsidRPr="005D45F7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acid, PB= phenobarbital</w:t>
      </w:r>
      <w:r>
        <w:rPr>
          <w:rFonts w:ascii="Arial" w:eastAsia="Times New Roman" w:hAnsi="Arial" w:cs="Arial"/>
          <w:sz w:val="20"/>
          <w:szCs w:val="20"/>
          <w:lang w:val="en-GB" w:eastAsia="nl-NL"/>
        </w:rPr>
        <w:t>,</w:t>
      </w:r>
    </w:p>
    <w:p w14:paraId="503F350B" w14:textId="77777777" w:rsidR="00A81A80" w:rsidRDefault="00A81A80">
      <w:pPr>
        <w:rPr>
          <w:sz w:val="22"/>
          <w:lang w:val="en-GB"/>
        </w:rPr>
      </w:pPr>
      <w:r>
        <w:rPr>
          <w:sz w:val="22"/>
          <w:lang w:val="en-GB"/>
        </w:rPr>
        <w:br w:type="page"/>
      </w:r>
    </w:p>
    <w:p w14:paraId="23E2B96B" w14:textId="77777777" w:rsidR="00A81A80" w:rsidRPr="00993C7C" w:rsidRDefault="00A81A80" w:rsidP="00A81A80">
      <w:pPr>
        <w:spacing w:line="48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993C7C">
        <w:rPr>
          <w:rFonts w:ascii="Arial" w:eastAsia="Times New Roman" w:hAnsi="Arial" w:cs="Arial"/>
          <w:sz w:val="20"/>
          <w:szCs w:val="20"/>
          <w:lang w:val="en-GB" w:eastAsia="nl-NL"/>
        </w:rPr>
        <w:lastRenderedPageBreak/>
        <w:t>Table 3</w:t>
      </w:r>
      <w:r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Pr="00993C7C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 w:eastAsia="nl-NL"/>
        </w:rPr>
        <w:t>M</w:t>
      </w:r>
      <w:r w:rsidRPr="00993C7C">
        <w:rPr>
          <w:rFonts w:ascii="Arial" w:eastAsia="Times New Roman" w:hAnsi="Arial" w:cs="Arial"/>
          <w:sz w:val="20"/>
          <w:szCs w:val="20"/>
          <w:lang w:val="en-GB" w:eastAsia="nl-NL"/>
        </w:rPr>
        <w:t xml:space="preserve">ultivariate logistic regression analysis </w:t>
      </w:r>
      <w:r w:rsidRPr="00993C7C">
        <w:rPr>
          <w:rFonts w:ascii="Arial" w:hAnsi="Arial" w:cs="Arial"/>
          <w:sz w:val="20"/>
          <w:szCs w:val="20"/>
          <w:lang w:val="en-GB"/>
        </w:rPr>
        <w:t xml:space="preserve">of demographic and clinical data </w:t>
      </w:r>
      <w:r w:rsidRPr="00993C7C">
        <w:rPr>
          <w:rFonts w:ascii="Arial" w:eastAsia="Times New Roman" w:hAnsi="Arial" w:cs="Arial"/>
          <w:sz w:val="20"/>
          <w:szCs w:val="20"/>
          <w:lang w:val="en-GB" w:eastAsia="nl-NL"/>
        </w:rPr>
        <w:t>with hyponatremia as dependent variable</w:t>
      </w:r>
    </w:p>
    <w:tbl>
      <w:tblPr>
        <w:tblW w:w="9694" w:type="dxa"/>
        <w:tblInd w:w="-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960"/>
        <w:gridCol w:w="960"/>
        <w:gridCol w:w="960"/>
        <w:gridCol w:w="960"/>
        <w:gridCol w:w="260"/>
        <w:gridCol w:w="960"/>
        <w:gridCol w:w="1077"/>
        <w:gridCol w:w="843"/>
        <w:gridCol w:w="960"/>
      </w:tblGrid>
      <w:tr w:rsidR="00A81A80" w:rsidRPr="003A3B0F" w14:paraId="03CDC363" w14:textId="77777777" w:rsidTr="000E7444">
        <w:trPr>
          <w:trHeight w:val="330"/>
        </w:trPr>
        <w:tc>
          <w:tcPr>
            <w:tcW w:w="1754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BF01038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</w:pPr>
            <w:r w:rsidRPr="003A3B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AFFB9" w14:textId="77777777" w:rsidR="00A81A80" w:rsidRPr="003A3B0F" w:rsidRDefault="00A81A80" w:rsidP="000E74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1C6258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carbamazepine</w:t>
            </w:r>
            <w:r w:rsidRPr="003A3B0F" w:rsidDel="007B03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 xml:space="preserve"> </w:t>
            </w:r>
            <w:r w:rsidRPr="003A3B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(n=968)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12BB4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</w:pPr>
            <w:r w:rsidRPr="003A3B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68DE1" w14:textId="77777777" w:rsidR="00A81A80" w:rsidRPr="003A3B0F" w:rsidRDefault="00A81A80" w:rsidP="000E74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1C6258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oxcarbazepine</w:t>
            </w:r>
            <w:r w:rsidRPr="003A3B0F" w:rsidDel="007B03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 xml:space="preserve"> </w:t>
            </w:r>
            <w:r w:rsidRPr="003A3B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>(n=245)</w:t>
            </w:r>
          </w:p>
        </w:tc>
      </w:tr>
      <w:tr w:rsidR="00A81A80" w:rsidRPr="003A3B0F" w14:paraId="5ED1714D" w14:textId="77777777" w:rsidTr="000E7444">
        <w:trPr>
          <w:trHeight w:val="315"/>
        </w:trPr>
        <w:tc>
          <w:tcPr>
            <w:tcW w:w="1754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07CD6DDB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6EFC2992" w14:textId="77777777" w:rsidR="00A81A80" w:rsidRPr="003A3B0F" w:rsidRDefault="00A81A80" w:rsidP="000E74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Odds Ratio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5AD3BD06" w14:textId="77777777" w:rsidR="00A81A80" w:rsidRPr="003A3B0F" w:rsidRDefault="00A81A80" w:rsidP="000E74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95% C.I.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08077A1B" w14:textId="77777777" w:rsidR="00A81A80" w:rsidRPr="003A3B0F" w:rsidRDefault="00A81A80" w:rsidP="000E74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i/>
                <w:sz w:val="20"/>
                <w:szCs w:val="20"/>
                <w:lang w:val="en-GB" w:eastAsia="nl-NL"/>
              </w:rPr>
              <w:t>P</w:t>
            </w: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-</w:t>
            </w:r>
            <w:proofErr w:type="spellStart"/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value</w:t>
            </w:r>
            <w:proofErr w:type="spellEnd"/>
          </w:p>
        </w:tc>
        <w:tc>
          <w:tcPr>
            <w:tcW w:w="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1E41901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46A001DF" w14:textId="77777777" w:rsidR="00A81A80" w:rsidRPr="003A3B0F" w:rsidRDefault="00A81A80" w:rsidP="000E74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Odds</w:t>
            </w:r>
            <w:proofErr w:type="spellEnd"/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Ratio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03749EEF" w14:textId="77777777" w:rsidR="00A81A80" w:rsidRPr="003A3B0F" w:rsidRDefault="00A81A80" w:rsidP="000E74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95% C.I.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C01DEEA" w14:textId="77777777" w:rsidR="00A81A80" w:rsidRPr="003A3B0F" w:rsidRDefault="00A81A80" w:rsidP="000E74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>P</w:t>
            </w: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</w:t>
            </w:r>
            <w:proofErr w:type="spellStart"/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value</w:t>
            </w:r>
            <w:proofErr w:type="spellEnd"/>
          </w:p>
        </w:tc>
      </w:tr>
      <w:tr w:rsidR="00A81A80" w:rsidRPr="003A3B0F" w14:paraId="680EBFCE" w14:textId="77777777" w:rsidTr="000E7444">
        <w:trPr>
          <w:trHeight w:val="315"/>
        </w:trPr>
        <w:tc>
          <w:tcPr>
            <w:tcW w:w="1754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3F47CF4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756A5848" w14:textId="77777777" w:rsidR="00A81A80" w:rsidRPr="0016355B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C9B27A" w14:textId="77777777" w:rsidR="00A81A80" w:rsidRPr="001C6258" w:rsidRDefault="00A81A80" w:rsidP="000E74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1C62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Lower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53D0B096" w14:textId="77777777" w:rsidR="00A81A80" w:rsidRPr="003A3B0F" w:rsidRDefault="00A81A80" w:rsidP="000E74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Upper</w:t>
            </w:r>
            <w:proofErr w:type="spellEnd"/>
          </w:p>
        </w:tc>
        <w:tc>
          <w:tcPr>
            <w:tcW w:w="96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134229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vMerge/>
            <w:shd w:val="clear" w:color="auto" w:fill="auto"/>
            <w:vAlign w:val="center"/>
            <w:hideMark/>
          </w:tcPr>
          <w:p w14:paraId="65DDE64D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0CD8F5C9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77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59E360" w14:textId="77777777" w:rsidR="00A81A80" w:rsidRPr="003A3B0F" w:rsidRDefault="00A81A80" w:rsidP="000E74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Lower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6574E564" w14:textId="77777777" w:rsidR="00A81A80" w:rsidRPr="003A3B0F" w:rsidRDefault="00A81A80" w:rsidP="000E74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Upper</w:t>
            </w:r>
            <w:proofErr w:type="spellEnd"/>
          </w:p>
        </w:tc>
        <w:tc>
          <w:tcPr>
            <w:tcW w:w="96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910F8F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81A80" w:rsidRPr="00202C49" w14:paraId="28A392B7" w14:textId="77777777" w:rsidTr="000E7444">
        <w:trPr>
          <w:trHeight w:val="315"/>
        </w:trPr>
        <w:tc>
          <w:tcPr>
            <w:tcW w:w="1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4064" w14:textId="77777777" w:rsidR="00A81A80" w:rsidRPr="00BE7015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  <w:r w:rsidRPr="00BE7015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drug level (mg/L)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4700E27" w14:textId="77777777" w:rsidR="00A81A80" w:rsidRPr="00FC5712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C571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1.23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9DBAF22" w14:textId="77777777" w:rsidR="00A81A80" w:rsidRPr="00FC5712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C571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1.14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BDA7155" w14:textId="77777777" w:rsidR="00A81A80" w:rsidRPr="00FC5712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C571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1.315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63ABCBF" w14:textId="77777777" w:rsidR="00A81A80" w:rsidRPr="0070235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235F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&lt;0.001</w:t>
            </w:r>
          </w:p>
        </w:tc>
        <w:tc>
          <w:tcPr>
            <w:tcW w:w="260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0667B066" w14:textId="77777777" w:rsidR="00A81A80" w:rsidRPr="0070235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0235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2E6F7B2" w14:textId="77777777" w:rsidR="00A81A80" w:rsidRPr="00202C49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02C4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1.08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1B93BD0" w14:textId="77777777" w:rsidR="00A81A80" w:rsidRPr="00202C49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02C4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1.04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A384D5D" w14:textId="77777777" w:rsidR="00A81A80" w:rsidRPr="00202C49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02C4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1.12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CFCC879" w14:textId="77777777" w:rsidR="00A81A80" w:rsidRPr="00202C49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02C49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&lt;0.001</w:t>
            </w:r>
          </w:p>
        </w:tc>
      </w:tr>
      <w:tr w:rsidR="00A81A80" w:rsidRPr="003A3B0F" w14:paraId="408F8E80" w14:textId="77777777" w:rsidTr="000E7444">
        <w:trPr>
          <w:trHeight w:val="300"/>
        </w:trPr>
        <w:tc>
          <w:tcPr>
            <w:tcW w:w="1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3845" w14:textId="77777777" w:rsidR="00A81A80" w:rsidRPr="00A71F36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a</w:t>
            </w:r>
            <w:r w:rsidRPr="00A71F36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ge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years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8BB74FA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A83605B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D144C1D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EB8D232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&lt;0.001</w:t>
            </w:r>
          </w:p>
        </w:tc>
        <w:tc>
          <w:tcPr>
            <w:tcW w:w="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364A3F4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6F28EAC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2583DD2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E4852E5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7A0D81D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0.004</w:t>
            </w:r>
          </w:p>
        </w:tc>
      </w:tr>
      <w:tr w:rsidR="00A81A80" w:rsidRPr="003A3B0F" w14:paraId="0B816C44" w14:textId="77777777" w:rsidTr="000E7444">
        <w:trPr>
          <w:trHeight w:val="300"/>
        </w:trPr>
        <w:tc>
          <w:tcPr>
            <w:tcW w:w="1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A6A8" w14:textId="77777777" w:rsidR="00A81A80" w:rsidRPr="00A71F36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sex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6B852EC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1.29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852040B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0.9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D7211CE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1.76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C21F6C3" w14:textId="77777777" w:rsidR="00A81A80" w:rsidRPr="003A3B0F" w:rsidRDefault="00141944" w:rsidP="001419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</w:t>
            </w:r>
            <w:r w:rsidR="0048660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0.11</w:t>
            </w:r>
          </w:p>
        </w:tc>
        <w:tc>
          <w:tcPr>
            <w:tcW w:w="2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E04521B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6CEC9A5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2.2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61AB81A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1.2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A158C45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3.93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7B31033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0.004</w:t>
            </w:r>
          </w:p>
        </w:tc>
      </w:tr>
      <w:tr w:rsidR="00A81A80" w:rsidRPr="003A3B0F" w14:paraId="7C4B0550" w14:textId="77777777" w:rsidTr="000E7444">
        <w:trPr>
          <w:trHeight w:val="315"/>
        </w:trPr>
        <w:tc>
          <w:tcPr>
            <w:tcW w:w="1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2A37" w14:textId="77777777" w:rsidR="00A81A80" w:rsidRPr="00A71F36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proofErr w:type="spellStart"/>
            <w:r w:rsidRPr="00A71F36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NcoAEDs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317850F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1.45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583457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1.22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DCC7AC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1.7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E4E8B3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&lt;0.001</w:t>
            </w:r>
          </w:p>
        </w:tc>
        <w:tc>
          <w:tcPr>
            <w:tcW w:w="26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52C0055A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9A1DF2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1.98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7B94FF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1.13</w:t>
            </w:r>
          </w:p>
        </w:tc>
        <w:tc>
          <w:tcPr>
            <w:tcW w:w="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0FCA6F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2.2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D5EF52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0.008</w:t>
            </w:r>
          </w:p>
        </w:tc>
      </w:tr>
      <w:tr w:rsidR="00A81A80" w:rsidRPr="003A3B0F" w14:paraId="032D7FAE" w14:textId="77777777" w:rsidTr="000E7444">
        <w:trPr>
          <w:trHeight w:val="128"/>
        </w:trPr>
        <w:tc>
          <w:tcPr>
            <w:tcW w:w="1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517B6E3" w14:textId="77777777" w:rsidR="00A81A80" w:rsidRPr="00A71F36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000CC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BB8640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A0D8F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86E549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72685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81A80" w:rsidRPr="003A3B0F" w14:paraId="4D4600DA" w14:textId="77777777" w:rsidTr="000E7444">
        <w:trPr>
          <w:trHeight w:val="525"/>
        </w:trPr>
        <w:tc>
          <w:tcPr>
            <w:tcW w:w="1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387F501" w14:textId="77777777" w:rsidR="00A81A80" w:rsidRPr="00A71F36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A71F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AgeCat</w:t>
            </w:r>
            <w:proofErr w:type="spellEnd"/>
            <w:r w:rsidRPr="00A71F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&gt;40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EE316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2.5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A848B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1.8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EBB6FA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3.4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D77B52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&lt;0.001</w:t>
            </w: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A2E535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401C16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2.2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25F2B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1.28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9D308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1AEA7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0.004</w:t>
            </w:r>
          </w:p>
        </w:tc>
      </w:tr>
      <w:tr w:rsidR="00A81A80" w:rsidRPr="003A3B0F" w14:paraId="385C7B9A" w14:textId="77777777" w:rsidTr="000E7444">
        <w:trPr>
          <w:trHeight w:val="168"/>
        </w:trPr>
        <w:tc>
          <w:tcPr>
            <w:tcW w:w="1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19B9047" w14:textId="77777777" w:rsidR="00A81A80" w:rsidRPr="00A71F36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AA88C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20B18B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47DB31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B0BB64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11EE4F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EFED4B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6F309D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A8B842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B1AD92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81A80" w:rsidRPr="003A3B0F" w14:paraId="2A9DEB14" w14:textId="77777777" w:rsidTr="000E7444">
        <w:trPr>
          <w:trHeight w:val="525"/>
        </w:trPr>
        <w:tc>
          <w:tcPr>
            <w:tcW w:w="1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9A50" w14:textId="77777777" w:rsidR="00A81A80" w:rsidRPr="00A71F36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</w:t>
            </w:r>
            <w:r w:rsidRPr="00A71F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onotherapy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872C0F6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0.43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61654D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77FCD7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0.62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2B6A9F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&lt;0.001</w:t>
            </w: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172D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D3E2C8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0.6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AFC66E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0.35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5C5782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1.1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95DF21" w14:textId="77777777" w:rsidR="00A81A80" w:rsidRPr="003A3B0F" w:rsidRDefault="00141944" w:rsidP="001419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</w:t>
            </w:r>
            <w:r w:rsidR="00A81A80"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0.1</w:t>
            </w:r>
            <w:r w:rsidR="0048660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A81A80" w:rsidRPr="003A3B0F" w14:paraId="0B69349B" w14:textId="77777777" w:rsidTr="000E7444">
        <w:trPr>
          <w:trHeight w:val="315"/>
        </w:trPr>
        <w:tc>
          <w:tcPr>
            <w:tcW w:w="1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1BEF" w14:textId="77777777" w:rsidR="00A81A80" w:rsidRPr="00A71F36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71F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VPA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74C661C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1.82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F6022F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1.29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BE9FE3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2.5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08A700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0.001</w:t>
            </w:r>
          </w:p>
        </w:tc>
        <w:tc>
          <w:tcPr>
            <w:tcW w:w="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FB752E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CB38CE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1.20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4F2188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0.6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C6516C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2.2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E6F1B" w14:textId="77777777" w:rsidR="00A81A80" w:rsidRPr="003A3B0F" w:rsidRDefault="00141944" w:rsidP="001419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</w:t>
            </w:r>
            <w:r w:rsidR="00A81A80"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0.57</w:t>
            </w:r>
          </w:p>
        </w:tc>
      </w:tr>
      <w:tr w:rsidR="00A81A80" w:rsidRPr="003A3B0F" w14:paraId="52094E36" w14:textId="77777777" w:rsidTr="000E7444">
        <w:trPr>
          <w:trHeight w:val="315"/>
        </w:trPr>
        <w:tc>
          <w:tcPr>
            <w:tcW w:w="1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D0F5" w14:textId="77777777" w:rsidR="00A81A80" w:rsidRPr="00A71F36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71F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PB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9443F1D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1.98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361BE6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1.075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D8EA4B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3.66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A131BD" w14:textId="77777777" w:rsidR="00A81A80" w:rsidRPr="003A3B0F" w:rsidRDefault="00141944" w:rsidP="00141944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 xml:space="preserve">    </w:t>
            </w:r>
            <w:r w:rsidR="00A81A80" w:rsidRPr="003A3B0F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0.0</w:t>
            </w:r>
            <w:r w:rsidR="00486608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FDE81F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BE932D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3.27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20FBBE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0.53</w:t>
            </w:r>
          </w:p>
        </w:tc>
        <w:tc>
          <w:tcPr>
            <w:tcW w:w="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66C10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20.18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4C5297" w14:textId="77777777" w:rsidR="00A81A80" w:rsidRPr="003A3B0F" w:rsidRDefault="00141944" w:rsidP="001419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</w:t>
            </w:r>
            <w:r w:rsidR="00A81A80"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0.20</w:t>
            </w:r>
          </w:p>
        </w:tc>
      </w:tr>
      <w:tr w:rsidR="00A81A80" w:rsidRPr="003A3B0F" w14:paraId="708702C5" w14:textId="77777777" w:rsidTr="000E7444">
        <w:trPr>
          <w:trHeight w:val="315"/>
        </w:trPr>
        <w:tc>
          <w:tcPr>
            <w:tcW w:w="1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4210" w14:textId="77777777" w:rsidR="00A81A80" w:rsidRPr="00A71F36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71F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CLB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6952E7E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2.4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25409D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1.57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2C7A49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3.68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5C25A6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kern w:val="24"/>
                <w:sz w:val="20"/>
                <w:szCs w:val="20"/>
                <w:lang w:eastAsia="nl-NL"/>
              </w:rPr>
              <w:t>&lt;0.001</w:t>
            </w:r>
          </w:p>
        </w:tc>
        <w:tc>
          <w:tcPr>
            <w:tcW w:w="2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1D370E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D607B2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3.84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24247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C571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1.75</w:t>
            </w:r>
          </w:p>
        </w:tc>
        <w:tc>
          <w:tcPr>
            <w:tcW w:w="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E59F7F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8.41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248ECD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0.001</w:t>
            </w:r>
          </w:p>
        </w:tc>
      </w:tr>
      <w:tr w:rsidR="00A81A80" w:rsidRPr="003A3B0F" w14:paraId="265AFF70" w14:textId="77777777" w:rsidTr="000E7444">
        <w:trPr>
          <w:trHeight w:val="315"/>
        </w:trPr>
        <w:tc>
          <w:tcPr>
            <w:tcW w:w="1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3788" w14:textId="77777777" w:rsidR="00A81A80" w:rsidRPr="00A71F36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71F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PHT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C99088A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40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96F73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1.43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65560A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4.0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A26724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</w:pPr>
            <w:r w:rsidRPr="003A3B0F"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  <w:t>0.001</w:t>
            </w:r>
          </w:p>
        </w:tc>
        <w:tc>
          <w:tcPr>
            <w:tcW w:w="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5BC20B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300467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6.30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25A62E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2.04</w:t>
            </w:r>
          </w:p>
        </w:tc>
        <w:tc>
          <w:tcPr>
            <w:tcW w:w="84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65067B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19.43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B6795F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0.001</w:t>
            </w:r>
          </w:p>
        </w:tc>
      </w:tr>
      <w:tr w:rsidR="00A81A80" w:rsidRPr="00301396" w14:paraId="03BE8811" w14:textId="77777777" w:rsidTr="000E7444">
        <w:trPr>
          <w:trHeight w:val="660"/>
        </w:trPr>
        <w:tc>
          <w:tcPr>
            <w:tcW w:w="9694" w:type="dxa"/>
            <w:gridSpan w:val="10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641EF" w14:textId="77777777" w:rsidR="00A81A80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  <w:p w14:paraId="671C23EC" w14:textId="77777777" w:rsidR="00A81A80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proofErr w:type="spellStart"/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NcoAEDs</w:t>
            </w:r>
            <w:proofErr w:type="spellEnd"/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 = number of </w:t>
            </w:r>
            <w:r w:rsidRPr="003A3B0F">
              <w:rPr>
                <w:rFonts w:ascii="Arial" w:hAnsi="Arial" w:cs="Arial"/>
                <w:sz w:val="20"/>
                <w:szCs w:val="20"/>
                <w:lang w:val="en-US"/>
              </w:rPr>
              <w:t>concomitant</w:t>
            </w: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 antiepileptic drugs; </w:t>
            </w:r>
            <w:proofErr w:type="spellStart"/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AgeCat</w:t>
            </w:r>
            <w:proofErr w:type="spellEnd"/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&gt;40 =age category above 40 years;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 </w:t>
            </w:r>
          </w:p>
          <w:p w14:paraId="3D9AF41E" w14:textId="77777777" w:rsidR="00A81A80" w:rsidRDefault="00A81A80" w:rsidP="000E7444">
            <w:pPr>
              <w:spacing w:line="480" w:lineRule="auto"/>
              <w:rPr>
                <w:rFonts w:ascii="Arial" w:hAnsi="Arial" w:cs="Arial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* </w:t>
            </w:r>
            <w:r>
              <w:rPr>
                <w:rFonts w:ascii="Arial" w:hAnsi="Arial" w:cs="Arial"/>
                <w:szCs w:val="18"/>
                <w:lang w:val="en-GB"/>
              </w:rPr>
              <w:t xml:space="preserve">reference group= </w:t>
            </w:r>
            <w:r w:rsidRPr="00284CEF">
              <w:rPr>
                <w:rFonts w:ascii="Arial" w:hAnsi="Arial" w:cs="Arial"/>
                <w:szCs w:val="18"/>
                <w:lang w:val="en-GB"/>
              </w:rPr>
              <w:t>male</w:t>
            </w:r>
            <w:r>
              <w:rPr>
                <w:rFonts w:ascii="Arial" w:hAnsi="Arial" w:cs="Arial"/>
                <w:szCs w:val="18"/>
                <w:lang w:val="en-GB"/>
              </w:rPr>
              <w:t xml:space="preserve"> </w:t>
            </w:r>
          </w:p>
          <w:p w14:paraId="7C940580" w14:textId="77777777" w:rsidR="00A81A80" w:rsidRDefault="00A81A80" w:rsidP="000E7444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a M</w:t>
            </w: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odel with covariates: drug level,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sex</w:t>
            </w: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 and </w:t>
            </w:r>
            <w:proofErr w:type="spellStart"/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NCoMed</w:t>
            </w:r>
            <w:proofErr w:type="spellEnd"/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 </w:t>
            </w:r>
          </w:p>
          <w:p w14:paraId="55A40133" w14:textId="77777777" w:rsidR="00A81A80" w:rsidRPr="003A3B0F" w:rsidRDefault="00A81A80" w:rsidP="000E7444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b</w:t>
            </w: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 xml:space="preserve"> Each therapy is separately tested in a model with covariates: drug level, age and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sex</w:t>
            </w:r>
          </w:p>
          <w:p w14:paraId="0FCEEB8E" w14:textId="77777777" w:rsidR="00A81A80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</w:pPr>
            <w:proofErr w:type="spellStart"/>
            <w:r w:rsidRPr="003A3B0F"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  <w:t>Levetiracetam</w:t>
            </w:r>
            <w:proofErr w:type="spellEnd"/>
            <w:r w:rsidRPr="003A3B0F"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  <w:t xml:space="preserve">, lamotrigine, </w:t>
            </w:r>
            <w:proofErr w:type="spellStart"/>
            <w:r w:rsidRPr="003A3B0F"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  <w:t>lacosamide</w:t>
            </w:r>
            <w:proofErr w:type="spellEnd"/>
            <w:r w:rsidRPr="003A3B0F"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  <w:t xml:space="preserve">, </w:t>
            </w:r>
            <w:proofErr w:type="spellStart"/>
            <w:r w:rsidRPr="003A3B0F"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  <w:t>topiramate</w:t>
            </w:r>
            <w:proofErr w:type="spellEnd"/>
            <w:r w:rsidRPr="003A3B0F"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  <w:t xml:space="preserve">, gabapentin, clonazepam, </w:t>
            </w:r>
            <w:proofErr w:type="spellStart"/>
            <w:r w:rsidRPr="003A3B0F"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  <w:t>vigabatrin</w:t>
            </w:r>
            <w:proofErr w:type="spellEnd"/>
            <w:r w:rsidRPr="003A3B0F"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  <w:t xml:space="preserve"> and </w:t>
            </w:r>
            <w:proofErr w:type="spellStart"/>
            <w:r w:rsidRPr="003A3B0F"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  <w:t>ethosuximide</w:t>
            </w:r>
            <w:proofErr w:type="spellEnd"/>
            <w:r w:rsidRPr="003A3B0F"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  <w:t xml:space="preserve"> were not significantly associated with hyponatremia in a multivariate analysis.</w:t>
            </w:r>
          </w:p>
          <w:p w14:paraId="102F5AE4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</w:pPr>
          </w:p>
        </w:tc>
      </w:tr>
    </w:tbl>
    <w:p w14:paraId="3F76A03C" w14:textId="77777777" w:rsidR="00A81A80" w:rsidRDefault="00A81A80" w:rsidP="00C444A3">
      <w:pPr>
        <w:shd w:val="clear" w:color="auto" w:fill="FFFFFF"/>
        <w:spacing w:after="0" w:line="480" w:lineRule="auto"/>
        <w:rPr>
          <w:sz w:val="22"/>
          <w:lang w:val="en-GB"/>
        </w:rPr>
      </w:pPr>
    </w:p>
    <w:p w14:paraId="44EDF025" w14:textId="77777777" w:rsidR="00A81A80" w:rsidRDefault="00A81A80" w:rsidP="00A81A80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pPr w:leftFromText="141" w:rightFromText="141" w:vertAnchor="text" w:horzAnchor="margin" w:tblpY="141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1"/>
        <w:gridCol w:w="550"/>
        <w:gridCol w:w="1115"/>
        <w:gridCol w:w="472"/>
        <w:gridCol w:w="823"/>
        <w:gridCol w:w="123"/>
        <w:gridCol w:w="46"/>
        <w:gridCol w:w="114"/>
        <w:gridCol w:w="1134"/>
        <w:gridCol w:w="567"/>
        <w:gridCol w:w="1134"/>
      </w:tblGrid>
      <w:tr w:rsidR="00A81A80" w:rsidRPr="003A3B0F" w14:paraId="3E976038" w14:textId="77777777" w:rsidTr="000E7444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14:paraId="772286D1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29AF5CB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DD41596" w14:textId="77777777" w:rsidR="00A81A80" w:rsidRPr="001C6258" w:rsidRDefault="00A81A80" w:rsidP="000E7444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  <w:r w:rsidRPr="001C6258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carbamazepine</w:t>
            </w:r>
          </w:p>
        </w:tc>
        <w:tc>
          <w:tcPr>
            <w:tcW w:w="169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14:paraId="1C4CCEBF" w14:textId="77777777" w:rsidR="00A81A80" w:rsidRPr="001C6258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2949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14:paraId="49A44928" w14:textId="77777777" w:rsidR="00A81A80" w:rsidRPr="001C6258" w:rsidRDefault="00A81A80" w:rsidP="000E7444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  <w:r w:rsidRPr="001C6258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oxcarbazepine</w:t>
            </w:r>
          </w:p>
        </w:tc>
      </w:tr>
      <w:tr w:rsidR="00A81A80" w:rsidRPr="003A3B0F" w14:paraId="6160FA08" w14:textId="77777777" w:rsidTr="000E7444">
        <w:trPr>
          <w:trHeight w:val="300"/>
        </w:trPr>
        <w:tc>
          <w:tcPr>
            <w:tcW w:w="254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1245" w14:textId="77777777" w:rsidR="00A81A80" w:rsidRPr="00956A60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  <w:proofErr w:type="spellStart"/>
            <w:r w:rsidRPr="00956A60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Comedication</w:t>
            </w:r>
            <w:proofErr w:type="spellEnd"/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DF0B750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6B52E29" w14:textId="77777777" w:rsidR="00A81A80" w:rsidRPr="00956A60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  <w:r w:rsidRPr="00956A60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 xml:space="preserve">mean Na+ </w:t>
            </w:r>
          </w:p>
        </w:tc>
        <w:tc>
          <w:tcPr>
            <w:tcW w:w="4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FB8BA47" w14:textId="77777777" w:rsidR="00A81A80" w:rsidRPr="00956A60" w:rsidRDefault="00A81A80" w:rsidP="000E7444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  <w:r w:rsidRPr="00956A60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N</w:t>
            </w:r>
            <w:r w:rsidRPr="00956A60"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  <w:t>a</w:t>
            </w:r>
            <w:r w:rsidRPr="00956A60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CCF1866" w14:textId="77777777" w:rsidR="00A81A80" w:rsidRPr="00956A60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nl-NL"/>
              </w:rPr>
            </w:pPr>
            <w:r w:rsidRPr="00956A60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nl-NL"/>
              </w:rPr>
              <w:t>P-</w:t>
            </w:r>
            <w:r w:rsidRPr="00956A60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value</w:t>
            </w:r>
          </w:p>
        </w:tc>
        <w:tc>
          <w:tcPr>
            <w:tcW w:w="1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FE7DC65" w14:textId="77777777" w:rsidR="00A81A80" w:rsidRPr="00956A60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  <w:r w:rsidRPr="00956A60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CFED247" w14:textId="77777777" w:rsidR="00A81A80" w:rsidRPr="00956A60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  <w:r w:rsidRPr="00956A60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 xml:space="preserve">mean Na+ 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6D5C17E" w14:textId="77777777" w:rsidR="00A81A80" w:rsidRPr="00956A60" w:rsidRDefault="00A81A80" w:rsidP="000E7444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  <w:r w:rsidRPr="00956A60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N</w:t>
            </w:r>
            <w:r w:rsidRPr="00956A60"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16CAE21" w14:textId="77777777" w:rsidR="00A81A80" w:rsidRPr="00956A60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  <w:r w:rsidRPr="00956A60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 w:eastAsia="nl-NL"/>
              </w:rPr>
              <w:t>P-</w:t>
            </w:r>
            <w:r w:rsidRPr="00956A60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value</w:t>
            </w:r>
          </w:p>
        </w:tc>
      </w:tr>
      <w:tr w:rsidR="00A81A80" w:rsidRPr="003A3B0F" w14:paraId="246ECCE4" w14:textId="77777777" w:rsidTr="000E7444">
        <w:trPr>
          <w:trHeight w:val="300"/>
        </w:trPr>
        <w:tc>
          <w:tcPr>
            <w:tcW w:w="25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0123" w14:textId="77777777" w:rsidR="00A81A80" w:rsidRPr="00956A60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</w:pPr>
            <w:r w:rsidRPr="00956A60">
              <w:rPr>
                <w:rFonts w:ascii="Arial" w:eastAsia="Times New Roman" w:hAnsi="Arial" w:cs="Arial"/>
                <w:b/>
                <w:sz w:val="20"/>
                <w:szCs w:val="20"/>
                <w:lang w:val="en-GB" w:eastAsia="nl-NL"/>
              </w:rPr>
              <w:t>Antihypertensive drugs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7BB3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no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4FA8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125.13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9A66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56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2800" w14:textId="77777777" w:rsidR="00A81A80" w:rsidRPr="003A3B0F" w:rsidRDefault="00A81A80" w:rsidP="00486608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0.29</w:t>
            </w:r>
          </w:p>
        </w:tc>
        <w:tc>
          <w:tcPr>
            <w:tcW w:w="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6609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3F89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125.69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438F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A827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0.0</w:t>
            </w: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</w:t>
            </w:r>
          </w:p>
        </w:tc>
      </w:tr>
      <w:tr w:rsidR="00A81A80" w:rsidRPr="003A3B0F" w14:paraId="0234E5C2" w14:textId="77777777" w:rsidTr="000E7444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0FE2" w14:textId="77777777" w:rsidR="00A81A80" w:rsidRPr="00956A60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EE92EC4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CAA1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126.00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4985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54A6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3C45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0659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121.88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51A8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8542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81A80" w:rsidRPr="003A3B0F" w14:paraId="751170F4" w14:textId="77777777" w:rsidTr="000E7444">
        <w:trPr>
          <w:trHeight w:val="300"/>
        </w:trPr>
        <w:tc>
          <w:tcPr>
            <w:tcW w:w="2541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0078" w14:textId="77777777" w:rsidR="00A81A80" w:rsidRPr="00956A60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proofErr w:type="spellStart"/>
            <w:r w:rsidRPr="00956A60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Diuretics</w:t>
            </w:r>
            <w:proofErr w:type="spellEnd"/>
          </w:p>
        </w:tc>
        <w:tc>
          <w:tcPr>
            <w:tcW w:w="550" w:type="dxa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CFE4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no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3592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125.35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F069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EC32" w14:textId="77777777" w:rsidR="00A81A80" w:rsidRPr="003A3B0F" w:rsidRDefault="00A81A80" w:rsidP="00486608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0.69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2457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DFD8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125.34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2AD3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B3D2" w14:textId="77777777" w:rsidR="00A81A80" w:rsidRPr="003A3B0F" w:rsidRDefault="006B1359" w:rsidP="006B1359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</w:t>
            </w:r>
            <w:r w:rsidR="00A81A80"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</w:t>
            </w:r>
            <w:r w:rsidR="0048660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A81A80" w:rsidRPr="003A3B0F" w14:paraId="0CBBBC54" w14:textId="77777777" w:rsidTr="000E7444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2F89" w14:textId="77777777" w:rsidR="00A81A80" w:rsidRPr="00956A60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F576E04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61B9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124.50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E0FB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D0CD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3D96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79A8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120.50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1DE3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70F8" w14:textId="77777777" w:rsidR="00A81A80" w:rsidRPr="003A3B0F" w:rsidRDefault="00A81A80" w:rsidP="006B1359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81A80" w:rsidRPr="003A3B0F" w14:paraId="16CAE5B4" w14:textId="77777777" w:rsidTr="000E7444">
        <w:trPr>
          <w:trHeight w:val="300"/>
        </w:trPr>
        <w:tc>
          <w:tcPr>
            <w:tcW w:w="2541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9B04" w14:textId="77777777" w:rsidR="00A81A80" w:rsidRPr="00956A60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956A60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ACE inhibitors</w:t>
            </w:r>
          </w:p>
        </w:tc>
        <w:tc>
          <w:tcPr>
            <w:tcW w:w="550" w:type="dxa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9A49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no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8DFB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125.22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9725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52CA" w14:textId="77777777" w:rsidR="00A81A80" w:rsidRPr="003A3B0F" w:rsidRDefault="00A81A80" w:rsidP="00486608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0.3</w:t>
            </w:r>
            <w:r w:rsidR="0048660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DBE3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5866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125.34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1F16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8D9E" w14:textId="77777777" w:rsidR="00A81A80" w:rsidRPr="003A3B0F" w:rsidRDefault="006B1359" w:rsidP="006B1359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</w:t>
            </w:r>
            <w:r w:rsidR="00A81A80"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</w:t>
            </w:r>
            <w:r w:rsidR="0048660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A81A80" w:rsidRPr="003A3B0F" w14:paraId="2680569F" w14:textId="77777777" w:rsidTr="000E7444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F540" w14:textId="77777777" w:rsidR="00A81A80" w:rsidRPr="00956A60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AFF36F8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B411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126.50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CBD1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CA05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0B65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D29F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120.50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E8B0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9A5B" w14:textId="77777777" w:rsidR="00A81A80" w:rsidRPr="003A3B0F" w:rsidRDefault="00A81A80" w:rsidP="006B1359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81A80" w:rsidRPr="003A3B0F" w14:paraId="05275680" w14:textId="77777777" w:rsidTr="000E7444">
        <w:trPr>
          <w:trHeight w:val="300"/>
        </w:trPr>
        <w:tc>
          <w:tcPr>
            <w:tcW w:w="254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E921" w14:textId="77777777" w:rsidR="00A81A80" w:rsidRPr="00956A60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956A60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No </w:t>
            </w:r>
            <w:proofErr w:type="spellStart"/>
            <w:r w:rsidRPr="00956A60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comedication</w:t>
            </w:r>
            <w:proofErr w:type="spellEnd"/>
          </w:p>
        </w:tc>
        <w:tc>
          <w:tcPr>
            <w:tcW w:w="550" w:type="dxa"/>
            <w:tcBorders>
              <w:top w:val="single" w:sz="4" w:space="0" w:color="FFFFFF" w:themeColor="background1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D0768E3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no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9465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125.42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CEEB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DA52" w14:textId="77777777" w:rsidR="00A81A80" w:rsidRPr="003A3B0F" w:rsidRDefault="00A81A80" w:rsidP="00486608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0.8</w:t>
            </w:r>
            <w:r w:rsidR="0048660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6A88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CF3A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124.21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CC86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EC19" w14:textId="77777777" w:rsidR="00A81A80" w:rsidRPr="003A3B0F" w:rsidRDefault="006B1359" w:rsidP="006B1359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</w:t>
            </w:r>
            <w:r w:rsidR="00A81A80"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0.04</w:t>
            </w:r>
          </w:p>
        </w:tc>
      </w:tr>
      <w:tr w:rsidR="00A81A80" w:rsidRPr="003A3B0F" w14:paraId="6A3273E5" w14:textId="77777777" w:rsidTr="000E7444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10B1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4325DF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D877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125.25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4231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4079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204C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E23E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125.83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4E2B" w14:textId="77777777" w:rsidR="00A81A80" w:rsidRPr="003A3B0F" w:rsidRDefault="00A81A80" w:rsidP="000E7444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A3B0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CC2C" w14:textId="77777777" w:rsidR="00A81A80" w:rsidRPr="003A3B0F" w:rsidRDefault="00A81A80" w:rsidP="000E74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2C951613" w14:textId="77777777" w:rsidR="00A81A80" w:rsidRDefault="00A81A80" w:rsidP="00A81A80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7046E0">
        <w:rPr>
          <w:rFonts w:ascii="Arial" w:hAnsi="Arial" w:cs="Arial"/>
          <w:sz w:val="20"/>
          <w:szCs w:val="20"/>
          <w:lang w:val="en-US"/>
        </w:rPr>
        <w:t>Table 4. The effect of non-AED co-medication in severe CBZ and OXC induced hyponatremia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046E0">
        <w:rPr>
          <w:rFonts w:ascii="Arial" w:hAnsi="Arial" w:cs="Arial"/>
          <w:sz w:val="20"/>
          <w:szCs w:val="20"/>
          <w:lang w:val="en-US"/>
        </w:rPr>
        <w:t>(Na≤128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mEq</w:t>
      </w:r>
      <w:proofErr w:type="spellEnd"/>
      <w:r>
        <w:rPr>
          <w:rFonts w:ascii="Arial" w:hAnsi="Arial" w:cs="Arial"/>
          <w:sz w:val="20"/>
          <w:szCs w:val="20"/>
          <w:lang w:val="en-US"/>
        </w:rPr>
        <w:t>/L</w:t>
      </w:r>
      <w:r w:rsidRPr="007046E0">
        <w:rPr>
          <w:rFonts w:ascii="Arial" w:hAnsi="Arial" w:cs="Arial"/>
          <w:sz w:val="20"/>
          <w:szCs w:val="20"/>
          <w:lang w:val="en-US"/>
        </w:rPr>
        <w:t xml:space="preserve">). </w:t>
      </w:r>
    </w:p>
    <w:p w14:paraId="6E7C905F" w14:textId="77777777" w:rsidR="00A81A80" w:rsidRPr="007046E0" w:rsidRDefault="00A81A80" w:rsidP="00A81A80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3BBB7291" w14:textId="77777777" w:rsidR="00A81A80" w:rsidRPr="003A3B0F" w:rsidRDefault="00A81A80" w:rsidP="00A81A80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2126E770" w14:textId="77777777" w:rsidR="00A81A80" w:rsidRPr="003A3B0F" w:rsidRDefault="00A81A80" w:rsidP="00A81A80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6C898774" w14:textId="77777777" w:rsidR="00A81A80" w:rsidRPr="003A3B0F" w:rsidRDefault="00A81A80" w:rsidP="00A81A80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731E7030" w14:textId="77777777" w:rsidR="00A81A80" w:rsidRPr="003A3B0F" w:rsidRDefault="00A81A80" w:rsidP="00A81A80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71C2D5CC" w14:textId="77777777" w:rsidR="00A81A80" w:rsidRPr="003A3B0F" w:rsidRDefault="00A81A80" w:rsidP="00A81A80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5A90F6C2" w14:textId="77777777" w:rsidR="00A81A80" w:rsidRDefault="00A81A80" w:rsidP="00A81A80">
      <w:pPr>
        <w:spacing w:line="48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06574FDD" w14:textId="77777777" w:rsidR="00A81A80" w:rsidRDefault="00A81A80" w:rsidP="00A81A80">
      <w:pPr>
        <w:spacing w:line="48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5E9F8D87" w14:textId="77777777" w:rsidR="00A81A80" w:rsidRDefault="00A81A80" w:rsidP="00A81A80">
      <w:pPr>
        <w:spacing w:line="48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</w:p>
    <w:p w14:paraId="2A054F62" w14:textId="77777777" w:rsidR="00A81A80" w:rsidRDefault="00A81A80" w:rsidP="00A81A80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 xml:space="preserve">a No data on co-medication was available for </w:t>
      </w:r>
      <w:r w:rsidRPr="003A3B0F">
        <w:rPr>
          <w:rFonts w:ascii="Arial" w:hAnsi="Arial" w:cs="Arial"/>
          <w:sz w:val="20"/>
          <w:szCs w:val="20"/>
          <w:lang w:val="en-US"/>
        </w:rPr>
        <w:t>13 people.</w:t>
      </w:r>
    </w:p>
    <w:p w14:paraId="28C32630" w14:textId="77777777" w:rsidR="00A81A80" w:rsidRDefault="00A81A80">
      <w:pPr>
        <w:rPr>
          <w:sz w:val="22"/>
          <w:lang w:val="en-GB"/>
        </w:rPr>
      </w:pPr>
      <w:r>
        <w:rPr>
          <w:sz w:val="22"/>
          <w:lang w:val="en-GB"/>
        </w:rPr>
        <w:br w:type="page"/>
      </w:r>
    </w:p>
    <w:p w14:paraId="619CD321" w14:textId="77777777" w:rsidR="00A81A80" w:rsidRPr="00071A7B" w:rsidRDefault="00A81A80" w:rsidP="00A81A80">
      <w:pPr>
        <w:spacing w:line="480" w:lineRule="auto"/>
        <w:rPr>
          <w:rFonts w:ascii="Arial" w:hAnsi="Arial" w:cs="Arial"/>
          <w:szCs w:val="18"/>
          <w:lang w:val="en-GB"/>
        </w:rPr>
      </w:pPr>
      <w:r w:rsidRPr="00F27D70">
        <w:rPr>
          <w:rFonts w:ascii="Arial" w:hAnsi="Arial" w:cs="Arial"/>
          <w:sz w:val="20"/>
          <w:szCs w:val="20"/>
          <w:lang w:val="en-GB"/>
        </w:rPr>
        <w:lastRenderedPageBreak/>
        <w:t>Table 5. Hyponatremia in subgroup using both carbamazepine and oxcarbazepine sequentially</w:t>
      </w:r>
      <w:r w:rsidRPr="00071A7B">
        <w:rPr>
          <w:rFonts w:ascii="Arial" w:hAnsi="Arial" w:cs="Arial"/>
          <w:szCs w:val="18"/>
          <w:lang w:val="en-GB"/>
        </w:rPr>
        <w:t xml:space="preserve">. </w:t>
      </w:r>
    </w:p>
    <w:tbl>
      <w:tblPr>
        <w:tblW w:w="7347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856"/>
        <w:gridCol w:w="1704"/>
        <w:gridCol w:w="942"/>
        <w:gridCol w:w="1076"/>
        <w:gridCol w:w="1076"/>
      </w:tblGrid>
      <w:tr w:rsidR="00A81A80" w:rsidRPr="00F27D70" w14:paraId="41A8468E" w14:textId="77777777" w:rsidTr="004B2C92">
        <w:trPr>
          <w:cantSplit/>
        </w:trPr>
        <w:tc>
          <w:tcPr>
            <w:tcW w:w="425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C9512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CFA595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F27D7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Oxcarbazepine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0415D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F27D7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Total</w:t>
            </w:r>
          </w:p>
        </w:tc>
      </w:tr>
      <w:tr w:rsidR="00A81A80" w:rsidRPr="00F27D70" w14:paraId="15AF0511" w14:textId="77777777" w:rsidTr="004B2C92">
        <w:trPr>
          <w:cantSplit/>
        </w:trPr>
        <w:tc>
          <w:tcPr>
            <w:tcW w:w="425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79125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A78374C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D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Na≤134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0EE2604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D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Na&gt;134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354544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81A80" w:rsidRPr="00F27D70" w14:paraId="438F873F" w14:textId="77777777" w:rsidTr="004B2C92">
        <w:trPr>
          <w:cantSplit/>
        </w:trPr>
        <w:tc>
          <w:tcPr>
            <w:tcW w:w="1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621BF6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27D7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Carbamaz</w:t>
            </w:r>
            <w:r w:rsidRPr="00F27D70">
              <w:rPr>
                <w:rFonts w:ascii="Arial" w:hAnsi="Arial" w:cs="Arial"/>
                <w:b/>
                <w:color w:val="000000"/>
                <w:sz w:val="20"/>
                <w:szCs w:val="20"/>
              </w:rPr>
              <w:t>epine</w:t>
            </w:r>
            <w:proofErr w:type="spellEnd"/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CD7B4D0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>Na≤134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A40608F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C5355A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9C8AA6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A7FCAAF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81A80" w:rsidRPr="00F27D70" w14:paraId="2B76301D" w14:textId="77777777" w:rsidTr="004B2C92">
        <w:trPr>
          <w:cantSplit/>
        </w:trPr>
        <w:tc>
          <w:tcPr>
            <w:tcW w:w="16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45666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37113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B05E702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>within</w:t>
            </w:r>
            <w:proofErr w:type="spellEnd"/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 xml:space="preserve"> Na≤134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7BEA00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>90,0%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CCFDA2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AFE9A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A80" w:rsidRPr="00F27D70" w14:paraId="1DD696C7" w14:textId="77777777" w:rsidTr="004B2C92">
        <w:trPr>
          <w:cantSplit/>
        </w:trPr>
        <w:tc>
          <w:tcPr>
            <w:tcW w:w="16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09E07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E5B560D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>Na&gt;134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100EC98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813BB8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DCB3AC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8E5AACE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81A80" w:rsidRPr="00F27D70" w14:paraId="72036F11" w14:textId="77777777" w:rsidTr="004B2C92">
        <w:trPr>
          <w:cantSplit/>
        </w:trPr>
        <w:tc>
          <w:tcPr>
            <w:tcW w:w="16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3002C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A7473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52218CC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>within</w:t>
            </w:r>
            <w:proofErr w:type="spellEnd"/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 xml:space="preserve"> Na≤134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1E2CB6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>53,3%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A643D1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>46,7%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492E0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A80" w:rsidRPr="00F27D70" w14:paraId="24DF603A" w14:textId="77777777" w:rsidTr="004B2C92">
        <w:trPr>
          <w:cantSplit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C8DB43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D70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04507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5B4CD0C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2B2557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446E98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39DF3" w14:textId="77777777" w:rsidR="00A81A80" w:rsidRPr="00F27D70" w:rsidRDefault="00A81A80" w:rsidP="004B2C9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D7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</w:tbl>
    <w:p w14:paraId="287B4898" w14:textId="77777777" w:rsidR="00A81A80" w:rsidRPr="00F27D70" w:rsidRDefault="00A81A80" w:rsidP="004B2C92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F27D70">
        <w:rPr>
          <w:rFonts w:ascii="Arial" w:hAnsi="Arial" w:cs="Arial"/>
          <w:sz w:val="20"/>
          <w:szCs w:val="20"/>
          <w:lang w:val="en-US"/>
        </w:rPr>
        <w:t>McNemar</w:t>
      </w:r>
      <w:proofErr w:type="spellEnd"/>
      <w:r w:rsidRPr="00F27D70">
        <w:rPr>
          <w:rFonts w:ascii="Arial" w:hAnsi="Arial" w:cs="Arial"/>
          <w:sz w:val="20"/>
          <w:szCs w:val="20"/>
          <w:lang w:val="en-US"/>
        </w:rPr>
        <w:t xml:space="preserve"> test: p= </w:t>
      </w:r>
      <w:r w:rsidRPr="00F27D70">
        <w:rPr>
          <w:rFonts w:ascii="Arial" w:hAnsi="Arial" w:cs="Arial"/>
          <w:sz w:val="20"/>
          <w:szCs w:val="20"/>
        </w:rPr>
        <w:t>0.001</w:t>
      </w:r>
    </w:p>
    <w:p w14:paraId="1C9CB98D" w14:textId="77777777" w:rsidR="00322865" w:rsidRPr="00F27D70" w:rsidRDefault="00322865">
      <w:pPr>
        <w:rPr>
          <w:sz w:val="20"/>
          <w:szCs w:val="20"/>
          <w:lang w:val="en-GB"/>
        </w:rPr>
      </w:pPr>
      <w:r w:rsidRPr="00F27D70">
        <w:rPr>
          <w:sz w:val="20"/>
          <w:szCs w:val="20"/>
          <w:lang w:val="en-GB"/>
        </w:rPr>
        <w:br w:type="page"/>
      </w:r>
    </w:p>
    <w:p w14:paraId="438710E4" w14:textId="77777777" w:rsidR="00A81A80" w:rsidRPr="00FD2236" w:rsidRDefault="00322865" w:rsidP="00FD2236">
      <w:pPr>
        <w:shd w:val="clear" w:color="auto" w:fill="FFFFFF"/>
        <w:spacing w:after="0" w:line="48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FD2236">
        <w:rPr>
          <w:rFonts w:ascii="Arial" w:hAnsi="Arial" w:cs="Arial"/>
          <w:b/>
          <w:sz w:val="36"/>
          <w:szCs w:val="36"/>
          <w:lang w:val="en-GB"/>
        </w:rPr>
        <w:lastRenderedPageBreak/>
        <w:t>Key point</w:t>
      </w:r>
      <w:r w:rsidR="00FD2236" w:rsidRPr="00FD2236">
        <w:rPr>
          <w:rFonts w:ascii="Arial" w:hAnsi="Arial" w:cs="Arial"/>
          <w:b/>
          <w:sz w:val="36"/>
          <w:szCs w:val="36"/>
          <w:lang w:val="en-GB"/>
        </w:rPr>
        <w:t>s</w:t>
      </w:r>
    </w:p>
    <w:p w14:paraId="2F9FDD49" w14:textId="77777777" w:rsidR="004A6C0B" w:rsidRDefault="004A6C0B" w:rsidP="00527BC9">
      <w:pPr>
        <w:pStyle w:val="Lijstaline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5A7BAD">
        <w:rPr>
          <w:rFonts w:ascii="Arial" w:eastAsia="Times New Roman" w:hAnsi="Arial" w:cs="Arial"/>
          <w:color w:val="212121"/>
          <w:sz w:val="24"/>
          <w:szCs w:val="24"/>
          <w:lang w:val="en-US"/>
        </w:rPr>
        <w:t>Hyponatremia was seen in a quarter of those taking carbamazepine (CBZ) and in almost half on oxcarbazepine (OXC).</w:t>
      </w:r>
    </w:p>
    <w:p w14:paraId="22F906EC" w14:textId="77777777" w:rsidR="00527BC9" w:rsidRDefault="001D2B9A" w:rsidP="00527BC9">
      <w:pPr>
        <w:pStyle w:val="Lijstaline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527BC9">
        <w:rPr>
          <w:rFonts w:ascii="Arial" w:hAnsi="Arial" w:cs="Arial"/>
          <w:sz w:val="24"/>
          <w:szCs w:val="24"/>
          <w:lang w:val="en-US"/>
        </w:rPr>
        <w:t xml:space="preserve">Age over 40 years, high levels of CBZ and OXC and concomitant use of other antiepileptic drugs </w:t>
      </w:r>
      <w:r w:rsidR="00FD2236" w:rsidRPr="00527BC9">
        <w:rPr>
          <w:rFonts w:ascii="Arial" w:hAnsi="Arial" w:cs="Arial"/>
          <w:sz w:val="24"/>
          <w:szCs w:val="24"/>
          <w:lang w:val="en-US"/>
        </w:rPr>
        <w:t xml:space="preserve">were </w:t>
      </w:r>
      <w:r w:rsidR="00527BC9" w:rsidRPr="00527BC9">
        <w:rPr>
          <w:rFonts w:ascii="Arial" w:hAnsi="Arial" w:cs="Arial"/>
          <w:sz w:val="24"/>
          <w:szCs w:val="24"/>
          <w:lang w:val="en-US"/>
        </w:rPr>
        <w:t>risk factors for</w:t>
      </w:r>
      <w:r w:rsidR="00FD2236" w:rsidRPr="00527BC9">
        <w:rPr>
          <w:rFonts w:ascii="Arial" w:hAnsi="Arial" w:cs="Arial"/>
          <w:sz w:val="24"/>
          <w:szCs w:val="24"/>
          <w:lang w:val="en-US"/>
        </w:rPr>
        <w:t xml:space="preserve"> </w:t>
      </w:r>
      <w:r w:rsidR="00527BC9" w:rsidRPr="00CF4898">
        <w:rPr>
          <w:rFonts w:ascii="Arial" w:hAnsi="Arial" w:cs="Arial"/>
          <w:sz w:val="24"/>
          <w:szCs w:val="24"/>
          <w:lang w:val="en-US"/>
        </w:rPr>
        <w:t>CBZ and OXC induced hyponatremia</w:t>
      </w:r>
      <w:r w:rsidR="00527BC9">
        <w:rPr>
          <w:rFonts w:ascii="Arial" w:hAnsi="Arial" w:cs="Arial"/>
          <w:sz w:val="24"/>
          <w:szCs w:val="24"/>
          <w:lang w:val="en-US"/>
        </w:rPr>
        <w:t>.</w:t>
      </w:r>
    </w:p>
    <w:p w14:paraId="468B5790" w14:textId="77777777" w:rsidR="00FD2236" w:rsidRPr="00527BC9" w:rsidRDefault="001D2B9A" w:rsidP="00527BC9">
      <w:pPr>
        <w:pStyle w:val="Lijstaline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527BC9">
        <w:rPr>
          <w:rFonts w:ascii="Arial" w:hAnsi="Arial" w:cs="Arial"/>
          <w:sz w:val="24"/>
          <w:szCs w:val="24"/>
          <w:lang w:val="en-US"/>
        </w:rPr>
        <w:t xml:space="preserve">Females on OXC were at a higher risk of hyponatremia than males. </w:t>
      </w:r>
    </w:p>
    <w:p w14:paraId="6AAB0241" w14:textId="77777777" w:rsidR="001D2B9A" w:rsidRPr="001D2B9A" w:rsidRDefault="001D2B9A" w:rsidP="00527BC9">
      <w:pPr>
        <w:pStyle w:val="Lijstaline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1D2B9A">
        <w:rPr>
          <w:rFonts w:ascii="Arial" w:hAnsi="Arial" w:cs="Arial"/>
          <w:sz w:val="24"/>
          <w:szCs w:val="24"/>
          <w:lang w:val="en-US"/>
        </w:rPr>
        <w:t>The risk of hyponatremia on CBZ was significantly associated with the risk of hyponatremia on OXC within a subgroup that used both drugs subsequently.</w:t>
      </w:r>
    </w:p>
    <w:p w14:paraId="3D827ABD" w14:textId="5494CB11" w:rsidR="001D2B9A" w:rsidRPr="001D2B9A" w:rsidRDefault="004A6C0B" w:rsidP="00527BC9">
      <w:pPr>
        <w:pStyle w:val="Lijstalinea"/>
        <w:numPr>
          <w:ilvl w:val="0"/>
          <w:numId w:val="4"/>
        </w:numPr>
        <w:spacing w:line="480" w:lineRule="auto"/>
        <w:rPr>
          <w:rFonts w:ascii="Arial" w:hAnsi="Arial" w:cs="Arial"/>
          <w:b/>
          <w:sz w:val="28"/>
          <w:szCs w:val="28"/>
          <w:lang w:val="en-GB"/>
        </w:rPr>
      </w:pPr>
      <w:r w:rsidRPr="00192C5E">
        <w:rPr>
          <w:rFonts w:ascii="Arial" w:eastAsia="Times New Roman" w:hAnsi="Arial" w:cs="Arial"/>
          <w:color w:val="212121"/>
          <w:sz w:val="24"/>
          <w:szCs w:val="24"/>
          <w:lang w:val="en-US"/>
        </w:rPr>
        <w:t xml:space="preserve">Regular  sodium level assays in those taking CBZ or OXC are </w:t>
      </w:r>
      <w:r w:rsidR="00501B5E">
        <w:rPr>
          <w:rFonts w:ascii="Arial" w:eastAsia="Times New Roman" w:hAnsi="Arial" w:cs="Arial"/>
          <w:color w:val="212121"/>
          <w:sz w:val="24"/>
          <w:szCs w:val="24"/>
          <w:lang w:val="en-US"/>
        </w:rPr>
        <w:t>recommended</w:t>
      </w:r>
      <w:r w:rsidRPr="00192C5E">
        <w:rPr>
          <w:rFonts w:ascii="Arial" w:eastAsia="Times New Roman" w:hAnsi="Arial" w:cs="Arial"/>
          <w:color w:val="212121"/>
          <w:sz w:val="24"/>
          <w:szCs w:val="24"/>
          <w:lang w:val="en-US"/>
        </w:rPr>
        <w:t xml:space="preserve"> and results should be acted upon.</w:t>
      </w:r>
    </w:p>
    <w:p w14:paraId="51AB798E" w14:textId="654D24F2" w:rsidR="005A7BAD" w:rsidRPr="00C5205A" w:rsidRDefault="005A7BAD" w:rsidP="00C5205A">
      <w:pPr>
        <w:pStyle w:val="Lijstalinea"/>
        <w:shd w:val="clear" w:color="auto" w:fill="FFFFFF"/>
        <w:spacing w:after="0" w:line="480" w:lineRule="auto"/>
        <w:rPr>
          <w:sz w:val="22"/>
          <w:lang w:val="en-GB"/>
        </w:rPr>
      </w:pPr>
    </w:p>
    <w:sectPr w:rsidR="005A7BAD" w:rsidRPr="00C520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CB5F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60B12" w14:textId="77777777" w:rsidR="0001203C" w:rsidRDefault="0001203C" w:rsidP="001D5B5D">
      <w:pPr>
        <w:spacing w:after="0" w:line="240" w:lineRule="auto"/>
      </w:pPr>
      <w:r>
        <w:separator/>
      </w:r>
    </w:p>
  </w:endnote>
  <w:endnote w:type="continuationSeparator" w:id="0">
    <w:p w14:paraId="0E95DB28" w14:textId="77777777" w:rsidR="0001203C" w:rsidRDefault="0001203C" w:rsidP="001D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2DC6C" w14:textId="77777777" w:rsidR="0001203C" w:rsidRDefault="0001203C" w:rsidP="001D5B5D">
      <w:pPr>
        <w:spacing w:after="0" w:line="240" w:lineRule="auto"/>
      </w:pPr>
      <w:r>
        <w:separator/>
      </w:r>
    </w:p>
  </w:footnote>
  <w:footnote w:type="continuationSeparator" w:id="0">
    <w:p w14:paraId="6F86759A" w14:textId="77777777" w:rsidR="0001203C" w:rsidRDefault="0001203C" w:rsidP="001D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669460"/>
      <w:docPartObj>
        <w:docPartGallery w:val="Page Numbers (Top of Page)"/>
        <w:docPartUnique/>
      </w:docPartObj>
    </w:sdtPr>
    <w:sdtContent>
      <w:p w14:paraId="4EF96F09" w14:textId="77777777" w:rsidR="0001203C" w:rsidRDefault="0001203C">
        <w:pPr>
          <w:pStyle w:val="Koptekst"/>
          <w:jc w:val="right"/>
        </w:pPr>
        <w:r w:rsidRPr="008C6A18">
          <w:rPr>
            <w:rFonts w:ascii="Arial" w:hAnsi="Arial" w:cs="Arial"/>
            <w:szCs w:val="18"/>
          </w:rPr>
          <w:t>Berghuis</w:t>
        </w:r>
        <w:r>
          <w:rPr>
            <w:rFonts w:ascii="Arial" w:hAnsi="Arial" w:cs="Arial"/>
            <w:szCs w:val="18"/>
          </w:rPr>
          <w:t xml:space="preserve">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5C70">
          <w:rPr>
            <w:noProof/>
          </w:rPr>
          <w:t>22</w:t>
        </w:r>
        <w:r>
          <w:fldChar w:fldCharType="end"/>
        </w:r>
      </w:p>
    </w:sdtContent>
  </w:sdt>
  <w:p w14:paraId="522597B7" w14:textId="77777777" w:rsidR="0001203C" w:rsidRDefault="0001203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3F0"/>
    <w:multiLevelType w:val="hybridMultilevel"/>
    <w:tmpl w:val="E6CA7330"/>
    <w:lvl w:ilvl="0" w:tplc="9F32B6F2">
      <w:start w:val="1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26FB"/>
    <w:multiLevelType w:val="hybridMultilevel"/>
    <w:tmpl w:val="CCF0B30A"/>
    <w:lvl w:ilvl="0" w:tplc="29CCF5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53A7C"/>
    <w:multiLevelType w:val="hybridMultilevel"/>
    <w:tmpl w:val="BDD41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F434A"/>
    <w:multiLevelType w:val="hybridMultilevel"/>
    <w:tmpl w:val="50203BCC"/>
    <w:lvl w:ilvl="0" w:tplc="3E26B3E8">
      <w:numFmt w:val="bullet"/>
      <w:lvlText w:val=""/>
      <w:lvlJc w:val="left"/>
      <w:pPr>
        <w:ind w:left="450" w:hanging="360"/>
      </w:pPr>
      <w:rPr>
        <w:rFonts w:ascii="Symbol" w:eastAsiaTheme="minorHAnsi" w:hAnsi="Symbol" w:cs="Lucida Sans Unicode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A394241"/>
    <w:multiLevelType w:val="hybridMultilevel"/>
    <w:tmpl w:val="E306D932"/>
    <w:lvl w:ilvl="0" w:tplc="116CE39E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y">
    <w15:presenceInfo w15:providerId="None" w15:userId="ley"/>
  </w15:person>
  <w15:person w15:author="lsander">
    <w15:presenceInfo w15:providerId="None" w15:userId="lsa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Lucida Sans Unicod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7078F"/>
    <w:rsid w:val="00001BD5"/>
    <w:rsid w:val="000054E5"/>
    <w:rsid w:val="000100E2"/>
    <w:rsid w:val="00010188"/>
    <w:rsid w:val="00010EA1"/>
    <w:rsid w:val="0001176D"/>
    <w:rsid w:val="0001203C"/>
    <w:rsid w:val="00013291"/>
    <w:rsid w:val="00015023"/>
    <w:rsid w:val="000210C8"/>
    <w:rsid w:val="00023A73"/>
    <w:rsid w:val="0002683C"/>
    <w:rsid w:val="00031888"/>
    <w:rsid w:val="00035C70"/>
    <w:rsid w:val="00043DF6"/>
    <w:rsid w:val="00045D71"/>
    <w:rsid w:val="000513C5"/>
    <w:rsid w:val="000515FA"/>
    <w:rsid w:val="00052309"/>
    <w:rsid w:val="00054981"/>
    <w:rsid w:val="00056619"/>
    <w:rsid w:val="00060043"/>
    <w:rsid w:val="00060350"/>
    <w:rsid w:val="00061F7D"/>
    <w:rsid w:val="000626B7"/>
    <w:rsid w:val="00071A7B"/>
    <w:rsid w:val="00075C35"/>
    <w:rsid w:val="0007739E"/>
    <w:rsid w:val="00077919"/>
    <w:rsid w:val="00080826"/>
    <w:rsid w:val="00081B5A"/>
    <w:rsid w:val="00082512"/>
    <w:rsid w:val="00087936"/>
    <w:rsid w:val="0009259C"/>
    <w:rsid w:val="000937B4"/>
    <w:rsid w:val="00093E8C"/>
    <w:rsid w:val="00095686"/>
    <w:rsid w:val="0009710F"/>
    <w:rsid w:val="000A0071"/>
    <w:rsid w:val="000A27B2"/>
    <w:rsid w:val="000A30CA"/>
    <w:rsid w:val="000A4D15"/>
    <w:rsid w:val="000A5BF5"/>
    <w:rsid w:val="000B11E8"/>
    <w:rsid w:val="000B1589"/>
    <w:rsid w:val="000B3F56"/>
    <w:rsid w:val="000B45DC"/>
    <w:rsid w:val="000B49AF"/>
    <w:rsid w:val="000B7266"/>
    <w:rsid w:val="000B746C"/>
    <w:rsid w:val="000B79C0"/>
    <w:rsid w:val="000C0808"/>
    <w:rsid w:val="000C4047"/>
    <w:rsid w:val="000C5F74"/>
    <w:rsid w:val="000C79ED"/>
    <w:rsid w:val="000D3B63"/>
    <w:rsid w:val="000D3FDB"/>
    <w:rsid w:val="000E2668"/>
    <w:rsid w:val="000E3704"/>
    <w:rsid w:val="000E4B86"/>
    <w:rsid w:val="000E5EAE"/>
    <w:rsid w:val="000E70FE"/>
    <w:rsid w:val="000E7444"/>
    <w:rsid w:val="000F0CD8"/>
    <w:rsid w:val="000F1E8C"/>
    <w:rsid w:val="000F299B"/>
    <w:rsid w:val="000F7707"/>
    <w:rsid w:val="00102150"/>
    <w:rsid w:val="0011251D"/>
    <w:rsid w:val="001142DF"/>
    <w:rsid w:val="00114D1F"/>
    <w:rsid w:val="00114FEA"/>
    <w:rsid w:val="001164CC"/>
    <w:rsid w:val="00117F0C"/>
    <w:rsid w:val="001224A3"/>
    <w:rsid w:val="00125063"/>
    <w:rsid w:val="00126556"/>
    <w:rsid w:val="00126870"/>
    <w:rsid w:val="001278FD"/>
    <w:rsid w:val="00127A43"/>
    <w:rsid w:val="00130EE8"/>
    <w:rsid w:val="00132CCA"/>
    <w:rsid w:val="00136466"/>
    <w:rsid w:val="00137D5F"/>
    <w:rsid w:val="001406CA"/>
    <w:rsid w:val="00140D6E"/>
    <w:rsid w:val="001413C0"/>
    <w:rsid w:val="00141944"/>
    <w:rsid w:val="00143F18"/>
    <w:rsid w:val="00144870"/>
    <w:rsid w:val="00145A9F"/>
    <w:rsid w:val="0015037C"/>
    <w:rsid w:val="00150BAC"/>
    <w:rsid w:val="00151323"/>
    <w:rsid w:val="0015521F"/>
    <w:rsid w:val="001609D4"/>
    <w:rsid w:val="00161F6F"/>
    <w:rsid w:val="0016355B"/>
    <w:rsid w:val="001639E9"/>
    <w:rsid w:val="00164EEA"/>
    <w:rsid w:val="00166A93"/>
    <w:rsid w:val="0016761F"/>
    <w:rsid w:val="001677BA"/>
    <w:rsid w:val="00170E02"/>
    <w:rsid w:val="00171E2E"/>
    <w:rsid w:val="00176AE7"/>
    <w:rsid w:val="00180A1C"/>
    <w:rsid w:val="00182F07"/>
    <w:rsid w:val="00183EF1"/>
    <w:rsid w:val="001847C9"/>
    <w:rsid w:val="001848B0"/>
    <w:rsid w:val="00185754"/>
    <w:rsid w:val="001857D3"/>
    <w:rsid w:val="00185DCB"/>
    <w:rsid w:val="00185DD3"/>
    <w:rsid w:val="0018667E"/>
    <w:rsid w:val="00190CB0"/>
    <w:rsid w:val="00191194"/>
    <w:rsid w:val="00193354"/>
    <w:rsid w:val="0019349E"/>
    <w:rsid w:val="00196ED7"/>
    <w:rsid w:val="00197453"/>
    <w:rsid w:val="001A0E26"/>
    <w:rsid w:val="001A24D1"/>
    <w:rsid w:val="001A36DF"/>
    <w:rsid w:val="001A5286"/>
    <w:rsid w:val="001A53DC"/>
    <w:rsid w:val="001B1980"/>
    <w:rsid w:val="001B2D29"/>
    <w:rsid w:val="001B42DF"/>
    <w:rsid w:val="001B593D"/>
    <w:rsid w:val="001B7BAC"/>
    <w:rsid w:val="001C12EA"/>
    <w:rsid w:val="001C2C4F"/>
    <w:rsid w:val="001C6258"/>
    <w:rsid w:val="001D0AEE"/>
    <w:rsid w:val="001D0E38"/>
    <w:rsid w:val="001D2B9A"/>
    <w:rsid w:val="001D4132"/>
    <w:rsid w:val="001D52DA"/>
    <w:rsid w:val="001D5B5D"/>
    <w:rsid w:val="001D784D"/>
    <w:rsid w:val="001E1329"/>
    <w:rsid w:val="001E37E4"/>
    <w:rsid w:val="001E6AD2"/>
    <w:rsid w:val="001E70CD"/>
    <w:rsid w:val="001E7388"/>
    <w:rsid w:val="001E7E7D"/>
    <w:rsid w:val="001F0D90"/>
    <w:rsid w:val="00201D5A"/>
    <w:rsid w:val="00202C49"/>
    <w:rsid w:val="00205AEF"/>
    <w:rsid w:val="00207414"/>
    <w:rsid w:val="002115EE"/>
    <w:rsid w:val="0021266F"/>
    <w:rsid w:val="00213A73"/>
    <w:rsid w:val="002161CB"/>
    <w:rsid w:val="00217B3D"/>
    <w:rsid w:val="0022287F"/>
    <w:rsid w:val="0022332F"/>
    <w:rsid w:val="002354A0"/>
    <w:rsid w:val="0023677B"/>
    <w:rsid w:val="002378F7"/>
    <w:rsid w:val="0024040F"/>
    <w:rsid w:val="00241F3C"/>
    <w:rsid w:val="0024462F"/>
    <w:rsid w:val="00244A7A"/>
    <w:rsid w:val="002459FD"/>
    <w:rsid w:val="00246C59"/>
    <w:rsid w:val="0024706B"/>
    <w:rsid w:val="002478FA"/>
    <w:rsid w:val="00247E44"/>
    <w:rsid w:val="00254752"/>
    <w:rsid w:val="00261CB3"/>
    <w:rsid w:val="002655F7"/>
    <w:rsid w:val="002668ED"/>
    <w:rsid w:val="002700EC"/>
    <w:rsid w:val="0027042B"/>
    <w:rsid w:val="00272766"/>
    <w:rsid w:val="00273AA5"/>
    <w:rsid w:val="002763DD"/>
    <w:rsid w:val="002801AC"/>
    <w:rsid w:val="00283B95"/>
    <w:rsid w:val="00284A4B"/>
    <w:rsid w:val="00284CEF"/>
    <w:rsid w:val="0028684A"/>
    <w:rsid w:val="00290C9B"/>
    <w:rsid w:val="0029219F"/>
    <w:rsid w:val="0029323E"/>
    <w:rsid w:val="00294020"/>
    <w:rsid w:val="00295B2F"/>
    <w:rsid w:val="00295DC0"/>
    <w:rsid w:val="00295F01"/>
    <w:rsid w:val="002A15AA"/>
    <w:rsid w:val="002A1BC6"/>
    <w:rsid w:val="002A6E41"/>
    <w:rsid w:val="002B39A3"/>
    <w:rsid w:val="002B3B29"/>
    <w:rsid w:val="002B44B4"/>
    <w:rsid w:val="002B4EE1"/>
    <w:rsid w:val="002B5466"/>
    <w:rsid w:val="002B64F2"/>
    <w:rsid w:val="002B7B4F"/>
    <w:rsid w:val="002B7D4E"/>
    <w:rsid w:val="002C1EF2"/>
    <w:rsid w:val="002C4E7D"/>
    <w:rsid w:val="002C63BB"/>
    <w:rsid w:val="002C660A"/>
    <w:rsid w:val="002D5A86"/>
    <w:rsid w:val="002D6C89"/>
    <w:rsid w:val="002E1468"/>
    <w:rsid w:val="002E1602"/>
    <w:rsid w:val="002E387A"/>
    <w:rsid w:val="002E48B2"/>
    <w:rsid w:val="002E67ED"/>
    <w:rsid w:val="002E72DE"/>
    <w:rsid w:val="002E7EEE"/>
    <w:rsid w:val="002F1D0D"/>
    <w:rsid w:val="002F2AAD"/>
    <w:rsid w:val="002F2D66"/>
    <w:rsid w:val="002F54CE"/>
    <w:rsid w:val="002F6C5E"/>
    <w:rsid w:val="00300C9D"/>
    <w:rsid w:val="00300F9E"/>
    <w:rsid w:val="00301396"/>
    <w:rsid w:val="003017C1"/>
    <w:rsid w:val="00307E00"/>
    <w:rsid w:val="003112F8"/>
    <w:rsid w:val="003170FD"/>
    <w:rsid w:val="00322865"/>
    <w:rsid w:val="0032332F"/>
    <w:rsid w:val="003238A8"/>
    <w:rsid w:val="003241A3"/>
    <w:rsid w:val="00327846"/>
    <w:rsid w:val="00330853"/>
    <w:rsid w:val="00330CAA"/>
    <w:rsid w:val="00332262"/>
    <w:rsid w:val="0033423B"/>
    <w:rsid w:val="00337106"/>
    <w:rsid w:val="00341BA6"/>
    <w:rsid w:val="00344AA3"/>
    <w:rsid w:val="00344E9A"/>
    <w:rsid w:val="00345DE0"/>
    <w:rsid w:val="00346288"/>
    <w:rsid w:val="00346E2A"/>
    <w:rsid w:val="00346EBA"/>
    <w:rsid w:val="0035148C"/>
    <w:rsid w:val="00352298"/>
    <w:rsid w:val="003529A4"/>
    <w:rsid w:val="00352C7C"/>
    <w:rsid w:val="003555B5"/>
    <w:rsid w:val="00355B64"/>
    <w:rsid w:val="003560C5"/>
    <w:rsid w:val="00357A02"/>
    <w:rsid w:val="003626E8"/>
    <w:rsid w:val="00362C79"/>
    <w:rsid w:val="00364596"/>
    <w:rsid w:val="003703AD"/>
    <w:rsid w:val="003737E8"/>
    <w:rsid w:val="00373821"/>
    <w:rsid w:val="00374DA5"/>
    <w:rsid w:val="003752B2"/>
    <w:rsid w:val="0037760D"/>
    <w:rsid w:val="0038112F"/>
    <w:rsid w:val="00390C56"/>
    <w:rsid w:val="003924B4"/>
    <w:rsid w:val="00393C95"/>
    <w:rsid w:val="003949C8"/>
    <w:rsid w:val="00395E83"/>
    <w:rsid w:val="003A0E39"/>
    <w:rsid w:val="003A2C78"/>
    <w:rsid w:val="003A3B0F"/>
    <w:rsid w:val="003A57CF"/>
    <w:rsid w:val="003A5E89"/>
    <w:rsid w:val="003A6D44"/>
    <w:rsid w:val="003B31B7"/>
    <w:rsid w:val="003B712D"/>
    <w:rsid w:val="003C1143"/>
    <w:rsid w:val="003C181E"/>
    <w:rsid w:val="003C58CD"/>
    <w:rsid w:val="003D1AD5"/>
    <w:rsid w:val="003D3D5E"/>
    <w:rsid w:val="003D6E2C"/>
    <w:rsid w:val="003D72B9"/>
    <w:rsid w:val="003E1982"/>
    <w:rsid w:val="003E68AC"/>
    <w:rsid w:val="003E6D36"/>
    <w:rsid w:val="003E6FDC"/>
    <w:rsid w:val="003E742F"/>
    <w:rsid w:val="003F0A52"/>
    <w:rsid w:val="003F0B54"/>
    <w:rsid w:val="003F2A31"/>
    <w:rsid w:val="003F4AFA"/>
    <w:rsid w:val="003F7243"/>
    <w:rsid w:val="003F7AAE"/>
    <w:rsid w:val="00401B9E"/>
    <w:rsid w:val="00403917"/>
    <w:rsid w:val="004057DF"/>
    <w:rsid w:val="00411354"/>
    <w:rsid w:val="00412FB4"/>
    <w:rsid w:val="00412FCD"/>
    <w:rsid w:val="00413111"/>
    <w:rsid w:val="0041383E"/>
    <w:rsid w:val="004155AF"/>
    <w:rsid w:val="00417DD2"/>
    <w:rsid w:val="00417ED6"/>
    <w:rsid w:val="0042012C"/>
    <w:rsid w:val="0042152E"/>
    <w:rsid w:val="0042224B"/>
    <w:rsid w:val="0042268A"/>
    <w:rsid w:val="004245E6"/>
    <w:rsid w:val="00424FDA"/>
    <w:rsid w:val="0043248C"/>
    <w:rsid w:val="00433AD2"/>
    <w:rsid w:val="004345D9"/>
    <w:rsid w:val="00436CE0"/>
    <w:rsid w:val="004376B0"/>
    <w:rsid w:val="00441296"/>
    <w:rsid w:val="00441675"/>
    <w:rsid w:val="00443651"/>
    <w:rsid w:val="00447F7D"/>
    <w:rsid w:val="004515C9"/>
    <w:rsid w:val="0046222D"/>
    <w:rsid w:val="00464092"/>
    <w:rsid w:val="0046501E"/>
    <w:rsid w:val="0047078F"/>
    <w:rsid w:val="00471055"/>
    <w:rsid w:val="00471144"/>
    <w:rsid w:val="00472580"/>
    <w:rsid w:val="004725D8"/>
    <w:rsid w:val="004733FD"/>
    <w:rsid w:val="0047516D"/>
    <w:rsid w:val="004754EE"/>
    <w:rsid w:val="004779E2"/>
    <w:rsid w:val="00483A89"/>
    <w:rsid w:val="00486608"/>
    <w:rsid w:val="004870EB"/>
    <w:rsid w:val="00487513"/>
    <w:rsid w:val="00491952"/>
    <w:rsid w:val="00495AF5"/>
    <w:rsid w:val="00497594"/>
    <w:rsid w:val="004A1784"/>
    <w:rsid w:val="004A1D90"/>
    <w:rsid w:val="004A1F1C"/>
    <w:rsid w:val="004A3AA5"/>
    <w:rsid w:val="004A447F"/>
    <w:rsid w:val="004A6C0B"/>
    <w:rsid w:val="004A7E39"/>
    <w:rsid w:val="004B2143"/>
    <w:rsid w:val="004B2C92"/>
    <w:rsid w:val="004B7F01"/>
    <w:rsid w:val="004C325C"/>
    <w:rsid w:val="004C5672"/>
    <w:rsid w:val="004C710A"/>
    <w:rsid w:val="004C7911"/>
    <w:rsid w:val="004D0817"/>
    <w:rsid w:val="004D4605"/>
    <w:rsid w:val="004D48BF"/>
    <w:rsid w:val="004D6985"/>
    <w:rsid w:val="004D77A2"/>
    <w:rsid w:val="004E0ED7"/>
    <w:rsid w:val="004E1623"/>
    <w:rsid w:val="004E54F4"/>
    <w:rsid w:val="004E7227"/>
    <w:rsid w:val="004F1213"/>
    <w:rsid w:val="004F1C4F"/>
    <w:rsid w:val="004F4A29"/>
    <w:rsid w:val="004F6483"/>
    <w:rsid w:val="004F78E6"/>
    <w:rsid w:val="004F7B1D"/>
    <w:rsid w:val="004F7F8F"/>
    <w:rsid w:val="005012EC"/>
    <w:rsid w:val="00501B5E"/>
    <w:rsid w:val="00501CC5"/>
    <w:rsid w:val="00502B34"/>
    <w:rsid w:val="00505F6D"/>
    <w:rsid w:val="005074FD"/>
    <w:rsid w:val="00510029"/>
    <w:rsid w:val="00510943"/>
    <w:rsid w:val="0051152C"/>
    <w:rsid w:val="00511DC2"/>
    <w:rsid w:val="00515664"/>
    <w:rsid w:val="005173B4"/>
    <w:rsid w:val="00521F71"/>
    <w:rsid w:val="0052213A"/>
    <w:rsid w:val="00522989"/>
    <w:rsid w:val="00523457"/>
    <w:rsid w:val="00524CBD"/>
    <w:rsid w:val="00527BC9"/>
    <w:rsid w:val="005307A0"/>
    <w:rsid w:val="00530DC7"/>
    <w:rsid w:val="00531113"/>
    <w:rsid w:val="00536D6A"/>
    <w:rsid w:val="0053797F"/>
    <w:rsid w:val="00537CBA"/>
    <w:rsid w:val="00537E03"/>
    <w:rsid w:val="00540F57"/>
    <w:rsid w:val="0054282F"/>
    <w:rsid w:val="005429E5"/>
    <w:rsid w:val="00542D23"/>
    <w:rsid w:val="00542D62"/>
    <w:rsid w:val="00544391"/>
    <w:rsid w:val="00546B86"/>
    <w:rsid w:val="0055004F"/>
    <w:rsid w:val="005522EF"/>
    <w:rsid w:val="00552574"/>
    <w:rsid w:val="00555905"/>
    <w:rsid w:val="0055617D"/>
    <w:rsid w:val="0056002F"/>
    <w:rsid w:val="00560C81"/>
    <w:rsid w:val="0056465F"/>
    <w:rsid w:val="00564C60"/>
    <w:rsid w:val="00572299"/>
    <w:rsid w:val="00574B55"/>
    <w:rsid w:val="00576467"/>
    <w:rsid w:val="00577F7A"/>
    <w:rsid w:val="005814A5"/>
    <w:rsid w:val="00581E9F"/>
    <w:rsid w:val="00583429"/>
    <w:rsid w:val="0058503B"/>
    <w:rsid w:val="00586B05"/>
    <w:rsid w:val="00586B6F"/>
    <w:rsid w:val="00586FBF"/>
    <w:rsid w:val="00591917"/>
    <w:rsid w:val="005919EE"/>
    <w:rsid w:val="00593A97"/>
    <w:rsid w:val="00596017"/>
    <w:rsid w:val="005A0AAB"/>
    <w:rsid w:val="005A17AE"/>
    <w:rsid w:val="005A1CFE"/>
    <w:rsid w:val="005A2385"/>
    <w:rsid w:val="005A2A18"/>
    <w:rsid w:val="005A637D"/>
    <w:rsid w:val="005A7BAD"/>
    <w:rsid w:val="005B001A"/>
    <w:rsid w:val="005B05B2"/>
    <w:rsid w:val="005B1DEB"/>
    <w:rsid w:val="005B7469"/>
    <w:rsid w:val="005B7E0B"/>
    <w:rsid w:val="005C1018"/>
    <w:rsid w:val="005C2481"/>
    <w:rsid w:val="005C2746"/>
    <w:rsid w:val="005C3040"/>
    <w:rsid w:val="005C5833"/>
    <w:rsid w:val="005C66A7"/>
    <w:rsid w:val="005D3391"/>
    <w:rsid w:val="005D45F7"/>
    <w:rsid w:val="005D5E34"/>
    <w:rsid w:val="005D6A29"/>
    <w:rsid w:val="005D7C52"/>
    <w:rsid w:val="005E0E71"/>
    <w:rsid w:val="005E0F65"/>
    <w:rsid w:val="005E33C7"/>
    <w:rsid w:val="005E6964"/>
    <w:rsid w:val="005E7D95"/>
    <w:rsid w:val="005F11ED"/>
    <w:rsid w:val="005F146E"/>
    <w:rsid w:val="005F2190"/>
    <w:rsid w:val="005F3037"/>
    <w:rsid w:val="005F3669"/>
    <w:rsid w:val="005F4ECC"/>
    <w:rsid w:val="005F4FE9"/>
    <w:rsid w:val="00600D4A"/>
    <w:rsid w:val="00602E35"/>
    <w:rsid w:val="00605FFD"/>
    <w:rsid w:val="006069CF"/>
    <w:rsid w:val="006139CA"/>
    <w:rsid w:val="00615686"/>
    <w:rsid w:val="00616312"/>
    <w:rsid w:val="0062324C"/>
    <w:rsid w:val="00623407"/>
    <w:rsid w:val="00623A80"/>
    <w:rsid w:val="00623F78"/>
    <w:rsid w:val="00624D13"/>
    <w:rsid w:val="00631FE0"/>
    <w:rsid w:val="0063213B"/>
    <w:rsid w:val="0063264E"/>
    <w:rsid w:val="006328AB"/>
    <w:rsid w:val="00635711"/>
    <w:rsid w:val="00637448"/>
    <w:rsid w:val="0064188D"/>
    <w:rsid w:val="006437C0"/>
    <w:rsid w:val="00643D50"/>
    <w:rsid w:val="00643F30"/>
    <w:rsid w:val="00644218"/>
    <w:rsid w:val="00644D72"/>
    <w:rsid w:val="00651580"/>
    <w:rsid w:val="00651CE4"/>
    <w:rsid w:val="00653EA9"/>
    <w:rsid w:val="00657CE8"/>
    <w:rsid w:val="00660E40"/>
    <w:rsid w:val="006636F9"/>
    <w:rsid w:val="00664EB5"/>
    <w:rsid w:val="00665031"/>
    <w:rsid w:val="006650BC"/>
    <w:rsid w:val="006651AD"/>
    <w:rsid w:val="00665759"/>
    <w:rsid w:val="00667321"/>
    <w:rsid w:val="00670E3B"/>
    <w:rsid w:val="0067207F"/>
    <w:rsid w:val="006745AC"/>
    <w:rsid w:val="00676221"/>
    <w:rsid w:val="006769A4"/>
    <w:rsid w:val="00680559"/>
    <w:rsid w:val="006902CB"/>
    <w:rsid w:val="00692F71"/>
    <w:rsid w:val="00694E61"/>
    <w:rsid w:val="006A3C2D"/>
    <w:rsid w:val="006A4CF4"/>
    <w:rsid w:val="006A6646"/>
    <w:rsid w:val="006A6A2E"/>
    <w:rsid w:val="006B081A"/>
    <w:rsid w:val="006B0937"/>
    <w:rsid w:val="006B0A27"/>
    <w:rsid w:val="006B1359"/>
    <w:rsid w:val="006B1A98"/>
    <w:rsid w:val="006B4774"/>
    <w:rsid w:val="006C0A2F"/>
    <w:rsid w:val="006C137A"/>
    <w:rsid w:val="006C1AC6"/>
    <w:rsid w:val="006C2031"/>
    <w:rsid w:val="006C74A7"/>
    <w:rsid w:val="006D11CE"/>
    <w:rsid w:val="006D2B17"/>
    <w:rsid w:val="006D2D73"/>
    <w:rsid w:val="006D4699"/>
    <w:rsid w:val="006D61AE"/>
    <w:rsid w:val="006D6D2F"/>
    <w:rsid w:val="006D7638"/>
    <w:rsid w:val="006D76EA"/>
    <w:rsid w:val="006E36C1"/>
    <w:rsid w:val="006E540E"/>
    <w:rsid w:val="006E7F04"/>
    <w:rsid w:val="006F1A0D"/>
    <w:rsid w:val="006F1C6E"/>
    <w:rsid w:val="006F3C28"/>
    <w:rsid w:val="006F4AD4"/>
    <w:rsid w:val="006F7554"/>
    <w:rsid w:val="006F796A"/>
    <w:rsid w:val="00701A18"/>
    <w:rsid w:val="00701C13"/>
    <w:rsid w:val="0070235F"/>
    <w:rsid w:val="0070388D"/>
    <w:rsid w:val="007039EF"/>
    <w:rsid w:val="007046E0"/>
    <w:rsid w:val="00705A23"/>
    <w:rsid w:val="00706914"/>
    <w:rsid w:val="00707F12"/>
    <w:rsid w:val="00710B31"/>
    <w:rsid w:val="007114CB"/>
    <w:rsid w:val="0071219F"/>
    <w:rsid w:val="007145B0"/>
    <w:rsid w:val="00716F84"/>
    <w:rsid w:val="00717AE5"/>
    <w:rsid w:val="00720D27"/>
    <w:rsid w:val="0072368D"/>
    <w:rsid w:val="00725D13"/>
    <w:rsid w:val="00727CDE"/>
    <w:rsid w:val="007311DC"/>
    <w:rsid w:val="00731336"/>
    <w:rsid w:val="00731BAA"/>
    <w:rsid w:val="00731CEB"/>
    <w:rsid w:val="00732FA0"/>
    <w:rsid w:val="007333EE"/>
    <w:rsid w:val="007334DB"/>
    <w:rsid w:val="00734851"/>
    <w:rsid w:val="00734FBA"/>
    <w:rsid w:val="00736499"/>
    <w:rsid w:val="00741C60"/>
    <w:rsid w:val="00742E12"/>
    <w:rsid w:val="0074308F"/>
    <w:rsid w:val="007441D9"/>
    <w:rsid w:val="00744250"/>
    <w:rsid w:val="0074520E"/>
    <w:rsid w:val="007452FB"/>
    <w:rsid w:val="00746BD7"/>
    <w:rsid w:val="00747632"/>
    <w:rsid w:val="00750466"/>
    <w:rsid w:val="00750D42"/>
    <w:rsid w:val="00752594"/>
    <w:rsid w:val="00754456"/>
    <w:rsid w:val="00754BCB"/>
    <w:rsid w:val="007550F5"/>
    <w:rsid w:val="00755A24"/>
    <w:rsid w:val="007562FD"/>
    <w:rsid w:val="00761897"/>
    <w:rsid w:val="00762773"/>
    <w:rsid w:val="00766FEB"/>
    <w:rsid w:val="00767D54"/>
    <w:rsid w:val="00771B46"/>
    <w:rsid w:val="00774E8C"/>
    <w:rsid w:val="00776260"/>
    <w:rsid w:val="007774AD"/>
    <w:rsid w:val="00777552"/>
    <w:rsid w:val="0078048F"/>
    <w:rsid w:val="0078674D"/>
    <w:rsid w:val="00786AF5"/>
    <w:rsid w:val="00787D11"/>
    <w:rsid w:val="00790767"/>
    <w:rsid w:val="0079108A"/>
    <w:rsid w:val="0079221B"/>
    <w:rsid w:val="00792F4B"/>
    <w:rsid w:val="007947AE"/>
    <w:rsid w:val="00797BBC"/>
    <w:rsid w:val="00797FD7"/>
    <w:rsid w:val="007A16FF"/>
    <w:rsid w:val="007A21A7"/>
    <w:rsid w:val="007A322E"/>
    <w:rsid w:val="007A4124"/>
    <w:rsid w:val="007A66E9"/>
    <w:rsid w:val="007B0341"/>
    <w:rsid w:val="007B4F33"/>
    <w:rsid w:val="007C0DF4"/>
    <w:rsid w:val="007C24D1"/>
    <w:rsid w:val="007C3DD5"/>
    <w:rsid w:val="007C4124"/>
    <w:rsid w:val="007C4972"/>
    <w:rsid w:val="007C5EFC"/>
    <w:rsid w:val="007C7DF6"/>
    <w:rsid w:val="007D34A4"/>
    <w:rsid w:val="007D4467"/>
    <w:rsid w:val="007D6680"/>
    <w:rsid w:val="007D7384"/>
    <w:rsid w:val="007D7DF2"/>
    <w:rsid w:val="007E5DDD"/>
    <w:rsid w:val="007E69D7"/>
    <w:rsid w:val="007E7A17"/>
    <w:rsid w:val="007F0775"/>
    <w:rsid w:val="007F5547"/>
    <w:rsid w:val="00800464"/>
    <w:rsid w:val="00800D63"/>
    <w:rsid w:val="00802157"/>
    <w:rsid w:val="008079D8"/>
    <w:rsid w:val="00810822"/>
    <w:rsid w:val="00810BC6"/>
    <w:rsid w:val="00810C30"/>
    <w:rsid w:val="008169F5"/>
    <w:rsid w:val="00817F70"/>
    <w:rsid w:val="00820C2D"/>
    <w:rsid w:val="00820DAF"/>
    <w:rsid w:val="00821798"/>
    <w:rsid w:val="008243B4"/>
    <w:rsid w:val="00824A54"/>
    <w:rsid w:val="008250DE"/>
    <w:rsid w:val="00825598"/>
    <w:rsid w:val="00825ADE"/>
    <w:rsid w:val="00825E83"/>
    <w:rsid w:val="008272B2"/>
    <w:rsid w:val="008279D3"/>
    <w:rsid w:val="008319FE"/>
    <w:rsid w:val="00835FD9"/>
    <w:rsid w:val="00836FFE"/>
    <w:rsid w:val="00842B18"/>
    <w:rsid w:val="00845DF7"/>
    <w:rsid w:val="00845E89"/>
    <w:rsid w:val="00851327"/>
    <w:rsid w:val="00854319"/>
    <w:rsid w:val="00857BEC"/>
    <w:rsid w:val="00860C30"/>
    <w:rsid w:val="00862192"/>
    <w:rsid w:val="00863F1C"/>
    <w:rsid w:val="00864C0D"/>
    <w:rsid w:val="00865767"/>
    <w:rsid w:val="00877A85"/>
    <w:rsid w:val="00877E77"/>
    <w:rsid w:val="00880E8A"/>
    <w:rsid w:val="00881B02"/>
    <w:rsid w:val="008824DB"/>
    <w:rsid w:val="00882857"/>
    <w:rsid w:val="00884F33"/>
    <w:rsid w:val="00886639"/>
    <w:rsid w:val="00887358"/>
    <w:rsid w:val="008942B5"/>
    <w:rsid w:val="00894DE4"/>
    <w:rsid w:val="00895FDE"/>
    <w:rsid w:val="00896192"/>
    <w:rsid w:val="008A0454"/>
    <w:rsid w:val="008A0DB8"/>
    <w:rsid w:val="008A1FDD"/>
    <w:rsid w:val="008A36C9"/>
    <w:rsid w:val="008A3830"/>
    <w:rsid w:val="008A40B5"/>
    <w:rsid w:val="008A4501"/>
    <w:rsid w:val="008A6CFC"/>
    <w:rsid w:val="008A754F"/>
    <w:rsid w:val="008B21A3"/>
    <w:rsid w:val="008B30D4"/>
    <w:rsid w:val="008B47E8"/>
    <w:rsid w:val="008C0E8E"/>
    <w:rsid w:val="008C6A18"/>
    <w:rsid w:val="008C6D37"/>
    <w:rsid w:val="008C77AB"/>
    <w:rsid w:val="008D162C"/>
    <w:rsid w:val="008D45F2"/>
    <w:rsid w:val="008D747A"/>
    <w:rsid w:val="008E0EB2"/>
    <w:rsid w:val="008E2B25"/>
    <w:rsid w:val="008E3517"/>
    <w:rsid w:val="008E3BED"/>
    <w:rsid w:val="008F03C8"/>
    <w:rsid w:val="0090093C"/>
    <w:rsid w:val="0090123C"/>
    <w:rsid w:val="00901588"/>
    <w:rsid w:val="0090414D"/>
    <w:rsid w:val="009067E0"/>
    <w:rsid w:val="00907DF5"/>
    <w:rsid w:val="009108E7"/>
    <w:rsid w:val="00913E2D"/>
    <w:rsid w:val="0091550C"/>
    <w:rsid w:val="009156BC"/>
    <w:rsid w:val="00922F4B"/>
    <w:rsid w:val="009233C4"/>
    <w:rsid w:val="00924A92"/>
    <w:rsid w:val="00925878"/>
    <w:rsid w:val="00927BB3"/>
    <w:rsid w:val="00932147"/>
    <w:rsid w:val="00940CD7"/>
    <w:rsid w:val="00945DD2"/>
    <w:rsid w:val="00946F9F"/>
    <w:rsid w:val="00954D3C"/>
    <w:rsid w:val="00956A60"/>
    <w:rsid w:val="00962FEE"/>
    <w:rsid w:val="0096715F"/>
    <w:rsid w:val="009749E0"/>
    <w:rsid w:val="00974BE2"/>
    <w:rsid w:val="0097731F"/>
    <w:rsid w:val="009806CB"/>
    <w:rsid w:val="00980DDD"/>
    <w:rsid w:val="00983F98"/>
    <w:rsid w:val="00987FED"/>
    <w:rsid w:val="0099057D"/>
    <w:rsid w:val="00991780"/>
    <w:rsid w:val="00992296"/>
    <w:rsid w:val="0099230D"/>
    <w:rsid w:val="00993C7C"/>
    <w:rsid w:val="0099403F"/>
    <w:rsid w:val="00996E13"/>
    <w:rsid w:val="00997B92"/>
    <w:rsid w:val="009A5EF5"/>
    <w:rsid w:val="009B0B0C"/>
    <w:rsid w:val="009B2CC6"/>
    <w:rsid w:val="009B3408"/>
    <w:rsid w:val="009B72A0"/>
    <w:rsid w:val="009B7482"/>
    <w:rsid w:val="009B7EBA"/>
    <w:rsid w:val="009C1FEA"/>
    <w:rsid w:val="009C571F"/>
    <w:rsid w:val="009C6E5F"/>
    <w:rsid w:val="009C724F"/>
    <w:rsid w:val="009C733C"/>
    <w:rsid w:val="009D0DC3"/>
    <w:rsid w:val="009D1180"/>
    <w:rsid w:val="009D2C3A"/>
    <w:rsid w:val="009D2FBD"/>
    <w:rsid w:val="009D5893"/>
    <w:rsid w:val="009D688D"/>
    <w:rsid w:val="009E0DC0"/>
    <w:rsid w:val="009E13C0"/>
    <w:rsid w:val="009E3CDA"/>
    <w:rsid w:val="009E41BA"/>
    <w:rsid w:val="009E716E"/>
    <w:rsid w:val="009F26D7"/>
    <w:rsid w:val="009F472B"/>
    <w:rsid w:val="009F48CF"/>
    <w:rsid w:val="00A068AD"/>
    <w:rsid w:val="00A11FB9"/>
    <w:rsid w:val="00A12831"/>
    <w:rsid w:val="00A13C04"/>
    <w:rsid w:val="00A234B2"/>
    <w:rsid w:val="00A259A0"/>
    <w:rsid w:val="00A30514"/>
    <w:rsid w:val="00A30BEB"/>
    <w:rsid w:val="00A318DA"/>
    <w:rsid w:val="00A319C2"/>
    <w:rsid w:val="00A3657F"/>
    <w:rsid w:val="00A36C61"/>
    <w:rsid w:val="00A41D0D"/>
    <w:rsid w:val="00A428B7"/>
    <w:rsid w:val="00A471D8"/>
    <w:rsid w:val="00A47453"/>
    <w:rsid w:val="00A47A6E"/>
    <w:rsid w:val="00A50FDF"/>
    <w:rsid w:val="00A510FA"/>
    <w:rsid w:val="00A52BB6"/>
    <w:rsid w:val="00A52C31"/>
    <w:rsid w:val="00A53802"/>
    <w:rsid w:val="00A548AD"/>
    <w:rsid w:val="00A552CA"/>
    <w:rsid w:val="00A56131"/>
    <w:rsid w:val="00A568A2"/>
    <w:rsid w:val="00A574A1"/>
    <w:rsid w:val="00A6039A"/>
    <w:rsid w:val="00A60A2C"/>
    <w:rsid w:val="00A61A9A"/>
    <w:rsid w:val="00A64688"/>
    <w:rsid w:val="00A64B8B"/>
    <w:rsid w:val="00A66BBA"/>
    <w:rsid w:val="00A71100"/>
    <w:rsid w:val="00A71F36"/>
    <w:rsid w:val="00A7210D"/>
    <w:rsid w:val="00A73989"/>
    <w:rsid w:val="00A754C9"/>
    <w:rsid w:val="00A75BED"/>
    <w:rsid w:val="00A75FFA"/>
    <w:rsid w:val="00A76A9E"/>
    <w:rsid w:val="00A803C7"/>
    <w:rsid w:val="00A8142F"/>
    <w:rsid w:val="00A81A80"/>
    <w:rsid w:val="00A81FDF"/>
    <w:rsid w:val="00A83AF3"/>
    <w:rsid w:val="00A843B0"/>
    <w:rsid w:val="00A86F8B"/>
    <w:rsid w:val="00A908C7"/>
    <w:rsid w:val="00A90B7A"/>
    <w:rsid w:val="00A9441A"/>
    <w:rsid w:val="00A94AE3"/>
    <w:rsid w:val="00A95AC7"/>
    <w:rsid w:val="00A95BEF"/>
    <w:rsid w:val="00A97DEE"/>
    <w:rsid w:val="00AA2935"/>
    <w:rsid w:val="00AA2AFA"/>
    <w:rsid w:val="00AA3AE6"/>
    <w:rsid w:val="00AA4069"/>
    <w:rsid w:val="00AA4C8F"/>
    <w:rsid w:val="00AA6F19"/>
    <w:rsid w:val="00AB2B39"/>
    <w:rsid w:val="00AB3F4E"/>
    <w:rsid w:val="00AB79B3"/>
    <w:rsid w:val="00AC276B"/>
    <w:rsid w:val="00AC46B1"/>
    <w:rsid w:val="00AC5732"/>
    <w:rsid w:val="00AC7B34"/>
    <w:rsid w:val="00AD307A"/>
    <w:rsid w:val="00AD3552"/>
    <w:rsid w:val="00AD3FBD"/>
    <w:rsid w:val="00AD611B"/>
    <w:rsid w:val="00AD7973"/>
    <w:rsid w:val="00AD7C28"/>
    <w:rsid w:val="00AE1980"/>
    <w:rsid w:val="00AE1B6E"/>
    <w:rsid w:val="00AE3966"/>
    <w:rsid w:val="00AE67CE"/>
    <w:rsid w:val="00AE714F"/>
    <w:rsid w:val="00AF0F93"/>
    <w:rsid w:val="00AF2DD3"/>
    <w:rsid w:val="00AF35AF"/>
    <w:rsid w:val="00AF4A9A"/>
    <w:rsid w:val="00AF5CA1"/>
    <w:rsid w:val="00AF6E06"/>
    <w:rsid w:val="00B01732"/>
    <w:rsid w:val="00B01774"/>
    <w:rsid w:val="00B04510"/>
    <w:rsid w:val="00B071D7"/>
    <w:rsid w:val="00B07F15"/>
    <w:rsid w:val="00B11F41"/>
    <w:rsid w:val="00B12D47"/>
    <w:rsid w:val="00B144AA"/>
    <w:rsid w:val="00B20518"/>
    <w:rsid w:val="00B25EAF"/>
    <w:rsid w:val="00B27745"/>
    <w:rsid w:val="00B27A34"/>
    <w:rsid w:val="00B304B5"/>
    <w:rsid w:val="00B30D52"/>
    <w:rsid w:val="00B31C36"/>
    <w:rsid w:val="00B31DAC"/>
    <w:rsid w:val="00B359D3"/>
    <w:rsid w:val="00B41F20"/>
    <w:rsid w:val="00B42203"/>
    <w:rsid w:val="00B4302C"/>
    <w:rsid w:val="00B45A55"/>
    <w:rsid w:val="00B515F7"/>
    <w:rsid w:val="00B6149B"/>
    <w:rsid w:val="00B6606F"/>
    <w:rsid w:val="00B67ABF"/>
    <w:rsid w:val="00B70DB5"/>
    <w:rsid w:val="00B7591C"/>
    <w:rsid w:val="00B773B3"/>
    <w:rsid w:val="00B77CF3"/>
    <w:rsid w:val="00B82F97"/>
    <w:rsid w:val="00B83ACE"/>
    <w:rsid w:val="00B952C0"/>
    <w:rsid w:val="00B97F39"/>
    <w:rsid w:val="00BA07D5"/>
    <w:rsid w:val="00BA1986"/>
    <w:rsid w:val="00BA1BDD"/>
    <w:rsid w:val="00BA290F"/>
    <w:rsid w:val="00BA2E04"/>
    <w:rsid w:val="00BA41E8"/>
    <w:rsid w:val="00BA430B"/>
    <w:rsid w:val="00BA51B4"/>
    <w:rsid w:val="00BB0414"/>
    <w:rsid w:val="00BB3B7D"/>
    <w:rsid w:val="00BB7DBE"/>
    <w:rsid w:val="00BC0921"/>
    <w:rsid w:val="00BC1915"/>
    <w:rsid w:val="00BC3607"/>
    <w:rsid w:val="00BC3683"/>
    <w:rsid w:val="00BC640E"/>
    <w:rsid w:val="00BC76FD"/>
    <w:rsid w:val="00BD1543"/>
    <w:rsid w:val="00BD15A2"/>
    <w:rsid w:val="00BD3A5B"/>
    <w:rsid w:val="00BD43A8"/>
    <w:rsid w:val="00BE07E9"/>
    <w:rsid w:val="00BE5209"/>
    <w:rsid w:val="00BE5D13"/>
    <w:rsid w:val="00BE7015"/>
    <w:rsid w:val="00BE7AB6"/>
    <w:rsid w:val="00BF2030"/>
    <w:rsid w:val="00BF2623"/>
    <w:rsid w:val="00BF399C"/>
    <w:rsid w:val="00BF3C37"/>
    <w:rsid w:val="00BF4B1D"/>
    <w:rsid w:val="00BF66A5"/>
    <w:rsid w:val="00C04084"/>
    <w:rsid w:val="00C05CC3"/>
    <w:rsid w:val="00C071B5"/>
    <w:rsid w:val="00C113A3"/>
    <w:rsid w:val="00C127ED"/>
    <w:rsid w:val="00C12FB6"/>
    <w:rsid w:val="00C13C47"/>
    <w:rsid w:val="00C16709"/>
    <w:rsid w:val="00C1683B"/>
    <w:rsid w:val="00C17C3C"/>
    <w:rsid w:val="00C21499"/>
    <w:rsid w:val="00C2170F"/>
    <w:rsid w:val="00C24FF1"/>
    <w:rsid w:val="00C3115F"/>
    <w:rsid w:val="00C336E6"/>
    <w:rsid w:val="00C34A6F"/>
    <w:rsid w:val="00C371D0"/>
    <w:rsid w:val="00C42DE0"/>
    <w:rsid w:val="00C43116"/>
    <w:rsid w:val="00C43D02"/>
    <w:rsid w:val="00C444A3"/>
    <w:rsid w:val="00C45E06"/>
    <w:rsid w:val="00C468E7"/>
    <w:rsid w:val="00C479D2"/>
    <w:rsid w:val="00C51795"/>
    <w:rsid w:val="00C5205A"/>
    <w:rsid w:val="00C53623"/>
    <w:rsid w:val="00C56CAB"/>
    <w:rsid w:val="00C602E1"/>
    <w:rsid w:val="00C643A8"/>
    <w:rsid w:val="00C67D1F"/>
    <w:rsid w:val="00C70C13"/>
    <w:rsid w:val="00C720F6"/>
    <w:rsid w:val="00C7212C"/>
    <w:rsid w:val="00C73DCB"/>
    <w:rsid w:val="00C744FC"/>
    <w:rsid w:val="00C75477"/>
    <w:rsid w:val="00C75B86"/>
    <w:rsid w:val="00C76530"/>
    <w:rsid w:val="00C852D3"/>
    <w:rsid w:val="00C861D2"/>
    <w:rsid w:val="00C86636"/>
    <w:rsid w:val="00C87273"/>
    <w:rsid w:val="00C91FF4"/>
    <w:rsid w:val="00C93A86"/>
    <w:rsid w:val="00C93DE6"/>
    <w:rsid w:val="00C9730D"/>
    <w:rsid w:val="00C97717"/>
    <w:rsid w:val="00C9789E"/>
    <w:rsid w:val="00C979F2"/>
    <w:rsid w:val="00CB43F5"/>
    <w:rsid w:val="00CB4BCB"/>
    <w:rsid w:val="00CC0071"/>
    <w:rsid w:val="00CC193C"/>
    <w:rsid w:val="00CC22E0"/>
    <w:rsid w:val="00CC26A0"/>
    <w:rsid w:val="00CD0251"/>
    <w:rsid w:val="00CD21CC"/>
    <w:rsid w:val="00CD37F4"/>
    <w:rsid w:val="00CD4686"/>
    <w:rsid w:val="00CD543B"/>
    <w:rsid w:val="00CD62B1"/>
    <w:rsid w:val="00CD7C28"/>
    <w:rsid w:val="00CE02CC"/>
    <w:rsid w:val="00CE10AF"/>
    <w:rsid w:val="00CE4674"/>
    <w:rsid w:val="00CE647F"/>
    <w:rsid w:val="00CF0710"/>
    <w:rsid w:val="00CF1DFE"/>
    <w:rsid w:val="00CF40C7"/>
    <w:rsid w:val="00CF4898"/>
    <w:rsid w:val="00D016C3"/>
    <w:rsid w:val="00D0293B"/>
    <w:rsid w:val="00D02BA1"/>
    <w:rsid w:val="00D03545"/>
    <w:rsid w:val="00D035BF"/>
    <w:rsid w:val="00D063C5"/>
    <w:rsid w:val="00D0724A"/>
    <w:rsid w:val="00D10281"/>
    <w:rsid w:val="00D11124"/>
    <w:rsid w:val="00D11772"/>
    <w:rsid w:val="00D1184C"/>
    <w:rsid w:val="00D14FC5"/>
    <w:rsid w:val="00D22063"/>
    <w:rsid w:val="00D23CBF"/>
    <w:rsid w:val="00D2592D"/>
    <w:rsid w:val="00D32C5A"/>
    <w:rsid w:val="00D3337E"/>
    <w:rsid w:val="00D3644B"/>
    <w:rsid w:val="00D365E7"/>
    <w:rsid w:val="00D3705F"/>
    <w:rsid w:val="00D44577"/>
    <w:rsid w:val="00D44F81"/>
    <w:rsid w:val="00D460A4"/>
    <w:rsid w:val="00D461B9"/>
    <w:rsid w:val="00D47146"/>
    <w:rsid w:val="00D515B1"/>
    <w:rsid w:val="00D5369D"/>
    <w:rsid w:val="00D557DC"/>
    <w:rsid w:val="00D57ACC"/>
    <w:rsid w:val="00D57E2C"/>
    <w:rsid w:val="00D60864"/>
    <w:rsid w:val="00D61591"/>
    <w:rsid w:val="00D6380B"/>
    <w:rsid w:val="00D63F05"/>
    <w:rsid w:val="00D649A7"/>
    <w:rsid w:val="00D64B0A"/>
    <w:rsid w:val="00D6753C"/>
    <w:rsid w:val="00D718B2"/>
    <w:rsid w:val="00D72057"/>
    <w:rsid w:val="00D73E36"/>
    <w:rsid w:val="00D7461B"/>
    <w:rsid w:val="00D75633"/>
    <w:rsid w:val="00D75A0C"/>
    <w:rsid w:val="00D76760"/>
    <w:rsid w:val="00D77ADC"/>
    <w:rsid w:val="00D801EE"/>
    <w:rsid w:val="00D80769"/>
    <w:rsid w:val="00D8085B"/>
    <w:rsid w:val="00D80DDF"/>
    <w:rsid w:val="00D80F92"/>
    <w:rsid w:val="00D82EF4"/>
    <w:rsid w:val="00D83580"/>
    <w:rsid w:val="00D84533"/>
    <w:rsid w:val="00D854C9"/>
    <w:rsid w:val="00D8620B"/>
    <w:rsid w:val="00D87631"/>
    <w:rsid w:val="00D87E20"/>
    <w:rsid w:val="00D916CA"/>
    <w:rsid w:val="00D92106"/>
    <w:rsid w:val="00D93A72"/>
    <w:rsid w:val="00D93E87"/>
    <w:rsid w:val="00D9424D"/>
    <w:rsid w:val="00D9509E"/>
    <w:rsid w:val="00D97913"/>
    <w:rsid w:val="00DA09DD"/>
    <w:rsid w:val="00DA0D30"/>
    <w:rsid w:val="00DA2506"/>
    <w:rsid w:val="00DB297A"/>
    <w:rsid w:val="00DB2FC9"/>
    <w:rsid w:val="00DB681A"/>
    <w:rsid w:val="00DC08B9"/>
    <w:rsid w:val="00DC67BB"/>
    <w:rsid w:val="00DD1C1D"/>
    <w:rsid w:val="00DD5ABD"/>
    <w:rsid w:val="00DD66B8"/>
    <w:rsid w:val="00DE45F2"/>
    <w:rsid w:val="00DE475A"/>
    <w:rsid w:val="00DE752E"/>
    <w:rsid w:val="00DE7D8B"/>
    <w:rsid w:val="00DF0068"/>
    <w:rsid w:val="00DF0BA1"/>
    <w:rsid w:val="00DF0C91"/>
    <w:rsid w:val="00DF106D"/>
    <w:rsid w:val="00DF1E22"/>
    <w:rsid w:val="00DF2927"/>
    <w:rsid w:val="00DF3ED1"/>
    <w:rsid w:val="00DF6010"/>
    <w:rsid w:val="00DF6FD2"/>
    <w:rsid w:val="00E0216E"/>
    <w:rsid w:val="00E0571B"/>
    <w:rsid w:val="00E0660C"/>
    <w:rsid w:val="00E07C97"/>
    <w:rsid w:val="00E1203A"/>
    <w:rsid w:val="00E140C3"/>
    <w:rsid w:val="00E16822"/>
    <w:rsid w:val="00E21460"/>
    <w:rsid w:val="00E25658"/>
    <w:rsid w:val="00E259C6"/>
    <w:rsid w:val="00E2683F"/>
    <w:rsid w:val="00E31972"/>
    <w:rsid w:val="00E35D08"/>
    <w:rsid w:val="00E361C7"/>
    <w:rsid w:val="00E363FA"/>
    <w:rsid w:val="00E41612"/>
    <w:rsid w:val="00E4178C"/>
    <w:rsid w:val="00E45152"/>
    <w:rsid w:val="00E4727C"/>
    <w:rsid w:val="00E55288"/>
    <w:rsid w:val="00E5599C"/>
    <w:rsid w:val="00E56067"/>
    <w:rsid w:val="00E602E9"/>
    <w:rsid w:val="00E65172"/>
    <w:rsid w:val="00E67B95"/>
    <w:rsid w:val="00E70F36"/>
    <w:rsid w:val="00E713DC"/>
    <w:rsid w:val="00E71E2A"/>
    <w:rsid w:val="00E72631"/>
    <w:rsid w:val="00E73246"/>
    <w:rsid w:val="00E749A7"/>
    <w:rsid w:val="00E776C0"/>
    <w:rsid w:val="00E77D42"/>
    <w:rsid w:val="00E842C3"/>
    <w:rsid w:val="00E8707F"/>
    <w:rsid w:val="00E9012B"/>
    <w:rsid w:val="00E91053"/>
    <w:rsid w:val="00E91BCF"/>
    <w:rsid w:val="00E92A2B"/>
    <w:rsid w:val="00E944C4"/>
    <w:rsid w:val="00E9611A"/>
    <w:rsid w:val="00E97316"/>
    <w:rsid w:val="00EA3B00"/>
    <w:rsid w:val="00EA5385"/>
    <w:rsid w:val="00EA5D1A"/>
    <w:rsid w:val="00EA6F86"/>
    <w:rsid w:val="00EB01C4"/>
    <w:rsid w:val="00EB0520"/>
    <w:rsid w:val="00EB4B33"/>
    <w:rsid w:val="00EB5848"/>
    <w:rsid w:val="00EB5B0B"/>
    <w:rsid w:val="00EB686F"/>
    <w:rsid w:val="00EB77A1"/>
    <w:rsid w:val="00EC3EDA"/>
    <w:rsid w:val="00EC4A1B"/>
    <w:rsid w:val="00EC5C97"/>
    <w:rsid w:val="00EC6512"/>
    <w:rsid w:val="00ED1856"/>
    <w:rsid w:val="00ED2367"/>
    <w:rsid w:val="00ED2D5F"/>
    <w:rsid w:val="00ED58C7"/>
    <w:rsid w:val="00ED72C8"/>
    <w:rsid w:val="00EE377B"/>
    <w:rsid w:val="00EE4517"/>
    <w:rsid w:val="00EE4E03"/>
    <w:rsid w:val="00EE541E"/>
    <w:rsid w:val="00EE586F"/>
    <w:rsid w:val="00EE5F60"/>
    <w:rsid w:val="00EE7DE2"/>
    <w:rsid w:val="00EF066D"/>
    <w:rsid w:val="00EF2276"/>
    <w:rsid w:val="00EF301D"/>
    <w:rsid w:val="00EF39BE"/>
    <w:rsid w:val="00EF5259"/>
    <w:rsid w:val="00EF737E"/>
    <w:rsid w:val="00EF7F1F"/>
    <w:rsid w:val="00F02492"/>
    <w:rsid w:val="00F030E2"/>
    <w:rsid w:val="00F078EC"/>
    <w:rsid w:val="00F1147D"/>
    <w:rsid w:val="00F11A9F"/>
    <w:rsid w:val="00F14E14"/>
    <w:rsid w:val="00F15B79"/>
    <w:rsid w:val="00F21DDE"/>
    <w:rsid w:val="00F27D70"/>
    <w:rsid w:val="00F32071"/>
    <w:rsid w:val="00F3217E"/>
    <w:rsid w:val="00F32664"/>
    <w:rsid w:val="00F35D1A"/>
    <w:rsid w:val="00F41E9D"/>
    <w:rsid w:val="00F426F2"/>
    <w:rsid w:val="00F446FF"/>
    <w:rsid w:val="00F449A4"/>
    <w:rsid w:val="00F525BB"/>
    <w:rsid w:val="00F53058"/>
    <w:rsid w:val="00F533C6"/>
    <w:rsid w:val="00F5368D"/>
    <w:rsid w:val="00F547AE"/>
    <w:rsid w:val="00F56C8A"/>
    <w:rsid w:val="00F611EB"/>
    <w:rsid w:val="00F6131C"/>
    <w:rsid w:val="00F63961"/>
    <w:rsid w:val="00F63B64"/>
    <w:rsid w:val="00F733E1"/>
    <w:rsid w:val="00F83017"/>
    <w:rsid w:val="00F847B1"/>
    <w:rsid w:val="00F86238"/>
    <w:rsid w:val="00F90B66"/>
    <w:rsid w:val="00F9152F"/>
    <w:rsid w:val="00F95BFC"/>
    <w:rsid w:val="00F96F1A"/>
    <w:rsid w:val="00FA00A1"/>
    <w:rsid w:val="00FA0B5C"/>
    <w:rsid w:val="00FA329C"/>
    <w:rsid w:val="00FA56B6"/>
    <w:rsid w:val="00FB024A"/>
    <w:rsid w:val="00FB3DA0"/>
    <w:rsid w:val="00FB5033"/>
    <w:rsid w:val="00FC2F3D"/>
    <w:rsid w:val="00FC5712"/>
    <w:rsid w:val="00FC71A9"/>
    <w:rsid w:val="00FD0469"/>
    <w:rsid w:val="00FD2236"/>
    <w:rsid w:val="00FD2759"/>
    <w:rsid w:val="00FD2879"/>
    <w:rsid w:val="00FE699A"/>
    <w:rsid w:val="00FE7402"/>
    <w:rsid w:val="00FF02F5"/>
    <w:rsid w:val="00FF12EF"/>
    <w:rsid w:val="00FF4576"/>
    <w:rsid w:val="00FF64C6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1C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Theme="minorHAnsi" w:hAnsi="Lucida Sans Unicode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D0DC3"/>
  </w:style>
  <w:style w:type="character" w:styleId="Hyperlink">
    <w:name w:val="Hyperlink"/>
    <w:basedOn w:val="Standaardalinea-lettertype"/>
    <w:uiPriority w:val="99"/>
    <w:unhideWhenUsed/>
    <w:rsid w:val="009D0DC3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D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5B5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D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5B5D"/>
  </w:style>
  <w:style w:type="paragraph" w:styleId="Voettekst">
    <w:name w:val="footer"/>
    <w:basedOn w:val="Standaard"/>
    <w:link w:val="VoettekstChar"/>
    <w:uiPriority w:val="99"/>
    <w:unhideWhenUsed/>
    <w:rsid w:val="001D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5B5D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D5B5D"/>
    <w:pPr>
      <w:spacing w:line="240" w:lineRule="auto"/>
    </w:pPr>
    <w:rPr>
      <w:b/>
      <w:bCs/>
      <w:color w:val="4F81BD" w:themeColor="accent1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C497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7C4972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C4972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497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4972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EE4517"/>
    <w:pPr>
      <w:ind w:left="720"/>
      <w:contextualSpacing/>
    </w:pPr>
  </w:style>
  <w:style w:type="paragraph" w:customStyle="1" w:styleId="EndNoteBibliographyTitle">
    <w:name w:val="EndNote Bibliography Title"/>
    <w:basedOn w:val="Standaard"/>
    <w:link w:val="EndNoteBibliographyTitleChar"/>
    <w:rsid w:val="002E48B2"/>
    <w:pPr>
      <w:spacing w:after="0"/>
      <w:jc w:val="center"/>
    </w:pPr>
    <w:rPr>
      <w:rFonts w:cs="Lucida Sans Unicode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2E48B2"/>
    <w:rPr>
      <w:rFonts w:cs="Lucida Sans Unicode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2E48B2"/>
    <w:pPr>
      <w:spacing w:line="240" w:lineRule="auto"/>
    </w:pPr>
    <w:rPr>
      <w:rFonts w:cs="Lucida Sans Unicode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2E48B2"/>
    <w:rPr>
      <w:rFonts w:cs="Lucida Sans Unicode"/>
      <w:noProof/>
      <w:lang w:val="en-US"/>
    </w:rPr>
  </w:style>
  <w:style w:type="paragraph" w:styleId="Revisie">
    <w:name w:val="Revision"/>
    <w:hidden/>
    <w:uiPriority w:val="99"/>
    <w:semiHidden/>
    <w:rsid w:val="0064421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Theme="minorHAnsi" w:hAnsi="Lucida Sans Unicode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D0DC3"/>
  </w:style>
  <w:style w:type="character" w:styleId="Hyperlink">
    <w:name w:val="Hyperlink"/>
    <w:basedOn w:val="Standaardalinea-lettertype"/>
    <w:uiPriority w:val="99"/>
    <w:unhideWhenUsed/>
    <w:rsid w:val="009D0DC3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D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5B5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D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5B5D"/>
  </w:style>
  <w:style w:type="paragraph" w:styleId="Voettekst">
    <w:name w:val="footer"/>
    <w:basedOn w:val="Standaard"/>
    <w:link w:val="VoettekstChar"/>
    <w:uiPriority w:val="99"/>
    <w:unhideWhenUsed/>
    <w:rsid w:val="001D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5B5D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D5B5D"/>
    <w:pPr>
      <w:spacing w:line="240" w:lineRule="auto"/>
    </w:pPr>
    <w:rPr>
      <w:b/>
      <w:bCs/>
      <w:color w:val="4F81BD" w:themeColor="accent1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C497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7C4972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C4972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497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4972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EE4517"/>
    <w:pPr>
      <w:ind w:left="720"/>
      <w:contextualSpacing/>
    </w:pPr>
  </w:style>
  <w:style w:type="paragraph" w:customStyle="1" w:styleId="EndNoteBibliographyTitle">
    <w:name w:val="EndNote Bibliography Title"/>
    <w:basedOn w:val="Standaard"/>
    <w:link w:val="EndNoteBibliographyTitleChar"/>
    <w:rsid w:val="002E48B2"/>
    <w:pPr>
      <w:spacing w:after="0"/>
      <w:jc w:val="center"/>
    </w:pPr>
    <w:rPr>
      <w:rFonts w:cs="Lucida Sans Unicode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2E48B2"/>
    <w:rPr>
      <w:rFonts w:cs="Lucida Sans Unicode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2E48B2"/>
    <w:pPr>
      <w:spacing w:line="240" w:lineRule="auto"/>
    </w:pPr>
    <w:rPr>
      <w:rFonts w:cs="Lucida Sans Unicode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2E48B2"/>
    <w:rPr>
      <w:rFonts w:cs="Lucida Sans Unicode"/>
      <w:noProof/>
      <w:lang w:val="en-US"/>
    </w:rPr>
  </w:style>
  <w:style w:type="paragraph" w:styleId="Revisie">
    <w:name w:val="Revision"/>
    <w:hidden/>
    <w:uiPriority w:val="99"/>
    <w:semiHidden/>
    <w:rsid w:val="0064421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C304-2405-4BDF-AC4A-1B7168F7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3F4E12D5</Template>
  <TotalTime>5</TotalTime>
  <Pages>22</Pages>
  <Words>4275</Words>
  <Characters>23517</Characters>
  <Application>Microsoft Office Word</Application>
  <DocSecurity>0</DocSecurity>
  <Lines>195</Lines>
  <Paragraphs>55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SEIN</Company>
  <LinksUpToDate>false</LinksUpToDate>
  <CharactersWithSpaces>27737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Berghuis, Bianca</dc:creator>
  <cp:lastModifiedBy>Berghuis, Bianca</cp:lastModifiedBy>
  <cp:revision>4</cp:revision>
  <dcterms:created xsi:type="dcterms:W3CDTF">2017-03-24T08:36:00Z</dcterms:created>
  <dcterms:modified xsi:type="dcterms:W3CDTF">2017-03-24T08:41:00Z</dcterms:modified>
</cp:coreProperties>
</file>