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AC139" w14:textId="110C5814" w:rsidR="00914F3E" w:rsidRPr="00E772BE" w:rsidRDefault="00914F3E" w:rsidP="008B14B2">
      <w:pPr>
        <w:jc w:val="center"/>
        <w:rPr>
          <w:rFonts w:ascii="Times New Roman" w:hAnsi="Times New Roman" w:cs="Times New Roman"/>
          <w:b/>
        </w:rPr>
      </w:pPr>
      <w:r w:rsidRPr="00E772BE">
        <w:rPr>
          <w:rFonts w:ascii="Times New Roman" w:hAnsi="Times New Roman" w:cs="Times New Roman"/>
          <w:b/>
        </w:rPr>
        <w:t>Faux Research in the Service of Ideological Deceit during the 2016 EU Referendum Campaign: The Legal Surreality of Leave’s “Sovereignty” Statistics</w:t>
      </w:r>
    </w:p>
    <w:p w14:paraId="7E0370AF" w14:textId="77777777" w:rsidR="00914F3E" w:rsidRPr="00E772BE" w:rsidRDefault="00914F3E" w:rsidP="008B14B2">
      <w:pPr>
        <w:jc w:val="both"/>
        <w:rPr>
          <w:rFonts w:ascii="Times New Roman" w:hAnsi="Times New Roman" w:cs="Times New Roman"/>
        </w:rPr>
      </w:pPr>
    </w:p>
    <w:p w14:paraId="1582E8B4" w14:textId="77777777" w:rsidR="008B14B2" w:rsidRPr="00E772BE" w:rsidRDefault="008B14B2" w:rsidP="008B14B2">
      <w:pPr>
        <w:jc w:val="both"/>
        <w:rPr>
          <w:rFonts w:ascii="Times New Roman" w:hAnsi="Times New Roman" w:cs="Times New Roman"/>
        </w:rPr>
      </w:pPr>
    </w:p>
    <w:p w14:paraId="219BB84E" w14:textId="37A6C044" w:rsidR="00914F3E" w:rsidRPr="00E772BE" w:rsidRDefault="00914F3E" w:rsidP="008B14B2">
      <w:pPr>
        <w:jc w:val="center"/>
        <w:rPr>
          <w:rFonts w:ascii="Times New Roman" w:hAnsi="Times New Roman" w:cs="Times New Roman"/>
        </w:rPr>
      </w:pPr>
      <w:r w:rsidRPr="00E772BE">
        <w:rPr>
          <w:rFonts w:ascii="Times New Roman" w:hAnsi="Times New Roman" w:cs="Times New Roman"/>
          <w:i/>
        </w:rPr>
        <w:t>Michael Dougan</w:t>
      </w:r>
      <w:r w:rsidRPr="00E772BE">
        <w:rPr>
          <w:rFonts w:ascii="Times New Roman" w:hAnsi="Times New Roman" w:cs="Times New Roman"/>
        </w:rPr>
        <w:t>*</w:t>
      </w:r>
    </w:p>
    <w:p w14:paraId="6DFA5549" w14:textId="77777777" w:rsidR="00914F3E" w:rsidRPr="00E772BE" w:rsidRDefault="00914F3E" w:rsidP="008B14B2">
      <w:pPr>
        <w:jc w:val="both"/>
        <w:rPr>
          <w:rFonts w:ascii="Times New Roman" w:hAnsi="Times New Roman" w:cs="Times New Roman"/>
        </w:rPr>
      </w:pPr>
    </w:p>
    <w:p w14:paraId="132AB62A" w14:textId="77777777" w:rsidR="00914F3E" w:rsidRPr="00E772BE" w:rsidRDefault="00914F3E" w:rsidP="008B14B2">
      <w:pPr>
        <w:jc w:val="both"/>
        <w:rPr>
          <w:rFonts w:ascii="Times New Roman" w:hAnsi="Times New Roman" w:cs="Times New Roman"/>
        </w:rPr>
      </w:pPr>
    </w:p>
    <w:p w14:paraId="3818B7AD" w14:textId="77777777" w:rsidR="00080A89" w:rsidRPr="00E772BE" w:rsidRDefault="00080A89" w:rsidP="008B14B2">
      <w:pPr>
        <w:jc w:val="both"/>
        <w:rPr>
          <w:rFonts w:ascii="Times New Roman" w:hAnsi="Times New Roman" w:cs="Times New Roman"/>
        </w:rPr>
      </w:pPr>
    </w:p>
    <w:p w14:paraId="00AB8FB4" w14:textId="15878E2D" w:rsidR="00F66AE9" w:rsidRPr="00E772BE" w:rsidRDefault="00F66AE9" w:rsidP="008B14B2">
      <w:pPr>
        <w:jc w:val="both"/>
        <w:rPr>
          <w:rFonts w:ascii="Times New Roman" w:hAnsi="Times New Roman" w:cs="Times New Roman"/>
          <w:b/>
        </w:rPr>
      </w:pPr>
      <w:r w:rsidRPr="00E772BE">
        <w:rPr>
          <w:rFonts w:ascii="Times New Roman" w:hAnsi="Times New Roman" w:cs="Times New Roman"/>
          <w:b/>
        </w:rPr>
        <w:t>Introduction</w:t>
      </w:r>
    </w:p>
    <w:p w14:paraId="50B48AD0" w14:textId="77777777" w:rsidR="00F66AE9" w:rsidRPr="00E772BE" w:rsidRDefault="00F66AE9" w:rsidP="008B14B2">
      <w:pPr>
        <w:jc w:val="both"/>
        <w:rPr>
          <w:rFonts w:ascii="Times New Roman" w:hAnsi="Times New Roman" w:cs="Times New Roman"/>
        </w:rPr>
      </w:pPr>
    </w:p>
    <w:p w14:paraId="45BF7B0F" w14:textId="46A47B3D" w:rsidR="009676F8" w:rsidRPr="00E772BE" w:rsidRDefault="009676F8" w:rsidP="008B14B2">
      <w:pPr>
        <w:widowControl w:val="0"/>
        <w:autoSpaceDE w:val="0"/>
        <w:autoSpaceDN w:val="0"/>
        <w:adjustRightInd w:val="0"/>
        <w:jc w:val="both"/>
        <w:rPr>
          <w:rFonts w:ascii="Times New Roman" w:hAnsi="Times New Roman" w:cs="Times New Roman"/>
        </w:rPr>
      </w:pPr>
      <w:r w:rsidRPr="00E772BE">
        <w:rPr>
          <w:rFonts w:ascii="Times New Roman" w:hAnsi="Times New Roman" w:cs="Times New Roman"/>
        </w:rPr>
        <w:t>The Leave alliance of 2016 conducted one of the most dishonest political campaigns in modern British history.</w:t>
      </w:r>
      <w:r w:rsidRPr="00E772BE">
        <w:rPr>
          <w:rStyle w:val="FootnoteReference"/>
          <w:rFonts w:ascii="Times New Roman" w:hAnsi="Times New Roman" w:cs="Times New Roman"/>
        </w:rPr>
        <w:footnoteReference w:id="1"/>
      </w:r>
      <w:r w:rsidRPr="00E772BE">
        <w:rPr>
          <w:rFonts w:ascii="Times New Roman" w:hAnsi="Times New Roman" w:cs="Times New Roman"/>
        </w:rPr>
        <w:t xml:space="preserve">  In doing so, those responsible not only demeaned and debased our democracy.  They also sought to inflict immeasurable damage upon some of the most important values which the academic profession is entrusted to represent and defend: the commitment to pragmatic, rational, evidence-based scientific investigation, which seeks to inform and better our society through the cultivation of expert skill, knowledge and experience, to be tested and refined through a process of objective and rigorous peer review.  It is simply impossible to reconcile those values with a politics which is proudly ideological and, with it, indifferent to evidence, immune to persuasion, cynically selective and self-serving in its analysis, and ultimately anti-democratic in its intolerance of dissent.</w:t>
      </w:r>
      <w:r w:rsidR="00114743" w:rsidRPr="00E772BE">
        <w:rPr>
          <w:rStyle w:val="FootnoteReference"/>
          <w:rFonts w:ascii="Times New Roman" w:hAnsi="Times New Roman" w:cs="Times New Roman"/>
        </w:rPr>
        <w:footnoteReference w:id="2"/>
      </w:r>
    </w:p>
    <w:p w14:paraId="387BD598" w14:textId="357B258B" w:rsidR="00375AC3" w:rsidRPr="00E772BE" w:rsidRDefault="009676F8" w:rsidP="008B14B2">
      <w:pPr>
        <w:widowControl w:val="0"/>
        <w:autoSpaceDE w:val="0"/>
        <w:autoSpaceDN w:val="0"/>
        <w:adjustRightInd w:val="0"/>
        <w:ind w:firstLine="720"/>
        <w:jc w:val="both"/>
        <w:rPr>
          <w:rFonts w:ascii="Times New Roman" w:hAnsi="Times New Roman" w:cs="Times New Roman"/>
        </w:rPr>
      </w:pPr>
      <w:r w:rsidRPr="00E772BE">
        <w:rPr>
          <w:rFonts w:ascii="Times New Roman" w:hAnsi="Times New Roman" w:cs="Times New Roman"/>
        </w:rPr>
        <w:t xml:space="preserve">That irreconcilable conflict is well illustrated by examining, from the perspective of a legal researcher, </w:t>
      </w:r>
      <w:r w:rsidR="0070729B" w:rsidRPr="00E772BE">
        <w:rPr>
          <w:rFonts w:ascii="Times New Roman" w:hAnsi="Times New Roman" w:cs="Times New Roman"/>
        </w:rPr>
        <w:t xml:space="preserve">the </w:t>
      </w:r>
      <w:r w:rsidRPr="00E772BE">
        <w:rPr>
          <w:rFonts w:ascii="Times New Roman" w:hAnsi="Times New Roman" w:cs="Times New Roman"/>
        </w:rPr>
        <w:t xml:space="preserve">manner </w:t>
      </w:r>
      <w:r w:rsidR="00375AC3" w:rsidRPr="00E772BE">
        <w:rPr>
          <w:rFonts w:ascii="Times New Roman" w:hAnsi="Times New Roman" w:cs="Times New Roman"/>
        </w:rPr>
        <w:t xml:space="preserve">in which various Leave campaigners sought to use – or rather, succeeded in seriously abusing – “statistical evidence” about constitutional phenomena </w:t>
      </w:r>
      <w:r w:rsidRPr="00E772BE">
        <w:rPr>
          <w:rFonts w:ascii="Times New Roman" w:hAnsi="Times New Roman" w:cs="Times New Roman"/>
        </w:rPr>
        <w:t xml:space="preserve">during </w:t>
      </w:r>
      <w:r w:rsidR="00375AC3" w:rsidRPr="00E772BE">
        <w:rPr>
          <w:rFonts w:ascii="Times New Roman" w:hAnsi="Times New Roman" w:cs="Times New Roman"/>
        </w:rPr>
        <w:t>the referendum campaign.</w:t>
      </w:r>
      <w:r w:rsidRPr="00E772BE">
        <w:rPr>
          <w:rFonts w:ascii="Times New Roman" w:hAnsi="Times New Roman" w:cs="Times New Roman"/>
        </w:rPr>
        <w:t xml:space="preserve">  One could chose any number of examples to work through in </w:t>
      </w:r>
      <w:r w:rsidR="00F66AE9" w:rsidRPr="00E772BE">
        <w:rPr>
          <w:rFonts w:ascii="Times New Roman" w:hAnsi="Times New Roman" w:cs="Times New Roman"/>
        </w:rPr>
        <w:t xml:space="preserve">greater detail, but one of the most interesting involves </w:t>
      </w:r>
      <w:r w:rsidR="00375AC3" w:rsidRPr="00E772BE">
        <w:rPr>
          <w:rFonts w:ascii="Times New Roman" w:hAnsi="Times New Roman" w:cs="Times New Roman"/>
        </w:rPr>
        <w:t xml:space="preserve">the Leave campaign’s statistics about the proportion of law imposed </w:t>
      </w:r>
      <w:r w:rsidR="00F66AE9" w:rsidRPr="00E772BE">
        <w:rPr>
          <w:rFonts w:ascii="Times New Roman" w:hAnsi="Times New Roman" w:cs="Times New Roman"/>
        </w:rPr>
        <w:t xml:space="preserve">upon the UK </w:t>
      </w:r>
      <w:r w:rsidR="00375AC3" w:rsidRPr="00E772BE">
        <w:rPr>
          <w:rFonts w:ascii="Times New Roman" w:hAnsi="Times New Roman" w:cs="Times New Roman"/>
        </w:rPr>
        <w:t xml:space="preserve">by </w:t>
      </w:r>
      <w:r w:rsidR="00F66AE9" w:rsidRPr="00E772BE">
        <w:rPr>
          <w:rFonts w:ascii="Times New Roman" w:hAnsi="Times New Roman" w:cs="Times New Roman"/>
        </w:rPr>
        <w:t xml:space="preserve">the tyrants in </w:t>
      </w:r>
      <w:r w:rsidR="00375AC3" w:rsidRPr="00E772BE">
        <w:rPr>
          <w:rFonts w:ascii="Times New Roman" w:hAnsi="Times New Roman" w:cs="Times New Roman"/>
        </w:rPr>
        <w:t xml:space="preserve">Brussels, </w:t>
      </w:r>
      <w:r w:rsidR="00F66AE9" w:rsidRPr="00E772BE">
        <w:rPr>
          <w:rFonts w:ascii="Times New Roman" w:hAnsi="Times New Roman" w:cs="Times New Roman"/>
        </w:rPr>
        <w:t xml:space="preserve">aimed at proving </w:t>
      </w:r>
      <w:r w:rsidR="00375AC3" w:rsidRPr="00E772BE">
        <w:rPr>
          <w:rFonts w:ascii="Times New Roman" w:hAnsi="Times New Roman" w:cs="Times New Roman"/>
        </w:rPr>
        <w:t>their argument that UK sovereignty had been stolen away by the EU</w:t>
      </w:r>
      <w:r w:rsidR="00F66AE9" w:rsidRPr="00E772BE">
        <w:rPr>
          <w:rFonts w:ascii="Times New Roman" w:hAnsi="Times New Roman" w:cs="Times New Roman"/>
        </w:rPr>
        <w:t xml:space="preserve"> – interesting </w:t>
      </w:r>
      <w:r w:rsidR="00375AC3" w:rsidRPr="00E772BE">
        <w:rPr>
          <w:rFonts w:ascii="Times New Roman" w:hAnsi="Times New Roman" w:cs="Times New Roman"/>
        </w:rPr>
        <w:t xml:space="preserve">partly because </w:t>
      </w:r>
      <w:r w:rsidR="00F66AE9" w:rsidRPr="00E772BE">
        <w:rPr>
          <w:rFonts w:ascii="Times New Roman" w:hAnsi="Times New Roman" w:cs="Times New Roman"/>
        </w:rPr>
        <w:t xml:space="preserve">the idea of “taking back control” played such a </w:t>
      </w:r>
      <w:r w:rsidR="00375AC3" w:rsidRPr="00E772BE">
        <w:rPr>
          <w:rFonts w:ascii="Times New Roman" w:hAnsi="Times New Roman" w:cs="Times New Roman"/>
        </w:rPr>
        <w:t xml:space="preserve">prominent role in the Leave campaign and </w:t>
      </w:r>
      <w:r w:rsidR="00F66AE9" w:rsidRPr="00E772BE">
        <w:rPr>
          <w:rFonts w:ascii="Times New Roman" w:hAnsi="Times New Roman" w:cs="Times New Roman"/>
        </w:rPr>
        <w:t xml:space="preserve">has been interpreted </w:t>
      </w:r>
      <w:r w:rsidR="00114743" w:rsidRPr="00E772BE">
        <w:rPr>
          <w:rFonts w:ascii="Times New Roman" w:hAnsi="Times New Roman" w:cs="Times New Roman"/>
        </w:rPr>
        <w:t xml:space="preserve">(not least by the Government) </w:t>
      </w:r>
      <w:r w:rsidR="00F66AE9" w:rsidRPr="00E772BE">
        <w:rPr>
          <w:rFonts w:ascii="Times New Roman" w:hAnsi="Times New Roman" w:cs="Times New Roman"/>
        </w:rPr>
        <w:t xml:space="preserve">as </w:t>
      </w:r>
      <w:r w:rsidR="00114743" w:rsidRPr="00E772BE">
        <w:rPr>
          <w:rFonts w:ascii="Times New Roman" w:hAnsi="Times New Roman" w:cs="Times New Roman"/>
        </w:rPr>
        <w:t xml:space="preserve">a leading </w:t>
      </w:r>
      <w:r w:rsidR="00411DC1" w:rsidRPr="00E772BE">
        <w:rPr>
          <w:rFonts w:ascii="Times New Roman" w:hAnsi="Times New Roman" w:cs="Times New Roman"/>
        </w:rPr>
        <w:t xml:space="preserve">consideration </w:t>
      </w:r>
      <w:r w:rsidR="00F66AE9" w:rsidRPr="00E772BE">
        <w:rPr>
          <w:rFonts w:ascii="Times New Roman" w:hAnsi="Times New Roman" w:cs="Times New Roman"/>
        </w:rPr>
        <w:t xml:space="preserve">behind the majority vote to </w:t>
      </w:r>
      <w:r w:rsidR="00375AC3" w:rsidRPr="00E772BE">
        <w:rPr>
          <w:rFonts w:ascii="Times New Roman" w:hAnsi="Times New Roman" w:cs="Times New Roman"/>
        </w:rPr>
        <w:t>leave</w:t>
      </w:r>
      <w:r w:rsidR="00F66AE9" w:rsidRPr="00E772BE">
        <w:rPr>
          <w:rFonts w:ascii="Times New Roman" w:hAnsi="Times New Roman" w:cs="Times New Roman"/>
        </w:rPr>
        <w:t>;</w:t>
      </w:r>
      <w:r w:rsidR="00114743" w:rsidRPr="00E772BE">
        <w:rPr>
          <w:rStyle w:val="FootnoteReference"/>
          <w:rFonts w:ascii="Times New Roman" w:hAnsi="Times New Roman" w:cs="Times New Roman"/>
        </w:rPr>
        <w:footnoteReference w:id="3"/>
      </w:r>
      <w:r w:rsidR="00F66AE9" w:rsidRPr="00E772BE">
        <w:rPr>
          <w:rFonts w:ascii="Times New Roman" w:hAnsi="Times New Roman" w:cs="Times New Roman"/>
        </w:rPr>
        <w:t xml:space="preserve"> </w:t>
      </w:r>
      <w:r w:rsidR="00375AC3" w:rsidRPr="00E772BE">
        <w:rPr>
          <w:rFonts w:ascii="Times New Roman" w:hAnsi="Times New Roman" w:cs="Times New Roman"/>
        </w:rPr>
        <w:t xml:space="preserve">and partly </w:t>
      </w:r>
      <w:r w:rsidR="00F66AE9" w:rsidRPr="00E772BE">
        <w:rPr>
          <w:rFonts w:ascii="Times New Roman" w:hAnsi="Times New Roman" w:cs="Times New Roman"/>
        </w:rPr>
        <w:t xml:space="preserve">also </w:t>
      </w:r>
      <w:r w:rsidR="00375AC3" w:rsidRPr="00E772BE">
        <w:rPr>
          <w:rFonts w:ascii="Times New Roman" w:hAnsi="Times New Roman" w:cs="Times New Roman"/>
        </w:rPr>
        <w:t xml:space="preserve">because it is such an excellent illustration of the rank incompetence and </w:t>
      </w:r>
      <w:r w:rsidR="00411DC1" w:rsidRPr="00E772BE">
        <w:rPr>
          <w:rFonts w:ascii="Times New Roman" w:hAnsi="Times New Roman" w:cs="Times New Roman"/>
        </w:rPr>
        <w:t xml:space="preserve">/ or </w:t>
      </w:r>
      <w:r w:rsidR="00375AC3" w:rsidRPr="00E772BE">
        <w:rPr>
          <w:rFonts w:ascii="Times New Roman" w:hAnsi="Times New Roman" w:cs="Times New Roman"/>
        </w:rPr>
        <w:t xml:space="preserve">shameless dishonesty which fuelled </w:t>
      </w:r>
      <w:r w:rsidR="00114743" w:rsidRPr="00E772BE">
        <w:rPr>
          <w:rFonts w:ascii="Times New Roman" w:hAnsi="Times New Roman" w:cs="Times New Roman"/>
        </w:rPr>
        <w:t xml:space="preserve">so many of </w:t>
      </w:r>
      <w:r w:rsidR="00375AC3" w:rsidRPr="00E772BE">
        <w:rPr>
          <w:rFonts w:ascii="Times New Roman" w:hAnsi="Times New Roman" w:cs="Times New Roman"/>
        </w:rPr>
        <w:t>the Leave campaign’s arguments</w:t>
      </w:r>
      <w:r w:rsidR="00F66AE9" w:rsidRPr="00E772BE">
        <w:rPr>
          <w:rFonts w:ascii="Times New Roman" w:hAnsi="Times New Roman" w:cs="Times New Roman"/>
        </w:rPr>
        <w:t xml:space="preserve">.  </w:t>
      </w:r>
    </w:p>
    <w:p w14:paraId="01BDF879" w14:textId="77777777" w:rsidR="00375AC3" w:rsidRPr="00E772BE" w:rsidRDefault="00375AC3" w:rsidP="008B14B2">
      <w:pPr>
        <w:jc w:val="both"/>
        <w:rPr>
          <w:rFonts w:ascii="Times New Roman" w:hAnsi="Times New Roman" w:cs="Times New Roman"/>
        </w:rPr>
      </w:pPr>
    </w:p>
    <w:p w14:paraId="0C660787" w14:textId="3B39CAD4" w:rsidR="00F66AE9" w:rsidRPr="00E772BE" w:rsidRDefault="007A2B51" w:rsidP="008B14B2">
      <w:pPr>
        <w:jc w:val="both"/>
        <w:rPr>
          <w:rFonts w:ascii="Times New Roman" w:hAnsi="Times New Roman" w:cs="Times New Roman"/>
          <w:b/>
        </w:rPr>
      </w:pPr>
      <w:r w:rsidRPr="00E772BE">
        <w:rPr>
          <w:rFonts w:ascii="Times New Roman" w:hAnsi="Times New Roman" w:cs="Times New Roman"/>
          <w:b/>
        </w:rPr>
        <w:t>Leave’s sovereignty analysis: why let the facts get in the way of a good lie?</w:t>
      </w:r>
      <w:r w:rsidR="00F66AE9" w:rsidRPr="00E772BE">
        <w:rPr>
          <w:rFonts w:ascii="Times New Roman" w:hAnsi="Times New Roman" w:cs="Times New Roman"/>
          <w:b/>
        </w:rPr>
        <w:t xml:space="preserve"> </w:t>
      </w:r>
    </w:p>
    <w:p w14:paraId="413B7BD7" w14:textId="77777777" w:rsidR="00F66AE9" w:rsidRPr="00E772BE" w:rsidRDefault="00F66AE9" w:rsidP="008B14B2">
      <w:pPr>
        <w:jc w:val="both"/>
        <w:rPr>
          <w:rFonts w:ascii="Times New Roman" w:hAnsi="Times New Roman" w:cs="Times New Roman"/>
        </w:rPr>
      </w:pPr>
    </w:p>
    <w:p w14:paraId="11AAA27B" w14:textId="7C237AAE" w:rsidR="00E5135B" w:rsidRPr="00E772BE" w:rsidRDefault="007A2B51" w:rsidP="008B14B2">
      <w:pPr>
        <w:jc w:val="both"/>
        <w:rPr>
          <w:rFonts w:ascii="Times New Roman" w:hAnsi="Times New Roman" w:cs="Times New Roman"/>
        </w:rPr>
      </w:pPr>
      <w:r w:rsidRPr="00E772BE">
        <w:rPr>
          <w:rFonts w:ascii="Times New Roman" w:hAnsi="Times New Roman" w:cs="Times New Roman"/>
        </w:rPr>
        <w:t>O</w:t>
      </w:r>
      <w:r w:rsidR="00375AC3" w:rsidRPr="00E772BE">
        <w:rPr>
          <w:rFonts w:ascii="Times New Roman" w:hAnsi="Times New Roman" w:cs="Times New Roman"/>
        </w:rPr>
        <w:t>ne of the key planks in the Leave campaign was the argument about sovereignty</w:t>
      </w:r>
      <w:r w:rsidRPr="00E772BE">
        <w:rPr>
          <w:rFonts w:ascii="Times New Roman" w:hAnsi="Times New Roman" w:cs="Times New Roman"/>
        </w:rPr>
        <w:t xml:space="preserve">: the </w:t>
      </w:r>
      <w:r w:rsidR="00375AC3" w:rsidRPr="00E772BE">
        <w:rPr>
          <w:rFonts w:ascii="Times New Roman" w:hAnsi="Times New Roman" w:cs="Times New Roman"/>
        </w:rPr>
        <w:t>UK had lost its sovereignty through EU membership and could only regain it by leaving</w:t>
      </w:r>
      <w:r w:rsidRPr="00E772BE">
        <w:rPr>
          <w:rFonts w:ascii="Times New Roman" w:hAnsi="Times New Roman" w:cs="Times New Roman"/>
        </w:rPr>
        <w:t xml:space="preserve"> again.  That argument was summed up in populist slog</w:t>
      </w:r>
      <w:r w:rsidR="00F903BA">
        <w:rPr>
          <w:rFonts w:ascii="Times New Roman" w:hAnsi="Times New Roman" w:cs="Times New Roman"/>
        </w:rPr>
        <w:t xml:space="preserve">ans such as “take back </w:t>
      </w:r>
      <w:r w:rsidR="00F903BA">
        <w:rPr>
          <w:rFonts w:ascii="Times New Roman" w:hAnsi="Times New Roman" w:cs="Times New Roman"/>
        </w:rPr>
        <w:lastRenderedPageBreak/>
        <w:t xml:space="preserve">control”, </w:t>
      </w:r>
      <w:r w:rsidRPr="00E772BE">
        <w:rPr>
          <w:rFonts w:ascii="Times New Roman" w:hAnsi="Times New Roman" w:cs="Times New Roman"/>
        </w:rPr>
        <w:t>“we want our country back”</w:t>
      </w:r>
      <w:r w:rsidR="00F903BA">
        <w:rPr>
          <w:rFonts w:ascii="Times New Roman" w:hAnsi="Times New Roman" w:cs="Times New Roman"/>
        </w:rPr>
        <w:t xml:space="preserve"> and making the UK “a free and sovereign country again”</w:t>
      </w:r>
      <w:r w:rsidRPr="00E772BE">
        <w:rPr>
          <w:rFonts w:ascii="Times New Roman" w:hAnsi="Times New Roman" w:cs="Times New Roman"/>
        </w:rPr>
        <w:t xml:space="preserve">.  </w:t>
      </w:r>
      <w:r w:rsidR="00375AC3" w:rsidRPr="00E772BE">
        <w:rPr>
          <w:rFonts w:ascii="Times New Roman" w:hAnsi="Times New Roman" w:cs="Times New Roman"/>
        </w:rPr>
        <w:t xml:space="preserve">  </w:t>
      </w:r>
    </w:p>
    <w:p w14:paraId="104C230C" w14:textId="65B594D5" w:rsidR="00E5135B" w:rsidRPr="00E772BE" w:rsidRDefault="00052112" w:rsidP="008B14B2">
      <w:pPr>
        <w:ind w:firstLine="720"/>
        <w:jc w:val="both"/>
        <w:rPr>
          <w:rFonts w:ascii="Times New Roman" w:hAnsi="Times New Roman" w:cs="Times New Roman"/>
        </w:rPr>
      </w:pPr>
      <w:r w:rsidRPr="00E772BE">
        <w:rPr>
          <w:rFonts w:ascii="Times New Roman" w:hAnsi="Times New Roman" w:cs="Times New Roman"/>
        </w:rPr>
        <w:t xml:space="preserve">The immediate problem for </w:t>
      </w:r>
      <w:r w:rsidR="007A2B51" w:rsidRPr="00E772BE">
        <w:rPr>
          <w:rFonts w:ascii="Times New Roman" w:hAnsi="Times New Roman" w:cs="Times New Roman"/>
        </w:rPr>
        <w:t xml:space="preserve">the </w:t>
      </w:r>
      <w:r w:rsidRPr="00E772BE">
        <w:rPr>
          <w:rFonts w:ascii="Times New Roman" w:hAnsi="Times New Roman" w:cs="Times New Roman"/>
        </w:rPr>
        <w:t xml:space="preserve">Leave </w:t>
      </w:r>
      <w:r w:rsidR="007A2B51" w:rsidRPr="00E772BE">
        <w:rPr>
          <w:rFonts w:ascii="Times New Roman" w:hAnsi="Times New Roman" w:cs="Times New Roman"/>
        </w:rPr>
        <w:t xml:space="preserve">campaign </w:t>
      </w:r>
      <w:r w:rsidRPr="00E772BE">
        <w:rPr>
          <w:rFonts w:ascii="Times New Roman" w:hAnsi="Times New Roman" w:cs="Times New Roman"/>
        </w:rPr>
        <w:t>was that</w:t>
      </w:r>
      <w:r w:rsidR="007A2B51" w:rsidRPr="00E772BE">
        <w:rPr>
          <w:rFonts w:ascii="Times New Roman" w:hAnsi="Times New Roman" w:cs="Times New Roman"/>
        </w:rPr>
        <w:t xml:space="preserve"> (</w:t>
      </w:r>
      <w:r w:rsidRPr="00E772BE">
        <w:rPr>
          <w:rFonts w:ascii="Times New Roman" w:hAnsi="Times New Roman" w:cs="Times New Roman"/>
        </w:rPr>
        <w:t xml:space="preserve">as </w:t>
      </w:r>
      <w:r w:rsidR="007A2B51" w:rsidRPr="00E772BE">
        <w:rPr>
          <w:rFonts w:ascii="Times New Roman" w:hAnsi="Times New Roman" w:cs="Times New Roman"/>
        </w:rPr>
        <w:t xml:space="preserve">pointed out by </w:t>
      </w:r>
      <w:r w:rsidR="00114743" w:rsidRPr="00E772BE">
        <w:rPr>
          <w:rFonts w:ascii="Times New Roman" w:hAnsi="Times New Roman" w:cs="Times New Roman"/>
        </w:rPr>
        <w:t>every credible</w:t>
      </w:r>
      <w:r w:rsidR="007A2B51" w:rsidRPr="00E772BE">
        <w:rPr>
          <w:rFonts w:ascii="Times New Roman" w:hAnsi="Times New Roman" w:cs="Times New Roman"/>
        </w:rPr>
        <w:t xml:space="preserve"> </w:t>
      </w:r>
      <w:r w:rsidRPr="00E772BE">
        <w:rPr>
          <w:rFonts w:ascii="Times New Roman" w:hAnsi="Times New Roman" w:cs="Times New Roman"/>
        </w:rPr>
        <w:t>international lawyer</w:t>
      </w:r>
      <w:r w:rsidR="007A2B51" w:rsidRPr="00E772BE">
        <w:rPr>
          <w:rFonts w:ascii="Times New Roman" w:hAnsi="Times New Roman" w:cs="Times New Roman"/>
        </w:rPr>
        <w:t xml:space="preserve">) </w:t>
      </w:r>
      <w:r w:rsidRPr="00E772BE">
        <w:rPr>
          <w:rFonts w:ascii="Times New Roman" w:hAnsi="Times New Roman" w:cs="Times New Roman"/>
        </w:rPr>
        <w:t xml:space="preserve">there is no doubt whatsoever that the UK </w:t>
      </w:r>
      <w:r w:rsidR="007A2B51" w:rsidRPr="00E772BE">
        <w:rPr>
          <w:rFonts w:ascii="Times New Roman" w:hAnsi="Times New Roman" w:cs="Times New Roman"/>
        </w:rPr>
        <w:t>has always remained</w:t>
      </w:r>
      <w:r w:rsidRPr="00E772BE">
        <w:rPr>
          <w:rFonts w:ascii="Times New Roman" w:hAnsi="Times New Roman" w:cs="Times New Roman"/>
        </w:rPr>
        <w:t xml:space="preserve"> a sovereign state under international law</w:t>
      </w:r>
      <w:r w:rsidR="007A2B51" w:rsidRPr="00E772BE">
        <w:rPr>
          <w:rFonts w:ascii="Times New Roman" w:hAnsi="Times New Roman" w:cs="Times New Roman"/>
        </w:rPr>
        <w:t xml:space="preserve"> </w:t>
      </w:r>
      <w:r w:rsidRPr="00E772BE">
        <w:rPr>
          <w:rFonts w:ascii="Times New Roman" w:hAnsi="Times New Roman" w:cs="Times New Roman"/>
        </w:rPr>
        <w:t xml:space="preserve">and </w:t>
      </w:r>
      <w:r w:rsidR="007A2B51" w:rsidRPr="00E772BE">
        <w:rPr>
          <w:rFonts w:ascii="Times New Roman" w:hAnsi="Times New Roman" w:cs="Times New Roman"/>
        </w:rPr>
        <w:t>(</w:t>
      </w:r>
      <w:r w:rsidRPr="00E772BE">
        <w:rPr>
          <w:rFonts w:ascii="Times New Roman" w:hAnsi="Times New Roman" w:cs="Times New Roman"/>
        </w:rPr>
        <w:t xml:space="preserve">as </w:t>
      </w:r>
      <w:r w:rsidR="007A2B51" w:rsidRPr="00E772BE">
        <w:rPr>
          <w:rFonts w:ascii="Times New Roman" w:hAnsi="Times New Roman" w:cs="Times New Roman"/>
        </w:rPr>
        <w:t xml:space="preserve">confirmed by </w:t>
      </w:r>
      <w:r w:rsidR="00114743" w:rsidRPr="00E772BE">
        <w:rPr>
          <w:rFonts w:ascii="Times New Roman" w:hAnsi="Times New Roman" w:cs="Times New Roman"/>
        </w:rPr>
        <w:t xml:space="preserve">every credible </w:t>
      </w:r>
      <w:r w:rsidRPr="00E772BE">
        <w:rPr>
          <w:rFonts w:ascii="Times New Roman" w:hAnsi="Times New Roman" w:cs="Times New Roman"/>
        </w:rPr>
        <w:t>public lawyer</w:t>
      </w:r>
      <w:r w:rsidR="007A2B51" w:rsidRPr="00E772BE">
        <w:rPr>
          <w:rFonts w:ascii="Times New Roman" w:hAnsi="Times New Roman" w:cs="Times New Roman"/>
        </w:rPr>
        <w:t>)</w:t>
      </w:r>
      <w:r w:rsidRPr="00E772BE">
        <w:rPr>
          <w:rFonts w:ascii="Times New Roman" w:hAnsi="Times New Roman" w:cs="Times New Roman"/>
        </w:rPr>
        <w:t xml:space="preserve"> there is no doubt whatsoever that </w:t>
      </w:r>
      <w:r w:rsidR="007A2B51" w:rsidRPr="00E772BE">
        <w:rPr>
          <w:rFonts w:ascii="Times New Roman" w:hAnsi="Times New Roman" w:cs="Times New Roman"/>
        </w:rPr>
        <w:t xml:space="preserve">the Westminster </w:t>
      </w:r>
      <w:r w:rsidRPr="00E772BE">
        <w:rPr>
          <w:rFonts w:ascii="Times New Roman" w:hAnsi="Times New Roman" w:cs="Times New Roman"/>
        </w:rPr>
        <w:t xml:space="preserve">Parliament remains the sovereign legislative authority within the UK.  </w:t>
      </w:r>
      <w:r w:rsidR="00F903BA">
        <w:rPr>
          <w:rFonts w:ascii="Times New Roman" w:hAnsi="Times New Roman" w:cs="Times New Roman"/>
        </w:rPr>
        <w:t>Such</w:t>
      </w:r>
      <w:r w:rsidR="007A2B51" w:rsidRPr="00E772BE">
        <w:rPr>
          <w:rFonts w:ascii="Times New Roman" w:hAnsi="Times New Roman" w:cs="Times New Roman"/>
        </w:rPr>
        <w:t xml:space="preserve"> completely orthodox constitutional principles have been </w:t>
      </w:r>
      <w:r w:rsidR="00F903BA">
        <w:rPr>
          <w:rFonts w:ascii="Times New Roman" w:hAnsi="Times New Roman" w:cs="Times New Roman"/>
        </w:rPr>
        <w:t>re</w:t>
      </w:r>
      <w:r w:rsidR="007A2B51" w:rsidRPr="00E772BE">
        <w:rPr>
          <w:rFonts w:ascii="Times New Roman" w:hAnsi="Times New Roman" w:cs="Times New Roman"/>
        </w:rPr>
        <w:t>confirmed</w:t>
      </w:r>
      <w:r w:rsidR="00F903BA">
        <w:rPr>
          <w:rFonts w:ascii="Times New Roman" w:hAnsi="Times New Roman" w:cs="Times New Roman"/>
        </w:rPr>
        <w:t xml:space="preserve"> yet again</w:t>
      </w:r>
      <w:r w:rsidR="007A2B51" w:rsidRPr="00E772BE">
        <w:rPr>
          <w:rFonts w:ascii="Times New Roman" w:hAnsi="Times New Roman" w:cs="Times New Roman"/>
        </w:rPr>
        <w:t xml:space="preserve">, even after the referendum, </w:t>
      </w:r>
      <w:r w:rsidR="00FA6EC1" w:rsidRPr="00E772BE">
        <w:rPr>
          <w:rFonts w:ascii="Times New Roman" w:hAnsi="Times New Roman" w:cs="Times New Roman"/>
        </w:rPr>
        <w:t xml:space="preserve">by </w:t>
      </w:r>
      <w:r w:rsidRPr="00E772BE">
        <w:rPr>
          <w:rFonts w:ascii="Times New Roman" w:hAnsi="Times New Roman" w:cs="Times New Roman"/>
        </w:rPr>
        <w:t xml:space="preserve">the Supreme Court in its ruling in the </w:t>
      </w:r>
      <w:r w:rsidR="007A2B51" w:rsidRPr="00E772BE">
        <w:rPr>
          <w:rFonts w:ascii="Times New Roman" w:hAnsi="Times New Roman" w:cs="Times New Roman"/>
        </w:rPr>
        <w:t xml:space="preserve">famous </w:t>
      </w:r>
      <w:r w:rsidRPr="00E772BE">
        <w:rPr>
          <w:rFonts w:ascii="Times New Roman" w:hAnsi="Times New Roman" w:cs="Times New Roman"/>
          <w:i/>
        </w:rPr>
        <w:t xml:space="preserve">Miller </w:t>
      </w:r>
      <w:r w:rsidRPr="00E772BE">
        <w:rPr>
          <w:rFonts w:ascii="Times New Roman" w:hAnsi="Times New Roman" w:cs="Times New Roman"/>
        </w:rPr>
        <w:t>case</w:t>
      </w:r>
      <w:r w:rsidR="00114743" w:rsidRPr="00E772BE">
        <w:rPr>
          <w:rFonts w:ascii="Times New Roman" w:hAnsi="Times New Roman" w:cs="Times New Roman"/>
        </w:rPr>
        <w:t>;</w:t>
      </w:r>
      <w:r w:rsidR="00114743" w:rsidRPr="00E772BE">
        <w:rPr>
          <w:rStyle w:val="FootnoteReference"/>
          <w:rFonts w:ascii="Times New Roman" w:hAnsi="Times New Roman" w:cs="Times New Roman"/>
        </w:rPr>
        <w:footnoteReference w:id="4"/>
      </w:r>
      <w:r w:rsidR="007A2B51" w:rsidRPr="00E772BE">
        <w:rPr>
          <w:rFonts w:ascii="Times New Roman" w:hAnsi="Times New Roman" w:cs="Times New Roman"/>
        </w:rPr>
        <w:t xml:space="preserve"> and indeed </w:t>
      </w:r>
      <w:r w:rsidR="00FA6EC1" w:rsidRPr="00E772BE">
        <w:rPr>
          <w:rFonts w:ascii="Times New Roman" w:hAnsi="Times New Roman" w:cs="Times New Roman"/>
        </w:rPr>
        <w:t xml:space="preserve">by the Government </w:t>
      </w:r>
      <w:r w:rsidR="007A2B51" w:rsidRPr="00E772BE">
        <w:rPr>
          <w:rFonts w:ascii="Times New Roman" w:hAnsi="Times New Roman" w:cs="Times New Roman"/>
        </w:rPr>
        <w:t xml:space="preserve">itself </w:t>
      </w:r>
      <w:r w:rsidR="00FA6EC1" w:rsidRPr="00E772BE">
        <w:rPr>
          <w:rFonts w:ascii="Times New Roman" w:hAnsi="Times New Roman" w:cs="Times New Roman"/>
        </w:rPr>
        <w:t xml:space="preserve">in its </w:t>
      </w:r>
      <w:r w:rsidRPr="00E772BE">
        <w:rPr>
          <w:rFonts w:ascii="Times New Roman" w:hAnsi="Times New Roman" w:cs="Times New Roman"/>
        </w:rPr>
        <w:t>White Paper</w:t>
      </w:r>
      <w:r w:rsidR="00FA6EC1" w:rsidRPr="00E772BE">
        <w:rPr>
          <w:rFonts w:ascii="Times New Roman" w:hAnsi="Times New Roman" w:cs="Times New Roman"/>
        </w:rPr>
        <w:t xml:space="preserve"> </w:t>
      </w:r>
      <w:r w:rsidR="007A2B51" w:rsidRPr="00E772BE">
        <w:rPr>
          <w:rFonts w:ascii="Times New Roman" w:hAnsi="Times New Roman" w:cs="Times New Roman"/>
        </w:rPr>
        <w:t>on the UK’s exit from and new partnership with the European Union</w:t>
      </w:r>
      <w:r w:rsidRPr="00E772BE">
        <w:rPr>
          <w:rFonts w:ascii="Times New Roman" w:hAnsi="Times New Roman" w:cs="Times New Roman"/>
        </w:rPr>
        <w:t>.</w:t>
      </w:r>
      <w:r w:rsidR="00114743" w:rsidRPr="00E772BE">
        <w:rPr>
          <w:rStyle w:val="FootnoteReference"/>
          <w:rFonts w:ascii="Times New Roman" w:hAnsi="Times New Roman" w:cs="Times New Roman"/>
        </w:rPr>
        <w:footnoteReference w:id="5"/>
      </w:r>
    </w:p>
    <w:p w14:paraId="3FB2B4C8" w14:textId="46E00F6C" w:rsidR="00E5135B" w:rsidRPr="00E772BE" w:rsidRDefault="00052112" w:rsidP="008B14B2">
      <w:pPr>
        <w:ind w:firstLine="720"/>
        <w:jc w:val="both"/>
        <w:rPr>
          <w:rFonts w:ascii="Times New Roman" w:hAnsi="Times New Roman" w:cs="Times New Roman"/>
        </w:rPr>
      </w:pPr>
      <w:r w:rsidRPr="00E772BE">
        <w:rPr>
          <w:rFonts w:ascii="Times New Roman" w:hAnsi="Times New Roman" w:cs="Times New Roman"/>
        </w:rPr>
        <w:t xml:space="preserve">But why let </w:t>
      </w:r>
      <w:r w:rsidR="007A2B51" w:rsidRPr="00E772BE">
        <w:rPr>
          <w:rFonts w:ascii="Times New Roman" w:hAnsi="Times New Roman" w:cs="Times New Roman"/>
        </w:rPr>
        <w:t xml:space="preserve">the </w:t>
      </w:r>
      <w:r w:rsidRPr="00E772BE">
        <w:rPr>
          <w:rFonts w:ascii="Times New Roman" w:hAnsi="Times New Roman" w:cs="Times New Roman"/>
        </w:rPr>
        <w:t>facts get in the way of a good lie</w:t>
      </w:r>
      <w:r w:rsidR="001546F3">
        <w:rPr>
          <w:rFonts w:ascii="Times New Roman" w:hAnsi="Times New Roman" w:cs="Times New Roman"/>
        </w:rPr>
        <w:t xml:space="preserve">, when one can </w:t>
      </w:r>
      <w:r w:rsidR="007A2B51" w:rsidRPr="00E772BE">
        <w:rPr>
          <w:rFonts w:ascii="Times New Roman" w:hAnsi="Times New Roman" w:cs="Times New Roman"/>
        </w:rPr>
        <w:t xml:space="preserve">simply </w:t>
      </w:r>
      <w:r w:rsidRPr="00E772BE">
        <w:rPr>
          <w:rFonts w:ascii="Times New Roman" w:hAnsi="Times New Roman" w:cs="Times New Roman"/>
        </w:rPr>
        <w:t>come up with some alternative facts</w:t>
      </w:r>
      <w:r w:rsidR="001546F3">
        <w:rPr>
          <w:rFonts w:ascii="Times New Roman" w:hAnsi="Times New Roman" w:cs="Times New Roman"/>
        </w:rPr>
        <w:t xml:space="preserve">?  </w:t>
      </w:r>
      <w:r w:rsidR="007A2B51" w:rsidRPr="00E772BE">
        <w:rPr>
          <w:rFonts w:ascii="Times New Roman" w:hAnsi="Times New Roman" w:cs="Times New Roman"/>
        </w:rPr>
        <w:t xml:space="preserve">And so Leave’s strategy was to construct their own </w:t>
      </w:r>
      <w:r w:rsidRPr="00E772BE">
        <w:rPr>
          <w:rFonts w:ascii="Times New Roman" w:hAnsi="Times New Roman" w:cs="Times New Roman"/>
        </w:rPr>
        <w:t>definition of sovereignty</w:t>
      </w:r>
      <w:r w:rsidR="007A2B51" w:rsidRPr="00E772BE">
        <w:rPr>
          <w:rFonts w:ascii="Times New Roman" w:hAnsi="Times New Roman" w:cs="Times New Roman"/>
        </w:rPr>
        <w:t xml:space="preserve">, </w:t>
      </w:r>
      <w:r w:rsidRPr="00E772BE">
        <w:rPr>
          <w:rFonts w:ascii="Times New Roman" w:hAnsi="Times New Roman" w:cs="Times New Roman"/>
        </w:rPr>
        <w:t>then fabricate some statistics to prove it</w:t>
      </w:r>
      <w:r w:rsidR="007A2B51" w:rsidRPr="00E772BE">
        <w:rPr>
          <w:rFonts w:ascii="Times New Roman" w:hAnsi="Times New Roman" w:cs="Times New Roman"/>
        </w:rPr>
        <w:t xml:space="preserve"> to be correct.  I</w:t>
      </w:r>
      <w:r w:rsidRPr="00E772BE">
        <w:rPr>
          <w:rFonts w:ascii="Times New Roman" w:hAnsi="Times New Roman" w:cs="Times New Roman"/>
        </w:rPr>
        <w:t>n particular</w:t>
      </w:r>
      <w:r w:rsidR="007A2B51" w:rsidRPr="00E772BE">
        <w:rPr>
          <w:rFonts w:ascii="Times New Roman" w:hAnsi="Times New Roman" w:cs="Times New Roman"/>
        </w:rPr>
        <w:t xml:space="preserve">, </w:t>
      </w:r>
      <w:r w:rsidRPr="00E772BE">
        <w:rPr>
          <w:rFonts w:ascii="Times New Roman" w:hAnsi="Times New Roman" w:cs="Times New Roman"/>
        </w:rPr>
        <w:t xml:space="preserve">Leave campaigners decided to define sovereignty in terms of the </w:t>
      </w:r>
      <w:r w:rsidR="007A2B51" w:rsidRPr="00E772BE">
        <w:rPr>
          <w:rFonts w:ascii="Times New Roman" w:hAnsi="Times New Roman" w:cs="Times New Roman"/>
        </w:rPr>
        <w:t xml:space="preserve">percentage </w:t>
      </w:r>
      <w:r w:rsidRPr="00E772BE">
        <w:rPr>
          <w:rFonts w:ascii="Times New Roman" w:hAnsi="Times New Roman" w:cs="Times New Roman"/>
        </w:rPr>
        <w:t xml:space="preserve">of UK law which was </w:t>
      </w:r>
      <w:r w:rsidR="00FA6EC1" w:rsidRPr="00E772BE">
        <w:rPr>
          <w:rFonts w:ascii="Times New Roman" w:hAnsi="Times New Roman" w:cs="Times New Roman"/>
        </w:rPr>
        <w:t xml:space="preserve">being </w:t>
      </w:r>
      <w:r w:rsidRPr="00E772BE">
        <w:rPr>
          <w:rFonts w:ascii="Times New Roman" w:hAnsi="Times New Roman" w:cs="Times New Roman"/>
        </w:rPr>
        <w:t>imposed</w:t>
      </w:r>
      <w:r w:rsidR="007A2B51" w:rsidRPr="00E772BE">
        <w:rPr>
          <w:rFonts w:ascii="Times New Roman" w:hAnsi="Times New Roman" w:cs="Times New Roman"/>
        </w:rPr>
        <w:t xml:space="preserve"> </w:t>
      </w:r>
      <w:r w:rsidRPr="00E772BE">
        <w:rPr>
          <w:rFonts w:ascii="Times New Roman" w:hAnsi="Times New Roman" w:cs="Times New Roman"/>
        </w:rPr>
        <w:t>by the EU – so as to demonstrate how marginal and disempowered our own Parliament had become, as the unelected Eurocrats in Brussels came increasingly to dominate every aspect of national life</w:t>
      </w:r>
      <w:r w:rsidR="007A2B51" w:rsidRPr="00E772BE">
        <w:rPr>
          <w:rFonts w:ascii="Times New Roman" w:hAnsi="Times New Roman" w:cs="Times New Roman"/>
        </w:rPr>
        <w:t xml:space="preserve">.  </w:t>
      </w:r>
    </w:p>
    <w:p w14:paraId="757CF7E7" w14:textId="371544CD" w:rsidR="00E5135B" w:rsidRPr="00E772BE" w:rsidRDefault="007A2B51" w:rsidP="008B14B2">
      <w:pPr>
        <w:ind w:firstLine="720"/>
        <w:jc w:val="both"/>
        <w:rPr>
          <w:rFonts w:ascii="Times New Roman" w:hAnsi="Times New Roman" w:cs="Times New Roman"/>
          <w:color w:val="2A2A2A"/>
          <w:lang w:val="en-US"/>
        </w:rPr>
      </w:pPr>
      <w:r w:rsidRPr="00E772BE">
        <w:rPr>
          <w:rFonts w:ascii="Times New Roman" w:hAnsi="Times New Roman" w:cs="Times New Roman"/>
          <w:color w:val="2A2A2A"/>
          <w:lang w:val="en-US"/>
        </w:rPr>
        <w:t xml:space="preserve">Leave’s </w:t>
      </w:r>
      <w:r w:rsidR="00C57F7F" w:rsidRPr="00E772BE">
        <w:rPr>
          <w:rFonts w:ascii="Times New Roman" w:hAnsi="Times New Roman" w:cs="Times New Roman"/>
          <w:color w:val="2A2A2A"/>
          <w:lang w:val="en-US"/>
        </w:rPr>
        <w:t xml:space="preserve">claims varied as regards both the alleged figure and its supposed source.  For example, UKIP again and again </w:t>
      </w:r>
      <w:hyperlink r:id="rId9" w:history="1">
        <w:r w:rsidR="00C57F7F" w:rsidRPr="00E772BE">
          <w:rPr>
            <w:rFonts w:ascii="Times New Roman" w:hAnsi="Times New Roman" w:cs="Times New Roman"/>
            <w:u w:color="0A5287"/>
            <w:lang w:val="en-US"/>
          </w:rPr>
          <w:t>asserted that</w:t>
        </w:r>
      </w:hyperlink>
      <w:r w:rsidR="00C57F7F" w:rsidRPr="00E772BE">
        <w:rPr>
          <w:rFonts w:ascii="Times New Roman" w:hAnsi="Times New Roman" w:cs="Times New Roman"/>
          <w:lang w:val="en-US"/>
        </w:rPr>
        <w:t xml:space="preserve"> </w:t>
      </w:r>
      <w:r w:rsidR="00C57F7F" w:rsidRPr="00E772BE">
        <w:rPr>
          <w:rFonts w:ascii="Times New Roman" w:hAnsi="Times New Roman" w:cs="Times New Roman"/>
          <w:color w:val="2A2A2A"/>
          <w:lang w:val="en-US"/>
        </w:rPr>
        <w:t xml:space="preserve">Brussels makes 75% of UK law – a figure that appears based on nothing more than some unsubstantiated off the cuff </w:t>
      </w:r>
      <w:hyperlink r:id="rId10" w:history="1">
        <w:r w:rsidR="00C57F7F" w:rsidRPr="00E772BE">
          <w:rPr>
            <w:rFonts w:ascii="Times New Roman" w:hAnsi="Times New Roman" w:cs="Times New Roman"/>
            <w:u w:color="0A5287"/>
            <w:lang w:val="en-US"/>
          </w:rPr>
          <w:t>press remarks from</w:t>
        </w:r>
      </w:hyperlink>
      <w:r w:rsidR="00C57F7F" w:rsidRPr="00E772BE">
        <w:rPr>
          <w:rFonts w:ascii="Times New Roman" w:hAnsi="Times New Roman" w:cs="Times New Roman"/>
          <w:lang w:val="en-US"/>
        </w:rPr>
        <w:t xml:space="preserve"> a former </w:t>
      </w:r>
      <w:r w:rsidR="00C57F7F" w:rsidRPr="00E772BE">
        <w:rPr>
          <w:rFonts w:ascii="Times New Roman" w:hAnsi="Times New Roman" w:cs="Times New Roman"/>
          <w:color w:val="2A2A2A"/>
          <w:lang w:val="en-US"/>
        </w:rPr>
        <w:t>EU Commissioner.</w:t>
      </w:r>
      <w:r w:rsidR="00114743" w:rsidRPr="00E772BE">
        <w:rPr>
          <w:rStyle w:val="FootnoteReference"/>
          <w:rFonts w:ascii="Times New Roman" w:hAnsi="Times New Roman" w:cs="Times New Roman"/>
          <w:color w:val="2A2A2A"/>
          <w:lang w:val="en-US"/>
        </w:rPr>
        <w:footnoteReference w:id="6"/>
      </w:r>
      <w:r w:rsidR="00C57F7F" w:rsidRPr="00E772BE">
        <w:rPr>
          <w:rFonts w:ascii="Times New Roman" w:hAnsi="Times New Roman" w:cs="Times New Roman"/>
          <w:color w:val="2A2A2A"/>
          <w:lang w:val="en-US"/>
        </w:rPr>
        <w:t xml:space="preserve">  Appearing before the House of Commons Treasury Committee in March 2016, Boris Johnson </w:t>
      </w:r>
      <w:hyperlink r:id="rId11" w:history="1">
        <w:r w:rsidR="00C57F7F" w:rsidRPr="00E772BE">
          <w:rPr>
            <w:rFonts w:ascii="Times New Roman" w:hAnsi="Times New Roman" w:cs="Times New Roman"/>
            <w:lang w:val="en-US"/>
          </w:rPr>
          <w:t>cited</w:t>
        </w:r>
      </w:hyperlink>
      <w:r w:rsidR="00C57F7F" w:rsidRPr="00E772BE">
        <w:rPr>
          <w:rFonts w:ascii="Times New Roman" w:hAnsi="Times New Roman" w:cs="Times New Roman"/>
          <w:lang w:val="en-US"/>
        </w:rPr>
        <w:t xml:space="preserve"> </w:t>
      </w:r>
      <w:r w:rsidR="00C57F7F" w:rsidRPr="00E772BE">
        <w:rPr>
          <w:rFonts w:ascii="Times New Roman" w:hAnsi="Times New Roman" w:cs="Times New Roman"/>
          <w:color w:val="2A2A2A"/>
          <w:lang w:val="en-US"/>
        </w:rPr>
        <w:t>what he called “new evidence” that put the true number at 60%.</w:t>
      </w:r>
      <w:r w:rsidR="00114743" w:rsidRPr="00E772BE">
        <w:rPr>
          <w:rStyle w:val="FootnoteReference"/>
          <w:rFonts w:ascii="Times New Roman" w:hAnsi="Times New Roman" w:cs="Times New Roman"/>
          <w:color w:val="2A2A2A"/>
          <w:lang w:val="en-US"/>
        </w:rPr>
        <w:footnoteReference w:id="7"/>
      </w:r>
      <w:r w:rsidR="00C57F7F" w:rsidRPr="00E772BE">
        <w:rPr>
          <w:rFonts w:ascii="Times New Roman" w:hAnsi="Times New Roman" w:cs="Times New Roman"/>
          <w:color w:val="2A2A2A"/>
          <w:lang w:val="en-US"/>
        </w:rPr>
        <w:t xml:space="preserve">  This turned out to be a gross misrepresentation of House of Commons Library research </w:t>
      </w:r>
      <w:hyperlink r:id="rId12" w:history="1">
        <w:r w:rsidR="00C57F7F" w:rsidRPr="00E772BE">
          <w:rPr>
            <w:rFonts w:ascii="Times New Roman" w:hAnsi="Times New Roman" w:cs="Times New Roman"/>
            <w:lang w:val="en-US"/>
          </w:rPr>
          <w:t>dating from 2014</w:t>
        </w:r>
      </w:hyperlink>
      <w:r w:rsidRPr="00E772BE">
        <w:rPr>
          <w:rFonts w:ascii="Times New Roman" w:hAnsi="Times New Roman" w:cs="Times New Roman"/>
          <w:lang w:val="en-US"/>
        </w:rPr>
        <w:t>;</w:t>
      </w:r>
      <w:r w:rsidR="00114743" w:rsidRPr="00E772BE">
        <w:rPr>
          <w:rStyle w:val="FootnoteReference"/>
          <w:rFonts w:ascii="Times New Roman" w:hAnsi="Times New Roman" w:cs="Times New Roman"/>
          <w:lang w:val="en-US"/>
        </w:rPr>
        <w:footnoteReference w:id="8"/>
      </w:r>
      <w:r w:rsidR="00C57F7F" w:rsidRPr="00E772BE">
        <w:rPr>
          <w:rFonts w:ascii="Times New Roman" w:hAnsi="Times New Roman" w:cs="Times New Roman"/>
          <w:lang w:val="en-US"/>
        </w:rPr>
        <w:t xml:space="preserve"> </w:t>
      </w:r>
      <w:r w:rsidR="00C57F7F" w:rsidRPr="00E772BE">
        <w:rPr>
          <w:rFonts w:ascii="Times New Roman" w:hAnsi="Times New Roman" w:cs="Times New Roman"/>
          <w:color w:val="2A2A2A"/>
          <w:lang w:val="en-US"/>
        </w:rPr>
        <w:t xml:space="preserve">though that </w:t>
      </w:r>
      <w:r w:rsidRPr="00E772BE">
        <w:rPr>
          <w:rFonts w:ascii="Times New Roman" w:hAnsi="Times New Roman" w:cs="Times New Roman"/>
          <w:color w:val="2A2A2A"/>
          <w:lang w:val="en-US"/>
        </w:rPr>
        <w:t xml:space="preserve">did not </w:t>
      </w:r>
      <w:r w:rsidR="00C57F7F" w:rsidRPr="00E772BE">
        <w:rPr>
          <w:rFonts w:ascii="Times New Roman" w:hAnsi="Times New Roman" w:cs="Times New Roman"/>
          <w:color w:val="2A2A2A"/>
          <w:lang w:val="en-US"/>
        </w:rPr>
        <w:t>stop Boris Johnson from repeating it in writing and in speeches throughout the referendum campaign.</w:t>
      </w:r>
      <w:r w:rsidR="00114743" w:rsidRPr="00E772BE">
        <w:rPr>
          <w:rStyle w:val="FootnoteReference"/>
          <w:rFonts w:ascii="Times New Roman" w:hAnsi="Times New Roman" w:cs="Times New Roman"/>
          <w:color w:val="2A2A2A"/>
          <w:lang w:val="en-US"/>
        </w:rPr>
        <w:footnoteReference w:id="9"/>
      </w:r>
    </w:p>
    <w:p w14:paraId="07910BC7" w14:textId="214B0075" w:rsidR="00375AC3" w:rsidRPr="00E772BE" w:rsidRDefault="00C57F7F" w:rsidP="008B14B2">
      <w:pPr>
        <w:ind w:firstLine="720"/>
        <w:jc w:val="both"/>
        <w:rPr>
          <w:rFonts w:ascii="Times New Roman" w:hAnsi="Times New Roman" w:cs="Times New Roman"/>
          <w:color w:val="2A2A2A"/>
          <w:lang w:val="en-US"/>
        </w:rPr>
      </w:pPr>
      <w:r w:rsidRPr="00E772BE">
        <w:rPr>
          <w:rFonts w:ascii="Times New Roman" w:hAnsi="Times New Roman" w:cs="Times New Roman"/>
          <w:color w:val="2A2A2A"/>
          <w:lang w:val="en-US"/>
        </w:rPr>
        <w:t>However, perhaps the most important and influential backing for the Leave claims came from the Europhobic campaign group</w:t>
      </w:r>
      <w:r w:rsidR="007A2B51" w:rsidRPr="00E772BE">
        <w:rPr>
          <w:rFonts w:ascii="Times New Roman" w:hAnsi="Times New Roman" w:cs="Times New Roman"/>
          <w:color w:val="2A2A2A"/>
          <w:lang w:val="en-US"/>
        </w:rPr>
        <w:t xml:space="preserve"> “</w:t>
      </w:r>
      <w:hyperlink r:id="rId13" w:history="1">
        <w:r w:rsidRPr="00E772BE">
          <w:rPr>
            <w:rFonts w:ascii="Times New Roman" w:hAnsi="Times New Roman" w:cs="Times New Roman"/>
            <w:u w:color="0A5287"/>
            <w:lang w:val="en-US"/>
          </w:rPr>
          <w:t>Business for Britain”.  In a report</w:t>
        </w:r>
      </w:hyperlink>
      <w:r w:rsidRPr="00E772BE">
        <w:rPr>
          <w:rFonts w:ascii="Times New Roman" w:hAnsi="Times New Roman" w:cs="Times New Roman"/>
          <w:lang w:val="en-US"/>
        </w:rPr>
        <w:t xml:space="preserve"> </w:t>
      </w:r>
      <w:r w:rsidRPr="00E772BE">
        <w:rPr>
          <w:rFonts w:ascii="Times New Roman" w:hAnsi="Times New Roman" w:cs="Times New Roman"/>
          <w:color w:val="2A2A2A"/>
          <w:lang w:val="en-US"/>
        </w:rPr>
        <w:t>published in March 2015</w:t>
      </w:r>
      <w:r w:rsidR="00015077" w:rsidRPr="00E772BE">
        <w:rPr>
          <w:rFonts w:ascii="Times New Roman" w:hAnsi="Times New Roman" w:cs="Times New Roman"/>
          <w:color w:val="2A2A2A"/>
          <w:lang w:val="en-US"/>
        </w:rPr>
        <w:t xml:space="preserve"> – entitled </w:t>
      </w:r>
      <w:r w:rsidR="00015077" w:rsidRPr="00E772BE">
        <w:rPr>
          <w:rFonts w:ascii="Times New Roman" w:hAnsi="Times New Roman" w:cs="Times New Roman"/>
          <w:i/>
        </w:rPr>
        <w:t>The EU’s influence over British Law: The Definitive Answer</w:t>
      </w:r>
      <w:r w:rsidR="00015077" w:rsidRPr="00E772BE">
        <w:rPr>
          <w:rFonts w:ascii="Times New Roman" w:hAnsi="Times New Roman" w:cs="Times New Roman"/>
        </w:rPr>
        <w:t xml:space="preserve">, replete with methodological explanations, scientific formulae and lots of </w:t>
      </w:r>
      <w:r w:rsidR="00E5135B" w:rsidRPr="00E772BE">
        <w:rPr>
          <w:rFonts w:ascii="Times New Roman" w:hAnsi="Times New Roman" w:cs="Times New Roman"/>
        </w:rPr>
        <w:t xml:space="preserve">detailed </w:t>
      </w:r>
      <w:r w:rsidR="00015077" w:rsidRPr="00E772BE">
        <w:rPr>
          <w:rFonts w:ascii="Times New Roman" w:hAnsi="Times New Roman" w:cs="Times New Roman"/>
        </w:rPr>
        <w:t xml:space="preserve">numbers – </w:t>
      </w:r>
      <w:r w:rsidR="00015077" w:rsidRPr="00E772BE">
        <w:rPr>
          <w:rFonts w:ascii="Times New Roman" w:hAnsi="Times New Roman" w:cs="Times New Roman"/>
          <w:color w:val="2A2A2A"/>
          <w:lang w:val="en-US"/>
        </w:rPr>
        <w:t xml:space="preserve">Business for Britain </w:t>
      </w:r>
      <w:r w:rsidRPr="00E772BE">
        <w:rPr>
          <w:rFonts w:ascii="Times New Roman" w:hAnsi="Times New Roman" w:cs="Times New Roman"/>
          <w:color w:val="2A2A2A"/>
          <w:lang w:val="en-US"/>
        </w:rPr>
        <w:t>decreed that</w:t>
      </w:r>
      <w:r w:rsidR="00E5135B" w:rsidRPr="00E772BE">
        <w:rPr>
          <w:rFonts w:ascii="Times New Roman" w:hAnsi="Times New Roman" w:cs="Times New Roman"/>
          <w:color w:val="2A2A2A"/>
          <w:lang w:val="en-US"/>
        </w:rPr>
        <w:t xml:space="preserve">, </w:t>
      </w:r>
      <w:r w:rsidRPr="00E772BE">
        <w:rPr>
          <w:rFonts w:ascii="Times New Roman" w:hAnsi="Times New Roman" w:cs="Times New Roman"/>
          <w:color w:val="2A2A2A"/>
          <w:lang w:val="en-US"/>
        </w:rPr>
        <w:t xml:space="preserve">between 1993 and 2014, 64.7% of UK law was EU-influenced, </w:t>
      </w:r>
      <w:r w:rsidR="00E5135B" w:rsidRPr="00E772BE">
        <w:rPr>
          <w:rFonts w:ascii="Times New Roman" w:hAnsi="Times New Roman" w:cs="Times New Roman"/>
          <w:color w:val="2A2A2A"/>
          <w:lang w:val="en-US"/>
        </w:rPr>
        <w:t xml:space="preserve">while </w:t>
      </w:r>
      <w:r w:rsidRPr="00E772BE">
        <w:rPr>
          <w:rFonts w:ascii="Times New Roman" w:hAnsi="Times New Roman" w:cs="Times New Roman"/>
          <w:color w:val="2A2A2A"/>
          <w:lang w:val="en-US"/>
        </w:rPr>
        <w:t>EU regulations accounted for 59.3% of all UK law.</w:t>
      </w:r>
      <w:r w:rsidR="00114743" w:rsidRPr="00E772BE">
        <w:rPr>
          <w:rStyle w:val="FootnoteReference"/>
          <w:rFonts w:ascii="Times New Roman" w:hAnsi="Times New Roman" w:cs="Times New Roman"/>
          <w:color w:val="2A2A2A"/>
          <w:lang w:val="en-US"/>
        </w:rPr>
        <w:footnoteReference w:id="10"/>
      </w:r>
    </w:p>
    <w:p w14:paraId="627D7F4C" w14:textId="77777777" w:rsidR="00015077" w:rsidRPr="00E772BE" w:rsidRDefault="00015077" w:rsidP="008B14B2">
      <w:pPr>
        <w:jc w:val="both"/>
        <w:rPr>
          <w:rFonts w:ascii="Times New Roman" w:hAnsi="Times New Roman" w:cs="Times New Roman"/>
        </w:rPr>
      </w:pPr>
    </w:p>
    <w:p w14:paraId="13FFF9EA" w14:textId="49916B3F" w:rsidR="00F66AE9" w:rsidRPr="00E772BE" w:rsidRDefault="007A2B51" w:rsidP="008B14B2">
      <w:pPr>
        <w:jc w:val="both"/>
        <w:rPr>
          <w:rFonts w:ascii="Times New Roman" w:hAnsi="Times New Roman" w:cs="Times New Roman"/>
          <w:b/>
        </w:rPr>
      </w:pPr>
      <w:r w:rsidRPr="00E772BE">
        <w:rPr>
          <w:rFonts w:ascii="Times New Roman" w:hAnsi="Times New Roman" w:cs="Times New Roman"/>
          <w:b/>
        </w:rPr>
        <w:t>Interrogating the Business for Britain methodology: a case of outright legal claptrap</w:t>
      </w:r>
    </w:p>
    <w:p w14:paraId="5E23397B" w14:textId="77777777" w:rsidR="00F66AE9" w:rsidRPr="00E772BE" w:rsidRDefault="00F66AE9" w:rsidP="008B14B2">
      <w:pPr>
        <w:jc w:val="both"/>
        <w:rPr>
          <w:rFonts w:ascii="Times New Roman" w:hAnsi="Times New Roman" w:cs="Times New Roman"/>
        </w:rPr>
      </w:pPr>
    </w:p>
    <w:p w14:paraId="26DA505C" w14:textId="6389266B" w:rsidR="00E5135B" w:rsidRPr="00E772BE" w:rsidRDefault="00E5135B" w:rsidP="008B14B2">
      <w:pPr>
        <w:jc w:val="both"/>
        <w:rPr>
          <w:rFonts w:ascii="Times New Roman" w:hAnsi="Times New Roman" w:cs="Times New Roman"/>
        </w:rPr>
      </w:pPr>
      <w:r w:rsidRPr="00E772BE">
        <w:rPr>
          <w:rFonts w:ascii="Times New Roman" w:hAnsi="Times New Roman" w:cs="Times New Roman"/>
        </w:rPr>
        <w:t>J</w:t>
      </w:r>
      <w:r w:rsidR="00015077" w:rsidRPr="00E772BE">
        <w:rPr>
          <w:rFonts w:ascii="Times New Roman" w:hAnsi="Times New Roman" w:cs="Times New Roman"/>
        </w:rPr>
        <w:t xml:space="preserve">ust how scientific and definitive were </w:t>
      </w:r>
      <w:r w:rsidRPr="00E772BE">
        <w:rPr>
          <w:rFonts w:ascii="Times New Roman" w:hAnsi="Times New Roman" w:cs="Times New Roman"/>
        </w:rPr>
        <w:t>those</w:t>
      </w:r>
      <w:r w:rsidR="00015077" w:rsidRPr="00E772BE">
        <w:rPr>
          <w:rFonts w:ascii="Times New Roman" w:hAnsi="Times New Roman" w:cs="Times New Roman"/>
        </w:rPr>
        <w:t xml:space="preserve"> Business for Britain findings?  </w:t>
      </w:r>
      <w:r w:rsidRPr="00E772BE">
        <w:rPr>
          <w:rFonts w:ascii="Times New Roman" w:hAnsi="Times New Roman" w:cs="Times New Roman"/>
        </w:rPr>
        <w:t>I</w:t>
      </w:r>
      <w:r w:rsidR="00015077" w:rsidRPr="00E772BE">
        <w:rPr>
          <w:rFonts w:ascii="Times New Roman" w:hAnsi="Times New Roman" w:cs="Times New Roman"/>
        </w:rPr>
        <w:t xml:space="preserve">t </w:t>
      </w:r>
      <w:r w:rsidR="008F75A2" w:rsidRPr="00E772BE">
        <w:rPr>
          <w:rFonts w:ascii="Times New Roman" w:hAnsi="Times New Roman" w:cs="Times New Roman"/>
        </w:rPr>
        <w:t>is rarely a promising start when basic definitions</w:t>
      </w:r>
      <w:r w:rsidRPr="00E772BE">
        <w:rPr>
          <w:rFonts w:ascii="Times New Roman" w:hAnsi="Times New Roman" w:cs="Times New Roman"/>
        </w:rPr>
        <w:t xml:space="preserve"> (</w:t>
      </w:r>
      <w:r w:rsidR="008F75A2" w:rsidRPr="00E772BE">
        <w:rPr>
          <w:rFonts w:ascii="Times New Roman" w:hAnsi="Times New Roman" w:cs="Times New Roman"/>
        </w:rPr>
        <w:t>such as those of a regulation or a directive under EU law</w:t>
      </w:r>
      <w:r w:rsidRPr="00E772BE">
        <w:rPr>
          <w:rFonts w:ascii="Times New Roman" w:hAnsi="Times New Roman" w:cs="Times New Roman"/>
        </w:rPr>
        <w:t xml:space="preserve">, </w:t>
      </w:r>
      <w:r w:rsidR="008F75A2" w:rsidRPr="00E772BE">
        <w:rPr>
          <w:rFonts w:ascii="Times New Roman" w:hAnsi="Times New Roman" w:cs="Times New Roman"/>
        </w:rPr>
        <w:t xml:space="preserve">and indeed, </w:t>
      </w:r>
      <w:r w:rsidRPr="00E772BE">
        <w:rPr>
          <w:rFonts w:ascii="Times New Roman" w:hAnsi="Times New Roman" w:cs="Times New Roman"/>
        </w:rPr>
        <w:t xml:space="preserve">even </w:t>
      </w:r>
      <w:r w:rsidR="008F75A2" w:rsidRPr="00E772BE">
        <w:rPr>
          <w:rFonts w:ascii="Times New Roman" w:hAnsi="Times New Roman" w:cs="Times New Roman"/>
        </w:rPr>
        <w:t>of an Act of Parliament under UK law)</w:t>
      </w:r>
      <w:r w:rsidRPr="00E772BE">
        <w:rPr>
          <w:rFonts w:ascii="Times New Roman" w:hAnsi="Times New Roman" w:cs="Times New Roman"/>
        </w:rPr>
        <w:t xml:space="preserve"> are incorrect: that </w:t>
      </w:r>
      <w:r w:rsidR="00FA6EC1" w:rsidRPr="00E772BE">
        <w:rPr>
          <w:rFonts w:ascii="Times New Roman" w:hAnsi="Times New Roman" w:cs="Times New Roman"/>
        </w:rPr>
        <w:t>sort of infantile error would see a first year law undergraduate having to repeat the module</w:t>
      </w:r>
      <w:r w:rsidRPr="00E772BE">
        <w:rPr>
          <w:rFonts w:ascii="Times New Roman" w:hAnsi="Times New Roman" w:cs="Times New Roman"/>
        </w:rPr>
        <w:t>.</w:t>
      </w:r>
      <w:r w:rsidR="00114743" w:rsidRPr="00E772BE">
        <w:rPr>
          <w:rStyle w:val="FootnoteReference"/>
          <w:rFonts w:ascii="Times New Roman" w:hAnsi="Times New Roman" w:cs="Times New Roman"/>
        </w:rPr>
        <w:footnoteReference w:id="11"/>
      </w:r>
      <w:r w:rsidRPr="00E772BE">
        <w:rPr>
          <w:rFonts w:ascii="Times New Roman" w:hAnsi="Times New Roman" w:cs="Times New Roman"/>
        </w:rPr>
        <w:t xml:space="preserve"> </w:t>
      </w:r>
    </w:p>
    <w:p w14:paraId="5C4EBD9B" w14:textId="11E4BEDA" w:rsidR="00E5135B" w:rsidRPr="00E772BE" w:rsidRDefault="008F75A2" w:rsidP="008B14B2">
      <w:pPr>
        <w:ind w:firstLine="720"/>
        <w:jc w:val="both"/>
        <w:rPr>
          <w:rFonts w:ascii="Times New Roman" w:hAnsi="Times New Roman" w:cs="Times New Roman"/>
        </w:rPr>
      </w:pPr>
      <w:r w:rsidRPr="00E772BE">
        <w:rPr>
          <w:rFonts w:ascii="Times New Roman" w:hAnsi="Times New Roman" w:cs="Times New Roman"/>
        </w:rPr>
        <w:t xml:space="preserve">But </w:t>
      </w:r>
      <w:r w:rsidR="009C668F" w:rsidRPr="00E772BE">
        <w:rPr>
          <w:rFonts w:ascii="Times New Roman" w:hAnsi="Times New Roman" w:cs="Times New Roman"/>
        </w:rPr>
        <w:t xml:space="preserve">far </w:t>
      </w:r>
      <w:r w:rsidR="00E5135B" w:rsidRPr="00E772BE">
        <w:rPr>
          <w:rFonts w:ascii="Times New Roman" w:hAnsi="Times New Roman" w:cs="Times New Roman"/>
        </w:rPr>
        <w:t xml:space="preserve">more </w:t>
      </w:r>
      <w:r w:rsidR="009C668F" w:rsidRPr="00E772BE">
        <w:rPr>
          <w:rFonts w:ascii="Times New Roman" w:hAnsi="Times New Roman" w:cs="Times New Roman"/>
        </w:rPr>
        <w:t xml:space="preserve">serious </w:t>
      </w:r>
      <w:r w:rsidR="00E5135B" w:rsidRPr="00E772BE">
        <w:rPr>
          <w:rFonts w:ascii="Times New Roman" w:hAnsi="Times New Roman" w:cs="Times New Roman"/>
        </w:rPr>
        <w:t xml:space="preserve">are the basic </w:t>
      </w:r>
      <w:r w:rsidRPr="00E772BE">
        <w:rPr>
          <w:rFonts w:ascii="Times New Roman" w:hAnsi="Times New Roman" w:cs="Times New Roman"/>
        </w:rPr>
        <w:t>methodological</w:t>
      </w:r>
      <w:r w:rsidR="00E5135B" w:rsidRPr="00E772BE">
        <w:rPr>
          <w:rFonts w:ascii="Times New Roman" w:hAnsi="Times New Roman" w:cs="Times New Roman"/>
        </w:rPr>
        <w:t xml:space="preserve"> flaws which run throughout the Business for Britain report</w:t>
      </w:r>
      <w:r w:rsidRPr="00E772BE">
        <w:rPr>
          <w:rFonts w:ascii="Times New Roman" w:hAnsi="Times New Roman" w:cs="Times New Roman"/>
        </w:rPr>
        <w:t>.</w:t>
      </w:r>
      <w:r w:rsidR="00E5135B" w:rsidRPr="00E772BE">
        <w:rPr>
          <w:rFonts w:ascii="Times New Roman" w:hAnsi="Times New Roman" w:cs="Times New Roman"/>
        </w:rPr>
        <w:t xml:space="preserve">  </w:t>
      </w:r>
      <w:r w:rsidR="00FA6EC1" w:rsidRPr="00E772BE">
        <w:rPr>
          <w:rFonts w:ascii="Times New Roman" w:hAnsi="Times New Roman" w:cs="Times New Roman"/>
        </w:rPr>
        <w:t xml:space="preserve">To work out </w:t>
      </w:r>
      <w:r w:rsidR="00E5135B" w:rsidRPr="00E772BE">
        <w:rPr>
          <w:rFonts w:ascii="Times New Roman" w:hAnsi="Times New Roman" w:cs="Times New Roman"/>
        </w:rPr>
        <w:t xml:space="preserve">its </w:t>
      </w:r>
      <w:r w:rsidR="00FA6EC1" w:rsidRPr="00E772BE">
        <w:rPr>
          <w:rFonts w:ascii="Times New Roman" w:hAnsi="Times New Roman" w:cs="Times New Roman"/>
        </w:rPr>
        <w:t>numbers on</w:t>
      </w:r>
      <w:r w:rsidR="0034667C" w:rsidRPr="00E772BE">
        <w:rPr>
          <w:rFonts w:ascii="Times New Roman" w:hAnsi="Times New Roman" w:cs="Times New Roman"/>
        </w:rPr>
        <w:t xml:space="preserve"> the </w:t>
      </w:r>
      <w:r w:rsidR="00015077" w:rsidRPr="00E772BE">
        <w:rPr>
          <w:rFonts w:ascii="Times New Roman" w:hAnsi="Times New Roman" w:cs="Times New Roman"/>
        </w:rPr>
        <w:t xml:space="preserve">UK side, </w:t>
      </w:r>
      <w:r w:rsidR="00E5135B" w:rsidRPr="00E772BE">
        <w:rPr>
          <w:rFonts w:ascii="Times New Roman" w:hAnsi="Times New Roman" w:cs="Times New Roman"/>
        </w:rPr>
        <w:t xml:space="preserve">Business for Britain </w:t>
      </w:r>
      <w:r w:rsidR="00015077" w:rsidRPr="00E772BE">
        <w:rPr>
          <w:rFonts w:ascii="Times New Roman" w:hAnsi="Times New Roman" w:cs="Times New Roman"/>
        </w:rPr>
        <w:t>added together the total number of primary and secondary legislative measures adopted in the UK durin</w:t>
      </w:r>
      <w:r w:rsidR="00E5135B" w:rsidRPr="00E772BE">
        <w:rPr>
          <w:rFonts w:ascii="Times New Roman" w:hAnsi="Times New Roman" w:cs="Times New Roman"/>
        </w:rPr>
        <w:t>g its reference period: A</w:t>
      </w:r>
      <w:r w:rsidR="0034667C" w:rsidRPr="00E772BE">
        <w:rPr>
          <w:rFonts w:ascii="Times New Roman" w:hAnsi="Times New Roman" w:cs="Times New Roman"/>
        </w:rPr>
        <w:t>ct</w:t>
      </w:r>
      <w:r w:rsidR="00015077" w:rsidRPr="00E772BE">
        <w:rPr>
          <w:rFonts w:ascii="Times New Roman" w:hAnsi="Times New Roman" w:cs="Times New Roman"/>
        </w:rPr>
        <w:t>s</w:t>
      </w:r>
      <w:r w:rsidR="0034667C" w:rsidRPr="00E772BE">
        <w:rPr>
          <w:rFonts w:ascii="Times New Roman" w:hAnsi="Times New Roman" w:cs="Times New Roman"/>
        </w:rPr>
        <w:t xml:space="preserve"> </w:t>
      </w:r>
      <w:r w:rsidR="00E5135B" w:rsidRPr="00E772BE">
        <w:rPr>
          <w:rFonts w:ascii="Times New Roman" w:hAnsi="Times New Roman" w:cs="Times New Roman"/>
        </w:rPr>
        <w:t>of P</w:t>
      </w:r>
      <w:r w:rsidR="00015077" w:rsidRPr="00E772BE">
        <w:rPr>
          <w:rFonts w:ascii="Times New Roman" w:hAnsi="Times New Roman" w:cs="Times New Roman"/>
        </w:rPr>
        <w:t xml:space="preserve">arliament and statutory </w:t>
      </w:r>
      <w:r w:rsidR="0034667C" w:rsidRPr="00E772BE">
        <w:rPr>
          <w:rFonts w:ascii="Times New Roman" w:hAnsi="Times New Roman" w:cs="Times New Roman"/>
        </w:rPr>
        <w:t>instruments</w:t>
      </w:r>
      <w:r w:rsidR="00015077" w:rsidRPr="00E772BE">
        <w:rPr>
          <w:rFonts w:ascii="Times New Roman" w:hAnsi="Times New Roman" w:cs="Times New Roman"/>
        </w:rPr>
        <w:t>.</w:t>
      </w:r>
      <w:r w:rsidR="00E5135B" w:rsidRPr="00E772BE">
        <w:rPr>
          <w:rFonts w:ascii="Times New Roman" w:hAnsi="Times New Roman" w:cs="Times New Roman"/>
        </w:rPr>
        <w:t xml:space="preserve">  </w:t>
      </w:r>
      <w:r w:rsidR="0034667C" w:rsidRPr="00E772BE">
        <w:rPr>
          <w:rFonts w:ascii="Times New Roman" w:hAnsi="Times New Roman" w:cs="Times New Roman"/>
        </w:rPr>
        <w:t xml:space="preserve">On the EU side, </w:t>
      </w:r>
      <w:r w:rsidR="00E5135B" w:rsidRPr="00E772BE">
        <w:rPr>
          <w:rFonts w:ascii="Times New Roman" w:hAnsi="Times New Roman" w:cs="Times New Roman"/>
        </w:rPr>
        <w:t xml:space="preserve">Business for Britain </w:t>
      </w:r>
      <w:r w:rsidR="0034667C" w:rsidRPr="00E772BE">
        <w:rPr>
          <w:rFonts w:ascii="Times New Roman" w:hAnsi="Times New Roman" w:cs="Times New Roman"/>
        </w:rPr>
        <w:t>added together the total number of regulations adopted by the EU during the same reference period.</w:t>
      </w:r>
      <w:r w:rsidR="001546F3">
        <w:rPr>
          <w:rStyle w:val="FootnoteReference"/>
          <w:rFonts w:ascii="Times New Roman" w:hAnsi="Times New Roman" w:cs="Times New Roman"/>
        </w:rPr>
        <w:footnoteReference w:id="12"/>
      </w:r>
      <w:r w:rsidR="00E5135B" w:rsidRPr="00E772BE">
        <w:rPr>
          <w:rFonts w:ascii="Times New Roman" w:hAnsi="Times New Roman" w:cs="Times New Roman"/>
        </w:rPr>
        <w:t xml:space="preserve">  Business for Britain </w:t>
      </w:r>
      <w:r w:rsidR="0034667C" w:rsidRPr="00E772BE">
        <w:rPr>
          <w:rFonts w:ascii="Times New Roman" w:hAnsi="Times New Roman" w:cs="Times New Roman"/>
        </w:rPr>
        <w:t xml:space="preserve">then </w:t>
      </w:r>
      <w:r w:rsidR="009C668F" w:rsidRPr="00E772BE">
        <w:rPr>
          <w:rFonts w:ascii="Times New Roman" w:hAnsi="Times New Roman" w:cs="Times New Roman"/>
        </w:rPr>
        <w:t xml:space="preserve">identified </w:t>
      </w:r>
      <w:r w:rsidR="0034667C" w:rsidRPr="00E772BE">
        <w:rPr>
          <w:rFonts w:ascii="Times New Roman" w:hAnsi="Times New Roman" w:cs="Times New Roman"/>
        </w:rPr>
        <w:t>the total number of UK measures adopted in order to implement EU directives into national law.</w:t>
      </w:r>
      <w:r w:rsidR="001546F3">
        <w:rPr>
          <w:rStyle w:val="FootnoteReference"/>
          <w:rFonts w:ascii="Times New Roman" w:hAnsi="Times New Roman" w:cs="Times New Roman"/>
        </w:rPr>
        <w:footnoteReference w:id="13"/>
      </w:r>
      <w:r w:rsidR="0034667C" w:rsidRPr="00E772BE">
        <w:rPr>
          <w:rFonts w:ascii="Times New Roman" w:hAnsi="Times New Roman" w:cs="Times New Roman"/>
        </w:rPr>
        <w:t xml:space="preserve">  Those measures were extracted from the UK tally and added instead to the EU figures</w:t>
      </w:r>
      <w:r w:rsidR="009C668F" w:rsidRPr="00E772BE">
        <w:rPr>
          <w:rFonts w:ascii="Times New Roman" w:hAnsi="Times New Roman" w:cs="Times New Roman"/>
        </w:rPr>
        <w:t>.</w:t>
      </w:r>
      <w:r w:rsidR="00E5135B" w:rsidRPr="00E772BE">
        <w:rPr>
          <w:rFonts w:ascii="Times New Roman" w:hAnsi="Times New Roman" w:cs="Times New Roman"/>
        </w:rPr>
        <w:t xml:space="preserve">  </w:t>
      </w:r>
      <w:r w:rsidR="009C668F" w:rsidRPr="00E772BE">
        <w:rPr>
          <w:rFonts w:ascii="Times New Roman" w:hAnsi="Times New Roman" w:cs="Times New Roman"/>
        </w:rPr>
        <w:t xml:space="preserve">So: from the total legal acts counted, 59.3% were EU regulations; 5.4% were UK measures </w:t>
      </w:r>
      <w:r w:rsidR="00FA6EC1" w:rsidRPr="00E772BE">
        <w:rPr>
          <w:rFonts w:ascii="Times New Roman" w:hAnsi="Times New Roman" w:cs="Times New Roman"/>
        </w:rPr>
        <w:t>adopted to implement</w:t>
      </w:r>
      <w:r w:rsidR="009C668F" w:rsidRPr="00E772BE">
        <w:rPr>
          <w:rFonts w:ascii="Times New Roman" w:hAnsi="Times New Roman" w:cs="Times New Roman"/>
        </w:rPr>
        <w:t xml:space="preserve"> EU directives; and that left just 35.3% as </w:t>
      </w:r>
      <w:r w:rsidR="00FA6EC1" w:rsidRPr="00E772BE">
        <w:rPr>
          <w:rFonts w:ascii="Times New Roman" w:hAnsi="Times New Roman" w:cs="Times New Roman"/>
        </w:rPr>
        <w:t>“</w:t>
      </w:r>
      <w:r w:rsidR="009C668F" w:rsidRPr="00E772BE">
        <w:rPr>
          <w:rFonts w:ascii="Times New Roman" w:hAnsi="Times New Roman" w:cs="Times New Roman"/>
        </w:rPr>
        <w:t>pure bred</w:t>
      </w:r>
      <w:r w:rsidR="00FA6EC1" w:rsidRPr="00E772BE">
        <w:rPr>
          <w:rFonts w:ascii="Times New Roman" w:hAnsi="Times New Roman" w:cs="Times New Roman"/>
        </w:rPr>
        <w:t>”</w:t>
      </w:r>
      <w:r w:rsidR="009C668F" w:rsidRPr="00E772BE">
        <w:rPr>
          <w:rFonts w:ascii="Times New Roman" w:hAnsi="Times New Roman" w:cs="Times New Roman"/>
        </w:rPr>
        <w:t xml:space="preserve"> </w:t>
      </w:r>
      <w:r w:rsidR="00FA6EC1" w:rsidRPr="00E772BE">
        <w:rPr>
          <w:rFonts w:ascii="Times New Roman" w:hAnsi="Times New Roman" w:cs="Times New Roman"/>
        </w:rPr>
        <w:t xml:space="preserve">British </w:t>
      </w:r>
      <w:r w:rsidR="009C668F" w:rsidRPr="00E772BE">
        <w:rPr>
          <w:rFonts w:ascii="Times New Roman" w:hAnsi="Times New Roman" w:cs="Times New Roman"/>
        </w:rPr>
        <w:t xml:space="preserve">law.   </w:t>
      </w:r>
    </w:p>
    <w:p w14:paraId="1DECB6B4" w14:textId="77777777" w:rsidR="00451F26" w:rsidRPr="00E772BE" w:rsidRDefault="00451F26" w:rsidP="00451F26">
      <w:pPr>
        <w:jc w:val="both"/>
        <w:rPr>
          <w:rFonts w:ascii="Times New Roman" w:hAnsi="Times New Roman" w:cs="Times New Roman"/>
        </w:rPr>
      </w:pPr>
    </w:p>
    <w:p w14:paraId="1D29D0F0" w14:textId="73B664D3" w:rsidR="00451F26" w:rsidRPr="00E772BE" w:rsidRDefault="00451F26" w:rsidP="00451F26">
      <w:pPr>
        <w:jc w:val="center"/>
        <w:rPr>
          <w:rFonts w:ascii="Times New Roman" w:hAnsi="Times New Roman" w:cs="Times New Roman"/>
        </w:rPr>
      </w:pPr>
      <w:r w:rsidRPr="00E772BE">
        <w:rPr>
          <w:rFonts w:ascii="Times New Roman" w:hAnsi="Times New Roman" w:cs="Times New Roman"/>
        </w:rPr>
        <w:t>{Insert Table 1}</w:t>
      </w:r>
    </w:p>
    <w:p w14:paraId="68414DD8" w14:textId="77777777" w:rsidR="00451F26" w:rsidRPr="00E772BE" w:rsidRDefault="00451F26" w:rsidP="00451F26">
      <w:pPr>
        <w:jc w:val="both"/>
        <w:rPr>
          <w:rFonts w:ascii="Times New Roman" w:hAnsi="Times New Roman" w:cs="Times New Roman"/>
        </w:rPr>
      </w:pPr>
    </w:p>
    <w:p w14:paraId="745112D0" w14:textId="77777777" w:rsidR="00E5135B" w:rsidRPr="00E772BE" w:rsidRDefault="009C668F" w:rsidP="00451F26">
      <w:pPr>
        <w:jc w:val="both"/>
        <w:rPr>
          <w:rFonts w:ascii="Times New Roman" w:hAnsi="Times New Roman" w:cs="Times New Roman"/>
        </w:rPr>
      </w:pPr>
      <w:r w:rsidRPr="00E772BE">
        <w:rPr>
          <w:rFonts w:ascii="Times New Roman" w:hAnsi="Times New Roman" w:cs="Times New Roman"/>
        </w:rPr>
        <w:t>Scientific and definitive?  Actually – complete rubbish.</w:t>
      </w:r>
    </w:p>
    <w:p w14:paraId="584E7C3A" w14:textId="1318F2C6" w:rsidR="00E5135B" w:rsidRPr="00E772BE" w:rsidRDefault="009C668F" w:rsidP="008B14B2">
      <w:pPr>
        <w:ind w:firstLine="720"/>
        <w:jc w:val="both"/>
        <w:rPr>
          <w:rFonts w:ascii="Times New Roman" w:hAnsi="Times New Roman" w:cs="Times New Roman"/>
        </w:rPr>
      </w:pPr>
      <w:r w:rsidRPr="00E772BE">
        <w:rPr>
          <w:rFonts w:ascii="Times New Roman" w:hAnsi="Times New Roman" w:cs="Times New Roman"/>
        </w:rPr>
        <w:t>T</w:t>
      </w:r>
      <w:r w:rsidR="008F75A2" w:rsidRPr="00E772BE">
        <w:rPr>
          <w:rFonts w:ascii="Times New Roman" w:hAnsi="Times New Roman" w:cs="Times New Roman"/>
        </w:rPr>
        <w:t>he vast bulk of the “64.7%” figure calculated by Business for Britain refers to “EU regulations” without any apparent attempt to distinguish between legislative regulations and non-legislative ones.</w:t>
      </w:r>
      <w:r w:rsidR="00114743" w:rsidRPr="00E772BE">
        <w:rPr>
          <w:rStyle w:val="FootnoteReference"/>
          <w:rFonts w:ascii="Times New Roman" w:hAnsi="Times New Roman" w:cs="Times New Roman"/>
        </w:rPr>
        <w:footnoteReference w:id="14"/>
      </w:r>
      <w:r w:rsidR="009916BC" w:rsidRPr="00E772BE">
        <w:rPr>
          <w:rFonts w:ascii="Times New Roman" w:hAnsi="Times New Roman" w:cs="Times New Roman"/>
        </w:rPr>
        <w:t xml:space="preserve">  Or – within the category of non-legislative regulations – between delegated acts and mere implementing acts.</w:t>
      </w:r>
      <w:r w:rsidR="00114743" w:rsidRPr="00E772BE">
        <w:rPr>
          <w:rStyle w:val="FootnoteReference"/>
          <w:rFonts w:ascii="Times New Roman" w:hAnsi="Times New Roman" w:cs="Times New Roman"/>
        </w:rPr>
        <w:footnoteReference w:id="15"/>
      </w:r>
      <w:r w:rsidR="009916BC" w:rsidRPr="00E772BE">
        <w:rPr>
          <w:rFonts w:ascii="Times New Roman" w:hAnsi="Times New Roman" w:cs="Times New Roman"/>
        </w:rPr>
        <w:t xml:space="preserve">  </w:t>
      </w:r>
      <w:r w:rsidR="008F75A2" w:rsidRPr="00E772BE">
        <w:rPr>
          <w:rFonts w:ascii="Times New Roman" w:hAnsi="Times New Roman" w:cs="Times New Roman"/>
        </w:rPr>
        <w:t xml:space="preserve">  </w:t>
      </w:r>
    </w:p>
    <w:p w14:paraId="44F358A6" w14:textId="77777777" w:rsidR="00E5135B" w:rsidRPr="00E772BE" w:rsidRDefault="009916BC" w:rsidP="008B14B2">
      <w:pPr>
        <w:ind w:firstLine="720"/>
        <w:jc w:val="both"/>
        <w:rPr>
          <w:rFonts w:ascii="Times New Roman" w:hAnsi="Times New Roman" w:cs="Times New Roman"/>
        </w:rPr>
      </w:pPr>
      <w:r w:rsidRPr="00E772BE">
        <w:rPr>
          <w:rFonts w:ascii="Times New Roman" w:hAnsi="Times New Roman" w:cs="Times New Roman"/>
        </w:rPr>
        <w:t>EU l</w:t>
      </w:r>
      <w:r w:rsidR="00015077" w:rsidRPr="00E772BE">
        <w:rPr>
          <w:rFonts w:ascii="Times New Roman" w:hAnsi="Times New Roman" w:cs="Times New Roman"/>
        </w:rPr>
        <w:t xml:space="preserve">egislative regulations </w:t>
      </w:r>
      <w:r w:rsidRPr="00E772BE">
        <w:rPr>
          <w:rFonts w:ascii="Times New Roman" w:hAnsi="Times New Roman" w:cs="Times New Roman"/>
        </w:rPr>
        <w:t xml:space="preserve">can rightly be compared to primary legislation in the UK.  But they </w:t>
      </w:r>
      <w:r w:rsidR="008F75A2" w:rsidRPr="00E772BE">
        <w:rPr>
          <w:rFonts w:ascii="Times New Roman" w:hAnsi="Times New Roman" w:cs="Times New Roman"/>
        </w:rPr>
        <w:t xml:space="preserve">are relatively few in number.  </w:t>
      </w:r>
      <w:r w:rsidRPr="00E772BE">
        <w:rPr>
          <w:rFonts w:ascii="Times New Roman" w:hAnsi="Times New Roman" w:cs="Times New Roman"/>
        </w:rPr>
        <w:t>EU non-legislative but delegated regulations can</w:t>
      </w:r>
      <w:r w:rsidR="00E5135B" w:rsidRPr="00E772BE">
        <w:rPr>
          <w:rFonts w:ascii="Times New Roman" w:hAnsi="Times New Roman" w:cs="Times New Roman"/>
        </w:rPr>
        <w:t xml:space="preserve"> (</w:t>
      </w:r>
      <w:r w:rsidR="00FA6EC1" w:rsidRPr="00E772BE">
        <w:rPr>
          <w:rFonts w:ascii="Times New Roman" w:hAnsi="Times New Roman" w:cs="Times New Roman"/>
        </w:rPr>
        <w:t>with some justification</w:t>
      </w:r>
      <w:r w:rsidR="00E5135B" w:rsidRPr="00E772BE">
        <w:rPr>
          <w:rFonts w:ascii="Times New Roman" w:hAnsi="Times New Roman" w:cs="Times New Roman"/>
        </w:rPr>
        <w:t xml:space="preserve">, though many would still dispute this) </w:t>
      </w:r>
      <w:r w:rsidRPr="00E772BE">
        <w:rPr>
          <w:rFonts w:ascii="Times New Roman" w:hAnsi="Times New Roman" w:cs="Times New Roman"/>
        </w:rPr>
        <w:t xml:space="preserve">be compared to statutory instruments in the UK.  But again, they are relatively few in number.  </w:t>
      </w:r>
      <w:r w:rsidR="00FA6EC1" w:rsidRPr="00E772BE">
        <w:rPr>
          <w:rFonts w:ascii="Times New Roman" w:hAnsi="Times New Roman" w:cs="Times New Roman"/>
        </w:rPr>
        <w:t>T</w:t>
      </w:r>
      <w:r w:rsidRPr="00E772BE">
        <w:rPr>
          <w:rFonts w:ascii="Times New Roman" w:hAnsi="Times New Roman" w:cs="Times New Roman"/>
        </w:rPr>
        <w:t xml:space="preserve">he vast majority of EU </w:t>
      </w:r>
      <w:r w:rsidR="00015077" w:rsidRPr="00E772BE">
        <w:rPr>
          <w:rFonts w:ascii="Times New Roman" w:hAnsi="Times New Roman" w:cs="Times New Roman"/>
        </w:rPr>
        <w:t xml:space="preserve">non-legislative regulations </w:t>
      </w:r>
      <w:r w:rsidRPr="00E772BE">
        <w:rPr>
          <w:rFonts w:ascii="Times New Roman" w:hAnsi="Times New Roman" w:cs="Times New Roman"/>
        </w:rPr>
        <w:t xml:space="preserve">are purely technical and administrative in character.  In fact, they constitute </w:t>
      </w:r>
      <w:r w:rsidR="008F75A2" w:rsidRPr="00E772BE">
        <w:rPr>
          <w:rFonts w:ascii="Times New Roman" w:hAnsi="Times New Roman" w:cs="Times New Roman"/>
        </w:rPr>
        <w:t xml:space="preserve">one of the main legal instruments through which the EU institutions reach detailed decisions: </w:t>
      </w:r>
      <w:r w:rsidR="00E5135B" w:rsidRPr="00E772BE">
        <w:rPr>
          <w:rFonts w:ascii="Times New Roman" w:hAnsi="Times New Roman" w:cs="Times New Roman"/>
        </w:rPr>
        <w:t xml:space="preserve">for example, </w:t>
      </w:r>
      <w:r w:rsidR="008F75A2" w:rsidRPr="00E772BE">
        <w:rPr>
          <w:rFonts w:ascii="Times New Roman" w:hAnsi="Times New Roman" w:cs="Times New Roman"/>
        </w:rPr>
        <w:t xml:space="preserve">updating the scientific registers of chemicals and food additives; calculating the precise allocation of import licences under the common commercial policy; adjusting specific anti-dumping duties on cheap imports from third countries; confirming the regular continuance of UN sanctions on particular third countries or named individuals suspected of involvement in terrorism; entering or updating specific foodstuffs in the register of protected designations of origin etc.  </w:t>
      </w:r>
    </w:p>
    <w:p w14:paraId="3C4A6D6A" w14:textId="143965ED" w:rsidR="00E5135B" w:rsidRPr="00E772BE" w:rsidRDefault="008F75A2" w:rsidP="008B14B2">
      <w:pPr>
        <w:ind w:firstLine="720"/>
        <w:jc w:val="both"/>
        <w:rPr>
          <w:rFonts w:ascii="Times New Roman" w:hAnsi="Times New Roman" w:cs="Times New Roman"/>
        </w:rPr>
      </w:pPr>
      <w:r w:rsidRPr="00E772BE">
        <w:rPr>
          <w:rFonts w:ascii="Times New Roman" w:hAnsi="Times New Roman" w:cs="Times New Roman"/>
        </w:rPr>
        <w:t xml:space="preserve">As a result, </w:t>
      </w:r>
      <w:r w:rsidR="009C668F" w:rsidRPr="00E772BE">
        <w:rPr>
          <w:rFonts w:ascii="Times New Roman" w:hAnsi="Times New Roman" w:cs="Times New Roman"/>
        </w:rPr>
        <w:t>the</w:t>
      </w:r>
      <w:r w:rsidRPr="00E772BE">
        <w:rPr>
          <w:rFonts w:ascii="Times New Roman" w:hAnsi="Times New Roman" w:cs="Times New Roman"/>
        </w:rPr>
        <w:t xml:space="preserve"> </w:t>
      </w:r>
      <w:r w:rsidR="00E5135B" w:rsidRPr="00E772BE">
        <w:rPr>
          <w:rFonts w:ascii="Times New Roman" w:hAnsi="Times New Roman" w:cs="Times New Roman"/>
        </w:rPr>
        <w:t xml:space="preserve">Business for Britain </w:t>
      </w:r>
      <w:r w:rsidRPr="00E772BE">
        <w:rPr>
          <w:rFonts w:ascii="Times New Roman" w:hAnsi="Times New Roman" w:cs="Times New Roman"/>
        </w:rPr>
        <w:t xml:space="preserve">study </w:t>
      </w:r>
      <w:r w:rsidR="009C668F" w:rsidRPr="00E772BE">
        <w:rPr>
          <w:rFonts w:ascii="Times New Roman" w:hAnsi="Times New Roman" w:cs="Times New Roman"/>
        </w:rPr>
        <w:t xml:space="preserve">was </w:t>
      </w:r>
      <w:r w:rsidRPr="00E772BE">
        <w:rPr>
          <w:rFonts w:ascii="Times New Roman" w:hAnsi="Times New Roman" w:cs="Times New Roman"/>
        </w:rPr>
        <w:t xml:space="preserve">simply not comparing like with like.  If </w:t>
      </w:r>
      <w:r w:rsidR="00E5135B" w:rsidRPr="00E772BE">
        <w:rPr>
          <w:rFonts w:ascii="Times New Roman" w:hAnsi="Times New Roman" w:cs="Times New Roman"/>
        </w:rPr>
        <w:t xml:space="preserve">one </w:t>
      </w:r>
      <w:r w:rsidRPr="00E772BE">
        <w:rPr>
          <w:rFonts w:ascii="Times New Roman" w:hAnsi="Times New Roman" w:cs="Times New Roman"/>
        </w:rPr>
        <w:t xml:space="preserve">were to apply their understanding of “EU law” also to “UK law”, then </w:t>
      </w:r>
      <w:r w:rsidR="00E5135B" w:rsidRPr="00E772BE">
        <w:rPr>
          <w:rFonts w:ascii="Times New Roman" w:hAnsi="Times New Roman" w:cs="Times New Roman"/>
        </w:rPr>
        <w:t xml:space="preserve">one </w:t>
      </w:r>
      <w:r w:rsidRPr="00E772BE">
        <w:rPr>
          <w:rFonts w:ascii="Times New Roman" w:hAnsi="Times New Roman" w:cs="Times New Roman"/>
        </w:rPr>
        <w:t xml:space="preserve">would have to add into the calculation vast numbers of UK decisions taken by public officials in a wide range of public bodies across the entire country – which would surely render the EU component of any statistics on the </w:t>
      </w:r>
      <w:r w:rsidR="00E5135B" w:rsidRPr="00E772BE">
        <w:rPr>
          <w:rFonts w:ascii="Times New Roman" w:hAnsi="Times New Roman" w:cs="Times New Roman"/>
        </w:rPr>
        <w:t xml:space="preserve">total </w:t>
      </w:r>
      <w:r w:rsidRPr="00E772BE">
        <w:rPr>
          <w:rFonts w:ascii="Times New Roman" w:hAnsi="Times New Roman" w:cs="Times New Roman"/>
        </w:rPr>
        <w:t xml:space="preserve">volume of </w:t>
      </w:r>
      <w:r w:rsidR="00E5135B" w:rsidRPr="00E772BE">
        <w:rPr>
          <w:rFonts w:ascii="Times New Roman" w:hAnsi="Times New Roman" w:cs="Times New Roman"/>
        </w:rPr>
        <w:t>“</w:t>
      </w:r>
      <w:r w:rsidRPr="00E772BE">
        <w:rPr>
          <w:rFonts w:ascii="Times New Roman" w:hAnsi="Times New Roman" w:cs="Times New Roman"/>
        </w:rPr>
        <w:t>UK law</w:t>
      </w:r>
      <w:r w:rsidR="00E5135B" w:rsidRPr="00E772BE">
        <w:rPr>
          <w:rFonts w:ascii="Times New Roman" w:hAnsi="Times New Roman" w:cs="Times New Roman"/>
        </w:rPr>
        <w:t>”</w:t>
      </w:r>
      <w:r w:rsidRPr="00E772BE">
        <w:rPr>
          <w:rFonts w:ascii="Times New Roman" w:hAnsi="Times New Roman" w:cs="Times New Roman"/>
        </w:rPr>
        <w:t xml:space="preserve"> virtually negligible.  Instead, </w:t>
      </w:r>
      <w:r w:rsidR="00E5135B" w:rsidRPr="00E772BE">
        <w:rPr>
          <w:rFonts w:ascii="Times New Roman" w:hAnsi="Times New Roman" w:cs="Times New Roman"/>
        </w:rPr>
        <w:t xml:space="preserve">the Business for Britain report </w:t>
      </w:r>
      <w:r w:rsidRPr="00E772BE">
        <w:rPr>
          <w:rFonts w:ascii="Times New Roman" w:hAnsi="Times New Roman" w:cs="Times New Roman"/>
        </w:rPr>
        <w:t>is comparing apples</w:t>
      </w:r>
      <w:r w:rsidR="00E5135B" w:rsidRPr="00E772BE">
        <w:rPr>
          <w:rFonts w:ascii="Times New Roman" w:hAnsi="Times New Roman" w:cs="Times New Roman"/>
        </w:rPr>
        <w:t xml:space="preserve"> </w:t>
      </w:r>
      <w:r w:rsidRPr="00E772BE">
        <w:rPr>
          <w:rFonts w:ascii="Times New Roman" w:hAnsi="Times New Roman" w:cs="Times New Roman"/>
        </w:rPr>
        <w:t xml:space="preserve">with </w:t>
      </w:r>
      <w:r w:rsidR="00E5135B" w:rsidRPr="00E772BE">
        <w:rPr>
          <w:rFonts w:ascii="Times New Roman" w:hAnsi="Times New Roman" w:cs="Times New Roman"/>
        </w:rPr>
        <w:t xml:space="preserve">vast quantities of </w:t>
      </w:r>
      <w:r w:rsidRPr="00E772BE">
        <w:rPr>
          <w:rFonts w:ascii="Times New Roman" w:hAnsi="Times New Roman" w:cs="Times New Roman"/>
        </w:rPr>
        <w:t>pears</w:t>
      </w:r>
      <w:r w:rsidR="00E5135B" w:rsidRPr="00E772BE">
        <w:rPr>
          <w:rFonts w:ascii="Times New Roman" w:hAnsi="Times New Roman" w:cs="Times New Roman"/>
        </w:rPr>
        <w:t xml:space="preserve"> </w:t>
      </w:r>
      <w:r w:rsidRPr="00E772BE">
        <w:rPr>
          <w:rFonts w:ascii="Times New Roman" w:hAnsi="Times New Roman" w:cs="Times New Roman"/>
        </w:rPr>
        <w:t xml:space="preserve">– which is why they produce such inflated statistics.  Going further: insofar as Business for Britain explicitly claims to be comparing like with like – in particular, they repeatedly refer to all of </w:t>
      </w:r>
      <w:r w:rsidR="00E5135B" w:rsidRPr="00E772BE">
        <w:rPr>
          <w:rFonts w:ascii="Times New Roman" w:hAnsi="Times New Roman" w:cs="Times New Roman"/>
        </w:rPr>
        <w:t xml:space="preserve">those </w:t>
      </w:r>
      <w:r w:rsidRPr="00E772BE">
        <w:rPr>
          <w:rFonts w:ascii="Times New Roman" w:hAnsi="Times New Roman" w:cs="Times New Roman"/>
        </w:rPr>
        <w:t xml:space="preserve">EU regulations in terms corresponding to legislative acts, not mere non-legislative measures – these statistics are not only </w:t>
      </w:r>
      <w:r w:rsidR="00B535FC">
        <w:rPr>
          <w:rFonts w:ascii="Times New Roman" w:hAnsi="Times New Roman" w:cs="Times New Roman"/>
        </w:rPr>
        <w:t xml:space="preserve">wildly </w:t>
      </w:r>
      <w:r w:rsidRPr="00E772BE">
        <w:rPr>
          <w:rFonts w:ascii="Times New Roman" w:hAnsi="Times New Roman" w:cs="Times New Roman"/>
        </w:rPr>
        <w:t>inaccurate but also positively misleading.</w:t>
      </w:r>
    </w:p>
    <w:p w14:paraId="0B029979" w14:textId="16667FFC" w:rsidR="00E5135B" w:rsidRDefault="008F75A2" w:rsidP="008B14B2">
      <w:pPr>
        <w:ind w:firstLine="720"/>
        <w:jc w:val="both"/>
        <w:rPr>
          <w:rFonts w:ascii="Times New Roman" w:hAnsi="Times New Roman" w:cs="Times New Roman"/>
        </w:rPr>
      </w:pPr>
      <w:r w:rsidRPr="00E772BE">
        <w:rPr>
          <w:rFonts w:ascii="Times New Roman" w:hAnsi="Times New Roman" w:cs="Times New Roman"/>
        </w:rPr>
        <w:t xml:space="preserve">If one were to try and do a better job of comparing like with like, there is no doubt that </w:t>
      </w:r>
      <w:r w:rsidR="00E5135B" w:rsidRPr="00E772BE">
        <w:rPr>
          <w:rFonts w:ascii="Times New Roman" w:hAnsi="Times New Roman" w:cs="Times New Roman"/>
        </w:rPr>
        <w:t xml:space="preserve">one </w:t>
      </w:r>
      <w:r w:rsidRPr="00E772BE">
        <w:rPr>
          <w:rFonts w:ascii="Times New Roman" w:hAnsi="Times New Roman" w:cs="Times New Roman"/>
        </w:rPr>
        <w:t xml:space="preserve">would end up with radically different numbers.  By way of experiment, </w:t>
      </w:r>
      <w:r w:rsidR="00E5135B" w:rsidRPr="00E772BE">
        <w:rPr>
          <w:rFonts w:ascii="Times New Roman" w:hAnsi="Times New Roman" w:cs="Times New Roman"/>
        </w:rPr>
        <w:t xml:space="preserve">the present author </w:t>
      </w:r>
      <w:r w:rsidRPr="00E772BE">
        <w:rPr>
          <w:rFonts w:ascii="Times New Roman" w:hAnsi="Times New Roman" w:cs="Times New Roman"/>
        </w:rPr>
        <w:t xml:space="preserve">checked all of the EU regulations published in the </w:t>
      </w:r>
      <w:r w:rsidRPr="00E772BE">
        <w:rPr>
          <w:rFonts w:ascii="Times New Roman" w:hAnsi="Times New Roman" w:cs="Times New Roman"/>
          <w:i/>
        </w:rPr>
        <w:t>Official Journal</w:t>
      </w:r>
      <w:r w:rsidR="00E5135B" w:rsidRPr="00E772BE">
        <w:rPr>
          <w:rFonts w:ascii="Times New Roman" w:hAnsi="Times New Roman" w:cs="Times New Roman"/>
          <w:i/>
        </w:rPr>
        <w:t xml:space="preserve"> of the European Union</w:t>
      </w:r>
      <w:r w:rsidRPr="00E772BE">
        <w:rPr>
          <w:rFonts w:ascii="Times New Roman" w:hAnsi="Times New Roman" w:cs="Times New Roman"/>
          <w:i/>
        </w:rPr>
        <w:t xml:space="preserve"> </w:t>
      </w:r>
      <w:r w:rsidR="00411DC1" w:rsidRPr="00E772BE">
        <w:rPr>
          <w:rFonts w:ascii="Times New Roman" w:hAnsi="Times New Roman" w:cs="Times New Roman"/>
        </w:rPr>
        <w:t xml:space="preserve">during several randomly selected months. </w:t>
      </w:r>
      <w:r w:rsidR="00E5135B" w:rsidRPr="00E772BE">
        <w:rPr>
          <w:rFonts w:ascii="Times New Roman" w:hAnsi="Times New Roman" w:cs="Times New Roman"/>
        </w:rPr>
        <w:t xml:space="preserve"> </w:t>
      </w:r>
      <w:r w:rsidRPr="00E772BE">
        <w:rPr>
          <w:rFonts w:ascii="Times New Roman" w:hAnsi="Times New Roman" w:cs="Times New Roman"/>
        </w:rPr>
        <w:t>October 2015</w:t>
      </w:r>
      <w:r w:rsidR="00411DC1" w:rsidRPr="00E772BE">
        <w:rPr>
          <w:rFonts w:ascii="Times New Roman" w:hAnsi="Times New Roman" w:cs="Times New Roman"/>
        </w:rPr>
        <w:t xml:space="preserve"> </w:t>
      </w:r>
      <w:r w:rsidR="00E5135B" w:rsidRPr="00E772BE">
        <w:rPr>
          <w:rFonts w:ascii="Times New Roman" w:hAnsi="Times New Roman" w:cs="Times New Roman"/>
        </w:rPr>
        <w:t xml:space="preserve">serves as a typical </w:t>
      </w:r>
      <w:r w:rsidR="00411DC1" w:rsidRPr="00E772BE">
        <w:rPr>
          <w:rFonts w:ascii="Times New Roman" w:hAnsi="Times New Roman" w:cs="Times New Roman"/>
        </w:rPr>
        <w:t>example</w:t>
      </w:r>
      <w:r w:rsidRPr="00E772BE">
        <w:rPr>
          <w:rFonts w:ascii="Times New Roman" w:hAnsi="Times New Roman" w:cs="Times New Roman"/>
        </w:rPr>
        <w:t xml:space="preserve">.  Using the methodology apparently employed by Business for Britain, </w:t>
      </w:r>
      <w:r w:rsidR="00E5135B" w:rsidRPr="00E772BE">
        <w:rPr>
          <w:rFonts w:ascii="Times New Roman" w:hAnsi="Times New Roman" w:cs="Times New Roman"/>
        </w:rPr>
        <w:t xml:space="preserve">one </w:t>
      </w:r>
      <w:r w:rsidRPr="00E772BE">
        <w:rPr>
          <w:rFonts w:ascii="Times New Roman" w:hAnsi="Times New Roman" w:cs="Times New Roman"/>
        </w:rPr>
        <w:t xml:space="preserve">would </w:t>
      </w:r>
      <w:r w:rsidR="00E5135B" w:rsidRPr="00E772BE">
        <w:rPr>
          <w:rFonts w:ascii="Times New Roman" w:hAnsi="Times New Roman" w:cs="Times New Roman"/>
        </w:rPr>
        <w:t>count</w:t>
      </w:r>
      <w:r w:rsidRPr="00E772BE">
        <w:rPr>
          <w:rFonts w:ascii="Times New Roman" w:hAnsi="Times New Roman" w:cs="Times New Roman"/>
        </w:rPr>
        <w:t xml:space="preserve"> </w:t>
      </w:r>
      <w:r w:rsidR="009916BC" w:rsidRPr="00E772BE">
        <w:rPr>
          <w:rFonts w:ascii="Times New Roman" w:hAnsi="Times New Roman" w:cs="Times New Roman"/>
        </w:rPr>
        <w:t xml:space="preserve">115 </w:t>
      </w:r>
      <w:r w:rsidRPr="00E772BE">
        <w:rPr>
          <w:rFonts w:ascii="Times New Roman" w:hAnsi="Times New Roman" w:cs="Times New Roman"/>
        </w:rPr>
        <w:t>EU regulations</w:t>
      </w:r>
      <w:r w:rsidR="00E5135B" w:rsidRPr="00E772BE">
        <w:rPr>
          <w:rFonts w:ascii="Times New Roman" w:hAnsi="Times New Roman" w:cs="Times New Roman"/>
        </w:rPr>
        <w:t>, i.e.</w:t>
      </w:r>
      <w:r w:rsidR="00411DC1" w:rsidRPr="00E772BE">
        <w:rPr>
          <w:rFonts w:ascii="Times New Roman" w:hAnsi="Times New Roman" w:cs="Times New Roman"/>
        </w:rPr>
        <w:t xml:space="preserve"> 115 added into a </w:t>
      </w:r>
      <w:r w:rsidR="00E5135B" w:rsidRPr="00E772BE">
        <w:rPr>
          <w:rFonts w:ascii="Times New Roman" w:hAnsi="Times New Roman" w:cs="Times New Roman"/>
        </w:rPr>
        <w:t>Business for Britain</w:t>
      </w:r>
      <w:r w:rsidR="00411DC1" w:rsidRPr="00E772BE">
        <w:rPr>
          <w:rFonts w:ascii="Times New Roman" w:hAnsi="Times New Roman" w:cs="Times New Roman"/>
        </w:rPr>
        <w:t>-style tally of “EU law imposed on the UK by Brussels”</w:t>
      </w:r>
      <w:r w:rsidRPr="00E772BE">
        <w:rPr>
          <w:rFonts w:ascii="Times New Roman" w:hAnsi="Times New Roman" w:cs="Times New Roman"/>
        </w:rPr>
        <w:t>.</w:t>
      </w:r>
      <w:r w:rsidR="00E5135B" w:rsidRPr="00E772BE">
        <w:rPr>
          <w:rFonts w:ascii="Times New Roman" w:hAnsi="Times New Roman" w:cs="Times New Roman"/>
        </w:rPr>
        <w:t xml:space="preserve">  </w:t>
      </w:r>
      <w:r w:rsidRPr="00E772BE">
        <w:rPr>
          <w:rFonts w:ascii="Times New Roman" w:hAnsi="Times New Roman" w:cs="Times New Roman"/>
        </w:rPr>
        <w:t xml:space="preserve">But in fact, only </w:t>
      </w:r>
      <w:r w:rsidR="009916BC" w:rsidRPr="00E772BE">
        <w:rPr>
          <w:rFonts w:ascii="Times New Roman" w:hAnsi="Times New Roman" w:cs="Times New Roman"/>
        </w:rPr>
        <w:t xml:space="preserve">4 </w:t>
      </w:r>
      <w:r w:rsidRPr="00E772BE">
        <w:rPr>
          <w:rFonts w:ascii="Times New Roman" w:hAnsi="Times New Roman" w:cs="Times New Roman"/>
        </w:rPr>
        <w:t xml:space="preserve">of those regulations were legislative </w:t>
      </w:r>
      <w:r w:rsidR="00411DC1" w:rsidRPr="00E772BE">
        <w:rPr>
          <w:rFonts w:ascii="Times New Roman" w:hAnsi="Times New Roman" w:cs="Times New Roman"/>
        </w:rPr>
        <w:t xml:space="preserve">measures </w:t>
      </w:r>
      <w:r w:rsidRPr="00E772BE">
        <w:rPr>
          <w:rFonts w:ascii="Times New Roman" w:hAnsi="Times New Roman" w:cs="Times New Roman"/>
        </w:rPr>
        <w:t xml:space="preserve">– of which </w:t>
      </w:r>
      <w:r w:rsidR="009916BC" w:rsidRPr="00E772BE">
        <w:rPr>
          <w:rFonts w:ascii="Times New Roman" w:hAnsi="Times New Roman" w:cs="Times New Roman"/>
        </w:rPr>
        <w:t xml:space="preserve">3 </w:t>
      </w:r>
      <w:r w:rsidRPr="00E772BE">
        <w:rPr>
          <w:rFonts w:ascii="Times New Roman" w:hAnsi="Times New Roman" w:cs="Times New Roman"/>
        </w:rPr>
        <w:t xml:space="preserve">were amending </w:t>
      </w:r>
      <w:r w:rsidR="009916BC" w:rsidRPr="00E772BE">
        <w:rPr>
          <w:rFonts w:ascii="Times New Roman" w:hAnsi="Times New Roman" w:cs="Times New Roman"/>
        </w:rPr>
        <w:t xml:space="preserve">acts, </w:t>
      </w:r>
      <w:r w:rsidR="00411DC1" w:rsidRPr="00E772BE">
        <w:rPr>
          <w:rFonts w:ascii="Times New Roman" w:hAnsi="Times New Roman" w:cs="Times New Roman"/>
        </w:rPr>
        <w:t xml:space="preserve">adopted </w:t>
      </w:r>
      <w:r w:rsidR="009916BC" w:rsidRPr="00E772BE">
        <w:rPr>
          <w:rFonts w:ascii="Times New Roman" w:hAnsi="Times New Roman" w:cs="Times New Roman"/>
        </w:rPr>
        <w:t xml:space="preserve">to change the provisions of </w:t>
      </w:r>
      <w:r w:rsidR="00411DC1" w:rsidRPr="00E772BE">
        <w:rPr>
          <w:rFonts w:ascii="Times New Roman" w:hAnsi="Times New Roman" w:cs="Times New Roman"/>
        </w:rPr>
        <w:t>pre-</w:t>
      </w:r>
      <w:r w:rsidR="009916BC" w:rsidRPr="00E772BE">
        <w:rPr>
          <w:rFonts w:ascii="Times New Roman" w:hAnsi="Times New Roman" w:cs="Times New Roman"/>
        </w:rPr>
        <w:t xml:space="preserve">existing </w:t>
      </w:r>
      <w:r w:rsidRPr="00E772BE">
        <w:rPr>
          <w:rFonts w:ascii="Times New Roman" w:hAnsi="Times New Roman" w:cs="Times New Roman"/>
        </w:rPr>
        <w:t>measures (note that the approach of Business for Britain towards counting amending measures is not entirely clear</w:t>
      </w:r>
      <w:r w:rsidR="00E5135B" w:rsidRPr="00E772BE">
        <w:rPr>
          <w:rFonts w:ascii="Times New Roman" w:hAnsi="Times New Roman" w:cs="Times New Roman"/>
        </w:rPr>
        <w:t xml:space="preserve"> from their report</w:t>
      </w:r>
      <w:r w:rsidRPr="00E772BE">
        <w:rPr>
          <w:rFonts w:ascii="Times New Roman" w:hAnsi="Times New Roman" w:cs="Times New Roman"/>
        </w:rPr>
        <w:t>).</w:t>
      </w:r>
      <w:r w:rsidR="00E5135B" w:rsidRPr="00E772BE">
        <w:rPr>
          <w:rFonts w:ascii="Times New Roman" w:hAnsi="Times New Roman" w:cs="Times New Roman"/>
        </w:rPr>
        <w:t xml:space="preserve">  </w:t>
      </w:r>
      <w:r w:rsidR="009916BC" w:rsidRPr="00E772BE">
        <w:rPr>
          <w:rFonts w:ascii="Times New Roman" w:hAnsi="Times New Roman" w:cs="Times New Roman"/>
        </w:rPr>
        <w:t xml:space="preserve">Of the </w:t>
      </w:r>
      <w:r w:rsidRPr="00E772BE">
        <w:rPr>
          <w:rFonts w:ascii="Times New Roman" w:hAnsi="Times New Roman" w:cs="Times New Roman"/>
        </w:rPr>
        <w:t xml:space="preserve">remaining 111 </w:t>
      </w:r>
      <w:r w:rsidR="009916BC" w:rsidRPr="00E772BE">
        <w:rPr>
          <w:rFonts w:ascii="Times New Roman" w:hAnsi="Times New Roman" w:cs="Times New Roman"/>
        </w:rPr>
        <w:t xml:space="preserve">non-legislative </w:t>
      </w:r>
      <w:r w:rsidRPr="00E772BE">
        <w:rPr>
          <w:rFonts w:ascii="Times New Roman" w:hAnsi="Times New Roman" w:cs="Times New Roman"/>
        </w:rPr>
        <w:t>regulations</w:t>
      </w:r>
      <w:r w:rsidR="009916BC" w:rsidRPr="00E772BE">
        <w:rPr>
          <w:rFonts w:ascii="Times New Roman" w:hAnsi="Times New Roman" w:cs="Times New Roman"/>
        </w:rPr>
        <w:t xml:space="preserve">, 8 were delegated acts.  As said </w:t>
      </w:r>
      <w:r w:rsidR="00E5135B" w:rsidRPr="00E772BE">
        <w:rPr>
          <w:rFonts w:ascii="Times New Roman" w:hAnsi="Times New Roman" w:cs="Times New Roman"/>
        </w:rPr>
        <w:t>above</w:t>
      </w:r>
      <w:r w:rsidR="009916BC" w:rsidRPr="00E772BE">
        <w:rPr>
          <w:rFonts w:ascii="Times New Roman" w:hAnsi="Times New Roman" w:cs="Times New Roman"/>
        </w:rPr>
        <w:t xml:space="preserve">, </w:t>
      </w:r>
      <w:r w:rsidR="00E5135B" w:rsidRPr="00E772BE">
        <w:rPr>
          <w:rFonts w:ascii="Times New Roman" w:hAnsi="Times New Roman" w:cs="Times New Roman"/>
        </w:rPr>
        <w:t xml:space="preserve">those </w:t>
      </w:r>
      <w:r w:rsidR="009916BC" w:rsidRPr="00E772BE">
        <w:rPr>
          <w:rFonts w:ascii="Times New Roman" w:hAnsi="Times New Roman" w:cs="Times New Roman"/>
        </w:rPr>
        <w:t xml:space="preserve">are </w:t>
      </w:r>
      <w:r w:rsidR="00E5135B" w:rsidRPr="00E772BE">
        <w:rPr>
          <w:rFonts w:ascii="Times New Roman" w:hAnsi="Times New Roman" w:cs="Times New Roman"/>
        </w:rPr>
        <w:t>(</w:t>
      </w:r>
      <w:r w:rsidR="009916BC" w:rsidRPr="00E772BE">
        <w:rPr>
          <w:rFonts w:ascii="Times New Roman" w:hAnsi="Times New Roman" w:cs="Times New Roman"/>
        </w:rPr>
        <w:t>arguably</w:t>
      </w:r>
      <w:r w:rsidR="00E5135B" w:rsidRPr="00E772BE">
        <w:rPr>
          <w:rFonts w:ascii="Times New Roman" w:hAnsi="Times New Roman" w:cs="Times New Roman"/>
        </w:rPr>
        <w:t>)</w:t>
      </w:r>
      <w:r w:rsidR="009916BC" w:rsidRPr="00E772BE">
        <w:rPr>
          <w:rFonts w:ascii="Times New Roman" w:hAnsi="Times New Roman" w:cs="Times New Roman"/>
        </w:rPr>
        <w:t xml:space="preserve"> </w:t>
      </w:r>
      <w:r w:rsidR="00131B81" w:rsidRPr="00E772BE">
        <w:rPr>
          <w:rFonts w:ascii="Times New Roman" w:hAnsi="Times New Roman" w:cs="Times New Roman"/>
        </w:rPr>
        <w:t xml:space="preserve">comparable to statutory instruments </w:t>
      </w:r>
      <w:r w:rsidR="00E5135B" w:rsidRPr="00E772BE">
        <w:rPr>
          <w:rFonts w:ascii="Times New Roman" w:hAnsi="Times New Roman" w:cs="Times New Roman"/>
        </w:rPr>
        <w:t xml:space="preserve">as adopted </w:t>
      </w:r>
      <w:r w:rsidR="00131B81" w:rsidRPr="00E772BE">
        <w:rPr>
          <w:rFonts w:ascii="Times New Roman" w:hAnsi="Times New Roman" w:cs="Times New Roman"/>
        </w:rPr>
        <w:t>in the UK</w:t>
      </w:r>
      <w:r w:rsidR="009916BC" w:rsidRPr="00E772BE">
        <w:rPr>
          <w:rFonts w:ascii="Times New Roman" w:hAnsi="Times New Roman" w:cs="Times New Roman"/>
        </w:rPr>
        <w:t xml:space="preserve"> – so </w:t>
      </w:r>
      <w:r w:rsidR="00E5135B" w:rsidRPr="00E772BE">
        <w:rPr>
          <w:rFonts w:ascii="Times New Roman" w:hAnsi="Times New Roman" w:cs="Times New Roman"/>
        </w:rPr>
        <w:t xml:space="preserve">being </w:t>
      </w:r>
      <w:r w:rsidR="009916BC" w:rsidRPr="00E772BE">
        <w:rPr>
          <w:rFonts w:ascii="Times New Roman" w:hAnsi="Times New Roman" w:cs="Times New Roman"/>
        </w:rPr>
        <w:t>generous</w:t>
      </w:r>
      <w:r w:rsidR="00E5135B" w:rsidRPr="00E772BE">
        <w:rPr>
          <w:rFonts w:ascii="Times New Roman" w:hAnsi="Times New Roman" w:cs="Times New Roman"/>
        </w:rPr>
        <w:t xml:space="preserve">, one should </w:t>
      </w:r>
      <w:r w:rsidR="009916BC" w:rsidRPr="00E772BE">
        <w:rPr>
          <w:rFonts w:ascii="Times New Roman" w:hAnsi="Times New Roman" w:cs="Times New Roman"/>
        </w:rPr>
        <w:t>add them in</w:t>
      </w:r>
      <w:r w:rsidR="00E5135B" w:rsidRPr="00E772BE">
        <w:rPr>
          <w:rFonts w:ascii="Times New Roman" w:hAnsi="Times New Roman" w:cs="Times New Roman"/>
        </w:rPr>
        <w:t>to the figures for</w:t>
      </w:r>
      <w:r w:rsidR="009916BC" w:rsidRPr="00E772BE">
        <w:rPr>
          <w:rFonts w:ascii="Times New Roman" w:hAnsi="Times New Roman" w:cs="Times New Roman"/>
        </w:rPr>
        <w:t xml:space="preserve"> </w:t>
      </w:r>
      <w:r w:rsidR="00E5135B" w:rsidRPr="00E772BE">
        <w:rPr>
          <w:rFonts w:ascii="Times New Roman" w:hAnsi="Times New Roman" w:cs="Times New Roman"/>
        </w:rPr>
        <w:t xml:space="preserve">“EU law imposed on the UK by Brussels: </w:t>
      </w:r>
      <w:r w:rsidR="009916BC" w:rsidRPr="00E772BE">
        <w:rPr>
          <w:rFonts w:ascii="Times New Roman" w:hAnsi="Times New Roman" w:cs="Times New Roman"/>
        </w:rPr>
        <w:t>4 + 8 = 12.</w:t>
      </w:r>
      <w:r w:rsidR="00E5135B" w:rsidRPr="00E772BE">
        <w:rPr>
          <w:rFonts w:ascii="Times New Roman" w:hAnsi="Times New Roman" w:cs="Times New Roman"/>
        </w:rPr>
        <w:t xml:space="preserve">  </w:t>
      </w:r>
      <w:r w:rsidR="009916BC" w:rsidRPr="00E772BE">
        <w:rPr>
          <w:rFonts w:ascii="Times New Roman" w:hAnsi="Times New Roman" w:cs="Times New Roman"/>
        </w:rPr>
        <w:t xml:space="preserve">The remaining 103 non-legislative regulations consisted of detailed technical administrative decisions, adopted by the Council or the Commission, of the nature indicated above – </w:t>
      </w:r>
      <w:r w:rsidR="00411DC1" w:rsidRPr="00E772BE">
        <w:rPr>
          <w:rFonts w:ascii="Times New Roman" w:hAnsi="Times New Roman" w:cs="Times New Roman"/>
        </w:rPr>
        <w:t>in no way</w:t>
      </w:r>
      <w:r w:rsidR="009916BC" w:rsidRPr="00E772BE">
        <w:rPr>
          <w:rFonts w:ascii="Times New Roman" w:hAnsi="Times New Roman" w:cs="Times New Roman"/>
        </w:rPr>
        <w:t xml:space="preserve"> comparable to either UK primary or secondary legislation.</w:t>
      </w:r>
      <w:r w:rsidR="00F16BB7">
        <w:rPr>
          <w:rStyle w:val="FootnoteReference"/>
          <w:rFonts w:ascii="Times New Roman" w:hAnsi="Times New Roman" w:cs="Times New Roman"/>
        </w:rPr>
        <w:footnoteReference w:id="16"/>
      </w:r>
      <w:r w:rsidR="00E5135B" w:rsidRPr="00E772BE">
        <w:rPr>
          <w:rFonts w:ascii="Times New Roman" w:hAnsi="Times New Roman" w:cs="Times New Roman"/>
        </w:rPr>
        <w:t xml:space="preserve">  </w:t>
      </w:r>
      <w:r w:rsidR="009916BC" w:rsidRPr="00E772BE">
        <w:rPr>
          <w:rFonts w:ascii="Times New Roman" w:hAnsi="Times New Roman" w:cs="Times New Roman"/>
        </w:rPr>
        <w:t>In other words</w:t>
      </w:r>
      <w:r w:rsidR="00131B81" w:rsidRPr="00E772BE">
        <w:rPr>
          <w:rFonts w:ascii="Times New Roman" w:hAnsi="Times New Roman" w:cs="Times New Roman"/>
        </w:rPr>
        <w:t xml:space="preserve">: </w:t>
      </w:r>
      <w:r w:rsidR="00E5135B" w:rsidRPr="00E772BE">
        <w:rPr>
          <w:rFonts w:ascii="Times New Roman" w:hAnsi="Times New Roman" w:cs="Times New Roman"/>
        </w:rPr>
        <w:t xml:space="preserve">using </w:t>
      </w:r>
      <w:r w:rsidRPr="00E772BE">
        <w:rPr>
          <w:rFonts w:ascii="Times New Roman" w:hAnsi="Times New Roman" w:cs="Times New Roman"/>
        </w:rPr>
        <w:t xml:space="preserve">the sort of approach adopted by Business for Britain, </w:t>
      </w:r>
      <w:r w:rsidR="00E5135B" w:rsidRPr="00E772BE">
        <w:rPr>
          <w:rFonts w:ascii="Times New Roman" w:hAnsi="Times New Roman" w:cs="Times New Roman"/>
        </w:rPr>
        <w:t xml:space="preserve">the </w:t>
      </w:r>
      <w:r w:rsidRPr="00E772BE">
        <w:rPr>
          <w:rFonts w:ascii="Times New Roman" w:hAnsi="Times New Roman" w:cs="Times New Roman"/>
        </w:rPr>
        <w:t xml:space="preserve">figures </w:t>
      </w:r>
      <w:r w:rsidR="009916BC" w:rsidRPr="00E772BE">
        <w:rPr>
          <w:rFonts w:ascii="Times New Roman" w:hAnsi="Times New Roman" w:cs="Times New Roman"/>
        </w:rPr>
        <w:t xml:space="preserve">for EU regulations that should be added into the calculations, together with UK measures, </w:t>
      </w:r>
      <w:r w:rsidR="00411DC1" w:rsidRPr="00E772BE">
        <w:rPr>
          <w:rFonts w:ascii="Times New Roman" w:hAnsi="Times New Roman" w:cs="Times New Roman"/>
        </w:rPr>
        <w:t>increased from 12 to 115 – an entirely artificial</w:t>
      </w:r>
      <w:r w:rsidR="009916BC" w:rsidRPr="00E772BE">
        <w:rPr>
          <w:rFonts w:ascii="Times New Roman" w:hAnsi="Times New Roman" w:cs="Times New Roman"/>
        </w:rPr>
        <w:t xml:space="preserve"> </w:t>
      </w:r>
      <w:r w:rsidR="00411DC1" w:rsidRPr="00E772BE">
        <w:rPr>
          <w:rFonts w:ascii="Times New Roman" w:hAnsi="Times New Roman" w:cs="Times New Roman"/>
        </w:rPr>
        <w:t>multiplication</w:t>
      </w:r>
      <w:r w:rsidRPr="00E772BE">
        <w:rPr>
          <w:rFonts w:ascii="Times New Roman" w:hAnsi="Times New Roman" w:cs="Times New Roman"/>
        </w:rPr>
        <w:t xml:space="preserve"> </w:t>
      </w:r>
      <w:r w:rsidR="00411DC1" w:rsidRPr="00E772BE">
        <w:rPr>
          <w:rFonts w:ascii="Times New Roman" w:hAnsi="Times New Roman" w:cs="Times New Roman"/>
        </w:rPr>
        <w:t xml:space="preserve">of nearly </w:t>
      </w:r>
      <w:r w:rsidR="00E5135B" w:rsidRPr="00E772BE">
        <w:rPr>
          <w:rFonts w:ascii="Times New Roman" w:hAnsi="Times New Roman" w:cs="Times New Roman"/>
        </w:rPr>
        <w:t>x</w:t>
      </w:r>
      <w:r w:rsidR="009916BC" w:rsidRPr="00E772BE">
        <w:rPr>
          <w:rFonts w:ascii="Times New Roman" w:hAnsi="Times New Roman" w:cs="Times New Roman"/>
        </w:rPr>
        <w:t>10</w:t>
      </w:r>
      <w:r w:rsidRPr="00E772BE">
        <w:rPr>
          <w:rFonts w:ascii="Times New Roman" w:hAnsi="Times New Roman" w:cs="Times New Roman"/>
        </w:rPr>
        <w:t xml:space="preserve">. </w:t>
      </w:r>
    </w:p>
    <w:p w14:paraId="79080439" w14:textId="77777777" w:rsidR="00B535FC" w:rsidRDefault="00B535FC" w:rsidP="008B14B2">
      <w:pPr>
        <w:ind w:firstLine="720"/>
        <w:jc w:val="both"/>
        <w:rPr>
          <w:rFonts w:ascii="Times New Roman" w:hAnsi="Times New Roman" w:cs="Times New Roman"/>
        </w:rPr>
      </w:pPr>
    </w:p>
    <w:p w14:paraId="4396E85B" w14:textId="74459055" w:rsidR="00B535FC" w:rsidRDefault="00B535FC" w:rsidP="0086692A">
      <w:pPr>
        <w:jc w:val="center"/>
        <w:rPr>
          <w:rFonts w:ascii="Times New Roman" w:hAnsi="Times New Roman" w:cs="Times New Roman"/>
        </w:rPr>
      </w:pPr>
      <w:r>
        <w:rPr>
          <w:rFonts w:ascii="Times New Roman" w:hAnsi="Times New Roman" w:cs="Times New Roman"/>
        </w:rPr>
        <w:t>{Insert Table 2</w:t>
      </w:r>
      <w:r w:rsidRPr="00E772BE">
        <w:rPr>
          <w:rFonts w:ascii="Times New Roman" w:hAnsi="Times New Roman" w:cs="Times New Roman"/>
        </w:rPr>
        <w:t>}</w:t>
      </w:r>
    </w:p>
    <w:p w14:paraId="0F5CC966" w14:textId="77777777" w:rsidR="00B535FC" w:rsidRPr="00E772BE" w:rsidRDefault="00B535FC" w:rsidP="008B14B2">
      <w:pPr>
        <w:ind w:firstLine="720"/>
        <w:jc w:val="both"/>
        <w:rPr>
          <w:rFonts w:ascii="Times New Roman" w:hAnsi="Times New Roman" w:cs="Times New Roman"/>
        </w:rPr>
      </w:pPr>
    </w:p>
    <w:p w14:paraId="20D42E19" w14:textId="035B92BE" w:rsidR="009C668F" w:rsidRPr="00E772BE" w:rsidRDefault="00E5135B" w:rsidP="00B535FC">
      <w:pPr>
        <w:jc w:val="both"/>
        <w:rPr>
          <w:rFonts w:ascii="Times New Roman" w:hAnsi="Times New Roman" w:cs="Times New Roman"/>
          <w:lang w:val="en-US"/>
        </w:rPr>
      </w:pPr>
      <w:r w:rsidRPr="00E772BE">
        <w:rPr>
          <w:rFonts w:ascii="Times New Roman" w:hAnsi="Times New Roman" w:cs="Times New Roman"/>
          <w:lang w:val="en-US"/>
        </w:rPr>
        <w:t xml:space="preserve">The present author </w:t>
      </w:r>
      <w:r w:rsidR="009C668F" w:rsidRPr="00E772BE">
        <w:rPr>
          <w:rFonts w:ascii="Times New Roman" w:hAnsi="Times New Roman" w:cs="Times New Roman"/>
          <w:lang w:val="en-US"/>
        </w:rPr>
        <w:t xml:space="preserve">repeated the same experiment for all the EU regulations published in </w:t>
      </w:r>
      <w:r w:rsidR="00411DC1" w:rsidRPr="00E772BE">
        <w:rPr>
          <w:rFonts w:ascii="Times New Roman" w:hAnsi="Times New Roman" w:cs="Times New Roman"/>
          <w:lang w:val="en-US"/>
        </w:rPr>
        <w:t xml:space="preserve">several </w:t>
      </w:r>
      <w:r w:rsidR="009916BC" w:rsidRPr="00E772BE">
        <w:rPr>
          <w:rFonts w:ascii="Times New Roman" w:hAnsi="Times New Roman" w:cs="Times New Roman"/>
          <w:lang w:val="en-US"/>
        </w:rPr>
        <w:t xml:space="preserve">other months of the </w:t>
      </w:r>
      <w:r w:rsidR="009C668F" w:rsidRPr="00E772BE">
        <w:rPr>
          <w:rFonts w:ascii="Times New Roman" w:hAnsi="Times New Roman" w:cs="Times New Roman"/>
          <w:i/>
          <w:lang w:val="en-US"/>
        </w:rPr>
        <w:t xml:space="preserve">Official Journal </w:t>
      </w:r>
      <w:r w:rsidRPr="00E772BE">
        <w:rPr>
          <w:rFonts w:ascii="Times New Roman" w:hAnsi="Times New Roman" w:cs="Times New Roman"/>
          <w:i/>
          <w:lang w:val="en-US"/>
        </w:rPr>
        <w:t xml:space="preserve">of the European Union </w:t>
      </w:r>
      <w:r w:rsidR="00411DC1" w:rsidRPr="00E772BE">
        <w:rPr>
          <w:rFonts w:ascii="Times New Roman" w:hAnsi="Times New Roman" w:cs="Times New Roman"/>
          <w:lang w:val="en-US"/>
        </w:rPr>
        <w:t xml:space="preserve">during </w:t>
      </w:r>
      <w:r w:rsidR="009C668F" w:rsidRPr="00E772BE">
        <w:rPr>
          <w:rFonts w:ascii="Times New Roman" w:hAnsi="Times New Roman" w:cs="Times New Roman"/>
          <w:lang w:val="en-US"/>
        </w:rPr>
        <w:t>2016.  </w:t>
      </w:r>
      <w:r w:rsidR="00411DC1" w:rsidRPr="00E772BE">
        <w:rPr>
          <w:rFonts w:ascii="Times New Roman" w:hAnsi="Times New Roman" w:cs="Times New Roman"/>
          <w:lang w:val="en-US"/>
        </w:rPr>
        <w:t xml:space="preserve">The basic story was the same, even if the exact </w:t>
      </w:r>
      <w:r w:rsidR="00131B81" w:rsidRPr="00E772BE">
        <w:rPr>
          <w:rFonts w:ascii="Times New Roman" w:hAnsi="Times New Roman" w:cs="Times New Roman"/>
        </w:rPr>
        <w:t xml:space="preserve">multiplication effect </w:t>
      </w:r>
      <w:r w:rsidR="00411DC1" w:rsidRPr="00E772BE">
        <w:rPr>
          <w:rFonts w:ascii="Times New Roman" w:hAnsi="Times New Roman" w:cs="Times New Roman"/>
        </w:rPr>
        <w:t>varied from month to month: vast numbers of purely technical, administrative regulations were included in the statistics, seriously distorting the results by massively exaggerating the amount of “EU law” being including in the calculations</w:t>
      </w:r>
      <w:r w:rsidR="00131B81" w:rsidRPr="00E772BE">
        <w:rPr>
          <w:rFonts w:ascii="Times New Roman" w:hAnsi="Times New Roman" w:cs="Times New Roman"/>
        </w:rPr>
        <w:t xml:space="preserve">.  </w:t>
      </w:r>
    </w:p>
    <w:p w14:paraId="06F93FCA" w14:textId="77777777" w:rsidR="008F75A2" w:rsidRPr="00E772BE" w:rsidRDefault="008F75A2" w:rsidP="008B14B2">
      <w:pPr>
        <w:jc w:val="both"/>
        <w:rPr>
          <w:rFonts w:ascii="Times New Roman" w:hAnsi="Times New Roman" w:cs="Times New Roman"/>
        </w:rPr>
      </w:pPr>
    </w:p>
    <w:p w14:paraId="6B176DA4" w14:textId="72F1F2C8" w:rsidR="00F66AE9" w:rsidRPr="00E772BE" w:rsidRDefault="007A2B51" w:rsidP="008B14B2">
      <w:pPr>
        <w:jc w:val="both"/>
        <w:rPr>
          <w:rFonts w:ascii="Times New Roman" w:hAnsi="Times New Roman" w:cs="Times New Roman"/>
          <w:b/>
        </w:rPr>
      </w:pPr>
      <w:r w:rsidRPr="00E772BE">
        <w:rPr>
          <w:rFonts w:ascii="Times New Roman" w:hAnsi="Times New Roman" w:cs="Times New Roman"/>
          <w:b/>
        </w:rPr>
        <w:t>Yet further flaws in the Business for Britain analysis</w:t>
      </w:r>
      <w:r w:rsidR="001841B3" w:rsidRPr="00E772BE">
        <w:rPr>
          <w:rFonts w:ascii="Times New Roman" w:hAnsi="Times New Roman" w:cs="Times New Roman"/>
          <w:b/>
        </w:rPr>
        <w:t>…  or indeed, in any analysis?</w:t>
      </w:r>
    </w:p>
    <w:p w14:paraId="7CD60F7B" w14:textId="77777777" w:rsidR="00F66AE9" w:rsidRPr="00E772BE" w:rsidRDefault="00F66AE9" w:rsidP="008B14B2">
      <w:pPr>
        <w:jc w:val="both"/>
        <w:rPr>
          <w:rFonts w:ascii="Times New Roman" w:hAnsi="Times New Roman" w:cs="Times New Roman"/>
        </w:rPr>
      </w:pPr>
    </w:p>
    <w:p w14:paraId="2F9A2A2A" w14:textId="228DFEDC" w:rsidR="001841B3" w:rsidRPr="00E772BE" w:rsidRDefault="001841B3" w:rsidP="008B14B2">
      <w:pPr>
        <w:jc w:val="both"/>
        <w:rPr>
          <w:rFonts w:ascii="Times New Roman" w:hAnsi="Times New Roman" w:cs="Times New Roman"/>
        </w:rPr>
      </w:pPr>
      <w:r w:rsidRPr="00E772BE">
        <w:rPr>
          <w:rFonts w:ascii="Times New Roman" w:hAnsi="Times New Roman" w:cs="Times New Roman"/>
        </w:rPr>
        <w:t xml:space="preserve">The failure to distinguish between legislative, non-legislative, delegated and purely administrative EU measures is </w:t>
      </w:r>
      <w:r w:rsidR="008F75A2" w:rsidRPr="00E772BE">
        <w:rPr>
          <w:rFonts w:ascii="Times New Roman" w:hAnsi="Times New Roman" w:cs="Times New Roman"/>
        </w:rPr>
        <w:t xml:space="preserve">by far the most serious but it is not the only </w:t>
      </w:r>
      <w:r w:rsidR="00F903BA">
        <w:rPr>
          <w:rFonts w:ascii="Times New Roman" w:hAnsi="Times New Roman" w:cs="Times New Roman"/>
        </w:rPr>
        <w:t xml:space="preserve">significant </w:t>
      </w:r>
      <w:r w:rsidR="008F75A2" w:rsidRPr="00E772BE">
        <w:rPr>
          <w:rFonts w:ascii="Times New Roman" w:hAnsi="Times New Roman" w:cs="Times New Roman"/>
        </w:rPr>
        <w:t xml:space="preserve">methodological problem with </w:t>
      </w:r>
      <w:r w:rsidR="00131B81" w:rsidRPr="00E772BE">
        <w:rPr>
          <w:rFonts w:ascii="Times New Roman" w:hAnsi="Times New Roman" w:cs="Times New Roman"/>
        </w:rPr>
        <w:t xml:space="preserve">the </w:t>
      </w:r>
      <w:r w:rsidRPr="00E772BE">
        <w:rPr>
          <w:rFonts w:ascii="Times New Roman" w:hAnsi="Times New Roman" w:cs="Times New Roman"/>
        </w:rPr>
        <w:t xml:space="preserve">Business for Britain </w:t>
      </w:r>
      <w:r w:rsidR="008F75A2" w:rsidRPr="00E772BE">
        <w:rPr>
          <w:rFonts w:ascii="Times New Roman" w:hAnsi="Times New Roman" w:cs="Times New Roman"/>
        </w:rPr>
        <w:t>report.</w:t>
      </w:r>
      <w:r w:rsidRPr="00E772BE">
        <w:rPr>
          <w:rFonts w:ascii="Times New Roman" w:hAnsi="Times New Roman" w:cs="Times New Roman"/>
        </w:rPr>
        <w:t xml:space="preserve">  </w:t>
      </w:r>
    </w:p>
    <w:p w14:paraId="1F9010EB" w14:textId="788D4E63" w:rsidR="001841B3" w:rsidRPr="00E772BE" w:rsidRDefault="008F75A2" w:rsidP="008B14B2">
      <w:pPr>
        <w:ind w:firstLine="720"/>
        <w:jc w:val="both"/>
        <w:rPr>
          <w:rFonts w:ascii="Times New Roman" w:hAnsi="Times New Roman" w:cs="Times New Roman"/>
        </w:rPr>
      </w:pPr>
      <w:r w:rsidRPr="00E772BE">
        <w:rPr>
          <w:rFonts w:ascii="Times New Roman" w:hAnsi="Times New Roman" w:cs="Times New Roman"/>
        </w:rPr>
        <w:t xml:space="preserve">For example: if </w:t>
      </w:r>
      <w:r w:rsidR="006B15A8" w:rsidRPr="00E772BE">
        <w:rPr>
          <w:rFonts w:ascii="Times New Roman" w:hAnsi="Times New Roman" w:cs="Times New Roman"/>
        </w:rPr>
        <w:t xml:space="preserve">one </w:t>
      </w:r>
      <w:r w:rsidRPr="00E772BE">
        <w:rPr>
          <w:rFonts w:ascii="Times New Roman" w:hAnsi="Times New Roman" w:cs="Times New Roman"/>
        </w:rPr>
        <w:t xml:space="preserve">really </w:t>
      </w:r>
      <w:r w:rsidR="006B15A8" w:rsidRPr="00E772BE">
        <w:rPr>
          <w:rFonts w:ascii="Times New Roman" w:hAnsi="Times New Roman" w:cs="Times New Roman"/>
        </w:rPr>
        <w:t xml:space="preserve">planned </w:t>
      </w:r>
      <w:r w:rsidRPr="00E772BE">
        <w:rPr>
          <w:rFonts w:ascii="Times New Roman" w:hAnsi="Times New Roman" w:cs="Times New Roman"/>
        </w:rPr>
        <w:t xml:space="preserve">to include non-legislative EU regulations in an analysis, then why not also include other </w:t>
      </w:r>
      <w:r w:rsidR="006B15A8" w:rsidRPr="00E772BE">
        <w:rPr>
          <w:rFonts w:ascii="Times New Roman" w:hAnsi="Times New Roman" w:cs="Times New Roman"/>
        </w:rPr>
        <w:t xml:space="preserve">categories of EU legal instrument which are essentially comparable in nature – such as </w:t>
      </w:r>
      <w:r w:rsidR="00C20A66" w:rsidRPr="00E772BE">
        <w:rPr>
          <w:rFonts w:ascii="Times New Roman" w:hAnsi="Times New Roman" w:cs="Times New Roman"/>
        </w:rPr>
        <w:t xml:space="preserve">EU </w:t>
      </w:r>
      <w:r w:rsidRPr="00E772BE">
        <w:rPr>
          <w:rFonts w:ascii="Times New Roman" w:hAnsi="Times New Roman" w:cs="Times New Roman"/>
        </w:rPr>
        <w:t>decisions of general application</w:t>
      </w:r>
      <w:r w:rsidR="006B15A8" w:rsidRPr="00E772BE">
        <w:rPr>
          <w:rFonts w:ascii="Times New Roman" w:hAnsi="Times New Roman" w:cs="Times New Roman"/>
        </w:rPr>
        <w:t>?</w:t>
      </w:r>
      <w:r w:rsidR="006B15A8" w:rsidRPr="00E772BE">
        <w:rPr>
          <w:rStyle w:val="FootnoteReference"/>
          <w:rFonts w:ascii="Times New Roman" w:hAnsi="Times New Roman" w:cs="Times New Roman"/>
        </w:rPr>
        <w:footnoteReference w:id="17"/>
      </w:r>
      <w:r w:rsidR="006B15A8" w:rsidRPr="00E772BE">
        <w:rPr>
          <w:rFonts w:ascii="Times New Roman" w:hAnsi="Times New Roman" w:cs="Times New Roman"/>
        </w:rPr>
        <w:t xml:space="preserve">  Business for Britain seemed entirely unaware even of the </w:t>
      </w:r>
      <w:r w:rsidR="00C20A66" w:rsidRPr="00E772BE">
        <w:rPr>
          <w:rFonts w:ascii="Times New Roman" w:hAnsi="Times New Roman" w:cs="Times New Roman"/>
        </w:rPr>
        <w:t xml:space="preserve">very existence </w:t>
      </w:r>
      <w:r w:rsidR="006B15A8" w:rsidRPr="00E772BE">
        <w:rPr>
          <w:rFonts w:ascii="Times New Roman" w:hAnsi="Times New Roman" w:cs="Times New Roman"/>
        </w:rPr>
        <w:t xml:space="preserve">of such instruments – reinforcing the sense that their analysis is not only </w:t>
      </w:r>
      <w:r w:rsidR="00F903BA">
        <w:rPr>
          <w:rFonts w:ascii="Times New Roman" w:hAnsi="Times New Roman" w:cs="Times New Roman"/>
        </w:rPr>
        <w:t xml:space="preserve">blatantly </w:t>
      </w:r>
      <w:r w:rsidR="006B15A8" w:rsidRPr="00E772BE">
        <w:rPr>
          <w:rFonts w:ascii="Times New Roman" w:hAnsi="Times New Roman" w:cs="Times New Roman"/>
        </w:rPr>
        <w:t xml:space="preserve">incompetent but also </w:t>
      </w:r>
      <w:r w:rsidR="00F903BA">
        <w:rPr>
          <w:rFonts w:ascii="Times New Roman" w:hAnsi="Times New Roman" w:cs="Times New Roman"/>
        </w:rPr>
        <w:t xml:space="preserve">essentially </w:t>
      </w:r>
      <w:r w:rsidR="006B15A8" w:rsidRPr="00E772BE">
        <w:rPr>
          <w:rFonts w:ascii="Times New Roman" w:hAnsi="Times New Roman" w:cs="Times New Roman"/>
        </w:rPr>
        <w:t>arbitrary.  O</w:t>
      </w:r>
      <w:r w:rsidR="00FA6EC1" w:rsidRPr="00E772BE">
        <w:rPr>
          <w:rFonts w:ascii="Times New Roman" w:hAnsi="Times New Roman" w:cs="Times New Roman"/>
        </w:rPr>
        <w:t>r again</w:t>
      </w:r>
      <w:r w:rsidRPr="00E772BE">
        <w:rPr>
          <w:rFonts w:ascii="Times New Roman" w:hAnsi="Times New Roman" w:cs="Times New Roman"/>
        </w:rPr>
        <w:t xml:space="preserve">: the Business for Britain analysis gives no indication that it has distinguished between </w:t>
      </w:r>
      <w:r w:rsidR="006B15A8" w:rsidRPr="00E772BE">
        <w:rPr>
          <w:rFonts w:ascii="Times New Roman" w:hAnsi="Times New Roman" w:cs="Times New Roman"/>
        </w:rPr>
        <w:t xml:space="preserve">those </w:t>
      </w:r>
      <w:r w:rsidRPr="00E772BE">
        <w:rPr>
          <w:rFonts w:ascii="Times New Roman" w:hAnsi="Times New Roman" w:cs="Times New Roman"/>
        </w:rPr>
        <w:t xml:space="preserve">EU regulations </w:t>
      </w:r>
      <w:r w:rsidR="006B15A8" w:rsidRPr="00E772BE">
        <w:rPr>
          <w:rFonts w:ascii="Times New Roman" w:hAnsi="Times New Roman" w:cs="Times New Roman"/>
        </w:rPr>
        <w:t xml:space="preserve">(whether legislative or non-legislative in nature) </w:t>
      </w:r>
      <w:r w:rsidRPr="00E772BE">
        <w:rPr>
          <w:rFonts w:ascii="Times New Roman" w:hAnsi="Times New Roman" w:cs="Times New Roman"/>
        </w:rPr>
        <w:t>that apply to all Member States</w:t>
      </w:r>
      <w:r w:rsidR="006B15A8" w:rsidRPr="00E772BE">
        <w:rPr>
          <w:rFonts w:ascii="Times New Roman" w:hAnsi="Times New Roman" w:cs="Times New Roman"/>
        </w:rPr>
        <w:t xml:space="preserve">; </w:t>
      </w:r>
      <w:r w:rsidRPr="00E772BE">
        <w:rPr>
          <w:rFonts w:ascii="Times New Roman" w:hAnsi="Times New Roman" w:cs="Times New Roman"/>
        </w:rPr>
        <w:t xml:space="preserve">as opposed to those </w:t>
      </w:r>
      <w:r w:rsidR="006B15A8" w:rsidRPr="00E772BE">
        <w:rPr>
          <w:rFonts w:ascii="Times New Roman" w:hAnsi="Times New Roman" w:cs="Times New Roman"/>
        </w:rPr>
        <w:t xml:space="preserve">measures </w:t>
      </w:r>
      <w:r w:rsidRPr="00E772BE">
        <w:rPr>
          <w:rFonts w:ascii="Times New Roman" w:hAnsi="Times New Roman" w:cs="Times New Roman"/>
        </w:rPr>
        <w:t>that only apply to certain Member States and</w:t>
      </w:r>
      <w:r w:rsidR="006B15A8" w:rsidRPr="00E772BE">
        <w:rPr>
          <w:rFonts w:ascii="Times New Roman" w:hAnsi="Times New Roman" w:cs="Times New Roman"/>
        </w:rPr>
        <w:t>, in particular,</w:t>
      </w:r>
      <w:r w:rsidRPr="00E772BE">
        <w:rPr>
          <w:rFonts w:ascii="Times New Roman" w:hAnsi="Times New Roman" w:cs="Times New Roman"/>
        </w:rPr>
        <w:t xml:space="preserve"> </w:t>
      </w:r>
      <w:r w:rsidR="006B15A8" w:rsidRPr="00E772BE">
        <w:rPr>
          <w:rFonts w:ascii="Times New Roman" w:hAnsi="Times New Roman" w:cs="Times New Roman"/>
        </w:rPr>
        <w:t xml:space="preserve">are not binding upon the </w:t>
      </w:r>
      <w:r w:rsidRPr="00E772BE">
        <w:rPr>
          <w:rFonts w:ascii="Times New Roman" w:hAnsi="Times New Roman" w:cs="Times New Roman"/>
        </w:rPr>
        <w:t>UK</w:t>
      </w:r>
      <w:r w:rsidR="006B15A8" w:rsidRPr="00E772BE">
        <w:rPr>
          <w:rFonts w:ascii="Times New Roman" w:hAnsi="Times New Roman" w:cs="Times New Roman"/>
        </w:rPr>
        <w:t xml:space="preserve"> – as with all </w:t>
      </w:r>
      <w:r w:rsidRPr="00E772BE">
        <w:rPr>
          <w:rFonts w:ascii="Times New Roman" w:hAnsi="Times New Roman" w:cs="Times New Roman"/>
        </w:rPr>
        <w:t xml:space="preserve">measures adopted in the field of </w:t>
      </w:r>
      <w:r w:rsidR="006B15A8" w:rsidRPr="00E772BE">
        <w:rPr>
          <w:rFonts w:ascii="Times New Roman" w:hAnsi="Times New Roman" w:cs="Times New Roman"/>
        </w:rPr>
        <w:t>the single currency;</w:t>
      </w:r>
      <w:r w:rsidR="006B15A8" w:rsidRPr="00E772BE">
        <w:rPr>
          <w:rStyle w:val="FootnoteReference"/>
          <w:rFonts w:ascii="Times New Roman" w:hAnsi="Times New Roman" w:cs="Times New Roman"/>
        </w:rPr>
        <w:footnoteReference w:id="18"/>
      </w:r>
      <w:r w:rsidR="006B15A8" w:rsidRPr="00E772BE">
        <w:rPr>
          <w:rFonts w:ascii="Times New Roman" w:hAnsi="Times New Roman" w:cs="Times New Roman"/>
        </w:rPr>
        <w:t xml:space="preserve"> and many measures adopted under the Area of Freedom, Security and Justice</w:t>
      </w:r>
      <w:r w:rsidRPr="00E772BE">
        <w:rPr>
          <w:rFonts w:ascii="Times New Roman" w:hAnsi="Times New Roman" w:cs="Times New Roman"/>
        </w:rPr>
        <w:t>.</w:t>
      </w:r>
      <w:r w:rsidR="006B15A8" w:rsidRPr="00E772BE">
        <w:rPr>
          <w:rStyle w:val="FootnoteReference"/>
          <w:rFonts w:ascii="Times New Roman" w:hAnsi="Times New Roman" w:cs="Times New Roman"/>
        </w:rPr>
        <w:footnoteReference w:id="19"/>
      </w:r>
      <w:r w:rsidRPr="00E772BE">
        <w:rPr>
          <w:rFonts w:ascii="Times New Roman" w:hAnsi="Times New Roman" w:cs="Times New Roman"/>
        </w:rPr>
        <w:t xml:space="preserve"> </w:t>
      </w:r>
    </w:p>
    <w:p w14:paraId="597784C4" w14:textId="328796F3" w:rsidR="001841B3" w:rsidRPr="00E772BE" w:rsidRDefault="00C20A66" w:rsidP="008B14B2">
      <w:pPr>
        <w:ind w:firstLine="720"/>
        <w:jc w:val="both"/>
        <w:rPr>
          <w:rFonts w:ascii="Times New Roman" w:hAnsi="Times New Roman" w:cs="Times New Roman"/>
        </w:rPr>
      </w:pPr>
      <w:r w:rsidRPr="00E772BE">
        <w:rPr>
          <w:rFonts w:ascii="Times New Roman" w:hAnsi="Times New Roman" w:cs="Times New Roman"/>
        </w:rPr>
        <w:t xml:space="preserve">But even setting aside the serious flaws </w:t>
      </w:r>
      <w:r w:rsidR="006B15A8" w:rsidRPr="00E772BE">
        <w:rPr>
          <w:rFonts w:ascii="Times New Roman" w:hAnsi="Times New Roman" w:cs="Times New Roman"/>
        </w:rPr>
        <w:t xml:space="preserve">that riddle </w:t>
      </w:r>
      <w:r w:rsidRPr="00E772BE">
        <w:rPr>
          <w:rFonts w:ascii="Times New Roman" w:hAnsi="Times New Roman" w:cs="Times New Roman"/>
        </w:rPr>
        <w:t xml:space="preserve">the </w:t>
      </w:r>
      <w:r w:rsidR="006B15A8" w:rsidRPr="00E772BE">
        <w:rPr>
          <w:rFonts w:ascii="Times New Roman" w:hAnsi="Times New Roman" w:cs="Times New Roman"/>
        </w:rPr>
        <w:t>Business for Britain</w:t>
      </w:r>
      <w:r w:rsidRPr="00E772BE">
        <w:rPr>
          <w:rFonts w:ascii="Times New Roman" w:hAnsi="Times New Roman" w:cs="Times New Roman"/>
        </w:rPr>
        <w:t xml:space="preserve"> report</w:t>
      </w:r>
      <w:r w:rsidR="00FA6EC1" w:rsidRPr="00E772BE">
        <w:rPr>
          <w:rFonts w:ascii="Times New Roman" w:hAnsi="Times New Roman" w:cs="Times New Roman"/>
        </w:rPr>
        <w:t xml:space="preserve"> itself</w:t>
      </w:r>
      <w:r w:rsidRPr="00E772BE">
        <w:rPr>
          <w:rFonts w:ascii="Times New Roman" w:hAnsi="Times New Roman" w:cs="Times New Roman"/>
        </w:rPr>
        <w:t xml:space="preserve">, the </w:t>
      </w:r>
      <w:r w:rsidR="006B15A8" w:rsidRPr="00E772BE">
        <w:rPr>
          <w:rFonts w:ascii="Times New Roman" w:hAnsi="Times New Roman" w:cs="Times New Roman"/>
        </w:rPr>
        <w:t xml:space="preserve">important </w:t>
      </w:r>
      <w:r w:rsidRPr="00E772BE">
        <w:rPr>
          <w:rFonts w:ascii="Times New Roman" w:hAnsi="Times New Roman" w:cs="Times New Roman"/>
        </w:rPr>
        <w:t xml:space="preserve">question arises: would it </w:t>
      </w:r>
      <w:r w:rsidR="00FA6EC1" w:rsidRPr="00E772BE">
        <w:rPr>
          <w:rFonts w:ascii="Times New Roman" w:hAnsi="Times New Roman" w:cs="Times New Roman"/>
        </w:rPr>
        <w:t xml:space="preserve">ever </w:t>
      </w:r>
      <w:r w:rsidRPr="00E772BE">
        <w:rPr>
          <w:rFonts w:ascii="Times New Roman" w:hAnsi="Times New Roman" w:cs="Times New Roman"/>
        </w:rPr>
        <w:t xml:space="preserve">have been possible to do a </w:t>
      </w:r>
      <w:r w:rsidR="006B15A8" w:rsidRPr="00E772BE">
        <w:rPr>
          <w:rFonts w:ascii="Times New Roman" w:hAnsi="Times New Roman" w:cs="Times New Roman"/>
        </w:rPr>
        <w:t xml:space="preserve">genuinely reliable </w:t>
      </w:r>
      <w:r w:rsidRPr="00E772BE">
        <w:rPr>
          <w:rFonts w:ascii="Times New Roman" w:hAnsi="Times New Roman" w:cs="Times New Roman"/>
        </w:rPr>
        <w:t>job of this sort of calculation?  The answer is: probably not.  A</w:t>
      </w:r>
      <w:r w:rsidR="008F75A2" w:rsidRPr="00E772BE">
        <w:rPr>
          <w:rFonts w:ascii="Times New Roman" w:hAnsi="Times New Roman" w:cs="Times New Roman"/>
        </w:rPr>
        <w:t>ny competent legal scholar would confirm that attempts to quantify the amount of “UK law”, or the amount of “EU law”, let alone the statistical relationship between the two, could never be anything more than an inaccurate guess.  There are serious challenges even for a study that knows better what it is doing.</w:t>
      </w:r>
      <w:r w:rsidR="006E7E8E">
        <w:rPr>
          <w:rStyle w:val="FootnoteReference"/>
          <w:rFonts w:ascii="Times New Roman" w:hAnsi="Times New Roman" w:cs="Times New Roman"/>
        </w:rPr>
        <w:footnoteReference w:id="20"/>
      </w:r>
      <w:r w:rsidR="008F75A2" w:rsidRPr="00E772BE">
        <w:rPr>
          <w:rFonts w:ascii="Times New Roman" w:hAnsi="Times New Roman" w:cs="Times New Roman"/>
        </w:rPr>
        <w:t xml:space="preserve">  </w:t>
      </w:r>
    </w:p>
    <w:p w14:paraId="35699FC4" w14:textId="405CCC4D" w:rsidR="001841B3" w:rsidRPr="00E772BE" w:rsidRDefault="008F75A2" w:rsidP="008B14B2">
      <w:pPr>
        <w:ind w:firstLine="720"/>
        <w:jc w:val="both"/>
        <w:rPr>
          <w:rFonts w:ascii="Times New Roman" w:hAnsi="Times New Roman" w:cs="Times New Roman"/>
        </w:rPr>
      </w:pPr>
      <w:r w:rsidRPr="00E772BE">
        <w:rPr>
          <w:rFonts w:ascii="Times New Roman" w:hAnsi="Times New Roman" w:cs="Times New Roman"/>
        </w:rPr>
        <w:t xml:space="preserve">For example: the distinction between EU legislative and non-legislative acts was only formalised </w:t>
      </w:r>
      <w:r w:rsidR="006B15A8" w:rsidRPr="00E772BE">
        <w:rPr>
          <w:rFonts w:ascii="Times New Roman" w:hAnsi="Times New Roman" w:cs="Times New Roman"/>
        </w:rPr>
        <w:t xml:space="preserve">under </w:t>
      </w:r>
      <w:r w:rsidRPr="00E772BE">
        <w:rPr>
          <w:rFonts w:ascii="Times New Roman" w:hAnsi="Times New Roman" w:cs="Times New Roman"/>
        </w:rPr>
        <w:t>the Treaty of Lisbon</w:t>
      </w:r>
      <w:r w:rsidR="00C20A66" w:rsidRPr="00E772BE">
        <w:rPr>
          <w:rFonts w:ascii="Times New Roman" w:hAnsi="Times New Roman" w:cs="Times New Roman"/>
        </w:rPr>
        <w:t xml:space="preserve"> </w:t>
      </w:r>
      <w:r w:rsidR="006B15A8" w:rsidRPr="00E772BE">
        <w:rPr>
          <w:rFonts w:ascii="Times New Roman" w:hAnsi="Times New Roman" w:cs="Times New Roman"/>
        </w:rPr>
        <w:t xml:space="preserve">2007 </w:t>
      </w:r>
      <w:r w:rsidR="00C20A66" w:rsidRPr="00E772BE">
        <w:rPr>
          <w:rFonts w:ascii="Times New Roman" w:hAnsi="Times New Roman" w:cs="Times New Roman"/>
        </w:rPr>
        <w:t>and came into force in December 2009</w:t>
      </w:r>
      <w:r w:rsidR="006B15A8" w:rsidRPr="00E772BE">
        <w:rPr>
          <w:rFonts w:ascii="Times New Roman" w:hAnsi="Times New Roman" w:cs="Times New Roman"/>
        </w:rPr>
        <w:t>.</w:t>
      </w:r>
      <w:r w:rsidR="006B15A8" w:rsidRPr="00E772BE">
        <w:rPr>
          <w:rStyle w:val="FootnoteReference"/>
          <w:rFonts w:ascii="Times New Roman" w:hAnsi="Times New Roman" w:cs="Times New Roman"/>
        </w:rPr>
        <w:footnoteReference w:id="21"/>
      </w:r>
      <w:r w:rsidR="006B15A8" w:rsidRPr="00E772BE">
        <w:rPr>
          <w:rFonts w:ascii="Times New Roman" w:hAnsi="Times New Roman" w:cs="Times New Roman"/>
        </w:rPr>
        <w:t xml:space="preserve">  B</w:t>
      </w:r>
      <w:r w:rsidRPr="00E772BE">
        <w:rPr>
          <w:rFonts w:ascii="Times New Roman" w:hAnsi="Times New Roman" w:cs="Times New Roman"/>
        </w:rPr>
        <w:t xml:space="preserve">efore that, separating out what was to be considered </w:t>
      </w:r>
      <w:r w:rsidR="006B15A8" w:rsidRPr="00E772BE">
        <w:rPr>
          <w:rFonts w:ascii="Times New Roman" w:hAnsi="Times New Roman" w:cs="Times New Roman"/>
        </w:rPr>
        <w:t xml:space="preserve">an act of </w:t>
      </w:r>
      <w:r w:rsidRPr="00E772BE">
        <w:rPr>
          <w:rFonts w:ascii="Times New Roman" w:hAnsi="Times New Roman" w:cs="Times New Roman"/>
        </w:rPr>
        <w:t xml:space="preserve">legislative </w:t>
      </w:r>
      <w:r w:rsidR="006B15A8" w:rsidRPr="00E772BE">
        <w:rPr>
          <w:rFonts w:ascii="Times New Roman" w:hAnsi="Times New Roman" w:cs="Times New Roman"/>
        </w:rPr>
        <w:t xml:space="preserve">status, </w:t>
      </w:r>
      <w:r w:rsidRPr="00E772BE">
        <w:rPr>
          <w:rFonts w:ascii="Times New Roman" w:hAnsi="Times New Roman" w:cs="Times New Roman"/>
        </w:rPr>
        <w:t xml:space="preserve">from what was to be treated </w:t>
      </w:r>
      <w:r w:rsidR="006B15A8" w:rsidRPr="00E772BE">
        <w:rPr>
          <w:rFonts w:ascii="Times New Roman" w:hAnsi="Times New Roman" w:cs="Times New Roman"/>
        </w:rPr>
        <w:t xml:space="preserve">as an exercise of </w:t>
      </w:r>
      <w:r w:rsidR="00C20A66" w:rsidRPr="00E772BE">
        <w:rPr>
          <w:rFonts w:ascii="Times New Roman" w:hAnsi="Times New Roman" w:cs="Times New Roman"/>
        </w:rPr>
        <w:t xml:space="preserve">delegated </w:t>
      </w:r>
      <w:r w:rsidR="006B15A8" w:rsidRPr="00E772BE">
        <w:rPr>
          <w:rFonts w:ascii="Times New Roman" w:hAnsi="Times New Roman" w:cs="Times New Roman"/>
        </w:rPr>
        <w:t xml:space="preserve">legislative </w:t>
      </w:r>
      <w:r w:rsidR="00C20A66" w:rsidRPr="00E772BE">
        <w:rPr>
          <w:rFonts w:ascii="Times New Roman" w:hAnsi="Times New Roman" w:cs="Times New Roman"/>
        </w:rPr>
        <w:t>authority</w:t>
      </w:r>
      <w:r w:rsidR="006B15A8" w:rsidRPr="00E772BE">
        <w:rPr>
          <w:rFonts w:ascii="Times New Roman" w:hAnsi="Times New Roman" w:cs="Times New Roman"/>
        </w:rPr>
        <w:t>,</w:t>
      </w:r>
      <w:r w:rsidR="00C20A66" w:rsidRPr="00E772BE">
        <w:rPr>
          <w:rFonts w:ascii="Times New Roman" w:hAnsi="Times New Roman" w:cs="Times New Roman"/>
        </w:rPr>
        <w:t xml:space="preserve"> or instead </w:t>
      </w:r>
      <w:r w:rsidR="006B15A8" w:rsidRPr="00E772BE">
        <w:rPr>
          <w:rFonts w:ascii="Times New Roman" w:hAnsi="Times New Roman" w:cs="Times New Roman"/>
        </w:rPr>
        <w:t xml:space="preserve">to be considered </w:t>
      </w:r>
      <w:r w:rsidR="00C20A66" w:rsidRPr="00E772BE">
        <w:rPr>
          <w:rFonts w:ascii="Times New Roman" w:hAnsi="Times New Roman" w:cs="Times New Roman"/>
        </w:rPr>
        <w:t xml:space="preserve">purely </w:t>
      </w:r>
      <w:r w:rsidRPr="00E772BE">
        <w:rPr>
          <w:rFonts w:ascii="Times New Roman" w:hAnsi="Times New Roman" w:cs="Times New Roman"/>
        </w:rPr>
        <w:t xml:space="preserve">administrative </w:t>
      </w:r>
      <w:r w:rsidR="006B15A8" w:rsidRPr="00E772BE">
        <w:rPr>
          <w:rFonts w:ascii="Times New Roman" w:hAnsi="Times New Roman" w:cs="Times New Roman"/>
        </w:rPr>
        <w:t xml:space="preserve">in nature, </w:t>
      </w:r>
      <w:r w:rsidRPr="00E772BE">
        <w:rPr>
          <w:rFonts w:ascii="Times New Roman" w:hAnsi="Times New Roman" w:cs="Times New Roman"/>
        </w:rPr>
        <w:t xml:space="preserve">often meant checking </w:t>
      </w:r>
      <w:r w:rsidR="006B15A8" w:rsidRPr="00E772BE">
        <w:rPr>
          <w:rFonts w:ascii="Times New Roman" w:hAnsi="Times New Roman" w:cs="Times New Roman"/>
        </w:rPr>
        <w:t>individual legal acts on a case-by-</w:t>
      </w:r>
      <w:r w:rsidRPr="00E772BE">
        <w:rPr>
          <w:rFonts w:ascii="Times New Roman" w:hAnsi="Times New Roman" w:cs="Times New Roman"/>
        </w:rPr>
        <w:t xml:space="preserve">case basis and making a </w:t>
      </w:r>
      <w:r w:rsidR="006B15A8" w:rsidRPr="00E772BE">
        <w:rPr>
          <w:rFonts w:ascii="Times New Roman" w:hAnsi="Times New Roman" w:cs="Times New Roman"/>
        </w:rPr>
        <w:t xml:space="preserve">considered </w:t>
      </w:r>
      <w:r w:rsidRPr="00E772BE">
        <w:rPr>
          <w:rFonts w:ascii="Times New Roman" w:hAnsi="Times New Roman" w:cs="Times New Roman"/>
        </w:rPr>
        <w:t>judgment about their likely character</w:t>
      </w:r>
      <w:r w:rsidR="006B15A8" w:rsidRPr="00E772BE">
        <w:rPr>
          <w:rFonts w:ascii="Times New Roman" w:hAnsi="Times New Roman" w:cs="Times New Roman"/>
        </w:rPr>
        <w:t xml:space="preserve">. </w:t>
      </w:r>
      <w:r w:rsidR="00051997">
        <w:rPr>
          <w:rFonts w:ascii="Times New Roman" w:hAnsi="Times New Roman" w:cs="Times New Roman"/>
        </w:rPr>
        <w:t xml:space="preserve"> </w:t>
      </w:r>
      <w:r w:rsidR="006B15A8" w:rsidRPr="00E772BE">
        <w:rPr>
          <w:rFonts w:ascii="Times New Roman" w:hAnsi="Times New Roman" w:cs="Times New Roman"/>
        </w:rPr>
        <w:t>Indeed</w:t>
      </w:r>
      <w:r w:rsidR="00F903BA">
        <w:rPr>
          <w:rFonts w:ascii="Times New Roman" w:hAnsi="Times New Roman" w:cs="Times New Roman"/>
        </w:rPr>
        <w:t>,</w:t>
      </w:r>
      <w:r w:rsidR="006B15A8" w:rsidRPr="00E772BE">
        <w:rPr>
          <w:rFonts w:ascii="Times New Roman" w:hAnsi="Times New Roman" w:cs="Times New Roman"/>
        </w:rPr>
        <w:t xml:space="preserve"> there were various disputes where a more definitive classification had to be decided upon by the courts – a body of caselaw that makes clear the often difficult judgments involved.</w:t>
      </w:r>
      <w:r w:rsidR="006B15A8" w:rsidRPr="00E772BE">
        <w:rPr>
          <w:rStyle w:val="FootnoteReference"/>
          <w:rFonts w:ascii="Times New Roman" w:hAnsi="Times New Roman" w:cs="Times New Roman"/>
        </w:rPr>
        <w:footnoteReference w:id="22"/>
      </w:r>
      <w:r w:rsidR="006B15A8" w:rsidRPr="00E772BE">
        <w:rPr>
          <w:rFonts w:ascii="Times New Roman" w:hAnsi="Times New Roman" w:cs="Times New Roman"/>
        </w:rPr>
        <w:t xml:space="preserve">  Such a task – which evidently covers the bulk of time during which European legal instruments have even been adopted – simply defies systematic and reliable statistical analysis.</w:t>
      </w:r>
    </w:p>
    <w:p w14:paraId="44243216" w14:textId="1CDC9711" w:rsidR="00C20A66" w:rsidRDefault="008F75A2" w:rsidP="008B14B2">
      <w:pPr>
        <w:ind w:firstLine="720"/>
        <w:jc w:val="both"/>
        <w:rPr>
          <w:rFonts w:ascii="Times New Roman" w:hAnsi="Times New Roman" w:cs="Times New Roman"/>
        </w:rPr>
      </w:pPr>
      <w:r w:rsidRPr="00E772BE">
        <w:rPr>
          <w:rFonts w:ascii="Times New Roman" w:hAnsi="Times New Roman" w:cs="Times New Roman"/>
        </w:rPr>
        <w:t>Or again: what should we do with caselaw?  In a common law system, the judges make “new law” through their interpretation of statutes as well as through their own jurisdiction to develop unwritten legal principles.  The EU is no different: the European Court of Justice operates, from that perspective, in a manner akin to a common law court.  But how should we count caselaw in our statistics?  There is simply no reliable or credible method</w:t>
      </w:r>
      <w:r w:rsidR="006B15A8" w:rsidRPr="00E772BE">
        <w:rPr>
          <w:rFonts w:ascii="Times New Roman" w:hAnsi="Times New Roman" w:cs="Times New Roman"/>
        </w:rPr>
        <w:t xml:space="preserve"> for doing so</w:t>
      </w:r>
      <w:r w:rsidRPr="00E772BE">
        <w:rPr>
          <w:rFonts w:ascii="Times New Roman" w:hAnsi="Times New Roman" w:cs="Times New Roman"/>
        </w:rPr>
        <w:t xml:space="preserve">.  Yet if we do not </w:t>
      </w:r>
      <w:r w:rsidR="006B15A8" w:rsidRPr="00E772BE">
        <w:rPr>
          <w:rFonts w:ascii="Times New Roman" w:hAnsi="Times New Roman" w:cs="Times New Roman"/>
        </w:rPr>
        <w:t>take</w:t>
      </w:r>
      <w:r w:rsidRPr="00E772BE">
        <w:rPr>
          <w:rFonts w:ascii="Times New Roman" w:hAnsi="Times New Roman" w:cs="Times New Roman"/>
        </w:rPr>
        <w:t xml:space="preserve"> caselaw</w:t>
      </w:r>
      <w:r w:rsidR="006B15A8" w:rsidRPr="00E772BE">
        <w:rPr>
          <w:rFonts w:ascii="Times New Roman" w:hAnsi="Times New Roman" w:cs="Times New Roman"/>
        </w:rPr>
        <w:t xml:space="preserve"> into consideration</w:t>
      </w:r>
      <w:r w:rsidRPr="00E772BE">
        <w:rPr>
          <w:rFonts w:ascii="Times New Roman" w:hAnsi="Times New Roman" w:cs="Times New Roman"/>
        </w:rPr>
        <w:t xml:space="preserve">, then no study is able to offer a really accurate </w:t>
      </w:r>
      <w:r w:rsidR="006B15A8" w:rsidRPr="00E772BE">
        <w:rPr>
          <w:rFonts w:ascii="Times New Roman" w:hAnsi="Times New Roman" w:cs="Times New Roman"/>
        </w:rPr>
        <w:t>“</w:t>
      </w:r>
      <w:r w:rsidRPr="00E772BE">
        <w:rPr>
          <w:rFonts w:ascii="Times New Roman" w:hAnsi="Times New Roman" w:cs="Times New Roman"/>
        </w:rPr>
        <w:t>statistical</w:t>
      </w:r>
      <w:r w:rsidR="006B15A8" w:rsidRPr="00E772BE">
        <w:rPr>
          <w:rFonts w:ascii="Times New Roman" w:hAnsi="Times New Roman" w:cs="Times New Roman"/>
        </w:rPr>
        <w:t>”</w:t>
      </w:r>
      <w:r w:rsidRPr="00E772BE">
        <w:rPr>
          <w:rFonts w:ascii="Times New Roman" w:hAnsi="Times New Roman" w:cs="Times New Roman"/>
        </w:rPr>
        <w:t xml:space="preserve"> picture</w:t>
      </w:r>
      <w:r w:rsidR="006B15A8" w:rsidRPr="00E772BE">
        <w:rPr>
          <w:rFonts w:ascii="Times New Roman" w:hAnsi="Times New Roman" w:cs="Times New Roman"/>
        </w:rPr>
        <w:t xml:space="preserve"> of the make-up of any given legal order</w:t>
      </w:r>
      <w:r w:rsidRPr="00E772BE">
        <w:rPr>
          <w:rFonts w:ascii="Times New Roman" w:hAnsi="Times New Roman" w:cs="Times New Roman"/>
        </w:rPr>
        <w:t>.</w:t>
      </w:r>
    </w:p>
    <w:p w14:paraId="1F93CAF0" w14:textId="1FA75ACC" w:rsidR="00197A33" w:rsidRPr="00E772BE" w:rsidRDefault="00197A33" w:rsidP="008B14B2">
      <w:pPr>
        <w:ind w:firstLine="720"/>
        <w:jc w:val="both"/>
        <w:rPr>
          <w:rFonts w:ascii="Times New Roman" w:hAnsi="Times New Roman" w:cs="Times New Roman"/>
        </w:rPr>
      </w:pPr>
      <w:r>
        <w:rPr>
          <w:rFonts w:ascii="Times New Roman" w:hAnsi="Times New Roman" w:cs="Times New Roman"/>
        </w:rPr>
        <w:t xml:space="preserve">Last but not least: </w:t>
      </w:r>
      <w:r w:rsidR="0023555E">
        <w:rPr>
          <w:rFonts w:ascii="Times New Roman" w:hAnsi="Times New Roman" w:cs="Times New Roman"/>
        </w:rPr>
        <w:t xml:space="preserve">claims </w:t>
      </w:r>
      <w:r w:rsidR="00B535FC">
        <w:rPr>
          <w:rFonts w:ascii="Times New Roman" w:hAnsi="Times New Roman" w:cs="Times New Roman"/>
        </w:rPr>
        <w:t xml:space="preserve">or </w:t>
      </w:r>
      <w:r w:rsidR="0023555E">
        <w:rPr>
          <w:rFonts w:ascii="Times New Roman" w:hAnsi="Times New Roman" w:cs="Times New Roman"/>
        </w:rPr>
        <w:t xml:space="preserve">studies </w:t>
      </w:r>
      <w:r w:rsidR="00B535FC">
        <w:rPr>
          <w:rFonts w:ascii="Times New Roman" w:hAnsi="Times New Roman" w:cs="Times New Roman"/>
        </w:rPr>
        <w:t>(</w:t>
      </w:r>
      <w:r w:rsidR="0023555E">
        <w:rPr>
          <w:rFonts w:ascii="Times New Roman" w:hAnsi="Times New Roman" w:cs="Times New Roman"/>
        </w:rPr>
        <w:t>such as</w:t>
      </w:r>
      <w:r>
        <w:rPr>
          <w:rFonts w:ascii="Times New Roman" w:hAnsi="Times New Roman" w:cs="Times New Roman"/>
        </w:rPr>
        <w:t xml:space="preserve"> Business for Britain</w:t>
      </w:r>
      <w:r w:rsidR="00B535FC">
        <w:rPr>
          <w:rFonts w:ascii="Times New Roman" w:hAnsi="Times New Roman" w:cs="Times New Roman"/>
        </w:rPr>
        <w:t xml:space="preserve">) </w:t>
      </w:r>
      <w:r>
        <w:rPr>
          <w:rFonts w:ascii="Times New Roman" w:hAnsi="Times New Roman" w:cs="Times New Roman"/>
        </w:rPr>
        <w:t xml:space="preserve">which </w:t>
      </w:r>
      <w:r w:rsidR="00B535FC">
        <w:rPr>
          <w:rFonts w:ascii="Times New Roman" w:hAnsi="Times New Roman" w:cs="Times New Roman"/>
        </w:rPr>
        <w:t xml:space="preserve">have </w:t>
      </w:r>
      <w:r w:rsidR="0023555E">
        <w:rPr>
          <w:rFonts w:ascii="Times New Roman" w:hAnsi="Times New Roman" w:cs="Times New Roman"/>
        </w:rPr>
        <w:t xml:space="preserve">sought </w:t>
      </w:r>
      <w:r>
        <w:rPr>
          <w:rFonts w:ascii="Times New Roman" w:hAnsi="Times New Roman" w:cs="Times New Roman"/>
        </w:rPr>
        <w:t>to calculate “how much UK law comes from the EU”</w:t>
      </w:r>
      <w:r w:rsidR="0023555E">
        <w:rPr>
          <w:rFonts w:ascii="Times New Roman" w:hAnsi="Times New Roman" w:cs="Times New Roman"/>
        </w:rPr>
        <w:t>,</w:t>
      </w:r>
      <w:r>
        <w:rPr>
          <w:rFonts w:ascii="Times New Roman" w:hAnsi="Times New Roman" w:cs="Times New Roman"/>
        </w:rPr>
        <w:t xml:space="preserve"> </w:t>
      </w:r>
      <w:r w:rsidR="00B535FC">
        <w:rPr>
          <w:rFonts w:ascii="Times New Roman" w:hAnsi="Times New Roman" w:cs="Times New Roman"/>
        </w:rPr>
        <w:t>invariably use</w:t>
      </w:r>
      <w:r w:rsidR="0023555E">
        <w:rPr>
          <w:rFonts w:ascii="Times New Roman" w:hAnsi="Times New Roman" w:cs="Times New Roman"/>
        </w:rPr>
        <w:t xml:space="preserve"> </w:t>
      </w:r>
      <w:r>
        <w:rPr>
          <w:rFonts w:ascii="Times New Roman" w:hAnsi="Times New Roman" w:cs="Times New Roman"/>
        </w:rPr>
        <w:t xml:space="preserve">a relatively short reference period (in that case, of around 20 years from 1993-2014) as the basis for identifying which range of legal instruments should be considered relevant within each legal order and thus for the purpose of describing in numerical terms the nature and extent of the EU’s influence </w:t>
      </w:r>
      <w:r w:rsidR="0023555E">
        <w:rPr>
          <w:rFonts w:ascii="Times New Roman" w:hAnsi="Times New Roman" w:cs="Times New Roman"/>
        </w:rPr>
        <w:t>up</w:t>
      </w:r>
      <w:r>
        <w:rPr>
          <w:rFonts w:ascii="Times New Roman" w:hAnsi="Times New Roman" w:cs="Times New Roman"/>
        </w:rPr>
        <w:t xml:space="preserve">on UK law.  </w:t>
      </w:r>
      <w:r w:rsidR="0023555E">
        <w:rPr>
          <w:rFonts w:ascii="Times New Roman" w:hAnsi="Times New Roman" w:cs="Times New Roman"/>
        </w:rPr>
        <w:t xml:space="preserve">However, </w:t>
      </w:r>
      <w:r>
        <w:rPr>
          <w:rFonts w:ascii="Times New Roman" w:hAnsi="Times New Roman" w:cs="Times New Roman"/>
        </w:rPr>
        <w:t>th</w:t>
      </w:r>
      <w:r w:rsidR="00B535FC">
        <w:rPr>
          <w:rFonts w:ascii="Times New Roman" w:hAnsi="Times New Roman" w:cs="Times New Roman"/>
        </w:rPr>
        <w:t>at overlooks the rather obvious yet still fundamental</w:t>
      </w:r>
      <w:r>
        <w:rPr>
          <w:rFonts w:ascii="Times New Roman" w:hAnsi="Times New Roman" w:cs="Times New Roman"/>
        </w:rPr>
        <w:t xml:space="preserve"> fact that</w:t>
      </w:r>
      <w:r w:rsidR="00B535FC">
        <w:rPr>
          <w:rFonts w:ascii="Times New Roman" w:hAnsi="Times New Roman" w:cs="Times New Roman"/>
        </w:rPr>
        <w:t>, whereas the EU legislature has been active for several decades,</w:t>
      </w:r>
      <w:r>
        <w:rPr>
          <w:rFonts w:ascii="Times New Roman" w:hAnsi="Times New Roman" w:cs="Times New Roman"/>
        </w:rPr>
        <w:t xml:space="preserve"> the UK parliament has been legislating continuously for several hundred years</w:t>
      </w:r>
      <w:r w:rsidR="0023555E">
        <w:rPr>
          <w:rFonts w:ascii="Times New Roman" w:hAnsi="Times New Roman" w:cs="Times New Roman"/>
        </w:rPr>
        <w:t>.  V</w:t>
      </w:r>
      <w:r>
        <w:rPr>
          <w:rFonts w:ascii="Times New Roman" w:hAnsi="Times New Roman" w:cs="Times New Roman"/>
        </w:rPr>
        <w:t>ast quantities of UK law therefore pre-date</w:t>
      </w:r>
      <w:r w:rsidR="00B535FC">
        <w:rPr>
          <w:rFonts w:ascii="Times New Roman" w:hAnsi="Times New Roman" w:cs="Times New Roman"/>
        </w:rPr>
        <w:t>,</w:t>
      </w:r>
      <w:r>
        <w:rPr>
          <w:rFonts w:ascii="Times New Roman" w:hAnsi="Times New Roman" w:cs="Times New Roman"/>
        </w:rPr>
        <w:t xml:space="preserve"> </w:t>
      </w:r>
      <w:r w:rsidR="0023555E">
        <w:rPr>
          <w:rFonts w:ascii="Times New Roman" w:hAnsi="Times New Roman" w:cs="Times New Roman"/>
        </w:rPr>
        <w:t>but continue to be fully in force within</w:t>
      </w:r>
      <w:r w:rsidR="00B535FC">
        <w:rPr>
          <w:rFonts w:ascii="Times New Roman" w:hAnsi="Times New Roman" w:cs="Times New Roman"/>
        </w:rPr>
        <w:t xml:space="preserve">, </w:t>
      </w:r>
      <w:r>
        <w:rPr>
          <w:rFonts w:ascii="Times New Roman" w:hAnsi="Times New Roman" w:cs="Times New Roman"/>
        </w:rPr>
        <w:t xml:space="preserve">any artificially chosen reference period (such as that employed by Business for Britain).  </w:t>
      </w:r>
      <w:r w:rsidR="0023555E">
        <w:rPr>
          <w:rFonts w:ascii="Times New Roman" w:hAnsi="Times New Roman" w:cs="Times New Roman"/>
        </w:rPr>
        <w:t xml:space="preserve">That in itself makes </w:t>
      </w:r>
      <w:r>
        <w:rPr>
          <w:rFonts w:ascii="Times New Roman" w:hAnsi="Times New Roman" w:cs="Times New Roman"/>
        </w:rPr>
        <w:t>searching for a credib</w:t>
      </w:r>
      <w:r w:rsidR="0023555E">
        <w:rPr>
          <w:rFonts w:ascii="Times New Roman" w:hAnsi="Times New Roman" w:cs="Times New Roman"/>
        </w:rPr>
        <w:t>le statistical calculation feel</w:t>
      </w:r>
      <w:r>
        <w:rPr>
          <w:rFonts w:ascii="Times New Roman" w:hAnsi="Times New Roman" w:cs="Times New Roman"/>
        </w:rPr>
        <w:t xml:space="preserve"> ever more preposterous</w:t>
      </w:r>
      <w:r w:rsidR="0023555E">
        <w:rPr>
          <w:rFonts w:ascii="Times New Roman" w:hAnsi="Times New Roman" w:cs="Times New Roman"/>
        </w:rPr>
        <w:t xml:space="preserve">.  But in any case, </w:t>
      </w:r>
      <w:r>
        <w:rPr>
          <w:rFonts w:ascii="Times New Roman" w:hAnsi="Times New Roman" w:cs="Times New Roman"/>
        </w:rPr>
        <w:t xml:space="preserve">one need only abstractly consider the </w:t>
      </w:r>
      <w:r w:rsidR="0023555E">
        <w:rPr>
          <w:rFonts w:ascii="Times New Roman" w:hAnsi="Times New Roman" w:cs="Times New Roman"/>
        </w:rPr>
        <w:t>challenge of properly locating</w:t>
      </w:r>
      <w:r>
        <w:rPr>
          <w:rFonts w:ascii="Times New Roman" w:hAnsi="Times New Roman" w:cs="Times New Roman"/>
        </w:rPr>
        <w:t xml:space="preserve"> the contribution of EU law within the overall context of the UK legal system, judged across the totality of </w:t>
      </w:r>
      <w:r w:rsidR="0023555E">
        <w:rPr>
          <w:rFonts w:ascii="Times New Roman" w:hAnsi="Times New Roman" w:cs="Times New Roman"/>
        </w:rPr>
        <w:t xml:space="preserve">the latter’s fullness of </w:t>
      </w:r>
      <w:r>
        <w:rPr>
          <w:rFonts w:ascii="Times New Roman" w:hAnsi="Times New Roman" w:cs="Times New Roman"/>
        </w:rPr>
        <w:t xml:space="preserve">time and </w:t>
      </w:r>
      <w:r w:rsidR="0023555E">
        <w:rPr>
          <w:rFonts w:ascii="Times New Roman" w:hAnsi="Times New Roman" w:cs="Times New Roman"/>
        </w:rPr>
        <w:t xml:space="preserve">completeness of </w:t>
      </w:r>
      <w:r>
        <w:rPr>
          <w:rFonts w:ascii="Times New Roman" w:hAnsi="Times New Roman" w:cs="Times New Roman"/>
        </w:rPr>
        <w:t xml:space="preserve">volume, to </w:t>
      </w:r>
      <w:r w:rsidR="0023555E">
        <w:rPr>
          <w:rFonts w:ascii="Times New Roman" w:hAnsi="Times New Roman" w:cs="Times New Roman"/>
        </w:rPr>
        <w:t>reinforce</w:t>
      </w:r>
      <w:r>
        <w:rPr>
          <w:rFonts w:ascii="Times New Roman" w:hAnsi="Times New Roman" w:cs="Times New Roman"/>
        </w:rPr>
        <w:t xml:space="preserve"> just how selective and distorted the Leave analysis really </w:t>
      </w:r>
      <w:r w:rsidR="0023555E">
        <w:rPr>
          <w:rFonts w:ascii="Times New Roman" w:hAnsi="Times New Roman" w:cs="Times New Roman"/>
        </w:rPr>
        <w:t>was</w:t>
      </w:r>
      <w:r>
        <w:rPr>
          <w:rFonts w:ascii="Times New Roman" w:hAnsi="Times New Roman" w:cs="Times New Roman"/>
        </w:rPr>
        <w:t xml:space="preserve">.  </w:t>
      </w:r>
    </w:p>
    <w:p w14:paraId="3BA24A2D" w14:textId="77777777" w:rsidR="00C20A66" w:rsidRPr="00E772BE" w:rsidRDefault="00C20A66" w:rsidP="008B14B2">
      <w:pPr>
        <w:jc w:val="both"/>
        <w:rPr>
          <w:rFonts w:ascii="Times New Roman" w:hAnsi="Times New Roman" w:cs="Times New Roman"/>
        </w:rPr>
      </w:pPr>
    </w:p>
    <w:p w14:paraId="10713B3D" w14:textId="65D3B786" w:rsidR="00F66AE9" w:rsidRPr="00E772BE" w:rsidRDefault="007A2B51" w:rsidP="008B14B2">
      <w:pPr>
        <w:jc w:val="both"/>
        <w:rPr>
          <w:rFonts w:ascii="Times New Roman" w:hAnsi="Times New Roman" w:cs="Times New Roman"/>
          <w:b/>
        </w:rPr>
      </w:pPr>
      <w:r w:rsidRPr="00E772BE">
        <w:rPr>
          <w:rFonts w:ascii="Times New Roman" w:hAnsi="Times New Roman" w:cs="Times New Roman"/>
          <w:b/>
        </w:rPr>
        <w:t>The research questions a lawyer would really ask</w:t>
      </w:r>
    </w:p>
    <w:p w14:paraId="62FA3B05" w14:textId="77777777" w:rsidR="00F66AE9" w:rsidRPr="00E772BE" w:rsidRDefault="00F66AE9" w:rsidP="008B14B2">
      <w:pPr>
        <w:jc w:val="both"/>
        <w:rPr>
          <w:rFonts w:ascii="Times New Roman" w:hAnsi="Times New Roman" w:cs="Times New Roman"/>
        </w:rPr>
      </w:pPr>
    </w:p>
    <w:p w14:paraId="3959BE28" w14:textId="600E3A39" w:rsidR="001841B3" w:rsidRPr="00E772BE" w:rsidRDefault="00C20A66" w:rsidP="008B14B2">
      <w:pPr>
        <w:jc w:val="both"/>
        <w:rPr>
          <w:rFonts w:ascii="Times New Roman" w:hAnsi="Times New Roman" w:cs="Times New Roman"/>
        </w:rPr>
      </w:pPr>
      <w:r w:rsidRPr="00E772BE">
        <w:rPr>
          <w:rFonts w:ascii="Times New Roman" w:hAnsi="Times New Roman" w:cs="Times New Roman"/>
        </w:rPr>
        <w:t xml:space="preserve">If we accept that attempts </w:t>
      </w:r>
      <w:r w:rsidR="007A660D" w:rsidRPr="00E772BE">
        <w:rPr>
          <w:rFonts w:ascii="Times New Roman" w:hAnsi="Times New Roman" w:cs="Times New Roman"/>
        </w:rPr>
        <w:t xml:space="preserve">accurately </w:t>
      </w:r>
      <w:r w:rsidRPr="00E772BE">
        <w:rPr>
          <w:rFonts w:ascii="Times New Roman" w:hAnsi="Times New Roman" w:cs="Times New Roman"/>
        </w:rPr>
        <w:t xml:space="preserve">to quantify </w:t>
      </w:r>
      <w:r w:rsidR="007A660D" w:rsidRPr="00E772BE">
        <w:rPr>
          <w:rFonts w:ascii="Times New Roman" w:hAnsi="Times New Roman" w:cs="Times New Roman"/>
        </w:rPr>
        <w:t>“</w:t>
      </w:r>
      <w:r w:rsidRPr="00E772BE">
        <w:rPr>
          <w:rFonts w:ascii="Times New Roman" w:hAnsi="Times New Roman" w:cs="Times New Roman"/>
        </w:rPr>
        <w:t>law</w:t>
      </w:r>
      <w:r w:rsidR="007A660D" w:rsidRPr="00E772BE">
        <w:rPr>
          <w:rFonts w:ascii="Times New Roman" w:hAnsi="Times New Roman" w:cs="Times New Roman"/>
        </w:rPr>
        <w:t>”</w:t>
      </w:r>
      <w:r w:rsidRPr="00E772BE">
        <w:rPr>
          <w:rFonts w:ascii="Times New Roman" w:hAnsi="Times New Roman" w:cs="Times New Roman"/>
        </w:rPr>
        <w:t xml:space="preserve"> in any jurisdiction are very difficult, let alone trying to do </w:t>
      </w:r>
      <w:r w:rsidR="007A660D" w:rsidRPr="00E772BE">
        <w:rPr>
          <w:rFonts w:ascii="Times New Roman" w:hAnsi="Times New Roman" w:cs="Times New Roman"/>
        </w:rPr>
        <w:t xml:space="preserve">so </w:t>
      </w:r>
      <w:r w:rsidRPr="00E772BE">
        <w:rPr>
          <w:rFonts w:ascii="Times New Roman" w:hAnsi="Times New Roman" w:cs="Times New Roman"/>
        </w:rPr>
        <w:t xml:space="preserve">across jurisdictions </w:t>
      </w:r>
      <w:r w:rsidR="007A660D" w:rsidRPr="00E772BE">
        <w:rPr>
          <w:rFonts w:ascii="Times New Roman" w:hAnsi="Times New Roman" w:cs="Times New Roman"/>
        </w:rPr>
        <w:t xml:space="preserve">in order </w:t>
      </w:r>
      <w:r w:rsidRPr="00E772BE">
        <w:rPr>
          <w:rFonts w:ascii="Times New Roman" w:hAnsi="Times New Roman" w:cs="Times New Roman"/>
        </w:rPr>
        <w:t xml:space="preserve">to draw meaningful comparisons, there are nevertheless much more important qualitative questions that we can ask about the relationship between UK law and EU law.  </w:t>
      </w:r>
    </w:p>
    <w:p w14:paraId="60B63288" w14:textId="621F8ED4" w:rsidR="001841B3" w:rsidRPr="00E772BE" w:rsidRDefault="007A660D" w:rsidP="008B14B2">
      <w:pPr>
        <w:ind w:firstLine="720"/>
        <w:jc w:val="both"/>
        <w:rPr>
          <w:rFonts w:ascii="Times New Roman" w:hAnsi="Times New Roman" w:cs="Times New Roman"/>
          <w:lang w:val="en-US"/>
        </w:rPr>
      </w:pPr>
      <w:r w:rsidRPr="00E772BE">
        <w:rPr>
          <w:rFonts w:ascii="Times New Roman" w:hAnsi="Times New Roman" w:cs="Times New Roman"/>
        </w:rPr>
        <w:t xml:space="preserve">For example: </w:t>
      </w:r>
      <w:r w:rsidR="008F75A2" w:rsidRPr="00E772BE">
        <w:rPr>
          <w:rFonts w:ascii="Times New Roman" w:hAnsi="Times New Roman" w:cs="Times New Roman"/>
        </w:rPr>
        <w:t>EU law tends to be concentrated in particular fields of activity (</w:t>
      </w:r>
      <w:r w:rsidRPr="00E772BE">
        <w:rPr>
          <w:rFonts w:ascii="Times New Roman" w:hAnsi="Times New Roman" w:cs="Times New Roman"/>
        </w:rPr>
        <w:t xml:space="preserve">such as the </w:t>
      </w:r>
      <w:r w:rsidR="008F75A2" w:rsidRPr="00E772BE">
        <w:rPr>
          <w:rFonts w:ascii="Times New Roman" w:hAnsi="Times New Roman" w:cs="Times New Roman"/>
        </w:rPr>
        <w:t>single market, consumer rights</w:t>
      </w:r>
      <w:r w:rsidRPr="00E772BE">
        <w:rPr>
          <w:rFonts w:ascii="Times New Roman" w:hAnsi="Times New Roman" w:cs="Times New Roman"/>
        </w:rPr>
        <w:t xml:space="preserve"> or </w:t>
      </w:r>
      <w:r w:rsidR="008F75A2" w:rsidRPr="00E772BE">
        <w:rPr>
          <w:rFonts w:ascii="Times New Roman" w:hAnsi="Times New Roman" w:cs="Times New Roman"/>
        </w:rPr>
        <w:t>environmental protection); when it comes to other sectors, the EU’s legislative activities are much more marginal (</w:t>
      </w:r>
      <w:r w:rsidRPr="00E772BE">
        <w:rPr>
          <w:rFonts w:ascii="Times New Roman" w:hAnsi="Times New Roman" w:cs="Times New Roman"/>
        </w:rPr>
        <w:t xml:space="preserve">as with </w:t>
      </w:r>
      <w:r w:rsidR="008F75A2" w:rsidRPr="00E772BE">
        <w:rPr>
          <w:rFonts w:ascii="Times New Roman" w:hAnsi="Times New Roman" w:cs="Times New Roman"/>
        </w:rPr>
        <w:t>taxation, public health</w:t>
      </w:r>
      <w:r w:rsidRPr="00E772BE">
        <w:rPr>
          <w:rFonts w:ascii="Times New Roman" w:hAnsi="Times New Roman" w:cs="Times New Roman"/>
        </w:rPr>
        <w:t xml:space="preserve"> or </w:t>
      </w:r>
      <w:r w:rsidR="008F75A2" w:rsidRPr="00E772BE">
        <w:rPr>
          <w:rFonts w:ascii="Times New Roman" w:hAnsi="Times New Roman" w:cs="Times New Roman"/>
        </w:rPr>
        <w:t>education</w:t>
      </w:r>
      <w:r w:rsidRPr="00E772BE">
        <w:rPr>
          <w:rFonts w:ascii="Times New Roman" w:hAnsi="Times New Roman" w:cs="Times New Roman"/>
        </w:rPr>
        <w:t xml:space="preserve"> policy</w:t>
      </w:r>
      <w:r w:rsidR="008F75A2" w:rsidRPr="00E772BE">
        <w:rPr>
          <w:rFonts w:ascii="Times New Roman" w:hAnsi="Times New Roman" w:cs="Times New Roman"/>
        </w:rPr>
        <w:t xml:space="preserve">).  </w:t>
      </w:r>
      <w:r w:rsidRPr="00E772BE">
        <w:rPr>
          <w:rFonts w:ascii="Times New Roman" w:hAnsi="Times New Roman" w:cs="Times New Roman"/>
        </w:rPr>
        <w:t>E</w:t>
      </w:r>
      <w:r w:rsidR="008F75A2" w:rsidRPr="00E772BE">
        <w:rPr>
          <w:rFonts w:ascii="Times New Roman" w:hAnsi="Times New Roman" w:cs="Times New Roman"/>
        </w:rPr>
        <w:t xml:space="preserve">ven within sectors which see greater EU regulation, </w:t>
      </w:r>
      <w:r w:rsidR="00A05B16" w:rsidRPr="00E772BE">
        <w:rPr>
          <w:rFonts w:ascii="Times New Roman" w:hAnsi="Times New Roman" w:cs="Times New Roman"/>
          <w:lang w:val="en-US"/>
        </w:rPr>
        <w:t xml:space="preserve">the relationship between national and European law is often so complex and intertwined that it becomes difficult to tell where national law stops and </w:t>
      </w:r>
      <w:r w:rsidRPr="00E772BE">
        <w:rPr>
          <w:rFonts w:ascii="Times New Roman" w:hAnsi="Times New Roman" w:cs="Times New Roman"/>
          <w:lang w:val="en-US"/>
        </w:rPr>
        <w:t xml:space="preserve">where </w:t>
      </w:r>
      <w:r w:rsidR="00A05B16" w:rsidRPr="00E772BE">
        <w:rPr>
          <w:rFonts w:ascii="Times New Roman" w:hAnsi="Times New Roman" w:cs="Times New Roman"/>
          <w:lang w:val="en-US"/>
        </w:rPr>
        <w:t>EU law takes over</w:t>
      </w:r>
      <w:r w:rsidRPr="00E772BE">
        <w:rPr>
          <w:rFonts w:ascii="Times New Roman" w:hAnsi="Times New Roman" w:cs="Times New Roman"/>
          <w:lang w:val="en-US"/>
        </w:rPr>
        <w:t xml:space="preserve">.  </w:t>
      </w:r>
      <w:r w:rsidR="00A05B16" w:rsidRPr="00E772BE">
        <w:rPr>
          <w:rFonts w:ascii="Times New Roman" w:hAnsi="Times New Roman" w:cs="Times New Roman"/>
          <w:lang w:val="en-US"/>
        </w:rPr>
        <w:t>That can be true for various reasons</w:t>
      </w:r>
      <w:r w:rsidRPr="00E772BE">
        <w:rPr>
          <w:rFonts w:ascii="Times New Roman" w:hAnsi="Times New Roman" w:cs="Times New Roman"/>
          <w:lang w:val="en-US"/>
        </w:rPr>
        <w:t>.  M</w:t>
      </w:r>
      <w:r w:rsidR="00A05B16" w:rsidRPr="00E772BE">
        <w:rPr>
          <w:rFonts w:ascii="Times New Roman" w:hAnsi="Times New Roman" w:cs="Times New Roman"/>
          <w:lang w:val="en-US"/>
        </w:rPr>
        <w:t>any EU measures set out general objectives / principles which the Member States have to translate into more concrete rules</w:t>
      </w:r>
      <w:r w:rsidRPr="00E772BE">
        <w:rPr>
          <w:rFonts w:ascii="Times New Roman" w:hAnsi="Times New Roman" w:cs="Times New Roman"/>
          <w:lang w:val="en-US"/>
        </w:rPr>
        <w:t>,</w:t>
      </w:r>
      <w:r w:rsidR="00A05B16" w:rsidRPr="00E772BE">
        <w:rPr>
          <w:rFonts w:ascii="Times New Roman" w:hAnsi="Times New Roman" w:cs="Times New Roman"/>
          <w:lang w:val="en-US"/>
        </w:rPr>
        <w:t xml:space="preserve"> rights </w:t>
      </w:r>
      <w:r w:rsidRPr="00E772BE">
        <w:rPr>
          <w:rFonts w:ascii="Times New Roman" w:hAnsi="Times New Roman" w:cs="Times New Roman"/>
          <w:lang w:val="en-US"/>
        </w:rPr>
        <w:t xml:space="preserve">and </w:t>
      </w:r>
      <w:r w:rsidR="00A05B16" w:rsidRPr="00E772BE">
        <w:rPr>
          <w:rFonts w:ascii="Times New Roman" w:hAnsi="Times New Roman" w:cs="Times New Roman"/>
          <w:lang w:val="en-US"/>
        </w:rPr>
        <w:t>obligations</w:t>
      </w:r>
      <w:r w:rsidRPr="00E772BE">
        <w:rPr>
          <w:rFonts w:ascii="Times New Roman" w:hAnsi="Times New Roman" w:cs="Times New Roman"/>
          <w:lang w:val="en-US"/>
        </w:rPr>
        <w:t xml:space="preserve">.  </w:t>
      </w:r>
      <w:r w:rsidR="00A05B16" w:rsidRPr="00E772BE">
        <w:rPr>
          <w:rFonts w:ascii="Times New Roman" w:hAnsi="Times New Roman" w:cs="Times New Roman"/>
          <w:lang w:val="en-US"/>
        </w:rPr>
        <w:t>There may well be a European framework, but the key tools and instruments are national</w:t>
      </w:r>
      <w:r w:rsidRPr="00E772BE">
        <w:rPr>
          <w:rFonts w:ascii="Times New Roman" w:hAnsi="Times New Roman" w:cs="Times New Roman"/>
          <w:lang w:val="en-US"/>
        </w:rPr>
        <w:t>.  Or again: i</w:t>
      </w:r>
      <w:r w:rsidR="00A05B16" w:rsidRPr="00E772BE">
        <w:rPr>
          <w:rFonts w:ascii="Times New Roman" w:hAnsi="Times New Roman" w:cs="Times New Roman"/>
          <w:lang w:val="en-US"/>
        </w:rPr>
        <w:t>n the process of translating EU law into national law, Memb</w:t>
      </w:r>
      <w:r w:rsidRPr="00E772BE">
        <w:rPr>
          <w:rFonts w:ascii="Times New Roman" w:hAnsi="Times New Roman" w:cs="Times New Roman"/>
          <w:lang w:val="en-US"/>
        </w:rPr>
        <w:t xml:space="preserve">er States often decide to “gold </w:t>
      </w:r>
      <w:r w:rsidR="00A05B16" w:rsidRPr="00E772BE">
        <w:rPr>
          <w:rFonts w:ascii="Times New Roman" w:hAnsi="Times New Roman" w:cs="Times New Roman"/>
          <w:lang w:val="en-US"/>
        </w:rPr>
        <w:t>plate” the basic EU legislation</w:t>
      </w:r>
      <w:r w:rsidRPr="00E772BE">
        <w:rPr>
          <w:rFonts w:ascii="Times New Roman" w:hAnsi="Times New Roman" w:cs="Times New Roman"/>
          <w:lang w:val="en-US"/>
        </w:rPr>
        <w:t xml:space="preserve">, </w:t>
      </w:r>
      <w:r w:rsidR="00A05B16" w:rsidRPr="00E772BE">
        <w:rPr>
          <w:rFonts w:ascii="Times New Roman" w:hAnsi="Times New Roman" w:cs="Times New Roman"/>
          <w:lang w:val="en-US"/>
        </w:rPr>
        <w:t xml:space="preserve">by extending its scope of application, </w:t>
      </w:r>
      <w:r w:rsidR="00BF1563" w:rsidRPr="00E772BE">
        <w:rPr>
          <w:rFonts w:ascii="Times New Roman" w:hAnsi="Times New Roman" w:cs="Times New Roman"/>
          <w:lang w:val="en-US"/>
        </w:rPr>
        <w:t xml:space="preserve">or </w:t>
      </w:r>
      <w:r w:rsidR="00A05B16" w:rsidRPr="00E772BE">
        <w:rPr>
          <w:rFonts w:ascii="Times New Roman" w:hAnsi="Times New Roman" w:cs="Times New Roman"/>
          <w:lang w:val="en-US"/>
        </w:rPr>
        <w:t xml:space="preserve">adding additional rights / obligations, </w:t>
      </w:r>
      <w:r w:rsidR="00BF1563" w:rsidRPr="00E772BE">
        <w:rPr>
          <w:rFonts w:ascii="Times New Roman" w:hAnsi="Times New Roman" w:cs="Times New Roman"/>
          <w:lang w:val="en-US"/>
        </w:rPr>
        <w:t xml:space="preserve">or </w:t>
      </w:r>
      <w:r w:rsidR="00A05B16" w:rsidRPr="00E772BE">
        <w:rPr>
          <w:rFonts w:ascii="Times New Roman" w:hAnsi="Times New Roman" w:cs="Times New Roman"/>
          <w:lang w:val="en-US"/>
        </w:rPr>
        <w:t>creating more detailed frameworks and processes</w:t>
      </w:r>
      <w:r w:rsidRPr="00E772BE">
        <w:rPr>
          <w:rFonts w:ascii="Times New Roman" w:hAnsi="Times New Roman" w:cs="Times New Roman"/>
          <w:lang w:val="en-US"/>
        </w:rPr>
        <w:t>.  I</w:t>
      </w:r>
      <w:r w:rsidR="00A05B16" w:rsidRPr="00E772BE">
        <w:rPr>
          <w:rFonts w:ascii="Times New Roman" w:hAnsi="Times New Roman" w:cs="Times New Roman"/>
          <w:lang w:val="en-US"/>
        </w:rPr>
        <w:t xml:space="preserve">n many situations, trying to separate the </w:t>
      </w:r>
      <w:r w:rsidRPr="00E772BE">
        <w:rPr>
          <w:rFonts w:ascii="Times New Roman" w:hAnsi="Times New Roman" w:cs="Times New Roman"/>
          <w:lang w:val="en-US"/>
        </w:rPr>
        <w:t>“</w:t>
      </w:r>
      <w:r w:rsidR="00A05B16" w:rsidRPr="00E772BE">
        <w:rPr>
          <w:rFonts w:ascii="Times New Roman" w:hAnsi="Times New Roman" w:cs="Times New Roman"/>
          <w:lang w:val="en-US"/>
        </w:rPr>
        <w:t>national</w:t>
      </w:r>
      <w:r w:rsidRPr="00E772BE">
        <w:rPr>
          <w:rFonts w:ascii="Times New Roman" w:hAnsi="Times New Roman" w:cs="Times New Roman"/>
          <w:lang w:val="en-US"/>
        </w:rPr>
        <w:t>”</w:t>
      </w:r>
      <w:r w:rsidR="00A05B16" w:rsidRPr="00E772BE">
        <w:rPr>
          <w:rFonts w:ascii="Times New Roman" w:hAnsi="Times New Roman" w:cs="Times New Roman"/>
          <w:lang w:val="en-US"/>
        </w:rPr>
        <w:t xml:space="preserve"> from the </w:t>
      </w:r>
      <w:r w:rsidRPr="00E772BE">
        <w:rPr>
          <w:rFonts w:ascii="Times New Roman" w:hAnsi="Times New Roman" w:cs="Times New Roman"/>
          <w:lang w:val="en-US"/>
        </w:rPr>
        <w:t>“</w:t>
      </w:r>
      <w:r w:rsidR="00A05B16" w:rsidRPr="00E772BE">
        <w:rPr>
          <w:rFonts w:ascii="Times New Roman" w:hAnsi="Times New Roman" w:cs="Times New Roman"/>
          <w:lang w:val="en-US"/>
        </w:rPr>
        <w:t>European</w:t>
      </w:r>
      <w:r w:rsidRPr="00E772BE">
        <w:rPr>
          <w:rFonts w:ascii="Times New Roman" w:hAnsi="Times New Roman" w:cs="Times New Roman"/>
          <w:lang w:val="en-US"/>
        </w:rPr>
        <w:t>”</w:t>
      </w:r>
      <w:r w:rsidR="00A05B16" w:rsidRPr="00E772BE">
        <w:rPr>
          <w:rFonts w:ascii="Times New Roman" w:hAnsi="Times New Roman" w:cs="Times New Roman"/>
          <w:lang w:val="en-US"/>
        </w:rPr>
        <w:t xml:space="preserve"> is more a task for the philosopher than the lawyer or </w:t>
      </w:r>
      <w:r w:rsidR="00BF1563" w:rsidRPr="00E772BE">
        <w:rPr>
          <w:rFonts w:ascii="Times New Roman" w:hAnsi="Times New Roman" w:cs="Times New Roman"/>
          <w:lang w:val="en-US"/>
        </w:rPr>
        <w:t>statistician</w:t>
      </w:r>
      <w:r w:rsidRPr="00E772BE">
        <w:rPr>
          <w:rFonts w:ascii="Times New Roman" w:hAnsi="Times New Roman" w:cs="Times New Roman"/>
          <w:lang w:val="en-US"/>
        </w:rPr>
        <w:t>.</w:t>
      </w:r>
    </w:p>
    <w:p w14:paraId="6A890334" w14:textId="456E2D05" w:rsidR="007A660D" w:rsidRPr="00E772BE" w:rsidRDefault="007A660D" w:rsidP="007A660D">
      <w:pPr>
        <w:ind w:firstLine="720"/>
        <w:jc w:val="both"/>
        <w:rPr>
          <w:rFonts w:ascii="Times New Roman" w:hAnsi="Times New Roman" w:cs="Times New Roman"/>
        </w:rPr>
      </w:pPr>
      <w:r w:rsidRPr="00E772BE">
        <w:rPr>
          <w:rFonts w:ascii="Times New Roman" w:hAnsi="Times New Roman" w:cs="Times New Roman"/>
        </w:rPr>
        <w:t>T</w:t>
      </w:r>
      <w:r w:rsidR="008F75A2" w:rsidRPr="00E772BE">
        <w:rPr>
          <w:rFonts w:ascii="Times New Roman" w:hAnsi="Times New Roman" w:cs="Times New Roman"/>
        </w:rPr>
        <w:t xml:space="preserve">here is also the obvious point that not all </w:t>
      </w:r>
      <w:r w:rsidRPr="00E772BE">
        <w:rPr>
          <w:rFonts w:ascii="Times New Roman" w:hAnsi="Times New Roman" w:cs="Times New Roman"/>
        </w:rPr>
        <w:t>“</w:t>
      </w:r>
      <w:r w:rsidR="008F75A2" w:rsidRPr="00E772BE">
        <w:rPr>
          <w:rFonts w:ascii="Times New Roman" w:hAnsi="Times New Roman" w:cs="Times New Roman"/>
        </w:rPr>
        <w:t>law</w:t>
      </w:r>
      <w:r w:rsidRPr="00E772BE">
        <w:rPr>
          <w:rFonts w:ascii="Times New Roman" w:hAnsi="Times New Roman" w:cs="Times New Roman"/>
        </w:rPr>
        <w:t>”</w:t>
      </w:r>
      <w:r w:rsidR="008F75A2" w:rsidRPr="00E772BE">
        <w:rPr>
          <w:rFonts w:ascii="Times New Roman" w:hAnsi="Times New Roman" w:cs="Times New Roman"/>
        </w:rPr>
        <w:t xml:space="preserve"> is of the same significance</w:t>
      </w:r>
      <w:r w:rsidRPr="00E772BE">
        <w:rPr>
          <w:rFonts w:ascii="Times New Roman" w:hAnsi="Times New Roman" w:cs="Times New Roman"/>
        </w:rPr>
        <w:t>.  M</w:t>
      </w:r>
      <w:r w:rsidR="008F75A2" w:rsidRPr="00E772BE">
        <w:rPr>
          <w:rFonts w:ascii="Times New Roman" w:hAnsi="Times New Roman" w:cs="Times New Roman"/>
        </w:rPr>
        <w:t xml:space="preserve">uch EU legislation is very humdrum </w:t>
      </w:r>
      <w:r w:rsidRPr="00E772BE">
        <w:rPr>
          <w:rFonts w:ascii="Times New Roman" w:hAnsi="Times New Roman" w:cs="Times New Roman"/>
        </w:rPr>
        <w:t xml:space="preserve">in nature </w:t>
      </w:r>
      <w:r w:rsidR="008F75A2" w:rsidRPr="00E772BE">
        <w:rPr>
          <w:rFonts w:ascii="Times New Roman" w:hAnsi="Times New Roman" w:cs="Times New Roman"/>
        </w:rPr>
        <w:t xml:space="preserve">and of </w:t>
      </w:r>
      <w:r w:rsidRPr="00E772BE">
        <w:rPr>
          <w:rFonts w:ascii="Times New Roman" w:hAnsi="Times New Roman" w:cs="Times New Roman"/>
        </w:rPr>
        <w:t xml:space="preserve">little </w:t>
      </w:r>
      <w:r w:rsidR="008F75A2" w:rsidRPr="00E772BE">
        <w:rPr>
          <w:rFonts w:ascii="Times New Roman" w:hAnsi="Times New Roman" w:cs="Times New Roman"/>
        </w:rPr>
        <w:t xml:space="preserve">wider </w:t>
      </w:r>
      <w:r w:rsidRPr="00E772BE">
        <w:rPr>
          <w:rFonts w:ascii="Times New Roman" w:hAnsi="Times New Roman" w:cs="Times New Roman"/>
        </w:rPr>
        <w:t xml:space="preserve">public salience or </w:t>
      </w:r>
      <w:r w:rsidR="008F75A2" w:rsidRPr="00E772BE">
        <w:rPr>
          <w:rFonts w:ascii="Times New Roman" w:hAnsi="Times New Roman" w:cs="Times New Roman"/>
        </w:rPr>
        <w:t xml:space="preserve">political </w:t>
      </w:r>
      <w:r w:rsidRPr="00E772BE">
        <w:rPr>
          <w:rFonts w:ascii="Times New Roman" w:hAnsi="Times New Roman" w:cs="Times New Roman"/>
        </w:rPr>
        <w:t>controversy.  But o</w:t>
      </w:r>
      <w:r w:rsidR="008F75A2" w:rsidRPr="00E772BE">
        <w:rPr>
          <w:rFonts w:ascii="Times New Roman" w:hAnsi="Times New Roman" w:cs="Times New Roman"/>
        </w:rPr>
        <w:t xml:space="preserve">ther EU acts are far more important in terms of what they set out to achieve and the instruments they use to achieve them – </w:t>
      </w:r>
      <w:r w:rsidRPr="00E772BE">
        <w:rPr>
          <w:rFonts w:ascii="Times New Roman" w:hAnsi="Times New Roman" w:cs="Times New Roman"/>
        </w:rPr>
        <w:t xml:space="preserve">creating new legal frameworks of undoubted importance and contestation – </w:t>
      </w:r>
      <w:r w:rsidR="008F75A2" w:rsidRPr="00E772BE">
        <w:rPr>
          <w:rFonts w:ascii="Times New Roman" w:hAnsi="Times New Roman" w:cs="Times New Roman"/>
        </w:rPr>
        <w:t xml:space="preserve">though </w:t>
      </w:r>
      <w:r w:rsidRPr="00E772BE">
        <w:rPr>
          <w:rFonts w:ascii="Times New Roman" w:hAnsi="Times New Roman" w:cs="Times New Roman"/>
        </w:rPr>
        <w:t xml:space="preserve">legal researchers take it almost for granted that </w:t>
      </w:r>
      <w:r w:rsidR="008F75A2" w:rsidRPr="00E772BE">
        <w:rPr>
          <w:rFonts w:ascii="Times New Roman" w:hAnsi="Times New Roman" w:cs="Times New Roman"/>
        </w:rPr>
        <w:t xml:space="preserve">the number of </w:t>
      </w:r>
      <w:r w:rsidRPr="00E772BE">
        <w:rPr>
          <w:rFonts w:ascii="Times New Roman" w:hAnsi="Times New Roman" w:cs="Times New Roman"/>
        </w:rPr>
        <w:t xml:space="preserve">such </w:t>
      </w:r>
      <w:r w:rsidR="008F75A2" w:rsidRPr="00E772BE">
        <w:rPr>
          <w:rFonts w:ascii="Times New Roman" w:hAnsi="Times New Roman" w:cs="Times New Roman"/>
        </w:rPr>
        <w:t xml:space="preserve">measures adopted by the EU each year </w:t>
      </w:r>
      <w:r w:rsidRPr="00E772BE">
        <w:rPr>
          <w:rFonts w:ascii="Times New Roman" w:hAnsi="Times New Roman" w:cs="Times New Roman"/>
        </w:rPr>
        <w:t xml:space="preserve">will be </w:t>
      </w:r>
      <w:r w:rsidR="008F75A2" w:rsidRPr="00E772BE">
        <w:rPr>
          <w:rFonts w:ascii="Times New Roman" w:hAnsi="Times New Roman" w:cs="Times New Roman"/>
        </w:rPr>
        <w:t xml:space="preserve">relatively low.  </w:t>
      </w:r>
      <w:r w:rsidRPr="00E772BE">
        <w:rPr>
          <w:rFonts w:ascii="Times New Roman" w:hAnsi="Times New Roman" w:cs="Times New Roman"/>
        </w:rPr>
        <w:t xml:space="preserve">And of course: </w:t>
      </w:r>
      <w:r w:rsidR="008F75A2" w:rsidRPr="00E772BE">
        <w:rPr>
          <w:rFonts w:ascii="Times New Roman" w:hAnsi="Times New Roman" w:cs="Times New Roman"/>
        </w:rPr>
        <w:t xml:space="preserve">much of this EU legislation concerns issues that would need to be regulated </w:t>
      </w:r>
      <w:r w:rsidRPr="00E772BE">
        <w:rPr>
          <w:rFonts w:ascii="Times New Roman" w:hAnsi="Times New Roman" w:cs="Times New Roman"/>
        </w:rPr>
        <w:t xml:space="preserve">by the Member State </w:t>
      </w:r>
      <w:r w:rsidR="008F75A2" w:rsidRPr="00E772BE">
        <w:rPr>
          <w:rFonts w:ascii="Times New Roman" w:hAnsi="Times New Roman" w:cs="Times New Roman"/>
        </w:rPr>
        <w:t xml:space="preserve">in any case, and </w:t>
      </w:r>
      <w:r w:rsidRPr="00E772BE">
        <w:rPr>
          <w:rFonts w:ascii="Times New Roman" w:hAnsi="Times New Roman" w:cs="Times New Roman"/>
        </w:rPr>
        <w:t xml:space="preserve">in most cases, </w:t>
      </w:r>
      <w:r w:rsidR="008F75A2" w:rsidRPr="00E772BE">
        <w:rPr>
          <w:rFonts w:ascii="Times New Roman" w:hAnsi="Times New Roman" w:cs="Times New Roman"/>
        </w:rPr>
        <w:t xml:space="preserve">the </w:t>
      </w:r>
      <w:r w:rsidRPr="00E772BE">
        <w:rPr>
          <w:rFonts w:ascii="Times New Roman" w:hAnsi="Times New Roman" w:cs="Times New Roman"/>
        </w:rPr>
        <w:t xml:space="preserve">essential framework of any “alternative” domestic </w:t>
      </w:r>
      <w:r w:rsidR="008F75A2" w:rsidRPr="00E772BE">
        <w:rPr>
          <w:rFonts w:ascii="Times New Roman" w:hAnsi="Times New Roman" w:cs="Times New Roman"/>
        </w:rPr>
        <w:t xml:space="preserve">rules would </w:t>
      </w:r>
      <w:r w:rsidRPr="00E772BE">
        <w:rPr>
          <w:rFonts w:ascii="Times New Roman" w:hAnsi="Times New Roman" w:cs="Times New Roman"/>
        </w:rPr>
        <w:t xml:space="preserve">undoubtedly </w:t>
      </w:r>
      <w:r w:rsidR="008F75A2" w:rsidRPr="00E772BE">
        <w:rPr>
          <w:rFonts w:ascii="Times New Roman" w:hAnsi="Times New Roman" w:cs="Times New Roman"/>
        </w:rPr>
        <w:t xml:space="preserve">look very similar: after all, we do not want to place unsafe toys on the market; we want to limit air pollution; we want to promote equal treatment between men and women </w:t>
      </w:r>
      <w:r w:rsidRPr="00E772BE">
        <w:rPr>
          <w:rFonts w:ascii="Times New Roman" w:hAnsi="Times New Roman" w:cs="Times New Roman"/>
        </w:rPr>
        <w:t>in the workplace</w:t>
      </w:r>
      <w:r w:rsidR="008F75A2" w:rsidRPr="00E772BE">
        <w:rPr>
          <w:rFonts w:ascii="Times New Roman" w:hAnsi="Times New Roman" w:cs="Times New Roman"/>
        </w:rPr>
        <w:t>.</w:t>
      </w:r>
      <w:r w:rsidR="006E7E8E">
        <w:rPr>
          <w:rStyle w:val="FootnoteReference"/>
          <w:rFonts w:ascii="Times New Roman" w:hAnsi="Times New Roman" w:cs="Times New Roman"/>
        </w:rPr>
        <w:footnoteReference w:id="23"/>
      </w:r>
      <w:r w:rsidR="00B535FC">
        <w:rPr>
          <w:rFonts w:ascii="Times New Roman" w:hAnsi="Times New Roman" w:cs="Times New Roman"/>
        </w:rPr>
        <w:t xml:space="preserve">  </w:t>
      </w:r>
    </w:p>
    <w:p w14:paraId="072B86E4" w14:textId="0E580590" w:rsidR="008F75A2" w:rsidRPr="00E772BE" w:rsidRDefault="007A660D" w:rsidP="007A660D">
      <w:pPr>
        <w:ind w:firstLine="720"/>
        <w:jc w:val="both"/>
        <w:rPr>
          <w:rFonts w:ascii="Times New Roman" w:hAnsi="Times New Roman" w:cs="Times New Roman"/>
        </w:rPr>
      </w:pPr>
      <w:r w:rsidRPr="00E772BE">
        <w:rPr>
          <w:rFonts w:ascii="Times New Roman" w:hAnsi="Times New Roman" w:cs="Times New Roman"/>
        </w:rPr>
        <w:t>Far from artificially seeking to translate the vast and rich complexity of the legal system into simplistic and misleading numbers, those are the questions that can stimulate a more fruitful and credible – though necessarily more qualitative</w:t>
      </w:r>
      <w:r w:rsidR="00B535FC">
        <w:rPr>
          <w:rFonts w:ascii="Times New Roman" w:hAnsi="Times New Roman" w:cs="Times New Roman"/>
        </w:rPr>
        <w:t xml:space="preserve"> </w:t>
      </w:r>
      <w:r w:rsidRPr="00E772BE">
        <w:rPr>
          <w:rFonts w:ascii="Times New Roman" w:hAnsi="Times New Roman" w:cs="Times New Roman"/>
        </w:rPr>
        <w:t xml:space="preserve">– discussion of how EU law interacts with and influences the legal systems of its Member States.  </w:t>
      </w:r>
      <w:r w:rsidR="00B535FC">
        <w:rPr>
          <w:rFonts w:ascii="Times New Roman" w:hAnsi="Times New Roman" w:cs="Times New Roman"/>
        </w:rPr>
        <w:t>If a non-specialist wishes to garner a more accurate picture of the complex interrelationship between EU law and UK law – the scope and variegations, the key interventions and the mundanities, the benefits and the controversies, the unforeseen consequences and the indirect impacts – they would do far better to peruse the many volumes of detailed but nevertheless accessible e</w:t>
      </w:r>
      <w:bookmarkStart w:id="0" w:name="_GoBack"/>
      <w:bookmarkEnd w:id="0"/>
      <w:r w:rsidR="00B535FC">
        <w:rPr>
          <w:rFonts w:ascii="Times New Roman" w:hAnsi="Times New Roman" w:cs="Times New Roman"/>
        </w:rPr>
        <w:t xml:space="preserve">xplanation, evidence and analysis produced in respect of every sector of policymaking through the </w:t>
      </w:r>
      <w:r w:rsidR="00B535FC" w:rsidRPr="00B535FC">
        <w:rPr>
          <w:rFonts w:ascii="Times New Roman" w:hAnsi="Times New Roman" w:cs="Times New Roman"/>
          <w:i/>
        </w:rPr>
        <w:t xml:space="preserve">Balance of Competences Review </w:t>
      </w:r>
      <w:r w:rsidR="00B535FC">
        <w:rPr>
          <w:rFonts w:ascii="Times New Roman" w:hAnsi="Times New Roman" w:cs="Times New Roman"/>
        </w:rPr>
        <w:t xml:space="preserve">undertaken by Whitehall under the Coalition Government between </w:t>
      </w:r>
      <w:r w:rsidR="006D0A3D">
        <w:rPr>
          <w:rFonts w:ascii="Times New Roman" w:hAnsi="Times New Roman" w:cs="Times New Roman"/>
        </w:rPr>
        <w:t>2012</w:t>
      </w:r>
      <w:r w:rsidR="00B535FC">
        <w:rPr>
          <w:rFonts w:ascii="Times New Roman" w:hAnsi="Times New Roman" w:cs="Times New Roman"/>
        </w:rPr>
        <w:t xml:space="preserve"> and </w:t>
      </w:r>
      <w:r w:rsidR="006D0A3D">
        <w:rPr>
          <w:rFonts w:ascii="Times New Roman" w:hAnsi="Times New Roman" w:cs="Times New Roman"/>
        </w:rPr>
        <w:t>2014</w:t>
      </w:r>
      <w:r w:rsidR="00B535FC">
        <w:rPr>
          <w:rFonts w:ascii="Times New Roman" w:hAnsi="Times New Roman" w:cs="Times New Roman"/>
        </w:rPr>
        <w:t>.</w:t>
      </w:r>
      <w:r w:rsidR="00B535FC">
        <w:rPr>
          <w:rStyle w:val="FootnoteReference"/>
          <w:rFonts w:ascii="Times New Roman" w:hAnsi="Times New Roman" w:cs="Times New Roman"/>
        </w:rPr>
        <w:footnoteReference w:id="24"/>
      </w:r>
      <w:r w:rsidR="00B535FC">
        <w:rPr>
          <w:rFonts w:ascii="Times New Roman" w:hAnsi="Times New Roman" w:cs="Times New Roman"/>
        </w:rPr>
        <w:t xml:space="preserve">  </w:t>
      </w:r>
    </w:p>
    <w:p w14:paraId="5FABEB3D" w14:textId="77777777" w:rsidR="00A05B16" w:rsidRPr="00E772BE" w:rsidRDefault="00A05B16" w:rsidP="008B14B2">
      <w:pPr>
        <w:jc w:val="both"/>
        <w:rPr>
          <w:rFonts w:ascii="Times New Roman" w:hAnsi="Times New Roman" w:cs="Times New Roman"/>
        </w:rPr>
      </w:pPr>
    </w:p>
    <w:p w14:paraId="616C6B4F" w14:textId="3192E2E6" w:rsidR="00A05B16" w:rsidRPr="00E772BE" w:rsidRDefault="00F66AE9" w:rsidP="008B14B2">
      <w:pPr>
        <w:jc w:val="both"/>
        <w:rPr>
          <w:rFonts w:ascii="Times New Roman" w:hAnsi="Times New Roman" w:cs="Times New Roman"/>
          <w:b/>
        </w:rPr>
      </w:pPr>
      <w:r w:rsidRPr="00E772BE">
        <w:rPr>
          <w:rFonts w:ascii="Times New Roman" w:hAnsi="Times New Roman" w:cs="Times New Roman"/>
          <w:b/>
        </w:rPr>
        <w:t>Conclusions</w:t>
      </w:r>
    </w:p>
    <w:p w14:paraId="02E2E355" w14:textId="77777777" w:rsidR="00A05B16" w:rsidRPr="00E772BE" w:rsidRDefault="00A05B16" w:rsidP="008B14B2">
      <w:pPr>
        <w:jc w:val="both"/>
        <w:rPr>
          <w:rFonts w:ascii="Times New Roman" w:hAnsi="Times New Roman" w:cs="Times New Roman"/>
        </w:rPr>
      </w:pPr>
    </w:p>
    <w:p w14:paraId="7A950103" w14:textId="0548BC9D" w:rsidR="00E36CE7" w:rsidRPr="00E772BE" w:rsidRDefault="007A660D" w:rsidP="0053407C">
      <w:pPr>
        <w:jc w:val="both"/>
        <w:rPr>
          <w:rFonts w:ascii="Times New Roman" w:hAnsi="Times New Roman" w:cs="Times New Roman"/>
        </w:rPr>
      </w:pPr>
      <w:r w:rsidRPr="00E772BE">
        <w:rPr>
          <w:rFonts w:ascii="Times New Roman" w:hAnsi="Times New Roman" w:cs="Times New Roman"/>
        </w:rPr>
        <w:t xml:space="preserve">This paper </w:t>
      </w:r>
      <w:r w:rsidR="00095427" w:rsidRPr="00E772BE">
        <w:rPr>
          <w:rFonts w:ascii="Times New Roman" w:hAnsi="Times New Roman" w:cs="Times New Roman"/>
        </w:rPr>
        <w:t xml:space="preserve">used </w:t>
      </w:r>
      <w:r w:rsidR="0053407C" w:rsidRPr="00E772BE">
        <w:rPr>
          <w:rFonts w:ascii="Times New Roman" w:hAnsi="Times New Roman" w:cs="Times New Roman"/>
        </w:rPr>
        <w:t>the Leave campaign’</w:t>
      </w:r>
      <w:r w:rsidR="00095427" w:rsidRPr="00E772BE">
        <w:rPr>
          <w:rFonts w:ascii="Times New Roman" w:hAnsi="Times New Roman" w:cs="Times New Roman"/>
        </w:rPr>
        <w:t>s statistical claims about the influence of EU law</w:t>
      </w:r>
      <w:r w:rsidR="00797ABC" w:rsidRPr="00E772BE">
        <w:rPr>
          <w:rFonts w:ascii="Times New Roman" w:hAnsi="Times New Roman" w:cs="Times New Roman"/>
        </w:rPr>
        <w:t xml:space="preserve"> </w:t>
      </w:r>
      <w:r w:rsidR="0053407C" w:rsidRPr="00E772BE">
        <w:rPr>
          <w:rFonts w:ascii="Times New Roman" w:hAnsi="Times New Roman" w:cs="Times New Roman"/>
        </w:rPr>
        <w:t>up</w:t>
      </w:r>
      <w:r w:rsidR="00797ABC" w:rsidRPr="00E772BE">
        <w:rPr>
          <w:rFonts w:ascii="Times New Roman" w:hAnsi="Times New Roman" w:cs="Times New Roman"/>
        </w:rPr>
        <w:t>on the UK in general, and the</w:t>
      </w:r>
      <w:r w:rsidR="00095427" w:rsidRPr="00E772BE">
        <w:rPr>
          <w:rFonts w:ascii="Times New Roman" w:hAnsi="Times New Roman" w:cs="Times New Roman"/>
        </w:rPr>
        <w:t xml:space="preserve"> </w:t>
      </w:r>
      <w:r w:rsidR="00797ABC" w:rsidRPr="00E772BE">
        <w:rPr>
          <w:rFonts w:ascii="Times New Roman" w:hAnsi="Times New Roman" w:cs="Times New Roman"/>
        </w:rPr>
        <w:t xml:space="preserve">“definitive” </w:t>
      </w:r>
      <w:r w:rsidR="0053407C" w:rsidRPr="00E772BE">
        <w:rPr>
          <w:rFonts w:ascii="Times New Roman" w:hAnsi="Times New Roman" w:cs="Times New Roman"/>
        </w:rPr>
        <w:t xml:space="preserve">Business for Britain </w:t>
      </w:r>
      <w:r w:rsidR="00095427" w:rsidRPr="00E772BE">
        <w:rPr>
          <w:rFonts w:ascii="Times New Roman" w:hAnsi="Times New Roman" w:cs="Times New Roman"/>
        </w:rPr>
        <w:t xml:space="preserve">report in particular, as </w:t>
      </w:r>
      <w:r w:rsidR="0053407C" w:rsidRPr="00E772BE">
        <w:rPr>
          <w:rFonts w:ascii="Times New Roman" w:hAnsi="Times New Roman" w:cs="Times New Roman"/>
        </w:rPr>
        <w:t xml:space="preserve">an </w:t>
      </w:r>
      <w:r w:rsidR="00095427" w:rsidRPr="00E772BE">
        <w:rPr>
          <w:rFonts w:ascii="Times New Roman" w:hAnsi="Times New Roman" w:cs="Times New Roman"/>
        </w:rPr>
        <w:t>example of the</w:t>
      </w:r>
      <w:r w:rsidR="00797ABC" w:rsidRPr="00E772BE">
        <w:rPr>
          <w:rFonts w:ascii="Times New Roman" w:hAnsi="Times New Roman" w:cs="Times New Roman"/>
        </w:rPr>
        <w:t>ir</w:t>
      </w:r>
      <w:r w:rsidR="00095427" w:rsidRPr="00E772BE">
        <w:rPr>
          <w:rFonts w:ascii="Times New Roman" w:hAnsi="Times New Roman" w:cs="Times New Roman"/>
        </w:rPr>
        <w:t xml:space="preserve"> incompetent and </w:t>
      </w:r>
      <w:r w:rsidR="00797ABC" w:rsidRPr="00E772BE">
        <w:rPr>
          <w:rFonts w:ascii="Times New Roman" w:hAnsi="Times New Roman" w:cs="Times New Roman"/>
        </w:rPr>
        <w:t xml:space="preserve">/ or </w:t>
      </w:r>
      <w:r w:rsidR="00095427" w:rsidRPr="00E772BE">
        <w:rPr>
          <w:rFonts w:ascii="Times New Roman" w:hAnsi="Times New Roman" w:cs="Times New Roman"/>
        </w:rPr>
        <w:t>misleading abuse of legal concepts and legal material for ideological purposes.</w:t>
      </w:r>
      <w:r w:rsidR="0053407C" w:rsidRPr="00E772BE">
        <w:rPr>
          <w:rFonts w:ascii="Times New Roman" w:hAnsi="Times New Roman" w:cs="Times New Roman"/>
        </w:rPr>
        <w:t xml:space="preserve">  </w:t>
      </w:r>
      <w:r w:rsidR="00E36CE7" w:rsidRPr="00E772BE">
        <w:rPr>
          <w:rFonts w:ascii="Times New Roman" w:hAnsi="Times New Roman" w:cs="Times New Roman"/>
        </w:rPr>
        <w:t xml:space="preserve">But </w:t>
      </w:r>
      <w:r w:rsidR="0053407C" w:rsidRPr="00E772BE">
        <w:rPr>
          <w:rFonts w:ascii="Times New Roman" w:hAnsi="Times New Roman" w:cs="Times New Roman"/>
        </w:rPr>
        <w:t xml:space="preserve">even if those claims were especially prominent and apparently influential, they remain far </w:t>
      </w:r>
      <w:r w:rsidR="00E36CE7" w:rsidRPr="00E772BE">
        <w:rPr>
          <w:rFonts w:ascii="Times New Roman" w:hAnsi="Times New Roman" w:cs="Times New Roman"/>
        </w:rPr>
        <w:t xml:space="preserve">from the only </w:t>
      </w:r>
      <w:r w:rsidR="0053407C" w:rsidRPr="00E772BE">
        <w:rPr>
          <w:rFonts w:ascii="Times New Roman" w:hAnsi="Times New Roman" w:cs="Times New Roman"/>
        </w:rPr>
        <w:t xml:space="preserve">such </w:t>
      </w:r>
      <w:r w:rsidR="00E36CE7" w:rsidRPr="00E772BE">
        <w:rPr>
          <w:rFonts w:ascii="Times New Roman" w:hAnsi="Times New Roman" w:cs="Times New Roman"/>
        </w:rPr>
        <w:t xml:space="preserve">example. </w:t>
      </w:r>
      <w:r w:rsidR="0053407C" w:rsidRPr="00E772BE">
        <w:rPr>
          <w:rFonts w:ascii="Times New Roman" w:hAnsi="Times New Roman" w:cs="Times New Roman"/>
        </w:rPr>
        <w:t xml:space="preserve"> </w:t>
      </w:r>
      <w:r w:rsidR="00E36CE7" w:rsidRPr="00E772BE">
        <w:rPr>
          <w:rFonts w:ascii="Times New Roman" w:hAnsi="Times New Roman" w:cs="Times New Roman"/>
        </w:rPr>
        <w:t xml:space="preserve">On </w:t>
      </w:r>
      <w:r w:rsidR="0053407C" w:rsidRPr="00E772BE">
        <w:rPr>
          <w:rFonts w:ascii="Times New Roman" w:hAnsi="Times New Roman" w:cs="Times New Roman"/>
        </w:rPr>
        <w:t xml:space="preserve">virtually </w:t>
      </w:r>
      <w:r w:rsidR="00E36CE7" w:rsidRPr="00E772BE">
        <w:rPr>
          <w:rFonts w:ascii="Times New Roman" w:hAnsi="Times New Roman" w:cs="Times New Roman"/>
        </w:rPr>
        <w:t>every key issue</w:t>
      </w:r>
      <w:r w:rsidR="0053407C" w:rsidRPr="00E772BE">
        <w:rPr>
          <w:rFonts w:ascii="Times New Roman" w:hAnsi="Times New Roman" w:cs="Times New Roman"/>
        </w:rPr>
        <w:t xml:space="preserve">, Leave’s </w:t>
      </w:r>
      <w:r w:rsidR="00E36CE7" w:rsidRPr="00E772BE">
        <w:rPr>
          <w:rFonts w:ascii="Times New Roman" w:hAnsi="Times New Roman" w:cs="Times New Roman"/>
        </w:rPr>
        <w:t xml:space="preserve">arguments were at best highly selective; in some cases seriously distorted; </w:t>
      </w:r>
      <w:r w:rsidR="0053407C" w:rsidRPr="00E772BE">
        <w:rPr>
          <w:rFonts w:ascii="Times New Roman" w:hAnsi="Times New Roman" w:cs="Times New Roman"/>
        </w:rPr>
        <w:t xml:space="preserve">and </w:t>
      </w:r>
      <w:r w:rsidR="00E36CE7" w:rsidRPr="00E772BE">
        <w:rPr>
          <w:rFonts w:ascii="Times New Roman" w:hAnsi="Times New Roman" w:cs="Times New Roman"/>
        </w:rPr>
        <w:t>in many situations, they consisted of outright fabrications.</w:t>
      </w:r>
      <w:r w:rsidR="0053407C" w:rsidRPr="00E772BE">
        <w:rPr>
          <w:rFonts w:ascii="Times New Roman" w:hAnsi="Times New Roman" w:cs="Times New Roman"/>
        </w:rPr>
        <w:t xml:space="preserve">  </w:t>
      </w:r>
      <w:r w:rsidR="001550B0">
        <w:rPr>
          <w:rFonts w:ascii="Times New Roman" w:hAnsi="Times New Roman" w:cs="Times New Roman"/>
        </w:rPr>
        <w:t>Those researchers who sought to challenge them were often subjected to a barrage of abuse.</w:t>
      </w:r>
      <w:r w:rsidR="001550B0">
        <w:rPr>
          <w:rStyle w:val="FootnoteReference"/>
          <w:rFonts w:ascii="Times New Roman" w:hAnsi="Times New Roman" w:cs="Times New Roman"/>
        </w:rPr>
        <w:footnoteReference w:id="25"/>
      </w:r>
      <w:r w:rsidR="001550B0">
        <w:rPr>
          <w:rFonts w:ascii="Times New Roman" w:hAnsi="Times New Roman" w:cs="Times New Roman"/>
        </w:rPr>
        <w:t xml:space="preserve">  And u</w:t>
      </w:r>
      <w:r w:rsidR="00E36CE7" w:rsidRPr="00E772BE">
        <w:rPr>
          <w:rFonts w:ascii="Times New Roman" w:hAnsi="Times New Roman" w:cs="Times New Roman"/>
        </w:rPr>
        <w:t xml:space="preserve">nfortunately, we still see the influence of that dishonesty at work today – only now, it is represented at the highest levels of Government – indeed, it has effectively dictated the contents of the White Paper of </w:t>
      </w:r>
      <w:r w:rsidR="0053407C" w:rsidRPr="00E772BE">
        <w:rPr>
          <w:rFonts w:ascii="Times New Roman" w:hAnsi="Times New Roman" w:cs="Times New Roman"/>
        </w:rPr>
        <w:t xml:space="preserve">February </w:t>
      </w:r>
      <w:r w:rsidR="00E36CE7" w:rsidRPr="00E772BE">
        <w:rPr>
          <w:rFonts w:ascii="Times New Roman" w:hAnsi="Times New Roman" w:cs="Times New Roman"/>
        </w:rPr>
        <w:t xml:space="preserve">2017 setting out the UK Government’s negotiating position in relation to our future relations with the EU.  And </w:t>
      </w:r>
      <w:r w:rsidR="0053407C" w:rsidRPr="00E772BE">
        <w:rPr>
          <w:rFonts w:ascii="Times New Roman" w:hAnsi="Times New Roman" w:cs="Times New Roman"/>
        </w:rPr>
        <w:t xml:space="preserve">nor should one </w:t>
      </w:r>
      <w:r w:rsidR="00E36CE7" w:rsidRPr="00E772BE">
        <w:rPr>
          <w:rFonts w:ascii="Times New Roman" w:hAnsi="Times New Roman" w:cs="Times New Roman"/>
        </w:rPr>
        <w:t xml:space="preserve">forget that this </w:t>
      </w:r>
      <w:r w:rsidR="0053407C" w:rsidRPr="00E772BE">
        <w:rPr>
          <w:rFonts w:ascii="Times New Roman" w:hAnsi="Times New Roman" w:cs="Times New Roman"/>
        </w:rPr>
        <w:t xml:space="preserve">is not </w:t>
      </w:r>
      <w:r w:rsidR="00E36CE7" w:rsidRPr="00E772BE">
        <w:rPr>
          <w:rFonts w:ascii="Times New Roman" w:hAnsi="Times New Roman" w:cs="Times New Roman"/>
        </w:rPr>
        <w:t xml:space="preserve">just about the EU.  There is a depressing correlation between some of the leading Europhobes and other anti-rational, anti-scientific bigotries </w:t>
      </w:r>
      <w:r w:rsidR="0053407C" w:rsidRPr="00E772BE">
        <w:rPr>
          <w:rFonts w:ascii="Times New Roman" w:hAnsi="Times New Roman" w:cs="Times New Roman"/>
        </w:rPr>
        <w:t>(</w:t>
      </w:r>
      <w:r w:rsidR="00E36CE7" w:rsidRPr="00E772BE">
        <w:rPr>
          <w:rFonts w:ascii="Times New Roman" w:hAnsi="Times New Roman" w:cs="Times New Roman"/>
        </w:rPr>
        <w:t>such as climate change denial</w:t>
      </w:r>
      <w:r w:rsidR="0053407C" w:rsidRPr="00E772BE">
        <w:rPr>
          <w:rFonts w:ascii="Times New Roman" w:hAnsi="Times New Roman" w:cs="Times New Roman"/>
        </w:rPr>
        <w:t xml:space="preserve">) </w:t>
      </w:r>
      <w:r w:rsidR="00E36CE7" w:rsidRPr="00E772BE">
        <w:rPr>
          <w:rFonts w:ascii="Times New Roman" w:hAnsi="Times New Roman" w:cs="Times New Roman"/>
        </w:rPr>
        <w:t xml:space="preserve">and indeed their support for various regressive socio-economic preferences </w:t>
      </w:r>
      <w:r w:rsidR="0053407C" w:rsidRPr="00E772BE">
        <w:rPr>
          <w:rFonts w:ascii="Times New Roman" w:hAnsi="Times New Roman" w:cs="Times New Roman"/>
        </w:rPr>
        <w:t xml:space="preserve">(from the </w:t>
      </w:r>
      <w:r w:rsidR="00797ABC" w:rsidRPr="00E772BE">
        <w:rPr>
          <w:rFonts w:ascii="Times New Roman" w:hAnsi="Times New Roman" w:cs="Times New Roman"/>
        </w:rPr>
        <w:t>return</w:t>
      </w:r>
      <w:r w:rsidR="00E36CE7" w:rsidRPr="00E772BE">
        <w:rPr>
          <w:rFonts w:ascii="Times New Roman" w:hAnsi="Times New Roman" w:cs="Times New Roman"/>
        </w:rPr>
        <w:t xml:space="preserve"> </w:t>
      </w:r>
      <w:r w:rsidR="00797ABC" w:rsidRPr="00E772BE">
        <w:rPr>
          <w:rFonts w:ascii="Times New Roman" w:hAnsi="Times New Roman" w:cs="Times New Roman"/>
        </w:rPr>
        <w:t xml:space="preserve">of </w:t>
      </w:r>
      <w:r w:rsidR="0053407C" w:rsidRPr="00E772BE">
        <w:rPr>
          <w:rFonts w:ascii="Times New Roman" w:hAnsi="Times New Roman" w:cs="Times New Roman"/>
        </w:rPr>
        <w:t>capital punishment</w:t>
      </w:r>
      <w:r w:rsidR="00E36CE7" w:rsidRPr="00E772BE">
        <w:rPr>
          <w:rFonts w:ascii="Times New Roman" w:hAnsi="Times New Roman" w:cs="Times New Roman"/>
        </w:rPr>
        <w:t xml:space="preserve"> </w:t>
      </w:r>
      <w:r w:rsidR="0053407C" w:rsidRPr="00E772BE">
        <w:rPr>
          <w:rFonts w:ascii="Times New Roman" w:hAnsi="Times New Roman" w:cs="Times New Roman"/>
        </w:rPr>
        <w:t xml:space="preserve">to </w:t>
      </w:r>
      <w:r w:rsidR="00E36CE7" w:rsidRPr="00E772BE">
        <w:rPr>
          <w:rFonts w:ascii="Times New Roman" w:hAnsi="Times New Roman" w:cs="Times New Roman"/>
        </w:rPr>
        <w:t xml:space="preserve">the dismissal of employment legislation as </w:t>
      </w:r>
      <w:r w:rsidR="0053407C" w:rsidRPr="00E772BE">
        <w:rPr>
          <w:rFonts w:ascii="Times New Roman" w:hAnsi="Times New Roman" w:cs="Times New Roman"/>
        </w:rPr>
        <w:t>“</w:t>
      </w:r>
      <w:r w:rsidR="00E36CE7" w:rsidRPr="00E772BE">
        <w:rPr>
          <w:rFonts w:ascii="Times New Roman" w:hAnsi="Times New Roman" w:cs="Times New Roman"/>
        </w:rPr>
        <w:t>red tape</w:t>
      </w:r>
      <w:r w:rsidR="0053407C" w:rsidRPr="00E772BE">
        <w:rPr>
          <w:rFonts w:ascii="Times New Roman" w:hAnsi="Times New Roman" w:cs="Times New Roman"/>
        </w:rPr>
        <w:t xml:space="preserve">”).  That should impress upon all academic and scientific colleagues an </w:t>
      </w:r>
      <w:r w:rsidR="00E36CE7" w:rsidRPr="00E772BE">
        <w:rPr>
          <w:rFonts w:ascii="Times New Roman" w:hAnsi="Times New Roman" w:cs="Times New Roman"/>
        </w:rPr>
        <w:t>important lesson for the future: we should</w:t>
      </w:r>
      <w:r w:rsidR="0053407C" w:rsidRPr="00E772BE">
        <w:rPr>
          <w:rFonts w:ascii="Times New Roman" w:hAnsi="Times New Roman" w:cs="Times New Roman"/>
        </w:rPr>
        <w:t xml:space="preserve"> not </w:t>
      </w:r>
      <w:r w:rsidR="00E36CE7" w:rsidRPr="00E772BE">
        <w:rPr>
          <w:rFonts w:ascii="Times New Roman" w:hAnsi="Times New Roman" w:cs="Times New Roman"/>
        </w:rPr>
        <w:t>stand idly by and watch our national future be so easily hijacked</w:t>
      </w:r>
      <w:r w:rsidR="0053407C" w:rsidRPr="00E772BE">
        <w:rPr>
          <w:rFonts w:ascii="Times New Roman" w:hAnsi="Times New Roman" w:cs="Times New Roman"/>
        </w:rPr>
        <w:t>,</w:t>
      </w:r>
      <w:r w:rsidR="00E36CE7" w:rsidRPr="00E772BE">
        <w:rPr>
          <w:rFonts w:ascii="Times New Roman" w:hAnsi="Times New Roman" w:cs="Times New Roman"/>
        </w:rPr>
        <w:t xml:space="preserve"> </w:t>
      </w:r>
      <w:r w:rsidR="0053407C" w:rsidRPr="00E772BE">
        <w:rPr>
          <w:rFonts w:ascii="Times New Roman" w:hAnsi="Times New Roman" w:cs="Times New Roman"/>
        </w:rPr>
        <w:t xml:space="preserve">in particular, </w:t>
      </w:r>
      <w:r w:rsidR="00E36CE7" w:rsidRPr="00E772BE">
        <w:rPr>
          <w:rFonts w:ascii="Times New Roman" w:hAnsi="Times New Roman" w:cs="Times New Roman"/>
        </w:rPr>
        <w:t>by faux research which is deliberately manufactured so as to advance its own ideological predispositions</w:t>
      </w:r>
      <w:r w:rsidR="0053407C" w:rsidRPr="00E772BE">
        <w:rPr>
          <w:rFonts w:ascii="Times New Roman" w:hAnsi="Times New Roman" w:cs="Times New Roman"/>
        </w:rPr>
        <w:t xml:space="preserve">.  </w:t>
      </w:r>
    </w:p>
    <w:p w14:paraId="3746F7F3" w14:textId="77777777" w:rsidR="00451F26" w:rsidRPr="00E772BE" w:rsidRDefault="00451F26" w:rsidP="008B14B2">
      <w:pPr>
        <w:jc w:val="both"/>
        <w:rPr>
          <w:rFonts w:ascii="Times New Roman" w:hAnsi="Times New Roman" w:cs="Times New Roman"/>
        </w:rPr>
      </w:pPr>
    </w:p>
    <w:p w14:paraId="38A30483" w14:textId="77777777" w:rsidR="00451F26" w:rsidRPr="00E772BE" w:rsidRDefault="00451F26" w:rsidP="008B14B2">
      <w:pPr>
        <w:jc w:val="both"/>
        <w:rPr>
          <w:rFonts w:ascii="Times New Roman" w:hAnsi="Times New Roman" w:cs="Times New Roman"/>
        </w:rPr>
      </w:pPr>
    </w:p>
    <w:p w14:paraId="60F0EA42" w14:textId="77777777" w:rsidR="00451F26" w:rsidRPr="00E772BE" w:rsidRDefault="00451F26" w:rsidP="008B14B2">
      <w:pPr>
        <w:jc w:val="both"/>
        <w:rPr>
          <w:rFonts w:ascii="Times New Roman" w:hAnsi="Times New Roman" w:cs="Times New Roman"/>
        </w:rPr>
      </w:pPr>
    </w:p>
    <w:p w14:paraId="1557C98F" w14:textId="63DC35C9" w:rsidR="00451F26" w:rsidRPr="00E772BE" w:rsidRDefault="00451F26">
      <w:pPr>
        <w:rPr>
          <w:rFonts w:ascii="Times New Roman" w:hAnsi="Times New Roman" w:cs="Times New Roman"/>
        </w:rPr>
      </w:pPr>
      <w:r w:rsidRPr="00E772BE">
        <w:rPr>
          <w:rFonts w:ascii="Times New Roman" w:hAnsi="Times New Roman" w:cs="Times New Roman"/>
        </w:rPr>
        <w:br w:type="page"/>
      </w:r>
    </w:p>
    <w:p w14:paraId="71D3C2C7" w14:textId="1AFE9F98" w:rsidR="00451F26" w:rsidRPr="00E772BE" w:rsidRDefault="00451F26" w:rsidP="00451F26">
      <w:pPr>
        <w:jc w:val="both"/>
        <w:rPr>
          <w:rFonts w:ascii="Times New Roman" w:hAnsi="Times New Roman" w:cs="Times New Roman"/>
          <w:color w:val="2A2A2A"/>
          <w:lang w:val="en-US"/>
        </w:rPr>
      </w:pPr>
      <w:r w:rsidRPr="00E772BE">
        <w:rPr>
          <w:rFonts w:ascii="Times New Roman" w:hAnsi="Times New Roman" w:cs="Times New Roman"/>
        </w:rPr>
        <w:t xml:space="preserve">Table 1: </w:t>
      </w:r>
      <w:hyperlink r:id="rId14" w:history="1">
        <w:r w:rsidRPr="00E772BE">
          <w:rPr>
            <w:rFonts w:ascii="Times New Roman" w:hAnsi="Times New Roman" w:cs="Times New Roman"/>
            <w:u w:color="0A5287"/>
            <w:lang w:val="en-US"/>
          </w:rPr>
          <w:t xml:space="preserve">Business for Britain, </w:t>
        </w:r>
      </w:hyperlink>
      <w:r w:rsidRPr="00E772BE">
        <w:rPr>
          <w:rFonts w:ascii="Times New Roman" w:hAnsi="Times New Roman" w:cs="Times New Roman"/>
          <w:i/>
        </w:rPr>
        <w:t>The EU’s influence over British Law: The Definitive Answer</w:t>
      </w:r>
      <w:r w:rsidRPr="00E772BE">
        <w:rPr>
          <w:rFonts w:ascii="Times New Roman" w:hAnsi="Times New Roman" w:cs="Times New Roman"/>
        </w:rPr>
        <w:t xml:space="preserve"> (</w:t>
      </w:r>
      <w:r w:rsidRPr="00E772BE">
        <w:rPr>
          <w:rFonts w:ascii="Times New Roman" w:hAnsi="Times New Roman" w:cs="Times New Roman"/>
          <w:color w:val="2A2A2A"/>
          <w:lang w:val="en-US"/>
        </w:rPr>
        <w:t>March 2015): between 1993 and 2014, 64.7% of UK law was EU-influenced; in particular, EU regulations accounted for 59.3% of all UK law.</w:t>
      </w:r>
    </w:p>
    <w:p w14:paraId="415D27BC" w14:textId="77777777" w:rsidR="00451F26" w:rsidRPr="00E772BE" w:rsidRDefault="00451F26" w:rsidP="00451F26">
      <w:pPr>
        <w:spacing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3227"/>
        <w:gridCol w:w="2835"/>
        <w:gridCol w:w="2454"/>
      </w:tblGrid>
      <w:tr w:rsidR="00451F26" w:rsidRPr="00E772BE" w14:paraId="1BDF8D5C" w14:textId="77777777" w:rsidTr="006B15A8">
        <w:tc>
          <w:tcPr>
            <w:tcW w:w="3227" w:type="dxa"/>
          </w:tcPr>
          <w:p w14:paraId="2DCA388E" w14:textId="77777777" w:rsidR="00451F26" w:rsidRPr="00E772BE" w:rsidRDefault="00451F26" w:rsidP="006B15A8">
            <w:pPr>
              <w:spacing w:line="360" w:lineRule="auto"/>
              <w:jc w:val="both"/>
              <w:rPr>
                <w:rFonts w:ascii="Times New Roman" w:hAnsi="Times New Roman" w:cs="Times New Roman"/>
                <w:b/>
              </w:rPr>
            </w:pPr>
          </w:p>
        </w:tc>
        <w:tc>
          <w:tcPr>
            <w:tcW w:w="2835" w:type="dxa"/>
          </w:tcPr>
          <w:p w14:paraId="41E87095" w14:textId="77777777" w:rsidR="00451F26" w:rsidRPr="00E772BE" w:rsidRDefault="00451F26" w:rsidP="006B15A8">
            <w:pPr>
              <w:spacing w:line="360" w:lineRule="auto"/>
              <w:jc w:val="center"/>
              <w:rPr>
                <w:rFonts w:ascii="Times New Roman" w:hAnsi="Times New Roman" w:cs="Times New Roman"/>
                <w:b/>
              </w:rPr>
            </w:pPr>
            <w:r w:rsidRPr="00E772BE">
              <w:rPr>
                <w:rFonts w:ascii="Times New Roman" w:hAnsi="Times New Roman" w:cs="Times New Roman"/>
                <w:b/>
              </w:rPr>
              <w:t>Absolute Numbers</w:t>
            </w:r>
          </w:p>
        </w:tc>
        <w:tc>
          <w:tcPr>
            <w:tcW w:w="2454" w:type="dxa"/>
          </w:tcPr>
          <w:p w14:paraId="0D33EB89" w14:textId="77777777" w:rsidR="00451F26" w:rsidRPr="00E772BE" w:rsidRDefault="00451F26" w:rsidP="006B15A8">
            <w:pPr>
              <w:spacing w:line="360" w:lineRule="auto"/>
              <w:jc w:val="center"/>
              <w:rPr>
                <w:rFonts w:ascii="Times New Roman" w:hAnsi="Times New Roman" w:cs="Times New Roman"/>
                <w:b/>
              </w:rPr>
            </w:pPr>
            <w:r w:rsidRPr="00E772BE">
              <w:rPr>
                <w:rFonts w:ascii="Times New Roman" w:hAnsi="Times New Roman" w:cs="Times New Roman"/>
                <w:b/>
              </w:rPr>
              <w:t>% of Total</w:t>
            </w:r>
          </w:p>
        </w:tc>
      </w:tr>
      <w:tr w:rsidR="00451F26" w:rsidRPr="00E772BE" w14:paraId="11C11180" w14:textId="77777777" w:rsidTr="006B15A8">
        <w:tc>
          <w:tcPr>
            <w:tcW w:w="3227" w:type="dxa"/>
          </w:tcPr>
          <w:p w14:paraId="6A3ECACD" w14:textId="77777777" w:rsidR="00451F26" w:rsidRPr="00E772BE" w:rsidRDefault="00451F26" w:rsidP="006B15A8">
            <w:pPr>
              <w:spacing w:line="360" w:lineRule="auto"/>
              <w:rPr>
                <w:rFonts w:ascii="Times New Roman" w:hAnsi="Times New Roman" w:cs="Times New Roman"/>
                <w:b/>
              </w:rPr>
            </w:pPr>
            <w:r w:rsidRPr="00E772BE">
              <w:rPr>
                <w:rFonts w:ascii="Times New Roman" w:hAnsi="Times New Roman" w:cs="Times New Roman"/>
                <w:b/>
              </w:rPr>
              <w:t>All acts</w:t>
            </w:r>
          </w:p>
          <w:p w14:paraId="05F70626" w14:textId="77777777" w:rsidR="00451F26" w:rsidRPr="00E772BE" w:rsidRDefault="00451F26" w:rsidP="006B15A8">
            <w:pPr>
              <w:spacing w:line="360" w:lineRule="auto"/>
              <w:rPr>
                <w:rFonts w:ascii="Times New Roman" w:hAnsi="Times New Roman" w:cs="Times New Roman"/>
                <w:i/>
              </w:rPr>
            </w:pPr>
            <w:r w:rsidRPr="00E772BE">
              <w:rPr>
                <w:rFonts w:ascii="Times New Roman" w:hAnsi="Times New Roman" w:cs="Times New Roman"/>
                <w:i/>
              </w:rPr>
              <w:t>of which:</w:t>
            </w:r>
          </w:p>
        </w:tc>
        <w:tc>
          <w:tcPr>
            <w:tcW w:w="2835" w:type="dxa"/>
          </w:tcPr>
          <w:p w14:paraId="70B393F4" w14:textId="77777777" w:rsidR="00451F26" w:rsidRPr="00E772BE" w:rsidRDefault="00451F26" w:rsidP="006B15A8">
            <w:pPr>
              <w:spacing w:line="360" w:lineRule="auto"/>
              <w:jc w:val="center"/>
              <w:rPr>
                <w:rFonts w:ascii="Times New Roman" w:hAnsi="Times New Roman" w:cs="Times New Roman"/>
                <w:b/>
              </w:rPr>
            </w:pPr>
            <w:r w:rsidRPr="00E772BE">
              <w:rPr>
                <w:rFonts w:ascii="Times New Roman" w:hAnsi="Times New Roman" w:cs="Times New Roman"/>
                <w:b/>
              </w:rPr>
              <w:t>83,804</w:t>
            </w:r>
          </w:p>
        </w:tc>
        <w:tc>
          <w:tcPr>
            <w:tcW w:w="2454" w:type="dxa"/>
          </w:tcPr>
          <w:p w14:paraId="343FE1AA" w14:textId="77777777" w:rsidR="00451F26" w:rsidRPr="00E772BE" w:rsidRDefault="00451F26" w:rsidP="006B15A8">
            <w:pPr>
              <w:spacing w:line="360" w:lineRule="auto"/>
              <w:jc w:val="center"/>
              <w:rPr>
                <w:rFonts w:ascii="Times New Roman" w:hAnsi="Times New Roman" w:cs="Times New Roman"/>
                <w:b/>
              </w:rPr>
            </w:pPr>
            <w:r w:rsidRPr="00E772BE">
              <w:rPr>
                <w:rFonts w:ascii="Times New Roman" w:hAnsi="Times New Roman" w:cs="Times New Roman"/>
                <w:b/>
              </w:rPr>
              <w:t>100</w:t>
            </w:r>
          </w:p>
        </w:tc>
      </w:tr>
      <w:tr w:rsidR="00451F26" w:rsidRPr="00E772BE" w14:paraId="53CA8309" w14:textId="77777777" w:rsidTr="006B15A8">
        <w:tc>
          <w:tcPr>
            <w:tcW w:w="3227" w:type="dxa"/>
          </w:tcPr>
          <w:p w14:paraId="36C90DB4" w14:textId="77777777" w:rsidR="00451F26" w:rsidRPr="00E772BE" w:rsidRDefault="00451F26" w:rsidP="006B15A8">
            <w:pPr>
              <w:spacing w:line="360" w:lineRule="auto"/>
              <w:rPr>
                <w:rFonts w:ascii="Times New Roman" w:hAnsi="Times New Roman" w:cs="Times New Roman"/>
              </w:rPr>
            </w:pPr>
            <w:r w:rsidRPr="00E772BE">
              <w:rPr>
                <w:rFonts w:ascii="Times New Roman" w:hAnsi="Times New Roman" w:cs="Times New Roman"/>
              </w:rPr>
              <w:t xml:space="preserve">EU regulations </w:t>
            </w:r>
          </w:p>
        </w:tc>
        <w:tc>
          <w:tcPr>
            <w:tcW w:w="2835" w:type="dxa"/>
          </w:tcPr>
          <w:p w14:paraId="5A1F80B0" w14:textId="77777777" w:rsidR="00451F26" w:rsidRPr="00E772BE" w:rsidRDefault="00451F26" w:rsidP="006B15A8">
            <w:pPr>
              <w:spacing w:line="360" w:lineRule="auto"/>
              <w:jc w:val="center"/>
              <w:rPr>
                <w:rFonts w:ascii="Times New Roman" w:hAnsi="Times New Roman" w:cs="Times New Roman"/>
              </w:rPr>
            </w:pPr>
            <w:r w:rsidRPr="00E772BE">
              <w:rPr>
                <w:rFonts w:ascii="Times New Roman" w:hAnsi="Times New Roman" w:cs="Times New Roman"/>
              </w:rPr>
              <w:t>49,699</w:t>
            </w:r>
          </w:p>
        </w:tc>
        <w:tc>
          <w:tcPr>
            <w:tcW w:w="2454" w:type="dxa"/>
          </w:tcPr>
          <w:p w14:paraId="0598D907" w14:textId="77777777" w:rsidR="00451F26" w:rsidRPr="00E772BE" w:rsidRDefault="00451F26" w:rsidP="006B15A8">
            <w:pPr>
              <w:spacing w:line="360" w:lineRule="auto"/>
              <w:jc w:val="center"/>
              <w:rPr>
                <w:rFonts w:ascii="Times New Roman" w:hAnsi="Times New Roman" w:cs="Times New Roman"/>
              </w:rPr>
            </w:pPr>
            <w:r w:rsidRPr="00E772BE">
              <w:rPr>
                <w:rFonts w:ascii="Times New Roman" w:hAnsi="Times New Roman" w:cs="Times New Roman"/>
              </w:rPr>
              <w:t>59.3</w:t>
            </w:r>
          </w:p>
        </w:tc>
      </w:tr>
      <w:tr w:rsidR="00451F26" w:rsidRPr="00E772BE" w14:paraId="6F031238" w14:textId="77777777" w:rsidTr="006B15A8">
        <w:tc>
          <w:tcPr>
            <w:tcW w:w="3227" w:type="dxa"/>
          </w:tcPr>
          <w:p w14:paraId="1B11D187" w14:textId="77777777" w:rsidR="00451F26" w:rsidRPr="00E772BE" w:rsidRDefault="00451F26" w:rsidP="006B15A8">
            <w:pPr>
              <w:spacing w:line="360" w:lineRule="auto"/>
              <w:rPr>
                <w:rFonts w:ascii="Times New Roman" w:hAnsi="Times New Roman" w:cs="Times New Roman"/>
              </w:rPr>
            </w:pPr>
            <w:r w:rsidRPr="00E772BE">
              <w:rPr>
                <w:rFonts w:ascii="Times New Roman" w:hAnsi="Times New Roman" w:cs="Times New Roman"/>
              </w:rPr>
              <w:t xml:space="preserve">UK primary and secondary acts implementing EU directives </w:t>
            </w:r>
          </w:p>
        </w:tc>
        <w:tc>
          <w:tcPr>
            <w:tcW w:w="2835" w:type="dxa"/>
          </w:tcPr>
          <w:p w14:paraId="159FF90B" w14:textId="77777777" w:rsidR="00451F26" w:rsidRPr="00E772BE" w:rsidRDefault="00451F26" w:rsidP="006B15A8">
            <w:pPr>
              <w:spacing w:line="360" w:lineRule="auto"/>
              <w:jc w:val="center"/>
              <w:rPr>
                <w:rFonts w:ascii="Times New Roman" w:hAnsi="Times New Roman" w:cs="Times New Roman"/>
              </w:rPr>
            </w:pPr>
            <w:r w:rsidRPr="00E772BE">
              <w:rPr>
                <w:rFonts w:ascii="Times New Roman" w:hAnsi="Times New Roman" w:cs="Times New Roman"/>
              </w:rPr>
              <w:t>4,532</w:t>
            </w:r>
          </w:p>
        </w:tc>
        <w:tc>
          <w:tcPr>
            <w:tcW w:w="2454" w:type="dxa"/>
          </w:tcPr>
          <w:p w14:paraId="3521DC09" w14:textId="77777777" w:rsidR="00451F26" w:rsidRPr="00E772BE" w:rsidRDefault="00451F26" w:rsidP="006B15A8">
            <w:pPr>
              <w:spacing w:line="360" w:lineRule="auto"/>
              <w:jc w:val="center"/>
              <w:rPr>
                <w:rFonts w:ascii="Times New Roman" w:hAnsi="Times New Roman" w:cs="Times New Roman"/>
              </w:rPr>
            </w:pPr>
            <w:r w:rsidRPr="00E772BE">
              <w:rPr>
                <w:rFonts w:ascii="Times New Roman" w:hAnsi="Times New Roman" w:cs="Times New Roman"/>
              </w:rPr>
              <w:t>5.4</w:t>
            </w:r>
          </w:p>
        </w:tc>
      </w:tr>
      <w:tr w:rsidR="00451F26" w:rsidRPr="00E772BE" w14:paraId="7D611905" w14:textId="77777777" w:rsidTr="006B15A8">
        <w:tc>
          <w:tcPr>
            <w:tcW w:w="3227" w:type="dxa"/>
          </w:tcPr>
          <w:p w14:paraId="63DEDD16" w14:textId="77777777" w:rsidR="00451F26" w:rsidRPr="00E772BE" w:rsidRDefault="00451F26" w:rsidP="006B15A8">
            <w:pPr>
              <w:spacing w:line="360" w:lineRule="auto"/>
              <w:rPr>
                <w:rFonts w:ascii="Times New Roman" w:hAnsi="Times New Roman" w:cs="Times New Roman"/>
                <w:b/>
              </w:rPr>
            </w:pPr>
            <w:r w:rsidRPr="00E772BE">
              <w:rPr>
                <w:rFonts w:ascii="Times New Roman" w:hAnsi="Times New Roman" w:cs="Times New Roman"/>
                <w:b/>
              </w:rPr>
              <w:t xml:space="preserve">Combined “EU influenced” </w:t>
            </w:r>
          </w:p>
        </w:tc>
        <w:tc>
          <w:tcPr>
            <w:tcW w:w="2835" w:type="dxa"/>
          </w:tcPr>
          <w:p w14:paraId="77D480D0" w14:textId="77777777" w:rsidR="00451F26" w:rsidRPr="00E772BE" w:rsidRDefault="00451F26" w:rsidP="006B15A8">
            <w:pPr>
              <w:spacing w:line="360" w:lineRule="auto"/>
              <w:jc w:val="center"/>
              <w:rPr>
                <w:rFonts w:ascii="Times New Roman" w:hAnsi="Times New Roman" w:cs="Times New Roman"/>
                <w:b/>
              </w:rPr>
            </w:pPr>
            <w:r w:rsidRPr="00E772BE">
              <w:rPr>
                <w:rFonts w:ascii="Times New Roman" w:hAnsi="Times New Roman" w:cs="Times New Roman"/>
                <w:b/>
              </w:rPr>
              <w:t>54,231</w:t>
            </w:r>
          </w:p>
        </w:tc>
        <w:tc>
          <w:tcPr>
            <w:tcW w:w="2454" w:type="dxa"/>
          </w:tcPr>
          <w:p w14:paraId="2E5E9404" w14:textId="77777777" w:rsidR="00451F26" w:rsidRPr="00E772BE" w:rsidRDefault="00451F26" w:rsidP="006B15A8">
            <w:pPr>
              <w:spacing w:line="360" w:lineRule="auto"/>
              <w:jc w:val="center"/>
              <w:rPr>
                <w:rFonts w:ascii="Times New Roman" w:hAnsi="Times New Roman" w:cs="Times New Roman"/>
                <w:b/>
              </w:rPr>
            </w:pPr>
            <w:r w:rsidRPr="00E772BE">
              <w:rPr>
                <w:rFonts w:ascii="Times New Roman" w:hAnsi="Times New Roman" w:cs="Times New Roman"/>
                <w:b/>
              </w:rPr>
              <w:t>64.7</w:t>
            </w:r>
          </w:p>
        </w:tc>
      </w:tr>
      <w:tr w:rsidR="00451F26" w:rsidRPr="00E772BE" w14:paraId="178A92A3" w14:textId="77777777" w:rsidTr="006B15A8">
        <w:tc>
          <w:tcPr>
            <w:tcW w:w="3227" w:type="dxa"/>
          </w:tcPr>
          <w:p w14:paraId="1109BE2B" w14:textId="77777777" w:rsidR="00451F26" w:rsidRPr="00E772BE" w:rsidRDefault="00451F26" w:rsidP="006B15A8">
            <w:pPr>
              <w:spacing w:line="360" w:lineRule="auto"/>
              <w:rPr>
                <w:rFonts w:ascii="Times New Roman" w:hAnsi="Times New Roman" w:cs="Times New Roman"/>
                <w:b/>
              </w:rPr>
            </w:pPr>
            <w:r w:rsidRPr="00E772BE">
              <w:rPr>
                <w:rFonts w:ascii="Times New Roman" w:hAnsi="Times New Roman" w:cs="Times New Roman"/>
                <w:b/>
              </w:rPr>
              <w:t>“Pure” UK primary and secondary acts</w:t>
            </w:r>
          </w:p>
        </w:tc>
        <w:tc>
          <w:tcPr>
            <w:tcW w:w="2835" w:type="dxa"/>
          </w:tcPr>
          <w:p w14:paraId="3DD13A15" w14:textId="77777777" w:rsidR="00451F26" w:rsidRPr="00E772BE" w:rsidRDefault="00451F26" w:rsidP="006B15A8">
            <w:pPr>
              <w:spacing w:line="360" w:lineRule="auto"/>
              <w:jc w:val="center"/>
              <w:rPr>
                <w:rFonts w:ascii="Times New Roman" w:hAnsi="Times New Roman" w:cs="Times New Roman"/>
                <w:b/>
              </w:rPr>
            </w:pPr>
            <w:r w:rsidRPr="00E772BE">
              <w:rPr>
                <w:rFonts w:ascii="Times New Roman" w:hAnsi="Times New Roman" w:cs="Times New Roman"/>
                <w:b/>
              </w:rPr>
              <w:t>29,573</w:t>
            </w:r>
          </w:p>
        </w:tc>
        <w:tc>
          <w:tcPr>
            <w:tcW w:w="2454" w:type="dxa"/>
          </w:tcPr>
          <w:p w14:paraId="1EAE15E4" w14:textId="77777777" w:rsidR="00451F26" w:rsidRPr="00E772BE" w:rsidRDefault="00451F26" w:rsidP="006B15A8">
            <w:pPr>
              <w:spacing w:line="360" w:lineRule="auto"/>
              <w:jc w:val="center"/>
              <w:rPr>
                <w:rFonts w:ascii="Times New Roman" w:hAnsi="Times New Roman" w:cs="Times New Roman"/>
                <w:b/>
              </w:rPr>
            </w:pPr>
            <w:r w:rsidRPr="00E772BE">
              <w:rPr>
                <w:rFonts w:ascii="Times New Roman" w:hAnsi="Times New Roman" w:cs="Times New Roman"/>
                <w:b/>
              </w:rPr>
              <w:t>35.3</w:t>
            </w:r>
          </w:p>
        </w:tc>
      </w:tr>
    </w:tbl>
    <w:p w14:paraId="3A2843A4" w14:textId="77777777" w:rsidR="00451F26" w:rsidRPr="00E772BE" w:rsidRDefault="00451F26" w:rsidP="00451F26">
      <w:pPr>
        <w:spacing w:line="360" w:lineRule="auto"/>
        <w:jc w:val="both"/>
        <w:rPr>
          <w:rFonts w:ascii="Times New Roman" w:hAnsi="Times New Roman" w:cs="Times New Roman"/>
        </w:rPr>
      </w:pPr>
    </w:p>
    <w:p w14:paraId="79F91198" w14:textId="6A09E5F7" w:rsidR="00451F26" w:rsidRPr="00E772BE" w:rsidRDefault="00451F26" w:rsidP="00451F26">
      <w:pPr>
        <w:jc w:val="both"/>
        <w:rPr>
          <w:rFonts w:ascii="Times New Roman" w:hAnsi="Times New Roman" w:cs="Times New Roman"/>
        </w:rPr>
      </w:pPr>
      <w:r w:rsidRPr="00E772BE">
        <w:rPr>
          <w:rFonts w:ascii="Times New Roman" w:hAnsi="Times New Roman" w:cs="Times New Roman"/>
        </w:rPr>
        <w:t xml:space="preserve">Table 2: EU regulations published in </w:t>
      </w:r>
      <w:r w:rsidR="00114743" w:rsidRPr="00E772BE">
        <w:rPr>
          <w:rFonts w:ascii="Times New Roman" w:hAnsi="Times New Roman" w:cs="Times New Roman"/>
        </w:rPr>
        <w:t xml:space="preserve">the </w:t>
      </w:r>
      <w:r w:rsidRPr="00E772BE">
        <w:rPr>
          <w:rFonts w:ascii="Times New Roman" w:hAnsi="Times New Roman" w:cs="Times New Roman"/>
        </w:rPr>
        <w:t xml:space="preserve">Official Journal </w:t>
      </w:r>
      <w:r w:rsidR="00114743" w:rsidRPr="00E772BE">
        <w:rPr>
          <w:rFonts w:ascii="Times New Roman" w:hAnsi="Times New Roman" w:cs="Times New Roman"/>
        </w:rPr>
        <w:t xml:space="preserve">for </w:t>
      </w:r>
      <w:r w:rsidRPr="00E772BE">
        <w:rPr>
          <w:rFonts w:ascii="Times New Roman" w:hAnsi="Times New Roman" w:cs="Times New Roman"/>
        </w:rPr>
        <w:t>October 2015.</w:t>
      </w:r>
    </w:p>
    <w:p w14:paraId="1C8DBBE0" w14:textId="77777777" w:rsidR="00451F26" w:rsidRPr="00E772BE" w:rsidRDefault="00451F26" w:rsidP="00451F26">
      <w:pPr>
        <w:spacing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2439"/>
        <w:gridCol w:w="1798"/>
        <w:gridCol w:w="1485"/>
        <w:gridCol w:w="1469"/>
        <w:gridCol w:w="1325"/>
      </w:tblGrid>
      <w:tr w:rsidR="00451F26" w:rsidRPr="00E772BE" w14:paraId="2CE80444" w14:textId="77777777" w:rsidTr="006B15A8">
        <w:tc>
          <w:tcPr>
            <w:tcW w:w="2439" w:type="dxa"/>
          </w:tcPr>
          <w:p w14:paraId="046D4FA7" w14:textId="77777777" w:rsidR="00451F26" w:rsidRPr="00E772BE" w:rsidRDefault="00451F26" w:rsidP="006B15A8">
            <w:pPr>
              <w:spacing w:line="360" w:lineRule="auto"/>
              <w:jc w:val="both"/>
              <w:rPr>
                <w:rFonts w:ascii="Times New Roman" w:hAnsi="Times New Roman" w:cs="Times New Roman"/>
              </w:rPr>
            </w:pPr>
          </w:p>
        </w:tc>
        <w:tc>
          <w:tcPr>
            <w:tcW w:w="1798" w:type="dxa"/>
          </w:tcPr>
          <w:p w14:paraId="709573E2" w14:textId="77777777" w:rsidR="00451F26" w:rsidRPr="00E772BE" w:rsidRDefault="00451F26" w:rsidP="006B15A8">
            <w:pPr>
              <w:spacing w:line="360" w:lineRule="auto"/>
              <w:jc w:val="center"/>
              <w:rPr>
                <w:rFonts w:ascii="Times New Roman" w:hAnsi="Times New Roman" w:cs="Times New Roman"/>
                <w:b/>
              </w:rPr>
            </w:pPr>
            <w:r w:rsidRPr="00E772BE">
              <w:rPr>
                <w:rFonts w:ascii="Times New Roman" w:hAnsi="Times New Roman" w:cs="Times New Roman"/>
                <w:b/>
              </w:rPr>
              <w:t>Absolute Numbers</w:t>
            </w:r>
          </w:p>
        </w:tc>
        <w:tc>
          <w:tcPr>
            <w:tcW w:w="1485" w:type="dxa"/>
          </w:tcPr>
          <w:p w14:paraId="308BAA7A" w14:textId="77777777" w:rsidR="00451F26" w:rsidRPr="00E772BE" w:rsidRDefault="00451F26" w:rsidP="006B15A8">
            <w:pPr>
              <w:spacing w:line="360" w:lineRule="auto"/>
              <w:jc w:val="center"/>
              <w:rPr>
                <w:rFonts w:ascii="Times New Roman" w:hAnsi="Times New Roman" w:cs="Times New Roman"/>
                <w:b/>
              </w:rPr>
            </w:pPr>
            <w:r w:rsidRPr="00E772BE">
              <w:rPr>
                <w:rFonts w:ascii="Times New Roman" w:hAnsi="Times New Roman" w:cs="Times New Roman"/>
                <w:b/>
              </w:rPr>
              <w:t>% of Total</w:t>
            </w:r>
          </w:p>
        </w:tc>
        <w:tc>
          <w:tcPr>
            <w:tcW w:w="1469" w:type="dxa"/>
          </w:tcPr>
          <w:p w14:paraId="7917CA15" w14:textId="77777777" w:rsidR="00451F26" w:rsidRPr="00E772BE" w:rsidRDefault="00451F26" w:rsidP="006B15A8">
            <w:pPr>
              <w:spacing w:line="360" w:lineRule="auto"/>
              <w:jc w:val="center"/>
              <w:rPr>
                <w:rFonts w:ascii="Times New Roman" w:hAnsi="Times New Roman" w:cs="Times New Roman"/>
                <w:b/>
              </w:rPr>
            </w:pPr>
            <w:r w:rsidRPr="00E772BE">
              <w:rPr>
                <w:rFonts w:ascii="Times New Roman" w:hAnsi="Times New Roman" w:cs="Times New Roman"/>
                <w:b/>
              </w:rPr>
              <w:t>BfB style method?</w:t>
            </w:r>
          </w:p>
        </w:tc>
        <w:tc>
          <w:tcPr>
            <w:tcW w:w="1325" w:type="dxa"/>
          </w:tcPr>
          <w:p w14:paraId="20B07793" w14:textId="77777777" w:rsidR="00451F26" w:rsidRPr="00E772BE" w:rsidRDefault="00451F26" w:rsidP="006B15A8">
            <w:pPr>
              <w:spacing w:line="360" w:lineRule="auto"/>
              <w:jc w:val="center"/>
              <w:rPr>
                <w:rFonts w:ascii="Times New Roman" w:hAnsi="Times New Roman" w:cs="Times New Roman"/>
                <w:b/>
              </w:rPr>
            </w:pPr>
            <w:r w:rsidRPr="00E772BE">
              <w:rPr>
                <w:rFonts w:ascii="Times New Roman" w:hAnsi="Times New Roman" w:cs="Times New Roman"/>
                <w:b/>
              </w:rPr>
              <w:t>Credible EU law method?</w:t>
            </w:r>
          </w:p>
        </w:tc>
      </w:tr>
      <w:tr w:rsidR="00451F26" w:rsidRPr="00E772BE" w14:paraId="50CB8A8D" w14:textId="77777777" w:rsidTr="006B15A8">
        <w:tc>
          <w:tcPr>
            <w:tcW w:w="2439" w:type="dxa"/>
          </w:tcPr>
          <w:p w14:paraId="5BF87194" w14:textId="77777777" w:rsidR="00451F26" w:rsidRPr="00E772BE" w:rsidRDefault="00451F26" w:rsidP="006B15A8">
            <w:pPr>
              <w:spacing w:line="360" w:lineRule="auto"/>
              <w:jc w:val="both"/>
              <w:rPr>
                <w:rFonts w:ascii="Times New Roman" w:hAnsi="Times New Roman" w:cs="Times New Roman"/>
                <w:b/>
              </w:rPr>
            </w:pPr>
            <w:r w:rsidRPr="00E772BE">
              <w:rPr>
                <w:rFonts w:ascii="Times New Roman" w:hAnsi="Times New Roman" w:cs="Times New Roman"/>
                <w:b/>
              </w:rPr>
              <w:t>All regulations</w:t>
            </w:r>
          </w:p>
          <w:p w14:paraId="652A228A" w14:textId="77777777" w:rsidR="00451F26" w:rsidRPr="00E772BE" w:rsidRDefault="00451F26" w:rsidP="006B15A8">
            <w:pPr>
              <w:spacing w:line="360" w:lineRule="auto"/>
              <w:jc w:val="both"/>
              <w:rPr>
                <w:rFonts w:ascii="Times New Roman" w:hAnsi="Times New Roman" w:cs="Times New Roman"/>
                <w:i/>
              </w:rPr>
            </w:pPr>
            <w:r w:rsidRPr="00E772BE">
              <w:rPr>
                <w:rFonts w:ascii="Times New Roman" w:hAnsi="Times New Roman" w:cs="Times New Roman"/>
                <w:i/>
              </w:rPr>
              <w:t>of which:</w:t>
            </w:r>
          </w:p>
        </w:tc>
        <w:tc>
          <w:tcPr>
            <w:tcW w:w="1798" w:type="dxa"/>
          </w:tcPr>
          <w:p w14:paraId="1C7BF7EE" w14:textId="77777777" w:rsidR="00451F26" w:rsidRPr="00E772BE" w:rsidRDefault="00451F26" w:rsidP="006B15A8">
            <w:pPr>
              <w:spacing w:line="360" w:lineRule="auto"/>
              <w:jc w:val="center"/>
              <w:rPr>
                <w:rFonts w:ascii="Times New Roman" w:hAnsi="Times New Roman" w:cs="Times New Roman"/>
              </w:rPr>
            </w:pPr>
            <w:r w:rsidRPr="00E772BE">
              <w:rPr>
                <w:rFonts w:ascii="Times New Roman" w:hAnsi="Times New Roman" w:cs="Times New Roman"/>
              </w:rPr>
              <w:t>115</w:t>
            </w:r>
          </w:p>
        </w:tc>
        <w:tc>
          <w:tcPr>
            <w:tcW w:w="1485" w:type="dxa"/>
          </w:tcPr>
          <w:p w14:paraId="5AE3193C" w14:textId="77777777" w:rsidR="00451F26" w:rsidRPr="00E772BE" w:rsidRDefault="00451F26" w:rsidP="006B15A8">
            <w:pPr>
              <w:spacing w:line="360" w:lineRule="auto"/>
              <w:jc w:val="center"/>
              <w:rPr>
                <w:rFonts w:ascii="Times New Roman" w:hAnsi="Times New Roman" w:cs="Times New Roman"/>
              </w:rPr>
            </w:pPr>
            <w:r w:rsidRPr="00E772BE">
              <w:rPr>
                <w:rFonts w:ascii="Times New Roman" w:hAnsi="Times New Roman" w:cs="Times New Roman"/>
              </w:rPr>
              <w:t>100</w:t>
            </w:r>
          </w:p>
        </w:tc>
        <w:tc>
          <w:tcPr>
            <w:tcW w:w="1469" w:type="dxa"/>
            <w:vMerge w:val="restart"/>
          </w:tcPr>
          <w:p w14:paraId="554C0057" w14:textId="77777777" w:rsidR="00451F26" w:rsidRPr="00E772BE" w:rsidRDefault="00451F26" w:rsidP="006B15A8">
            <w:pPr>
              <w:spacing w:line="360" w:lineRule="auto"/>
              <w:jc w:val="center"/>
              <w:rPr>
                <w:rFonts w:ascii="Times New Roman" w:hAnsi="Times New Roman" w:cs="Times New Roman"/>
              </w:rPr>
            </w:pPr>
          </w:p>
          <w:p w14:paraId="5FB5F8DF" w14:textId="77777777" w:rsidR="00451F26" w:rsidRPr="00E772BE" w:rsidRDefault="00451F26" w:rsidP="006B15A8">
            <w:pPr>
              <w:spacing w:line="360" w:lineRule="auto"/>
              <w:jc w:val="center"/>
              <w:rPr>
                <w:rFonts w:ascii="Times New Roman" w:hAnsi="Times New Roman" w:cs="Times New Roman"/>
              </w:rPr>
            </w:pPr>
            <w:r w:rsidRPr="00E772BE">
              <w:rPr>
                <w:rFonts w:ascii="Times New Roman" w:hAnsi="Times New Roman" w:cs="Times New Roman"/>
              </w:rPr>
              <w:t>115</w:t>
            </w:r>
          </w:p>
          <w:p w14:paraId="63197919" w14:textId="77777777" w:rsidR="00451F26" w:rsidRPr="00E772BE" w:rsidRDefault="00451F26" w:rsidP="006B15A8">
            <w:pPr>
              <w:spacing w:line="360" w:lineRule="auto"/>
              <w:jc w:val="center"/>
              <w:rPr>
                <w:rFonts w:ascii="Times New Roman" w:hAnsi="Times New Roman" w:cs="Times New Roman"/>
              </w:rPr>
            </w:pPr>
            <w:r w:rsidRPr="00E772BE">
              <w:rPr>
                <w:rFonts w:ascii="Times New Roman" w:hAnsi="Times New Roman" w:cs="Times New Roman"/>
              </w:rPr>
              <w:t>added to</w:t>
            </w:r>
          </w:p>
          <w:p w14:paraId="6347981C" w14:textId="77777777" w:rsidR="00451F26" w:rsidRPr="00E772BE" w:rsidRDefault="00451F26" w:rsidP="006B15A8">
            <w:pPr>
              <w:spacing w:line="360" w:lineRule="auto"/>
              <w:jc w:val="center"/>
              <w:rPr>
                <w:rFonts w:ascii="Times New Roman" w:hAnsi="Times New Roman" w:cs="Times New Roman"/>
              </w:rPr>
            </w:pPr>
            <w:r w:rsidRPr="00E772BE">
              <w:rPr>
                <w:rFonts w:ascii="Times New Roman" w:hAnsi="Times New Roman" w:cs="Times New Roman"/>
              </w:rPr>
              <w:t>“EU” tally</w:t>
            </w:r>
          </w:p>
        </w:tc>
        <w:tc>
          <w:tcPr>
            <w:tcW w:w="1325" w:type="dxa"/>
            <w:vMerge w:val="restart"/>
          </w:tcPr>
          <w:p w14:paraId="4CA356D1" w14:textId="77777777" w:rsidR="00451F26" w:rsidRPr="00E772BE" w:rsidRDefault="00451F26" w:rsidP="006B15A8">
            <w:pPr>
              <w:spacing w:line="360" w:lineRule="auto"/>
              <w:jc w:val="center"/>
              <w:rPr>
                <w:rFonts w:ascii="Times New Roman" w:hAnsi="Times New Roman" w:cs="Times New Roman"/>
              </w:rPr>
            </w:pPr>
          </w:p>
          <w:p w14:paraId="3146784D" w14:textId="77777777" w:rsidR="00451F26" w:rsidRPr="00E772BE" w:rsidRDefault="00451F26" w:rsidP="006B15A8">
            <w:pPr>
              <w:spacing w:line="360" w:lineRule="auto"/>
              <w:jc w:val="center"/>
              <w:rPr>
                <w:rFonts w:ascii="Times New Roman" w:hAnsi="Times New Roman" w:cs="Times New Roman"/>
              </w:rPr>
            </w:pPr>
            <w:r w:rsidRPr="00E772BE">
              <w:rPr>
                <w:rFonts w:ascii="Times New Roman" w:hAnsi="Times New Roman" w:cs="Times New Roman"/>
              </w:rPr>
              <w:t>12</w:t>
            </w:r>
          </w:p>
          <w:p w14:paraId="7781FCC8" w14:textId="77777777" w:rsidR="00451F26" w:rsidRPr="00E772BE" w:rsidRDefault="00451F26" w:rsidP="006B15A8">
            <w:pPr>
              <w:spacing w:line="360" w:lineRule="auto"/>
              <w:jc w:val="center"/>
              <w:rPr>
                <w:rFonts w:ascii="Times New Roman" w:hAnsi="Times New Roman" w:cs="Times New Roman"/>
              </w:rPr>
            </w:pPr>
            <w:r w:rsidRPr="00E772BE">
              <w:rPr>
                <w:rFonts w:ascii="Times New Roman" w:hAnsi="Times New Roman" w:cs="Times New Roman"/>
              </w:rPr>
              <w:t>added to “EU” tally</w:t>
            </w:r>
          </w:p>
        </w:tc>
      </w:tr>
      <w:tr w:rsidR="00451F26" w:rsidRPr="00E772BE" w14:paraId="14811061" w14:textId="77777777" w:rsidTr="006B15A8">
        <w:tc>
          <w:tcPr>
            <w:tcW w:w="2439" w:type="dxa"/>
          </w:tcPr>
          <w:p w14:paraId="2B8F33D7" w14:textId="77777777" w:rsidR="00451F26" w:rsidRPr="00E772BE" w:rsidRDefault="00451F26" w:rsidP="006B15A8">
            <w:pPr>
              <w:spacing w:line="360" w:lineRule="auto"/>
              <w:jc w:val="both"/>
              <w:rPr>
                <w:rFonts w:ascii="Times New Roman" w:hAnsi="Times New Roman" w:cs="Times New Roman"/>
              </w:rPr>
            </w:pPr>
            <w:r w:rsidRPr="00E772BE">
              <w:rPr>
                <w:rFonts w:ascii="Times New Roman" w:hAnsi="Times New Roman" w:cs="Times New Roman"/>
              </w:rPr>
              <w:t xml:space="preserve">Legislative </w:t>
            </w:r>
          </w:p>
        </w:tc>
        <w:tc>
          <w:tcPr>
            <w:tcW w:w="1798" w:type="dxa"/>
          </w:tcPr>
          <w:p w14:paraId="2FC4992C" w14:textId="77777777" w:rsidR="00451F26" w:rsidRPr="00E772BE" w:rsidRDefault="00451F26" w:rsidP="006B15A8">
            <w:pPr>
              <w:spacing w:line="360" w:lineRule="auto"/>
              <w:jc w:val="center"/>
              <w:rPr>
                <w:rFonts w:ascii="Times New Roman" w:hAnsi="Times New Roman" w:cs="Times New Roman"/>
              </w:rPr>
            </w:pPr>
            <w:r w:rsidRPr="00E772BE">
              <w:rPr>
                <w:rFonts w:ascii="Times New Roman" w:hAnsi="Times New Roman" w:cs="Times New Roman"/>
              </w:rPr>
              <w:t>4</w:t>
            </w:r>
          </w:p>
        </w:tc>
        <w:tc>
          <w:tcPr>
            <w:tcW w:w="1485" w:type="dxa"/>
          </w:tcPr>
          <w:p w14:paraId="2434ED33" w14:textId="77777777" w:rsidR="00451F26" w:rsidRPr="00E772BE" w:rsidRDefault="00451F26" w:rsidP="006B15A8">
            <w:pPr>
              <w:spacing w:line="360" w:lineRule="auto"/>
              <w:jc w:val="center"/>
              <w:rPr>
                <w:rFonts w:ascii="Times New Roman" w:hAnsi="Times New Roman" w:cs="Times New Roman"/>
              </w:rPr>
            </w:pPr>
            <w:r w:rsidRPr="00E772BE">
              <w:rPr>
                <w:rFonts w:ascii="Times New Roman" w:hAnsi="Times New Roman" w:cs="Times New Roman"/>
              </w:rPr>
              <w:t>3.5</w:t>
            </w:r>
          </w:p>
        </w:tc>
        <w:tc>
          <w:tcPr>
            <w:tcW w:w="1469" w:type="dxa"/>
            <w:vMerge/>
          </w:tcPr>
          <w:p w14:paraId="1D7C8A8E" w14:textId="77777777" w:rsidR="00451F26" w:rsidRPr="00E772BE" w:rsidRDefault="00451F26" w:rsidP="006B15A8">
            <w:pPr>
              <w:spacing w:line="360" w:lineRule="auto"/>
              <w:jc w:val="center"/>
              <w:rPr>
                <w:rFonts w:ascii="Times New Roman" w:hAnsi="Times New Roman" w:cs="Times New Roman"/>
              </w:rPr>
            </w:pPr>
          </w:p>
        </w:tc>
        <w:tc>
          <w:tcPr>
            <w:tcW w:w="1325" w:type="dxa"/>
            <w:vMerge/>
          </w:tcPr>
          <w:p w14:paraId="4DDC38EF" w14:textId="77777777" w:rsidR="00451F26" w:rsidRPr="00E772BE" w:rsidRDefault="00451F26" w:rsidP="006B15A8">
            <w:pPr>
              <w:spacing w:line="360" w:lineRule="auto"/>
              <w:jc w:val="center"/>
              <w:rPr>
                <w:rFonts w:ascii="Times New Roman" w:hAnsi="Times New Roman" w:cs="Times New Roman"/>
              </w:rPr>
            </w:pPr>
          </w:p>
        </w:tc>
      </w:tr>
      <w:tr w:rsidR="00451F26" w:rsidRPr="00E772BE" w14:paraId="54BDC71D" w14:textId="77777777" w:rsidTr="006B15A8">
        <w:tc>
          <w:tcPr>
            <w:tcW w:w="2439" w:type="dxa"/>
          </w:tcPr>
          <w:p w14:paraId="365E0DC4" w14:textId="77777777" w:rsidR="00451F26" w:rsidRPr="00E772BE" w:rsidRDefault="00451F26" w:rsidP="006B15A8">
            <w:pPr>
              <w:spacing w:line="360" w:lineRule="auto"/>
              <w:jc w:val="both"/>
              <w:rPr>
                <w:rFonts w:ascii="Times New Roman" w:hAnsi="Times New Roman" w:cs="Times New Roman"/>
              </w:rPr>
            </w:pPr>
            <w:r w:rsidRPr="00E772BE">
              <w:rPr>
                <w:rFonts w:ascii="Times New Roman" w:hAnsi="Times New Roman" w:cs="Times New Roman"/>
              </w:rPr>
              <w:t xml:space="preserve">Delegated </w:t>
            </w:r>
          </w:p>
        </w:tc>
        <w:tc>
          <w:tcPr>
            <w:tcW w:w="1798" w:type="dxa"/>
          </w:tcPr>
          <w:p w14:paraId="5142D857" w14:textId="77777777" w:rsidR="00451F26" w:rsidRPr="00E772BE" w:rsidRDefault="00451F26" w:rsidP="006B15A8">
            <w:pPr>
              <w:spacing w:line="360" w:lineRule="auto"/>
              <w:jc w:val="center"/>
              <w:rPr>
                <w:rFonts w:ascii="Times New Roman" w:hAnsi="Times New Roman" w:cs="Times New Roman"/>
              </w:rPr>
            </w:pPr>
            <w:r w:rsidRPr="00E772BE">
              <w:rPr>
                <w:rFonts w:ascii="Times New Roman" w:hAnsi="Times New Roman" w:cs="Times New Roman"/>
              </w:rPr>
              <w:t>8</w:t>
            </w:r>
          </w:p>
        </w:tc>
        <w:tc>
          <w:tcPr>
            <w:tcW w:w="1485" w:type="dxa"/>
          </w:tcPr>
          <w:p w14:paraId="0C726E08" w14:textId="77777777" w:rsidR="00451F26" w:rsidRPr="00E772BE" w:rsidRDefault="00451F26" w:rsidP="006B15A8">
            <w:pPr>
              <w:spacing w:line="360" w:lineRule="auto"/>
              <w:jc w:val="center"/>
              <w:rPr>
                <w:rFonts w:ascii="Times New Roman" w:hAnsi="Times New Roman" w:cs="Times New Roman"/>
              </w:rPr>
            </w:pPr>
            <w:r w:rsidRPr="00E772BE">
              <w:rPr>
                <w:rFonts w:ascii="Times New Roman" w:hAnsi="Times New Roman" w:cs="Times New Roman"/>
              </w:rPr>
              <w:t>7</w:t>
            </w:r>
          </w:p>
        </w:tc>
        <w:tc>
          <w:tcPr>
            <w:tcW w:w="1469" w:type="dxa"/>
            <w:vMerge/>
          </w:tcPr>
          <w:p w14:paraId="1CF3D604" w14:textId="77777777" w:rsidR="00451F26" w:rsidRPr="00E772BE" w:rsidRDefault="00451F26" w:rsidP="006B15A8">
            <w:pPr>
              <w:spacing w:line="360" w:lineRule="auto"/>
              <w:jc w:val="center"/>
              <w:rPr>
                <w:rFonts w:ascii="Times New Roman" w:hAnsi="Times New Roman" w:cs="Times New Roman"/>
              </w:rPr>
            </w:pPr>
          </w:p>
        </w:tc>
        <w:tc>
          <w:tcPr>
            <w:tcW w:w="1325" w:type="dxa"/>
            <w:vMerge/>
          </w:tcPr>
          <w:p w14:paraId="51661844" w14:textId="77777777" w:rsidR="00451F26" w:rsidRPr="00E772BE" w:rsidRDefault="00451F26" w:rsidP="006B15A8">
            <w:pPr>
              <w:spacing w:line="360" w:lineRule="auto"/>
              <w:jc w:val="center"/>
              <w:rPr>
                <w:rFonts w:ascii="Times New Roman" w:hAnsi="Times New Roman" w:cs="Times New Roman"/>
              </w:rPr>
            </w:pPr>
          </w:p>
        </w:tc>
      </w:tr>
      <w:tr w:rsidR="00451F26" w:rsidRPr="00E772BE" w14:paraId="4A94C13E" w14:textId="77777777" w:rsidTr="006B15A8">
        <w:tc>
          <w:tcPr>
            <w:tcW w:w="2439" w:type="dxa"/>
          </w:tcPr>
          <w:p w14:paraId="0F8C7848" w14:textId="77777777" w:rsidR="00451F26" w:rsidRPr="00E772BE" w:rsidRDefault="00451F26" w:rsidP="006B15A8">
            <w:pPr>
              <w:spacing w:line="360" w:lineRule="auto"/>
              <w:jc w:val="both"/>
              <w:rPr>
                <w:rFonts w:ascii="Times New Roman" w:hAnsi="Times New Roman" w:cs="Times New Roman"/>
                <w:b/>
              </w:rPr>
            </w:pPr>
            <w:r w:rsidRPr="00E772BE">
              <w:rPr>
                <w:rFonts w:ascii="Times New Roman" w:hAnsi="Times New Roman" w:cs="Times New Roman"/>
                <w:b/>
              </w:rPr>
              <w:t>Combined “law”</w:t>
            </w:r>
          </w:p>
        </w:tc>
        <w:tc>
          <w:tcPr>
            <w:tcW w:w="1798" w:type="dxa"/>
          </w:tcPr>
          <w:p w14:paraId="1AEF2658" w14:textId="77777777" w:rsidR="00451F26" w:rsidRPr="00E772BE" w:rsidRDefault="00451F26" w:rsidP="006B15A8">
            <w:pPr>
              <w:spacing w:line="360" w:lineRule="auto"/>
              <w:jc w:val="center"/>
              <w:rPr>
                <w:rFonts w:ascii="Times New Roman" w:hAnsi="Times New Roman" w:cs="Times New Roman"/>
                <w:b/>
              </w:rPr>
            </w:pPr>
            <w:r w:rsidRPr="00E772BE">
              <w:rPr>
                <w:rFonts w:ascii="Times New Roman" w:hAnsi="Times New Roman" w:cs="Times New Roman"/>
                <w:b/>
              </w:rPr>
              <w:t>12</w:t>
            </w:r>
          </w:p>
        </w:tc>
        <w:tc>
          <w:tcPr>
            <w:tcW w:w="1485" w:type="dxa"/>
          </w:tcPr>
          <w:p w14:paraId="639EBCAF" w14:textId="77777777" w:rsidR="00451F26" w:rsidRPr="00E772BE" w:rsidRDefault="00451F26" w:rsidP="006B15A8">
            <w:pPr>
              <w:spacing w:line="360" w:lineRule="auto"/>
              <w:jc w:val="center"/>
              <w:rPr>
                <w:rFonts w:ascii="Times New Roman" w:hAnsi="Times New Roman" w:cs="Times New Roman"/>
                <w:b/>
              </w:rPr>
            </w:pPr>
            <w:r w:rsidRPr="00E772BE">
              <w:rPr>
                <w:rFonts w:ascii="Times New Roman" w:hAnsi="Times New Roman" w:cs="Times New Roman"/>
                <w:b/>
              </w:rPr>
              <w:t>10.5</w:t>
            </w:r>
          </w:p>
        </w:tc>
        <w:tc>
          <w:tcPr>
            <w:tcW w:w="1469" w:type="dxa"/>
            <w:vMerge/>
          </w:tcPr>
          <w:p w14:paraId="5BB960B0" w14:textId="77777777" w:rsidR="00451F26" w:rsidRPr="00E772BE" w:rsidRDefault="00451F26" w:rsidP="006B15A8">
            <w:pPr>
              <w:spacing w:line="360" w:lineRule="auto"/>
              <w:jc w:val="center"/>
              <w:rPr>
                <w:rFonts w:ascii="Times New Roman" w:hAnsi="Times New Roman" w:cs="Times New Roman"/>
                <w:b/>
              </w:rPr>
            </w:pPr>
          </w:p>
        </w:tc>
        <w:tc>
          <w:tcPr>
            <w:tcW w:w="1325" w:type="dxa"/>
            <w:vMerge/>
          </w:tcPr>
          <w:p w14:paraId="71BF14FA" w14:textId="77777777" w:rsidR="00451F26" w:rsidRPr="00E772BE" w:rsidRDefault="00451F26" w:rsidP="006B15A8">
            <w:pPr>
              <w:spacing w:line="360" w:lineRule="auto"/>
              <w:jc w:val="center"/>
              <w:rPr>
                <w:rFonts w:ascii="Times New Roman" w:hAnsi="Times New Roman" w:cs="Times New Roman"/>
                <w:b/>
              </w:rPr>
            </w:pPr>
          </w:p>
        </w:tc>
      </w:tr>
      <w:tr w:rsidR="00451F26" w:rsidRPr="00E772BE" w14:paraId="36F2FE8A" w14:textId="77777777" w:rsidTr="006B15A8">
        <w:tc>
          <w:tcPr>
            <w:tcW w:w="2439" w:type="dxa"/>
          </w:tcPr>
          <w:p w14:paraId="47C63C44" w14:textId="77777777" w:rsidR="00451F26" w:rsidRPr="00E772BE" w:rsidRDefault="00451F26" w:rsidP="006B15A8">
            <w:pPr>
              <w:spacing w:line="360" w:lineRule="auto"/>
              <w:jc w:val="both"/>
              <w:rPr>
                <w:rFonts w:ascii="Times New Roman" w:hAnsi="Times New Roman" w:cs="Times New Roman"/>
                <w:b/>
              </w:rPr>
            </w:pPr>
            <w:r w:rsidRPr="00E772BE">
              <w:rPr>
                <w:rFonts w:ascii="Times New Roman" w:hAnsi="Times New Roman" w:cs="Times New Roman"/>
                <w:b/>
              </w:rPr>
              <w:t xml:space="preserve">Other non-legislative </w:t>
            </w:r>
          </w:p>
        </w:tc>
        <w:tc>
          <w:tcPr>
            <w:tcW w:w="1798" w:type="dxa"/>
          </w:tcPr>
          <w:p w14:paraId="1B02E741" w14:textId="77777777" w:rsidR="00451F26" w:rsidRPr="00E772BE" w:rsidRDefault="00451F26" w:rsidP="006B15A8">
            <w:pPr>
              <w:spacing w:line="360" w:lineRule="auto"/>
              <w:jc w:val="center"/>
              <w:rPr>
                <w:rFonts w:ascii="Times New Roman" w:hAnsi="Times New Roman" w:cs="Times New Roman"/>
                <w:b/>
              </w:rPr>
            </w:pPr>
            <w:r w:rsidRPr="00E772BE">
              <w:rPr>
                <w:rFonts w:ascii="Times New Roman" w:hAnsi="Times New Roman" w:cs="Times New Roman"/>
                <w:b/>
              </w:rPr>
              <w:t>103</w:t>
            </w:r>
          </w:p>
        </w:tc>
        <w:tc>
          <w:tcPr>
            <w:tcW w:w="1485" w:type="dxa"/>
          </w:tcPr>
          <w:p w14:paraId="596E6754" w14:textId="77777777" w:rsidR="00451F26" w:rsidRPr="00E772BE" w:rsidRDefault="00451F26" w:rsidP="006B15A8">
            <w:pPr>
              <w:spacing w:line="360" w:lineRule="auto"/>
              <w:jc w:val="center"/>
              <w:rPr>
                <w:rFonts w:ascii="Times New Roman" w:hAnsi="Times New Roman" w:cs="Times New Roman"/>
                <w:b/>
              </w:rPr>
            </w:pPr>
            <w:r w:rsidRPr="00E772BE">
              <w:rPr>
                <w:rFonts w:ascii="Times New Roman" w:hAnsi="Times New Roman" w:cs="Times New Roman"/>
                <w:b/>
              </w:rPr>
              <w:t>89.5</w:t>
            </w:r>
          </w:p>
        </w:tc>
        <w:tc>
          <w:tcPr>
            <w:tcW w:w="1469" w:type="dxa"/>
            <w:vMerge/>
          </w:tcPr>
          <w:p w14:paraId="7B7EDCA0" w14:textId="77777777" w:rsidR="00451F26" w:rsidRPr="00E772BE" w:rsidRDefault="00451F26" w:rsidP="006B15A8">
            <w:pPr>
              <w:spacing w:line="360" w:lineRule="auto"/>
              <w:jc w:val="center"/>
              <w:rPr>
                <w:rFonts w:ascii="Times New Roman" w:hAnsi="Times New Roman" w:cs="Times New Roman"/>
                <w:b/>
              </w:rPr>
            </w:pPr>
          </w:p>
        </w:tc>
        <w:tc>
          <w:tcPr>
            <w:tcW w:w="1325" w:type="dxa"/>
            <w:vMerge/>
          </w:tcPr>
          <w:p w14:paraId="4CE2E188" w14:textId="77777777" w:rsidR="00451F26" w:rsidRPr="00E772BE" w:rsidRDefault="00451F26" w:rsidP="006B15A8">
            <w:pPr>
              <w:spacing w:line="360" w:lineRule="auto"/>
              <w:jc w:val="center"/>
              <w:rPr>
                <w:rFonts w:ascii="Times New Roman" w:hAnsi="Times New Roman" w:cs="Times New Roman"/>
                <w:b/>
              </w:rPr>
            </w:pPr>
          </w:p>
        </w:tc>
      </w:tr>
    </w:tbl>
    <w:p w14:paraId="231BCFB3" w14:textId="77777777" w:rsidR="00451F26" w:rsidRPr="00E772BE" w:rsidRDefault="00451F26" w:rsidP="00451F26">
      <w:pPr>
        <w:spacing w:line="360" w:lineRule="auto"/>
        <w:jc w:val="both"/>
        <w:rPr>
          <w:rFonts w:ascii="Times New Roman" w:hAnsi="Times New Roman" w:cs="Times New Roman"/>
        </w:rPr>
      </w:pPr>
    </w:p>
    <w:p w14:paraId="2077AC95" w14:textId="77777777" w:rsidR="00451F26" w:rsidRPr="00E772BE" w:rsidRDefault="00451F26" w:rsidP="008B14B2">
      <w:pPr>
        <w:jc w:val="both"/>
        <w:rPr>
          <w:rFonts w:ascii="Times New Roman" w:hAnsi="Times New Roman" w:cs="Times New Roman"/>
        </w:rPr>
      </w:pPr>
    </w:p>
    <w:p w14:paraId="2A248614" w14:textId="77777777" w:rsidR="00451F26" w:rsidRPr="00E772BE" w:rsidRDefault="00451F26" w:rsidP="008B14B2">
      <w:pPr>
        <w:jc w:val="both"/>
        <w:rPr>
          <w:rFonts w:ascii="Times New Roman" w:hAnsi="Times New Roman" w:cs="Times New Roman"/>
        </w:rPr>
      </w:pPr>
    </w:p>
    <w:p w14:paraId="0824383A" w14:textId="77777777" w:rsidR="00E36CE7" w:rsidRPr="00E772BE" w:rsidRDefault="00E36CE7" w:rsidP="008B14B2">
      <w:pPr>
        <w:jc w:val="both"/>
        <w:rPr>
          <w:rFonts w:ascii="Times New Roman" w:hAnsi="Times New Roman" w:cs="Times New Roman"/>
        </w:rPr>
      </w:pPr>
    </w:p>
    <w:p w14:paraId="087B990D" w14:textId="1742CAD5" w:rsidR="00E36CE7" w:rsidRPr="00E772BE" w:rsidRDefault="00E36CE7" w:rsidP="008B14B2">
      <w:pPr>
        <w:jc w:val="both"/>
        <w:rPr>
          <w:rFonts w:ascii="Times New Roman" w:hAnsi="Times New Roman" w:cs="Times New Roman"/>
        </w:rPr>
      </w:pPr>
    </w:p>
    <w:sectPr w:rsidR="00E36CE7" w:rsidRPr="00E772BE" w:rsidSect="008F39C3">
      <w:footerReference w:type="even" r:id="rId15"/>
      <w:footerReference w:type="default" r:id="rId16"/>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94FD1" w14:textId="77777777" w:rsidR="0086692A" w:rsidRDefault="0086692A" w:rsidP="00797ABC">
      <w:r>
        <w:separator/>
      </w:r>
    </w:p>
  </w:endnote>
  <w:endnote w:type="continuationSeparator" w:id="0">
    <w:p w14:paraId="5666310A" w14:textId="77777777" w:rsidR="0086692A" w:rsidRDefault="0086692A" w:rsidP="0079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1F8B" w14:textId="77777777" w:rsidR="0086692A" w:rsidRDefault="0086692A" w:rsidP="009676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D5802" w14:textId="77777777" w:rsidR="0086692A" w:rsidRDefault="008669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02F11" w14:textId="77777777" w:rsidR="0086692A" w:rsidRDefault="0086692A" w:rsidP="009676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3966">
      <w:rPr>
        <w:rStyle w:val="PageNumber"/>
        <w:noProof/>
      </w:rPr>
      <w:t>1</w:t>
    </w:r>
    <w:r>
      <w:rPr>
        <w:rStyle w:val="PageNumber"/>
      </w:rPr>
      <w:fldChar w:fldCharType="end"/>
    </w:r>
  </w:p>
  <w:p w14:paraId="5FB5FA4C" w14:textId="77777777" w:rsidR="0086692A" w:rsidRDefault="008669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0EA67" w14:textId="77777777" w:rsidR="0086692A" w:rsidRDefault="0086692A" w:rsidP="00797ABC">
      <w:r>
        <w:separator/>
      </w:r>
    </w:p>
  </w:footnote>
  <w:footnote w:type="continuationSeparator" w:id="0">
    <w:p w14:paraId="651FBC88" w14:textId="77777777" w:rsidR="0086692A" w:rsidRDefault="0086692A" w:rsidP="00797ABC">
      <w:r>
        <w:continuationSeparator/>
      </w:r>
    </w:p>
  </w:footnote>
  <w:footnote w:id="1">
    <w:p w14:paraId="5CB9A2BB" w14:textId="5F9269F2" w:rsidR="0086692A" w:rsidRPr="00F16BB7" w:rsidRDefault="0086692A" w:rsidP="00E772BE">
      <w:pPr>
        <w:pStyle w:val="FootnoteText"/>
        <w:rPr>
          <w:rFonts w:ascii="Times New Roman" w:hAnsi="Times New Roman" w:cs="Times New Roman"/>
          <w:sz w:val="20"/>
          <w:szCs w:val="20"/>
        </w:rPr>
      </w:pPr>
      <w:r w:rsidRPr="00F16BB7">
        <w:rPr>
          <w:rFonts w:ascii="Times New Roman" w:hAnsi="Times New Roman" w:cs="Times New Roman"/>
          <w:sz w:val="20"/>
          <w:szCs w:val="20"/>
        </w:rPr>
        <w:t>* Liverpool Law School, University of Liverpool.</w:t>
      </w:r>
    </w:p>
    <w:p w14:paraId="6B34F284" w14:textId="2D3FDAE0" w:rsidR="0086692A" w:rsidRPr="00F16BB7" w:rsidRDefault="0086692A" w:rsidP="00E772BE">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See further, eg </w:t>
      </w:r>
      <w:hyperlink r:id="rId1" w:history="1">
        <w:r w:rsidRPr="00F16BB7">
          <w:rPr>
            <w:rStyle w:val="Hyperlink"/>
            <w:rFonts w:ascii="Times New Roman" w:hAnsi="Times New Roman" w:cs="Times New Roman"/>
            <w:sz w:val="20"/>
            <w:szCs w:val="20"/>
          </w:rPr>
          <w:t>https://www.youtube.com/watch?v=ic8A7KXFkKY</w:t>
        </w:r>
      </w:hyperlink>
      <w:r w:rsidRPr="00F16BB7">
        <w:rPr>
          <w:rFonts w:ascii="Times New Roman" w:hAnsi="Times New Roman" w:cs="Times New Roman"/>
          <w:sz w:val="20"/>
          <w:szCs w:val="20"/>
        </w:rPr>
        <w:t xml:space="preserve">;  </w:t>
      </w:r>
      <w:hyperlink r:id="rId2" w:history="1">
        <w:r w:rsidRPr="00F16BB7">
          <w:rPr>
            <w:rStyle w:val="Hyperlink"/>
            <w:rFonts w:ascii="Times New Roman" w:hAnsi="Times New Roman" w:cs="Times New Roman"/>
            <w:sz w:val="20"/>
            <w:szCs w:val="20"/>
          </w:rPr>
          <w:t>https://www.youtube.com/watch?v=eyMcesYSLk8</w:t>
        </w:r>
      </w:hyperlink>
      <w:r w:rsidRPr="00F16BB7">
        <w:rPr>
          <w:rFonts w:ascii="Times New Roman" w:hAnsi="Times New Roman" w:cs="Times New Roman"/>
          <w:sz w:val="20"/>
          <w:szCs w:val="20"/>
        </w:rPr>
        <w:t xml:space="preserve">; </w:t>
      </w:r>
      <w:hyperlink r:id="rId3" w:history="1">
        <w:r w:rsidRPr="00F16BB7">
          <w:rPr>
            <w:rStyle w:val="Hyperlink"/>
            <w:rFonts w:ascii="Times New Roman" w:hAnsi="Times New Roman" w:cs="Times New Roman"/>
            <w:sz w:val="20"/>
            <w:szCs w:val="20"/>
          </w:rPr>
          <w:t>https://www.youtube.com/watch?v=oHm9QOffpyE</w:t>
        </w:r>
      </w:hyperlink>
      <w:r w:rsidRPr="00F16BB7">
        <w:rPr>
          <w:rFonts w:ascii="Times New Roman" w:hAnsi="Times New Roman" w:cs="Times New Roman"/>
          <w:sz w:val="20"/>
          <w:szCs w:val="20"/>
        </w:rPr>
        <w:t>.</w:t>
      </w:r>
    </w:p>
  </w:footnote>
  <w:footnote w:id="2">
    <w:p w14:paraId="2F18B637" w14:textId="1734D422" w:rsidR="0086692A" w:rsidRPr="00F16BB7" w:rsidRDefault="0086692A" w:rsidP="00E772BE">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See further: M Dougan (ed), </w:t>
      </w:r>
      <w:r w:rsidRPr="00F16BB7">
        <w:rPr>
          <w:rFonts w:ascii="Times New Roman" w:hAnsi="Times New Roman" w:cs="Times New Roman"/>
          <w:i/>
          <w:sz w:val="20"/>
          <w:szCs w:val="20"/>
        </w:rPr>
        <w:t xml:space="preserve">The UK After Brexit: Legal and Policy Challenges </w:t>
      </w:r>
      <w:r w:rsidRPr="00F16BB7">
        <w:rPr>
          <w:rFonts w:ascii="Times New Roman" w:hAnsi="Times New Roman" w:cs="Times New Roman"/>
          <w:sz w:val="20"/>
          <w:szCs w:val="20"/>
        </w:rPr>
        <w:t>(Intersentia, Cambridge, 2017): Editor’s Introduction.</w:t>
      </w:r>
    </w:p>
  </w:footnote>
  <w:footnote w:id="3">
    <w:p w14:paraId="505C0615" w14:textId="7D870C98" w:rsidR="0086692A" w:rsidRPr="00F16BB7" w:rsidRDefault="0086692A" w:rsidP="00E772BE">
      <w:pPr>
        <w:pStyle w:val="FootnoteText"/>
        <w:rPr>
          <w:rFonts w:ascii="Times New Roman" w:hAnsi="Times New Roman" w:cs="Times New Roman"/>
          <w:sz w:val="20"/>
          <w:szCs w:val="20"/>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Eg HM Government, </w:t>
      </w:r>
      <w:r w:rsidRPr="00F16BB7">
        <w:rPr>
          <w:rFonts w:ascii="Times New Roman" w:hAnsi="Times New Roman" w:cs="Times New Roman"/>
          <w:i/>
          <w:sz w:val="20"/>
          <w:szCs w:val="20"/>
        </w:rPr>
        <w:t>The United Kingdom’s exit from and new partnership with the European Union</w:t>
      </w:r>
      <w:r w:rsidRPr="00F16BB7">
        <w:rPr>
          <w:rFonts w:ascii="Times New Roman" w:hAnsi="Times New Roman" w:cs="Times New Roman"/>
          <w:sz w:val="20"/>
          <w:szCs w:val="20"/>
        </w:rPr>
        <w:t xml:space="preserve"> (Cm 9417); Department for Exiting the European Union, </w:t>
      </w:r>
      <w:r w:rsidRPr="00F16BB7">
        <w:rPr>
          <w:rFonts w:ascii="Times New Roman" w:hAnsi="Times New Roman" w:cs="Times New Roman"/>
          <w:i/>
          <w:sz w:val="20"/>
          <w:szCs w:val="20"/>
        </w:rPr>
        <w:t xml:space="preserve">Legislating for the United Kingdom’s withdrawal from the European Union </w:t>
      </w:r>
      <w:r w:rsidRPr="00F16BB7">
        <w:rPr>
          <w:rFonts w:ascii="Times New Roman" w:hAnsi="Times New Roman" w:cs="Times New Roman"/>
          <w:sz w:val="20"/>
          <w:szCs w:val="20"/>
        </w:rPr>
        <w:t>(Cm 9446).</w:t>
      </w:r>
    </w:p>
  </w:footnote>
  <w:footnote w:id="4">
    <w:p w14:paraId="3829FA8F" w14:textId="20A5C89B" w:rsidR="0086692A" w:rsidRPr="00F16BB7" w:rsidRDefault="0086692A" w:rsidP="00E772BE">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w:t>
      </w:r>
      <w:r w:rsidRPr="00F16BB7">
        <w:rPr>
          <w:rFonts w:ascii="Times New Roman" w:hAnsi="Times New Roman" w:cs="Times New Roman"/>
          <w:i/>
          <w:sz w:val="20"/>
          <w:szCs w:val="20"/>
        </w:rPr>
        <w:t xml:space="preserve">R (on the application of Miller) v Secretary of State for Exiting the European Union </w:t>
      </w:r>
      <w:r w:rsidRPr="00F16BB7">
        <w:rPr>
          <w:rFonts w:ascii="Times New Roman" w:hAnsi="Times New Roman" w:cs="Times New Roman"/>
          <w:sz w:val="20"/>
          <w:szCs w:val="20"/>
        </w:rPr>
        <w:t>[2017] UKSC 5.</w:t>
      </w:r>
    </w:p>
  </w:footnote>
  <w:footnote w:id="5">
    <w:p w14:paraId="6F0687A4" w14:textId="4969E16F" w:rsidR="0086692A" w:rsidRPr="00F16BB7" w:rsidRDefault="0086692A" w:rsidP="00E772BE">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HM Government, </w:t>
      </w:r>
      <w:r w:rsidRPr="00F16BB7">
        <w:rPr>
          <w:rFonts w:ascii="Times New Roman" w:hAnsi="Times New Roman" w:cs="Times New Roman"/>
          <w:i/>
          <w:sz w:val="20"/>
          <w:szCs w:val="20"/>
        </w:rPr>
        <w:t>The United Kingdom’s exit from and new partnership with the European Union</w:t>
      </w:r>
      <w:r w:rsidRPr="00F16BB7">
        <w:rPr>
          <w:rFonts w:ascii="Times New Roman" w:hAnsi="Times New Roman" w:cs="Times New Roman"/>
          <w:sz w:val="20"/>
          <w:szCs w:val="20"/>
        </w:rPr>
        <w:t xml:space="preserve"> (Cm 9417) especially Section 2.</w:t>
      </w:r>
    </w:p>
  </w:footnote>
  <w:footnote w:id="6">
    <w:p w14:paraId="75BACE05" w14:textId="17F4D130" w:rsidR="0086692A" w:rsidRPr="00F16BB7" w:rsidRDefault="0086692A" w:rsidP="00E772BE">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See </w:t>
      </w:r>
      <w:hyperlink r:id="rId4" w:history="1">
        <w:r w:rsidRPr="00F16BB7">
          <w:rPr>
            <w:rStyle w:val="Hyperlink"/>
            <w:rFonts w:ascii="Times New Roman" w:hAnsi="Times New Roman" w:cs="Times New Roman"/>
            <w:sz w:val="20"/>
            <w:szCs w:val="20"/>
          </w:rPr>
          <w:t>http://www.ukip.org/75_of_our_laws_are_made_by_eu_institutions_says_senior_european_commissioner_viviane_reding</w:t>
        </w:r>
      </w:hyperlink>
      <w:r w:rsidRPr="00F16BB7">
        <w:rPr>
          <w:rFonts w:ascii="Times New Roman" w:hAnsi="Times New Roman" w:cs="Times New Roman"/>
          <w:sz w:val="20"/>
          <w:szCs w:val="20"/>
        </w:rPr>
        <w:t xml:space="preserve">. </w:t>
      </w:r>
    </w:p>
  </w:footnote>
  <w:footnote w:id="7">
    <w:p w14:paraId="1DDCA6E9" w14:textId="1BE09CC9" w:rsidR="0086692A" w:rsidRPr="00F16BB7" w:rsidRDefault="0086692A" w:rsidP="00E772BE">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See </w:t>
      </w:r>
      <w:hyperlink r:id="rId5" w:history="1">
        <w:r w:rsidRPr="00F16BB7">
          <w:rPr>
            <w:rStyle w:val="Hyperlink"/>
            <w:rFonts w:ascii="Times New Roman" w:hAnsi="Times New Roman" w:cs="Times New Roman"/>
            <w:sz w:val="20"/>
            <w:szCs w:val="20"/>
          </w:rPr>
          <w:t>http://data.parliament.uk/writtenevid</w:t>
        </w:r>
        <w:r w:rsidRPr="00F16BB7">
          <w:rPr>
            <w:rStyle w:val="Hyperlink"/>
            <w:rFonts w:ascii="Times New Roman" w:hAnsi="Times New Roman" w:cs="Times New Roman"/>
            <w:sz w:val="20"/>
            <w:szCs w:val="20"/>
          </w:rPr>
          <w:t>e</w:t>
        </w:r>
        <w:r w:rsidRPr="00F16BB7">
          <w:rPr>
            <w:rStyle w:val="Hyperlink"/>
            <w:rFonts w:ascii="Times New Roman" w:hAnsi="Times New Roman" w:cs="Times New Roman"/>
            <w:sz w:val="20"/>
            <w:szCs w:val="20"/>
          </w:rPr>
          <w:t>nce/committeeevidence.svc/evidencedocument/treasury-committee/the-economic-and-financial-costs-and-benefits-of-uks-eu-membership/oral/31014.html</w:t>
        </w:r>
      </w:hyperlink>
      <w:r w:rsidRPr="00F16BB7">
        <w:rPr>
          <w:rFonts w:ascii="Times New Roman" w:hAnsi="Times New Roman" w:cs="Times New Roman"/>
          <w:sz w:val="20"/>
          <w:szCs w:val="20"/>
        </w:rPr>
        <w:t xml:space="preserve">. </w:t>
      </w:r>
    </w:p>
  </w:footnote>
  <w:footnote w:id="8">
    <w:p w14:paraId="0C590CF7" w14:textId="0890D936" w:rsidR="0086692A" w:rsidRPr="00F16BB7" w:rsidRDefault="0086692A" w:rsidP="00E772BE">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See </w:t>
      </w:r>
      <w:hyperlink r:id="rId6" w:history="1">
        <w:r w:rsidRPr="00F16BB7">
          <w:rPr>
            <w:rStyle w:val="Hyperlink"/>
            <w:rFonts w:ascii="Times New Roman" w:hAnsi="Times New Roman" w:cs="Times New Roman"/>
            <w:sz w:val="20"/>
            <w:szCs w:val="20"/>
          </w:rPr>
          <w:t>https://secondreading.uk/vaughne-miller/how-much-legislation-comes-from-europe/</w:t>
        </w:r>
      </w:hyperlink>
      <w:r w:rsidRPr="00F16BB7">
        <w:rPr>
          <w:rFonts w:ascii="Times New Roman" w:hAnsi="Times New Roman" w:cs="Times New Roman"/>
          <w:sz w:val="20"/>
          <w:szCs w:val="20"/>
        </w:rPr>
        <w:t xml:space="preserve">. </w:t>
      </w:r>
    </w:p>
  </w:footnote>
  <w:footnote w:id="9">
    <w:p w14:paraId="45FD4E2E" w14:textId="22F84F82" w:rsidR="0086692A" w:rsidRPr="00F16BB7" w:rsidRDefault="0086692A" w:rsidP="00E772BE">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Eg </w:t>
      </w:r>
      <w:hyperlink r:id="rId7" w:history="1">
        <w:r w:rsidRPr="00F16BB7">
          <w:rPr>
            <w:rStyle w:val="Hyperlink"/>
            <w:rFonts w:ascii="Times New Roman" w:hAnsi="Times New Roman" w:cs="Times New Roman"/>
            <w:sz w:val="20"/>
            <w:szCs w:val="20"/>
          </w:rPr>
          <w:t>https://www.thesun.co.uk/archives/politics/1139354/boris-johnson-uk-and-america-can-be-better-friends-than-ever-mr-obama-if-we-leave-the-eu/</w:t>
        </w:r>
      </w:hyperlink>
      <w:r w:rsidRPr="00F16BB7">
        <w:rPr>
          <w:rFonts w:ascii="Times New Roman" w:hAnsi="Times New Roman" w:cs="Times New Roman"/>
          <w:sz w:val="20"/>
          <w:szCs w:val="20"/>
        </w:rPr>
        <w:t xml:space="preserve">. </w:t>
      </w:r>
    </w:p>
  </w:footnote>
  <w:footnote w:id="10">
    <w:p w14:paraId="555D3BC1" w14:textId="1BA49F2C" w:rsidR="0086692A" w:rsidRPr="00F16BB7" w:rsidRDefault="0086692A" w:rsidP="00E772BE">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Available, eg via </w:t>
      </w:r>
      <w:hyperlink r:id="rId8" w:history="1">
        <w:r w:rsidRPr="00F16BB7">
          <w:rPr>
            <w:rStyle w:val="Hyperlink"/>
            <w:rFonts w:ascii="Times New Roman" w:hAnsi="Times New Roman" w:cs="Times New Roman"/>
            <w:sz w:val="20"/>
            <w:szCs w:val="20"/>
          </w:rPr>
          <w:t>http://tcpresearch.weebly.com/uploads/2/1/7/1/21715546/percentagelaws.pdf</w:t>
        </w:r>
      </w:hyperlink>
      <w:r w:rsidRPr="00F16BB7">
        <w:rPr>
          <w:rFonts w:ascii="Times New Roman" w:hAnsi="Times New Roman" w:cs="Times New Roman"/>
          <w:sz w:val="20"/>
          <w:szCs w:val="20"/>
        </w:rPr>
        <w:t xml:space="preserve">.  The lead author is identified as Tim Philpott.  It is unclear whether this individual holds any particular training, qualifications, skills, experience or external peer validation in the field of legal research.  </w:t>
      </w:r>
      <w:r w:rsidR="00AC0225">
        <w:rPr>
          <w:rFonts w:ascii="Times New Roman" w:hAnsi="Times New Roman" w:cs="Times New Roman"/>
          <w:sz w:val="20"/>
          <w:szCs w:val="20"/>
        </w:rPr>
        <w:t xml:space="preserve">Research funding was provided by the “Politics and Economics Research Trust” – a charity resourced by private donations which has been accused of improper political bias towards Europhobic campaign groups: eg </w:t>
      </w:r>
      <w:hyperlink r:id="rId9" w:history="1">
        <w:r w:rsidR="00AC0225" w:rsidRPr="00403CB9">
          <w:rPr>
            <w:rStyle w:val="Hyperlink"/>
            <w:rFonts w:ascii="Times New Roman" w:hAnsi="Times New Roman" w:cs="Times New Roman"/>
            <w:sz w:val="20"/>
            <w:szCs w:val="20"/>
          </w:rPr>
          <w:t>http://www.thirdsector.co.uk/charity-commission-investigates-claims-politics-economics-research-trust-broke-political-campaigning-rules/governance/article/1376805</w:t>
        </w:r>
      </w:hyperlink>
      <w:r w:rsidR="00AC0225">
        <w:rPr>
          <w:rFonts w:ascii="Times New Roman" w:hAnsi="Times New Roman" w:cs="Times New Roman"/>
          <w:sz w:val="20"/>
          <w:szCs w:val="20"/>
        </w:rPr>
        <w:t xml:space="preserve">. </w:t>
      </w:r>
    </w:p>
  </w:footnote>
  <w:footnote w:id="11">
    <w:p w14:paraId="45977D40" w14:textId="21822406" w:rsidR="0086692A" w:rsidRPr="00F16BB7" w:rsidRDefault="0086692A" w:rsidP="00E772BE">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See Business for Britain, </w:t>
      </w:r>
      <w:r w:rsidRPr="00F16BB7">
        <w:rPr>
          <w:rFonts w:ascii="Times New Roman" w:hAnsi="Times New Roman" w:cs="Times New Roman"/>
          <w:i/>
          <w:sz w:val="20"/>
          <w:szCs w:val="20"/>
        </w:rPr>
        <w:t>7% or 75%?  The EU’s influence over British Law: The Definitive Answer</w:t>
      </w:r>
      <w:r w:rsidRPr="00F16BB7">
        <w:rPr>
          <w:rFonts w:ascii="Times New Roman" w:hAnsi="Times New Roman" w:cs="Times New Roman"/>
          <w:sz w:val="20"/>
          <w:szCs w:val="20"/>
        </w:rPr>
        <w:t xml:space="preserve"> (</w:t>
      </w:r>
      <w:r w:rsidRPr="00F16BB7">
        <w:rPr>
          <w:rFonts w:ascii="Times New Roman" w:hAnsi="Times New Roman" w:cs="Times New Roman"/>
          <w:color w:val="2A2A2A"/>
          <w:sz w:val="20"/>
          <w:szCs w:val="20"/>
          <w:lang w:val="en-US"/>
        </w:rPr>
        <w:t>March 2015) p 7</w:t>
      </w:r>
      <w:r>
        <w:rPr>
          <w:rFonts w:ascii="Times New Roman" w:hAnsi="Times New Roman" w:cs="Times New Roman"/>
          <w:color w:val="2A2A2A"/>
          <w:sz w:val="20"/>
          <w:szCs w:val="20"/>
          <w:lang w:val="en-US"/>
        </w:rPr>
        <w:t xml:space="preserve"> (then continuing throughout)</w:t>
      </w:r>
      <w:r w:rsidRPr="00F16BB7">
        <w:rPr>
          <w:rFonts w:ascii="Times New Roman" w:hAnsi="Times New Roman" w:cs="Times New Roman"/>
          <w:color w:val="2A2A2A"/>
          <w:sz w:val="20"/>
          <w:szCs w:val="20"/>
          <w:lang w:val="en-US"/>
        </w:rPr>
        <w:t>.</w:t>
      </w:r>
    </w:p>
  </w:footnote>
  <w:footnote w:id="12">
    <w:p w14:paraId="313BDD9D" w14:textId="03419839" w:rsidR="0086692A" w:rsidRPr="00F16BB7" w:rsidRDefault="0086692A">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w:t>
      </w:r>
      <w:r w:rsidRPr="00F16BB7">
        <w:rPr>
          <w:rFonts w:ascii="Times New Roman" w:hAnsi="Times New Roman" w:cs="Times New Roman"/>
          <w:sz w:val="20"/>
          <w:szCs w:val="20"/>
          <w:lang w:val="en-US"/>
        </w:rPr>
        <w:t>Regulations are defined by Article 288 TFEU as measures having general application, binding in their entirety and directly applicable in all Member States.</w:t>
      </w:r>
    </w:p>
  </w:footnote>
  <w:footnote w:id="13">
    <w:p w14:paraId="0F7A7801" w14:textId="00AF8195" w:rsidR="0086692A" w:rsidRPr="00F16BB7" w:rsidRDefault="0086692A">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w:t>
      </w:r>
      <w:r w:rsidRPr="00F16BB7">
        <w:rPr>
          <w:rFonts w:ascii="Times New Roman" w:hAnsi="Times New Roman" w:cs="Times New Roman"/>
          <w:sz w:val="20"/>
          <w:szCs w:val="20"/>
          <w:lang w:val="en-US"/>
        </w:rPr>
        <w:t xml:space="preserve">Directives are defined by Article 288 TFEU as measures binding as to the result to be achieved, upon each Member State to which they are addressed, but leaving the national authorities the choice of form and methods.  </w:t>
      </w:r>
    </w:p>
  </w:footnote>
  <w:footnote w:id="14">
    <w:p w14:paraId="0DB31623" w14:textId="5CD0B747" w:rsidR="0086692A" w:rsidRPr="00F16BB7" w:rsidRDefault="0086692A" w:rsidP="00E772BE">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See Article 289 TFEU.  </w:t>
      </w:r>
    </w:p>
  </w:footnote>
  <w:footnote w:id="15">
    <w:p w14:paraId="3F264AE8" w14:textId="4E14043F" w:rsidR="0086692A" w:rsidRPr="00F16BB7" w:rsidRDefault="0086692A" w:rsidP="00E772BE">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See Articles 290 and 291 TFEU.  </w:t>
      </w:r>
    </w:p>
  </w:footnote>
  <w:footnote w:id="16">
    <w:p w14:paraId="7548A75B" w14:textId="247459B0" w:rsidR="0086692A" w:rsidRPr="00F16BB7" w:rsidRDefault="0086692A">
      <w:pPr>
        <w:pStyle w:val="FootnoteText"/>
        <w:rPr>
          <w:rFonts w:ascii="Times New Roman" w:hAnsi="Times New Roman" w:cs="Times New Roman"/>
          <w:sz w:val="20"/>
          <w:szCs w:val="20"/>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w:t>
      </w:r>
      <w:r w:rsidRPr="00F16BB7">
        <w:rPr>
          <w:rFonts w:ascii="Times New Roman" w:hAnsi="Times New Roman" w:cs="Times New Roman"/>
          <w:sz w:val="20"/>
          <w:szCs w:val="20"/>
          <w:lang w:val="en-US"/>
        </w:rPr>
        <w:t xml:space="preserve">The author’s favourite example was Commission Implementing Regulation 2015/1746 [2015] OJ L256/5.  Its sole substantive article reads, “[i]n the second paragraph of Article 2 of Implementing Regulation (EU) No 750/2014, the date ‘31 October 2015’ is replaced by ‘31 October 2016’ – </w:t>
      </w:r>
      <w:r>
        <w:rPr>
          <w:rFonts w:ascii="Times New Roman" w:hAnsi="Times New Roman" w:cs="Times New Roman"/>
          <w:sz w:val="20"/>
          <w:szCs w:val="20"/>
          <w:lang w:val="en-US"/>
        </w:rPr>
        <w:t xml:space="preserve">thus </w:t>
      </w:r>
      <w:r w:rsidRPr="00F16BB7">
        <w:rPr>
          <w:rFonts w:ascii="Times New Roman" w:hAnsi="Times New Roman" w:cs="Times New Roman"/>
          <w:sz w:val="20"/>
          <w:szCs w:val="20"/>
          <w:lang w:val="en-US"/>
        </w:rPr>
        <w:t xml:space="preserve">extending the period during which the competent authorities should undertake precautionary checks against the possible introduction of a novel </w:t>
      </w:r>
      <w:r>
        <w:rPr>
          <w:rFonts w:ascii="Times New Roman" w:hAnsi="Times New Roman" w:cs="Times New Roman"/>
          <w:sz w:val="20"/>
          <w:szCs w:val="20"/>
          <w:lang w:val="en-US"/>
        </w:rPr>
        <w:t xml:space="preserve">strain of </w:t>
      </w:r>
      <w:r w:rsidRPr="00F16BB7">
        <w:rPr>
          <w:rFonts w:ascii="Times New Roman" w:hAnsi="Times New Roman" w:cs="Times New Roman"/>
          <w:sz w:val="20"/>
          <w:szCs w:val="20"/>
          <w:lang w:val="en-US"/>
        </w:rPr>
        <w:t xml:space="preserve">pig diarrhoea from North America into Europe.  </w:t>
      </w:r>
    </w:p>
  </w:footnote>
  <w:footnote w:id="17">
    <w:p w14:paraId="665BE42F" w14:textId="004DDF27" w:rsidR="0086692A" w:rsidRPr="00F16BB7" w:rsidRDefault="0086692A" w:rsidP="00E772BE">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Ie without any specific or individual addressee: see Article 288 TFEU.  </w:t>
      </w:r>
    </w:p>
  </w:footnote>
  <w:footnote w:id="18">
    <w:p w14:paraId="749A465D" w14:textId="21B31538" w:rsidR="0086692A" w:rsidRPr="00F16BB7" w:rsidRDefault="0086692A" w:rsidP="00E772BE">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Protocol No 15 on certain provisions relating to the United Kingdom of Great Britain and Northern Ireland (annexed to the TEU and TFEU).</w:t>
      </w:r>
    </w:p>
  </w:footnote>
  <w:footnote w:id="19">
    <w:p w14:paraId="487E0FF7" w14:textId="725B31CB" w:rsidR="0086692A" w:rsidRPr="00F16BB7" w:rsidRDefault="0086692A" w:rsidP="00E772BE">
      <w:pPr>
        <w:pStyle w:val="FootnoteText"/>
        <w:rPr>
          <w:rFonts w:ascii="Times New Roman" w:hAnsi="Times New Roman" w:cs="Times New Roman"/>
          <w:sz w:val="20"/>
          <w:szCs w:val="20"/>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Protocol No 19 on the Schengen </w:t>
      </w:r>
      <w:r w:rsidRPr="00F16BB7">
        <w:rPr>
          <w:rFonts w:ascii="Times New Roman" w:hAnsi="Times New Roman" w:cs="Times New Roman"/>
          <w:i/>
          <w:sz w:val="20"/>
          <w:szCs w:val="20"/>
        </w:rPr>
        <w:t>acquis</w:t>
      </w:r>
      <w:r w:rsidRPr="00F16BB7">
        <w:rPr>
          <w:rFonts w:ascii="Times New Roman" w:hAnsi="Times New Roman" w:cs="Times New Roman"/>
          <w:sz w:val="20"/>
          <w:szCs w:val="20"/>
        </w:rPr>
        <w:t xml:space="preserve"> integrated into the framework of the European Union; Protocol No 20 on the application of certain aspects of Article 26 TFEU to the United Kingdom and to Ireland; Protocol No 21 on the position of the United Kingdom and Ireland in respect of the Area of Freedom, Security and Justice (all annexed to the TEU and TFEU).</w:t>
      </w:r>
    </w:p>
  </w:footnote>
  <w:footnote w:id="20">
    <w:p w14:paraId="16B6B621" w14:textId="1C6215EC" w:rsidR="0086692A" w:rsidRPr="00F16BB7" w:rsidRDefault="0086692A">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w:t>
      </w:r>
      <w:r w:rsidRPr="00F16BB7">
        <w:rPr>
          <w:rFonts w:ascii="Times New Roman" w:hAnsi="Times New Roman" w:cs="Times New Roman"/>
          <w:sz w:val="20"/>
          <w:szCs w:val="20"/>
          <w:lang w:val="en-US"/>
        </w:rPr>
        <w:t xml:space="preserve">To be fair on Business for Britain, its report </w:t>
      </w:r>
      <w:r>
        <w:rPr>
          <w:rFonts w:ascii="Times New Roman" w:hAnsi="Times New Roman" w:cs="Times New Roman"/>
          <w:sz w:val="20"/>
          <w:szCs w:val="20"/>
          <w:lang w:val="en-US"/>
        </w:rPr>
        <w:t xml:space="preserve">at least </w:t>
      </w:r>
      <w:r w:rsidRPr="00F16BB7">
        <w:rPr>
          <w:rFonts w:ascii="Times New Roman" w:hAnsi="Times New Roman" w:cs="Times New Roman"/>
          <w:sz w:val="20"/>
          <w:szCs w:val="20"/>
          <w:lang w:val="en-US"/>
        </w:rPr>
        <w:t xml:space="preserve">acknowledges </w:t>
      </w:r>
      <w:r>
        <w:rPr>
          <w:rFonts w:ascii="Times New Roman" w:hAnsi="Times New Roman" w:cs="Times New Roman"/>
          <w:sz w:val="20"/>
          <w:szCs w:val="20"/>
          <w:lang w:val="en-US"/>
        </w:rPr>
        <w:t xml:space="preserve">that certain challenges </w:t>
      </w:r>
      <w:r w:rsidRPr="00F16BB7">
        <w:rPr>
          <w:rFonts w:ascii="Times New Roman" w:hAnsi="Times New Roman" w:cs="Times New Roman"/>
          <w:sz w:val="20"/>
          <w:szCs w:val="20"/>
          <w:lang w:val="en-US"/>
        </w:rPr>
        <w:t xml:space="preserve">in compiling accurate statistics </w:t>
      </w:r>
      <w:r>
        <w:rPr>
          <w:rFonts w:ascii="Times New Roman" w:hAnsi="Times New Roman" w:cs="Times New Roman"/>
          <w:sz w:val="20"/>
          <w:szCs w:val="20"/>
          <w:lang w:val="en-US"/>
        </w:rPr>
        <w:t xml:space="preserve">have been identified in previous studies </w:t>
      </w:r>
      <w:r w:rsidRPr="00F16BB7">
        <w:rPr>
          <w:rFonts w:ascii="Times New Roman" w:hAnsi="Times New Roman" w:cs="Times New Roman"/>
          <w:sz w:val="20"/>
          <w:szCs w:val="20"/>
          <w:lang w:val="en-US"/>
        </w:rPr>
        <w:t xml:space="preserve">– but gives </w:t>
      </w:r>
      <w:r>
        <w:rPr>
          <w:rFonts w:ascii="Times New Roman" w:hAnsi="Times New Roman" w:cs="Times New Roman"/>
          <w:sz w:val="20"/>
          <w:szCs w:val="20"/>
          <w:lang w:val="en-US"/>
        </w:rPr>
        <w:t>no</w:t>
      </w:r>
      <w:r w:rsidRPr="00F16BB7">
        <w:rPr>
          <w:rFonts w:ascii="Times New Roman" w:hAnsi="Times New Roman" w:cs="Times New Roman"/>
          <w:sz w:val="20"/>
          <w:szCs w:val="20"/>
          <w:lang w:val="en-US"/>
        </w:rPr>
        <w:t xml:space="preserve"> indication that </w:t>
      </w:r>
      <w:r>
        <w:rPr>
          <w:rFonts w:ascii="Times New Roman" w:hAnsi="Times New Roman" w:cs="Times New Roman"/>
          <w:sz w:val="20"/>
          <w:szCs w:val="20"/>
          <w:lang w:val="en-US"/>
        </w:rPr>
        <w:t>/</w:t>
      </w:r>
      <w:r w:rsidRPr="00F16BB7">
        <w:rPr>
          <w:rFonts w:ascii="Times New Roman" w:hAnsi="Times New Roman" w:cs="Times New Roman"/>
          <w:sz w:val="20"/>
          <w:szCs w:val="20"/>
          <w:lang w:val="en-US"/>
        </w:rPr>
        <w:t xml:space="preserve"> how it takes </w:t>
      </w:r>
      <w:r>
        <w:rPr>
          <w:rFonts w:ascii="Times New Roman" w:hAnsi="Times New Roman" w:cs="Times New Roman"/>
          <w:sz w:val="20"/>
          <w:szCs w:val="20"/>
          <w:lang w:val="en-US"/>
        </w:rPr>
        <w:t xml:space="preserve">those challenges </w:t>
      </w:r>
      <w:r w:rsidRPr="00F16BB7">
        <w:rPr>
          <w:rFonts w:ascii="Times New Roman" w:hAnsi="Times New Roman" w:cs="Times New Roman"/>
          <w:sz w:val="20"/>
          <w:szCs w:val="20"/>
          <w:lang w:val="en-US"/>
        </w:rPr>
        <w:t>into account</w:t>
      </w:r>
      <w:r>
        <w:rPr>
          <w:rFonts w:ascii="Times New Roman" w:hAnsi="Times New Roman" w:cs="Times New Roman"/>
          <w:sz w:val="20"/>
          <w:szCs w:val="20"/>
          <w:lang w:val="en-US"/>
        </w:rPr>
        <w:t xml:space="preserve"> in any credible way; </w:t>
      </w:r>
      <w:r w:rsidRPr="00F16BB7">
        <w:rPr>
          <w:rFonts w:ascii="Times New Roman" w:hAnsi="Times New Roman" w:cs="Times New Roman"/>
          <w:sz w:val="20"/>
          <w:szCs w:val="20"/>
          <w:lang w:val="en-US"/>
        </w:rPr>
        <w:t xml:space="preserve">overlooks the </w:t>
      </w:r>
      <w:r>
        <w:rPr>
          <w:rFonts w:ascii="Times New Roman" w:hAnsi="Times New Roman" w:cs="Times New Roman"/>
          <w:sz w:val="20"/>
          <w:szCs w:val="20"/>
          <w:lang w:val="en-US"/>
        </w:rPr>
        <w:t xml:space="preserve">other </w:t>
      </w:r>
      <w:r w:rsidRPr="00F16BB7">
        <w:rPr>
          <w:rFonts w:ascii="Times New Roman" w:hAnsi="Times New Roman" w:cs="Times New Roman"/>
          <w:sz w:val="20"/>
          <w:szCs w:val="20"/>
          <w:lang w:val="en-US"/>
        </w:rPr>
        <w:t xml:space="preserve">key </w:t>
      </w:r>
      <w:r>
        <w:rPr>
          <w:rFonts w:ascii="Times New Roman" w:hAnsi="Times New Roman" w:cs="Times New Roman"/>
          <w:sz w:val="20"/>
          <w:szCs w:val="20"/>
          <w:lang w:val="en-US"/>
        </w:rPr>
        <w:t xml:space="preserve">problems </w:t>
      </w:r>
      <w:r w:rsidRPr="00F16BB7">
        <w:rPr>
          <w:rFonts w:ascii="Times New Roman" w:hAnsi="Times New Roman" w:cs="Times New Roman"/>
          <w:sz w:val="20"/>
          <w:szCs w:val="20"/>
          <w:lang w:val="en-US"/>
        </w:rPr>
        <w:t>identified here</w:t>
      </w:r>
      <w:r>
        <w:rPr>
          <w:rFonts w:ascii="Times New Roman" w:hAnsi="Times New Roman" w:cs="Times New Roman"/>
          <w:sz w:val="20"/>
          <w:szCs w:val="20"/>
          <w:lang w:val="en-US"/>
        </w:rPr>
        <w:t xml:space="preserve">; </w:t>
      </w:r>
      <w:r w:rsidRPr="00F16BB7">
        <w:rPr>
          <w:rFonts w:ascii="Times New Roman" w:hAnsi="Times New Roman" w:cs="Times New Roman"/>
          <w:sz w:val="20"/>
          <w:szCs w:val="20"/>
          <w:lang w:val="en-US"/>
        </w:rPr>
        <w:t xml:space="preserve">and </w:t>
      </w:r>
      <w:r>
        <w:rPr>
          <w:rFonts w:ascii="Times New Roman" w:hAnsi="Times New Roman" w:cs="Times New Roman"/>
          <w:sz w:val="20"/>
          <w:szCs w:val="20"/>
          <w:lang w:val="en-US"/>
        </w:rPr>
        <w:t xml:space="preserve">in any case </w:t>
      </w:r>
      <w:r w:rsidRPr="00F16BB7">
        <w:rPr>
          <w:rFonts w:ascii="Times New Roman" w:hAnsi="Times New Roman" w:cs="Times New Roman"/>
          <w:sz w:val="20"/>
          <w:szCs w:val="20"/>
          <w:lang w:val="en-US"/>
        </w:rPr>
        <w:t xml:space="preserve">does not allow any </w:t>
      </w:r>
      <w:r>
        <w:rPr>
          <w:rFonts w:ascii="Times New Roman" w:hAnsi="Times New Roman" w:cs="Times New Roman"/>
          <w:sz w:val="20"/>
          <w:szCs w:val="20"/>
          <w:lang w:val="en-US"/>
        </w:rPr>
        <w:t>such uncertainties</w:t>
      </w:r>
      <w:r w:rsidRPr="00F16BB7">
        <w:rPr>
          <w:rFonts w:ascii="Times New Roman" w:hAnsi="Times New Roman" w:cs="Times New Roman"/>
          <w:sz w:val="20"/>
          <w:szCs w:val="20"/>
          <w:lang w:val="en-US"/>
        </w:rPr>
        <w:t xml:space="preserve"> to muddy its </w:t>
      </w:r>
      <w:r>
        <w:rPr>
          <w:rFonts w:ascii="Times New Roman" w:hAnsi="Times New Roman" w:cs="Times New Roman"/>
          <w:sz w:val="20"/>
          <w:szCs w:val="20"/>
          <w:lang w:val="en-US"/>
        </w:rPr>
        <w:t xml:space="preserve">claim to </w:t>
      </w:r>
      <w:r w:rsidRPr="00F16BB7">
        <w:rPr>
          <w:rFonts w:ascii="Times New Roman" w:hAnsi="Times New Roman" w:cs="Times New Roman"/>
          <w:sz w:val="20"/>
          <w:szCs w:val="20"/>
          <w:lang w:val="en-US"/>
        </w:rPr>
        <w:t>“definitive” conclusions</w:t>
      </w:r>
      <w:r>
        <w:rPr>
          <w:rFonts w:ascii="Times New Roman" w:hAnsi="Times New Roman" w:cs="Times New Roman"/>
          <w:sz w:val="20"/>
          <w:szCs w:val="20"/>
          <w:lang w:val="en-US"/>
        </w:rPr>
        <w:t xml:space="preserve">.  See </w:t>
      </w:r>
      <w:r w:rsidRPr="00F16BB7">
        <w:rPr>
          <w:rFonts w:ascii="Times New Roman" w:hAnsi="Times New Roman" w:cs="Times New Roman"/>
          <w:sz w:val="20"/>
          <w:szCs w:val="20"/>
        </w:rPr>
        <w:t xml:space="preserve">Business for Britain, </w:t>
      </w:r>
      <w:r w:rsidRPr="00F16BB7">
        <w:rPr>
          <w:rFonts w:ascii="Times New Roman" w:hAnsi="Times New Roman" w:cs="Times New Roman"/>
          <w:i/>
          <w:sz w:val="20"/>
          <w:szCs w:val="20"/>
        </w:rPr>
        <w:t>7% or 75%?  The EU’s influence over British Law: The Definitive Answer</w:t>
      </w:r>
      <w:r w:rsidRPr="00F16BB7">
        <w:rPr>
          <w:rFonts w:ascii="Times New Roman" w:hAnsi="Times New Roman" w:cs="Times New Roman"/>
          <w:sz w:val="20"/>
          <w:szCs w:val="20"/>
        </w:rPr>
        <w:t xml:space="preserve"> (</w:t>
      </w:r>
      <w:r w:rsidRPr="00F16BB7">
        <w:rPr>
          <w:rFonts w:ascii="Times New Roman" w:hAnsi="Times New Roman" w:cs="Times New Roman"/>
          <w:color w:val="2A2A2A"/>
          <w:sz w:val="20"/>
          <w:szCs w:val="20"/>
          <w:lang w:val="en-US"/>
        </w:rPr>
        <w:t xml:space="preserve">March 2015) </w:t>
      </w:r>
      <w:r>
        <w:rPr>
          <w:rFonts w:ascii="Times New Roman" w:hAnsi="Times New Roman" w:cs="Times New Roman"/>
          <w:color w:val="2A2A2A"/>
          <w:sz w:val="20"/>
          <w:szCs w:val="20"/>
          <w:lang w:val="en-US"/>
        </w:rPr>
        <w:t>pp 5-6</w:t>
      </w:r>
      <w:r w:rsidRPr="00F16BB7">
        <w:rPr>
          <w:rFonts w:ascii="Times New Roman" w:hAnsi="Times New Roman" w:cs="Times New Roman"/>
          <w:sz w:val="20"/>
          <w:szCs w:val="20"/>
          <w:lang w:val="en-US"/>
        </w:rPr>
        <w:t xml:space="preserve">.   </w:t>
      </w:r>
    </w:p>
  </w:footnote>
  <w:footnote w:id="21">
    <w:p w14:paraId="76ABEF3F" w14:textId="36E271CB" w:rsidR="0086692A" w:rsidRPr="00F16BB7" w:rsidRDefault="0086692A" w:rsidP="00E772BE">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See further, eg M Dougan, “The Treaty of Lisbon 2007: Winning Minds, Not Hearts” (2008) 45 </w:t>
      </w:r>
      <w:r w:rsidRPr="00F16BB7">
        <w:rPr>
          <w:rFonts w:ascii="Times New Roman" w:hAnsi="Times New Roman" w:cs="Times New Roman"/>
          <w:i/>
          <w:sz w:val="20"/>
          <w:szCs w:val="20"/>
        </w:rPr>
        <w:t xml:space="preserve">Common Market Law Review </w:t>
      </w:r>
      <w:r w:rsidRPr="00F16BB7">
        <w:rPr>
          <w:rFonts w:ascii="Times New Roman" w:hAnsi="Times New Roman" w:cs="Times New Roman"/>
          <w:sz w:val="20"/>
          <w:szCs w:val="20"/>
        </w:rPr>
        <w:t xml:space="preserve">617; J Bast, “Is There a Hierarchy of Legislative, Delegated and Implementing Acts?” in C F Bergström and D Ritleng (eds), </w:t>
      </w:r>
      <w:r w:rsidRPr="00F16BB7">
        <w:rPr>
          <w:rFonts w:ascii="Times New Roman" w:hAnsi="Times New Roman" w:cs="Times New Roman"/>
          <w:i/>
          <w:sz w:val="20"/>
          <w:szCs w:val="20"/>
        </w:rPr>
        <w:t>Rulemaking by the European Commission: The New System for Delegation of Powers</w:t>
      </w:r>
      <w:r w:rsidRPr="00F16BB7">
        <w:rPr>
          <w:rFonts w:ascii="Times New Roman" w:hAnsi="Times New Roman" w:cs="Times New Roman"/>
          <w:sz w:val="20"/>
          <w:szCs w:val="20"/>
        </w:rPr>
        <w:t xml:space="preserve"> (OUP, Oxford, 2016).</w:t>
      </w:r>
    </w:p>
  </w:footnote>
  <w:footnote w:id="22">
    <w:p w14:paraId="3258BE9B" w14:textId="7C73E2F8" w:rsidR="0086692A" w:rsidRPr="00F16BB7" w:rsidRDefault="0086692A" w:rsidP="00E772BE">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Eg for the purposes of individual standing to bring judicial review proceedings against Union measures under what is now Article 263 TFEU; or for determining the limits of the Council’s power to delegate certain implementing powers to the Commission under what is now Article 291 TFEU.  </w:t>
      </w:r>
    </w:p>
  </w:footnote>
  <w:footnote w:id="23">
    <w:p w14:paraId="2EC1DFC6" w14:textId="0B5BE87A" w:rsidR="0086692A" w:rsidRPr="00F16BB7" w:rsidRDefault="0086692A">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w:t>
      </w:r>
      <w:r w:rsidRPr="00F16BB7">
        <w:rPr>
          <w:rFonts w:ascii="Times New Roman" w:hAnsi="Times New Roman" w:cs="Times New Roman"/>
          <w:sz w:val="20"/>
          <w:szCs w:val="20"/>
          <w:lang w:val="en-US"/>
        </w:rPr>
        <w:t>To say nothing of those EU measures that implement international obligations (in fields such as environmental protection and financial services regulation) which would be binding on the UK in any event.</w:t>
      </w:r>
    </w:p>
  </w:footnote>
  <w:footnote w:id="24">
    <w:p w14:paraId="5596F01A" w14:textId="38C742B1" w:rsidR="0086692A" w:rsidRPr="00F16BB7" w:rsidRDefault="0086692A">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w:t>
      </w:r>
      <w:r w:rsidRPr="00F16BB7">
        <w:rPr>
          <w:rFonts w:ascii="Times New Roman" w:hAnsi="Times New Roman" w:cs="Times New Roman"/>
          <w:sz w:val="20"/>
          <w:szCs w:val="20"/>
          <w:lang w:val="en-US"/>
        </w:rPr>
        <w:t xml:space="preserve">See </w:t>
      </w:r>
      <w:hyperlink r:id="rId10" w:history="1">
        <w:r w:rsidRPr="00F16BB7">
          <w:rPr>
            <w:rStyle w:val="Hyperlink"/>
            <w:rFonts w:ascii="Times New Roman" w:hAnsi="Times New Roman" w:cs="Times New Roman"/>
            <w:sz w:val="20"/>
            <w:szCs w:val="20"/>
            <w:lang w:val="en-US"/>
          </w:rPr>
          <w:t>https://www.gov.uk/guidance/review-of-the-balance-of-competences</w:t>
        </w:r>
      </w:hyperlink>
      <w:r w:rsidRPr="00F16BB7">
        <w:rPr>
          <w:rFonts w:ascii="Times New Roman" w:hAnsi="Times New Roman" w:cs="Times New Roman"/>
          <w:sz w:val="20"/>
          <w:szCs w:val="20"/>
          <w:lang w:val="en-US"/>
        </w:rPr>
        <w:t xml:space="preserve">. </w:t>
      </w:r>
    </w:p>
  </w:footnote>
  <w:footnote w:id="25">
    <w:p w14:paraId="527873EE" w14:textId="6A4BEDEE" w:rsidR="0086692A" w:rsidRPr="00F16BB7" w:rsidRDefault="0086692A">
      <w:pPr>
        <w:pStyle w:val="FootnoteText"/>
        <w:rPr>
          <w:rFonts w:ascii="Times New Roman" w:hAnsi="Times New Roman" w:cs="Times New Roman"/>
          <w:sz w:val="20"/>
          <w:szCs w:val="20"/>
          <w:lang w:val="en-US"/>
        </w:rPr>
      </w:pPr>
      <w:r w:rsidRPr="00F16BB7">
        <w:rPr>
          <w:rStyle w:val="FootnoteReference"/>
          <w:rFonts w:ascii="Times New Roman" w:hAnsi="Times New Roman" w:cs="Times New Roman"/>
          <w:sz w:val="20"/>
          <w:szCs w:val="20"/>
        </w:rPr>
        <w:footnoteRef/>
      </w:r>
      <w:r w:rsidRPr="00F16BB7">
        <w:rPr>
          <w:rFonts w:ascii="Times New Roman" w:hAnsi="Times New Roman" w:cs="Times New Roman"/>
          <w:sz w:val="20"/>
          <w:szCs w:val="20"/>
        </w:rPr>
        <w:t xml:space="preserve"> </w:t>
      </w:r>
      <w:r w:rsidRPr="00F16BB7">
        <w:rPr>
          <w:rFonts w:ascii="Times New Roman" w:hAnsi="Times New Roman" w:cs="Times New Roman"/>
          <w:sz w:val="20"/>
          <w:szCs w:val="20"/>
          <w:lang w:val="en-US"/>
        </w:rPr>
        <w:t xml:space="preserve">On the abuse of academics by Leave campaigners before and after the referendum campaign: </w:t>
      </w:r>
      <w:r w:rsidRPr="00F16BB7">
        <w:rPr>
          <w:rFonts w:ascii="Times New Roman" w:hAnsi="Times New Roman" w:cs="Times New Roman"/>
          <w:sz w:val="20"/>
          <w:szCs w:val="20"/>
        </w:rPr>
        <w:t xml:space="preserve">M Dougan (ed), </w:t>
      </w:r>
      <w:r w:rsidRPr="00F16BB7">
        <w:rPr>
          <w:rFonts w:ascii="Times New Roman" w:hAnsi="Times New Roman" w:cs="Times New Roman"/>
          <w:i/>
          <w:sz w:val="20"/>
          <w:szCs w:val="20"/>
        </w:rPr>
        <w:t xml:space="preserve">The UK After Brexit: Legal and Policy Challenges </w:t>
      </w:r>
      <w:r w:rsidRPr="00F16BB7">
        <w:rPr>
          <w:rFonts w:ascii="Times New Roman" w:hAnsi="Times New Roman" w:cs="Times New Roman"/>
          <w:sz w:val="20"/>
          <w:szCs w:val="20"/>
        </w:rPr>
        <w:t xml:space="preserve">(Intersentia, Cambridge, 2017): Editor’s Introduction.  </w:t>
      </w:r>
      <w:r w:rsidRPr="00F16BB7">
        <w:rPr>
          <w:rFonts w:ascii="Times New Roman" w:hAnsi="Times New Roman" w:cs="Times New Roman"/>
          <w:sz w:val="20"/>
          <w:szCs w:val="20"/>
          <w:lang w:val="en-US"/>
        </w:rPr>
        <w:t xml:space="preserve">Note that an earlier version of this paper </w:t>
      </w:r>
      <w:r>
        <w:rPr>
          <w:rFonts w:ascii="Times New Roman" w:hAnsi="Times New Roman" w:cs="Times New Roman"/>
          <w:sz w:val="20"/>
          <w:szCs w:val="20"/>
          <w:lang w:val="en-US"/>
        </w:rPr>
        <w:t xml:space="preserve">was submitted </w:t>
      </w:r>
      <w:r w:rsidRPr="00F16BB7">
        <w:rPr>
          <w:rFonts w:ascii="Times New Roman" w:hAnsi="Times New Roman" w:cs="Times New Roman"/>
          <w:sz w:val="20"/>
          <w:szCs w:val="20"/>
          <w:lang w:val="en-US"/>
        </w:rPr>
        <w:t xml:space="preserve">as written evidence to the Treasury Committee: it is interesting to </w:t>
      </w:r>
      <w:r>
        <w:rPr>
          <w:rFonts w:ascii="Times New Roman" w:hAnsi="Times New Roman" w:cs="Times New Roman"/>
          <w:sz w:val="20"/>
          <w:szCs w:val="20"/>
          <w:lang w:val="en-US"/>
        </w:rPr>
        <w:t xml:space="preserve">read </w:t>
      </w:r>
      <w:r w:rsidRPr="00F16BB7">
        <w:rPr>
          <w:rFonts w:ascii="Times New Roman" w:hAnsi="Times New Roman" w:cs="Times New Roman"/>
          <w:sz w:val="20"/>
          <w:szCs w:val="20"/>
          <w:lang w:val="en-US"/>
        </w:rPr>
        <w:t xml:space="preserve">the </w:t>
      </w:r>
      <w:r>
        <w:rPr>
          <w:rFonts w:ascii="Times New Roman" w:hAnsi="Times New Roman" w:cs="Times New Roman"/>
          <w:sz w:val="20"/>
          <w:szCs w:val="20"/>
          <w:lang w:val="en-US"/>
        </w:rPr>
        <w:t xml:space="preserve">subsequent insinuations of bias against the present author made, without any sense of irony, by prominent </w:t>
      </w:r>
      <w:r w:rsidRPr="00F16BB7">
        <w:rPr>
          <w:rFonts w:ascii="Times New Roman" w:hAnsi="Times New Roman" w:cs="Times New Roman"/>
          <w:sz w:val="20"/>
          <w:szCs w:val="20"/>
          <w:lang w:val="en-US"/>
        </w:rPr>
        <w:t xml:space="preserve">Europhobe Rees-Mogg MP: </w:t>
      </w:r>
      <w:hyperlink r:id="rId11" w:history="1">
        <w:r w:rsidRPr="00F16BB7">
          <w:rPr>
            <w:rStyle w:val="Hyperlink"/>
            <w:rFonts w:ascii="Times New Roman" w:hAnsi="Times New Roman" w:cs="Times New Roman"/>
            <w:sz w:val="20"/>
            <w:szCs w:val="20"/>
            <w:lang w:val="en-US"/>
          </w:rPr>
          <w:t>http://data.parliament.uk/writtenevidence/committeeevidence.svc/evidencedocument/treasury-committee/the-economic-and-financial-costs-and-benefits-of-uks-eu-membership/oral/31014.html</w:t>
        </w:r>
      </w:hyperlink>
      <w:r w:rsidRPr="00F16BB7">
        <w:rPr>
          <w:rFonts w:ascii="Times New Roman" w:hAnsi="Times New Roman" w:cs="Times New Roman"/>
          <w:sz w:val="20"/>
          <w:szCs w:val="20"/>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56F4A"/>
    <w:multiLevelType w:val="hybridMultilevel"/>
    <w:tmpl w:val="6B4C9F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FC0453"/>
    <w:multiLevelType w:val="hybridMultilevel"/>
    <w:tmpl w:val="C3C29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A2"/>
    <w:rsid w:val="00003E58"/>
    <w:rsid w:val="00015077"/>
    <w:rsid w:val="00051997"/>
    <w:rsid w:val="00052112"/>
    <w:rsid w:val="00080A89"/>
    <w:rsid w:val="00095427"/>
    <w:rsid w:val="00114743"/>
    <w:rsid w:val="00131B81"/>
    <w:rsid w:val="001546F3"/>
    <w:rsid w:val="001550B0"/>
    <w:rsid w:val="001841B3"/>
    <w:rsid w:val="00197A33"/>
    <w:rsid w:val="001A6CD2"/>
    <w:rsid w:val="0023555E"/>
    <w:rsid w:val="002970BF"/>
    <w:rsid w:val="003227D9"/>
    <w:rsid w:val="0034667C"/>
    <w:rsid w:val="00372D53"/>
    <w:rsid w:val="00375AC3"/>
    <w:rsid w:val="003F5E3A"/>
    <w:rsid w:val="00411DC1"/>
    <w:rsid w:val="004156E5"/>
    <w:rsid w:val="00451F26"/>
    <w:rsid w:val="0046562B"/>
    <w:rsid w:val="004820A0"/>
    <w:rsid w:val="00487F81"/>
    <w:rsid w:val="0053407C"/>
    <w:rsid w:val="0057295E"/>
    <w:rsid w:val="00692EA2"/>
    <w:rsid w:val="006B15A8"/>
    <w:rsid w:val="006D0A3D"/>
    <w:rsid w:val="006E7E8E"/>
    <w:rsid w:val="0070729B"/>
    <w:rsid w:val="00712E4C"/>
    <w:rsid w:val="00761B53"/>
    <w:rsid w:val="00797ABC"/>
    <w:rsid w:val="007A2B51"/>
    <w:rsid w:val="007A660D"/>
    <w:rsid w:val="007F5B25"/>
    <w:rsid w:val="00800166"/>
    <w:rsid w:val="00855705"/>
    <w:rsid w:val="0086692A"/>
    <w:rsid w:val="008B14B2"/>
    <w:rsid w:val="008B70D4"/>
    <w:rsid w:val="008F39C3"/>
    <w:rsid w:val="008F75A2"/>
    <w:rsid w:val="00914F3E"/>
    <w:rsid w:val="0095488F"/>
    <w:rsid w:val="009676F8"/>
    <w:rsid w:val="009916BC"/>
    <w:rsid w:val="009C668F"/>
    <w:rsid w:val="009D50D3"/>
    <w:rsid w:val="00A05B16"/>
    <w:rsid w:val="00A2759C"/>
    <w:rsid w:val="00A577C7"/>
    <w:rsid w:val="00AB4E8B"/>
    <w:rsid w:val="00AC0225"/>
    <w:rsid w:val="00AD2D78"/>
    <w:rsid w:val="00AF4F8E"/>
    <w:rsid w:val="00B535FC"/>
    <w:rsid w:val="00B63579"/>
    <w:rsid w:val="00B84614"/>
    <w:rsid w:val="00BB11BC"/>
    <w:rsid w:val="00BF1563"/>
    <w:rsid w:val="00C20A66"/>
    <w:rsid w:val="00C57F7F"/>
    <w:rsid w:val="00D43B22"/>
    <w:rsid w:val="00D90D42"/>
    <w:rsid w:val="00E36CE7"/>
    <w:rsid w:val="00E5135B"/>
    <w:rsid w:val="00E772BE"/>
    <w:rsid w:val="00E82A8E"/>
    <w:rsid w:val="00F13966"/>
    <w:rsid w:val="00F16BB7"/>
    <w:rsid w:val="00F66AE9"/>
    <w:rsid w:val="00F903BA"/>
    <w:rsid w:val="00FA6EC1"/>
    <w:rsid w:val="00FB0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CA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5A2"/>
    <w:pPr>
      <w:ind w:left="720"/>
      <w:contextualSpacing/>
    </w:pPr>
  </w:style>
  <w:style w:type="paragraph" w:styleId="Footer">
    <w:name w:val="footer"/>
    <w:basedOn w:val="Normal"/>
    <w:link w:val="FooterChar"/>
    <w:uiPriority w:val="99"/>
    <w:unhideWhenUsed/>
    <w:rsid w:val="00797ABC"/>
    <w:pPr>
      <w:tabs>
        <w:tab w:val="center" w:pos="4320"/>
        <w:tab w:val="right" w:pos="8640"/>
      </w:tabs>
    </w:pPr>
  </w:style>
  <w:style w:type="character" w:customStyle="1" w:styleId="FooterChar">
    <w:name w:val="Footer Char"/>
    <w:basedOn w:val="DefaultParagraphFont"/>
    <w:link w:val="Footer"/>
    <w:uiPriority w:val="99"/>
    <w:rsid w:val="00797ABC"/>
    <w:rPr>
      <w:lang w:val="en-GB"/>
    </w:rPr>
  </w:style>
  <w:style w:type="character" w:styleId="PageNumber">
    <w:name w:val="page number"/>
    <w:basedOn w:val="DefaultParagraphFont"/>
    <w:uiPriority w:val="99"/>
    <w:semiHidden/>
    <w:unhideWhenUsed/>
    <w:rsid w:val="00797ABC"/>
  </w:style>
  <w:style w:type="paragraph" w:styleId="FootnoteText">
    <w:name w:val="footnote text"/>
    <w:basedOn w:val="Normal"/>
    <w:link w:val="FootnoteTextChar"/>
    <w:uiPriority w:val="99"/>
    <w:unhideWhenUsed/>
    <w:rsid w:val="009676F8"/>
  </w:style>
  <w:style w:type="character" w:customStyle="1" w:styleId="FootnoteTextChar">
    <w:name w:val="Footnote Text Char"/>
    <w:basedOn w:val="DefaultParagraphFont"/>
    <w:link w:val="FootnoteText"/>
    <w:uiPriority w:val="99"/>
    <w:rsid w:val="009676F8"/>
    <w:rPr>
      <w:lang w:val="en-GB"/>
    </w:rPr>
  </w:style>
  <w:style w:type="character" w:styleId="FootnoteReference">
    <w:name w:val="footnote reference"/>
    <w:basedOn w:val="DefaultParagraphFont"/>
    <w:uiPriority w:val="99"/>
    <w:unhideWhenUsed/>
    <w:rsid w:val="009676F8"/>
    <w:rPr>
      <w:vertAlign w:val="superscript"/>
    </w:rPr>
  </w:style>
  <w:style w:type="character" w:styleId="Hyperlink">
    <w:name w:val="Hyperlink"/>
    <w:basedOn w:val="DefaultParagraphFont"/>
    <w:uiPriority w:val="99"/>
    <w:unhideWhenUsed/>
    <w:rsid w:val="009676F8"/>
    <w:rPr>
      <w:color w:val="0000FF" w:themeColor="hyperlink"/>
      <w:u w:val="single"/>
    </w:rPr>
  </w:style>
  <w:style w:type="table" w:styleId="TableGrid">
    <w:name w:val="Table Grid"/>
    <w:basedOn w:val="TableNormal"/>
    <w:uiPriority w:val="59"/>
    <w:rsid w:val="00451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656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5A2"/>
    <w:pPr>
      <w:ind w:left="720"/>
      <w:contextualSpacing/>
    </w:pPr>
  </w:style>
  <w:style w:type="paragraph" w:styleId="Footer">
    <w:name w:val="footer"/>
    <w:basedOn w:val="Normal"/>
    <w:link w:val="FooterChar"/>
    <w:uiPriority w:val="99"/>
    <w:unhideWhenUsed/>
    <w:rsid w:val="00797ABC"/>
    <w:pPr>
      <w:tabs>
        <w:tab w:val="center" w:pos="4320"/>
        <w:tab w:val="right" w:pos="8640"/>
      </w:tabs>
    </w:pPr>
  </w:style>
  <w:style w:type="character" w:customStyle="1" w:styleId="FooterChar">
    <w:name w:val="Footer Char"/>
    <w:basedOn w:val="DefaultParagraphFont"/>
    <w:link w:val="Footer"/>
    <w:uiPriority w:val="99"/>
    <w:rsid w:val="00797ABC"/>
    <w:rPr>
      <w:lang w:val="en-GB"/>
    </w:rPr>
  </w:style>
  <w:style w:type="character" w:styleId="PageNumber">
    <w:name w:val="page number"/>
    <w:basedOn w:val="DefaultParagraphFont"/>
    <w:uiPriority w:val="99"/>
    <w:semiHidden/>
    <w:unhideWhenUsed/>
    <w:rsid w:val="00797ABC"/>
  </w:style>
  <w:style w:type="paragraph" w:styleId="FootnoteText">
    <w:name w:val="footnote text"/>
    <w:basedOn w:val="Normal"/>
    <w:link w:val="FootnoteTextChar"/>
    <w:uiPriority w:val="99"/>
    <w:unhideWhenUsed/>
    <w:rsid w:val="009676F8"/>
  </w:style>
  <w:style w:type="character" w:customStyle="1" w:styleId="FootnoteTextChar">
    <w:name w:val="Footnote Text Char"/>
    <w:basedOn w:val="DefaultParagraphFont"/>
    <w:link w:val="FootnoteText"/>
    <w:uiPriority w:val="99"/>
    <w:rsid w:val="009676F8"/>
    <w:rPr>
      <w:lang w:val="en-GB"/>
    </w:rPr>
  </w:style>
  <w:style w:type="character" w:styleId="FootnoteReference">
    <w:name w:val="footnote reference"/>
    <w:basedOn w:val="DefaultParagraphFont"/>
    <w:uiPriority w:val="99"/>
    <w:unhideWhenUsed/>
    <w:rsid w:val="009676F8"/>
    <w:rPr>
      <w:vertAlign w:val="superscript"/>
    </w:rPr>
  </w:style>
  <w:style w:type="character" w:styleId="Hyperlink">
    <w:name w:val="Hyperlink"/>
    <w:basedOn w:val="DefaultParagraphFont"/>
    <w:uiPriority w:val="99"/>
    <w:unhideWhenUsed/>
    <w:rsid w:val="009676F8"/>
    <w:rPr>
      <w:color w:val="0000FF" w:themeColor="hyperlink"/>
      <w:u w:val="single"/>
    </w:rPr>
  </w:style>
  <w:style w:type="table" w:styleId="TableGrid">
    <w:name w:val="Table Grid"/>
    <w:basedOn w:val="TableNormal"/>
    <w:uiPriority w:val="59"/>
    <w:rsid w:val="00451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65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4384">
      <w:bodyDiv w:val="1"/>
      <w:marLeft w:val="0"/>
      <w:marRight w:val="0"/>
      <w:marTop w:val="0"/>
      <w:marBottom w:val="0"/>
      <w:divBdr>
        <w:top w:val="none" w:sz="0" w:space="0" w:color="auto"/>
        <w:left w:val="none" w:sz="0" w:space="0" w:color="auto"/>
        <w:bottom w:val="none" w:sz="0" w:space="0" w:color="auto"/>
        <w:right w:val="none" w:sz="0" w:space="0" w:color="auto"/>
      </w:divBdr>
      <w:divsChild>
        <w:div w:id="166791399">
          <w:marLeft w:val="0"/>
          <w:marRight w:val="0"/>
          <w:marTop w:val="0"/>
          <w:marBottom w:val="0"/>
          <w:divBdr>
            <w:top w:val="none" w:sz="0" w:space="0" w:color="auto"/>
            <w:left w:val="none" w:sz="0" w:space="0" w:color="auto"/>
            <w:bottom w:val="none" w:sz="0" w:space="0" w:color="auto"/>
            <w:right w:val="none" w:sz="0" w:space="0" w:color="auto"/>
          </w:divBdr>
          <w:divsChild>
            <w:div w:id="480076006">
              <w:marLeft w:val="0"/>
              <w:marRight w:val="0"/>
              <w:marTop w:val="0"/>
              <w:marBottom w:val="0"/>
              <w:divBdr>
                <w:top w:val="none" w:sz="0" w:space="0" w:color="auto"/>
                <w:left w:val="none" w:sz="0" w:space="0" w:color="auto"/>
                <w:bottom w:val="none" w:sz="0" w:space="0" w:color="auto"/>
                <w:right w:val="none" w:sz="0" w:space="0" w:color="auto"/>
              </w:divBdr>
              <w:divsChild>
                <w:div w:id="7487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9108">
      <w:bodyDiv w:val="1"/>
      <w:marLeft w:val="0"/>
      <w:marRight w:val="0"/>
      <w:marTop w:val="0"/>
      <w:marBottom w:val="0"/>
      <w:divBdr>
        <w:top w:val="none" w:sz="0" w:space="0" w:color="auto"/>
        <w:left w:val="none" w:sz="0" w:space="0" w:color="auto"/>
        <w:bottom w:val="none" w:sz="0" w:space="0" w:color="auto"/>
        <w:right w:val="none" w:sz="0" w:space="0" w:color="auto"/>
      </w:divBdr>
      <w:divsChild>
        <w:div w:id="855725">
          <w:marLeft w:val="0"/>
          <w:marRight w:val="0"/>
          <w:marTop w:val="0"/>
          <w:marBottom w:val="0"/>
          <w:divBdr>
            <w:top w:val="none" w:sz="0" w:space="0" w:color="auto"/>
            <w:left w:val="none" w:sz="0" w:space="0" w:color="auto"/>
            <w:bottom w:val="none" w:sz="0" w:space="0" w:color="auto"/>
            <w:right w:val="none" w:sz="0" w:space="0" w:color="auto"/>
          </w:divBdr>
          <w:divsChild>
            <w:div w:id="1695840244">
              <w:marLeft w:val="0"/>
              <w:marRight w:val="0"/>
              <w:marTop w:val="0"/>
              <w:marBottom w:val="0"/>
              <w:divBdr>
                <w:top w:val="none" w:sz="0" w:space="0" w:color="auto"/>
                <w:left w:val="none" w:sz="0" w:space="0" w:color="auto"/>
                <w:bottom w:val="none" w:sz="0" w:space="0" w:color="auto"/>
                <w:right w:val="none" w:sz="0" w:space="0" w:color="auto"/>
              </w:divBdr>
              <w:divsChild>
                <w:div w:id="7135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54507">
      <w:bodyDiv w:val="1"/>
      <w:marLeft w:val="0"/>
      <w:marRight w:val="0"/>
      <w:marTop w:val="0"/>
      <w:marBottom w:val="0"/>
      <w:divBdr>
        <w:top w:val="none" w:sz="0" w:space="0" w:color="auto"/>
        <w:left w:val="none" w:sz="0" w:space="0" w:color="auto"/>
        <w:bottom w:val="none" w:sz="0" w:space="0" w:color="auto"/>
        <w:right w:val="none" w:sz="0" w:space="0" w:color="auto"/>
      </w:divBdr>
      <w:divsChild>
        <w:div w:id="1992754887">
          <w:marLeft w:val="0"/>
          <w:marRight w:val="0"/>
          <w:marTop w:val="0"/>
          <w:marBottom w:val="0"/>
          <w:divBdr>
            <w:top w:val="none" w:sz="0" w:space="0" w:color="auto"/>
            <w:left w:val="none" w:sz="0" w:space="0" w:color="auto"/>
            <w:bottom w:val="none" w:sz="0" w:space="0" w:color="auto"/>
            <w:right w:val="none" w:sz="0" w:space="0" w:color="auto"/>
          </w:divBdr>
          <w:divsChild>
            <w:div w:id="31227359">
              <w:marLeft w:val="0"/>
              <w:marRight w:val="0"/>
              <w:marTop w:val="0"/>
              <w:marBottom w:val="0"/>
              <w:divBdr>
                <w:top w:val="none" w:sz="0" w:space="0" w:color="auto"/>
                <w:left w:val="none" w:sz="0" w:space="0" w:color="auto"/>
                <w:bottom w:val="none" w:sz="0" w:space="0" w:color="auto"/>
                <w:right w:val="none" w:sz="0" w:space="0" w:color="auto"/>
              </w:divBdr>
              <w:divsChild>
                <w:div w:id="12687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ata.parliament.uk/writtenevidence/committeeevidence.svc/evidencedocument/treasury-committee/the-economic-and-financial-costs-and-benefits-of-uks-eu-membership/oral/31014.html" TargetMode="External"/><Relationship Id="rId12" Type="http://schemas.openxmlformats.org/officeDocument/2006/relationships/hyperlink" Target="https://commonslibraryblog.com/2014/06/02/how-much-legislation-comes-from-europe/" TargetMode="External"/><Relationship Id="rId13" Type="http://schemas.openxmlformats.org/officeDocument/2006/relationships/hyperlink" Target="http://businessforbritain.org/2015/03/02/definitive-study-reveals-eu-rules-account-for-65-of-uk-law/" TargetMode="External"/><Relationship Id="rId14" Type="http://schemas.openxmlformats.org/officeDocument/2006/relationships/hyperlink" Target="http://businessforbritain.org/2015/03/02/definitive-study-reveals-eu-rules-account-for-65-of-uk-law/"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reddit.com/r/unitedkingdom/comments/2j19kc/nigel_farage_repeated_his_75_of_our_laws_are_made/" TargetMode="External"/><Relationship Id="rId10" Type="http://schemas.openxmlformats.org/officeDocument/2006/relationships/hyperlink" Target="http://www.ukip.org/75_of_our_laws_are_made_by_eu_institutions_says_senior_european_commissioner_viviane_red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oHm9QOffpyE" TargetMode="External"/><Relationship Id="rId4" Type="http://schemas.openxmlformats.org/officeDocument/2006/relationships/hyperlink" Target="http://www.ukip.org/75_of_our_laws_are_made_by_eu_institutions_says_senior_european_commissioner_viviane_reding" TargetMode="External"/><Relationship Id="rId5" Type="http://schemas.openxmlformats.org/officeDocument/2006/relationships/hyperlink" Target="http://data.parliament.uk/writtenevidence/committeeevidence.svc/evidencedocument/treasury-committee/the-economic-and-financial-costs-and-benefits-of-uks-eu-membership/oral/31014.html" TargetMode="External"/><Relationship Id="rId6" Type="http://schemas.openxmlformats.org/officeDocument/2006/relationships/hyperlink" Target="https://secondreading.uk/vaughne-miller/how-much-legislation-comes-from-europe/" TargetMode="External"/><Relationship Id="rId7" Type="http://schemas.openxmlformats.org/officeDocument/2006/relationships/hyperlink" Target="https://www.thesun.co.uk/archives/politics/1139354/boris-johnson-uk-and-america-can-be-better-friends-than-ever-mr-obama-if-we-leave-the-eu/" TargetMode="External"/><Relationship Id="rId8" Type="http://schemas.openxmlformats.org/officeDocument/2006/relationships/hyperlink" Target="http://tcpresearch.weebly.com/uploads/2/1/7/1/21715546/percentagelaws.pdf" TargetMode="External"/><Relationship Id="rId9" Type="http://schemas.openxmlformats.org/officeDocument/2006/relationships/hyperlink" Target="http://www.thirdsector.co.uk/charity-commission-investigates-claims-politics-economics-research-trust-broke-political-campaigning-rules/governance/article/1376805" TargetMode="External"/><Relationship Id="rId10" Type="http://schemas.openxmlformats.org/officeDocument/2006/relationships/hyperlink" Target="https://www.gov.uk/guidance/review-of-the-balance-of-competences" TargetMode="External"/><Relationship Id="rId11" Type="http://schemas.openxmlformats.org/officeDocument/2006/relationships/hyperlink" Target="http://data.parliament.uk/writtenevidence/committeeevidence.svc/evidencedocument/treasury-committee/the-economic-and-financial-costs-and-benefits-of-uks-eu-membership/oral/31014.html" TargetMode="External"/><Relationship Id="rId1" Type="http://schemas.openxmlformats.org/officeDocument/2006/relationships/hyperlink" Target="https://www.youtube.com/watch?v=ic8A7KXFkKY" TargetMode="External"/><Relationship Id="rId2" Type="http://schemas.openxmlformats.org/officeDocument/2006/relationships/hyperlink" Target="https://www.youtube.com/watch?v=eyMcesYSL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7EC6-EC23-5E44-B81C-1CC31146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9</Pages>
  <Words>3308</Words>
  <Characters>18858</Characters>
  <Application>Microsoft Macintosh Word</Application>
  <DocSecurity>0</DocSecurity>
  <Lines>157</Lines>
  <Paragraphs>44</Paragraphs>
  <ScaleCrop>false</ScaleCrop>
  <Company>University of Liverpool</Company>
  <LinksUpToDate>false</LinksUpToDate>
  <CharactersWithSpaces>22122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Dougan</dc:creator>
  <cp:keywords/>
  <dc:description/>
  <cp:lastModifiedBy>Michael Dougan</cp:lastModifiedBy>
  <cp:revision>46</cp:revision>
  <dcterms:created xsi:type="dcterms:W3CDTF">2017-04-17T23:59:00Z</dcterms:created>
  <dcterms:modified xsi:type="dcterms:W3CDTF">2017-04-28T10:20:00Z</dcterms:modified>
</cp:coreProperties>
</file>