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E341C" w14:textId="77777777" w:rsidR="00770052" w:rsidRPr="004B272C" w:rsidRDefault="00770052" w:rsidP="00764857">
      <w:pPr>
        <w:widowControl w:val="0"/>
        <w:autoSpaceDE w:val="0"/>
        <w:autoSpaceDN w:val="0"/>
        <w:adjustRightInd w:val="0"/>
        <w:spacing w:after="240" w:line="480" w:lineRule="auto"/>
        <w:jc w:val="center"/>
        <w:rPr>
          <w:rFonts w:ascii="Times New Roman" w:hAnsi="Times New Roman" w:cs="Times New Roman"/>
          <w:b/>
        </w:rPr>
      </w:pPr>
    </w:p>
    <w:p w14:paraId="4A91E991" w14:textId="77777777" w:rsidR="00770052" w:rsidRPr="004B272C" w:rsidRDefault="00770052" w:rsidP="00764857">
      <w:pPr>
        <w:widowControl w:val="0"/>
        <w:autoSpaceDE w:val="0"/>
        <w:autoSpaceDN w:val="0"/>
        <w:adjustRightInd w:val="0"/>
        <w:spacing w:after="240" w:line="480" w:lineRule="auto"/>
        <w:jc w:val="center"/>
        <w:rPr>
          <w:rFonts w:ascii="Times New Roman" w:hAnsi="Times New Roman" w:cs="Times New Roman"/>
          <w:b/>
        </w:rPr>
      </w:pPr>
    </w:p>
    <w:p w14:paraId="5ABA3FE2" w14:textId="77777777" w:rsidR="00770052" w:rsidRPr="004B272C" w:rsidRDefault="00770052" w:rsidP="00764857">
      <w:pPr>
        <w:widowControl w:val="0"/>
        <w:autoSpaceDE w:val="0"/>
        <w:autoSpaceDN w:val="0"/>
        <w:adjustRightInd w:val="0"/>
        <w:spacing w:after="240" w:line="480" w:lineRule="auto"/>
        <w:jc w:val="center"/>
        <w:rPr>
          <w:rFonts w:ascii="Times New Roman" w:hAnsi="Times New Roman" w:cs="Times New Roman"/>
          <w:b/>
        </w:rPr>
      </w:pPr>
    </w:p>
    <w:p w14:paraId="3631A3A2" w14:textId="77777777" w:rsidR="00770052" w:rsidRPr="004B272C" w:rsidRDefault="00770052" w:rsidP="003F0FE2">
      <w:pPr>
        <w:widowControl w:val="0"/>
        <w:autoSpaceDE w:val="0"/>
        <w:autoSpaceDN w:val="0"/>
        <w:adjustRightInd w:val="0"/>
        <w:spacing w:after="240" w:line="480" w:lineRule="auto"/>
        <w:jc w:val="center"/>
        <w:rPr>
          <w:rFonts w:ascii="Times New Roman" w:hAnsi="Times New Roman" w:cs="Times New Roman"/>
        </w:rPr>
      </w:pPr>
      <w:r w:rsidRPr="004B272C">
        <w:rPr>
          <w:rFonts w:ascii="Times New Roman" w:hAnsi="Times New Roman" w:cs="Times New Roman"/>
        </w:rPr>
        <w:t xml:space="preserve">Commentary: </w:t>
      </w:r>
    </w:p>
    <w:p w14:paraId="48E21C6A" w14:textId="15FD545E" w:rsidR="00770052" w:rsidRPr="004B272C" w:rsidRDefault="00273A3E" w:rsidP="00E8797D">
      <w:pPr>
        <w:widowControl w:val="0"/>
        <w:autoSpaceDE w:val="0"/>
        <w:autoSpaceDN w:val="0"/>
        <w:adjustRightInd w:val="0"/>
        <w:spacing w:after="240" w:line="480" w:lineRule="auto"/>
        <w:jc w:val="center"/>
        <w:rPr>
          <w:rFonts w:ascii="Times New Roman" w:hAnsi="Times New Roman" w:cs="Times New Roman"/>
        </w:rPr>
      </w:pPr>
      <w:proofErr w:type="gramStart"/>
      <w:r>
        <w:rPr>
          <w:rFonts w:ascii="Times New Roman" w:hAnsi="Times New Roman" w:cs="Times New Roman"/>
        </w:rPr>
        <w:t>The importance of</w:t>
      </w:r>
      <w:r w:rsidR="00127DA2">
        <w:rPr>
          <w:rFonts w:ascii="Times New Roman" w:hAnsi="Times New Roman" w:cs="Times New Roman"/>
        </w:rPr>
        <w:t xml:space="preserve"> exploring</w:t>
      </w:r>
      <w:r w:rsidR="00770052" w:rsidRPr="004B272C">
        <w:rPr>
          <w:rFonts w:ascii="Times New Roman" w:hAnsi="Times New Roman" w:cs="Times New Roman"/>
        </w:rPr>
        <w:t xml:space="preserve"> dose-dependent, subtype-specific, and age-related effects</w:t>
      </w:r>
      <w:r>
        <w:rPr>
          <w:rFonts w:ascii="Times New Roman" w:hAnsi="Times New Roman" w:cs="Times New Roman"/>
        </w:rPr>
        <w:t xml:space="preserve"> of maltreatment</w:t>
      </w:r>
      <w:r w:rsidR="00770052" w:rsidRPr="004B272C">
        <w:rPr>
          <w:rFonts w:ascii="Times New Roman" w:hAnsi="Times New Roman" w:cs="Times New Roman"/>
        </w:rPr>
        <w:t xml:space="preserve"> on the HPA axis and the link to psychopathology</w:t>
      </w:r>
      <w:r w:rsidR="00127DA2">
        <w:rPr>
          <w:rFonts w:ascii="Times New Roman" w:hAnsi="Times New Roman" w:cs="Times New Roman"/>
        </w:rPr>
        <w:t>?</w:t>
      </w:r>
      <w:proofErr w:type="gramEnd"/>
      <w:r w:rsidR="00E8797D">
        <w:rPr>
          <w:rFonts w:ascii="Times New Roman" w:hAnsi="Times New Roman" w:cs="Times New Roman"/>
        </w:rPr>
        <w:t xml:space="preserve"> </w:t>
      </w:r>
      <w:r w:rsidR="00770052" w:rsidRPr="004B272C">
        <w:rPr>
          <w:rFonts w:ascii="Times New Roman" w:hAnsi="Times New Roman" w:cs="Times New Roman"/>
        </w:rPr>
        <w:t>A response to Fisher (2017)</w:t>
      </w:r>
    </w:p>
    <w:p w14:paraId="2568E1D4"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p>
    <w:p w14:paraId="43AC5B41" w14:textId="23B53C82" w:rsidR="00770052" w:rsidRPr="004B272C" w:rsidRDefault="00770052" w:rsidP="003F0FE2">
      <w:pPr>
        <w:autoSpaceDE w:val="0"/>
        <w:autoSpaceDN w:val="0"/>
        <w:adjustRightInd w:val="0"/>
        <w:spacing w:line="480" w:lineRule="auto"/>
        <w:jc w:val="center"/>
        <w:rPr>
          <w:rFonts w:ascii="Times New Roman" w:hAnsi="Times New Roman" w:cs="Times New Roman"/>
        </w:rPr>
      </w:pPr>
      <w:r w:rsidRPr="004B272C">
        <w:rPr>
          <w:rFonts w:ascii="Times New Roman" w:hAnsi="Times New Roman" w:cs="Times New Roman"/>
        </w:rPr>
        <w:t>Lars O. White,</w:t>
      </w:r>
      <w:r w:rsidRPr="004B272C">
        <w:rPr>
          <w:rFonts w:ascii="Times New Roman" w:hAnsi="Times New Roman" w:cs="Times New Roman"/>
          <w:vertAlign w:val="superscript"/>
        </w:rPr>
        <w:t>1*</w:t>
      </w:r>
      <w:r w:rsidRPr="004B272C">
        <w:rPr>
          <w:rFonts w:ascii="Times New Roman" w:hAnsi="Times New Roman" w:cs="Times New Roman"/>
        </w:rPr>
        <w:t xml:space="preserve"> Marcus Ising,</w:t>
      </w:r>
      <w:r w:rsidRPr="004B272C">
        <w:rPr>
          <w:rFonts w:ascii="Times New Roman" w:hAnsi="Times New Roman" w:cs="Times New Roman"/>
          <w:vertAlign w:val="superscript"/>
        </w:rPr>
        <w:t>2</w:t>
      </w:r>
      <w:r w:rsidRPr="004B272C">
        <w:rPr>
          <w:rFonts w:ascii="Times New Roman" w:hAnsi="Times New Roman" w:cs="Times New Roman"/>
        </w:rPr>
        <w:t xml:space="preserve"> Kai von Klitzing,</w:t>
      </w:r>
      <w:r w:rsidRPr="004B272C">
        <w:rPr>
          <w:rFonts w:ascii="Times New Roman" w:hAnsi="Times New Roman" w:cs="Times New Roman"/>
          <w:vertAlign w:val="superscript"/>
        </w:rPr>
        <w:t>1</w:t>
      </w:r>
      <w:r w:rsidRPr="004B272C">
        <w:rPr>
          <w:rFonts w:ascii="Times New Roman" w:hAnsi="Times New Roman" w:cs="Times New Roman"/>
        </w:rPr>
        <w:t xml:space="preserve"> Susan Sierau,</w:t>
      </w:r>
      <w:r w:rsidRPr="004B272C">
        <w:rPr>
          <w:rFonts w:ascii="Times New Roman" w:hAnsi="Times New Roman" w:cs="Times New Roman"/>
          <w:vertAlign w:val="superscript"/>
        </w:rPr>
        <w:t>1</w:t>
      </w:r>
      <w:r w:rsidRPr="004B272C">
        <w:rPr>
          <w:rFonts w:ascii="Times New Roman" w:hAnsi="Times New Roman" w:cs="Times New Roman"/>
        </w:rPr>
        <w:t xml:space="preserve"> Andrea Michel,</w:t>
      </w:r>
      <w:r w:rsidRPr="004B272C">
        <w:rPr>
          <w:rFonts w:ascii="Times New Roman" w:hAnsi="Times New Roman" w:cs="Times New Roman"/>
          <w:vertAlign w:val="superscript"/>
        </w:rPr>
        <w:t>1,3</w:t>
      </w:r>
      <w:r w:rsidRPr="004B272C">
        <w:rPr>
          <w:rFonts w:ascii="Times New Roman" w:hAnsi="Times New Roman" w:cs="Times New Roman"/>
        </w:rPr>
        <w:t xml:space="preserve"> Annette  M. Klein,</w:t>
      </w:r>
      <w:r w:rsidRPr="004B272C">
        <w:rPr>
          <w:rFonts w:ascii="Times New Roman" w:hAnsi="Times New Roman" w:cs="Times New Roman"/>
          <w:vertAlign w:val="superscript"/>
        </w:rPr>
        <w:t>1</w:t>
      </w:r>
      <w:r w:rsidRPr="004B272C">
        <w:rPr>
          <w:rFonts w:ascii="Times New Roman" w:hAnsi="Times New Roman" w:cs="Times New Roman"/>
        </w:rPr>
        <w:t xml:space="preserve"> Bertram Müller-Myhsok,</w:t>
      </w:r>
      <w:r w:rsidRPr="004B272C">
        <w:rPr>
          <w:rFonts w:ascii="Times New Roman" w:hAnsi="Times New Roman" w:cs="Times New Roman"/>
          <w:vertAlign w:val="superscript"/>
        </w:rPr>
        <w:t>2,4,5</w:t>
      </w:r>
      <w:r w:rsidRPr="004B272C">
        <w:rPr>
          <w:rFonts w:ascii="Times New Roman" w:hAnsi="Times New Roman" w:cs="Times New Roman"/>
        </w:rPr>
        <w:t xml:space="preserve"> Manfred Uhr,</w:t>
      </w:r>
      <w:r w:rsidRPr="004B272C">
        <w:rPr>
          <w:rFonts w:ascii="Times New Roman" w:hAnsi="Times New Roman" w:cs="Times New Roman"/>
          <w:vertAlign w:val="superscript"/>
        </w:rPr>
        <w:t>2</w:t>
      </w:r>
      <w:r w:rsidRPr="004B272C">
        <w:rPr>
          <w:rFonts w:ascii="Times New Roman" w:hAnsi="Times New Roman" w:cs="Times New Roman"/>
        </w:rPr>
        <w:t xml:space="preserve"> Michael J. Crowley,</w:t>
      </w:r>
      <w:r w:rsidR="001A4DFF">
        <w:rPr>
          <w:rFonts w:ascii="Times New Roman" w:hAnsi="Times New Roman" w:cs="Times New Roman"/>
          <w:vertAlign w:val="superscript"/>
        </w:rPr>
        <w:t>6</w:t>
      </w:r>
      <w:r w:rsidRPr="004B272C">
        <w:rPr>
          <w:rFonts w:ascii="Times New Roman" w:hAnsi="Times New Roman" w:cs="Times New Roman"/>
        </w:rPr>
        <w:t xml:space="preserve"> Clemens Kirschbaum,</w:t>
      </w:r>
      <w:r w:rsidR="001A4DFF">
        <w:rPr>
          <w:rFonts w:ascii="Times New Roman" w:hAnsi="Times New Roman" w:cs="Times New Roman"/>
          <w:vertAlign w:val="superscript"/>
        </w:rPr>
        <w:t>7</w:t>
      </w:r>
      <w:r w:rsidRPr="004B272C">
        <w:rPr>
          <w:rFonts w:ascii="Times New Roman" w:hAnsi="Times New Roman" w:cs="Times New Roman"/>
        </w:rPr>
        <w:t xml:space="preserve"> and Tobias Stalder</w:t>
      </w:r>
      <w:r w:rsidR="001A4DFF">
        <w:rPr>
          <w:rFonts w:ascii="Times New Roman" w:hAnsi="Times New Roman" w:cs="Times New Roman"/>
          <w:vertAlign w:val="superscript"/>
        </w:rPr>
        <w:t>7</w:t>
      </w:r>
      <w:r w:rsidRPr="004B272C">
        <w:rPr>
          <w:rFonts w:ascii="Times New Roman" w:hAnsi="Times New Roman" w:cs="Times New Roman"/>
          <w:vertAlign w:val="superscript"/>
        </w:rPr>
        <w:t>,</w:t>
      </w:r>
      <w:r w:rsidR="001A4DFF">
        <w:rPr>
          <w:rFonts w:ascii="Times New Roman" w:hAnsi="Times New Roman" w:cs="Times New Roman"/>
          <w:vertAlign w:val="superscript"/>
        </w:rPr>
        <w:t>8</w:t>
      </w:r>
    </w:p>
    <w:p w14:paraId="4635B344"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p>
    <w:p w14:paraId="152B0BB3"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r w:rsidRPr="004B272C">
        <w:rPr>
          <w:rFonts w:ascii="Times New Roman" w:hAnsi="Times New Roman" w:cs="Times New Roman"/>
          <w:vertAlign w:val="superscript"/>
        </w:rPr>
        <w:t xml:space="preserve">1 </w:t>
      </w:r>
      <w:r w:rsidRPr="004B272C">
        <w:rPr>
          <w:rFonts w:ascii="Times New Roman" w:hAnsi="Times New Roman" w:cs="Times New Roman"/>
        </w:rPr>
        <w:t>Department of Child and Adolescent Psychiatry, University of Leipzig, Germany</w:t>
      </w:r>
    </w:p>
    <w:p w14:paraId="2F6C9D42"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r w:rsidRPr="004B272C">
        <w:rPr>
          <w:rFonts w:ascii="Times New Roman" w:hAnsi="Times New Roman" w:cs="Times New Roman"/>
          <w:vertAlign w:val="superscript"/>
        </w:rPr>
        <w:t xml:space="preserve">2 </w:t>
      </w:r>
      <w:r w:rsidRPr="004B272C">
        <w:rPr>
          <w:rFonts w:ascii="Times New Roman" w:hAnsi="Times New Roman" w:cs="Times New Roman"/>
        </w:rPr>
        <w:t>Max Planck Institute of Psychiatry, Munich, Germany</w:t>
      </w:r>
    </w:p>
    <w:p w14:paraId="74D9AE89"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r w:rsidRPr="004B272C">
        <w:rPr>
          <w:rFonts w:ascii="Times New Roman" w:hAnsi="Times New Roman" w:cs="Times New Roman"/>
          <w:vertAlign w:val="superscript"/>
        </w:rPr>
        <w:t xml:space="preserve">3 </w:t>
      </w:r>
      <w:r w:rsidRPr="004B272C">
        <w:rPr>
          <w:rFonts w:ascii="Times New Roman" w:hAnsi="Times New Roman" w:cs="Times New Roman"/>
        </w:rPr>
        <w:t>Department of Developmental Psychology, University of Jena, Germany</w:t>
      </w:r>
    </w:p>
    <w:p w14:paraId="5E09BB7F"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r w:rsidRPr="004B272C">
        <w:rPr>
          <w:rFonts w:ascii="Times New Roman" w:hAnsi="Times New Roman" w:cs="Times New Roman"/>
          <w:vertAlign w:val="superscript"/>
        </w:rPr>
        <w:t xml:space="preserve">4 </w:t>
      </w:r>
      <w:r w:rsidRPr="004B272C">
        <w:rPr>
          <w:rFonts w:ascii="Times New Roman" w:hAnsi="Times New Roman" w:cs="Times New Roman"/>
        </w:rPr>
        <w:t>Munich Cluster for Systems Neurology (</w:t>
      </w:r>
      <w:proofErr w:type="spellStart"/>
      <w:r w:rsidRPr="004B272C">
        <w:rPr>
          <w:rFonts w:ascii="Times New Roman" w:hAnsi="Times New Roman" w:cs="Times New Roman"/>
        </w:rPr>
        <w:t>SyNergy</w:t>
      </w:r>
      <w:proofErr w:type="spellEnd"/>
      <w:r w:rsidRPr="004B272C">
        <w:rPr>
          <w:rFonts w:ascii="Times New Roman" w:hAnsi="Times New Roman" w:cs="Times New Roman"/>
        </w:rPr>
        <w:t>), Germany</w:t>
      </w:r>
    </w:p>
    <w:p w14:paraId="366AEF8C" w14:textId="77777777" w:rsidR="00770052" w:rsidRPr="004B272C" w:rsidRDefault="00770052" w:rsidP="003F0FE2">
      <w:pPr>
        <w:autoSpaceDE w:val="0"/>
        <w:autoSpaceDN w:val="0"/>
        <w:adjustRightInd w:val="0"/>
        <w:spacing w:line="480" w:lineRule="auto"/>
        <w:jc w:val="center"/>
        <w:rPr>
          <w:rFonts w:ascii="Times New Roman" w:hAnsi="Times New Roman" w:cs="Times New Roman"/>
        </w:rPr>
      </w:pPr>
      <w:r w:rsidRPr="004B272C">
        <w:rPr>
          <w:rFonts w:ascii="Times New Roman" w:hAnsi="Times New Roman" w:cs="Times New Roman"/>
          <w:vertAlign w:val="superscript"/>
        </w:rPr>
        <w:t xml:space="preserve">5 </w:t>
      </w:r>
      <w:r w:rsidRPr="004B272C">
        <w:rPr>
          <w:rFonts w:ascii="Times New Roman" w:hAnsi="Times New Roman" w:cs="Times New Roman"/>
        </w:rPr>
        <w:t>Institute of Translational Medicine, University of Liverpool, UK</w:t>
      </w:r>
    </w:p>
    <w:p w14:paraId="3F74A3BA" w14:textId="77777777" w:rsidR="00770052" w:rsidRPr="004B272C" w:rsidRDefault="00770052" w:rsidP="003F0FE2">
      <w:pPr>
        <w:spacing w:line="480" w:lineRule="auto"/>
        <w:contextualSpacing/>
        <w:jc w:val="center"/>
        <w:rPr>
          <w:rFonts w:ascii="Times New Roman" w:hAnsi="Times New Roman" w:cs="Times New Roman"/>
        </w:rPr>
      </w:pPr>
      <w:r w:rsidRPr="004B272C">
        <w:rPr>
          <w:rFonts w:ascii="Times New Roman" w:hAnsi="Times New Roman" w:cs="Times New Roman"/>
          <w:vertAlign w:val="superscript"/>
        </w:rPr>
        <w:t xml:space="preserve">6 </w:t>
      </w:r>
      <w:r w:rsidRPr="004B272C">
        <w:rPr>
          <w:rFonts w:ascii="Times New Roman" w:hAnsi="Times New Roman" w:cs="Times New Roman"/>
        </w:rPr>
        <w:t>Yale Child Study Center, Yale University School of Medicine, New Haven, CT, USA</w:t>
      </w:r>
    </w:p>
    <w:p w14:paraId="78B9F68D" w14:textId="77777777" w:rsidR="00770052" w:rsidRPr="004B272C" w:rsidRDefault="00770052" w:rsidP="003F0FE2">
      <w:pPr>
        <w:spacing w:line="480" w:lineRule="auto"/>
        <w:contextualSpacing/>
        <w:jc w:val="center"/>
        <w:rPr>
          <w:rFonts w:ascii="Times New Roman" w:hAnsi="Times New Roman" w:cs="Times New Roman"/>
        </w:rPr>
      </w:pPr>
      <w:r w:rsidRPr="004B272C">
        <w:rPr>
          <w:rFonts w:ascii="Times New Roman" w:hAnsi="Times New Roman" w:cs="Times New Roman"/>
          <w:vertAlign w:val="superscript"/>
        </w:rPr>
        <w:t xml:space="preserve">7 </w:t>
      </w:r>
      <w:r w:rsidRPr="004B272C">
        <w:rPr>
          <w:rFonts w:ascii="Times New Roman" w:hAnsi="Times New Roman" w:cs="Times New Roman"/>
        </w:rPr>
        <w:t>Institute of Psychology, TU Dresden, Germany</w:t>
      </w:r>
    </w:p>
    <w:p w14:paraId="11347337" w14:textId="77777777" w:rsidR="00770052" w:rsidRPr="004B272C" w:rsidRDefault="00770052" w:rsidP="003F0FE2">
      <w:pPr>
        <w:spacing w:line="480" w:lineRule="auto"/>
        <w:contextualSpacing/>
        <w:jc w:val="center"/>
        <w:rPr>
          <w:rFonts w:ascii="Times New Roman" w:hAnsi="Times New Roman" w:cs="Times New Roman"/>
        </w:rPr>
      </w:pPr>
      <w:r w:rsidRPr="004B272C">
        <w:rPr>
          <w:rFonts w:ascii="Times New Roman" w:hAnsi="Times New Roman" w:cs="Times New Roman"/>
          <w:vertAlign w:val="superscript"/>
        </w:rPr>
        <w:t>8</w:t>
      </w:r>
      <w:r w:rsidRPr="004B272C">
        <w:rPr>
          <w:rFonts w:ascii="Times New Roman" w:hAnsi="Times New Roman" w:cs="Times New Roman"/>
        </w:rPr>
        <w:t xml:space="preserve"> Clinical </w:t>
      </w:r>
      <w:proofErr w:type="gramStart"/>
      <w:r w:rsidRPr="004B272C">
        <w:rPr>
          <w:rFonts w:ascii="Times New Roman" w:hAnsi="Times New Roman" w:cs="Times New Roman"/>
        </w:rPr>
        <w:t>Psychology</w:t>
      </w:r>
      <w:proofErr w:type="gramEnd"/>
      <w:r w:rsidRPr="004B272C">
        <w:rPr>
          <w:rFonts w:ascii="Times New Roman" w:hAnsi="Times New Roman" w:cs="Times New Roman"/>
        </w:rPr>
        <w:t>, University of Siegen, Siegen, Germany</w:t>
      </w:r>
    </w:p>
    <w:p w14:paraId="2434BF5A" w14:textId="77777777" w:rsidR="00770052" w:rsidRPr="00273A3E" w:rsidRDefault="00770052" w:rsidP="00764857">
      <w:pPr>
        <w:widowControl w:val="0"/>
        <w:autoSpaceDE w:val="0"/>
        <w:autoSpaceDN w:val="0"/>
        <w:adjustRightInd w:val="0"/>
        <w:spacing w:after="240" w:line="480" w:lineRule="auto"/>
        <w:jc w:val="center"/>
        <w:rPr>
          <w:rFonts w:ascii="Times New Roman" w:hAnsi="Times New Roman" w:cs="Times New Roman"/>
          <w:b/>
        </w:rPr>
      </w:pPr>
    </w:p>
    <w:p w14:paraId="56D0DCE4" w14:textId="774CB581" w:rsidR="00FB6106" w:rsidRPr="00273A3E" w:rsidRDefault="00FB6106" w:rsidP="00FB6106">
      <w:pPr>
        <w:widowControl w:val="0"/>
        <w:autoSpaceDE w:val="0"/>
        <w:autoSpaceDN w:val="0"/>
        <w:adjustRightInd w:val="0"/>
        <w:spacing w:after="240" w:line="480" w:lineRule="auto"/>
        <w:rPr>
          <w:rFonts w:ascii="Times New Roman" w:hAnsi="Times New Roman" w:cs="Times New Roman"/>
        </w:rPr>
      </w:pPr>
    </w:p>
    <w:p w14:paraId="169DA648" w14:textId="756A4CBB" w:rsidR="00770052" w:rsidRPr="004B272C" w:rsidRDefault="001A4DFF" w:rsidP="00FB6106">
      <w:pPr>
        <w:widowControl w:val="0"/>
        <w:autoSpaceDE w:val="0"/>
        <w:autoSpaceDN w:val="0"/>
        <w:adjustRightInd w:val="0"/>
        <w:spacing w:after="240" w:line="480" w:lineRule="auto"/>
        <w:ind w:firstLine="708"/>
        <w:rPr>
          <w:rFonts w:ascii="Times New Roman" w:hAnsi="Times New Roman" w:cs="Times New Roman"/>
        </w:rPr>
      </w:pPr>
      <w:r>
        <w:rPr>
          <w:rFonts w:ascii="Times New Roman" w:hAnsi="Times New Roman" w:cs="Times New Roman"/>
        </w:rPr>
        <w:br w:type="column"/>
      </w:r>
      <w:r w:rsidR="00770052" w:rsidRPr="004B272C">
        <w:rPr>
          <w:rFonts w:ascii="Times New Roman" w:hAnsi="Times New Roman" w:cs="Times New Roman"/>
        </w:rPr>
        <w:lastRenderedPageBreak/>
        <w:t xml:space="preserve">We greatly appreciate Dr. Fisher's commentary that provides an excellent backdrop and well-considered perspective on our findings. We agree that our results mesh well with previous work documenting hypocortisolism among youth who experienced early adversity, especially neglect. Moreover, as also perceptively noted by Dr. Fisher, our cross-sectional data provide support for the notion that hypocortisolism is not simply a transient phenomenon, but, rather, a persistent pattern characterizing maltreated youth. Specifically, the consistency of the between group effect (from age 9.69 onwards) on a multi-month index of cumulative cortisol and the dose-dependent gradient of hypocortisolism within the maltreated group which was related to the length of time that children and adolescents were affected by maltreatment lend weight to this view. </w:t>
      </w:r>
    </w:p>
    <w:p w14:paraId="3900CFAE" w14:textId="77777777" w:rsidR="00770052" w:rsidRPr="004B272C" w:rsidRDefault="00770052" w:rsidP="00FB6106">
      <w:pPr>
        <w:widowControl w:val="0"/>
        <w:autoSpaceDE w:val="0"/>
        <w:autoSpaceDN w:val="0"/>
        <w:adjustRightInd w:val="0"/>
        <w:spacing w:after="240" w:line="480" w:lineRule="auto"/>
        <w:ind w:firstLine="708"/>
        <w:rPr>
          <w:rFonts w:ascii="Times New Roman" w:hAnsi="Times New Roman" w:cs="Times New Roman"/>
        </w:rPr>
      </w:pPr>
      <w:r w:rsidRPr="004B272C">
        <w:rPr>
          <w:rFonts w:ascii="Times New Roman" w:hAnsi="Times New Roman" w:cs="Times New Roman"/>
        </w:rPr>
        <w:t xml:space="preserve">To the extent that our data support a mediating role of diminished HPA axis activity for the link between maltreatment and externalizing symptoms, this may certainly relate to the maltreatment-associated neurobehavioral disinhibition documented elsewhere </w:t>
      </w:r>
      <w:r w:rsidRPr="004B272C">
        <w:rPr>
          <w:rFonts w:ascii="Times New Roman" w:hAnsi="Times New Roman" w:cs="Times New Roman"/>
          <w:noProof/>
        </w:rPr>
        <w:t>(e.g., Fisher, Lester, et al., 2011)</w:t>
      </w:r>
      <w:r w:rsidRPr="004B272C">
        <w:rPr>
          <w:rFonts w:ascii="Times New Roman" w:hAnsi="Times New Roman" w:cs="Times New Roman"/>
        </w:rPr>
        <w:t xml:space="preserve">. As noted by Dr. Fisher, this is particularly intriguing given that most adult research has linked HPA axis dysregulation among maltreated individuals to affective disorders. Hence, this also calls for more longitudinal research on heterotypic pathways, to explore trajectories from maltreatment to hypocortisolism and early externalizing problems which may, in turn, predict adult anxiety and mood disorders </w:t>
      </w:r>
      <w:r w:rsidRPr="004B272C">
        <w:rPr>
          <w:rFonts w:ascii="Times New Roman" w:hAnsi="Times New Roman" w:cs="Times New Roman"/>
          <w:noProof/>
        </w:rPr>
        <w:t>(Moffitt, 2006)</w:t>
      </w:r>
      <w:r w:rsidRPr="004B272C">
        <w:rPr>
          <w:rFonts w:ascii="Times New Roman" w:hAnsi="Times New Roman" w:cs="Times New Roman"/>
        </w:rPr>
        <w:t xml:space="preserve">. </w:t>
      </w:r>
    </w:p>
    <w:p w14:paraId="6F2C108A" w14:textId="77777777" w:rsidR="00770052" w:rsidRPr="004B272C" w:rsidRDefault="00770052" w:rsidP="00FB6106">
      <w:pPr>
        <w:widowControl w:val="0"/>
        <w:autoSpaceDE w:val="0"/>
        <w:autoSpaceDN w:val="0"/>
        <w:adjustRightInd w:val="0"/>
        <w:spacing w:after="240" w:line="480" w:lineRule="auto"/>
        <w:ind w:firstLine="708"/>
        <w:rPr>
          <w:rFonts w:ascii="Times New Roman" w:hAnsi="Times New Roman" w:cs="Times New Roman"/>
        </w:rPr>
      </w:pPr>
      <w:r w:rsidRPr="004B272C">
        <w:rPr>
          <w:rFonts w:ascii="Times New Roman" w:hAnsi="Times New Roman" w:cs="Times New Roman"/>
        </w:rPr>
        <w:t xml:space="preserve">Dr. Fisher’s comment that hypocortisolism may represent an ‘evolutionarily </w:t>
      </w:r>
      <w:proofErr w:type="gramStart"/>
      <w:r w:rsidRPr="004B272C">
        <w:rPr>
          <w:rFonts w:ascii="Times New Roman" w:hAnsi="Times New Roman" w:cs="Times New Roman"/>
        </w:rPr>
        <w:t>conservative</w:t>
      </w:r>
      <w:proofErr w:type="gramEnd"/>
      <w:r w:rsidRPr="004B272C">
        <w:rPr>
          <w:rFonts w:ascii="Times New Roman" w:hAnsi="Times New Roman" w:cs="Times New Roman"/>
        </w:rPr>
        <w:t xml:space="preserve">’ response of the child to the absence of “good enough” caregiving also merits further research. Given that the caregiver typically provides a source of interpersonal emotion regulation for the child </w:t>
      </w:r>
      <w:r w:rsidRPr="004B272C">
        <w:rPr>
          <w:rFonts w:ascii="Times New Roman" w:hAnsi="Times New Roman" w:cs="Times New Roman"/>
          <w:noProof/>
        </w:rPr>
        <w:t>(Cassidy, 1994; Crittenden &amp; Ainsworth, 1989; Fonagy, Gergely, Jurist, &amp; Target, 2002; Zaki &amp; Williams, 2013)</w:t>
      </w:r>
      <w:r w:rsidRPr="004B272C">
        <w:rPr>
          <w:rFonts w:ascii="Times New Roman" w:hAnsi="Times New Roman" w:cs="Times New Roman"/>
        </w:rPr>
        <w:t xml:space="preserve">, a limited capacity of the caregiver to do so – as indexed by (certain forms of) neglect – may reinforce the child in developing a suboptimal self-reliant strategy that may ultimately give rise to hypocortisolism. To identify the exact </w:t>
      </w:r>
      <w:r w:rsidRPr="004B272C">
        <w:rPr>
          <w:rFonts w:ascii="Times New Roman" w:hAnsi="Times New Roman" w:cs="Times New Roman"/>
        </w:rPr>
        <w:lastRenderedPageBreak/>
        <w:t>determinants of insufficient care that predict hypocortisolism should thus be the subject of detailed future analyses of parent-child interactions, among others.</w:t>
      </w:r>
    </w:p>
    <w:p w14:paraId="08835F2B" w14:textId="77777777" w:rsidR="00770052" w:rsidRPr="004B272C" w:rsidRDefault="00770052" w:rsidP="00FB6106">
      <w:pPr>
        <w:widowControl w:val="0"/>
        <w:autoSpaceDE w:val="0"/>
        <w:autoSpaceDN w:val="0"/>
        <w:adjustRightInd w:val="0"/>
        <w:spacing w:after="240" w:line="480" w:lineRule="auto"/>
        <w:ind w:firstLine="708"/>
        <w:rPr>
          <w:rFonts w:ascii="Times New Roman" w:hAnsi="Times New Roman" w:cs="Times New Roman"/>
        </w:rPr>
      </w:pPr>
      <w:r w:rsidRPr="004B272C">
        <w:rPr>
          <w:rFonts w:ascii="Times New Roman" w:hAnsi="Times New Roman" w:cs="Times New Roman"/>
        </w:rPr>
        <w:t xml:space="preserve">In the final section, Dr. Fisher noted that our age-related effects – whereby hypocortisolism only emerged among maltreated youth from 9 ½ years onwards –may prove “somewhat of an artifact”. Indeed, he is correct in pointing out that allostatic load is more likely to have accumulated among older children and may have therefore crossed a critical “threshold in which the proposed downregulation of the HPA axis occurs”. Revisiting our data, we did indeed document an association between age and maltreatment chronicity within our maltreated sample (r = -.299, p &lt; .001). However, in a regression analysis performed within the maltreated group that included age (β = .007, </w:t>
      </w:r>
      <w:r w:rsidRPr="004B272C">
        <w:rPr>
          <w:rFonts w:ascii="Times New Roman" w:hAnsi="Times New Roman" w:cs="Times New Roman"/>
          <w:i/>
        </w:rPr>
        <w:t>p</w:t>
      </w:r>
      <w:r w:rsidRPr="004B272C">
        <w:rPr>
          <w:rFonts w:ascii="Times New Roman" w:hAnsi="Times New Roman" w:cs="Times New Roman"/>
        </w:rPr>
        <w:t xml:space="preserve">  =. 918, ΔR</w:t>
      </w:r>
      <w:r w:rsidRPr="004B272C">
        <w:rPr>
          <w:rFonts w:ascii="Times New Roman" w:hAnsi="Times New Roman" w:cs="Times New Roman"/>
          <w:vertAlign w:val="superscript"/>
        </w:rPr>
        <w:t>2</w:t>
      </w:r>
      <w:r w:rsidRPr="004B272C">
        <w:rPr>
          <w:rFonts w:ascii="Times New Roman" w:hAnsi="Times New Roman" w:cs="Times New Roman"/>
        </w:rPr>
        <w:t xml:space="preserve"> = .000) and maltreatment chronicity in Step 2 (β = -.068, </w:t>
      </w:r>
      <w:r w:rsidRPr="004B272C">
        <w:rPr>
          <w:rFonts w:ascii="Times New Roman" w:hAnsi="Times New Roman" w:cs="Times New Roman"/>
          <w:i/>
        </w:rPr>
        <w:t>p</w:t>
      </w:r>
      <w:r w:rsidRPr="004B272C">
        <w:rPr>
          <w:rFonts w:ascii="Times New Roman" w:hAnsi="Times New Roman" w:cs="Times New Roman"/>
        </w:rPr>
        <w:t xml:space="preserve">  =. 314, ΔR</w:t>
      </w:r>
      <w:r w:rsidRPr="004B272C">
        <w:rPr>
          <w:rFonts w:ascii="Times New Roman" w:hAnsi="Times New Roman" w:cs="Times New Roman"/>
          <w:vertAlign w:val="superscript"/>
        </w:rPr>
        <w:t>2</w:t>
      </w:r>
      <w:r w:rsidRPr="004B272C">
        <w:rPr>
          <w:rFonts w:ascii="Times New Roman" w:hAnsi="Times New Roman" w:cs="Times New Roman"/>
        </w:rPr>
        <w:t xml:space="preserve"> = .004), we still found a significant interactive effect of chronicity x age on hair cortisol concentrations in Step 3 (β = -.227, </w:t>
      </w:r>
      <w:r w:rsidRPr="004B272C">
        <w:rPr>
          <w:rFonts w:ascii="Times New Roman" w:hAnsi="Times New Roman" w:cs="Times New Roman"/>
          <w:i/>
        </w:rPr>
        <w:t>p</w:t>
      </w:r>
      <w:r w:rsidRPr="004B272C">
        <w:rPr>
          <w:rFonts w:ascii="Times New Roman" w:hAnsi="Times New Roman" w:cs="Times New Roman"/>
        </w:rPr>
        <w:t xml:space="preserve">  &lt; .001; ΔR</w:t>
      </w:r>
      <w:r w:rsidRPr="004B272C">
        <w:rPr>
          <w:rFonts w:ascii="Times New Roman" w:hAnsi="Times New Roman" w:cs="Times New Roman"/>
          <w:vertAlign w:val="superscript"/>
        </w:rPr>
        <w:t>2</w:t>
      </w:r>
      <w:r w:rsidRPr="004B272C">
        <w:rPr>
          <w:rFonts w:ascii="Times New Roman" w:hAnsi="Times New Roman" w:cs="Times New Roman"/>
        </w:rPr>
        <w:t xml:space="preserve"> = .051; see Figure 1). We interpret this as preliminary evidence that it is neither chronicity nor age alone that can explain the pattern of our findings, but merely the interaction of these variables. While we concur with Dr. Fisher that our cross-sectional data can merely provide limited evidence either way, we still believe that future research should tackle the issue of age-dependent effects of maltreatment, especially as many studies suggest that the HPA axis undergoes important developmental changes in middle childhood and puberty </w:t>
      </w:r>
      <w:r w:rsidRPr="004B272C">
        <w:rPr>
          <w:rFonts w:ascii="Times New Roman" w:hAnsi="Times New Roman" w:cs="Times New Roman"/>
          <w:noProof/>
        </w:rPr>
        <w:t>(Gunnar &amp; Vazquez, 2006)</w:t>
      </w:r>
      <w:r w:rsidRPr="004B272C">
        <w:rPr>
          <w:rFonts w:ascii="Times New Roman" w:hAnsi="Times New Roman" w:cs="Times New Roman"/>
        </w:rPr>
        <w:t>.</w:t>
      </w:r>
    </w:p>
    <w:p w14:paraId="32E6B0CA" w14:textId="77777777" w:rsidR="00770052" w:rsidRPr="004B272C" w:rsidRDefault="00770052" w:rsidP="00FB6106">
      <w:pPr>
        <w:widowControl w:val="0"/>
        <w:autoSpaceDE w:val="0"/>
        <w:autoSpaceDN w:val="0"/>
        <w:adjustRightInd w:val="0"/>
        <w:spacing w:after="240" w:line="480" w:lineRule="auto"/>
        <w:ind w:firstLine="708"/>
        <w:rPr>
          <w:rFonts w:ascii="Times New Roman" w:hAnsi="Times New Roman" w:cs="Times New Roman"/>
        </w:rPr>
      </w:pPr>
      <w:r w:rsidRPr="004B272C">
        <w:rPr>
          <w:rFonts w:ascii="Times New Roman" w:hAnsi="Times New Roman" w:cs="Times New Roman"/>
        </w:rPr>
        <w:t xml:space="preserve">Finally, we fully agree with Dr. Fisher that there is a pressing need for longitudinal studies assessing cortisol at multiple time-points across childhood and adolescence. Optimally, prospective designs will help reconcile our age-related effects of maltreatment with studies showing early occurring hypocortisolism in preschool </w:t>
      </w:r>
      <w:r w:rsidRPr="004B272C">
        <w:rPr>
          <w:rFonts w:ascii="Times New Roman" w:hAnsi="Times New Roman" w:cs="Times New Roman"/>
          <w:noProof/>
        </w:rPr>
        <w:t>(Bruce, Fisher, Pears, &amp; Levine, 2009; Dozier et al., 2006; Fisher, Kim, Bruce, &amp; Pears, 2011)</w:t>
      </w:r>
      <w:r w:rsidRPr="004B272C">
        <w:rPr>
          <w:rFonts w:ascii="Times New Roman" w:hAnsi="Times New Roman" w:cs="Times New Roman"/>
        </w:rPr>
        <w:t xml:space="preserve">. As Dr. Fisher’s research elegantly shows, the latter pattern has primarily emerged from samples of children </w:t>
      </w:r>
      <w:r w:rsidRPr="004B272C">
        <w:rPr>
          <w:rFonts w:ascii="Times New Roman" w:hAnsi="Times New Roman" w:cs="Times New Roman"/>
        </w:rPr>
        <w:lastRenderedPageBreak/>
        <w:t xml:space="preserve">adopted or fostered from different settings (including institutional care), and may therefore reflect a distinct pattern related to early deprivation or separation, potentially akin to an ‘energy-sparing phenotype’ </w:t>
      </w:r>
      <w:r w:rsidRPr="004B272C">
        <w:rPr>
          <w:rFonts w:ascii="Times New Roman" w:hAnsi="Times New Roman" w:cs="Times New Roman"/>
          <w:noProof/>
        </w:rPr>
        <w:t>(Del Giudice, Ellis, &amp; Shirtcliff, 2011)</w:t>
      </w:r>
      <w:r w:rsidRPr="004B272C">
        <w:rPr>
          <w:rFonts w:ascii="Times New Roman" w:hAnsi="Times New Roman" w:cs="Times New Roman"/>
        </w:rPr>
        <w:t xml:space="preserve">. It is safe to say that the deprivation and adversity documented in these samples presumably diverges (e.g., in terms of quality and/ or magnitude) from that typically experienced by children in our maltreated sample – who, for example, usually grew up with a constant caregiver and in an environment with ample social and health-care services at their disposal, including child protection service interventions. </w:t>
      </w:r>
    </w:p>
    <w:p w14:paraId="571909C0" w14:textId="77777777" w:rsidR="00770052" w:rsidRPr="00273A3E" w:rsidRDefault="00770052" w:rsidP="00E82D4D">
      <w:pPr>
        <w:widowControl w:val="0"/>
        <w:autoSpaceDE w:val="0"/>
        <w:autoSpaceDN w:val="0"/>
        <w:adjustRightInd w:val="0"/>
        <w:spacing w:after="240"/>
        <w:rPr>
          <w:rFonts w:ascii="Times New Roman" w:hAnsi="Times New Roman" w:cs="Times New Roman"/>
        </w:rPr>
      </w:pPr>
    </w:p>
    <w:p w14:paraId="7697F8D1" w14:textId="77777777" w:rsidR="00770052" w:rsidRPr="004B272C" w:rsidRDefault="00770052" w:rsidP="00E026A9">
      <w:pPr>
        <w:widowControl w:val="0"/>
        <w:autoSpaceDE w:val="0"/>
        <w:autoSpaceDN w:val="0"/>
        <w:adjustRightInd w:val="0"/>
        <w:spacing w:after="240" w:line="480" w:lineRule="auto"/>
        <w:rPr>
          <w:rFonts w:ascii="Times New Roman" w:hAnsi="Times New Roman" w:cs="Times New Roman"/>
          <w:i/>
        </w:rPr>
      </w:pPr>
      <w:r w:rsidRPr="004B272C">
        <w:rPr>
          <w:rFonts w:ascii="Times New Roman" w:hAnsi="Times New Roman" w:cs="Times New Roman"/>
          <w:i/>
        </w:rPr>
        <w:br w:type="column"/>
      </w:r>
      <w:r w:rsidRPr="004B272C">
        <w:rPr>
          <w:rFonts w:ascii="Times New Roman" w:hAnsi="Times New Roman" w:cs="Times New Roman"/>
          <w:i/>
        </w:rPr>
        <w:lastRenderedPageBreak/>
        <w:t>References</w:t>
      </w:r>
    </w:p>
    <w:p w14:paraId="3F31639C"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Bruce, J., Fisher, P. A., Pears, K. C., &amp; Levine, S. (2009). Morning cortisol Levels in preschool-aged foster children: Differential effects of maltreatment type. </w:t>
      </w:r>
      <w:r w:rsidRPr="00273A3E">
        <w:rPr>
          <w:rFonts w:ascii="Times New Roman" w:hAnsi="Times New Roman" w:cs="Times New Roman"/>
          <w:i/>
          <w:noProof/>
          <w:lang w:val="en-US"/>
        </w:rPr>
        <w:t>Developmental Psychobiology, 51</w:t>
      </w:r>
      <w:r w:rsidRPr="00273A3E">
        <w:rPr>
          <w:rFonts w:ascii="Times New Roman" w:hAnsi="Times New Roman" w:cs="Times New Roman"/>
          <w:noProof/>
          <w:lang w:val="en-US"/>
        </w:rPr>
        <w:t>, 14-23.</w:t>
      </w:r>
    </w:p>
    <w:p w14:paraId="64C730E9"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Cassidy, J. (1994). Emotion regulation: Influences of attachment relationships. </w:t>
      </w:r>
      <w:r w:rsidRPr="00273A3E">
        <w:rPr>
          <w:rFonts w:ascii="Times New Roman" w:hAnsi="Times New Roman" w:cs="Times New Roman"/>
          <w:i/>
          <w:noProof/>
          <w:lang w:val="en-US"/>
        </w:rPr>
        <w:t>Monographs of the Society for Research in Child Development, 59</w:t>
      </w:r>
      <w:r w:rsidRPr="00273A3E">
        <w:rPr>
          <w:rFonts w:ascii="Times New Roman" w:hAnsi="Times New Roman" w:cs="Times New Roman"/>
          <w:noProof/>
          <w:lang w:val="en-US"/>
        </w:rPr>
        <w:t>, 228-249.</w:t>
      </w:r>
    </w:p>
    <w:p w14:paraId="48AC414C"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Crittenden, P. M., &amp; Ainsworth, M. D. S. (1989). Child maltreatment and attachment theory. In D. Cicchetti &amp; V. Carlson (Eds.), </w:t>
      </w:r>
      <w:r w:rsidRPr="00273A3E">
        <w:rPr>
          <w:rFonts w:ascii="Times New Roman" w:hAnsi="Times New Roman" w:cs="Times New Roman"/>
          <w:i/>
          <w:noProof/>
          <w:lang w:val="en-US"/>
        </w:rPr>
        <w:t>Child maltreatment: Theory and research on the causes and consequences of child abuse and neglect</w:t>
      </w:r>
      <w:r w:rsidRPr="00273A3E">
        <w:rPr>
          <w:rFonts w:ascii="Times New Roman" w:hAnsi="Times New Roman" w:cs="Times New Roman"/>
          <w:noProof/>
          <w:lang w:val="en-US"/>
        </w:rPr>
        <w:t xml:space="preserve"> (pp. 432-463). New York: Cambridge University Press.</w:t>
      </w:r>
    </w:p>
    <w:p w14:paraId="1351D49B"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Del Giudice, M., Ellis, B. J., &amp; Shirtcliff, E. A. (2011). The adaptive calibration model of stress responsivity. </w:t>
      </w:r>
      <w:r w:rsidRPr="00273A3E">
        <w:rPr>
          <w:rFonts w:ascii="Times New Roman" w:hAnsi="Times New Roman" w:cs="Times New Roman"/>
          <w:i/>
          <w:noProof/>
          <w:lang w:val="en-US"/>
        </w:rPr>
        <w:t>Neuroscience &amp; Biobehavioral Reviews, 35</w:t>
      </w:r>
      <w:r w:rsidRPr="00273A3E">
        <w:rPr>
          <w:rFonts w:ascii="Times New Roman" w:hAnsi="Times New Roman" w:cs="Times New Roman"/>
          <w:noProof/>
          <w:lang w:val="en-US"/>
        </w:rPr>
        <w:t>, 1562-1592.</w:t>
      </w:r>
    </w:p>
    <w:p w14:paraId="45560989"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Dozier, M., Manni, M., Gordon, M. K., Peloso, E., Gunnar, M. R., Stovall-McClough, K. C., Eldreth, D., &amp; Levine, S. (2006). Foster children’s diurnal production of cortisol: An exploratory study. </w:t>
      </w:r>
      <w:r w:rsidRPr="00273A3E">
        <w:rPr>
          <w:rFonts w:ascii="Times New Roman" w:hAnsi="Times New Roman" w:cs="Times New Roman"/>
          <w:i/>
          <w:noProof/>
          <w:lang w:val="en-US"/>
        </w:rPr>
        <w:t>Child Maltreatment, 11</w:t>
      </w:r>
      <w:r w:rsidRPr="00273A3E">
        <w:rPr>
          <w:rFonts w:ascii="Times New Roman" w:hAnsi="Times New Roman" w:cs="Times New Roman"/>
          <w:noProof/>
          <w:lang w:val="en-US"/>
        </w:rPr>
        <w:t>, 189-197.</w:t>
      </w:r>
    </w:p>
    <w:p w14:paraId="10B8B4B3"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Fisher, P. A., Kim, H. K., Bruce, J., &amp; Pears, K. C. (2011). Cumulative effects of prenatal substance exposure and early adversity on foster children’s HPA-axis reactivity during a psychosocial stressor. </w:t>
      </w:r>
      <w:r w:rsidRPr="00273A3E">
        <w:rPr>
          <w:rFonts w:ascii="Times New Roman" w:hAnsi="Times New Roman" w:cs="Times New Roman"/>
          <w:i/>
          <w:noProof/>
          <w:lang w:val="en-US"/>
        </w:rPr>
        <w:t>International Journal of Behavioral Development, 36</w:t>
      </w:r>
      <w:r w:rsidRPr="00273A3E">
        <w:rPr>
          <w:rFonts w:ascii="Times New Roman" w:hAnsi="Times New Roman" w:cs="Times New Roman"/>
          <w:noProof/>
          <w:lang w:val="en-US"/>
        </w:rPr>
        <w:t>, 29-35.</w:t>
      </w:r>
    </w:p>
    <w:p w14:paraId="18F8E808"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Fisher, P. A., Lester, B. M., DeGarmo, D. S., Lagasse, L. L., Lin, H., Shankaran, S., Bada, H. S., Bauer, C. R., Hammond, J., Whitaker, T., &amp; Higgins, R. (2011). The combined effects of prenatal drug exposure and early adversity on neurobehavioral disinhibition in childhood and adolescence. </w:t>
      </w:r>
      <w:r w:rsidRPr="00273A3E">
        <w:rPr>
          <w:rFonts w:ascii="Times New Roman" w:hAnsi="Times New Roman" w:cs="Times New Roman"/>
          <w:i/>
          <w:noProof/>
          <w:lang w:val="en-US"/>
        </w:rPr>
        <w:t>Development and Psychopathology, 23</w:t>
      </w:r>
      <w:r w:rsidRPr="00273A3E">
        <w:rPr>
          <w:rFonts w:ascii="Times New Roman" w:hAnsi="Times New Roman" w:cs="Times New Roman"/>
          <w:noProof/>
          <w:lang w:val="en-US"/>
        </w:rPr>
        <w:t>, 777-788.</w:t>
      </w:r>
    </w:p>
    <w:p w14:paraId="1FEA4CCE"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Fonagy, P., Gergely, G., Jurist, E. L., &amp; Target, M. (2002). </w:t>
      </w:r>
      <w:r w:rsidRPr="00273A3E">
        <w:rPr>
          <w:rFonts w:ascii="Times New Roman" w:hAnsi="Times New Roman" w:cs="Times New Roman"/>
          <w:i/>
          <w:noProof/>
          <w:lang w:val="en-US"/>
        </w:rPr>
        <w:t>Affect regulaton, mentalization, and the development of the self</w:t>
      </w:r>
      <w:r w:rsidRPr="00273A3E">
        <w:rPr>
          <w:rFonts w:ascii="Times New Roman" w:hAnsi="Times New Roman" w:cs="Times New Roman"/>
          <w:noProof/>
          <w:lang w:val="en-US"/>
        </w:rPr>
        <w:t>. London: Karnac.</w:t>
      </w:r>
    </w:p>
    <w:p w14:paraId="7A9142C4"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lastRenderedPageBreak/>
        <w:t xml:space="preserve">Gunnar, M. R., &amp; Vazquez, D. (2006). Stress neurobiology and developmental psychopathology. In D. Cicchetti &amp; D. J. Cohen (Eds.), </w:t>
      </w:r>
      <w:r w:rsidRPr="00273A3E">
        <w:rPr>
          <w:rFonts w:ascii="Times New Roman" w:hAnsi="Times New Roman" w:cs="Times New Roman"/>
          <w:i/>
          <w:noProof/>
          <w:lang w:val="en-US"/>
        </w:rPr>
        <w:t>Developmental psychopathology: Developmental neuroscience</w:t>
      </w:r>
      <w:r w:rsidRPr="00273A3E">
        <w:rPr>
          <w:rFonts w:ascii="Times New Roman" w:hAnsi="Times New Roman" w:cs="Times New Roman"/>
          <w:noProof/>
          <w:lang w:val="en-US"/>
        </w:rPr>
        <w:t xml:space="preserve"> (2nd ed., Vol. 2, pp. 533-577). Hoboken, NJ: Wiley.</w:t>
      </w:r>
    </w:p>
    <w:p w14:paraId="31BB416E" w14:textId="77777777" w:rsidR="00770052" w:rsidRPr="00273A3E" w:rsidRDefault="00770052" w:rsidP="00337948">
      <w:pPr>
        <w:pStyle w:val="EndNoteBibliography"/>
        <w:spacing w:line="480" w:lineRule="auto"/>
        <w:ind w:left="720" w:hanging="720"/>
        <w:rPr>
          <w:rFonts w:ascii="Times New Roman" w:hAnsi="Times New Roman" w:cs="Times New Roman"/>
          <w:noProof/>
          <w:lang w:val="en-US"/>
        </w:rPr>
      </w:pPr>
      <w:r w:rsidRPr="00273A3E">
        <w:rPr>
          <w:rFonts w:ascii="Times New Roman" w:hAnsi="Times New Roman" w:cs="Times New Roman"/>
          <w:noProof/>
          <w:lang w:val="en-US"/>
        </w:rPr>
        <w:t xml:space="preserve">Moffitt, T. E. (2006). Life-course-persistent versus adolescence-limited antisocial behavior. In D. Cicchetti &amp; D. J. Cohen (Eds.), </w:t>
      </w:r>
      <w:r w:rsidRPr="00273A3E">
        <w:rPr>
          <w:rFonts w:ascii="Times New Roman" w:hAnsi="Times New Roman" w:cs="Times New Roman"/>
          <w:i/>
          <w:noProof/>
          <w:lang w:val="en-US"/>
        </w:rPr>
        <w:t>Developmental Psychopathology</w:t>
      </w:r>
      <w:r w:rsidRPr="00273A3E">
        <w:rPr>
          <w:rFonts w:ascii="Times New Roman" w:hAnsi="Times New Roman" w:cs="Times New Roman"/>
          <w:noProof/>
          <w:lang w:val="en-US"/>
        </w:rPr>
        <w:t xml:space="preserve"> (Vol. 3: Risk, Disorder, and Adaptation, pp. 570-598). New York: Wiley.</w:t>
      </w:r>
    </w:p>
    <w:p w14:paraId="77C9E5E9" w14:textId="77777777" w:rsidR="00770052" w:rsidRPr="004B272C" w:rsidRDefault="00770052" w:rsidP="00337948">
      <w:pPr>
        <w:pStyle w:val="EndNoteBibliography"/>
        <w:spacing w:line="480" w:lineRule="auto"/>
        <w:ind w:left="720" w:hanging="720"/>
        <w:rPr>
          <w:rFonts w:ascii="Times New Roman" w:hAnsi="Times New Roman" w:cs="Times New Roman"/>
          <w:noProof/>
        </w:rPr>
      </w:pPr>
      <w:r w:rsidRPr="00273A3E">
        <w:rPr>
          <w:rFonts w:ascii="Times New Roman" w:hAnsi="Times New Roman" w:cs="Times New Roman"/>
          <w:noProof/>
          <w:lang w:val="en-US"/>
        </w:rPr>
        <w:t xml:space="preserve">Zaki, J., &amp; Williams, W. C. (2013). Interpersonal emotion regulation. </w:t>
      </w:r>
      <w:r w:rsidRPr="004B272C">
        <w:rPr>
          <w:rFonts w:ascii="Times New Roman" w:hAnsi="Times New Roman" w:cs="Times New Roman"/>
          <w:i/>
          <w:noProof/>
        </w:rPr>
        <w:t>Emotion, 13</w:t>
      </w:r>
      <w:r w:rsidRPr="004B272C">
        <w:rPr>
          <w:rFonts w:ascii="Times New Roman" w:hAnsi="Times New Roman" w:cs="Times New Roman"/>
          <w:noProof/>
        </w:rPr>
        <w:t>, 803-810.</w:t>
      </w:r>
    </w:p>
    <w:p w14:paraId="17860A64" w14:textId="77777777" w:rsidR="00770052" w:rsidRPr="004B272C" w:rsidRDefault="00770052" w:rsidP="00337948">
      <w:pPr>
        <w:widowControl w:val="0"/>
        <w:autoSpaceDE w:val="0"/>
        <w:autoSpaceDN w:val="0"/>
        <w:adjustRightInd w:val="0"/>
        <w:spacing w:after="240" w:line="480" w:lineRule="auto"/>
        <w:rPr>
          <w:rFonts w:ascii="Times New Roman" w:hAnsi="Times New Roman" w:cs="Times New Roman"/>
        </w:rPr>
      </w:pPr>
    </w:p>
    <w:p w14:paraId="0C4963CA" w14:textId="0B400798" w:rsidR="00770052" w:rsidRPr="004B272C" w:rsidRDefault="00770052" w:rsidP="00EC300A">
      <w:pPr>
        <w:widowControl w:val="0"/>
        <w:autoSpaceDE w:val="0"/>
        <w:autoSpaceDN w:val="0"/>
        <w:adjustRightInd w:val="0"/>
        <w:spacing w:after="240" w:line="480" w:lineRule="auto"/>
        <w:rPr>
          <w:rFonts w:ascii="Times New Roman" w:hAnsi="Times New Roman" w:cs="Times New Roman"/>
        </w:rPr>
      </w:pPr>
      <w:r w:rsidRPr="004B272C">
        <w:rPr>
          <w:rFonts w:ascii="Times New Roman" w:hAnsi="Times New Roman" w:cs="Times New Roman"/>
        </w:rPr>
        <w:br w:type="column"/>
      </w:r>
      <w:bookmarkStart w:id="0" w:name="_GoBack"/>
      <w:r w:rsidR="00E6023D">
        <w:rPr>
          <w:rFonts w:ascii="Times New Roman" w:hAnsi="Times New Roman" w:cs="Times New Roman"/>
          <w:noProof/>
          <w:lang w:eastAsia="en-US"/>
        </w:rPr>
        <w:lastRenderedPageBreak/>
        <w:drawing>
          <wp:inline distT="0" distB="0" distL="0" distR="0" wp14:anchorId="32700A58" wp14:editId="0F499E51">
            <wp:extent cx="3374758" cy="27616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ary_response.emf"/>
                    <pic:cNvPicPr/>
                  </pic:nvPicPr>
                  <pic:blipFill>
                    <a:blip r:embed="rId5">
                      <a:extLst>
                        <a:ext uri="{28A0092B-C50C-407E-A947-70E740481C1C}">
                          <a14:useLocalDpi xmlns:a14="http://schemas.microsoft.com/office/drawing/2010/main" val="0"/>
                        </a:ext>
                      </a:extLst>
                    </a:blip>
                    <a:stretch>
                      <a:fillRect/>
                    </a:stretch>
                  </pic:blipFill>
                  <pic:spPr>
                    <a:xfrm>
                      <a:off x="0" y="0"/>
                      <a:ext cx="3374758" cy="2761678"/>
                    </a:xfrm>
                    <a:prstGeom prst="rect">
                      <a:avLst/>
                    </a:prstGeom>
                  </pic:spPr>
                </pic:pic>
              </a:graphicData>
            </a:graphic>
          </wp:inline>
        </w:drawing>
      </w:r>
      <w:bookmarkEnd w:id="0"/>
    </w:p>
    <w:p w14:paraId="7685FE77" w14:textId="77777777" w:rsidR="00770052" w:rsidRPr="004B272C" w:rsidRDefault="00770052" w:rsidP="00EC300A">
      <w:pPr>
        <w:widowControl w:val="0"/>
        <w:autoSpaceDE w:val="0"/>
        <w:autoSpaceDN w:val="0"/>
        <w:adjustRightInd w:val="0"/>
        <w:spacing w:after="240" w:line="480" w:lineRule="auto"/>
        <w:rPr>
          <w:rFonts w:ascii="Times New Roman" w:hAnsi="Times New Roman" w:cs="Times New Roman"/>
        </w:rPr>
      </w:pPr>
      <w:proofErr w:type="gramStart"/>
      <w:r w:rsidRPr="004B272C">
        <w:rPr>
          <w:rFonts w:ascii="Times New Roman" w:hAnsi="Times New Roman" w:cs="Times New Roman"/>
          <w:i/>
        </w:rPr>
        <w:t>Figure 1.</w:t>
      </w:r>
      <w:proofErr w:type="gramEnd"/>
      <w:r w:rsidRPr="004B272C">
        <w:rPr>
          <w:rFonts w:ascii="Times New Roman" w:hAnsi="Times New Roman" w:cs="Times New Roman"/>
        </w:rPr>
        <w:t xml:space="preserve"> </w:t>
      </w:r>
      <w:proofErr w:type="gramStart"/>
      <w:r w:rsidRPr="004B272C">
        <w:rPr>
          <w:rFonts w:ascii="Times New Roman" w:hAnsi="Times New Roman" w:cs="Times New Roman"/>
        </w:rPr>
        <w:t>Interaction of age and chronicity to predict HCC within the maltreated group.</w:t>
      </w:r>
      <w:proofErr w:type="gramEnd"/>
    </w:p>
    <w:p w14:paraId="0D802361" w14:textId="77777777" w:rsidR="006E58C7" w:rsidRPr="004B272C" w:rsidRDefault="006E58C7">
      <w:pPr>
        <w:rPr>
          <w:rFonts w:ascii="Times New Roman" w:hAnsi="Times New Roman" w:cs="Times New Roman"/>
        </w:rPr>
      </w:pPr>
    </w:p>
    <w:sectPr w:rsidR="006E58C7" w:rsidRPr="004B272C" w:rsidSect="006E58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770052"/>
    <w:rsid w:val="00127DA2"/>
    <w:rsid w:val="001A4DFF"/>
    <w:rsid w:val="00273A3E"/>
    <w:rsid w:val="002A4F77"/>
    <w:rsid w:val="004B272C"/>
    <w:rsid w:val="006E58C7"/>
    <w:rsid w:val="00770052"/>
    <w:rsid w:val="00E6023D"/>
    <w:rsid w:val="00E8797D"/>
    <w:rsid w:val="00FB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9D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0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770052"/>
    <w:pPr>
      <w:jc w:val="center"/>
    </w:pPr>
    <w:rPr>
      <w:rFonts w:ascii="Cambria" w:hAnsi="Cambria"/>
      <w:lang w:val="de-DE"/>
    </w:rPr>
  </w:style>
  <w:style w:type="paragraph" w:customStyle="1" w:styleId="EndNoteBibliography">
    <w:name w:val="EndNote Bibliography"/>
    <w:basedOn w:val="Standard"/>
    <w:rsid w:val="00770052"/>
    <w:rPr>
      <w:rFonts w:ascii="Cambria" w:hAnsi="Cambria"/>
      <w:lang w:val="de-DE"/>
    </w:rPr>
  </w:style>
  <w:style w:type="paragraph" w:styleId="Sprechblasentext">
    <w:name w:val="Balloon Text"/>
    <w:basedOn w:val="Standard"/>
    <w:link w:val="SprechblasentextZchn"/>
    <w:uiPriority w:val="99"/>
    <w:semiHidden/>
    <w:unhideWhenUsed/>
    <w:rsid w:val="007700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0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70052"/>
    <w:rPr>
      <w:sz w:val="16"/>
      <w:szCs w:val="16"/>
    </w:rPr>
  </w:style>
  <w:style w:type="paragraph" w:styleId="Kommentartext">
    <w:name w:val="annotation text"/>
    <w:basedOn w:val="Standard"/>
    <w:link w:val="KommentartextZchn"/>
    <w:uiPriority w:val="99"/>
    <w:semiHidden/>
    <w:unhideWhenUsed/>
    <w:rsid w:val="00770052"/>
    <w:rPr>
      <w:sz w:val="20"/>
      <w:szCs w:val="20"/>
    </w:rPr>
  </w:style>
  <w:style w:type="character" w:customStyle="1" w:styleId="KommentartextZchn">
    <w:name w:val="Kommentartext Zchn"/>
    <w:basedOn w:val="Absatz-Standardschriftart"/>
    <w:link w:val="Kommentartext"/>
    <w:uiPriority w:val="99"/>
    <w:semiHidden/>
    <w:rsid w:val="00770052"/>
    <w:rPr>
      <w:sz w:val="20"/>
      <w:szCs w:val="20"/>
    </w:rPr>
  </w:style>
  <w:style w:type="paragraph" w:styleId="Kommentarthema">
    <w:name w:val="annotation subject"/>
    <w:basedOn w:val="Kommentartext"/>
    <w:next w:val="Kommentartext"/>
    <w:link w:val="KommentarthemaZchn"/>
    <w:uiPriority w:val="99"/>
    <w:semiHidden/>
    <w:unhideWhenUsed/>
    <w:rsid w:val="00770052"/>
    <w:rPr>
      <w:b/>
      <w:bCs/>
    </w:rPr>
  </w:style>
  <w:style w:type="character" w:customStyle="1" w:styleId="KommentarthemaZchn">
    <w:name w:val="Kommentarthema Zchn"/>
    <w:basedOn w:val="KommentartextZchn"/>
    <w:link w:val="Kommentarthema"/>
    <w:uiPriority w:val="99"/>
    <w:semiHidden/>
    <w:rsid w:val="007700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0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770052"/>
    <w:pPr>
      <w:jc w:val="center"/>
    </w:pPr>
    <w:rPr>
      <w:rFonts w:ascii="Cambria" w:hAnsi="Cambria"/>
      <w:lang w:val="de-DE"/>
    </w:rPr>
  </w:style>
  <w:style w:type="paragraph" w:customStyle="1" w:styleId="EndNoteBibliography">
    <w:name w:val="EndNote Bibliography"/>
    <w:basedOn w:val="Standard"/>
    <w:rsid w:val="00770052"/>
    <w:rPr>
      <w:rFonts w:ascii="Cambria" w:hAnsi="Cambria"/>
      <w:lang w:val="de-DE"/>
    </w:rPr>
  </w:style>
  <w:style w:type="paragraph" w:styleId="Sprechblasentext">
    <w:name w:val="Balloon Text"/>
    <w:basedOn w:val="Standard"/>
    <w:link w:val="SprechblasentextZchn"/>
    <w:uiPriority w:val="99"/>
    <w:semiHidden/>
    <w:unhideWhenUsed/>
    <w:rsid w:val="007700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0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70052"/>
    <w:rPr>
      <w:sz w:val="16"/>
      <w:szCs w:val="16"/>
    </w:rPr>
  </w:style>
  <w:style w:type="paragraph" w:styleId="Kommentartext">
    <w:name w:val="annotation text"/>
    <w:basedOn w:val="Standard"/>
    <w:link w:val="KommentartextZchn"/>
    <w:uiPriority w:val="99"/>
    <w:semiHidden/>
    <w:unhideWhenUsed/>
    <w:rsid w:val="00770052"/>
    <w:rPr>
      <w:sz w:val="20"/>
      <w:szCs w:val="20"/>
    </w:rPr>
  </w:style>
  <w:style w:type="character" w:customStyle="1" w:styleId="KommentartextZchn">
    <w:name w:val="Kommentartext Zchn"/>
    <w:basedOn w:val="Absatz-Standardschriftart"/>
    <w:link w:val="Kommentartext"/>
    <w:uiPriority w:val="99"/>
    <w:semiHidden/>
    <w:rsid w:val="00770052"/>
    <w:rPr>
      <w:sz w:val="20"/>
      <w:szCs w:val="20"/>
    </w:rPr>
  </w:style>
  <w:style w:type="paragraph" w:styleId="Kommentarthema">
    <w:name w:val="annotation subject"/>
    <w:basedOn w:val="Kommentartext"/>
    <w:next w:val="Kommentartext"/>
    <w:link w:val="KommentarthemaZchn"/>
    <w:uiPriority w:val="99"/>
    <w:semiHidden/>
    <w:unhideWhenUsed/>
    <w:rsid w:val="00770052"/>
    <w:rPr>
      <w:b/>
      <w:bCs/>
    </w:rPr>
  </w:style>
  <w:style w:type="character" w:customStyle="1" w:styleId="KommentarthemaZchn">
    <w:name w:val="Kommentarthema Zchn"/>
    <w:basedOn w:val="KommentartextZchn"/>
    <w:link w:val="Kommentarthema"/>
    <w:uiPriority w:val="99"/>
    <w:semiHidden/>
    <w:rsid w:val="00770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of Leipzig</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White</dc:creator>
  <cp:lastModifiedBy>White, Lars Otto</cp:lastModifiedBy>
  <cp:revision>2</cp:revision>
  <dcterms:created xsi:type="dcterms:W3CDTF">2017-05-22T08:12:00Z</dcterms:created>
  <dcterms:modified xsi:type="dcterms:W3CDTF">2017-05-22T08:12:00Z</dcterms:modified>
</cp:coreProperties>
</file>